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E50C0" w:rsidRPr="00F02DFC" w:rsidRDefault="007E50C0" w:rsidP="007E50C0">
      <w:pPr>
        <w:jc w:val="both"/>
        <w:rPr>
          <w:rFonts w:ascii="Cambria" w:hAnsi="Cambria" w:cs="Univers"/>
          <w:b/>
          <w:bCs/>
          <w:lang w:val="es-ES_tradnl"/>
        </w:rPr>
      </w:pPr>
      <w:r>
        <w:rPr>
          <w:noProof/>
        </w:rPr>
        <mc:AlternateContent>
          <mc:Choice Requires="wps">
            <w:drawing>
              <wp:anchor distT="0" distB="0" distL="114300" distR="114300" simplePos="0" relativeHeight="251659264" behindDoc="0" locked="0" layoutInCell="1" allowOverlap="1" wp14:anchorId="428E90C0" wp14:editId="7253DAAE">
                <wp:simplePos x="0" y="0"/>
                <wp:positionH relativeFrom="column">
                  <wp:posOffset>-415925</wp:posOffset>
                </wp:positionH>
                <wp:positionV relativeFrom="paragraph">
                  <wp:posOffset>-356870</wp:posOffset>
                </wp:positionV>
                <wp:extent cx="1409700" cy="897763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" fillcolor="#67ae3c" stroked="f" strokeweight="2pt">
                <v:path arrowok="t"/>
              </v:rect>
            </w:pict>
          </mc:Fallback>
        </mc:AlternateContent>
      </w:r>
      <w:r>
        <w:rPr>
          <w:noProof/>
        </w:rPr>
        <mc:AlternateContent>
          <mc:Choice Requires="wps">
            <w:drawing>
              <wp:anchor distT="0" distB="0" distL="114300" distR="114300" simplePos="0" relativeHeight="251663360" behindDoc="0" locked="0" layoutInCell="1" allowOverlap="1" wp14:anchorId="15F9499D" wp14:editId="1789BE04">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rsidR="007E50C0" w:rsidRDefault="007E50C0" w:rsidP="007E50C0">
                            <w:r>
                              <w:rPr>
                                <w:noProof/>
                              </w:rPr>
                              <w:drawing>
                                <wp:inline distT="0" distB="0" distL="0" distR="0" wp14:anchorId="0ED0EFA5" wp14:editId="008643F1">
                                  <wp:extent cx="2528570" cy="485140"/>
                                  <wp:effectExtent l="0" t="0" r="5080" b="0"/>
                                  <wp:docPr id="6" name="Picture 6"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8570" cy="485140"/>
                                          </a:xfrm>
                                          <a:prstGeom prst="rect">
                                            <a:avLst/>
                                          </a:prstGeom>
                                          <a:noFill/>
                                          <a:ln>
                                            <a:noFill/>
                                          </a:ln>
                                        </pic:spPr>
                                      </pic:pic>
                                    </a:graphicData>
                                  </a:graphic>
                                </wp:inline>
                              </w:drawing>
                            </w:r>
                            <w:r w:rsidR="0062269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pOg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" filled="f" stroked="f" strokeweight=".5pt">
                <v:path arrowok="t"/>
                <v:textbox>
                  <w:txbxContent>
                    <w:p w:rsidR="007E50C0" w:rsidRDefault="007E50C0" w:rsidP="007E50C0">
                      <w:r>
                        <w:rPr>
                          <w:noProof/>
                        </w:rPr>
                        <w:drawing>
                          <wp:inline distT="0" distB="0" distL="0" distR="0" wp14:anchorId="36ACC052" wp14:editId="1C5ADF5C">
                            <wp:extent cx="2528570" cy="485140"/>
                            <wp:effectExtent l="0" t="0" r="5080" b="0"/>
                            <wp:docPr id="6" name="Picture 6"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8570" cy="485140"/>
                                    </a:xfrm>
                                    <a:prstGeom prst="rect">
                                      <a:avLst/>
                                    </a:prstGeom>
                                    <a:noFill/>
                                    <a:ln>
                                      <a:noFill/>
                                    </a:ln>
                                  </pic:spPr>
                                </pic:pic>
                              </a:graphicData>
                            </a:graphic>
                          </wp:inline>
                        </w:drawing>
                      </w:r>
                      <w:r w:rsidR="0062269B">
                        <w:t xml:space="preserve">            </w:t>
                      </w:r>
                    </w:p>
                  </w:txbxContent>
                </v:textbox>
              </v:shape>
            </w:pict>
          </mc:Fallback>
        </mc:AlternateContent>
      </w:r>
    </w:p>
    <w:p w:rsidR="007E50C0" w:rsidRPr="00F02DFC" w:rsidRDefault="007E50C0" w:rsidP="007E50C0">
      <w:pPr>
        <w:tabs>
          <w:tab w:val="center" w:pos="5400"/>
        </w:tabs>
        <w:suppressAutoHyphens/>
        <w:jc w:val="both"/>
        <w:rPr>
          <w:rFonts w:ascii="Cambria" w:hAnsi="Cambria"/>
          <w:lang w:val="es-ES"/>
        </w:rPr>
      </w:pPr>
    </w:p>
    <w:p w:rsidR="007E50C0" w:rsidRPr="00F02DFC" w:rsidRDefault="007E50C0" w:rsidP="007E50C0">
      <w:pPr>
        <w:tabs>
          <w:tab w:val="center" w:pos="5400"/>
        </w:tabs>
        <w:suppressAutoHyphens/>
        <w:jc w:val="both"/>
        <w:rPr>
          <w:rFonts w:ascii="Cambria" w:hAnsi="Cambria"/>
          <w:lang w:val="es-ES"/>
        </w:rPr>
      </w:pPr>
    </w:p>
    <w:p w:rsidR="007E50C0" w:rsidRPr="00F02DFC" w:rsidRDefault="007E50C0" w:rsidP="007E50C0">
      <w:pPr>
        <w:tabs>
          <w:tab w:val="center" w:pos="5400"/>
        </w:tabs>
        <w:suppressAutoHyphens/>
        <w:rPr>
          <w:rFonts w:ascii="Cambria" w:hAnsi="Cambria"/>
          <w:lang w:val="es-ES_tradnl"/>
        </w:rPr>
      </w:pPr>
    </w:p>
    <w:p w:rsidR="007E50C0" w:rsidRPr="00F02DFC" w:rsidRDefault="007E50C0" w:rsidP="007E50C0">
      <w:pPr>
        <w:tabs>
          <w:tab w:val="center" w:pos="5400"/>
        </w:tabs>
        <w:suppressAutoHyphens/>
        <w:rPr>
          <w:rFonts w:ascii="Cambria" w:hAnsi="Cambria"/>
          <w:lang w:val="es-ES_tradnl"/>
        </w:rPr>
      </w:pPr>
    </w:p>
    <w:p w:rsidR="007E50C0" w:rsidRPr="00F02DFC" w:rsidRDefault="007E50C0" w:rsidP="007E50C0">
      <w:pPr>
        <w:tabs>
          <w:tab w:val="center" w:pos="5400"/>
        </w:tabs>
        <w:suppressAutoHyphens/>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r>
        <w:rPr>
          <w:noProof/>
        </w:rPr>
        <mc:AlternateContent>
          <mc:Choice Requires="wps">
            <w:drawing>
              <wp:anchor distT="0" distB="0" distL="114300" distR="114300" simplePos="0" relativeHeight="251660288" behindDoc="0" locked="0" layoutInCell="1" allowOverlap="1" wp14:anchorId="751936B1" wp14:editId="635407E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txbx>
                        <w:txbxContent>
                          <w:p w:rsidR="007E50C0" w:rsidRPr="00E560F5" w:rsidRDefault="007E50C0" w:rsidP="007E50C0">
                            <w:pPr>
                              <w:spacing w:line="276" w:lineRule="auto"/>
                              <w:rPr>
                                <w:rFonts w:ascii="Cambria" w:hAnsi="Cambria" w:cs="Arial"/>
                                <w:b/>
                                <w:bCs/>
                                <w:color w:val="0D0D0D"/>
                                <w:sz w:val="36"/>
                              </w:rPr>
                            </w:pPr>
                            <w:r w:rsidRPr="00E560F5">
                              <w:rPr>
                                <w:rFonts w:ascii="Cambria" w:hAnsi="Cambria" w:cs="Arial"/>
                                <w:b/>
                                <w:bCs/>
                                <w:color w:val="0D0D0D"/>
                                <w:sz w:val="36"/>
                              </w:rPr>
                              <w:t xml:space="preserve">REPORT </w:t>
                            </w:r>
                            <w:r w:rsidRPr="00E560F5">
                              <w:rPr>
                                <w:rFonts w:ascii="Cambria" w:hAnsi="Cambria" w:cs="Arial"/>
                                <w:b/>
                                <w:bCs/>
                                <w:color w:val="0D0D0D"/>
                                <w:sz w:val="36"/>
                                <w:szCs w:val="40"/>
                              </w:rPr>
                              <w:t>No.</w:t>
                            </w:r>
                            <w:r>
                              <w:rPr>
                                <w:rFonts w:ascii="Cambria" w:hAnsi="Cambria" w:cs="Arial"/>
                                <w:b/>
                                <w:bCs/>
                                <w:color w:val="0D0D0D"/>
                                <w:sz w:val="36"/>
                              </w:rPr>
                              <w:t xml:space="preserve"> </w:t>
                            </w:r>
                            <w:r w:rsidR="00EE3AFE">
                              <w:rPr>
                                <w:rFonts w:ascii="Cambria" w:hAnsi="Cambria" w:cs="Arial"/>
                                <w:b/>
                                <w:bCs/>
                                <w:color w:val="0D0D0D"/>
                                <w:sz w:val="36"/>
                              </w:rPr>
                              <w:t>31</w:t>
                            </w:r>
                            <w:r w:rsidRPr="00E560F5">
                              <w:rPr>
                                <w:rFonts w:ascii="Cambria" w:hAnsi="Cambria" w:cs="Arial"/>
                                <w:b/>
                                <w:bCs/>
                                <w:color w:val="0D0D0D"/>
                                <w:sz w:val="36"/>
                              </w:rPr>
                              <w:t>/15</w:t>
                            </w:r>
                          </w:p>
                          <w:p w:rsidR="007E50C0" w:rsidRPr="00057A54" w:rsidRDefault="007E50C0" w:rsidP="007E50C0">
                            <w:pPr>
                              <w:spacing w:line="276" w:lineRule="auto"/>
                              <w:rPr>
                                <w:rFonts w:asciiTheme="majorHAnsi" w:hAnsiTheme="majorHAnsi" w:cs="Arial"/>
                                <w:b/>
                                <w:color w:val="0D0D0D" w:themeColor="text1" w:themeTint="F2"/>
                                <w:sz w:val="36"/>
                              </w:rPr>
                            </w:pPr>
                            <w:r w:rsidRPr="00057A54">
                              <w:rPr>
                                <w:rFonts w:asciiTheme="majorHAnsi" w:hAnsiTheme="majorHAnsi" w:cs="Arial"/>
                                <w:b/>
                                <w:color w:val="0D0D0D" w:themeColor="text1" w:themeTint="F2"/>
                                <w:sz w:val="36"/>
                              </w:rPr>
                              <w:t>CASE 10.522</w:t>
                            </w:r>
                          </w:p>
                          <w:p w:rsidR="007E50C0" w:rsidRPr="00E560F5" w:rsidRDefault="007E50C0" w:rsidP="007E50C0">
                            <w:pPr>
                              <w:spacing w:line="276" w:lineRule="auto"/>
                              <w:rPr>
                                <w:rFonts w:ascii="Cambria" w:hAnsi="Cambria" w:cs="Arial"/>
                                <w:color w:val="0D0D0D"/>
                              </w:rPr>
                            </w:pPr>
                            <w:r w:rsidRPr="00E560F5">
                              <w:rPr>
                                <w:rFonts w:ascii="Cambria" w:hAnsi="Cambria" w:cs="Arial"/>
                                <w:color w:val="0D0D0D"/>
                              </w:rPr>
                              <w:t xml:space="preserve">REPORT ON ADMISSIBILITY </w:t>
                            </w:r>
                          </w:p>
                          <w:p w:rsidR="007E50C0" w:rsidRPr="00E560F5" w:rsidRDefault="007E50C0" w:rsidP="007E50C0">
                            <w:pPr>
                              <w:spacing w:line="276" w:lineRule="auto"/>
                              <w:rPr>
                                <w:rFonts w:ascii="Cambria" w:hAnsi="Cambria" w:cs="Arial"/>
                                <w:color w:val="0D0D0D"/>
                              </w:rPr>
                            </w:pPr>
                          </w:p>
                          <w:p w:rsidR="007E50C0" w:rsidRPr="00E560F5" w:rsidRDefault="007E50C0" w:rsidP="007E50C0">
                            <w:pPr>
                              <w:spacing w:line="276" w:lineRule="auto"/>
                              <w:rPr>
                                <w:rFonts w:ascii="Cambria" w:hAnsi="Cambria" w:cs="Arial"/>
                                <w:color w:val="0D0D0D"/>
                              </w:rPr>
                            </w:pPr>
                          </w:p>
                          <w:p w:rsidR="007E50C0" w:rsidRPr="00C431B7" w:rsidRDefault="007E50C0" w:rsidP="007E50C0">
                            <w:pPr>
                              <w:rPr>
                                <w:rFonts w:asciiTheme="majorHAnsi" w:hAnsiTheme="majorHAnsi" w:cs="Arial"/>
                                <w:color w:val="0D0D0D" w:themeColor="text1" w:themeTint="F2"/>
                                <w:lang w:val="es-ES_tradnl"/>
                              </w:rPr>
                            </w:pPr>
                            <w:r w:rsidRPr="00C431B7">
                              <w:rPr>
                                <w:rFonts w:asciiTheme="majorHAnsi" w:hAnsiTheme="majorHAnsi" w:cs="Arial"/>
                                <w:color w:val="0D0D0D" w:themeColor="text1" w:themeTint="F2"/>
                                <w:lang w:val="es-ES_tradnl"/>
                              </w:rPr>
                              <w:t xml:space="preserve">JUAN FERNÁNDO PORRAS MARTÍNEZ </w:t>
                            </w:r>
                          </w:p>
                          <w:p w:rsidR="007E50C0" w:rsidRPr="00AE5488" w:rsidRDefault="007E50C0" w:rsidP="007E50C0">
                            <w:pPr>
                              <w:rPr>
                                <w:color w:val="0D0D0D" w:themeColor="text1" w:themeTint="F2"/>
                                <w:lang w:val="es-ES_tradnl"/>
                              </w:rPr>
                            </w:pPr>
                            <w:r w:rsidRPr="00C431B7">
                              <w:rPr>
                                <w:rFonts w:asciiTheme="majorHAnsi" w:hAnsiTheme="majorHAnsi" w:cs="Arial"/>
                                <w:color w:val="0D0D0D" w:themeColor="text1" w:themeTint="F2"/>
                                <w:lang w:val="es-ES_tradnl"/>
                              </w:rPr>
                              <w:t>COLOMBIA</w:t>
                            </w:r>
                          </w:p>
                          <w:p w:rsidR="007E50C0" w:rsidRPr="00BD5A82" w:rsidRDefault="007E50C0" w:rsidP="007E50C0">
                            <w:pPr>
                              <w:spacing w:line="276" w:lineRule="auto"/>
                              <w:rPr>
                                <w:rFonts w:ascii="Cambria" w:hAnsi="Cambria"/>
                                <w:color w:val="0D0D0D"/>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" filled="f" stroked="f" strokeweight=".5pt">
                <v:path arrowok="t"/>
                <v:textbox>
                  <w:txbxContent>
                    <w:p w:rsidR="007E50C0" w:rsidRPr="00E560F5" w:rsidRDefault="007E50C0" w:rsidP="007E50C0">
                      <w:pPr>
                        <w:spacing w:line="276" w:lineRule="auto"/>
                        <w:rPr>
                          <w:rFonts w:ascii="Cambria" w:hAnsi="Cambria" w:cs="Arial"/>
                          <w:b/>
                          <w:bCs/>
                          <w:color w:val="0D0D0D"/>
                          <w:sz w:val="36"/>
                        </w:rPr>
                      </w:pPr>
                      <w:r w:rsidRPr="00E560F5">
                        <w:rPr>
                          <w:rFonts w:ascii="Cambria" w:hAnsi="Cambria" w:cs="Arial"/>
                          <w:b/>
                          <w:bCs/>
                          <w:color w:val="0D0D0D"/>
                          <w:sz w:val="36"/>
                        </w:rPr>
                        <w:t xml:space="preserve">REPORT </w:t>
                      </w:r>
                      <w:r w:rsidRPr="00E560F5">
                        <w:rPr>
                          <w:rFonts w:ascii="Cambria" w:hAnsi="Cambria" w:cs="Arial"/>
                          <w:b/>
                          <w:bCs/>
                          <w:color w:val="0D0D0D"/>
                          <w:sz w:val="36"/>
                          <w:szCs w:val="40"/>
                        </w:rPr>
                        <w:t>No.</w:t>
                      </w:r>
                      <w:r>
                        <w:rPr>
                          <w:rFonts w:ascii="Cambria" w:hAnsi="Cambria" w:cs="Arial"/>
                          <w:b/>
                          <w:bCs/>
                          <w:color w:val="0D0D0D"/>
                          <w:sz w:val="36"/>
                        </w:rPr>
                        <w:t xml:space="preserve"> </w:t>
                      </w:r>
                      <w:r w:rsidR="00EE3AFE">
                        <w:rPr>
                          <w:rFonts w:ascii="Cambria" w:hAnsi="Cambria" w:cs="Arial"/>
                          <w:b/>
                          <w:bCs/>
                          <w:color w:val="0D0D0D"/>
                          <w:sz w:val="36"/>
                        </w:rPr>
                        <w:t>31</w:t>
                      </w:r>
                      <w:r w:rsidRPr="00E560F5">
                        <w:rPr>
                          <w:rFonts w:ascii="Cambria" w:hAnsi="Cambria" w:cs="Arial"/>
                          <w:b/>
                          <w:bCs/>
                          <w:color w:val="0D0D0D"/>
                          <w:sz w:val="36"/>
                        </w:rPr>
                        <w:t>/15</w:t>
                      </w:r>
                    </w:p>
                    <w:p w:rsidR="007E50C0" w:rsidRPr="00057A54" w:rsidRDefault="007E50C0" w:rsidP="007E50C0">
                      <w:pPr>
                        <w:spacing w:line="276" w:lineRule="auto"/>
                        <w:rPr>
                          <w:rFonts w:asciiTheme="majorHAnsi" w:hAnsiTheme="majorHAnsi" w:cs="Arial"/>
                          <w:b/>
                          <w:color w:val="0D0D0D" w:themeColor="text1" w:themeTint="F2"/>
                          <w:sz w:val="36"/>
                        </w:rPr>
                      </w:pPr>
                      <w:r w:rsidRPr="00057A54">
                        <w:rPr>
                          <w:rFonts w:asciiTheme="majorHAnsi" w:hAnsiTheme="majorHAnsi" w:cs="Arial"/>
                          <w:b/>
                          <w:color w:val="0D0D0D" w:themeColor="text1" w:themeTint="F2"/>
                          <w:sz w:val="36"/>
                        </w:rPr>
                        <w:t>CASE 10.522</w:t>
                      </w:r>
                    </w:p>
                    <w:p w:rsidR="007E50C0" w:rsidRPr="00E560F5" w:rsidRDefault="007E50C0" w:rsidP="007E50C0">
                      <w:pPr>
                        <w:spacing w:line="276" w:lineRule="auto"/>
                        <w:rPr>
                          <w:rFonts w:ascii="Cambria" w:hAnsi="Cambria" w:cs="Arial"/>
                          <w:color w:val="0D0D0D"/>
                        </w:rPr>
                      </w:pPr>
                      <w:r w:rsidRPr="00E560F5">
                        <w:rPr>
                          <w:rFonts w:ascii="Cambria" w:hAnsi="Cambria" w:cs="Arial"/>
                          <w:color w:val="0D0D0D"/>
                        </w:rPr>
                        <w:t xml:space="preserve">REPORT ON ADMISSIBILITY </w:t>
                      </w:r>
                    </w:p>
                    <w:p w:rsidR="007E50C0" w:rsidRPr="00E560F5" w:rsidRDefault="007E50C0" w:rsidP="007E50C0">
                      <w:pPr>
                        <w:spacing w:line="276" w:lineRule="auto"/>
                        <w:rPr>
                          <w:rFonts w:ascii="Cambria" w:hAnsi="Cambria" w:cs="Arial"/>
                          <w:color w:val="0D0D0D"/>
                        </w:rPr>
                      </w:pPr>
                    </w:p>
                    <w:p w:rsidR="007E50C0" w:rsidRPr="00E560F5" w:rsidRDefault="007E50C0" w:rsidP="007E50C0">
                      <w:pPr>
                        <w:spacing w:line="276" w:lineRule="auto"/>
                        <w:rPr>
                          <w:rFonts w:ascii="Cambria" w:hAnsi="Cambria" w:cs="Arial"/>
                          <w:color w:val="0D0D0D"/>
                        </w:rPr>
                      </w:pPr>
                    </w:p>
                    <w:p w:rsidR="007E50C0" w:rsidRPr="00C431B7" w:rsidRDefault="007E50C0" w:rsidP="007E50C0">
                      <w:pPr>
                        <w:rPr>
                          <w:rFonts w:asciiTheme="majorHAnsi" w:hAnsiTheme="majorHAnsi" w:cs="Arial"/>
                          <w:color w:val="0D0D0D" w:themeColor="text1" w:themeTint="F2"/>
                          <w:lang w:val="es-ES_tradnl"/>
                        </w:rPr>
                      </w:pPr>
                      <w:r w:rsidRPr="00C431B7">
                        <w:rPr>
                          <w:rFonts w:asciiTheme="majorHAnsi" w:hAnsiTheme="majorHAnsi" w:cs="Arial"/>
                          <w:color w:val="0D0D0D" w:themeColor="text1" w:themeTint="F2"/>
                          <w:lang w:val="es-ES_tradnl"/>
                        </w:rPr>
                        <w:t xml:space="preserve">JUAN FERNÁNDO PORRAS MARTÍNEZ </w:t>
                      </w:r>
                    </w:p>
                    <w:p w:rsidR="007E50C0" w:rsidRPr="00AE5488" w:rsidRDefault="007E50C0" w:rsidP="007E50C0">
                      <w:pPr>
                        <w:rPr>
                          <w:color w:val="0D0D0D" w:themeColor="text1" w:themeTint="F2"/>
                          <w:lang w:val="es-ES_tradnl"/>
                        </w:rPr>
                      </w:pPr>
                      <w:r w:rsidRPr="00C431B7">
                        <w:rPr>
                          <w:rFonts w:asciiTheme="majorHAnsi" w:hAnsiTheme="majorHAnsi" w:cs="Arial"/>
                          <w:color w:val="0D0D0D" w:themeColor="text1" w:themeTint="F2"/>
                          <w:lang w:val="es-ES_tradnl"/>
                        </w:rPr>
                        <w:t>COLOMBIA</w:t>
                      </w:r>
                    </w:p>
                    <w:p w:rsidR="007E50C0" w:rsidRPr="00BD5A82" w:rsidRDefault="007E50C0" w:rsidP="007E50C0">
                      <w:pPr>
                        <w:spacing w:line="276" w:lineRule="auto"/>
                        <w:rPr>
                          <w:rFonts w:ascii="Cambria" w:hAnsi="Cambria"/>
                          <w:color w:val="0D0D0D"/>
                          <w:lang w:val="es-AR"/>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C09BE9" wp14:editId="5D2A15CE">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E9549D" w:rsidRPr="00044A76" w:rsidRDefault="00E9549D" w:rsidP="00E9549D">
                            <w:pPr>
                              <w:spacing w:line="276" w:lineRule="auto"/>
                              <w:jc w:val="right"/>
                              <w:rPr>
                                <w:color w:val="FFFFFF"/>
                                <w:lang w:val="pt-BR"/>
                              </w:rPr>
                            </w:pPr>
                            <w:r w:rsidRPr="00044A76">
                              <w:rPr>
                                <w:color w:val="FFFFFF"/>
                                <w:lang w:val="pt-BR"/>
                              </w:rPr>
                              <w:t>OEA/Ser.L/V/II.155</w:t>
                            </w:r>
                          </w:p>
                          <w:p w:rsidR="007E50C0" w:rsidRPr="00E9549D" w:rsidRDefault="007E50C0" w:rsidP="007E50C0">
                            <w:pPr>
                              <w:spacing w:line="276" w:lineRule="auto"/>
                              <w:jc w:val="right"/>
                              <w:rPr>
                                <w:color w:val="FFFFFF"/>
                                <w:lang w:val="pt-BR"/>
                              </w:rPr>
                            </w:pPr>
                            <w:r w:rsidRPr="00E9549D">
                              <w:rPr>
                                <w:color w:val="FFFFFF"/>
                                <w:lang w:val="pt-BR"/>
                              </w:rPr>
                              <w:t xml:space="preserve">Doc. </w:t>
                            </w:r>
                            <w:r w:rsidR="004B46E0">
                              <w:rPr>
                                <w:color w:val="FFFFFF"/>
                                <w:lang w:val="pt-BR"/>
                              </w:rPr>
                              <w:t>10</w:t>
                            </w:r>
                          </w:p>
                          <w:p w:rsidR="007E50C0" w:rsidRPr="00501B07" w:rsidRDefault="004B46E0" w:rsidP="007E50C0">
                            <w:pPr>
                              <w:spacing w:line="276" w:lineRule="auto"/>
                              <w:jc w:val="right"/>
                              <w:rPr>
                                <w:color w:val="FFFFFF"/>
                              </w:rPr>
                            </w:pPr>
                            <w:r>
                              <w:rPr>
                                <w:color w:val="FFFFFF"/>
                              </w:rPr>
                              <w:t xml:space="preserve">22 </w:t>
                            </w:r>
                            <w:r w:rsidR="00226569">
                              <w:rPr>
                                <w:color w:val="FFFFFF"/>
                              </w:rPr>
                              <w:t>July</w:t>
                            </w:r>
                            <w:r w:rsidR="007E50C0" w:rsidRPr="00501B07">
                              <w:rPr>
                                <w:color w:val="FFFFFF"/>
                              </w:rPr>
                              <w:t xml:space="preserve"> 2015</w:t>
                            </w:r>
                          </w:p>
                          <w:p w:rsidR="007E50C0" w:rsidRPr="00F02DFC" w:rsidRDefault="007E50C0" w:rsidP="007E50C0">
                            <w:pPr>
                              <w:jc w:val="right"/>
                              <w:rPr>
                                <w:color w:val="FFFFFF"/>
                              </w:rPr>
                            </w:pPr>
                            <w:r w:rsidRPr="00F02DFC">
                              <w:rPr>
                                <w:color w:val="FFFFFF"/>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UR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YmZx52UJ6QBgt9GznDVzVmtGbOvzCLfYMF4iz4Z1xkAxgZhh0l&#10;Fdhff7sPeJQTrZS02IcFdT8PzApKmm8ahf6cTqehceNhOrud4MFeW3bXFn1QD4CtnuLUGR63Ae+b&#10;81ZaUK84MssQFU1Mc4xdUH/ePvh+OnDkuFguIwhb1TC/1hvDz+oHvrfdK7NmEMWjnk9w7liWv9Om&#10;x/bqLA8eZB2FCzz3rA5thG0epR9GMszR9Tmi3n4ci9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BFKRRFBAgAAgAQA&#10;AA4AAAAAAAAAAAAAAAAALgIAAGRycy9lMm9Eb2MueG1sUEsBAi0AFAAGAAgAAAAhAGKknRffAAAA&#10;CgEAAA8AAAAAAAAAAAAAAAAAmwQAAGRycy9kb3ducmV2LnhtbFBLBQYAAAAABAAEAPMAAACnBQAA&#10;AAA=&#10;" filled="f" stroked="f" strokeweight=".5pt">
                <v:path arrowok="t"/>
                <v:textbox>
                  <w:txbxContent>
                    <w:p w:rsidR="00E9549D" w:rsidRPr="00044A76" w:rsidRDefault="00E9549D" w:rsidP="00E9549D">
                      <w:pPr>
                        <w:spacing w:line="276" w:lineRule="auto"/>
                        <w:jc w:val="right"/>
                        <w:rPr>
                          <w:color w:val="FFFFFF"/>
                          <w:lang w:val="pt-BR"/>
                        </w:rPr>
                      </w:pPr>
                      <w:r w:rsidRPr="00044A76">
                        <w:rPr>
                          <w:color w:val="FFFFFF"/>
                          <w:lang w:val="pt-BR"/>
                        </w:rPr>
                        <w:t>OEA/Ser.L/V/II.155</w:t>
                      </w:r>
                    </w:p>
                    <w:p w:rsidR="007E50C0" w:rsidRPr="00E9549D" w:rsidRDefault="007E50C0" w:rsidP="007E50C0">
                      <w:pPr>
                        <w:spacing w:line="276" w:lineRule="auto"/>
                        <w:jc w:val="right"/>
                        <w:rPr>
                          <w:color w:val="FFFFFF"/>
                          <w:lang w:val="pt-BR"/>
                        </w:rPr>
                      </w:pPr>
                      <w:r w:rsidRPr="00E9549D">
                        <w:rPr>
                          <w:color w:val="FFFFFF"/>
                          <w:lang w:val="pt-BR"/>
                        </w:rPr>
                        <w:t xml:space="preserve">Doc. </w:t>
                      </w:r>
                      <w:r w:rsidR="004B46E0">
                        <w:rPr>
                          <w:color w:val="FFFFFF"/>
                          <w:lang w:val="pt-BR"/>
                        </w:rPr>
                        <w:t>10</w:t>
                      </w:r>
                    </w:p>
                    <w:p w:rsidR="007E50C0" w:rsidRPr="00501B07" w:rsidRDefault="004B46E0" w:rsidP="007E50C0">
                      <w:pPr>
                        <w:spacing w:line="276" w:lineRule="auto"/>
                        <w:jc w:val="right"/>
                        <w:rPr>
                          <w:color w:val="FFFFFF"/>
                        </w:rPr>
                      </w:pPr>
                      <w:r>
                        <w:rPr>
                          <w:color w:val="FFFFFF"/>
                        </w:rPr>
                        <w:t xml:space="preserve">22 </w:t>
                      </w:r>
                      <w:r w:rsidR="00226569">
                        <w:rPr>
                          <w:color w:val="FFFFFF"/>
                        </w:rPr>
                        <w:t>July</w:t>
                      </w:r>
                      <w:r w:rsidR="007E50C0" w:rsidRPr="00501B07">
                        <w:rPr>
                          <w:color w:val="FFFFFF"/>
                        </w:rPr>
                        <w:t xml:space="preserve"> 2015</w:t>
                      </w:r>
                    </w:p>
                    <w:p w:rsidR="007E50C0" w:rsidRPr="00F02DFC" w:rsidRDefault="007E50C0" w:rsidP="007E50C0">
                      <w:pPr>
                        <w:jc w:val="right"/>
                        <w:rPr>
                          <w:color w:val="FFFFFF"/>
                        </w:rPr>
                      </w:pPr>
                      <w:r w:rsidRPr="00F02DFC">
                        <w:rPr>
                          <w:color w:val="FFFFFF"/>
                        </w:rPr>
                        <w:t>Original: Spanish</w:t>
                      </w:r>
                    </w:p>
                  </w:txbxContent>
                </v:textbox>
              </v:shape>
            </w:pict>
          </mc:Fallback>
        </mc:AlternateContent>
      </w: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cs="Arial"/>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lang w:val="es-ES_tradnl"/>
        </w:rPr>
      </w:pPr>
    </w:p>
    <w:p w:rsidR="007E50C0" w:rsidRPr="00F02DFC" w:rsidRDefault="007E50C0" w:rsidP="007E50C0">
      <w:pPr>
        <w:tabs>
          <w:tab w:val="center" w:pos="5400"/>
        </w:tabs>
        <w:suppressAutoHyphens/>
        <w:jc w:val="center"/>
        <w:rPr>
          <w:rFonts w:ascii="Cambria" w:hAnsi="Cambria"/>
          <w:sz w:val="18"/>
          <w:lang w:val="es-ES_tradnl"/>
        </w:rPr>
      </w:pPr>
    </w:p>
    <w:p w:rsidR="007E50C0" w:rsidRDefault="007E50C0" w:rsidP="007E50C0">
      <w:pPr>
        <w:tabs>
          <w:tab w:val="center" w:pos="5400"/>
        </w:tabs>
        <w:suppressAutoHyphens/>
        <w:jc w:val="center"/>
        <w:rPr>
          <w:rFonts w:ascii="Cambria" w:hAnsi="Cambria"/>
          <w:sz w:val="18"/>
          <w:lang w:val="es-ES_tradnl"/>
        </w:rPr>
      </w:pPr>
    </w:p>
    <w:p w:rsidR="007E50C0" w:rsidRDefault="007E50C0" w:rsidP="007E50C0">
      <w:pPr>
        <w:tabs>
          <w:tab w:val="center" w:pos="5400"/>
        </w:tabs>
        <w:suppressAutoHyphens/>
        <w:jc w:val="center"/>
        <w:rPr>
          <w:rFonts w:ascii="Cambria" w:hAnsi="Cambria"/>
          <w:sz w:val="18"/>
          <w:lang w:val="es-ES_tradnl"/>
        </w:rPr>
      </w:pPr>
    </w:p>
    <w:p w:rsidR="007E50C0" w:rsidRDefault="007E50C0" w:rsidP="007E50C0">
      <w:pPr>
        <w:tabs>
          <w:tab w:val="center" w:pos="5400"/>
        </w:tabs>
        <w:suppressAutoHyphens/>
        <w:jc w:val="center"/>
        <w:rPr>
          <w:rFonts w:ascii="Cambria" w:hAnsi="Cambria"/>
          <w:sz w:val="18"/>
          <w:lang w:val="es-ES_tradnl"/>
        </w:rPr>
      </w:pPr>
    </w:p>
    <w:p w:rsidR="007E50C0" w:rsidRDefault="007E50C0" w:rsidP="007E50C0">
      <w:pPr>
        <w:tabs>
          <w:tab w:val="center" w:pos="5400"/>
        </w:tabs>
        <w:suppressAutoHyphens/>
        <w:jc w:val="center"/>
        <w:rPr>
          <w:rFonts w:ascii="Cambria" w:hAnsi="Cambria"/>
          <w:sz w:val="18"/>
          <w:lang w:val="es-ES_tradnl"/>
        </w:rPr>
      </w:pPr>
    </w:p>
    <w:p w:rsidR="007E50C0" w:rsidRDefault="007E50C0" w:rsidP="007E50C0">
      <w:pPr>
        <w:tabs>
          <w:tab w:val="center" w:pos="5400"/>
        </w:tabs>
        <w:suppressAutoHyphens/>
        <w:jc w:val="center"/>
        <w:rPr>
          <w:rFonts w:ascii="Cambria" w:hAnsi="Cambria"/>
          <w:sz w:val="18"/>
          <w:lang w:val="es-ES_tradnl"/>
        </w:rPr>
      </w:pPr>
    </w:p>
    <w:p w:rsidR="007E50C0" w:rsidRDefault="007E50C0" w:rsidP="007E50C0">
      <w:pPr>
        <w:tabs>
          <w:tab w:val="center" w:pos="5400"/>
        </w:tabs>
        <w:suppressAutoHyphens/>
        <w:jc w:val="center"/>
        <w:rPr>
          <w:rFonts w:ascii="Cambria" w:hAnsi="Cambria"/>
          <w:sz w:val="18"/>
          <w:lang w:val="es-ES_tradnl"/>
        </w:rPr>
      </w:pPr>
    </w:p>
    <w:p w:rsidR="007E50C0" w:rsidRPr="00F02DFC" w:rsidRDefault="007E50C0" w:rsidP="007E50C0">
      <w:pPr>
        <w:tabs>
          <w:tab w:val="center" w:pos="5400"/>
        </w:tabs>
        <w:suppressAutoHyphens/>
        <w:jc w:val="center"/>
        <w:rPr>
          <w:rFonts w:ascii="Cambria" w:hAnsi="Cambria"/>
          <w:sz w:val="18"/>
          <w:lang w:val="es-ES_tradnl"/>
        </w:rPr>
      </w:pPr>
    </w:p>
    <w:p w:rsidR="007E50C0" w:rsidRPr="00F02DFC" w:rsidRDefault="007E50C0" w:rsidP="007E50C0">
      <w:pPr>
        <w:tabs>
          <w:tab w:val="center" w:pos="5400"/>
        </w:tabs>
        <w:suppressAutoHyphens/>
        <w:jc w:val="center"/>
        <w:rPr>
          <w:rFonts w:ascii="Cambria" w:hAnsi="Cambria"/>
          <w:sz w:val="18"/>
          <w:lang w:val="es-ES_tradnl"/>
        </w:rPr>
      </w:pPr>
      <w:r>
        <w:rPr>
          <w:noProof/>
        </w:rPr>
        <mc:AlternateContent>
          <mc:Choice Requires="wps">
            <w:drawing>
              <wp:anchor distT="0" distB="0" distL="114300" distR="114300" simplePos="0" relativeHeight="251661312" behindDoc="0" locked="0" layoutInCell="1" allowOverlap="1" wp14:anchorId="329369B6" wp14:editId="5C4B37D8">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rsidR="007E50C0" w:rsidRPr="00F02DFC" w:rsidRDefault="007E50C0" w:rsidP="007E50C0">
                            <w:pPr>
                              <w:tabs>
                                <w:tab w:val="center" w:pos="5400"/>
                              </w:tabs>
                              <w:suppressAutoHyphens/>
                              <w:spacing w:before="60"/>
                              <w:rPr>
                                <w:rFonts w:ascii="Cambria" w:hAnsi="Cambria"/>
                                <w:color w:val="0D0D0D"/>
                                <w:sz w:val="18"/>
                              </w:rPr>
                            </w:pPr>
                            <w:r w:rsidRPr="00E9549D">
                              <w:rPr>
                                <w:rFonts w:ascii="Cambria" w:hAnsi="Cambria"/>
                                <w:color w:val="0D0D0D"/>
                                <w:sz w:val="18"/>
                                <w:szCs w:val="20"/>
                              </w:rPr>
                              <w:t>Approved by the Commission</w:t>
                            </w:r>
                            <w:r w:rsidR="00756819">
                              <w:rPr>
                                <w:rFonts w:ascii="Cambria" w:hAnsi="Cambria"/>
                                <w:color w:val="0D0D0D"/>
                                <w:sz w:val="18"/>
                                <w:szCs w:val="20"/>
                              </w:rPr>
                              <w:t xml:space="preserve"> at its 2035 session held</w:t>
                            </w:r>
                            <w:r w:rsidRPr="00E9549D">
                              <w:rPr>
                                <w:rFonts w:ascii="Cambria" w:hAnsi="Cambria"/>
                                <w:color w:val="0D0D0D"/>
                                <w:sz w:val="18"/>
                                <w:szCs w:val="20"/>
                              </w:rPr>
                              <w:t xml:space="preserve"> on </w:t>
                            </w:r>
                            <w:r w:rsidR="004B46E0">
                              <w:rPr>
                                <w:rFonts w:ascii="Cambria" w:hAnsi="Cambria"/>
                                <w:color w:val="0D0D0D"/>
                                <w:sz w:val="18"/>
                                <w:szCs w:val="20"/>
                              </w:rPr>
                              <w:t>July 22</w:t>
                            </w:r>
                            <w:r w:rsidRPr="00E9549D">
                              <w:rPr>
                                <w:rFonts w:ascii="Cambria" w:hAnsi="Cambria"/>
                                <w:color w:val="0D0D0D"/>
                                <w:sz w:val="18"/>
                                <w:szCs w:val="20"/>
                              </w:rPr>
                              <w:t xml:space="preserve">, 2015 at its </w:t>
                            </w:r>
                            <w:r w:rsidR="004B46E0">
                              <w:rPr>
                                <w:rFonts w:ascii="Cambria" w:hAnsi="Cambria"/>
                                <w:color w:val="0D0D0D"/>
                                <w:sz w:val="18"/>
                                <w:szCs w:val="20"/>
                              </w:rPr>
                              <w:t>155</w:t>
                            </w:r>
                            <w:r w:rsidR="004B46E0" w:rsidRPr="004B46E0">
                              <w:rPr>
                                <w:rFonts w:ascii="Cambria" w:hAnsi="Cambria"/>
                                <w:color w:val="0D0D0D"/>
                                <w:sz w:val="18"/>
                                <w:szCs w:val="20"/>
                                <w:vertAlign w:val="superscript"/>
                              </w:rPr>
                              <w:t>th</w:t>
                            </w:r>
                            <w:r w:rsidR="00756819">
                              <w:rPr>
                                <w:rFonts w:ascii="Cambria" w:hAnsi="Cambria" w:cs="Univers"/>
                                <w:color w:val="0D0D0D"/>
                                <w:sz w:val="18"/>
                                <w:szCs w:val="20"/>
                              </w:rPr>
                              <w:t xml:space="preserve">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" filled="f" stroked="f" strokeweight=".5pt">
                <v:path arrowok="t"/>
                <v:textbox>
                  <w:txbxContent>
                    <w:p w:rsidR="007E50C0" w:rsidRPr="00F02DFC" w:rsidRDefault="007E50C0" w:rsidP="007E50C0">
                      <w:pPr>
                        <w:tabs>
                          <w:tab w:val="center" w:pos="5400"/>
                        </w:tabs>
                        <w:suppressAutoHyphens/>
                        <w:spacing w:before="60"/>
                        <w:rPr>
                          <w:rFonts w:ascii="Cambria" w:hAnsi="Cambria"/>
                          <w:color w:val="0D0D0D"/>
                          <w:sz w:val="18"/>
                        </w:rPr>
                      </w:pPr>
                      <w:r w:rsidRPr="00E9549D">
                        <w:rPr>
                          <w:rFonts w:ascii="Cambria" w:hAnsi="Cambria"/>
                          <w:color w:val="0D0D0D"/>
                          <w:sz w:val="18"/>
                          <w:szCs w:val="20"/>
                        </w:rPr>
                        <w:t>Approved by the Commission</w:t>
                      </w:r>
                      <w:r w:rsidR="00756819">
                        <w:rPr>
                          <w:rFonts w:ascii="Cambria" w:hAnsi="Cambria"/>
                          <w:color w:val="0D0D0D"/>
                          <w:sz w:val="18"/>
                          <w:szCs w:val="20"/>
                        </w:rPr>
                        <w:t xml:space="preserve"> at its 2035 session held</w:t>
                      </w:r>
                      <w:r w:rsidRPr="00E9549D">
                        <w:rPr>
                          <w:rFonts w:ascii="Cambria" w:hAnsi="Cambria"/>
                          <w:color w:val="0D0D0D"/>
                          <w:sz w:val="18"/>
                          <w:szCs w:val="20"/>
                        </w:rPr>
                        <w:t xml:space="preserve"> on </w:t>
                      </w:r>
                      <w:r w:rsidR="004B46E0">
                        <w:rPr>
                          <w:rFonts w:ascii="Cambria" w:hAnsi="Cambria"/>
                          <w:color w:val="0D0D0D"/>
                          <w:sz w:val="18"/>
                          <w:szCs w:val="20"/>
                        </w:rPr>
                        <w:t>July 22</w:t>
                      </w:r>
                      <w:r w:rsidRPr="00E9549D">
                        <w:rPr>
                          <w:rFonts w:ascii="Cambria" w:hAnsi="Cambria"/>
                          <w:color w:val="0D0D0D"/>
                          <w:sz w:val="18"/>
                          <w:szCs w:val="20"/>
                        </w:rPr>
                        <w:t xml:space="preserve">, 2015 at its </w:t>
                      </w:r>
                      <w:r w:rsidR="004B46E0">
                        <w:rPr>
                          <w:rFonts w:ascii="Cambria" w:hAnsi="Cambria"/>
                          <w:color w:val="0D0D0D"/>
                          <w:sz w:val="18"/>
                          <w:szCs w:val="20"/>
                        </w:rPr>
                        <w:t>155</w:t>
                      </w:r>
                      <w:r w:rsidR="004B46E0" w:rsidRPr="004B46E0">
                        <w:rPr>
                          <w:rFonts w:ascii="Cambria" w:hAnsi="Cambria"/>
                          <w:color w:val="0D0D0D"/>
                          <w:sz w:val="18"/>
                          <w:szCs w:val="20"/>
                          <w:vertAlign w:val="superscript"/>
                        </w:rPr>
                        <w:t>th</w:t>
                      </w:r>
                      <w:r w:rsidR="00756819">
                        <w:rPr>
                          <w:rFonts w:ascii="Cambria" w:hAnsi="Cambria" w:cs="Univers"/>
                          <w:color w:val="0D0D0D"/>
                          <w:sz w:val="18"/>
                          <w:szCs w:val="20"/>
                        </w:rPr>
                        <w:t xml:space="preserve"> Period of Session.</w:t>
                      </w:r>
                    </w:p>
                  </w:txbxContent>
                </v:textbox>
              </v:shape>
            </w:pict>
          </mc:Fallback>
        </mc:AlternateContent>
      </w:r>
    </w:p>
    <w:p w:rsidR="007E50C0" w:rsidRPr="00F02DFC" w:rsidRDefault="007E50C0" w:rsidP="007E50C0">
      <w:pPr>
        <w:tabs>
          <w:tab w:val="center" w:pos="5400"/>
        </w:tabs>
        <w:suppressAutoHyphens/>
        <w:jc w:val="center"/>
        <w:rPr>
          <w:rFonts w:ascii="Cambria" w:hAnsi="Cambria"/>
          <w:sz w:val="18"/>
          <w:lang w:val="es-ES_tradnl"/>
        </w:rPr>
      </w:pPr>
    </w:p>
    <w:p w:rsidR="007E50C0" w:rsidRPr="00F02DFC" w:rsidRDefault="007E50C0" w:rsidP="007E50C0">
      <w:pPr>
        <w:tabs>
          <w:tab w:val="center" w:pos="5400"/>
        </w:tabs>
        <w:suppressAutoHyphens/>
        <w:jc w:val="center"/>
        <w:rPr>
          <w:rFonts w:ascii="Cambria" w:hAnsi="Cambria"/>
          <w:sz w:val="18"/>
          <w:lang w:val="es-ES_tradnl"/>
        </w:rPr>
      </w:pPr>
    </w:p>
    <w:p w:rsidR="007E50C0" w:rsidRPr="00F02DFC" w:rsidRDefault="007E50C0" w:rsidP="007E50C0">
      <w:pPr>
        <w:tabs>
          <w:tab w:val="center" w:pos="5400"/>
        </w:tabs>
        <w:suppressAutoHyphens/>
        <w:jc w:val="center"/>
        <w:rPr>
          <w:rFonts w:ascii="Cambria" w:hAnsi="Cambria"/>
          <w:sz w:val="18"/>
          <w:lang w:val="es-ES_tradnl"/>
        </w:rPr>
      </w:pPr>
      <w:r>
        <w:rPr>
          <w:noProof/>
        </w:rPr>
        <mc:AlternateContent>
          <mc:Choice Requires="wps">
            <w:drawing>
              <wp:anchor distT="0" distB="0" distL="114300" distR="114300" simplePos="0" relativeHeight="251664384" behindDoc="0" locked="0" layoutInCell="1" allowOverlap="1" wp14:anchorId="4CAA334F" wp14:editId="387F2F5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rsidR="007E50C0" w:rsidRPr="00F02DFC" w:rsidRDefault="007E50C0" w:rsidP="007E50C0">
                            <w:pPr>
                              <w:spacing w:line="276" w:lineRule="auto"/>
                              <w:rPr>
                                <w:rFonts w:ascii="Cambria" w:hAnsi="Cambria"/>
                                <w:color w:val="595959"/>
                                <w:sz w:val="18"/>
                              </w:rPr>
                            </w:pPr>
                            <w:r w:rsidRPr="00E9549D">
                              <w:rPr>
                                <w:rFonts w:ascii="Cambria" w:hAnsi="Cambria"/>
                                <w:b/>
                                <w:color w:val="595959"/>
                                <w:sz w:val="18"/>
                              </w:rPr>
                              <w:t xml:space="preserve">Cite as: </w:t>
                            </w:r>
                            <w:r w:rsidRPr="00E9549D">
                              <w:rPr>
                                <w:rFonts w:ascii="Cambria" w:hAnsi="Cambria"/>
                                <w:color w:val="595959"/>
                                <w:sz w:val="18"/>
                              </w:rPr>
                              <w:t>IACHR, Report No</w:t>
                            </w:r>
                            <w:r w:rsidRPr="00154DD1">
                              <w:rPr>
                                <w:rFonts w:ascii="Cambria" w:hAnsi="Cambria"/>
                                <w:color w:val="595959"/>
                                <w:sz w:val="18"/>
                              </w:rPr>
                              <w:t xml:space="preserve">. </w:t>
                            </w:r>
                            <w:r w:rsidR="00EE3AFE" w:rsidRPr="00EE3AFE">
                              <w:rPr>
                                <w:rFonts w:ascii="Cambria" w:hAnsi="Cambria"/>
                                <w:color w:val="595959"/>
                                <w:sz w:val="18"/>
                              </w:rPr>
                              <w:t>31</w:t>
                            </w:r>
                            <w:r w:rsidRPr="00E9549D">
                              <w:rPr>
                                <w:rFonts w:ascii="Cambria" w:hAnsi="Cambria"/>
                                <w:color w:val="595959"/>
                                <w:sz w:val="18"/>
                              </w:rPr>
                              <w:t xml:space="preserve">/15, Petition 315-01. </w:t>
                            </w:r>
                            <w:r w:rsidRPr="00154DD1">
                              <w:rPr>
                                <w:rFonts w:ascii="Cambria" w:hAnsi="Cambria"/>
                                <w:color w:val="595959"/>
                                <w:sz w:val="18"/>
                              </w:rPr>
                              <w:t>Admissibility. Cristina Britez Arce. Argentina</w:t>
                            </w:r>
                            <w:r w:rsidRPr="00E9549D">
                              <w:rPr>
                                <w:rFonts w:ascii="Cambria" w:hAnsi="Cambria"/>
                                <w:color w:val="595959"/>
                                <w:sz w:val="18"/>
                              </w:rPr>
                              <w:t xml:space="preserve">. </w:t>
                            </w:r>
                            <w:r w:rsidR="004B46E0" w:rsidRPr="00154DD1">
                              <w:rPr>
                                <w:rFonts w:ascii="Cambria" w:hAnsi="Cambria"/>
                                <w:color w:val="595959"/>
                                <w:sz w:val="18"/>
                              </w:rPr>
                              <w:t>July 22</w:t>
                            </w:r>
                            <w:r w:rsidR="004B46E0">
                              <w:rPr>
                                <w:rFonts w:ascii="Cambria" w:hAnsi="Cambria"/>
                                <w:color w:val="0D0D0D"/>
                                <w:sz w:val="18"/>
                                <w:szCs w:val="20"/>
                              </w:rPr>
                              <w:t>,</w:t>
                            </w:r>
                            <w:r w:rsidRPr="00E9549D">
                              <w:rPr>
                                <w:rFonts w:ascii="Cambria" w:hAnsi="Cambria"/>
                                <w:color w:val="595959"/>
                                <w:sz w:val="18"/>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" filled="f" stroked="f" strokeweight=".5pt">
                <v:path arrowok="t"/>
                <v:textbox>
                  <w:txbxContent>
                    <w:p w:rsidR="007E50C0" w:rsidRPr="00F02DFC" w:rsidRDefault="007E50C0" w:rsidP="007E50C0">
                      <w:pPr>
                        <w:spacing w:line="276" w:lineRule="auto"/>
                        <w:rPr>
                          <w:rFonts w:ascii="Cambria" w:hAnsi="Cambria"/>
                          <w:color w:val="595959"/>
                          <w:sz w:val="18"/>
                        </w:rPr>
                      </w:pPr>
                      <w:r w:rsidRPr="00E9549D">
                        <w:rPr>
                          <w:rFonts w:ascii="Cambria" w:hAnsi="Cambria"/>
                          <w:b/>
                          <w:color w:val="595959"/>
                          <w:sz w:val="18"/>
                        </w:rPr>
                        <w:t xml:space="preserve">Cite as: </w:t>
                      </w:r>
                      <w:r w:rsidRPr="00E9549D">
                        <w:rPr>
                          <w:rFonts w:ascii="Cambria" w:hAnsi="Cambria"/>
                          <w:color w:val="595959"/>
                          <w:sz w:val="18"/>
                        </w:rPr>
                        <w:t>IACHR, Report No</w:t>
                      </w:r>
                      <w:r w:rsidRPr="00154DD1">
                        <w:rPr>
                          <w:rFonts w:ascii="Cambria" w:hAnsi="Cambria"/>
                          <w:color w:val="595959"/>
                          <w:sz w:val="18"/>
                        </w:rPr>
                        <w:t xml:space="preserve">. </w:t>
                      </w:r>
                      <w:r w:rsidR="00EE3AFE" w:rsidRPr="00EE3AFE">
                        <w:rPr>
                          <w:rFonts w:ascii="Cambria" w:hAnsi="Cambria"/>
                          <w:color w:val="595959"/>
                          <w:sz w:val="18"/>
                        </w:rPr>
                        <w:t>31</w:t>
                      </w:r>
                      <w:r w:rsidRPr="00E9549D">
                        <w:rPr>
                          <w:rFonts w:ascii="Cambria" w:hAnsi="Cambria"/>
                          <w:color w:val="595959"/>
                          <w:sz w:val="18"/>
                        </w:rPr>
                        <w:t xml:space="preserve">/15, Petition 315-01. </w:t>
                      </w:r>
                      <w:proofErr w:type="gramStart"/>
                      <w:r w:rsidRPr="00154DD1">
                        <w:rPr>
                          <w:rFonts w:ascii="Cambria" w:hAnsi="Cambria"/>
                          <w:color w:val="595959"/>
                          <w:sz w:val="18"/>
                        </w:rPr>
                        <w:t>Admissibility.</w:t>
                      </w:r>
                      <w:proofErr w:type="gramEnd"/>
                      <w:r w:rsidRPr="00154DD1">
                        <w:rPr>
                          <w:rFonts w:ascii="Cambria" w:hAnsi="Cambria"/>
                          <w:color w:val="595959"/>
                          <w:sz w:val="18"/>
                        </w:rPr>
                        <w:t xml:space="preserve"> Cristina </w:t>
                      </w:r>
                      <w:proofErr w:type="spellStart"/>
                      <w:r w:rsidRPr="00154DD1">
                        <w:rPr>
                          <w:rFonts w:ascii="Cambria" w:hAnsi="Cambria"/>
                          <w:color w:val="595959"/>
                          <w:sz w:val="18"/>
                        </w:rPr>
                        <w:t>Britez</w:t>
                      </w:r>
                      <w:proofErr w:type="spellEnd"/>
                      <w:r w:rsidRPr="00154DD1">
                        <w:rPr>
                          <w:rFonts w:ascii="Cambria" w:hAnsi="Cambria"/>
                          <w:color w:val="595959"/>
                          <w:sz w:val="18"/>
                        </w:rPr>
                        <w:t xml:space="preserve"> Arce. Argentina</w:t>
                      </w:r>
                      <w:r w:rsidRPr="00E9549D">
                        <w:rPr>
                          <w:rFonts w:ascii="Cambria" w:hAnsi="Cambria"/>
                          <w:color w:val="595959"/>
                          <w:sz w:val="18"/>
                        </w:rPr>
                        <w:t xml:space="preserve">. </w:t>
                      </w:r>
                      <w:r w:rsidR="004B46E0" w:rsidRPr="00154DD1">
                        <w:rPr>
                          <w:rFonts w:ascii="Cambria" w:hAnsi="Cambria"/>
                          <w:color w:val="595959"/>
                          <w:sz w:val="18"/>
                        </w:rPr>
                        <w:t>July 22</w:t>
                      </w:r>
                      <w:r w:rsidR="004B46E0">
                        <w:rPr>
                          <w:rFonts w:ascii="Cambria" w:hAnsi="Cambria"/>
                          <w:color w:val="0D0D0D"/>
                          <w:sz w:val="18"/>
                          <w:szCs w:val="20"/>
                        </w:rPr>
                        <w:t>,</w:t>
                      </w:r>
                      <w:r w:rsidRPr="00E9549D">
                        <w:rPr>
                          <w:rFonts w:ascii="Cambria" w:hAnsi="Cambria"/>
                          <w:color w:val="595959"/>
                          <w:sz w:val="18"/>
                        </w:rPr>
                        <w:t xml:space="preserve"> 2015.</w:t>
                      </w:r>
                    </w:p>
                  </w:txbxContent>
                </v:textbox>
              </v:shape>
            </w:pict>
          </mc:Fallback>
        </mc:AlternateContent>
      </w:r>
    </w:p>
    <w:p w:rsidR="007E50C0" w:rsidRPr="00F02DFC" w:rsidRDefault="007E50C0" w:rsidP="007E50C0">
      <w:pPr>
        <w:tabs>
          <w:tab w:val="center" w:pos="5400"/>
        </w:tabs>
        <w:suppressAutoHyphens/>
        <w:jc w:val="center"/>
        <w:rPr>
          <w:rFonts w:ascii="Cambria" w:hAnsi="Cambria"/>
          <w:sz w:val="18"/>
          <w:lang w:val="es-ES_tradnl"/>
        </w:rPr>
      </w:pPr>
    </w:p>
    <w:p w:rsidR="007E50C0" w:rsidRDefault="007E50C0" w:rsidP="007E50C0">
      <w:pPr>
        <w:tabs>
          <w:tab w:val="center" w:pos="5400"/>
        </w:tabs>
        <w:suppressAutoHyphens/>
        <w:rPr>
          <w:rFonts w:ascii="Cambria" w:hAnsi="Cambria"/>
          <w:sz w:val="18"/>
        </w:rPr>
      </w:pPr>
      <w:r>
        <w:rPr>
          <w:noProof/>
        </w:rPr>
        <mc:AlternateContent>
          <mc:Choice Requires="wps">
            <w:drawing>
              <wp:anchor distT="0" distB="0" distL="114300" distR="114300" simplePos="0" relativeHeight="251666432" behindDoc="0" locked="0" layoutInCell="1" allowOverlap="1" wp14:anchorId="36B20555" wp14:editId="6683653E">
                <wp:simplePos x="0" y="0"/>
                <wp:positionH relativeFrom="column">
                  <wp:posOffset>-299085</wp:posOffset>
                </wp:positionH>
                <wp:positionV relativeFrom="paragraph">
                  <wp:posOffset>859155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7E50C0" w:rsidRPr="00F02DFC" w:rsidRDefault="007E50C0" w:rsidP="007E50C0">
                            <w:pPr>
                              <w:jc w:val="center"/>
                              <w:rPr>
                                <w:b/>
                                <w:color w:val="FFFFFF"/>
                              </w:rPr>
                            </w:pPr>
                            <w:r w:rsidRPr="00F02DFC">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" filled="f" stroked="f" strokeweight=".5pt">
                <v:path arrowok="t"/>
                <v:textbox>
                  <w:txbxContent>
                    <w:p w:rsidR="007E50C0" w:rsidRPr="00F02DFC" w:rsidRDefault="007E50C0" w:rsidP="007E50C0">
                      <w:pPr>
                        <w:jc w:val="center"/>
                        <w:rPr>
                          <w:b/>
                          <w:color w:val="FFFFFF"/>
                        </w:rPr>
                      </w:pPr>
                      <w:r w:rsidRPr="00F02DFC">
                        <w:rPr>
                          <w:b/>
                          <w:color w:val="FFFFFF"/>
                          <w:lang w:val="pt-BR"/>
                        </w:rPr>
                        <w:t>www.cidh.org</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9CFF3C8" wp14:editId="19C82DF4">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rsidR="007E50C0" w:rsidRDefault="007E50C0" w:rsidP="007E50C0">
                            <w:r>
                              <w:rPr>
                                <w:noProof/>
                              </w:rPr>
                              <w:drawing>
                                <wp:inline distT="0" distB="0" distL="0" distR="0" wp14:anchorId="20719FD3" wp14:editId="420D35A6">
                                  <wp:extent cx="1121410" cy="381635"/>
                                  <wp:effectExtent l="0" t="0" r="2540" b="0"/>
                                  <wp:docPr id="1" name="Picture 1"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a-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1410" cy="3816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95.15pt;margin-top:56.9pt;width:16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" fillcolor="window" stroked="f" strokeweight=".5pt">
                <v:path arrowok="t"/>
                <v:textbox>
                  <w:txbxContent>
                    <w:p w:rsidR="007E50C0" w:rsidRDefault="007E50C0" w:rsidP="007E50C0">
                      <w:r>
                        <w:rPr>
                          <w:noProof/>
                        </w:rPr>
                        <w:drawing>
                          <wp:inline distT="0" distB="0" distL="0" distR="0" wp14:anchorId="20719FD3" wp14:editId="420D35A6">
                            <wp:extent cx="1121410" cy="381635"/>
                            <wp:effectExtent l="0" t="0" r="2540" b="0"/>
                            <wp:docPr id="1" name="Picture 1"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a-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1410" cy="381635"/>
                                    </a:xfrm>
                                    <a:prstGeom prst="rect">
                                      <a:avLst/>
                                    </a:prstGeom>
                                    <a:noFill/>
                                    <a:ln>
                                      <a:noFill/>
                                    </a:ln>
                                  </pic:spPr>
                                </pic:pic>
                              </a:graphicData>
                            </a:graphic>
                          </wp:inline>
                        </w:drawing>
                      </w:r>
                    </w:p>
                  </w:txbxContent>
                </v:textbox>
              </v:shape>
            </w:pict>
          </mc:Fallback>
        </mc:AlternateContent>
      </w:r>
    </w:p>
    <w:p w:rsidR="007E50C0" w:rsidRPr="007E50C0" w:rsidRDefault="007E50C0" w:rsidP="007E50C0">
      <w:pPr>
        <w:tabs>
          <w:tab w:val="center" w:pos="5400"/>
        </w:tabs>
        <w:suppressAutoHyphens/>
        <w:rPr>
          <w:rFonts w:ascii="Cambria" w:hAnsi="Cambria"/>
          <w:sz w:val="18"/>
        </w:rPr>
      </w:pPr>
    </w:p>
    <w:p w:rsidR="00C431B7" w:rsidRPr="001E4C94" w:rsidRDefault="00C431B7">
      <w:pPr>
        <w:spacing w:after="0"/>
        <w:rPr>
          <w:rFonts w:ascii="Cambria" w:hAnsi="Cambria"/>
          <w:b/>
          <w:sz w:val="20"/>
          <w:szCs w:val="20"/>
        </w:rPr>
      </w:pPr>
    </w:p>
    <w:p w:rsidR="007E50C0" w:rsidRDefault="007E50C0" w:rsidP="005758BA">
      <w:pPr>
        <w:spacing w:after="0"/>
        <w:jc w:val="center"/>
        <w:rPr>
          <w:rFonts w:asciiTheme="majorHAnsi" w:hAnsiTheme="majorHAnsi"/>
          <w:b/>
          <w:sz w:val="18"/>
          <w:szCs w:val="18"/>
        </w:rPr>
      </w:pPr>
    </w:p>
    <w:p w:rsidR="006E4093" w:rsidRDefault="006E4093" w:rsidP="005758BA">
      <w:pPr>
        <w:spacing w:after="0"/>
        <w:jc w:val="center"/>
        <w:rPr>
          <w:rFonts w:asciiTheme="majorHAnsi" w:hAnsiTheme="majorHAnsi"/>
          <w:b/>
          <w:sz w:val="18"/>
          <w:szCs w:val="18"/>
        </w:rPr>
      </w:pPr>
    </w:p>
    <w:p w:rsidR="00795F8C" w:rsidRPr="001E4C94" w:rsidRDefault="009324AE" w:rsidP="005758BA">
      <w:pPr>
        <w:spacing w:after="0"/>
        <w:jc w:val="center"/>
        <w:rPr>
          <w:rFonts w:asciiTheme="majorHAnsi" w:hAnsiTheme="majorHAnsi"/>
          <w:sz w:val="18"/>
          <w:szCs w:val="18"/>
        </w:rPr>
      </w:pPr>
      <w:r w:rsidRPr="001E4C94">
        <w:rPr>
          <w:rFonts w:asciiTheme="majorHAnsi" w:hAnsiTheme="majorHAnsi"/>
          <w:b/>
          <w:sz w:val="18"/>
          <w:szCs w:val="18"/>
        </w:rPr>
        <w:lastRenderedPageBreak/>
        <w:t>REPORT</w:t>
      </w:r>
      <w:r w:rsidR="00727583" w:rsidRPr="001E4C94">
        <w:rPr>
          <w:rFonts w:asciiTheme="majorHAnsi" w:hAnsiTheme="majorHAnsi"/>
          <w:b/>
          <w:sz w:val="18"/>
          <w:szCs w:val="18"/>
        </w:rPr>
        <w:t xml:space="preserve"> No. </w:t>
      </w:r>
      <w:r w:rsidR="00022AA6">
        <w:rPr>
          <w:rFonts w:asciiTheme="majorHAnsi" w:hAnsiTheme="majorHAnsi"/>
          <w:b/>
          <w:sz w:val="18"/>
          <w:szCs w:val="18"/>
        </w:rPr>
        <w:t>31</w:t>
      </w:r>
      <w:r w:rsidR="00727583" w:rsidRPr="001E4C94">
        <w:rPr>
          <w:rFonts w:asciiTheme="majorHAnsi" w:hAnsiTheme="majorHAnsi"/>
          <w:b/>
          <w:sz w:val="18"/>
          <w:szCs w:val="18"/>
        </w:rPr>
        <w:t xml:space="preserve">/15 </w:t>
      </w:r>
      <w:r w:rsidR="00795F8C" w:rsidRPr="001E4C94">
        <w:rPr>
          <w:rFonts w:asciiTheme="majorHAnsi" w:hAnsiTheme="majorHAnsi"/>
          <w:b/>
          <w:sz w:val="18"/>
          <w:szCs w:val="18"/>
        </w:rPr>
        <w:br/>
        <w:t>CAS</w:t>
      </w:r>
      <w:r w:rsidRPr="001E4C94">
        <w:rPr>
          <w:rFonts w:asciiTheme="majorHAnsi" w:hAnsiTheme="majorHAnsi"/>
          <w:b/>
          <w:sz w:val="18"/>
          <w:szCs w:val="18"/>
        </w:rPr>
        <w:t>E</w:t>
      </w:r>
      <w:r w:rsidR="00795F8C" w:rsidRPr="001E4C94">
        <w:rPr>
          <w:rFonts w:asciiTheme="majorHAnsi" w:hAnsiTheme="majorHAnsi"/>
          <w:b/>
          <w:sz w:val="18"/>
          <w:szCs w:val="18"/>
        </w:rPr>
        <w:t xml:space="preserve"> 10.522</w:t>
      </w:r>
      <w:r w:rsidR="00727583" w:rsidRPr="001E4C94">
        <w:rPr>
          <w:rFonts w:asciiTheme="majorHAnsi" w:hAnsiTheme="majorHAnsi"/>
          <w:sz w:val="18"/>
          <w:szCs w:val="18"/>
        </w:rPr>
        <w:t xml:space="preserve"> </w:t>
      </w:r>
      <w:r w:rsidR="00795F8C" w:rsidRPr="001E4C94">
        <w:rPr>
          <w:rFonts w:asciiTheme="majorHAnsi" w:hAnsiTheme="majorHAnsi"/>
          <w:sz w:val="18"/>
          <w:szCs w:val="18"/>
        </w:rPr>
        <w:br/>
      </w:r>
      <w:r w:rsidRPr="001E4C94">
        <w:rPr>
          <w:rFonts w:asciiTheme="majorHAnsi" w:hAnsiTheme="majorHAnsi"/>
          <w:sz w:val="18"/>
          <w:szCs w:val="18"/>
        </w:rPr>
        <w:t>ADMISSIBILITY REPORT</w:t>
      </w:r>
      <w:r w:rsidR="00727583" w:rsidRPr="001E4C94">
        <w:rPr>
          <w:rFonts w:asciiTheme="majorHAnsi" w:hAnsiTheme="majorHAnsi"/>
          <w:sz w:val="18"/>
          <w:szCs w:val="18"/>
        </w:rPr>
        <w:t xml:space="preserve"> </w:t>
      </w:r>
      <w:r w:rsidR="00795F8C" w:rsidRPr="001E4C94">
        <w:rPr>
          <w:rFonts w:asciiTheme="majorHAnsi" w:hAnsiTheme="majorHAnsi"/>
          <w:sz w:val="18"/>
          <w:szCs w:val="18"/>
        </w:rPr>
        <w:br/>
        <w:t>JUAN FERNÁND</w:t>
      </w:r>
      <w:r w:rsidR="001F490A" w:rsidRPr="001E4C94">
        <w:rPr>
          <w:rFonts w:asciiTheme="majorHAnsi" w:hAnsiTheme="majorHAnsi"/>
          <w:sz w:val="18"/>
          <w:szCs w:val="18"/>
        </w:rPr>
        <w:t>O</w:t>
      </w:r>
      <w:r w:rsidR="00795F8C" w:rsidRPr="001E4C94">
        <w:rPr>
          <w:rFonts w:asciiTheme="majorHAnsi" w:hAnsiTheme="majorHAnsi"/>
          <w:sz w:val="18"/>
          <w:szCs w:val="18"/>
        </w:rPr>
        <w:t xml:space="preserve"> PORRAS MARTÍNEZ </w:t>
      </w:r>
      <w:r w:rsidR="00795F8C" w:rsidRPr="001E4C94">
        <w:rPr>
          <w:rFonts w:asciiTheme="majorHAnsi" w:hAnsiTheme="majorHAnsi"/>
          <w:sz w:val="18"/>
          <w:szCs w:val="18"/>
        </w:rPr>
        <w:br/>
      </w:r>
      <w:r w:rsidR="00727583" w:rsidRPr="001E4C94">
        <w:rPr>
          <w:rFonts w:asciiTheme="majorHAnsi" w:hAnsiTheme="majorHAnsi"/>
          <w:sz w:val="18"/>
          <w:szCs w:val="18"/>
        </w:rPr>
        <w:t xml:space="preserve">COLOMBIA </w:t>
      </w:r>
      <w:r w:rsidR="00795F8C" w:rsidRPr="001E4C94">
        <w:rPr>
          <w:rFonts w:asciiTheme="majorHAnsi" w:hAnsiTheme="majorHAnsi"/>
          <w:sz w:val="18"/>
          <w:szCs w:val="18"/>
        </w:rPr>
        <w:br/>
      </w:r>
      <w:r w:rsidR="009F7BA8">
        <w:rPr>
          <w:rFonts w:asciiTheme="majorHAnsi" w:hAnsiTheme="majorHAnsi"/>
          <w:sz w:val="18"/>
          <w:szCs w:val="18"/>
        </w:rPr>
        <w:t>JULY 22, 2015</w:t>
      </w:r>
    </w:p>
    <w:p w:rsidR="00795F8C" w:rsidRPr="001E4C94" w:rsidRDefault="00795F8C" w:rsidP="005758BA">
      <w:pPr>
        <w:spacing w:after="0"/>
        <w:ind w:firstLine="720"/>
        <w:jc w:val="both"/>
        <w:rPr>
          <w:rFonts w:asciiTheme="majorHAnsi" w:hAnsiTheme="majorHAnsi"/>
          <w:sz w:val="20"/>
          <w:szCs w:val="20"/>
        </w:rPr>
      </w:pPr>
    </w:p>
    <w:p w:rsidR="00FA4E31" w:rsidRPr="001E4C94" w:rsidRDefault="00FA4E31" w:rsidP="005758BA">
      <w:pPr>
        <w:spacing w:after="0"/>
        <w:ind w:firstLine="720"/>
        <w:jc w:val="both"/>
        <w:rPr>
          <w:rFonts w:asciiTheme="majorHAnsi" w:hAnsiTheme="majorHAnsi"/>
          <w:sz w:val="20"/>
          <w:szCs w:val="20"/>
        </w:rPr>
      </w:pPr>
    </w:p>
    <w:p w:rsidR="006F487B" w:rsidRPr="001E4C94" w:rsidRDefault="009324AE" w:rsidP="006E4093">
      <w:pPr>
        <w:pStyle w:val="Heading1"/>
        <w:jc w:val="both"/>
        <w:rPr>
          <w:lang w:val="en-US"/>
        </w:rPr>
      </w:pPr>
      <w:r w:rsidRPr="001E4C94">
        <w:rPr>
          <w:lang w:val="en-US"/>
        </w:rPr>
        <w:t>SUMMARY</w:t>
      </w:r>
    </w:p>
    <w:p w:rsidR="005758BA" w:rsidRPr="001E4C94" w:rsidRDefault="005758BA" w:rsidP="006E4093">
      <w:pPr>
        <w:spacing w:after="0"/>
        <w:jc w:val="both"/>
        <w:rPr>
          <w:rFonts w:asciiTheme="majorHAnsi" w:hAnsiTheme="majorHAnsi"/>
          <w:b/>
          <w:sz w:val="20"/>
          <w:szCs w:val="20"/>
        </w:rPr>
      </w:pPr>
    </w:p>
    <w:p w:rsidR="006F487B" w:rsidRPr="001E4C94" w:rsidRDefault="009324AE"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On March 2, 1990, the Inter-American Commission on H</w:t>
      </w:r>
      <w:r w:rsidR="00F53ADC" w:rsidRPr="001E4C94">
        <w:rPr>
          <w:rFonts w:asciiTheme="majorHAnsi" w:hAnsiTheme="majorHAnsi"/>
          <w:sz w:val="20"/>
          <w:szCs w:val="20"/>
        </w:rPr>
        <w:t>uman Rights (hereinafter, “the C</w:t>
      </w:r>
      <w:r w:rsidRPr="001E4C94">
        <w:rPr>
          <w:rFonts w:asciiTheme="majorHAnsi" w:hAnsiTheme="majorHAnsi"/>
          <w:sz w:val="20"/>
          <w:szCs w:val="20"/>
        </w:rPr>
        <w:t xml:space="preserve">ommission” or “the IACHR”) received information </w:t>
      </w:r>
      <w:r w:rsidR="00D05260" w:rsidRPr="001E4C94">
        <w:rPr>
          <w:rFonts w:asciiTheme="majorHAnsi" w:hAnsiTheme="majorHAnsi"/>
          <w:sz w:val="20"/>
          <w:szCs w:val="20"/>
        </w:rPr>
        <w:t>via</w:t>
      </w:r>
      <w:r w:rsidRPr="001E4C94">
        <w:rPr>
          <w:rFonts w:asciiTheme="majorHAnsi" w:hAnsiTheme="majorHAnsi"/>
          <w:sz w:val="20"/>
          <w:szCs w:val="20"/>
        </w:rPr>
        <w:t xml:space="preserve"> a note dated February 14 of that year, sent by </w:t>
      </w:r>
      <w:r w:rsidR="00F53ADC" w:rsidRPr="001E4C94">
        <w:rPr>
          <w:rFonts w:asciiTheme="majorHAnsi" w:hAnsiTheme="majorHAnsi"/>
          <w:sz w:val="20"/>
          <w:szCs w:val="20"/>
        </w:rPr>
        <w:t xml:space="preserve">the </w:t>
      </w:r>
      <w:r w:rsidR="00F32A2E" w:rsidRPr="001E4C94">
        <w:rPr>
          <w:rFonts w:asciiTheme="majorHAnsi" w:hAnsiTheme="majorHAnsi"/>
          <w:i/>
          <w:sz w:val="20"/>
          <w:szCs w:val="20"/>
        </w:rPr>
        <w:t>Corporación Colectivo de Abogados</w:t>
      </w:r>
      <w:r w:rsidRPr="001E4C94">
        <w:rPr>
          <w:rFonts w:asciiTheme="majorHAnsi" w:hAnsiTheme="majorHAnsi"/>
          <w:sz w:val="20"/>
          <w:szCs w:val="20"/>
        </w:rPr>
        <w:t xml:space="preserve">, and subsequently, by the </w:t>
      </w:r>
      <w:r w:rsidR="007E3F9D" w:rsidRPr="001E4C94">
        <w:rPr>
          <w:rFonts w:asciiTheme="majorHAnsi" w:hAnsiTheme="majorHAnsi"/>
          <w:i/>
          <w:sz w:val="20"/>
          <w:szCs w:val="20"/>
        </w:rPr>
        <w:t>Comité de Solidaridad con los Presos Políticos</w:t>
      </w:r>
      <w:r w:rsidR="007E3F9D" w:rsidRPr="001E4C94">
        <w:rPr>
          <w:rFonts w:asciiTheme="majorHAnsi" w:hAnsiTheme="majorHAnsi"/>
          <w:sz w:val="20"/>
          <w:szCs w:val="20"/>
        </w:rPr>
        <w:t xml:space="preserve"> </w:t>
      </w:r>
      <w:r w:rsidR="00795F8C" w:rsidRPr="001E4C94">
        <w:rPr>
          <w:rFonts w:asciiTheme="majorHAnsi" w:hAnsiTheme="majorHAnsi"/>
          <w:sz w:val="20"/>
          <w:szCs w:val="20"/>
        </w:rPr>
        <w:t>(</w:t>
      </w:r>
      <w:r w:rsidRPr="001E4C94">
        <w:rPr>
          <w:rFonts w:asciiTheme="majorHAnsi" w:hAnsiTheme="majorHAnsi"/>
          <w:sz w:val="20"/>
          <w:szCs w:val="20"/>
        </w:rPr>
        <w:t>hereinafter, “the petitioners”),</w:t>
      </w:r>
      <w:r w:rsidR="00BE77E0" w:rsidRPr="001E4C94">
        <w:rPr>
          <w:rStyle w:val="FootnoteReference"/>
          <w:rFonts w:asciiTheme="majorHAnsi" w:hAnsiTheme="majorHAnsi"/>
          <w:sz w:val="20"/>
          <w:szCs w:val="20"/>
        </w:rPr>
        <w:footnoteReference w:id="1"/>
      </w:r>
      <w:r w:rsidR="001D3626" w:rsidRPr="001E4C94">
        <w:rPr>
          <w:rFonts w:asciiTheme="majorHAnsi" w:hAnsiTheme="majorHAnsi"/>
          <w:sz w:val="20"/>
          <w:szCs w:val="20"/>
        </w:rPr>
        <w:t xml:space="preserve"> </w:t>
      </w:r>
      <w:r w:rsidRPr="001E4C94">
        <w:rPr>
          <w:rFonts w:asciiTheme="majorHAnsi" w:hAnsiTheme="majorHAnsi"/>
          <w:sz w:val="20"/>
          <w:szCs w:val="20"/>
        </w:rPr>
        <w:t xml:space="preserve">regarding the alleged responsibility of the Republic of Colombia (hereinafter, “the State” or “Colombia”) </w:t>
      </w:r>
      <w:r w:rsidR="00D05260" w:rsidRPr="001E4C94">
        <w:rPr>
          <w:rFonts w:asciiTheme="majorHAnsi" w:hAnsiTheme="majorHAnsi"/>
          <w:sz w:val="20"/>
          <w:szCs w:val="20"/>
        </w:rPr>
        <w:t>for</w:t>
      </w:r>
      <w:r w:rsidRPr="001E4C94">
        <w:rPr>
          <w:rFonts w:asciiTheme="majorHAnsi" w:hAnsiTheme="majorHAnsi"/>
          <w:sz w:val="20"/>
          <w:szCs w:val="20"/>
        </w:rPr>
        <w:t xml:space="preserve"> the forced disappearance and torture of </w:t>
      </w:r>
      <w:r w:rsidR="001D3626" w:rsidRPr="001E4C94">
        <w:rPr>
          <w:rFonts w:asciiTheme="majorHAnsi" w:hAnsiTheme="majorHAnsi"/>
          <w:sz w:val="20"/>
          <w:szCs w:val="20"/>
        </w:rPr>
        <w:t xml:space="preserve">Juan </w:t>
      </w:r>
      <w:r w:rsidR="001F490A" w:rsidRPr="001E4C94">
        <w:rPr>
          <w:rFonts w:asciiTheme="majorHAnsi" w:hAnsiTheme="majorHAnsi"/>
          <w:sz w:val="20"/>
          <w:szCs w:val="20"/>
        </w:rPr>
        <w:t xml:space="preserve">Fernando </w:t>
      </w:r>
      <w:r w:rsidR="001D3626" w:rsidRPr="001E4C94">
        <w:rPr>
          <w:rFonts w:asciiTheme="majorHAnsi" w:hAnsiTheme="majorHAnsi"/>
          <w:sz w:val="20"/>
          <w:szCs w:val="20"/>
        </w:rPr>
        <w:t>Porras Martínez (</w:t>
      </w:r>
      <w:r w:rsidRPr="001E4C94">
        <w:rPr>
          <w:rFonts w:asciiTheme="majorHAnsi" w:hAnsiTheme="majorHAnsi"/>
          <w:sz w:val="20"/>
          <w:szCs w:val="20"/>
        </w:rPr>
        <w:t>hereinafter, “the alleged victim”), which p</w:t>
      </w:r>
      <w:r w:rsidR="00F53ADC" w:rsidRPr="001E4C94">
        <w:rPr>
          <w:rFonts w:asciiTheme="majorHAnsi" w:hAnsiTheme="majorHAnsi"/>
          <w:sz w:val="20"/>
          <w:szCs w:val="20"/>
        </w:rPr>
        <w:t>urportedly</w:t>
      </w:r>
      <w:r w:rsidRPr="001E4C94">
        <w:rPr>
          <w:rFonts w:asciiTheme="majorHAnsi" w:hAnsiTheme="majorHAnsi"/>
          <w:sz w:val="20"/>
          <w:szCs w:val="20"/>
        </w:rPr>
        <w:t xml:space="preserve"> </w:t>
      </w:r>
      <w:r w:rsidR="008C0889" w:rsidRPr="001E4C94">
        <w:rPr>
          <w:rFonts w:asciiTheme="majorHAnsi" w:hAnsiTheme="majorHAnsi"/>
          <w:sz w:val="20"/>
          <w:szCs w:val="20"/>
        </w:rPr>
        <w:t>occurred</w:t>
      </w:r>
      <w:r w:rsidRPr="001E4C94">
        <w:rPr>
          <w:rFonts w:asciiTheme="majorHAnsi" w:hAnsiTheme="majorHAnsi"/>
          <w:sz w:val="20"/>
          <w:szCs w:val="20"/>
        </w:rPr>
        <w:t xml:space="preserve"> on February 5, </w:t>
      </w:r>
      <w:r w:rsidR="001D3626" w:rsidRPr="001E4C94">
        <w:rPr>
          <w:rFonts w:asciiTheme="majorHAnsi" w:hAnsiTheme="majorHAnsi"/>
          <w:sz w:val="20"/>
          <w:szCs w:val="20"/>
        </w:rPr>
        <w:t>1990</w:t>
      </w:r>
      <w:r w:rsidR="00F64074" w:rsidRPr="001E4C94">
        <w:rPr>
          <w:rFonts w:asciiTheme="majorHAnsi" w:hAnsiTheme="majorHAnsi"/>
          <w:sz w:val="20"/>
          <w:szCs w:val="20"/>
        </w:rPr>
        <w:t xml:space="preserve"> </w:t>
      </w:r>
      <w:r w:rsidRPr="001E4C94">
        <w:rPr>
          <w:rFonts w:asciiTheme="majorHAnsi" w:hAnsiTheme="majorHAnsi"/>
          <w:sz w:val="20"/>
          <w:szCs w:val="20"/>
        </w:rPr>
        <w:t xml:space="preserve">in the Department of </w:t>
      </w:r>
      <w:r w:rsidR="00F64074" w:rsidRPr="001E4C94">
        <w:rPr>
          <w:rFonts w:asciiTheme="majorHAnsi" w:hAnsiTheme="majorHAnsi"/>
          <w:sz w:val="20"/>
          <w:szCs w:val="20"/>
        </w:rPr>
        <w:t>Santander</w:t>
      </w:r>
      <w:r w:rsidR="001D3626" w:rsidRPr="001E4C94">
        <w:rPr>
          <w:rFonts w:asciiTheme="majorHAnsi" w:hAnsiTheme="majorHAnsi"/>
          <w:sz w:val="20"/>
          <w:szCs w:val="20"/>
        </w:rPr>
        <w:t xml:space="preserve">. </w:t>
      </w:r>
      <w:r w:rsidRPr="001E4C94">
        <w:rPr>
          <w:rFonts w:asciiTheme="majorHAnsi" w:hAnsiTheme="majorHAnsi"/>
          <w:sz w:val="20"/>
          <w:szCs w:val="20"/>
        </w:rPr>
        <w:t xml:space="preserve">The petitioners </w:t>
      </w:r>
      <w:r w:rsidR="007E50C0">
        <w:rPr>
          <w:rFonts w:asciiTheme="majorHAnsi" w:hAnsiTheme="majorHAnsi"/>
          <w:sz w:val="20"/>
          <w:szCs w:val="20"/>
        </w:rPr>
        <w:t>allege</w:t>
      </w:r>
      <w:r w:rsidR="0041061D" w:rsidRPr="001E4C94">
        <w:rPr>
          <w:rFonts w:asciiTheme="majorHAnsi" w:hAnsiTheme="majorHAnsi"/>
          <w:sz w:val="20"/>
          <w:szCs w:val="20"/>
        </w:rPr>
        <w:t xml:space="preserve"> </w:t>
      </w:r>
      <w:r w:rsidRPr="001E4C94">
        <w:rPr>
          <w:rFonts w:asciiTheme="majorHAnsi" w:hAnsiTheme="majorHAnsi"/>
          <w:sz w:val="20"/>
          <w:szCs w:val="20"/>
        </w:rPr>
        <w:t xml:space="preserve">that the State is </w:t>
      </w:r>
      <w:r w:rsidR="008C0889" w:rsidRPr="001E4C94">
        <w:rPr>
          <w:rFonts w:asciiTheme="majorHAnsi" w:hAnsiTheme="majorHAnsi"/>
          <w:sz w:val="20"/>
          <w:szCs w:val="20"/>
        </w:rPr>
        <w:t>responsible</w:t>
      </w:r>
      <w:r w:rsidRPr="001E4C94">
        <w:rPr>
          <w:rFonts w:asciiTheme="majorHAnsi" w:hAnsiTheme="majorHAnsi"/>
          <w:sz w:val="20"/>
          <w:szCs w:val="20"/>
        </w:rPr>
        <w:t xml:space="preserve"> for the violation of </w:t>
      </w:r>
      <w:r w:rsidR="007E50C0">
        <w:rPr>
          <w:rFonts w:asciiTheme="majorHAnsi" w:hAnsiTheme="majorHAnsi"/>
          <w:sz w:val="20"/>
          <w:szCs w:val="20"/>
        </w:rPr>
        <w:t>a</w:t>
      </w:r>
      <w:r w:rsidRPr="001E4C94">
        <w:rPr>
          <w:rFonts w:asciiTheme="majorHAnsi" w:hAnsiTheme="majorHAnsi"/>
          <w:sz w:val="20"/>
          <w:szCs w:val="20"/>
        </w:rPr>
        <w:t xml:space="preserve">rticles </w:t>
      </w:r>
      <w:r w:rsidR="00F64074" w:rsidRPr="001E4C94">
        <w:rPr>
          <w:rFonts w:asciiTheme="majorHAnsi" w:hAnsiTheme="majorHAnsi"/>
          <w:sz w:val="20"/>
          <w:szCs w:val="20"/>
        </w:rPr>
        <w:t>3, 4, 5, 7, 8</w:t>
      </w:r>
      <w:r w:rsidR="00361E4D" w:rsidRPr="001E4C94">
        <w:rPr>
          <w:rFonts w:asciiTheme="majorHAnsi" w:hAnsiTheme="majorHAnsi"/>
          <w:sz w:val="20"/>
          <w:szCs w:val="20"/>
        </w:rPr>
        <w:t>, and</w:t>
      </w:r>
      <w:r w:rsidR="00F64074" w:rsidRPr="001E4C94">
        <w:rPr>
          <w:rFonts w:asciiTheme="majorHAnsi" w:hAnsiTheme="majorHAnsi"/>
          <w:sz w:val="20"/>
          <w:szCs w:val="20"/>
        </w:rPr>
        <w:t xml:space="preserve"> 25 </w:t>
      </w:r>
      <w:r w:rsidR="00361E4D" w:rsidRPr="001E4C94">
        <w:rPr>
          <w:rFonts w:asciiTheme="majorHAnsi" w:hAnsiTheme="majorHAnsi"/>
          <w:sz w:val="20"/>
          <w:szCs w:val="20"/>
        </w:rPr>
        <w:t>of the American Convention on Human Rights (hereinafter, “the Convention” or “</w:t>
      </w:r>
      <w:r w:rsidR="0041061D" w:rsidRPr="001E4C94">
        <w:rPr>
          <w:rFonts w:asciiTheme="majorHAnsi" w:hAnsiTheme="majorHAnsi"/>
          <w:sz w:val="20"/>
          <w:szCs w:val="20"/>
        </w:rPr>
        <w:t xml:space="preserve">the </w:t>
      </w:r>
      <w:r w:rsidR="00361E4D" w:rsidRPr="001E4C94">
        <w:rPr>
          <w:rFonts w:asciiTheme="majorHAnsi" w:hAnsiTheme="majorHAnsi"/>
          <w:sz w:val="20"/>
          <w:szCs w:val="20"/>
        </w:rPr>
        <w:t>American Convention”), a</w:t>
      </w:r>
      <w:r w:rsidR="007E50C0">
        <w:rPr>
          <w:rFonts w:asciiTheme="majorHAnsi" w:hAnsiTheme="majorHAnsi"/>
          <w:sz w:val="20"/>
          <w:szCs w:val="20"/>
        </w:rPr>
        <w:t xml:space="preserve">s well as </w:t>
      </w:r>
      <w:r w:rsidR="00F478F6">
        <w:rPr>
          <w:rFonts w:asciiTheme="majorHAnsi" w:hAnsiTheme="majorHAnsi"/>
          <w:sz w:val="20"/>
          <w:szCs w:val="20"/>
        </w:rPr>
        <w:t>certain</w:t>
      </w:r>
      <w:r w:rsidR="0041061D" w:rsidRPr="001E4C94">
        <w:rPr>
          <w:rFonts w:asciiTheme="majorHAnsi" w:hAnsiTheme="majorHAnsi"/>
          <w:sz w:val="20"/>
          <w:szCs w:val="20"/>
        </w:rPr>
        <w:t xml:space="preserve"> </w:t>
      </w:r>
      <w:r w:rsidR="00361E4D" w:rsidRPr="001E4C94">
        <w:rPr>
          <w:rFonts w:asciiTheme="majorHAnsi" w:hAnsiTheme="majorHAnsi"/>
          <w:sz w:val="20"/>
          <w:szCs w:val="20"/>
        </w:rPr>
        <w:t>provisions of the Inter-American Convention on Forced Disappearance of Persons and the Inter-American Convention to Prevent and Punish Torture.</w:t>
      </w:r>
    </w:p>
    <w:p w:rsidR="005758BA" w:rsidRPr="001E4C94" w:rsidRDefault="005758BA" w:rsidP="006E4093">
      <w:pPr>
        <w:spacing w:after="0"/>
        <w:jc w:val="both"/>
        <w:rPr>
          <w:rFonts w:asciiTheme="majorHAnsi" w:hAnsiTheme="majorHAnsi"/>
          <w:sz w:val="20"/>
          <w:szCs w:val="20"/>
        </w:rPr>
      </w:pPr>
    </w:p>
    <w:p w:rsidR="006F487B" w:rsidRPr="001E4C94" w:rsidRDefault="00361E4D"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The State </w:t>
      </w:r>
      <w:r w:rsidR="0041061D" w:rsidRPr="001E4C94">
        <w:rPr>
          <w:rFonts w:asciiTheme="majorHAnsi" w:hAnsiTheme="majorHAnsi"/>
          <w:sz w:val="20"/>
          <w:szCs w:val="20"/>
        </w:rPr>
        <w:t>contends</w:t>
      </w:r>
      <w:r w:rsidRPr="001E4C94">
        <w:rPr>
          <w:rFonts w:asciiTheme="majorHAnsi" w:hAnsiTheme="majorHAnsi"/>
          <w:sz w:val="20"/>
          <w:szCs w:val="20"/>
        </w:rPr>
        <w:t xml:space="preserve"> that the IACHR should declare this petition </w:t>
      </w:r>
      <w:r w:rsidR="008C0889" w:rsidRPr="001E4C94">
        <w:rPr>
          <w:rFonts w:asciiTheme="majorHAnsi" w:hAnsiTheme="majorHAnsi"/>
          <w:sz w:val="20"/>
          <w:szCs w:val="20"/>
        </w:rPr>
        <w:t>inadmissible</w:t>
      </w:r>
      <w:r w:rsidRPr="001E4C94">
        <w:rPr>
          <w:rFonts w:asciiTheme="majorHAnsi" w:hAnsiTheme="majorHAnsi"/>
          <w:sz w:val="20"/>
          <w:szCs w:val="20"/>
        </w:rPr>
        <w:t xml:space="preserve"> given that the facts presented therein do not constitute violations of human rights enshrined in the American Convention and other international conventions specified by the petitioners</w:t>
      </w:r>
      <w:r w:rsidR="00D05260" w:rsidRPr="001E4C94">
        <w:rPr>
          <w:rFonts w:asciiTheme="majorHAnsi" w:hAnsiTheme="majorHAnsi"/>
          <w:sz w:val="20"/>
          <w:szCs w:val="20"/>
        </w:rPr>
        <w:t>,</w:t>
      </w:r>
      <w:r w:rsidRPr="001E4C94">
        <w:rPr>
          <w:rFonts w:asciiTheme="majorHAnsi" w:hAnsiTheme="majorHAnsi"/>
          <w:sz w:val="20"/>
          <w:szCs w:val="20"/>
        </w:rPr>
        <w:t xml:space="preserve"> inasmuch as </w:t>
      </w:r>
      <w:r w:rsidR="00D05260" w:rsidRPr="001E4C94">
        <w:rPr>
          <w:rFonts w:asciiTheme="majorHAnsi" w:hAnsiTheme="majorHAnsi"/>
          <w:sz w:val="20"/>
          <w:szCs w:val="20"/>
        </w:rPr>
        <w:t xml:space="preserve">such </w:t>
      </w:r>
      <w:r w:rsidRPr="001E4C94">
        <w:rPr>
          <w:rFonts w:asciiTheme="majorHAnsi" w:hAnsiTheme="majorHAnsi"/>
          <w:sz w:val="20"/>
          <w:szCs w:val="20"/>
        </w:rPr>
        <w:t xml:space="preserve">facts alleged have not been substantiated. </w:t>
      </w:r>
      <w:r w:rsidR="00CD0FC2" w:rsidRPr="00F73CEA">
        <w:rPr>
          <w:rFonts w:asciiTheme="majorHAnsi" w:hAnsiTheme="majorHAnsi"/>
          <w:sz w:val="20"/>
          <w:szCs w:val="20"/>
        </w:rPr>
        <w:t>Even though the State first contended that domestic remedies had been duly exhausted, it subsequently alleged that their exhaustion was still pending,</w:t>
      </w:r>
      <w:r w:rsidR="00CD0FC2">
        <w:rPr>
          <w:rFonts w:asciiTheme="majorHAnsi" w:hAnsiTheme="majorHAnsi"/>
          <w:sz w:val="20"/>
          <w:szCs w:val="20"/>
        </w:rPr>
        <w:t xml:space="preserve"> </w:t>
      </w:r>
      <w:r w:rsidR="008C0889" w:rsidRPr="001E4C94">
        <w:rPr>
          <w:rFonts w:asciiTheme="majorHAnsi" w:hAnsiTheme="majorHAnsi"/>
          <w:sz w:val="20"/>
          <w:szCs w:val="20"/>
        </w:rPr>
        <w:t>and that</w:t>
      </w:r>
      <w:r w:rsidR="00CD0FC2">
        <w:rPr>
          <w:rFonts w:asciiTheme="majorHAnsi" w:hAnsiTheme="majorHAnsi"/>
          <w:sz w:val="20"/>
          <w:szCs w:val="20"/>
        </w:rPr>
        <w:t>,</w:t>
      </w:r>
      <w:r w:rsidR="008C0889" w:rsidRPr="001E4C94">
        <w:rPr>
          <w:rFonts w:asciiTheme="majorHAnsi" w:hAnsiTheme="majorHAnsi"/>
          <w:sz w:val="20"/>
          <w:szCs w:val="20"/>
        </w:rPr>
        <w:t xml:space="preserve"> were the IACHR</w:t>
      </w:r>
      <w:r w:rsidRPr="001E4C94">
        <w:rPr>
          <w:rFonts w:asciiTheme="majorHAnsi" w:hAnsiTheme="majorHAnsi"/>
          <w:sz w:val="20"/>
          <w:szCs w:val="20"/>
        </w:rPr>
        <w:t xml:space="preserve"> to admit the petition, it would be acting as a fourth instance.</w:t>
      </w:r>
    </w:p>
    <w:p w:rsidR="005758BA" w:rsidRPr="001E4C94" w:rsidRDefault="005758BA" w:rsidP="006E4093">
      <w:pPr>
        <w:spacing w:after="0"/>
        <w:jc w:val="both"/>
        <w:rPr>
          <w:rFonts w:asciiTheme="majorHAnsi" w:hAnsiTheme="majorHAnsi"/>
          <w:sz w:val="20"/>
          <w:szCs w:val="20"/>
        </w:rPr>
      </w:pPr>
    </w:p>
    <w:p w:rsidR="006F487B" w:rsidRPr="001E4C94" w:rsidRDefault="00361E4D"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Having analyzed the </w:t>
      </w:r>
      <w:r w:rsidR="0041061D" w:rsidRPr="001E4C94">
        <w:rPr>
          <w:rFonts w:asciiTheme="majorHAnsi" w:hAnsiTheme="majorHAnsi"/>
          <w:sz w:val="20"/>
          <w:szCs w:val="20"/>
        </w:rPr>
        <w:t>positions of the parties</w:t>
      </w:r>
      <w:r w:rsidRPr="001E4C94">
        <w:rPr>
          <w:rFonts w:asciiTheme="majorHAnsi" w:hAnsiTheme="majorHAnsi"/>
          <w:sz w:val="20"/>
          <w:szCs w:val="20"/>
        </w:rPr>
        <w:t xml:space="preserve"> and fulfillment </w:t>
      </w:r>
      <w:r w:rsidR="0041061D" w:rsidRPr="001E4C94">
        <w:rPr>
          <w:rFonts w:asciiTheme="majorHAnsi" w:hAnsiTheme="majorHAnsi"/>
          <w:sz w:val="20"/>
          <w:szCs w:val="20"/>
        </w:rPr>
        <w:t>of</w:t>
      </w:r>
      <w:r w:rsidRPr="001E4C94">
        <w:rPr>
          <w:rFonts w:asciiTheme="majorHAnsi" w:hAnsiTheme="majorHAnsi"/>
          <w:sz w:val="20"/>
          <w:szCs w:val="20"/>
        </w:rPr>
        <w:t xml:space="preserve"> the requirements provided for </w:t>
      </w:r>
      <w:r w:rsidR="0041061D" w:rsidRPr="001E4C94">
        <w:rPr>
          <w:rFonts w:asciiTheme="majorHAnsi" w:hAnsiTheme="majorHAnsi"/>
          <w:sz w:val="20"/>
          <w:szCs w:val="20"/>
        </w:rPr>
        <w:t>under</w:t>
      </w:r>
      <w:r w:rsidRPr="001E4C94">
        <w:rPr>
          <w:rFonts w:asciiTheme="majorHAnsi" w:hAnsiTheme="majorHAnsi"/>
          <w:sz w:val="20"/>
          <w:szCs w:val="20"/>
        </w:rPr>
        <w:t xml:space="preserve"> </w:t>
      </w:r>
      <w:r w:rsidR="00F478F6">
        <w:rPr>
          <w:rFonts w:asciiTheme="majorHAnsi" w:hAnsiTheme="majorHAnsi"/>
          <w:sz w:val="20"/>
          <w:szCs w:val="20"/>
        </w:rPr>
        <w:t>a</w:t>
      </w:r>
      <w:r w:rsidR="008C0889" w:rsidRPr="001E4C94">
        <w:rPr>
          <w:rFonts w:asciiTheme="majorHAnsi" w:hAnsiTheme="majorHAnsi"/>
          <w:sz w:val="20"/>
          <w:szCs w:val="20"/>
        </w:rPr>
        <w:t>rticle</w:t>
      </w:r>
      <w:r w:rsidR="0041061D" w:rsidRPr="001E4C94">
        <w:rPr>
          <w:rFonts w:asciiTheme="majorHAnsi" w:hAnsiTheme="majorHAnsi"/>
          <w:sz w:val="20"/>
          <w:szCs w:val="20"/>
        </w:rPr>
        <w:t>s</w:t>
      </w:r>
      <w:r w:rsidRPr="001E4C94">
        <w:rPr>
          <w:rFonts w:asciiTheme="majorHAnsi" w:hAnsiTheme="majorHAnsi"/>
          <w:sz w:val="20"/>
          <w:szCs w:val="20"/>
        </w:rPr>
        <w:t xml:space="preserve"> 46 and 47 of the American Convention, the Commission decided to declare the petition </w:t>
      </w:r>
      <w:r w:rsidR="008C0889" w:rsidRPr="001E4C94">
        <w:rPr>
          <w:rFonts w:asciiTheme="majorHAnsi" w:hAnsiTheme="majorHAnsi"/>
          <w:sz w:val="20"/>
          <w:szCs w:val="20"/>
        </w:rPr>
        <w:t>admissible</w:t>
      </w:r>
      <w:r w:rsidRPr="001E4C94">
        <w:rPr>
          <w:rFonts w:asciiTheme="majorHAnsi" w:hAnsiTheme="majorHAnsi"/>
          <w:sz w:val="20"/>
          <w:szCs w:val="20"/>
        </w:rPr>
        <w:t xml:space="preserve"> for purposes of reviewing the alleged violation of </w:t>
      </w:r>
      <w:r w:rsidR="00F478F6">
        <w:rPr>
          <w:rFonts w:asciiTheme="majorHAnsi" w:hAnsiTheme="majorHAnsi"/>
          <w:sz w:val="20"/>
          <w:szCs w:val="20"/>
        </w:rPr>
        <w:t>a</w:t>
      </w:r>
      <w:r w:rsidRPr="001E4C94">
        <w:rPr>
          <w:rFonts w:asciiTheme="majorHAnsi" w:hAnsiTheme="majorHAnsi"/>
          <w:sz w:val="20"/>
          <w:szCs w:val="20"/>
        </w:rPr>
        <w:t xml:space="preserve">rticles </w:t>
      </w:r>
      <w:r w:rsidR="00EB4B5B" w:rsidRPr="001E4C94">
        <w:rPr>
          <w:rFonts w:asciiTheme="majorHAnsi" w:hAnsiTheme="majorHAnsi"/>
          <w:sz w:val="20"/>
          <w:szCs w:val="20"/>
        </w:rPr>
        <w:t>3, 4, 5, 7, 8</w:t>
      </w:r>
      <w:r w:rsidRPr="001E4C94">
        <w:rPr>
          <w:rFonts w:asciiTheme="majorHAnsi" w:hAnsiTheme="majorHAnsi"/>
          <w:sz w:val="20"/>
          <w:szCs w:val="20"/>
        </w:rPr>
        <w:t>, and</w:t>
      </w:r>
      <w:r w:rsidR="00EB4B5B" w:rsidRPr="001E4C94">
        <w:rPr>
          <w:rFonts w:asciiTheme="majorHAnsi" w:hAnsiTheme="majorHAnsi"/>
          <w:sz w:val="20"/>
          <w:szCs w:val="20"/>
        </w:rPr>
        <w:t xml:space="preserve"> 25 </w:t>
      </w:r>
      <w:r w:rsidRPr="001E4C94">
        <w:rPr>
          <w:rFonts w:asciiTheme="majorHAnsi" w:hAnsiTheme="majorHAnsi"/>
          <w:sz w:val="20"/>
          <w:szCs w:val="20"/>
        </w:rPr>
        <w:t>of the American Conventi</w:t>
      </w:r>
      <w:r w:rsidR="0041061D" w:rsidRPr="001E4C94">
        <w:rPr>
          <w:rFonts w:asciiTheme="majorHAnsi" w:hAnsiTheme="majorHAnsi"/>
          <w:sz w:val="20"/>
          <w:szCs w:val="20"/>
        </w:rPr>
        <w:t xml:space="preserve">on in connection with </w:t>
      </w:r>
      <w:r w:rsidR="00F478F6">
        <w:rPr>
          <w:rFonts w:asciiTheme="majorHAnsi" w:hAnsiTheme="majorHAnsi"/>
          <w:sz w:val="20"/>
          <w:szCs w:val="20"/>
        </w:rPr>
        <w:t>a</w:t>
      </w:r>
      <w:r w:rsidR="0041061D" w:rsidRPr="001E4C94">
        <w:rPr>
          <w:rFonts w:asciiTheme="majorHAnsi" w:hAnsiTheme="majorHAnsi"/>
          <w:sz w:val="20"/>
          <w:szCs w:val="20"/>
        </w:rPr>
        <w:t>rticle 1</w:t>
      </w:r>
      <w:r w:rsidR="00F478F6">
        <w:rPr>
          <w:rFonts w:asciiTheme="majorHAnsi" w:hAnsiTheme="majorHAnsi"/>
          <w:sz w:val="20"/>
          <w:szCs w:val="20"/>
        </w:rPr>
        <w:t>.</w:t>
      </w:r>
      <w:r w:rsidRPr="001E4C94">
        <w:rPr>
          <w:rFonts w:asciiTheme="majorHAnsi" w:hAnsiTheme="majorHAnsi"/>
          <w:sz w:val="20"/>
          <w:szCs w:val="20"/>
        </w:rPr>
        <w:t xml:space="preserve">1 </w:t>
      </w:r>
      <w:r w:rsidR="0041061D" w:rsidRPr="001E4C94">
        <w:rPr>
          <w:rFonts w:asciiTheme="majorHAnsi" w:hAnsiTheme="majorHAnsi"/>
          <w:sz w:val="20"/>
          <w:szCs w:val="20"/>
        </w:rPr>
        <w:t>there</w:t>
      </w:r>
      <w:r w:rsidRPr="001E4C94">
        <w:rPr>
          <w:rFonts w:asciiTheme="majorHAnsi" w:hAnsiTheme="majorHAnsi"/>
          <w:sz w:val="20"/>
          <w:szCs w:val="20"/>
        </w:rPr>
        <w:t xml:space="preserve">of. Furthermore, the Commission considers that </w:t>
      </w:r>
      <w:r w:rsidR="00EA7E73" w:rsidRPr="001E4C94">
        <w:rPr>
          <w:rFonts w:asciiTheme="majorHAnsi" w:hAnsiTheme="majorHAnsi"/>
          <w:sz w:val="20"/>
          <w:szCs w:val="20"/>
        </w:rPr>
        <w:t xml:space="preserve">the possible application of </w:t>
      </w:r>
      <w:r w:rsidR="008B50D5">
        <w:rPr>
          <w:rFonts w:asciiTheme="majorHAnsi" w:hAnsiTheme="majorHAnsi"/>
          <w:sz w:val="20"/>
          <w:szCs w:val="20"/>
        </w:rPr>
        <w:t xml:space="preserve">article </w:t>
      </w:r>
      <w:r w:rsidR="003029D0" w:rsidRPr="001E4C94">
        <w:rPr>
          <w:rFonts w:asciiTheme="majorHAnsi" w:hAnsiTheme="majorHAnsi"/>
          <w:sz w:val="20"/>
          <w:szCs w:val="20"/>
        </w:rPr>
        <w:t>1</w:t>
      </w:r>
      <w:r w:rsidR="00F478F6">
        <w:rPr>
          <w:rFonts w:asciiTheme="majorHAnsi" w:hAnsiTheme="majorHAnsi"/>
          <w:sz w:val="20"/>
          <w:szCs w:val="20"/>
        </w:rPr>
        <w:t>.</w:t>
      </w:r>
      <w:r w:rsidR="003029D0" w:rsidRPr="001E4C94">
        <w:rPr>
          <w:rFonts w:asciiTheme="majorHAnsi" w:hAnsiTheme="majorHAnsi"/>
          <w:sz w:val="20"/>
          <w:szCs w:val="20"/>
        </w:rPr>
        <w:t xml:space="preserve">b </w:t>
      </w:r>
      <w:r w:rsidR="00EA7E73" w:rsidRPr="001E4C94">
        <w:rPr>
          <w:rFonts w:asciiTheme="majorHAnsi" w:hAnsiTheme="majorHAnsi"/>
          <w:sz w:val="20"/>
          <w:szCs w:val="20"/>
        </w:rPr>
        <w:t xml:space="preserve">of the Inter-American Convention on Forced Disappearance of Persons and </w:t>
      </w:r>
      <w:r w:rsidR="008B50D5">
        <w:rPr>
          <w:rFonts w:asciiTheme="majorHAnsi" w:hAnsiTheme="majorHAnsi"/>
          <w:sz w:val="20"/>
          <w:szCs w:val="20"/>
        </w:rPr>
        <w:t xml:space="preserve">article </w:t>
      </w:r>
      <w:r w:rsidR="00EA7E73" w:rsidRPr="001E4C94">
        <w:rPr>
          <w:rFonts w:asciiTheme="majorHAnsi" w:hAnsiTheme="majorHAnsi"/>
          <w:sz w:val="20"/>
          <w:szCs w:val="20"/>
        </w:rPr>
        <w:t xml:space="preserve">s 1, 6, and 8 </w:t>
      </w:r>
      <w:r w:rsidR="0041061D" w:rsidRPr="001E4C94">
        <w:rPr>
          <w:rFonts w:asciiTheme="majorHAnsi" w:hAnsiTheme="majorHAnsi"/>
          <w:sz w:val="20"/>
          <w:szCs w:val="20"/>
        </w:rPr>
        <w:t>of</w:t>
      </w:r>
      <w:r w:rsidR="00EA7E73" w:rsidRPr="001E4C94">
        <w:rPr>
          <w:rFonts w:asciiTheme="majorHAnsi" w:hAnsiTheme="majorHAnsi"/>
          <w:sz w:val="20"/>
          <w:szCs w:val="20"/>
        </w:rPr>
        <w:t xml:space="preserve"> the Inter-American Convention to Prevent and Punish Torture should be analyzed in the merits stage</w:t>
      </w:r>
      <w:r w:rsidR="00BF7C9D" w:rsidRPr="001E4C94">
        <w:rPr>
          <w:rFonts w:asciiTheme="majorHAnsi" w:hAnsiTheme="majorHAnsi"/>
          <w:sz w:val="20"/>
          <w:szCs w:val="20"/>
        </w:rPr>
        <w:t xml:space="preserve"> of the proceedings</w:t>
      </w:r>
      <w:r w:rsidR="00EA7E73" w:rsidRPr="001E4C94">
        <w:rPr>
          <w:rFonts w:asciiTheme="majorHAnsi" w:hAnsiTheme="majorHAnsi"/>
          <w:sz w:val="20"/>
          <w:szCs w:val="20"/>
        </w:rPr>
        <w:t xml:space="preserve">. Finally, the IACHR decided to notify the parties of the report and order its publication in </w:t>
      </w:r>
      <w:r w:rsidR="00BF7C9D" w:rsidRPr="001E4C94">
        <w:rPr>
          <w:rFonts w:asciiTheme="majorHAnsi" w:hAnsiTheme="majorHAnsi"/>
          <w:sz w:val="20"/>
          <w:szCs w:val="20"/>
        </w:rPr>
        <w:t xml:space="preserve">its </w:t>
      </w:r>
      <w:r w:rsidR="00EA7E73" w:rsidRPr="001E4C94">
        <w:rPr>
          <w:rFonts w:asciiTheme="majorHAnsi" w:hAnsiTheme="majorHAnsi"/>
          <w:sz w:val="20"/>
          <w:szCs w:val="20"/>
        </w:rPr>
        <w:t xml:space="preserve">Annual Report </w:t>
      </w:r>
      <w:r w:rsidR="00BF7C9D" w:rsidRPr="001E4C94">
        <w:rPr>
          <w:rFonts w:asciiTheme="majorHAnsi" w:hAnsiTheme="majorHAnsi"/>
          <w:sz w:val="20"/>
          <w:szCs w:val="20"/>
        </w:rPr>
        <w:t>to</w:t>
      </w:r>
      <w:r w:rsidR="00EA7E73" w:rsidRPr="001E4C94">
        <w:rPr>
          <w:rFonts w:asciiTheme="majorHAnsi" w:hAnsiTheme="majorHAnsi"/>
          <w:sz w:val="20"/>
          <w:szCs w:val="20"/>
        </w:rPr>
        <w:t xml:space="preserve"> the General Assembly of the Organization of American States (OAS). </w:t>
      </w:r>
    </w:p>
    <w:p w:rsidR="005758BA" w:rsidRPr="001E4C94" w:rsidRDefault="005758BA" w:rsidP="006E4093">
      <w:pPr>
        <w:spacing w:after="0"/>
        <w:jc w:val="both"/>
        <w:rPr>
          <w:rFonts w:asciiTheme="majorHAnsi" w:hAnsiTheme="majorHAnsi"/>
          <w:sz w:val="20"/>
          <w:szCs w:val="20"/>
        </w:rPr>
      </w:pPr>
    </w:p>
    <w:p w:rsidR="005758BA" w:rsidRPr="001E4C94" w:rsidRDefault="0043261C" w:rsidP="006E4093">
      <w:pPr>
        <w:pStyle w:val="Heading1"/>
        <w:jc w:val="both"/>
        <w:rPr>
          <w:lang w:val="en-US"/>
        </w:rPr>
      </w:pPr>
      <w:r w:rsidRPr="001E4C94">
        <w:rPr>
          <w:lang w:val="en-US"/>
        </w:rPr>
        <w:t xml:space="preserve">PROCEEDINGS BEFORE </w:t>
      </w:r>
      <w:r w:rsidR="00EA7E73" w:rsidRPr="001E4C94">
        <w:rPr>
          <w:lang w:val="en-US"/>
        </w:rPr>
        <w:t>THE COMMISSION</w:t>
      </w:r>
    </w:p>
    <w:p w:rsidR="005758BA" w:rsidRPr="001E4C94" w:rsidRDefault="005758BA" w:rsidP="006E4093">
      <w:pPr>
        <w:jc w:val="both"/>
      </w:pPr>
    </w:p>
    <w:p w:rsidR="002A1E77" w:rsidRPr="001E4C94" w:rsidRDefault="00EA7E73"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On March 2, 1990, the IACHR received information from the peti</w:t>
      </w:r>
      <w:r w:rsidR="008C0889" w:rsidRPr="001E4C94">
        <w:rPr>
          <w:rFonts w:asciiTheme="majorHAnsi" w:hAnsiTheme="majorHAnsi"/>
          <w:sz w:val="20"/>
          <w:szCs w:val="20"/>
        </w:rPr>
        <w:t>ti</w:t>
      </w:r>
      <w:r w:rsidRPr="001E4C94">
        <w:rPr>
          <w:rFonts w:asciiTheme="majorHAnsi" w:hAnsiTheme="majorHAnsi"/>
          <w:sz w:val="20"/>
          <w:szCs w:val="20"/>
        </w:rPr>
        <w:t xml:space="preserve">oners regarding the alleged victim’s forced disappearance and assigned it case number </w:t>
      </w:r>
      <w:r w:rsidR="00562D27" w:rsidRPr="001E4C94">
        <w:rPr>
          <w:rFonts w:asciiTheme="majorHAnsi" w:hAnsiTheme="majorHAnsi"/>
          <w:sz w:val="20"/>
          <w:szCs w:val="20"/>
        </w:rPr>
        <w:t xml:space="preserve">10.522. </w:t>
      </w:r>
      <w:r w:rsidRPr="001E4C94">
        <w:rPr>
          <w:rFonts w:asciiTheme="majorHAnsi" w:hAnsiTheme="majorHAnsi"/>
          <w:sz w:val="20"/>
          <w:szCs w:val="20"/>
        </w:rPr>
        <w:t xml:space="preserve">On March 5, 1990, the IACHR </w:t>
      </w:r>
      <w:r w:rsidR="008C0889" w:rsidRPr="001E4C94">
        <w:rPr>
          <w:rFonts w:asciiTheme="majorHAnsi" w:hAnsiTheme="majorHAnsi"/>
          <w:sz w:val="20"/>
          <w:szCs w:val="20"/>
        </w:rPr>
        <w:t>requested</w:t>
      </w:r>
      <w:r w:rsidRPr="001E4C94">
        <w:rPr>
          <w:rFonts w:asciiTheme="majorHAnsi" w:hAnsiTheme="majorHAnsi"/>
          <w:sz w:val="20"/>
          <w:szCs w:val="20"/>
        </w:rPr>
        <w:t xml:space="preserve"> information from the State</w:t>
      </w:r>
      <w:r w:rsidR="00BF7C9D" w:rsidRPr="001E4C94">
        <w:rPr>
          <w:rFonts w:asciiTheme="majorHAnsi" w:hAnsiTheme="majorHAnsi"/>
          <w:sz w:val="20"/>
          <w:szCs w:val="20"/>
        </w:rPr>
        <w:t xml:space="preserve">, in addition to </w:t>
      </w:r>
      <w:r w:rsidRPr="001E4C94">
        <w:rPr>
          <w:rFonts w:asciiTheme="majorHAnsi" w:hAnsiTheme="majorHAnsi"/>
          <w:sz w:val="20"/>
          <w:szCs w:val="20"/>
        </w:rPr>
        <w:t>request</w:t>
      </w:r>
      <w:r w:rsidR="00BF7C9D" w:rsidRPr="001E4C94">
        <w:rPr>
          <w:rFonts w:asciiTheme="majorHAnsi" w:hAnsiTheme="majorHAnsi"/>
          <w:sz w:val="20"/>
          <w:szCs w:val="20"/>
        </w:rPr>
        <w:t>ing</w:t>
      </w:r>
      <w:r w:rsidRPr="001E4C94">
        <w:rPr>
          <w:rFonts w:asciiTheme="majorHAnsi" w:hAnsiTheme="majorHAnsi"/>
          <w:sz w:val="20"/>
          <w:szCs w:val="20"/>
        </w:rPr>
        <w:t xml:space="preserve"> further information from the petitioners</w:t>
      </w:r>
      <w:r w:rsidR="00BF7C9D" w:rsidRPr="001E4C94">
        <w:rPr>
          <w:rFonts w:asciiTheme="majorHAnsi" w:hAnsiTheme="majorHAnsi"/>
          <w:sz w:val="20"/>
          <w:szCs w:val="20"/>
        </w:rPr>
        <w:t xml:space="preserve">. </w:t>
      </w:r>
      <w:r w:rsidRPr="001E4C94">
        <w:rPr>
          <w:rFonts w:asciiTheme="majorHAnsi" w:hAnsiTheme="majorHAnsi"/>
          <w:sz w:val="20"/>
          <w:szCs w:val="20"/>
        </w:rPr>
        <w:t xml:space="preserve">On September 17, 1990, the Commission reiterated </w:t>
      </w:r>
      <w:r w:rsidR="00BF7C9D" w:rsidRPr="001E4C94">
        <w:rPr>
          <w:rFonts w:asciiTheme="majorHAnsi" w:hAnsiTheme="majorHAnsi"/>
          <w:sz w:val="20"/>
          <w:szCs w:val="20"/>
        </w:rPr>
        <w:t xml:space="preserve">to the State </w:t>
      </w:r>
      <w:r w:rsidRPr="001E4C94">
        <w:rPr>
          <w:rFonts w:asciiTheme="majorHAnsi" w:hAnsiTheme="majorHAnsi"/>
          <w:sz w:val="20"/>
          <w:szCs w:val="20"/>
        </w:rPr>
        <w:t>its request for information</w:t>
      </w:r>
      <w:r w:rsidR="00BF7C9D" w:rsidRPr="001E4C94">
        <w:rPr>
          <w:rFonts w:asciiTheme="majorHAnsi" w:hAnsiTheme="majorHAnsi"/>
          <w:sz w:val="20"/>
          <w:szCs w:val="20"/>
        </w:rPr>
        <w:t>, which was received by the C</w:t>
      </w:r>
      <w:r w:rsidRPr="001E4C94">
        <w:rPr>
          <w:rFonts w:asciiTheme="majorHAnsi" w:hAnsiTheme="majorHAnsi"/>
          <w:sz w:val="20"/>
          <w:szCs w:val="20"/>
        </w:rPr>
        <w:t xml:space="preserve">ommission on September 20, 1990. Subsequently, the IACHR forwarded </w:t>
      </w:r>
      <w:r w:rsidR="00BF7C9D" w:rsidRPr="001E4C94">
        <w:rPr>
          <w:rFonts w:asciiTheme="majorHAnsi" w:hAnsiTheme="majorHAnsi"/>
          <w:sz w:val="20"/>
          <w:szCs w:val="20"/>
        </w:rPr>
        <w:t xml:space="preserve">each one of the </w:t>
      </w:r>
      <w:r w:rsidR="008C0889" w:rsidRPr="001E4C94">
        <w:rPr>
          <w:rFonts w:asciiTheme="majorHAnsi" w:hAnsiTheme="majorHAnsi"/>
          <w:sz w:val="20"/>
          <w:szCs w:val="20"/>
        </w:rPr>
        <w:t>observations</w:t>
      </w:r>
      <w:r w:rsidRPr="001E4C94">
        <w:rPr>
          <w:rFonts w:asciiTheme="majorHAnsi" w:hAnsiTheme="majorHAnsi"/>
          <w:sz w:val="20"/>
          <w:szCs w:val="20"/>
        </w:rPr>
        <w:t xml:space="preserve"> sent by both parties, </w:t>
      </w:r>
      <w:r w:rsidR="0043261C" w:rsidRPr="001E4C94">
        <w:rPr>
          <w:rFonts w:asciiTheme="majorHAnsi" w:hAnsiTheme="majorHAnsi"/>
          <w:sz w:val="20"/>
          <w:szCs w:val="20"/>
        </w:rPr>
        <w:t>according</w:t>
      </w:r>
      <w:r w:rsidRPr="001E4C94">
        <w:rPr>
          <w:rFonts w:asciiTheme="majorHAnsi" w:hAnsiTheme="majorHAnsi"/>
          <w:sz w:val="20"/>
          <w:szCs w:val="20"/>
        </w:rPr>
        <w:t xml:space="preserve"> the</w:t>
      </w:r>
      <w:r w:rsidR="00BF7C9D" w:rsidRPr="001E4C94">
        <w:rPr>
          <w:rFonts w:asciiTheme="majorHAnsi" w:hAnsiTheme="majorHAnsi"/>
          <w:sz w:val="20"/>
          <w:szCs w:val="20"/>
        </w:rPr>
        <w:t xml:space="preserve">m statutory </w:t>
      </w:r>
      <w:r w:rsidRPr="001E4C94">
        <w:rPr>
          <w:rFonts w:asciiTheme="majorHAnsi" w:hAnsiTheme="majorHAnsi"/>
          <w:sz w:val="20"/>
          <w:szCs w:val="20"/>
        </w:rPr>
        <w:t xml:space="preserve">deadlines </w:t>
      </w:r>
      <w:r w:rsidR="00BF7C9D" w:rsidRPr="001E4C94">
        <w:rPr>
          <w:rFonts w:asciiTheme="majorHAnsi" w:hAnsiTheme="majorHAnsi"/>
          <w:sz w:val="20"/>
          <w:szCs w:val="20"/>
        </w:rPr>
        <w:t>to</w:t>
      </w:r>
      <w:r w:rsidRPr="001E4C94">
        <w:rPr>
          <w:rFonts w:asciiTheme="majorHAnsi" w:hAnsiTheme="majorHAnsi"/>
          <w:sz w:val="20"/>
          <w:szCs w:val="20"/>
        </w:rPr>
        <w:t xml:space="preserve"> </w:t>
      </w:r>
      <w:r w:rsidR="00BF7C9D" w:rsidRPr="001E4C94">
        <w:rPr>
          <w:rFonts w:asciiTheme="majorHAnsi" w:hAnsiTheme="majorHAnsi"/>
          <w:sz w:val="20"/>
          <w:szCs w:val="20"/>
        </w:rPr>
        <w:t>submit</w:t>
      </w:r>
      <w:r w:rsidRPr="001E4C94">
        <w:rPr>
          <w:rFonts w:asciiTheme="majorHAnsi" w:hAnsiTheme="majorHAnsi"/>
          <w:sz w:val="20"/>
          <w:szCs w:val="20"/>
        </w:rPr>
        <w:t xml:space="preserve"> additional observations, a</w:t>
      </w:r>
      <w:r w:rsidR="00BF7C9D" w:rsidRPr="001E4C94">
        <w:rPr>
          <w:rFonts w:asciiTheme="majorHAnsi" w:hAnsiTheme="majorHAnsi"/>
          <w:sz w:val="20"/>
          <w:szCs w:val="20"/>
        </w:rPr>
        <w:t>s well as extensions, when these were r</w:t>
      </w:r>
      <w:r w:rsidRPr="001E4C94">
        <w:rPr>
          <w:rFonts w:asciiTheme="majorHAnsi" w:hAnsiTheme="majorHAnsi"/>
          <w:sz w:val="20"/>
          <w:szCs w:val="20"/>
        </w:rPr>
        <w:t>equested.</w:t>
      </w:r>
    </w:p>
    <w:p w:rsidR="005758BA" w:rsidRPr="001E4C94" w:rsidRDefault="005758BA" w:rsidP="006E4093">
      <w:pPr>
        <w:spacing w:after="0"/>
        <w:jc w:val="both"/>
        <w:rPr>
          <w:rFonts w:asciiTheme="majorHAnsi" w:hAnsiTheme="majorHAnsi"/>
          <w:sz w:val="20"/>
          <w:szCs w:val="20"/>
        </w:rPr>
      </w:pPr>
    </w:p>
    <w:p w:rsidR="002A1E77" w:rsidRPr="001E4C94" w:rsidRDefault="00FF086F"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The IACHR received additional observations from the </w:t>
      </w:r>
      <w:r w:rsidR="008C0889" w:rsidRPr="001E4C94">
        <w:rPr>
          <w:rFonts w:asciiTheme="majorHAnsi" w:hAnsiTheme="majorHAnsi"/>
          <w:sz w:val="20"/>
          <w:szCs w:val="20"/>
        </w:rPr>
        <w:t>petitioners</w:t>
      </w:r>
      <w:r w:rsidRPr="001E4C94">
        <w:rPr>
          <w:rFonts w:asciiTheme="majorHAnsi" w:hAnsiTheme="majorHAnsi"/>
          <w:sz w:val="20"/>
          <w:szCs w:val="20"/>
        </w:rPr>
        <w:t xml:space="preserve"> on December 3, 1990, March 18, 1994, July 13, 2009, and September 2</w:t>
      </w:r>
      <w:r w:rsidR="005A3F68" w:rsidRPr="001E4C94">
        <w:rPr>
          <w:rFonts w:asciiTheme="majorHAnsi" w:hAnsiTheme="majorHAnsi"/>
          <w:sz w:val="20"/>
          <w:szCs w:val="20"/>
        </w:rPr>
        <w:t>5</w:t>
      </w:r>
      <w:r w:rsidRPr="001E4C94">
        <w:rPr>
          <w:rFonts w:asciiTheme="majorHAnsi" w:hAnsiTheme="majorHAnsi"/>
          <w:sz w:val="20"/>
          <w:szCs w:val="20"/>
        </w:rPr>
        <w:t>, 2014</w:t>
      </w:r>
      <w:r w:rsidR="00483DA4" w:rsidRPr="001E4C94">
        <w:rPr>
          <w:rFonts w:asciiTheme="majorHAnsi" w:hAnsiTheme="majorHAnsi"/>
          <w:sz w:val="20"/>
          <w:szCs w:val="20"/>
        </w:rPr>
        <w:t>.</w:t>
      </w:r>
    </w:p>
    <w:p w:rsidR="005758BA" w:rsidRPr="001E4C94" w:rsidRDefault="005758BA" w:rsidP="006E4093">
      <w:pPr>
        <w:spacing w:after="0"/>
        <w:jc w:val="both"/>
        <w:rPr>
          <w:rFonts w:asciiTheme="majorHAnsi" w:hAnsiTheme="majorHAnsi"/>
          <w:sz w:val="20"/>
          <w:szCs w:val="20"/>
        </w:rPr>
      </w:pPr>
    </w:p>
    <w:p w:rsidR="006F487B" w:rsidRPr="001E4C94" w:rsidRDefault="005A3F68"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lastRenderedPageBreak/>
        <w:t>T</w:t>
      </w:r>
      <w:r w:rsidR="00FF086F" w:rsidRPr="001E4C94">
        <w:rPr>
          <w:rFonts w:asciiTheme="majorHAnsi" w:hAnsiTheme="majorHAnsi"/>
          <w:sz w:val="20"/>
          <w:szCs w:val="20"/>
        </w:rPr>
        <w:t xml:space="preserve">he IACHR </w:t>
      </w:r>
      <w:r w:rsidRPr="001E4C94">
        <w:rPr>
          <w:rFonts w:asciiTheme="majorHAnsi" w:hAnsiTheme="majorHAnsi"/>
          <w:sz w:val="20"/>
          <w:szCs w:val="20"/>
        </w:rPr>
        <w:t xml:space="preserve">also </w:t>
      </w:r>
      <w:r w:rsidR="00FF086F" w:rsidRPr="001E4C94">
        <w:rPr>
          <w:rFonts w:asciiTheme="majorHAnsi" w:hAnsiTheme="majorHAnsi"/>
          <w:sz w:val="20"/>
          <w:szCs w:val="20"/>
        </w:rPr>
        <w:t>received additional observations from the Colombian State on October 12, 1990, January 17, 1991, September 24, 1991, May 23, 1997, October 8, 2001, September 18, 2002, June 10, 2009, May 7, 2014, and April 24, 2015.</w:t>
      </w:r>
    </w:p>
    <w:p w:rsidR="005758BA" w:rsidRPr="001E4C94" w:rsidRDefault="005758BA" w:rsidP="006E4093">
      <w:pPr>
        <w:spacing w:after="0"/>
        <w:jc w:val="both"/>
        <w:rPr>
          <w:rFonts w:asciiTheme="majorHAnsi" w:hAnsiTheme="majorHAnsi"/>
          <w:sz w:val="20"/>
          <w:szCs w:val="20"/>
        </w:rPr>
      </w:pPr>
    </w:p>
    <w:p w:rsidR="006F487B" w:rsidRPr="001E4C94" w:rsidRDefault="00FF086F" w:rsidP="006E4093">
      <w:pPr>
        <w:pStyle w:val="Heading1"/>
        <w:jc w:val="both"/>
        <w:rPr>
          <w:lang w:val="en-US"/>
        </w:rPr>
      </w:pPr>
      <w:r w:rsidRPr="001E4C94">
        <w:rPr>
          <w:lang w:val="en-US"/>
        </w:rPr>
        <w:t>THE POSITIONS</w:t>
      </w:r>
      <w:r w:rsidR="0043261C" w:rsidRPr="001E4C94">
        <w:rPr>
          <w:lang w:val="en-US"/>
        </w:rPr>
        <w:t xml:space="preserve"> OF THE PARTIES</w:t>
      </w:r>
    </w:p>
    <w:p w:rsidR="005758BA" w:rsidRPr="001E4C94" w:rsidRDefault="005758BA" w:rsidP="006E4093">
      <w:pPr>
        <w:spacing w:after="0"/>
        <w:ind w:firstLine="720"/>
        <w:jc w:val="both"/>
        <w:rPr>
          <w:rFonts w:asciiTheme="majorHAnsi" w:hAnsiTheme="majorHAnsi"/>
          <w:b/>
          <w:sz w:val="20"/>
          <w:szCs w:val="20"/>
        </w:rPr>
      </w:pPr>
    </w:p>
    <w:p w:rsidR="006F487B" w:rsidRPr="001E4C94" w:rsidRDefault="00FF086F" w:rsidP="006E4093">
      <w:pPr>
        <w:pStyle w:val="ListParagraph"/>
        <w:numPr>
          <w:ilvl w:val="0"/>
          <w:numId w:val="7"/>
        </w:numPr>
        <w:spacing w:after="0"/>
        <w:jc w:val="both"/>
        <w:outlineLvl w:val="1"/>
        <w:rPr>
          <w:rFonts w:asciiTheme="majorHAnsi" w:hAnsiTheme="majorHAnsi"/>
          <w:b/>
          <w:sz w:val="20"/>
          <w:szCs w:val="20"/>
        </w:rPr>
      </w:pPr>
      <w:r w:rsidRPr="001E4C94">
        <w:rPr>
          <w:rFonts w:asciiTheme="majorHAnsi" w:hAnsiTheme="majorHAnsi"/>
          <w:b/>
          <w:sz w:val="20"/>
          <w:szCs w:val="20"/>
        </w:rPr>
        <w:t>The position</w:t>
      </w:r>
      <w:r w:rsidR="0043261C" w:rsidRPr="001E4C94">
        <w:rPr>
          <w:rFonts w:asciiTheme="majorHAnsi" w:hAnsiTheme="majorHAnsi"/>
          <w:b/>
          <w:sz w:val="20"/>
          <w:szCs w:val="20"/>
        </w:rPr>
        <w:t xml:space="preserve"> of the petitioners</w:t>
      </w:r>
    </w:p>
    <w:p w:rsidR="005758BA" w:rsidRPr="001E4C94" w:rsidRDefault="005758BA" w:rsidP="006E4093">
      <w:pPr>
        <w:spacing w:after="0"/>
        <w:jc w:val="both"/>
        <w:rPr>
          <w:rFonts w:asciiTheme="majorHAnsi" w:hAnsiTheme="majorHAnsi"/>
          <w:b/>
          <w:sz w:val="20"/>
          <w:szCs w:val="20"/>
        </w:rPr>
      </w:pPr>
    </w:p>
    <w:p w:rsidR="00542F43" w:rsidRPr="001E4C94" w:rsidRDefault="00FF086F"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The petitioners have alleged that the facts </w:t>
      </w:r>
      <w:r w:rsidR="005A3F68" w:rsidRPr="001E4C94">
        <w:rPr>
          <w:rFonts w:asciiTheme="majorHAnsi" w:hAnsiTheme="majorHAnsi"/>
          <w:sz w:val="20"/>
          <w:szCs w:val="20"/>
        </w:rPr>
        <w:t>in</w:t>
      </w:r>
      <w:r w:rsidRPr="001E4C94">
        <w:rPr>
          <w:rFonts w:asciiTheme="majorHAnsi" w:hAnsiTheme="majorHAnsi"/>
          <w:sz w:val="20"/>
          <w:szCs w:val="20"/>
        </w:rPr>
        <w:t xml:space="preserve"> this case </w:t>
      </w:r>
      <w:r w:rsidR="005A3F68" w:rsidRPr="001E4C94">
        <w:rPr>
          <w:rFonts w:asciiTheme="majorHAnsi" w:hAnsiTheme="majorHAnsi"/>
          <w:sz w:val="20"/>
          <w:szCs w:val="20"/>
        </w:rPr>
        <w:t>do not represent an</w:t>
      </w:r>
      <w:r w:rsidRPr="001E4C94">
        <w:rPr>
          <w:rFonts w:asciiTheme="majorHAnsi" w:hAnsiTheme="majorHAnsi"/>
          <w:sz w:val="20"/>
          <w:szCs w:val="20"/>
        </w:rPr>
        <w:t xml:space="preserve"> isolated incident; rather, that they are part of a series of crimes committed by members of </w:t>
      </w:r>
      <w:r w:rsidR="005A3F68" w:rsidRPr="001E4C94">
        <w:rPr>
          <w:rFonts w:asciiTheme="majorHAnsi" w:hAnsiTheme="majorHAnsi"/>
          <w:sz w:val="20"/>
          <w:szCs w:val="20"/>
        </w:rPr>
        <w:t xml:space="preserve">Colombia’s </w:t>
      </w:r>
      <w:r w:rsidRPr="001E4C94">
        <w:rPr>
          <w:rFonts w:asciiTheme="majorHAnsi" w:hAnsiTheme="majorHAnsi"/>
          <w:sz w:val="20"/>
          <w:szCs w:val="20"/>
        </w:rPr>
        <w:t>armed forces</w:t>
      </w:r>
      <w:r w:rsidR="00BF7C9D" w:rsidRPr="001E4C94">
        <w:rPr>
          <w:rFonts w:asciiTheme="majorHAnsi" w:hAnsiTheme="majorHAnsi"/>
          <w:sz w:val="20"/>
          <w:szCs w:val="20"/>
        </w:rPr>
        <w:t xml:space="preserve">. </w:t>
      </w:r>
      <w:r w:rsidR="005A3F68" w:rsidRPr="001E4C94">
        <w:rPr>
          <w:rFonts w:asciiTheme="majorHAnsi" w:hAnsiTheme="majorHAnsi"/>
          <w:sz w:val="20"/>
          <w:szCs w:val="20"/>
        </w:rPr>
        <w:t>T</w:t>
      </w:r>
      <w:r w:rsidR="008C0889" w:rsidRPr="001E4C94">
        <w:rPr>
          <w:rFonts w:asciiTheme="majorHAnsi" w:hAnsiTheme="majorHAnsi"/>
          <w:sz w:val="20"/>
          <w:szCs w:val="20"/>
        </w:rPr>
        <w:t xml:space="preserve">hey </w:t>
      </w:r>
      <w:r w:rsidRPr="001E4C94">
        <w:rPr>
          <w:rFonts w:asciiTheme="majorHAnsi" w:hAnsiTheme="majorHAnsi"/>
          <w:sz w:val="20"/>
          <w:szCs w:val="20"/>
        </w:rPr>
        <w:t xml:space="preserve">allege that the practice of forced disappearances </w:t>
      </w:r>
      <w:r w:rsidR="005A3F68" w:rsidRPr="001E4C94">
        <w:rPr>
          <w:rFonts w:asciiTheme="majorHAnsi" w:hAnsiTheme="majorHAnsi"/>
          <w:sz w:val="20"/>
          <w:szCs w:val="20"/>
        </w:rPr>
        <w:t>had been</w:t>
      </w:r>
      <w:r w:rsidRPr="001E4C94">
        <w:rPr>
          <w:rFonts w:asciiTheme="majorHAnsi" w:hAnsiTheme="majorHAnsi"/>
          <w:sz w:val="20"/>
          <w:szCs w:val="20"/>
        </w:rPr>
        <w:t xml:space="preserve"> part of “</w:t>
      </w:r>
      <w:r w:rsidR="008C0889" w:rsidRPr="001E4C94">
        <w:rPr>
          <w:rFonts w:asciiTheme="majorHAnsi" w:hAnsiTheme="majorHAnsi"/>
          <w:sz w:val="20"/>
          <w:szCs w:val="20"/>
        </w:rPr>
        <w:t>national</w:t>
      </w:r>
      <w:r w:rsidRPr="001E4C94">
        <w:rPr>
          <w:rFonts w:asciiTheme="majorHAnsi" w:hAnsiTheme="majorHAnsi"/>
          <w:sz w:val="20"/>
          <w:szCs w:val="20"/>
        </w:rPr>
        <w:t xml:space="preserve"> security” </w:t>
      </w:r>
      <w:r w:rsidR="008C0889" w:rsidRPr="001E4C94">
        <w:rPr>
          <w:rFonts w:asciiTheme="majorHAnsi" w:hAnsiTheme="majorHAnsi"/>
          <w:sz w:val="20"/>
          <w:szCs w:val="20"/>
        </w:rPr>
        <w:t>policy</w:t>
      </w:r>
      <w:r w:rsidRPr="001E4C94">
        <w:rPr>
          <w:rFonts w:asciiTheme="majorHAnsi" w:hAnsiTheme="majorHAnsi"/>
          <w:sz w:val="20"/>
          <w:szCs w:val="20"/>
        </w:rPr>
        <w:t xml:space="preserve"> since the 1970s and was </w:t>
      </w:r>
      <w:r w:rsidR="008C0889" w:rsidRPr="001E4C94">
        <w:rPr>
          <w:rFonts w:asciiTheme="majorHAnsi" w:hAnsiTheme="majorHAnsi"/>
          <w:sz w:val="20"/>
          <w:szCs w:val="20"/>
        </w:rPr>
        <w:t>systematically</w:t>
      </w:r>
      <w:r w:rsidRPr="001E4C94">
        <w:rPr>
          <w:rFonts w:asciiTheme="majorHAnsi" w:hAnsiTheme="majorHAnsi"/>
          <w:sz w:val="20"/>
          <w:szCs w:val="20"/>
        </w:rPr>
        <w:t xml:space="preserve"> adopted by the State as a mechanism of repression against </w:t>
      </w:r>
      <w:r w:rsidR="005A3F68" w:rsidRPr="001E4C94">
        <w:rPr>
          <w:rFonts w:asciiTheme="majorHAnsi" w:hAnsiTheme="majorHAnsi"/>
          <w:sz w:val="20"/>
          <w:szCs w:val="20"/>
        </w:rPr>
        <w:t>insurgents</w:t>
      </w:r>
      <w:r w:rsidRPr="001E4C94">
        <w:rPr>
          <w:rFonts w:asciiTheme="majorHAnsi" w:hAnsiTheme="majorHAnsi"/>
          <w:sz w:val="20"/>
          <w:szCs w:val="20"/>
        </w:rPr>
        <w:t xml:space="preserve"> and political opposition groups. </w:t>
      </w:r>
      <w:r w:rsidR="00540636" w:rsidRPr="001E4C94">
        <w:rPr>
          <w:rFonts w:asciiTheme="majorHAnsi" w:hAnsiTheme="majorHAnsi"/>
          <w:sz w:val="20"/>
          <w:szCs w:val="20"/>
        </w:rPr>
        <w:t>Furthermore, t</w:t>
      </w:r>
      <w:r w:rsidRPr="001E4C94">
        <w:rPr>
          <w:rFonts w:asciiTheme="majorHAnsi" w:hAnsiTheme="majorHAnsi"/>
          <w:sz w:val="20"/>
          <w:szCs w:val="20"/>
        </w:rPr>
        <w:t xml:space="preserve">hey </w:t>
      </w:r>
      <w:r w:rsidR="0043261C" w:rsidRPr="001E4C94">
        <w:rPr>
          <w:rFonts w:asciiTheme="majorHAnsi" w:hAnsiTheme="majorHAnsi"/>
          <w:sz w:val="20"/>
          <w:szCs w:val="20"/>
        </w:rPr>
        <w:t>claim</w:t>
      </w:r>
      <w:r w:rsidR="00540636" w:rsidRPr="001E4C94">
        <w:rPr>
          <w:rFonts w:asciiTheme="majorHAnsi" w:hAnsiTheme="majorHAnsi"/>
          <w:sz w:val="20"/>
          <w:szCs w:val="20"/>
        </w:rPr>
        <w:t xml:space="preserve"> </w:t>
      </w:r>
      <w:r w:rsidRPr="001E4C94">
        <w:rPr>
          <w:rFonts w:asciiTheme="majorHAnsi" w:hAnsiTheme="majorHAnsi"/>
          <w:sz w:val="20"/>
          <w:szCs w:val="20"/>
        </w:rPr>
        <w:t xml:space="preserve">that according to the report, </w:t>
      </w:r>
      <w:r w:rsidRPr="00F478F6">
        <w:rPr>
          <w:rFonts w:asciiTheme="majorHAnsi" w:hAnsiTheme="majorHAnsi"/>
          <w:sz w:val="20"/>
          <w:szCs w:val="20"/>
        </w:rPr>
        <w:t>“Colombia Nunca Más”</w:t>
      </w:r>
      <w:r w:rsidRPr="001E4C94">
        <w:rPr>
          <w:rFonts w:asciiTheme="majorHAnsi" w:hAnsiTheme="majorHAnsi"/>
          <w:sz w:val="20"/>
          <w:szCs w:val="20"/>
        </w:rPr>
        <w:t xml:space="preserve"> [“Colombia Never Again”]</w:t>
      </w:r>
      <w:r w:rsidR="0043261C" w:rsidRPr="001E4C94">
        <w:rPr>
          <w:rFonts w:asciiTheme="majorHAnsi" w:hAnsiTheme="majorHAnsi"/>
          <w:sz w:val="20"/>
          <w:szCs w:val="20"/>
        </w:rPr>
        <w:t>,</w:t>
      </w:r>
      <w:r w:rsidRPr="001E4C94">
        <w:rPr>
          <w:rFonts w:asciiTheme="majorHAnsi" w:hAnsiTheme="majorHAnsi"/>
          <w:sz w:val="20"/>
          <w:szCs w:val="20"/>
        </w:rPr>
        <w:t xml:space="preserve"> towards the end of the </w:t>
      </w:r>
      <w:r w:rsidR="00540636" w:rsidRPr="001E4C94">
        <w:rPr>
          <w:rFonts w:asciiTheme="majorHAnsi" w:hAnsiTheme="majorHAnsi"/>
          <w:sz w:val="20"/>
          <w:szCs w:val="20"/>
        </w:rPr>
        <w:t>19</w:t>
      </w:r>
      <w:r w:rsidRPr="001E4C94">
        <w:rPr>
          <w:rFonts w:asciiTheme="majorHAnsi" w:hAnsiTheme="majorHAnsi"/>
          <w:sz w:val="20"/>
          <w:szCs w:val="20"/>
        </w:rPr>
        <w:t xml:space="preserve">80s and beginning of the </w:t>
      </w:r>
      <w:r w:rsidR="00540636" w:rsidRPr="001E4C94">
        <w:rPr>
          <w:rFonts w:asciiTheme="majorHAnsi" w:hAnsiTheme="majorHAnsi"/>
          <w:sz w:val="20"/>
          <w:szCs w:val="20"/>
        </w:rPr>
        <w:t>19</w:t>
      </w:r>
      <w:r w:rsidRPr="001E4C94">
        <w:rPr>
          <w:rFonts w:asciiTheme="majorHAnsi" w:hAnsiTheme="majorHAnsi"/>
          <w:sz w:val="20"/>
          <w:szCs w:val="20"/>
        </w:rPr>
        <w:t xml:space="preserve">90s there was a marked increase in the </w:t>
      </w:r>
      <w:r w:rsidR="00540636" w:rsidRPr="001E4C94">
        <w:rPr>
          <w:rFonts w:asciiTheme="majorHAnsi" w:hAnsiTheme="majorHAnsi"/>
          <w:sz w:val="20"/>
          <w:szCs w:val="20"/>
        </w:rPr>
        <w:t>b</w:t>
      </w:r>
      <w:r w:rsidRPr="001E4C94">
        <w:rPr>
          <w:rFonts w:asciiTheme="majorHAnsi" w:hAnsiTheme="majorHAnsi"/>
          <w:sz w:val="20"/>
          <w:szCs w:val="20"/>
        </w:rPr>
        <w:t xml:space="preserve">udget </w:t>
      </w:r>
      <w:r w:rsidR="00540636" w:rsidRPr="001E4C94">
        <w:rPr>
          <w:rFonts w:asciiTheme="majorHAnsi" w:hAnsiTheme="majorHAnsi"/>
          <w:sz w:val="20"/>
          <w:szCs w:val="20"/>
        </w:rPr>
        <w:t xml:space="preserve">allocated </w:t>
      </w:r>
      <w:r w:rsidRPr="001E4C94">
        <w:rPr>
          <w:rFonts w:asciiTheme="majorHAnsi" w:hAnsiTheme="majorHAnsi"/>
          <w:sz w:val="20"/>
          <w:szCs w:val="20"/>
        </w:rPr>
        <w:t xml:space="preserve">to establish </w:t>
      </w:r>
      <w:r w:rsidR="006C4F91">
        <w:rPr>
          <w:rFonts w:asciiTheme="majorHAnsi" w:hAnsiTheme="majorHAnsi"/>
          <w:sz w:val="20"/>
          <w:szCs w:val="20"/>
        </w:rPr>
        <w:t>“</w:t>
      </w:r>
      <w:r w:rsidRPr="001E4C94">
        <w:rPr>
          <w:rFonts w:asciiTheme="majorHAnsi" w:hAnsiTheme="majorHAnsi"/>
          <w:sz w:val="20"/>
          <w:szCs w:val="20"/>
        </w:rPr>
        <w:t>mobile brigades,</w:t>
      </w:r>
      <w:r w:rsidR="006C4F91">
        <w:rPr>
          <w:rFonts w:asciiTheme="majorHAnsi" w:hAnsiTheme="majorHAnsi"/>
          <w:sz w:val="20"/>
          <w:szCs w:val="20"/>
        </w:rPr>
        <w:t>”</w:t>
      </w:r>
      <w:r w:rsidRPr="001E4C94">
        <w:rPr>
          <w:rFonts w:asciiTheme="majorHAnsi" w:hAnsiTheme="majorHAnsi"/>
          <w:sz w:val="20"/>
          <w:szCs w:val="20"/>
        </w:rPr>
        <w:t xml:space="preserve"> which acted in </w:t>
      </w:r>
      <w:r w:rsidR="008C0889" w:rsidRPr="001E4C94">
        <w:rPr>
          <w:rFonts w:asciiTheme="majorHAnsi" w:hAnsiTheme="majorHAnsi"/>
          <w:sz w:val="20"/>
          <w:szCs w:val="20"/>
        </w:rPr>
        <w:t>tandem</w:t>
      </w:r>
      <w:r w:rsidRPr="001E4C94">
        <w:rPr>
          <w:rFonts w:asciiTheme="majorHAnsi" w:hAnsiTheme="majorHAnsi"/>
          <w:sz w:val="20"/>
          <w:szCs w:val="20"/>
        </w:rPr>
        <w:t xml:space="preserve"> with </w:t>
      </w:r>
      <w:r w:rsidR="008C0889" w:rsidRPr="001E4C94">
        <w:rPr>
          <w:rFonts w:asciiTheme="majorHAnsi" w:hAnsiTheme="majorHAnsi"/>
          <w:sz w:val="20"/>
          <w:szCs w:val="20"/>
        </w:rPr>
        <w:t>paramilitary</w:t>
      </w:r>
      <w:r w:rsidRPr="001E4C94">
        <w:rPr>
          <w:rFonts w:asciiTheme="majorHAnsi" w:hAnsiTheme="majorHAnsi"/>
          <w:sz w:val="20"/>
          <w:szCs w:val="20"/>
        </w:rPr>
        <w:t xml:space="preserve"> groups. </w:t>
      </w:r>
      <w:r w:rsidR="00540636" w:rsidRPr="001E4C94">
        <w:rPr>
          <w:rFonts w:asciiTheme="majorHAnsi" w:hAnsiTheme="majorHAnsi"/>
          <w:sz w:val="20"/>
          <w:szCs w:val="20"/>
        </w:rPr>
        <w:t>According to the petitioners,</w:t>
      </w:r>
      <w:r w:rsidRPr="001E4C94">
        <w:rPr>
          <w:rFonts w:asciiTheme="majorHAnsi" w:hAnsiTheme="majorHAnsi"/>
          <w:sz w:val="20"/>
          <w:szCs w:val="20"/>
        </w:rPr>
        <w:t xml:space="preserve"> mobile brigades were counter-insurgency units </w:t>
      </w:r>
      <w:r w:rsidR="00540636" w:rsidRPr="001E4C94">
        <w:rPr>
          <w:rFonts w:asciiTheme="majorHAnsi" w:hAnsiTheme="majorHAnsi"/>
          <w:sz w:val="20"/>
          <w:szCs w:val="20"/>
        </w:rPr>
        <w:t xml:space="preserve">that were </w:t>
      </w:r>
      <w:r w:rsidRPr="001E4C94">
        <w:rPr>
          <w:rFonts w:asciiTheme="majorHAnsi" w:hAnsiTheme="majorHAnsi"/>
          <w:sz w:val="20"/>
          <w:szCs w:val="20"/>
        </w:rPr>
        <w:t>established in the wake of the failed peace negotiations with insurgent groups</w:t>
      </w:r>
      <w:r w:rsidR="00440A1B" w:rsidRPr="001E4C94">
        <w:rPr>
          <w:rFonts w:asciiTheme="majorHAnsi" w:hAnsiTheme="majorHAnsi"/>
          <w:sz w:val="20"/>
          <w:szCs w:val="20"/>
        </w:rPr>
        <w:t xml:space="preserve"> </w:t>
      </w:r>
      <w:r w:rsidR="00540636" w:rsidRPr="001E4C94">
        <w:rPr>
          <w:rFonts w:asciiTheme="majorHAnsi" w:hAnsiTheme="majorHAnsi"/>
          <w:sz w:val="20"/>
          <w:szCs w:val="20"/>
        </w:rPr>
        <w:t>and used strategies to sow both</w:t>
      </w:r>
      <w:r w:rsidR="00440A1B" w:rsidRPr="001E4C94">
        <w:rPr>
          <w:rFonts w:asciiTheme="majorHAnsi" w:hAnsiTheme="majorHAnsi"/>
          <w:sz w:val="20"/>
          <w:szCs w:val="20"/>
        </w:rPr>
        <w:t xml:space="preserve"> physical and psychological</w:t>
      </w:r>
      <w:r w:rsidR="00540636" w:rsidRPr="001E4C94">
        <w:rPr>
          <w:rFonts w:asciiTheme="majorHAnsi" w:hAnsiTheme="majorHAnsi"/>
          <w:sz w:val="20"/>
          <w:szCs w:val="20"/>
        </w:rPr>
        <w:t xml:space="preserve"> terror</w:t>
      </w:r>
      <w:r w:rsidR="00440A1B" w:rsidRPr="001E4C94">
        <w:rPr>
          <w:rFonts w:asciiTheme="majorHAnsi" w:hAnsiTheme="majorHAnsi"/>
          <w:sz w:val="20"/>
          <w:szCs w:val="20"/>
        </w:rPr>
        <w:t>. These military units</w:t>
      </w:r>
      <w:r w:rsidR="00540636" w:rsidRPr="001E4C94">
        <w:rPr>
          <w:rFonts w:asciiTheme="majorHAnsi" w:hAnsiTheme="majorHAnsi"/>
          <w:sz w:val="20"/>
          <w:szCs w:val="20"/>
        </w:rPr>
        <w:t xml:space="preserve">’ concept of </w:t>
      </w:r>
      <w:r w:rsidR="00440A1B" w:rsidRPr="001E4C94">
        <w:rPr>
          <w:rFonts w:asciiTheme="majorHAnsi" w:hAnsiTheme="majorHAnsi"/>
          <w:sz w:val="20"/>
          <w:szCs w:val="20"/>
        </w:rPr>
        <w:t xml:space="preserve">“the enemy” </w:t>
      </w:r>
      <w:r w:rsidR="00540636" w:rsidRPr="001E4C94">
        <w:rPr>
          <w:rFonts w:asciiTheme="majorHAnsi" w:hAnsiTheme="majorHAnsi"/>
          <w:sz w:val="20"/>
          <w:szCs w:val="20"/>
        </w:rPr>
        <w:t>was extremely broad, including not</w:t>
      </w:r>
      <w:r w:rsidR="00440A1B" w:rsidRPr="001E4C94">
        <w:rPr>
          <w:rFonts w:asciiTheme="majorHAnsi" w:hAnsiTheme="majorHAnsi"/>
          <w:sz w:val="20"/>
          <w:szCs w:val="20"/>
        </w:rPr>
        <w:t xml:space="preserve"> only </w:t>
      </w:r>
      <w:r w:rsidR="00540636" w:rsidRPr="001E4C94">
        <w:rPr>
          <w:rFonts w:asciiTheme="majorHAnsi" w:hAnsiTheme="majorHAnsi"/>
          <w:sz w:val="20"/>
          <w:szCs w:val="20"/>
        </w:rPr>
        <w:t xml:space="preserve">insurgents, but </w:t>
      </w:r>
      <w:r w:rsidR="00440A1B" w:rsidRPr="001E4C94">
        <w:rPr>
          <w:rFonts w:asciiTheme="majorHAnsi" w:hAnsiTheme="majorHAnsi"/>
          <w:sz w:val="20"/>
          <w:szCs w:val="20"/>
        </w:rPr>
        <w:t>also community and political leaders.</w:t>
      </w:r>
    </w:p>
    <w:p w:rsidR="005758BA" w:rsidRPr="001E4C94" w:rsidRDefault="005758BA" w:rsidP="006E4093">
      <w:pPr>
        <w:spacing w:after="0"/>
        <w:jc w:val="both"/>
        <w:rPr>
          <w:rFonts w:asciiTheme="majorHAnsi" w:hAnsiTheme="majorHAnsi"/>
          <w:sz w:val="20"/>
          <w:szCs w:val="20"/>
        </w:rPr>
      </w:pPr>
    </w:p>
    <w:p w:rsidR="00542F43" w:rsidRPr="001E4C94" w:rsidRDefault="00440A1B"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The petitioners offered information on the context and specific situation in the </w:t>
      </w:r>
      <w:r w:rsidR="00542F43" w:rsidRPr="001E4C94">
        <w:rPr>
          <w:rFonts w:asciiTheme="majorHAnsi" w:hAnsiTheme="majorHAnsi"/>
          <w:sz w:val="20"/>
          <w:szCs w:val="20"/>
        </w:rPr>
        <w:t xml:space="preserve">San Vicente de Chucurí </w:t>
      </w:r>
      <w:r w:rsidR="00747495" w:rsidRPr="001E4C94">
        <w:rPr>
          <w:rFonts w:asciiTheme="majorHAnsi" w:hAnsiTheme="majorHAnsi"/>
          <w:sz w:val="20"/>
          <w:szCs w:val="20"/>
        </w:rPr>
        <w:t xml:space="preserve">region </w:t>
      </w:r>
      <w:r w:rsidRPr="001E4C94">
        <w:rPr>
          <w:rFonts w:asciiTheme="majorHAnsi" w:hAnsiTheme="majorHAnsi"/>
          <w:sz w:val="20"/>
          <w:szCs w:val="20"/>
        </w:rPr>
        <w:t xml:space="preserve">regarding </w:t>
      </w:r>
      <w:r w:rsidR="00747495" w:rsidRPr="001E4C94">
        <w:rPr>
          <w:rFonts w:asciiTheme="majorHAnsi" w:hAnsiTheme="majorHAnsi"/>
          <w:sz w:val="20"/>
          <w:szCs w:val="20"/>
        </w:rPr>
        <w:t xml:space="preserve">the </w:t>
      </w:r>
      <w:r w:rsidRPr="001E4C94">
        <w:rPr>
          <w:rFonts w:asciiTheme="majorHAnsi" w:hAnsiTheme="majorHAnsi"/>
          <w:sz w:val="20"/>
          <w:szCs w:val="20"/>
        </w:rPr>
        <w:t xml:space="preserve">violence, </w:t>
      </w:r>
      <w:r w:rsidR="0043261C" w:rsidRPr="001E4C94">
        <w:rPr>
          <w:rFonts w:asciiTheme="majorHAnsi" w:hAnsiTheme="majorHAnsi"/>
          <w:sz w:val="20"/>
          <w:szCs w:val="20"/>
        </w:rPr>
        <w:t xml:space="preserve">paramilitary groups’ </w:t>
      </w:r>
      <w:r w:rsidRPr="001E4C94">
        <w:rPr>
          <w:rFonts w:asciiTheme="majorHAnsi" w:hAnsiTheme="majorHAnsi"/>
          <w:sz w:val="20"/>
          <w:szCs w:val="20"/>
        </w:rPr>
        <w:t xml:space="preserve">presence, and the army’s actions since 1982. They provided information that </w:t>
      </w:r>
      <w:r w:rsidR="008C0889" w:rsidRPr="001E4C94">
        <w:rPr>
          <w:rFonts w:asciiTheme="majorHAnsi" w:hAnsiTheme="majorHAnsi"/>
          <w:sz w:val="20"/>
          <w:szCs w:val="20"/>
        </w:rPr>
        <w:t>explained</w:t>
      </w:r>
      <w:r w:rsidRPr="001E4C94">
        <w:rPr>
          <w:rFonts w:asciiTheme="majorHAnsi" w:hAnsiTheme="majorHAnsi"/>
          <w:sz w:val="20"/>
          <w:szCs w:val="20"/>
        </w:rPr>
        <w:t xml:space="preserve"> how, as of the </w:t>
      </w:r>
      <w:r w:rsidR="00747495" w:rsidRPr="001E4C94">
        <w:rPr>
          <w:rFonts w:asciiTheme="majorHAnsi" w:hAnsiTheme="majorHAnsi"/>
          <w:sz w:val="20"/>
          <w:szCs w:val="20"/>
        </w:rPr>
        <w:t>19</w:t>
      </w:r>
      <w:r w:rsidRPr="001E4C94">
        <w:rPr>
          <w:rFonts w:asciiTheme="majorHAnsi" w:hAnsiTheme="majorHAnsi"/>
          <w:sz w:val="20"/>
          <w:szCs w:val="20"/>
        </w:rPr>
        <w:t xml:space="preserve">90s, the </w:t>
      </w:r>
      <w:r w:rsidR="00747495" w:rsidRPr="001E4C94">
        <w:rPr>
          <w:rFonts w:asciiTheme="majorHAnsi" w:hAnsiTheme="majorHAnsi"/>
          <w:sz w:val="20"/>
          <w:szCs w:val="20"/>
        </w:rPr>
        <w:t xml:space="preserve">paramilitary groups </w:t>
      </w:r>
      <w:r w:rsidRPr="001E4C94">
        <w:rPr>
          <w:rFonts w:asciiTheme="majorHAnsi" w:hAnsiTheme="majorHAnsi"/>
          <w:sz w:val="20"/>
          <w:szCs w:val="20"/>
        </w:rPr>
        <w:t>positioning and army counter</w:t>
      </w:r>
      <w:r w:rsidR="00747495" w:rsidRPr="001E4C94">
        <w:rPr>
          <w:rFonts w:asciiTheme="majorHAnsi" w:hAnsiTheme="majorHAnsi"/>
          <w:sz w:val="20"/>
          <w:szCs w:val="20"/>
        </w:rPr>
        <w:t>insurgency</w:t>
      </w:r>
      <w:r w:rsidRPr="001E4C94">
        <w:rPr>
          <w:rFonts w:asciiTheme="majorHAnsi" w:hAnsiTheme="majorHAnsi"/>
          <w:sz w:val="20"/>
          <w:szCs w:val="20"/>
        </w:rPr>
        <w:t xml:space="preserve"> operations had </w:t>
      </w:r>
      <w:r w:rsidR="008C0889" w:rsidRPr="001E4C94">
        <w:rPr>
          <w:rFonts w:asciiTheme="majorHAnsi" w:hAnsiTheme="majorHAnsi"/>
          <w:sz w:val="20"/>
          <w:szCs w:val="20"/>
        </w:rPr>
        <w:t>intensified</w:t>
      </w:r>
      <w:r w:rsidRPr="001E4C94">
        <w:rPr>
          <w:rFonts w:asciiTheme="majorHAnsi" w:hAnsiTheme="majorHAnsi"/>
          <w:sz w:val="20"/>
          <w:szCs w:val="20"/>
        </w:rPr>
        <w:t xml:space="preserve"> </w:t>
      </w:r>
      <w:r w:rsidR="00747495" w:rsidRPr="001E4C94">
        <w:rPr>
          <w:rFonts w:asciiTheme="majorHAnsi" w:hAnsiTheme="majorHAnsi"/>
          <w:sz w:val="20"/>
          <w:szCs w:val="20"/>
        </w:rPr>
        <w:t xml:space="preserve">considerably </w:t>
      </w:r>
      <w:r w:rsidRPr="001E4C94">
        <w:rPr>
          <w:rFonts w:asciiTheme="majorHAnsi" w:hAnsiTheme="majorHAnsi"/>
          <w:sz w:val="20"/>
          <w:szCs w:val="20"/>
        </w:rPr>
        <w:t xml:space="preserve">in the Municipality of </w:t>
      </w:r>
      <w:r w:rsidR="00542F43" w:rsidRPr="001E4C94">
        <w:rPr>
          <w:rFonts w:asciiTheme="majorHAnsi" w:hAnsiTheme="majorHAnsi"/>
          <w:sz w:val="20"/>
          <w:szCs w:val="20"/>
        </w:rPr>
        <w:t xml:space="preserve">San Vicente de Chucurí. </w:t>
      </w:r>
      <w:r w:rsidRPr="001E4C94">
        <w:rPr>
          <w:rFonts w:asciiTheme="majorHAnsi" w:hAnsiTheme="majorHAnsi"/>
          <w:sz w:val="20"/>
          <w:szCs w:val="20"/>
        </w:rPr>
        <w:t xml:space="preserve">In </w:t>
      </w:r>
      <w:r w:rsidR="008C0889" w:rsidRPr="001E4C94">
        <w:rPr>
          <w:rFonts w:asciiTheme="majorHAnsi" w:hAnsiTheme="majorHAnsi"/>
          <w:sz w:val="20"/>
          <w:szCs w:val="20"/>
        </w:rPr>
        <w:t>particular</w:t>
      </w:r>
      <w:r w:rsidRPr="001E4C94">
        <w:rPr>
          <w:rFonts w:asciiTheme="majorHAnsi" w:hAnsiTheme="majorHAnsi"/>
          <w:sz w:val="20"/>
          <w:szCs w:val="20"/>
        </w:rPr>
        <w:t>, they underscore</w:t>
      </w:r>
      <w:r w:rsidR="00747495" w:rsidRPr="001E4C94">
        <w:rPr>
          <w:rFonts w:asciiTheme="majorHAnsi" w:hAnsiTheme="majorHAnsi"/>
          <w:sz w:val="20"/>
          <w:szCs w:val="20"/>
        </w:rPr>
        <w:t>d</w:t>
      </w:r>
      <w:r w:rsidRPr="001E4C94">
        <w:rPr>
          <w:rFonts w:asciiTheme="majorHAnsi" w:hAnsiTheme="majorHAnsi"/>
          <w:sz w:val="20"/>
          <w:szCs w:val="20"/>
        </w:rPr>
        <w:t xml:space="preserve"> that </w:t>
      </w:r>
      <w:r w:rsidR="00747495" w:rsidRPr="001E4C94">
        <w:rPr>
          <w:rFonts w:asciiTheme="majorHAnsi" w:hAnsiTheme="majorHAnsi"/>
          <w:sz w:val="20"/>
          <w:szCs w:val="20"/>
        </w:rPr>
        <w:t xml:space="preserve">the abovementioned </w:t>
      </w:r>
      <w:r w:rsidRPr="006C4F91">
        <w:rPr>
          <w:rFonts w:asciiTheme="majorHAnsi" w:hAnsiTheme="majorHAnsi"/>
          <w:sz w:val="20"/>
          <w:szCs w:val="20"/>
        </w:rPr>
        <w:t>report, “Colombia Nunca Más,”</w:t>
      </w:r>
      <w:r w:rsidR="00747495" w:rsidRPr="006C4F91">
        <w:rPr>
          <w:rFonts w:asciiTheme="majorHAnsi" w:hAnsiTheme="majorHAnsi"/>
          <w:sz w:val="20"/>
          <w:szCs w:val="20"/>
        </w:rPr>
        <w:t xml:space="preserve"> provides</w:t>
      </w:r>
      <w:r w:rsidRPr="001E4C94">
        <w:rPr>
          <w:rFonts w:asciiTheme="majorHAnsi" w:hAnsiTheme="majorHAnsi"/>
          <w:sz w:val="20"/>
          <w:szCs w:val="20"/>
        </w:rPr>
        <w:t xml:space="preserve"> an accounting of the </w:t>
      </w:r>
      <w:r w:rsidR="00747495" w:rsidRPr="001E4C94">
        <w:rPr>
          <w:rFonts w:asciiTheme="majorHAnsi" w:hAnsiTheme="majorHAnsi"/>
          <w:sz w:val="20"/>
          <w:szCs w:val="20"/>
        </w:rPr>
        <w:t>Fifth Brigade’s activities</w:t>
      </w:r>
      <w:r w:rsidRPr="001E4C94">
        <w:rPr>
          <w:rFonts w:asciiTheme="majorHAnsi" w:hAnsiTheme="majorHAnsi"/>
          <w:sz w:val="20"/>
          <w:szCs w:val="20"/>
        </w:rPr>
        <w:t xml:space="preserve"> in that municipality and </w:t>
      </w:r>
      <w:r w:rsidR="00747495" w:rsidRPr="001E4C94">
        <w:rPr>
          <w:rFonts w:asciiTheme="majorHAnsi" w:hAnsiTheme="majorHAnsi"/>
          <w:sz w:val="20"/>
          <w:szCs w:val="20"/>
        </w:rPr>
        <w:t xml:space="preserve">specified </w:t>
      </w:r>
      <w:r w:rsidRPr="001E4C94">
        <w:rPr>
          <w:rFonts w:asciiTheme="majorHAnsi" w:hAnsiTheme="majorHAnsi"/>
          <w:sz w:val="20"/>
          <w:szCs w:val="20"/>
        </w:rPr>
        <w:t xml:space="preserve">that </w:t>
      </w:r>
      <w:r w:rsidR="00747495" w:rsidRPr="001E4C94">
        <w:rPr>
          <w:rFonts w:asciiTheme="majorHAnsi" w:hAnsiTheme="majorHAnsi"/>
          <w:sz w:val="20"/>
          <w:szCs w:val="20"/>
        </w:rPr>
        <w:t xml:space="preserve">this was the context in which </w:t>
      </w:r>
      <w:r w:rsidRPr="001E4C94">
        <w:rPr>
          <w:rFonts w:asciiTheme="majorHAnsi" w:hAnsiTheme="majorHAnsi"/>
          <w:sz w:val="20"/>
          <w:szCs w:val="20"/>
        </w:rPr>
        <w:t xml:space="preserve">the facts in this case </w:t>
      </w:r>
      <w:r w:rsidR="00C142DF" w:rsidRPr="001E4C94">
        <w:rPr>
          <w:rFonts w:asciiTheme="majorHAnsi" w:hAnsiTheme="majorHAnsi"/>
          <w:sz w:val="20"/>
          <w:szCs w:val="20"/>
        </w:rPr>
        <w:t>unfolded</w:t>
      </w:r>
      <w:r w:rsidR="00747495" w:rsidRPr="001E4C94">
        <w:rPr>
          <w:rFonts w:asciiTheme="majorHAnsi" w:hAnsiTheme="majorHAnsi"/>
          <w:sz w:val="20"/>
          <w:szCs w:val="20"/>
        </w:rPr>
        <w:t>.</w:t>
      </w:r>
    </w:p>
    <w:p w:rsidR="005758BA" w:rsidRPr="001E4C94" w:rsidRDefault="005758BA" w:rsidP="006E4093">
      <w:pPr>
        <w:spacing w:after="0"/>
        <w:jc w:val="both"/>
        <w:rPr>
          <w:rFonts w:asciiTheme="majorHAnsi" w:hAnsiTheme="majorHAnsi"/>
          <w:sz w:val="20"/>
          <w:szCs w:val="20"/>
        </w:rPr>
      </w:pPr>
    </w:p>
    <w:p w:rsidR="002151A9" w:rsidRPr="001E4C94" w:rsidRDefault="00440A1B"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Indeed, in </w:t>
      </w:r>
      <w:r w:rsidR="008C0889" w:rsidRPr="001E4C94">
        <w:rPr>
          <w:rFonts w:asciiTheme="majorHAnsi" w:hAnsiTheme="majorHAnsi"/>
          <w:sz w:val="20"/>
          <w:szCs w:val="20"/>
        </w:rPr>
        <w:t>the</w:t>
      </w:r>
      <w:r w:rsidRPr="001E4C94">
        <w:rPr>
          <w:rFonts w:asciiTheme="majorHAnsi" w:hAnsiTheme="majorHAnsi"/>
          <w:sz w:val="20"/>
          <w:szCs w:val="20"/>
        </w:rPr>
        <w:t xml:space="preserve"> petitioner’s </w:t>
      </w:r>
      <w:r w:rsidR="00747495" w:rsidRPr="001E4C94">
        <w:rPr>
          <w:rFonts w:asciiTheme="majorHAnsi" w:hAnsiTheme="majorHAnsi"/>
          <w:sz w:val="20"/>
          <w:szCs w:val="20"/>
        </w:rPr>
        <w:t xml:space="preserve">initial </w:t>
      </w:r>
      <w:r w:rsidR="00C142DF" w:rsidRPr="001E4C94">
        <w:rPr>
          <w:rFonts w:asciiTheme="majorHAnsi" w:hAnsiTheme="majorHAnsi"/>
          <w:sz w:val="20"/>
          <w:szCs w:val="20"/>
        </w:rPr>
        <w:t>submission</w:t>
      </w:r>
      <w:r w:rsidRPr="001E4C94">
        <w:rPr>
          <w:rFonts w:asciiTheme="majorHAnsi" w:hAnsiTheme="majorHAnsi"/>
          <w:sz w:val="20"/>
          <w:szCs w:val="20"/>
        </w:rPr>
        <w:t xml:space="preserve"> of March 2, 1990, the</w:t>
      </w:r>
      <w:r w:rsidR="00747495" w:rsidRPr="001E4C94">
        <w:rPr>
          <w:rFonts w:asciiTheme="majorHAnsi" w:hAnsiTheme="majorHAnsi"/>
          <w:sz w:val="20"/>
          <w:szCs w:val="20"/>
        </w:rPr>
        <w:t>y</w:t>
      </w:r>
      <w:r w:rsidRPr="001E4C94">
        <w:rPr>
          <w:rFonts w:asciiTheme="majorHAnsi" w:hAnsiTheme="majorHAnsi"/>
          <w:sz w:val="20"/>
          <w:szCs w:val="20"/>
        </w:rPr>
        <w:t xml:space="preserve"> informed the Commission </w:t>
      </w:r>
      <w:r w:rsidR="002151A9" w:rsidRPr="001E4C94">
        <w:rPr>
          <w:rFonts w:asciiTheme="majorHAnsi" w:hAnsiTheme="majorHAnsi"/>
          <w:sz w:val="20"/>
          <w:szCs w:val="20"/>
        </w:rPr>
        <w:t>t</w:t>
      </w:r>
      <w:r w:rsidRPr="001E4C94">
        <w:rPr>
          <w:rFonts w:asciiTheme="majorHAnsi" w:hAnsiTheme="majorHAnsi"/>
          <w:sz w:val="20"/>
          <w:szCs w:val="20"/>
        </w:rPr>
        <w:t>hat Juan Fernando Porras Martínez had disappeared on February 5, 1990</w:t>
      </w:r>
      <w:r w:rsidR="00C142DF" w:rsidRPr="001E4C94">
        <w:rPr>
          <w:rFonts w:asciiTheme="majorHAnsi" w:hAnsiTheme="majorHAnsi"/>
          <w:sz w:val="20"/>
          <w:szCs w:val="20"/>
        </w:rPr>
        <w:t>,</w:t>
      </w:r>
      <w:r w:rsidRPr="001E4C94">
        <w:rPr>
          <w:rFonts w:asciiTheme="majorHAnsi" w:hAnsiTheme="majorHAnsi"/>
          <w:sz w:val="20"/>
          <w:szCs w:val="20"/>
        </w:rPr>
        <w:t xml:space="preserve"> at </w:t>
      </w:r>
      <w:r w:rsidR="006F487B" w:rsidRPr="001E4C94">
        <w:rPr>
          <w:rFonts w:asciiTheme="majorHAnsi" w:hAnsiTheme="majorHAnsi"/>
          <w:sz w:val="20"/>
          <w:szCs w:val="20"/>
        </w:rPr>
        <w:t xml:space="preserve">6:45 pm, </w:t>
      </w:r>
      <w:r w:rsidRPr="001E4C94">
        <w:rPr>
          <w:rFonts w:asciiTheme="majorHAnsi" w:hAnsiTheme="majorHAnsi"/>
          <w:sz w:val="20"/>
          <w:szCs w:val="20"/>
        </w:rPr>
        <w:t xml:space="preserve">in the city of </w:t>
      </w:r>
      <w:r w:rsidR="006F487B" w:rsidRPr="001E4C94">
        <w:rPr>
          <w:rFonts w:asciiTheme="majorHAnsi" w:hAnsiTheme="majorHAnsi"/>
          <w:sz w:val="20"/>
          <w:szCs w:val="20"/>
        </w:rPr>
        <w:t xml:space="preserve">Bucaramanga, </w:t>
      </w:r>
      <w:r w:rsidRPr="001E4C94">
        <w:rPr>
          <w:rFonts w:asciiTheme="majorHAnsi" w:hAnsiTheme="majorHAnsi"/>
          <w:sz w:val="20"/>
          <w:szCs w:val="20"/>
        </w:rPr>
        <w:t xml:space="preserve">when conducting personal </w:t>
      </w:r>
      <w:r w:rsidR="00747495" w:rsidRPr="001E4C94">
        <w:rPr>
          <w:rFonts w:asciiTheme="majorHAnsi" w:hAnsiTheme="majorHAnsi"/>
          <w:sz w:val="20"/>
          <w:szCs w:val="20"/>
        </w:rPr>
        <w:t xml:space="preserve">business </w:t>
      </w:r>
      <w:r w:rsidRPr="001E4C94">
        <w:rPr>
          <w:rFonts w:asciiTheme="majorHAnsi" w:hAnsiTheme="majorHAnsi"/>
          <w:sz w:val="20"/>
          <w:szCs w:val="20"/>
        </w:rPr>
        <w:t xml:space="preserve">on </w:t>
      </w:r>
      <w:r w:rsidR="006C4F91">
        <w:rPr>
          <w:rFonts w:asciiTheme="majorHAnsi" w:hAnsiTheme="majorHAnsi"/>
          <w:sz w:val="20"/>
          <w:szCs w:val="20"/>
        </w:rPr>
        <w:t>a</w:t>
      </w:r>
      <w:r w:rsidR="002151A9" w:rsidRPr="001E4C94">
        <w:rPr>
          <w:rFonts w:asciiTheme="majorHAnsi" w:hAnsiTheme="majorHAnsi"/>
          <w:sz w:val="20"/>
          <w:szCs w:val="20"/>
        </w:rPr>
        <w:t xml:space="preserve">venue </w:t>
      </w:r>
      <w:r w:rsidR="006F487B" w:rsidRPr="001E4C94">
        <w:rPr>
          <w:rFonts w:asciiTheme="majorHAnsi" w:hAnsiTheme="majorHAnsi"/>
          <w:sz w:val="20"/>
          <w:szCs w:val="20"/>
        </w:rPr>
        <w:t>33</w:t>
      </w:r>
      <w:r w:rsidR="006C4F91">
        <w:rPr>
          <w:rFonts w:asciiTheme="majorHAnsi" w:hAnsiTheme="majorHAnsi"/>
          <w:sz w:val="20"/>
          <w:szCs w:val="20"/>
        </w:rPr>
        <w:t xml:space="preserve"> and </w:t>
      </w:r>
      <w:r w:rsidR="002151A9" w:rsidRPr="001E4C94">
        <w:rPr>
          <w:rFonts w:asciiTheme="majorHAnsi" w:hAnsiTheme="majorHAnsi"/>
          <w:sz w:val="20"/>
          <w:szCs w:val="20"/>
        </w:rPr>
        <w:t xml:space="preserve">street </w:t>
      </w:r>
      <w:r w:rsidR="006F487B" w:rsidRPr="001E4C94">
        <w:rPr>
          <w:rFonts w:asciiTheme="majorHAnsi" w:hAnsiTheme="majorHAnsi"/>
          <w:sz w:val="20"/>
          <w:szCs w:val="20"/>
        </w:rPr>
        <w:t xml:space="preserve">51. </w:t>
      </w:r>
      <w:r w:rsidR="002151A9" w:rsidRPr="001E4C94">
        <w:rPr>
          <w:rFonts w:asciiTheme="majorHAnsi" w:hAnsiTheme="majorHAnsi"/>
          <w:sz w:val="20"/>
          <w:szCs w:val="20"/>
        </w:rPr>
        <w:t xml:space="preserve">In that </w:t>
      </w:r>
      <w:r w:rsidR="00C142DF" w:rsidRPr="001E4C94">
        <w:rPr>
          <w:rFonts w:asciiTheme="majorHAnsi" w:hAnsiTheme="majorHAnsi"/>
          <w:sz w:val="20"/>
          <w:szCs w:val="20"/>
        </w:rPr>
        <w:t>submission</w:t>
      </w:r>
      <w:r w:rsidR="002151A9" w:rsidRPr="001E4C94">
        <w:rPr>
          <w:rFonts w:asciiTheme="majorHAnsi" w:hAnsiTheme="majorHAnsi"/>
          <w:sz w:val="20"/>
          <w:szCs w:val="20"/>
        </w:rPr>
        <w:t xml:space="preserve">, they reported that his family had looked </w:t>
      </w:r>
      <w:r w:rsidR="00747495" w:rsidRPr="001E4C94">
        <w:rPr>
          <w:rFonts w:asciiTheme="majorHAnsi" w:hAnsiTheme="majorHAnsi"/>
          <w:sz w:val="20"/>
          <w:szCs w:val="20"/>
        </w:rPr>
        <w:t xml:space="preserve">for him </w:t>
      </w:r>
      <w:r w:rsidR="002151A9" w:rsidRPr="001E4C94">
        <w:rPr>
          <w:rFonts w:asciiTheme="majorHAnsi" w:hAnsiTheme="majorHAnsi"/>
          <w:sz w:val="20"/>
          <w:szCs w:val="20"/>
        </w:rPr>
        <w:t xml:space="preserve">in hospitals, </w:t>
      </w:r>
      <w:r w:rsidR="00747495" w:rsidRPr="001E4C94">
        <w:rPr>
          <w:rFonts w:asciiTheme="majorHAnsi" w:hAnsiTheme="majorHAnsi"/>
          <w:sz w:val="20"/>
          <w:szCs w:val="20"/>
        </w:rPr>
        <w:t>t</w:t>
      </w:r>
      <w:r w:rsidR="002151A9" w:rsidRPr="001E4C94">
        <w:rPr>
          <w:rFonts w:asciiTheme="majorHAnsi" w:hAnsiTheme="majorHAnsi"/>
          <w:sz w:val="20"/>
          <w:szCs w:val="20"/>
        </w:rPr>
        <w:t xml:space="preserve">he morgue, </w:t>
      </w:r>
      <w:r w:rsidR="00747495" w:rsidRPr="001E4C94">
        <w:rPr>
          <w:rFonts w:asciiTheme="majorHAnsi" w:hAnsiTheme="majorHAnsi"/>
          <w:sz w:val="20"/>
          <w:szCs w:val="20"/>
        </w:rPr>
        <w:t>law enforcement agencies,</w:t>
      </w:r>
      <w:r w:rsidR="002151A9" w:rsidRPr="001E4C94">
        <w:rPr>
          <w:rFonts w:asciiTheme="majorHAnsi" w:hAnsiTheme="majorHAnsi"/>
          <w:sz w:val="20"/>
          <w:szCs w:val="20"/>
        </w:rPr>
        <w:t xml:space="preserve"> and jails, but to no avail.</w:t>
      </w:r>
      <w:r w:rsidR="006F487B" w:rsidRPr="001E4C94">
        <w:rPr>
          <w:rFonts w:asciiTheme="majorHAnsi" w:hAnsiTheme="majorHAnsi"/>
          <w:sz w:val="20"/>
          <w:szCs w:val="20"/>
        </w:rPr>
        <w:t xml:space="preserve"> </w:t>
      </w:r>
      <w:r w:rsidR="002151A9" w:rsidRPr="001E4C94">
        <w:rPr>
          <w:rFonts w:asciiTheme="majorHAnsi" w:hAnsiTheme="majorHAnsi"/>
          <w:sz w:val="20"/>
          <w:szCs w:val="20"/>
        </w:rPr>
        <w:t xml:space="preserve">They further reported that the alleged victim had </w:t>
      </w:r>
      <w:r w:rsidR="00D7515D" w:rsidRPr="001E4C94">
        <w:rPr>
          <w:rFonts w:asciiTheme="majorHAnsi" w:hAnsiTheme="majorHAnsi"/>
          <w:sz w:val="20"/>
          <w:szCs w:val="20"/>
        </w:rPr>
        <w:t>been</w:t>
      </w:r>
      <w:r w:rsidR="002151A9" w:rsidRPr="001E4C94">
        <w:rPr>
          <w:rFonts w:asciiTheme="majorHAnsi" w:hAnsiTheme="majorHAnsi"/>
          <w:sz w:val="20"/>
          <w:szCs w:val="20"/>
        </w:rPr>
        <w:t xml:space="preserve"> a student </w:t>
      </w:r>
      <w:r w:rsidR="00D7515D" w:rsidRPr="001E4C94">
        <w:rPr>
          <w:rFonts w:asciiTheme="majorHAnsi" w:hAnsiTheme="majorHAnsi"/>
          <w:sz w:val="20"/>
          <w:szCs w:val="20"/>
        </w:rPr>
        <w:t>at</w:t>
      </w:r>
      <w:r w:rsidR="002151A9" w:rsidRPr="001E4C94">
        <w:rPr>
          <w:rFonts w:asciiTheme="majorHAnsi" w:hAnsiTheme="majorHAnsi"/>
          <w:sz w:val="20"/>
          <w:szCs w:val="20"/>
        </w:rPr>
        <w:t xml:space="preserve"> the </w:t>
      </w:r>
      <w:r w:rsidR="00D7515D" w:rsidRPr="001E4C94">
        <w:rPr>
          <w:rFonts w:asciiTheme="majorHAnsi" w:hAnsiTheme="majorHAnsi"/>
          <w:sz w:val="20"/>
          <w:szCs w:val="20"/>
        </w:rPr>
        <w:t xml:space="preserve">Industrial University of Santander’s </w:t>
      </w:r>
      <w:r w:rsidR="002151A9" w:rsidRPr="001E4C94">
        <w:rPr>
          <w:rFonts w:asciiTheme="majorHAnsi" w:hAnsiTheme="majorHAnsi"/>
          <w:sz w:val="20"/>
          <w:szCs w:val="20"/>
        </w:rPr>
        <w:t xml:space="preserve">School of Medicine and had been a political prisoner, </w:t>
      </w:r>
      <w:r w:rsidR="00D7515D" w:rsidRPr="001E4C94">
        <w:rPr>
          <w:rFonts w:asciiTheme="majorHAnsi" w:hAnsiTheme="majorHAnsi"/>
          <w:sz w:val="20"/>
          <w:szCs w:val="20"/>
        </w:rPr>
        <w:t xml:space="preserve">which is why </w:t>
      </w:r>
      <w:r w:rsidR="002151A9" w:rsidRPr="001E4C94">
        <w:rPr>
          <w:rFonts w:asciiTheme="majorHAnsi" w:hAnsiTheme="majorHAnsi"/>
          <w:sz w:val="20"/>
          <w:szCs w:val="20"/>
        </w:rPr>
        <w:t>they feared for his life</w:t>
      </w:r>
      <w:r w:rsidR="00BF7C9D" w:rsidRPr="001E4C94">
        <w:rPr>
          <w:rFonts w:asciiTheme="majorHAnsi" w:hAnsiTheme="majorHAnsi"/>
          <w:sz w:val="20"/>
          <w:szCs w:val="20"/>
        </w:rPr>
        <w:t xml:space="preserve">. </w:t>
      </w:r>
      <w:r w:rsidR="002151A9" w:rsidRPr="001E4C94">
        <w:rPr>
          <w:rFonts w:asciiTheme="majorHAnsi" w:hAnsiTheme="majorHAnsi"/>
          <w:sz w:val="20"/>
          <w:szCs w:val="20"/>
        </w:rPr>
        <w:t xml:space="preserve">The petitioners added that on </w:t>
      </w:r>
      <w:r w:rsidR="002151A9" w:rsidRPr="00950B30">
        <w:rPr>
          <w:rFonts w:asciiTheme="majorHAnsi" w:hAnsiTheme="majorHAnsi"/>
          <w:sz w:val="20"/>
          <w:szCs w:val="20"/>
        </w:rPr>
        <w:t xml:space="preserve">February 12, 1990, the insurgent organization </w:t>
      </w:r>
      <w:r w:rsidR="00AD5F71" w:rsidRPr="00950B30">
        <w:rPr>
          <w:rFonts w:asciiTheme="majorHAnsi" w:hAnsiTheme="majorHAnsi"/>
          <w:sz w:val="20"/>
          <w:szCs w:val="20"/>
        </w:rPr>
        <w:t>“Unión Camilista Ejército de Liberación Nacional (UCELN)”</w:t>
      </w:r>
      <w:r w:rsidR="009C7ADE" w:rsidRPr="00950B30">
        <w:rPr>
          <w:rFonts w:asciiTheme="majorHAnsi" w:hAnsiTheme="majorHAnsi"/>
          <w:sz w:val="20"/>
          <w:szCs w:val="20"/>
        </w:rPr>
        <w:t>—</w:t>
      </w:r>
      <w:r w:rsidR="002151A9" w:rsidRPr="001E4C94">
        <w:rPr>
          <w:rFonts w:asciiTheme="majorHAnsi" w:hAnsiTheme="majorHAnsi"/>
          <w:sz w:val="20"/>
          <w:szCs w:val="20"/>
        </w:rPr>
        <w:t xml:space="preserve">to which the </w:t>
      </w:r>
      <w:r w:rsidR="008C0889" w:rsidRPr="001E4C94">
        <w:rPr>
          <w:rFonts w:asciiTheme="majorHAnsi" w:hAnsiTheme="majorHAnsi"/>
          <w:sz w:val="20"/>
          <w:szCs w:val="20"/>
        </w:rPr>
        <w:t>alleged</w:t>
      </w:r>
      <w:r w:rsidR="002151A9" w:rsidRPr="001E4C94">
        <w:rPr>
          <w:rFonts w:asciiTheme="majorHAnsi" w:hAnsiTheme="majorHAnsi"/>
          <w:sz w:val="20"/>
          <w:szCs w:val="20"/>
        </w:rPr>
        <w:t xml:space="preserve"> victim belonged—had issued a communiqué in which it stated that on the day </w:t>
      </w:r>
      <w:r w:rsidR="009C7ADE" w:rsidRPr="001E4C94">
        <w:rPr>
          <w:rFonts w:asciiTheme="majorHAnsi" w:hAnsiTheme="majorHAnsi"/>
          <w:sz w:val="20"/>
          <w:szCs w:val="20"/>
        </w:rPr>
        <w:t>Juan Fernando Porras Martínez</w:t>
      </w:r>
      <w:r w:rsidR="002151A9" w:rsidRPr="001E4C94">
        <w:rPr>
          <w:rFonts w:asciiTheme="majorHAnsi" w:hAnsiTheme="majorHAnsi"/>
          <w:sz w:val="20"/>
          <w:szCs w:val="20"/>
        </w:rPr>
        <w:t xml:space="preserve"> alleged</w:t>
      </w:r>
      <w:r w:rsidR="005852F6" w:rsidRPr="001E4C94">
        <w:rPr>
          <w:rFonts w:asciiTheme="majorHAnsi" w:hAnsiTheme="majorHAnsi"/>
          <w:sz w:val="20"/>
          <w:szCs w:val="20"/>
        </w:rPr>
        <w:t>ly</w:t>
      </w:r>
      <w:r w:rsidR="002151A9" w:rsidRPr="001E4C94">
        <w:rPr>
          <w:rFonts w:asciiTheme="majorHAnsi" w:hAnsiTheme="majorHAnsi"/>
          <w:sz w:val="20"/>
          <w:szCs w:val="20"/>
        </w:rPr>
        <w:t xml:space="preserve"> disappear</w:t>
      </w:r>
      <w:r w:rsidR="005852F6" w:rsidRPr="001E4C94">
        <w:rPr>
          <w:rFonts w:asciiTheme="majorHAnsi" w:hAnsiTheme="majorHAnsi"/>
          <w:sz w:val="20"/>
          <w:szCs w:val="20"/>
        </w:rPr>
        <w:t>ed</w:t>
      </w:r>
      <w:r w:rsidR="002151A9" w:rsidRPr="001E4C94">
        <w:rPr>
          <w:rFonts w:asciiTheme="majorHAnsi" w:hAnsiTheme="majorHAnsi"/>
          <w:sz w:val="20"/>
          <w:szCs w:val="20"/>
        </w:rPr>
        <w:t xml:space="preserve"> he had been detained by the Army’s Fifth</w:t>
      </w:r>
      <w:r w:rsidR="009C7ADE" w:rsidRPr="001E4C94">
        <w:rPr>
          <w:rFonts w:asciiTheme="majorHAnsi" w:hAnsiTheme="majorHAnsi"/>
          <w:sz w:val="20"/>
          <w:szCs w:val="20"/>
        </w:rPr>
        <w:t xml:space="preserve"> </w:t>
      </w:r>
      <w:r w:rsidR="002151A9" w:rsidRPr="001E4C94">
        <w:rPr>
          <w:rFonts w:asciiTheme="majorHAnsi" w:hAnsiTheme="majorHAnsi"/>
          <w:sz w:val="20"/>
          <w:szCs w:val="20"/>
        </w:rPr>
        <w:t xml:space="preserve">Brigade and that </w:t>
      </w:r>
      <w:r w:rsidR="00C142DF" w:rsidRPr="001E4C94">
        <w:rPr>
          <w:rFonts w:asciiTheme="majorHAnsi" w:hAnsiTheme="majorHAnsi"/>
          <w:sz w:val="20"/>
          <w:szCs w:val="20"/>
        </w:rPr>
        <w:t xml:space="preserve">the </w:t>
      </w:r>
      <w:r w:rsidR="002151A9" w:rsidRPr="001E4C94">
        <w:rPr>
          <w:rFonts w:asciiTheme="majorHAnsi" w:hAnsiTheme="majorHAnsi"/>
          <w:sz w:val="20"/>
          <w:szCs w:val="20"/>
        </w:rPr>
        <w:t>statement by the alleged victim</w:t>
      </w:r>
      <w:r w:rsidR="005852F6" w:rsidRPr="001E4C94">
        <w:rPr>
          <w:rFonts w:asciiTheme="majorHAnsi" w:hAnsiTheme="majorHAnsi"/>
          <w:sz w:val="20"/>
          <w:szCs w:val="20"/>
        </w:rPr>
        <w:t>’</w:t>
      </w:r>
      <w:r w:rsidR="002151A9" w:rsidRPr="001E4C94">
        <w:rPr>
          <w:rFonts w:asciiTheme="majorHAnsi" w:hAnsiTheme="majorHAnsi"/>
          <w:sz w:val="20"/>
          <w:szCs w:val="20"/>
        </w:rPr>
        <w:t xml:space="preserve">s </w:t>
      </w:r>
      <w:r w:rsidR="005852F6" w:rsidRPr="001E4C94">
        <w:rPr>
          <w:rFonts w:asciiTheme="majorHAnsi" w:hAnsiTheme="majorHAnsi"/>
          <w:sz w:val="20"/>
          <w:szCs w:val="20"/>
        </w:rPr>
        <w:t>partner</w:t>
      </w:r>
      <w:r w:rsidR="002151A9" w:rsidRPr="001E4C94">
        <w:rPr>
          <w:rFonts w:asciiTheme="majorHAnsi" w:hAnsiTheme="majorHAnsi"/>
          <w:sz w:val="20"/>
          <w:szCs w:val="20"/>
        </w:rPr>
        <w:t xml:space="preserve"> </w:t>
      </w:r>
      <w:r w:rsidR="008C0889" w:rsidRPr="001E4C94">
        <w:rPr>
          <w:rFonts w:asciiTheme="majorHAnsi" w:hAnsiTheme="majorHAnsi"/>
          <w:sz w:val="20"/>
          <w:szCs w:val="20"/>
        </w:rPr>
        <w:t>had</w:t>
      </w:r>
      <w:r w:rsidR="002151A9" w:rsidRPr="001E4C94">
        <w:rPr>
          <w:rFonts w:asciiTheme="majorHAnsi" w:hAnsiTheme="majorHAnsi"/>
          <w:sz w:val="20"/>
          <w:szCs w:val="20"/>
        </w:rPr>
        <w:t xml:space="preserve"> </w:t>
      </w:r>
      <w:r w:rsidR="008C0889" w:rsidRPr="001E4C94">
        <w:rPr>
          <w:rFonts w:asciiTheme="majorHAnsi" w:hAnsiTheme="majorHAnsi"/>
          <w:sz w:val="20"/>
          <w:szCs w:val="20"/>
        </w:rPr>
        <w:t>corroborated</w:t>
      </w:r>
      <w:r w:rsidR="002151A9" w:rsidRPr="001E4C94">
        <w:rPr>
          <w:rFonts w:asciiTheme="majorHAnsi" w:hAnsiTheme="majorHAnsi"/>
          <w:sz w:val="20"/>
          <w:szCs w:val="20"/>
        </w:rPr>
        <w:t xml:space="preserve"> this information</w:t>
      </w:r>
      <w:r w:rsidR="00BF7C9D" w:rsidRPr="001E4C94">
        <w:rPr>
          <w:rFonts w:asciiTheme="majorHAnsi" w:hAnsiTheme="majorHAnsi"/>
          <w:sz w:val="20"/>
          <w:szCs w:val="20"/>
        </w:rPr>
        <w:t xml:space="preserve">. </w:t>
      </w:r>
      <w:r w:rsidR="002151A9" w:rsidRPr="001E4C94">
        <w:rPr>
          <w:rFonts w:asciiTheme="majorHAnsi" w:hAnsiTheme="majorHAnsi"/>
          <w:sz w:val="20"/>
          <w:szCs w:val="20"/>
        </w:rPr>
        <w:t xml:space="preserve">The petitioners </w:t>
      </w:r>
      <w:r w:rsidR="005852F6" w:rsidRPr="001E4C94">
        <w:rPr>
          <w:rFonts w:asciiTheme="majorHAnsi" w:hAnsiTheme="majorHAnsi"/>
          <w:sz w:val="20"/>
          <w:szCs w:val="20"/>
        </w:rPr>
        <w:t>asserted</w:t>
      </w:r>
      <w:r w:rsidR="002151A9" w:rsidRPr="001E4C94">
        <w:rPr>
          <w:rFonts w:asciiTheme="majorHAnsi" w:hAnsiTheme="majorHAnsi"/>
          <w:sz w:val="20"/>
          <w:szCs w:val="20"/>
        </w:rPr>
        <w:t xml:space="preserve"> that </w:t>
      </w:r>
      <w:r w:rsidR="00C142DF" w:rsidRPr="001E4C94">
        <w:rPr>
          <w:rFonts w:asciiTheme="majorHAnsi" w:hAnsiTheme="majorHAnsi"/>
          <w:sz w:val="20"/>
          <w:szCs w:val="20"/>
        </w:rPr>
        <w:t xml:space="preserve">State </w:t>
      </w:r>
      <w:r w:rsidR="005852F6" w:rsidRPr="001E4C94">
        <w:rPr>
          <w:rFonts w:asciiTheme="majorHAnsi" w:hAnsiTheme="majorHAnsi"/>
          <w:sz w:val="20"/>
          <w:szCs w:val="20"/>
        </w:rPr>
        <w:t xml:space="preserve">agents had detained and disappeared </w:t>
      </w:r>
      <w:r w:rsidR="002151A9" w:rsidRPr="001E4C94">
        <w:rPr>
          <w:rFonts w:asciiTheme="majorHAnsi" w:hAnsiTheme="majorHAnsi"/>
          <w:sz w:val="20"/>
          <w:szCs w:val="20"/>
        </w:rPr>
        <w:t xml:space="preserve">the alleged victim, </w:t>
      </w:r>
      <w:r w:rsidR="00B237C6" w:rsidRPr="001E4C94">
        <w:rPr>
          <w:rFonts w:asciiTheme="majorHAnsi" w:hAnsiTheme="majorHAnsi"/>
          <w:sz w:val="20"/>
          <w:szCs w:val="20"/>
        </w:rPr>
        <w:t xml:space="preserve">employing </w:t>
      </w:r>
      <w:r w:rsidR="002151A9" w:rsidRPr="001E4C94">
        <w:rPr>
          <w:rFonts w:asciiTheme="majorHAnsi" w:hAnsiTheme="majorHAnsi"/>
          <w:sz w:val="20"/>
          <w:szCs w:val="20"/>
        </w:rPr>
        <w:t xml:space="preserve">the </w:t>
      </w:r>
      <w:r w:rsidR="00510905" w:rsidRPr="001E4C94">
        <w:rPr>
          <w:rFonts w:asciiTheme="majorHAnsi" w:hAnsiTheme="majorHAnsi"/>
          <w:i/>
          <w:sz w:val="20"/>
          <w:szCs w:val="20"/>
        </w:rPr>
        <w:t>modus operandi</w:t>
      </w:r>
      <w:r w:rsidR="00510905" w:rsidRPr="001E4C94">
        <w:rPr>
          <w:rFonts w:asciiTheme="majorHAnsi" w:hAnsiTheme="majorHAnsi"/>
          <w:sz w:val="20"/>
          <w:szCs w:val="20"/>
        </w:rPr>
        <w:t xml:space="preserve"> </w:t>
      </w:r>
      <w:r w:rsidR="005852F6" w:rsidRPr="001E4C94">
        <w:rPr>
          <w:rFonts w:asciiTheme="majorHAnsi" w:hAnsiTheme="majorHAnsi"/>
          <w:sz w:val="20"/>
          <w:szCs w:val="20"/>
        </w:rPr>
        <w:t xml:space="preserve">according to </w:t>
      </w:r>
      <w:r w:rsidR="002151A9" w:rsidRPr="001E4C94">
        <w:rPr>
          <w:rFonts w:asciiTheme="majorHAnsi" w:hAnsiTheme="majorHAnsi"/>
          <w:sz w:val="20"/>
          <w:szCs w:val="20"/>
        </w:rPr>
        <w:t>which the detention is not formally recorded, precisely for purposes of not leaving a trace of the victim and ensur</w:t>
      </w:r>
      <w:r w:rsidR="005852F6" w:rsidRPr="001E4C94">
        <w:rPr>
          <w:rFonts w:asciiTheme="majorHAnsi" w:hAnsiTheme="majorHAnsi"/>
          <w:sz w:val="20"/>
          <w:szCs w:val="20"/>
        </w:rPr>
        <w:t>ing</w:t>
      </w:r>
      <w:r w:rsidR="002151A9" w:rsidRPr="001E4C94">
        <w:rPr>
          <w:rFonts w:asciiTheme="majorHAnsi" w:hAnsiTheme="majorHAnsi"/>
          <w:sz w:val="20"/>
          <w:szCs w:val="20"/>
        </w:rPr>
        <w:t xml:space="preserve"> th</w:t>
      </w:r>
      <w:r w:rsidR="00B237C6" w:rsidRPr="001E4C94">
        <w:rPr>
          <w:rFonts w:asciiTheme="majorHAnsi" w:hAnsiTheme="majorHAnsi"/>
          <w:sz w:val="20"/>
          <w:szCs w:val="20"/>
        </w:rPr>
        <w:t>at the</w:t>
      </w:r>
      <w:r w:rsidR="002151A9" w:rsidRPr="001E4C94">
        <w:rPr>
          <w:rFonts w:asciiTheme="majorHAnsi" w:hAnsiTheme="majorHAnsi"/>
          <w:sz w:val="20"/>
          <w:szCs w:val="20"/>
        </w:rPr>
        <w:t xml:space="preserve"> perpetrators</w:t>
      </w:r>
      <w:r w:rsidR="005852F6" w:rsidRPr="001E4C94">
        <w:rPr>
          <w:rFonts w:asciiTheme="majorHAnsi" w:hAnsiTheme="majorHAnsi"/>
          <w:sz w:val="20"/>
          <w:szCs w:val="20"/>
        </w:rPr>
        <w:t xml:space="preserve"> go unpun</w:t>
      </w:r>
      <w:r w:rsidR="00A75515" w:rsidRPr="001E4C94">
        <w:rPr>
          <w:rFonts w:asciiTheme="majorHAnsi" w:hAnsiTheme="majorHAnsi"/>
          <w:sz w:val="20"/>
          <w:szCs w:val="20"/>
        </w:rPr>
        <w:t>i</w:t>
      </w:r>
      <w:r w:rsidR="005852F6" w:rsidRPr="001E4C94">
        <w:rPr>
          <w:rFonts w:asciiTheme="majorHAnsi" w:hAnsiTheme="majorHAnsi"/>
          <w:sz w:val="20"/>
          <w:szCs w:val="20"/>
        </w:rPr>
        <w:t>shed</w:t>
      </w:r>
      <w:r w:rsidR="00510905" w:rsidRPr="001E4C94">
        <w:rPr>
          <w:rFonts w:asciiTheme="majorHAnsi" w:hAnsiTheme="majorHAnsi"/>
          <w:sz w:val="20"/>
          <w:szCs w:val="20"/>
        </w:rPr>
        <w:t>.</w:t>
      </w:r>
      <w:r w:rsidR="002151A9"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773DDA" w:rsidRPr="001E4C94" w:rsidRDefault="0063528D"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According to the petitioners, on February 23, 1990, a priest and residents from the </w:t>
      </w:r>
      <w:r w:rsidR="0027140F" w:rsidRPr="001E4C94">
        <w:rPr>
          <w:rFonts w:asciiTheme="majorHAnsi" w:hAnsiTheme="majorHAnsi"/>
          <w:sz w:val="20"/>
          <w:szCs w:val="20"/>
        </w:rPr>
        <w:t xml:space="preserve">San Vicente de Chucurí </w:t>
      </w:r>
      <w:r w:rsidR="008C0889" w:rsidRPr="001E4C94">
        <w:rPr>
          <w:rFonts w:asciiTheme="majorHAnsi" w:hAnsiTheme="majorHAnsi"/>
          <w:sz w:val="20"/>
          <w:szCs w:val="20"/>
        </w:rPr>
        <w:t>area</w:t>
      </w:r>
      <w:r w:rsidRPr="001E4C94">
        <w:rPr>
          <w:rFonts w:asciiTheme="majorHAnsi" w:hAnsiTheme="majorHAnsi"/>
          <w:sz w:val="20"/>
          <w:szCs w:val="20"/>
        </w:rPr>
        <w:t xml:space="preserve"> found the </w:t>
      </w:r>
      <w:r w:rsidR="00A75515" w:rsidRPr="001E4C94">
        <w:rPr>
          <w:rFonts w:asciiTheme="majorHAnsi" w:hAnsiTheme="majorHAnsi"/>
          <w:sz w:val="20"/>
          <w:szCs w:val="20"/>
        </w:rPr>
        <w:t xml:space="preserve">alleged victim’s </w:t>
      </w:r>
      <w:r w:rsidR="008C0889" w:rsidRPr="001E4C94">
        <w:rPr>
          <w:rFonts w:asciiTheme="majorHAnsi" w:hAnsiTheme="majorHAnsi"/>
          <w:sz w:val="20"/>
          <w:szCs w:val="20"/>
        </w:rPr>
        <w:t>lifeless</w:t>
      </w:r>
      <w:r w:rsidRPr="001E4C94">
        <w:rPr>
          <w:rFonts w:asciiTheme="majorHAnsi" w:hAnsiTheme="majorHAnsi"/>
          <w:sz w:val="20"/>
          <w:szCs w:val="20"/>
        </w:rPr>
        <w:t xml:space="preserve"> body</w:t>
      </w:r>
      <w:r w:rsidR="00A75515" w:rsidRPr="001E4C94">
        <w:rPr>
          <w:rFonts w:asciiTheme="majorHAnsi" w:hAnsiTheme="majorHAnsi"/>
          <w:sz w:val="20"/>
          <w:szCs w:val="20"/>
        </w:rPr>
        <w:t>, which showed</w:t>
      </w:r>
      <w:r w:rsidRPr="001E4C94">
        <w:rPr>
          <w:rFonts w:asciiTheme="majorHAnsi" w:hAnsiTheme="majorHAnsi"/>
          <w:sz w:val="20"/>
          <w:szCs w:val="20"/>
        </w:rPr>
        <w:t xml:space="preserve"> clear signs of torture</w:t>
      </w:r>
      <w:r w:rsidR="00BF7C9D" w:rsidRPr="001E4C94">
        <w:rPr>
          <w:rFonts w:asciiTheme="majorHAnsi" w:hAnsiTheme="majorHAnsi"/>
          <w:sz w:val="20"/>
          <w:szCs w:val="20"/>
        </w:rPr>
        <w:t xml:space="preserve">. </w:t>
      </w:r>
      <w:r w:rsidRPr="001E4C94">
        <w:rPr>
          <w:rFonts w:asciiTheme="majorHAnsi" w:hAnsiTheme="majorHAnsi"/>
          <w:sz w:val="20"/>
          <w:szCs w:val="20"/>
        </w:rPr>
        <w:t xml:space="preserve">They allege that </w:t>
      </w:r>
      <w:r w:rsidR="0027140F" w:rsidRPr="001E4C94">
        <w:rPr>
          <w:rFonts w:asciiTheme="majorHAnsi" w:hAnsiTheme="majorHAnsi"/>
          <w:sz w:val="20"/>
          <w:szCs w:val="20"/>
        </w:rPr>
        <w:t xml:space="preserve">Juan Fernando Porras Martínez </w:t>
      </w:r>
      <w:r w:rsidRPr="001E4C94">
        <w:rPr>
          <w:rFonts w:asciiTheme="majorHAnsi" w:hAnsiTheme="majorHAnsi"/>
          <w:sz w:val="20"/>
          <w:szCs w:val="20"/>
        </w:rPr>
        <w:t>was murdered within five days of his detention</w:t>
      </w:r>
      <w:r w:rsidR="00A75515" w:rsidRPr="001E4C94">
        <w:rPr>
          <w:rFonts w:asciiTheme="majorHAnsi" w:hAnsiTheme="majorHAnsi"/>
          <w:sz w:val="20"/>
          <w:szCs w:val="20"/>
        </w:rPr>
        <w:t>/</w:t>
      </w:r>
      <w:r w:rsidR="00C2405C" w:rsidRPr="001E4C94">
        <w:rPr>
          <w:rFonts w:asciiTheme="majorHAnsi" w:hAnsiTheme="majorHAnsi"/>
          <w:sz w:val="20"/>
          <w:szCs w:val="20"/>
        </w:rPr>
        <w:t>disappear</w:t>
      </w:r>
      <w:r w:rsidRPr="001E4C94">
        <w:rPr>
          <w:rFonts w:asciiTheme="majorHAnsi" w:hAnsiTheme="majorHAnsi"/>
          <w:sz w:val="20"/>
          <w:szCs w:val="20"/>
        </w:rPr>
        <w:t>a</w:t>
      </w:r>
      <w:r w:rsidR="00C2405C" w:rsidRPr="001E4C94">
        <w:rPr>
          <w:rFonts w:asciiTheme="majorHAnsi" w:hAnsiTheme="majorHAnsi"/>
          <w:sz w:val="20"/>
          <w:szCs w:val="20"/>
        </w:rPr>
        <w:t>n</w:t>
      </w:r>
      <w:r w:rsidRPr="001E4C94">
        <w:rPr>
          <w:rFonts w:asciiTheme="majorHAnsi" w:hAnsiTheme="majorHAnsi"/>
          <w:sz w:val="20"/>
          <w:szCs w:val="20"/>
        </w:rPr>
        <w:t xml:space="preserve">ce and </w:t>
      </w:r>
      <w:r w:rsidR="00A75515" w:rsidRPr="001E4C94">
        <w:rPr>
          <w:rFonts w:asciiTheme="majorHAnsi" w:hAnsiTheme="majorHAnsi"/>
          <w:sz w:val="20"/>
          <w:szCs w:val="20"/>
        </w:rPr>
        <w:t>his body’s discover</w:t>
      </w:r>
      <w:r w:rsidR="00B237C6" w:rsidRPr="001E4C94">
        <w:rPr>
          <w:rFonts w:asciiTheme="majorHAnsi" w:hAnsiTheme="majorHAnsi"/>
          <w:sz w:val="20"/>
          <w:szCs w:val="20"/>
        </w:rPr>
        <w:t>y</w:t>
      </w:r>
      <w:r w:rsidR="00C2405C" w:rsidRPr="001E4C94">
        <w:rPr>
          <w:rFonts w:asciiTheme="majorHAnsi" w:hAnsiTheme="majorHAnsi"/>
          <w:sz w:val="20"/>
          <w:szCs w:val="20"/>
        </w:rPr>
        <w:t xml:space="preserve"> was report</w:t>
      </w:r>
      <w:r w:rsidR="00A75515" w:rsidRPr="001E4C94">
        <w:rPr>
          <w:rFonts w:asciiTheme="majorHAnsi" w:hAnsiTheme="majorHAnsi"/>
          <w:sz w:val="20"/>
          <w:szCs w:val="20"/>
        </w:rPr>
        <w:t>ed</w:t>
      </w:r>
      <w:r w:rsidR="00C2405C" w:rsidRPr="001E4C94">
        <w:rPr>
          <w:rFonts w:asciiTheme="majorHAnsi" w:hAnsiTheme="majorHAnsi"/>
          <w:sz w:val="20"/>
          <w:szCs w:val="20"/>
        </w:rPr>
        <w:t xml:space="preserve"> by several local media outlets. In this regard, the petitioners </w:t>
      </w:r>
      <w:r w:rsidR="00B237C6" w:rsidRPr="001E4C94">
        <w:rPr>
          <w:rFonts w:asciiTheme="majorHAnsi" w:hAnsiTheme="majorHAnsi"/>
          <w:sz w:val="20"/>
          <w:szCs w:val="20"/>
        </w:rPr>
        <w:t xml:space="preserve">provided </w:t>
      </w:r>
      <w:r w:rsidR="00A75515" w:rsidRPr="001E4C94">
        <w:rPr>
          <w:rFonts w:asciiTheme="majorHAnsi" w:hAnsiTheme="majorHAnsi"/>
          <w:sz w:val="20"/>
          <w:szCs w:val="20"/>
        </w:rPr>
        <w:t xml:space="preserve">witness </w:t>
      </w:r>
      <w:r w:rsidR="00C2405C" w:rsidRPr="001E4C94">
        <w:rPr>
          <w:rFonts w:asciiTheme="majorHAnsi" w:hAnsiTheme="majorHAnsi"/>
          <w:sz w:val="20"/>
          <w:szCs w:val="20"/>
        </w:rPr>
        <w:t xml:space="preserve">evidence </w:t>
      </w:r>
      <w:r w:rsidR="00A75515" w:rsidRPr="001E4C94">
        <w:rPr>
          <w:rFonts w:asciiTheme="majorHAnsi" w:hAnsiTheme="majorHAnsi"/>
          <w:sz w:val="20"/>
          <w:szCs w:val="20"/>
        </w:rPr>
        <w:t xml:space="preserve">from individuals </w:t>
      </w:r>
      <w:r w:rsidR="00C2405C" w:rsidRPr="001E4C94">
        <w:rPr>
          <w:rFonts w:asciiTheme="majorHAnsi" w:hAnsiTheme="majorHAnsi"/>
          <w:sz w:val="20"/>
          <w:szCs w:val="20"/>
        </w:rPr>
        <w:t xml:space="preserve">who saw the remains and </w:t>
      </w:r>
      <w:r w:rsidR="00A75515" w:rsidRPr="001E4C94">
        <w:rPr>
          <w:rFonts w:asciiTheme="majorHAnsi" w:hAnsiTheme="majorHAnsi"/>
          <w:sz w:val="20"/>
          <w:szCs w:val="20"/>
        </w:rPr>
        <w:t>identified</w:t>
      </w:r>
      <w:r w:rsidR="00C2405C" w:rsidRPr="001E4C94">
        <w:rPr>
          <w:rFonts w:asciiTheme="majorHAnsi" w:hAnsiTheme="majorHAnsi"/>
          <w:sz w:val="20"/>
          <w:szCs w:val="20"/>
        </w:rPr>
        <w:t xml:space="preserve"> them </w:t>
      </w:r>
      <w:r w:rsidR="00A75515" w:rsidRPr="001E4C94">
        <w:rPr>
          <w:rFonts w:asciiTheme="majorHAnsi" w:hAnsiTheme="majorHAnsi"/>
          <w:sz w:val="20"/>
          <w:szCs w:val="20"/>
        </w:rPr>
        <w:t xml:space="preserve">as </w:t>
      </w:r>
      <w:r w:rsidR="00C2405C" w:rsidRPr="001E4C94">
        <w:rPr>
          <w:rFonts w:asciiTheme="majorHAnsi" w:hAnsiTheme="majorHAnsi"/>
          <w:sz w:val="20"/>
          <w:szCs w:val="20"/>
        </w:rPr>
        <w:t xml:space="preserve">the alleged victim. They further allege that although the </w:t>
      </w:r>
      <w:r w:rsidR="00A75515" w:rsidRPr="001E4C94">
        <w:rPr>
          <w:rFonts w:asciiTheme="majorHAnsi" w:hAnsiTheme="majorHAnsi"/>
          <w:sz w:val="20"/>
          <w:szCs w:val="20"/>
        </w:rPr>
        <w:t xml:space="preserve">forensic postmortem fingerprinting </w:t>
      </w:r>
      <w:r w:rsidR="00C2405C" w:rsidRPr="001E4C94">
        <w:rPr>
          <w:rFonts w:asciiTheme="majorHAnsi" w:hAnsiTheme="majorHAnsi"/>
          <w:sz w:val="20"/>
          <w:szCs w:val="20"/>
        </w:rPr>
        <w:t>report was negative</w:t>
      </w:r>
      <w:r w:rsidR="00A75515" w:rsidRPr="001E4C94">
        <w:rPr>
          <w:rFonts w:asciiTheme="majorHAnsi" w:hAnsiTheme="majorHAnsi"/>
          <w:sz w:val="20"/>
          <w:szCs w:val="20"/>
        </w:rPr>
        <w:t>,</w:t>
      </w:r>
      <w:r w:rsidR="00C2405C" w:rsidRPr="001E4C94">
        <w:rPr>
          <w:rFonts w:asciiTheme="majorHAnsi" w:hAnsiTheme="majorHAnsi"/>
          <w:sz w:val="20"/>
          <w:szCs w:val="20"/>
        </w:rPr>
        <w:t xml:space="preserve"> the allegations of torture </w:t>
      </w:r>
      <w:r w:rsidR="00A75515" w:rsidRPr="001E4C94">
        <w:rPr>
          <w:rFonts w:asciiTheme="majorHAnsi" w:hAnsiTheme="majorHAnsi"/>
          <w:sz w:val="20"/>
          <w:szCs w:val="20"/>
        </w:rPr>
        <w:t xml:space="preserve">included </w:t>
      </w:r>
      <w:r w:rsidR="00C2405C" w:rsidRPr="001E4C94">
        <w:rPr>
          <w:rFonts w:asciiTheme="majorHAnsi" w:hAnsiTheme="majorHAnsi"/>
          <w:sz w:val="20"/>
          <w:szCs w:val="20"/>
        </w:rPr>
        <w:t>burning the victim’s fingers</w:t>
      </w:r>
      <w:r w:rsidR="00BF7C9D"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4B0EF8" w:rsidRPr="001E4C94" w:rsidRDefault="002255C3"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Furthermore, they indicated that as part of the investigation conducted </w:t>
      </w:r>
      <w:r w:rsidR="00A75515" w:rsidRPr="001E4C94">
        <w:rPr>
          <w:rFonts w:asciiTheme="majorHAnsi" w:hAnsiTheme="majorHAnsi"/>
          <w:sz w:val="20"/>
          <w:szCs w:val="20"/>
        </w:rPr>
        <w:t>by</w:t>
      </w:r>
      <w:r w:rsidRPr="001E4C94">
        <w:rPr>
          <w:rFonts w:asciiTheme="majorHAnsi" w:hAnsiTheme="majorHAnsi"/>
          <w:sz w:val="20"/>
          <w:szCs w:val="20"/>
        </w:rPr>
        <w:t xml:space="preserve"> the Office of Special Investigation</w:t>
      </w:r>
      <w:r w:rsidR="001E1002" w:rsidRPr="001E4C94">
        <w:rPr>
          <w:rFonts w:asciiTheme="majorHAnsi" w:hAnsiTheme="majorHAnsi"/>
          <w:sz w:val="20"/>
          <w:szCs w:val="20"/>
        </w:rPr>
        <w:t>s</w:t>
      </w:r>
      <w:r w:rsidRPr="001E4C94">
        <w:rPr>
          <w:rFonts w:asciiTheme="majorHAnsi" w:hAnsiTheme="majorHAnsi"/>
          <w:sz w:val="20"/>
          <w:szCs w:val="20"/>
        </w:rPr>
        <w:t xml:space="preserve"> of the Prosecutor General</w:t>
      </w:r>
      <w:r w:rsidR="001E1002" w:rsidRPr="001E4C94">
        <w:rPr>
          <w:rFonts w:asciiTheme="majorHAnsi" w:hAnsiTheme="majorHAnsi"/>
          <w:sz w:val="20"/>
          <w:szCs w:val="20"/>
        </w:rPr>
        <w:t>’s Office</w:t>
      </w:r>
      <w:r w:rsidRPr="001E4C94">
        <w:rPr>
          <w:rFonts w:asciiTheme="majorHAnsi" w:hAnsiTheme="majorHAnsi"/>
          <w:sz w:val="20"/>
          <w:szCs w:val="20"/>
        </w:rPr>
        <w:t>, there was evidence</w:t>
      </w:r>
      <w:r w:rsidR="00D749A2" w:rsidRPr="001E4C94">
        <w:rPr>
          <w:rFonts w:asciiTheme="majorHAnsi" w:hAnsiTheme="majorHAnsi"/>
          <w:sz w:val="20"/>
          <w:szCs w:val="20"/>
        </w:rPr>
        <w:t xml:space="preserve"> gathered</w:t>
      </w:r>
      <w:r w:rsidRPr="001E4C94">
        <w:rPr>
          <w:rFonts w:asciiTheme="majorHAnsi" w:hAnsiTheme="majorHAnsi"/>
          <w:sz w:val="20"/>
          <w:szCs w:val="20"/>
        </w:rPr>
        <w:t>, such as statement</w:t>
      </w:r>
      <w:r w:rsidR="00D749A2" w:rsidRPr="001E4C94">
        <w:rPr>
          <w:rFonts w:asciiTheme="majorHAnsi" w:hAnsiTheme="majorHAnsi"/>
          <w:sz w:val="20"/>
          <w:szCs w:val="20"/>
        </w:rPr>
        <w:t>s</w:t>
      </w:r>
      <w:r w:rsidRPr="001E4C94">
        <w:rPr>
          <w:rFonts w:asciiTheme="majorHAnsi" w:hAnsiTheme="majorHAnsi"/>
          <w:sz w:val="20"/>
          <w:szCs w:val="20"/>
        </w:rPr>
        <w:t xml:space="preserve"> and </w:t>
      </w:r>
      <w:r w:rsidR="008C0889" w:rsidRPr="001E4C94">
        <w:rPr>
          <w:rFonts w:asciiTheme="majorHAnsi" w:hAnsiTheme="majorHAnsi"/>
          <w:sz w:val="20"/>
          <w:szCs w:val="20"/>
        </w:rPr>
        <w:t>recording</w:t>
      </w:r>
      <w:r w:rsidR="00D749A2" w:rsidRPr="001E4C94">
        <w:rPr>
          <w:rFonts w:asciiTheme="majorHAnsi" w:hAnsiTheme="majorHAnsi"/>
          <w:sz w:val="20"/>
          <w:szCs w:val="20"/>
        </w:rPr>
        <w:t>s</w:t>
      </w:r>
      <w:r w:rsidR="008C0889" w:rsidRPr="001E4C94">
        <w:rPr>
          <w:rFonts w:asciiTheme="majorHAnsi" w:hAnsiTheme="majorHAnsi"/>
          <w:sz w:val="20"/>
          <w:szCs w:val="20"/>
        </w:rPr>
        <w:t>, which</w:t>
      </w:r>
      <w:r w:rsidRPr="001E4C94">
        <w:rPr>
          <w:rFonts w:asciiTheme="majorHAnsi" w:hAnsiTheme="majorHAnsi"/>
          <w:sz w:val="20"/>
          <w:szCs w:val="20"/>
        </w:rPr>
        <w:t xml:space="preserve"> corroborated the petitioners’ allegations</w:t>
      </w:r>
      <w:r w:rsidR="00BF7C9D" w:rsidRPr="001E4C94">
        <w:rPr>
          <w:rFonts w:asciiTheme="majorHAnsi" w:hAnsiTheme="majorHAnsi"/>
          <w:sz w:val="20"/>
          <w:szCs w:val="20"/>
        </w:rPr>
        <w:t xml:space="preserve">. </w:t>
      </w:r>
      <w:r w:rsidRPr="001E4C94">
        <w:rPr>
          <w:rFonts w:asciiTheme="majorHAnsi" w:hAnsiTheme="majorHAnsi"/>
          <w:sz w:val="20"/>
          <w:szCs w:val="20"/>
        </w:rPr>
        <w:t xml:space="preserve">Specifically, they stated that there is a recording of a radiotelephone call from the </w:t>
      </w:r>
      <w:r w:rsidR="008C0889" w:rsidRPr="001E4C94">
        <w:rPr>
          <w:rFonts w:asciiTheme="majorHAnsi" w:hAnsiTheme="majorHAnsi"/>
          <w:sz w:val="20"/>
          <w:szCs w:val="20"/>
        </w:rPr>
        <w:t>Colombian</w:t>
      </w:r>
      <w:r w:rsidRPr="001E4C94">
        <w:rPr>
          <w:rFonts w:asciiTheme="majorHAnsi" w:hAnsiTheme="majorHAnsi"/>
          <w:sz w:val="20"/>
          <w:szCs w:val="20"/>
        </w:rPr>
        <w:t xml:space="preserve"> army, with its respective </w:t>
      </w:r>
      <w:r w:rsidR="008C0889" w:rsidRPr="001E4C94">
        <w:rPr>
          <w:rFonts w:asciiTheme="majorHAnsi" w:hAnsiTheme="majorHAnsi"/>
          <w:sz w:val="20"/>
          <w:szCs w:val="20"/>
        </w:rPr>
        <w:t>transcription</w:t>
      </w:r>
      <w:r w:rsidRPr="001E4C94">
        <w:rPr>
          <w:rFonts w:asciiTheme="majorHAnsi" w:hAnsiTheme="majorHAnsi"/>
          <w:sz w:val="20"/>
          <w:szCs w:val="20"/>
        </w:rPr>
        <w:t xml:space="preserve">, in which the order was given to “detain, disappear, and </w:t>
      </w:r>
      <w:r w:rsidR="008C0889" w:rsidRPr="001E4C94">
        <w:rPr>
          <w:rFonts w:asciiTheme="majorHAnsi" w:hAnsiTheme="majorHAnsi"/>
          <w:sz w:val="20"/>
          <w:szCs w:val="20"/>
        </w:rPr>
        <w:t>assassinate</w:t>
      </w:r>
      <w:r w:rsidRPr="001E4C94">
        <w:rPr>
          <w:rFonts w:asciiTheme="majorHAnsi" w:hAnsiTheme="majorHAnsi"/>
          <w:sz w:val="20"/>
          <w:szCs w:val="20"/>
        </w:rPr>
        <w:t xml:space="preserve"> members of the </w:t>
      </w:r>
      <w:r w:rsidRPr="00950B30">
        <w:rPr>
          <w:rFonts w:asciiTheme="majorHAnsi" w:hAnsiTheme="majorHAnsi"/>
          <w:sz w:val="20"/>
          <w:szCs w:val="20"/>
        </w:rPr>
        <w:t>UCELN</w:t>
      </w:r>
      <w:r w:rsidR="00D749A2" w:rsidRPr="001E4C94">
        <w:rPr>
          <w:rFonts w:asciiTheme="majorHAnsi" w:hAnsiTheme="majorHAnsi"/>
          <w:sz w:val="20"/>
          <w:szCs w:val="20"/>
        </w:rPr>
        <w:t xml:space="preserve">, as well as license plate numbers that </w:t>
      </w:r>
      <w:r w:rsidR="00D749A2" w:rsidRPr="001E4C94">
        <w:rPr>
          <w:rFonts w:asciiTheme="majorHAnsi" w:hAnsiTheme="majorHAnsi"/>
          <w:sz w:val="20"/>
          <w:szCs w:val="20"/>
        </w:rPr>
        <w:lastRenderedPageBreak/>
        <w:t>identify vehicles in which the victim was taken. However, this evidence ha</w:t>
      </w:r>
      <w:r w:rsidR="00B237C6" w:rsidRPr="001E4C94">
        <w:rPr>
          <w:rFonts w:asciiTheme="majorHAnsi" w:hAnsiTheme="majorHAnsi"/>
          <w:sz w:val="20"/>
          <w:szCs w:val="20"/>
        </w:rPr>
        <w:t>s</w:t>
      </w:r>
      <w:r w:rsidR="00D749A2" w:rsidRPr="001E4C94">
        <w:rPr>
          <w:rFonts w:asciiTheme="majorHAnsi" w:hAnsiTheme="majorHAnsi"/>
          <w:sz w:val="20"/>
          <w:szCs w:val="20"/>
        </w:rPr>
        <w:t xml:space="preserve"> been removed from </w:t>
      </w:r>
      <w:r w:rsidR="001E1002" w:rsidRPr="001E4C94">
        <w:rPr>
          <w:rFonts w:asciiTheme="majorHAnsi" w:hAnsiTheme="majorHAnsi"/>
          <w:sz w:val="20"/>
          <w:szCs w:val="20"/>
        </w:rPr>
        <w:t>the</w:t>
      </w:r>
      <w:r w:rsidR="00D749A2" w:rsidRPr="001E4C94">
        <w:rPr>
          <w:rFonts w:asciiTheme="majorHAnsi" w:hAnsiTheme="majorHAnsi"/>
          <w:sz w:val="20"/>
          <w:szCs w:val="20"/>
        </w:rPr>
        <w:t xml:space="preserve"> Prosecutor</w:t>
      </w:r>
      <w:r w:rsidR="001E1002" w:rsidRPr="001E4C94">
        <w:rPr>
          <w:rFonts w:asciiTheme="majorHAnsi" w:hAnsiTheme="majorHAnsi"/>
          <w:sz w:val="20"/>
          <w:szCs w:val="20"/>
        </w:rPr>
        <w:t>’s Office</w:t>
      </w:r>
      <w:r w:rsidR="00026B39" w:rsidRPr="001E4C94">
        <w:rPr>
          <w:rFonts w:asciiTheme="majorHAnsi" w:hAnsiTheme="majorHAnsi"/>
          <w:sz w:val="20"/>
          <w:szCs w:val="20"/>
        </w:rPr>
        <w:t>.</w:t>
      </w:r>
    </w:p>
    <w:p w:rsidR="008457C3" w:rsidRPr="001E4C94" w:rsidRDefault="008457C3" w:rsidP="006E4093">
      <w:pPr>
        <w:spacing w:after="0"/>
        <w:jc w:val="both"/>
        <w:rPr>
          <w:rFonts w:asciiTheme="majorHAnsi" w:hAnsiTheme="majorHAnsi"/>
          <w:sz w:val="20"/>
          <w:szCs w:val="20"/>
        </w:rPr>
      </w:pPr>
    </w:p>
    <w:p w:rsidR="00BE6205" w:rsidRPr="001E4C94" w:rsidRDefault="002255C3"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Additionally, the petitioners contend that they had no </w:t>
      </w:r>
      <w:r w:rsidR="00D749A2" w:rsidRPr="001E4C94">
        <w:rPr>
          <w:rFonts w:asciiTheme="majorHAnsi" w:hAnsiTheme="majorHAnsi"/>
          <w:sz w:val="20"/>
          <w:szCs w:val="20"/>
        </w:rPr>
        <w:t>a</w:t>
      </w:r>
      <w:r w:rsidRPr="001E4C94">
        <w:rPr>
          <w:rFonts w:asciiTheme="majorHAnsi" w:hAnsiTheme="majorHAnsi"/>
          <w:sz w:val="20"/>
          <w:szCs w:val="20"/>
        </w:rPr>
        <w:t xml:space="preserve">ccess to the </w:t>
      </w:r>
      <w:r w:rsidR="00D749A2" w:rsidRPr="001E4C94">
        <w:rPr>
          <w:rFonts w:asciiTheme="majorHAnsi" w:hAnsiTheme="majorHAnsi"/>
          <w:sz w:val="20"/>
          <w:szCs w:val="20"/>
        </w:rPr>
        <w:t>body</w:t>
      </w:r>
      <w:r w:rsidRPr="001E4C94">
        <w:rPr>
          <w:rFonts w:asciiTheme="majorHAnsi" w:hAnsiTheme="majorHAnsi"/>
          <w:sz w:val="20"/>
          <w:szCs w:val="20"/>
        </w:rPr>
        <w:t xml:space="preserve"> of evidence that had been gather</w:t>
      </w:r>
      <w:r w:rsidR="00D749A2" w:rsidRPr="001E4C94">
        <w:rPr>
          <w:rFonts w:asciiTheme="majorHAnsi" w:hAnsiTheme="majorHAnsi"/>
          <w:sz w:val="20"/>
          <w:szCs w:val="20"/>
        </w:rPr>
        <w:t>ed</w:t>
      </w:r>
      <w:r w:rsidRPr="001E4C94">
        <w:rPr>
          <w:rFonts w:asciiTheme="majorHAnsi" w:hAnsiTheme="majorHAnsi"/>
          <w:sz w:val="20"/>
          <w:szCs w:val="20"/>
        </w:rPr>
        <w:t xml:space="preserve"> </w:t>
      </w:r>
      <w:r w:rsidR="00D749A2" w:rsidRPr="001E4C94">
        <w:rPr>
          <w:rFonts w:asciiTheme="majorHAnsi" w:hAnsiTheme="majorHAnsi"/>
          <w:sz w:val="20"/>
          <w:szCs w:val="20"/>
        </w:rPr>
        <w:t>during</w:t>
      </w:r>
      <w:r w:rsidRPr="001E4C94">
        <w:rPr>
          <w:rFonts w:asciiTheme="majorHAnsi" w:hAnsiTheme="majorHAnsi"/>
          <w:sz w:val="20"/>
          <w:szCs w:val="20"/>
        </w:rPr>
        <w:t xml:space="preserve"> the aforementioned </w:t>
      </w:r>
      <w:r w:rsidR="00D749A2" w:rsidRPr="001E4C94">
        <w:rPr>
          <w:rFonts w:asciiTheme="majorHAnsi" w:hAnsiTheme="majorHAnsi"/>
          <w:sz w:val="20"/>
          <w:szCs w:val="20"/>
        </w:rPr>
        <w:t xml:space="preserve">investigation conducted </w:t>
      </w:r>
      <w:r w:rsidRPr="001E4C94">
        <w:rPr>
          <w:rFonts w:asciiTheme="majorHAnsi" w:hAnsiTheme="majorHAnsi"/>
          <w:sz w:val="20"/>
          <w:szCs w:val="20"/>
        </w:rPr>
        <w:t xml:space="preserve">by the Office of Special Investigations of </w:t>
      </w:r>
      <w:r w:rsidR="001E1002" w:rsidRPr="001E4C94">
        <w:rPr>
          <w:rFonts w:asciiTheme="majorHAnsi" w:hAnsiTheme="majorHAnsi"/>
          <w:sz w:val="20"/>
          <w:szCs w:val="20"/>
        </w:rPr>
        <w:t>the Prosecutors Office</w:t>
      </w:r>
      <w:r w:rsidRPr="001E4C94">
        <w:rPr>
          <w:rFonts w:asciiTheme="majorHAnsi" w:hAnsiTheme="majorHAnsi"/>
          <w:sz w:val="20"/>
          <w:szCs w:val="20"/>
        </w:rPr>
        <w:t>, as th</w:t>
      </w:r>
      <w:r w:rsidR="00D749A2" w:rsidRPr="001E4C94">
        <w:rPr>
          <w:rFonts w:asciiTheme="majorHAnsi" w:hAnsiTheme="majorHAnsi"/>
          <w:sz w:val="20"/>
          <w:szCs w:val="20"/>
        </w:rPr>
        <w:t>is is</w:t>
      </w:r>
      <w:r w:rsidRPr="001E4C94">
        <w:rPr>
          <w:rFonts w:asciiTheme="majorHAnsi" w:hAnsiTheme="majorHAnsi"/>
          <w:sz w:val="20"/>
          <w:szCs w:val="20"/>
        </w:rPr>
        <w:t xml:space="preserve"> in the State</w:t>
      </w:r>
      <w:r w:rsidR="00D749A2" w:rsidRPr="001E4C94">
        <w:rPr>
          <w:rFonts w:asciiTheme="majorHAnsi" w:hAnsiTheme="majorHAnsi"/>
          <w:sz w:val="20"/>
          <w:szCs w:val="20"/>
        </w:rPr>
        <w:t>’s</w:t>
      </w:r>
      <w:r w:rsidRPr="001E4C94">
        <w:rPr>
          <w:rFonts w:asciiTheme="majorHAnsi" w:hAnsiTheme="majorHAnsi"/>
          <w:sz w:val="20"/>
          <w:szCs w:val="20"/>
        </w:rPr>
        <w:t xml:space="preserve"> </w:t>
      </w:r>
      <w:r w:rsidR="00B237C6" w:rsidRPr="001E4C94">
        <w:rPr>
          <w:rFonts w:asciiTheme="majorHAnsi" w:hAnsiTheme="majorHAnsi"/>
          <w:sz w:val="20"/>
          <w:szCs w:val="20"/>
        </w:rPr>
        <w:t xml:space="preserve">possession </w:t>
      </w:r>
      <w:r w:rsidRPr="001E4C94">
        <w:rPr>
          <w:rFonts w:asciiTheme="majorHAnsi" w:hAnsiTheme="majorHAnsi"/>
          <w:sz w:val="20"/>
          <w:szCs w:val="20"/>
        </w:rPr>
        <w:t xml:space="preserve">and </w:t>
      </w:r>
      <w:r w:rsidR="004C6E6F" w:rsidRPr="001E4C94">
        <w:rPr>
          <w:rFonts w:asciiTheme="majorHAnsi" w:hAnsiTheme="majorHAnsi"/>
          <w:sz w:val="20"/>
          <w:szCs w:val="20"/>
        </w:rPr>
        <w:t>their requests for information had been denied</w:t>
      </w:r>
      <w:r w:rsidR="00BF7C9D" w:rsidRPr="001E4C94">
        <w:rPr>
          <w:rFonts w:asciiTheme="majorHAnsi" w:hAnsiTheme="majorHAnsi"/>
          <w:sz w:val="20"/>
          <w:szCs w:val="20"/>
        </w:rPr>
        <w:t xml:space="preserve">. </w:t>
      </w:r>
      <w:r w:rsidR="00BE6205" w:rsidRPr="001E4C94">
        <w:rPr>
          <w:rFonts w:asciiTheme="majorHAnsi" w:hAnsiTheme="majorHAnsi"/>
          <w:sz w:val="20"/>
          <w:szCs w:val="20"/>
        </w:rPr>
        <w:t>Indeed, in 2007, they formally requested copies from the Prosecutor</w:t>
      </w:r>
      <w:r w:rsidR="001E1002" w:rsidRPr="001E4C94">
        <w:rPr>
          <w:rFonts w:asciiTheme="majorHAnsi" w:hAnsiTheme="majorHAnsi"/>
          <w:sz w:val="20"/>
          <w:szCs w:val="20"/>
        </w:rPr>
        <w:t>’s</w:t>
      </w:r>
      <w:r w:rsidR="00BE6205" w:rsidRPr="001E4C94">
        <w:rPr>
          <w:rFonts w:asciiTheme="majorHAnsi" w:hAnsiTheme="majorHAnsi"/>
          <w:sz w:val="20"/>
          <w:szCs w:val="20"/>
        </w:rPr>
        <w:t xml:space="preserve"> </w:t>
      </w:r>
      <w:r w:rsidR="001E1002" w:rsidRPr="001E4C94">
        <w:rPr>
          <w:rFonts w:asciiTheme="majorHAnsi" w:hAnsiTheme="majorHAnsi"/>
          <w:sz w:val="20"/>
          <w:szCs w:val="20"/>
        </w:rPr>
        <w:t xml:space="preserve">Office </w:t>
      </w:r>
      <w:r w:rsidR="004C6E6F" w:rsidRPr="001E4C94">
        <w:rPr>
          <w:rFonts w:asciiTheme="majorHAnsi" w:hAnsiTheme="majorHAnsi"/>
          <w:sz w:val="20"/>
          <w:szCs w:val="20"/>
        </w:rPr>
        <w:t>of</w:t>
      </w:r>
      <w:r w:rsidR="00BE6205" w:rsidRPr="001E4C94">
        <w:rPr>
          <w:rFonts w:asciiTheme="majorHAnsi" w:hAnsiTheme="majorHAnsi"/>
          <w:sz w:val="20"/>
          <w:szCs w:val="20"/>
        </w:rPr>
        <w:t xml:space="preserve"> the </w:t>
      </w:r>
      <w:r w:rsidR="004A708F" w:rsidRPr="001E4C94">
        <w:rPr>
          <w:rFonts w:asciiTheme="majorHAnsi" w:hAnsiTheme="majorHAnsi"/>
          <w:sz w:val="20"/>
          <w:szCs w:val="20"/>
        </w:rPr>
        <w:t>disciplinary</w:t>
      </w:r>
      <w:r w:rsidR="00BE6205" w:rsidRPr="001E4C94">
        <w:rPr>
          <w:rFonts w:asciiTheme="majorHAnsi" w:hAnsiTheme="majorHAnsi"/>
          <w:sz w:val="20"/>
          <w:szCs w:val="20"/>
        </w:rPr>
        <w:t xml:space="preserve"> </w:t>
      </w:r>
      <w:r w:rsidR="004A708F" w:rsidRPr="001E4C94">
        <w:rPr>
          <w:rFonts w:asciiTheme="majorHAnsi" w:hAnsiTheme="majorHAnsi"/>
          <w:sz w:val="20"/>
          <w:szCs w:val="20"/>
        </w:rPr>
        <w:t>proceeding</w:t>
      </w:r>
      <w:r w:rsidR="004C6E6F" w:rsidRPr="001E4C94">
        <w:rPr>
          <w:rFonts w:asciiTheme="majorHAnsi" w:hAnsiTheme="majorHAnsi"/>
          <w:sz w:val="20"/>
          <w:szCs w:val="20"/>
        </w:rPr>
        <w:t xml:space="preserve">s that took place </w:t>
      </w:r>
      <w:r w:rsidR="00BE6205" w:rsidRPr="001E4C94">
        <w:rPr>
          <w:rFonts w:asciiTheme="majorHAnsi" w:hAnsiTheme="majorHAnsi"/>
          <w:sz w:val="20"/>
          <w:szCs w:val="20"/>
        </w:rPr>
        <w:t xml:space="preserve">regarding the </w:t>
      </w:r>
      <w:r w:rsidR="004C6E6F" w:rsidRPr="001E4C94">
        <w:rPr>
          <w:rFonts w:asciiTheme="majorHAnsi" w:hAnsiTheme="majorHAnsi"/>
          <w:sz w:val="20"/>
          <w:szCs w:val="20"/>
        </w:rPr>
        <w:t>alleged victim’s purported</w:t>
      </w:r>
      <w:r w:rsidR="00BE6205" w:rsidRPr="001E4C94">
        <w:rPr>
          <w:rFonts w:asciiTheme="majorHAnsi" w:hAnsiTheme="majorHAnsi"/>
          <w:sz w:val="20"/>
          <w:szCs w:val="20"/>
        </w:rPr>
        <w:t xml:space="preserve"> </w:t>
      </w:r>
      <w:r w:rsidR="008C0889" w:rsidRPr="001E4C94">
        <w:rPr>
          <w:rFonts w:asciiTheme="majorHAnsi" w:hAnsiTheme="majorHAnsi"/>
          <w:sz w:val="20"/>
          <w:szCs w:val="20"/>
        </w:rPr>
        <w:t>disappearance</w:t>
      </w:r>
      <w:r w:rsidR="004C6E6F" w:rsidRPr="001E4C94">
        <w:rPr>
          <w:rFonts w:asciiTheme="majorHAnsi" w:hAnsiTheme="majorHAnsi"/>
          <w:sz w:val="20"/>
          <w:szCs w:val="20"/>
        </w:rPr>
        <w:t>. T</w:t>
      </w:r>
      <w:r w:rsidR="00BE6205" w:rsidRPr="001E4C94">
        <w:rPr>
          <w:rFonts w:asciiTheme="majorHAnsi" w:hAnsiTheme="majorHAnsi"/>
          <w:sz w:val="20"/>
          <w:szCs w:val="20"/>
        </w:rPr>
        <w:t xml:space="preserve">he response they had </w:t>
      </w:r>
      <w:r w:rsidR="004A708F" w:rsidRPr="001E4C94">
        <w:rPr>
          <w:rFonts w:asciiTheme="majorHAnsi" w:hAnsiTheme="majorHAnsi"/>
          <w:sz w:val="20"/>
          <w:szCs w:val="20"/>
        </w:rPr>
        <w:t>received</w:t>
      </w:r>
      <w:r w:rsidR="00BE6205" w:rsidRPr="001E4C94">
        <w:rPr>
          <w:rFonts w:asciiTheme="majorHAnsi" w:hAnsiTheme="majorHAnsi"/>
          <w:sz w:val="20"/>
          <w:szCs w:val="20"/>
        </w:rPr>
        <w:t xml:space="preserve"> on March</w:t>
      </w:r>
      <w:r w:rsidR="001E1002" w:rsidRPr="001E4C94">
        <w:rPr>
          <w:rFonts w:asciiTheme="majorHAnsi" w:hAnsiTheme="majorHAnsi"/>
          <w:sz w:val="20"/>
          <w:szCs w:val="20"/>
        </w:rPr>
        <w:t xml:space="preserve"> </w:t>
      </w:r>
      <w:r w:rsidR="00BE6205" w:rsidRPr="001E4C94">
        <w:rPr>
          <w:rFonts w:asciiTheme="majorHAnsi" w:hAnsiTheme="majorHAnsi"/>
          <w:sz w:val="20"/>
          <w:szCs w:val="20"/>
        </w:rPr>
        <w:t>2 of th</w:t>
      </w:r>
      <w:r w:rsidR="004C6E6F" w:rsidRPr="001E4C94">
        <w:rPr>
          <w:rFonts w:asciiTheme="majorHAnsi" w:hAnsiTheme="majorHAnsi"/>
          <w:sz w:val="20"/>
          <w:szCs w:val="20"/>
        </w:rPr>
        <w:t>at</w:t>
      </w:r>
      <w:r w:rsidR="00BE6205" w:rsidRPr="001E4C94">
        <w:rPr>
          <w:rFonts w:asciiTheme="majorHAnsi" w:hAnsiTheme="majorHAnsi"/>
          <w:sz w:val="20"/>
          <w:szCs w:val="20"/>
        </w:rPr>
        <w:t xml:space="preserve"> year stated </w:t>
      </w:r>
      <w:r w:rsidR="004A708F" w:rsidRPr="001E4C94">
        <w:rPr>
          <w:rFonts w:asciiTheme="majorHAnsi" w:hAnsiTheme="majorHAnsi"/>
          <w:sz w:val="20"/>
          <w:szCs w:val="20"/>
        </w:rPr>
        <w:t>that</w:t>
      </w:r>
      <w:r w:rsidR="00BE6205" w:rsidRPr="001E4C94">
        <w:rPr>
          <w:rFonts w:asciiTheme="majorHAnsi" w:hAnsiTheme="majorHAnsi"/>
          <w:sz w:val="20"/>
          <w:szCs w:val="20"/>
        </w:rPr>
        <w:t xml:space="preserve"> </w:t>
      </w:r>
      <w:r w:rsidR="004A708F" w:rsidRPr="001E4C94">
        <w:rPr>
          <w:rFonts w:asciiTheme="majorHAnsi" w:hAnsiTheme="majorHAnsi"/>
          <w:sz w:val="20"/>
          <w:szCs w:val="20"/>
        </w:rPr>
        <w:t xml:space="preserve">“pursuant to </w:t>
      </w:r>
      <w:r w:rsidR="004C6E6F" w:rsidRPr="001E4C94">
        <w:rPr>
          <w:rFonts w:asciiTheme="majorHAnsi" w:hAnsiTheme="majorHAnsi"/>
          <w:sz w:val="20"/>
          <w:szCs w:val="20"/>
        </w:rPr>
        <w:t>Deletion Record</w:t>
      </w:r>
      <w:r w:rsidR="004A708F" w:rsidRPr="001E4C94">
        <w:rPr>
          <w:rFonts w:asciiTheme="majorHAnsi" w:hAnsiTheme="majorHAnsi"/>
          <w:sz w:val="20"/>
          <w:szCs w:val="20"/>
        </w:rPr>
        <w:t xml:space="preserve"> No. 001</w:t>
      </w:r>
      <w:r w:rsidR="00B237C6" w:rsidRPr="001E4C94">
        <w:rPr>
          <w:rFonts w:asciiTheme="majorHAnsi" w:hAnsiTheme="majorHAnsi"/>
          <w:sz w:val="20"/>
          <w:szCs w:val="20"/>
        </w:rPr>
        <w:t>,</w:t>
      </w:r>
      <w:r w:rsidR="004A708F" w:rsidRPr="001E4C94">
        <w:rPr>
          <w:rFonts w:asciiTheme="majorHAnsi" w:hAnsiTheme="majorHAnsi"/>
          <w:sz w:val="20"/>
          <w:szCs w:val="20"/>
        </w:rPr>
        <w:t xml:space="preserve"> said proceedings </w:t>
      </w:r>
      <w:r w:rsidR="004C6E6F" w:rsidRPr="001E4C94">
        <w:rPr>
          <w:rFonts w:asciiTheme="majorHAnsi" w:hAnsiTheme="majorHAnsi"/>
          <w:sz w:val="20"/>
          <w:szCs w:val="20"/>
        </w:rPr>
        <w:t>were</w:t>
      </w:r>
      <w:r w:rsidR="004A708F" w:rsidRPr="001E4C94">
        <w:rPr>
          <w:rFonts w:asciiTheme="majorHAnsi" w:hAnsiTheme="majorHAnsi"/>
          <w:sz w:val="20"/>
          <w:szCs w:val="20"/>
        </w:rPr>
        <w:t xml:space="preserve"> purged and deleted.”</w:t>
      </w:r>
      <w:r w:rsidR="00BE6205"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B72A65" w:rsidRPr="001E4C94" w:rsidRDefault="004A708F"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Finally, in September 2014, the petitioners report</w:t>
      </w:r>
      <w:r w:rsidR="004C6E6F" w:rsidRPr="001E4C94">
        <w:rPr>
          <w:rFonts w:asciiTheme="majorHAnsi" w:hAnsiTheme="majorHAnsi"/>
          <w:sz w:val="20"/>
          <w:szCs w:val="20"/>
        </w:rPr>
        <w:t>ed</w:t>
      </w:r>
      <w:r w:rsidRPr="001E4C94">
        <w:rPr>
          <w:rFonts w:asciiTheme="majorHAnsi" w:hAnsiTheme="majorHAnsi"/>
          <w:sz w:val="20"/>
          <w:szCs w:val="20"/>
        </w:rPr>
        <w:t xml:space="preserve"> that in the </w:t>
      </w:r>
      <w:r w:rsidR="008C0889" w:rsidRPr="001E4C94">
        <w:rPr>
          <w:rFonts w:asciiTheme="majorHAnsi" w:hAnsiTheme="majorHAnsi"/>
          <w:sz w:val="20"/>
          <w:szCs w:val="20"/>
        </w:rPr>
        <w:t>framework</w:t>
      </w:r>
      <w:r w:rsidRPr="001E4C94">
        <w:rPr>
          <w:rFonts w:asciiTheme="majorHAnsi" w:hAnsiTheme="majorHAnsi"/>
          <w:sz w:val="20"/>
          <w:szCs w:val="20"/>
        </w:rPr>
        <w:t xml:space="preserve"> of the criminal </w:t>
      </w:r>
      <w:r w:rsidR="008C0889" w:rsidRPr="001E4C94">
        <w:rPr>
          <w:rFonts w:asciiTheme="majorHAnsi" w:hAnsiTheme="majorHAnsi"/>
          <w:sz w:val="20"/>
          <w:szCs w:val="20"/>
        </w:rPr>
        <w:t>proceedings</w:t>
      </w:r>
      <w:r w:rsidRPr="001E4C94">
        <w:rPr>
          <w:rFonts w:asciiTheme="majorHAnsi" w:hAnsiTheme="majorHAnsi"/>
          <w:sz w:val="20"/>
          <w:szCs w:val="20"/>
        </w:rPr>
        <w:t xml:space="preserve"> initiated in 199</w:t>
      </w:r>
      <w:r w:rsidR="004C6E6F" w:rsidRPr="001E4C94">
        <w:rPr>
          <w:rFonts w:asciiTheme="majorHAnsi" w:hAnsiTheme="majorHAnsi"/>
          <w:sz w:val="20"/>
          <w:szCs w:val="20"/>
        </w:rPr>
        <w:t>0</w:t>
      </w:r>
      <w:r w:rsidRPr="001E4C94">
        <w:rPr>
          <w:rFonts w:asciiTheme="majorHAnsi" w:hAnsiTheme="majorHAnsi"/>
          <w:sz w:val="20"/>
          <w:szCs w:val="20"/>
        </w:rPr>
        <w:t>, the National Unit of Specialized Prosecutors</w:t>
      </w:r>
      <w:r w:rsidR="004C6E6F" w:rsidRPr="001E4C94">
        <w:rPr>
          <w:rFonts w:asciiTheme="majorHAnsi" w:hAnsiTheme="majorHAnsi"/>
          <w:sz w:val="20"/>
          <w:szCs w:val="20"/>
        </w:rPr>
        <w:t>’</w:t>
      </w:r>
      <w:r w:rsidRPr="001E4C94">
        <w:rPr>
          <w:rFonts w:asciiTheme="majorHAnsi" w:hAnsiTheme="majorHAnsi"/>
          <w:sz w:val="20"/>
          <w:szCs w:val="20"/>
        </w:rPr>
        <w:t xml:space="preserve"> Offices</w:t>
      </w:r>
      <w:r w:rsidR="004C6E6F" w:rsidRPr="001E4C94">
        <w:rPr>
          <w:rFonts w:asciiTheme="majorHAnsi" w:hAnsiTheme="majorHAnsi"/>
          <w:sz w:val="20"/>
          <w:szCs w:val="20"/>
        </w:rPr>
        <w:t xml:space="preserve"> </w:t>
      </w:r>
      <w:r w:rsidRPr="001E4C94">
        <w:rPr>
          <w:rFonts w:asciiTheme="majorHAnsi" w:hAnsiTheme="majorHAnsi"/>
          <w:sz w:val="20"/>
          <w:szCs w:val="20"/>
        </w:rPr>
        <w:t xml:space="preserve">on Forced </w:t>
      </w:r>
      <w:r w:rsidR="008C0889" w:rsidRPr="001E4C94">
        <w:rPr>
          <w:rFonts w:asciiTheme="majorHAnsi" w:hAnsiTheme="majorHAnsi"/>
          <w:sz w:val="20"/>
          <w:szCs w:val="20"/>
        </w:rPr>
        <w:t>Disappearance</w:t>
      </w:r>
      <w:r w:rsidRPr="001E4C94">
        <w:rPr>
          <w:rFonts w:asciiTheme="majorHAnsi" w:hAnsiTheme="majorHAnsi"/>
          <w:sz w:val="20"/>
          <w:szCs w:val="20"/>
        </w:rPr>
        <w:t xml:space="preserve"> and Displacement</w:t>
      </w:r>
      <w:r w:rsidR="000A313C" w:rsidRPr="001E4C94">
        <w:rPr>
          <w:rFonts w:asciiTheme="majorHAnsi" w:hAnsiTheme="majorHAnsi"/>
          <w:sz w:val="20"/>
          <w:szCs w:val="20"/>
        </w:rPr>
        <w:t xml:space="preserve"> had, in an </w:t>
      </w:r>
      <w:r w:rsidR="008C0889" w:rsidRPr="001E4C94">
        <w:rPr>
          <w:rFonts w:asciiTheme="majorHAnsi" w:hAnsiTheme="majorHAnsi"/>
          <w:sz w:val="20"/>
          <w:szCs w:val="20"/>
        </w:rPr>
        <w:t>official</w:t>
      </w:r>
      <w:r w:rsidRPr="001E4C94">
        <w:rPr>
          <w:rFonts w:asciiTheme="majorHAnsi" w:hAnsiTheme="majorHAnsi"/>
          <w:sz w:val="20"/>
          <w:szCs w:val="20"/>
        </w:rPr>
        <w:t xml:space="preserve"> letter </w:t>
      </w:r>
      <w:r w:rsidR="000A313C" w:rsidRPr="001E4C94">
        <w:rPr>
          <w:rFonts w:asciiTheme="majorHAnsi" w:hAnsiTheme="majorHAnsi"/>
          <w:sz w:val="20"/>
          <w:szCs w:val="20"/>
        </w:rPr>
        <w:t>dated</w:t>
      </w:r>
      <w:r w:rsidRPr="001E4C94">
        <w:rPr>
          <w:rFonts w:asciiTheme="majorHAnsi" w:hAnsiTheme="majorHAnsi"/>
          <w:sz w:val="20"/>
          <w:szCs w:val="20"/>
        </w:rPr>
        <w:t xml:space="preserve"> </w:t>
      </w:r>
      <w:r w:rsidR="008C0889" w:rsidRPr="001E4C94">
        <w:rPr>
          <w:rFonts w:asciiTheme="majorHAnsi" w:hAnsiTheme="majorHAnsi"/>
          <w:sz w:val="20"/>
          <w:szCs w:val="20"/>
        </w:rPr>
        <w:t>J</w:t>
      </w:r>
      <w:r w:rsidRPr="001E4C94">
        <w:rPr>
          <w:rFonts w:asciiTheme="majorHAnsi" w:hAnsiTheme="majorHAnsi"/>
          <w:sz w:val="20"/>
          <w:szCs w:val="20"/>
        </w:rPr>
        <w:t>uly 14, 2014</w:t>
      </w:r>
      <w:r w:rsidR="000A313C" w:rsidRPr="001E4C94">
        <w:rPr>
          <w:rFonts w:asciiTheme="majorHAnsi" w:hAnsiTheme="majorHAnsi"/>
          <w:sz w:val="20"/>
          <w:szCs w:val="20"/>
        </w:rPr>
        <w:t>, responded</w:t>
      </w:r>
      <w:r w:rsidRPr="001E4C94">
        <w:rPr>
          <w:rFonts w:asciiTheme="majorHAnsi" w:hAnsiTheme="majorHAnsi"/>
          <w:sz w:val="20"/>
          <w:szCs w:val="20"/>
        </w:rPr>
        <w:t xml:space="preserve"> </w:t>
      </w:r>
      <w:r w:rsidR="00CD16BD" w:rsidRPr="001E4C94">
        <w:rPr>
          <w:rFonts w:asciiTheme="majorHAnsi" w:hAnsiTheme="majorHAnsi"/>
          <w:sz w:val="20"/>
          <w:szCs w:val="20"/>
        </w:rPr>
        <w:t>to a request for information</w:t>
      </w:r>
      <w:r w:rsidRPr="001E4C94">
        <w:rPr>
          <w:rFonts w:asciiTheme="majorHAnsi" w:hAnsiTheme="majorHAnsi"/>
          <w:sz w:val="20"/>
          <w:szCs w:val="20"/>
        </w:rPr>
        <w:t xml:space="preserve"> filed in domestic court by the petitioners in March of that year</w:t>
      </w:r>
      <w:r w:rsidR="00BF7C9D" w:rsidRPr="001E4C94">
        <w:rPr>
          <w:rFonts w:asciiTheme="majorHAnsi" w:hAnsiTheme="majorHAnsi"/>
          <w:sz w:val="20"/>
          <w:szCs w:val="20"/>
        </w:rPr>
        <w:t xml:space="preserve">. </w:t>
      </w:r>
      <w:r w:rsidRPr="001E4C94">
        <w:rPr>
          <w:rFonts w:asciiTheme="majorHAnsi" w:hAnsiTheme="majorHAnsi"/>
          <w:sz w:val="20"/>
          <w:szCs w:val="20"/>
        </w:rPr>
        <w:t xml:space="preserve">The Unit reported that the criminal investigation was </w:t>
      </w:r>
      <w:r w:rsidR="00CD16BD" w:rsidRPr="001E4C94">
        <w:rPr>
          <w:rFonts w:asciiTheme="majorHAnsi" w:hAnsiTheme="majorHAnsi"/>
          <w:sz w:val="20"/>
          <w:szCs w:val="20"/>
        </w:rPr>
        <w:t>at</w:t>
      </w:r>
      <w:r w:rsidRPr="001E4C94">
        <w:rPr>
          <w:rFonts w:asciiTheme="majorHAnsi" w:hAnsiTheme="majorHAnsi"/>
          <w:sz w:val="20"/>
          <w:szCs w:val="20"/>
        </w:rPr>
        <w:t xml:space="preserve"> </w:t>
      </w:r>
      <w:r w:rsidR="00B237C6" w:rsidRPr="001E4C94">
        <w:rPr>
          <w:rFonts w:asciiTheme="majorHAnsi" w:hAnsiTheme="majorHAnsi"/>
          <w:sz w:val="20"/>
          <w:szCs w:val="20"/>
        </w:rPr>
        <w:t xml:space="preserve">a </w:t>
      </w:r>
      <w:r w:rsidRPr="001E4C94">
        <w:rPr>
          <w:rFonts w:asciiTheme="majorHAnsi" w:hAnsiTheme="majorHAnsi"/>
          <w:sz w:val="20"/>
          <w:szCs w:val="20"/>
        </w:rPr>
        <w:t xml:space="preserve">“preliminary stage of </w:t>
      </w:r>
      <w:r w:rsidR="00B74498" w:rsidRPr="001E4C94">
        <w:rPr>
          <w:rFonts w:asciiTheme="majorHAnsi" w:hAnsiTheme="majorHAnsi"/>
          <w:sz w:val="20"/>
          <w:szCs w:val="20"/>
        </w:rPr>
        <w:t xml:space="preserve">finding out who </w:t>
      </w:r>
      <w:r w:rsidR="00CD16BD" w:rsidRPr="001E4C94">
        <w:rPr>
          <w:rFonts w:asciiTheme="majorHAnsi" w:hAnsiTheme="majorHAnsi"/>
          <w:sz w:val="20"/>
          <w:szCs w:val="20"/>
        </w:rPr>
        <w:t>the perpetrators</w:t>
      </w:r>
      <w:r w:rsidR="00B74498" w:rsidRPr="001E4C94">
        <w:rPr>
          <w:rFonts w:asciiTheme="majorHAnsi" w:hAnsiTheme="majorHAnsi"/>
          <w:sz w:val="20"/>
          <w:szCs w:val="20"/>
        </w:rPr>
        <w:t xml:space="preserve"> were</w:t>
      </w:r>
      <w:r w:rsidRPr="001E4C94">
        <w:rPr>
          <w:rFonts w:asciiTheme="majorHAnsi" w:hAnsiTheme="majorHAnsi"/>
          <w:sz w:val="20"/>
          <w:szCs w:val="20"/>
        </w:rPr>
        <w:t>” and that tests were being conducted</w:t>
      </w:r>
      <w:r w:rsidR="00BF7C9D" w:rsidRPr="001E4C94">
        <w:rPr>
          <w:rFonts w:asciiTheme="majorHAnsi" w:hAnsiTheme="majorHAnsi"/>
          <w:sz w:val="20"/>
          <w:szCs w:val="20"/>
        </w:rPr>
        <w:t xml:space="preserve">. </w:t>
      </w:r>
      <w:r w:rsidRPr="001E4C94">
        <w:rPr>
          <w:rFonts w:asciiTheme="majorHAnsi" w:hAnsiTheme="majorHAnsi"/>
          <w:sz w:val="20"/>
          <w:szCs w:val="20"/>
        </w:rPr>
        <w:t>Furthermore, they were informed that the last of the tests had been order</w:t>
      </w:r>
      <w:r w:rsidR="00CD16BD" w:rsidRPr="001E4C94">
        <w:rPr>
          <w:rFonts w:asciiTheme="majorHAnsi" w:hAnsiTheme="majorHAnsi"/>
          <w:sz w:val="20"/>
          <w:szCs w:val="20"/>
        </w:rPr>
        <w:t>ed</w:t>
      </w:r>
      <w:r w:rsidRPr="001E4C94">
        <w:rPr>
          <w:rFonts w:asciiTheme="majorHAnsi" w:hAnsiTheme="majorHAnsi"/>
          <w:sz w:val="20"/>
          <w:szCs w:val="20"/>
        </w:rPr>
        <w:t xml:space="preserve"> on May 21, 2014</w:t>
      </w:r>
      <w:r w:rsidR="00B74498" w:rsidRPr="001E4C94">
        <w:rPr>
          <w:rFonts w:asciiTheme="majorHAnsi" w:hAnsiTheme="majorHAnsi"/>
          <w:sz w:val="20"/>
          <w:szCs w:val="20"/>
        </w:rPr>
        <w:t>,</w:t>
      </w:r>
      <w:r w:rsidRPr="001E4C94">
        <w:rPr>
          <w:rFonts w:asciiTheme="majorHAnsi" w:hAnsiTheme="majorHAnsi"/>
          <w:sz w:val="20"/>
          <w:szCs w:val="20"/>
        </w:rPr>
        <w:t xml:space="preserve"> “</w:t>
      </w:r>
      <w:r w:rsidR="00CD16BD" w:rsidRPr="001E4C94">
        <w:rPr>
          <w:rFonts w:asciiTheme="majorHAnsi" w:hAnsiTheme="majorHAnsi"/>
          <w:sz w:val="20"/>
          <w:szCs w:val="20"/>
        </w:rPr>
        <w:t>but</w:t>
      </w:r>
      <w:r w:rsidRPr="001E4C94">
        <w:rPr>
          <w:rFonts w:asciiTheme="majorHAnsi" w:hAnsiTheme="majorHAnsi"/>
          <w:sz w:val="20"/>
          <w:szCs w:val="20"/>
        </w:rPr>
        <w:t xml:space="preserve"> thus far the perpetrators of the disappearance had not been found.” In this regard the petitioners stated that “they </w:t>
      </w:r>
      <w:r w:rsidR="00CD16BD" w:rsidRPr="001E4C94">
        <w:rPr>
          <w:rFonts w:asciiTheme="majorHAnsi" w:hAnsiTheme="majorHAnsi"/>
          <w:sz w:val="20"/>
          <w:szCs w:val="20"/>
        </w:rPr>
        <w:t>knew nothing about</w:t>
      </w:r>
      <w:r w:rsidRPr="001E4C94">
        <w:rPr>
          <w:rFonts w:asciiTheme="majorHAnsi" w:hAnsiTheme="majorHAnsi"/>
          <w:sz w:val="20"/>
          <w:szCs w:val="20"/>
        </w:rPr>
        <w:t xml:space="preserve"> the tests referred to in the recent response</w:t>
      </w:r>
      <w:r w:rsidR="001E1002" w:rsidRPr="001E4C94">
        <w:rPr>
          <w:rFonts w:asciiTheme="majorHAnsi" w:hAnsiTheme="majorHAnsi"/>
          <w:sz w:val="20"/>
          <w:szCs w:val="20"/>
        </w:rPr>
        <w:t xml:space="preserve"> f</w:t>
      </w:r>
      <w:r w:rsidR="00B74498" w:rsidRPr="001E4C94">
        <w:rPr>
          <w:rFonts w:asciiTheme="majorHAnsi" w:hAnsiTheme="majorHAnsi"/>
          <w:sz w:val="20"/>
          <w:szCs w:val="20"/>
        </w:rPr>
        <w:t>rom</w:t>
      </w:r>
      <w:r w:rsidR="001E1002" w:rsidRPr="001E4C94">
        <w:rPr>
          <w:rFonts w:asciiTheme="majorHAnsi" w:hAnsiTheme="majorHAnsi"/>
          <w:sz w:val="20"/>
          <w:szCs w:val="20"/>
        </w:rPr>
        <w:t xml:space="preserve"> the Prosecutor’s Office</w:t>
      </w:r>
      <w:r w:rsidR="00B72A65" w:rsidRPr="001E4C94">
        <w:rPr>
          <w:rFonts w:asciiTheme="majorHAnsi" w:hAnsiTheme="majorHAnsi"/>
          <w:sz w:val="20"/>
          <w:szCs w:val="20"/>
        </w:rPr>
        <w:t>”.</w:t>
      </w:r>
    </w:p>
    <w:p w:rsidR="005758BA" w:rsidRPr="001E4C94" w:rsidRDefault="005758BA" w:rsidP="006E4093">
      <w:pPr>
        <w:spacing w:after="0"/>
        <w:jc w:val="both"/>
        <w:rPr>
          <w:rFonts w:asciiTheme="majorHAnsi" w:hAnsiTheme="majorHAnsi"/>
          <w:sz w:val="20"/>
          <w:szCs w:val="20"/>
        </w:rPr>
      </w:pPr>
    </w:p>
    <w:p w:rsidR="006F487B" w:rsidRPr="001E4C94" w:rsidRDefault="00561A74" w:rsidP="006E4093">
      <w:pPr>
        <w:pStyle w:val="ListParagraph"/>
        <w:numPr>
          <w:ilvl w:val="0"/>
          <w:numId w:val="7"/>
        </w:numPr>
        <w:spacing w:after="0"/>
        <w:jc w:val="both"/>
        <w:outlineLvl w:val="1"/>
        <w:rPr>
          <w:rFonts w:asciiTheme="majorHAnsi" w:hAnsiTheme="majorHAnsi"/>
          <w:b/>
          <w:sz w:val="20"/>
          <w:szCs w:val="20"/>
        </w:rPr>
      </w:pPr>
      <w:r w:rsidRPr="001E4C94">
        <w:rPr>
          <w:rFonts w:asciiTheme="majorHAnsi" w:hAnsiTheme="majorHAnsi"/>
          <w:b/>
          <w:sz w:val="20"/>
          <w:szCs w:val="20"/>
        </w:rPr>
        <w:t xml:space="preserve">The </w:t>
      </w:r>
      <w:r w:rsidR="00B74498" w:rsidRPr="001E4C94">
        <w:rPr>
          <w:rFonts w:asciiTheme="majorHAnsi" w:hAnsiTheme="majorHAnsi"/>
          <w:b/>
          <w:sz w:val="20"/>
          <w:szCs w:val="20"/>
        </w:rPr>
        <w:t>State</w:t>
      </w:r>
    </w:p>
    <w:p w:rsidR="005758BA" w:rsidRPr="001E4C94" w:rsidRDefault="005758BA" w:rsidP="006E4093">
      <w:pPr>
        <w:spacing w:after="0"/>
        <w:jc w:val="both"/>
        <w:rPr>
          <w:rFonts w:asciiTheme="majorHAnsi" w:hAnsiTheme="majorHAnsi"/>
          <w:b/>
          <w:sz w:val="20"/>
          <w:szCs w:val="20"/>
        </w:rPr>
      </w:pPr>
    </w:p>
    <w:p w:rsidR="00D55725" w:rsidRPr="001E4C94" w:rsidRDefault="00561A74"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In the its observations regarding admissibility of this case, the State explained that there were two main domestic proceedings for discovering </w:t>
      </w:r>
      <w:r w:rsidR="00CD16BD" w:rsidRPr="001E4C94">
        <w:rPr>
          <w:rFonts w:asciiTheme="majorHAnsi" w:hAnsiTheme="majorHAnsi"/>
          <w:sz w:val="20"/>
          <w:szCs w:val="20"/>
        </w:rPr>
        <w:t>the alleged victim’s</w:t>
      </w:r>
      <w:r w:rsidRPr="001E4C94">
        <w:rPr>
          <w:rFonts w:asciiTheme="majorHAnsi" w:hAnsiTheme="majorHAnsi"/>
          <w:sz w:val="20"/>
          <w:szCs w:val="20"/>
        </w:rPr>
        <w:t xml:space="preserve"> whereabouts and punishing those </w:t>
      </w:r>
      <w:r w:rsidR="008C0889" w:rsidRPr="001E4C94">
        <w:rPr>
          <w:rFonts w:asciiTheme="majorHAnsi" w:hAnsiTheme="majorHAnsi"/>
          <w:sz w:val="20"/>
          <w:szCs w:val="20"/>
        </w:rPr>
        <w:t>responsible</w:t>
      </w:r>
      <w:r w:rsidRPr="001E4C94">
        <w:rPr>
          <w:rFonts w:asciiTheme="majorHAnsi" w:hAnsiTheme="majorHAnsi"/>
          <w:sz w:val="20"/>
          <w:szCs w:val="20"/>
        </w:rPr>
        <w:t xml:space="preserve"> for his </w:t>
      </w:r>
      <w:r w:rsidR="00CD16BD" w:rsidRPr="001E4C94">
        <w:rPr>
          <w:rFonts w:asciiTheme="majorHAnsi" w:hAnsiTheme="majorHAnsi"/>
          <w:sz w:val="20"/>
          <w:szCs w:val="20"/>
        </w:rPr>
        <w:t xml:space="preserve">purported disappearance—one </w:t>
      </w:r>
      <w:r w:rsidRPr="001E4C94">
        <w:rPr>
          <w:rFonts w:asciiTheme="majorHAnsi" w:hAnsiTheme="majorHAnsi"/>
          <w:sz w:val="20"/>
          <w:szCs w:val="20"/>
        </w:rPr>
        <w:t>administrative, the other criminal</w:t>
      </w:r>
      <w:r w:rsidR="00305FDF" w:rsidRPr="001E4C94">
        <w:rPr>
          <w:rFonts w:asciiTheme="majorHAnsi" w:hAnsiTheme="majorHAnsi"/>
          <w:sz w:val="20"/>
          <w:szCs w:val="20"/>
        </w:rPr>
        <w:t>.</w:t>
      </w:r>
    </w:p>
    <w:p w:rsidR="005758BA" w:rsidRPr="001E4C94" w:rsidRDefault="005758BA" w:rsidP="006E4093">
      <w:pPr>
        <w:spacing w:after="0"/>
        <w:jc w:val="both"/>
        <w:rPr>
          <w:rFonts w:asciiTheme="majorHAnsi" w:hAnsiTheme="majorHAnsi"/>
          <w:sz w:val="20"/>
          <w:szCs w:val="20"/>
        </w:rPr>
      </w:pPr>
    </w:p>
    <w:p w:rsidR="00C608C0" w:rsidRPr="001E4C94" w:rsidRDefault="00561A74"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With regard to the administrative proceedings (on </w:t>
      </w:r>
      <w:r w:rsidR="008C0889" w:rsidRPr="001E4C94">
        <w:rPr>
          <w:rFonts w:asciiTheme="majorHAnsi" w:hAnsiTheme="majorHAnsi"/>
          <w:sz w:val="20"/>
          <w:szCs w:val="20"/>
        </w:rPr>
        <w:t>occasions</w:t>
      </w:r>
      <w:r w:rsidRPr="001E4C94">
        <w:rPr>
          <w:rFonts w:asciiTheme="majorHAnsi" w:hAnsiTheme="majorHAnsi"/>
          <w:sz w:val="20"/>
          <w:szCs w:val="20"/>
        </w:rPr>
        <w:t xml:space="preserve"> refer</w:t>
      </w:r>
      <w:r w:rsidR="001E1002" w:rsidRPr="001E4C94">
        <w:rPr>
          <w:rFonts w:asciiTheme="majorHAnsi" w:hAnsiTheme="majorHAnsi"/>
          <w:sz w:val="20"/>
          <w:szCs w:val="20"/>
        </w:rPr>
        <w:t>red to by the State</w:t>
      </w:r>
      <w:r w:rsidRPr="001E4C94">
        <w:rPr>
          <w:rFonts w:asciiTheme="majorHAnsi" w:hAnsiTheme="majorHAnsi"/>
          <w:sz w:val="20"/>
          <w:szCs w:val="20"/>
        </w:rPr>
        <w:t xml:space="preserve"> as “</w:t>
      </w:r>
      <w:r w:rsidR="008C0889" w:rsidRPr="001E4C94">
        <w:rPr>
          <w:rFonts w:asciiTheme="majorHAnsi" w:hAnsiTheme="majorHAnsi"/>
          <w:sz w:val="20"/>
          <w:szCs w:val="20"/>
        </w:rPr>
        <w:t>disciplinary</w:t>
      </w:r>
      <w:r w:rsidR="001E1002" w:rsidRPr="001E4C94">
        <w:rPr>
          <w:rFonts w:asciiTheme="majorHAnsi" w:hAnsiTheme="majorHAnsi"/>
          <w:sz w:val="20"/>
          <w:szCs w:val="20"/>
        </w:rPr>
        <w:t>”</w:t>
      </w:r>
      <w:r w:rsidR="00426C89">
        <w:rPr>
          <w:rFonts w:asciiTheme="majorHAnsi" w:hAnsiTheme="majorHAnsi"/>
          <w:sz w:val="20"/>
          <w:szCs w:val="20"/>
        </w:rPr>
        <w:t>)</w:t>
      </w:r>
      <w:r w:rsidR="0006483E" w:rsidRPr="001E4C94">
        <w:rPr>
          <w:rFonts w:asciiTheme="majorHAnsi" w:hAnsiTheme="majorHAnsi"/>
          <w:sz w:val="20"/>
          <w:szCs w:val="20"/>
        </w:rPr>
        <w:t xml:space="preserve"> </w:t>
      </w:r>
      <w:r w:rsidRPr="001E4C94">
        <w:rPr>
          <w:rFonts w:asciiTheme="majorHAnsi" w:hAnsiTheme="majorHAnsi"/>
          <w:sz w:val="20"/>
          <w:szCs w:val="20"/>
        </w:rPr>
        <w:t xml:space="preserve">the State reported that </w:t>
      </w:r>
      <w:r w:rsidR="001E1002" w:rsidRPr="001E4C94">
        <w:rPr>
          <w:rFonts w:asciiTheme="majorHAnsi" w:hAnsiTheme="majorHAnsi"/>
          <w:sz w:val="20"/>
          <w:szCs w:val="20"/>
        </w:rPr>
        <w:t>such</w:t>
      </w:r>
      <w:r w:rsidRPr="001E4C94">
        <w:rPr>
          <w:rFonts w:asciiTheme="majorHAnsi" w:hAnsiTheme="majorHAnsi"/>
          <w:sz w:val="20"/>
          <w:szCs w:val="20"/>
        </w:rPr>
        <w:t xml:space="preserve"> proceedings were initially led up by the Judicial Police of the Office of Speci</w:t>
      </w:r>
      <w:r w:rsidR="001E1002" w:rsidRPr="001E4C94">
        <w:rPr>
          <w:rFonts w:asciiTheme="majorHAnsi" w:hAnsiTheme="majorHAnsi"/>
          <w:sz w:val="20"/>
          <w:szCs w:val="20"/>
        </w:rPr>
        <w:t xml:space="preserve">al Investigations </w:t>
      </w:r>
      <w:r w:rsidRPr="001E4C94">
        <w:rPr>
          <w:rFonts w:asciiTheme="majorHAnsi" w:hAnsiTheme="majorHAnsi"/>
          <w:sz w:val="20"/>
          <w:szCs w:val="20"/>
        </w:rPr>
        <w:t xml:space="preserve">of </w:t>
      </w:r>
      <w:r w:rsidR="001E1002" w:rsidRPr="001E4C94">
        <w:rPr>
          <w:rFonts w:asciiTheme="majorHAnsi" w:hAnsiTheme="majorHAnsi"/>
          <w:sz w:val="20"/>
          <w:szCs w:val="20"/>
        </w:rPr>
        <w:t>the Prosecutor</w:t>
      </w:r>
      <w:r w:rsidR="00B74498" w:rsidRPr="001E4C94">
        <w:rPr>
          <w:rFonts w:asciiTheme="majorHAnsi" w:hAnsiTheme="majorHAnsi"/>
          <w:sz w:val="20"/>
          <w:szCs w:val="20"/>
        </w:rPr>
        <w:t xml:space="preserve"> General’</w:t>
      </w:r>
      <w:r w:rsidR="001E1002" w:rsidRPr="001E4C94">
        <w:rPr>
          <w:rFonts w:asciiTheme="majorHAnsi" w:hAnsiTheme="majorHAnsi"/>
          <w:sz w:val="20"/>
          <w:szCs w:val="20"/>
        </w:rPr>
        <w:t>s Office</w:t>
      </w:r>
      <w:r w:rsidRPr="001E4C94">
        <w:rPr>
          <w:rFonts w:asciiTheme="majorHAnsi" w:hAnsiTheme="majorHAnsi"/>
          <w:sz w:val="20"/>
          <w:szCs w:val="20"/>
        </w:rPr>
        <w:t xml:space="preserve">. The Judicial </w:t>
      </w:r>
      <w:r w:rsidR="008C0889" w:rsidRPr="001E4C94">
        <w:rPr>
          <w:rFonts w:asciiTheme="majorHAnsi" w:hAnsiTheme="majorHAnsi"/>
          <w:sz w:val="20"/>
          <w:szCs w:val="20"/>
        </w:rPr>
        <w:t>Police</w:t>
      </w:r>
      <w:r w:rsidRPr="001E4C94">
        <w:rPr>
          <w:rFonts w:asciiTheme="majorHAnsi" w:hAnsiTheme="majorHAnsi"/>
          <w:sz w:val="20"/>
          <w:szCs w:val="20"/>
        </w:rPr>
        <w:t xml:space="preserve"> had opened preliminary inquiry No. 0327/90 in order to investigate the </w:t>
      </w:r>
      <w:r w:rsidR="001E1002" w:rsidRPr="001E4C94">
        <w:rPr>
          <w:rFonts w:asciiTheme="majorHAnsi" w:hAnsiTheme="majorHAnsi"/>
          <w:sz w:val="20"/>
          <w:szCs w:val="20"/>
        </w:rPr>
        <w:t xml:space="preserve">alleged victim’s </w:t>
      </w:r>
      <w:r w:rsidRPr="001E4C94">
        <w:rPr>
          <w:rFonts w:asciiTheme="majorHAnsi" w:hAnsiTheme="majorHAnsi"/>
          <w:sz w:val="20"/>
          <w:szCs w:val="20"/>
        </w:rPr>
        <w:t xml:space="preserve">purported </w:t>
      </w:r>
      <w:r w:rsidR="008C0889" w:rsidRPr="001E4C94">
        <w:rPr>
          <w:rFonts w:asciiTheme="majorHAnsi" w:hAnsiTheme="majorHAnsi"/>
          <w:sz w:val="20"/>
          <w:szCs w:val="20"/>
        </w:rPr>
        <w:t>disappearance</w:t>
      </w:r>
      <w:r w:rsidRPr="001E4C94">
        <w:rPr>
          <w:rFonts w:asciiTheme="majorHAnsi" w:hAnsiTheme="majorHAnsi"/>
          <w:sz w:val="20"/>
          <w:szCs w:val="20"/>
        </w:rPr>
        <w:t xml:space="preserve"> in the city of </w:t>
      </w:r>
      <w:r w:rsidR="008C0889" w:rsidRPr="001E4C94">
        <w:rPr>
          <w:rFonts w:asciiTheme="majorHAnsi" w:hAnsiTheme="majorHAnsi"/>
          <w:sz w:val="20"/>
          <w:szCs w:val="20"/>
        </w:rPr>
        <w:t>Bucaramanga</w:t>
      </w:r>
      <w:r w:rsidR="00BF7C9D" w:rsidRPr="001E4C94">
        <w:rPr>
          <w:rFonts w:asciiTheme="majorHAnsi" w:hAnsiTheme="majorHAnsi"/>
          <w:sz w:val="20"/>
          <w:szCs w:val="20"/>
        </w:rPr>
        <w:t xml:space="preserve">. </w:t>
      </w:r>
      <w:r w:rsidRPr="001E4C94">
        <w:rPr>
          <w:rFonts w:asciiTheme="majorHAnsi" w:hAnsiTheme="majorHAnsi"/>
          <w:sz w:val="20"/>
          <w:szCs w:val="20"/>
        </w:rPr>
        <w:t xml:space="preserve">According to the State, </w:t>
      </w:r>
      <w:r w:rsidR="00B74498" w:rsidRPr="001E4C94">
        <w:rPr>
          <w:rFonts w:asciiTheme="majorHAnsi" w:hAnsiTheme="majorHAnsi"/>
          <w:sz w:val="20"/>
          <w:szCs w:val="20"/>
        </w:rPr>
        <w:t>as of</w:t>
      </w:r>
      <w:r w:rsidR="001E1002" w:rsidRPr="001E4C94">
        <w:rPr>
          <w:rFonts w:asciiTheme="majorHAnsi" w:hAnsiTheme="majorHAnsi"/>
          <w:sz w:val="20"/>
          <w:szCs w:val="20"/>
        </w:rPr>
        <w:t xml:space="preserve"> </w:t>
      </w:r>
      <w:r w:rsidRPr="001E4C94">
        <w:rPr>
          <w:rFonts w:asciiTheme="majorHAnsi" w:hAnsiTheme="majorHAnsi"/>
          <w:sz w:val="20"/>
          <w:szCs w:val="20"/>
        </w:rPr>
        <w:t xml:space="preserve">October 11, 1990, </w:t>
      </w:r>
      <w:r w:rsidR="00D61E7F" w:rsidRPr="001E4C94">
        <w:rPr>
          <w:rFonts w:asciiTheme="majorHAnsi" w:hAnsiTheme="majorHAnsi"/>
          <w:sz w:val="20"/>
          <w:szCs w:val="20"/>
        </w:rPr>
        <w:t>three commission</w:t>
      </w:r>
      <w:r w:rsidR="00426C89">
        <w:rPr>
          <w:rFonts w:asciiTheme="majorHAnsi" w:hAnsiTheme="majorHAnsi"/>
          <w:sz w:val="20"/>
          <w:szCs w:val="20"/>
        </w:rPr>
        <w:t>s</w:t>
      </w:r>
      <w:r w:rsidR="00D61E7F" w:rsidRPr="001E4C94">
        <w:rPr>
          <w:rFonts w:asciiTheme="majorHAnsi" w:hAnsiTheme="majorHAnsi"/>
          <w:sz w:val="20"/>
          <w:szCs w:val="20"/>
        </w:rPr>
        <w:t xml:space="preserve"> or working groups charged with investigating his whereabouts and alleged disappearance had been sent</w:t>
      </w:r>
      <w:r w:rsidR="00BF7C9D" w:rsidRPr="001E4C94">
        <w:rPr>
          <w:rFonts w:asciiTheme="majorHAnsi" w:hAnsiTheme="majorHAnsi"/>
          <w:sz w:val="20"/>
          <w:szCs w:val="20"/>
        </w:rPr>
        <w:t xml:space="preserve">. </w:t>
      </w:r>
      <w:r w:rsidR="00D61E7F" w:rsidRPr="001E4C94">
        <w:rPr>
          <w:rFonts w:asciiTheme="majorHAnsi" w:hAnsiTheme="majorHAnsi"/>
          <w:sz w:val="20"/>
          <w:szCs w:val="20"/>
        </w:rPr>
        <w:t xml:space="preserve">Concomitantly, a </w:t>
      </w:r>
      <w:r w:rsidR="008C0889" w:rsidRPr="001E4C94">
        <w:rPr>
          <w:rFonts w:asciiTheme="majorHAnsi" w:hAnsiTheme="majorHAnsi"/>
          <w:sz w:val="20"/>
          <w:szCs w:val="20"/>
        </w:rPr>
        <w:t>commission</w:t>
      </w:r>
      <w:r w:rsidR="00D61E7F" w:rsidRPr="001E4C94">
        <w:rPr>
          <w:rFonts w:asciiTheme="majorHAnsi" w:hAnsiTheme="majorHAnsi"/>
          <w:sz w:val="20"/>
          <w:szCs w:val="20"/>
        </w:rPr>
        <w:t xml:space="preserve"> of officials from the Office of Special Investigation</w:t>
      </w:r>
      <w:r w:rsidR="001E1002" w:rsidRPr="001E4C94">
        <w:rPr>
          <w:rFonts w:asciiTheme="majorHAnsi" w:hAnsiTheme="majorHAnsi"/>
          <w:sz w:val="20"/>
          <w:szCs w:val="20"/>
        </w:rPr>
        <w:t>s</w:t>
      </w:r>
      <w:r w:rsidR="00D61E7F" w:rsidRPr="001E4C94">
        <w:rPr>
          <w:rFonts w:asciiTheme="majorHAnsi" w:hAnsiTheme="majorHAnsi"/>
          <w:sz w:val="20"/>
          <w:szCs w:val="20"/>
        </w:rPr>
        <w:t xml:space="preserve"> had </w:t>
      </w:r>
      <w:r w:rsidR="008C0889" w:rsidRPr="001E4C94">
        <w:rPr>
          <w:rFonts w:asciiTheme="majorHAnsi" w:hAnsiTheme="majorHAnsi"/>
          <w:sz w:val="20"/>
          <w:szCs w:val="20"/>
        </w:rPr>
        <w:t>gone</w:t>
      </w:r>
      <w:r w:rsidR="00D61E7F" w:rsidRPr="001E4C94">
        <w:rPr>
          <w:rFonts w:asciiTheme="majorHAnsi" w:hAnsiTheme="majorHAnsi"/>
          <w:sz w:val="20"/>
          <w:szCs w:val="20"/>
        </w:rPr>
        <w:t xml:space="preserve"> to the Municipality </w:t>
      </w:r>
      <w:r w:rsidR="008C0889" w:rsidRPr="001E4C94">
        <w:rPr>
          <w:rFonts w:asciiTheme="majorHAnsi" w:hAnsiTheme="majorHAnsi"/>
          <w:sz w:val="20"/>
          <w:szCs w:val="20"/>
        </w:rPr>
        <w:t xml:space="preserve">of </w:t>
      </w:r>
      <w:r w:rsidR="00C43651" w:rsidRPr="001E4C94">
        <w:rPr>
          <w:rFonts w:asciiTheme="majorHAnsi" w:hAnsiTheme="majorHAnsi"/>
          <w:sz w:val="20"/>
          <w:szCs w:val="20"/>
        </w:rPr>
        <w:t xml:space="preserve">San Vicente de Chucurí </w:t>
      </w:r>
      <w:r w:rsidR="00D61E7F" w:rsidRPr="001E4C94">
        <w:rPr>
          <w:rFonts w:asciiTheme="majorHAnsi" w:hAnsiTheme="majorHAnsi"/>
          <w:sz w:val="20"/>
          <w:szCs w:val="20"/>
        </w:rPr>
        <w:t>in February 1990 to identify a corpse found in the outskirts of that town</w:t>
      </w:r>
      <w:r w:rsidR="00BF7C9D" w:rsidRPr="001E4C94">
        <w:rPr>
          <w:rFonts w:asciiTheme="majorHAnsi" w:hAnsiTheme="majorHAnsi"/>
          <w:sz w:val="20"/>
          <w:szCs w:val="20"/>
        </w:rPr>
        <w:t xml:space="preserve">. </w:t>
      </w:r>
      <w:r w:rsidR="00D61E7F" w:rsidRPr="001E4C94">
        <w:rPr>
          <w:rFonts w:asciiTheme="majorHAnsi" w:hAnsiTheme="majorHAnsi"/>
          <w:sz w:val="20"/>
          <w:szCs w:val="20"/>
        </w:rPr>
        <w:t xml:space="preserve">According to the State, the corresponding </w:t>
      </w:r>
      <w:r w:rsidR="001E1002" w:rsidRPr="001E4C94">
        <w:rPr>
          <w:rFonts w:asciiTheme="majorHAnsi" w:hAnsiTheme="majorHAnsi"/>
          <w:sz w:val="20"/>
          <w:szCs w:val="20"/>
        </w:rPr>
        <w:t>tests</w:t>
      </w:r>
      <w:r w:rsidR="00D61E7F" w:rsidRPr="001E4C94">
        <w:rPr>
          <w:rFonts w:asciiTheme="majorHAnsi" w:hAnsiTheme="majorHAnsi"/>
          <w:sz w:val="20"/>
          <w:szCs w:val="20"/>
        </w:rPr>
        <w:t xml:space="preserve"> determined “without a doubt” that it was not </w:t>
      </w:r>
      <w:r w:rsidR="001E1002" w:rsidRPr="001E4C94">
        <w:rPr>
          <w:rFonts w:asciiTheme="majorHAnsi" w:hAnsiTheme="majorHAnsi"/>
          <w:sz w:val="20"/>
          <w:szCs w:val="20"/>
        </w:rPr>
        <w:t>Juan Fernando Porras Martínez’s</w:t>
      </w:r>
      <w:r w:rsidR="00D61E7F" w:rsidRPr="001E4C94">
        <w:rPr>
          <w:rFonts w:asciiTheme="majorHAnsi" w:hAnsiTheme="majorHAnsi"/>
          <w:sz w:val="20"/>
          <w:szCs w:val="20"/>
        </w:rPr>
        <w:t xml:space="preserve"> body</w:t>
      </w:r>
      <w:r w:rsidR="00C43651" w:rsidRPr="001E4C94">
        <w:rPr>
          <w:rFonts w:asciiTheme="majorHAnsi" w:hAnsiTheme="majorHAnsi"/>
          <w:sz w:val="20"/>
          <w:szCs w:val="20"/>
        </w:rPr>
        <w:t>.</w:t>
      </w:r>
    </w:p>
    <w:p w:rsidR="005758BA" w:rsidRPr="001E4C94" w:rsidRDefault="005758BA" w:rsidP="006E4093">
      <w:pPr>
        <w:spacing w:after="0"/>
        <w:jc w:val="both"/>
        <w:rPr>
          <w:rFonts w:asciiTheme="majorHAnsi" w:hAnsiTheme="majorHAnsi"/>
          <w:sz w:val="20"/>
          <w:szCs w:val="20"/>
        </w:rPr>
      </w:pPr>
    </w:p>
    <w:p w:rsidR="005758BA" w:rsidRPr="001E4C94" w:rsidRDefault="00D61E7F"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Additionally, the S</w:t>
      </w:r>
      <w:r w:rsidR="008C0889" w:rsidRPr="001E4C94">
        <w:rPr>
          <w:rFonts w:asciiTheme="majorHAnsi" w:hAnsiTheme="majorHAnsi"/>
          <w:sz w:val="20"/>
          <w:szCs w:val="20"/>
        </w:rPr>
        <w:t xml:space="preserve">tate reported </w:t>
      </w:r>
      <w:r w:rsidRPr="001E4C94">
        <w:rPr>
          <w:rFonts w:asciiTheme="majorHAnsi" w:hAnsiTheme="majorHAnsi"/>
          <w:sz w:val="20"/>
          <w:szCs w:val="20"/>
        </w:rPr>
        <w:t xml:space="preserve">on December 22, 1993, that </w:t>
      </w:r>
      <w:r w:rsidR="001E1002" w:rsidRPr="001E4C94">
        <w:rPr>
          <w:rFonts w:asciiTheme="majorHAnsi" w:hAnsiTheme="majorHAnsi"/>
          <w:sz w:val="20"/>
          <w:szCs w:val="20"/>
        </w:rPr>
        <w:t>the Prosecutor</w:t>
      </w:r>
      <w:r w:rsidR="00657798" w:rsidRPr="001E4C94">
        <w:rPr>
          <w:rFonts w:asciiTheme="majorHAnsi" w:hAnsiTheme="majorHAnsi"/>
          <w:sz w:val="20"/>
          <w:szCs w:val="20"/>
        </w:rPr>
        <w:t xml:space="preserve"> General’</w:t>
      </w:r>
      <w:r w:rsidR="001E1002" w:rsidRPr="001E4C94">
        <w:rPr>
          <w:rFonts w:asciiTheme="majorHAnsi" w:hAnsiTheme="majorHAnsi"/>
          <w:sz w:val="20"/>
          <w:szCs w:val="20"/>
        </w:rPr>
        <w:t>s Office</w:t>
      </w:r>
      <w:r w:rsidRPr="001E4C94">
        <w:rPr>
          <w:rFonts w:asciiTheme="majorHAnsi" w:hAnsiTheme="majorHAnsi"/>
          <w:sz w:val="20"/>
          <w:szCs w:val="20"/>
        </w:rPr>
        <w:t xml:space="preserve"> had</w:t>
      </w:r>
      <w:r w:rsidR="00657798" w:rsidRPr="001E4C94">
        <w:rPr>
          <w:rFonts w:asciiTheme="majorHAnsi" w:hAnsiTheme="majorHAnsi"/>
          <w:sz w:val="20"/>
          <w:szCs w:val="20"/>
        </w:rPr>
        <w:t>,</w:t>
      </w:r>
      <w:r w:rsidRPr="001E4C94">
        <w:rPr>
          <w:rFonts w:asciiTheme="majorHAnsi" w:hAnsiTheme="majorHAnsi"/>
          <w:sz w:val="20"/>
          <w:szCs w:val="20"/>
        </w:rPr>
        <w:t xml:space="preserve"> </w:t>
      </w:r>
      <w:r w:rsidR="00657798" w:rsidRPr="001E4C94">
        <w:rPr>
          <w:rFonts w:asciiTheme="majorHAnsi" w:hAnsiTheme="majorHAnsi"/>
          <w:sz w:val="20"/>
          <w:szCs w:val="20"/>
        </w:rPr>
        <w:t>for reasons of jurisdiction, referred</w:t>
      </w:r>
      <w:r w:rsidRPr="001E4C94">
        <w:rPr>
          <w:rFonts w:asciiTheme="majorHAnsi" w:hAnsiTheme="majorHAnsi"/>
          <w:sz w:val="20"/>
          <w:szCs w:val="20"/>
        </w:rPr>
        <w:t xml:space="preserve"> the proceedings to the </w:t>
      </w:r>
      <w:r w:rsidR="00B74498" w:rsidRPr="001E4C94">
        <w:rPr>
          <w:rFonts w:asciiTheme="majorHAnsi" w:hAnsiTheme="majorHAnsi"/>
          <w:sz w:val="20"/>
          <w:szCs w:val="20"/>
        </w:rPr>
        <w:t xml:space="preserve">Santander </w:t>
      </w:r>
      <w:r w:rsidRPr="001E4C94">
        <w:rPr>
          <w:rFonts w:asciiTheme="majorHAnsi" w:hAnsiTheme="majorHAnsi"/>
          <w:sz w:val="20"/>
          <w:szCs w:val="20"/>
        </w:rPr>
        <w:t xml:space="preserve">Departmental </w:t>
      </w:r>
      <w:r w:rsidR="00657798" w:rsidRPr="001E4C94">
        <w:rPr>
          <w:rFonts w:asciiTheme="majorHAnsi" w:hAnsiTheme="majorHAnsi"/>
          <w:sz w:val="20"/>
          <w:szCs w:val="20"/>
        </w:rPr>
        <w:t xml:space="preserve">Prosecutor’s </w:t>
      </w:r>
      <w:r w:rsidR="00B74498" w:rsidRPr="001E4C94">
        <w:rPr>
          <w:rFonts w:asciiTheme="majorHAnsi" w:hAnsiTheme="majorHAnsi"/>
          <w:sz w:val="20"/>
          <w:szCs w:val="20"/>
        </w:rPr>
        <w:t>Office</w:t>
      </w:r>
      <w:r w:rsidR="00657798" w:rsidRPr="001E4C94">
        <w:rPr>
          <w:rFonts w:asciiTheme="majorHAnsi" w:hAnsiTheme="majorHAnsi"/>
          <w:sz w:val="20"/>
          <w:szCs w:val="20"/>
        </w:rPr>
        <w:t>, which h</w:t>
      </w:r>
      <w:r w:rsidRPr="001E4C94">
        <w:rPr>
          <w:rFonts w:asciiTheme="majorHAnsi" w:hAnsiTheme="majorHAnsi"/>
          <w:sz w:val="20"/>
          <w:szCs w:val="20"/>
        </w:rPr>
        <w:t>ad</w:t>
      </w:r>
      <w:r w:rsidR="00657798" w:rsidRPr="001E4C94">
        <w:rPr>
          <w:rFonts w:asciiTheme="majorHAnsi" w:hAnsiTheme="majorHAnsi"/>
          <w:sz w:val="20"/>
          <w:szCs w:val="20"/>
        </w:rPr>
        <w:t>,</w:t>
      </w:r>
      <w:r w:rsidRPr="001E4C94">
        <w:rPr>
          <w:rFonts w:asciiTheme="majorHAnsi" w:hAnsiTheme="majorHAnsi"/>
          <w:sz w:val="20"/>
          <w:szCs w:val="20"/>
        </w:rPr>
        <w:t xml:space="preserve"> in turn</w:t>
      </w:r>
      <w:r w:rsidR="00657798" w:rsidRPr="001E4C94">
        <w:rPr>
          <w:rFonts w:asciiTheme="majorHAnsi" w:hAnsiTheme="majorHAnsi"/>
          <w:sz w:val="20"/>
          <w:szCs w:val="20"/>
        </w:rPr>
        <w:t xml:space="preserve">, provided </w:t>
      </w:r>
      <w:r w:rsidRPr="001E4C94">
        <w:rPr>
          <w:rFonts w:asciiTheme="majorHAnsi" w:hAnsiTheme="majorHAnsi"/>
          <w:sz w:val="20"/>
          <w:szCs w:val="20"/>
        </w:rPr>
        <w:t>on February 16, 1994</w:t>
      </w:r>
      <w:r w:rsidR="00B74498" w:rsidRPr="001E4C94">
        <w:rPr>
          <w:rFonts w:asciiTheme="majorHAnsi" w:hAnsiTheme="majorHAnsi"/>
          <w:sz w:val="20"/>
          <w:szCs w:val="20"/>
        </w:rPr>
        <w:t>,</w:t>
      </w:r>
      <w:r w:rsidRPr="001E4C94">
        <w:rPr>
          <w:rFonts w:asciiTheme="majorHAnsi" w:hAnsiTheme="majorHAnsi"/>
          <w:sz w:val="20"/>
          <w:szCs w:val="20"/>
        </w:rPr>
        <w:t xml:space="preserve"> that the </w:t>
      </w:r>
      <w:r w:rsidR="00B74498" w:rsidRPr="001E4C94">
        <w:rPr>
          <w:rFonts w:asciiTheme="majorHAnsi" w:hAnsiTheme="majorHAnsi"/>
          <w:sz w:val="20"/>
          <w:szCs w:val="20"/>
        </w:rPr>
        <w:t xml:space="preserve">case fell under the jurisdiction of the </w:t>
      </w:r>
      <w:r w:rsidR="00657798" w:rsidRPr="001E4C94">
        <w:rPr>
          <w:rFonts w:asciiTheme="majorHAnsi" w:hAnsiTheme="majorHAnsi"/>
          <w:sz w:val="20"/>
          <w:szCs w:val="20"/>
        </w:rPr>
        <w:t xml:space="preserve">Bucaramanga </w:t>
      </w:r>
      <w:r w:rsidRPr="001E4C94">
        <w:rPr>
          <w:rFonts w:asciiTheme="majorHAnsi" w:hAnsiTheme="majorHAnsi"/>
          <w:sz w:val="20"/>
          <w:szCs w:val="20"/>
        </w:rPr>
        <w:t>Metropolitan Prosecutor</w:t>
      </w:r>
      <w:r w:rsidR="00657798" w:rsidRPr="001E4C94">
        <w:rPr>
          <w:rFonts w:asciiTheme="majorHAnsi" w:hAnsiTheme="majorHAnsi"/>
          <w:sz w:val="20"/>
          <w:szCs w:val="20"/>
        </w:rPr>
        <w:t>’s Office</w:t>
      </w:r>
      <w:r w:rsidRPr="001E4C94">
        <w:rPr>
          <w:rFonts w:asciiTheme="majorHAnsi" w:hAnsiTheme="majorHAnsi"/>
          <w:sz w:val="20"/>
          <w:szCs w:val="20"/>
        </w:rPr>
        <w:t xml:space="preserve"> (known at that time as the “Bucaramanga</w:t>
      </w:r>
      <w:r w:rsidR="00657798" w:rsidRPr="001E4C94">
        <w:rPr>
          <w:rFonts w:asciiTheme="majorHAnsi" w:hAnsiTheme="majorHAnsi"/>
          <w:sz w:val="20"/>
          <w:szCs w:val="20"/>
        </w:rPr>
        <w:t xml:space="preserve"> Provincial Prosecutor’s Office</w:t>
      </w:r>
      <w:r w:rsidRPr="001E4C94">
        <w:rPr>
          <w:rFonts w:asciiTheme="majorHAnsi" w:hAnsiTheme="majorHAnsi"/>
          <w:sz w:val="20"/>
          <w:szCs w:val="20"/>
        </w:rPr>
        <w:t xml:space="preserve">”). The </w:t>
      </w:r>
      <w:r w:rsidR="00657798" w:rsidRPr="001E4C94">
        <w:rPr>
          <w:rFonts w:asciiTheme="majorHAnsi" w:hAnsiTheme="majorHAnsi"/>
          <w:sz w:val="20"/>
          <w:szCs w:val="20"/>
        </w:rPr>
        <w:t>latter</w:t>
      </w:r>
      <w:r w:rsidRPr="001E4C94">
        <w:rPr>
          <w:rFonts w:asciiTheme="majorHAnsi" w:hAnsiTheme="majorHAnsi"/>
          <w:sz w:val="20"/>
          <w:szCs w:val="20"/>
        </w:rPr>
        <w:t xml:space="preserve"> opened disciplinary </w:t>
      </w:r>
      <w:r w:rsidR="008C0889" w:rsidRPr="001E4C94">
        <w:rPr>
          <w:rFonts w:asciiTheme="majorHAnsi" w:hAnsiTheme="majorHAnsi"/>
          <w:sz w:val="20"/>
          <w:szCs w:val="20"/>
        </w:rPr>
        <w:t>investigation</w:t>
      </w:r>
      <w:r w:rsidRPr="001E4C94">
        <w:rPr>
          <w:rFonts w:asciiTheme="majorHAnsi" w:hAnsiTheme="majorHAnsi"/>
          <w:sz w:val="20"/>
          <w:szCs w:val="20"/>
        </w:rPr>
        <w:t xml:space="preserve"> No. 138-00991, which </w:t>
      </w:r>
      <w:r w:rsidR="00657798" w:rsidRPr="001E4C94">
        <w:rPr>
          <w:rFonts w:asciiTheme="majorHAnsi" w:hAnsiTheme="majorHAnsi"/>
          <w:sz w:val="20"/>
          <w:szCs w:val="20"/>
        </w:rPr>
        <w:t>was</w:t>
      </w:r>
      <w:r w:rsidRPr="001E4C94">
        <w:rPr>
          <w:rFonts w:asciiTheme="majorHAnsi" w:hAnsiTheme="majorHAnsi"/>
          <w:sz w:val="20"/>
          <w:szCs w:val="20"/>
        </w:rPr>
        <w:t xml:space="preserve"> assigned “to a Visiting Attorney” </w:t>
      </w:r>
      <w:r w:rsidR="00426C89" w:rsidRPr="001E4C94">
        <w:rPr>
          <w:rFonts w:asciiTheme="majorHAnsi" w:hAnsiTheme="majorHAnsi"/>
          <w:sz w:val="20"/>
          <w:szCs w:val="20"/>
        </w:rPr>
        <w:t>[</w:t>
      </w:r>
      <w:r w:rsidR="00426C89" w:rsidRPr="00426C89">
        <w:rPr>
          <w:rFonts w:asciiTheme="majorHAnsi" w:hAnsiTheme="majorHAnsi"/>
          <w:sz w:val="20"/>
          <w:szCs w:val="20"/>
        </w:rPr>
        <w:t>sic</w:t>
      </w:r>
      <w:r w:rsidR="00426C89" w:rsidRPr="001E4C94">
        <w:rPr>
          <w:rFonts w:asciiTheme="majorHAnsi" w:hAnsiTheme="majorHAnsi"/>
          <w:sz w:val="20"/>
          <w:szCs w:val="20"/>
        </w:rPr>
        <w:t>]</w:t>
      </w:r>
      <w:r w:rsidRPr="001E4C94">
        <w:rPr>
          <w:rFonts w:asciiTheme="majorHAnsi" w:hAnsiTheme="majorHAnsi"/>
          <w:sz w:val="20"/>
          <w:szCs w:val="20"/>
        </w:rPr>
        <w:t xml:space="preserve"> </w:t>
      </w:r>
      <w:r w:rsidR="00657798" w:rsidRPr="001E4C94">
        <w:rPr>
          <w:rFonts w:asciiTheme="majorHAnsi" w:hAnsiTheme="majorHAnsi"/>
          <w:sz w:val="20"/>
          <w:szCs w:val="20"/>
        </w:rPr>
        <w:t>as of</w:t>
      </w:r>
      <w:r w:rsidRPr="001E4C94">
        <w:rPr>
          <w:rFonts w:asciiTheme="majorHAnsi" w:hAnsiTheme="majorHAnsi"/>
          <w:sz w:val="20"/>
          <w:szCs w:val="20"/>
        </w:rPr>
        <w:t xml:space="preserve"> March</w:t>
      </w:r>
      <w:r w:rsidR="00657798" w:rsidRPr="001E4C94">
        <w:rPr>
          <w:rFonts w:asciiTheme="majorHAnsi" w:hAnsiTheme="majorHAnsi"/>
          <w:sz w:val="20"/>
          <w:szCs w:val="20"/>
        </w:rPr>
        <w:t xml:space="preserve"> </w:t>
      </w:r>
      <w:r w:rsidRPr="001E4C94">
        <w:rPr>
          <w:rFonts w:asciiTheme="majorHAnsi" w:hAnsiTheme="majorHAnsi"/>
          <w:sz w:val="20"/>
          <w:szCs w:val="20"/>
        </w:rPr>
        <w:t xml:space="preserve">4, 1994. As a further investigative measure, a “judicial inspection” of the parking lot of the National Army’s Fifth Brigade </w:t>
      </w:r>
      <w:r w:rsidR="00657798" w:rsidRPr="001E4C94">
        <w:rPr>
          <w:rFonts w:asciiTheme="majorHAnsi" w:hAnsiTheme="majorHAnsi"/>
          <w:sz w:val="20"/>
          <w:szCs w:val="20"/>
        </w:rPr>
        <w:t>was</w:t>
      </w:r>
      <w:r w:rsidRPr="001E4C94">
        <w:rPr>
          <w:rFonts w:asciiTheme="majorHAnsi" w:hAnsiTheme="majorHAnsi"/>
          <w:sz w:val="20"/>
          <w:szCs w:val="20"/>
        </w:rPr>
        <w:t xml:space="preserve"> conducted</w:t>
      </w:r>
      <w:r w:rsidR="00657798" w:rsidRPr="001E4C94">
        <w:rPr>
          <w:rFonts w:asciiTheme="majorHAnsi" w:hAnsiTheme="majorHAnsi"/>
          <w:sz w:val="20"/>
          <w:szCs w:val="20"/>
        </w:rPr>
        <w:t xml:space="preserve"> in order</w:t>
      </w:r>
      <w:r w:rsidRPr="001E4C94">
        <w:rPr>
          <w:rFonts w:asciiTheme="majorHAnsi" w:hAnsiTheme="majorHAnsi"/>
          <w:sz w:val="20"/>
          <w:szCs w:val="20"/>
        </w:rPr>
        <w:t xml:space="preserve"> to </w:t>
      </w:r>
      <w:r w:rsidR="00EF68EF" w:rsidRPr="001E4C94">
        <w:rPr>
          <w:rFonts w:asciiTheme="majorHAnsi" w:hAnsiTheme="majorHAnsi"/>
          <w:sz w:val="20"/>
          <w:szCs w:val="20"/>
        </w:rPr>
        <w:t xml:space="preserve">verify the license plates of the </w:t>
      </w:r>
      <w:r w:rsidR="008C0889" w:rsidRPr="001E4C94">
        <w:rPr>
          <w:rFonts w:asciiTheme="majorHAnsi" w:hAnsiTheme="majorHAnsi"/>
          <w:sz w:val="20"/>
          <w:szCs w:val="20"/>
        </w:rPr>
        <w:t>automobiles</w:t>
      </w:r>
      <w:r w:rsidR="00EF68EF" w:rsidRPr="001E4C94">
        <w:rPr>
          <w:rFonts w:asciiTheme="majorHAnsi" w:hAnsiTheme="majorHAnsi"/>
          <w:sz w:val="20"/>
          <w:szCs w:val="20"/>
        </w:rPr>
        <w:t xml:space="preserve"> that were there and compare them to the </w:t>
      </w:r>
      <w:r w:rsidR="005A3C01" w:rsidRPr="001E4C94">
        <w:rPr>
          <w:rFonts w:asciiTheme="majorHAnsi" w:hAnsiTheme="majorHAnsi"/>
          <w:sz w:val="20"/>
          <w:szCs w:val="20"/>
        </w:rPr>
        <w:t>vehicles</w:t>
      </w:r>
      <w:r w:rsidR="00EF68EF" w:rsidRPr="001E4C94">
        <w:rPr>
          <w:rFonts w:asciiTheme="majorHAnsi" w:hAnsiTheme="majorHAnsi"/>
          <w:sz w:val="20"/>
          <w:szCs w:val="20"/>
        </w:rPr>
        <w:t xml:space="preserve"> that </w:t>
      </w:r>
      <w:r w:rsidR="005A3C01" w:rsidRPr="001E4C94">
        <w:rPr>
          <w:rFonts w:asciiTheme="majorHAnsi" w:hAnsiTheme="majorHAnsi"/>
          <w:sz w:val="20"/>
          <w:szCs w:val="20"/>
        </w:rPr>
        <w:t>purportedly</w:t>
      </w:r>
      <w:r w:rsidR="00EF68EF" w:rsidRPr="001E4C94">
        <w:rPr>
          <w:rFonts w:asciiTheme="majorHAnsi" w:hAnsiTheme="majorHAnsi"/>
          <w:sz w:val="20"/>
          <w:szCs w:val="20"/>
        </w:rPr>
        <w:t xml:space="preserve"> were involved in the investigation [</w:t>
      </w:r>
      <w:r w:rsidR="00EF68EF" w:rsidRPr="00426C89">
        <w:rPr>
          <w:rFonts w:asciiTheme="majorHAnsi" w:hAnsiTheme="majorHAnsi"/>
          <w:sz w:val="20"/>
          <w:szCs w:val="20"/>
        </w:rPr>
        <w:t>sic</w:t>
      </w:r>
      <w:r w:rsidR="00EF68EF" w:rsidRPr="001E4C94">
        <w:rPr>
          <w:rFonts w:asciiTheme="majorHAnsi" w:hAnsiTheme="majorHAnsi"/>
          <w:sz w:val="20"/>
          <w:szCs w:val="20"/>
        </w:rPr>
        <w:t>]. The State affirmed that “subsequent to a thorough investigation</w:t>
      </w:r>
      <w:r w:rsidR="005A3C01" w:rsidRPr="001E4C94">
        <w:rPr>
          <w:rFonts w:asciiTheme="majorHAnsi" w:hAnsiTheme="majorHAnsi"/>
          <w:sz w:val="20"/>
          <w:szCs w:val="20"/>
        </w:rPr>
        <w:t>,</w:t>
      </w:r>
      <w:r w:rsidR="00EF68EF" w:rsidRPr="001E4C94">
        <w:rPr>
          <w:rFonts w:asciiTheme="majorHAnsi" w:hAnsiTheme="majorHAnsi"/>
          <w:sz w:val="20"/>
          <w:szCs w:val="20"/>
        </w:rPr>
        <w:t xml:space="preserve"> the Examining Attorney informed the Office that it had been </w:t>
      </w:r>
      <w:r w:rsidR="008C0889" w:rsidRPr="001E4C94">
        <w:rPr>
          <w:rFonts w:asciiTheme="majorHAnsi" w:hAnsiTheme="majorHAnsi"/>
          <w:sz w:val="20"/>
          <w:szCs w:val="20"/>
        </w:rPr>
        <w:t>impossible</w:t>
      </w:r>
      <w:r w:rsidR="00EF68EF" w:rsidRPr="001E4C94">
        <w:rPr>
          <w:rFonts w:asciiTheme="majorHAnsi" w:hAnsiTheme="majorHAnsi"/>
          <w:sz w:val="20"/>
          <w:szCs w:val="20"/>
        </w:rPr>
        <w:t xml:space="preserve"> to determine administrative dis</w:t>
      </w:r>
      <w:r w:rsidR="008C0889" w:rsidRPr="001E4C94">
        <w:rPr>
          <w:rFonts w:asciiTheme="majorHAnsi" w:hAnsiTheme="majorHAnsi"/>
          <w:sz w:val="20"/>
          <w:szCs w:val="20"/>
        </w:rPr>
        <w:t>ci</w:t>
      </w:r>
      <w:r w:rsidR="00EF68EF" w:rsidRPr="001E4C94">
        <w:rPr>
          <w:rFonts w:asciiTheme="majorHAnsi" w:hAnsiTheme="majorHAnsi"/>
          <w:sz w:val="20"/>
          <w:szCs w:val="20"/>
        </w:rPr>
        <w:t>plinary responsibility,” which led to the investigation being closed on January 31, 1995</w:t>
      </w:r>
      <w:r w:rsidR="00BF7C9D" w:rsidRPr="001E4C94">
        <w:rPr>
          <w:rFonts w:asciiTheme="majorHAnsi" w:hAnsiTheme="majorHAnsi"/>
          <w:sz w:val="20"/>
          <w:szCs w:val="20"/>
        </w:rPr>
        <w:t>.</w:t>
      </w:r>
      <w:r w:rsidR="005A3C01" w:rsidRPr="001E4C94">
        <w:rPr>
          <w:rFonts w:asciiTheme="majorHAnsi" w:hAnsiTheme="majorHAnsi"/>
          <w:sz w:val="20"/>
          <w:szCs w:val="20"/>
        </w:rPr>
        <w:t xml:space="preserve"> T</w:t>
      </w:r>
      <w:r w:rsidR="00EF68EF" w:rsidRPr="001E4C94">
        <w:rPr>
          <w:rFonts w:asciiTheme="majorHAnsi" w:hAnsiTheme="majorHAnsi"/>
          <w:sz w:val="20"/>
          <w:szCs w:val="20"/>
        </w:rPr>
        <w:t xml:space="preserve">he State pointed out that </w:t>
      </w:r>
      <w:r w:rsidR="005A3C01" w:rsidRPr="001E4C94">
        <w:rPr>
          <w:rFonts w:asciiTheme="majorHAnsi" w:hAnsiTheme="majorHAnsi"/>
          <w:sz w:val="20"/>
          <w:szCs w:val="20"/>
        </w:rPr>
        <w:t>this</w:t>
      </w:r>
      <w:r w:rsidR="00EF68EF" w:rsidRPr="001E4C94">
        <w:rPr>
          <w:rFonts w:asciiTheme="majorHAnsi" w:hAnsiTheme="majorHAnsi"/>
          <w:sz w:val="20"/>
          <w:szCs w:val="20"/>
        </w:rPr>
        <w:t xml:space="preserve"> “means that no evidence was found </w:t>
      </w:r>
      <w:r w:rsidR="005A3C01" w:rsidRPr="001E4C94">
        <w:rPr>
          <w:rFonts w:asciiTheme="majorHAnsi" w:hAnsiTheme="majorHAnsi"/>
          <w:sz w:val="20"/>
          <w:szCs w:val="20"/>
        </w:rPr>
        <w:t>to show State agents’</w:t>
      </w:r>
      <w:r w:rsidR="00EF68EF" w:rsidRPr="001E4C94">
        <w:rPr>
          <w:rFonts w:asciiTheme="majorHAnsi" w:hAnsiTheme="majorHAnsi"/>
          <w:sz w:val="20"/>
          <w:szCs w:val="20"/>
        </w:rPr>
        <w:t xml:space="preserve"> responsibility for the facts </w:t>
      </w:r>
      <w:r w:rsidR="00B74498" w:rsidRPr="001E4C94">
        <w:rPr>
          <w:rFonts w:asciiTheme="majorHAnsi" w:hAnsiTheme="majorHAnsi"/>
          <w:sz w:val="20"/>
          <w:szCs w:val="20"/>
        </w:rPr>
        <w:t>denounced before the Honorable C</w:t>
      </w:r>
      <w:r w:rsidR="00EF68EF" w:rsidRPr="001E4C94">
        <w:rPr>
          <w:rFonts w:asciiTheme="majorHAnsi" w:hAnsiTheme="majorHAnsi"/>
          <w:sz w:val="20"/>
          <w:szCs w:val="20"/>
        </w:rPr>
        <w:t>ommission.”</w:t>
      </w:r>
      <w:r w:rsidR="008B50D5">
        <w:rPr>
          <w:rFonts w:asciiTheme="majorHAnsi" w:hAnsiTheme="majorHAnsi"/>
          <w:sz w:val="20"/>
          <w:szCs w:val="20"/>
        </w:rPr>
        <w:t xml:space="preserve"> </w:t>
      </w:r>
    </w:p>
    <w:p w:rsidR="00EF68EF" w:rsidRPr="001E4C94" w:rsidRDefault="00EF68EF" w:rsidP="006E4093">
      <w:pPr>
        <w:spacing w:after="0"/>
        <w:ind w:left="720"/>
        <w:jc w:val="both"/>
        <w:rPr>
          <w:rFonts w:asciiTheme="majorHAnsi" w:hAnsiTheme="majorHAnsi"/>
          <w:sz w:val="20"/>
          <w:szCs w:val="20"/>
        </w:rPr>
      </w:pPr>
    </w:p>
    <w:p w:rsidR="0014253F" w:rsidRPr="001E4C94" w:rsidRDefault="00EF68EF"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The State also reported that with regard to criminal proceedings, on February 21, 1990, the Bucaramanga </w:t>
      </w:r>
      <w:r w:rsidR="00522DBD" w:rsidRPr="001E4C94">
        <w:rPr>
          <w:rFonts w:asciiTheme="majorHAnsi" w:hAnsiTheme="majorHAnsi"/>
          <w:sz w:val="20"/>
          <w:szCs w:val="20"/>
        </w:rPr>
        <w:t xml:space="preserve">Assistant </w:t>
      </w:r>
      <w:r w:rsidR="005A3C01" w:rsidRPr="001E4C94">
        <w:rPr>
          <w:rFonts w:asciiTheme="majorHAnsi" w:hAnsiTheme="majorHAnsi"/>
          <w:sz w:val="20"/>
          <w:szCs w:val="20"/>
        </w:rPr>
        <w:t xml:space="preserve">Prosecutor’s </w:t>
      </w:r>
      <w:r w:rsidRPr="001E4C94">
        <w:rPr>
          <w:rFonts w:asciiTheme="majorHAnsi" w:hAnsiTheme="majorHAnsi"/>
          <w:sz w:val="20"/>
          <w:szCs w:val="20"/>
        </w:rPr>
        <w:t xml:space="preserve">Office </w:t>
      </w:r>
      <w:r w:rsidR="00522DBD" w:rsidRPr="001E4C94">
        <w:rPr>
          <w:rFonts w:asciiTheme="majorHAnsi" w:hAnsiTheme="majorHAnsi"/>
          <w:sz w:val="20"/>
          <w:szCs w:val="20"/>
        </w:rPr>
        <w:t>for</w:t>
      </w:r>
      <w:r w:rsidRPr="001E4C94">
        <w:rPr>
          <w:rFonts w:asciiTheme="majorHAnsi" w:hAnsiTheme="majorHAnsi"/>
          <w:sz w:val="20"/>
          <w:szCs w:val="20"/>
        </w:rPr>
        <w:t xml:space="preserve"> the Defense of Human Rights “</w:t>
      </w:r>
      <w:r w:rsidR="00E13F5C" w:rsidRPr="001E4C94">
        <w:rPr>
          <w:rFonts w:asciiTheme="majorHAnsi" w:hAnsiTheme="majorHAnsi"/>
          <w:sz w:val="20"/>
          <w:szCs w:val="20"/>
        </w:rPr>
        <w:t>certified copies” to the Court of Criminal In</w:t>
      </w:r>
      <w:r w:rsidR="00522DBD" w:rsidRPr="001E4C94">
        <w:rPr>
          <w:rFonts w:asciiTheme="majorHAnsi" w:hAnsiTheme="majorHAnsi"/>
          <w:sz w:val="20"/>
          <w:szCs w:val="20"/>
        </w:rPr>
        <w:t>quiry</w:t>
      </w:r>
      <w:r w:rsidR="00E13F5C" w:rsidRPr="001E4C94">
        <w:rPr>
          <w:rFonts w:asciiTheme="majorHAnsi" w:hAnsiTheme="majorHAnsi"/>
          <w:sz w:val="20"/>
          <w:szCs w:val="20"/>
        </w:rPr>
        <w:t xml:space="preserve"> so the corresponding criminal investigation could be </w:t>
      </w:r>
      <w:r w:rsidR="008C0889" w:rsidRPr="001E4C94">
        <w:rPr>
          <w:rFonts w:asciiTheme="majorHAnsi" w:hAnsiTheme="majorHAnsi"/>
          <w:sz w:val="20"/>
          <w:szCs w:val="20"/>
        </w:rPr>
        <w:t>initiated</w:t>
      </w:r>
      <w:r w:rsidR="00BF7C9D" w:rsidRPr="001E4C94">
        <w:rPr>
          <w:rFonts w:asciiTheme="majorHAnsi" w:hAnsiTheme="majorHAnsi"/>
          <w:sz w:val="20"/>
          <w:szCs w:val="20"/>
        </w:rPr>
        <w:t xml:space="preserve">. </w:t>
      </w:r>
      <w:r w:rsidR="00E13F5C" w:rsidRPr="001E4C94">
        <w:rPr>
          <w:rFonts w:asciiTheme="majorHAnsi" w:hAnsiTheme="majorHAnsi"/>
          <w:sz w:val="20"/>
          <w:szCs w:val="20"/>
        </w:rPr>
        <w:t xml:space="preserve">Thereafter, the Section </w:t>
      </w:r>
      <w:r w:rsidR="008C0889" w:rsidRPr="001E4C94">
        <w:rPr>
          <w:rFonts w:asciiTheme="majorHAnsi" w:hAnsiTheme="majorHAnsi"/>
          <w:sz w:val="20"/>
          <w:szCs w:val="20"/>
        </w:rPr>
        <w:t>Director</w:t>
      </w:r>
      <w:r w:rsidR="00E13F5C" w:rsidRPr="001E4C94">
        <w:rPr>
          <w:rFonts w:asciiTheme="majorHAnsi" w:hAnsiTheme="majorHAnsi"/>
          <w:sz w:val="20"/>
          <w:szCs w:val="20"/>
        </w:rPr>
        <w:t xml:space="preserve"> f</w:t>
      </w:r>
      <w:r w:rsidR="00B74498" w:rsidRPr="001E4C94">
        <w:rPr>
          <w:rFonts w:asciiTheme="majorHAnsi" w:hAnsiTheme="majorHAnsi"/>
          <w:sz w:val="20"/>
          <w:szCs w:val="20"/>
        </w:rPr>
        <w:t>or</w:t>
      </w:r>
      <w:r w:rsidR="00E13F5C" w:rsidRPr="001E4C94">
        <w:rPr>
          <w:rFonts w:asciiTheme="majorHAnsi" w:hAnsiTheme="majorHAnsi"/>
          <w:sz w:val="20"/>
          <w:szCs w:val="20"/>
        </w:rPr>
        <w:t xml:space="preserve"> Criminal In</w:t>
      </w:r>
      <w:r w:rsidR="00522DBD" w:rsidRPr="001E4C94">
        <w:rPr>
          <w:rFonts w:asciiTheme="majorHAnsi" w:hAnsiTheme="majorHAnsi"/>
          <w:sz w:val="20"/>
          <w:szCs w:val="20"/>
        </w:rPr>
        <w:t xml:space="preserve">quiry </w:t>
      </w:r>
      <w:r w:rsidR="00E13F5C" w:rsidRPr="001E4C94">
        <w:rPr>
          <w:rFonts w:asciiTheme="majorHAnsi" w:hAnsiTheme="majorHAnsi"/>
          <w:sz w:val="20"/>
          <w:szCs w:val="20"/>
        </w:rPr>
        <w:t xml:space="preserve">filed a </w:t>
      </w:r>
      <w:r w:rsidR="008C0889" w:rsidRPr="001E4C94">
        <w:rPr>
          <w:rFonts w:asciiTheme="majorHAnsi" w:hAnsiTheme="majorHAnsi"/>
          <w:sz w:val="20"/>
          <w:szCs w:val="20"/>
        </w:rPr>
        <w:t>criminal</w:t>
      </w:r>
      <w:r w:rsidR="00E13F5C" w:rsidRPr="001E4C94">
        <w:rPr>
          <w:rFonts w:asciiTheme="majorHAnsi" w:hAnsiTheme="majorHAnsi"/>
          <w:sz w:val="20"/>
          <w:szCs w:val="20"/>
        </w:rPr>
        <w:t xml:space="preserve"> complaint </w:t>
      </w:r>
      <w:r w:rsidR="00B74498" w:rsidRPr="001E4C94">
        <w:rPr>
          <w:rFonts w:asciiTheme="majorHAnsi" w:hAnsiTheme="majorHAnsi"/>
          <w:sz w:val="20"/>
          <w:szCs w:val="20"/>
        </w:rPr>
        <w:t>regarding</w:t>
      </w:r>
      <w:r w:rsidR="00E13F5C" w:rsidRPr="001E4C94">
        <w:rPr>
          <w:rFonts w:asciiTheme="majorHAnsi" w:hAnsiTheme="majorHAnsi"/>
          <w:sz w:val="20"/>
          <w:szCs w:val="20"/>
        </w:rPr>
        <w:t xml:space="preserve"> the </w:t>
      </w:r>
      <w:r w:rsidR="00522DBD" w:rsidRPr="001E4C94">
        <w:rPr>
          <w:rFonts w:asciiTheme="majorHAnsi" w:hAnsiTheme="majorHAnsi"/>
          <w:sz w:val="20"/>
          <w:szCs w:val="20"/>
        </w:rPr>
        <w:t xml:space="preserve">alleged victim’s </w:t>
      </w:r>
      <w:r w:rsidR="008C0889" w:rsidRPr="001E4C94">
        <w:rPr>
          <w:rFonts w:asciiTheme="majorHAnsi" w:hAnsiTheme="majorHAnsi"/>
          <w:sz w:val="20"/>
          <w:szCs w:val="20"/>
        </w:rPr>
        <w:t>disappearance</w:t>
      </w:r>
      <w:r w:rsidR="00BF7C9D" w:rsidRPr="001E4C94">
        <w:rPr>
          <w:rFonts w:asciiTheme="majorHAnsi" w:hAnsiTheme="majorHAnsi"/>
          <w:sz w:val="20"/>
          <w:szCs w:val="20"/>
        </w:rPr>
        <w:t xml:space="preserve">. </w:t>
      </w:r>
      <w:r w:rsidR="00E13F5C" w:rsidRPr="001E4C94">
        <w:rPr>
          <w:rFonts w:asciiTheme="majorHAnsi" w:hAnsiTheme="majorHAnsi"/>
          <w:sz w:val="20"/>
          <w:szCs w:val="20"/>
        </w:rPr>
        <w:t>The State further reported that on May 8, 1990, “the investigation</w:t>
      </w:r>
      <w:r w:rsidR="00522DBD" w:rsidRPr="001E4C94">
        <w:rPr>
          <w:rFonts w:asciiTheme="majorHAnsi" w:hAnsiTheme="majorHAnsi"/>
          <w:sz w:val="20"/>
          <w:szCs w:val="20"/>
        </w:rPr>
        <w:t>’s suspension” was ordered “</w:t>
      </w:r>
      <w:r w:rsidR="00E13F5C" w:rsidRPr="001E4C94">
        <w:rPr>
          <w:rFonts w:asciiTheme="majorHAnsi" w:hAnsiTheme="majorHAnsi"/>
          <w:sz w:val="20"/>
          <w:szCs w:val="20"/>
        </w:rPr>
        <w:t xml:space="preserve">inasmuch as </w:t>
      </w:r>
      <w:r w:rsidR="00522DBD" w:rsidRPr="001E4C94">
        <w:rPr>
          <w:rFonts w:asciiTheme="majorHAnsi" w:hAnsiTheme="majorHAnsi"/>
          <w:sz w:val="20"/>
          <w:szCs w:val="20"/>
        </w:rPr>
        <w:t xml:space="preserve">it had </w:t>
      </w:r>
      <w:r w:rsidR="00522DBD" w:rsidRPr="001E4C94">
        <w:rPr>
          <w:rFonts w:asciiTheme="majorHAnsi" w:hAnsiTheme="majorHAnsi"/>
          <w:sz w:val="20"/>
          <w:szCs w:val="20"/>
        </w:rPr>
        <w:lastRenderedPageBreak/>
        <w:t>not been possible to identify the</w:t>
      </w:r>
      <w:r w:rsidR="00E13F5C" w:rsidRPr="001E4C94">
        <w:rPr>
          <w:rFonts w:asciiTheme="majorHAnsi" w:hAnsiTheme="majorHAnsi"/>
          <w:sz w:val="20"/>
          <w:szCs w:val="20"/>
        </w:rPr>
        <w:t xml:space="preserve"> perpetrators of these acts.” On </w:t>
      </w:r>
      <w:r w:rsidR="008C0889" w:rsidRPr="001E4C94">
        <w:rPr>
          <w:rFonts w:asciiTheme="majorHAnsi" w:hAnsiTheme="majorHAnsi"/>
          <w:sz w:val="20"/>
          <w:szCs w:val="20"/>
        </w:rPr>
        <w:t>May</w:t>
      </w:r>
      <w:r w:rsidR="00E13F5C" w:rsidRPr="001E4C94">
        <w:rPr>
          <w:rFonts w:asciiTheme="majorHAnsi" w:hAnsiTheme="majorHAnsi"/>
          <w:sz w:val="20"/>
          <w:szCs w:val="20"/>
        </w:rPr>
        <w:t xml:space="preserve"> 15 of that year, the case </w:t>
      </w:r>
      <w:r w:rsidR="00194C5B" w:rsidRPr="001E4C94">
        <w:rPr>
          <w:rFonts w:asciiTheme="majorHAnsi" w:hAnsiTheme="majorHAnsi"/>
          <w:sz w:val="20"/>
          <w:szCs w:val="20"/>
        </w:rPr>
        <w:t xml:space="preserve">was referred </w:t>
      </w:r>
      <w:r w:rsidR="00E13F5C" w:rsidRPr="001E4C94">
        <w:rPr>
          <w:rFonts w:asciiTheme="majorHAnsi" w:hAnsiTheme="majorHAnsi"/>
          <w:sz w:val="20"/>
          <w:szCs w:val="20"/>
        </w:rPr>
        <w:t xml:space="preserve">to the </w:t>
      </w:r>
      <w:r w:rsidR="00194C5B" w:rsidRPr="001E4C94">
        <w:rPr>
          <w:rFonts w:asciiTheme="majorHAnsi" w:hAnsiTheme="majorHAnsi"/>
          <w:sz w:val="20"/>
          <w:szCs w:val="20"/>
        </w:rPr>
        <w:t xml:space="preserve">Bucaramanga Preliminary Inquiries </w:t>
      </w:r>
      <w:r w:rsidR="00E13F5C" w:rsidRPr="001E4C94">
        <w:rPr>
          <w:rFonts w:asciiTheme="majorHAnsi" w:hAnsiTheme="majorHAnsi"/>
          <w:sz w:val="20"/>
          <w:szCs w:val="20"/>
        </w:rPr>
        <w:t>Unit</w:t>
      </w:r>
      <w:r w:rsidR="00BF7C9D" w:rsidRPr="001E4C94">
        <w:rPr>
          <w:rFonts w:asciiTheme="majorHAnsi" w:hAnsiTheme="majorHAnsi"/>
          <w:sz w:val="20"/>
          <w:szCs w:val="20"/>
        </w:rPr>
        <w:t xml:space="preserve">. </w:t>
      </w:r>
      <w:r w:rsidR="00194C5B" w:rsidRPr="001E4C94">
        <w:rPr>
          <w:rFonts w:asciiTheme="majorHAnsi" w:hAnsiTheme="majorHAnsi"/>
          <w:sz w:val="20"/>
          <w:szCs w:val="20"/>
        </w:rPr>
        <w:t xml:space="preserve">According to the State, </w:t>
      </w:r>
      <w:r w:rsidR="00E13F5C" w:rsidRPr="001E4C94">
        <w:rPr>
          <w:rFonts w:asciiTheme="majorHAnsi" w:hAnsiTheme="majorHAnsi"/>
          <w:sz w:val="20"/>
          <w:szCs w:val="20"/>
        </w:rPr>
        <w:t xml:space="preserve">this Unit took some additional steps, such as taking </w:t>
      </w:r>
      <w:r w:rsidR="00194C5B" w:rsidRPr="001E4C94">
        <w:rPr>
          <w:rFonts w:asciiTheme="majorHAnsi" w:hAnsiTheme="majorHAnsi"/>
          <w:sz w:val="20"/>
          <w:szCs w:val="20"/>
        </w:rPr>
        <w:t xml:space="preserve">witness </w:t>
      </w:r>
      <w:r w:rsidR="00E13F5C" w:rsidRPr="001E4C94">
        <w:rPr>
          <w:rFonts w:asciiTheme="majorHAnsi" w:hAnsiTheme="majorHAnsi"/>
          <w:sz w:val="20"/>
          <w:szCs w:val="20"/>
        </w:rPr>
        <w:t xml:space="preserve">statements from the alleged victim’s </w:t>
      </w:r>
      <w:r w:rsidR="008C0889" w:rsidRPr="001E4C94">
        <w:rPr>
          <w:rFonts w:asciiTheme="majorHAnsi" w:hAnsiTheme="majorHAnsi"/>
          <w:sz w:val="20"/>
          <w:szCs w:val="20"/>
        </w:rPr>
        <w:t>relatives</w:t>
      </w:r>
      <w:r w:rsidR="00BF7C9D" w:rsidRPr="001E4C94">
        <w:rPr>
          <w:rFonts w:asciiTheme="majorHAnsi" w:hAnsiTheme="majorHAnsi"/>
          <w:sz w:val="20"/>
          <w:szCs w:val="20"/>
        </w:rPr>
        <w:t xml:space="preserve">. </w:t>
      </w:r>
      <w:r w:rsidR="00E13F5C" w:rsidRPr="001E4C94">
        <w:rPr>
          <w:rFonts w:asciiTheme="majorHAnsi" w:hAnsiTheme="majorHAnsi"/>
          <w:sz w:val="20"/>
          <w:szCs w:val="20"/>
        </w:rPr>
        <w:t>Finally</w:t>
      </w:r>
      <w:r w:rsidR="00194C5B" w:rsidRPr="001E4C94">
        <w:rPr>
          <w:rFonts w:asciiTheme="majorHAnsi" w:hAnsiTheme="majorHAnsi"/>
          <w:sz w:val="20"/>
          <w:szCs w:val="20"/>
        </w:rPr>
        <w:t>, on March 2</w:t>
      </w:r>
      <w:r w:rsidR="00E13F5C" w:rsidRPr="001E4C94">
        <w:rPr>
          <w:rFonts w:asciiTheme="majorHAnsi" w:hAnsiTheme="majorHAnsi"/>
          <w:sz w:val="20"/>
          <w:szCs w:val="20"/>
        </w:rPr>
        <w:t>7, 1992, two years after the investigation was open</w:t>
      </w:r>
      <w:r w:rsidR="00194C5B" w:rsidRPr="001E4C94">
        <w:rPr>
          <w:rFonts w:asciiTheme="majorHAnsi" w:hAnsiTheme="majorHAnsi"/>
          <w:sz w:val="20"/>
          <w:szCs w:val="20"/>
        </w:rPr>
        <w:t>ed</w:t>
      </w:r>
      <w:r w:rsidR="00E13F5C" w:rsidRPr="001E4C94">
        <w:rPr>
          <w:rFonts w:asciiTheme="majorHAnsi" w:hAnsiTheme="majorHAnsi"/>
          <w:sz w:val="20"/>
          <w:szCs w:val="20"/>
        </w:rPr>
        <w:t xml:space="preserve">, and without having identified the </w:t>
      </w:r>
      <w:r w:rsidR="008C0889" w:rsidRPr="001E4C94">
        <w:rPr>
          <w:rFonts w:asciiTheme="majorHAnsi" w:hAnsiTheme="majorHAnsi"/>
          <w:sz w:val="20"/>
          <w:szCs w:val="20"/>
        </w:rPr>
        <w:t>perpetrators</w:t>
      </w:r>
      <w:r w:rsidR="00E13F5C" w:rsidRPr="001E4C94">
        <w:rPr>
          <w:rFonts w:asciiTheme="majorHAnsi" w:hAnsiTheme="majorHAnsi"/>
          <w:sz w:val="20"/>
          <w:szCs w:val="20"/>
        </w:rPr>
        <w:t>, the Fifth Court for Criminal In</w:t>
      </w:r>
      <w:r w:rsidR="00194C5B" w:rsidRPr="001E4C94">
        <w:rPr>
          <w:rFonts w:asciiTheme="majorHAnsi" w:hAnsiTheme="majorHAnsi"/>
          <w:sz w:val="20"/>
          <w:szCs w:val="20"/>
        </w:rPr>
        <w:t>quiry</w:t>
      </w:r>
      <w:r w:rsidR="00E13F5C" w:rsidRPr="001E4C94">
        <w:rPr>
          <w:rFonts w:asciiTheme="majorHAnsi" w:hAnsiTheme="majorHAnsi"/>
          <w:sz w:val="20"/>
          <w:szCs w:val="20"/>
        </w:rPr>
        <w:t xml:space="preserve"> decided to close the investigation.</w:t>
      </w:r>
      <w:r w:rsidR="00C608C0"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14253F" w:rsidRPr="001E4C94" w:rsidRDefault="00E13F5C"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The State added that the petitioners had not shown that the alleged victim had been deprived of his liberty at all</w:t>
      </w:r>
      <w:r w:rsidR="00194C5B" w:rsidRPr="001E4C94">
        <w:rPr>
          <w:rFonts w:asciiTheme="majorHAnsi" w:hAnsiTheme="majorHAnsi"/>
          <w:sz w:val="20"/>
          <w:szCs w:val="20"/>
        </w:rPr>
        <w:t xml:space="preserve">, </w:t>
      </w:r>
      <w:r w:rsidRPr="001E4C94">
        <w:rPr>
          <w:rFonts w:asciiTheme="majorHAnsi" w:hAnsiTheme="majorHAnsi"/>
          <w:sz w:val="20"/>
          <w:szCs w:val="20"/>
        </w:rPr>
        <w:t xml:space="preserve">or that there had been a practice of forced </w:t>
      </w:r>
      <w:r w:rsidR="008C0889" w:rsidRPr="001E4C94">
        <w:rPr>
          <w:rFonts w:asciiTheme="majorHAnsi" w:hAnsiTheme="majorHAnsi"/>
          <w:sz w:val="20"/>
          <w:szCs w:val="20"/>
        </w:rPr>
        <w:t>disappearances</w:t>
      </w:r>
      <w:r w:rsidRPr="001E4C94">
        <w:rPr>
          <w:rFonts w:asciiTheme="majorHAnsi" w:hAnsiTheme="majorHAnsi"/>
          <w:sz w:val="20"/>
          <w:szCs w:val="20"/>
        </w:rPr>
        <w:t xml:space="preserve"> </w:t>
      </w:r>
      <w:r w:rsidR="008E5AD7" w:rsidRPr="001E4C94">
        <w:rPr>
          <w:rFonts w:asciiTheme="majorHAnsi" w:hAnsiTheme="majorHAnsi"/>
          <w:sz w:val="20"/>
          <w:szCs w:val="20"/>
        </w:rPr>
        <w:t xml:space="preserve">in Colombia at that time which was </w:t>
      </w:r>
      <w:r w:rsidRPr="001E4C94">
        <w:rPr>
          <w:rFonts w:asciiTheme="majorHAnsi" w:hAnsiTheme="majorHAnsi"/>
          <w:sz w:val="20"/>
          <w:szCs w:val="20"/>
        </w:rPr>
        <w:t xml:space="preserve">tolerated or promoted by the State. In that sense, the State concluded that </w:t>
      </w:r>
      <w:r w:rsidR="008C0889" w:rsidRPr="001E4C94">
        <w:rPr>
          <w:rFonts w:asciiTheme="majorHAnsi" w:hAnsiTheme="majorHAnsi"/>
          <w:sz w:val="20"/>
          <w:szCs w:val="20"/>
        </w:rPr>
        <w:t>despite</w:t>
      </w:r>
      <w:r w:rsidRPr="001E4C94">
        <w:rPr>
          <w:rFonts w:asciiTheme="majorHAnsi" w:hAnsiTheme="majorHAnsi"/>
          <w:sz w:val="20"/>
          <w:szCs w:val="20"/>
        </w:rPr>
        <w:t xml:space="preserve"> the diligent investigation conducted, there was no evidence </w:t>
      </w:r>
      <w:r w:rsidR="008E5AD7" w:rsidRPr="001E4C94">
        <w:rPr>
          <w:rFonts w:asciiTheme="majorHAnsi" w:hAnsiTheme="majorHAnsi"/>
          <w:sz w:val="20"/>
          <w:szCs w:val="20"/>
        </w:rPr>
        <w:t>proving</w:t>
      </w:r>
      <w:r w:rsidRPr="001E4C94">
        <w:rPr>
          <w:rFonts w:asciiTheme="majorHAnsi" w:hAnsiTheme="majorHAnsi"/>
          <w:sz w:val="20"/>
          <w:szCs w:val="20"/>
        </w:rPr>
        <w:t xml:space="preserve"> that the alleged victim had been deprived of his liberty or that State</w:t>
      </w:r>
      <w:r w:rsidR="008E5AD7" w:rsidRPr="001E4C94">
        <w:rPr>
          <w:rFonts w:asciiTheme="majorHAnsi" w:hAnsiTheme="majorHAnsi"/>
          <w:sz w:val="20"/>
          <w:szCs w:val="20"/>
        </w:rPr>
        <w:t xml:space="preserve"> agents</w:t>
      </w:r>
      <w:r w:rsidRPr="001E4C94">
        <w:rPr>
          <w:rFonts w:asciiTheme="majorHAnsi" w:hAnsiTheme="majorHAnsi"/>
          <w:sz w:val="20"/>
          <w:szCs w:val="20"/>
        </w:rPr>
        <w:t xml:space="preserve">, or individuals acting with the </w:t>
      </w:r>
      <w:r w:rsidR="008C0889" w:rsidRPr="001E4C94">
        <w:rPr>
          <w:rFonts w:asciiTheme="majorHAnsi" w:hAnsiTheme="majorHAnsi"/>
          <w:sz w:val="20"/>
          <w:szCs w:val="20"/>
        </w:rPr>
        <w:t>acquiescence</w:t>
      </w:r>
      <w:r w:rsidRPr="001E4C94">
        <w:rPr>
          <w:rFonts w:asciiTheme="majorHAnsi" w:hAnsiTheme="majorHAnsi"/>
          <w:sz w:val="20"/>
          <w:szCs w:val="20"/>
        </w:rPr>
        <w:t xml:space="preserve"> or support of the State, had </w:t>
      </w:r>
      <w:r w:rsidR="008C0889" w:rsidRPr="001E4C94">
        <w:rPr>
          <w:rFonts w:asciiTheme="majorHAnsi" w:hAnsiTheme="majorHAnsi"/>
          <w:sz w:val="20"/>
          <w:szCs w:val="20"/>
        </w:rPr>
        <w:t>participated</w:t>
      </w:r>
      <w:r w:rsidR="00B424D5" w:rsidRPr="001E4C94">
        <w:rPr>
          <w:rFonts w:asciiTheme="majorHAnsi" w:hAnsiTheme="majorHAnsi"/>
          <w:sz w:val="20"/>
          <w:szCs w:val="20"/>
        </w:rPr>
        <w:t xml:space="preserve"> in </w:t>
      </w:r>
      <w:r w:rsidR="0014253F" w:rsidRPr="001E4C94">
        <w:rPr>
          <w:rFonts w:asciiTheme="majorHAnsi" w:hAnsiTheme="majorHAnsi"/>
          <w:sz w:val="20"/>
          <w:szCs w:val="20"/>
        </w:rPr>
        <w:t>Juan Fernando Porras Martínez</w:t>
      </w:r>
      <w:r w:rsidRPr="001E4C94">
        <w:rPr>
          <w:rFonts w:asciiTheme="majorHAnsi" w:hAnsiTheme="majorHAnsi"/>
          <w:sz w:val="20"/>
          <w:szCs w:val="20"/>
        </w:rPr>
        <w:t>’s disappear</w:t>
      </w:r>
      <w:r w:rsidR="00B424D5" w:rsidRPr="001E4C94">
        <w:rPr>
          <w:rFonts w:asciiTheme="majorHAnsi" w:hAnsiTheme="majorHAnsi"/>
          <w:sz w:val="20"/>
          <w:szCs w:val="20"/>
        </w:rPr>
        <w:t>a</w:t>
      </w:r>
      <w:r w:rsidRPr="001E4C94">
        <w:rPr>
          <w:rFonts w:asciiTheme="majorHAnsi" w:hAnsiTheme="majorHAnsi"/>
          <w:sz w:val="20"/>
          <w:szCs w:val="20"/>
        </w:rPr>
        <w:t>nce</w:t>
      </w:r>
      <w:r w:rsidR="00B424D5" w:rsidRPr="001E4C94">
        <w:rPr>
          <w:rFonts w:asciiTheme="majorHAnsi" w:hAnsiTheme="majorHAnsi"/>
          <w:sz w:val="20"/>
          <w:szCs w:val="20"/>
        </w:rPr>
        <w:t>. To the contrary, the State held that this dearth of evidence would seem to indicate that this is a case of “voluntary disappearance</w:t>
      </w:r>
      <w:r w:rsidR="00194C5B" w:rsidRPr="001E4C94">
        <w:rPr>
          <w:rFonts w:asciiTheme="majorHAnsi" w:hAnsiTheme="majorHAnsi"/>
          <w:sz w:val="20"/>
          <w:szCs w:val="20"/>
        </w:rPr>
        <w:t>.”</w:t>
      </w:r>
    </w:p>
    <w:p w:rsidR="005758BA" w:rsidRPr="001E4C94" w:rsidRDefault="005758BA" w:rsidP="006E4093">
      <w:pPr>
        <w:spacing w:after="0"/>
        <w:jc w:val="both"/>
        <w:rPr>
          <w:rFonts w:asciiTheme="majorHAnsi" w:hAnsiTheme="majorHAnsi"/>
          <w:sz w:val="20"/>
          <w:szCs w:val="20"/>
        </w:rPr>
      </w:pPr>
    </w:p>
    <w:p w:rsidR="00974F85" w:rsidRPr="001E4C94" w:rsidRDefault="008C0889"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Furthermore, the State reporte</w:t>
      </w:r>
      <w:r w:rsidR="00B424D5" w:rsidRPr="001E4C94">
        <w:rPr>
          <w:rFonts w:asciiTheme="majorHAnsi" w:hAnsiTheme="majorHAnsi"/>
          <w:sz w:val="20"/>
          <w:szCs w:val="20"/>
        </w:rPr>
        <w:t>d on March 15, 2007</w:t>
      </w:r>
      <w:r w:rsidR="008E5AD7" w:rsidRPr="001E4C94">
        <w:rPr>
          <w:rFonts w:asciiTheme="majorHAnsi" w:hAnsiTheme="majorHAnsi"/>
          <w:sz w:val="20"/>
          <w:szCs w:val="20"/>
        </w:rPr>
        <w:t>,</w:t>
      </w:r>
      <w:r w:rsidR="00B424D5" w:rsidRPr="001E4C94">
        <w:rPr>
          <w:rFonts w:asciiTheme="majorHAnsi" w:hAnsiTheme="majorHAnsi"/>
          <w:sz w:val="20"/>
          <w:szCs w:val="20"/>
        </w:rPr>
        <w:t xml:space="preserve"> that </w:t>
      </w:r>
      <w:r w:rsidR="001E1002" w:rsidRPr="001E4C94">
        <w:rPr>
          <w:rFonts w:asciiTheme="majorHAnsi" w:hAnsiTheme="majorHAnsi"/>
          <w:sz w:val="20"/>
          <w:szCs w:val="20"/>
        </w:rPr>
        <w:t>the Prosecutor</w:t>
      </w:r>
      <w:r w:rsidR="008E5AD7" w:rsidRPr="001E4C94">
        <w:rPr>
          <w:rFonts w:asciiTheme="majorHAnsi" w:hAnsiTheme="majorHAnsi"/>
          <w:sz w:val="20"/>
          <w:szCs w:val="20"/>
        </w:rPr>
        <w:t>’</w:t>
      </w:r>
      <w:r w:rsidR="001E1002" w:rsidRPr="001E4C94">
        <w:rPr>
          <w:rFonts w:asciiTheme="majorHAnsi" w:hAnsiTheme="majorHAnsi"/>
          <w:sz w:val="20"/>
          <w:szCs w:val="20"/>
        </w:rPr>
        <w:t>s Office</w:t>
      </w:r>
      <w:r w:rsidR="00B424D5" w:rsidRPr="001E4C94">
        <w:rPr>
          <w:rFonts w:asciiTheme="majorHAnsi" w:hAnsiTheme="majorHAnsi"/>
          <w:sz w:val="20"/>
          <w:szCs w:val="20"/>
        </w:rPr>
        <w:t xml:space="preserve"> considered that “there were no legal grounds (new evidence) that justified the reopening of the investigation.” However, in the las</w:t>
      </w:r>
      <w:r w:rsidRPr="001E4C94">
        <w:rPr>
          <w:rFonts w:asciiTheme="majorHAnsi" w:hAnsiTheme="majorHAnsi"/>
          <w:sz w:val="20"/>
          <w:szCs w:val="20"/>
        </w:rPr>
        <w:t>t observations sent to the IACHR</w:t>
      </w:r>
      <w:r w:rsidR="00B424D5" w:rsidRPr="001E4C94">
        <w:rPr>
          <w:rFonts w:asciiTheme="majorHAnsi" w:hAnsiTheme="majorHAnsi"/>
          <w:sz w:val="20"/>
          <w:szCs w:val="20"/>
        </w:rPr>
        <w:t xml:space="preserve">, the State pointed out that the criminal investigation was reopened in 2009 and that, as part of that case, </w:t>
      </w:r>
      <w:r w:rsidRPr="001E4C94">
        <w:rPr>
          <w:rFonts w:asciiTheme="majorHAnsi" w:hAnsiTheme="majorHAnsi"/>
          <w:sz w:val="20"/>
          <w:szCs w:val="20"/>
        </w:rPr>
        <w:t>investigative</w:t>
      </w:r>
      <w:r w:rsidR="00B424D5" w:rsidRPr="001E4C94">
        <w:rPr>
          <w:rFonts w:asciiTheme="majorHAnsi" w:hAnsiTheme="majorHAnsi"/>
          <w:sz w:val="20"/>
          <w:szCs w:val="20"/>
        </w:rPr>
        <w:t xml:space="preserve"> steps were being taken to shed light on the facts of this case</w:t>
      </w:r>
      <w:r w:rsidR="0014253F" w:rsidRPr="001E4C94">
        <w:rPr>
          <w:rFonts w:asciiTheme="majorHAnsi" w:hAnsiTheme="majorHAnsi"/>
          <w:sz w:val="20"/>
          <w:szCs w:val="20"/>
        </w:rPr>
        <w:t>.</w:t>
      </w:r>
    </w:p>
    <w:p w:rsidR="005758BA" w:rsidRPr="001E4C94" w:rsidRDefault="005758BA" w:rsidP="006E4093">
      <w:pPr>
        <w:spacing w:after="0"/>
        <w:jc w:val="both"/>
        <w:rPr>
          <w:rFonts w:asciiTheme="majorHAnsi" w:hAnsiTheme="majorHAnsi"/>
          <w:sz w:val="20"/>
          <w:szCs w:val="20"/>
        </w:rPr>
      </w:pPr>
    </w:p>
    <w:p w:rsidR="00EC4FB6" w:rsidRPr="001E4C94" w:rsidRDefault="00B424D5" w:rsidP="006E4093">
      <w:pPr>
        <w:pStyle w:val="Heading1"/>
        <w:jc w:val="both"/>
        <w:rPr>
          <w:lang w:val="en-US"/>
        </w:rPr>
      </w:pPr>
      <w:r w:rsidRPr="001E4C94">
        <w:rPr>
          <w:lang w:val="en-US"/>
        </w:rPr>
        <w:t>LEGAL ANALYSIS</w:t>
      </w:r>
    </w:p>
    <w:p w:rsidR="005758BA" w:rsidRPr="001E4C94" w:rsidRDefault="005758BA" w:rsidP="006E4093">
      <w:pPr>
        <w:spacing w:after="0"/>
        <w:ind w:left="720"/>
        <w:jc w:val="both"/>
        <w:rPr>
          <w:rFonts w:asciiTheme="majorHAnsi" w:hAnsiTheme="majorHAnsi"/>
          <w:b/>
          <w:sz w:val="20"/>
          <w:szCs w:val="20"/>
        </w:rPr>
      </w:pPr>
    </w:p>
    <w:p w:rsidR="00B17572" w:rsidRPr="001E4C94" w:rsidRDefault="00B17572" w:rsidP="006E4093">
      <w:pPr>
        <w:pStyle w:val="ListParagraph"/>
        <w:numPr>
          <w:ilvl w:val="0"/>
          <w:numId w:val="8"/>
        </w:numPr>
        <w:spacing w:after="0"/>
        <w:jc w:val="both"/>
        <w:outlineLvl w:val="1"/>
        <w:rPr>
          <w:rFonts w:asciiTheme="majorHAnsi" w:hAnsiTheme="majorHAnsi"/>
          <w:b/>
          <w:sz w:val="20"/>
          <w:szCs w:val="20"/>
        </w:rPr>
      </w:pPr>
      <w:r w:rsidRPr="001E4C94">
        <w:rPr>
          <w:rFonts w:asciiTheme="majorHAnsi" w:hAnsiTheme="majorHAnsi"/>
          <w:b/>
          <w:sz w:val="20"/>
          <w:szCs w:val="20"/>
        </w:rPr>
        <w:t>Competenc</w:t>
      </w:r>
      <w:r w:rsidR="00B424D5" w:rsidRPr="001E4C94">
        <w:rPr>
          <w:rFonts w:asciiTheme="majorHAnsi" w:hAnsiTheme="majorHAnsi"/>
          <w:b/>
          <w:sz w:val="20"/>
          <w:szCs w:val="20"/>
        </w:rPr>
        <w:t>e</w:t>
      </w:r>
    </w:p>
    <w:p w:rsidR="005758BA" w:rsidRPr="001E4C94" w:rsidRDefault="005758BA" w:rsidP="006E4093">
      <w:pPr>
        <w:spacing w:after="0"/>
        <w:jc w:val="both"/>
        <w:rPr>
          <w:rFonts w:asciiTheme="majorHAnsi" w:hAnsiTheme="majorHAnsi"/>
          <w:b/>
          <w:sz w:val="20"/>
          <w:szCs w:val="20"/>
        </w:rPr>
      </w:pPr>
    </w:p>
    <w:p w:rsidR="00456443" w:rsidRPr="001E4C94" w:rsidRDefault="003A0CC3"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Petitioners are </w:t>
      </w:r>
      <w:r w:rsidR="008C0889" w:rsidRPr="001E4C94">
        <w:rPr>
          <w:rFonts w:asciiTheme="majorHAnsi" w:hAnsiTheme="majorHAnsi"/>
          <w:sz w:val="20"/>
          <w:szCs w:val="20"/>
        </w:rPr>
        <w:t>authorized</w:t>
      </w:r>
      <w:r w:rsidRPr="001E4C94">
        <w:rPr>
          <w:rFonts w:asciiTheme="majorHAnsi" w:hAnsiTheme="majorHAnsi"/>
          <w:sz w:val="20"/>
          <w:szCs w:val="20"/>
        </w:rPr>
        <w:t xml:space="preserve"> under </w:t>
      </w:r>
      <w:r w:rsidR="0062269B">
        <w:rPr>
          <w:rFonts w:asciiTheme="majorHAnsi" w:hAnsiTheme="majorHAnsi"/>
          <w:sz w:val="20"/>
          <w:szCs w:val="20"/>
        </w:rPr>
        <w:t>a</w:t>
      </w:r>
      <w:r w:rsidRPr="001E4C94">
        <w:rPr>
          <w:rFonts w:asciiTheme="majorHAnsi" w:hAnsiTheme="majorHAnsi"/>
          <w:sz w:val="20"/>
          <w:szCs w:val="20"/>
        </w:rPr>
        <w:t xml:space="preserve">rticle 44 of the American Convention to submit </w:t>
      </w:r>
      <w:r w:rsidR="008C0889" w:rsidRPr="001E4C94">
        <w:rPr>
          <w:rFonts w:asciiTheme="majorHAnsi" w:hAnsiTheme="majorHAnsi"/>
          <w:sz w:val="20"/>
          <w:szCs w:val="20"/>
        </w:rPr>
        <w:t>petitions to the Commis</w:t>
      </w:r>
      <w:r w:rsidRPr="001E4C94">
        <w:rPr>
          <w:rFonts w:asciiTheme="majorHAnsi" w:hAnsiTheme="majorHAnsi"/>
          <w:sz w:val="20"/>
          <w:szCs w:val="20"/>
        </w:rPr>
        <w:t>sion</w:t>
      </w:r>
      <w:r w:rsidR="00BF7C9D" w:rsidRPr="001E4C94">
        <w:rPr>
          <w:rFonts w:asciiTheme="majorHAnsi" w:hAnsiTheme="majorHAnsi"/>
          <w:sz w:val="20"/>
          <w:szCs w:val="20"/>
        </w:rPr>
        <w:t xml:space="preserve">. </w:t>
      </w:r>
      <w:r w:rsidRPr="001E4C94">
        <w:rPr>
          <w:rFonts w:asciiTheme="majorHAnsi" w:hAnsiTheme="majorHAnsi"/>
          <w:sz w:val="20"/>
          <w:szCs w:val="20"/>
        </w:rPr>
        <w:t xml:space="preserve">The alleged victim is a natural person with respect to whom the State committed to respecting and ensuring the rights enshrined in the American Convention, the Inter-American </w:t>
      </w:r>
      <w:r w:rsidR="0039090D" w:rsidRPr="001E4C94">
        <w:rPr>
          <w:rFonts w:asciiTheme="majorHAnsi" w:hAnsiTheme="majorHAnsi"/>
          <w:sz w:val="20"/>
          <w:szCs w:val="20"/>
        </w:rPr>
        <w:t>C</w:t>
      </w:r>
      <w:r w:rsidR="008C0889" w:rsidRPr="001E4C94">
        <w:rPr>
          <w:rFonts w:asciiTheme="majorHAnsi" w:hAnsiTheme="majorHAnsi"/>
          <w:sz w:val="20"/>
          <w:szCs w:val="20"/>
        </w:rPr>
        <w:t>onvention on</w:t>
      </w:r>
      <w:r w:rsidRPr="001E4C94">
        <w:rPr>
          <w:rFonts w:asciiTheme="majorHAnsi" w:hAnsiTheme="majorHAnsi"/>
          <w:sz w:val="20"/>
          <w:szCs w:val="20"/>
        </w:rPr>
        <w:t xml:space="preserve"> Forced Disappearance of P</w:t>
      </w:r>
      <w:r w:rsidR="0039090D" w:rsidRPr="001E4C94">
        <w:rPr>
          <w:rFonts w:asciiTheme="majorHAnsi" w:hAnsiTheme="majorHAnsi"/>
          <w:sz w:val="20"/>
          <w:szCs w:val="20"/>
        </w:rPr>
        <w:t>ersons, and the Inter-American C</w:t>
      </w:r>
      <w:r w:rsidRPr="001E4C94">
        <w:rPr>
          <w:rFonts w:asciiTheme="majorHAnsi" w:hAnsiTheme="majorHAnsi"/>
          <w:sz w:val="20"/>
          <w:szCs w:val="20"/>
        </w:rPr>
        <w:t>onvention to Prevent and Punish Torture</w:t>
      </w:r>
      <w:r w:rsidR="00BF7C9D" w:rsidRPr="001E4C94">
        <w:rPr>
          <w:rFonts w:asciiTheme="majorHAnsi" w:hAnsiTheme="majorHAnsi"/>
          <w:sz w:val="20"/>
          <w:szCs w:val="20"/>
        </w:rPr>
        <w:t xml:space="preserve">. </w:t>
      </w:r>
      <w:r w:rsidR="0039090D" w:rsidRPr="001E4C94">
        <w:rPr>
          <w:rFonts w:asciiTheme="majorHAnsi" w:hAnsiTheme="majorHAnsi"/>
          <w:sz w:val="20"/>
          <w:szCs w:val="20"/>
        </w:rPr>
        <w:t>With regard to the State, the C</w:t>
      </w:r>
      <w:r w:rsidRPr="001E4C94">
        <w:rPr>
          <w:rFonts w:asciiTheme="majorHAnsi" w:hAnsiTheme="majorHAnsi"/>
          <w:sz w:val="20"/>
          <w:szCs w:val="20"/>
        </w:rPr>
        <w:t xml:space="preserve">ommission </w:t>
      </w:r>
      <w:r w:rsidR="0039090D" w:rsidRPr="001E4C94">
        <w:rPr>
          <w:rFonts w:asciiTheme="majorHAnsi" w:hAnsiTheme="majorHAnsi"/>
          <w:sz w:val="20"/>
          <w:szCs w:val="20"/>
        </w:rPr>
        <w:t>notes</w:t>
      </w:r>
      <w:r w:rsidRPr="001E4C94">
        <w:rPr>
          <w:rFonts w:asciiTheme="majorHAnsi" w:hAnsiTheme="majorHAnsi"/>
          <w:sz w:val="20"/>
          <w:szCs w:val="20"/>
        </w:rPr>
        <w:t xml:space="preserve"> that Colombia has been</w:t>
      </w:r>
      <w:r w:rsidR="0039090D" w:rsidRPr="001E4C94">
        <w:rPr>
          <w:rFonts w:asciiTheme="majorHAnsi" w:hAnsiTheme="majorHAnsi"/>
          <w:sz w:val="20"/>
          <w:szCs w:val="20"/>
        </w:rPr>
        <w:t xml:space="preserve"> a State party to the American C</w:t>
      </w:r>
      <w:r w:rsidRPr="001E4C94">
        <w:rPr>
          <w:rFonts w:asciiTheme="majorHAnsi" w:hAnsiTheme="majorHAnsi"/>
          <w:sz w:val="20"/>
          <w:szCs w:val="20"/>
        </w:rPr>
        <w:t>onvention since July 31, 1973, the Inter-American Convention to Prevent and Punish Torture since December 2, 1998, and the Inter-American Convention on Forced Disappearance of Persons since April 12, 2005, the dates when</w:t>
      </w:r>
      <w:r w:rsidR="0039090D" w:rsidRPr="001E4C94">
        <w:rPr>
          <w:rFonts w:asciiTheme="majorHAnsi" w:hAnsiTheme="majorHAnsi"/>
          <w:sz w:val="20"/>
          <w:szCs w:val="20"/>
        </w:rPr>
        <w:t>, respectively,</w:t>
      </w:r>
      <w:r w:rsidRPr="001E4C94">
        <w:rPr>
          <w:rFonts w:asciiTheme="majorHAnsi" w:hAnsiTheme="majorHAnsi"/>
          <w:sz w:val="20"/>
          <w:szCs w:val="20"/>
        </w:rPr>
        <w:t xml:space="preserve"> it deposited its instruments of </w:t>
      </w:r>
      <w:r w:rsidR="008C0889" w:rsidRPr="001E4C94">
        <w:rPr>
          <w:rFonts w:asciiTheme="majorHAnsi" w:hAnsiTheme="majorHAnsi"/>
          <w:sz w:val="20"/>
          <w:szCs w:val="20"/>
        </w:rPr>
        <w:t>ratification</w:t>
      </w:r>
      <w:r w:rsidR="0039090D" w:rsidRPr="001E4C94">
        <w:rPr>
          <w:rFonts w:asciiTheme="majorHAnsi" w:hAnsiTheme="majorHAnsi"/>
          <w:sz w:val="20"/>
          <w:szCs w:val="20"/>
        </w:rPr>
        <w:t>. Therefore, the C</w:t>
      </w:r>
      <w:r w:rsidRPr="001E4C94">
        <w:rPr>
          <w:rFonts w:asciiTheme="majorHAnsi" w:hAnsiTheme="majorHAnsi"/>
          <w:sz w:val="20"/>
          <w:szCs w:val="20"/>
        </w:rPr>
        <w:t xml:space="preserve">ommission is competent </w:t>
      </w:r>
      <w:r w:rsidR="00456443" w:rsidRPr="001E4C94">
        <w:rPr>
          <w:rFonts w:asciiTheme="majorHAnsi" w:hAnsiTheme="majorHAnsi"/>
          <w:i/>
          <w:sz w:val="20"/>
          <w:szCs w:val="20"/>
        </w:rPr>
        <w:t>ratione personae</w:t>
      </w:r>
      <w:r w:rsidR="00456443" w:rsidRPr="001E4C94">
        <w:rPr>
          <w:rFonts w:asciiTheme="majorHAnsi" w:hAnsiTheme="majorHAnsi"/>
          <w:sz w:val="20"/>
          <w:szCs w:val="20"/>
        </w:rPr>
        <w:t xml:space="preserve"> </w:t>
      </w:r>
      <w:r w:rsidRPr="001E4C94">
        <w:rPr>
          <w:rFonts w:asciiTheme="majorHAnsi" w:hAnsiTheme="majorHAnsi"/>
          <w:sz w:val="20"/>
          <w:szCs w:val="20"/>
        </w:rPr>
        <w:t>to review the petition.</w:t>
      </w:r>
    </w:p>
    <w:p w:rsidR="005758BA" w:rsidRPr="001E4C94" w:rsidRDefault="005758BA" w:rsidP="006E4093">
      <w:pPr>
        <w:spacing w:after="0"/>
        <w:jc w:val="both"/>
        <w:rPr>
          <w:rFonts w:asciiTheme="majorHAnsi" w:hAnsiTheme="majorHAnsi"/>
          <w:sz w:val="20"/>
          <w:szCs w:val="20"/>
        </w:rPr>
      </w:pPr>
    </w:p>
    <w:p w:rsidR="00456443" w:rsidRPr="001E4C94" w:rsidRDefault="003A0CC3"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Furthermore, the Commission is competent </w:t>
      </w:r>
      <w:r w:rsidR="00456443" w:rsidRPr="001E4C94">
        <w:rPr>
          <w:rFonts w:asciiTheme="majorHAnsi" w:hAnsiTheme="majorHAnsi"/>
          <w:i/>
          <w:sz w:val="20"/>
          <w:szCs w:val="20"/>
        </w:rPr>
        <w:t>ratione temporis</w:t>
      </w:r>
      <w:r w:rsidR="00456443" w:rsidRPr="001E4C94">
        <w:rPr>
          <w:rFonts w:asciiTheme="majorHAnsi" w:hAnsiTheme="majorHAnsi"/>
          <w:sz w:val="20"/>
          <w:szCs w:val="20"/>
        </w:rPr>
        <w:t xml:space="preserve"> </w:t>
      </w:r>
      <w:r w:rsidRPr="001E4C94">
        <w:rPr>
          <w:rFonts w:asciiTheme="majorHAnsi" w:hAnsiTheme="majorHAnsi"/>
          <w:sz w:val="20"/>
          <w:szCs w:val="20"/>
        </w:rPr>
        <w:t>inasmuch as the obligation to respect and ensure the right</w:t>
      </w:r>
      <w:r w:rsidR="0039090D" w:rsidRPr="001E4C94">
        <w:rPr>
          <w:rFonts w:asciiTheme="majorHAnsi" w:hAnsiTheme="majorHAnsi"/>
          <w:sz w:val="20"/>
          <w:szCs w:val="20"/>
        </w:rPr>
        <w:t>s</w:t>
      </w:r>
      <w:r w:rsidRPr="001E4C94">
        <w:rPr>
          <w:rFonts w:asciiTheme="majorHAnsi" w:hAnsiTheme="majorHAnsi"/>
          <w:sz w:val="20"/>
          <w:szCs w:val="20"/>
        </w:rPr>
        <w:t xml:space="preserve"> protected under the American </w:t>
      </w:r>
      <w:r w:rsidR="008C0889" w:rsidRPr="001E4C94">
        <w:rPr>
          <w:rFonts w:asciiTheme="majorHAnsi" w:hAnsiTheme="majorHAnsi"/>
          <w:sz w:val="20"/>
          <w:szCs w:val="20"/>
        </w:rPr>
        <w:t>Convention</w:t>
      </w:r>
      <w:r w:rsidRPr="001E4C94">
        <w:rPr>
          <w:rFonts w:asciiTheme="majorHAnsi" w:hAnsiTheme="majorHAnsi"/>
          <w:sz w:val="20"/>
          <w:szCs w:val="20"/>
        </w:rPr>
        <w:t xml:space="preserve"> w</w:t>
      </w:r>
      <w:r w:rsidR="0039090D" w:rsidRPr="001E4C94">
        <w:rPr>
          <w:rFonts w:asciiTheme="majorHAnsi" w:hAnsiTheme="majorHAnsi"/>
          <w:sz w:val="20"/>
          <w:szCs w:val="20"/>
        </w:rPr>
        <w:t>as</w:t>
      </w:r>
      <w:r w:rsidRPr="001E4C94">
        <w:rPr>
          <w:rFonts w:asciiTheme="majorHAnsi" w:hAnsiTheme="majorHAnsi"/>
          <w:sz w:val="20"/>
          <w:szCs w:val="20"/>
        </w:rPr>
        <w:t xml:space="preserve"> in </w:t>
      </w:r>
      <w:r w:rsidR="008C0889" w:rsidRPr="001E4C94">
        <w:rPr>
          <w:rFonts w:asciiTheme="majorHAnsi" w:hAnsiTheme="majorHAnsi"/>
          <w:sz w:val="20"/>
          <w:szCs w:val="20"/>
        </w:rPr>
        <w:t>force</w:t>
      </w:r>
      <w:r w:rsidRPr="001E4C94">
        <w:rPr>
          <w:rFonts w:asciiTheme="majorHAnsi" w:hAnsiTheme="majorHAnsi"/>
          <w:sz w:val="20"/>
          <w:szCs w:val="20"/>
        </w:rPr>
        <w:t xml:space="preserve"> for the </w:t>
      </w:r>
      <w:r w:rsidR="00197C0D" w:rsidRPr="001E4C94">
        <w:rPr>
          <w:rFonts w:asciiTheme="majorHAnsi" w:hAnsiTheme="majorHAnsi"/>
          <w:sz w:val="20"/>
          <w:szCs w:val="20"/>
        </w:rPr>
        <w:t>State</w:t>
      </w:r>
      <w:r w:rsidRPr="001E4C94">
        <w:rPr>
          <w:rFonts w:asciiTheme="majorHAnsi" w:hAnsiTheme="majorHAnsi"/>
          <w:sz w:val="20"/>
          <w:szCs w:val="20"/>
        </w:rPr>
        <w:t xml:space="preserve"> on the date on which the facts alleged in the petition </w:t>
      </w:r>
      <w:r w:rsidR="008C0889" w:rsidRPr="001E4C94">
        <w:rPr>
          <w:rFonts w:asciiTheme="majorHAnsi" w:hAnsiTheme="majorHAnsi"/>
          <w:sz w:val="20"/>
          <w:szCs w:val="20"/>
        </w:rPr>
        <w:t>occurred</w:t>
      </w:r>
      <w:r w:rsidR="00BF7C9D" w:rsidRPr="001E4C94">
        <w:rPr>
          <w:rFonts w:asciiTheme="majorHAnsi" w:hAnsiTheme="majorHAnsi"/>
          <w:sz w:val="20"/>
          <w:szCs w:val="20"/>
        </w:rPr>
        <w:t xml:space="preserve">. </w:t>
      </w:r>
      <w:r w:rsidRPr="001E4C94">
        <w:rPr>
          <w:rFonts w:asciiTheme="majorHAnsi" w:hAnsiTheme="majorHAnsi"/>
          <w:sz w:val="20"/>
          <w:szCs w:val="20"/>
        </w:rPr>
        <w:t xml:space="preserve">The IACHR notes that the Inter-American Convention to Prevent and Punish Torture entered into force for Colombia on December </w:t>
      </w:r>
      <w:r w:rsidR="009132B4" w:rsidRPr="001E4C94">
        <w:rPr>
          <w:rFonts w:asciiTheme="majorHAnsi" w:hAnsiTheme="majorHAnsi"/>
          <w:sz w:val="20"/>
          <w:szCs w:val="20"/>
        </w:rPr>
        <w:t>2, 1998</w:t>
      </w:r>
      <w:r w:rsidR="00197C0D" w:rsidRPr="001E4C94">
        <w:rPr>
          <w:rFonts w:asciiTheme="majorHAnsi" w:hAnsiTheme="majorHAnsi"/>
          <w:sz w:val="20"/>
          <w:szCs w:val="20"/>
        </w:rPr>
        <w:t>,</w:t>
      </w:r>
      <w:r w:rsidR="009132B4" w:rsidRPr="001E4C94">
        <w:rPr>
          <w:rFonts w:asciiTheme="majorHAnsi" w:hAnsiTheme="majorHAnsi"/>
          <w:sz w:val="20"/>
          <w:szCs w:val="20"/>
        </w:rPr>
        <w:t xml:space="preserve"> and the Inter-American C</w:t>
      </w:r>
      <w:r w:rsidRPr="001E4C94">
        <w:rPr>
          <w:rFonts w:asciiTheme="majorHAnsi" w:hAnsiTheme="majorHAnsi"/>
          <w:sz w:val="20"/>
          <w:szCs w:val="20"/>
        </w:rPr>
        <w:t xml:space="preserve">onvention on Forced Disappearance of Persons, on April 1, 2005. </w:t>
      </w:r>
      <w:r w:rsidR="00197C0D" w:rsidRPr="001E4C94">
        <w:rPr>
          <w:rFonts w:asciiTheme="majorHAnsi" w:hAnsiTheme="majorHAnsi"/>
          <w:sz w:val="20"/>
          <w:szCs w:val="20"/>
        </w:rPr>
        <w:t>Therefore, t</w:t>
      </w:r>
      <w:r w:rsidRPr="001E4C94">
        <w:rPr>
          <w:rFonts w:asciiTheme="majorHAnsi" w:hAnsiTheme="majorHAnsi"/>
          <w:sz w:val="20"/>
          <w:szCs w:val="20"/>
        </w:rPr>
        <w:t>he I</w:t>
      </w:r>
      <w:r w:rsidR="009132B4" w:rsidRPr="001E4C94">
        <w:rPr>
          <w:rFonts w:asciiTheme="majorHAnsi" w:hAnsiTheme="majorHAnsi"/>
          <w:sz w:val="20"/>
          <w:szCs w:val="20"/>
        </w:rPr>
        <w:t>A</w:t>
      </w:r>
      <w:r w:rsidRPr="001E4C94">
        <w:rPr>
          <w:rFonts w:asciiTheme="majorHAnsi" w:hAnsiTheme="majorHAnsi"/>
          <w:sz w:val="20"/>
          <w:szCs w:val="20"/>
        </w:rPr>
        <w:t xml:space="preserve">CHR is competent </w:t>
      </w:r>
      <w:r w:rsidR="00456443" w:rsidRPr="001E4C94">
        <w:rPr>
          <w:rFonts w:asciiTheme="majorHAnsi" w:hAnsiTheme="majorHAnsi"/>
          <w:i/>
          <w:sz w:val="20"/>
          <w:szCs w:val="20"/>
        </w:rPr>
        <w:t>ratione temporis</w:t>
      </w:r>
      <w:r w:rsidR="00456443" w:rsidRPr="001E4C94">
        <w:rPr>
          <w:rFonts w:asciiTheme="majorHAnsi" w:hAnsiTheme="majorHAnsi"/>
          <w:sz w:val="20"/>
          <w:szCs w:val="20"/>
        </w:rPr>
        <w:t xml:space="preserve"> </w:t>
      </w:r>
      <w:r w:rsidRPr="001E4C94">
        <w:rPr>
          <w:rFonts w:asciiTheme="majorHAnsi" w:hAnsiTheme="majorHAnsi"/>
          <w:sz w:val="20"/>
          <w:szCs w:val="20"/>
        </w:rPr>
        <w:t xml:space="preserve">to analyze the facts of the case </w:t>
      </w:r>
      <w:r w:rsidR="00197C0D" w:rsidRPr="001E4C94">
        <w:rPr>
          <w:rFonts w:asciiTheme="majorHAnsi" w:hAnsiTheme="majorHAnsi"/>
          <w:sz w:val="20"/>
          <w:szCs w:val="20"/>
        </w:rPr>
        <w:t>under</w:t>
      </w:r>
      <w:r w:rsidRPr="001E4C94">
        <w:rPr>
          <w:rFonts w:asciiTheme="majorHAnsi" w:hAnsiTheme="majorHAnsi"/>
          <w:sz w:val="20"/>
          <w:szCs w:val="20"/>
        </w:rPr>
        <w:t xml:space="preserve"> these legal instruments only as of the</w:t>
      </w:r>
      <w:r w:rsidR="00197C0D" w:rsidRPr="001E4C94">
        <w:rPr>
          <w:rFonts w:asciiTheme="majorHAnsi" w:hAnsiTheme="majorHAnsi"/>
          <w:sz w:val="20"/>
          <w:szCs w:val="20"/>
        </w:rPr>
        <w:t xml:space="preserve"> respective</w:t>
      </w:r>
      <w:r w:rsidRPr="001E4C94">
        <w:rPr>
          <w:rFonts w:asciiTheme="majorHAnsi" w:hAnsiTheme="majorHAnsi"/>
          <w:sz w:val="20"/>
          <w:szCs w:val="20"/>
        </w:rPr>
        <w:t xml:space="preserve"> dates.</w:t>
      </w:r>
    </w:p>
    <w:p w:rsidR="005758BA" w:rsidRPr="001E4C94" w:rsidRDefault="005758BA" w:rsidP="006E4093">
      <w:pPr>
        <w:spacing w:after="0"/>
        <w:jc w:val="both"/>
        <w:rPr>
          <w:rFonts w:asciiTheme="majorHAnsi" w:hAnsiTheme="majorHAnsi"/>
          <w:sz w:val="20"/>
          <w:szCs w:val="20"/>
        </w:rPr>
      </w:pPr>
    </w:p>
    <w:p w:rsidR="00C775A8" w:rsidRPr="001E4C94" w:rsidRDefault="00197C0D"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The C</w:t>
      </w:r>
      <w:r w:rsidR="003A0CC3" w:rsidRPr="001E4C94">
        <w:rPr>
          <w:rFonts w:asciiTheme="majorHAnsi" w:hAnsiTheme="majorHAnsi"/>
          <w:sz w:val="20"/>
          <w:szCs w:val="20"/>
        </w:rPr>
        <w:t xml:space="preserve">ommission is competent </w:t>
      </w:r>
      <w:r w:rsidR="00456443" w:rsidRPr="001E4C94">
        <w:rPr>
          <w:rFonts w:asciiTheme="majorHAnsi" w:hAnsiTheme="majorHAnsi"/>
          <w:i/>
          <w:sz w:val="20"/>
          <w:szCs w:val="20"/>
        </w:rPr>
        <w:t>ratione loci</w:t>
      </w:r>
      <w:r w:rsidR="00456443" w:rsidRPr="001E4C94">
        <w:rPr>
          <w:rFonts w:asciiTheme="majorHAnsi" w:hAnsiTheme="majorHAnsi"/>
          <w:sz w:val="20"/>
          <w:szCs w:val="20"/>
        </w:rPr>
        <w:t xml:space="preserve"> </w:t>
      </w:r>
      <w:r w:rsidR="003A0CC3" w:rsidRPr="001E4C94">
        <w:rPr>
          <w:rFonts w:asciiTheme="majorHAnsi" w:hAnsiTheme="majorHAnsi"/>
          <w:sz w:val="20"/>
          <w:szCs w:val="20"/>
        </w:rPr>
        <w:t>to hear the petition inasmuch as it alleges violation of right</w:t>
      </w:r>
      <w:r w:rsidR="000C42F4" w:rsidRPr="001E4C94">
        <w:rPr>
          <w:rFonts w:asciiTheme="majorHAnsi" w:hAnsiTheme="majorHAnsi"/>
          <w:sz w:val="20"/>
          <w:szCs w:val="20"/>
        </w:rPr>
        <w:t>s protected under the American C</w:t>
      </w:r>
      <w:r w:rsidR="003A0CC3" w:rsidRPr="001E4C94">
        <w:rPr>
          <w:rFonts w:asciiTheme="majorHAnsi" w:hAnsiTheme="majorHAnsi"/>
          <w:sz w:val="20"/>
          <w:szCs w:val="20"/>
        </w:rPr>
        <w:t xml:space="preserve">onvention that </w:t>
      </w:r>
      <w:r w:rsidR="000C42F4" w:rsidRPr="001E4C94">
        <w:rPr>
          <w:rFonts w:asciiTheme="majorHAnsi" w:hAnsiTheme="majorHAnsi"/>
          <w:sz w:val="20"/>
          <w:szCs w:val="20"/>
        </w:rPr>
        <w:t>purportedly</w:t>
      </w:r>
      <w:r w:rsidR="003A0CC3" w:rsidRPr="001E4C94">
        <w:rPr>
          <w:rFonts w:asciiTheme="majorHAnsi" w:hAnsiTheme="majorHAnsi"/>
          <w:sz w:val="20"/>
          <w:szCs w:val="20"/>
        </w:rPr>
        <w:t xml:space="preserve"> took place </w:t>
      </w:r>
      <w:r w:rsidRPr="001E4C94">
        <w:rPr>
          <w:rFonts w:asciiTheme="majorHAnsi" w:hAnsiTheme="majorHAnsi"/>
          <w:sz w:val="20"/>
          <w:szCs w:val="20"/>
        </w:rPr>
        <w:t>under</w:t>
      </w:r>
      <w:r w:rsidR="003A0CC3" w:rsidRPr="001E4C94">
        <w:rPr>
          <w:rFonts w:asciiTheme="majorHAnsi" w:hAnsiTheme="majorHAnsi"/>
          <w:sz w:val="20"/>
          <w:szCs w:val="20"/>
        </w:rPr>
        <w:t xml:space="preserve"> the </w:t>
      </w:r>
      <w:r w:rsidR="000C42F4" w:rsidRPr="001E4C94">
        <w:rPr>
          <w:rFonts w:asciiTheme="majorHAnsi" w:hAnsiTheme="majorHAnsi"/>
          <w:sz w:val="20"/>
          <w:szCs w:val="20"/>
        </w:rPr>
        <w:t>jurisdiction of Colombia, a State party to that instrument.</w:t>
      </w:r>
      <w:r w:rsidR="00456443"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456443" w:rsidRPr="001E4C94" w:rsidRDefault="00197C0D"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Finally, the C</w:t>
      </w:r>
      <w:r w:rsidR="000C42F4" w:rsidRPr="001E4C94">
        <w:rPr>
          <w:rFonts w:asciiTheme="majorHAnsi" w:hAnsiTheme="majorHAnsi"/>
          <w:sz w:val="20"/>
          <w:szCs w:val="20"/>
        </w:rPr>
        <w:t xml:space="preserve">ommission is competent </w:t>
      </w:r>
      <w:r w:rsidR="00456443" w:rsidRPr="001E4C94">
        <w:rPr>
          <w:rFonts w:asciiTheme="majorHAnsi" w:hAnsiTheme="majorHAnsi"/>
          <w:i/>
          <w:sz w:val="20"/>
          <w:szCs w:val="20"/>
        </w:rPr>
        <w:t>ratione materiae</w:t>
      </w:r>
      <w:r w:rsidR="00456443" w:rsidRPr="001E4C94">
        <w:rPr>
          <w:rFonts w:asciiTheme="majorHAnsi" w:hAnsiTheme="majorHAnsi"/>
          <w:sz w:val="20"/>
          <w:szCs w:val="20"/>
        </w:rPr>
        <w:t xml:space="preserve">, </w:t>
      </w:r>
      <w:r w:rsidR="000C42F4" w:rsidRPr="001E4C94">
        <w:rPr>
          <w:rFonts w:asciiTheme="majorHAnsi" w:hAnsiTheme="majorHAnsi"/>
          <w:sz w:val="20"/>
          <w:szCs w:val="20"/>
        </w:rPr>
        <w:t xml:space="preserve">because the petition reports potential violation of human rights protected under the American </w:t>
      </w:r>
      <w:r w:rsidRPr="001E4C94">
        <w:rPr>
          <w:rFonts w:asciiTheme="majorHAnsi" w:hAnsiTheme="majorHAnsi"/>
          <w:sz w:val="20"/>
          <w:szCs w:val="20"/>
        </w:rPr>
        <w:t>Con</w:t>
      </w:r>
      <w:r w:rsidR="000C42F4" w:rsidRPr="001E4C94">
        <w:rPr>
          <w:rFonts w:asciiTheme="majorHAnsi" w:hAnsiTheme="majorHAnsi"/>
          <w:sz w:val="20"/>
          <w:szCs w:val="20"/>
        </w:rPr>
        <w:t>vention</w:t>
      </w:r>
      <w:r w:rsidRPr="001E4C94">
        <w:rPr>
          <w:rFonts w:asciiTheme="majorHAnsi" w:hAnsiTheme="majorHAnsi"/>
          <w:sz w:val="20"/>
          <w:szCs w:val="20"/>
        </w:rPr>
        <w:t>, as well as</w:t>
      </w:r>
      <w:r w:rsidR="000C42F4" w:rsidRPr="001E4C94">
        <w:rPr>
          <w:rFonts w:asciiTheme="majorHAnsi" w:hAnsiTheme="majorHAnsi"/>
          <w:sz w:val="20"/>
          <w:szCs w:val="20"/>
        </w:rPr>
        <w:t>—with</w:t>
      </w:r>
      <w:r w:rsidRPr="001E4C94">
        <w:rPr>
          <w:rFonts w:asciiTheme="majorHAnsi" w:hAnsiTheme="majorHAnsi"/>
          <w:sz w:val="20"/>
          <w:szCs w:val="20"/>
        </w:rPr>
        <w:t>in</w:t>
      </w:r>
      <w:r w:rsidR="000C42F4" w:rsidRPr="001E4C94">
        <w:rPr>
          <w:rFonts w:asciiTheme="majorHAnsi" w:hAnsiTheme="majorHAnsi"/>
          <w:sz w:val="20"/>
          <w:szCs w:val="20"/>
        </w:rPr>
        <w:t xml:space="preserve"> the time </w:t>
      </w:r>
      <w:r w:rsidRPr="001E4C94">
        <w:rPr>
          <w:rFonts w:asciiTheme="majorHAnsi" w:hAnsiTheme="majorHAnsi"/>
          <w:sz w:val="20"/>
          <w:szCs w:val="20"/>
        </w:rPr>
        <w:t xml:space="preserve">restrictions </w:t>
      </w:r>
      <w:r w:rsidR="000C42F4" w:rsidRPr="001E4C94">
        <w:rPr>
          <w:rFonts w:asciiTheme="majorHAnsi" w:hAnsiTheme="majorHAnsi"/>
          <w:sz w:val="20"/>
          <w:szCs w:val="20"/>
        </w:rPr>
        <w:t>set forth in this section—the Inter</w:t>
      </w:r>
      <w:r w:rsidR="00B74498" w:rsidRPr="001E4C94">
        <w:rPr>
          <w:rFonts w:asciiTheme="majorHAnsi" w:hAnsiTheme="majorHAnsi"/>
          <w:sz w:val="20"/>
          <w:szCs w:val="20"/>
        </w:rPr>
        <w:t xml:space="preserve">-American Convention on </w:t>
      </w:r>
      <w:r w:rsidR="000C42F4" w:rsidRPr="001E4C94">
        <w:rPr>
          <w:rFonts w:asciiTheme="majorHAnsi" w:hAnsiTheme="majorHAnsi"/>
          <w:sz w:val="20"/>
          <w:szCs w:val="20"/>
        </w:rPr>
        <w:t xml:space="preserve">Forced Disappearance of </w:t>
      </w:r>
      <w:r w:rsidRPr="001E4C94">
        <w:rPr>
          <w:rFonts w:asciiTheme="majorHAnsi" w:hAnsiTheme="majorHAnsi"/>
          <w:sz w:val="20"/>
          <w:szCs w:val="20"/>
        </w:rPr>
        <w:t>Persons and the Inter-American C</w:t>
      </w:r>
      <w:r w:rsidR="000C42F4" w:rsidRPr="001E4C94">
        <w:rPr>
          <w:rFonts w:asciiTheme="majorHAnsi" w:hAnsiTheme="majorHAnsi"/>
          <w:sz w:val="20"/>
          <w:szCs w:val="20"/>
        </w:rPr>
        <w:t>onvention to Prevent and Punish Torture.</w:t>
      </w:r>
    </w:p>
    <w:p w:rsidR="005758BA" w:rsidRPr="001E4C94" w:rsidRDefault="005758BA" w:rsidP="006E4093">
      <w:pPr>
        <w:spacing w:after="0"/>
        <w:jc w:val="both"/>
        <w:rPr>
          <w:rFonts w:asciiTheme="majorHAnsi" w:hAnsiTheme="majorHAnsi"/>
          <w:sz w:val="20"/>
          <w:szCs w:val="20"/>
        </w:rPr>
      </w:pPr>
    </w:p>
    <w:p w:rsidR="0094595A" w:rsidRDefault="0094595A">
      <w:pPr>
        <w:spacing w:after="0"/>
        <w:rPr>
          <w:rFonts w:asciiTheme="majorHAnsi" w:hAnsiTheme="majorHAnsi"/>
          <w:b/>
          <w:sz w:val="20"/>
          <w:szCs w:val="20"/>
        </w:rPr>
      </w:pPr>
      <w:r>
        <w:rPr>
          <w:rFonts w:asciiTheme="majorHAnsi" w:hAnsiTheme="majorHAnsi"/>
          <w:b/>
          <w:sz w:val="20"/>
          <w:szCs w:val="20"/>
        </w:rPr>
        <w:br w:type="page"/>
      </w:r>
    </w:p>
    <w:p w:rsidR="006C11B0" w:rsidRPr="001E4C94" w:rsidRDefault="000C42F4" w:rsidP="006E4093">
      <w:pPr>
        <w:pStyle w:val="ListParagraph"/>
        <w:numPr>
          <w:ilvl w:val="0"/>
          <w:numId w:val="8"/>
        </w:numPr>
        <w:spacing w:after="0"/>
        <w:jc w:val="both"/>
        <w:outlineLvl w:val="1"/>
        <w:rPr>
          <w:rFonts w:asciiTheme="majorHAnsi" w:hAnsiTheme="majorHAnsi"/>
          <w:b/>
          <w:sz w:val="20"/>
          <w:szCs w:val="20"/>
        </w:rPr>
      </w:pPr>
      <w:r w:rsidRPr="001E4C94">
        <w:rPr>
          <w:rFonts w:asciiTheme="majorHAnsi" w:hAnsiTheme="majorHAnsi"/>
          <w:b/>
          <w:sz w:val="20"/>
          <w:szCs w:val="20"/>
        </w:rPr>
        <w:lastRenderedPageBreak/>
        <w:t xml:space="preserve">Admissibility </w:t>
      </w:r>
      <w:r w:rsidR="00B74498" w:rsidRPr="001E4C94">
        <w:rPr>
          <w:rFonts w:asciiTheme="majorHAnsi" w:hAnsiTheme="majorHAnsi"/>
          <w:b/>
          <w:sz w:val="20"/>
          <w:szCs w:val="20"/>
        </w:rPr>
        <w:t>r</w:t>
      </w:r>
      <w:r w:rsidRPr="001E4C94">
        <w:rPr>
          <w:rFonts w:asciiTheme="majorHAnsi" w:hAnsiTheme="majorHAnsi"/>
          <w:b/>
          <w:sz w:val="20"/>
          <w:szCs w:val="20"/>
        </w:rPr>
        <w:t>equirements</w:t>
      </w:r>
    </w:p>
    <w:p w:rsidR="005758BA" w:rsidRPr="001E4C94" w:rsidRDefault="005758BA" w:rsidP="006E4093">
      <w:pPr>
        <w:spacing w:after="0"/>
        <w:jc w:val="both"/>
        <w:rPr>
          <w:rFonts w:asciiTheme="majorHAnsi" w:hAnsiTheme="majorHAnsi"/>
          <w:b/>
          <w:sz w:val="20"/>
          <w:szCs w:val="20"/>
        </w:rPr>
      </w:pPr>
    </w:p>
    <w:p w:rsidR="00456443" w:rsidRPr="001E4C94" w:rsidRDefault="00B74498" w:rsidP="006E4093">
      <w:pPr>
        <w:pStyle w:val="ListParagraph"/>
        <w:numPr>
          <w:ilvl w:val="0"/>
          <w:numId w:val="9"/>
        </w:numPr>
        <w:spacing w:after="0"/>
        <w:jc w:val="both"/>
        <w:outlineLvl w:val="2"/>
        <w:rPr>
          <w:rFonts w:asciiTheme="majorHAnsi" w:hAnsiTheme="majorHAnsi"/>
          <w:b/>
          <w:sz w:val="20"/>
          <w:szCs w:val="20"/>
        </w:rPr>
      </w:pPr>
      <w:r w:rsidRPr="001E4C94">
        <w:rPr>
          <w:rFonts w:asciiTheme="majorHAnsi" w:hAnsiTheme="majorHAnsi"/>
          <w:b/>
          <w:sz w:val="20"/>
          <w:szCs w:val="20"/>
        </w:rPr>
        <w:t>Exhaustion of domestic r</w:t>
      </w:r>
      <w:r w:rsidR="000C42F4" w:rsidRPr="001E4C94">
        <w:rPr>
          <w:rFonts w:asciiTheme="majorHAnsi" w:hAnsiTheme="majorHAnsi"/>
          <w:b/>
          <w:sz w:val="20"/>
          <w:szCs w:val="20"/>
        </w:rPr>
        <w:t>emedies</w:t>
      </w:r>
    </w:p>
    <w:p w:rsidR="005758BA" w:rsidRPr="001E4C94" w:rsidRDefault="005758BA" w:rsidP="006E4093">
      <w:pPr>
        <w:spacing w:after="0"/>
        <w:jc w:val="both"/>
        <w:rPr>
          <w:rFonts w:asciiTheme="majorHAnsi" w:hAnsiTheme="majorHAnsi"/>
          <w:b/>
          <w:sz w:val="20"/>
          <w:szCs w:val="20"/>
        </w:rPr>
      </w:pPr>
    </w:p>
    <w:p w:rsidR="006C11B0" w:rsidRPr="001E4C94" w:rsidRDefault="000C42F4"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Article 46</w:t>
      </w:r>
      <w:r w:rsidR="00897221">
        <w:rPr>
          <w:rFonts w:asciiTheme="majorHAnsi" w:hAnsiTheme="majorHAnsi"/>
          <w:sz w:val="20"/>
          <w:szCs w:val="20"/>
        </w:rPr>
        <w:t>.</w:t>
      </w:r>
      <w:r w:rsidR="006C11B0" w:rsidRPr="001E4C94">
        <w:rPr>
          <w:rFonts w:asciiTheme="majorHAnsi" w:hAnsiTheme="majorHAnsi"/>
          <w:sz w:val="20"/>
          <w:szCs w:val="20"/>
        </w:rPr>
        <w:t>1</w:t>
      </w:r>
      <w:r w:rsidR="00897221">
        <w:rPr>
          <w:rFonts w:asciiTheme="majorHAnsi" w:hAnsiTheme="majorHAnsi"/>
          <w:sz w:val="20"/>
          <w:szCs w:val="20"/>
        </w:rPr>
        <w:t>.</w:t>
      </w:r>
      <w:r w:rsidR="006C11B0" w:rsidRPr="001E4C94">
        <w:rPr>
          <w:rFonts w:asciiTheme="majorHAnsi" w:hAnsiTheme="majorHAnsi"/>
          <w:sz w:val="20"/>
          <w:szCs w:val="20"/>
        </w:rPr>
        <w:t>a</w:t>
      </w:r>
      <w:r w:rsidRPr="001E4C94">
        <w:rPr>
          <w:rFonts w:asciiTheme="majorHAnsi" w:hAnsiTheme="majorHAnsi"/>
          <w:sz w:val="20"/>
          <w:szCs w:val="20"/>
        </w:rPr>
        <w:t xml:space="preserve"> of the Convention provides that to </w:t>
      </w:r>
      <w:r w:rsidR="008C0889" w:rsidRPr="001E4C94">
        <w:rPr>
          <w:rFonts w:asciiTheme="majorHAnsi" w:hAnsiTheme="majorHAnsi"/>
          <w:sz w:val="20"/>
          <w:szCs w:val="20"/>
        </w:rPr>
        <w:t>determine</w:t>
      </w:r>
      <w:r w:rsidRPr="001E4C94">
        <w:rPr>
          <w:rFonts w:asciiTheme="majorHAnsi" w:hAnsiTheme="majorHAnsi"/>
          <w:sz w:val="20"/>
          <w:szCs w:val="20"/>
        </w:rPr>
        <w:t xml:space="preserve"> admissibility of a petition or </w:t>
      </w:r>
      <w:r w:rsidR="00197C0D" w:rsidRPr="001E4C94">
        <w:rPr>
          <w:rFonts w:asciiTheme="majorHAnsi" w:hAnsiTheme="majorHAnsi"/>
          <w:sz w:val="20"/>
          <w:szCs w:val="20"/>
        </w:rPr>
        <w:t xml:space="preserve">submission presented </w:t>
      </w:r>
      <w:r w:rsidRPr="001E4C94">
        <w:rPr>
          <w:rFonts w:asciiTheme="majorHAnsi" w:hAnsiTheme="majorHAnsi"/>
          <w:sz w:val="20"/>
          <w:szCs w:val="20"/>
        </w:rPr>
        <w:t xml:space="preserve">to the IACHR, it is necessary </w:t>
      </w:r>
      <w:r w:rsidR="00982AF4" w:rsidRPr="001E4C94">
        <w:rPr>
          <w:rFonts w:asciiTheme="majorHAnsi" w:hAnsiTheme="majorHAnsi"/>
          <w:sz w:val="20"/>
          <w:szCs w:val="20"/>
        </w:rPr>
        <w:t xml:space="preserve">for </w:t>
      </w:r>
      <w:r w:rsidRPr="001E4C94">
        <w:rPr>
          <w:rFonts w:asciiTheme="majorHAnsi" w:hAnsiTheme="majorHAnsi"/>
          <w:sz w:val="20"/>
          <w:szCs w:val="20"/>
        </w:rPr>
        <w:t xml:space="preserve">domestic remedies </w:t>
      </w:r>
      <w:r w:rsidR="00982AF4" w:rsidRPr="001E4C94">
        <w:rPr>
          <w:rFonts w:asciiTheme="majorHAnsi" w:hAnsiTheme="majorHAnsi"/>
          <w:sz w:val="20"/>
          <w:szCs w:val="20"/>
        </w:rPr>
        <w:t xml:space="preserve">to have </w:t>
      </w:r>
      <w:r w:rsidRPr="001E4C94">
        <w:rPr>
          <w:rFonts w:asciiTheme="majorHAnsi" w:hAnsiTheme="majorHAnsi"/>
          <w:sz w:val="20"/>
          <w:szCs w:val="20"/>
        </w:rPr>
        <w:t>be</w:t>
      </w:r>
      <w:r w:rsidR="00982AF4" w:rsidRPr="001E4C94">
        <w:rPr>
          <w:rFonts w:asciiTheme="majorHAnsi" w:hAnsiTheme="majorHAnsi"/>
          <w:sz w:val="20"/>
          <w:szCs w:val="20"/>
        </w:rPr>
        <w:t>en</w:t>
      </w:r>
      <w:r w:rsidRPr="001E4C94">
        <w:rPr>
          <w:rFonts w:asciiTheme="majorHAnsi" w:hAnsiTheme="majorHAnsi"/>
          <w:sz w:val="20"/>
          <w:szCs w:val="20"/>
        </w:rPr>
        <w:t xml:space="preserve"> filed and exhausted, in keeping with generally recognized principles of international law</w:t>
      </w:r>
      <w:r w:rsidR="006C11B0"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6D336C" w:rsidRPr="001E4C94" w:rsidRDefault="00897221" w:rsidP="006E4093">
      <w:pPr>
        <w:numPr>
          <w:ilvl w:val="0"/>
          <w:numId w:val="1"/>
        </w:numPr>
        <w:spacing w:after="0"/>
        <w:ind w:left="0" w:firstLine="720"/>
        <w:jc w:val="both"/>
        <w:rPr>
          <w:rFonts w:asciiTheme="majorHAnsi" w:hAnsiTheme="majorHAnsi"/>
          <w:sz w:val="20"/>
          <w:szCs w:val="20"/>
        </w:rPr>
      </w:pPr>
      <w:r>
        <w:rPr>
          <w:rFonts w:asciiTheme="majorHAnsi" w:hAnsiTheme="majorHAnsi"/>
          <w:sz w:val="20"/>
          <w:szCs w:val="20"/>
        </w:rPr>
        <w:t>To begin with, therefore, it must be clarified which domestic remedies need to be exhausted in the instant case for the petition to be admitted</w:t>
      </w:r>
      <w:r w:rsidR="00982AF4" w:rsidRPr="001E4C94">
        <w:rPr>
          <w:rFonts w:asciiTheme="majorHAnsi" w:hAnsiTheme="majorHAnsi"/>
          <w:sz w:val="20"/>
          <w:szCs w:val="20"/>
        </w:rPr>
        <w:t>. The C</w:t>
      </w:r>
      <w:r w:rsidR="00460804" w:rsidRPr="001E4C94">
        <w:rPr>
          <w:rFonts w:asciiTheme="majorHAnsi" w:hAnsiTheme="majorHAnsi"/>
          <w:sz w:val="20"/>
          <w:szCs w:val="20"/>
        </w:rPr>
        <w:t xml:space="preserve">ommission notes that the subject of this petition refers to </w:t>
      </w:r>
      <w:r w:rsidR="00982AF4" w:rsidRPr="001E4C94">
        <w:rPr>
          <w:rFonts w:asciiTheme="majorHAnsi" w:hAnsiTheme="majorHAnsi" w:cs="Calibri"/>
          <w:sz w:val="20"/>
          <w:szCs w:val="20"/>
        </w:rPr>
        <w:t>Juan Fernando Porras Martínez’s</w:t>
      </w:r>
      <w:r w:rsidR="00460804" w:rsidRPr="001E4C94">
        <w:rPr>
          <w:rFonts w:asciiTheme="majorHAnsi" w:hAnsiTheme="majorHAnsi"/>
          <w:sz w:val="20"/>
          <w:szCs w:val="20"/>
        </w:rPr>
        <w:t xml:space="preserve"> alleged forced dis</w:t>
      </w:r>
      <w:r w:rsidR="00982AF4" w:rsidRPr="001E4C94">
        <w:rPr>
          <w:rFonts w:asciiTheme="majorHAnsi" w:hAnsiTheme="majorHAnsi"/>
          <w:sz w:val="20"/>
          <w:szCs w:val="20"/>
        </w:rPr>
        <w:t>appearance, torture, and murder</w:t>
      </w:r>
      <w:r w:rsidR="008D5090" w:rsidRPr="001E4C94">
        <w:rPr>
          <w:rFonts w:asciiTheme="majorHAnsi" w:hAnsiTheme="majorHAnsi" w:cs="Calibri"/>
          <w:sz w:val="20"/>
          <w:szCs w:val="20"/>
        </w:rPr>
        <w:t xml:space="preserve">, </w:t>
      </w:r>
      <w:r w:rsidR="00460804" w:rsidRPr="001E4C94">
        <w:rPr>
          <w:rFonts w:asciiTheme="majorHAnsi" w:hAnsiTheme="majorHAnsi" w:cs="Calibri"/>
          <w:sz w:val="20"/>
          <w:szCs w:val="20"/>
        </w:rPr>
        <w:t xml:space="preserve">as well as the investigation of </w:t>
      </w:r>
      <w:r w:rsidR="00982AF4" w:rsidRPr="001E4C94">
        <w:rPr>
          <w:rFonts w:asciiTheme="majorHAnsi" w:hAnsiTheme="majorHAnsi" w:cs="Calibri"/>
          <w:sz w:val="20"/>
          <w:szCs w:val="20"/>
        </w:rPr>
        <w:t>such</w:t>
      </w:r>
      <w:r w:rsidR="00460804" w:rsidRPr="001E4C94">
        <w:rPr>
          <w:rFonts w:asciiTheme="majorHAnsi" w:hAnsiTheme="majorHAnsi" w:cs="Calibri"/>
          <w:sz w:val="20"/>
          <w:szCs w:val="20"/>
        </w:rPr>
        <w:t xml:space="preserve"> alleg</w:t>
      </w:r>
      <w:r w:rsidR="00982AF4" w:rsidRPr="001E4C94">
        <w:rPr>
          <w:rFonts w:asciiTheme="majorHAnsi" w:hAnsiTheme="majorHAnsi" w:cs="Calibri"/>
          <w:sz w:val="20"/>
          <w:szCs w:val="20"/>
        </w:rPr>
        <w:t>ed facts</w:t>
      </w:r>
      <w:r w:rsidR="00BF7C9D" w:rsidRPr="001E4C94">
        <w:rPr>
          <w:rFonts w:asciiTheme="majorHAnsi" w:hAnsiTheme="majorHAnsi" w:cs="Calibri"/>
          <w:sz w:val="20"/>
          <w:szCs w:val="20"/>
        </w:rPr>
        <w:t xml:space="preserve">. </w:t>
      </w:r>
      <w:r w:rsidR="00460804" w:rsidRPr="001E4C94">
        <w:rPr>
          <w:rFonts w:asciiTheme="majorHAnsi" w:hAnsiTheme="majorHAnsi" w:cs="Calibri"/>
          <w:sz w:val="20"/>
          <w:szCs w:val="20"/>
        </w:rPr>
        <w:t xml:space="preserve">The precedents established by the </w:t>
      </w:r>
      <w:r w:rsidR="00982AF4" w:rsidRPr="001E4C94">
        <w:rPr>
          <w:rFonts w:asciiTheme="majorHAnsi" w:hAnsiTheme="majorHAnsi" w:cs="Calibri"/>
          <w:sz w:val="20"/>
          <w:szCs w:val="20"/>
        </w:rPr>
        <w:t>C</w:t>
      </w:r>
      <w:r w:rsidR="008C0889" w:rsidRPr="001E4C94">
        <w:rPr>
          <w:rFonts w:asciiTheme="majorHAnsi" w:hAnsiTheme="majorHAnsi" w:cs="Calibri"/>
          <w:sz w:val="20"/>
          <w:szCs w:val="20"/>
        </w:rPr>
        <w:t>ommission</w:t>
      </w:r>
      <w:r w:rsidR="00460804" w:rsidRPr="001E4C94">
        <w:rPr>
          <w:rFonts w:asciiTheme="majorHAnsi" w:hAnsiTheme="majorHAnsi" w:cs="Calibri"/>
          <w:sz w:val="20"/>
          <w:szCs w:val="20"/>
        </w:rPr>
        <w:t xml:space="preserve"> </w:t>
      </w:r>
      <w:r w:rsidR="00982AF4" w:rsidRPr="001E4C94">
        <w:rPr>
          <w:rFonts w:asciiTheme="majorHAnsi" w:hAnsiTheme="majorHAnsi" w:cs="Calibri"/>
          <w:sz w:val="20"/>
          <w:szCs w:val="20"/>
        </w:rPr>
        <w:t xml:space="preserve">provide </w:t>
      </w:r>
      <w:r w:rsidR="00460804" w:rsidRPr="001E4C94">
        <w:rPr>
          <w:rFonts w:asciiTheme="majorHAnsi" w:hAnsiTheme="majorHAnsi" w:cs="Calibri"/>
          <w:sz w:val="20"/>
          <w:szCs w:val="20"/>
        </w:rPr>
        <w:t xml:space="preserve">that, </w:t>
      </w:r>
      <w:r>
        <w:rPr>
          <w:rFonts w:asciiTheme="majorHAnsi" w:hAnsiTheme="majorHAnsi"/>
          <w:sz w:val="20"/>
          <w:szCs w:val="20"/>
        </w:rPr>
        <w:t>when a publicly actionable offense is alleged to have been committed, the State has the obligation to institute criminal proceedings and pursue them to their conclusion, and that those proceedings are the suitable means to clarify the facts, to try those responsible, and to establish appropriate criminal penalties, in addition to enabling other forms of financial</w:t>
      </w:r>
      <w:r w:rsidR="00EA0CE2">
        <w:rPr>
          <w:rFonts w:asciiTheme="majorHAnsi" w:hAnsiTheme="majorHAnsi"/>
          <w:sz w:val="20"/>
          <w:szCs w:val="20"/>
        </w:rPr>
        <w:t xml:space="preserve"> reparation</w:t>
      </w:r>
      <w:r w:rsidR="000439A7" w:rsidRPr="001E4C94">
        <w:rPr>
          <w:rFonts w:asciiTheme="majorHAnsi" w:hAnsiTheme="majorHAnsi" w:cs="Calibri"/>
          <w:sz w:val="20"/>
          <w:szCs w:val="20"/>
        </w:rPr>
        <w:t>.</w:t>
      </w:r>
      <w:r w:rsidR="00EC4B58" w:rsidRPr="001E4C94">
        <w:rPr>
          <w:rStyle w:val="FootnoteReference"/>
          <w:rFonts w:asciiTheme="majorHAnsi" w:hAnsiTheme="majorHAnsi" w:cs="Calibri"/>
          <w:sz w:val="20"/>
          <w:szCs w:val="20"/>
        </w:rPr>
        <w:footnoteReference w:id="2"/>
      </w:r>
      <w:r w:rsidR="00EC4B58" w:rsidRPr="001E4C94">
        <w:rPr>
          <w:rFonts w:asciiTheme="majorHAnsi" w:hAnsiTheme="majorHAnsi" w:cs="Calibri"/>
          <w:sz w:val="20"/>
          <w:szCs w:val="20"/>
        </w:rPr>
        <w:t xml:space="preserve"> </w:t>
      </w:r>
      <w:r w:rsidR="000439A7" w:rsidRPr="001E4C94">
        <w:rPr>
          <w:rFonts w:asciiTheme="majorHAnsi" w:hAnsiTheme="majorHAnsi" w:cs="Calibri"/>
          <w:sz w:val="20"/>
          <w:szCs w:val="20"/>
        </w:rPr>
        <w:t>Therefore, given that the facts alleged by the petitioner</w:t>
      </w:r>
      <w:r w:rsidR="00982AF4" w:rsidRPr="001E4C94">
        <w:rPr>
          <w:rFonts w:asciiTheme="majorHAnsi" w:hAnsiTheme="majorHAnsi" w:cs="Calibri"/>
          <w:sz w:val="20"/>
          <w:szCs w:val="20"/>
        </w:rPr>
        <w:t>s</w:t>
      </w:r>
      <w:r w:rsidR="000439A7" w:rsidRPr="001E4C94">
        <w:rPr>
          <w:rFonts w:asciiTheme="majorHAnsi" w:hAnsiTheme="majorHAnsi" w:cs="Calibri"/>
          <w:sz w:val="20"/>
          <w:szCs w:val="20"/>
        </w:rPr>
        <w:t xml:space="preserve"> are crimes prosecutable </w:t>
      </w:r>
      <w:r w:rsidR="00EA0CE2">
        <w:rPr>
          <w:rFonts w:asciiTheme="majorHAnsi" w:hAnsiTheme="majorHAnsi" w:cs="Calibri"/>
          <w:sz w:val="20"/>
          <w:szCs w:val="20"/>
        </w:rPr>
        <w:t>ex officio</w:t>
      </w:r>
      <w:r w:rsidR="000439A7" w:rsidRPr="001E4C94">
        <w:rPr>
          <w:rFonts w:asciiTheme="majorHAnsi" w:hAnsiTheme="majorHAnsi" w:cs="Calibri"/>
          <w:sz w:val="20"/>
          <w:szCs w:val="20"/>
        </w:rPr>
        <w:t>, the domestic proceeding to be exhausted in this case is a criminal investigation to be led and conducted by the State itself</w:t>
      </w:r>
      <w:r w:rsidR="005F22A8" w:rsidRPr="001E4C94">
        <w:rPr>
          <w:rFonts w:asciiTheme="majorHAnsi" w:hAnsiTheme="majorHAnsi"/>
          <w:color w:val="000000"/>
          <w:sz w:val="20"/>
          <w:szCs w:val="20"/>
        </w:rPr>
        <w:t>.</w:t>
      </w:r>
      <w:r w:rsidR="008B50D5">
        <w:rPr>
          <w:rFonts w:asciiTheme="majorHAnsi" w:hAnsiTheme="majorHAnsi"/>
          <w:color w:val="000000"/>
          <w:sz w:val="20"/>
          <w:szCs w:val="20"/>
        </w:rPr>
        <w:t xml:space="preserve"> </w:t>
      </w:r>
    </w:p>
    <w:p w:rsidR="005758BA" w:rsidRPr="001E4C94" w:rsidRDefault="005758BA" w:rsidP="006E4093">
      <w:pPr>
        <w:spacing w:after="0"/>
        <w:jc w:val="both"/>
        <w:rPr>
          <w:rFonts w:asciiTheme="majorHAnsi" w:hAnsiTheme="majorHAnsi"/>
          <w:sz w:val="20"/>
          <w:szCs w:val="20"/>
        </w:rPr>
      </w:pPr>
    </w:p>
    <w:p w:rsidR="001F6D52" w:rsidRPr="001E4C94" w:rsidRDefault="00982AF4"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The C</w:t>
      </w:r>
      <w:r w:rsidR="000439A7" w:rsidRPr="001E4C94">
        <w:rPr>
          <w:rFonts w:asciiTheme="majorHAnsi" w:hAnsiTheme="majorHAnsi"/>
          <w:sz w:val="20"/>
          <w:szCs w:val="20"/>
        </w:rPr>
        <w:t>ommission notes that throughout the processing of the case, the State offered an array of arguments regarding the requirement for prior exhaustion of domestic remedies, which are listed below.</w:t>
      </w:r>
      <w:r w:rsidR="001F6D52"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5F0841" w:rsidRPr="001E4C94" w:rsidRDefault="000439A7"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Firstly, the State </w:t>
      </w:r>
      <w:r w:rsidR="00982AF4" w:rsidRPr="001E4C94">
        <w:rPr>
          <w:rFonts w:asciiTheme="majorHAnsi" w:hAnsiTheme="majorHAnsi"/>
          <w:sz w:val="20"/>
          <w:szCs w:val="20"/>
        </w:rPr>
        <w:t xml:space="preserve">specified </w:t>
      </w:r>
      <w:r w:rsidRPr="001E4C94">
        <w:rPr>
          <w:rFonts w:asciiTheme="majorHAnsi" w:hAnsiTheme="majorHAnsi"/>
          <w:sz w:val="20"/>
          <w:szCs w:val="20"/>
        </w:rPr>
        <w:t>that when authorities became aware of what had alleged</w:t>
      </w:r>
      <w:r w:rsidR="00056402" w:rsidRPr="001E4C94">
        <w:rPr>
          <w:rFonts w:asciiTheme="majorHAnsi" w:hAnsiTheme="majorHAnsi"/>
          <w:sz w:val="20"/>
          <w:szCs w:val="20"/>
        </w:rPr>
        <w:t>ly</w:t>
      </w:r>
      <w:r w:rsidRPr="001E4C94">
        <w:rPr>
          <w:rFonts w:asciiTheme="majorHAnsi" w:hAnsiTheme="majorHAnsi"/>
          <w:sz w:val="20"/>
          <w:szCs w:val="20"/>
        </w:rPr>
        <w:t xml:space="preserve"> happened to </w:t>
      </w:r>
      <w:r w:rsidR="00CD3035" w:rsidRPr="001E4C94">
        <w:rPr>
          <w:rFonts w:asciiTheme="majorHAnsi" w:hAnsiTheme="majorHAnsi"/>
          <w:sz w:val="20"/>
          <w:szCs w:val="20"/>
        </w:rPr>
        <w:t>Juan Fernando Porras Martínez</w:t>
      </w:r>
      <w:r w:rsidR="00DA56DE" w:rsidRPr="001E4C94">
        <w:rPr>
          <w:rFonts w:asciiTheme="majorHAnsi" w:hAnsiTheme="majorHAnsi"/>
          <w:sz w:val="20"/>
          <w:szCs w:val="20"/>
        </w:rPr>
        <w:t>—</w:t>
      </w:r>
      <w:r w:rsidR="001F5805" w:rsidRPr="001E4C94">
        <w:rPr>
          <w:rFonts w:asciiTheme="majorHAnsi" w:hAnsiTheme="majorHAnsi"/>
          <w:sz w:val="20"/>
          <w:szCs w:val="20"/>
        </w:rPr>
        <w:t xml:space="preserve">15 </w:t>
      </w:r>
      <w:r w:rsidR="00AF742A" w:rsidRPr="001E4C94">
        <w:rPr>
          <w:rFonts w:asciiTheme="majorHAnsi" w:hAnsiTheme="majorHAnsi"/>
          <w:sz w:val="20"/>
          <w:szCs w:val="20"/>
        </w:rPr>
        <w:t xml:space="preserve">days after the facts occurred—they “immediately” filed </w:t>
      </w:r>
      <w:r w:rsidR="00056402" w:rsidRPr="001E4C94">
        <w:rPr>
          <w:rFonts w:asciiTheme="majorHAnsi" w:hAnsiTheme="majorHAnsi"/>
          <w:sz w:val="20"/>
          <w:szCs w:val="20"/>
        </w:rPr>
        <w:t xml:space="preserve">a </w:t>
      </w:r>
      <w:r w:rsidR="00AF742A" w:rsidRPr="001E4C94">
        <w:rPr>
          <w:rFonts w:asciiTheme="majorHAnsi" w:hAnsiTheme="majorHAnsi"/>
          <w:sz w:val="20"/>
          <w:szCs w:val="20"/>
        </w:rPr>
        <w:t>report o</w:t>
      </w:r>
      <w:r w:rsidR="00056402" w:rsidRPr="001E4C94">
        <w:rPr>
          <w:rFonts w:asciiTheme="majorHAnsi" w:hAnsiTheme="majorHAnsi"/>
          <w:sz w:val="20"/>
          <w:szCs w:val="20"/>
        </w:rPr>
        <w:t>f</w:t>
      </w:r>
      <w:r w:rsidR="00AF742A" w:rsidRPr="001E4C94">
        <w:rPr>
          <w:rFonts w:asciiTheme="majorHAnsi" w:hAnsiTheme="majorHAnsi"/>
          <w:sz w:val="20"/>
          <w:szCs w:val="20"/>
        </w:rPr>
        <w:t xml:space="preserve"> his disappearance</w:t>
      </w:r>
      <w:r w:rsidR="00BF7C9D" w:rsidRPr="001E4C94">
        <w:rPr>
          <w:rFonts w:asciiTheme="majorHAnsi" w:hAnsiTheme="majorHAnsi"/>
          <w:sz w:val="20"/>
          <w:szCs w:val="20"/>
        </w:rPr>
        <w:t xml:space="preserve">. </w:t>
      </w:r>
      <w:r w:rsidR="00056402" w:rsidRPr="001E4C94">
        <w:rPr>
          <w:rFonts w:asciiTheme="majorHAnsi" w:hAnsiTheme="majorHAnsi"/>
          <w:sz w:val="20"/>
          <w:szCs w:val="20"/>
        </w:rPr>
        <w:t>As part of</w:t>
      </w:r>
      <w:r w:rsidR="00AF742A" w:rsidRPr="001E4C94">
        <w:rPr>
          <w:rFonts w:asciiTheme="majorHAnsi" w:hAnsiTheme="majorHAnsi"/>
          <w:sz w:val="20"/>
          <w:szCs w:val="20"/>
        </w:rPr>
        <w:t xml:space="preserve"> the steps taken </w:t>
      </w:r>
      <w:r w:rsidR="00056402" w:rsidRPr="001E4C94">
        <w:rPr>
          <w:rFonts w:asciiTheme="majorHAnsi" w:hAnsiTheme="majorHAnsi"/>
          <w:sz w:val="20"/>
          <w:szCs w:val="20"/>
        </w:rPr>
        <w:t>in relation</w:t>
      </w:r>
      <w:r w:rsidR="00AF742A" w:rsidRPr="001E4C94">
        <w:rPr>
          <w:rFonts w:asciiTheme="majorHAnsi" w:hAnsiTheme="majorHAnsi"/>
          <w:sz w:val="20"/>
          <w:szCs w:val="20"/>
        </w:rPr>
        <w:t xml:space="preserve"> to said report, investigators purportedly made some inquiries and gathered evidence, but </w:t>
      </w:r>
      <w:r w:rsidR="00056402" w:rsidRPr="001E4C94">
        <w:rPr>
          <w:rFonts w:asciiTheme="majorHAnsi" w:hAnsiTheme="majorHAnsi"/>
          <w:sz w:val="20"/>
          <w:szCs w:val="20"/>
        </w:rPr>
        <w:t>always c</w:t>
      </w:r>
      <w:r w:rsidR="002467C3" w:rsidRPr="001E4C94">
        <w:rPr>
          <w:rFonts w:asciiTheme="majorHAnsi" w:hAnsiTheme="majorHAnsi"/>
          <w:sz w:val="20"/>
          <w:szCs w:val="20"/>
        </w:rPr>
        <w:t>a</w:t>
      </w:r>
      <w:r w:rsidR="00056402" w:rsidRPr="001E4C94">
        <w:rPr>
          <w:rFonts w:asciiTheme="majorHAnsi" w:hAnsiTheme="majorHAnsi"/>
          <w:sz w:val="20"/>
          <w:szCs w:val="20"/>
        </w:rPr>
        <w:t xml:space="preserve">me up </w:t>
      </w:r>
      <w:r w:rsidR="002467C3" w:rsidRPr="001E4C94">
        <w:rPr>
          <w:rFonts w:asciiTheme="majorHAnsi" w:hAnsiTheme="majorHAnsi"/>
          <w:sz w:val="20"/>
          <w:szCs w:val="20"/>
        </w:rPr>
        <w:t>with nothing</w:t>
      </w:r>
      <w:r w:rsidR="00AF742A" w:rsidRPr="001E4C94">
        <w:rPr>
          <w:rFonts w:asciiTheme="majorHAnsi" w:hAnsiTheme="majorHAnsi"/>
          <w:sz w:val="20"/>
          <w:szCs w:val="20"/>
        </w:rPr>
        <w:t xml:space="preserve">. Furthermore, the State </w:t>
      </w:r>
      <w:r w:rsidR="002467C3" w:rsidRPr="001E4C94">
        <w:rPr>
          <w:rFonts w:asciiTheme="majorHAnsi" w:hAnsiTheme="majorHAnsi"/>
          <w:sz w:val="20"/>
          <w:szCs w:val="20"/>
        </w:rPr>
        <w:t>contended that</w:t>
      </w:r>
      <w:r w:rsidR="00AF742A" w:rsidRPr="001E4C94">
        <w:rPr>
          <w:rFonts w:asciiTheme="majorHAnsi" w:hAnsiTheme="majorHAnsi"/>
          <w:sz w:val="20"/>
          <w:szCs w:val="20"/>
        </w:rPr>
        <w:t xml:space="preserve"> it had </w:t>
      </w:r>
      <w:r w:rsidR="00C3012C" w:rsidRPr="001E4C94">
        <w:rPr>
          <w:rFonts w:asciiTheme="majorHAnsi" w:hAnsiTheme="majorHAnsi"/>
          <w:sz w:val="20"/>
          <w:szCs w:val="20"/>
        </w:rPr>
        <w:t xml:space="preserve">examined and conducted forensic testing on a corpse found in the Department of Santander, but had </w:t>
      </w:r>
      <w:r w:rsidR="00056402" w:rsidRPr="001E4C94">
        <w:rPr>
          <w:rFonts w:asciiTheme="majorHAnsi" w:hAnsiTheme="majorHAnsi"/>
          <w:sz w:val="20"/>
          <w:szCs w:val="20"/>
        </w:rPr>
        <w:t>concluded</w:t>
      </w:r>
      <w:r w:rsidR="00C3012C" w:rsidRPr="001E4C94">
        <w:rPr>
          <w:rFonts w:asciiTheme="majorHAnsi" w:hAnsiTheme="majorHAnsi"/>
          <w:sz w:val="20"/>
          <w:szCs w:val="20"/>
        </w:rPr>
        <w:t xml:space="preserve"> </w:t>
      </w:r>
      <w:r w:rsidR="002D548F" w:rsidRPr="001E4C94">
        <w:rPr>
          <w:rFonts w:asciiTheme="majorHAnsi" w:hAnsiTheme="majorHAnsi"/>
          <w:sz w:val="20"/>
          <w:szCs w:val="20"/>
        </w:rPr>
        <w:t>it was not the alleged victim</w:t>
      </w:r>
      <w:r w:rsidR="00BF7C9D" w:rsidRPr="001E4C94">
        <w:rPr>
          <w:rFonts w:asciiTheme="majorHAnsi" w:hAnsiTheme="majorHAnsi"/>
          <w:sz w:val="20"/>
          <w:szCs w:val="20"/>
        </w:rPr>
        <w:t xml:space="preserve">. </w:t>
      </w:r>
      <w:r w:rsidR="002D548F" w:rsidRPr="001E4C94">
        <w:rPr>
          <w:rFonts w:asciiTheme="majorHAnsi" w:hAnsiTheme="majorHAnsi"/>
          <w:sz w:val="20"/>
          <w:szCs w:val="20"/>
        </w:rPr>
        <w:t xml:space="preserve">The State </w:t>
      </w:r>
      <w:r w:rsidR="00056402" w:rsidRPr="001E4C94">
        <w:rPr>
          <w:rFonts w:asciiTheme="majorHAnsi" w:hAnsiTheme="majorHAnsi"/>
          <w:sz w:val="20"/>
          <w:szCs w:val="20"/>
        </w:rPr>
        <w:t xml:space="preserve">then indicated </w:t>
      </w:r>
      <w:r w:rsidR="002D548F" w:rsidRPr="001E4C94">
        <w:rPr>
          <w:rFonts w:asciiTheme="majorHAnsi" w:hAnsiTheme="majorHAnsi"/>
          <w:sz w:val="20"/>
          <w:szCs w:val="20"/>
        </w:rPr>
        <w:t xml:space="preserve">that given </w:t>
      </w:r>
      <w:r w:rsidR="00056402" w:rsidRPr="001E4C94">
        <w:rPr>
          <w:rFonts w:asciiTheme="majorHAnsi" w:hAnsiTheme="majorHAnsi"/>
          <w:sz w:val="20"/>
          <w:szCs w:val="20"/>
        </w:rPr>
        <w:t xml:space="preserve">all </w:t>
      </w:r>
      <w:r w:rsidR="002D548F" w:rsidRPr="001E4C94">
        <w:rPr>
          <w:rFonts w:asciiTheme="majorHAnsi" w:hAnsiTheme="majorHAnsi"/>
          <w:sz w:val="20"/>
          <w:szCs w:val="20"/>
        </w:rPr>
        <w:t>the foregoing evidence, and in keeping with the domestic provision</w:t>
      </w:r>
      <w:r w:rsidR="002467C3" w:rsidRPr="001E4C94">
        <w:rPr>
          <w:rFonts w:asciiTheme="majorHAnsi" w:hAnsiTheme="majorHAnsi"/>
          <w:sz w:val="20"/>
          <w:szCs w:val="20"/>
        </w:rPr>
        <w:t>s</w:t>
      </w:r>
      <w:r w:rsidR="002D548F" w:rsidRPr="001E4C94">
        <w:rPr>
          <w:rFonts w:asciiTheme="majorHAnsi" w:hAnsiTheme="majorHAnsi"/>
          <w:sz w:val="20"/>
          <w:szCs w:val="20"/>
        </w:rPr>
        <w:t xml:space="preserve"> of law in force at that time</w:t>
      </w:r>
      <w:r w:rsidR="00056402" w:rsidRPr="001E4C94">
        <w:rPr>
          <w:rFonts w:asciiTheme="majorHAnsi" w:hAnsiTheme="majorHAnsi"/>
          <w:sz w:val="20"/>
          <w:szCs w:val="20"/>
        </w:rPr>
        <w:t>, on March 27, 1992, Bucaramanga’s Fifth C</w:t>
      </w:r>
      <w:r w:rsidR="002D548F" w:rsidRPr="001E4C94">
        <w:rPr>
          <w:rFonts w:asciiTheme="majorHAnsi" w:hAnsiTheme="majorHAnsi"/>
          <w:sz w:val="20"/>
          <w:szCs w:val="20"/>
        </w:rPr>
        <w:t>ourt of Criminal In</w:t>
      </w:r>
      <w:r w:rsidR="00056402" w:rsidRPr="001E4C94">
        <w:rPr>
          <w:rFonts w:asciiTheme="majorHAnsi" w:hAnsiTheme="majorHAnsi"/>
          <w:sz w:val="20"/>
          <w:szCs w:val="20"/>
        </w:rPr>
        <w:t>quiry</w:t>
      </w:r>
      <w:r w:rsidR="002D548F" w:rsidRPr="001E4C94">
        <w:rPr>
          <w:rFonts w:asciiTheme="majorHAnsi" w:hAnsiTheme="majorHAnsi"/>
          <w:sz w:val="20"/>
          <w:szCs w:val="20"/>
        </w:rPr>
        <w:t xml:space="preserve"> </w:t>
      </w:r>
      <w:r w:rsidR="00056402" w:rsidRPr="001E4C94">
        <w:rPr>
          <w:rFonts w:asciiTheme="majorHAnsi" w:hAnsiTheme="majorHAnsi"/>
          <w:sz w:val="20"/>
          <w:szCs w:val="20"/>
        </w:rPr>
        <w:t xml:space="preserve">ruled </w:t>
      </w:r>
      <w:r w:rsidR="00132EE5" w:rsidRPr="001E4C94">
        <w:rPr>
          <w:rFonts w:asciiTheme="majorHAnsi" w:hAnsiTheme="majorHAnsi"/>
          <w:sz w:val="20"/>
          <w:szCs w:val="20"/>
        </w:rPr>
        <w:t>that it declined to continue</w:t>
      </w:r>
      <w:r w:rsidR="002D548F" w:rsidRPr="001E4C94">
        <w:rPr>
          <w:rFonts w:asciiTheme="majorHAnsi" w:hAnsiTheme="majorHAnsi"/>
          <w:sz w:val="20"/>
          <w:szCs w:val="20"/>
        </w:rPr>
        <w:t xml:space="preserve"> its preliminary investigation and order</w:t>
      </w:r>
      <w:r w:rsidR="00132EE5" w:rsidRPr="001E4C94">
        <w:rPr>
          <w:rFonts w:asciiTheme="majorHAnsi" w:hAnsiTheme="majorHAnsi"/>
          <w:sz w:val="20"/>
          <w:szCs w:val="20"/>
        </w:rPr>
        <w:t>ed</w:t>
      </w:r>
      <w:r w:rsidR="002D548F" w:rsidRPr="001E4C94">
        <w:rPr>
          <w:rFonts w:asciiTheme="majorHAnsi" w:hAnsiTheme="majorHAnsi"/>
          <w:sz w:val="20"/>
          <w:szCs w:val="20"/>
        </w:rPr>
        <w:t xml:space="preserve"> the </w:t>
      </w:r>
      <w:r w:rsidR="00132EE5" w:rsidRPr="001E4C94">
        <w:rPr>
          <w:rFonts w:asciiTheme="majorHAnsi" w:hAnsiTheme="majorHAnsi"/>
          <w:sz w:val="20"/>
          <w:szCs w:val="20"/>
        </w:rPr>
        <w:t>case</w:t>
      </w:r>
      <w:r w:rsidR="00435160" w:rsidRPr="001E4C94">
        <w:rPr>
          <w:rFonts w:asciiTheme="majorHAnsi" w:hAnsiTheme="majorHAnsi"/>
          <w:sz w:val="20"/>
          <w:szCs w:val="20"/>
        </w:rPr>
        <w:t xml:space="preserve"> to </w:t>
      </w:r>
      <w:r w:rsidR="002D548F" w:rsidRPr="001E4C94">
        <w:rPr>
          <w:rFonts w:asciiTheme="majorHAnsi" w:hAnsiTheme="majorHAnsi"/>
          <w:sz w:val="20"/>
          <w:szCs w:val="20"/>
        </w:rPr>
        <w:t xml:space="preserve">be </w:t>
      </w:r>
      <w:r w:rsidR="00584C83">
        <w:rPr>
          <w:rFonts w:asciiTheme="majorHAnsi" w:hAnsiTheme="majorHAnsi"/>
          <w:sz w:val="20"/>
          <w:szCs w:val="20"/>
        </w:rPr>
        <w:t>archived</w:t>
      </w:r>
      <w:r w:rsidR="002D548F" w:rsidRPr="001E4C94">
        <w:rPr>
          <w:rFonts w:asciiTheme="majorHAnsi" w:hAnsiTheme="majorHAnsi"/>
          <w:sz w:val="20"/>
          <w:szCs w:val="20"/>
        </w:rPr>
        <w:t>.</w:t>
      </w:r>
      <w:r w:rsidR="00441877"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864378" w:rsidRPr="001E4C94" w:rsidRDefault="002D548F"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According to the State, </w:t>
      </w:r>
      <w:r w:rsidR="00132EE5" w:rsidRPr="001E4C94">
        <w:rPr>
          <w:rFonts w:asciiTheme="majorHAnsi" w:hAnsiTheme="majorHAnsi"/>
          <w:sz w:val="20"/>
          <w:szCs w:val="20"/>
        </w:rPr>
        <w:t>such</w:t>
      </w:r>
      <w:r w:rsidRPr="001E4C94">
        <w:rPr>
          <w:rFonts w:asciiTheme="majorHAnsi" w:hAnsiTheme="majorHAnsi"/>
          <w:sz w:val="20"/>
          <w:szCs w:val="20"/>
        </w:rPr>
        <w:t xml:space="preserve"> </w:t>
      </w:r>
      <w:r w:rsidR="007E6590" w:rsidRPr="001E4C94">
        <w:rPr>
          <w:rFonts w:asciiTheme="majorHAnsi" w:hAnsiTheme="majorHAnsi"/>
          <w:sz w:val="20"/>
          <w:szCs w:val="20"/>
        </w:rPr>
        <w:t xml:space="preserve">a </w:t>
      </w:r>
      <w:r w:rsidRPr="001E4C94">
        <w:rPr>
          <w:rFonts w:asciiTheme="majorHAnsi" w:hAnsiTheme="majorHAnsi"/>
          <w:sz w:val="20"/>
          <w:szCs w:val="20"/>
        </w:rPr>
        <w:t xml:space="preserve">procedural decision “is a </w:t>
      </w:r>
      <w:r w:rsidR="008C0889" w:rsidRPr="001E4C94">
        <w:rPr>
          <w:rFonts w:asciiTheme="majorHAnsi" w:hAnsiTheme="majorHAnsi"/>
          <w:sz w:val="20"/>
          <w:szCs w:val="20"/>
        </w:rPr>
        <w:t>decision</w:t>
      </w:r>
      <w:r w:rsidRPr="001E4C94">
        <w:rPr>
          <w:rFonts w:asciiTheme="majorHAnsi" w:hAnsiTheme="majorHAnsi"/>
          <w:sz w:val="20"/>
          <w:szCs w:val="20"/>
        </w:rPr>
        <w:t xml:space="preserve"> that </w:t>
      </w:r>
      <w:r w:rsidR="00132EE5" w:rsidRPr="001E4C94">
        <w:rPr>
          <w:rFonts w:asciiTheme="majorHAnsi" w:hAnsiTheme="majorHAnsi"/>
          <w:sz w:val="20"/>
          <w:szCs w:val="20"/>
        </w:rPr>
        <w:t xml:space="preserve">has the force of </w:t>
      </w:r>
      <w:r w:rsidRPr="001E4C94">
        <w:rPr>
          <w:rFonts w:asciiTheme="majorHAnsi" w:hAnsiTheme="majorHAnsi"/>
          <w:i/>
          <w:sz w:val="20"/>
          <w:szCs w:val="20"/>
        </w:rPr>
        <w:t>res judicata</w:t>
      </w:r>
      <w:r w:rsidRPr="001E4C94">
        <w:rPr>
          <w:rFonts w:asciiTheme="majorHAnsi" w:hAnsiTheme="majorHAnsi"/>
          <w:sz w:val="20"/>
          <w:szCs w:val="20"/>
        </w:rPr>
        <w:t xml:space="preserve">, without actually becoming </w:t>
      </w:r>
      <w:r w:rsidRPr="001E4C94">
        <w:rPr>
          <w:rFonts w:asciiTheme="majorHAnsi" w:hAnsiTheme="majorHAnsi"/>
          <w:i/>
          <w:sz w:val="20"/>
          <w:szCs w:val="20"/>
        </w:rPr>
        <w:t>res judicata</w:t>
      </w:r>
      <w:r w:rsidR="006D336C" w:rsidRPr="001E4C94">
        <w:rPr>
          <w:rFonts w:asciiTheme="majorHAnsi" w:hAnsiTheme="majorHAnsi"/>
          <w:sz w:val="20"/>
          <w:szCs w:val="20"/>
        </w:rPr>
        <w:t>” (sic),</w:t>
      </w:r>
      <w:r w:rsidR="00441877" w:rsidRPr="001E4C94">
        <w:rPr>
          <w:rFonts w:asciiTheme="majorHAnsi" w:hAnsiTheme="majorHAnsi"/>
          <w:sz w:val="20"/>
          <w:szCs w:val="20"/>
        </w:rPr>
        <w:t xml:space="preserve"> </w:t>
      </w:r>
      <w:r w:rsidR="00862D25" w:rsidRPr="001E4C94">
        <w:rPr>
          <w:rFonts w:asciiTheme="majorHAnsi" w:hAnsiTheme="majorHAnsi"/>
          <w:sz w:val="20"/>
          <w:szCs w:val="20"/>
        </w:rPr>
        <w:t>which is why the decision would</w:t>
      </w:r>
      <w:r w:rsidR="00132EE5" w:rsidRPr="001E4C94">
        <w:rPr>
          <w:rFonts w:asciiTheme="majorHAnsi" w:hAnsiTheme="majorHAnsi"/>
          <w:sz w:val="20"/>
          <w:szCs w:val="20"/>
        </w:rPr>
        <w:t xml:space="preserve"> </w:t>
      </w:r>
      <w:r w:rsidR="00862D25" w:rsidRPr="001E4C94">
        <w:rPr>
          <w:rFonts w:asciiTheme="majorHAnsi" w:hAnsiTheme="majorHAnsi"/>
          <w:sz w:val="20"/>
          <w:szCs w:val="20"/>
        </w:rPr>
        <w:t>put an end to the inquiry</w:t>
      </w:r>
      <w:r w:rsidR="00584C83">
        <w:rPr>
          <w:rFonts w:asciiTheme="majorHAnsi" w:hAnsiTheme="majorHAnsi"/>
          <w:sz w:val="20"/>
          <w:szCs w:val="20"/>
        </w:rPr>
        <w:t xml:space="preserve"> only </w:t>
      </w:r>
      <w:r w:rsidR="00584C83" w:rsidRPr="001E4C94">
        <w:rPr>
          <w:rFonts w:asciiTheme="majorHAnsi" w:hAnsiTheme="majorHAnsi"/>
          <w:sz w:val="20"/>
          <w:szCs w:val="20"/>
        </w:rPr>
        <w:t>“temporarily”</w:t>
      </w:r>
      <w:r w:rsidR="00862D25" w:rsidRPr="001E4C94">
        <w:rPr>
          <w:rFonts w:asciiTheme="majorHAnsi" w:hAnsiTheme="majorHAnsi"/>
          <w:sz w:val="20"/>
          <w:szCs w:val="20"/>
        </w:rPr>
        <w:t>. Indeed</w:t>
      </w:r>
      <w:r w:rsidR="00132EE5" w:rsidRPr="001E4C94">
        <w:rPr>
          <w:rFonts w:asciiTheme="majorHAnsi" w:hAnsiTheme="majorHAnsi"/>
          <w:sz w:val="20"/>
          <w:szCs w:val="20"/>
        </w:rPr>
        <w:t xml:space="preserve">, although </w:t>
      </w:r>
      <w:r w:rsidR="00862D25" w:rsidRPr="001E4C94">
        <w:rPr>
          <w:rFonts w:asciiTheme="majorHAnsi" w:hAnsiTheme="majorHAnsi"/>
          <w:sz w:val="20"/>
          <w:szCs w:val="20"/>
        </w:rPr>
        <w:t xml:space="preserve">the decision </w:t>
      </w:r>
      <w:r w:rsidR="00132EE5" w:rsidRPr="001E4C94">
        <w:rPr>
          <w:rFonts w:asciiTheme="majorHAnsi" w:hAnsiTheme="majorHAnsi"/>
          <w:sz w:val="20"/>
          <w:szCs w:val="20"/>
        </w:rPr>
        <w:t xml:space="preserve">was final, it </w:t>
      </w:r>
      <w:r w:rsidR="00862D25" w:rsidRPr="001E4C94">
        <w:rPr>
          <w:rFonts w:asciiTheme="majorHAnsi" w:hAnsiTheme="majorHAnsi"/>
          <w:sz w:val="20"/>
          <w:szCs w:val="20"/>
        </w:rPr>
        <w:t xml:space="preserve">could be </w:t>
      </w:r>
      <w:r w:rsidR="00132EE5" w:rsidRPr="001E4C94">
        <w:rPr>
          <w:rFonts w:asciiTheme="majorHAnsi" w:hAnsiTheme="majorHAnsi"/>
          <w:sz w:val="20"/>
          <w:szCs w:val="20"/>
        </w:rPr>
        <w:t>reversed</w:t>
      </w:r>
      <w:r w:rsidR="00862D25" w:rsidRPr="001E4C94">
        <w:rPr>
          <w:rFonts w:asciiTheme="majorHAnsi" w:hAnsiTheme="majorHAnsi"/>
          <w:sz w:val="20"/>
          <w:szCs w:val="20"/>
        </w:rPr>
        <w:t xml:space="preserve"> </w:t>
      </w:r>
      <w:r w:rsidR="00132EE5" w:rsidRPr="001E4C94">
        <w:rPr>
          <w:rFonts w:asciiTheme="majorHAnsi" w:hAnsiTheme="majorHAnsi"/>
          <w:sz w:val="20"/>
          <w:szCs w:val="20"/>
        </w:rPr>
        <w:t xml:space="preserve">of </w:t>
      </w:r>
      <w:r w:rsidR="002467C3" w:rsidRPr="001E4C94">
        <w:rPr>
          <w:rFonts w:asciiTheme="majorHAnsi" w:hAnsiTheme="majorHAnsi"/>
          <w:sz w:val="20"/>
          <w:szCs w:val="20"/>
        </w:rPr>
        <w:t xml:space="preserve">legal </w:t>
      </w:r>
      <w:r w:rsidR="00132EE5" w:rsidRPr="001E4C94">
        <w:rPr>
          <w:rFonts w:asciiTheme="majorHAnsi" w:hAnsiTheme="majorHAnsi"/>
          <w:sz w:val="20"/>
          <w:szCs w:val="20"/>
        </w:rPr>
        <w:t xml:space="preserve">authorities’ own motion </w:t>
      </w:r>
      <w:r w:rsidR="00862D25" w:rsidRPr="001E4C94">
        <w:rPr>
          <w:rFonts w:asciiTheme="majorHAnsi" w:hAnsiTheme="majorHAnsi"/>
          <w:sz w:val="20"/>
          <w:szCs w:val="20"/>
        </w:rPr>
        <w:t xml:space="preserve">or upon request of the plaintiff or complainant, provided that new evidence was found </w:t>
      </w:r>
      <w:r w:rsidR="00584C83">
        <w:rPr>
          <w:rFonts w:asciiTheme="majorHAnsi" w:hAnsiTheme="majorHAnsi"/>
          <w:sz w:val="20"/>
          <w:szCs w:val="20"/>
        </w:rPr>
        <w:t>so as to</w:t>
      </w:r>
      <w:r w:rsidR="00862D25" w:rsidRPr="001E4C94">
        <w:rPr>
          <w:rFonts w:asciiTheme="majorHAnsi" w:hAnsiTheme="majorHAnsi"/>
          <w:sz w:val="20"/>
          <w:szCs w:val="20"/>
        </w:rPr>
        <w:t xml:space="preserve"> nullif</w:t>
      </w:r>
      <w:r w:rsidR="00584C83">
        <w:rPr>
          <w:rFonts w:asciiTheme="majorHAnsi" w:hAnsiTheme="majorHAnsi"/>
          <w:sz w:val="20"/>
          <w:szCs w:val="20"/>
        </w:rPr>
        <w:t xml:space="preserve">y </w:t>
      </w:r>
      <w:r w:rsidR="00862D25" w:rsidRPr="001E4C94">
        <w:rPr>
          <w:rFonts w:asciiTheme="majorHAnsi" w:hAnsiTheme="majorHAnsi"/>
          <w:sz w:val="20"/>
          <w:szCs w:val="20"/>
        </w:rPr>
        <w:t xml:space="preserve">the grounds </w:t>
      </w:r>
      <w:r w:rsidR="002467C3" w:rsidRPr="001E4C94">
        <w:rPr>
          <w:rFonts w:asciiTheme="majorHAnsi" w:hAnsiTheme="majorHAnsi"/>
          <w:sz w:val="20"/>
          <w:szCs w:val="20"/>
        </w:rPr>
        <w:t>based on</w:t>
      </w:r>
      <w:r w:rsidR="00862D25" w:rsidRPr="001E4C94">
        <w:rPr>
          <w:rFonts w:asciiTheme="majorHAnsi" w:hAnsiTheme="majorHAnsi"/>
          <w:sz w:val="20"/>
          <w:szCs w:val="20"/>
        </w:rPr>
        <w:t xml:space="preserve"> which it was issued</w:t>
      </w:r>
      <w:r w:rsidR="00BF7C9D" w:rsidRPr="001E4C94">
        <w:rPr>
          <w:rFonts w:asciiTheme="majorHAnsi" w:hAnsiTheme="majorHAnsi"/>
          <w:sz w:val="20"/>
          <w:szCs w:val="20"/>
        </w:rPr>
        <w:t xml:space="preserve">. </w:t>
      </w:r>
      <w:r w:rsidR="00862D25" w:rsidRPr="001E4C94">
        <w:rPr>
          <w:rFonts w:asciiTheme="majorHAnsi" w:hAnsiTheme="majorHAnsi"/>
          <w:sz w:val="20"/>
          <w:szCs w:val="20"/>
        </w:rPr>
        <w:t xml:space="preserve">Along these same lines, the State reported that on March 15, 2007, </w:t>
      </w:r>
      <w:r w:rsidR="001E1002" w:rsidRPr="001E4C94">
        <w:rPr>
          <w:rFonts w:asciiTheme="majorHAnsi" w:hAnsiTheme="majorHAnsi"/>
          <w:sz w:val="20"/>
          <w:szCs w:val="20"/>
        </w:rPr>
        <w:t>the Prosecutor</w:t>
      </w:r>
      <w:r w:rsidR="00132EE5" w:rsidRPr="001E4C94">
        <w:rPr>
          <w:rFonts w:asciiTheme="majorHAnsi" w:hAnsiTheme="majorHAnsi"/>
          <w:sz w:val="20"/>
          <w:szCs w:val="20"/>
        </w:rPr>
        <w:t>’</w:t>
      </w:r>
      <w:r w:rsidR="001E1002" w:rsidRPr="001E4C94">
        <w:rPr>
          <w:rFonts w:asciiTheme="majorHAnsi" w:hAnsiTheme="majorHAnsi"/>
          <w:sz w:val="20"/>
          <w:szCs w:val="20"/>
        </w:rPr>
        <w:t>s Office</w:t>
      </w:r>
      <w:r w:rsidR="00862D25" w:rsidRPr="001E4C94">
        <w:rPr>
          <w:rFonts w:asciiTheme="majorHAnsi" w:hAnsiTheme="majorHAnsi"/>
          <w:sz w:val="20"/>
          <w:szCs w:val="20"/>
        </w:rPr>
        <w:t xml:space="preserve"> decided that “there were no </w:t>
      </w:r>
      <w:r w:rsidR="00435160" w:rsidRPr="001E4C94">
        <w:rPr>
          <w:rFonts w:asciiTheme="majorHAnsi" w:hAnsiTheme="majorHAnsi"/>
          <w:sz w:val="20"/>
          <w:szCs w:val="20"/>
        </w:rPr>
        <w:t xml:space="preserve">legal </w:t>
      </w:r>
      <w:r w:rsidR="00862D25" w:rsidRPr="001E4C94">
        <w:rPr>
          <w:rFonts w:asciiTheme="majorHAnsi" w:hAnsiTheme="majorHAnsi"/>
          <w:sz w:val="20"/>
          <w:szCs w:val="20"/>
        </w:rPr>
        <w:t>grounds (new evidence) that justified reopening the investigation.”</w:t>
      </w:r>
      <w:r w:rsidR="005F0841" w:rsidRPr="001E4C94">
        <w:rPr>
          <w:rStyle w:val="FootnoteReference"/>
          <w:rFonts w:asciiTheme="majorHAnsi" w:hAnsiTheme="majorHAnsi"/>
          <w:sz w:val="20"/>
          <w:szCs w:val="20"/>
        </w:rPr>
        <w:footnoteReference w:id="3"/>
      </w:r>
      <w:r w:rsidR="00CE63E3" w:rsidRPr="001E4C94">
        <w:rPr>
          <w:rFonts w:asciiTheme="majorHAnsi" w:hAnsiTheme="majorHAnsi"/>
          <w:sz w:val="20"/>
          <w:szCs w:val="20"/>
        </w:rPr>
        <w:t xml:space="preserve"> </w:t>
      </w:r>
      <w:r w:rsidR="00862D25" w:rsidRPr="001E4C94">
        <w:rPr>
          <w:rFonts w:asciiTheme="majorHAnsi" w:hAnsiTheme="majorHAnsi"/>
          <w:sz w:val="20"/>
          <w:szCs w:val="20"/>
        </w:rPr>
        <w:t xml:space="preserve">Based thereon, </w:t>
      </w:r>
      <w:r w:rsidR="00A1217E" w:rsidRPr="001E4C94">
        <w:rPr>
          <w:rFonts w:asciiTheme="majorHAnsi" w:hAnsiTheme="majorHAnsi"/>
          <w:sz w:val="20"/>
          <w:szCs w:val="20"/>
        </w:rPr>
        <w:t xml:space="preserve">in its observations sent on June 10, 2009, </w:t>
      </w:r>
      <w:r w:rsidR="00132EE5" w:rsidRPr="001E4C94">
        <w:rPr>
          <w:rFonts w:asciiTheme="majorHAnsi" w:hAnsiTheme="majorHAnsi"/>
          <w:sz w:val="20"/>
          <w:szCs w:val="20"/>
        </w:rPr>
        <w:t>the State requested</w:t>
      </w:r>
      <w:r w:rsidR="00862D25" w:rsidRPr="001E4C94">
        <w:rPr>
          <w:rFonts w:asciiTheme="majorHAnsi" w:hAnsiTheme="majorHAnsi"/>
          <w:sz w:val="20"/>
          <w:szCs w:val="20"/>
        </w:rPr>
        <w:t xml:space="preserve"> that the IACHR</w:t>
      </w:r>
      <w:r w:rsidR="004A6ADE" w:rsidRPr="001E4C94">
        <w:rPr>
          <w:rFonts w:asciiTheme="majorHAnsi" w:hAnsiTheme="majorHAnsi"/>
          <w:sz w:val="20"/>
          <w:szCs w:val="20"/>
        </w:rPr>
        <w:t>:</w:t>
      </w:r>
      <w:r w:rsidR="00864378" w:rsidRPr="001E4C94">
        <w:rPr>
          <w:rFonts w:asciiTheme="majorHAnsi" w:hAnsiTheme="majorHAnsi"/>
          <w:sz w:val="20"/>
          <w:szCs w:val="20"/>
        </w:rPr>
        <w:t xml:space="preserve"> </w:t>
      </w:r>
    </w:p>
    <w:p w:rsidR="005758BA" w:rsidRPr="001E4C94" w:rsidRDefault="005758BA" w:rsidP="006E4093">
      <w:pPr>
        <w:spacing w:after="0"/>
        <w:ind w:left="720"/>
        <w:jc w:val="both"/>
        <w:rPr>
          <w:rFonts w:asciiTheme="majorHAnsi" w:hAnsiTheme="majorHAnsi"/>
          <w:sz w:val="20"/>
          <w:szCs w:val="20"/>
        </w:rPr>
      </w:pPr>
    </w:p>
    <w:p w:rsidR="00864378" w:rsidRPr="0094595A" w:rsidRDefault="00862D25" w:rsidP="006E4093">
      <w:pPr>
        <w:tabs>
          <w:tab w:val="left" w:pos="8640"/>
        </w:tabs>
        <w:spacing w:after="0"/>
        <w:ind w:left="720" w:right="720"/>
        <w:jc w:val="both"/>
        <w:rPr>
          <w:rFonts w:asciiTheme="majorHAnsi" w:hAnsiTheme="majorHAnsi"/>
          <w:sz w:val="20"/>
          <w:szCs w:val="20"/>
        </w:rPr>
      </w:pPr>
      <w:r w:rsidRPr="0094595A">
        <w:rPr>
          <w:rFonts w:asciiTheme="majorHAnsi" w:hAnsiTheme="majorHAnsi"/>
          <w:sz w:val="20"/>
          <w:szCs w:val="20"/>
        </w:rPr>
        <w:t xml:space="preserve">Declare, pursuant to </w:t>
      </w:r>
      <w:r w:rsidR="008B50D5" w:rsidRPr="0094595A">
        <w:rPr>
          <w:rFonts w:asciiTheme="majorHAnsi" w:hAnsiTheme="majorHAnsi"/>
          <w:sz w:val="20"/>
          <w:szCs w:val="20"/>
        </w:rPr>
        <w:t xml:space="preserve">article </w:t>
      </w:r>
      <w:r w:rsidRPr="0094595A">
        <w:rPr>
          <w:rFonts w:asciiTheme="majorHAnsi" w:hAnsiTheme="majorHAnsi"/>
          <w:sz w:val="20"/>
          <w:szCs w:val="20"/>
        </w:rPr>
        <w:t>46(1)(</w:t>
      </w:r>
      <w:r w:rsidR="00864378" w:rsidRPr="0094595A">
        <w:rPr>
          <w:rFonts w:asciiTheme="majorHAnsi" w:hAnsiTheme="majorHAnsi"/>
          <w:sz w:val="20"/>
          <w:szCs w:val="20"/>
        </w:rPr>
        <w:t>a</w:t>
      </w:r>
      <w:r w:rsidRPr="0094595A">
        <w:rPr>
          <w:rFonts w:asciiTheme="majorHAnsi" w:hAnsiTheme="majorHAnsi"/>
          <w:sz w:val="20"/>
          <w:szCs w:val="20"/>
        </w:rPr>
        <w:t xml:space="preserve">) of the American Convention, that until </w:t>
      </w:r>
      <w:r w:rsidR="00A1217E" w:rsidRPr="0094595A">
        <w:rPr>
          <w:rFonts w:asciiTheme="majorHAnsi" w:hAnsiTheme="majorHAnsi"/>
          <w:sz w:val="20"/>
          <w:szCs w:val="20"/>
        </w:rPr>
        <w:t xml:space="preserve">such time as </w:t>
      </w:r>
      <w:r w:rsidRPr="0094595A">
        <w:rPr>
          <w:rFonts w:asciiTheme="majorHAnsi" w:hAnsiTheme="majorHAnsi"/>
          <w:sz w:val="20"/>
          <w:szCs w:val="20"/>
        </w:rPr>
        <w:t xml:space="preserve">the </w:t>
      </w:r>
      <w:r w:rsidR="00E25AC1" w:rsidRPr="0094595A">
        <w:rPr>
          <w:rFonts w:asciiTheme="majorHAnsi" w:hAnsiTheme="majorHAnsi"/>
          <w:sz w:val="20"/>
          <w:szCs w:val="20"/>
        </w:rPr>
        <w:t>Fifth Court of Criminal I</w:t>
      </w:r>
      <w:r w:rsidR="00132EE5" w:rsidRPr="0094595A">
        <w:rPr>
          <w:rFonts w:asciiTheme="majorHAnsi" w:hAnsiTheme="majorHAnsi"/>
          <w:sz w:val="20"/>
          <w:szCs w:val="20"/>
        </w:rPr>
        <w:t>nquiry</w:t>
      </w:r>
      <w:r w:rsidR="00E25AC1" w:rsidRPr="0094595A">
        <w:rPr>
          <w:rFonts w:asciiTheme="majorHAnsi" w:hAnsiTheme="majorHAnsi"/>
          <w:sz w:val="20"/>
          <w:szCs w:val="20"/>
        </w:rPr>
        <w:t>’s decision to abstain [</w:t>
      </w:r>
      <w:r w:rsidR="00E25AC1" w:rsidRPr="0094595A">
        <w:rPr>
          <w:rFonts w:asciiTheme="majorHAnsi" w:hAnsiTheme="majorHAnsi"/>
          <w:i/>
          <w:sz w:val="20"/>
          <w:szCs w:val="20"/>
        </w:rPr>
        <w:t>resolución inhibitoria</w:t>
      </w:r>
      <w:r w:rsidR="00E25AC1" w:rsidRPr="0094595A">
        <w:rPr>
          <w:rFonts w:asciiTheme="majorHAnsi" w:hAnsiTheme="majorHAnsi"/>
          <w:sz w:val="20"/>
          <w:szCs w:val="20"/>
        </w:rPr>
        <w:t xml:space="preserve">] </w:t>
      </w:r>
      <w:r w:rsidR="00435160" w:rsidRPr="0094595A">
        <w:rPr>
          <w:rFonts w:asciiTheme="majorHAnsi" w:hAnsiTheme="majorHAnsi"/>
          <w:sz w:val="20"/>
          <w:szCs w:val="20"/>
        </w:rPr>
        <w:t>is</w:t>
      </w:r>
      <w:r w:rsidR="00E25AC1" w:rsidRPr="0094595A">
        <w:rPr>
          <w:rFonts w:asciiTheme="majorHAnsi" w:hAnsiTheme="majorHAnsi"/>
          <w:sz w:val="20"/>
          <w:szCs w:val="20"/>
        </w:rPr>
        <w:t xml:space="preserve"> overturned by a competent body, internal remedies are </w:t>
      </w:r>
      <w:r w:rsidR="008C0889" w:rsidRPr="0094595A">
        <w:rPr>
          <w:rFonts w:asciiTheme="majorHAnsi" w:hAnsiTheme="majorHAnsi"/>
          <w:sz w:val="20"/>
          <w:szCs w:val="20"/>
        </w:rPr>
        <w:t>considered</w:t>
      </w:r>
      <w:r w:rsidR="00E25AC1" w:rsidRPr="0094595A">
        <w:rPr>
          <w:rFonts w:asciiTheme="majorHAnsi" w:hAnsiTheme="majorHAnsi"/>
          <w:sz w:val="20"/>
          <w:szCs w:val="20"/>
        </w:rPr>
        <w:t xml:space="preserve"> to have been exhausted with regard to the events that befell </w:t>
      </w:r>
      <w:r w:rsidR="008C0889" w:rsidRPr="0094595A">
        <w:rPr>
          <w:rFonts w:asciiTheme="majorHAnsi" w:hAnsiTheme="majorHAnsi"/>
          <w:sz w:val="20"/>
          <w:szCs w:val="20"/>
        </w:rPr>
        <w:t>Mr.</w:t>
      </w:r>
      <w:r w:rsidR="00864378" w:rsidRPr="0094595A">
        <w:rPr>
          <w:rFonts w:asciiTheme="majorHAnsi" w:hAnsiTheme="majorHAnsi"/>
          <w:sz w:val="20"/>
          <w:szCs w:val="20"/>
        </w:rPr>
        <w:t xml:space="preserve"> Juan Fernando Porras </w:t>
      </w:r>
      <w:r w:rsidR="00435160" w:rsidRPr="0094595A">
        <w:rPr>
          <w:rFonts w:asciiTheme="majorHAnsi" w:hAnsiTheme="majorHAnsi"/>
          <w:sz w:val="20"/>
          <w:szCs w:val="20"/>
        </w:rPr>
        <w:t>o</w:t>
      </w:r>
      <w:r w:rsidR="00E25AC1" w:rsidRPr="0094595A">
        <w:rPr>
          <w:rFonts w:asciiTheme="majorHAnsi" w:hAnsiTheme="majorHAnsi"/>
          <w:sz w:val="20"/>
          <w:szCs w:val="20"/>
        </w:rPr>
        <w:t>n February 5, 1990</w:t>
      </w:r>
      <w:r w:rsidR="00584C83" w:rsidRPr="0094595A">
        <w:rPr>
          <w:rFonts w:asciiTheme="majorHAnsi" w:hAnsiTheme="majorHAnsi"/>
          <w:sz w:val="20"/>
          <w:szCs w:val="20"/>
        </w:rPr>
        <w:t>.</w:t>
      </w:r>
      <w:r w:rsidR="00864378" w:rsidRPr="0094595A">
        <w:rPr>
          <w:rStyle w:val="FootnoteReference"/>
          <w:rFonts w:asciiTheme="majorHAnsi" w:hAnsiTheme="majorHAnsi"/>
          <w:sz w:val="20"/>
          <w:szCs w:val="20"/>
        </w:rPr>
        <w:footnoteReference w:id="4"/>
      </w:r>
    </w:p>
    <w:p w:rsidR="005758BA" w:rsidRPr="001E4C94" w:rsidRDefault="005758BA" w:rsidP="006E4093">
      <w:pPr>
        <w:tabs>
          <w:tab w:val="left" w:pos="8640"/>
        </w:tabs>
        <w:spacing w:after="0"/>
        <w:ind w:left="720" w:right="720"/>
        <w:jc w:val="both"/>
        <w:rPr>
          <w:rFonts w:asciiTheme="majorHAnsi" w:hAnsiTheme="majorHAnsi"/>
          <w:sz w:val="20"/>
          <w:szCs w:val="20"/>
        </w:rPr>
      </w:pPr>
    </w:p>
    <w:p w:rsidR="00761251" w:rsidRPr="001E4C94" w:rsidRDefault="00E25AC1"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In </w:t>
      </w:r>
      <w:r w:rsidR="007E6590" w:rsidRPr="001E4C94">
        <w:rPr>
          <w:rFonts w:asciiTheme="majorHAnsi" w:hAnsiTheme="majorHAnsi"/>
          <w:sz w:val="20"/>
          <w:szCs w:val="20"/>
        </w:rPr>
        <w:t>its</w:t>
      </w:r>
      <w:r w:rsidR="005C2B90" w:rsidRPr="001E4C94">
        <w:rPr>
          <w:rFonts w:asciiTheme="majorHAnsi" w:hAnsiTheme="majorHAnsi"/>
          <w:sz w:val="20"/>
          <w:szCs w:val="20"/>
        </w:rPr>
        <w:t xml:space="preserve"> </w:t>
      </w:r>
      <w:r w:rsidRPr="001E4C94">
        <w:rPr>
          <w:rFonts w:asciiTheme="majorHAnsi" w:hAnsiTheme="majorHAnsi"/>
          <w:sz w:val="20"/>
          <w:szCs w:val="20"/>
        </w:rPr>
        <w:t xml:space="preserve">observations sent on May 7, </w:t>
      </w:r>
      <w:r w:rsidR="003751C9" w:rsidRPr="001E4C94">
        <w:rPr>
          <w:rFonts w:asciiTheme="majorHAnsi" w:hAnsiTheme="majorHAnsi"/>
          <w:sz w:val="20"/>
          <w:szCs w:val="20"/>
        </w:rPr>
        <w:t>2014</w:t>
      </w:r>
      <w:r w:rsidR="004C2768" w:rsidRPr="001E4C94">
        <w:rPr>
          <w:rFonts w:asciiTheme="majorHAnsi" w:hAnsiTheme="majorHAnsi"/>
          <w:sz w:val="20"/>
          <w:szCs w:val="20"/>
        </w:rPr>
        <w:t>,</w:t>
      </w:r>
      <w:r w:rsidR="003751C9" w:rsidRPr="001E4C94">
        <w:rPr>
          <w:rStyle w:val="FootnoteReference"/>
          <w:rFonts w:asciiTheme="majorHAnsi" w:hAnsiTheme="majorHAnsi"/>
          <w:sz w:val="20"/>
          <w:szCs w:val="20"/>
        </w:rPr>
        <w:footnoteReference w:id="5"/>
      </w:r>
      <w:r w:rsidR="003751C9" w:rsidRPr="001E4C94">
        <w:rPr>
          <w:rFonts w:asciiTheme="majorHAnsi" w:hAnsiTheme="majorHAnsi"/>
          <w:sz w:val="20"/>
          <w:szCs w:val="20"/>
        </w:rPr>
        <w:t xml:space="preserve"> </w:t>
      </w:r>
      <w:r w:rsidR="007E6590" w:rsidRPr="001E4C94">
        <w:rPr>
          <w:rFonts w:asciiTheme="majorHAnsi" w:hAnsiTheme="majorHAnsi"/>
          <w:sz w:val="20"/>
          <w:szCs w:val="20"/>
        </w:rPr>
        <w:t>the State</w:t>
      </w:r>
      <w:r w:rsidR="005C2B90" w:rsidRPr="001E4C94">
        <w:rPr>
          <w:rFonts w:asciiTheme="majorHAnsi" w:hAnsiTheme="majorHAnsi"/>
          <w:sz w:val="20"/>
          <w:szCs w:val="20"/>
        </w:rPr>
        <w:t xml:space="preserve"> </w:t>
      </w:r>
      <w:r w:rsidRPr="001E4C94">
        <w:rPr>
          <w:rFonts w:asciiTheme="majorHAnsi" w:hAnsiTheme="majorHAnsi"/>
          <w:sz w:val="20"/>
          <w:szCs w:val="20"/>
        </w:rPr>
        <w:t xml:space="preserve">reiterated this argument, </w:t>
      </w:r>
      <w:r w:rsidR="00A1217E" w:rsidRPr="001E4C94">
        <w:rPr>
          <w:rFonts w:asciiTheme="majorHAnsi" w:hAnsiTheme="majorHAnsi"/>
          <w:sz w:val="20"/>
          <w:szCs w:val="20"/>
        </w:rPr>
        <w:t>affirm</w:t>
      </w:r>
      <w:r w:rsidRPr="001E4C94">
        <w:rPr>
          <w:rFonts w:asciiTheme="majorHAnsi" w:hAnsiTheme="majorHAnsi"/>
          <w:sz w:val="20"/>
          <w:szCs w:val="20"/>
        </w:rPr>
        <w:t xml:space="preserve">ing that </w:t>
      </w:r>
      <w:r w:rsidR="00A1217E" w:rsidRPr="001E4C94">
        <w:rPr>
          <w:rFonts w:asciiTheme="majorHAnsi" w:hAnsiTheme="majorHAnsi"/>
          <w:sz w:val="20"/>
          <w:szCs w:val="20"/>
        </w:rPr>
        <w:t xml:space="preserve">there was no information in the relevant parts of </w:t>
      </w:r>
      <w:r w:rsidRPr="001E4C94">
        <w:rPr>
          <w:rFonts w:asciiTheme="majorHAnsi" w:hAnsiTheme="majorHAnsi"/>
          <w:sz w:val="20"/>
          <w:szCs w:val="20"/>
        </w:rPr>
        <w:t>the additional observations petitioner</w:t>
      </w:r>
      <w:r w:rsidR="005C2B90" w:rsidRPr="001E4C94">
        <w:rPr>
          <w:rFonts w:asciiTheme="majorHAnsi" w:hAnsiTheme="majorHAnsi"/>
          <w:sz w:val="20"/>
          <w:szCs w:val="20"/>
        </w:rPr>
        <w:t>s</w:t>
      </w:r>
      <w:r w:rsidR="009145AF" w:rsidRPr="001E4C94">
        <w:rPr>
          <w:rFonts w:asciiTheme="majorHAnsi" w:hAnsiTheme="majorHAnsi"/>
          <w:sz w:val="20"/>
          <w:szCs w:val="20"/>
        </w:rPr>
        <w:t xml:space="preserve"> had sent</w:t>
      </w:r>
      <w:r w:rsidRPr="001E4C94">
        <w:rPr>
          <w:rFonts w:asciiTheme="majorHAnsi" w:hAnsiTheme="majorHAnsi"/>
          <w:sz w:val="20"/>
          <w:szCs w:val="20"/>
        </w:rPr>
        <w:t xml:space="preserve"> that </w:t>
      </w:r>
      <w:r w:rsidR="00A1217E" w:rsidRPr="001E4C94">
        <w:rPr>
          <w:rFonts w:asciiTheme="majorHAnsi" w:hAnsiTheme="majorHAnsi"/>
          <w:sz w:val="20"/>
          <w:szCs w:val="20"/>
        </w:rPr>
        <w:t>questioned</w:t>
      </w:r>
      <w:r w:rsidRPr="001E4C94">
        <w:rPr>
          <w:rFonts w:asciiTheme="majorHAnsi" w:hAnsiTheme="majorHAnsi"/>
          <w:sz w:val="20"/>
          <w:szCs w:val="20"/>
        </w:rPr>
        <w:t xml:space="preserve"> the legal arguments </w:t>
      </w:r>
      <w:r w:rsidR="009145AF" w:rsidRPr="001E4C94">
        <w:rPr>
          <w:rFonts w:asciiTheme="majorHAnsi" w:hAnsiTheme="majorHAnsi"/>
          <w:sz w:val="20"/>
          <w:szCs w:val="20"/>
        </w:rPr>
        <w:t xml:space="preserve">it had </w:t>
      </w:r>
      <w:r w:rsidR="00A1217E" w:rsidRPr="001E4C94">
        <w:rPr>
          <w:rFonts w:asciiTheme="majorHAnsi" w:hAnsiTheme="majorHAnsi"/>
          <w:sz w:val="20"/>
          <w:szCs w:val="20"/>
        </w:rPr>
        <w:t>laid out</w:t>
      </w:r>
      <w:r w:rsidRPr="001E4C94">
        <w:rPr>
          <w:rFonts w:asciiTheme="majorHAnsi" w:hAnsiTheme="majorHAnsi"/>
          <w:sz w:val="20"/>
          <w:szCs w:val="20"/>
        </w:rPr>
        <w:t xml:space="preserve"> in </w:t>
      </w:r>
      <w:r w:rsidR="005C2B90" w:rsidRPr="001E4C94">
        <w:rPr>
          <w:rFonts w:asciiTheme="majorHAnsi" w:hAnsiTheme="majorHAnsi"/>
          <w:sz w:val="20"/>
          <w:szCs w:val="20"/>
        </w:rPr>
        <w:t xml:space="preserve">its </w:t>
      </w:r>
      <w:r w:rsidRPr="001E4C94">
        <w:rPr>
          <w:rFonts w:asciiTheme="majorHAnsi" w:hAnsiTheme="majorHAnsi"/>
          <w:sz w:val="20"/>
          <w:szCs w:val="20"/>
        </w:rPr>
        <w:t>prior submission.</w:t>
      </w:r>
      <w:r w:rsidR="00C11831" w:rsidRPr="001E4C94">
        <w:rPr>
          <w:rStyle w:val="FootnoteReference"/>
          <w:rFonts w:asciiTheme="majorHAnsi" w:hAnsiTheme="majorHAnsi"/>
          <w:sz w:val="20"/>
          <w:szCs w:val="20"/>
        </w:rPr>
        <w:footnoteReference w:id="6"/>
      </w:r>
      <w:r w:rsidR="00C11831"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5F22A8" w:rsidRPr="001E4C94" w:rsidRDefault="00386258"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Nevertheless, in observation</w:t>
      </w:r>
      <w:r w:rsidR="002467C3" w:rsidRPr="001E4C94">
        <w:rPr>
          <w:rFonts w:asciiTheme="majorHAnsi" w:hAnsiTheme="majorHAnsi"/>
          <w:sz w:val="20"/>
          <w:szCs w:val="20"/>
        </w:rPr>
        <w:t>s</w:t>
      </w:r>
      <w:r w:rsidRPr="001E4C94">
        <w:rPr>
          <w:rFonts w:asciiTheme="majorHAnsi" w:hAnsiTheme="majorHAnsi"/>
          <w:sz w:val="20"/>
          <w:szCs w:val="20"/>
        </w:rPr>
        <w:t xml:space="preserve"> sent to the IACHR on April 24, 2015, the State changed its stance, </w:t>
      </w:r>
      <w:r w:rsidR="009145AF" w:rsidRPr="001E4C94">
        <w:rPr>
          <w:rFonts w:asciiTheme="majorHAnsi" w:hAnsiTheme="majorHAnsi"/>
          <w:sz w:val="20"/>
          <w:szCs w:val="20"/>
        </w:rPr>
        <w:t>asserting</w:t>
      </w:r>
      <w:r w:rsidRPr="001E4C94">
        <w:rPr>
          <w:rFonts w:asciiTheme="majorHAnsi" w:hAnsiTheme="majorHAnsi"/>
          <w:sz w:val="20"/>
          <w:szCs w:val="20"/>
        </w:rPr>
        <w:t xml:space="preserve"> that in 2009 it had “reactivated” the criminal investigation. It also listed some </w:t>
      </w:r>
      <w:r w:rsidR="002467C3" w:rsidRPr="001E4C94">
        <w:rPr>
          <w:rFonts w:asciiTheme="majorHAnsi" w:hAnsiTheme="majorHAnsi"/>
          <w:sz w:val="20"/>
          <w:szCs w:val="20"/>
        </w:rPr>
        <w:t>steps</w:t>
      </w:r>
      <w:r w:rsidRPr="001E4C94">
        <w:rPr>
          <w:rFonts w:asciiTheme="majorHAnsi" w:hAnsiTheme="majorHAnsi"/>
          <w:sz w:val="20"/>
          <w:szCs w:val="20"/>
        </w:rPr>
        <w:t xml:space="preserve"> that had taken place as part of the </w:t>
      </w:r>
      <w:r w:rsidR="009C26BB">
        <w:rPr>
          <w:rFonts w:asciiTheme="majorHAnsi" w:hAnsiTheme="majorHAnsi"/>
          <w:sz w:val="20"/>
          <w:szCs w:val="20"/>
        </w:rPr>
        <w:t>“</w:t>
      </w:r>
      <w:r w:rsidRPr="001E4C94">
        <w:rPr>
          <w:rFonts w:asciiTheme="majorHAnsi" w:hAnsiTheme="majorHAnsi"/>
          <w:sz w:val="20"/>
          <w:szCs w:val="20"/>
        </w:rPr>
        <w:t>reactivated</w:t>
      </w:r>
      <w:r w:rsidR="009C26BB">
        <w:rPr>
          <w:rFonts w:asciiTheme="majorHAnsi" w:hAnsiTheme="majorHAnsi"/>
          <w:sz w:val="20"/>
          <w:szCs w:val="20"/>
        </w:rPr>
        <w:t>”</w:t>
      </w:r>
      <w:r w:rsidRPr="001E4C94">
        <w:rPr>
          <w:rFonts w:asciiTheme="majorHAnsi" w:hAnsiTheme="majorHAnsi"/>
          <w:sz w:val="20"/>
          <w:szCs w:val="20"/>
        </w:rPr>
        <w:t xml:space="preserve"> criminal investigation, point</w:t>
      </w:r>
      <w:r w:rsidR="009145AF" w:rsidRPr="001E4C94">
        <w:rPr>
          <w:rFonts w:asciiTheme="majorHAnsi" w:hAnsiTheme="majorHAnsi"/>
          <w:sz w:val="20"/>
          <w:szCs w:val="20"/>
        </w:rPr>
        <w:t>ing</w:t>
      </w:r>
      <w:r w:rsidRPr="001E4C94">
        <w:rPr>
          <w:rFonts w:asciiTheme="majorHAnsi" w:hAnsiTheme="majorHAnsi"/>
          <w:sz w:val="20"/>
          <w:szCs w:val="20"/>
        </w:rPr>
        <w:t xml:space="preserve"> out that “it showed investigative work characterized by due diligence.” The</w:t>
      </w:r>
      <w:r w:rsidR="009145AF" w:rsidRPr="001E4C94">
        <w:rPr>
          <w:rFonts w:asciiTheme="majorHAnsi" w:hAnsiTheme="majorHAnsi"/>
          <w:sz w:val="20"/>
          <w:szCs w:val="20"/>
        </w:rPr>
        <w:t>refore, the</w:t>
      </w:r>
      <w:r w:rsidRPr="001E4C94">
        <w:rPr>
          <w:rFonts w:asciiTheme="majorHAnsi" w:hAnsiTheme="majorHAnsi"/>
          <w:sz w:val="20"/>
          <w:szCs w:val="20"/>
        </w:rPr>
        <w:t xml:space="preserve"> State </w:t>
      </w:r>
      <w:r w:rsidR="009145AF" w:rsidRPr="001E4C94">
        <w:rPr>
          <w:rFonts w:asciiTheme="majorHAnsi" w:hAnsiTheme="majorHAnsi"/>
          <w:sz w:val="20"/>
          <w:szCs w:val="20"/>
        </w:rPr>
        <w:t>concluded</w:t>
      </w:r>
      <w:r w:rsidRPr="001E4C94">
        <w:rPr>
          <w:rFonts w:asciiTheme="majorHAnsi" w:hAnsiTheme="majorHAnsi"/>
          <w:sz w:val="20"/>
          <w:szCs w:val="20"/>
        </w:rPr>
        <w:t xml:space="preserve"> “it is obvious that the appropriate and effective</w:t>
      </w:r>
      <w:r w:rsidR="009145AF" w:rsidRPr="001E4C94">
        <w:rPr>
          <w:rFonts w:asciiTheme="majorHAnsi" w:hAnsiTheme="majorHAnsi"/>
          <w:sz w:val="20"/>
          <w:szCs w:val="20"/>
        </w:rPr>
        <w:t xml:space="preserve"> remedy has yet to be exhausted”</w:t>
      </w:r>
      <w:r w:rsidRPr="001E4C94">
        <w:rPr>
          <w:rFonts w:asciiTheme="majorHAnsi" w:hAnsiTheme="majorHAnsi"/>
          <w:sz w:val="20"/>
          <w:szCs w:val="20"/>
        </w:rPr>
        <w:t xml:space="preserve"> and, thus, </w:t>
      </w:r>
      <w:r w:rsidR="002467C3" w:rsidRPr="001E4C94">
        <w:rPr>
          <w:rFonts w:asciiTheme="majorHAnsi" w:hAnsiTheme="majorHAnsi"/>
          <w:sz w:val="20"/>
          <w:szCs w:val="20"/>
        </w:rPr>
        <w:t>resorting</w:t>
      </w:r>
      <w:r w:rsidR="004C2768" w:rsidRPr="001E4C94">
        <w:rPr>
          <w:rFonts w:asciiTheme="majorHAnsi" w:hAnsiTheme="majorHAnsi"/>
          <w:sz w:val="20"/>
          <w:szCs w:val="20"/>
        </w:rPr>
        <w:t xml:space="preserve"> to international </w:t>
      </w:r>
      <w:r w:rsidR="009145AF" w:rsidRPr="001E4C94">
        <w:rPr>
          <w:rFonts w:asciiTheme="majorHAnsi" w:hAnsiTheme="majorHAnsi"/>
          <w:sz w:val="20"/>
          <w:szCs w:val="20"/>
        </w:rPr>
        <w:t xml:space="preserve">justice </w:t>
      </w:r>
      <w:r w:rsidR="004C2768" w:rsidRPr="001E4C94">
        <w:rPr>
          <w:rFonts w:asciiTheme="majorHAnsi" w:hAnsiTheme="majorHAnsi"/>
          <w:sz w:val="20"/>
          <w:szCs w:val="20"/>
        </w:rPr>
        <w:t xml:space="preserve">was </w:t>
      </w:r>
      <w:r w:rsidR="009145AF" w:rsidRPr="001E4C94">
        <w:rPr>
          <w:rFonts w:asciiTheme="majorHAnsi" w:hAnsiTheme="majorHAnsi"/>
          <w:sz w:val="20"/>
          <w:szCs w:val="20"/>
        </w:rPr>
        <w:t>unfounded</w:t>
      </w:r>
      <w:r w:rsidR="004C2768" w:rsidRPr="001E4C94">
        <w:rPr>
          <w:rFonts w:asciiTheme="majorHAnsi" w:hAnsiTheme="majorHAnsi"/>
          <w:sz w:val="20"/>
          <w:szCs w:val="20"/>
        </w:rPr>
        <w:t>.</w:t>
      </w:r>
      <w:r w:rsidR="007B3C1A" w:rsidRPr="001E4C94">
        <w:rPr>
          <w:rStyle w:val="FootnoteReference"/>
          <w:rFonts w:asciiTheme="majorHAnsi" w:hAnsiTheme="majorHAnsi"/>
          <w:sz w:val="20"/>
          <w:szCs w:val="20"/>
        </w:rPr>
        <w:footnoteReference w:id="7"/>
      </w:r>
      <w:r w:rsidR="001F6D52"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1F6D52" w:rsidRPr="001E4C94" w:rsidRDefault="004C2768"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The State added that the petitioners’ had shown a “lack of interest” in resorting to the domestic bodies established by law, since they had not </w:t>
      </w:r>
      <w:r w:rsidR="004469EA" w:rsidRPr="001E4C94">
        <w:rPr>
          <w:rFonts w:asciiTheme="majorHAnsi" w:hAnsiTheme="majorHAnsi"/>
          <w:sz w:val="20"/>
          <w:szCs w:val="20"/>
        </w:rPr>
        <w:t>brought a civil action</w:t>
      </w:r>
      <w:r w:rsidR="002467C3" w:rsidRPr="001E4C94">
        <w:rPr>
          <w:rFonts w:asciiTheme="majorHAnsi" w:hAnsiTheme="majorHAnsi"/>
          <w:sz w:val="20"/>
          <w:szCs w:val="20"/>
        </w:rPr>
        <w:t xml:space="preserve"> as part of</w:t>
      </w:r>
      <w:r w:rsidRPr="001E4C94">
        <w:rPr>
          <w:rFonts w:asciiTheme="majorHAnsi" w:hAnsiTheme="majorHAnsi"/>
          <w:sz w:val="20"/>
          <w:szCs w:val="20"/>
        </w:rPr>
        <w:t xml:space="preserve"> the ordinary criminal proceedings </w:t>
      </w:r>
      <w:r w:rsidR="00BE6B20" w:rsidRPr="001E4C94">
        <w:rPr>
          <w:rFonts w:asciiTheme="majorHAnsi" w:hAnsiTheme="majorHAnsi"/>
          <w:sz w:val="20"/>
          <w:szCs w:val="20"/>
        </w:rPr>
        <w:t>for</w:t>
      </w:r>
      <w:r w:rsidRPr="001E4C94">
        <w:rPr>
          <w:rFonts w:asciiTheme="majorHAnsi" w:hAnsiTheme="majorHAnsi"/>
          <w:sz w:val="20"/>
          <w:szCs w:val="20"/>
        </w:rPr>
        <w:t xml:space="preserve"> the alleged violation of their clients’ rights</w:t>
      </w:r>
      <w:r w:rsidR="001F6D52"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0F39AC" w:rsidRPr="001E4C94" w:rsidRDefault="004C2768"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The State further added that the petitioner</w:t>
      </w:r>
      <w:r w:rsidR="00BE6B20" w:rsidRPr="001E4C94">
        <w:rPr>
          <w:rFonts w:asciiTheme="majorHAnsi" w:hAnsiTheme="majorHAnsi"/>
          <w:sz w:val="20"/>
          <w:szCs w:val="20"/>
        </w:rPr>
        <w:t>s</w:t>
      </w:r>
      <w:r w:rsidRPr="001E4C94">
        <w:rPr>
          <w:rFonts w:asciiTheme="majorHAnsi" w:hAnsiTheme="majorHAnsi"/>
          <w:sz w:val="20"/>
          <w:szCs w:val="20"/>
        </w:rPr>
        <w:t xml:space="preserve"> had not filed proceedings in administrative court to declare </w:t>
      </w:r>
      <w:r w:rsidR="00105943" w:rsidRPr="001E4C94">
        <w:rPr>
          <w:rFonts w:asciiTheme="majorHAnsi" w:hAnsiTheme="majorHAnsi"/>
          <w:sz w:val="20"/>
          <w:szCs w:val="20"/>
        </w:rPr>
        <w:t>the State’s</w:t>
      </w:r>
      <w:r w:rsidRPr="001E4C94">
        <w:rPr>
          <w:rFonts w:asciiTheme="majorHAnsi" w:hAnsiTheme="majorHAnsi"/>
          <w:sz w:val="20"/>
          <w:szCs w:val="20"/>
        </w:rPr>
        <w:t xml:space="preserve"> responsibility</w:t>
      </w:r>
      <w:r w:rsidR="00BF7C9D" w:rsidRPr="001E4C94">
        <w:rPr>
          <w:rFonts w:asciiTheme="majorHAnsi" w:hAnsiTheme="majorHAnsi"/>
          <w:sz w:val="20"/>
          <w:szCs w:val="20"/>
        </w:rPr>
        <w:t xml:space="preserve">. </w:t>
      </w:r>
      <w:r w:rsidRPr="001E4C94">
        <w:rPr>
          <w:rFonts w:asciiTheme="majorHAnsi" w:hAnsiTheme="majorHAnsi"/>
          <w:sz w:val="20"/>
          <w:szCs w:val="20"/>
        </w:rPr>
        <w:t>In that regard, it specified that</w:t>
      </w:r>
      <w:r w:rsidR="00BE6B20" w:rsidRPr="001E4C94">
        <w:rPr>
          <w:rFonts w:asciiTheme="majorHAnsi" w:hAnsiTheme="majorHAnsi"/>
          <w:sz w:val="20"/>
          <w:szCs w:val="20"/>
        </w:rPr>
        <w:t>,</w:t>
      </w:r>
      <w:r w:rsidRPr="001E4C94">
        <w:rPr>
          <w:rFonts w:asciiTheme="majorHAnsi" w:hAnsiTheme="majorHAnsi"/>
          <w:sz w:val="20"/>
          <w:szCs w:val="20"/>
        </w:rPr>
        <w:t xml:space="preserve"> among the remedies </w:t>
      </w:r>
      <w:r w:rsidR="00BE6B20" w:rsidRPr="001E4C94">
        <w:rPr>
          <w:rFonts w:asciiTheme="majorHAnsi" w:hAnsiTheme="majorHAnsi"/>
          <w:sz w:val="20"/>
          <w:szCs w:val="20"/>
        </w:rPr>
        <w:t xml:space="preserve">the </w:t>
      </w:r>
      <w:r w:rsidRPr="001E4C94">
        <w:rPr>
          <w:rFonts w:asciiTheme="majorHAnsi" w:hAnsiTheme="majorHAnsi"/>
          <w:sz w:val="20"/>
          <w:szCs w:val="20"/>
        </w:rPr>
        <w:t>Colombian legal system</w:t>
      </w:r>
      <w:r w:rsidR="00BE6B20" w:rsidRPr="001E4C94">
        <w:rPr>
          <w:rFonts w:asciiTheme="majorHAnsi" w:hAnsiTheme="majorHAnsi"/>
          <w:sz w:val="20"/>
          <w:szCs w:val="20"/>
        </w:rPr>
        <w:t xml:space="preserve"> offers, </w:t>
      </w:r>
      <w:r w:rsidRPr="001E4C94">
        <w:rPr>
          <w:rFonts w:asciiTheme="majorHAnsi" w:hAnsiTheme="majorHAnsi"/>
          <w:sz w:val="20"/>
          <w:szCs w:val="20"/>
        </w:rPr>
        <w:t xml:space="preserve">any person </w:t>
      </w:r>
      <w:r w:rsidR="00BE6B20" w:rsidRPr="001E4C94">
        <w:rPr>
          <w:rFonts w:asciiTheme="majorHAnsi" w:hAnsiTheme="majorHAnsi"/>
          <w:sz w:val="20"/>
          <w:szCs w:val="20"/>
        </w:rPr>
        <w:t xml:space="preserve">who </w:t>
      </w:r>
      <w:r w:rsidRPr="001E4C94">
        <w:rPr>
          <w:rFonts w:asciiTheme="majorHAnsi" w:hAnsiTheme="majorHAnsi"/>
          <w:sz w:val="20"/>
          <w:szCs w:val="20"/>
        </w:rPr>
        <w:t>believe</w:t>
      </w:r>
      <w:r w:rsidR="00BE6B20" w:rsidRPr="001E4C94">
        <w:rPr>
          <w:rFonts w:asciiTheme="majorHAnsi" w:hAnsiTheme="majorHAnsi"/>
          <w:sz w:val="20"/>
          <w:szCs w:val="20"/>
        </w:rPr>
        <w:t>s</w:t>
      </w:r>
      <w:r w:rsidRPr="001E4C94">
        <w:rPr>
          <w:rFonts w:asciiTheme="majorHAnsi" w:hAnsiTheme="majorHAnsi"/>
          <w:sz w:val="20"/>
          <w:szCs w:val="20"/>
        </w:rPr>
        <w:t xml:space="preserve"> he or she ha</w:t>
      </w:r>
      <w:r w:rsidR="00105943" w:rsidRPr="001E4C94">
        <w:rPr>
          <w:rFonts w:asciiTheme="majorHAnsi" w:hAnsiTheme="majorHAnsi"/>
          <w:sz w:val="20"/>
          <w:szCs w:val="20"/>
        </w:rPr>
        <w:t>s</w:t>
      </w:r>
      <w:r w:rsidRPr="001E4C94">
        <w:rPr>
          <w:rFonts w:asciiTheme="majorHAnsi" w:hAnsiTheme="majorHAnsi"/>
          <w:sz w:val="20"/>
          <w:szCs w:val="20"/>
        </w:rPr>
        <w:t xml:space="preserve"> suffered harm as a result of </w:t>
      </w:r>
      <w:r w:rsidR="00BE6B20" w:rsidRPr="001E4C94">
        <w:rPr>
          <w:rFonts w:asciiTheme="majorHAnsi" w:hAnsiTheme="majorHAnsi"/>
          <w:sz w:val="20"/>
          <w:szCs w:val="20"/>
        </w:rPr>
        <w:t>the State’s</w:t>
      </w:r>
      <w:r w:rsidRPr="001E4C94">
        <w:rPr>
          <w:rFonts w:asciiTheme="majorHAnsi" w:hAnsiTheme="majorHAnsi"/>
          <w:sz w:val="20"/>
          <w:szCs w:val="20"/>
        </w:rPr>
        <w:t xml:space="preserve"> action or omission, </w:t>
      </w:r>
      <w:r w:rsidR="00BE6B20" w:rsidRPr="001E4C94">
        <w:rPr>
          <w:rFonts w:asciiTheme="majorHAnsi" w:hAnsiTheme="majorHAnsi"/>
          <w:sz w:val="20"/>
          <w:szCs w:val="20"/>
        </w:rPr>
        <w:t xml:space="preserve">may </w:t>
      </w:r>
      <w:r w:rsidRPr="001E4C94">
        <w:rPr>
          <w:rFonts w:asciiTheme="majorHAnsi" w:hAnsiTheme="majorHAnsi"/>
          <w:sz w:val="20"/>
          <w:szCs w:val="20"/>
        </w:rPr>
        <w:t>demand redress in administrative court</w:t>
      </w:r>
      <w:r w:rsidR="00BF7C9D" w:rsidRPr="001E4C94">
        <w:rPr>
          <w:rFonts w:asciiTheme="majorHAnsi" w:hAnsiTheme="majorHAnsi"/>
          <w:sz w:val="20"/>
          <w:szCs w:val="20"/>
        </w:rPr>
        <w:t xml:space="preserve">. </w:t>
      </w:r>
      <w:r w:rsidRPr="001E4C94">
        <w:rPr>
          <w:rFonts w:asciiTheme="majorHAnsi" w:hAnsiTheme="majorHAnsi"/>
          <w:sz w:val="20"/>
          <w:szCs w:val="20"/>
        </w:rPr>
        <w:t>Th</w:t>
      </w:r>
      <w:r w:rsidR="00BE6B20" w:rsidRPr="001E4C94">
        <w:rPr>
          <w:rFonts w:asciiTheme="majorHAnsi" w:hAnsiTheme="majorHAnsi"/>
          <w:sz w:val="20"/>
          <w:szCs w:val="20"/>
        </w:rPr>
        <w:t>us, th</w:t>
      </w:r>
      <w:r w:rsidRPr="001E4C94">
        <w:rPr>
          <w:rFonts w:asciiTheme="majorHAnsi" w:hAnsiTheme="majorHAnsi"/>
          <w:sz w:val="20"/>
          <w:szCs w:val="20"/>
        </w:rPr>
        <w:t xml:space="preserve">e State </w:t>
      </w:r>
      <w:r w:rsidR="00BE6B20" w:rsidRPr="001E4C94">
        <w:rPr>
          <w:rFonts w:asciiTheme="majorHAnsi" w:hAnsiTheme="majorHAnsi"/>
          <w:sz w:val="20"/>
          <w:szCs w:val="20"/>
        </w:rPr>
        <w:t>explained,</w:t>
      </w:r>
      <w:r w:rsidRPr="001E4C94">
        <w:rPr>
          <w:rFonts w:asciiTheme="majorHAnsi" w:hAnsiTheme="majorHAnsi"/>
          <w:sz w:val="20"/>
          <w:szCs w:val="20"/>
        </w:rPr>
        <w:t xml:space="preserve"> “in those cases in which the State’s responsibility is </w:t>
      </w:r>
      <w:r w:rsidR="00BE6B20" w:rsidRPr="001E4C94">
        <w:rPr>
          <w:rFonts w:asciiTheme="majorHAnsi" w:hAnsiTheme="majorHAnsi"/>
          <w:sz w:val="20"/>
          <w:szCs w:val="20"/>
        </w:rPr>
        <w:t>proven</w:t>
      </w:r>
      <w:r w:rsidRPr="001E4C94">
        <w:rPr>
          <w:rFonts w:asciiTheme="majorHAnsi" w:hAnsiTheme="majorHAnsi"/>
          <w:sz w:val="20"/>
          <w:szCs w:val="20"/>
        </w:rPr>
        <w:t xml:space="preserve">, the administrative </w:t>
      </w:r>
      <w:r w:rsidR="00BE6B20" w:rsidRPr="001E4C94">
        <w:rPr>
          <w:rFonts w:asciiTheme="majorHAnsi" w:hAnsiTheme="majorHAnsi"/>
          <w:sz w:val="20"/>
          <w:szCs w:val="20"/>
        </w:rPr>
        <w:t xml:space="preserve">court </w:t>
      </w:r>
      <w:r w:rsidRPr="001E4C94">
        <w:rPr>
          <w:rFonts w:asciiTheme="majorHAnsi" w:hAnsiTheme="majorHAnsi"/>
          <w:sz w:val="20"/>
          <w:szCs w:val="20"/>
        </w:rPr>
        <w:t xml:space="preserve">judge orders comprehensive </w:t>
      </w:r>
      <w:r w:rsidR="008C0889" w:rsidRPr="001E4C94">
        <w:rPr>
          <w:rFonts w:asciiTheme="majorHAnsi" w:hAnsiTheme="majorHAnsi"/>
          <w:sz w:val="20"/>
          <w:szCs w:val="20"/>
        </w:rPr>
        <w:t>redress</w:t>
      </w:r>
      <w:r w:rsidRPr="001E4C94">
        <w:rPr>
          <w:rFonts w:asciiTheme="majorHAnsi" w:hAnsiTheme="majorHAnsi"/>
          <w:sz w:val="20"/>
          <w:szCs w:val="20"/>
        </w:rPr>
        <w:t xml:space="preserve"> for the harm </w:t>
      </w:r>
      <w:r w:rsidR="008C0889" w:rsidRPr="001E4C94">
        <w:rPr>
          <w:rFonts w:asciiTheme="majorHAnsi" w:hAnsiTheme="majorHAnsi"/>
          <w:sz w:val="20"/>
          <w:szCs w:val="20"/>
        </w:rPr>
        <w:t>caused</w:t>
      </w:r>
      <w:r w:rsidRPr="001E4C94">
        <w:rPr>
          <w:rFonts w:asciiTheme="majorHAnsi" w:hAnsiTheme="majorHAnsi"/>
          <w:sz w:val="20"/>
          <w:szCs w:val="20"/>
        </w:rPr>
        <w:t>.</w:t>
      </w:r>
      <w:r w:rsidR="0021419A" w:rsidRPr="001E4C94">
        <w:rPr>
          <w:rFonts w:asciiTheme="majorHAnsi" w:hAnsiTheme="majorHAnsi"/>
          <w:sz w:val="20"/>
          <w:szCs w:val="20"/>
        </w:rPr>
        <w:t>”</w:t>
      </w:r>
      <w:r w:rsidR="0021419A" w:rsidRPr="001E4C94">
        <w:rPr>
          <w:rStyle w:val="FootnoteReference"/>
          <w:rFonts w:asciiTheme="majorHAnsi" w:hAnsiTheme="majorHAnsi"/>
          <w:sz w:val="20"/>
          <w:szCs w:val="20"/>
        </w:rPr>
        <w:footnoteReference w:id="8"/>
      </w:r>
      <w:r w:rsidR="0021419A" w:rsidRPr="001E4C94">
        <w:rPr>
          <w:rFonts w:asciiTheme="majorHAnsi" w:hAnsiTheme="majorHAnsi"/>
          <w:sz w:val="20"/>
          <w:szCs w:val="20"/>
        </w:rPr>
        <w:t xml:space="preserve"> </w:t>
      </w:r>
      <w:r w:rsidRPr="001E4C94">
        <w:rPr>
          <w:rFonts w:asciiTheme="majorHAnsi" w:hAnsiTheme="majorHAnsi"/>
          <w:sz w:val="20"/>
          <w:szCs w:val="20"/>
        </w:rPr>
        <w:t>In light of this, the State allege</w:t>
      </w:r>
      <w:r w:rsidR="00BE6B20" w:rsidRPr="001E4C94">
        <w:rPr>
          <w:rFonts w:asciiTheme="majorHAnsi" w:hAnsiTheme="majorHAnsi"/>
          <w:sz w:val="20"/>
          <w:szCs w:val="20"/>
        </w:rPr>
        <w:t>s</w:t>
      </w:r>
      <w:r w:rsidRPr="001E4C94">
        <w:rPr>
          <w:rFonts w:asciiTheme="majorHAnsi" w:hAnsiTheme="majorHAnsi"/>
          <w:sz w:val="20"/>
          <w:szCs w:val="20"/>
        </w:rPr>
        <w:t xml:space="preserve"> that </w:t>
      </w:r>
      <w:r w:rsidR="00BE6B20" w:rsidRPr="001E4C94">
        <w:rPr>
          <w:rFonts w:asciiTheme="majorHAnsi" w:hAnsiTheme="majorHAnsi"/>
          <w:sz w:val="20"/>
          <w:szCs w:val="20"/>
        </w:rPr>
        <w:t xml:space="preserve">the petitioners’ </w:t>
      </w:r>
      <w:r w:rsidRPr="001E4C94">
        <w:rPr>
          <w:rFonts w:asciiTheme="majorHAnsi" w:hAnsiTheme="majorHAnsi"/>
          <w:sz w:val="20"/>
          <w:szCs w:val="20"/>
        </w:rPr>
        <w:t xml:space="preserve">claims for damages </w:t>
      </w:r>
      <w:r w:rsidR="00BE6B20" w:rsidRPr="001E4C94">
        <w:rPr>
          <w:rFonts w:asciiTheme="majorHAnsi" w:hAnsiTheme="majorHAnsi"/>
          <w:sz w:val="20"/>
          <w:szCs w:val="20"/>
        </w:rPr>
        <w:t>may</w:t>
      </w:r>
      <w:r w:rsidR="008C0889" w:rsidRPr="001E4C94">
        <w:rPr>
          <w:rFonts w:asciiTheme="majorHAnsi" w:hAnsiTheme="majorHAnsi"/>
          <w:sz w:val="20"/>
          <w:szCs w:val="20"/>
        </w:rPr>
        <w:t xml:space="preserve"> not be </w:t>
      </w:r>
      <w:r w:rsidR="00BE6B20" w:rsidRPr="001E4C94">
        <w:rPr>
          <w:rFonts w:asciiTheme="majorHAnsi" w:hAnsiTheme="majorHAnsi"/>
          <w:sz w:val="20"/>
          <w:szCs w:val="20"/>
        </w:rPr>
        <w:t xml:space="preserve">a matter for </w:t>
      </w:r>
      <w:r w:rsidR="008C0889" w:rsidRPr="001E4C94">
        <w:rPr>
          <w:rFonts w:asciiTheme="majorHAnsi" w:hAnsiTheme="majorHAnsi"/>
          <w:sz w:val="20"/>
          <w:szCs w:val="20"/>
        </w:rPr>
        <w:t>review by the IACHR</w:t>
      </w:r>
      <w:r w:rsidR="00105943" w:rsidRPr="001E4C94">
        <w:rPr>
          <w:rFonts w:asciiTheme="majorHAnsi" w:hAnsiTheme="majorHAnsi"/>
          <w:sz w:val="20"/>
          <w:szCs w:val="20"/>
        </w:rPr>
        <w:t>,</w:t>
      </w:r>
      <w:r w:rsidRPr="001E4C94">
        <w:rPr>
          <w:rFonts w:asciiTheme="majorHAnsi" w:hAnsiTheme="majorHAnsi"/>
          <w:sz w:val="20"/>
          <w:szCs w:val="20"/>
        </w:rPr>
        <w:t xml:space="preserve"> </w:t>
      </w:r>
      <w:r w:rsidR="00BE6B20" w:rsidRPr="001E4C94">
        <w:rPr>
          <w:rFonts w:asciiTheme="majorHAnsi" w:hAnsiTheme="majorHAnsi"/>
          <w:sz w:val="20"/>
          <w:szCs w:val="20"/>
        </w:rPr>
        <w:t>inasmuch as</w:t>
      </w:r>
      <w:r w:rsidRPr="001E4C94">
        <w:rPr>
          <w:rFonts w:asciiTheme="majorHAnsi" w:hAnsiTheme="majorHAnsi"/>
          <w:sz w:val="20"/>
          <w:szCs w:val="20"/>
        </w:rPr>
        <w:t xml:space="preserve"> they do not </w:t>
      </w:r>
      <w:r w:rsidR="00BE6B20" w:rsidRPr="001E4C94">
        <w:rPr>
          <w:rFonts w:asciiTheme="majorHAnsi" w:hAnsiTheme="majorHAnsi"/>
          <w:sz w:val="20"/>
          <w:szCs w:val="20"/>
        </w:rPr>
        <w:t>fulfill</w:t>
      </w:r>
      <w:r w:rsidRPr="001E4C94">
        <w:rPr>
          <w:rFonts w:asciiTheme="majorHAnsi" w:hAnsiTheme="majorHAnsi"/>
          <w:sz w:val="20"/>
          <w:szCs w:val="20"/>
        </w:rPr>
        <w:t xml:space="preserve"> the requirement for prior exhaustion of internal remedies.</w:t>
      </w:r>
      <w:r w:rsidR="000F39AC" w:rsidRPr="001E4C94">
        <w:rPr>
          <w:rFonts w:asciiTheme="majorHAnsi" w:hAnsiTheme="majorHAnsi"/>
          <w:sz w:val="20"/>
          <w:szCs w:val="20"/>
        </w:rPr>
        <w:t>”</w:t>
      </w:r>
      <w:r w:rsidR="0021419A" w:rsidRPr="001E4C94">
        <w:rPr>
          <w:rStyle w:val="FootnoteReference"/>
          <w:rFonts w:asciiTheme="majorHAnsi" w:hAnsiTheme="majorHAnsi"/>
          <w:sz w:val="20"/>
          <w:szCs w:val="20"/>
        </w:rPr>
        <w:footnoteReference w:id="9"/>
      </w:r>
    </w:p>
    <w:p w:rsidR="005758BA" w:rsidRPr="001E4C94" w:rsidRDefault="005758BA" w:rsidP="006E4093">
      <w:pPr>
        <w:spacing w:after="0"/>
        <w:jc w:val="both"/>
        <w:rPr>
          <w:rFonts w:asciiTheme="majorHAnsi" w:hAnsiTheme="majorHAnsi"/>
          <w:sz w:val="20"/>
          <w:szCs w:val="20"/>
        </w:rPr>
      </w:pPr>
    </w:p>
    <w:p w:rsidR="00FF067D" w:rsidRPr="001E4C94" w:rsidRDefault="00D67FDD"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Additionally, the State contended that the administrative investigation had been diligently conducted, “which is why the </w:t>
      </w:r>
      <w:r w:rsidR="00D44A3C" w:rsidRPr="001E4C94">
        <w:rPr>
          <w:rFonts w:asciiTheme="majorHAnsi" w:hAnsiTheme="majorHAnsi"/>
          <w:sz w:val="20"/>
          <w:szCs w:val="20"/>
        </w:rPr>
        <w:t>formula</w:t>
      </w:r>
      <w:r w:rsidRPr="001E4C94">
        <w:rPr>
          <w:rFonts w:asciiTheme="majorHAnsi" w:hAnsiTheme="majorHAnsi"/>
          <w:sz w:val="20"/>
          <w:szCs w:val="20"/>
        </w:rPr>
        <w:t xml:space="preserve"> of the fourth instance is applicable</w:t>
      </w:r>
      <w:r w:rsidR="009A03A8" w:rsidRPr="001E4C94">
        <w:rPr>
          <w:rFonts w:asciiTheme="majorHAnsi" w:hAnsiTheme="majorHAnsi"/>
          <w:sz w:val="20"/>
          <w:szCs w:val="20"/>
        </w:rPr>
        <w:t xml:space="preserve"> in that regard</w:t>
      </w:r>
      <w:r w:rsidRPr="001E4C94">
        <w:rPr>
          <w:rFonts w:asciiTheme="majorHAnsi" w:hAnsiTheme="majorHAnsi"/>
          <w:sz w:val="20"/>
          <w:szCs w:val="20"/>
        </w:rPr>
        <w:t xml:space="preserve">.” </w:t>
      </w:r>
      <w:r w:rsidR="009A03A8" w:rsidRPr="001E4C94">
        <w:rPr>
          <w:rFonts w:asciiTheme="majorHAnsi" w:hAnsiTheme="majorHAnsi"/>
          <w:sz w:val="20"/>
          <w:szCs w:val="20"/>
        </w:rPr>
        <w:t xml:space="preserve">Indeed, </w:t>
      </w:r>
      <w:r w:rsidR="00D44A3C" w:rsidRPr="001E4C94">
        <w:rPr>
          <w:rFonts w:asciiTheme="majorHAnsi" w:hAnsiTheme="majorHAnsi"/>
          <w:sz w:val="20"/>
          <w:szCs w:val="20"/>
        </w:rPr>
        <w:t xml:space="preserve">despite all the inquiries undertaken, the investigation </w:t>
      </w:r>
      <w:r w:rsidR="009A03A8" w:rsidRPr="001E4C94">
        <w:rPr>
          <w:rFonts w:asciiTheme="majorHAnsi" w:hAnsiTheme="majorHAnsi"/>
          <w:sz w:val="20"/>
          <w:szCs w:val="20"/>
        </w:rPr>
        <w:t>had</w:t>
      </w:r>
      <w:r w:rsidR="00D44A3C" w:rsidRPr="001E4C94">
        <w:rPr>
          <w:rFonts w:asciiTheme="majorHAnsi" w:hAnsiTheme="majorHAnsi"/>
          <w:sz w:val="20"/>
          <w:szCs w:val="20"/>
        </w:rPr>
        <w:t xml:space="preserve"> not </w:t>
      </w:r>
      <w:r w:rsidR="009A03A8" w:rsidRPr="001E4C94">
        <w:rPr>
          <w:rFonts w:asciiTheme="majorHAnsi" w:hAnsiTheme="majorHAnsi"/>
          <w:sz w:val="20"/>
          <w:szCs w:val="20"/>
        </w:rPr>
        <w:t>yielded</w:t>
      </w:r>
      <w:r w:rsidR="00D44A3C" w:rsidRPr="001E4C94">
        <w:rPr>
          <w:rFonts w:asciiTheme="majorHAnsi" w:hAnsiTheme="majorHAnsi"/>
          <w:sz w:val="20"/>
          <w:szCs w:val="20"/>
        </w:rPr>
        <w:t xml:space="preserve"> any results that </w:t>
      </w:r>
      <w:r w:rsidR="009A03A8" w:rsidRPr="001E4C94">
        <w:rPr>
          <w:rFonts w:asciiTheme="majorHAnsi" w:hAnsiTheme="majorHAnsi"/>
          <w:sz w:val="20"/>
          <w:szCs w:val="20"/>
        </w:rPr>
        <w:t xml:space="preserve">could </w:t>
      </w:r>
      <w:r w:rsidR="00105943" w:rsidRPr="001E4C94">
        <w:rPr>
          <w:rFonts w:asciiTheme="majorHAnsi" w:hAnsiTheme="majorHAnsi"/>
          <w:sz w:val="20"/>
          <w:szCs w:val="20"/>
        </w:rPr>
        <w:t>establish direct ties to</w:t>
      </w:r>
      <w:r w:rsidR="00D44A3C" w:rsidRPr="001E4C94">
        <w:rPr>
          <w:rFonts w:asciiTheme="majorHAnsi" w:hAnsiTheme="majorHAnsi"/>
          <w:sz w:val="20"/>
          <w:szCs w:val="20"/>
        </w:rPr>
        <w:t xml:space="preserve"> State agents “since the requirements to open a formal investigation against a specific person were not </w:t>
      </w:r>
      <w:r w:rsidR="007216DC" w:rsidRPr="001E4C94">
        <w:rPr>
          <w:rFonts w:asciiTheme="majorHAnsi" w:hAnsiTheme="majorHAnsi"/>
          <w:sz w:val="20"/>
          <w:szCs w:val="20"/>
        </w:rPr>
        <w:t>met</w:t>
      </w:r>
      <w:r w:rsidR="001829C6" w:rsidRPr="001E4C94">
        <w:rPr>
          <w:rFonts w:asciiTheme="majorHAnsi" w:hAnsiTheme="majorHAnsi"/>
          <w:sz w:val="20"/>
          <w:szCs w:val="20"/>
        </w:rPr>
        <w:t>.</w:t>
      </w:r>
      <w:r w:rsidR="00D44A3C" w:rsidRPr="001E4C94">
        <w:rPr>
          <w:rFonts w:asciiTheme="majorHAnsi" w:hAnsiTheme="majorHAnsi"/>
          <w:sz w:val="20"/>
          <w:szCs w:val="20"/>
        </w:rPr>
        <w:t>”</w:t>
      </w:r>
    </w:p>
    <w:p w:rsidR="008423D9" w:rsidRPr="001E4C94" w:rsidRDefault="008423D9" w:rsidP="006E4093">
      <w:pPr>
        <w:spacing w:after="0"/>
        <w:jc w:val="both"/>
        <w:rPr>
          <w:rFonts w:asciiTheme="majorHAnsi" w:hAnsiTheme="majorHAnsi"/>
          <w:sz w:val="20"/>
          <w:szCs w:val="20"/>
        </w:rPr>
      </w:pPr>
    </w:p>
    <w:p w:rsidR="00F2225B" w:rsidRPr="001E4C94" w:rsidRDefault="00D44A3C" w:rsidP="006E4093">
      <w:pPr>
        <w:numPr>
          <w:ilvl w:val="0"/>
          <w:numId w:val="1"/>
        </w:numPr>
        <w:spacing w:after="0"/>
        <w:ind w:left="0" w:firstLine="720"/>
        <w:jc w:val="both"/>
        <w:rPr>
          <w:rFonts w:asciiTheme="majorHAnsi" w:hAnsiTheme="majorHAnsi"/>
          <w:color w:val="000000"/>
          <w:sz w:val="20"/>
          <w:szCs w:val="20"/>
        </w:rPr>
      </w:pPr>
      <w:r w:rsidRPr="001E4C94">
        <w:rPr>
          <w:rFonts w:asciiTheme="majorHAnsi" w:hAnsiTheme="majorHAnsi"/>
          <w:color w:val="000000"/>
          <w:sz w:val="20"/>
          <w:szCs w:val="20"/>
        </w:rPr>
        <w:t xml:space="preserve">In order to determine whether this petition complies with the requirement for prior exhaustion of domestic remedies, the </w:t>
      </w:r>
      <w:r w:rsidR="00795335" w:rsidRPr="001E4C94">
        <w:rPr>
          <w:rFonts w:asciiTheme="majorHAnsi" w:hAnsiTheme="majorHAnsi"/>
          <w:color w:val="000000"/>
          <w:sz w:val="20"/>
          <w:szCs w:val="20"/>
        </w:rPr>
        <w:t>Commission</w:t>
      </w:r>
      <w:r w:rsidRPr="001E4C94">
        <w:rPr>
          <w:rFonts w:asciiTheme="majorHAnsi" w:hAnsiTheme="majorHAnsi"/>
          <w:color w:val="000000"/>
          <w:sz w:val="20"/>
          <w:szCs w:val="20"/>
        </w:rPr>
        <w:t xml:space="preserve"> will refer to each one of the arguments presented by the State, as </w:t>
      </w:r>
      <w:r w:rsidR="007216DC" w:rsidRPr="001E4C94">
        <w:rPr>
          <w:rFonts w:asciiTheme="majorHAnsi" w:hAnsiTheme="majorHAnsi"/>
          <w:color w:val="000000"/>
          <w:sz w:val="20"/>
          <w:szCs w:val="20"/>
        </w:rPr>
        <w:t>set forth below</w:t>
      </w:r>
      <w:r w:rsidR="007C0EC5" w:rsidRPr="001E4C94">
        <w:rPr>
          <w:rFonts w:asciiTheme="majorHAnsi" w:hAnsiTheme="majorHAnsi"/>
          <w:color w:val="000000"/>
          <w:sz w:val="20"/>
          <w:szCs w:val="20"/>
        </w:rPr>
        <w:t xml:space="preserve">. </w:t>
      </w:r>
    </w:p>
    <w:p w:rsidR="005758BA" w:rsidRPr="001E4C94" w:rsidRDefault="005758BA" w:rsidP="006E4093">
      <w:pPr>
        <w:spacing w:after="0"/>
        <w:jc w:val="both"/>
        <w:rPr>
          <w:rFonts w:asciiTheme="majorHAnsi" w:hAnsiTheme="majorHAnsi"/>
          <w:color w:val="000000"/>
          <w:sz w:val="20"/>
          <w:szCs w:val="20"/>
        </w:rPr>
      </w:pPr>
    </w:p>
    <w:p w:rsidR="000620BA" w:rsidRPr="001E4C94" w:rsidRDefault="007216DC" w:rsidP="006E4093">
      <w:pPr>
        <w:numPr>
          <w:ilvl w:val="0"/>
          <w:numId w:val="1"/>
        </w:numPr>
        <w:spacing w:after="0"/>
        <w:ind w:left="0" w:firstLine="720"/>
        <w:jc w:val="both"/>
        <w:rPr>
          <w:rFonts w:asciiTheme="majorHAnsi" w:hAnsiTheme="majorHAnsi"/>
          <w:color w:val="000000"/>
          <w:sz w:val="20"/>
          <w:szCs w:val="20"/>
        </w:rPr>
      </w:pPr>
      <w:r w:rsidRPr="001E4C94">
        <w:rPr>
          <w:rFonts w:asciiTheme="majorHAnsi" w:hAnsiTheme="majorHAnsi"/>
          <w:color w:val="000000"/>
          <w:sz w:val="20"/>
          <w:szCs w:val="20"/>
        </w:rPr>
        <w:t>Firstly, this C</w:t>
      </w:r>
      <w:r w:rsidR="00D44A3C" w:rsidRPr="001E4C94">
        <w:rPr>
          <w:rFonts w:asciiTheme="majorHAnsi" w:hAnsiTheme="majorHAnsi"/>
          <w:color w:val="000000"/>
          <w:sz w:val="20"/>
          <w:szCs w:val="20"/>
        </w:rPr>
        <w:t xml:space="preserve">ommission has already ruled in previous cases on the implications of </w:t>
      </w:r>
      <w:r w:rsidRPr="001E4C94">
        <w:rPr>
          <w:rFonts w:asciiTheme="majorHAnsi" w:hAnsiTheme="majorHAnsi"/>
          <w:color w:val="000000"/>
          <w:sz w:val="20"/>
          <w:szCs w:val="20"/>
        </w:rPr>
        <w:t>the State changing its</w:t>
      </w:r>
      <w:r w:rsidR="00D44A3C" w:rsidRPr="001E4C94">
        <w:rPr>
          <w:rFonts w:asciiTheme="majorHAnsi" w:hAnsiTheme="majorHAnsi"/>
          <w:color w:val="000000"/>
          <w:sz w:val="20"/>
          <w:szCs w:val="20"/>
        </w:rPr>
        <w:t xml:space="preserve"> position during </w:t>
      </w:r>
      <w:r w:rsidR="008C0889" w:rsidRPr="001E4C94">
        <w:rPr>
          <w:rFonts w:asciiTheme="majorHAnsi" w:hAnsiTheme="majorHAnsi"/>
          <w:color w:val="000000"/>
          <w:sz w:val="20"/>
          <w:szCs w:val="20"/>
        </w:rPr>
        <w:t>proceedings before the IACHR</w:t>
      </w:r>
      <w:r w:rsidR="00D44A3C" w:rsidRPr="001E4C94">
        <w:rPr>
          <w:rFonts w:asciiTheme="majorHAnsi" w:hAnsiTheme="majorHAnsi"/>
          <w:color w:val="000000"/>
          <w:sz w:val="20"/>
          <w:szCs w:val="20"/>
        </w:rPr>
        <w:t xml:space="preserve"> </w:t>
      </w:r>
      <w:r w:rsidRPr="001E4C94">
        <w:rPr>
          <w:rFonts w:asciiTheme="majorHAnsi" w:hAnsiTheme="majorHAnsi"/>
          <w:color w:val="000000"/>
          <w:sz w:val="20"/>
          <w:szCs w:val="20"/>
        </w:rPr>
        <w:t>on</w:t>
      </w:r>
      <w:r w:rsidR="00D44A3C" w:rsidRPr="001E4C94">
        <w:rPr>
          <w:rFonts w:asciiTheme="majorHAnsi" w:hAnsiTheme="majorHAnsi"/>
          <w:color w:val="000000"/>
          <w:sz w:val="20"/>
          <w:szCs w:val="20"/>
        </w:rPr>
        <w:t xml:space="preserve"> the requirement for prior exhaustion of domestic remedies</w:t>
      </w:r>
      <w:r w:rsidR="00BF7C9D" w:rsidRPr="001E4C94">
        <w:rPr>
          <w:rFonts w:asciiTheme="majorHAnsi" w:hAnsiTheme="majorHAnsi"/>
          <w:color w:val="000000"/>
          <w:sz w:val="20"/>
          <w:szCs w:val="20"/>
        </w:rPr>
        <w:t>.</w:t>
      </w:r>
      <w:r w:rsidR="00D44A3C" w:rsidRPr="001E4C94">
        <w:rPr>
          <w:rFonts w:asciiTheme="majorHAnsi" w:hAnsiTheme="majorHAnsi"/>
          <w:color w:val="000000"/>
          <w:sz w:val="20"/>
          <w:szCs w:val="20"/>
        </w:rPr>
        <w:t xml:space="preserve"> </w:t>
      </w:r>
      <w:r w:rsidRPr="001E4C94">
        <w:rPr>
          <w:rFonts w:asciiTheme="majorHAnsi" w:hAnsiTheme="majorHAnsi"/>
          <w:color w:val="000000"/>
          <w:sz w:val="20"/>
          <w:szCs w:val="20"/>
        </w:rPr>
        <w:t>T</w:t>
      </w:r>
      <w:r w:rsidR="00D44A3C" w:rsidRPr="001E4C94">
        <w:rPr>
          <w:rFonts w:asciiTheme="majorHAnsi" w:hAnsiTheme="majorHAnsi"/>
          <w:color w:val="000000"/>
          <w:sz w:val="20"/>
          <w:szCs w:val="20"/>
        </w:rPr>
        <w:t xml:space="preserve">he </w:t>
      </w:r>
      <w:r w:rsidR="008C0889" w:rsidRPr="001E4C94">
        <w:rPr>
          <w:rFonts w:asciiTheme="majorHAnsi" w:hAnsiTheme="majorHAnsi"/>
          <w:color w:val="000000"/>
          <w:sz w:val="20"/>
          <w:szCs w:val="20"/>
        </w:rPr>
        <w:t>IACHR</w:t>
      </w:r>
      <w:r w:rsidR="00D44A3C" w:rsidRPr="001E4C94">
        <w:rPr>
          <w:rFonts w:asciiTheme="majorHAnsi" w:hAnsiTheme="majorHAnsi"/>
          <w:color w:val="000000"/>
          <w:sz w:val="20"/>
          <w:szCs w:val="20"/>
        </w:rPr>
        <w:t xml:space="preserve"> has </w:t>
      </w:r>
      <w:r w:rsidR="00BE2222" w:rsidRPr="001E4C94">
        <w:rPr>
          <w:rFonts w:asciiTheme="majorHAnsi" w:hAnsiTheme="majorHAnsi"/>
          <w:color w:val="000000"/>
          <w:sz w:val="20"/>
          <w:szCs w:val="20"/>
        </w:rPr>
        <w:t xml:space="preserve">consistently </w:t>
      </w:r>
      <w:r w:rsidR="00D44A3C" w:rsidRPr="001E4C94">
        <w:rPr>
          <w:rFonts w:asciiTheme="majorHAnsi" w:hAnsiTheme="majorHAnsi"/>
          <w:color w:val="000000"/>
          <w:sz w:val="20"/>
          <w:szCs w:val="20"/>
        </w:rPr>
        <w:t xml:space="preserve">held </w:t>
      </w:r>
      <w:r w:rsidR="001D0F93" w:rsidRPr="001E4C94">
        <w:rPr>
          <w:rFonts w:asciiTheme="majorHAnsi" w:hAnsiTheme="majorHAnsi"/>
          <w:color w:val="000000"/>
          <w:sz w:val="20"/>
          <w:szCs w:val="20"/>
        </w:rPr>
        <w:t xml:space="preserve">that </w:t>
      </w:r>
      <w:r w:rsidR="00283DC6" w:rsidRPr="001E4C94">
        <w:rPr>
          <w:rFonts w:asciiTheme="majorHAnsi" w:hAnsiTheme="majorHAnsi"/>
          <w:color w:val="000000"/>
          <w:sz w:val="20"/>
          <w:szCs w:val="20"/>
        </w:rPr>
        <w:t>by virtue of the</w:t>
      </w:r>
      <w:r w:rsidR="00BE2222" w:rsidRPr="001E4C94">
        <w:rPr>
          <w:rFonts w:asciiTheme="majorHAnsi" w:hAnsiTheme="majorHAnsi"/>
          <w:color w:val="000000"/>
          <w:sz w:val="20"/>
          <w:szCs w:val="20"/>
        </w:rPr>
        <w:t xml:space="preserve"> principle of </w:t>
      </w:r>
      <w:r w:rsidR="00BE2222" w:rsidRPr="009C26BB">
        <w:rPr>
          <w:rFonts w:asciiTheme="majorHAnsi" w:hAnsiTheme="majorHAnsi"/>
          <w:i/>
          <w:color w:val="000000"/>
          <w:sz w:val="20"/>
          <w:szCs w:val="20"/>
        </w:rPr>
        <w:t>estoppel</w:t>
      </w:r>
      <w:r w:rsidR="00BE2222" w:rsidRPr="001E4C94">
        <w:rPr>
          <w:rFonts w:asciiTheme="majorHAnsi" w:hAnsiTheme="majorHAnsi"/>
          <w:color w:val="000000"/>
          <w:sz w:val="20"/>
          <w:szCs w:val="20"/>
        </w:rPr>
        <w:t xml:space="preserve">, the State may not ignore what it has already </w:t>
      </w:r>
      <w:r w:rsidR="00283DC6" w:rsidRPr="001E4C94">
        <w:rPr>
          <w:rFonts w:asciiTheme="majorHAnsi" w:hAnsiTheme="majorHAnsi"/>
          <w:color w:val="000000"/>
          <w:sz w:val="20"/>
          <w:szCs w:val="20"/>
        </w:rPr>
        <w:t>argued</w:t>
      </w:r>
      <w:r w:rsidRPr="001E4C94">
        <w:rPr>
          <w:rFonts w:asciiTheme="majorHAnsi" w:hAnsiTheme="majorHAnsi"/>
          <w:color w:val="000000"/>
          <w:sz w:val="20"/>
          <w:szCs w:val="20"/>
        </w:rPr>
        <w:t xml:space="preserve"> </w:t>
      </w:r>
      <w:r w:rsidR="00BE2222" w:rsidRPr="001E4C94">
        <w:rPr>
          <w:rFonts w:asciiTheme="majorHAnsi" w:hAnsiTheme="majorHAnsi"/>
          <w:color w:val="000000"/>
          <w:sz w:val="20"/>
          <w:szCs w:val="20"/>
        </w:rPr>
        <w:t xml:space="preserve">in </w:t>
      </w:r>
      <w:r w:rsidR="008C0889" w:rsidRPr="001E4C94">
        <w:rPr>
          <w:rFonts w:asciiTheme="majorHAnsi" w:hAnsiTheme="majorHAnsi"/>
          <w:color w:val="000000"/>
          <w:sz w:val="20"/>
          <w:szCs w:val="20"/>
        </w:rPr>
        <w:t>prior</w:t>
      </w:r>
      <w:r w:rsidR="00BE2222" w:rsidRPr="001E4C94">
        <w:rPr>
          <w:rFonts w:asciiTheme="majorHAnsi" w:hAnsiTheme="majorHAnsi"/>
          <w:color w:val="000000"/>
          <w:sz w:val="20"/>
          <w:szCs w:val="20"/>
        </w:rPr>
        <w:t xml:space="preserve"> submissions</w:t>
      </w:r>
      <w:r w:rsidR="00283DC6" w:rsidRPr="001E4C94">
        <w:rPr>
          <w:rFonts w:asciiTheme="majorHAnsi" w:hAnsiTheme="majorHAnsi"/>
          <w:color w:val="000000"/>
          <w:sz w:val="20"/>
          <w:szCs w:val="20"/>
        </w:rPr>
        <w:t>,</w:t>
      </w:r>
      <w:r w:rsidR="00BE2222" w:rsidRPr="001E4C94">
        <w:rPr>
          <w:rFonts w:asciiTheme="majorHAnsi" w:hAnsiTheme="majorHAnsi"/>
          <w:color w:val="000000"/>
          <w:sz w:val="20"/>
          <w:szCs w:val="20"/>
        </w:rPr>
        <w:t xml:space="preserve"> and </w:t>
      </w:r>
      <w:r w:rsidR="008C0889" w:rsidRPr="001E4C94">
        <w:rPr>
          <w:rFonts w:asciiTheme="majorHAnsi" w:hAnsiTheme="majorHAnsi"/>
          <w:color w:val="000000"/>
          <w:sz w:val="20"/>
          <w:szCs w:val="20"/>
        </w:rPr>
        <w:t>th</w:t>
      </w:r>
      <w:r w:rsidRPr="001E4C94">
        <w:rPr>
          <w:rFonts w:asciiTheme="majorHAnsi" w:hAnsiTheme="majorHAnsi"/>
          <w:color w:val="000000"/>
          <w:sz w:val="20"/>
          <w:szCs w:val="20"/>
        </w:rPr>
        <w:t>us</w:t>
      </w:r>
      <w:r w:rsidR="00283DC6" w:rsidRPr="001E4C94">
        <w:rPr>
          <w:rFonts w:asciiTheme="majorHAnsi" w:hAnsiTheme="majorHAnsi"/>
          <w:color w:val="000000"/>
          <w:sz w:val="20"/>
          <w:szCs w:val="20"/>
        </w:rPr>
        <w:t>,</w:t>
      </w:r>
      <w:r w:rsidR="00BE2222" w:rsidRPr="001E4C94">
        <w:rPr>
          <w:rFonts w:asciiTheme="majorHAnsi" w:hAnsiTheme="majorHAnsi"/>
          <w:color w:val="000000"/>
          <w:sz w:val="20"/>
          <w:szCs w:val="20"/>
        </w:rPr>
        <w:t xml:space="preserve"> cannot first </w:t>
      </w:r>
      <w:r w:rsidR="00283DC6" w:rsidRPr="001E4C94">
        <w:rPr>
          <w:rFonts w:asciiTheme="majorHAnsi" w:hAnsiTheme="majorHAnsi"/>
          <w:color w:val="000000"/>
          <w:sz w:val="20"/>
          <w:szCs w:val="20"/>
        </w:rPr>
        <w:t xml:space="preserve">maintain </w:t>
      </w:r>
      <w:r w:rsidR="00BE2222" w:rsidRPr="001E4C94">
        <w:rPr>
          <w:rFonts w:asciiTheme="majorHAnsi" w:hAnsiTheme="majorHAnsi"/>
          <w:color w:val="000000"/>
          <w:sz w:val="20"/>
          <w:szCs w:val="20"/>
        </w:rPr>
        <w:t xml:space="preserve">that domestic remedies are exhausted and then </w:t>
      </w:r>
      <w:r w:rsidR="00283DC6" w:rsidRPr="001E4C94">
        <w:rPr>
          <w:rFonts w:asciiTheme="majorHAnsi" w:hAnsiTheme="majorHAnsi"/>
          <w:color w:val="000000"/>
          <w:sz w:val="20"/>
          <w:szCs w:val="20"/>
        </w:rPr>
        <w:t>assert</w:t>
      </w:r>
      <w:r w:rsidR="00BE2222" w:rsidRPr="001E4C94">
        <w:rPr>
          <w:rFonts w:asciiTheme="majorHAnsi" w:hAnsiTheme="majorHAnsi"/>
          <w:color w:val="000000"/>
          <w:sz w:val="20"/>
          <w:szCs w:val="20"/>
        </w:rPr>
        <w:t xml:space="preserve"> the contrary. Indeed, such </w:t>
      </w:r>
      <w:r w:rsidR="00283DC6" w:rsidRPr="001E4C94">
        <w:rPr>
          <w:rFonts w:asciiTheme="majorHAnsi" w:hAnsiTheme="majorHAnsi"/>
          <w:color w:val="000000"/>
          <w:sz w:val="20"/>
          <w:szCs w:val="20"/>
        </w:rPr>
        <w:t xml:space="preserve">conduct falls under </w:t>
      </w:r>
      <w:r w:rsidR="00BE2222" w:rsidRPr="001E4C94">
        <w:rPr>
          <w:rFonts w:asciiTheme="majorHAnsi" w:hAnsiTheme="majorHAnsi"/>
          <w:color w:val="000000"/>
          <w:sz w:val="20"/>
          <w:szCs w:val="20"/>
        </w:rPr>
        <w:t xml:space="preserve">the doctrine of </w:t>
      </w:r>
      <w:r w:rsidR="00C06FA7" w:rsidRPr="001E4C94">
        <w:rPr>
          <w:rFonts w:asciiTheme="majorHAnsi" w:hAnsiTheme="majorHAnsi"/>
          <w:color w:val="000000"/>
          <w:sz w:val="20"/>
          <w:szCs w:val="20"/>
        </w:rPr>
        <w:t>‘one’s own acts’ [</w:t>
      </w:r>
      <w:r w:rsidR="00C06FA7" w:rsidRPr="001E4C94">
        <w:rPr>
          <w:rFonts w:asciiTheme="majorHAnsi" w:hAnsiTheme="majorHAnsi"/>
          <w:i/>
          <w:color w:val="000000"/>
          <w:sz w:val="20"/>
          <w:szCs w:val="20"/>
        </w:rPr>
        <w:t>doctrina de los actos propios</w:t>
      </w:r>
      <w:r w:rsidR="00C06FA7" w:rsidRPr="001E4C94">
        <w:rPr>
          <w:rFonts w:asciiTheme="majorHAnsi" w:hAnsiTheme="majorHAnsi"/>
          <w:color w:val="000000"/>
          <w:sz w:val="20"/>
          <w:szCs w:val="20"/>
        </w:rPr>
        <w:t xml:space="preserve">], generally </w:t>
      </w:r>
      <w:r w:rsidR="001D0F93" w:rsidRPr="001E4C94">
        <w:rPr>
          <w:rFonts w:asciiTheme="majorHAnsi" w:hAnsiTheme="majorHAnsi"/>
          <w:color w:val="000000"/>
          <w:sz w:val="20"/>
          <w:szCs w:val="20"/>
        </w:rPr>
        <w:t>summed up</w:t>
      </w:r>
      <w:r w:rsidR="00C06FA7" w:rsidRPr="001E4C94">
        <w:rPr>
          <w:rFonts w:asciiTheme="majorHAnsi" w:hAnsiTheme="majorHAnsi"/>
          <w:color w:val="000000"/>
          <w:sz w:val="20"/>
          <w:szCs w:val="20"/>
        </w:rPr>
        <w:t xml:space="preserve"> </w:t>
      </w:r>
      <w:r w:rsidR="001D0F93" w:rsidRPr="001E4C94">
        <w:rPr>
          <w:rFonts w:asciiTheme="majorHAnsi" w:hAnsiTheme="majorHAnsi"/>
          <w:iCs/>
          <w:color w:val="000000"/>
          <w:sz w:val="20"/>
          <w:szCs w:val="20"/>
        </w:rPr>
        <w:t>i</w:t>
      </w:r>
      <w:r w:rsidR="001D0F93" w:rsidRPr="001E4C94">
        <w:rPr>
          <w:rFonts w:asciiTheme="majorHAnsi" w:hAnsiTheme="majorHAnsi"/>
          <w:color w:val="000000"/>
          <w:sz w:val="20"/>
          <w:szCs w:val="20"/>
        </w:rPr>
        <w:t xml:space="preserve">n this Commission’s case law </w:t>
      </w:r>
      <w:r w:rsidR="005A3031" w:rsidRPr="001E4C94">
        <w:rPr>
          <w:rFonts w:asciiTheme="majorHAnsi" w:hAnsiTheme="majorHAnsi"/>
          <w:color w:val="000000"/>
          <w:sz w:val="20"/>
          <w:szCs w:val="20"/>
        </w:rPr>
        <w:t xml:space="preserve">by </w:t>
      </w:r>
      <w:r w:rsidR="00283DC6" w:rsidRPr="001E4C94">
        <w:rPr>
          <w:rFonts w:asciiTheme="majorHAnsi" w:hAnsiTheme="majorHAnsi"/>
          <w:color w:val="000000"/>
          <w:sz w:val="20"/>
          <w:szCs w:val="20"/>
        </w:rPr>
        <w:t>the</w:t>
      </w:r>
      <w:r w:rsidR="008C0889" w:rsidRPr="001E4C94">
        <w:rPr>
          <w:rFonts w:asciiTheme="majorHAnsi" w:hAnsiTheme="majorHAnsi"/>
          <w:color w:val="000000"/>
          <w:sz w:val="20"/>
          <w:szCs w:val="20"/>
        </w:rPr>
        <w:t xml:space="preserve"> L</w:t>
      </w:r>
      <w:r w:rsidR="00C06FA7" w:rsidRPr="001E4C94">
        <w:rPr>
          <w:rFonts w:asciiTheme="majorHAnsi" w:hAnsiTheme="majorHAnsi"/>
          <w:color w:val="000000"/>
          <w:sz w:val="20"/>
          <w:szCs w:val="20"/>
        </w:rPr>
        <w:t xml:space="preserve">atin </w:t>
      </w:r>
      <w:r w:rsidR="001D0F93" w:rsidRPr="001E4C94">
        <w:rPr>
          <w:rFonts w:asciiTheme="majorHAnsi" w:hAnsiTheme="majorHAnsi"/>
          <w:color w:val="000000"/>
          <w:sz w:val="20"/>
          <w:szCs w:val="20"/>
        </w:rPr>
        <w:t xml:space="preserve">expression </w:t>
      </w:r>
      <w:r w:rsidR="005B0579" w:rsidRPr="001E4C94">
        <w:rPr>
          <w:rFonts w:asciiTheme="majorHAnsi" w:hAnsiTheme="majorHAnsi"/>
          <w:color w:val="000000"/>
          <w:sz w:val="20"/>
          <w:szCs w:val="20"/>
        </w:rPr>
        <w:t>“</w:t>
      </w:r>
      <w:r w:rsidR="005B0579" w:rsidRPr="001E4C94">
        <w:rPr>
          <w:rFonts w:asciiTheme="majorHAnsi" w:hAnsiTheme="majorHAnsi"/>
          <w:i/>
          <w:iCs/>
          <w:color w:val="000000"/>
          <w:sz w:val="20"/>
          <w:szCs w:val="20"/>
        </w:rPr>
        <w:t>non concedit venire contra factum proprium</w:t>
      </w:r>
      <w:r w:rsidR="001D0F93" w:rsidRPr="001E4C94">
        <w:rPr>
          <w:rFonts w:asciiTheme="majorHAnsi" w:hAnsiTheme="majorHAnsi"/>
          <w:i/>
          <w:iCs/>
          <w:color w:val="000000"/>
          <w:sz w:val="20"/>
          <w:szCs w:val="20"/>
        </w:rPr>
        <w:t>.</w:t>
      </w:r>
      <w:r w:rsidR="005B0579" w:rsidRPr="001E4C94">
        <w:rPr>
          <w:rFonts w:asciiTheme="majorHAnsi" w:hAnsiTheme="majorHAnsi"/>
          <w:iCs/>
          <w:color w:val="000000"/>
          <w:sz w:val="20"/>
          <w:szCs w:val="20"/>
        </w:rPr>
        <w:t>”</w:t>
      </w:r>
      <w:r w:rsidR="00F25FF7" w:rsidRPr="001E4C94">
        <w:rPr>
          <w:rStyle w:val="FootnoteReference"/>
          <w:rFonts w:asciiTheme="majorHAnsi" w:hAnsiTheme="majorHAnsi"/>
          <w:iCs/>
          <w:color w:val="000000"/>
          <w:sz w:val="20"/>
          <w:szCs w:val="20"/>
        </w:rPr>
        <w:footnoteReference w:id="10"/>
      </w:r>
      <w:r w:rsidR="005A3031" w:rsidRPr="001E4C94">
        <w:rPr>
          <w:rFonts w:asciiTheme="majorHAnsi" w:hAnsiTheme="majorHAnsi"/>
          <w:color w:val="000000"/>
          <w:sz w:val="20"/>
          <w:szCs w:val="20"/>
        </w:rPr>
        <w:t xml:space="preserve"> </w:t>
      </w:r>
      <w:r w:rsidR="00C06FA7" w:rsidRPr="001E4C94">
        <w:rPr>
          <w:rFonts w:asciiTheme="majorHAnsi" w:hAnsiTheme="majorHAnsi"/>
          <w:iCs/>
          <w:color w:val="000000"/>
          <w:sz w:val="20"/>
          <w:szCs w:val="20"/>
        </w:rPr>
        <w:t xml:space="preserve">What is more, the </w:t>
      </w:r>
      <w:r w:rsidR="00795335" w:rsidRPr="001E4C94">
        <w:rPr>
          <w:rFonts w:asciiTheme="majorHAnsi" w:hAnsiTheme="majorHAnsi"/>
          <w:iCs/>
          <w:color w:val="000000"/>
          <w:sz w:val="20"/>
          <w:szCs w:val="20"/>
        </w:rPr>
        <w:t xml:space="preserve">IACHR </w:t>
      </w:r>
      <w:r w:rsidR="00C06FA7" w:rsidRPr="001E4C94">
        <w:rPr>
          <w:rFonts w:asciiTheme="majorHAnsi" w:hAnsiTheme="majorHAnsi"/>
          <w:iCs/>
          <w:color w:val="000000"/>
          <w:sz w:val="20"/>
          <w:szCs w:val="20"/>
        </w:rPr>
        <w:t xml:space="preserve">notes that the State did not report </w:t>
      </w:r>
      <w:r w:rsidR="00283DC6" w:rsidRPr="001E4C94">
        <w:rPr>
          <w:rFonts w:asciiTheme="majorHAnsi" w:hAnsiTheme="majorHAnsi"/>
          <w:iCs/>
          <w:color w:val="000000"/>
          <w:sz w:val="20"/>
          <w:szCs w:val="20"/>
        </w:rPr>
        <w:t>the criminal investigation</w:t>
      </w:r>
      <w:r w:rsidR="005A3031" w:rsidRPr="001E4C94">
        <w:rPr>
          <w:rFonts w:asciiTheme="majorHAnsi" w:hAnsiTheme="majorHAnsi"/>
          <w:iCs/>
          <w:color w:val="000000"/>
          <w:sz w:val="20"/>
          <w:szCs w:val="20"/>
        </w:rPr>
        <w:t xml:space="preserve"> had been reopened</w:t>
      </w:r>
      <w:r w:rsidR="00C06FA7" w:rsidRPr="001E4C94">
        <w:rPr>
          <w:rFonts w:asciiTheme="majorHAnsi" w:hAnsiTheme="majorHAnsi"/>
          <w:iCs/>
          <w:color w:val="000000"/>
          <w:sz w:val="20"/>
          <w:szCs w:val="20"/>
        </w:rPr>
        <w:t>—which took place in 2009—until 2015. Indeed, in</w:t>
      </w:r>
      <w:r w:rsidR="00795335" w:rsidRPr="001E4C94">
        <w:rPr>
          <w:rFonts w:asciiTheme="majorHAnsi" w:hAnsiTheme="majorHAnsi"/>
          <w:iCs/>
          <w:color w:val="000000"/>
          <w:sz w:val="20"/>
          <w:szCs w:val="20"/>
        </w:rPr>
        <w:t xml:space="preserve"> </w:t>
      </w:r>
      <w:r w:rsidR="00C06FA7" w:rsidRPr="001E4C94">
        <w:rPr>
          <w:rFonts w:asciiTheme="majorHAnsi" w:hAnsiTheme="majorHAnsi"/>
          <w:iCs/>
          <w:color w:val="000000"/>
          <w:sz w:val="20"/>
          <w:szCs w:val="20"/>
        </w:rPr>
        <w:lastRenderedPageBreak/>
        <w:t xml:space="preserve">its </w:t>
      </w:r>
      <w:r w:rsidR="00283DC6" w:rsidRPr="001E4C94">
        <w:rPr>
          <w:rFonts w:asciiTheme="majorHAnsi" w:hAnsiTheme="majorHAnsi"/>
          <w:iCs/>
          <w:color w:val="000000"/>
          <w:sz w:val="20"/>
          <w:szCs w:val="20"/>
        </w:rPr>
        <w:t>submission</w:t>
      </w:r>
      <w:r w:rsidR="00C06FA7" w:rsidRPr="001E4C94">
        <w:rPr>
          <w:rFonts w:asciiTheme="majorHAnsi" w:hAnsiTheme="majorHAnsi"/>
          <w:iCs/>
          <w:color w:val="000000"/>
          <w:sz w:val="20"/>
          <w:szCs w:val="20"/>
        </w:rPr>
        <w:t xml:space="preserve"> of 2014, five years after the </w:t>
      </w:r>
      <w:r w:rsidR="00283DC6" w:rsidRPr="001E4C94">
        <w:rPr>
          <w:rFonts w:asciiTheme="majorHAnsi" w:hAnsiTheme="majorHAnsi"/>
          <w:iCs/>
          <w:color w:val="000000"/>
          <w:sz w:val="20"/>
          <w:szCs w:val="20"/>
        </w:rPr>
        <w:t>investigation</w:t>
      </w:r>
      <w:r w:rsidR="005A3031" w:rsidRPr="001E4C94">
        <w:rPr>
          <w:rFonts w:asciiTheme="majorHAnsi" w:hAnsiTheme="majorHAnsi"/>
          <w:iCs/>
          <w:color w:val="000000"/>
          <w:sz w:val="20"/>
          <w:szCs w:val="20"/>
        </w:rPr>
        <w:t xml:space="preserve"> had been reopened, it did not reveal this;</w:t>
      </w:r>
      <w:r w:rsidR="00C06FA7" w:rsidRPr="001E4C94">
        <w:rPr>
          <w:rFonts w:asciiTheme="majorHAnsi" w:hAnsiTheme="majorHAnsi"/>
          <w:iCs/>
          <w:color w:val="000000"/>
          <w:sz w:val="20"/>
          <w:szCs w:val="20"/>
        </w:rPr>
        <w:t xml:space="preserve"> rather it requested that the Commission, </w:t>
      </w:r>
      <w:r w:rsidR="005A3031" w:rsidRPr="001E4C94">
        <w:rPr>
          <w:rFonts w:asciiTheme="majorHAnsi" w:hAnsiTheme="majorHAnsi"/>
          <w:iCs/>
          <w:color w:val="000000"/>
          <w:sz w:val="20"/>
          <w:szCs w:val="20"/>
        </w:rPr>
        <w:t xml:space="preserve">referring </w:t>
      </w:r>
      <w:r w:rsidR="00C06FA7" w:rsidRPr="001E4C94">
        <w:rPr>
          <w:rFonts w:asciiTheme="majorHAnsi" w:hAnsiTheme="majorHAnsi"/>
          <w:iCs/>
          <w:color w:val="000000"/>
          <w:sz w:val="20"/>
          <w:szCs w:val="20"/>
        </w:rPr>
        <w:t xml:space="preserve">to its prior submission, declare domestic remedies to </w:t>
      </w:r>
      <w:r w:rsidR="005A3031" w:rsidRPr="001E4C94">
        <w:rPr>
          <w:rFonts w:asciiTheme="majorHAnsi" w:hAnsiTheme="majorHAnsi"/>
          <w:iCs/>
          <w:color w:val="000000"/>
          <w:sz w:val="20"/>
          <w:szCs w:val="20"/>
        </w:rPr>
        <w:t xml:space="preserve">have </w:t>
      </w:r>
      <w:r w:rsidR="00C06FA7" w:rsidRPr="001E4C94">
        <w:rPr>
          <w:rFonts w:asciiTheme="majorHAnsi" w:hAnsiTheme="majorHAnsi"/>
          <w:iCs/>
          <w:color w:val="000000"/>
          <w:sz w:val="20"/>
          <w:szCs w:val="20"/>
        </w:rPr>
        <w:t>be</w:t>
      </w:r>
      <w:r w:rsidR="005A3031" w:rsidRPr="001E4C94">
        <w:rPr>
          <w:rFonts w:asciiTheme="majorHAnsi" w:hAnsiTheme="majorHAnsi"/>
          <w:iCs/>
          <w:color w:val="000000"/>
          <w:sz w:val="20"/>
          <w:szCs w:val="20"/>
        </w:rPr>
        <w:t>en</w:t>
      </w:r>
      <w:r w:rsidR="00C06FA7" w:rsidRPr="001E4C94">
        <w:rPr>
          <w:rFonts w:asciiTheme="majorHAnsi" w:hAnsiTheme="majorHAnsi"/>
          <w:iCs/>
          <w:color w:val="000000"/>
          <w:sz w:val="20"/>
          <w:szCs w:val="20"/>
        </w:rPr>
        <w:t xml:space="preserve"> exhausted, and de</w:t>
      </w:r>
      <w:r w:rsidR="005A3031" w:rsidRPr="001E4C94">
        <w:rPr>
          <w:rFonts w:asciiTheme="majorHAnsi" w:hAnsiTheme="majorHAnsi"/>
          <w:iCs/>
          <w:color w:val="000000"/>
          <w:sz w:val="20"/>
          <w:szCs w:val="20"/>
        </w:rPr>
        <w:t xml:space="preserve">ny </w:t>
      </w:r>
      <w:r w:rsidR="00C06FA7" w:rsidRPr="001E4C94">
        <w:rPr>
          <w:rFonts w:asciiTheme="majorHAnsi" w:hAnsiTheme="majorHAnsi"/>
          <w:iCs/>
          <w:color w:val="000000"/>
          <w:sz w:val="20"/>
          <w:szCs w:val="20"/>
        </w:rPr>
        <w:t>the petition</w:t>
      </w:r>
      <w:r w:rsidR="005A3031" w:rsidRPr="001E4C94">
        <w:rPr>
          <w:rFonts w:asciiTheme="majorHAnsi" w:hAnsiTheme="majorHAnsi"/>
          <w:iCs/>
          <w:color w:val="000000"/>
          <w:sz w:val="20"/>
          <w:szCs w:val="20"/>
        </w:rPr>
        <w:t>’s admissibility</w:t>
      </w:r>
      <w:r w:rsidR="00C06FA7" w:rsidRPr="001E4C94">
        <w:rPr>
          <w:rFonts w:asciiTheme="majorHAnsi" w:hAnsiTheme="majorHAnsi"/>
          <w:iCs/>
          <w:color w:val="000000"/>
          <w:sz w:val="20"/>
          <w:szCs w:val="20"/>
        </w:rPr>
        <w:t xml:space="preserve"> for failing to contain facts that constitute violations of the American Convention.</w:t>
      </w:r>
    </w:p>
    <w:p w:rsidR="005758BA" w:rsidRPr="001E4C94" w:rsidRDefault="005758BA" w:rsidP="006E4093">
      <w:pPr>
        <w:spacing w:after="0"/>
        <w:jc w:val="both"/>
        <w:rPr>
          <w:rFonts w:asciiTheme="majorHAnsi" w:hAnsiTheme="majorHAnsi"/>
          <w:color w:val="000000"/>
          <w:sz w:val="20"/>
          <w:szCs w:val="20"/>
        </w:rPr>
      </w:pPr>
    </w:p>
    <w:p w:rsidR="00FC58CE" w:rsidRPr="001E4C94" w:rsidRDefault="00C06FA7"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color w:val="000000"/>
          <w:sz w:val="20"/>
          <w:szCs w:val="20"/>
        </w:rPr>
        <w:t xml:space="preserve">Secondly, with respect to </w:t>
      </w:r>
      <w:r w:rsidR="005A3031" w:rsidRPr="001E4C94">
        <w:rPr>
          <w:rFonts w:asciiTheme="majorHAnsi" w:hAnsiTheme="majorHAnsi"/>
          <w:color w:val="000000"/>
          <w:sz w:val="20"/>
          <w:szCs w:val="20"/>
        </w:rPr>
        <w:t xml:space="preserve">the petitioners’ </w:t>
      </w:r>
      <w:r w:rsidRPr="001E4C94">
        <w:rPr>
          <w:rFonts w:asciiTheme="majorHAnsi" w:hAnsiTheme="majorHAnsi"/>
          <w:color w:val="000000"/>
          <w:sz w:val="20"/>
          <w:szCs w:val="20"/>
        </w:rPr>
        <w:t xml:space="preserve">alleged </w:t>
      </w:r>
      <w:r w:rsidR="00F04A57" w:rsidRPr="001E4C94">
        <w:rPr>
          <w:rFonts w:asciiTheme="majorHAnsi" w:hAnsiTheme="majorHAnsi"/>
          <w:color w:val="000000"/>
          <w:sz w:val="20"/>
          <w:szCs w:val="20"/>
        </w:rPr>
        <w:t>“</w:t>
      </w:r>
      <w:r w:rsidRPr="001E4C94">
        <w:rPr>
          <w:rFonts w:asciiTheme="majorHAnsi" w:hAnsiTheme="majorHAnsi"/>
          <w:color w:val="000000"/>
          <w:sz w:val="20"/>
          <w:szCs w:val="20"/>
        </w:rPr>
        <w:t xml:space="preserve">lack of interest” for failing to </w:t>
      </w:r>
      <w:r w:rsidR="005A3031" w:rsidRPr="001E4C94">
        <w:rPr>
          <w:rFonts w:asciiTheme="majorHAnsi" w:hAnsiTheme="majorHAnsi"/>
          <w:color w:val="000000"/>
          <w:sz w:val="20"/>
          <w:szCs w:val="20"/>
        </w:rPr>
        <w:t xml:space="preserve">bring </w:t>
      </w:r>
      <w:r w:rsidR="00F04A57" w:rsidRPr="001E4C94">
        <w:rPr>
          <w:rFonts w:asciiTheme="majorHAnsi" w:hAnsiTheme="majorHAnsi"/>
          <w:color w:val="000000"/>
          <w:sz w:val="20"/>
          <w:szCs w:val="20"/>
        </w:rPr>
        <w:t xml:space="preserve">a </w:t>
      </w:r>
      <w:r w:rsidR="005A3031" w:rsidRPr="001E4C94">
        <w:rPr>
          <w:rFonts w:asciiTheme="majorHAnsi" w:hAnsiTheme="majorHAnsi"/>
          <w:color w:val="000000"/>
          <w:sz w:val="20"/>
          <w:szCs w:val="20"/>
        </w:rPr>
        <w:t>civil action as part of</w:t>
      </w:r>
      <w:r w:rsidRPr="001E4C94">
        <w:rPr>
          <w:rFonts w:asciiTheme="majorHAnsi" w:hAnsiTheme="majorHAnsi"/>
          <w:color w:val="000000"/>
          <w:sz w:val="20"/>
          <w:szCs w:val="20"/>
        </w:rPr>
        <w:t xml:space="preserve"> the ordinary criminal proceedings, the IACHR reiterates what </w:t>
      </w:r>
      <w:r w:rsidR="00F04A57" w:rsidRPr="001E4C94">
        <w:rPr>
          <w:rFonts w:asciiTheme="majorHAnsi" w:hAnsiTheme="majorHAnsi"/>
          <w:color w:val="000000"/>
          <w:sz w:val="20"/>
          <w:szCs w:val="20"/>
        </w:rPr>
        <w:t xml:space="preserve">it </w:t>
      </w:r>
      <w:r w:rsidRPr="001E4C94">
        <w:rPr>
          <w:rFonts w:asciiTheme="majorHAnsi" w:hAnsiTheme="majorHAnsi"/>
          <w:color w:val="000000"/>
          <w:sz w:val="20"/>
          <w:szCs w:val="20"/>
        </w:rPr>
        <w:t xml:space="preserve">has </w:t>
      </w:r>
      <w:r w:rsidR="00F04A57" w:rsidRPr="001E4C94">
        <w:rPr>
          <w:rFonts w:asciiTheme="majorHAnsi" w:hAnsiTheme="majorHAnsi"/>
          <w:color w:val="000000"/>
          <w:sz w:val="20"/>
          <w:szCs w:val="20"/>
        </w:rPr>
        <w:t xml:space="preserve">previously </w:t>
      </w:r>
      <w:r w:rsidRPr="001E4C94">
        <w:rPr>
          <w:rFonts w:asciiTheme="majorHAnsi" w:hAnsiTheme="majorHAnsi"/>
          <w:color w:val="000000"/>
          <w:sz w:val="20"/>
          <w:szCs w:val="20"/>
        </w:rPr>
        <w:t xml:space="preserve">set forth in </w:t>
      </w:r>
      <w:r w:rsidR="00F04A57" w:rsidRPr="001E4C94">
        <w:rPr>
          <w:rFonts w:asciiTheme="majorHAnsi" w:hAnsiTheme="majorHAnsi"/>
          <w:color w:val="000000"/>
          <w:sz w:val="20"/>
          <w:szCs w:val="20"/>
        </w:rPr>
        <w:t>other cases</w:t>
      </w:r>
      <w:r w:rsidRPr="001E4C94">
        <w:rPr>
          <w:rFonts w:asciiTheme="majorHAnsi" w:hAnsiTheme="majorHAnsi"/>
          <w:color w:val="000000"/>
          <w:sz w:val="20"/>
          <w:szCs w:val="20"/>
        </w:rPr>
        <w:t xml:space="preserve"> in this regard; </w:t>
      </w:r>
      <w:r w:rsidR="00F04A57" w:rsidRPr="001E4C94">
        <w:rPr>
          <w:rFonts w:asciiTheme="majorHAnsi" w:hAnsiTheme="majorHAnsi"/>
          <w:color w:val="000000"/>
          <w:sz w:val="20"/>
          <w:szCs w:val="20"/>
        </w:rPr>
        <w:t>namely that,</w:t>
      </w:r>
      <w:r w:rsidRPr="001E4C94">
        <w:rPr>
          <w:rFonts w:asciiTheme="majorHAnsi" w:hAnsiTheme="majorHAnsi"/>
          <w:color w:val="000000"/>
          <w:sz w:val="20"/>
          <w:szCs w:val="20"/>
        </w:rPr>
        <w:t xml:space="preserve"> in those </w:t>
      </w:r>
      <w:r w:rsidR="004C2D6D" w:rsidRPr="001E4C94">
        <w:rPr>
          <w:rFonts w:asciiTheme="majorHAnsi" w:hAnsiTheme="majorHAnsi"/>
          <w:color w:val="000000"/>
          <w:sz w:val="20"/>
          <w:szCs w:val="20"/>
        </w:rPr>
        <w:t>procedural systems</w:t>
      </w:r>
      <w:r w:rsidRPr="001E4C94">
        <w:rPr>
          <w:rFonts w:asciiTheme="majorHAnsi" w:hAnsiTheme="majorHAnsi"/>
          <w:color w:val="000000"/>
          <w:sz w:val="20"/>
          <w:szCs w:val="20"/>
        </w:rPr>
        <w:t xml:space="preserve"> in which the victims or their family may have standing to </w:t>
      </w:r>
      <w:r w:rsidR="005A3031" w:rsidRPr="001E4C94">
        <w:rPr>
          <w:rFonts w:asciiTheme="majorHAnsi" w:hAnsiTheme="majorHAnsi"/>
          <w:color w:val="000000"/>
          <w:sz w:val="20"/>
          <w:szCs w:val="20"/>
        </w:rPr>
        <w:t>bring a</w:t>
      </w:r>
      <w:r w:rsidR="00F04A57" w:rsidRPr="001E4C94">
        <w:rPr>
          <w:rFonts w:asciiTheme="majorHAnsi" w:hAnsiTheme="majorHAnsi"/>
          <w:color w:val="000000"/>
          <w:sz w:val="20"/>
          <w:szCs w:val="20"/>
        </w:rPr>
        <w:t xml:space="preserve"> civil action as part of the</w:t>
      </w:r>
      <w:r w:rsidR="004C2D6D" w:rsidRPr="001E4C94">
        <w:rPr>
          <w:rFonts w:asciiTheme="majorHAnsi" w:hAnsiTheme="majorHAnsi"/>
          <w:color w:val="000000"/>
          <w:sz w:val="20"/>
          <w:szCs w:val="20"/>
        </w:rPr>
        <w:t xml:space="preserve"> criminal proceedings, the exercise </w:t>
      </w:r>
      <w:r w:rsidR="001D0F93" w:rsidRPr="001E4C94">
        <w:rPr>
          <w:rFonts w:asciiTheme="majorHAnsi" w:hAnsiTheme="majorHAnsi"/>
          <w:color w:val="000000"/>
          <w:sz w:val="20"/>
          <w:szCs w:val="20"/>
        </w:rPr>
        <w:t xml:space="preserve">thereof </w:t>
      </w:r>
      <w:r w:rsidR="004C2D6D" w:rsidRPr="001E4C94">
        <w:rPr>
          <w:rFonts w:asciiTheme="majorHAnsi" w:hAnsiTheme="majorHAnsi"/>
          <w:color w:val="000000"/>
          <w:sz w:val="20"/>
          <w:szCs w:val="20"/>
        </w:rPr>
        <w:t>is not mandatory, rather option</w:t>
      </w:r>
      <w:r w:rsidR="005A3031" w:rsidRPr="001E4C94">
        <w:rPr>
          <w:rFonts w:asciiTheme="majorHAnsi" w:hAnsiTheme="majorHAnsi"/>
          <w:color w:val="000000"/>
          <w:sz w:val="20"/>
          <w:szCs w:val="20"/>
        </w:rPr>
        <w:t>al</w:t>
      </w:r>
      <w:r w:rsidR="004C2D6D" w:rsidRPr="001E4C94">
        <w:rPr>
          <w:rFonts w:asciiTheme="majorHAnsi" w:hAnsiTheme="majorHAnsi"/>
          <w:color w:val="000000"/>
          <w:sz w:val="20"/>
          <w:szCs w:val="20"/>
        </w:rPr>
        <w:t xml:space="preserve">, and in no way is </w:t>
      </w:r>
      <w:r w:rsidR="005A3031" w:rsidRPr="001E4C94">
        <w:rPr>
          <w:rFonts w:asciiTheme="majorHAnsi" w:hAnsiTheme="majorHAnsi"/>
          <w:color w:val="000000"/>
          <w:sz w:val="20"/>
          <w:szCs w:val="20"/>
        </w:rPr>
        <w:t>a substitute for</w:t>
      </w:r>
      <w:r w:rsidR="004C2D6D" w:rsidRPr="001E4C94">
        <w:rPr>
          <w:rFonts w:asciiTheme="majorHAnsi" w:hAnsiTheme="majorHAnsi"/>
          <w:color w:val="000000"/>
          <w:sz w:val="20"/>
          <w:szCs w:val="20"/>
        </w:rPr>
        <w:t xml:space="preserve"> the State’s actions.</w:t>
      </w:r>
      <w:r w:rsidR="00130550" w:rsidRPr="001E4C94">
        <w:rPr>
          <w:rStyle w:val="FootnoteReference"/>
          <w:rFonts w:asciiTheme="majorHAnsi" w:hAnsiTheme="majorHAnsi" w:cs="Calibri"/>
          <w:sz w:val="20"/>
          <w:szCs w:val="20"/>
        </w:rPr>
        <w:footnoteReference w:id="11"/>
      </w:r>
      <w:r w:rsidR="00F2225B" w:rsidRPr="001E4C94">
        <w:rPr>
          <w:rFonts w:asciiTheme="majorHAnsi" w:hAnsiTheme="majorHAnsi"/>
          <w:color w:val="000000"/>
          <w:sz w:val="20"/>
          <w:szCs w:val="20"/>
        </w:rPr>
        <w:t xml:space="preserve"> </w:t>
      </w:r>
      <w:r w:rsidR="004C2D6D" w:rsidRPr="001E4C94">
        <w:rPr>
          <w:rFonts w:asciiTheme="majorHAnsi" w:hAnsiTheme="majorHAnsi"/>
          <w:color w:val="000000"/>
          <w:sz w:val="20"/>
          <w:szCs w:val="20"/>
        </w:rPr>
        <w:t xml:space="preserve">In other words, failure to have used these </w:t>
      </w:r>
      <w:r w:rsidR="00F04A57" w:rsidRPr="001E4C94">
        <w:rPr>
          <w:rFonts w:asciiTheme="majorHAnsi" w:hAnsiTheme="majorHAnsi"/>
          <w:color w:val="000000"/>
          <w:sz w:val="20"/>
          <w:szCs w:val="20"/>
        </w:rPr>
        <w:t>legal actions</w:t>
      </w:r>
      <w:r w:rsidR="004C2D6D" w:rsidRPr="001E4C94">
        <w:rPr>
          <w:rFonts w:asciiTheme="majorHAnsi" w:hAnsiTheme="majorHAnsi"/>
          <w:color w:val="000000"/>
          <w:sz w:val="20"/>
          <w:szCs w:val="20"/>
        </w:rPr>
        <w:t xml:space="preserve"> that are supplementary or auxiliary to criminal proceedings</w:t>
      </w:r>
      <w:r w:rsidR="00F04A57" w:rsidRPr="001E4C94">
        <w:rPr>
          <w:rFonts w:asciiTheme="majorHAnsi" w:hAnsiTheme="majorHAnsi"/>
          <w:color w:val="000000"/>
          <w:sz w:val="20"/>
          <w:szCs w:val="20"/>
        </w:rPr>
        <w:t xml:space="preserve"> that </w:t>
      </w:r>
      <w:r w:rsidR="004C2D6D" w:rsidRPr="001E4C94">
        <w:rPr>
          <w:rFonts w:asciiTheme="majorHAnsi" w:hAnsiTheme="majorHAnsi"/>
          <w:color w:val="000000"/>
          <w:sz w:val="20"/>
          <w:szCs w:val="20"/>
        </w:rPr>
        <w:t xml:space="preserve">the State </w:t>
      </w:r>
      <w:r w:rsidR="00F04A57" w:rsidRPr="001E4C94">
        <w:rPr>
          <w:rFonts w:asciiTheme="majorHAnsi" w:hAnsiTheme="majorHAnsi"/>
          <w:color w:val="000000"/>
          <w:sz w:val="20"/>
          <w:szCs w:val="20"/>
        </w:rPr>
        <w:t xml:space="preserve">is responsible for handling </w:t>
      </w:r>
      <w:r w:rsidR="004C2D6D" w:rsidRPr="001E4C94">
        <w:rPr>
          <w:rFonts w:asciiTheme="majorHAnsi" w:hAnsiTheme="majorHAnsi"/>
          <w:color w:val="000000"/>
          <w:sz w:val="20"/>
          <w:szCs w:val="20"/>
        </w:rPr>
        <w:t xml:space="preserve">does not affect the analysis of </w:t>
      </w:r>
      <w:r w:rsidR="00F04A57" w:rsidRPr="001E4C94">
        <w:rPr>
          <w:rFonts w:asciiTheme="majorHAnsi" w:hAnsiTheme="majorHAnsi"/>
          <w:color w:val="000000"/>
          <w:sz w:val="20"/>
          <w:szCs w:val="20"/>
        </w:rPr>
        <w:t>whether</w:t>
      </w:r>
      <w:r w:rsidR="004C2D6D" w:rsidRPr="001E4C94">
        <w:rPr>
          <w:rFonts w:asciiTheme="majorHAnsi" w:hAnsiTheme="majorHAnsi"/>
          <w:color w:val="000000"/>
          <w:sz w:val="20"/>
          <w:szCs w:val="20"/>
        </w:rPr>
        <w:t xml:space="preserve"> the requirement for prior </w:t>
      </w:r>
      <w:r w:rsidR="008C0889" w:rsidRPr="001E4C94">
        <w:rPr>
          <w:rFonts w:asciiTheme="majorHAnsi" w:hAnsiTheme="majorHAnsi"/>
          <w:color w:val="000000"/>
          <w:sz w:val="20"/>
          <w:szCs w:val="20"/>
        </w:rPr>
        <w:t>exhaustion</w:t>
      </w:r>
      <w:r w:rsidR="004C2D6D" w:rsidRPr="001E4C94">
        <w:rPr>
          <w:rFonts w:asciiTheme="majorHAnsi" w:hAnsiTheme="majorHAnsi"/>
          <w:color w:val="000000"/>
          <w:sz w:val="20"/>
          <w:szCs w:val="20"/>
        </w:rPr>
        <w:t xml:space="preserve"> of domestic remedies</w:t>
      </w:r>
      <w:r w:rsidR="00F04A57" w:rsidRPr="001E4C94">
        <w:rPr>
          <w:rFonts w:asciiTheme="majorHAnsi" w:hAnsiTheme="majorHAnsi"/>
          <w:color w:val="000000"/>
          <w:sz w:val="20"/>
          <w:szCs w:val="20"/>
        </w:rPr>
        <w:t xml:space="preserve"> has been met</w:t>
      </w:r>
      <w:r w:rsidR="004C2D6D" w:rsidRPr="001E4C94">
        <w:rPr>
          <w:rFonts w:asciiTheme="majorHAnsi" w:hAnsiTheme="majorHAnsi"/>
          <w:color w:val="000000"/>
          <w:sz w:val="20"/>
          <w:szCs w:val="20"/>
        </w:rPr>
        <w:t>.</w:t>
      </w:r>
    </w:p>
    <w:p w:rsidR="005758BA" w:rsidRPr="001E4C94" w:rsidRDefault="005758BA" w:rsidP="006E4093">
      <w:pPr>
        <w:spacing w:after="0"/>
        <w:jc w:val="both"/>
        <w:rPr>
          <w:rFonts w:asciiTheme="majorHAnsi" w:hAnsiTheme="majorHAnsi"/>
          <w:sz w:val="20"/>
          <w:szCs w:val="20"/>
        </w:rPr>
      </w:pPr>
    </w:p>
    <w:p w:rsidR="00666069" w:rsidRPr="001E4C94" w:rsidRDefault="00795335"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color w:val="000000"/>
          <w:sz w:val="20"/>
          <w:szCs w:val="20"/>
        </w:rPr>
        <w:t xml:space="preserve">Finally, regarding the argument of the supposed “fourth instance” that would apply to the State’s case in </w:t>
      </w:r>
      <w:r w:rsidR="003726D4" w:rsidRPr="001E4C94">
        <w:rPr>
          <w:rFonts w:asciiTheme="majorHAnsi" w:hAnsiTheme="majorHAnsi"/>
          <w:color w:val="000000"/>
          <w:sz w:val="20"/>
          <w:szCs w:val="20"/>
        </w:rPr>
        <w:t xml:space="preserve">domestic </w:t>
      </w:r>
      <w:r w:rsidRPr="001E4C94">
        <w:rPr>
          <w:rFonts w:asciiTheme="majorHAnsi" w:hAnsiTheme="majorHAnsi"/>
          <w:color w:val="000000"/>
          <w:sz w:val="20"/>
          <w:szCs w:val="20"/>
        </w:rPr>
        <w:t>administrative proceedings</w:t>
      </w:r>
      <w:r w:rsidR="00057A54">
        <w:rPr>
          <w:rFonts w:asciiTheme="majorHAnsi" w:hAnsiTheme="majorHAnsi"/>
          <w:color w:val="000000"/>
          <w:sz w:val="20"/>
          <w:szCs w:val="20"/>
        </w:rPr>
        <w:t xml:space="preserve"> and </w:t>
      </w:r>
      <w:r w:rsidR="00057A54" w:rsidRPr="001E4C94">
        <w:rPr>
          <w:rFonts w:asciiTheme="majorHAnsi" w:hAnsiTheme="majorHAnsi"/>
          <w:sz w:val="20"/>
          <w:szCs w:val="20"/>
        </w:rPr>
        <w:t xml:space="preserve">with regard to the State’s argument that “the petitioner’s claims for damages cannot be </w:t>
      </w:r>
      <w:r w:rsidR="00057A54">
        <w:rPr>
          <w:rFonts w:asciiTheme="majorHAnsi" w:hAnsiTheme="majorHAnsi"/>
          <w:sz w:val="20"/>
          <w:szCs w:val="20"/>
        </w:rPr>
        <w:t>analyzed</w:t>
      </w:r>
      <w:r w:rsidR="00057A54" w:rsidRPr="001E4C94">
        <w:rPr>
          <w:rFonts w:asciiTheme="majorHAnsi" w:hAnsiTheme="majorHAnsi"/>
          <w:sz w:val="20"/>
          <w:szCs w:val="20"/>
        </w:rPr>
        <w:t xml:space="preserve"> by the IACHR” given their failure to exhaust a domestic suit for damages</w:t>
      </w:r>
      <w:r w:rsidRPr="001E4C94">
        <w:rPr>
          <w:rFonts w:asciiTheme="majorHAnsi" w:hAnsiTheme="majorHAnsi"/>
          <w:color w:val="000000"/>
          <w:sz w:val="20"/>
          <w:szCs w:val="20"/>
        </w:rPr>
        <w:t xml:space="preserve">, the IACHR reiterates that the </w:t>
      </w:r>
      <w:r w:rsidR="004A1C6F">
        <w:rPr>
          <w:rFonts w:asciiTheme="majorHAnsi" w:hAnsiTheme="majorHAnsi"/>
          <w:color w:val="000000"/>
          <w:sz w:val="20"/>
          <w:szCs w:val="20"/>
        </w:rPr>
        <w:t>adequate</w:t>
      </w:r>
      <w:r w:rsidRPr="001E4C94">
        <w:rPr>
          <w:rFonts w:asciiTheme="majorHAnsi" w:hAnsiTheme="majorHAnsi"/>
          <w:color w:val="000000"/>
          <w:sz w:val="20"/>
          <w:szCs w:val="20"/>
        </w:rPr>
        <w:t xml:space="preserve"> remedy to exhaust in this case is the criminal investigation</w:t>
      </w:r>
      <w:r w:rsidR="003726D4" w:rsidRPr="001E4C94">
        <w:rPr>
          <w:rFonts w:asciiTheme="majorHAnsi" w:hAnsiTheme="majorHAnsi"/>
          <w:color w:val="000000"/>
          <w:sz w:val="20"/>
          <w:szCs w:val="20"/>
        </w:rPr>
        <w:t>.</w:t>
      </w:r>
      <w:r w:rsidR="0062269B">
        <w:rPr>
          <w:rFonts w:asciiTheme="majorHAnsi" w:hAnsiTheme="majorHAnsi"/>
          <w:color w:val="000000"/>
          <w:sz w:val="20"/>
          <w:szCs w:val="20"/>
        </w:rPr>
        <w:t xml:space="preserve"> </w:t>
      </w:r>
      <w:r w:rsidR="003726D4" w:rsidRPr="001E4C94">
        <w:rPr>
          <w:rFonts w:asciiTheme="majorHAnsi" w:hAnsiTheme="majorHAnsi"/>
          <w:color w:val="000000"/>
          <w:sz w:val="20"/>
          <w:szCs w:val="20"/>
        </w:rPr>
        <w:t>Any o</w:t>
      </w:r>
      <w:r w:rsidRPr="001E4C94">
        <w:rPr>
          <w:rFonts w:asciiTheme="majorHAnsi" w:hAnsiTheme="majorHAnsi"/>
          <w:color w:val="000000"/>
          <w:sz w:val="20"/>
          <w:szCs w:val="20"/>
        </w:rPr>
        <w:t>ther proceedings that may have gone forward in domestic courts</w:t>
      </w:r>
      <w:r w:rsidR="00BF7C9D" w:rsidRPr="001E4C94">
        <w:rPr>
          <w:rFonts w:asciiTheme="majorHAnsi" w:hAnsiTheme="majorHAnsi"/>
          <w:color w:val="000000"/>
          <w:sz w:val="20"/>
          <w:szCs w:val="20"/>
        </w:rPr>
        <w:t xml:space="preserve"> </w:t>
      </w:r>
      <w:r w:rsidRPr="001E4C94">
        <w:rPr>
          <w:rFonts w:asciiTheme="majorHAnsi" w:hAnsiTheme="majorHAnsi"/>
          <w:color w:val="000000"/>
          <w:sz w:val="20"/>
          <w:szCs w:val="20"/>
        </w:rPr>
        <w:t xml:space="preserve">may be subject to the Commission’s review to the extent that </w:t>
      </w:r>
      <w:r w:rsidR="001D0F93" w:rsidRPr="001E4C94">
        <w:rPr>
          <w:rFonts w:asciiTheme="majorHAnsi" w:hAnsiTheme="majorHAnsi"/>
          <w:color w:val="000000"/>
          <w:sz w:val="20"/>
          <w:szCs w:val="20"/>
        </w:rPr>
        <w:t>violations of the American convention took place while they unfolded</w:t>
      </w:r>
      <w:r w:rsidR="008C05EC" w:rsidRPr="001E4C94">
        <w:rPr>
          <w:rFonts w:asciiTheme="majorHAnsi" w:hAnsiTheme="majorHAnsi"/>
          <w:color w:val="000000"/>
          <w:sz w:val="20"/>
          <w:szCs w:val="20"/>
        </w:rPr>
        <w:t>.</w:t>
      </w:r>
    </w:p>
    <w:p w:rsidR="005758BA" w:rsidRPr="001E4C94" w:rsidRDefault="005758BA" w:rsidP="006E4093">
      <w:pPr>
        <w:spacing w:after="0"/>
        <w:jc w:val="both"/>
        <w:rPr>
          <w:rFonts w:asciiTheme="majorHAnsi" w:hAnsiTheme="majorHAnsi"/>
          <w:sz w:val="20"/>
          <w:szCs w:val="20"/>
        </w:rPr>
      </w:pPr>
    </w:p>
    <w:p w:rsidR="00B700A3" w:rsidRPr="0068210A" w:rsidRDefault="00795335" w:rsidP="006E4093">
      <w:pPr>
        <w:numPr>
          <w:ilvl w:val="0"/>
          <w:numId w:val="1"/>
        </w:numPr>
        <w:spacing w:after="0"/>
        <w:ind w:left="0" w:firstLine="720"/>
        <w:jc w:val="both"/>
        <w:rPr>
          <w:rFonts w:asciiTheme="majorHAnsi" w:hAnsiTheme="majorHAnsi"/>
          <w:sz w:val="20"/>
          <w:szCs w:val="20"/>
        </w:rPr>
      </w:pPr>
      <w:r w:rsidRPr="0068210A">
        <w:rPr>
          <w:rFonts w:asciiTheme="majorHAnsi" w:hAnsiTheme="majorHAnsi"/>
          <w:color w:val="000000"/>
          <w:sz w:val="20"/>
          <w:szCs w:val="20"/>
        </w:rPr>
        <w:t xml:space="preserve">Notwithstanding the foregoing, it is noteworthy that </w:t>
      </w:r>
      <w:r w:rsidR="003726D4" w:rsidRPr="0068210A">
        <w:rPr>
          <w:rFonts w:asciiTheme="majorHAnsi" w:hAnsiTheme="majorHAnsi"/>
          <w:color w:val="000000"/>
          <w:sz w:val="20"/>
          <w:szCs w:val="20"/>
        </w:rPr>
        <w:t>to date</w:t>
      </w:r>
      <w:r w:rsidRPr="0068210A">
        <w:rPr>
          <w:rFonts w:asciiTheme="majorHAnsi" w:hAnsiTheme="majorHAnsi"/>
          <w:color w:val="000000"/>
          <w:sz w:val="20"/>
          <w:szCs w:val="20"/>
        </w:rPr>
        <w:t xml:space="preserve"> more than 25 years have gone by since the facts occurred without the competent authorities </w:t>
      </w:r>
      <w:r w:rsidR="003726D4" w:rsidRPr="0068210A">
        <w:rPr>
          <w:rFonts w:asciiTheme="majorHAnsi" w:hAnsiTheme="majorHAnsi"/>
          <w:color w:val="000000"/>
          <w:sz w:val="20"/>
          <w:szCs w:val="20"/>
        </w:rPr>
        <w:t>having been</w:t>
      </w:r>
      <w:r w:rsidRPr="0068210A">
        <w:rPr>
          <w:rFonts w:asciiTheme="majorHAnsi" w:hAnsiTheme="majorHAnsi"/>
          <w:color w:val="000000"/>
          <w:sz w:val="20"/>
          <w:szCs w:val="20"/>
        </w:rPr>
        <w:t xml:space="preserve"> able to determine the </w:t>
      </w:r>
      <w:r w:rsidR="003726D4" w:rsidRPr="0068210A">
        <w:rPr>
          <w:rFonts w:asciiTheme="majorHAnsi" w:hAnsiTheme="majorHAnsi"/>
          <w:color w:val="000000"/>
          <w:sz w:val="20"/>
          <w:szCs w:val="20"/>
        </w:rPr>
        <w:t xml:space="preserve">alleged victim’s </w:t>
      </w:r>
      <w:r w:rsidRPr="0068210A">
        <w:rPr>
          <w:rFonts w:asciiTheme="majorHAnsi" w:hAnsiTheme="majorHAnsi"/>
          <w:color w:val="000000"/>
          <w:sz w:val="20"/>
          <w:szCs w:val="20"/>
        </w:rPr>
        <w:t xml:space="preserve">whereabouts or </w:t>
      </w:r>
      <w:r w:rsidR="003726D4" w:rsidRPr="0068210A">
        <w:rPr>
          <w:rFonts w:asciiTheme="majorHAnsi" w:hAnsiTheme="majorHAnsi"/>
          <w:color w:val="000000"/>
          <w:sz w:val="20"/>
          <w:szCs w:val="20"/>
        </w:rPr>
        <w:t>those o</w:t>
      </w:r>
      <w:r w:rsidRPr="0068210A">
        <w:rPr>
          <w:rFonts w:asciiTheme="majorHAnsi" w:hAnsiTheme="majorHAnsi"/>
          <w:color w:val="000000"/>
          <w:sz w:val="20"/>
          <w:szCs w:val="20"/>
        </w:rPr>
        <w:t>f his remains, or shed light on the respective responsibilities</w:t>
      </w:r>
      <w:r w:rsidR="00BF7C9D" w:rsidRPr="0068210A">
        <w:rPr>
          <w:rFonts w:asciiTheme="majorHAnsi" w:hAnsiTheme="majorHAnsi"/>
          <w:color w:val="000000"/>
          <w:sz w:val="20"/>
          <w:szCs w:val="20"/>
        </w:rPr>
        <w:t xml:space="preserve">. </w:t>
      </w:r>
      <w:r w:rsidR="00CE2D45" w:rsidRPr="0068210A">
        <w:rPr>
          <w:rFonts w:asciiTheme="majorHAnsi" w:hAnsiTheme="majorHAnsi"/>
          <w:color w:val="000000"/>
          <w:sz w:val="20"/>
          <w:szCs w:val="20"/>
        </w:rPr>
        <w:t xml:space="preserve">This situation </w:t>
      </w:r>
      <w:r w:rsidR="00B700A3" w:rsidRPr="0068210A">
        <w:rPr>
          <w:rFonts w:asciiTheme="majorHAnsi" w:hAnsiTheme="majorHAnsi"/>
          <w:color w:val="000000"/>
          <w:sz w:val="20"/>
          <w:szCs w:val="20"/>
        </w:rPr>
        <w:t xml:space="preserve">came about subsequent to </w:t>
      </w:r>
      <w:r w:rsidR="00CE2D45" w:rsidRPr="0068210A">
        <w:rPr>
          <w:rFonts w:asciiTheme="majorHAnsi" w:hAnsiTheme="majorHAnsi"/>
          <w:color w:val="000000"/>
          <w:sz w:val="20"/>
          <w:szCs w:val="20"/>
        </w:rPr>
        <w:t xml:space="preserve">the criminal investigation </w:t>
      </w:r>
      <w:r w:rsidR="00B700A3" w:rsidRPr="0068210A">
        <w:rPr>
          <w:rFonts w:asciiTheme="majorHAnsi" w:hAnsiTheme="majorHAnsi"/>
          <w:color w:val="000000"/>
          <w:sz w:val="20"/>
          <w:szCs w:val="20"/>
        </w:rPr>
        <w:t>being</w:t>
      </w:r>
      <w:r w:rsidR="00CE2D45" w:rsidRPr="0068210A">
        <w:rPr>
          <w:rFonts w:asciiTheme="majorHAnsi" w:hAnsiTheme="majorHAnsi"/>
          <w:color w:val="000000"/>
          <w:sz w:val="20"/>
          <w:szCs w:val="20"/>
        </w:rPr>
        <w:t xml:space="preserve"> </w:t>
      </w:r>
      <w:r w:rsidR="004A1C6F" w:rsidRPr="0068210A">
        <w:rPr>
          <w:rFonts w:asciiTheme="majorHAnsi" w:hAnsiTheme="majorHAnsi"/>
          <w:color w:val="000000"/>
          <w:sz w:val="20"/>
          <w:szCs w:val="20"/>
        </w:rPr>
        <w:t>archived</w:t>
      </w:r>
      <w:r w:rsidR="00CE2D45" w:rsidRPr="0068210A">
        <w:rPr>
          <w:rFonts w:asciiTheme="majorHAnsi" w:hAnsiTheme="majorHAnsi"/>
          <w:color w:val="000000"/>
          <w:sz w:val="20"/>
          <w:szCs w:val="20"/>
        </w:rPr>
        <w:t xml:space="preserve"> in 1992</w:t>
      </w:r>
      <w:r w:rsidR="00B700A3" w:rsidRPr="0068210A">
        <w:rPr>
          <w:rFonts w:asciiTheme="majorHAnsi" w:hAnsiTheme="majorHAnsi"/>
          <w:color w:val="000000"/>
          <w:sz w:val="20"/>
          <w:szCs w:val="20"/>
        </w:rPr>
        <w:t xml:space="preserve">, with </w:t>
      </w:r>
      <w:r w:rsidR="00CE2D45" w:rsidRPr="0068210A">
        <w:rPr>
          <w:rFonts w:asciiTheme="majorHAnsi" w:hAnsiTheme="majorHAnsi"/>
          <w:color w:val="000000"/>
          <w:sz w:val="20"/>
          <w:szCs w:val="20"/>
        </w:rPr>
        <w:t xml:space="preserve">no </w:t>
      </w:r>
      <w:r w:rsidR="00B700A3" w:rsidRPr="0068210A">
        <w:rPr>
          <w:rFonts w:asciiTheme="majorHAnsi" w:hAnsiTheme="majorHAnsi"/>
          <w:color w:val="000000"/>
          <w:sz w:val="20"/>
          <w:szCs w:val="20"/>
        </w:rPr>
        <w:t>action undertaken on the part of judicial authorities</w:t>
      </w:r>
      <w:r w:rsidR="00CE2D45" w:rsidRPr="0068210A">
        <w:rPr>
          <w:rFonts w:asciiTheme="majorHAnsi" w:hAnsiTheme="majorHAnsi"/>
          <w:color w:val="000000"/>
          <w:sz w:val="20"/>
          <w:szCs w:val="20"/>
        </w:rPr>
        <w:t xml:space="preserve"> u</w:t>
      </w:r>
      <w:r w:rsidR="00CE2D45" w:rsidRPr="00F73CEA">
        <w:rPr>
          <w:rFonts w:asciiTheme="majorHAnsi" w:hAnsiTheme="majorHAnsi"/>
          <w:color w:val="000000"/>
          <w:sz w:val="20"/>
          <w:szCs w:val="20"/>
        </w:rPr>
        <w:t xml:space="preserve">ntil 17 years later, when in 2009 the investigation was reopened. </w:t>
      </w:r>
      <w:r w:rsidR="00FB4010" w:rsidRPr="00F73CEA">
        <w:rPr>
          <w:rFonts w:asciiTheme="majorHAnsi" w:hAnsiTheme="majorHAnsi"/>
          <w:color w:val="000000"/>
          <w:sz w:val="20"/>
          <w:szCs w:val="20"/>
        </w:rPr>
        <w:t xml:space="preserve">In this regard, although the IACHR commends the decision to reopen the domestic investigation, the State has not presented any </w:t>
      </w:r>
      <w:r w:rsidR="0068210A" w:rsidRPr="00F73CEA">
        <w:rPr>
          <w:rFonts w:asciiTheme="majorHAnsi" w:hAnsiTheme="majorHAnsi"/>
          <w:color w:val="000000"/>
          <w:sz w:val="20"/>
          <w:szCs w:val="20"/>
        </w:rPr>
        <w:t>information</w:t>
      </w:r>
      <w:r w:rsidR="00FB4010" w:rsidRPr="00F73CEA">
        <w:rPr>
          <w:rFonts w:asciiTheme="majorHAnsi" w:hAnsiTheme="majorHAnsi"/>
          <w:color w:val="000000"/>
          <w:sz w:val="20"/>
          <w:szCs w:val="20"/>
        </w:rPr>
        <w:t xml:space="preserve"> to show </w:t>
      </w:r>
      <w:r w:rsidR="0068210A" w:rsidRPr="00F73CEA">
        <w:rPr>
          <w:rFonts w:asciiTheme="majorHAnsi" w:hAnsiTheme="majorHAnsi"/>
          <w:color w:val="000000"/>
          <w:sz w:val="20"/>
          <w:szCs w:val="20"/>
        </w:rPr>
        <w:t xml:space="preserve">the existence of </w:t>
      </w:r>
      <w:r w:rsidR="00FB4010" w:rsidRPr="00F73CEA">
        <w:rPr>
          <w:rFonts w:asciiTheme="majorHAnsi" w:hAnsiTheme="majorHAnsi"/>
          <w:color w:val="000000"/>
          <w:sz w:val="20"/>
          <w:szCs w:val="20"/>
        </w:rPr>
        <w:t>signif</w:t>
      </w:r>
      <w:r w:rsidR="0068210A" w:rsidRPr="00F73CEA">
        <w:rPr>
          <w:rFonts w:asciiTheme="majorHAnsi" w:hAnsiTheme="majorHAnsi"/>
          <w:color w:val="000000"/>
          <w:sz w:val="20"/>
          <w:szCs w:val="20"/>
        </w:rPr>
        <w:t xml:space="preserve">icant progress, even </w:t>
      </w:r>
      <w:r w:rsidR="00F73CEA" w:rsidRPr="00F73CEA">
        <w:rPr>
          <w:rFonts w:asciiTheme="majorHAnsi" w:hAnsiTheme="majorHAnsi"/>
          <w:color w:val="000000"/>
          <w:sz w:val="20"/>
          <w:szCs w:val="20"/>
        </w:rPr>
        <w:t>though</w:t>
      </w:r>
      <w:r w:rsidR="0068210A" w:rsidRPr="00F73CEA">
        <w:rPr>
          <w:rFonts w:asciiTheme="majorHAnsi" w:hAnsiTheme="majorHAnsi"/>
          <w:color w:val="000000"/>
          <w:sz w:val="20"/>
          <w:szCs w:val="20"/>
        </w:rPr>
        <w:t xml:space="preserve"> more than 5 years have already elapsed since the reopening of the case.</w:t>
      </w:r>
      <w:r w:rsidR="00CE2D45" w:rsidRPr="0068210A">
        <w:rPr>
          <w:rFonts w:asciiTheme="majorHAnsi" w:hAnsiTheme="majorHAnsi"/>
          <w:color w:val="000000"/>
          <w:sz w:val="20"/>
          <w:szCs w:val="20"/>
        </w:rPr>
        <w:t xml:space="preserve"> </w:t>
      </w:r>
      <w:r w:rsidR="00B700A3" w:rsidRPr="0068210A">
        <w:rPr>
          <w:rFonts w:asciiTheme="majorHAnsi" w:hAnsiTheme="majorHAnsi"/>
          <w:color w:val="000000"/>
          <w:sz w:val="20"/>
          <w:szCs w:val="20"/>
        </w:rPr>
        <w:t>Therefore, the C</w:t>
      </w:r>
      <w:r w:rsidR="00CE2D45" w:rsidRPr="0068210A">
        <w:rPr>
          <w:rFonts w:asciiTheme="majorHAnsi" w:hAnsiTheme="majorHAnsi"/>
          <w:color w:val="000000"/>
          <w:sz w:val="20"/>
          <w:szCs w:val="20"/>
        </w:rPr>
        <w:t xml:space="preserve">ommission understands that </w:t>
      </w:r>
      <w:r w:rsidR="0084023B" w:rsidRPr="0068210A">
        <w:rPr>
          <w:rFonts w:asciiTheme="majorHAnsi" w:hAnsiTheme="majorHAnsi"/>
          <w:color w:val="000000"/>
          <w:sz w:val="20"/>
          <w:szCs w:val="20"/>
        </w:rPr>
        <w:t xml:space="preserve">under </w:t>
      </w:r>
      <w:r w:rsidR="00CE2D45" w:rsidRPr="0068210A">
        <w:rPr>
          <w:rFonts w:asciiTheme="majorHAnsi" w:hAnsiTheme="majorHAnsi"/>
          <w:color w:val="000000"/>
          <w:sz w:val="20"/>
          <w:szCs w:val="20"/>
        </w:rPr>
        <w:t xml:space="preserve">these circumstances the exception to the rule of prior exhaustion of domestic remedies </w:t>
      </w:r>
      <w:r w:rsidR="0084023B" w:rsidRPr="0068210A">
        <w:rPr>
          <w:rFonts w:asciiTheme="majorHAnsi" w:hAnsiTheme="majorHAnsi"/>
          <w:color w:val="000000"/>
          <w:sz w:val="20"/>
          <w:szCs w:val="20"/>
        </w:rPr>
        <w:t xml:space="preserve">is merited </w:t>
      </w:r>
      <w:r w:rsidR="00CE2D45" w:rsidRPr="0068210A">
        <w:rPr>
          <w:rFonts w:asciiTheme="majorHAnsi" w:hAnsiTheme="majorHAnsi"/>
          <w:color w:val="000000"/>
          <w:sz w:val="20"/>
          <w:szCs w:val="20"/>
        </w:rPr>
        <w:t xml:space="preserve">for the unwarranted delay provided for under </w:t>
      </w:r>
      <w:r w:rsidR="008B50D5" w:rsidRPr="0068210A">
        <w:rPr>
          <w:rFonts w:asciiTheme="majorHAnsi" w:hAnsiTheme="majorHAnsi"/>
          <w:color w:val="000000"/>
          <w:sz w:val="20"/>
          <w:szCs w:val="20"/>
        </w:rPr>
        <w:t>article</w:t>
      </w:r>
      <w:r w:rsidR="00CE2D45" w:rsidRPr="0068210A">
        <w:rPr>
          <w:rFonts w:asciiTheme="majorHAnsi" w:hAnsiTheme="majorHAnsi"/>
          <w:color w:val="000000"/>
          <w:sz w:val="20"/>
          <w:szCs w:val="20"/>
        </w:rPr>
        <w:t xml:space="preserve"> 46</w:t>
      </w:r>
      <w:r w:rsidR="004A1C6F" w:rsidRPr="0068210A">
        <w:rPr>
          <w:rFonts w:asciiTheme="majorHAnsi" w:hAnsiTheme="majorHAnsi"/>
          <w:color w:val="000000"/>
          <w:sz w:val="20"/>
          <w:szCs w:val="20"/>
        </w:rPr>
        <w:t>.</w:t>
      </w:r>
      <w:r w:rsidR="000D0F5B" w:rsidRPr="0068210A">
        <w:rPr>
          <w:rFonts w:asciiTheme="majorHAnsi" w:hAnsiTheme="majorHAnsi"/>
          <w:color w:val="000000"/>
          <w:sz w:val="20"/>
          <w:szCs w:val="20"/>
        </w:rPr>
        <w:t>2</w:t>
      </w:r>
      <w:r w:rsidR="004A1C6F" w:rsidRPr="0068210A">
        <w:rPr>
          <w:rFonts w:asciiTheme="majorHAnsi" w:hAnsiTheme="majorHAnsi"/>
          <w:color w:val="000000"/>
          <w:sz w:val="20"/>
          <w:szCs w:val="20"/>
        </w:rPr>
        <w:t>.</w:t>
      </w:r>
      <w:r w:rsidR="000D0F5B" w:rsidRPr="0068210A">
        <w:rPr>
          <w:rFonts w:asciiTheme="majorHAnsi" w:hAnsiTheme="majorHAnsi"/>
          <w:color w:val="000000"/>
          <w:sz w:val="20"/>
          <w:szCs w:val="20"/>
        </w:rPr>
        <w:t>c</w:t>
      </w:r>
      <w:r w:rsidR="00CE2D45" w:rsidRPr="0068210A">
        <w:rPr>
          <w:rFonts w:asciiTheme="majorHAnsi" w:hAnsiTheme="majorHAnsi"/>
          <w:color w:val="000000"/>
          <w:sz w:val="20"/>
          <w:szCs w:val="20"/>
        </w:rPr>
        <w:t xml:space="preserve"> of the American Convention. As a result, the requirement for exhaustion of domestic remedies is not applicable for this petition</w:t>
      </w:r>
      <w:r w:rsidR="00BF7C9D" w:rsidRPr="0068210A">
        <w:rPr>
          <w:rFonts w:asciiTheme="majorHAnsi" w:hAnsiTheme="majorHAnsi"/>
          <w:color w:val="000000"/>
          <w:sz w:val="20"/>
          <w:szCs w:val="20"/>
        </w:rPr>
        <w:t xml:space="preserve">. </w:t>
      </w:r>
    </w:p>
    <w:p w:rsidR="005758BA" w:rsidRPr="001E4C94" w:rsidRDefault="005758BA" w:rsidP="006E4093">
      <w:pPr>
        <w:spacing w:after="0"/>
        <w:jc w:val="both"/>
        <w:rPr>
          <w:rFonts w:asciiTheme="majorHAnsi" w:hAnsiTheme="majorHAnsi"/>
          <w:color w:val="000000"/>
          <w:sz w:val="20"/>
          <w:szCs w:val="20"/>
        </w:rPr>
      </w:pPr>
    </w:p>
    <w:p w:rsidR="005758BA" w:rsidRPr="001E4C94" w:rsidRDefault="00CE2D45" w:rsidP="006E4093">
      <w:pPr>
        <w:pStyle w:val="ListParagraph"/>
        <w:numPr>
          <w:ilvl w:val="0"/>
          <w:numId w:val="9"/>
        </w:numPr>
        <w:spacing w:after="0"/>
        <w:jc w:val="both"/>
        <w:outlineLvl w:val="2"/>
        <w:rPr>
          <w:rFonts w:asciiTheme="majorHAnsi" w:hAnsiTheme="majorHAnsi"/>
          <w:b/>
          <w:sz w:val="20"/>
          <w:szCs w:val="20"/>
        </w:rPr>
      </w:pPr>
      <w:r w:rsidRPr="001E4C94">
        <w:rPr>
          <w:rFonts w:asciiTheme="majorHAnsi" w:hAnsiTheme="majorHAnsi"/>
          <w:b/>
          <w:sz w:val="20"/>
          <w:szCs w:val="20"/>
        </w:rPr>
        <w:t xml:space="preserve">Deadline </w:t>
      </w:r>
      <w:r w:rsidR="0084023B" w:rsidRPr="001E4C94">
        <w:rPr>
          <w:rFonts w:asciiTheme="majorHAnsi" w:hAnsiTheme="majorHAnsi"/>
          <w:b/>
          <w:sz w:val="20"/>
          <w:szCs w:val="20"/>
        </w:rPr>
        <w:t>for s</w:t>
      </w:r>
      <w:r w:rsidRPr="001E4C94">
        <w:rPr>
          <w:rFonts w:asciiTheme="majorHAnsi" w:hAnsiTheme="majorHAnsi"/>
          <w:b/>
          <w:sz w:val="20"/>
          <w:szCs w:val="20"/>
        </w:rPr>
        <w:t>ubmit</w:t>
      </w:r>
      <w:r w:rsidR="0084023B" w:rsidRPr="001E4C94">
        <w:rPr>
          <w:rFonts w:asciiTheme="majorHAnsi" w:hAnsiTheme="majorHAnsi"/>
          <w:b/>
          <w:sz w:val="20"/>
          <w:szCs w:val="20"/>
        </w:rPr>
        <w:t>ting the p</w:t>
      </w:r>
      <w:r w:rsidRPr="001E4C94">
        <w:rPr>
          <w:rFonts w:asciiTheme="majorHAnsi" w:hAnsiTheme="majorHAnsi"/>
          <w:b/>
          <w:sz w:val="20"/>
          <w:szCs w:val="20"/>
        </w:rPr>
        <w:t>etition</w:t>
      </w:r>
    </w:p>
    <w:p w:rsidR="005758BA" w:rsidRPr="001E4C94" w:rsidRDefault="005758BA" w:rsidP="006E4093">
      <w:pPr>
        <w:spacing w:after="0"/>
        <w:jc w:val="both"/>
        <w:rPr>
          <w:rFonts w:asciiTheme="majorHAnsi" w:hAnsiTheme="majorHAnsi"/>
          <w:b/>
          <w:sz w:val="20"/>
          <w:szCs w:val="20"/>
        </w:rPr>
      </w:pPr>
    </w:p>
    <w:p w:rsidR="00FA36E4" w:rsidRPr="001E4C94" w:rsidRDefault="00CE2D45"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The American Convention stipulates that for a petition to be admissible before the Commission it must be submitted </w:t>
      </w:r>
      <w:r w:rsidR="0084023B" w:rsidRPr="001E4C94">
        <w:rPr>
          <w:rFonts w:asciiTheme="majorHAnsi" w:hAnsiTheme="majorHAnsi"/>
          <w:sz w:val="20"/>
          <w:szCs w:val="20"/>
        </w:rPr>
        <w:t xml:space="preserve">with </w:t>
      </w:r>
      <w:r w:rsidRPr="001E4C94">
        <w:rPr>
          <w:rFonts w:asciiTheme="majorHAnsi" w:hAnsiTheme="majorHAnsi"/>
          <w:sz w:val="20"/>
          <w:szCs w:val="20"/>
        </w:rPr>
        <w:t>six months after the date on which the person presumably harmed has been notified of the final decision that puts an end to domestic remedies.</w:t>
      </w:r>
      <w:r w:rsidR="006A2FCA"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0362F6" w:rsidRPr="001E4C94" w:rsidRDefault="00CE2D45"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In the case under review, the </w:t>
      </w:r>
      <w:r w:rsidR="008C0889" w:rsidRPr="001E4C94">
        <w:rPr>
          <w:rFonts w:asciiTheme="majorHAnsi" w:hAnsiTheme="majorHAnsi"/>
          <w:color w:val="000000"/>
          <w:sz w:val="20"/>
          <w:szCs w:val="20"/>
        </w:rPr>
        <w:t>IACHR</w:t>
      </w:r>
      <w:r w:rsidRPr="001E4C94">
        <w:rPr>
          <w:rFonts w:asciiTheme="majorHAnsi" w:hAnsiTheme="majorHAnsi"/>
          <w:sz w:val="20"/>
          <w:szCs w:val="20"/>
        </w:rPr>
        <w:t xml:space="preserve"> has </w:t>
      </w:r>
      <w:r w:rsidR="00B32CE7" w:rsidRPr="001E4C94">
        <w:rPr>
          <w:rFonts w:asciiTheme="majorHAnsi" w:hAnsiTheme="majorHAnsi"/>
          <w:sz w:val="20"/>
          <w:szCs w:val="20"/>
        </w:rPr>
        <w:t xml:space="preserve">established that the exception to the exhaustion of domestic remedies provided for under </w:t>
      </w:r>
      <w:r w:rsidR="008B50D5">
        <w:rPr>
          <w:rFonts w:asciiTheme="majorHAnsi" w:hAnsiTheme="majorHAnsi"/>
          <w:sz w:val="20"/>
          <w:szCs w:val="20"/>
        </w:rPr>
        <w:t>a</w:t>
      </w:r>
      <w:r w:rsidR="00B32CE7" w:rsidRPr="001E4C94">
        <w:rPr>
          <w:rFonts w:asciiTheme="majorHAnsi" w:hAnsiTheme="majorHAnsi"/>
          <w:sz w:val="20"/>
          <w:szCs w:val="20"/>
        </w:rPr>
        <w:t>rticle 46</w:t>
      </w:r>
      <w:r w:rsidR="008B50D5">
        <w:rPr>
          <w:rFonts w:asciiTheme="majorHAnsi" w:hAnsiTheme="majorHAnsi"/>
          <w:sz w:val="20"/>
          <w:szCs w:val="20"/>
        </w:rPr>
        <w:t>.</w:t>
      </w:r>
      <w:r w:rsidR="006A2FCA" w:rsidRPr="001E4C94">
        <w:rPr>
          <w:rFonts w:asciiTheme="majorHAnsi" w:hAnsiTheme="majorHAnsi"/>
          <w:sz w:val="20"/>
          <w:szCs w:val="20"/>
        </w:rPr>
        <w:t>2</w:t>
      </w:r>
      <w:r w:rsidR="008B50D5">
        <w:rPr>
          <w:rFonts w:asciiTheme="majorHAnsi" w:hAnsiTheme="majorHAnsi"/>
          <w:sz w:val="20"/>
          <w:szCs w:val="20"/>
        </w:rPr>
        <w:t>.</w:t>
      </w:r>
      <w:r w:rsidR="006A2FCA" w:rsidRPr="001E4C94">
        <w:rPr>
          <w:rFonts w:asciiTheme="majorHAnsi" w:hAnsiTheme="majorHAnsi"/>
          <w:sz w:val="20"/>
          <w:szCs w:val="20"/>
        </w:rPr>
        <w:t xml:space="preserve">c </w:t>
      </w:r>
      <w:r w:rsidR="00B32CE7" w:rsidRPr="001E4C94">
        <w:rPr>
          <w:rFonts w:asciiTheme="majorHAnsi" w:hAnsiTheme="majorHAnsi"/>
          <w:sz w:val="20"/>
          <w:szCs w:val="20"/>
        </w:rPr>
        <w:t xml:space="preserve">of the American Convention applies. In such cases, and in keeping with </w:t>
      </w:r>
      <w:r w:rsidR="008B50D5">
        <w:rPr>
          <w:rFonts w:asciiTheme="majorHAnsi" w:hAnsiTheme="majorHAnsi"/>
          <w:sz w:val="20"/>
          <w:szCs w:val="20"/>
        </w:rPr>
        <w:t>article</w:t>
      </w:r>
      <w:r w:rsidR="00B32CE7" w:rsidRPr="001E4C94">
        <w:rPr>
          <w:rFonts w:asciiTheme="majorHAnsi" w:hAnsiTheme="majorHAnsi"/>
          <w:sz w:val="20"/>
          <w:szCs w:val="20"/>
        </w:rPr>
        <w:t xml:space="preserve"> 32</w:t>
      </w:r>
      <w:r w:rsidR="008B50D5">
        <w:rPr>
          <w:rFonts w:asciiTheme="majorHAnsi" w:hAnsiTheme="majorHAnsi"/>
          <w:sz w:val="20"/>
          <w:szCs w:val="20"/>
        </w:rPr>
        <w:t>.</w:t>
      </w:r>
      <w:r w:rsidR="000362F6" w:rsidRPr="001E4C94">
        <w:rPr>
          <w:rFonts w:asciiTheme="majorHAnsi" w:hAnsiTheme="majorHAnsi"/>
          <w:sz w:val="20"/>
          <w:szCs w:val="20"/>
        </w:rPr>
        <w:t>2</w:t>
      </w:r>
      <w:r w:rsidR="00B32CE7" w:rsidRPr="001E4C94">
        <w:rPr>
          <w:rFonts w:asciiTheme="majorHAnsi" w:hAnsiTheme="majorHAnsi"/>
          <w:sz w:val="20"/>
          <w:szCs w:val="20"/>
        </w:rPr>
        <w:t xml:space="preserve"> of its Rules of Procedure, the Commission must decide whether the petition was submitted in a reasonable period of time. Specifically</w:t>
      </w:r>
      <w:r w:rsidR="0084023B" w:rsidRPr="001E4C94">
        <w:rPr>
          <w:rFonts w:asciiTheme="majorHAnsi" w:hAnsiTheme="majorHAnsi"/>
          <w:sz w:val="20"/>
          <w:szCs w:val="20"/>
        </w:rPr>
        <w:t>,</w:t>
      </w:r>
      <w:r w:rsidR="00B32CE7" w:rsidRPr="001E4C94">
        <w:rPr>
          <w:rFonts w:asciiTheme="majorHAnsi" w:hAnsiTheme="majorHAnsi"/>
          <w:sz w:val="20"/>
          <w:szCs w:val="20"/>
        </w:rPr>
        <w:t xml:space="preserve"> the original </w:t>
      </w:r>
      <w:r w:rsidR="0084023B" w:rsidRPr="001E4C94">
        <w:rPr>
          <w:rFonts w:asciiTheme="majorHAnsi" w:hAnsiTheme="majorHAnsi"/>
          <w:sz w:val="20"/>
          <w:szCs w:val="20"/>
        </w:rPr>
        <w:t xml:space="preserve">petition </w:t>
      </w:r>
      <w:r w:rsidR="00B32CE7" w:rsidRPr="001E4C94">
        <w:rPr>
          <w:rFonts w:asciiTheme="majorHAnsi" w:hAnsiTheme="majorHAnsi"/>
          <w:sz w:val="20"/>
          <w:szCs w:val="20"/>
        </w:rPr>
        <w:t>that gave rise to thi</w:t>
      </w:r>
      <w:r w:rsidR="00DA03E3" w:rsidRPr="001E4C94">
        <w:rPr>
          <w:rFonts w:asciiTheme="majorHAnsi" w:hAnsiTheme="majorHAnsi"/>
          <w:sz w:val="20"/>
          <w:szCs w:val="20"/>
        </w:rPr>
        <w:t>s case was received by the IACHR</w:t>
      </w:r>
      <w:r w:rsidR="00B32CE7" w:rsidRPr="001E4C94">
        <w:rPr>
          <w:rFonts w:asciiTheme="majorHAnsi" w:hAnsiTheme="majorHAnsi"/>
          <w:sz w:val="20"/>
          <w:szCs w:val="20"/>
        </w:rPr>
        <w:t xml:space="preserve"> on March 2, 1990, a few days after the facts under review occurred. </w:t>
      </w:r>
    </w:p>
    <w:p w:rsidR="005758BA" w:rsidRPr="001E4C94" w:rsidRDefault="005758BA" w:rsidP="006E4093">
      <w:pPr>
        <w:spacing w:after="0"/>
        <w:jc w:val="both"/>
        <w:rPr>
          <w:rFonts w:asciiTheme="majorHAnsi" w:hAnsiTheme="majorHAnsi"/>
          <w:sz w:val="20"/>
          <w:szCs w:val="20"/>
        </w:rPr>
      </w:pPr>
    </w:p>
    <w:p w:rsidR="009D01FC" w:rsidRPr="001E4C94" w:rsidRDefault="00DA03E3"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Given the foregoing considerations, the Commission concludes that this petition is admissible under the terms of </w:t>
      </w:r>
      <w:r w:rsidR="008B50D5">
        <w:rPr>
          <w:rFonts w:asciiTheme="majorHAnsi" w:hAnsiTheme="majorHAnsi"/>
          <w:sz w:val="20"/>
          <w:szCs w:val="20"/>
        </w:rPr>
        <w:t>article</w:t>
      </w:r>
      <w:r w:rsidRPr="001E4C94">
        <w:rPr>
          <w:rFonts w:asciiTheme="majorHAnsi" w:hAnsiTheme="majorHAnsi"/>
          <w:sz w:val="20"/>
          <w:szCs w:val="20"/>
        </w:rPr>
        <w:t xml:space="preserve"> 46</w:t>
      </w:r>
      <w:r w:rsidR="008B50D5">
        <w:rPr>
          <w:rFonts w:asciiTheme="majorHAnsi" w:hAnsiTheme="majorHAnsi"/>
          <w:sz w:val="20"/>
          <w:szCs w:val="20"/>
        </w:rPr>
        <w:t>.</w:t>
      </w:r>
      <w:r w:rsidR="000D7EE0" w:rsidRPr="001E4C94">
        <w:rPr>
          <w:rFonts w:asciiTheme="majorHAnsi" w:hAnsiTheme="majorHAnsi"/>
          <w:sz w:val="20"/>
          <w:szCs w:val="20"/>
        </w:rPr>
        <w:t>1</w:t>
      </w:r>
      <w:r w:rsidR="008B50D5">
        <w:rPr>
          <w:rFonts w:asciiTheme="majorHAnsi" w:hAnsiTheme="majorHAnsi"/>
          <w:sz w:val="20"/>
          <w:szCs w:val="20"/>
        </w:rPr>
        <w:t>.</w:t>
      </w:r>
      <w:r w:rsidR="009D01FC" w:rsidRPr="001E4C94">
        <w:rPr>
          <w:rFonts w:asciiTheme="majorHAnsi" w:hAnsiTheme="majorHAnsi"/>
          <w:sz w:val="20"/>
          <w:szCs w:val="20"/>
        </w:rPr>
        <w:t>b</w:t>
      </w:r>
      <w:r w:rsidRPr="001E4C94">
        <w:rPr>
          <w:rFonts w:asciiTheme="majorHAnsi" w:hAnsiTheme="majorHAnsi"/>
          <w:sz w:val="20"/>
          <w:szCs w:val="20"/>
        </w:rPr>
        <w:t xml:space="preserve"> of the American Convention</w:t>
      </w:r>
      <w:r w:rsidR="009D01FC" w:rsidRPr="001E4C94">
        <w:rPr>
          <w:rFonts w:asciiTheme="majorHAnsi" w:hAnsiTheme="majorHAnsi"/>
          <w:sz w:val="20"/>
          <w:szCs w:val="20"/>
        </w:rPr>
        <w:t>.</w:t>
      </w:r>
    </w:p>
    <w:p w:rsidR="005758BA" w:rsidRPr="001E4C94" w:rsidRDefault="005758BA" w:rsidP="006E4093">
      <w:pPr>
        <w:spacing w:after="0"/>
        <w:jc w:val="both"/>
        <w:rPr>
          <w:rFonts w:asciiTheme="majorHAnsi" w:hAnsiTheme="majorHAnsi"/>
          <w:sz w:val="20"/>
          <w:szCs w:val="20"/>
        </w:rPr>
      </w:pPr>
    </w:p>
    <w:p w:rsidR="0094595A" w:rsidRDefault="0094595A">
      <w:pPr>
        <w:spacing w:after="0"/>
        <w:rPr>
          <w:rFonts w:asciiTheme="majorHAnsi" w:hAnsiTheme="majorHAnsi"/>
          <w:b/>
          <w:sz w:val="20"/>
          <w:szCs w:val="20"/>
        </w:rPr>
      </w:pPr>
      <w:r>
        <w:rPr>
          <w:rFonts w:asciiTheme="majorHAnsi" w:hAnsiTheme="majorHAnsi"/>
          <w:b/>
          <w:sz w:val="20"/>
          <w:szCs w:val="20"/>
        </w:rPr>
        <w:br w:type="page"/>
      </w:r>
    </w:p>
    <w:p w:rsidR="00EE50AA" w:rsidRPr="001E4C94" w:rsidRDefault="00EE50AA" w:rsidP="006E4093">
      <w:pPr>
        <w:pStyle w:val="ListParagraph"/>
        <w:numPr>
          <w:ilvl w:val="0"/>
          <w:numId w:val="9"/>
        </w:numPr>
        <w:spacing w:after="0"/>
        <w:jc w:val="both"/>
        <w:outlineLvl w:val="2"/>
        <w:rPr>
          <w:rFonts w:asciiTheme="majorHAnsi" w:hAnsiTheme="majorHAnsi"/>
          <w:b/>
          <w:sz w:val="20"/>
          <w:szCs w:val="20"/>
        </w:rPr>
      </w:pPr>
      <w:r w:rsidRPr="001E4C94">
        <w:rPr>
          <w:rFonts w:asciiTheme="majorHAnsi" w:hAnsiTheme="majorHAnsi"/>
          <w:b/>
          <w:sz w:val="20"/>
          <w:szCs w:val="20"/>
        </w:rPr>
        <w:lastRenderedPageBreak/>
        <w:t>Duplica</w:t>
      </w:r>
      <w:r w:rsidR="0084023B" w:rsidRPr="001E4C94">
        <w:rPr>
          <w:rFonts w:asciiTheme="majorHAnsi" w:hAnsiTheme="majorHAnsi"/>
          <w:b/>
          <w:sz w:val="20"/>
          <w:szCs w:val="20"/>
        </w:rPr>
        <w:t>tion of i</w:t>
      </w:r>
      <w:r w:rsidR="00DA03E3" w:rsidRPr="001E4C94">
        <w:rPr>
          <w:rFonts w:asciiTheme="majorHAnsi" w:hAnsiTheme="majorHAnsi"/>
          <w:b/>
          <w:sz w:val="20"/>
          <w:szCs w:val="20"/>
        </w:rPr>
        <w:t>n</w:t>
      </w:r>
      <w:r w:rsidR="0084023B" w:rsidRPr="001E4C94">
        <w:rPr>
          <w:rFonts w:asciiTheme="majorHAnsi" w:hAnsiTheme="majorHAnsi"/>
          <w:b/>
          <w:sz w:val="20"/>
          <w:szCs w:val="20"/>
        </w:rPr>
        <w:t>ternational p</w:t>
      </w:r>
      <w:r w:rsidR="00DA03E3" w:rsidRPr="001E4C94">
        <w:rPr>
          <w:rFonts w:asciiTheme="majorHAnsi" w:hAnsiTheme="majorHAnsi"/>
          <w:b/>
          <w:sz w:val="20"/>
          <w:szCs w:val="20"/>
        </w:rPr>
        <w:t xml:space="preserve">roceedings and </w:t>
      </w:r>
      <w:r w:rsidR="0084023B" w:rsidRPr="001E4C94">
        <w:rPr>
          <w:rFonts w:asciiTheme="majorHAnsi" w:hAnsiTheme="majorHAnsi"/>
          <w:b/>
          <w:i/>
          <w:sz w:val="20"/>
          <w:szCs w:val="20"/>
        </w:rPr>
        <w:t>res j</w:t>
      </w:r>
      <w:r w:rsidR="00DA03E3" w:rsidRPr="001E4C94">
        <w:rPr>
          <w:rFonts w:asciiTheme="majorHAnsi" w:hAnsiTheme="majorHAnsi"/>
          <w:b/>
          <w:i/>
          <w:sz w:val="20"/>
          <w:szCs w:val="20"/>
        </w:rPr>
        <w:t>udicata</w:t>
      </w:r>
      <w:r w:rsidR="00DA03E3" w:rsidRPr="001E4C94">
        <w:rPr>
          <w:rFonts w:asciiTheme="majorHAnsi" w:hAnsiTheme="majorHAnsi"/>
          <w:b/>
          <w:sz w:val="20"/>
          <w:szCs w:val="20"/>
        </w:rPr>
        <w:t xml:space="preserve"> </w:t>
      </w:r>
    </w:p>
    <w:p w:rsidR="005758BA" w:rsidRPr="001E4C94" w:rsidRDefault="005758BA" w:rsidP="006E4093">
      <w:pPr>
        <w:spacing w:after="0"/>
        <w:jc w:val="both"/>
        <w:rPr>
          <w:rFonts w:asciiTheme="majorHAnsi" w:hAnsiTheme="majorHAnsi"/>
          <w:b/>
          <w:sz w:val="20"/>
          <w:szCs w:val="20"/>
        </w:rPr>
      </w:pPr>
    </w:p>
    <w:p w:rsidR="00EE50AA" w:rsidRPr="001E4C94" w:rsidRDefault="00DA03E3"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The petition’s file </w:t>
      </w:r>
      <w:r w:rsidR="0084023B" w:rsidRPr="001E4C94">
        <w:rPr>
          <w:rFonts w:asciiTheme="majorHAnsi" w:hAnsiTheme="majorHAnsi"/>
          <w:sz w:val="20"/>
          <w:szCs w:val="20"/>
        </w:rPr>
        <w:t>contains</w:t>
      </w:r>
      <w:r w:rsidRPr="001E4C94">
        <w:rPr>
          <w:rFonts w:asciiTheme="majorHAnsi" w:hAnsiTheme="majorHAnsi"/>
          <w:sz w:val="20"/>
          <w:szCs w:val="20"/>
        </w:rPr>
        <w:t xml:space="preserve"> no information that </w:t>
      </w:r>
      <w:r w:rsidR="00A86922" w:rsidRPr="001E4C94">
        <w:rPr>
          <w:rFonts w:asciiTheme="majorHAnsi" w:hAnsiTheme="majorHAnsi"/>
          <w:sz w:val="20"/>
          <w:szCs w:val="20"/>
        </w:rPr>
        <w:t>could lead</w:t>
      </w:r>
      <w:r w:rsidRPr="001E4C94">
        <w:rPr>
          <w:rFonts w:asciiTheme="majorHAnsi" w:hAnsiTheme="majorHAnsi"/>
          <w:sz w:val="20"/>
          <w:szCs w:val="20"/>
        </w:rPr>
        <w:t xml:space="preserve"> one to conclude that this matter is pending under any international settlement proceedings or reproduces a petition already reviewed by the Commission or an</w:t>
      </w:r>
      <w:r w:rsidR="00A86922" w:rsidRPr="001E4C94">
        <w:rPr>
          <w:rFonts w:asciiTheme="majorHAnsi" w:hAnsiTheme="majorHAnsi"/>
          <w:sz w:val="20"/>
          <w:szCs w:val="20"/>
        </w:rPr>
        <w:t>y o</w:t>
      </w:r>
      <w:r w:rsidRPr="001E4C94">
        <w:rPr>
          <w:rFonts w:asciiTheme="majorHAnsi" w:hAnsiTheme="majorHAnsi"/>
          <w:sz w:val="20"/>
          <w:szCs w:val="20"/>
        </w:rPr>
        <w:t>ther international body</w:t>
      </w:r>
      <w:r w:rsidR="00BF7C9D" w:rsidRPr="001E4C94">
        <w:rPr>
          <w:rFonts w:asciiTheme="majorHAnsi" w:hAnsiTheme="majorHAnsi"/>
          <w:sz w:val="20"/>
          <w:szCs w:val="20"/>
        </w:rPr>
        <w:t xml:space="preserve">. </w:t>
      </w:r>
      <w:r w:rsidRPr="001E4C94">
        <w:rPr>
          <w:rFonts w:asciiTheme="majorHAnsi" w:hAnsiTheme="majorHAnsi"/>
          <w:sz w:val="20"/>
          <w:szCs w:val="20"/>
        </w:rPr>
        <w:t xml:space="preserve">Therefore, </w:t>
      </w:r>
      <w:r w:rsidR="00A86922" w:rsidRPr="001E4C94">
        <w:rPr>
          <w:rFonts w:asciiTheme="majorHAnsi" w:hAnsiTheme="majorHAnsi"/>
          <w:sz w:val="20"/>
          <w:szCs w:val="20"/>
        </w:rPr>
        <w:t xml:space="preserve">the requirements set forth in </w:t>
      </w:r>
      <w:r w:rsidR="008B50D5">
        <w:rPr>
          <w:rFonts w:asciiTheme="majorHAnsi" w:hAnsiTheme="majorHAnsi"/>
          <w:sz w:val="20"/>
          <w:szCs w:val="20"/>
        </w:rPr>
        <w:t>a</w:t>
      </w:r>
      <w:r w:rsidR="00A86922" w:rsidRPr="001E4C94">
        <w:rPr>
          <w:rFonts w:asciiTheme="majorHAnsi" w:hAnsiTheme="majorHAnsi"/>
          <w:sz w:val="20"/>
          <w:szCs w:val="20"/>
        </w:rPr>
        <w:t xml:space="preserve">rticles </w:t>
      </w:r>
      <w:r w:rsidR="00EE50AA" w:rsidRPr="001E4C94">
        <w:rPr>
          <w:rFonts w:asciiTheme="majorHAnsi" w:hAnsiTheme="majorHAnsi"/>
          <w:sz w:val="20"/>
          <w:szCs w:val="20"/>
        </w:rPr>
        <w:t>46</w:t>
      </w:r>
      <w:r w:rsidR="008B50D5">
        <w:rPr>
          <w:rFonts w:asciiTheme="majorHAnsi" w:hAnsiTheme="majorHAnsi"/>
          <w:sz w:val="20"/>
          <w:szCs w:val="20"/>
        </w:rPr>
        <w:t>.</w:t>
      </w:r>
      <w:r w:rsidR="00EE50AA" w:rsidRPr="001E4C94">
        <w:rPr>
          <w:rFonts w:asciiTheme="majorHAnsi" w:hAnsiTheme="majorHAnsi"/>
          <w:sz w:val="20"/>
          <w:szCs w:val="20"/>
        </w:rPr>
        <w:t>1</w:t>
      </w:r>
      <w:r w:rsidR="008B50D5">
        <w:rPr>
          <w:rFonts w:asciiTheme="majorHAnsi" w:hAnsiTheme="majorHAnsi"/>
          <w:sz w:val="20"/>
          <w:szCs w:val="20"/>
        </w:rPr>
        <w:t>.</w:t>
      </w:r>
      <w:r w:rsidR="00EE50AA" w:rsidRPr="001E4C94">
        <w:rPr>
          <w:rFonts w:asciiTheme="majorHAnsi" w:hAnsiTheme="majorHAnsi"/>
          <w:sz w:val="20"/>
          <w:szCs w:val="20"/>
        </w:rPr>
        <w:t xml:space="preserve">c </w:t>
      </w:r>
      <w:r w:rsidR="00A86922" w:rsidRPr="001E4C94">
        <w:rPr>
          <w:rFonts w:asciiTheme="majorHAnsi" w:hAnsiTheme="majorHAnsi"/>
          <w:sz w:val="20"/>
          <w:szCs w:val="20"/>
        </w:rPr>
        <w:t>and 47</w:t>
      </w:r>
      <w:r w:rsidR="008B50D5">
        <w:rPr>
          <w:rFonts w:asciiTheme="majorHAnsi" w:hAnsiTheme="majorHAnsi"/>
          <w:sz w:val="20"/>
          <w:szCs w:val="20"/>
        </w:rPr>
        <w:t>.</w:t>
      </w:r>
      <w:r w:rsidR="00EE50AA" w:rsidRPr="001E4C94">
        <w:rPr>
          <w:rFonts w:asciiTheme="majorHAnsi" w:hAnsiTheme="majorHAnsi"/>
          <w:sz w:val="20"/>
          <w:szCs w:val="20"/>
        </w:rPr>
        <w:t xml:space="preserve">d </w:t>
      </w:r>
      <w:r w:rsidR="00A86922" w:rsidRPr="001E4C94">
        <w:rPr>
          <w:rFonts w:asciiTheme="majorHAnsi" w:hAnsiTheme="majorHAnsi"/>
          <w:sz w:val="20"/>
          <w:szCs w:val="20"/>
        </w:rPr>
        <w:t>of the Convention are considered to have been fulfilled</w:t>
      </w:r>
      <w:r w:rsidR="00EE50AA"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EE50AA" w:rsidRPr="001E4C94" w:rsidRDefault="00A86922" w:rsidP="006E4093">
      <w:pPr>
        <w:pStyle w:val="ListParagraph"/>
        <w:numPr>
          <w:ilvl w:val="0"/>
          <w:numId w:val="9"/>
        </w:numPr>
        <w:spacing w:after="0"/>
        <w:jc w:val="both"/>
        <w:outlineLvl w:val="2"/>
        <w:rPr>
          <w:rFonts w:asciiTheme="majorHAnsi" w:hAnsiTheme="majorHAnsi"/>
          <w:b/>
          <w:sz w:val="20"/>
          <w:szCs w:val="20"/>
        </w:rPr>
      </w:pPr>
      <w:r w:rsidRPr="001E4C94">
        <w:rPr>
          <w:rFonts w:asciiTheme="majorHAnsi" w:hAnsiTheme="majorHAnsi"/>
          <w:b/>
          <w:sz w:val="20"/>
          <w:szCs w:val="20"/>
        </w:rPr>
        <w:t>Characterization of the facts alleged</w:t>
      </w:r>
    </w:p>
    <w:p w:rsidR="005758BA" w:rsidRPr="001E4C94" w:rsidRDefault="005758BA" w:rsidP="006E4093">
      <w:pPr>
        <w:spacing w:after="0"/>
        <w:jc w:val="both"/>
        <w:rPr>
          <w:rFonts w:asciiTheme="majorHAnsi" w:hAnsiTheme="majorHAnsi"/>
          <w:b/>
          <w:sz w:val="20"/>
          <w:szCs w:val="20"/>
        </w:rPr>
      </w:pPr>
    </w:p>
    <w:p w:rsidR="006F487B" w:rsidRPr="001E4C94" w:rsidRDefault="00A86922"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In view of the evidence of fact and law submitted by the parties and the nature of the matter </w:t>
      </w:r>
      <w:r w:rsidR="0084023B" w:rsidRPr="001E4C94">
        <w:rPr>
          <w:rFonts w:asciiTheme="majorHAnsi" w:hAnsiTheme="majorHAnsi"/>
          <w:sz w:val="20"/>
          <w:szCs w:val="20"/>
        </w:rPr>
        <w:t>under review</w:t>
      </w:r>
      <w:r w:rsidRPr="001E4C94">
        <w:rPr>
          <w:rFonts w:asciiTheme="majorHAnsi" w:hAnsiTheme="majorHAnsi"/>
          <w:sz w:val="20"/>
          <w:szCs w:val="20"/>
        </w:rPr>
        <w:t xml:space="preserve"> by the IACHR, the Commission considers that </w:t>
      </w:r>
      <w:r w:rsidR="0084023B" w:rsidRPr="001E4C94">
        <w:rPr>
          <w:rFonts w:asciiTheme="majorHAnsi" w:hAnsiTheme="majorHAnsi"/>
          <w:sz w:val="20"/>
          <w:szCs w:val="20"/>
        </w:rPr>
        <w:t xml:space="preserve">the petitioners’ </w:t>
      </w:r>
      <w:r w:rsidRPr="001E4C94">
        <w:rPr>
          <w:rFonts w:asciiTheme="majorHAnsi" w:hAnsiTheme="majorHAnsi"/>
          <w:sz w:val="20"/>
          <w:szCs w:val="20"/>
        </w:rPr>
        <w:t xml:space="preserve">arguments, were they to be proven, may show the </w:t>
      </w:r>
      <w:r w:rsidR="0084023B" w:rsidRPr="001E4C94">
        <w:rPr>
          <w:rFonts w:asciiTheme="majorHAnsi" w:hAnsiTheme="majorHAnsi"/>
          <w:sz w:val="20"/>
          <w:szCs w:val="20"/>
        </w:rPr>
        <w:t xml:space="preserve">Colombian State’s </w:t>
      </w:r>
      <w:r w:rsidRPr="001E4C94">
        <w:rPr>
          <w:rFonts w:asciiTheme="majorHAnsi" w:hAnsiTheme="majorHAnsi"/>
          <w:sz w:val="20"/>
          <w:szCs w:val="20"/>
        </w:rPr>
        <w:t xml:space="preserve">international responsibility for violation of </w:t>
      </w:r>
      <w:r w:rsidR="008B50D5">
        <w:rPr>
          <w:rFonts w:asciiTheme="majorHAnsi" w:hAnsiTheme="majorHAnsi"/>
          <w:sz w:val="20"/>
          <w:szCs w:val="20"/>
        </w:rPr>
        <w:t>a</w:t>
      </w:r>
      <w:r w:rsidRPr="001E4C94">
        <w:rPr>
          <w:rFonts w:asciiTheme="majorHAnsi" w:hAnsiTheme="majorHAnsi"/>
          <w:sz w:val="20"/>
          <w:szCs w:val="20"/>
        </w:rPr>
        <w:t xml:space="preserve">rticles </w:t>
      </w:r>
      <w:r w:rsidR="00A433ED" w:rsidRPr="001E4C94">
        <w:rPr>
          <w:rFonts w:asciiTheme="majorHAnsi" w:hAnsiTheme="majorHAnsi"/>
          <w:sz w:val="20"/>
          <w:szCs w:val="20"/>
        </w:rPr>
        <w:t xml:space="preserve">3, </w:t>
      </w:r>
      <w:r w:rsidR="00BD54B7" w:rsidRPr="001E4C94">
        <w:rPr>
          <w:rFonts w:asciiTheme="majorHAnsi" w:hAnsiTheme="majorHAnsi"/>
          <w:sz w:val="20"/>
          <w:szCs w:val="20"/>
        </w:rPr>
        <w:t xml:space="preserve">4, 5, </w:t>
      </w:r>
      <w:r w:rsidR="00945945" w:rsidRPr="001E4C94">
        <w:rPr>
          <w:rFonts w:asciiTheme="majorHAnsi" w:hAnsiTheme="majorHAnsi"/>
          <w:sz w:val="20"/>
          <w:szCs w:val="20"/>
        </w:rPr>
        <w:t xml:space="preserve">7, </w:t>
      </w:r>
      <w:r w:rsidRPr="001E4C94">
        <w:rPr>
          <w:rFonts w:asciiTheme="majorHAnsi" w:hAnsiTheme="majorHAnsi"/>
          <w:sz w:val="20"/>
          <w:szCs w:val="20"/>
        </w:rPr>
        <w:t>8, and</w:t>
      </w:r>
      <w:r w:rsidR="00BD54B7" w:rsidRPr="001E4C94">
        <w:rPr>
          <w:rFonts w:asciiTheme="majorHAnsi" w:hAnsiTheme="majorHAnsi"/>
          <w:sz w:val="20"/>
          <w:szCs w:val="20"/>
        </w:rPr>
        <w:t xml:space="preserve"> 25 </w:t>
      </w:r>
      <w:r w:rsidRPr="001E4C94">
        <w:rPr>
          <w:rFonts w:asciiTheme="majorHAnsi" w:hAnsiTheme="majorHAnsi"/>
          <w:sz w:val="20"/>
          <w:szCs w:val="20"/>
        </w:rPr>
        <w:t>of the American Convention</w:t>
      </w:r>
      <w:r w:rsidR="00194E0D" w:rsidRPr="001E4C94">
        <w:rPr>
          <w:rFonts w:asciiTheme="majorHAnsi" w:hAnsiTheme="majorHAnsi"/>
          <w:sz w:val="20"/>
          <w:szCs w:val="20"/>
        </w:rPr>
        <w:t xml:space="preserve">, </w:t>
      </w:r>
      <w:r w:rsidRPr="001E4C94">
        <w:rPr>
          <w:rFonts w:asciiTheme="majorHAnsi" w:hAnsiTheme="majorHAnsi"/>
          <w:sz w:val="20"/>
          <w:szCs w:val="20"/>
        </w:rPr>
        <w:t xml:space="preserve">all of them in relation to </w:t>
      </w:r>
      <w:r w:rsidR="008B50D5">
        <w:rPr>
          <w:rFonts w:asciiTheme="majorHAnsi" w:hAnsiTheme="majorHAnsi"/>
          <w:sz w:val="20"/>
          <w:szCs w:val="20"/>
        </w:rPr>
        <w:t>a</w:t>
      </w:r>
      <w:r w:rsidRPr="001E4C94">
        <w:rPr>
          <w:rFonts w:asciiTheme="majorHAnsi" w:hAnsiTheme="majorHAnsi"/>
          <w:sz w:val="20"/>
          <w:szCs w:val="20"/>
        </w:rPr>
        <w:t xml:space="preserve">rticle </w:t>
      </w:r>
      <w:r w:rsidR="00506E7A" w:rsidRPr="001E4C94">
        <w:rPr>
          <w:rFonts w:asciiTheme="majorHAnsi" w:hAnsiTheme="majorHAnsi"/>
          <w:sz w:val="20"/>
          <w:szCs w:val="20"/>
        </w:rPr>
        <w:t>1</w:t>
      </w:r>
      <w:r w:rsidR="008B50D5">
        <w:rPr>
          <w:rFonts w:asciiTheme="majorHAnsi" w:hAnsiTheme="majorHAnsi"/>
          <w:sz w:val="20"/>
          <w:szCs w:val="20"/>
        </w:rPr>
        <w:t>.</w:t>
      </w:r>
      <w:r w:rsidR="00506E7A" w:rsidRPr="001E4C94">
        <w:rPr>
          <w:rFonts w:asciiTheme="majorHAnsi" w:hAnsiTheme="majorHAnsi"/>
          <w:sz w:val="20"/>
          <w:szCs w:val="20"/>
        </w:rPr>
        <w:t>1</w:t>
      </w:r>
      <w:r w:rsidRPr="001E4C94">
        <w:rPr>
          <w:rFonts w:asciiTheme="majorHAnsi" w:hAnsiTheme="majorHAnsi"/>
          <w:sz w:val="20"/>
          <w:szCs w:val="20"/>
        </w:rPr>
        <w:t xml:space="preserve"> thereof, to the detriment </w:t>
      </w:r>
      <w:r w:rsidR="0084023B" w:rsidRPr="001E4C94">
        <w:rPr>
          <w:rFonts w:asciiTheme="majorHAnsi" w:hAnsiTheme="majorHAnsi"/>
          <w:sz w:val="20"/>
          <w:szCs w:val="20"/>
        </w:rPr>
        <w:t xml:space="preserve">of </w:t>
      </w:r>
      <w:r w:rsidR="00506E7A" w:rsidRPr="001E4C94">
        <w:rPr>
          <w:rFonts w:asciiTheme="majorHAnsi" w:hAnsiTheme="majorHAnsi"/>
          <w:sz w:val="20"/>
          <w:szCs w:val="20"/>
        </w:rPr>
        <w:t>Juan Fernando Porras Martínez</w:t>
      </w:r>
      <w:r w:rsidR="007763F1" w:rsidRPr="001E4C94">
        <w:rPr>
          <w:rFonts w:asciiTheme="majorHAnsi" w:hAnsiTheme="majorHAnsi"/>
          <w:sz w:val="20"/>
          <w:szCs w:val="20"/>
        </w:rPr>
        <w:t xml:space="preserve">. </w:t>
      </w:r>
      <w:r w:rsidRPr="001E4C94">
        <w:rPr>
          <w:rFonts w:asciiTheme="majorHAnsi" w:hAnsiTheme="majorHAnsi"/>
          <w:sz w:val="20"/>
          <w:szCs w:val="20"/>
        </w:rPr>
        <w:t xml:space="preserve">Furthermore, they may constitute violations of the rights enshrined in </w:t>
      </w:r>
      <w:r w:rsidR="008B50D5">
        <w:rPr>
          <w:rFonts w:asciiTheme="majorHAnsi" w:hAnsiTheme="majorHAnsi"/>
          <w:sz w:val="20"/>
          <w:szCs w:val="20"/>
        </w:rPr>
        <w:t>a</w:t>
      </w:r>
      <w:r w:rsidRPr="001E4C94">
        <w:rPr>
          <w:rFonts w:asciiTheme="majorHAnsi" w:hAnsiTheme="majorHAnsi"/>
          <w:sz w:val="20"/>
          <w:szCs w:val="20"/>
        </w:rPr>
        <w:t xml:space="preserve">rticles </w:t>
      </w:r>
      <w:r w:rsidR="0090529C" w:rsidRPr="001E4C94">
        <w:rPr>
          <w:rFonts w:asciiTheme="majorHAnsi" w:hAnsiTheme="majorHAnsi"/>
          <w:sz w:val="20"/>
          <w:szCs w:val="20"/>
        </w:rPr>
        <w:t>5, 8</w:t>
      </w:r>
      <w:r w:rsidRPr="001E4C94">
        <w:rPr>
          <w:rFonts w:asciiTheme="majorHAnsi" w:hAnsiTheme="majorHAnsi"/>
          <w:sz w:val="20"/>
          <w:szCs w:val="20"/>
        </w:rPr>
        <w:t>, and</w:t>
      </w:r>
      <w:r w:rsidR="0090529C" w:rsidRPr="001E4C94">
        <w:rPr>
          <w:rFonts w:asciiTheme="majorHAnsi" w:hAnsiTheme="majorHAnsi"/>
          <w:sz w:val="20"/>
          <w:szCs w:val="20"/>
        </w:rPr>
        <w:t xml:space="preserve"> 25 </w:t>
      </w:r>
      <w:r w:rsidRPr="001E4C94">
        <w:rPr>
          <w:rFonts w:asciiTheme="majorHAnsi" w:hAnsiTheme="majorHAnsi"/>
          <w:sz w:val="20"/>
          <w:szCs w:val="20"/>
        </w:rPr>
        <w:t xml:space="preserve">to the detriment of Mr. </w:t>
      </w:r>
      <w:r w:rsidR="0090529C" w:rsidRPr="001E4C94">
        <w:rPr>
          <w:rFonts w:asciiTheme="majorHAnsi" w:hAnsiTheme="majorHAnsi"/>
          <w:sz w:val="20"/>
          <w:szCs w:val="20"/>
        </w:rPr>
        <w:t>Porras Martínez</w:t>
      </w:r>
      <w:r w:rsidRPr="001E4C94">
        <w:rPr>
          <w:rFonts w:asciiTheme="majorHAnsi" w:hAnsiTheme="majorHAnsi"/>
          <w:sz w:val="20"/>
          <w:szCs w:val="20"/>
        </w:rPr>
        <w:t>’s family</w:t>
      </w:r>
      <w:r w:rsidR="0090529C" w:rsidRPr="001E4C94">
        <w:rPr>
          <w:rFonts w:asciiTheme="majorHAnsi" w:hAnsiTheme="majorHAnsi"/>
          <w:sz w:val="20"/>
          <w:szCs w:val="20"/>
        </w:rPr>
        <w:t xml:space="preserve">. </w:t>
      </w:r>
      <w:r w:rsidRPr="001E4C94">
        <w:rPr>
          <w:rFonts w:asciiTheme="majorHAnsi" w:hAnsiTheme="majorHAnsi"/>
          <w:sz w:val="20"/>
          <w:szCs w:val="20"/>
        </w:rPr>
        <w:t>Additionally, given the alleged violation</w:t>
      </w:r>
      <w:r w:rsidR="0084023B" w:rsidRPr="001E4C94">
        <w:rPr>
          <w:rFonts w:asciiTheme="majorHAnsi" w:hAnsiTheme="majorHAnsi"/>
          <w:sz w:val="20"/>
          <w:szCs w:val="20"/>
        </w:rPr>
        <w:t>s</w:t>
      </w:r>
      <w:r w:rsidRPr="001E4C94">
        <w:rPr>
          <w:rFonts w:asciiTheme="majorHAnsi" w:hAnsiTheme="majorHAnsi"/>
          <w:sz w:val="20"/>
          <w:szCs w:val="20"/>
        </w:rPr>
        <w:t xml:space="preserve"> contained in this petition—which includes alleged forced disappearance, acts of torture, and failure of </w:t>
      </w:r>
      <w:r w:rsidR="0084023B" w:rsidRPr="001E4C94">
        <w:rPr>
          <w:rFonts w:asciiTheme="majorHAnsi" w:hAnsiTheme="majorHAnsi"/>
          <w:sz w:val="20"/>
          <w:szCs w:val="20"/>
        </w:rPr>
        <w:t>legal authorities</w:t>
      </w:r>
      <w:r w:rsidRPr="001E4C94">
        <w:rPr>
          <w:rFonts w:asciiTheme="majorHAnsi" w:hAnsiTheme="majorHAnsi"/>
          <w:sz w:val="20"/>
          <w:szCs w:val="20"/>
        </w:rPr>
        <w:t xml:space="preserve"> to shed light on these facts—the Commission considers that </w:t>
      </w:r>
      <w:r w:rsidR="0084023B" w:rsidRPr="001E4C94">
        <w:rPr>
          <w:rFonts w:asciiTheme="majorHAnsi" w:hAnsiTheme="majorHAnsi"/>
          <w:sz w:val="20"/>
          <w:szCs w:val="20"/>
        </w:rPr>
        <w:t xml:space="preserve">it is fitting </w:t>
      </w:r>
      <w:r w:rsidRPr="001E4C94">
        <w:rPr>
          <w:rFonts w:asciiTheme="majorHAnsi" w:hAnsiTheme="majorHAnsi"/>
          <w:sz w:val="20"/>
          <w:szCs w:val="20"/>
        </w:rPr>
        <w:t xml:space="preserve">during the merits stage to analyze the possible applicability of </w:t>
      </w:r>
      <w:r w:rsidR="008B50D5">
        <w:rPr>
          <w:rFonts w:asciiTheme="majorHAnsi" w:hAnsiTheme="majorHAnsi"/>
          <w:sz w:val="20"/>
          <w:szCs w:val="20"/>
        </w:rPr>
        <w:t>a</w:t>
      </w:r>
      <w:r w:rsidRPr="001E4C94">
        <w:rPr>
          <w:rFonts w:asciiTheme="majorHAnsi" w:hAnsiTheme="majorHAnsi"/>
          <w:sz w:val="20"/>
          <w:szCs w:val="20"/>
        </w:rPr>
        <w:t xml:space="preserve">rticle </w:t>
      </w:r>
      <w:r w:rsidR="00EB4B5B" w:rsidRPr="001E4C94">
        <w:rPr>
          <w:rFonts w:asciiTheme="majorHAnsi" w:hAnsiTheme="majorHAnsi"/>
          <w:sz w:val="20"/>
          <w:szCs w:val="20"/>
        </w:rPr>
        <w:t>1</w:t>
      </w:r>
      <w:r w:rsidR="008B50D5">
        <w:rPr>
          <w:rFonts w:asciiTheme="majorHAnsi" w:hAnsiTheme="majorHAnsi"/>
          <w:sz w:val="20"/>
          <w:szCs w:val="20"/>
        </w:rPr>
        <w:t>.</w:t>
      </w:r>
      <w:r w:rsidR="00EB4B5B" w:rsidRPr="001E4C94">
        <w:rPr>
          <w:rFonts w:asciiTheme="majorHAnsi" w:hAnsiTheme="majorHAnsi"/>
          <w:sz w:val="20"/>
          <w:szCs w:val="20"/>
        </w:rPr>
        <w:t xml:space="preserve">b </w:t>
      </w:r>
      <w:r w:rsidR="0084023B" w:rsidRPr="001E4C94">
        <w:rPr>
          <w:rFonts w:asciiTheme="majorHAnsi" w:hAnsiTheme="majorHAnsi"/>
          <w:sz w:val="20"/>
          <w:szCs w:val="20"/>
        </w:rPr>
        <w:t>of the Inter-American C</w:t>
      </w:r>
      <w:r w:rsidRPr="001E4C94">
        <w:rPr>
          <w:rFonts w:asciiTheme="majorHAnsi" w:hAnsiTheme="majorHAnsi"/>
          <w:sz w:val="20"/>
          <w:szCs w:val="20"/>
        </w:rPr>
        <w:t>onvention on Forced Disappearance of Persons</w:t>
      </w:r>
      <w:r w:rsidR="003063A2" w:rsidRPr="001E4C94">
        <w:rPr>
          <w:rFonts w:asciiTheme="majorHAnsi" w:hAnsiTheme="majorHAnsi"/>
          <w:sz w:val="20"/>
          <w:szCs w:val="20"/>
        </w:rPr>
        <w:t>,</w:t>
      </w:r>
      <w:r w:rsidRPr="001E4C94">
        <w:rPr>
          <w:rFonts w:asciiTheme="majorHAnsi" w:hAnsiTheme="majorHAnsi"/>
          <w:sz w:val="20"/>
          <w:szCs w:val="20"/>
        </w:rPr>
        <w:t xml:space="preserve"> and </w:t>
      </w:r>
      <w:r w:rsidR="008B50D5">
        <w:rPr>
          <w:rFonts w:asciiTheme="majorHAnsi" w:hAnsiTheme="majorHAnsi"/>
          <w:sz w:val="20"/>
          <w:szCs w:val="20"/>
        </w:rPr>
        <w:t>a</w:t>
      </w:r>
      <w:r w:rsidRPr="001E4C94">
        <w:rPr>
          <w:rFonts w:asciiTheme="majorHAnsi" w:hAnsiTheme="majorHAnsi"/>
          <w:sz w:val="20"/>
          <w:szCs w:val="20"/>
        </w:rPr>
        <w:t xml:space="preserve">rticles </w:t>
      </w:r>
      <w:r w:rsidR="00EB4B5B" w:rsidRPr="001E4C94">
        <w:rPr>
          <w:rFonts w:asciiTheme="majorHAnsi" w:hAnsiTheme="majorHAnsi"/>
          <w:sz w:val="20"/>
          <w:szCs w:val="20"/>
        </w:rPr>
        <w:t xml:space="preserve">1 </w:t>
      </w:r>
      <w:r w:rsidRPr="001E4C94">
        <w:rPr>
          <w:rFonts w:asciiTheme="majorHAnsi" w:hAnsiTheme="majorHAnsi"/>
          <w:sz w:val="20"/>
          <w:szCs w:val="20"/>
        </w:rPr>
        <w:t>and</w:t>
      </w:r>
      <w:r w:rsidR="00EB4B5B" w:rsidRPr="001E4C94">
        <w:rPr>
          <w:rFonts w:asciiTheme="majorHAnsi" w:hAnsiTheme="majorHAnsi"/>
          <w:sz w:val="20"/>
          <w:szCs w:val="20"/>
        </w:rPr>
        <w:t xml:space="preserve"> 8 </w:t>
      </w:r>
      <w:r w:rsidRPr="001E4C94">
        <w:rPr>
          <w:rFonts w:asciiTheme="majorHAnsi" w:hAnsiTheme="majorHAnsi"/>
          <w:sz w:val="20"/>
          <w:szCs w:val="20"/>
        </w:rPr>
        <w:t xml:space="preserve">of the Inter-American Convention to Prevent and Punish Torture, as well as the conditions under which these legal instruments are </w:t>
      </w:r>
      <w:r w:rsidR="003063A2" w:rsidRPr="001E4C94">
        <w:rPr>
          <w:rFonts w:asciiTheme="majorHAnsi" w:hAnsiTheme="majorHAnsi"/>
          <w:sz w:val="20"/>
          <w:szCs w:val="20"/>
        </w:rPr>
        <w:t>enforceable</w:t>
      </w:r>
      <w:r w:rsidRPr="001E4C94">
        <w:rPr>
          <w:rFonts w:asciiTheme="majorHAnsi" w:hAnsiTheme="majorHAnsi"/>
          <w:sz w:val="20"/>
          <w:szCs w:val="20"/>
        </w:rPr>
        <w:t xml:space="preserve"> in light of the time </w:t>
      </w:r>
      <w:r w:rsidR="003063A2" w:rsidRPr="001E4C94">
        <w:rPr>
          <w:rFonts w:asciiTheme="majorHAnsi" w:hAnsiTheme="majorHAnsi"/>
          <w:sz w:val="20"/>
          <w:szCs w:val="20"/>
        </w:rPr>
        <w:t>restrictions</w:t>
      </w:r>
      <w:r w:rsidRPr="001E4C94">
        <w:rPr>
          <w:rFonts w:asciiTheme="majorHAnsi" w:hAnsiTheme="majorHAnsi"/>
          <w:sz w:val="20"/>
          <w:szCs w:val="20"/>
        </w:rPr>
        <w:t xml:space="preserve"> set forth in this report.</w:t>
      </w:r>
    </w:p>
    <w:p w:rsidR="005758BA" w:rsidRPr="001E4C94" w:rsidRDefault="005758BA" w:rsidP="006E4093">
      <w:pPr>
        <w:spacing w:after="0"/>
        <w:jc w:val="both"/>
        <w:rPr>
          <w:rFonts w:asciiTheme="majorHAnsi" w:hAnsiTheme="majorHAnsi"/>
          <w:sz w:val="20"/>
          <w:szCs w:val="20"/>
        </w:rPr>
      </w:pPr>
    </w:p>
    <w:p w:rsidR="00EE50AA" w:rsidRPr="001E4C94" w:rsidRDefault="00EE50AA" w:rsidP="006E4093">
      <w:pPr>
        <w:pStyle w:val="Heading1"/>
        <w:jc w:val="both"/>
        <w:rPr>
          <w:lang w:val="en-US"/>
        </w:rPr>
      </w:pPr>
      <w:r w:rsidRPr="001E4C94">
        <w:rPr>
          <w:lang w:val="en-US"/>
        </w:rPr>
        <w:t xml:space="preserve">CONCLUSIONS </w:t>
      </w:r>
    </w:p>
    <w:p w:rsidR="005758BA" w:rsidRPr="001E4C94" w:rsidRDefault="005758BA" w:rsidP="006E4093">
      <w:pPr>
        <w:spacing w:after="0"/>
        <w:ind w:left="720"/>
        <w:jc w:val="both"/>
        <w:rPr>
          <w:rFonts w:asciiTheme="majorHAnsi" w:hAnsiTheme="majorHAnsi"/>
          <w:b/>
          <w:sz w:val="20"/>
          <w:szCs w:val="20"/>
        </w:rPr>
      </w:pPr>
    </w:p>
    <w:p w:rsidR="00EE50AA" w:rsidRPr="001E4C94" w:rsidRDefault="00A86922" w:rsidP="006E4093">
      <w:pPr>
        <w:numPr>
          <w:ilvl w:val="0"/>
          <w:numId w:val="1"/>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Based on the legal and factual arguments </w:t>
      </w:r>
      <w:r w:rsidR="008C0889" w:rsidRPr="001E4C94">
        <w:rPr>
          <w:rFonts w:asciiTheme="majorHAnsi" w:hAnsiTheme="majorHAnsi"/>
          <w:sz w:val="20"/>
          <w:szCs w:val="20"/>
        </w:rPr>
        <w:t xml:space="preserve">developed, and without prejudging </w:t>
      </w:r>
      <w:r w:rsidR="003063A2" w:rsidRPr="001E4C94">
        <w:rPr>
          <w:rFonts w:asciiTheme="majorHAnsi" w:hAnsiTheme="majorHAnsi"/>
          <w:sz w:val="20"/>
          <w:szCs w:val="20"/>
        </w:rPr>
        <w:t>the merits of this matter, the C</w:t>
      </w:r>
      <w:r w:rsidR="008C0889" w:rsidRPr="001E4C94">
        <w:rPr>
          <w:rFonts w:asciiTheme="majorHAnsi" w:hAnsiTheme="majorHAnsi"/>
          <w:sz w:val="20"/>
          <w:szCs w:val="20"/>
        </w:rPr>
        <w:t xml:space="preserve">ommission concludes that this case fulfills the requirements for admissibility provided for under </w:t>
      </w:r>
      <w:r w:rsidR="008B50D5">
        <w:rPr>
          <w:rFonts w:asciiTheme="majorHAnsi" w:hAnsiTheme="majorHAnsi"/>
          <w:sz w:val="20"/>
          <w:szCs w:val="20"/>
        </w:rPr>
        <w:t>a</w:t>
      </w:r>
      <w:r w:rsidR="008C0889" w:rsidRPr="001E4C94">
        <w:rPr>
          <w:rFonts w:asciiTheme="majorHAnsi" w:hAnsiTheme="majorHAnsi"/>
          <w:sz w:val="20"/>
          <w:szCs w:val="20"/>
        </w:rPr>
        <w:t>rticle</w:t>
      </w:r>
      <w:r w:rsidR="003063A2" w:rsidRPr="001E4C94">
        <w:rPr>
          <w:rFonts w:asciiTheme="majorHAnsi" w:hAnsiTheme="majorHAnsi"/>
          <w:sz w:val="20"/>
          <w:szCs w:val="20"/>
        </w:rPr>
        <w:t>s</w:t>
      </w:r>
      <w:r w:rsidR="008C0889" w:rsidRPr="001E4C94">
        <w:rPr>
          <w:rFonts w:asciiTheme="majorHAnsi" w:hAnsiTheme="majorHAnsi"/>
          <w:sz w:val="20"/>
          <w:szCs w:val="20"/>
        </w:rPr>
        <w:t xml:space="preserve"> 46 and 47 of the American Convention</w:t>
      </w:r>
      <w:r w:rsidR="003063A2" w:rsidRPr="001E4C94">
        <w:rPr>
          <w:rFonts w:asciiTheme="majorHAnsi" w:hAnsiTheme="majorHAnsi"/>
          <w:sz w:val="20"/>
          <w:szCs w:val="20"/>
        </w:rPr>
        <w:t>,</w:t>
      </w:r>
      <w:r w:rsidR="008C0889" w:rsidRPr="001E4C94">
        <w:rPr>
          <w:rFonts w:asciiTheme="majorHAnsi" w:hAnsiTheme="majorHAnsi"/>
          <w:sz w:val="20"/>
          <w:szCs w:val="20"/>
        </w:rPr>
        <w:t xml:space="preserve"> and therefore:</w:t>
      </w:r>
      <w:r w:rsidR="00EE50AA"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BC0702" w:rsidRDefault="008C0889" w:rsidP="00BC0702">
      <w:pPr>
        <w:spacing w:after="0"/>
        <w:ind w:firstLine="720"/>
        <w:jc w:val="center"/>
        <w:rPr>
          <w:rFonts w:asciiTheme="majorHAnsi" w:hAnsiTheme="majorHAnsi"/>
          <w:b/>
          <w:sz w:val="20"/>
          <w:szCs w:val="20"/>
        </w:rPr>
      </w:pPr>
      <w:r w:rsidRPr="001E4C94">
        <w:rPr>
          <w:rFonts w:asciiTheme="majorHAnsi" w:hAnsiTheme="majorHAnsi"/>
          <w:b/>
          <w:sz w:val="20"/>
          <w:szCs w:val="20"/>
        </w:rPr>
        <w:t>THE INTER-A</w:t>
      </w:r>
      <w:r w:rsidR="003063A2" w:rsidRPr="001E4C94">
        <w:rPr>
          <w:rFonts w:asciiTheme="majorHAnsi" w:hAnsiTheme="majorHAnsi"/>
          <w:b/>
          <w:sz w:val="20"/>
          <w:szCs w:val="20"/>
        </w:rPr>
        <w:t>M</w:t>
      </w:r>
      <w:r w:rsidRPr="001E4C94">
        <w:rPr>
          <w:rFonts w:asciiTheme="majorHAnsi" w:hAnsiTheme="majorHAnsi"/>
          <w:b/>
          <w:sz w:val="20"/>
          <w:szCs w:val="20"/>
        </w:rPr>
        <w:t>ERICAN COMMISSION ON HUMAN RI</w:t>
      </w:r>
      <w:r w:rsidR="003063A2" w:rsidRPr="001E4C94">
        <w:rPr>
          <w:rFonts w:asciiTheme="majorHAnsi" w:hAnsiTheme="majorHAnsi"/>
          <w:b/>
          <w:sz w:val="20"/>
          <w:szCs w:val="20"/>
        </w:rPr>
        <w:t>G</w:t>
      </w:r>
      <w:r w:rsidRPr="001E4C94">
        <w:rPr>
          <w:rFonts w:asciiTheme="majorHAnsi" w:hAnsiTheme="majorHAnsi"/>
          <w:b/>
          <w:sz w:val="20"/>
          <w:szCs w:val="20"/>
        </w:rPr>
        <w:t>HTS</w:t>
      </w:r>
      <w:r w:rsidR="00EE50AA" w:rsidRPr="001E4C94">
        <w:rPr>
          <w:rFonts w:asciiTheme="majorHAnsi" w:hAnsiTheme="majorHAnsi"/>
          <w:b/>
          <w:sz w:val="20"/>
          <w:szCs w:val="20"/>
        </w:rPr>
        <w:t>,</w:t>
      </w:r>
    </w:p>
    <w:p w:rsidR="00EE50AA" w:rsidRPr="001E4C94" w:rsidRDefault="00EE50AA" w:rsidP="00BC0702">
      <w:pPr>
        <w:spacing w:after="0"/>
        <w:rPr>
          <w:rFonts w:asciiTheme="majorHAnsi" w:hAnsiTheme="majorHAnsi"/>
          <w:b/>
          <w:sz w:val="20"/>
          <w:szCs w:val="20"/>
        </w:rPr>
      </w:pPr>
      <w:r w:rsidRPr="001E4C94">
        <w:rPr>
          <w:rFonts w:asciiTheme="majorHAnsi" w:hAnsiTheme="majorHAnsi"/>
          <w:b/>
          <w:sz w:val="20"/>
          <w:szCs w:val="20"/>
        </w:rPr>
        <w:t>DECIDE</w:t>
      </w:r>
      <w:r w:rsidR="008C0889" w:rsidRPr="001E4C94">
        <w:rPr>
          <w:rFonts w:asciiTheme="majorHAnsi" w:hAnsiTheme="majorHAnsi"/>
          <w:b/>
          <w:sz w:val="20"/>
          <w:szCs w:val="20"/>
        </w:rPr>
        <w:t>S</w:t>
      </w:r>
      <w:r w:rsidR="00BC0702">
        <w:rPr>
          <w:rFonts w:asciiTheme="majorHAnsi" w:hAnsiTheme="majorHAnsi"/>
          <w:b/>
          <w:sz w:val="20"/>
          <w:szCs w:val="20"/>
        </w:rPr>
        <w:t xml:space="preserve"> TO</w:t>
      </w:r>
      <w:r w:rsidRPr="001E4C94">
        <w:rPr>
          <w:rFonts w:asciiTheme="majorHAnsi" w:hAnsiTheme="majorHAnsi"/>
          <w:b/>
          <w:sz w:val="20"/>
          <w:szCs w:val="20"/>
        </w:rPr>
        <w:t>:</w:t>
      </w:r>
    </w:p>
    <w:p w:rsidR="005758BA" w:rsidRPr="001E4C94" w:rsidRDefault="005758BA" w:rsidP="006E4093">
      <w:pPr>
        <w:spacing w:after="0"/>
        <w:jc w:val="both"/>
        <w:rPr>
          <w:rFonts w:asciiTheme="majorHAnsi" w:hAnsiTheme="majorHAnsi"/>
          <w:b/>
          <w:sz w:val="20"/>
          <w:szCs w:val="20"/>
        </w:rPr>
      </w:pPr>
    </w:p>
    <w:p w:rsidR="00EE50AA" w:rsidRPr="001E4C94" w:rsidRDefault="00EE50AA" w:rsidP="006E4093">
      <w:pPr>
        <w:numPr>
          <w:ilvl w:val="0"/>
          <w:numId w:val="3"/>
        </w:numPr>
        <w:spacing w:after="0"/>
        <w:ind w:left="0" w:firstLine="720"/>
        <w:jc w:val="both"/>
        <w:rPr>
          <w:rFonts w:asciiTheme="majorHAnsi" w:hAnsiTheme="majorHAnsi"/>
          <w:sz w:val="20"/>
          <w:szCs w:val="20"/>
        </w:rPr>
      </w:pPr>
      <w:r w:rsidRPr="001E4C94">
        <w:rPr>
          <w:rFonts w:asciiTheme="majorHAnsi" w:hAnsiTheme="majorHAnsi"/>
          <w:sz w:val="20"/>
          <w:szCs w:val="20"/>
        </w:rPr>
        <w:t>Declar</w:t>
      </w:r>
      <w:r w:rsidR="008C0889" w:rsidRPr="001E4C94">
        <w:rPr>
          <w:rFonts w:asciiTheme="majorHAnsi" w:hAnsiTheme="majorHAnsi"/>
          <w:sz w:val="20"/>
          <w:szCs w:val="20"/>
        </w:rPr>
        <w:t xml:space="preserve">e this petition admissible for review with regard to </w:t>
      </w:r>
      <w:r w:rsidR="008B50D5">
        <w:rPr>
          <w:rFonts w:asciiTheme="majorHAnsi" w:hAnsiTheme="majorHAnsi"/>
          <w:sz w:val="20"/>
          <w:szCs w:val="20"/>
        </w:rPr>
        <w:t>a</w:t>
      </w:r>
      <w:r w:rsidR="008C0889" w:rsidRPr="001E4C94">
        <w:rPr>
          <w:rFonts w:asciiTheme="majorHAnsi" w:hAnsiTheme="majorHAnsi"/>
          <w:sz w:val="20"/>
          <w:szCs w:val="20"/>
        </w:rPr>
        <w:t xml:space="preserve">rticles </w:t>
      </w:r>
      <w:r w:rsidR="00506E7A" w:rsidRPr="001E4C94">
        <w:rPr>
          <w:rFonts w:asciiTheme="majorHAnsi" w:hAnsiTheme="majorHAnsi"/>
          <w:sz w:val="20"/>
          <w:szCs w:val="20"/>
        </w:rPr>
        <w:t>3, 4, 5, 7, 8</w:t>
      </w:r>
      <w:r w:rsidR="008C0889" w:rsidRPr="001E4C94">
        <w:rPr>
          <w:rFonts w:asciiTheme="majorHAnsi" w:hAnsiTheme="majorHAnsi"/>
          <w:sz w:val="20"/>
          <w:szCs w:val="20"/>
        </w:rPr>
        <w:t>,</w:t>
      </w:r>
      <w:r w:rsidR="001D0F93" w:rsidRPr="001E4C94">
        <w:rPr>
          <w:rFonts w:asciiTheme="majorHAnsi" w:hAnsiTheme="majorHAnsi"/>
          <w:sz w:val="20"/>
          <w:szCs w:val="20"/>
        </w:rPr>
        <w:t xml:space="preserve"> </w:t>
      </w:r>
      <w:r w:rsidR="008C0889" w:rsidRPr="001E4C94">
        <w:rPr>
          <w:rFonts w:asciiTheme="majorHAnsi" w:hAnsiTheme="majorHAnsi"/>
          <w:sz w:val="20"/>
          <w:szCs w:val="20"/>
        </w:rPr>
        <w:t>and</w:t>
      </w:r>
      <w:r w:rsidR="00506E7A" w:rsidRPr="001E4C94">
        <w:rPr>
          <w:rFonts w:asciiTheme="majorHAnsi" w:hAnsiTheme="majorHAnsi"/>
          <w:sz w:val="20"/>
          <w:szCs w:val="20"/>
        </w:rPr>
        <w:t xml:space="preserve"> 25 </w:t>
      </w:r>
      <w:r w:rsidR="008C0889" w:rsidRPr="001E4C94">
        <w:rPr>
          <w:rFonts w:asciiTheme="majorHAnsi" w:hAnsiTheme="majorHAnsi"/>
          <w:sz w:val="20"/>
          <w:szCs w:val="20"/>
        </w:rPr>
        <w:t xml:space="preserve">of the American Convention in relation to </w:t>
      </w:r>
      <w:r w:rsidR="008B50D5">
        <w:rPr>
          <w:rFonts w:asciiTheme="majorHAnsi" w:hAnsiTheme="majorHAnsi"/>
          <w:sz w:val="20"/>
          <w:szCs w:val="20"/>
        </w:rPr>
        <w:t>a</w:t>
      </w:r>
      <w:r w:rsidR="008C0889" w:rsidRPr="001E4C94">
        <w:rPr>
          <w:rFonts w:asciiTheme="majorHAnsi" w:hAnsiTheme="majorHAnsi"/>
          <w:sz w:val="20"/>
          <w:szCs w:val="20"/>
        </w:rPr>
        <w:t>rticle 1</w:t>
      </w:r>
      <w:r w:rsidR="008B50D5">
        <w:rPr>
          <w:rFonts w:asciiTheme="majorHAnsi" w:hAnsiTheme="majorHAnsi"/>
          <w:sz w:val="20"/>
          <w:szCs w:val="20"/>
        </w:rPr>
        <w:t>.</w:t>
      </w:r>
      <w:r w:rsidR="008C0889" w:rsidRPr="001E4C94">
        <w:rPr>
          <w:rFonts w:asciiTheme="majorHAnsi" w:hAnsiTheme="majorHAnsi"/>
          <w:sz w:val="20"/>
          <w:szCs w:val="20"/>
        </w:rPr>
        <w:t xml:space="preserve">1 thereof; </w:t>
      </w:r>
      <w:r w:rsidR="008B50D5">
        <w:rPr>
          <w:rFonts w:asciiTheme="majorHAnsi" w:hAnsiTheme="majorHAnsi"/>
          <w:sz w:val="20"/>
          <w:szCs w:val="20"/>
        </w:rPr>
        <w:t>article</w:t>
      </w:r>
      <w:r w:rsidR="008C0889" w:rsidRPr="001E4C94">
        <w:rPr>
          <w:rFonts w:asciiTheme="majorHAnsi" w:hAnsiTheme="majorHAnsi"/>
          <w:sz w:val="20"/>
          <w:szCs w:val="20"/>
        </w:rPr>
        <w:t xml:space="preserve"> </w:t>
      </w:r>
      <w:r w:rsidR="00DB7B30" w:rsidRPr="001E4C94">
        <w:rPr>
          <w:rFonts w:asciiTheme="majorHAnsi" w:hAnsiTheme="majorHAnsi"/>
          <w:sz w:val="20"/>
          <w:szCs w:val="20"/>
        </w:rPr>
        <w:t>1</w:t>
      </w:r>
      <w:r w:rsidR="008B50D5">
        <w:rPr>
          <w:rFonts w:asciiTheme="majorHAnsi" w:hAnsiTheme="majorHAnsi"/>
          <w:sz w:val="20"/>
          <w:szCs w:val="20"/>
        </w:rPr>
        <w:t>.</w:t>
      </w:r>
      <w:r w:rsidR="00DB7B30" w:rsidRPr="001E4C94">
        <w:rPr>
          <w:rFonts w:asciiTheme="majorHAnsi" w:hAnsiTheme="majorHAnsi"/>
          <w:sz w:val="20"/>
          <w:szCs w:val="20"/>
        </w:rPr>
        <w:t>b</w:t>
      </w:r>
      <w:r w:rsidR="00806A99" w:rsidRPr="001E4C94">
        <w:rPr>
          <w:rFonts w:asciiTheme="majorHAnsi" w:hAnsiTheme="majorHAnsi"/>
          <w:sz w:val="20"/>
          <w:szCs w:val="20"/>
        </w:rPr>
        <w:t xml:space="preserve"> </w:t>
      </w:r>
      <w:r w:rsidR="008C0889" w:rsidRPr="001E4C94">
        <w:rPr>
          <w:rFonts w:asciiTheme="majorHAnsi" w:hAnsiTheme="majorHAnsi"/>
          <w:sz w:val="20"/>
          <w:szCs w:val="20"/>
        </w:rPr>
        <w:t xml:space="preserve">of the Inter-American Convention on Forced Disappearance of Persons; and </w:t>
      </w:r>
      <w:r w:rsidR="008B50D5">
        <w:rPr>
          <w:rFonts w:asciiTheme="majorHAnsi" w:hAnsiTheme="majorHAnsi"/>
          <w:sz w:val="20"/>
          <w:szCs w:val="20"/>
        </w:rPr>
        <w:t>article</w:t>
      </w:r>
      <w:r w:rsidR="008C0889" w:rsidRPr="001E4C94">
        <w:rPr>
          <w:rFonts w:asciiTheme="majorHAnsi" w:hAnsiTheme="majorHAnsi"/>
          <w:sz w:val="20"/>
          <w:szCs w:val="20"/>
        </w:rPr>
        <w:t xml:space="preserve">s </w:t>
      </w:r>
      <w:r w:rsidR="00DB7B30" w:rsidRPr="001E4C94">
        <w:rPr>
          <w:rFonts w:asciiTheme="majorHAnsi" w:hAnsiTheme="majorHAnsi"/>
          <w:sz w:val="20"/>
          <w:szCs w:val="20"/>
        </w:rPr>
        <w:t>1</w:t>
      </w:r>
      <w:r w:rsidR="0051008C" w:rsidRPr="001E4C94">
        <w:rPr>
          <w:rFonts w:asciiTheme="majorHAnsi" w:hAnsiTheme="majorHAnsi"/>
          <w:sz w:val="20"/>
          <w:szCs w:val="20"/>
        </w:rPr>
        <w:t>, 6</w:t>
      </w:r>
      <w:r w:rsidR="008C0889" w:rsidRPr="001E4C94">
        <w:rPr>
          <w:rFonts w:asciiTheme="majorHAnsi" w:hAnsiTheme="majorHAnsi"/>
          <w:sz w:val="20"/>
          <w:szCs w:val="20"/>
        </w:rPr>
        <w:t>, and</w:t>
      </w:r>
      <w:r w:rsidR="00DB7B30" w:rsidRPr="001E4C94">
        <w:rPr>
          <w:rFonts w:asciiTheme="majorHAnsi" w:hAnsiTheme="majorHAnsi"/>
          <w:sz w:val="20"/>
          <w:szCs w:val="20"/>
        </w:rPr>
        <w:t xml:space="preserve"> 8</w:t>
      </w:r>
      <w:r w:rsidR="00806A99" w:rsidRPr="001E4C94">
        <w:rPr>
          <w:rFonts w:asciiTheme="majorHAnsi" w:hAnsiTheme="majorHAnsi"/>
          <w:sz w:val="20"/>
          <w:szCs w:val="20"/>
        </w:rPr>
        <w:t xml:space="preserve"> </w:t>
      </w:r>
      <w:r w:rsidR="008C0889" w:rsidRPr="001E4C94">
        <w:rPr>
          <w:rFonts w:asciiTheme="majorHAnsi" w:hAnsiTheme="majorHAnsi"/>
          <w:sz w:val="20"/>
          <w:szCs w:val="20"/>
        </w:rPr>
        <w:t>of the Inter-American Convention to Prevent and Punish Torture in the terms set forth in this report.</w:t>
      </w:r>
    </w:p>
    <w:p w:rsidR="005758BA" w:rsidRPr="001E4C94" w:rsidRDefault="005758BA" w:rsidP="006E4093">
      <w:pPr>
        <w:spacing w:after="0"/>
        <w:jc w:val="both"/>
        <w:rPr>
          <w:rFonts w:asciiTheme="majorHAnsi" w:hAnsiTheme="majorHAnsi"/>
          <w:sz w:val="20"/>
          <w:szCs w:val="20"/>
        </w:rPr>
      </w:pPr>
    </w:p>
    <w:p w:rsidR="00EE50AA" w:rsidRPr="001E4C94" w:rsidRDefault="008C0889" w:rsidP="006E4093">
      <w:pPr>
        <w:numPr>
          <w:ilvl w:val="0"/>
          <w:numId w:val="3"/>
        </w:numPr>
        <w:spacing w:after="0"/>
        <w:ind w:left="0" w:firstLine="720"/>
        <w:jc w:val="both"/>
        <w:rPr>
          <w:rFonts w:asciiTheme="majorHAnsi" w:hAnsiTheme="majorHAnsi"/>
          <w:sz w:val="20"/>
          <w:szCs w:val="20"/>
        </w:rPr>
      </w:pPr>
      <w:r w:rsidRPr="001E4C94">
        <w:rPr>
          <w:rFonts w:asciiTheme="majorHAnsi" w:hAnsiTheme="majorHAnsi"/>
          <w:sz w:val="20"/>
          <w:szCs w:val="20"/>
        </w:rPr>
        <w:t>Notify the State and the petitioner of this decision.</w:t>
      </w:r>
      <w:r w:rsidR="00EE50AA" w:rsidRPr="001E4C94">
        <w:rPr>
          <w:rFonts w:asciiTheme="majorHAnsi" w:hAnsiTheme="majorHAnsi"/>
          <w:sz w:val="20"/>
          <w:szCs w:val="20"/>
        </w:rPr>
        <w:t xml:space="preserve"> </w:t>
      </w:r>
    </w:p>
    <w:p w:rsidR="005758BA" w:rsidRPr="001E4C94" w:rsidRDefault="005758BA" w:rsidP="006E4093">
      <w:pPr>
        <w:spacing w:after="0"/>
        <w:jc w:val="both"/>
        <w:rPr>
          <w:rFonts w:asciiTheme="majorHAnsi" w:hAnsiTheme="majorHAnsi"/>
          <w:sz w:val="20"/>
          <w:szCs w:val="20"/>
        </w:rPr>
      </w:pPr>
    </w:p>
    <w:p w:rsidR="00EE50AA" w:rsidRPr="001E4C94" w:rsidRDefault="008C0889" w:rsidP="006E4093">
      <w:pPr>
        <w:numPr>
          <w:ilvl w:val="0"/>
          <w:numId w:val="3"/>
        </w:numPr>
        <w:spacing w:after="0"/>
        <w:ind w:left="0" w:firstLine="720"/>
        <w:jc w:val="both"/>
        <w:rPr>
          <w:rFonts w:asciiTheme="majorHAnsi" w:hAnsiTheme="majorHAnsi"/>
          <w:sz w:val="20"/>
          <w:szCs w:val="20"/>
        </w:rPr>
      </w:pPr>
      <w:r w:rsidRPr="001E4C94">
        <w:rPr>
          <w:rFonts w:asciiTheme="majorHAnsi" w:hAnsiTheme="majorHAnsi"/>
          <w:sz w:val="20"/>
          <w:szCs w:val="20"/>
        </w:rPr>
        <w:t xml:space="preserve">Begin proceedings </w:t>
      </w:r>
      <w:r w:rsidR="003063A2" w:rsidRPr="001E4C94">
        <w:rPr>
          <w:rFonts w:asciiTheme="majorHAnsi" w:hAnsiTheme="majorHAnsi"/>
          <w:sz w:val="20"/>
          <w:szCs w:val="20"/>
        </w:rPr>
        <w:t>regarding</w:t>
      </w:r>
      <w:r w:rsidRPr="001E4C94">
        <w:rPr>
          <w:rFonts w:asciiTheme="majorHAnsi" w:hAnsiTheme="majorHAnsi"/>
          <w:sz w:val="20"/>
          <w:szCs w:val="20"/>
        </w:rPr>
        <w:t xml:space="preserve"> the merits of th</w:t>
      </w:r>
      <w:r w:rsidR="003063A2" w:rsidRPr="001E4C94">
        <w:rPr>
          <w:rFonts w:asciiTheme="majorHAnsi" w:hAnsiTheme="majorHAnsi"/>
          <w:sz w:val="20"/>
          <w:szCs w:val="20"/>
        </w:rPr>
        <w:t>is</w:t>
      </w:r>
      <w:r w:rsidRPr="001E4C94">
        <w:rPr>
          <w:rFonts w:asciiTheme="majorHAnsi" w:hAnsiTheme="majorHAnsi"/>
          <w:sz w:val="20"/>
          <w:szCs w:val="20"/>
        </w:rPr>
        <w:t xml:space="preserve"> matter. </w:t>
      </w:r>
    </w:p>
    <w:p w:rsidR="005758BA" w:rsidRPr="001E4C94" w:rsidRDefault="005758BA" w:rsidP="006E4093">
      <w:pPr>
        <w:spacing w:after="0"/>
        <w:jc w:val="both"/>
        <w:rPr>
          <w:rFonts w:asciiTheme="majorHAnsi" w:hAnsiTheme="majorHAnsi"/>
          <w:sz w:val="20"/>
          <w:szCs w:val="20"/>
        </w:rPr>
      </w:pPr>
    </w:p>
    <w:p w:rsidR="00EE50AA" w:rsidRPr="001E4C94" w:rsidRDefault="00EE50AA" w:rsidP="006E4093">
      <w:pPr>
        <w:numPr>
          <w:ilvl w:val="0"/>
          <w:numId w:val="3"/>
        </w:numPr>
        <w:spacing w:after="0"/>
        <w:ind w:left="0" w:firstLine="720"/>
        <w:jc w:val="both"/>
        <w:rPr>
          <w:rFonts w:asciiTheme="majorHAnsi" w:hAnsiTheme="majorHAnsi"/>
          <w:sz w:val="20"/>
          <w:szCs w:val="20"/>
        </w:rPr>
      </w:pPr>
      <w:r w:rsidRPr="001E4C94">
        <w:rPr>
          <w:rFonts w:asciiTheme="majorHAnsi" w:hAnsiTheme="majorHAnsi"/>
          <w:sz w:val="20"/>
          <w:szCs w:val="20"/>
        </w:rPr>
        <w:t>Publi</w:t>
      </w:r>
      <w:r w:rsidR="008C0889" w:rsidRPr="001E4C94">
        <w:rPr>
          <w:rFonts w:asciiTheme="majorHAnsi" w:hAnsiTheme="majorHAnsi"/>
          <w:sz w:val="20"/>
          <w:szCs w:val="20"/>
        </w:rPr>
        <w:t xml:space="preserve">sh this decision and include it in </w:t>
      </w:r>
      <w:r w:rsidR="003063A2" w:rsidRPr="001E4C94">
        <w:rPr>
          <w:rFonts w:asciiTheme="majorHAnsi" w:hAnsiTheme="majorHAnsi"/>
          <w:sz w:val="20"/>
          <w:szCs w:val="20"/>
        </w:rPr>
        <w:t>its</w:t>
      </w:r>
      <w:r w:rsidR="008C0889" w:rsidRPr="001E4C94">
        <w:rPr>
          <w:rFonts w:asciiTheme="majorHAnsi" w:hAnsiTheme="majorHAnsi"/>
          <w:sz w:val="20"/>
          <w:szCs w:val="20"/>
        </w:rPr>
        <w:t xml:space="preserve"> Annual Report to be presented to the General Assembly of the OAS.</w:t>
      </w:r>
      <w:r w:rsidRPr="001E4C94">
        <w:rPr>
          <w:rFonts w:asciiTheme="majorHAnsi" w:hAnsiTheme="majorHAnsi"/>
          <w:sz w:val="20"/>
          <w:szCs w:val="20"/>
        </w:rPr>
        <w:t xml:space="preserve"> </w:t>
      </w:r>
    </w:p>
    <w:p w:rsidR="006B3F37" w:rsidRDefault="006B3F37" w:rsidP="006B3F37">
      <w:pPr>
        <w:rPr>
          <w:rFonts w:ascii="Cambria" w:hAnsi="Cambria" w:cs="Tahoma"/>
          <w:color w:val="333333"/>
          <w:sz w:val="20"/>
          <w:szCs w:val="20"/>
        </w:rPr>
      </w:pPr>
    </w:p>
    <w:p w:rsidR="00611CB9" w:rsidRPr="003035DA" w:rsidRDefault="00611CB9" w:rsidP="00756AA3">
      <w:pPr>
        <w:ind w:firstLine="720"/>
        <w:jc w:val="both"/>
        <w:rPr>
          <w:rFonts w:ascii="Cambria" w:hAnsi="Cambria"/>
          <w:spacing w:val="-2"/>
          <w:sz w:val="20"/>
          <w:szCs w:val="20"/>
        </w:rPr>
      </w:pPr>
      <w:r w:rsidRPr="00874A5A">
        <w:rPr>
          <w:rFonts w:ascii="Cambria" w:hAnsi="Cambria"/>
          <w:spacing w:val="-2"/>
          <w:sz w:val="20"/>
          <w:szCs w:val="20"/>
        </w:rPr>
        <w:t>Done and signed in the cit</w:t>
      </w:r>
      <w:r>
        <w:rPr>
          <w:rFonts w:ascii="Cambria" w:hAnsi="Cambria"/>
          <w:spacing w:val="-2"/>
          <w:sz w:val="20"/>
          <w:szCs w:val="20"/>
        </w:rPr>
        <w:t>y of Washington, D.C., on the 22</w:t>
      </w:r>
      <w:r>
        <w:rPr>
          <w:rFonts w:ascii="Cambria" w:hAnsi="Cambria"/>
          <w:spacing w:val="-2"/>
          <w:sz w:val="20"/>
          <w:szCs w:val="20"/>
          <w:vertAlign w:val="superscript"/>
        </w:rPr>
        <w:t>nd</w:t>
      </w:r>
      <w:r w:rsidRPr="00874A5A">
        <w:rPr>
          <w:rFonts w:ascii="Cambria" w:hAnsi="Cambria"/>
          <w:spacing w:val="-2"/>
          <w:sz w:val="20"/>
          <w:szCs w:val="20"/>
        </w:rPr>
        <w:t xml:space="preserve"> day of the month of </w:t>
      </w:r>
      <w:r>
        <w:rPr>
          <w:rFonts w:ascii="Cambria" w:hAnsi="Cambria"/>
          <w:spacing w:val="-2"/>
          <w:sz w:val="20"/>
          <w:szCs w:val="20"/>
        </w:rPr>
        <w:t>July</w:t>
      </w:r>
      <w:r w:rsidR="00756AA3">
        <w:rPr>
          <w:rFonts w:ascii="Cambria" w:hAnsi="Cambria"/>
          <w:spacing w:val="-2"/>
          <w:sz w:val="20"/>
          <w:szCs w:val="20"/>
        </w:rPr>
        <w:t xml:space="preserve">, 2015. (Signed): </w:t>
      </w:r>
      <w:r w:rsidRPr="00874A5A">
        <w:rPr>
          <w:rFonts w:ascii="Cambria" w:hAnsi="Cambria" w:cs="Arial"/>
          <w:noProof/>
          <w:spacing w:val="-2"/>
          <w:sz w:val="20"/>
          <w:szCs w:val="20"/>
        </w:rPr>
        <w:t>Rose-Marie Belle Antoine,</w:t>
      </w:r>
      <w:r w:rsidRPr="00874A5A">
        <w:rPr>
          <w:rFonts w:ascii="Cambria" w:hAnsi="Cambria"/>
          <w:sz w:val="20"/>
          <w:szCs w:val="20"/>
        </w:rPr>
        <w:t xml:space="preserve"> President; </w:t>
      </w:r>
      <w:r w:rsidRPr="00874A5A">
        <w:rPr>
          <w:rFonts w:ascii="Cambria" w:hAnsi="Cambria" w:cs="Arial"/>
          <w:noProof/>
          <w:spacing w:val="-2"/>
          <w:sz w:val="20"/>
          <w:szCs w:val="20"/>
        </w:rPr>
        <w:t>James L. Cavallaro</w:t>
      </w:r>
      <w:r w:rsidRPr="00874A5A">
        <w:rPr>
          <w:rFonts w:ascii="Cambria" w:hAnsi="Cambria"/>
          <w:sz w:val="20"/>
          <w:szCs w:val="20"/>
        </w:rPr>
        <w:t xml:space="preserve">, </w:t>
      </w:r>
      <w:r w:rsidRPr="00874A5A">
        <w:rPr>
          <w:rFonts w:ascii="Cambria" w:hAnsi="Cambria"/>
          <w:spacing w:val="-2"/>
          <w:sz w:val="20"/>
          <w:szCs w:val="20"/>
        </w:rPr>
        <w:t>First Vice President;</w:t>
      </w:r>
      <w:r w:rsidRPr="00874A5A">
        <w:rPr>
          <w:rFonts w:ascii="Cambria" w:hAnsi="Cambria" w:cs="Arial"/>
          <w:noProof/>
          <w:spacing w:val="-2"/>
          <w:sz w:val="20"/>
          <w:szCs w:val="20"/>
        </w:rPr>
        <w:t xml:space="preserve"> José de Jesús Orozco Henríquez</w:t>
      </w:r>
      <w:r w:rsidRPr="00874A5A">
        <w:rPr>
          <w:rFonts w:ascii="Cambria" w:hAnsi="Cambria"/>
          <w:spacing w:val="-2"/>
          <w:sz w:val="20"/>
          <w:szCs w:val="20"/>
        </w:rPr>
        <w:t xml:space="preserve">, </w:t>
      </w:r>
      <w:r w:rsidRPr="00874A5A">
        <w:rPr>
          <w:rFonts w:ascii="Cambria" w:hAnsi="Cambria" w:cs="Arial"/>
          <w:noProof/>
          <w:spacing w:val="-2"/>
          <w:sz w:val="20"/>
          <w:szCs w:val="20"/>
        </w:rPr>
        <w:t xml:space="preserve">Second Vice President; Felipe González, Rosa María Ortiz, </w:t>
      </w:r>
      <w:r w:rsidRPr="00874A5A">
        <w:rPr>
          <w:rFonts w:ascii="Cambria" w:hAnsi="Cambria"/>
          <w:sz w:val="20"/>
          <w:szCs w:val="20"/>
        </w:rPr>
        <w:t>Tracy Robinson and</w:t>
      </w:r>
      <w:r w:rsidRPr="00874A5A">
        <w:rPr>
          <w:rFonts w:ascii="Cambria" w:hAnsi="Cambria" w:cs="Arial"/>
          <w:noProof/>
          <w:spacing w:val="-2"/>
          <w:sz w:val="20"/>
          <w:szCs w:val="20"/>
        </w:rPr>
        <w:t xml:space="preserve"> Paulo Vannuchi, </w:t>
      </w:r>
      <w:r w:rsidRPr="00874A5A">
        <w:rPr>
          <w:rFonts w:ascii="Cambria" w:hAnsi="Cambria"/>
          <w:spacing w:val="-2"/>
          <w:sz w:val="20"/>
          <w:szCs w:val="20"/>
        </w:rPr>
        <w:t>Commissioners</w:t>
      </w:r>
      <w:r>
        <w:rPr>
          <w:rFonts w:ascii="Cambria" w:hAnsi="Cambria" w:cs="Tahoma"/>
          <w:color w:val="333333"/>
          <w:sz w:val="20"/>
          <w:szCs w:val="20"/>
        </w:rPr>
        <w:t>.</w:t>
      </w:r>
    </w:p>
    <w:p w:rsidR="005758BA" w:rsidRPr="008C0889" w:rsidRDefault="005758BA" w:rsidP="005758BA">
      <w:pPr>
        <w:spacing w:after="0"/>
        <w:jc w:val="both"/>
        <w:rPr>
          <w:rFonts w:asciiTheme="majorHAnsi" w:hAnsiTheme="majorHAnsi"/>
          <w:sz w:val="20"/>
          <w:szCs w:val="20"/>
        </w:rPr>
      </w:pPr>
    </w:p>
    <w:sectPr w:rsidR="005758BA" w:rsidRPr="008C0889" w:rsidSect="007E50C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44" w:rsidRDefault="00E34044" w:rsidP="00577F43">
      <w:pPr>
        <w:spacing w:after="0"/>
      </w:pPr>
      <w:r>
        <w:separator/>
      </w:r>
    </w:p>
  </w:endnote>
  <w:endnote w:type="continuationSeparator" w:id="0">
    <w:p w:rsidR="00E34044" w:rsidRDefault="00E34044" w:rsidP="0057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5A" w:rsidRDefault="00945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641618"/>
      <w:docPartObj>
        <w:docPartGallery w:val="Page Numbers (Bottom of Page)"/>
        <w:docPartUnique/>
      </w:docPartObj>
    </w:sdtPr>
    <w:sdtEndPr>
      <w:rPr>
        <w:noProof/>
        <w:sz w:val="16"/>
        <w:szCs w:val="22"/>
      </w:rPr>
    </w:sdtEndPr>
    <w:sdtContent>
      <w:p w:rsidR="00435160" w:rsidRPr="00934A2C" w:rsidRDefault="0043516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C0702">
          <w:rPr>
            <w:noProof/>
            <w:sz w:val="16"/>
            <w:szCs w:val="22"/>
          </w:rPr>
          <w:t>9</w:t>
        </w:r>
        <w:r w:rsidRPr="00934A2C">
          <w:rPr>
            <w:noProof/>
            <w:sz w:val="16"/>
            <w:szCs w:val="22"/>
          </w:rPr>
          <w:fldChar w:fldCharType="end"/>
        </w:r>
      </w:p>
    </w:sdtContent>
  </w:sdt>
  <w:p w:rsidR="00435160" w:rsidRDefault="00435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160" w:rsidRPr="00934A2C" w:rsidRDefault="00435160">
    <w:pPr>
      <w:pStyle w:val="Footer"/>
      <w:jc w:val="center"/>
      <w:rPr>
        <w:sz w:val="16"/>
        <w:szCs w:val="22"/>
      </w:rPr>
    </w:pPr>
  </w:p>
  <w:p w:rsidR="00435160" w:rsidRDefault="00435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44" w:rsidRDefault="00E34044" w:rsidP="00577F43">
      <w:pPr>
        <w:spacing w:after="0"/>
      </w:pPr>
      <w:r>
        <w:separator/>
      </w:r>
    </w:p>
  </w:footnote>
  <w:footnote w:type="continuationSeparator" w:id="0">
    <w:p w:rsidR="00E34044" w:rsidRDefault="00E34044" w:rsidP="00577F43">
      <w:pPr>
        <w:spacing w:after="0"/>
      </w:pPr>
      <w:r>
        <w:continuationSeparator/>
      </w:r>
    </w:p>
  </w:footnote>
  <w:footnote w:id="1">
    <w:p w:rsidR="00435160" w:rsidRPr="005A3F68" w:rsidRDefault="00435160" w:rsidP="005758BA">
      <w:pPr>
        <w:pStyle w:val="FootnoteText"/>
        <w:spacing w:after="120"/>
        <w:ind w:firstLine="720"/>
        <w:jc w:val="both"/>
        <w:rPr>
          <w:rFonts w:ascii="Cambria" w:hAnsi="Cambria"/>
          <w:sz w:val="16"/>
          <w:szCs w:val="16"/>
        </w:rPr>
      </w:pPr>
      <w:r w:rsidRPr="005A3F68">
        <w:rPr>
          <w:rStyle w:val="FootnoteReference"/>
          <w:rFonts w:ascii="Cambria" w:hAnsi="Cambria"/>
          <w:sz w:val="16"/>
          <w:szCs w:val="16"/>
        </w:rPr>
        <w:footnoteRef/>
      </w:r>
      <w:r w:rsidRPr="005A3F68">
        <w:rPr>
          <w:rFonts w:ascii="Cambria" w:hAnsi="Cambria"/>
          <w:sz w:val="16"/>
          <w:szCs w:val="16"/>
        </w:rPr>
        <w:t xml:space="preserve"> On December 14, 1990, the IACHR was </w:t>
      </w:r>
      <w:r w:rsidR="00CB270A">
        <w:rPr>
          <w:rFonts w:ascii="Cambria" w:hAnsi="Cambria"/>
          <w:sz w:val="16"/>
          <w:szCs w:val="16"/>
        </w:rPr>
        <w:t>informed</w:t>
      </w:r>
      <w:r w:rsidRPr="005A3F68">
        <w:rPr>
          <w:rFonts w:ascii="Cambria" w:hAnsi="Cambria"/>
          <w:sz w:val="16"/>
          <w:szCs w:val="16"/>
        </w:rPr>
        <w:t xml:space="preserve"> that the </w:t>
      </w:r>
      <w:r w:rsidRPr="005A3F68">
        <w:rPr>
          <w:rFonts w:ascii="Cambria" w:hAnsi="Cambria"/>
          <w:i/>
          <w:sz w:val="16"/>
          <w:szCs w:val="16"/>
        </w:rPr>
        <w:t>Corporación Colectivo de Abogados</w:t>
      </w:r>
      <w:r w:rsidRPr="005A3F68">
        <w:rPr>
          <w:rFonts w:ascii="Cambria" w:hAnsi="Cambria"/>
          <w:sz w:val="16"/>
          <w:szCs w:val="16"/>
        </w:rPr>
        <w:t xml:space="preserve"> had agreed that </w:t>
      </w:r>
      <w:r>
        <w:rPr>
          <w:rFonts w:ascii="Cambria" w:hAnsi="Cambria"/>
          <w:sz w:val="16"/>
          <w:szCs w:val="16"/>
        </w:rPr>
        <w:t>henceforth</w:t>
      </w:r>
      <w:r w:rsidRPr="005A3F68">
        <w:rPr>
          <w:rFonts w:ascii="Cambria" w:hAnsi="Cambria"/>
          <w:sz w:val="16"/>
          <w:szCs w:val="16"/>
        </w:rPr>
        <w:t xml:space="preserve"> the </w:t>
      </w:r>
      <w:r w:rsidR="00CB270A" w:rsidRPr="00CB270A">
        <w:rPr>
          <w:rFonts w:asciiTheme="majorHAnsi" w:hAnsiTheme="majorHAnsi"/>
          <w:i/>
          <w:sz w:val="16"/>
          <w:szCs w:val="16"/>
        </w:rPr>
        <w:t>Comité de Solidaridad con los Presos Políticos</w:t>
      </w:r>
      <w:r w:rsidR="00CB270A" w:rsidRPr="008C0889">
        <w:rPr>
          <w:rFonts w:asciiTheme="majorHAnsi" w:hAnsiTheme="majorHAnsi"/>
        </w:rPr>
        <w:t xml:space="preserve"> </w:t>
      </w:r>
      <w:r w:rsidRPr="005A3F68">
        <w:rPr>
          <w:rFonts w:ascii="Cambria" w:hAnsi="Cambria"/>
          <w:sz w:val="16"/>
          <w:szCs w:val="16"/>
        </w:rPr>
        <w:t>would be representing the alleged victim.</w:t>
      </w:r>
    </w:p>
  </w:footnote>
  <w:footnote w:id="2">
    <w:p w:rsidR="00435160" w:rsidRPr="005A3F68" w:rsidRDefault="00435160" w:rsidP="005758BA">
      <w:pPr>
        <w:spacing w:after="120"/>
        <w:ind w:firstLine="720"/>
        <w:jc w:val="both"/>
        <w:rPr>
          <w:rFonts w:ascii="Cambria" w:hAnsi="Cambria"/>
          <w:sz w:val="16"/>
          <w:szCs w:val="16"/>
        </w:rPr>
      </w:pPr>
      <w:r w:rsidRPr="005A3F68">
        <w:rPr>
          <w:rStyle w:val="FootnoteReference"/>
          <w:rFonts w:ascii="Cambria" w:hAnsi="Cambria" w:cs="Calibri"/>
          <w:sz w:val="16"/>
          <w:szCs w:val="16"/>
        </w:rPr>
        <w:footnoteRef/>
      </w:r>
      <w:r w:rsidRPr="005A3F68">
        <w:rPr>
          <w:rFonts w:ascii="Cambria" w:hAnsi="Cambria" w:cs="Calibri"/>
          <w:sz w:val="16"/>
          <w:szCs w:val="16"/>
        </w:rPr>
        <w:t xml:space="preserve"> </w:t>
      </w:r>
      <w:r>
        <w:rPr>
          <w:rFonts w:ascii="Cambria" w:hAnsi="Cambria" w:cs="Calibri"/>
          <w:sz w:val="16"/>
          <w:szCs w:val="16"/>
        </w:rPr>
        <w:t>IACHR</w:t>
      </w:r>
      <w:r w:rsidRPr="005A3F68">
        <w:rPr>
          <w:rFonts w:ascii="Cambria" w:hAnsi="Cambria"/>
          <w:sz w:val="16"/>
          <w:szCs w:val="16"/>
        </w:rPr>
        <w:t xml:space="preserve">, </w:t>
      </w:r>
      <w:r>
        <w:rPr>
          <w:rFonts w:ascii="Cambria" w:hAnsi="Cambria"/>
          <w:sz w:val="16"/>
          <w:szCs w:val="16"/>
        </w:rPr>
        <w:t>Report</w:t>
      </w:r>
      <w:r w:rsidRPr="005A3F68">
        <w:rPr>
          <w:rFonts w:ascii="Cambria" w:hAnsi="Cambria"/>
          <w:sz w:val="16"/>
          <w:szCs w:val="16"/>
        </w:rPr>
        <w:t xml:space="preserve"> No. 99/14, </w:t>
      </w:r>
      <w:r>
        <w:rPr>
          <w:rFonts w:ascii="Cambria" w:hAnsi="Cambria"/>
          <w:sz w:val="16"/>
          <w:szCs w:val="16"/>
        </w:rPr>
        <w:t>Petition</w:t>
      </w:r>
      <w:r w:rsidRPr="005A3F68">
        <w:rPr>
          <w:rFonts w:ascii="Cambria" w:hAnsi="Cambria"/>
          <w:sz w:val="16"/>
          <w:szCs w:val="16"/>
        </w:rPr>
        <w:t xml:space="preserve"> 446-09. </w:t>
      </w:r>
      <w:r>
        <w:rPr>
          <w:rFonts w:ascii="Cambria" w:hAnsi="Cambria"/>
          <w:sz w:val="16"/>
          <w:szCs w:val="16"/>
        </w:rPr>
        <w:t>Admissibility</w:t>
      </w:r>
      <w:r w:rsidRPr="005A3F68">
        <w:rPr>
          <w:rFonts w:ascii="Cambria" w:hAnsi="Cambria"/>
          <w:sz w:val="16"/>
          <w:szCs w:val="16"/>
        </w:rPr>
        <w:t xml:space="preserve">. </w:t>
      </w:r>
      <w:r w:rsidRPr="007E50C0">
        <w:rPr>
          <w:rFonts w:ascii="Cambria" w:hAnsi="Cambria"/>
          <w:sz w:val="16"/>
          <w:szCs w:val="16"/>
          <w:lang w:val="pt-BR"/>
        </w:rPr>
        <w:t xml:space="preserve">Luis Alberto Rojas Marín. Peru. November 6, 2014, para. </w:t>
      </w:r>
      <w:r w:rsidRPr="005A3F68">
        <w:rPr>
          <w:rFonts w:ascii="Cambria" w:hAnsi="Cambria"/>
          <w:sz w:val="16"/>
          <w:szCs w:val="16"/>
        </w:rPr>
        <w:t xml:space="preserve">44; </w:t>
      </w:r>
      <w:r>
        <w:rPr>
          <w:rFonts w:ascii="Cambria" w:hAnsi="Cambria"/>
          <w:sz w:val="16"/>
          <w:szCs w:val="16"/>
        </w:rPr>
        <w:t>IACHR</w:t>
      </w:r>
      <w:r w:rsidRPr="005A3F68">
        <w:rPr>
          <w:rFonts w:ascii="Cambria" w:hAnsi="Cambria"/>
          <w:sz w:val="16"/>
          <w:szCs w:val="16"/>
        </w:rPr>
        <w:t xml:space="preserve">, </w:t>
      </w:r>
      <w:r>
        <w:rPr>
          <w:rFonts w:ascii="Cambria" w:hAnsi="Cambria"/>
          <w:sz w:val="16"/>
          <w:szCs w:val="16"/>
        </w:rPr>
        <w:t>Report</w:t>
      </w:r>
      <w:r w:rsidRPr="005A3F68">
        <w:rPr>
          <w:rFonts w:ascii="Cambria" w:hAnsi="Cambria"/>
          <w:sz w:val="16"/>
          <w:szCs w:val="16"/>
        </w:rPr>
        <w:t xml:space="preserve"> No. 48/14, </w:t>
      </w:r>
      <w:r>
        <w:rPr>
          <w:rFonts w:ascii="Cambria" w:hAnsi="Cambria"/>
          <w:sz w:val="16"/>
          <w:szCs w:val="16"/>
        </w:rPr>
        <w:t>Petition</w:t>
      </w:r>
      <w:r w:rsidRPr="005A3F68">
        <w:rPr>
          <w:rFonts w:ascii="Cambria" w:hAnsi="Cambria"/>
          <w:sz w:val="16"/>
          <w:szCs w:val="16"/>
        </w:rPr>
        <w:t xml:space="preserve"> 11.641. </w:t>
      </w:r>
      <w:r>
        <w:rPr>
          <w:rFonts w:ascii="Cambria" w:hAnsi="Cambria"/>
          <w:sz w:val="16"/>
          <w:szCs w:val="16"/>
        </w:rPr>
        <w:t>Admissibility</w:t>
      </w:r>
      <w:r w:rsidRPr="005A3F68">
        <w:rPr>
          <w:rFonts w:ascii="Cambria" w:hAnsi="Cambria"/>
          <w:sz w:val="16"/>
          <w:szCs w:val="16"/>
        </w:rPr>
        <w:t xml:space="preserve">. Pedro Julio Movilla Galarcio. Colombia. </w:t>
      </w:r>
      <w:r>
        <w:rPr>
          <w:rFonts w:ascii="Cambria" w:hAnsi="Cambria"/>
          <w:sz w:val="16"/>
          <w:szCs w:val="16"/>
        </w:rPr>
        <w:t xml:space="preserve">July </w:t>
      </w:r>
      <w:r w:rsidRPr="005A3F68">
        <w:rPr>
          <w:rFonts w:ascii="Cambria" w:hAnsi="Cambria"/>
          <w:sz w:val="16"/>
          <w:szCs w:val="16"/>
        </w:rPr>
        <w:t>21</w:t>
      </w:r>
      <w:r>
        <w:rPr>
          <w:rFonts w:ascii="Cambria" w:hAnsi="Cambria"/>
          <w:sz w:val="16"/>
          <w:szCs w:val="16"/>
        </w:rPr>
        <w:t>,</w:t>
      </w:r>
      <w:r w:rsidRPr="005A3F68">
        <w:rPr>
          <w:rFonts w:ascii="Cambria" w:hAnsi="Cambria"/>
          <w:sz w:val="16"/>
          <w:szCs w:val="16"/>
        </w:rPr>
        <w:t xml:space="preserve"> 2014, </w:t>
      </w:r>
      <w:r>
        <w:rPr>
          <w:rFonts w:ascii="Cambria" w:hAnsi="Cambria"/>
          <w:sz w:val="16"/>
          <w:szCs w:val="16"/>
        </w:rPr>
        <w:t>para</w:t>
      </w:r>
      <w:r w:rsidRPr="005A3F68">
        <w:rPr>
          <w:rFonts w:ascii="Cambria" w:hAnsi="Cambria"/>
          <w:sz w:val="16"/>
          <w:szCs w:val="16"/>
        </w:rPr>
        <w:t xml:space="preserve">. 31; </w:t>
      </w:r>
      <w:r>
        <w:rPr>
          <w:rFonts w:ascii="Cambria" w:hAnsi="Cambria"/>
          <w:sz w:val="16"/>
          <w:szCs w:val="16"/>
        </w:rPr>
        <w:t>IACHR</w:t>
      </w:r>
      <w:r w:rsidRPr="005A3F68">
        <w:rPr>
          <w:rFonts w:ascii="Cambria" w:hAnsi="Cambria"/>
          <w:sz w:val="16"/>
          <w:szCs w:val="16"/>
        </w:rPr>
        <w:t xml:space="preserve">, </w:t>
      </w:r>
      <w:r>
        <w:rPr>
          <w:rFonts w:ascii="Cambria" w:hAnsi="Cambria"/>
          <w:sz w:val="16"/>
          <w:szCs w:val="16"/>
        </w:rPr>
        <w:t>Report</w:t>
      </w:r>
      <w:r w:rsidRPr="005A3F68">
        <w:rPr>
          <w:rFonts w:ascii="Cambria" w:hAnsi="Cambria"/>
          <w:sz w:val="16"/>
          <w:szCs w:val="16"/>
        </w:rPr>
        <w:t xml:space="preserve"> No. 21/14. </w:t>
      </w:r>
      <w:r>
        <w:rPr>
          <w:rFonts w:ascii="Cambria" w:hAnsi="Cambria"/>
          <w:sz w:val="16"/>
          <w:szCs w:val="16"/>
        </w:rPr>
        <w:t>Petition</w:t>
      </w:r>
      <w:r w:rsidRPr="005A3F68">
        <w:rPr>
          <w:rFonts w:ascii="Cambria" w:hAnsi="Cambria"/>
          <w:sz w:val="16"/>
          <w:szCs w:val="16"/>
        </w:rPr>
        <w:t xml:space="preserve"> 525-07. </w:t>
      </w:r>
      <w:r>
        <w:rPr>
          <w:rFonts w:ascii="Cambria" w:hAnsi="Cambria"/>
          <w:sz w:val="16"/>
          <w:szCs w:val="16"/>
        </w:rPr>
        <w:t>Admissibility</w:t>
      </w:r>
      <w:r w:rsidRPr="005A3F68">
        <w:rPr>
          <w:rFonts w:ascii="Cambria" w:hAnsi="Cambria"/>
          <w:sz w:val="16"/>
          <w:szCs w:val="16"/>
        </w:rPr>
        <w:t xml:space="preserve">. Baptiste Willer </w:t>
      </w:r>
      <w:r w:rsidR="0090291B">
        <w:rPr>
          <w:rFonts w:ascii="Cambria" w:hAnsi="Cambria"/>
          <w:sz w:val="16"/>
          <w:szCs w:val="16"/>
        </w:rPr>
        <w:t>and</w:t>
      </w:r>
      <w:r w:rsidRPr="005A3F68">
        <w:rPr>
          <w:rFonts w:ascii="Cambria" w:hAnsi="Cambria"/>
          <w:sz w:val="16"/>
          <w:szCs w:val="16"/>
        </w:rPr>
        <w:t xml:space="preserve"> Frédo Guirant. Haiti. </w:t>
      </w:r>
      <w:r>
        <w:rPr>
          <w:rFonts w:ascii="Cambria" w:hAnsi="Cambria"/>
          <w:sz w:val="16"/>
          <w:szCs w:val="16"/>
        </w:rPr>
        <w:t xml:space="preserve">April </w:t>
      </w:r>
      <w:r w:rsidRPr="005A3F68">
        <w:rPr>
          <w:rFonts w:ascii="Cambria" w:hAnsi="Cambria"/>
          <w:sz w:val="16"/>
          <w:szCs w:val="16"/>
        </w:rPr>
        <w:t>4</w:t>
      </w:r>
      <w:r>
        <w:rPr>
          <w:rFonts w:ascii="Cambria" w:hAnsi="Cambria"/>
          <w:sz w:val="16"/>
          <w:szCs w:val="16"/>
        </w:rPr>
        <w:t>,</w:t>
      </w:r>
      <w:r w:rsidRPr="005A3F68">
        <w:rPr>
          <w:rFonts w:ascii="Cambria" w:hAnsi="Cambria"/>
          <w:sz w:val="16"/>
          <w:szCs w:val="16"/>
        </w:rPr>
        <w:t xml:space="preserve"> 2014, </w:t>
      </w:r>
      <w:r>
        <w:rPr>
          <w:rFonts w:ascii="Cambria" w:hAnsi="Cambria"/>
          <w:sz w:val="16"/>
          <w:szCs w:val="16"/>
        </w:rPr>
        <w:t>para.</w:t>
      </w:r>
      <w:r w:rsidRPr="005A3F68">
        <w:rPr>
          <w:rFonts w:ascii="Cambria" w:hAnsi="Cambria"/>
          <w:sz w:val="16"/>
          <w:szCs w:val="16"/>
        </w:rPr>
        <w:t xml:space="preserve"> 20; </w:t>
      </w:r>
      <w:r>
        <w:rPr>
          <w:rFonts w:ascii="Cambria" w:hAnsi="Cambria"/>
          <w:sz w:val="16"/>
          <w:szCs w:val="16"/>
        </w:rPr>
        <w:t>IACHR</w:t>
      </w:r>
      <w:r w:rsidRPr="005A3F68">
        <w:rPr>
          <w:rFonts w:ascii="Cambria" w:hAnsi="Cambria"/>
          <w:sz w:val="16"/>
          <w:szCs w:val="16"/>
        </w:rPr>
        <w:t xml:space="preserve">, </w:t>
      </w:r>
      <w:r>
        <w:rPr>
          <w:rFonts w:ascii="Cambria" w:hAnsi="Cambria"/>
          <w:sz w:val="16"/>
          <w:szCs w:val="16"/>
        </w:rPr>
        <w:t>Report</w:t>
      </w:r>
      <w:r w:rsidRPr="005A3F68">
        <w:rPr>
          <w:rFonts w:ascii="Cambria" w:hAnsi="Cambria"/>
          <w:sz w:val="16"/>
          <w:szCs w:val="16"/>
        </w:rPr>
        <w:t xml:space="preserve"> No. 38/13; </w:t>
      </w:r>
      <w:r>
        <w:rPr>
          <w:rFonts w:ascii="Cambria" w:hAnsi="Cambria"/>
          <w:sz w:val="16"/>
          <w:szCs w:val="16"/>
        </w:rPr>
        <w:t>Petition</w:t>
      </w:r>
      <w:r w:rsidRPr="005A3F68">
        <w:rPr>
          <w:rFonts w:ascii="Cambria" w:hAnsi="Cambria"/>
          <w:sz w:val="16"/>
          <w:szCs w:val="16"/>
        </w:rPr>
        <w:t xml:space="preserve"> 65-04, </w:t>
      </w:r>
      <w:r>
        <w:rPr>
          <w:rFonts w:ascii="Cambria" w:hAnsi="Cambria"/>
          <w:sz w:val="16"/>
          <w:szCs w:val="16"/>
        </w:rPr>
        <w:t>Admissibility</w:t>
      </w:r>
      <w:r w:rsidRPr="005A3F68">
        <w:rPr>
          <w:rFonts w:ascii="Cambria" w:hAnsi="Cambria"/>
          <w:sz w:val="16"/>
          <w:szCs w:val="16"/>
        </w:rPr>
        <w:t xml:space="preserve">, Jorge Adolfo Freytter Romero </w:t>
      </w:r>
      <w:r>
        <w:rPr>
          <w:rFonts w:ascii="Cambria" w:hAnsi="Cambria"/>
          <w:sz w:val="16"/>
          <w:szCs w:val="16"/>
        </w:rPr>
        <w:t>et al</w:t>
      </w:r>
      <w:r w:rsidR="0090291B">
        <w:rPr>
          <w:rFonts w:ascii="Cambria" w:hAnsi="Cambria"/>
          <w:sz w:val="16"/>
          <w:szCs w:val="16"/>
        </w:rPr>
        <w:t>.</w:t>
      </w:r>
      <w:r w:rsidRPr="005A3F68">
        <w:rPr>
          <w:rFonts w:ascii="Cambria" w:hAnsi="Cambria"/>
          <w:sz w:val="16"/>
          <w:szCs w:val="16"/>
        </w:rPr>
        <w:t xml:space="preserve">, Colombia, </w:t>
      </w:r>
      <w:r w:rsidR="0090291B">
        <w:rPr>
          <w:rFonts w:ascii="Cambria" w:hAnsi="Cambria"/>
          <w:sz w:val="16"/>
          <w:szCs w:val="16"/>
        </w:rPr>
        <w:t xml:space="preserve">July </w:t>
      </w:r>
      <w:r w:rsidRPr="005A3F68">
        <w:rPr>
          <w:rFonts w:ascii="Cambria" w:hAnsi="Cambria"/>
          <w:sz w:val="16"/>
          <w:szCs w:val="16"/>
        </w:rPr>
        <w:t>11</w:t>
      </w:r>
      <w:r w:rsidR="0090291B">
        <w:rPr>
          <w:rFonts w:ascii="Cambria" w:hAnsi="Cambria"/>
          <w:sz w:val="16"/>
          <w:szCs w:val="16"/>
        </w:rPr>
        <w:t>,</w:t>
      </w:r>
      <w:r w:rsidRPr="005A3F68">
        <w:rPr>
          <w:rFonts w:ascii="Cambria" w:hAnsi="Cambria"/>
          <w:sz w:val="16"/>
          <w:szCs w:val="16"/>
        </w:rPr>
        <w:t xml:space="preserve"> 2013, </w:t>
      </w:r>
      <w:r>
        <w:rPr>
          <w:rFonts w:ascii="Cambria" w:hAnsi="Cambria"/>
          <w:sz w:val="16"/>
          <w:szCs w:val="16"/>
        </w:rPr>
        <w:t>para.</w:t>
      </w:r>
      <w:r w:rsidRPr="005A3F68">
        <w:rPr>
          <w:rFonts w:ascii="Cambria" w:hAnsi="Cambria"/>
          <w:sz w:val="16"/>
          <w:szCs w:val="16"/>
        </w:rPr>
        <w:t xml:space="preserve"> 32; </w:t>
      </w:r>
      <w:r>
        <w:rPr>
          <w:rFonts w:ascii="Cambria" w:hAnsi="Cambria"/>
          <w:sz w:val="16"/>
          <w:szCs w:val="16"/>
        </w:rPr>
        <w:t>IACHR</w:t>
      </w:r>
      <w:r w:rsidRPr="005A3F68">
        <w:rPr>
          <w:rFonts w:ascii="Cambria" w:hAnsi="Cambria"/>
          <w:sz w:val="16"/>
          <w:szCs w:val="16"/>
        </w:rPr>
        <w:t xml:space="preserve">, </w:t>
      </w:r>
      <w:r>
        <w:rPr>
          <w:rFonts w:ascii="Cambria" w:hAnsi="Cambria"/>
          <w:sz w:val="16"/>
          <w:szCs w:val="16"/>
        </w:rPr>
        <w:t>Report</w:t>
      </w:r>
      <w:r w:rsidRPr="005A3F68">
        <w:rPr>
          <w:rFonts w:ascii="Cambria" w:hAnsi="Cambria"/>
          <w:sz w:val="16"/>
          <w:szCs w:val="16"/>
        </w:rPr>
        <w:t xml:space="preserve"> No. 144/10, </w:t>
      </w:r>
      <w:r>
        <w:rPr>
          <w:rFonts w:ascii="Cambria" w:hAnsi="Cambria"/>
          <w:sz w:val="16"/>
          <w:szCs w:val="16"/>
        </w:rPr>
        <w:t>Petition</w:t>
      </w:r>
      <w:r w:rsidRPr="005A3F68">
        <w:rPr>
          <w:rFonts w:ascii="Cambria" w:hAnsi="Cambria"/>
          <w:sz w:val="16"/>
          <w:szCs w:val="16"/>
        </w:rPr>
        <w:t xml:space="preserve"> 1579-07, </w:t>
      </w:r>
      <w:r>
        <w:rPr>
          <w:rFonts w:ascii="Cambria" w:hAnsi="Cambria"/>
          <w:sz w:val="16"/>
          <w:szCs w:val="16"/>
        </w:rPr>
        <w:t>Admissibility</w:t>
      </w:r>
      <w:r w:rsidRPr="005A3F68">
        <w:rPr>
          <w:rFonts w:ascii="Cambria" w:hAnsi="Cambria"/>
          <w:sz w:val="16"/>
          <w:szCs w:val="16"/>
        </w:rPr>
        <w:t xml:space="preserve">, </w:t>
      </w:r>
      <w:r w:rsidR="0090291B">
        <w:rPr>
          <w:rFonts w:ascii="Cambria" w:hAnsi="Cambria"/>
          <w:sz w:val="16"/>
          <w:szCs w:val="16"/>
        </w:rPr>
        <w:t>Residents of the Village of</w:t>
      </w:r>
      <w:r w:rsidRPr="005A3F68">
        <w:rPr>
          <w:rFonts w:ascii="Cambria" w:hAnsi="Cambria"/>
          <w:sz w:val="16"/>
          <w:szCs w:val="16"/>
        </w:rPr>
        <w:t xml:space="preserve"> Chichupac </w:t>
      </w:r>
      <w:r w:rsidR="0090291B">
        <w:rPr>
          <w:rFonts w:ascii="Cambria" w:hAnsi="Cambria"/>
          <w:sz w:val="16"/>
          <w:szCs w:val="16"/>
        </w:rPr>
        <w:t>and Hamlet of</w:t>
      </w:r>
      <w:r w:rsidRPr="005A3F68">
        <w:rPr>
          <w:rFonts w:ascii="Cambria" w:hAnsi="Cambria"/>
          <w:sz w:val="16"/>
          <w:szCs w:val="16"/>
        </w:rPr>
        <w:t xml:space="preserve"> Xeabaj </w:t>
      </w:r>
      <w:r w:rsidR="0090291B">
        <w:rPr>
          <w:rFonts w:ascii="Cambria" w:hAnsi="Cambria"/>
          <w:sz w:val="16"/>
          <w:szCs w:val="16"/>
        </w:rPr>
        <w:t xml:space="preserve">of the Municipality of </w:t>
      </w:r>
      <w:r w:rsidRPr="005A3F68">
        <w:rPr>
          <w:rFonts w:ascii="Cambria" w:hAnsi="Cambria"/>
          <w:sz w:val="16"/>
          <w:szCs w:val="16"/>
        </w:rPr>
        <w:t xml:space="preserve">Rabinal, Guatemala, </w:t>
      </w:r>
      <w:r w:rsidR="0090291B">
        <w:rPr>
          <w:rFonts w:ascii="Cambria" w:hAnsi="Cambria"/>
          <w:sz w:val="16"/>
          <w:szCs w:val="16"/>
        </w:rPr>
        <w:t>November</w:t>
      </w:r>
      <w:r w:rsidRPr="005A3F68">
        <w:rPr>
          <w:rFonts w:ascii="Cambria" w:hAnsi="Cambria"/>
          <w:sz w:val="16"/>
          <w:szCs w:val="16"/>
        </w:rPr>
        <w:t xml:space="preserve"> </w:t>
      </w:r>
      <w:r w:rsidR="00CB270A">
        <w:rPr>
          <w:rFonts w:ascii="Cambria" w:hAnsi="Cambria"/>
          <w:sz w:val="16"/>
          <w:szCs w:val="16"/>
        </w:rPr>
        <w:t xml:space="preserve">1, </w:t>
      </w:r>
      <w:r w:rsidRPr="005A3F68">
        <w:rPr>
          <w:rFonts w:ascii="Cambria" w:hAnsi="Cambria"/>
          <w:sz w:val="16"/>
          <w:szCs w:val="16"/>
        </w:rPr>
        <w:t xml:space="preserve">2010, </w:t>
      </w:r>
      <w:r>
        <w:rPr>
          <w:rFonts w:ascii="Cambria" w:hAnsi="Cambria"/>
          <w:sz w:val="16"/>
          <w:szCs w:val="16"/>
        </w:rPr>
        <w:t>para.</w:t>
      </w:r>
      <w:r w:rsidRPr="005A3F68">
        <w:rPr>
          <w:rFonts w:ascii="Cambria" w:hAnsi="Cambria"/>
          <w:sz w:val="16"/>
          <w:szCs w:val="16"/>
        </w:rPr>
        <w:t xml:space="preserve"> 50. </w:t>
      </w:r>
    </w:p>
  </w:footnote>
  <w:footnote w:id="3">
    <w:p w:rsidR="00435160" w:rsidRPr="005A3F68" w:rsidRDefault="00435160" w:rsidP="005758BA">
      <w:pPr>
        <w:pStyle w:val="FootnoteText"/>
        <w:spacing w:after="120"/>
        <w:ind w:firstLine="720"/>
        <w:jc w:val="both"/>
        <w:rPr>
          <w:rFonts w:ascii="Cambria" w:hAnsi="Cambria"/>
          <w:sz w:val="16"/>
          <w:szCs w:val="16"/>
        </w:rPr>
      </w:pPr>
      <w:r w:rsidRPr="005A3F68">
        <w:rPr>
          <w:rStyle w:val="FootnoteReference"/>
          <w:rFonts w:ascii="Cambria" w:hAnsi="Cambria"/>
          <w:sz w:val="16"/>
          <w:szCs w:val="16"/>
        </w:rPr>
        <w:footnoteRef/>
      </w:r>
      <w:r w:rsidRPr="005A3F68">
        <w:rPr>
          <w:rFonts w:ascii="Cambria" w:hAnsi="Cambria"/>
          <w:sz w:val="16"/>
          <w:szCs w:val="16"/>
        </w:rPr>
        <w:t xml:space="preserve"> </w:t>
      </w:r>
      <w:r>
        <w:rPr>
          <w:rFonts w:ascii="Cambria" w:hAnsi="Cambria"/>
          <w:sz w:val="16"/>
          <w:szCs w:val="16"/>
        </w:rPr>
        <w:t>Ministry of Foreign Relations</w:t>
      </w:r>
      <w:r w:rsidRPr="005A3F68">
        <w:rPr>
          <w:rFonts w:ascii="Cambria" w:hAnsi="Cambria"/>
          <w:sz w:val="16"/>
          <w:szCs w:val="16"/>
        </w:rPr>
        <w:t xml:space="preserve">, </w:t>
      </w:r>
      <w:r>
        <w:rPr>
          <w:rFonts w:ascii="Cambria" w:hAnsi="Cambria"/>
          <w:sz w:val="16"/>
          <w:szCs w:val="16"/>
        </w:rPr>
        <w:t>Note</w:t>
      </w:r>
      <w:r w:rsidRPr="005A3F68">
        <w:rPr>
          <w:rFonts w:ascii="Cambria" w:hAnsi="Cambria"/>
          <w:sz w:val="16"/>
          <w:szCs w:val="16"/>
        </w:rPr>
        <w:t xml:space="preserve"> DDH.GOI No. 26.352/1375, </w:t>
      </w:r>
      <w:r>
        <w:rPr>
          <w:rFonts w:ascii="Cambria" w:hAnsi="Cambria"/>
          <w:sz w:val="16"/>
          <w:szCs w:val="16"/>
        </w:rPr>
        <w:t>June</w:t>
      </w:r>
      <w:r w:rsidRPr="005A3F68">
        <w:rPr>
          <w:rFonts w:ascii="Cambria" w:hAnsi="Cambria"/>
          <w:sz w:val="16"/>
          <w:szCs w:val="16"/>
        </w:rPr>
        <w:t xml:space="preserve"> </w:t>
      </w:r>
      <w:r w:rsidR="0090291B" w:rsidRPr="005A3F68">
        <w:rPr>
          <w:rFonts w:ascii="Cambria" w:hAnsi="Cambria"/>
          <w:sz w:val="16"/>
          <w:szCs w:val="16"/>
        </w:rPr>
        <w:t>8</w:t>
      </w:r>
      <w:r w:rsidR="0090291B">
        <w:rPr>
          <w:rFonts w:ascii="Cambria" w:hAnsi="Cambria"/>
          <w:sz w:val="16"/>
          <w:szCs w:val="16"/>
        </w:rPr>
        <w:t>,</w:t>
      </w:r>
      <w:r w:rsidRPr="005A3F68">
        <w:rPr>
          <w:rFonts w:ascii="Cambria" w:hAnsi="Cambria"/>
          <w:sz w:val="16"/>
          <w:szCs w:val="16"/>
        </w:rPr>
        <w:t xml:space="preserve"> 2009, rec</w:t>
      </w:r>
      <w:r w:rsidR="0090291B">
        <w:rPr>
          <w:rFonts w:ascii="Cambria" w:hAnsi="Cambria"/>
          <w:sz w:val="16"/>
          <w:szCs w:val="16"/>
        </w:rPr>
        <w:t xml:space="preserve">eived by the Executive Secretariat of the </w:t>
      </w:r>
      <w:r>
        <w:rPr>
          <w:rFonts w:ascii="Cambria" w:hAnsi="Cambria"/>
          <w:sz w:val="16"/>
          <w:szCs w:val="16"/>
        </w:rPr>
        <w:t>IACHR</w:t>
      </w:r>
      <w:r w:rsidR="0090291B">
        <w:rPr>
          <w:rFonts w:ascii="Cambria" w:hAnsi="Cambria"/>
          <w:sz w:val="16"/>
          <w:szCs w:val="16"/>
        </w:rPr>
        <w:t>, June 10,</w:t>
      </w:r>
      <w:r w:rsidRPr="005A3F68">
        <w:rPr>
          <w:rFonts w:ascii="Cambria" w:hAnsi="Cambria"/>
          <w:sz w:val="16"/>
          <w:szCs w:val="16"/>
        </w:rPr>
        <w:t xml:space="preserve"> 2009, p. 4.</w:t>
      </w:r>
    </w:p>
  </w:footnote>
  <w:footnote w:id="4">
    <w:p w:rsidR="00435160" w:rsidRPr="005A3F68" w:rsidRDefault="00435160" w:rsidP="005758BA">
      <w:pPr>
        <w:pStyle w:val="FootnoteText"/>
        <w:spacing w:after="120"/>
        <w:ind w:firstLine="720"/>
        <w:jc w:val="both"/>
        <w:rPr>
          <w:rFonts w:ascii="Cambria" w:hAnsi="Cambria"/>
          <w:sz w:val="16"/>
          <w:szCs w:val="16"/>
        </w:rPr>
      </w:pPr>
      <w:r w:rsidRPr="005A3F68">
        <w:rPr>
          <w:rStyle w:val="FootnoteReference"/>
          <w:rFonts w:ascii="Cambria" w:hAnsi="Cambria"/>
          <w:sz w:val="16"/>
          <w:szCs w:val="16"/>
        </w:rPr>
        <w:footnoteRef/>
      </w:r>
      <w:r w:rsidRPr="005A3F68">
        <w:rPr>
          <w:rFonts w:ascii="Cambria" w:hAnsi="Cambria"/>
          <w:sz w:val="16"/>
          <w:szCs w:val="16"/>
        </w:rPr>
        <w:t xml:space="preserve"> </w:t>
      </w:r>
      <w:r>
        <w:rPr>
          <w:rFonts w:ascii="Cambria" w:hAnsi="Cambria"/>
          <w:sz w:val="16"/>
          <w:szCs w:val="16"/>
        </w:rPr>
        <w:t>Ministry of Foreign Relations</w:t>
      </w:r>
      <w:r w:rsidRPr="005A3F68">
        <w:rPr>
          <w:rFonts w:ascii="Cambria" w:hAnsi="Cambria"/>
          <w:sz w:val="16"/>
          <w:szCs w:val="16"/>
        </w:rPr>
        <w:t xml:space="preserve">, </w:t>
      </w:r>
      <w:r>
        <w:rPr>
          <w:rFonts w:ascii="Cambria" w:hAnsi="Cambria"/>
          <w:sz w:val="16"/>
          <w:szCs w:val="16"/>
        </w:rPr>
        <w:t>Note</w:t>
      </w:r>
      <w:r w:rsidRPr="005A3F68">
        <w:rPr>
          <w:rFonts w:ascii="Cambria" w:hAnsi="Cambria"/>
          <w:sz w:val="16"/>
          <w:szCs w:val="16"/>
        </w:rPr>
        <w:t xml:space="preserve"> DDH.GOI No. 26.352/1375, </w:t>
      </w:r>
      <w:r w:rsidR="0090291B">
        <w:rPr>
          <w:rFonts w:ascii="Cambria" w:hAnsi="Cambria"/>
          <w:sz w:val="16"/>
          <w:szCs w:val="16"/>
        </w:rPr>
        <w:t>June</w:t>
      </w:r>
      <w:r w:rsidR="0090291B" w:rsidRPr="005A3F68">
        <w:rPr>
          <w:rFonts w:ascii="Cambria" w:hAnsi="Cambria"/>
          <w:sz w:val="16"/>
          <w:szCs w:val="16"/>
        </w:rPr>
        <w:t xml:space="preserve"> 8</w:t>
      </w:r>
      <w:r w:rsidR="0090291B">
        <w:rPr>
          <w:rFonts w:ascii="Cambria" w:hAnsi="Cambria"/>
          <w:sz w:val="16"/>
          <w:szCs w:val="16"/>
        </w:rPr>
        <w:t>,</w:t>
      </w:r>
      <w:r w:rsidR="0090291B" w:rsidRPr="005A3F68">
        <w:rPr>
          <w:rFonts w:ascii="Cambria" w:hAnsi="Cambria"/>
          <w:sz w:val="16"/>
          <w:szCs w:val="16"/>
        </w:rPr>
        <w:t xml:space="preserve"> 2009, rec</w:t>
      </w:r>
      <w:r w:rsidR="0090291B">
        <w:rPr>
          <w:rFonts w:ascii="Cambria" w:hAnsi="Cambria"/>
          <w:sz w:val="16"/>
          <w:szCs w:val="16"/>
        </w:rPr>
        <w:t>eived by the Executive Secretariat of the IACHR, June 10,</w:t>
      </w:r>
      <w:r w:rsidR="0090291B" w:rsidRPr="005A3F68">
        <w:rPr>
          <w:rFonts w:ascii="Cambria" w:hAnsi="Cambria"/>
          <w:sz w:val="16"/>
          <w:szCs w:val="16"/>
        </w:rPr>
        <w:t xml:space="preserve"> 2009</w:t>
      </w:r>
      <w:r w:rsidRPr="005A3F68">
        <w:rPr>
          <w:rFonts w:ascii="Cambria" w:hAnsi="Cambria"/>
          <w:sz w:val="16"/>
          <w:szCs w:val="16"/>
        </w:rPr>
        <w:t>, p. 18.</w:t>
      </w:r>
    </w:p>
  </w:footnote>
  <w:footnote w:id="5">
    <w:p w:rsidR="00435160" w:rsidRPr="005A3F68" w:rsidRDefault="00435160" w:rsidP="005758BA">
      <w:pPr>
        <w:pStyle w:val="FootnoteText"/>
        <w:spacing w:after="120"/>
        <w:ind w:firstLine="720"/>
        <w:jc w:val="both"/>
        <w:rPr>
          <w:rFonts w:ascii="Cambria" w:hAnsi="Cambria"/>
          <w:sz w:val="16"/>
          <w:szCs w:val="16"/>
        </w:rPr>
      </w:pPr>
      <w:r w:rsidRPr="005A3F68">
        <w:rPr>
          <w:rStyle w:val="FootnoteReference"/>
          <w:rFonts w:ascii="Cambria" w:hAnsi="Cambria"/>
          <w:sz w:val="16"/>
          <w:szCs w:val="16"/>
        </w:rPr>
        <w:footnoteRef/>
      </w:r>
      <w:r w:rsidRPr="005A3F68">
        <w:rPr>
          <w:rFonts w:ascii="Cambria" w:hAnsi="Cambria"/>
          <w:sz w:val="16"/>
          <w:szCs w:val="16"/>
        </w:rPr>
        <w:t xml:space="preserve"> </w:t>
      </w:r>
      <w:r w:rsidR="00090428">
        <w:rPr>
          <w:rFonts w:ascii="Cambria" w:hAnsi="Cambria"/>
          <w:sz w:val="16"/>
          <w:szCs w:val="16"/>
        </w:rPr>
        <w:t>National Agency for Legal Defense of the State</w:t>
      </w:r>
      <w:r w:rsidRPr="005A3F68">
        <w:rPr>
          <w:rFonts w:ascii="Cambria" w:hAnsi="Cambria"/>
          <w:sz w:val="16"/>
          <w:szCs w:val="16"/>
        </w:rPr>
        <w:t xml:space="preserve">, </w:t>
      </w:r>
      <w:r w:rsidR="00881D4E" w:rsidRPr="005C2B90">
        <w:rPr>
          <w:rFonts w:ascii="Cambria" w:hAnsi="Cambria"/>
          <w:sz w:val="16"/>
          <w:szCs w:val="16"/>
        </w:rPr>
        <w:t xml:space="preserve">Case No. </w:t>
      </w:r>
      <w:r w:rsidRPr="005A3F68">
        <w:rPr>
          <w:rFonts w:ascii="Cambria" w:hAnsi="Cambria"/>
          <w:sz w:val="16"/>
          <w:szCs w:val="16"/>
        </w:rPr>
        <w:t xml:space="preserve">20145010026681-GDI, </w:t>
      </w:r>
      <w:r w:rsidR="00881D4E">
        <w:rPr>
          <w:rFonts w:ascii="Cambria" w:hAnsi="Cambria"/>
          <w:sz w:val="16"/>
          <w:szCs w:val="16"/>
        </w:rPr>
        <w:t xml:space="preserve">May 6, </w:t>
      </w:r>
      <w:r w:rsidRPr="005A3F68">
        <w:rPr>
          <w:rFonts w:ascii="Cambria" w:hAnsi="Cambria"/>
          <w:sz w:val="16"/>
          <w:szCs w:val="16"/>
        </w:rPr>
        <w:t xml:space="preserve">2014, </w:t>
      </w:r>
      <w:r w:rsidR="00881D4E">
        <w:rPr>
          <w:rFonts w:ascii="Cambria" w:hAnsi="Cambria"/>
          <w:sz w:val="16"/>
          <w:szCs w:val="16"/>
        </w:rPr>
        <w:t>received by the Executive Secretariat of the IACHR</w:t>
      </w:r>
      <w:r w:rsidRPr="005A3F68">
        <w:rPr>
          <w:rFonts w:ascii="Cambria" w:hAnsi="Cambria"/>
          <w:sz w:val="16"/>
          <w:szCs w:val="16"/>
        </w:rPr>
        <w:t xml:space="preserve"> </w:t>
      </w:r>
      <w:r w:rsidR="00881D4E">
        <w:rPr>
          <w:rFonts w:ascii="Cambria" w:hAnsi="Cambria"/>
          <w:sz w:val="16"/>
          <w:szCs w:val="16"/>
        </w:rPr>
        <w:t>on May</w:t>
      </w:r>
      <w:r w:rsidRPr="005A3F68">
        <w:rPr>
          <w:rFonts w:ascii="Cambria" w:hAnsi="Cambria"/>
          <w:sz w:val="16"/>
          <w:szCs w:val="16"/>
        </w:rPr>
        <w:t xml:space="preserve"> 7</w:t>
      </w:r>
      <w:r w:rsidR="00881D4E">
        <w:rPr>
          <w:rFonts w:ascii="Cambria" w:hAnsi="Cambria"/>
          <w:sz w:val="16"/>
          <w:szCs w:val="16"/>
        </w:rPr>
        <w:t>,</w:t>
      </w:r>
      <w:r w:rsidRPr="005A3F68">
        <w:rPr>
          <w:rFonts w:ascii="Cambria" w:hAnsi="Cambria"/>
          <w:sz w:val="16"/>
          <w:szCs w:val="16"/>
        </w:rPr>
        <w:t xml:space="preserve"> 2014, </w:t>
      </w:r>
      <w:r>
        <w:rPr>
          <w:rFonts w:ascii="Cambria" w:hAnsi="Cambria"/>
          <w:sz w:val="16"/>
          <w:szCs w:val="16"/>
        </w:rPr>
        <w:t>para.</w:t>
      </w:r>
      <w:r w:rsidRPr="005A3F68">
        <w:rPr>
          <w:rFonts w:ascii="Cambria" w:hAnsi="Cambria"/>
          <w:sz w:val="16"/>
          <w:szCs w:val="16"/>
        </w:rPr>
        <w:t xml:space="preserve"> 8. </w:t>
      </w:r>
    </w:p>
  </w:footnote>
  <w:footnote w:id="6">
    <w:p w:rsidR="00435160" w:rsidRPr="005A3F68" w:rsidRDefault="00435160" w:rsidP="005758BA">
      <w:pPr>
        <w:pStyle w:val="FootnoteText"/>
        <w:spacing w:after="120"/>
        <w:ind w:firstLine="720"/>
        <w:jc w:val="both"/>
        <w:rPr>
          <w:rFonts w:ascii="Cambria" w:hAnsi="Cambria"/>
          <w:sz w:val="16"/>
          <w:szCs w:val="16"/>
        </w:rPr>
      </w:pPr>
      <w:r w:rsidRPr="005A3F68">
        <w:rPr>
          <w:rStyle w:val="FootnoteReference"/>
          <w:rFonts w:ascii="Cambria" w:hAnsi="Cambria"/>
          <w:sz w:val="16"/>
          <w:szCs w:val="16"/>
        </w:rPr>
        <w:footnoteRef/>
      </w:r>
      <w:r w:rsidRPr="005A3F68">
        <w:rPr>
          <w:rFonts w:ascii="Cambria" w:hAnsi="Cambria"/>
          <w:sz w:val="16"/>
          <w:szCs w:val="16"/>
        </w:rPr>
        <w:t xml:space="preserve"> </w:t>
      </w:r>
      <w:r>
        <w:rPr>
          <w:rFonts w:ascii="Cambria" w:hAnsi="Cambria"/>
          <w:sz w:val="16"/>
          <w:szCs w:val="16"/>
        </w:rPr>
        <w:t>Ministry of Foreign Relations</w:t>
      </w:r>
      <w:r w:rsidRPr="005A3F68">
        <w:rPr>
          <w:rFonts w:ascii="Cambria" w:hAnsi="Cambria"/>
          <w:sz w:val="16"/>
          <w:szCs w:val="16"/>
        </w:rPr>
        <w:t xml:space="preserve">, </w:t>
      </w:r>
      <w:r>
        <w:rPr>
          <w:rFonts w:ascii="Cambria" w:hAnsi="Cambria"/>
          <w:sz w:val="16"/>
          <w:szCs w:val="16"/>
        </w:rPr>
        <w:t>Note</w:t>
      </w:r>
      <w:r w:rsidRPr="005A3F68">
        <w:rPr>
          <w:rFonts w:ascii="Cambria" w:hAnsi="Cambria"/>
          <w:sz w:val="16"/>
          <w:szCs w:val="16"/>
        </w:rPr>
        <w:t xml:space="preserve"> DDH.GOI No. 26.352/1375, </w:t>
      </w:r>
      <w:r>
        <w:rPr>
          <w:rFonts w:ascii="Cambria" w:hAnsi="Cambria"/>
          <w:sz w:val="16"/>
          <w:szCs w:val="16"/>
        </w:rPr>
        <w:t>June</w:t>
      </w:r>
      <w:r w:rsidRPr="005A3F68">
        <w:rPr>
          <w:rFonts w:ascii="Cambria" w:hAnsi="Cambria"/>
          <w:sz w:val="16"/>
          <w:szCs w:val="16"/>
        </w:rPr>
        <w:t xml:space="preserve"> </w:t>
      </w:r>
      <w:r w:rsidR="00881D4E" w:rsidRPr="005A3F68">
        <w:rPr>
          <w:rFonts w:ascii="Cambria" w:hAnsi="Cambria"/>
          <w:sz w:val="16"/>
          <w:szCs w:val="16"/>
        </w:rPr>
        <w:t>8</w:t>
      </w:r>
      <w:r w:rsidR="00881D4E">
        <w:rPr>
          <w:rFonts w:ascii="Cambria" w:hAnsi="Cambria"/>
          <w:sz w:val="16"/>
          <w:szCs w:val="16"/>
        </w:rPr>
        <w:t>,</w:t>
      </w:r>
      <w:r w:rsidRPr="005A3F68">
        <w:rPr>
          <w:rFonts w:ascii="Cambria" w:hAnsi="Cambria"/>
          <w:sz w:val="16"/>
          <w:szCs w:val="16"/>
        </w:rPr>
        <w:t xml:space="preserve"> 2009, </w:t>
      </w:r>
      <w:r w:rsidR="00881D4E">
        <w:rPr>
          <w:rFonts w:ascii="Cambria" w:hAnsi="Cambria"/>
          <w:sz w:val="16"/>
          <w:szCs w:val="16"/>
        </w:rPr>
        <w:t>received by the Executive Secretariat of the IACHR</w:t>
      </w:r>
      <w:r w:rsidRPr="005A3F68">
        <w:rPr>
          <w:rFonts w:ascii="Cambria" w:hAnsi="Cambria"/>
          <w:sz w:val="16"/>
          <w:szCs w:val="16"/>
        </w:rPr>
        <w:t xml:space="preserve"> </w:t>
      </w:r>
      <w:r w:rsidR="00881D4E">
        <w:rPr>
          <w:rFonts w:ascii="Cambria" w:hAnsi="Cambria"/>
          <w:sz w:val="16"/>
          <w:szCs w:val="16"/>
        </w:rPr>
        <w:t>on June</w:t>
      </w:r>
      <w:r w:rsidRPr="005A3F68">
        <w:rPr>
          <w:rFonts w:ascii="Cambria" w:hAnsi="Cambria"/>
          <w:sz w:val="16"/>
          <w:szCs w:val="16"/>
        </w:rPr>
        <w:t xml:space="preserve"> 10</w:t>
      </w:r>
      <w:r w:rsidR="00881D4E">
        <w:rPr>
          <w:rFonts w:ascii="Cambria" w:hAnsi="Cambria"/>
          <w:sz w:val="16"/>
          <w:szCs w:val="16"/>
        </w:rPr>
        <w:t>,</w:t>
      </w:r>
      <w:r w:rsidRPr="005A3F68">
        <w:rPr>
          <w:rFonts w:ascii="Cambria" w:hAnsi="Cambria"/>
          <w:sz w:val="16"/>
          <w:szCs w:val="16"/>
        </w:rPr>
        <w:t xml:space="preserve"> 2009.</w:t>
      </w:r>
    </w:p>
  </w:footnote>
  <w:footnote w:id="7">
    <w:p w:rsidR="00435160" w:rsidRPr="005A3F68" w:rsidRDefault="00435160" w:rsidP="005758BA">
      <w:pPr>
        <w:pStyle w:val="FootnoteText"/>
        <w:spacing w:after="120"/>
        <w:ind w:firstLine="720"/>
        <w:jc w:val="both"/>
        <w:rPr>
          <w:rFonts w:ascii="Cambria" w:hAnsi="Cambria"/>
          <w:sz w:val="16"/>
          <w:szCs w:val="16"/>
        </w:rPr>
      </w:pPr>
      <w:r w:rsidRPr="005A3F68">
        <w:rPr>
          <w:rStyle w:val="FootnoteReference"/>
          <w:rFonts w:ascii="Cambria" w:hAnsi="Cambria"/>
          <w:sz w:val="16"/>
          <w:szCs w:val="16"/>
        </w:rPr>
        <w:footnoteRef/>
      </w:r>
      <w:r w:rsidRPr="005A3F68">
        <w:rPr>
          <w:rFonts w:ascii="Cambria" w:hAnsi="Cambria"/>
          <w:sz w:val="16"/>
          <w:szCs w:val="16"/>
        </w:rPr>
        <w:t xml:space="preserve"> </w:t>
      </w:r>
      <w:r w:rsidR="00090428">
        <w:rPr>
          <w:rFonts w:ascii="Cambria" w:hAnsi="Cambria"/>
          <w:sz w:val="16"/>
          <w:szCs w:val="16"/>
        </w:rPr>
        <w:t>National Agency for Legal Defense of the State</w:t>
      </w:r>
      <w:r w:rsidRPr="005A3F68">
        <w:rPr>
          <w:rFonts w:ascii="Cambria" w:hAnsi="Cambria"/>
          <w:sz w:val="16"/>
          <w:szCs w:val="16"/>
        </w:rPr>
        <w:t xml:space="preserve">, </w:t>
      </w:r>
      <w:r w:rsidR="00881D4E">
        <w:rPr>
          <w:rFonts w:ascii="Cambria" w:hAnsi="Cambria"/>
          <w:sz w:val="16"/>
          <w:szCs w:val="16"/>
        </w:rPr>
        <w:t xml:space="preserve">Case No. </w:t>
      </w:r>
      <w:r w:rsidRPr="005A3F68">
        <w:rPr>
          <w:rFonts w:ascii="Cambria" w:hAnsi="Cambria"/>
          <w:sz w:val="16"/>
          <w:szCs w:val="16"/>
        </w:rPr>
        <w:t xml:space="preserve">20155010040291-GDI, </w:t>
      </w:r>
      <w:r>
        <w:rPr>
          <w:rFonts w:ascii="Cambria" w:hAnsi="Cambria"/>
          <w:sz w:val="16"/>
          <w:szCs w:val="16"/>
        </w:rPr>
        <w:t>April</w:t>
      </w:r>
      <w:r w:rsidRPr="005A3F68">
        <w:rPr>
          <w:rFonts w:ascii="Cambria" w:hAnsi="Cambria"/>
          <w:sz w:val="16"/>
          <w:szCs w:val="16"/>
        </w:rPr>
        <w:t xml:space="preserve"> </w:t>
      </w:r>
      <w:r w:rsidR="00881D4E" w:rsidRPr="005A3F68">
        <w:rPr>
          <w:rFonts w:ascii="Cambria" w:hAnsi="Cambria"/>
          <w:sz w:val="16"/>
          <w:szCs w:val="16"/>
        </w:rPr>
        <w:t>21</w:t>
      </w:r>
      <w:r w:rsidR="00881D4E">
        <w:rPr>
          <w:rFonts w:ascii="Cambria" w:hAnsi="Cambria"/>
          <w:sz w:val="16"/>
          <w:szCs w:val="16"/>
        </w:rPr>
        <w:t>,</w:t>
      </w:r>
      <w:r w:rsidRPr="005A3F68">
        <w:rPr>
          <w:rFonts w:ascii="Cambria" w:hAnsi="Cambria"/>
          <w:sz w:val="16"/>
          <w:szCs w:val="16"/>
        </w:rPr>
        <w:t xml:space="preserve"> 2015, </w:t>
      </w:r>
      <w:r w:rsidR="00881D4E">
        <w:rPr>
          <w:rFonts w:ascii="Cambria" w:hAnsi="Cambria"/>
          <w:sz w:val="16"/>
          <w:szCs w:val="16"/>
        </w:rPr>
        <w:t>received by the Executive Secretariat of the IACHR</w:t>
      </w:r>
      <w:r w:rsidRPr="005A3F68">
        <w:rPr>
          <w:rFonts w:ascii="Cambria" w:hAnsi="Cambria"/>
          <w:sz w:val="16"/>
          <w:szCs w:val="16"/>
        </w:rPr>
        <w:t xml:space="preserve"> </w:t>
      </w:r>
      <w:r w:rsidR="00881D4E">
        <w:rPr>
          <w:rFonts w:ascii="Cambria" w:hAnsi="Cambria"/>
          <w:sz w:val="16"/>
          <w:szCs w:val="16"/>
        </w:rPr>
        <w:t xml:space="preserve">on </w:t>
      </w:r>
      <w:r>
        <w:rPr>
          <w:rFonts w:ascii="Cambria" w:hAnsi="Cambria"/>
          <w:sz w:val="16"/>
          <w:szCs w:val="16"/>
        </w:rPr>
        <w:t>April</w:t>
      </w:r>
      <w:r w:rsidRPr="005A3F68">
        <w:rPr>
          <w:rFonts w:ascii="Cambria" w:hAnsi="Cambria"/>
          <w:sz w:val="16"/>
          <w:szCs w:val="16"/>
        </w:rPr>
        <w:t xml:space="preserve"> </w:t>
      </w:r>
      <w:r w:rsidR="00881D4E" w:rsidRPr="005A3F68">
        <w:rPr>
          <w:rFonts w:ascii="Cambria" w:hAnsi="Cambria"/>
          <w:sz w:val="16"/>
          <w:szCs w:val="16"/>
        </w:rPr>
        <w:t>24</w:t>
      </w:r>
      <w:r w:rsidR="00881D4E">
        <w:rPr>
          <w:rFonts w:ascii="Cambria" w:hAnsi="Cambria"/>
          <w:sz w:val="16"/>
          <w:szCs w:val="16"/>
        </w:rPr>
        <w:t>,</w:t>
      </w:r>
      <w:r w:rsidRPr="005A3F68">
        <w:rPr>
          <w:rFonts w:ascii="Cambria" w:hAnsi="Cambria"/>
          <w:sz w:val="16"/>
          <w:szCs w:val="16"/>
        </w:rPr>
        <w:t xml:space="preserve"> 2015, p</w:t>
      </w:r>
      <w:r w:rsidR="00881D4E">
        <w:rPr>
          <w:rFonts w:ascii="Cambria" w:hAnsi="Cambria"/>
          <w:sz w:val="16"/>
          <w:szCs w:val="16"/>
        </w:rPr>
        <w:t>ara. 26-</w:t>
      </w:r>
      <w:r w:rsidRPr="005A3F68">
        <w:rPr>
          <w:rFonts w:ascii="Cambria" w:hAnsi="Cambria"/>
          <w:sz w:val="16"/>
          <w:szCs w:val="16"/>
        </w:rPr>
        <w:t>33.</w:t>
      </w:r>
    </w:p>
  </w:footnote>
  <w:footnote w:id="8">
    <w:p w:rsidR="00435160" w:rsidRPr="005A3F68" w:rsidRDefault="00435160" w:rsidP="005758BA">
      <w:pPr>
        <w:pStyle w:val="FootnoteText"/>
        <w:spacing w:after="120"/>
        <w:ind w:firstLine="720"/>
        <w:jc w:val="both"/>
        <w:rPr>
          <w:rFonts w:ascii="Cambria" w:hAnsi="Cambria"/>
          <w:sz w:val="16"/>
          <w:szCs w:val="16"/>
        </w:rPr>
      </w:pPr>
      <w:r w:rsidRPr="005A3F68">
        <w:rPr>
          <w:rStyle w:val="FootnoteReference"/>
          <w:rFonts w:ascii="Cambria" w:hAnsi="Cambria"/>
          <w:sz w:val="16"/>
          <w:szCs w:val="16"/>
        </w:rPr>
        <w:footnoteRef/>
      </w:r>
      <w:r w:rsidRPr="005A3F68">
        <w:rPr>
          <w:rFonts w:ascii="Cambria" w:hAnsi="Cambria"/>
          <w:sz w:val="16"/>
          <w:szCs w:val="16"/>
        </w:rPr>
        <w:t xml:space="preserve"> </w:t>
      </w:r>
      <w:r w:rsidR="00090428">
        <w:rPr>
          <w:rFonts w:ascii="Cambria" w:hAnsi="Cambria"/>
          <w:sz w:val="16"/>
          <w:szCs w:val="16"/>
        </w:rPr>
        <w:t>National Agency for Legal Defense of the State</w:t>
      </w:r>
      <w:r w:rsidRPr="005A3F68">
        <w:rPr>
          <w:rFonts w:ascii="Cambria" w:hAnsi="Cambria"/>
          <w:sz w:val="16"/>
          <w:szCs w:val="16"/>
        </w:rPr>
        <w:t xml:space="preserve">, </w:t>
      </w:r>
      <w:r w:rsidR="00881D4E">
        <w:rPr>
          <w:rFonts w:ascii="Cambria" w:hAnsi="Cambria"/>
          <w:sz w:val="16"/>
          <w:szCs w:val="16"/>
        </w:rPr>
        <w:t xml:space="preserve">Case No. </w:t>
      </w:r>
      <w:r w:rsidRPr="005A3F68">
        <w:rPr>
          <w:rFonts w:ascii="Cambria" w:hAnsi="Cambria"/>
          <w:sz w:val="16"/>
          <w:szCs w:val="16"/>
        </w:rPr>
        <w:t xml:space="preserve">20155010040291-GDI, </w:t>
      </w:r>
      <w:r>
        <w:rPr>
          <w:rFonts w:ascii="Cambria" w:hAnsi="Cambria"/>
          <w:sz w:val="16"/>
          <w:szCs w:val="16"/>
        </w:rPr>
        <w:t>April</w:t>
      </w:r>
      <w:r w:rsidRPr="005A3F68">
        <w:rPr>
          <w:rFonts w:ascii="Cambria" w:hAnsi="Cambria"/>
          <w:sz w:val="16"/>
          <w:szCs w:val="16"/>
        </w:rPr>
        <w:t xml:space="preserve"> </w:t>
      </w:r>
      <w:r w:rsidR="00881D4E" w:rsidRPr="005A3F68">
        <w:rPr>
          <w:rFonts w:ascii="Cambria" w:hAnsi="Cambria"/>
          <w:sz w:val="16"/>
          <w:szCs w:val="16"/>
        </w:rPr>
        <w:t>21</w:t>
      </w:r>
      <w:r w:rsidR="00881D4E">
        <w:rPr>
          <w:rFonts w:ascii="Cambria" w:hAnsi="Cambria"/>
          <w:sz w:val="16"/>
          <w:szCs w:val="16"/>
        </w:rPr>
        <w:t>,</w:t>
      </w:r>
      <w:r w:rsidRPr="005A3F68">
        <w:rPr>
          <w:rFonts w:ascii="Cambria" w:hAnsi="Cambria"/>
          <w:sz w:val="16"/>
          <w:szCs w:val="16"/>
        </w:rPr>
        <w:t xml:space="preserve"> 2015, </w:t>
      </w:r>
      <w:r w:rsidR="00881D4E">
        <w:rPr>
          <w:rFonts w:ascii="Cambria" w:hAnsi="Cambria"/>
          <w:sz w:val="16"/>
          <w:szCs w:val="16"/>
        </w:rPr>
        <w:t>received by the Executive Secretariat of the IACHR</w:t>
      </w:r>
      <w:r w:rsidRPr="005A3F68">
        <w:rPr>
          <w:rFonts w:ascii="Cambria" w:hAnsi="Cambria"/>
          <w:sz w:val="16"/>
          <w:szCs w:val="16"/>
        </w:rPr>
        <w:t xml:space="preserve"> </w:t>
      </w:r>
      <w:r w:rsidR="00881D4E">
        <w:rPr>
          <w:rFonts w:ascii="Cambria" w:hAnsi="Cambria"/>
          <w:sz w:val="16"/>
          <w:szCs w:val="16"/>
        </w:rPr>
        <w:t>on April</w:t>
      </w:r>
      <w:r w:rsidR="00881D4E" w:rsidRPr="005A3F68">
        <w:rPr>
          <w:rFonts w:ascii="Cambria" w:hAnsi="Cambria"/>
          <w:sz w:val="16"/>
          <w:szCs w:val="16"/>
        </w:rPr>
        <w:t xml:space="preserve"> 24</w:t>
      </w:r>
      <w:r w:rsidR="00881D4E">
        <w:rPr>
          <w:rFonts w:ascii="Cambria" w:hAnsi="Cambria"/>
          <w:sz w:val="16"/>
          <w:szCs w:val="16"/>
        </w:rPr>
        <w:t>,</w:t>
      </w:r>
      <w:r w:rsidR="00881D4E" w:rsidRPr="005A3F68">
        <w:rPr>
          <w:rFonts w:ascii="Cambria" w:hAnsi="Cambria"/>
          <w:sz w:val="16"/>
          <w:szCs w:val="16"/>
        </w:rPr>
        <w:t xml:space="preserve"> 2015</w:t>
      </w:r>
      <w:r w:rsidRPr="005A3F68">
        <w:rPr>
          <w:rFonts w:ascii="Cambria" w:hAnsi="Cambria"/>
          <w:sz w:val="16"/>
          <w:szCs w:val="16"/>
        </w:rPr>
        <w:t xml:space="preserve">, </w:t>
      </w:r>
      <w:r>
        <w:rPr>
          <w:rFonts w:ascii="Cambria" w:hAnsi="Cambria"/>
          <w:sz w:val="16"/>
          <w:szCs w:val="16"/>
        </w:rPr>
        <w:t>para.</w:t>
      </w:r>
      <w:r w:rsidRPr="005A3F68">
        <w:rPr>
          <w:rFonts w:ascii="Cambria" w:hAnsi="Cambria"/>
          <w:sz w:val="16"/>
          <w:szCs w:val="16"/>
        </w:rPr>
        <w:t xml:space="preserve"> 35.</w:t>
      </w:r>
    </w:p>
  </w:footnote>
  <w:footnote w:id="9">
    <w:p w:rsidR="00435160" w:rsidRPr="005A3F68" w:rsidRDefault="00435160" w:rsidP="005758BA">
      <w:pPr>
        <w:pStyle w:val="FootnoteText"/>
        <w:spacing w:after="120"/>
        <w:ind w:firstLine="720"/>
        <w:jc w:val="both"/>
        <w:rPr>
          <w:rFonts w:ascii="Cambria" w:hAnsi="Cambria"/>
          <w:sz w:val="16"/>
          <w:szCs w:val="16"/>
        </w:rPr>
      </w:pPr>
      <w:r w:rsidRPr="005A3F68">
        <w:rPr>
          <w:rStyle w:val="FootnoteReference"/>
          <w:rFonts w:ascii="Cambria" w:hAnsi="Cambria"/>
          <w:sz w:val="16"/>
          <w:szCs w:val="16"/>
        </w:rPr>
        <w:footnoteRef/>
      </w:r>
      <w:r w:rsidRPr="005A3F68">
        <w:rPr>
          <w:rFonts w:ascii="Cambria" w:hAnsi="Cambria"/>
          <w:sz w:val="16"/>
          <w:szCs w:val="16"/>
        </w:rPr>
        <w:t xml:space="preserve"> </w:t>
      </w:r>
      <w:r w:rsidR="00090428">
        <w:rPr>
          <w:rFonts w:ascii="Cambria" w:hAnsi="Cambria"/>
          <w:sz w:val="16"/>
          <w:szCs w:val="16"/>
        </w:rPr>
        <w:t>National Agency for Legal Defense of the State</w:t>
      </w:r>
      <w:r w:rsidRPr="005A3F68">
        <w:rPr>
          <w:rFonts w:ascii="Cambria" w:hAnsi="Cambria"/>
          <w:sz w:val="16"/>
          <w:szCs w:val="16"/>
        </w:rPr>
        <w:t xml:space="preserve">, </w:t>
      </w:r>
      <w:r w:rsidR="00881D4E">
        <w:rPr>
          <w:rFonts w:ascii="Cambria" w:hAnsi="Cambria"/>
          <w:sz w:val="16"/>
          <w:szCs w:val="16"/>
        </w:rPr>
        <w:t xml:space="preserve">Case No. </w:t>
      </w:r>
      <w:r w:rsidRPr="005A3F68">
        <w:rPr>
          <w:rFonts w:ascii="Cambria" w:hAnsi="Cambria"/>
          <w:sz w:val="16"/>
          <w:szCs w:val="16"/>
        </w:rPr>
        <w:t xml:space="preserve">20155010040291-GDI, </w:t>
      </w:r>
      <w:r w:rsidR="00881D4E">
        <w:rPr>
          <w:rFonts w:ascii="Cambria" w:hAnsi="Cambria"/>
          <w:sz w:val="16"/>
          <w:szCs w:val="16"/>
        </w:rPr>
        <w:t>April</w:t>
      </w:r>
      <w:r w:rsidR="00881D4E" w:rsidRPr="005A3F68">
        <w:rPr>
          <w:rFonts w:ascii="Cambria" w:hAnsi="Cambria"/>
          <w:sz w:val="16"/>
          <w:szCs w:val="16"/>
        </w:rPr>
        <w:t xml:space="preserve"> 21</w:t>
      </w:r>
      <w:r w:rsidR="00881D4E">
        <w:rPr>
          <w:rFonts w:ascii="Cambria" w:hAnsi="Cambria"/>
          <w:sz w:val="16"/>
          <w:szCs w:val="16"/>
        </w:rPr>
        <w:t>,</w:t>
      </w:r>
      <w:r w:rsidR="00881D4E" w:rsidRPr="005A3F68">
        <w:rPr>
          <w:rFonts w:ascii="Cambria" w:hAnsi="Cambria"/>
          <w:sz w:val="16"/>
          <w:szCs w:val="16"/>
        </w:rPr>
        <w:t xml:space="preserve"> 2015</w:t>
      </w:r>
      <w:r w:rsidRPr="005A3F68">
        <w:rPr>
          <w:rFonts w:ascii="Cambria" w:hAnsi="Cambria"/>
          <w:sz w:val="16"/>
          <w:szCs w:val="16"/>
        </w:rPr>
        <w:t xml:space="preserve">, </w:t>
      </w:r>
      <w:r w:rsidR="00881D4E">
        <w:rPr>
          <w:rFonts w:ascii="Cambria" w:hAnsi="Cambria"/>
          <w:sz w:val="16"/>
          <w:szCs w:val="16"/>
        </w:rPr>
        <w:t>received by the Executive Secretariat of the IACHR</w:t>
      </w:r>
      <w:r w:rsidRPr="005A3F68">
        <w:rPr>
          <w:rFonts w:ascii="Cambria" w:hAnsi="Cambria"/>
          <w:sz w:val="16"/>
          <w:szCs w:val="16"/>
        </w:rPr>
        <w:t xml:space="preserve"> </w:t>
      </w:r>
      <w:r w:rsidR="00881D4E">
        <w:rPr>
          <w:rFonts w:ascii="Cambria" w:hAnsi="Cambria"/>
          <w:sz w:val="16"/>
          <w:szCs w:val="16"/>
        </w:rPr>
        <w:t>on April</w:t>
      </w:r>
      <w:r w:rsidR="00881D4E" w:rsidRPr="005A3F68">
        <w:rPr>
          <w:rFonts w:ascii="Cambria" w:hAnsi="Cambria"/>
          <w:sz w:val="16"/>
          <w:szCs w:val="16"/>
        </w:rPr>
        <w:t xml:space="preserve"> 24</w:t>
      </w:r>
      <w:r w:rsidR="00881D4E">
        <w:rPr>
          <w:rFonts w:ascii="Cambria" w:hAnsi="Cambria"/>
          <w:sz w:val="16"/>
          <w:szCs w:val="16"/>
        </w:rPr>
        <w:t>,</w:t>
      </w:r>
      <w:r w:rsidR="00881D4E" w:rsidRPr="005A3F68">
        <w:rPr>
          <w:rFonts w:ascii="Cambria" w:hAnsi="Cambria"/>
          <w:sz w:val="16"/>
          <w:szCs w:val="16"/>
        </w:rPr>
        <w:t xml:space="preserve"> 2015</w:t>
      </w:r>
      <w:r w:rsidRPr="005A3F68">
        <w:rPr>
          <w:rFonts w:ascii="Cambria" w:hAnsi="Cambria"/>
          <w:sz w:val="16"/>
          <w:szCs w:val="16"/>
        </w:rPr>
        <w:t xml:space="preserve">, </w:t>
      </w:r>
      <w:r>
        <w:rPr>
          <w:rFonts w:ascii="Cambria" w:hAnsi="Cambria"/>
          <w:sz w:val="16"/>
          <w:szCs w:val="16"/>
        </w:rPr>
        <w:t>para.</w:t>
      </w:r>
      <w:r w:rsidRPr="005A3F68">
        <w:rPr>
          <w:rFonts w:ascii="Cambria" w:hAnsi="Cambria"/>
          <w:sz w:val="16"/>
          <w:szCs w:val="16"/>
        </w:rPr>
        <w:t xml:space="preserve"> 38.</w:t>
      </w:r>
    </w:p>
  </w:footnote>
  <w:footnote w:id="10">
    <w:p w:rsidR="00435160" w:rsidRPr="005A3F68" w:rsidRDefault="00435160" w:rsidP="005758BA">
      <w:pPr>
        <w:pStyle w:val="FootnoteText"/>
        <w:spacing w:after="120"/>
        <w:ind w:firstLine="720"/>
        <w:jc w:val="both"/>
        <w:rPr>
          <w:rFonts w:ascii="Cambria" w:hAnsi="Cambria"/>
          <w:sz w:val="16"/>
          <w:szCs w:val="16"/>
        </w:rPr>
      </w:pPr>
      <w:r w:rsidRPr="005A3F68">
        <w:rPr>
          <w:rStyle w:val="FootnoteReference"/>
          <w:rFonts w:ascii="Cambria" w:hAnsi="Cambria"/>
          <w:sz w:val="16"/>
          <w:szCs w:val="16"/>
        </w:rPr>
        <w:footnoteRef/>
      </w:r>
      <w:r w:rsidRPr="005A3F68">
        <w:rPr>
          <w:rFonts w:ascii="Cambria" w:hAnsi="Cambria"/>
          <w:sz w:val="16"/>
          <w:szCs w:val="16"/>
        </w:rPr>
        <w:t xml:space="preserve"> </w:t>
      </w:r>
      <w:r>
        <w:rPr>
          <w:rFonts w:ascii="Cambria" w:hAnsi="Cambria"/>
          <w:sz w:val="16"/>
          <w:szCs w:val="16"/>
        </w:rPr>
        <w:t>IACHR</w:t>
      </w:r>
      <w:r w:rsidRPr="005A3F68">
        <w:rPr>
          <w:rFonts w:ascii="Cambria" w:hAnsi="Cambria"/>
          <w:sz w:val="16"/>
          <w:szCs w:val="16"/>
        </w:rPr>
        <w:t xml:space="preserve">, </w:t>
      </w:r>
      <w:r>
        <w:rPr>
          <w:rFonts w:ascii="Cambria" w:hAnsi="Cambria"/>
          <w:sz w:val="16"/>
          <w:szCs w:val="16"/>
        </w:rPr>
        <w:t>Report</w:t>
      </w:r>
      <w:r w:rsidRPr="005A3F68">
        <w:rPr>
          <w:rFonts w:ascii="Cambria" w:hAnsi="Cambria"/>
          <w:sz w:val="16"/>
          <w:szCs w:val="16"/>
        </w:rPr>
        <w:t xml:space="preserve"> No. 6/98, </w:t>
      </w:r>
      <w:r w:rsidR="00090428">
        <w:rPr>
          <w:rFonts w:ascii="Cambria" w:hAnsi="Cambria"/>
          <w:sz w:val="16"/>
          <w:szCs w:val="16"/>
        </w:rPr>
        <w:t>Case</w:t>
      </w:r>
      <w:r w:rsidRPr="005A3F68">
        <w:rPr>
          <w:rFonts w:ascii="Cambria" w:hAnsi="Cambria"/>
          <w:sz w:val="16"/>
          <w:szCs w:val="16"/>
        </w:rPr>
        <w:t xml:space="preserve"> 10.382, Ernesto Máximo Rodríguez, Argentina, </w:t>
      </w:r>
      <w:r w:rsidR="00881D4E">
        <w:rPr>
          <w:rFonts w:ascii="Cambria" w:hAnsi="Cambria"/>
          <w:sz w:val="16"/>
          <w:szCs w:val="16"/>
        </w:rPr>
        <w:t xml:space="preserve">February </w:t>
      </w:r>
      <w:r w:rsidRPr="005A3F68">
        <w:rPr>
          <w:rFonts w:ascii="Cambria" w:hAnsi="Cambria"/>
          <w:sz w:val="16"/>
          <w:szCs w:val="16"/>
        </w:rPr>
        <w:t>21</w:t>
      </w:r>
      <w:r w:rsidR="00881D4E">
        <w:rPr>
          <w:rFonts w:ascii="Cambria" w:hAnsi="Cambria"/>
          <w:sz w:val="16"/>
          <w:szCs w:val="16"/>
        </w:rPr>
        <w:t>,</w:t>
      </w:r>
      <w:r w:rsidRPr="005A3F68">
        <w:rPr>
          <w:rFonts w:ascii="Cambria" w:hAnsi="Cambria"/>
          <w:sz w:val="16"/>
          <w:szCs w:val="16"/>
        </w:rPr>
        <w:t xml:space="preserve"> 1998, </w:t>
      </w:r>
      <w:r>
        <w:rPr>
          <w:rFonts w:ascii="Cambria" w:hAnsi="Cambria"/>
          <w:sz w:val="16"/>
          <w:szCs w:val="16"/>
        </w:rPr>
        <w:t>para.</w:t>
      </w:r>
      <w:r w:rsidRPr="005A3F68">
        <w:rPr>
          <w:rFonts w:ascii="Cambria" w:hAnsi="Cambria"/>
          <w:sz w:val="16"/>
          <w:szCs w:val="16"/>
        </w:rPr>
        <w:t xml:space="preserve"> 39; </w:t>
      </w:r>
      <w:r>
        <w:rPr>
          <w:rFonts w:ascii="Cambria" w:hAnsi="Cambria"/>
          <w:sz w:val="16"/>
          <w:szCs w:val="16"/>
        </w:rPr>
        <w:t>IACHR</w:t>
      </w:r>
      <w:r w:rsidRPr="005A3F68">
        <w:rPr>
          <w:rFonts w:ascii="Cambria" w:hAnsi="Cambria"/>
          <w:sz w:val="16"/>
          <w:szCs w:val="16"/>
        </w:rPr>
        <w:t xml:space="preserve">, </w:t>
      </w:r>
      <w:r>
        <w:rPr>
          <w:rFonts w:ascii="Cambria" w:hAnsi="Cambria"/>
          <w:sz w:val="16"/>
          <w:szCs w:val="16"/>
        </w:rPr>
        <w:t>Report</w:t>
      </w:r>
      <w:r w:rsidRPr="005A3F68">
        <w:rPr>
          <w:rFonts w:ascii="Cambria" w:hAnsi="Cambria"/>
          <w:sz w:val="16"/>
          <w:szCs w:val="16"/>
        </w:rPr>
        <w:t xml:space="preserve"> No. 39/97, </w:t>
      </w:r>
      <w:r w:rsidR="00090428">
        <w:rPr>
          <w:rFonts w:ascii="Cambria" w:hAnsi="Cambria"/>
          <w:sz w:val="16"/>
          <w:szCs w:val="16"/>
        </w:rPr>
        <w:t>Case</w:t>
      </w:r>
      <w:r w:rsidRPr="005A3F68">
        <w:rPr>
          <w:rFonts w:ascii="Cambria" w:hAnsi="Cambria"/>
          <w:sz w:val="16"/>
          <w:szCs w:val="16"/>
        </w:rPr>
        <w:t xml:space="preserve"> 11.233, Martín Javier Roca Casas, Per</w:t>
      </w:r>
      <w:r w:rsidR="00881D4E">
        <w:rPr>
          <w:rFonts w:ascii="Cambria" w:hAnsi="Cambria"/>
          <w:sz w:val="16"/>
          <w:szCs w:val="16"/>
        </w:rPr>
        <w:t>u</w:t>
      </w:r>
      <w:r w:rsidRPr="005A3F68">
        <w:rPr>
          <w:rFonts w:ascii="Cambria" w:hAnsi="Cambria"/>
          <w:sz w:val="16"/>
          <w:szCs w:val="16"/>
        </w:rPr>
        <w:t xml:space="preserve">, </w:t>
      </w:r>
      <w:r w:rsidR="00881D4E">
        <w:rPr>
          <w:rFonts w:ascii="Cambria" w:hAnsi="Cambria"/>
          <w:sz w:val="16"/>
          <w:szCs w:val="16"/>
        </w:rPr>
        <w:t>February</w:t>
      </w:r>
      <w:r w:rsidR="00881D4E" w:rsidRPr="005A3F68">
        <w:rPr>
          <w:rFonts w:ascii="Cambria" w:hAnsi="Cambria"/>
          <w:sz w:val="16"/>
          <w:szCs w:val="16"/>
        </w:rPr>
        <w:t xml:space="preserve"> </w:t>
      </w:r>
      <w:r w:rsidRPr="005A3F68">
        <w:rPr>
          <w:rFonts w:ascii="Cambria" w:hAnsi="Cambria"/>
          <w:sz w:val="16"/>
          <w:szCs w:val="16"/>
        </w:rPr>
        <w:t>19</w:t>
      </w:r>
      <w:r w:rsidR="00881D4E">
        <w:rPr>
          <w:rFonts w:ascii="Cambria" w:hAnsi="Cambria"/>
          <w:sz w:val="16"/>
          <w:szCs w:val="16"/>
        </w:rPr>
        <w:t>,</w:t>
      </w:r>
      <w:r w:rsidRPr="005A3F68">
        <w:rPr>
          <w:rFonts w:ascii="Cambria" w:hAnsi="Cambria"/>
          <w:sz w:val="16"/>
          <w:szCs w:val="16"/>
        </w:rPr>
        <w:t xml:space="preserve"> 1998, </w:t>
      </w:r>
      <w:r>
        <w:rPr>
          <w:rFonts w:ascii="Cambria" w:hAnsi="Cambria"/>
          <w:sz w:val="16"/>
          <w:szCs w:val="16"/>
        </w:rPr>
        <w:t>para.</w:t>
      </w:r>
      <w:r w:rsidRPr="005A3F68">
        <w:rPr>
          <w:rFonts w:ascii="Cambria" w:hAnsi="Cambria"/>
          <w:sz w:val="16"/>
          <w:szCs w:val="16"/>
        </w:rPr>
        <w:t xml:space="preserve"> 57.</w:t>
      </w:r>
    </w:p>
  </w:footnote>
  <w:footnote w:id="11">
    <w:p w:rsidR="00435160" w:rsidRPr="005A3F68" w:rsidRDefault="00435160" w:rsidP="005758BA">
      <w:pPr>
        <w:pStyle w:val="FootnoteText"/>
        <w:spacing w:after="120"/>
        <w:ind w:firstLine="720"/>
        <w:jc w:val="both"/>
        <w:rPr>
          <w:rFonts w:ascii="Cambria" w:hAnsi="Cambria"/>
          <w:sz w:val="16"/>
          <w:szCs w:val="16"/>
        </w:rPr>
      </w:pPr>
      <w:r w:rsidRPr="005A3F68">
        <w:rPr>
          <w:rStyle w:val="FootnoteReference"/>
          <w:rFonts w:ascii="Cambria" w:hAnsi="Cambria"/>
          <w:sz w:val="16"/>
          <w:szCs w:val="16"/>
        </w:rPr>
        <w:footnoteRef/>
      </w:r>
      <w:r w:rsidRPr="005A3F68">
        <w:rPr>
          <w:rFonts w:ascii="Cambria" w:hAnsi="Cambria"/>
          <w:sz w:val="16"/>
          <w:szCs w:val="16"/>
        </w:rPr>
        <w:t xml:space="preserve"> </w:t>
      </w:r>
      <w:r>
        <w:rPr>
          <w:rFonts w:ascii="Cambria" w:hAnsi="Cambria"/>
          <w:sz w:val="16"/>
          <w:szCs w:val="16"/>
        </w:rPr>
        <w:t>IACHR</w:t>
      </w:r>
      <w:r w:rsidRPr="005A3F68">
        <w:rPr>
          <w:rFonts w:ascii="Cambria" w:hAnsi="Cambria"/>
          <w:sz w:val="16"/>
          <w:szCs w:val="16"/>
        </w:rPr>
        <w:t xml:space="preserve">, </w:t>
      </w:r>
      <w:r>
        <w:rPr>
          <w:rFonts w:ascii="Cambria" w:hAnsi="Cambria"/>
          <w:sz w:val="16"/>
          <w:szCs w:val="16"/>
        </w:rPr>
        <w:t>Report</w:t>
      </w:r>
      <w:r w:rsidRPr="005A3F68">
        <w:rPr>
          <w:rFonts w:ascii="Cambria" w:hAnsi="Cambria"/>
          <w:sz w:val="16"/>
          <w:szCs w:val="16"/>
        </w:rPr>
        <w:t xml:space="preserve"> No. 52/97, </w:t>
      </w:r>
      <w:r w:rsidR="00090428">
        <w:rPr>
          <w:rFonts w:ascii="Cambria" w:hAnsi="Cambria"/>
          <w:sz w:val="16"/>
          <w:szCs w:val="16"/>
        </w:rPr>
        <w:t>Case</w:t>
      </w:r>
      <w:r w:rsidRPr="005A3F68">
        <w:rPr>
          <w:rFonts w:ascii="Cambria" w:hAnsi="Cambria"/>
          <w:sz w:val="16"/>
          <w:szCs w:val="16"/>
        </w:rPr>
        <w:t xml:space="preserve"> 11.218. </w:t>
      </w:r>
      <w:r w:rsidR="00881D4E">
        <w:rPr>
          <w:rFonts w:ascii="Cambria" w:hAnsi="Cambria"/>
          <w:sz w:val="16"/>
          <w:szCs w:val="16"/>
        </w:rPr>
        <w:t>Merits</w:t>
      </w:r>
      <w:r w:rsidRPr="005A3F68">
        <w:rPr>
          <w:rFonts w:ascii="Cambria" w:hAnsi="Cambria"/>
          <w:sz w:val="16"/>
          <w:szCs w:val="16"/>
        </w:rPr>
        <w:t xml:space="preserve">. Arges Sequeira Mangas, Nicaragua, </w:t>
      </w:r>
      <w:r w:rsidR="00881D4E" w:rsidRPr="005A3F68">
        <w:rPr>
          <w:rFonts w:ascii="Cambria" w:hAnsi="Cambria"/>
          <w:sz w:val="16"/>
          <w:szCs w:val="16"/>
        </w:rPr>
        <w:t>1997</w:t>
      </w:r>
      <w:r w:rsidR="00881D4E">
        <w:rPr>
          <w:rFonts w:ascii="Cambria" w:hAnsi="Cambria"/>
          <w:sz w:val="16"/>
          <w:szCs w:val="16"/>
        </w:rPr>
        <w:t xml:space="preserve"> Annual Report of the IACHR</w:t>
      </w:r>
      <w:r w:rsidRPr="005A3F68">
        <w:rPr>
          <w:rFonts w:ascii="Cambria" w:hAnsi="Cambria"/>
          <w:sz w:val="16"/>
          <w:szCs w:val="16"/>
        </w:rPr>
        <w:t xml:space="preserve">, </w:t>
      </w:r>
      <w:r>
        <w:rPr>
          <w:rFonts w:ascii="Cambria" w:hAnsi="Cambria"/>
          <w:sz w:val="16"/>
          <w:szCs w:val="16"/>
        </w:rPr>
        <w:t>para.</w:t>
      </w:r>
      <w:r w:rsidRPr="005A3F68">
        <w:rPr>
          <w:rFonts w:ascii="Cambria" w:hAnsi="Cambria"/>
          <w:sz w:val="16"/>
          <w:szCs w:val="16"/>
        </w:rPr>
        <w:t xml:space="preserve"> 97. </w:t>
      </w:r>
      <w:r w:rsidR="00881D4E" w:rsidRPr="00881D4E">
        <w:rPr>
          <w:rFonts w:ascii="Cambria" w:hAnsi="Cambria"/>
          <w:i/>
          <w:sz w:val="16"/>
          <w:szCs w:val="16"/>
        </w:rPr>
        <w:t>Likewise see:</w:t>
      </w:r>
      <w:r w:rsidRPr="005A3F68">
        <w:rPr>
          <w:rFonts w:ascii="Cambria" w:hAnsi="Cambria"/>
          <w:sz w:val="16"/>
          <w:szCs w:val="16"/>
        </w:rPr>
        <w:t xml:space="preserve"> </w:t>
      </w:r>
      <w:r>
        <w:rPr>
          <w:rFonts w:ascii="Cambria" w:hAnsi="Cambria"/>
          <w:sz w:val="16"/>
          <w:szCs w:val="16"/>
        </w:rPr>
        <w:t>IACHR</w:t>
      </w:r>
      <w:r w:rsidRPr="005A3F68">
        <w:rPr>
          <w:rFonts w:ascii="Cambria" w:hAnsi="Cambria"/>
          <w:sz w:val="16"/>
          <w:szCs w:val="16"/>
        </w:rPr>
        <w:t xml:space="preserve">, </w:t>
      </w:r>
      <w:r>
        <w:rPr>
          <w:rFonts w:ascii="Cambria" w:hAnsi="Cambria"/>
          <w:sz w:val="16"/>
          <w:szCs w:val="16"/>
        </w:rPr>
        <w:t>Report</w:t>
      </w:r>
      <w:r w:rsidRPr="005A3F68">
        <w:rPr>
          <w:rFonts w:ascii="Cambria" w:hAnsi="Cambria"/>
          <w:sz w:val="16"/>
          <w:szCs w:val="16"/>
        </w:rPr>
        <w:t xml:space="preserve"> No. 99/14, </w:t>
      </w:r>
      <w:r>
        <w:rPr>
          <w:rFonts w:ascii="Cambria" w:hAnsi="Cambria"/>
          <w:sz w:val="16"/>
          <w:szCs w:val="16"/>
        </w:rPr>
        <w:t>Petition</w:t>
      </w:r>
      <w:r w:rsidRPr="005A3F68">
        <w:rPr>
          <w:rFonts w:ascii="Cambria" w:hAnsi="Cambria"/>
          <w:sz w:val="16"/>
          <w:szCs w:val="16"/>
        </w:rPr>
        <w:t xml:space="preserve"> 446-09. </w:t>
      </w:r>
      <w:r w:rsidRPr="0094595A">
        <w:rPr>
          <w:rFonts w:ascii="Cambria" w:hAnsi="Cambria"/>
          <w:sz w:val="16"/>
          <w:szCs w:val="16"/>
          <w:lang w:val="pt-BR"/>
        </w:rPr>
        <w:t xml:space="preserve">Admissibility. </w:t>
      </w:r>
      <w:r w:rsidRPr="007E50C0">
        <w:rPr>
          <w:rFonts w:ascii="Cambria" w:hAnsi="Cambria"/>
          <w:sz w:val="16"/>
          <w:szCs w:val="16"/>
          <w:lang w:val="pt-BR"/>
        </w:rPr>
        <w:t>Luis Alberto Rojas Marín. Per</w:t>
      </w:r>
      <w:r w:rsidR="00881D4E" w:rsidRPr="007E50C0">
        <w:rPr>
          <w:rFonts w:ascii="Cambria" w:hAnsi="Cambria"/>
          <w:sz w:val="16"/>
          <w:szCs w:val="16"/>
          <w:lang w:val="pt-BR"/>
        </w:rPr>
        <w:t>u</w:t>
      </w:r>
      <w:r w:rsidRPr="007E50C0">
        <w:rPr>
          <w:rFonts w:ascii="Cambria" w:hAnsi="Cambria"/>
          <w:sz w:val="16"/>
          <w:szCs w:val="16"/>
          <w:lang w:val="pt-BR"/>
        </w:rPr>
        <w:t xml:space="preserve">. </w:t>
      </w:r>
      <w:r w:rsidR="00881D4E" w:rsidRPr="007E50C0">
        <w:rPr>
          <w:rFonts w:ascii="Cambria" w:hAnsi="Cambria"/>
          <w:sz w:val="16"/>
          <w:szCs w:val="16"/>
          <w:lang w:val="pt-BR"/>
        </w:rPr>
        <w:t xml:space="preserve">November </w:t>
      </w:r>
      <w:r w:rsidRPr="007E50C0">
        <w:rPr>
          <w:rFonts w:ascii="Cambria" w:hAnsi="Cambria"/>
          <w:sz w:val="16"/>
          <w:szCs w:val="16"/>
          <w:lang w:val="pt-BR"/>
        </w:rPr>
        <w:t>6</w:t>
      </w:r>
      <w:r w:rsidR="00881D4E" w:rsidRPr="007E50C0">
        <w:rPr>
          <w:rFonts w:ascii="Cambria" w:hAnsi="Cambria"/>
          <w:sz w:val="16"/>
          <w:szCs w:val="16"/>
          <w:lang w:val="pt-BR"/>
        </w:rPr>
        <w:t>,</w:t>
      </w:r>
      <w:r w:rsidRPr="007E50C0">
        <w:rPr>
          <w:rFonts w:ascii="Cambria" w:hAnsi="Cambria"/>
          <w:sz w:val="16"/>
          <w:szCs w:val="16"/>
          <w:lang w:val="pt-BR"/>
        </w:rPr>
        <w:t xml:space="preserve"> 2014, para. 44; IACHR, Report No. 43/13. Petition 171-06. Admissibility. Y.G.S.A. Ecuador. </w:t>
      </w:r>
      <w:r w:rsidR="00881D4E" w:rsidRPr="007E50C0">
        <w:rPr>
          <w:rFonts w:ascii="Cambria" w:hAnsi="Cambria"/>
          <w:sz w:val="16"/>
          <w:szCs w:val="16"/>
          <w:lang w:val="pt-BR"/>
        </w:rPr>
        <w:t xml:space="preserve">July </w:t>
      </w:r>
      <w:r w:rsidRPr="007E50C0">
        <w:rPr>
          <w:rFonts w:ascii="Cambria" w:hAnsi="Cambria"/>
          <w:sz w:val="16"/>
          <w:szCs w:val="16"/>
          <w:lang w:val="pt-BR"/>
        </w:rPr>
        <w:t>11</w:t>
      </w:r>
      <w:r w:rsidR="00881D4E" w:rsidRPr="007E50C0">
        <w:rPr>
          <w:rFonts w:ascii="Cambria" w:hAnsi="Cambria"/>
          <w:sz w:val="16"/>
          <w:szCs w:val="16"/>
          <w:lang w:val="pt-BR"/>
        </w:rPr>
        <w:t>,</w:t>
      </w:r>
      <w:r w:rsidRPr="007E50C0">
        <w:rPr>
          <w:rFonts w:ascii="Cambria" w:hAnsi="Cambria"/>
          <w:sz w:val="16"/>
          <w:szCs w:val="16"/>
          <w:lang w:val="pt-BR"/>
        </w:rPr>
        <w:t xml:space="preserve"> 2013, para. 30; IACHR, Report No. 1/11, Admissibility, Saúl Filormo Cañar Pauta. Ecuador. </w:t>
      </w:r>
      <w:r w:rsidR="00881D4E" w:rsidRPr="007E50C0">
        <w:rPr>
          <w:rFonts w:ascii="Cambria" w:hAnsi="Cambria"/>
          <w:sz w:val="16"/>
          <w:szCs w:val="16"/>
          <w:lang w:val="pt-BR"/>
        </w:rPr>
        <w:t xml:space="preserve">January </w:t>
      </w:r>
      <w:r w:rsidRPr="007E50C0">
        <w:rPr>
          <w:rFonts w:ascii="Cambria" w:hAnsi="Cambria"/>
          <w:sz w:val="16"/>
          <w:szCs w:val="16"/>
          <w:lang w:val="pt-BR"/>
        </w:rPr>
        <w:t>4</w:t>
      </w:r>
      <w:r w:rsidR="00881D4E" w:rsidRPr="007E50C0">
        <w:rPr>
          <w:rFonts w:ascii="Cambria" w:hAnsi="Cambria"/>
          <w:sz w:val="16"/>
          <w:szCs w:val="16"/>
          <w:lang w:val="pt-BR"/>
        </w:rPr>
        <w:t>,</w:t>
      </w:r>
      <w:r w:rsidRPr="007E50C0">
        <w:rPr>
          <w:rFonts w:ascii="Cambria" w:hAnsi="Cambria"/>
          <w:sz w:val="16"/>
          <w:szCs w:val="16"/>
          <w:lang w:val="pt-BR"/>
        </w:rPr>
        <w:t xml:space="preserve"> 2011, para. </w:t>
      </w:r>
      <w:r w:rsidRPr="005A3F68">
        <w:rPr>
          <w:rFonts w:ascii="Cambria" w:hAnsi="Cambria"/>
          <w:sz w:val="16"/>
          <w:szCs w:val="16"/>
        </w:rPr>
        <w:t xml:space="preserve">30; </w:t>
      </w:r>
      <w:r>
        <w:rPr>
          <w:rFonts w:ascii="Cambria" w:hAnsi="Cambria"/>
          <w:sz w:val="16"/>
          <w:szCs w:val="16"/>
        </w:rPr>
        <w:t>IACHR</w:t>
      </w:r>
      <w:r w:rsidRPr="005A3F68">
        <w:rPr>
          <w:rFonts w:ascii="Cambria" w:hAnsi="Cambria"/>
          <w:sz w:val="16"/>
          <w:szCs w:val="16"/>
        </w:rPr>
        <w:t xml:space="preserve">, </w:t>
      </w:r>
      <w:r>
        <w:rPr>
          <w:rFonts w:ascii="Cambria" w:hAnsi="Cambria"/>
          <w:sz w:val="16"/>
          <w:szCs w:val="16"/>
        </w:rPr>
        <w:t>Report</w:t>
      </w:r>
      <w:r w:rsidRPr="005A3F68">
        <w:rPr>
          <w:rFonts w:ascii="Cambria" w:hAnsi="Cambria"/>
          <w:sz w:val="16"/>
          <w:szCs w:val="16"/>
        </w:rPr>
        <w:t xml:space="preserve"> No. 2/10. </w:t>
      </w:r>
      <w:r>
        <w:rPr>
          <w:rFonts w:ascii="Cambria" w:hAnsi="Cambria"/>
          <w:sz w:val="16"/>
          <w:szCs w:val="16"/>
        </w:rPr>
        <w:t>Petition</w:t>
      </w:r>
      <w:r w:rsidRPr="005A3F68">
        <w:rPr>
          <w:rFonts w:ascii="Cambria" w:hAnsi="Cambria"/>
          <w:sz w:val="16"/>
          <w:szCs w:val="16"/>
        </w:rPr>
        <w:t xml:space="preserve"> 1011-03. </w:t>
      </w:r>
      <w:r>
        <w:rPr>
          <w:rFonts w:ascii="Cambria" w:hAnsi="Cambria"/>
          <w:sz w:val="16"/>
          <w:szCs w:val="16"/>
        </w:rPr>
        <w:t>Admissibility</w:t>
      </w:r>
      <w:r w:rsidRPr="005A3F68">
        <w:rPr>
          <w:rFonts w:ascii="Cambria" w:hAnsi="Cambria"/>
          <w:sz w:val="16"/>
          <w:szCs w:val="16"/>
        </w:rPr>
        <w:t xml:space="preserve">. Fredy Marcelo Núñez Naranjo </w:t>
      </w:r>
      <w:r w:rsidR="00881D4E">
        <w:rPr>
          <w:rFonts w:ascii="Cambria" w:hAnsi="Cambria"/>
          <w:sz w:val="16"/>
          <w:szCs w:val="16"/>
        </w:rPr>
        <w:t>et al.</w:t>
      </w:r>
      <w:r w:rsidRPr="005A3F68">
        <w:rPr>
          <w:rFonts w:ascii="Cambria" w:hAnsi="Cambria"/>
          <w:sz w:val="16"/>
          <w:szCs w:val="16"/>
        </w:rPr>
        <w:t xml:space="preserve"> Ecuador. </w:t>
      </w:r>
      <w:r w:rsidR="00881D4E">
        <w:rPr>
          <w:rFonts w:ascii="Cambria" w:hAnsi="Cambria"/>
          <w:sz w:val="16"/>
          <w:szCs w:val="16"/>
        </w:rPr>
        <w:t xml:space="preserve">March </w:t>
      </w:r>
      <w:r w:rsidRPr="005A3F68">
        <w:rPr>
          <w:rFonts w:ascii="Cambria" w:hAnsi="Cambria"/>
          <w:sz w:val="16"/>
          <w:szCs w:val="16"/>
        </w:rPr>
        <w:t>15</w:t>
      </w:r>
      <w:r w:rsidR="00881D4E">
        <w:rPr>
          <w:rFonts w:ascii="Cambria" w:hAnsi="Cambria"/>
          <w:sz w:val="16"/>
          <w:szCs w:val="16"/>
        </w:rPr>
        <w:t>,</w:t>
      </w:r>
      <w:r w:rsidRPr="005A3F68">
        <w:rPr>
          <w:rFonts w:ascii="Cambria" w:hAnsi="Cambria"/>
          <w:sz w:val="16"/>
          <w:szCs w:val="16"/>
        </w:rPr>
        <w:t xml:space="preserve"> 2010, </w:t>
      </w:r>
      <w:r>
        <w:rPr>
          <w:rFonts w:ascii="Cambria" w:hAnsi="Cambria"/>
          <w:sz w:val="16"/>
          <w:szCs w:val="16"/>
        </w:rPr>
        <w:t>para.</w:t>
      </w:r>
      <w:r w:rsidRPr="005A3F68">
        <w:rPr>
          <w:rFonts w:ascii="Cambria" w:hAnsi="Cambria"/>
          <w:sz w:val="16"/>
          <w:szCs w:val="16"/>
        </w:rPr>
        <w:t xml:space="preserve">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160" w:rsidRDefault="00435160" w:rsidP="0079533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435160" w:rsidRDefault="00435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160" w:rsidRDefault="00435160" w:rsidP="00795335">
    <w:pPr>
      <w:pStyle w:val="Header"/>
      <w:tabs>
        <w:tab w:val="clear" w:pos="4320"/>
        <w:tab w:val="clear" w:pos="8640"/>
      </w:tabs>
      <w:jc w:val="center"/>
      <w:rPr>
        <w:sz w:val="22"/>
        <w:szCs w:val="22"/>
      </w:rPr>
    </w:pPr>
    <w:r>
      <w:rPr>
        <w:noProof/>
        <w:sz w:val="22"/>
        <w:szCs w:val="22"/>
      </w:rPr>
      <w:drawing>
        <wp:inline distT="0" distB="0" distL="0" distR="0" wp14:anchorId="067F68B4" wp14:editId="60E064D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435160" w:rsidRPr="00EC7D62" w:rsidRDefault="00E34044" w:rsidP="00795335">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95A" w:rsidRDefault="00945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092C"/>
    <w:multiLevelType w:val="hybridMultilevel"/>
    <w:tmpl w:val="A1C47FA8"/>
    <w:lvl w:ilvl="0" w:tplc="C22A5BB4">
      <w:start w:val="1"/>
      <w:numFmt w:val="upperRoman"/>
      <w:pStyle w:val="Heading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861B38"/>
    <w:multiLevelType w:val="hybridMultilevel"/>
    <w:tmpl w:val="40C65D92"/>
    <w:lvl w:ilvl="0" w:tplc="AE4660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132D01"/>
    <w:multiLevelType w:val="hybridMultilevel"/>
    <w:tmpl w:val="97B469F8"/>
    <w:lvl w:ilvl="0" w:tplc="9E941F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F63F77"/>
    <w:multiLevelType w:val="hybridMultilevel"/>
    <w:tmpl w:val="19DC6B90"/>
    <w:lvl w:ilvl="0" w:tplc="35B6FF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ED2360"/>
    <w:multiLevelType w:val="hybridMultilevel"/>
    <w:tmpl w:val="C436DFEE"/>
    <w:lvl w:ilvl="0" w:tplc="5CD256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0F0C1F"/>
    <w:multiLevelType w:val="hybridMultilevel"/>
    <w:tmpl w:val="98D0FB36"/>
    <w:lvl w:ilvl="0" w:tplc="10BEC2AA">
      <w:start w:val="1"/>
      <w:numFmt w:val="decimal"/>
      <w:lvlText w:val="%1."/>
      <w:lvlJc w:val="left"/>
      <w:pPr>
        <w:ind w:left="1044" w:hanging="504"/>
      </w:pPr>
      <w:rPr>
        <w:rFonts w:ascii="Cambria" w:hAnsi="Cambria" w:cs="Times New Roman" w:hint="default"/>
        <w:b w:val="0"/>
        <w:sz w:val="20"/>
        <w:szCs w:val="2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4FE95B08"/>
    <w:multiLevelType w:val="hybridMultilevel"/>
    <w:tmpl w:val="D5A8126A"/>
    <w:lvl w:ilvl="0" w:tplc="2850F2B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885D86"/>
    <w:multiLevelType w:val="hybridMultilevel"/>
    <w:tmpl w:val="7006F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FE6718"/>
    <w:multiLevelType w:val="hybridMultilevel"/>
    <w:tmpl w:val="D85A70D4"/>
    <w:lvl w:ilvl="0" w:tplc="C84EFCFC">
      <w:start w:val="1"/>
      <w:numFmt w:val="decimal"/>
      <w:lvlText w:val="%1."/>
      <w:lvlJc w:val="left"/>
      <w:pPr>
        <w:tabs>
          <w:tab w:val="num" w:pos="720"/>
        </w:tabs>
        <w:ind w:left="720" w:hanging="360"/>
      </w:pPr>
      <w:rPr>
        <w:rFonts w:hint="default"/>
      </w:rPr>
    </w:lvl>
    <w:lvl w:ilvl="1" w:tplc="5EC417BC">
      <w:start w:val="1"/>
      <w:numFmt w:val="upperLetter"/>
      <w:pStyle w:val="Heading2"/>
      <w:lvlText w:val="%2."/>
      <w:lvlJc w:val="left"/>
      <w:pPr>
        <w:ind w:left="1788" w:hanging="708"/>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2E"/>
    <w:rsid w:val="00011C0F"/>
    <w:rsid w:val="00022AA6"/>
    <w:rsid w:val="00024781"/>
    <w:rsid w:val="00025B40"/>
    <w:rsid w:val="00026B39"/>
    <w:rsid w:val="00026B8A"/>
    <w:rsid w:val="000362F6"/>
    <w:rsid w:val="000439A7"/>
    <w:rsid w:val="00056402"/>
    <w:rsid w:val="0005708D"/>
    <w:rsid w:val="00057A54"/>
    <w:rsid w:val="00057F83"/>
    <w:rsid w:val="00060497"/>
    <w:rsid w:val="00061813"/>
    <w:rsid w:val="000620BA"/>
    <w:rsid w:val="000642E8"/>
    <w:rsid w:val="0006483E"/>
    <w:rsid w:val="000729E4"/>
    <w:rsid w:val="00074A26"/>
    <w:rsid w:val="000819AB"/>
    <w:rsid w:val="00090428"/>
    <w:rsid w:val="000A27CA"/>
    <w:rsid w:val="000A313C"/>
    <w:rsid w:val="000A4620"/>
    <w:rsid w:val="000A7399"/>
    <w:rsid w:val="000B2F75"/>
    <w:rsid w:val="000C080A"/>
    <w:rsid w:val="000C42F4"/>
    <w:rsid w:val="000D0F5B"/>
    <w:rsid w:val="000D7EE0"/>
    <w:rsid w:val="000E5A63"/>
    <w:rsid w:val="000F39AC"/>
    <w:rsid w:val="00105943"/>
    <w:rsid w:val="001156E0"/>
    <w:rsid w:val="001226AD"/>
    <w:rsid w:val="00127037"/>
    <w:rsid w:val="00130550"/>
    <w:rsid w:val="00132EE5"/>
    <w:rsid w:val="0013740D"/>
    <w:rsid w:val="0014253F"/>
    <w:rsid w:val="00151385"/>
    <w:rsid w:val="00153636"/>
    <w:rsid w:val="00154DD1"/>
    <w:rsid w:val="0016307B"/>
    <w:rsid w:val="00170475"/>
    <w:rsid w:val="001709AE"/>
    <w:rsid w:val="00175F6D"/>
    <w:rsid w:val="00180243"/>
    <w:rsid w:val="001807C3"/>
    <w:rsid w:val="0018215F"/>
    <w:rsid w:val="001829C6"/>
    <w:rsid w:val="00194C5B"/>
    <w:rsid w:val="00194E0D"/>
    <w:rsid w:val="00196921"/>
    <w:rsid w:val="00197C0D"/>
    <w:rsid w:val="001A05C1"/>
    <w:rsid w:val="001A6CA4"/>
    <w:rsid w:val="001B2DC1"/>
    <w:rsid w:val="001B7739"/>
    <w:rsid w:val="001C31B5"/>
    <w:rsid w:val="001D0F93"/>
    <w:rsid w:val="001D1575"/>
    <w:rsid w:val="001D3626"/>
    <w:rsid w:val="001E1002"/>
    <w:rsid w:val="001E4C94"/>
    <w:rsid w:val="001F490A"/>
    <w:rsid w:val="001F4EE9"/>
    <w:rsid w:val="001F5805"/>
    <w:rsid w:val="001F5F70"/>
    <w:rsid w:val="001F6D52"/>
    <w:rsid w:val="0021419A"/>
    <w:rsid w:val="00214EC2"/>
    <w:rsid w:val="002151A9"/>
    <w:rsid w:val="002241F3"/>
    <w:rsid w:val="002255C3"/>
    <w:rsid w:val="00226569"/>
    <w:rsid w:val="00227968"/>
    <w:rsid w:val="002458A8"/>
    <w:rsid w:val="002467C3"/>
    <w:rsid w:val="0027140F"/>
    <w:rsid w:val="00274390"/>
    <w:rsid w:val="00283DC6"/>
    <w:rsid w:val="00293010"/>
    <w:rsid w:val="002A1E77"/>
    <w:rsid w:val="002A42A6"/>
    <w:rsid w:val="002B082F"/>
    <w:rsid w:val="002C227E"/>
    <w:rsid w:val="002D548F"/>
    <w:rsid w:val="002D7CCD"/>
    <w:rsid w:val="002F62CE"/>
    <w:rsid w:val="003029D0"/>
    <w:rsid w:val="00303629"/>
    <w:rsid w:val="00305FDF"/>
    <w:rsid w:val="003063A2"/>
    <w:rsid w:val="00311296"/>
    <w:rsid w:val="0033079D"/>
    <w:rsid w:val="00332588"/>
    <w:rsid w:val="003355BC"/>
    <w:rsid w:val="00361E4D"/>
    <w:rsid w:val="00364107"/>
    <w:rsid w:val="00366A51"/>
    <w:rsid w:val="003726D4"/>
    <w:rsid w:val="003751C9"/>
    <w:rsid w:val="00386258"/>
    <w:rsid w:val="00387A98"/>
    <w:rsid w:val="0039090D"/>
    <w:rsid w:val="00390EE6"/>
    <w:rsid w:val="003A06B1"/>
    <w:rsid w:val="003A07A3"/>
    <w:rsid w:val="003A0CC3"/>
    <w:rsid w:val="003A15D6"/>
    <w:rsid w:val="003A6F79"/>
    <w:rsid w:val="003B01E7"/>
    <w:rsid w:val="003C20C6"/>
    <w:rsid w:val="003C2257"/>
    <w:rsid w:val="003C38D2"/>
    <w:rsid w:val="003C440C"/>
    <w:rsid w:val="003D6834"/>
    <w:rsid w:val="00400A04"/>
    <w:rsid w:val="0041061D"/>
    <w:rsid w:val="00426C89"/>
    <w:rsid w:val="0043261C"/>
    <w:rsid w:val="0043311D"/>
    <w:rsid w:val="00434D92"/>
    <w:rsid w:val="00435160"/>
    <w:rsid w:val="00435843"/>
    <w:rsid w:val="00440A1B"/>
    <w:rsid w:val="00441877"/>
    <w:rsid w:val="00441C0C"/>
    <w:rsid w:val="00444A56"/>
    <w:rsid w:val="004469EA"/>
    <w:rsid w:val="00447064"/>
    <w:rsid w:val="00456443"/>
    <w:rsid w:val="00460804"/>
    <w:rsid w:val="00460D5E"/>
    <w:rsid w:val="004635D8"/>
    <w:rsid w:val="00472F70"/>
    <w:rsid w:val="00483DA4"/>
    <w:rsid w:val="004A0A58"/>
    <w:rsid w:val="004A1C6F"/>
    <w:rsid w:val="004A6ADE"/>
    <w:rsid w:val="004A708F"/>
    <w:rsid w:val="004A70FE"/>
    <w:rsid w:val="004B0EF8"/>
    <w:rsid w:val="004B46E0"/>
    <w:rsid w:val="004B664F"/>
    <w:rsid w:val="004C2768"/>
    <w:rsid w:val="004C2D6D"/>
    <w:rsid w:val="004C320C"/>
    <w:rsid w:val="004C6E6F"/>
    <w:rsid w:val="004C731A"/>
    <w:rsid w:val="004E0B62"/>
    <w:rsid w:val="004F0DF5"/>
    <w:rsid w:val="0050299C"/>
    <w:rsid w:val="005036CF"/>
    <w:rsid w:val="00506E7A"/>
    <w:rsid w:val="0051008C"/>
    <w:rsid w:val="00510905"/>
    <w:rsid w:val="00516FF7"/>
    <w:rsid w:val="00521BF1"/>
    <w:rsid w:val="00522DBD"/>
    <w:rsid w:val="00527515"/>
    <w:rsid w:val="005310CC"/>
    <w:rsid w:val="00540636"/>
    <w:rsid w:val="00541730"/>
    <w:rsid w:val="00542F43"/>
    <w:rsid w:val="00557490"/>
    <w:rsid w:val="00561A74"/>
    <w:rsid w:val="00562D27"/>
    <w:rsid w:val="00563519"/>
    <w:rsid w:val="00574E3C"/>
    <w:rsid w:val="005758BA"/>
    <w:rsid w:val="00577F43"/>
    <w:rsid w:val="00582429"/>
    <w:rsid w:val="00584C83"/>
    <w:rsid w:val="005852F6"/>
    <w:rsid w:val="005855B8"/>
    <w:rsid w:val="00587FF0"/>
    <w:rsid w:val="005A10D0"/>
    <w:rsid w:val="005A3031"/>
    <w:rsid w:val="005A3C01"/>
    <w:rsid w:val="005A3F68"/>
    <w:rsid w:val="005A6AA4"/>
    <w:rsid w:val="005B0579"/>
    <w:rsid w:val="005B2921"/>
    <w:rsid w:val="005C162A"/>
    <w:rsid w:val="005C2B90"/>
    <w:rsid w:val="005C5A87"/>
    <w:rsid w:val="005C7977"/>
    <w:rsid w:val="005E44BE"/>
    <w:rsid w:val="005F0841"/>
    <w:rsid w:val="005F22A8"/>
    <w:rsid w:val="005F79F2"/>
    <w:rsid w:val="006028C5"/>
    <w:rsid w:val="006057D3"/>
    <w:rsid w:val="00606E9F"/>
    <w:rsid w:val="00611CB9"/>
    <w:rsid w:val="006150D6"/>
    <w:rsid w:val="0062269B"/>
    <w:rsid w:val="00627612"/>
    <w:rsid w:val="0063528D"/>
    <w:rsid w:val="00636DC3"/>
    <w:rsid w:val="006468C8"/>
    <w:rsid w:val="00657798"/>
    <w:rsid w:val="00666069"/>
    <w:rsid w:val="006710A4"/>
    <w:rsid w:val="00675691"/>
    <w:rsid w:val="0068035D"/>
    <w:rsid w:val="00680B26"/>
    <w:rsid w:val="0068210A"/>
    <w:rsid w:val="006857F4"/>
    <w:rsid w:val="006A2FCA"/>
    <w:rsid w:val="006A6D5A"/>
    <w:rsid w:val="006B3D95"/>
    <w:rsid w:val="006B3F37"/>
    <w:rsid w:val="006B705D"/>
    <w:rsid w:val="006C11B0"/>
    <w:rsid w:val="006C1F3C"/>
    <w:rsid w:val="006C2740"/>
    <w:rsid w:val="006C4AC4"/>
    <w:rsid w:val="006C4F91"/>
    <w:rsid w:val="006D336C"/>
    <w:rsid w:val="006D6023"/>
    <w:rsid w:val="006D7838"/>
    <w:rsid w:val="006E4093"/>
    <w:rsid w:val="006F487B"/>
    <w:rsid w:val="00706AA5"/>
    <w:rsid w:val="00715126"/>
    <w:rsid w:val="007156D4"/>
    <w:rsid w:val="007216DC"/>
    <w:rsid w:val="0072305D"/>
    <w:rsid w:val="00727583"/>
    <w:rsid w:val="0074236F"/>
    <w:rsid w:val="007451A3"/>
    <w:rsid w:val="00747495"/>
    <w:rsid w:val="007519D6"/>
    <w:rsid w:val="00756819"/>
    <w:rsid w:val="00756AA3"/>
    <w:rsid w:val="00761251"/>
    <w:rsid w:val="0077319B"/>
    <w:rsid w:val="00773DDA"/>
    <w:rsid w:val="007763F1"/>
    <w:rsid w:val="00793A1F"/>
    <w:rsid w:val="007951DF"/>
    <w:rsid w:val="00795335"/>
    <w:rsid w:val="00795F8C"/>
    <w:rsid w:val="00797E02"/>
    <w:rsid w:val="007A01CB"/>
    <w:rsid w:val="007B2293"/>
    <w:rsid w:val="007B3C1A"/>
    <w:rsid w:val="007C0EC5"/>
    <w:rsid w:val="007C3F22"/>
    <w:rsid w:val="007D0C97"/>
    <w:rsid w:val="007D2E8A"/>
    <w:rsid w:val="007E3F9D"/>
    <w:rsid w:val="007E50C0"/>
    <w:rsid w:val="007E6590"/>
    <w:rsid w:val="007F64A9"/>
    <w:rsid w:val="00806A99"/>
    <w:rsid w:val="0084023B"/>
    <w:rsid w:val="008423D9"/>
    <w:rsid w:val="00842685"/>
    <w:rsid w:val="0084363C"/>
    <w:rsid w:val="008457C3"/>
    <w:rsid w:val="00851676"/>
    <w:rsid w:val="0085635E"/>
    <w:rsid w:val="008579F3"/>
    <w:rsid w:val="00862D25"/>
    <w:rsid w:val="00864378"/>
    <w:rsid w:val="00873AF4"/>
    <w:rsid w:val="00877ED7"/>
    <w:rsid w:val="00881D4E"/>
    <w:rsid w:val="008865D1"/>
    <w:rsid w:val="00891BB2"/>
    <w:rsid w:val="00893AD4"/>
    <w:rsid w:val="00897221"/>
    <w:rsid w:val="008A4791"/>
    <w:rsid w:val="008B07DF"/>
    <w:rsid w:val="008B227D"/>
    <w:rsid w:val="008B50D5"/>
    <w:rsid w:val="008C05EC"/>
    <w:rsid w:val="008C0889"/>
    <w:rsid w:val="008C3AD7"/>
    <w:rsid w:val="008C4652"/>
    <w:rsid w:val="008C7865"/>
    <w:rsid w:val="008D5090"/>
    <w:rsid w:val="008E0562"/>
    <w:rsid w:val="008E1BCA"/>
    <w:rsid w:val="008E5AD7"/>
    <w:rsid w:val="008F42C8"/>
    <w:rsid w:val="008F5B28"/>
    <w:rsid w:val="008F7434"/>
    <w:rsid w:val="0090291B"/>
    <w:rsid w:val="0090529C"/>
    <w:rsid w:val="009132B4"/>
    <w:rsid w:val="009145AF"/>
    <w:rsid w:val="00916509"/>
    <w:rsid w:val="00930B96"/>
    <w:rsid w:val="009324AE"/>
    <w:rsid w:val="00945945"/>
    <w:rsid w:val="0094595A"/>
    <w:rsid w:val="00950B30"/>
    <w:rsid w:val="00956453"/>
    <w:rsid w:val="009578FF"/>
    <w:rsid w:val="00962493"/>
    <w:rsid w:val="009656AF"/>
    <w:rsid w:val="0096659A"/>
    <w:rsid w:val="009715B9"/>
    <w:rsid w:val="009748BE"/>
    <w:rsid w:val="00974F85"/>
    <w:rsid w:val="00982AF4"/>
    <w:rsid w:val="0098353B"/>
    <w:rsid w:val="009A03A8"/>
    <w:rsid w:val="009B464D"/>
    <w:rsid w:val="009C26BB"/>
    <w:rsid w:val="009C4144"/>
    <w:rsid w:val="009C7ADE"/>
    <w:rsid w:val="009D01FC"/>
    <w:rsid w:val="009D561D"/>
    <w:rsid w:val="009D7F89"/>
    <w:rsid w:val="009F6B12"/>
    <w:rsid w:val="009F7B16"/>
    <w:rsid w:val="009F7BA8"/>
    <w:rsid w:val="00A1217E"/>
    <w:rsid w:val="00A16152"/>
    <w:rsid w:val="00A2131C"/>
    <w:rsid w:val="00A23B94"/>
    <w:rsid w:val="00A313DC"/>
    <w:rsid w:val="00A433ED"/>
    <w:rsid w:val="00A60144"/>
    <w:rsid w:val="00A678E9"/>
    <w:rsid w:val="00A73EE0"/>
    <w:rsid w:val="00A75515"/>
    <w:rsid w:val="00A77657"/>
    <w:rsid w:val="00A85222"/>
    <w:rsid w:val="00A86922"/>
    <w:rsid w:val="00A9202A"/>
    <w:rsid w:val="00A955ED"/>
    <w:rsid w:val="00AA0B45"/>
    <w:rsid w:val="00AA48E5"/>
    <w:rsid w:val="00AB2732"/>
    <w:rsid w:val="00AB7CC9"/>
    <w:rsid w:val="00AC4485"/>
    <w:rsid w:val="00AD1757"/>
    <w:rsid w:val="00AD4C33"/>
    <w:rsid w:val="00AD5F71"/>
    <w:rsid w:val="00AE1E16"/>
    <w:rsid w:val="00AE2A72"/>
    <w:rsid w:val="00AE4D8D"/>
    <w:rsid w:val="00AF1432"/>
    <w:rsid w:val="00AF2F84"/>
    <w:rsid w:val="00AF475E"/>
    <w:rsid w:val="00AF742A"/>
    <w:rsid w:val="00B0510B"/>
    <w:rsid w:val="00B077A7"/>
    <w:rsid w:val="00B10483"/>
    <w:rsid w:val="00B14273"/>
    <w:rsid w:val="00B17572"/>
    <w:rsid w:val="00B21B29"/>
    <w:rsid w:val="00B237C6"/>
    <w:rsid w:val="00B32CE7"/>
    <w:rsid w:val="00B40443"/>
    <w:rsid w:val="00B424D5"/>
    <w:rsid w:val="00B469DD"/>
    <w:rsid w:val="00B46DE5"/>
    <w:rsid w:val="00B50B4A"/>
    <w:rsid w:val="00B51396"/>
    <w:rsid w:val="00B700A3"/>
    <w:rsid w:val="00B72A65"/>
    <w:rsid w:val="00B74498"/>
    <w:rsid w:val="00B76A44"/>
    <w:rsid w:val="00B77147"/>
    <w:rsid w:val="00B81D7A"/>
    <w:rsid w:val="00B92391"/>
    <w:rsid w:val="00B93134"/>
    <w:rsid w:val="00BA0219"/>
    <w:rsid w:val="00BA1805"/>
    <w:rsid w:val="00BA40F6"/>
    <w:rsid w:val="00BC0702"/>
    <w:rsid w:val="00BD07BC"/>
    <w:rsid w:val="00BD54B7"/>
    <w:rsid w:val="00BD6C60"/>
    <w:rsid w:val="00BE2222"/>
    <w:rsid w:val="00BE5445"/>
    <w:rsid w:val="00BE6205"/>
    <w:rsid w:val="00BE6B20"/>
    <w:rsid w:val="00BE77E0"/>
    <w:rsid w:val="00BF38C1"/>
    <w:rsid w:val="00BF7C9D"/>
    <w:rsid w:val="00C06FA7"/>
    <w:rsid w:val="00C11831"/>
    <w:rsid w:val="00C142DF"/>
    <w:rsid w:val="00C2405C"/>
    <w:rsid w:val="00C25143"/>
    <w:rsid w:val="00C26195"/>
    <w:rsid w:val="00C26B95"/>
    <w:rsid w:val="00C3012C"/>
    <w:rsid w:val="00C431B7"/>
    <w:rsid w:val="00C43651"/>
    <w:rsid w:val="00C52E1D"/>
    <w:rsid w:val="00C608C0"/>
    <w:rsid w:val="00C60D09"/>
    <w:rsid w:val="00C64C85"/>
    <w:rsid w:val="00C656DB"/>
    <w:rsid w:val="00C7490F"/>
    <w:rsid w:val="00C775A8"/>
    <w:rsid w:val="00C84FA0"/>
    <w:rsid w:val="00C93C36"/>
    <w:rsid w:val="00C978A7"/>
    <w:rsid w:val="00CA6649"/>
    <w:rsid w:val="00CB184F"/>
    <w:rsid w:val="00CB270A"/>
    <w:rsid w:val="00CB6FA5"/>
    <w:rsid w:val="00CC7484"/>
    <w:rsid w:val="00CD0FC2"/>
    <w:rsid w:val="00CD16BD"/>
    <w:rsid w:val="00CD3035"/>
    <w:rsid w:val="00CE2D45"/>
    <w:rsid w:val="00CE63E3"/>
    <w:rsid w:val="00CE7DE5"/>
    <w:rsid w:val="00D00420"/>
    <w:rsid w:val="00D05260"/>
    <w:rsid w:val="00D0556B"/>
    <w:rsid w:val="00D3514C"/>
    <w:rsid w:val="00D37914"/>
    <w:rsid w:val="00D44A3C"/>
    <w:rsid w:val="00D545DF"/>
    <w:rsid w:val="00D55725"/>
    <w:rsid w:val="00D61E7F"/>
    <w:rsid w:val="00D66110"/>
    <w:rsid w:val="00D67FDD"/>
    <w:rsid w:val="00D749A2"/>
    <w:rsid w:val="00D7515D"/>
    <w:rsid w:val="00D85DA1"/>
    <w:rsid w:val="00D86F3C"/>
    <w:rsid w:val="00D904BE"/>
    <w:rsid w:val="00D94CC6"/>
    <w:rsid w:val="00D9577E"/>
    <w:rsid w:val="00D97C3A"/>
    <w:rsid w:val="00DA03E3"/>
    <w:rsid w:val="00DA56DE"/>
    <w:rsid w:val="00DB7B30"/>
    <w:rsid w:val="00DC76F7"/>
    <w:rsid w:val="00DD2A2C"/>
    <w:rsid w:val="00DE2899"/>
    <w:rsid w:val="00DF4963"/>
    <w:rsid w:val="00DF6664"/>
    <w:rsid w:val="00E03B54"/>
    <w:rsid w:val="00E135F9"/>
    <w:rsid w:val="00E13F5C"/>
    <w:rsid w:val="00E15A14"/>
    <w:rsid w:val="00E2276E"/>
    <w:rsid w:val="00E25AC1"/>
    <w:rsid w:val="00E34044"/>
    <w:rsid w:val="00E368E5"/>
    <w:rsid w:val="00E44274"/>
    <w:rsid w:val="00E64ED3"/>
    <w:rsid w:val="00E73733"/>
    <w:rsid w:val="00E83858"/>
    <w:rsid w:val="00E84CE6"/>
    <w:rsid w:val="00E86379"/>
    <w:rsid w:val="00E8703F"/>
    <w:rsid w:val="00E92181"/>
    <w:rsid w:val="00E9549D"/>
    <w:rsid w:val="00EA0CE2"/>
    <w:rsid w:val="00EA4ABB"/>
    <w:rsid w:val="00EA7E73"/>
    <w:rsid w:val="00EB3CD2"/>
    <w:rsid w:val="00EB4B5B"/>
    <w:rsid w:val="00EC050E"/>
    <w:rsid w:val="00EC4B58"/>
    <w:rsid w:val="00EC4FB6"/>
    <w:rsid w:val="00EC5F88"/>
    <w:rsid w:val="00ED0999"/>
    <w:rsid w:val="00ED2215"/>
    <w:rsid w:val="00ED5EAC"/>
    <w:rsid w:val="00EE0665"/>
    <w:rsid w:val="00EE0ECB"/>
    <w:rsid w:val="00EE3AFE"/>
    <w:rsid w:val="00EE3C40"/>
    <w:rsid w:val="00EE50AA"/>
    <w:rsid w:val="00EE5BCB"/>
    <w:rsid w:val="00EF68EF"/>
    <w:rsid w:val="00F034CF"/>
    <w:rsid w:val="00F04A57"/>
    <w:rsid w:val="00F06929"/>
    <w:rsid w:val="00F12863"/>
    <w:rsid w:val="00F20A9E"/>
    <w:rsid w:val="00F2225B"/>
    <w:rsid w:val="00F258B2"/>
    <w:rsid w:val="00F25FF7"/>
    <w:rsid w:val="00F27009"/>
    <w:rsid w:val="00F309ED"/>
    <w:rsid w:val="00F32A2E"/>
    <w:rsid w:val="00F478F6"/>
    <w:rsid w:val="00F502E0"/>
    <w:rsid w:val="00F518F1"/>
    <w:rsid w:val="00F53ADC"/>
    <w:rsid w:val="00F64074"/>
    <w:rsid w:val="00F670BD"/>
    <w:rsid w:val="00F73721"/>
    <w:rsid w:val="00F73CEA"/>
    <w:rsid w:val="00F7619C"/>
    <w:rsid w:val="00F826F1"/>
    <w:rsid w:val="00F84B77"/>
    <w:rsid w:val="00F957FF"/>
    <w:rsid w:val="00FA36E4"/>
    <w:rsid w:val="00FA4E31"/>
    <w:rsid w:val="00FB4010"/>
    <w:rsid w:val="00FC2ACB"/>
    <w:rsid w:val="00FC43D1"/>
    <w:rsid w:val="00FC58CE"/>
    <w:rsid w:val="00FD78F2"/>
    <w:rsid w:val="00FF067D"/>
    <w:rsid w:val="00FF086F"/>
    <w:rsid w:val="00FF0972"/>
    <w:rsid w:val="00FF0ED7"/>
    <w:rsid w:val="00FF4839"/>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pPr>
    <w:rPr>
      <w:sz w:val="22"/>
      <w:szCs w:val="22"/>
    </w:rPr>
  </w:style>
  <w:style w:type="paragraph" w:styleId="Heading1">
    <w:name w:val="heading 1"/>
    <w:basedOn w:val="Normal"/>
    <w:next w:val="Normal"/>
    <w:link w:val="Heading1Char"/>
    <w:uiPriority w:val="9"/>
    <w:qFormat/>
    <w:rsid w:val="005758BA"/>
    <w:pPr>
      <w:keepNext/>
      <w:keepLines/>
      <w:numPr>
        <w:numId w:val="11"/>
      </w:numPr>
      <w:spacing w:after="0"/>
      <w:outlineLvl w:val="0"/>
    </w:pPr>
    <w:rPr>
      <w:rFonts w:asciiTheme="majorHAnsi" w:eastAsiaTheme="majorEastAsia" w:hAnsiTheme="majorHAnsi" w:cstheme="majorBidi"/>
      <w:b/>
      <w:bCs/>
      <w:sz w:val="20"/>
      <w:szCs w:val="20"/>
      <w:lang w:val="es-AR"/>
    </w:rPr>
  </w:style>
  <w:style w:type="paragraph" w:styleId="Heading2">
    <w:name w:val="heading 2"/>
    <w:basedOn w:val="ListParagraph"/>
    <w:next w:val="Normal"/>
    <w:link w:val="Heading2Char"/>
    <w:qFormat/>
    <w:rsid w:val="00636DC3"/>
    <w:pPr>
      <w:numPr>
        <w:ilvl w:val="1"/>
        <w:numId w:val="4"/>
      </w:numPr>
      <w:pBdr>
        <w:top w:val="nil"/>
        <w:left w:val="nil"/>
        <w:bottom w:val="nil"/>
        <w:right w:val="nil"/>
        <w:between w:val="nil"/>
        <w:bar w:val="nil"/>
      </w:pBdr>
      <w:spacing w:after="0"/>
      <w:ind w:left="1440" w:hanging="720"/>
      <w:outlineLvl w:val="1"/>
    </w:pPr>
    <w:rPr>
      <w:rFonts w:ascii="Cambria" w:eastAsia="Cambria" w:hAnsi="Cambria" w:cs="Cambria"/>
      <w:color w:val="000000"/>
      <w:sz w:val="20"/>
      <w:szCs w:val="20"/>
      <w:u w:color="000000"/>
      <w:bdr w:val="nil"/>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7B"/>
    <w:pPr>
      <w:ind w:left="720"/>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
    <w:basedOn w:val="Normal"/>
    <w:link w:val="FootnoteTextChar"/>
    <w:unhideWhenUsed/>
    <w:rsid w:val="00577F43"/>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ink w:val="FootnoteText"/>
    <w:rsid w:val="00577F43"/>
  </w:style>
  <w:style w:type="character" w:styleId="FootnoteReference">
    <w:name w:val="footnote reference"/>
    <w:aliases w:val="Footnotes refss,Texto de nota al pie,Appel note de bas de page,referencia nota al pie,BVI fnr,Footnote number,f,Ref. de nota al pie."/>
    <w:unhideWhenUsed/>
    <w:rsid w:val="00577F43"/>
    <w:rPr>
      <w:vertAlign w:val="superscript"/>
    </w:rPr>
  </w:style>
  <w:style w:type="character" w:customStyle="1" w:styleId="Heading2Char">
    <w:name w:val="Heading 2 Char"/>
    <w:link w:val="Heading2"/>
    <w:rsid w:val="00636DC3"/>
    <w:rPr>
      <w:rFonts w:ascii="Cambria" w:eastAsia="Cambria" w:hAnsi="Cambria" w:cs="Cambria"/>
      <w:color w:val="000000"/>
      <w:u w:color="000000"/>
      <w:bdr w:val="nil"/>
      <w:lang w:val="es-ES_tradnl" w:eastAsia="es-ES"/>
    </w:rPr>
  </w:style>
  <w:style w:type="paragraph" w:styleId="BalloonText">
    <w:name w:val="Balloon Text"/>
    <w:basedOn w:val="Normal"/>
    <w:link w:val="BalloonTextChar"/>
    <w:uiPriority w:val="99"/>
    <w:semiHidden/>
    <w:unhideWhenUsed/>
    <w:rsid w:val="00BE77E0"/>
    <w:pPr>
      <w:spacing w:after="0"/>
    </w:pPr>
    <w:rPr>
      <w:rFonts w:ascii="Tahoma" w:hAnsi="Tahoma" w:cs="Tahoma"/>
      <w:sz w:val="16"/>
      <w:szCs w:val="16"/>
    </w:rPr>
  </w:style>
  <w:style w:type="character" w:customStyle="1" w:styleId="BalloonTextChar">
    <w:name w:val="Balloon Text Char"/>
    <w:link w:val="BalloonText"/>
    <w:uiPriority w:val="99"/>
    <w:semiHidden/>
    <w:rsid w:val="00BE77E0"/>
    <w:rPr>
      <w:rFonts w:ascii="Tahoma" w:hAnsi="Tahoma" w:cs="Tahoma"/>
      <w:sz w:val="16"/>
      <w:szCs w:val="16"/>
    </w:rPr>
  </w:style>
  <w:style w:type="paragraph" w:styleId="Footer">
    <w:name w:val="footer"/>
    <w:link w:val="FooterChar"/>
    <w:uiPriority w:val="99"/>
    <w:rsid w:val="00C431B7"/>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C431B7"/>
    <w:rPr>
      <w:rFonts w:ascii="Cambria" w:eastAsia="Cambria" w:hAnsi="Cambria" w:cs="Cambria"/>
      <w:color w:val="000000"/>
      <w:sz w:val="24"/>
      <w:szCs w:val="24"/>
      <w:u w:color="000000"/>
      <w:bdr w:val="nil"/>
      <w:lang w:eastAsia="es-ES"/>
    </w:rPr>
  </w:style>
  <w:style w:type="paragraph" w:styleId="Header">
    <w:name w:val="header"/>
    <w:aliases w:val="encabezado"/>
    <w:basedOn w:val="Normal"/>
    <w:link w:val="HeaderChar"/>
    <w:rsid w:val="00C431B7"/>
    <w:pPr>
      <w:widowControl w:val="0"/>
      <w:tabs>
        <w:tab w:val="center" w:pos="4320"/>
        <w:tab w:val="right" w:pos="8640"/>
      </w:tabs>
      <w:snapToGrid w:val="0"/>
      <w:spacing w:after="0"/>
    </w:pPr>
    <w:rPr>
      <w:rFonts w:ascii="Univers" w:eastAsia="Times New Roman" w:hAnsi="Univers" w:cs="Univers"/>
      <w:sz w:val="24"/>
      <w:szCs w:val="24"/>
    </w:rPr>
  </w:style>
  <w:style w:type="character" w:customStyle="1" w:styleId="HeaderChar">
    <w:name w:val="Header Char"/>
    <w:aliases w:val="encabezado Char"/>
    <w:basedOn w:val="DefaultParagraphFont"/>
    <w:link w:val="Header"/>
    <w:rsid w:val="00C431B7"/>
    <w:rPr>
      <w:rFonts w:ascii="Univers" w:eastAsia="Times New Roman" w:hAnsi="Univers" w:cs="Univers"/>
      <w:sz w:val="24"/>
      <w:szCs w:val="24"/>
    </w:rPr>
  </w:style>
  <w:style w:type="character" w:styleId="PageNumber">
    <w:name w:val="page number"/>
    <w:basedOn w:val="DefaultParagraphFont"/>
    <w:rsid w:val="00C431B7"/>
  </w:style>
  <w:style w:type="character" w:customStyle="1" w:styleId="Heading1Char">
    <w:name w:val="Heading 1 Char"/>
    <w:basedOn w:val="DefaultParagraphFont"/>
    <w:link w:val="Heading1"/>
    <w:uiPriority w:val="9"/>
    <w:rsid w:val="005758BA"/>
    <w:rPr>
      <w:rFonts w:asciiTheme="majorHAnsi" w:eastAsiaTheme="majorEastAsia" w:hAnsiTheme="majorHAnsi" w:cstheme="majorBidi"/>
      <w:b/>
      <w:bCs/>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0"/>
    </w:pPr>
    <w:rPr>
      <w:sz w:val="22"/>
      <w:szCs w:val="22"/>
    </w:rPr>
  </w:style>
  <w:style w:type="paragraph" w:styleId="Heading1">
    <w:name w:val="heading 1"/>
    <w:basedOn w:val="Normal"/>
    <w:next w:val="Normal"/>
    <w:link w:val="Heading1Char"/>
    <w:uiPriority w:val="9"/>
    <w:qFormat/>
    <w:rsid w:val="005758BA"/>
    <w:pPr>
      <w:keepNext/>
      <w:keepLines/>
      <w:numPr>
        <w:numId w:val="11"/>
      </w:numPr>
      <w:spacing w:after="0"/>
      <w:outlineLvl w:val="0"/>
    </w:pPr>
    <w:rPr>
      <w:rFonts w:asciiTheme="majorHAnsi" w:eastAsiaTheme="majorEastAsia" w:hAnsiTheme="majorHAnsi" w:cstheme="majorBidi"/>
      <w:b/>
      <w:bCs/>
      <w:sz w:val="20"/>
      <w:szCs w:val="20"/>
      <w:lang w:val="es-AR"/>
    </w:rPr>
  </w:style>
  <w:style w:type="paragraph" w:styleId="Heading2">
    <w:name w:val="heading 2"/>
    <w:basedOn w:val="ListParagraph"/>
    <w:next w:val="Normal"/>
    <w:link w:val="Heading2Char"/>
    <w:qFormat/>
    <w:rsid w:val="00636DC3"/>
    <w:pPr>
      <w:numPr>
        <w:ilvl w:val="1"/>
        <w:numId w:val="4"/>
      </w:numPr>
      <w:pBdr>
        <w:top w:val="nil"/>
        <w:left w:val="nil"/>
        <w:bottom w:val="nil"/>
        <w:right w:val="nil"/>
        <w:between w:val="nil"/>
        <w:bar w:val="nil"/>
      </w:pBdr>
      <w:spacing w:after="0"/>
      <w:ind w:left="1440" w:hanging="720"/>
      <w:outlineLvl w:val="1"/>
    </w:pPr>
    <w:rPr>
      <w:rFonts w:ascii="Cambria" w:eastAsia="Cambria" w:hAnsi="Cambria" w:cs="Cambria"/>
      <w:color w:val="000000"/>
      <w:sz w:val="20"/>
      <w:szCs w:val="20"/>
      <w:u w:color="000000"/>
      <w:bdr w:val="nil"/>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7B"/>
    <w:pPr>
      <w:ind w:left="720"/>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
    <w:basedOn w:val="Normal"/>
    <w:link w:val="FootnoteTextChar"/>
    <w:unhideWhenUsed/>
    <w:rsid w:val="00577F43"/>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ink w:val="FootnoteText"/>
    <w:rsid w:val="00577F43"/>
  </w:style>
  <w:style w:type="character" w:styleId="FootnoteReference">
    <w:name w:val="footnote reference"/>
    <w:aliases w:val="Footnotes refss,Texto de nota al pie,Appel note de bas de page,referencia nota al pie,BVI fnr,Footnote number,f,Ref. de nota al pie."/>
    <w:unhideWhenUsed/>
    <w:rsid w:val="00577F43"/>
    <w:rPr>
      <w:vertAlign w:val="superscript"/>
    </w:rPr>
  </w:style>
  <w:style w:type="character" w:customStyle="1" w:styleId="Heading2Char">
    <w:name w:val="Heading 2 Char"/>
    <w:link w:val="Heading2"/>
    <w:rsid w:val="00636DC3"/>
    <w:rPr>
      <w:rFonts w:ascii="Cambria" w:eastAsia="Cambria" w:hAnsi="Cambria" w:cs="Cambria"/>
      <w:color w:val="000000"/>
      <w:u w:color="000000"/>
      <w:bdr w:val="nil"/>
      <w:lang w:val="es-ES_tradnl" w:eastAsia="es-ES"/>
    </w:rPr>
  </w:style>
  <w:style w:type="paragraph" w:styleId="BalloonText">
    <w:name w:val="Balloon Text"/>
    <w:basedOn w:val="Normal"/>
    <w:link w:val="BalloonTextChar"/>
    <w:uiPriority w:val="99"/>
    <w:semiHidden/>
    <w:unhideWhenUsed/>
    <w:rsid w:val="00BE77E0"/>
    <w:pPr>
      <w:spacing w:after="0"/>
    </w:pPr>
    <w:rPr>
      <w:rFonts w:ascii="Tahoma" w:hAnsi="Tahoma" w:cs="Tahoma"/>
      <w:sz w:val="16"/>
      <w:szCs w:val="16"/>
    </w:rPr>
  </w:style>
  <w:style w:type="character" w:customStyle="1" w:styleId="BalloonTextChar">
    <w:name w:val="Balloon Text Char"/>
    <w:link w:val="BalloonText"/>
    <w:uiPriority w:val="99"/>
    <w:semiHidden/>
    <w:rsid w:val="00BE77E0"/>
    <w:rPr>
      <w:rFonts w:ascii="Tahoma" w:hAnsi="Tahoma" w:cs="Tahoma"/>
      <w:sz w:val="16"/>
      <w:szCs w:val="16"/>
    </w:rPr>
  </w:style>
  <w:style w:type="paragraph" w:styleId="Footer">
    <w:name w:val="footer"/>
    <w:link w:val="FooterChar"/>
    <w:uiPriority w:val="99"/>
    <w:rsid w:val="00C431B7"/>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C431B7"/>
    <w:rPr>
      <w:rFonts w:ascii="Cambria" w:eastAsia="Cambria" w:hAnsi="Cambria" w:cs="Cambria"/>
      <w:color w:val="000000"/>
      <w:sz w:val="24"/>
      <w:szCs w:val="24"/>
      <w:u w:color="000000"/>
      <w:bdr w:val="nil"/>
      <w:lang w:eastAsia="es-ES"/>
    </w:rPr>
  </w:style>
  <w:style w:type="paragraph" w:styleId="Header">
    <w:name w:val="header"/>
    <w:aliases w:val="encabezado"/>
    <w:basedOn w:val="Normal"/>
    <w:link w:val="HeaderChar"/>
    <w:rsid w:val="00C431B7"/>
    <w:pPr>
      <w:widowControl w:val="0"/>
      <w:tabs>
        <w:tab w:val="center" w:pos="4320"/>
        <w:tab w:val="right" w:pos="8640"/>
      </w:tabs>
      <w:snapToGrid w:val="0"/>
      <w:spacing w:after="0"/>
    </w:pPr>
    <w:rPr>
      <w:rFonts w:ascii="Univers" w:eastAsia="Times New Roman" w:hAnsi="Univers" w:cs="Univers"/>
      <w:sz w:val="24"/>
      <w:szCs w:val="24"/>
    </w:rPr>
  </w:style>
  <w:style w:type="character" w:customStyle="1" w:styleId="HeaderChar">
    <w:name w:val="Header Char"/>
    <w:aliases w:val="encabezado Char"/>
    <w:basedOn w:val="DefaultParagraphFont"/>
    <w:link w:val="Header"/>
    <w:rsid w:val="00C431B7"/>
    <w:rPr>
      <w:rFonts w:ascii="Univers" w:eastAsia="Times New Roman" w:hAnsi="Univers" w:cs="Univers"/>
      <w:sz w:val="24"/>
      <w:szCs w:val="24"/>
    </w:rPr>
  </w:style>
  <w:style w:type="character" w:styleId="PageNumber">
    <w:name w:val="page number"/>
    <w:basedOn w:val="DefaultParagraphFont"/>
    <w:rsid w:val="00C431B7"/>
  </w:style>
  <w:style w:type="character" w:customStyle="1" w:styleId="Heading1Char">
    <w:name w:val="Heading 1 Char"/>
    <w:basedOn w:val="DefaultParagraphFont"/>
    <w:link w:val="Heading1"/>
    <w:uiPriority w:val="9"/>
    <w:rsid w:val="005758BA"/>
    <w:rPr>
      <w:rFonts w:asciiTheme="majorHAnsi" w:eastAsiaTheme="majorEastAsia" w:hAnsiTheme="majorHAnsi" w:cstheme="majorBidi"/>
      <w:b/>
      <w:bCs/>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1888">
      <w:bodyDiv w:val="1"/>
      <w:marLeft w:val="0"/>
      <w:marRight w:val="0"/>
      <w:marTop w:val="0"/>
      <w:marBottom w:val="0"/>
      <w:divBdr>
        <w:top w:val="none" w:sz="0" w:space="0" w:color="auto"/>
        <w:left w:val="none" w:sz="0" w:space="0" w:color="auto"/>
        <w:bottom w:val="none" w:sz="0" w:space="0" w:color="auto"/>
        <w:right w:val="none" w:sz="0" w:space="0" w:color="auto"/>
      </w:divBdr>
    </w:div>
    <w:div w:id="479268803">
      <w:bodyDiv w:val="1"/>
      <w:marLeft w:val="0"/>
      <w:marRight w:val="0"/>
      <w:marTop w:val="0"/>
      <w:marBottom w:val="0"/>
      <w:divBdr>
        <w:top w:val="none" w:sz="0" w:space="0" w:color="auto"/>
        <w:left w:val="none" w:sz="0" w:space="0" w:color="auto"/>
        <w:bottom w:val="none" w:sz="0" w:space="0" w:color="auto"/>
        <w:right w:val="none" w:sz="0" w:space="0" w:color="auto"/>
      </w:divBdr>
    </w:div>
    <w:div w:id="648168363">
      <w:bodyDiv w:val="1"/>
      <w:marLeft w:val="0"/>
      <w:marRight w:val="0"/>
      <w:marTop w:val="0"/>
      <w:marBottom w:val="0"/>
      <w:divBdr>
        <w:top w:val="none" w:sz="0" w:space="0" w:color="auto"/>
        <w:left w:val="none" w:sz="0" w:space="0" w:color="auto"/>
        <w:bottom w:val="none" w:sz="0" w:space="0" w:color="auto"/>
        <w:right w:val="none" w:sz="0" w:space="0" w:color="auto"/>
      </w:divBdr>
    </w:div>
    <w:div w:id="808549120">
      <w:bodyDiv w:val="1"/>
      <w:marLeft w:val="0"/>
      <w:marRight w:val="0"/>
      <w:marTop w:val="0"/>
      <w:marBottom w:val="0"/>
      <w:divBdr>
        <w:top w:val="none" w:sz="0" w:space="0" w:color="auto"/>
        <w:left w:val="none" w:sz="0" w:space="0" w:color="auto"/>
        <w:bottom w:val="none" w:sz="0" w:space="0" w:color="auto"/>
        <w:right w:val="none" w:sz="0" w:space="0" w:color="auto"/>
      </w:divBdr>
    </w:div>
    <w:div w:id="961497166">
      <w:bodyDiv w:val="1"/>
      <w:marLeft w:val="0"/>
      <w:marRight w:val="0"/>
      <w:marTop w:val="0"/>
      <w:marBottom w:val="0"/>
      <w:divBdr>
        <w:top w:val="none" w:sz="0" w:space="0" w:color="auto"/>
        <w:left w:val="none" w:sz="0" w:space="0" w:color="auto"/>
        <w:bottom w:val="none" w:sz="0" w:space="0" w:color="auto"/>
        <w:right w:val="none" w:sz="0" w:space="0" w:color="auto"/>
      </w:divBdr>
    </w:div>
    <w:div w:id="1305886927">
      <w:bodyDiv w:val="1"/>
      <w:marLeft w:val="0"/>
      <w:marRight w:val="0"/>
      <w:marTop w:val="0"/>
      <w:marBottom w:val="0"/>
      <w:divBdr>
        <w:top w:val="none" w:sz="0" w:space="0" w:color="auto"/>
        <w:left w:val="none" w:sz="0" w:space="0" w:color="auto"/>
        <w:bottom w:val="none" w:sz="0" w:space="0" w:color="auto"/>
        <w:right w:val="none" w:sz="0" w:space="0" w:color="auto"/>
      </w:divBdr>
    </w:div>
    <w:div w:id="1400009866">
      <w:bodyDiv w:val="1"/>
      <w:marLeft w:val="0"/>
      <w:marRight w:val="0"/>
      <w:marTop w:val="0"/>
      <w:marBottom w:val="0"/>
      <w:divBdr>
        <w:top w:val="none" w:sz="0" w:space="0" w:color="auto"/>
        <w:left w:val="none" w:sz="0" w:space="0" w:color="auto"/>
        <w:bottom w:val="none" w:sz="0" w:space="0" w:color="auto"/>
        <w:right w:val="none" w:sz="0" w:space="0" w:color="auto"/>
      </w:divBdr>
    </w:div>
    <w:div w:id="17637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1609-BFFC-4BD8-B22C-616954F9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4723</Words>
  <Characters>25174</Characters>
  <Application>Microsoft Office Word</Application>
  <DocSecurity>0</DocSecurity>
  <Lines>412</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29826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31/15</dc:title>
  <dc:creator/>
  <cp:lastModifiedBy/>
  <cp:revision>1</cp:revision>
  <dcterms:created xsi:type="dcterms:W3CDTF">2015-07-27T21:21:00Z</dcterms:created>
  <dcterms:modified xsi:type="dcterms:W3CDTF">2015-11-11T21:33:00Z</dcterms:modified>
</cp:coreProperties>
</file>