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BC4CC3" w:rsidRDefault="006311DA" w:rsidP="00627C9F">
      <w:pPr>
        <w:jc w:val="both"/>
        <w:rPr>
          <w:rFonts w:asciiTheme="majorHAnsi" w:hAnsiTheme="majorHAnsi" w:cs="Univers"/>
          <w:b/>
          <w:bCs/>
          <w:sz w:val="22"/>
          <w:szCs w:val="22"/>
          <w:lang w:val="es-ES_tradnl"/>
        </w:rPr>
      </w:pPr>
      <w:r w:rsidRPr="00BC4C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A4D4FEC" wp14:editId="330005A0">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BC4C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80A5870" wp14:editId="2FEF819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2635C1AC" wp14:editId="7753A9E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1132BE3A" wp14:editId="62B875E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BC4CC3" w:rsidRDefault="00040C3A" w:rsidP="00040C3A">
      <w:pPr>
        <w:tabs>
          <w:tab w:val="center" w:pos="5400"/>
        </w:tabs>
        <w:suppressAutoHyphens/>
        <w:jc w:val="both"/>
        <w:rPr>
          <w:rFonts w:asciiTheme="majorHAnsi" w:hAnsiTheme="majorHAnsi"/>
          <w:sz w:val="22"/>
          <w:szCs w:val="22"/>
          <w:lang w:val="es-ES"/>
        </w:rPr>
      </w:pPr>
    </w:p>
    <w:p w:rsidR="00040C3A" w:rsidRPr="00BC4CC3" w:rsidRDefault="00040C3A" w:rsidP="00040C3A">
      <w:pPr>
        <w:tabs>
          <w:tab w:val="center" w:pos="5400"/>
        </w:tabs>
        <w:suppressAutoHyphens/>
        <w:jc w:val="both"/>
        <w:rPr>
          <w:rFonts w:asciiTheme="majorHAnsi" w:hAnsiTheme="majorHAnsi"/>
          <w:sz w:val="22"/>
          <w:szCs w:val="22"/>
          <w:lang w:val="es-ES"/>
        </w:rPr>
      </w:pPr>
    </w:p>
    <w:p w:rsidR="005128E4" w:rsidRPr="00BC4CC3" w:rsidRDefault="005128E4" w:rsidP="00040C3A">
      <w:pPr>
        <w:tabs>
          <w:tab w:val="center" w:pos="5400"/>
        </w:tabs>
        <w:suppressAutoHyphens/>
        <w:rPr>
          <w:rFonts w:asciiTheme="majorHAnsi" w:hAnsiTheme="majorHAnsi"/>
          <w:sz w:val="22"/>
          <w:szCs w:val="22"/>
          <w:lang w:val="es-ES_tradnl"/>
        </w:rPr>
      </w:pPr>
    </w:p>
    <w:p w:rsidR="005128E4" w:rsidRPr="00BC4CC3" w:rsidRDefault="005128E4" w:rsidP="00040C3A">
      <w:pPr>
        <w:tabs>
          <w:tab w:val="center" w:pos="5400"/>
        </w:tabs>
        <w:suppressAutoHyphens/>
        <w:rPr>
          <w:rFonts w:asciiTheme="majorHAnsi" w:hAnsiTheme="majorHAnsi"/>
          <w:sz w:val="22"/>
          <w:szCs w:val="22"/>
          <w:lang w:val="es-ES_tradnl"/>
        </w:rPr>
      </w:pPr>
    </w:p>
    <w:p w:rsidR="005128E4" w:rsidRPr="00BC4CC3" w:rsidRDefault="005128E4" w:rsidP="00040C3A">
      <w:pPr>
        <w:tabs>
          <w:tab w:val="center" w:pos="5400"/>
        </w:tabs>
        <w:suppressAutoHyphens/>
        <w:rPr>
          <w:rFonts w:asciiTheme="majorHAnsi" w:hAnsiTheme="majorHAnsi"/>
          <w:sz w:val="22"/>
          <w:szCs w:val="22"/>
          <w:lang w:val="es-ES_tradnl"/>
        </w:rPr>
      </w:pPr>
    </w:p>
    <w:p w:rsidR="00040C3A" w:rsidRPr="00BC4CC3" w:rsidRDefault="00040C3A" w:rsidP="005128E4">
      <w:pPr>
        <w:tabs>
          <w:tab w:val="center" w:pos="5400"/>
        </w:tabs>
        <w:suppressAutoHyphens/>
        <w:jc w:val="center"/>
        <w:rPr>
          <w:rFonts w:asciiTheme="majorHAnsi" w:hAnsiTheme="majorHAnsi"/>
          <w:sz w:val="22"/>
          <w:szCs w:val="22"/>
          <w:lang w:val="es-ES_tradnl"/>
        </w:rPr>
      </w:pPr>
    </w:p>
    <w:p w:rsidR="00040C3A" w:rsidRPr="00BC4CC3" w:rsidRDefault="00040C3A" w:rsidP="005128E4">
      <w:pPr>
        <w:tabs>
          <w:tab w:val="center" w:pos="5400"/>
        </w:tabs>
        <w:suppressAutoHyphens/>
        <w:jc w:val="center"/>
        <w:rPr>
          <w:rFonts w:asciiTheme="majorHAnsi" w:hAnsiTheme="majorHAnsi"/>
          <w:sz w:val="22"/>
          <w:szCs w:val="22"/>
          <w:lang w:val="es-ES_tradnl"/>
        </w:rPr>
      </w:pPr>
    </w:p>
    <w:p w:rsidR="005B52B0" w:rsidRPr="00BC4CC3" w:rsidRDefault="005B52B0" w:rsidP="005128E4">
      <w:pPr>
        <w:tabs>
          <w:tab w:val="center" w:pos="5400"/>
        </w:tabs>
        <w:suppressAutoHyphens/>
        <w:jc w:val="center"/>
        <w:rPr>
          <w:rFonts w:asciiTheme="majorHAnsi" w:hAnsiTheme="majorHAnsi"/>
          <w:sz w:val="22"/>
          <w:szCs w:val="22"/>
          <w:lang w:val="es-ES_tradnl"/>
        </w:rPr>
      </w:pPr>
    </w:p>
    <w:p w:rsidR="005B52B0" w:rsidRPr="00BC4CC3" w:rsidRDefault="005B52B0" w:rsidP="005128E4">
      <w:pPr>
        <w:tabs>
          <w:tab w:val="center" w:pos="5400"/>
        </w:tabs>
        <w:suppressAutoHyphens/>
        <w:jc w:val="center"/>
        <w:rPr>
          <w:rFonts w:asciiTheme="majorHAnsi" w:hAnsiTheme="majorHAnsi"/>
          <w:sz w:val="22"/>
          <w:szCs w:val="22"/>
          <w:lang w:val="es-ES_tradnl"/>
        </w:rPr>
      </w:pPr>
    </w:p>
    <w:p w:rsidR="005B52B0" w:rsidRPr="00BC4CC3" w:rsidRDefault="005B52B0" w:rsidP="005128E4">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040C3A" w:rsidRPr="00BC4CC3" w:rsidRDefault="00E533FF" w:rsidP="00040C3A">
      <w:pPr>
        <w:tabs>
          <w:tab w:val="center" w:pos="5400"/>
        </w:tabs>
        <w:suppressAutoHyphens/>
        <w:jc w:val="center"/>
        <w:rPr>
          <w:rFonts w:asciiTheme="majorHAnsi" w:hAnsiTheme="majorHAnsi"/>
          <w:sz w:val="22"/>
          <w:szCs w:val="22"/>
          <w:lang w:val="es-ES_tradnl"/>
        </w:rPr>
      </w:pPr>
      <w:r w:rsidRPr="00BC4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EC4E092" wp14:editId="71E8170E">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241" w:rsidRPr="00A236D2" w:rsidRDefault="00B33241" w:rsidP="00B33241">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A236D2">
                              <w:rPr>
                                <w:rFonts w:asciiTheme="majorHAnsi" w:hAnsiTheme="majorHAnsi" w:cs="Arial"/>
                                <w:b/>
                                <w:bCs/>
                                <w:color w:val="0D0D0D" w:themeColor="text1" w:themeTint="F2"/>
                                <w:sz w:val="36"/>
                                <w:szCs w:val="22"/>
                              </w:rPr>
                              <w:t xml:space="preserve"> </w:t>
                            </w:r>
                            <w:r w:rsidRPr="00A236D2">
                              <w:rPr>
                                <w:rFonts w:asciiTheme="majorHAnsi" w:hAnsiTheme="majorHAnsi" w:cs="Arial"/>
                                <w:b/>
                                <w:bCs/>
                                <w:color w:val="0D0D0D" w:themeColor="text1" w:themeTint="F2"/>
                                <w:sz w:val="36"/>
                                <w:szCs w:val="40"/>
                              </w:rPr>
                              <w:t>No.</w:t>
                            </w:r>
                            <w:r w:rsidRPr="00A236D2">
                              <w:rPr>
                                <w:rFonts w:asciiTheme="majorHAnsi" w:hAnsiTheme="majorHAnsi" w:cs="Arial"/>
                                <w:b/>
                                <w:bCs/>
                                <w:color w:val="0D0D0D" w:themeColor="text1" w:themeTint="F2"/>
                                <w:sz w:val="36"/>
                                <w:szCs w:val="22"/>
                              </w:rPr>
                              <w:t xml:space="preserve"> </w:t>
                            </w:r>
                            <w:r w:rsidR="00D34B27">
                              <w:rPr>
                                <w:rFonts w:asciiTheme="majorHAnsi" w:hAnsiTheme="majorHAnsi" w:cs="Arial"/>
                                <w:b/>
                                <w:bCs/>
                                <w:color w:val="0D0D0D" w:themeColor="text1" w:themeTint="F2"/>
                                <w:sz w:val="36"/>
                                <w:szCs w:val="22"/>
                              </w:rPr>
                              <w:t>47</w:t>
                            </w:r>
                            <w:r w:rsidRPr="00A236D2">
                              <w:rPr>
                                <w:rFonts w:asciiTheme="majorHAnsi" w:hAnsiTheme="majorHAnsi" w:cs="Arial"/>
                                <w:b/>
                                <w:bCs/>
                                <w:color w:val="0D0D0D" w:themeColor="text1" w:themeTint="F2"/>
                                <w:sz w:val="36"/>
                                <w:szCs w:val="22"/>
                              </w:rPr>
                              <w:t>/15</w:t>
                            </w:r>
                          </w:p>
                          <w:p w:rsidR="00B33241" w:rsidRPr="00A236D2"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b/>
                                <w:color w:val="0D0D0D"/>
                                <w:sz w:val="36"/>
                                <w:szCs w:val="22"/>
                                <w:bdr w:val="none" w:sz="0" w:space="0" w:color="auto"/>
                              </w:rPr>
                            </w:pPr>
                            <w:r>
                              <w:rPr>
                                <w:rFonts w:ascii="Cambria" w:hAnsi="Cambria" w:cs="Arial"/>
                                <w:b/>
                                <w:color w:val="0D0D0D"/>
                                <w:sz w:val="36"/>
                                <w:szCs w:val="22"/>
                                <w:bdr w:val="none" w:sz="0" w:space="0" w:color="auto"/>
                              </w:rPr>
                              <w:t>CASE</w:t>
                            </w:r>
                            <w:r w:rsidRPr="00A236D2">
                              <w:rPr>
                                <w:rFonts w:ascii="Cambria" w:hAnsi="Cambria" w:cs="Arial"/>
                                <w:b/>
                                <w:color w:val="0D0D0D"/>
                                <w:sz w:val="36"/>
                                <w:szCs w:val="22"/>
                                <w:bdr w:val="none" w:sz="0" w:space="0" w:color="auto"/>
                              </w:rPr>
                              <w:t xml:space="preserve"> 11.794</w:t>
                            </w:r>
                          </w:p>
                          <w:p w:rsidR="00B33241" w:rsidRPr="00A236D2"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r>
                              <w:rPr>
                                <w:rFonts w:ascii="Cambria" w:hAnsi="Cambria" w:cs="Arial"/>
                                <w:color w:val="0D0D0D"/>
                                <w:szCs w:val="22"/>
                                <w:bdr w:val="none" w:sz="0" w:space="0" w:color="auto"/>
                              </w:rPr>
                              <w:t>REPORT ON ADMISSIBILITY</w:t>
                            </w:r>
                            <w:r w:rsidRPr="00A236D2">
                              <w:rPr>
                                <w:rFonts w:ascii="Cambria" w:hAnsi="Cambria" w:cs="Arial"/>
                                <w:color w:val="0D0D0D"/>
                                <w:szCs w:val="22"/>
                                <w:bdr w:val="none" w:sz="0" w:space="0" w:color="auto"/>
                              </w:rPr>
                              <w:t xml:space="preserve"> </w:t>
                            </w:r>
                          </w:p>
                          <w:p w:rsidR="00B33241" w:rsidRPr="00A236D2"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bookmarkStart w:id="1" w:name="_ftnref1"/>
                          </w:p>
                          <w:bookmarkEnd w:id="1"/>
                          <w:p w:rsidR="00B33241" w:rsidRPr="004A6D3E"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4A6D3E">
                              <w:rPr>
                                <w:rFonts w:ascii="Cambria" w:hAnsi="Cambria" w:cs="Arial"/>
                                <w:color w:val="0D0D0D"/>
                                <w:szCs w:val="22"/>
                                <w:bdr w:val="none" w:sz="0" w:space="0" w:color="auto"/>
                                <w:lang w:val="es-ES"/>
                              </w:rPr>
                              <w:t xml:space="preserve">OLGA LUZ ECHAVARRÍA AND ELIÉCER PÉREZ MORALES </w:t>
                            </w:r>
                          </w:p>
                          <w:p w:rsidR="00B33241" w:rsidRPr="004A6D3E"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4A6D3E">
                              <w:rPr>
                                <w:rFonts w:ascii="Cambria" w:hAnsi="Cambria" w:cs="Arial"/>
                                <w:color w:val="0D0D0D"/>
                                <w:szCs w:val="22"/>
                                <w:bdr w:val="none" w:sz="0" w:space="0" w:color="auto"/>
                                <w:lang w:val="es-ES"/>
                              </w:rPr>
                              <w:t>COLOMBIA</w:t>
                            </w:r>
                          </w:p>
                          <w:p w:rsidR="005B52B0" w:rsidRPr="00B33241" w:rsidRDefault="005B52B0" w:rsidP="004B7EB6">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B33241" w:rsidRPr="00A236D2" w:rsidRDefault="00B33241" w:rsidP="00B33241">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REPORT</w:t>
                      </w:r>
                      <w:r w:rsidRPr="00A236D2">
                        <w:rPr>
                          <w:rFonts w:asciiTheme="majorHAnsi" w:hAnsiTheme="majorHAnsi" w:cs="Arial"/>
                          <w:b/>
                          <w:bCs/>
                          <w:color w:val="0D0D0D" w:themeColor="text1" w:themeTint="F2"/>
                          <w:sz w:val="36"/>
                          <w:szCs w:val="22"/>
                        </w:rPr>
                        <w:t xml:space="preserve"> </w:t>
                      </w:r>
                      <w:r w:rsidRPr="00A236D2">
                        <w:rPr>
                          <w:rFonts w:asciiTheme="majorHAnsi" w:hAnsiTheme="majorHAnsi" w:cs="Arial"/>
                          <w:b/>
                          <w:bCs/>
                          <w:color w:val="0D0D0D" w:themeColor="text1" w:themeTint="F2"/>
                          <w:sz w:val="36"/>
                          <w:szCs w:val="40"/>
                        </w:rPr>
                        <w:t>No.</w:t>
                      </w:r>
                      <w:r w:rsidRPr="00A236D2">
                        <w:rPr>
                          <w:rFonts w:asciiTheme="majorHAnsi" w:hAnsiTheme="majorHAnsi" w:cs="Arial"/>
                          <w:b/>
                          <w:bCs/>
                          <w:color w:val="0D0D0D" w:themeColor="text1" w:themeTint="F2"/>
                          <w:sz w:val="36"/>
                          <w:szCs w:val="22"/>
                        </w:rPr>
                        <w:t xml:space="preserve"> </w:t>
                      </w:r>
                      <w:r w:rsidR="00D34B27">
                        <w:rPr>
                          <w:rFonts w:asciiTheme="majorHAnsi" w:hAnsiTheme="majorHAnsi" w:cs="Arial"/>
                          <w:b/>
                          <w:bCs/>
                          <w:color w:val="0D0D0D" w:themeColor="text1" w:themeTint="F2"/>
                          <w:sz w:val="36"/>
                          <w:szCs w:val="22"/>
                        </w:rPr>
                        <w:t>47</w:t>
                      </w:r>
                      <w:r w:rsidRPr="00A236D2">
                        <w:rPr>
                          <w:rFonts w:asciiTheme="majorHAnsi" w:hAnsiTheme="majorHAnsi" w:cs="Arial"/>
                          <w:b/>
                          <w:bCs/>
                          <w:color w:val="0D0D0D" w:themeColor="text1" w:themeTint="F2"/>
                          <w:sz w:val="36"/>
                          <w:szCs w:val="22"/>
                        </w:rPr>
                        <w:t>/15</w:t>
                      </w:r>
                    </w:p>
                    <w:p w:rsidR="00B33241" w:rsidRPr="00A236D2"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b/>
                          <w:color w:val="0D0D0D"/>
                          <w:sz w:val="36"/>
                          <w:szCs w:val="22"/>
                          <w:bdr w:val="none" w:sz="0" w:space="0" w:color="auto"/>
                        </w:rPr>
                      </w:pPr>
                      <w:r>
                        <w:rPr>
                          <w:rFonts w:ascii="Cambria" w:hAnsi="Cambria" w:cs="Arial"/>
                          <w:b/>
                          <w:color w:val="0D0D0D"/>
                          <w:sz w:val="36"/>
                          <w:szCs w:val="22"/>
                          <w:bdr w:val="none" w:sz="0" w:space="0" w:color="auto"/>
                        </w:rPr>
                        <w:t>CASE</w:t>
                      </w:r>
                      <w:r w:rsidRPr="00A236D2">
                        <w:rPr>
                          <w:rFonts w:ascii="Cambria" w:hAnsi="Cambria" w:cs="Arial"/>
                          <w:b/>
                          <w:color w:val="0D0D0D"/>
                          <w:sz w:val="36"/>
                          <w:szCs w:val="22"/>
                          <w:bdr w:val="none" w:sz="0" w:space="0" w:color="auto"/>
                        </w:rPr>
                        <w:t xml:space="preserve"> 11.794</w:t>
                      </w:r>
                    </w:p>
                    <w:p w:rsidR="00B33241" w:rsidRPr="00A236D2"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r>
                        <w:rPr>
                          <w:rFonts w:ascii="Cambria" w:hAnsi="Cambria" w:cs="Arial"/>
                          <w:color w:val="0D0D0D"/>
                          <w:szCs w:val="22"/>
                          <w:bdr w:val="none" w:sz="0" w:space="0" w:color="auto"/>
                        </w:rPr>
                        <w:t>REPORT ON ADMISSIBILITY</w:t>
                      </w:r>
                      <w:r w:rsidRPr="00A236D2">
                        <w:rPr>
                          <w:rFonts w:ascii="Cambria" w:hAnsi="Cambria" w:cs="Arial"/>
                          <w:color w:val="0D0D0D"/>
                          <w:szCs w:val="22"/>
                          <w:bdr w:val="none" w:sz="0" w:space="0" w:color="auto"/>
                        </w:rPr>
                        <w:t xml:space="preserve"> </w:t>
                      </w:r>
                    </w:p>
                    <w:p w:rsidR="00B33241" w:rsidRPr="00A236D2"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rPr>
                      </w:pPr>
                      <w:bookmarkStart w:id="1" w:name="_ftnref1"/>
                    </w:p>
                    <w:bookmarkEnd w:id="1"/>
                    <w:p w:rsidR="00B33241" w:rsidRPr="004A6D3E"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4A6D3E">
                        <w:rPr>
                          <w:rFonts w:ascii="Cambria" w:hAnsi="Cambria" w:cs="Arial"/>
                          <w:color w:val="0D0D0D"/>
                          <w:szCs w:val="22"/>
                          <w:bdr w:val="none" w:sz="0" w:space="0" w:color="auto"/>
                          <w:lang w:val="es-ES"/>
                        </w:rPr>
                        <w:t xml:space="preserve">OLGA LUZ ECHAVARRÍA AND ELIÉCER PÉREZ MORALES </w:t>
                      </w:r>
                    </w:p>
                    <w:p w:rsidR="00B33241" w:rsidRPr="004A6D3E"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mbria" w:hAnsi="Cambria" w:cs="Arial"/>
                          <w:color w:val="0D0D0D"/>
                          <w:szCs w:val="22"/>
                          <w:bdr w:val="none" w:sz="0" w:space="0" w:color="auto"/>
                          <w:lang w:val="es-ES"/>
                        </w:rPr>
                      </w:pPr>
                      <w:r w:rsidRPr="004A6D3E">
                        <w:rPr>
                          <w:rFonts w:ascii="Cambria" w:hAnsi="Cambria" w:cs="Arial"/>
                          <w:color w:val="0D0D0D"/>
                          <w:szCs w:val="22"/>
                          <w:bdr w:val="none" w:sz="0" w:space="0" w:color="auto"/>
                          <w:lang w:val="es-ES"/>
                        </w:rPr>
                        <w:t>COLOMBIA</w:t>
                      </w:r>
                    </w:p>
                    <w:p w:rsidR="005B52B0" w:rsidRPr="00B33241" w:rsidRDefault="005B52B0" w:rsidP="004B7EB6">
                      <w:pPr>
                        <w:spacing w:line="276" w:lineRule="auto"/>
                        <w:rPr>
                          <w:rFonts w:asciiTheme="majorHAnsi" w:hAnsiTheme="majorHAnsi"/>
                          <w:color w:val="0D0D0D" w:themeColor="text1" w:themeTint="F2"/>
                          <w:lang w:val="es-ES"/>
                        </w:rPr>
                      </w:pPr>
                    </w:p>
                  </w:txbxContent>
                </v:textbox>
              </v:shape>
            </w:pict>
          </mc:Fallback>
        </mc:AlternateContent>
      </w:r>
      <w:r w:rsidR="004B7EB6" w:rsidRPr="00BC4C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AD8F11" wp14:editId="6B56379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D95661" w:rsidRDefault="00627C9F" w:rsidP="002C1641">
                            <w:pPr>
                              <w:jc w:val="right"/>
                              <w:rPr>
                                <w:rFonts w:asciiTheme="minorHAnsi" w:hAnsiTheme="minorHAnsi"/>
                                <w:color w:val="FFFFFF" w:themeColor="background1"/>
                                <w:sz w:val="22"/>
                                <w:lang w:val="pt-BR"/>
                              </w:rPr>
                            </w:pPr>
                            <w:r w:rsidRPr="00D95661">
                              <w:rPr>
                                <w:rFonts w:asciiTheme="minorHAnsi" w:hAnsiTheme="minorHAnsi"/>
                                <w:color w:val="FFFFFF" w:themeColor="background1"/>
                                <w:sz w:val="22"/>
                                <w:lang w:val="pt-BR"/>
                              </w:rPr>
                              <w:t>OEA/Ser.L/V/II.15</w:t>
                            </w:r>
                            <w:r w:rsidR="00B33241" w:rsidRPr="00D95661">
                              <w:rPr>
                                <w:rFonts w:asciiTheme="minorHAnsi" w:hAnsiTheme="minorHAnsi"/>
                                <w:color w:val="FFFFFF" w:themeColor="background1"/>
                                <w:sz w:val="22"/>
                                <w:lang w:val="pt-BR"/>
                              </w:rPr>
                              <w:t>5</w:t>
                            </w:r>
                          </w:p>
                          <w:p w:rsidR="00627C9F" w:rsidRPr="00D95661" w:rsidRDefault="00627C9F" w:rsidP="002C1641">
                            <w:pPr>
                              <w:jc w:val="right"/>
                              <w:rPr>
                                <w:rFonts w:asciiTheme="minorHAnsi" w:hAnsiTheme="minorHAnsi"/>
                                <w:color w:val="FFFFFF" w:themeColor="background1"/>
                                <w:sz w:val="22"/>
                                <w:lang w:val="pt-BR"/>
                              </w:rPr>
                            </w:pPr>
                            <w:r w:rsidRPr="00D95661">
                              <w:rPr>
                                <w:rFonts w:asciiTheme="minorHAnsi" w:hAnsiTheme="minorHAnsi"/>
                                <w:color w:val="FFFFFF" w:themeColor="background1"/>
                                <w:sz w:val="22"/>
                                <w:lang w:val="pt-BR"/>
                              </w:rPr>
                              <w:t xml:space="preserve">Doc. </w:t>
                            </w:r>
                            <w:r w:rsidR="00D34B27" w:rsidRPr="00D95661">
                              <w:rPr>
                                <w:rFonts w:asciiTheme="minorHAnsi" w:hAnsiTheme="minorHAnsi"/>
                                <w:color w:val="FFFFFF" w:themeColor="background1"/>
                                <w:sz w:val="22"/>
                                <w:lang w:val="pt-BR"/>
                              </w:rPr>
                              <w:t>27</w:t>
                            </w:r>
                          </w:p>
                          <w:p w:rsidR="00627C9F" w:rsidRPr="004B7EB6" w:rsidRDefault="00D34B27" w:rsidP="002C1641">
                            <w:pPr>
                              <w:jc w:val="right"/>
                              <w:rPr>
                                <w:rFonts w:asciiTheme="minorHAnsi" w:hAnsiTheme="minorHAnsi"/>
                                <w:color w:val="FFFFFF" w:themeColor="background1"/>
                                <w:sz w:val="22"/>
                              </w:rPr>
                            </w:pPr>
                            <w:r>
                              <w:rPr>
                                <w:rFonts w:asciiTheme="minorHAnsi" w:hAnsiTheme="minorHAnsi"/>
                                <w:color w:val="FFFFFF" w:themeColor="background1"/>
                                <w:sz w:val="22"/>
                              </w:rPr>
                              <w:t>28 July</w:t>
                            </w:r>
                            <w:r w:rsidR="00B33241">
                              <w:rPr>
                                <w:rFonts w:asciiTheme="minorHAnsi" w:hAnsiTheme="minorHAnsi"/>
                                <w:color w:val="FFFFFF" w:themeColor="background1"/>
                                <w:sz w:val="22"/>
                              </w:rPr>
                              <w:t xml:space="preserve">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F2851">
                              <w:rPr>
                                <w:rFonts w:asciiTheme="minorHAnsi" w:hAnsiTheme="minorHAnsi"/>
                                <w:color w:val="FFFFFF" w:themeColor="background1"/>
                                <w:sz w:val="22"/>
                              </w:rPr>
                              <w:t>S</w:t>
                            </w:r>
                            <w:r w:rsidR="00D95661">
                              <w:rPr>
                                <w:rFonts w:asciiTheme="minorHAnsi" w:hAnsiTheme="minorHAnsi"/>
                                <w:color w:val="FFFFFF" w:themeColor="background1"/>
                                <w:sz w:val="22"/>
                              </w:rPr>
                              <w:t>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D95661" w:rsidRDefault="00627C9F" w:rsidP="002C1641">
                      <w:pPr>
                        <w:jc w:val="right"/>
                        <w:rPr>
                          <w:rFonts w:asciiTheme="minorHAnsi" w:hAnsiTheme="minorHAnsi"/>
                          <w:color w:val="FFFFFF" w:themeColor="background1"/>
                          <w:sz w:val="22"/>
                          <w:lang w:val="pt-BR"/>
                        </w:rPr>
                      </w:pPr>
                      <w:r w:rsidRPr="00D95661">
                        <w:rPr>
                          <w:rFonts w:asciiTheme="minorHAnsi" w:hAnsiTheme="minorHAnsi"/>
                          <w:color w:val="FFFFFF" w:themeColor="background1"/>
                          <w:sz w:val="22"/>
                          <w:lang w:val="pt-BR"/>
                        </w:rPr>
                        <w:t>OEA/Ser.L/V/II.15</w:t>
                      </w:r>
                      <w:r w:rsidR="00B33241" w:rsidRPr="00D95661">
                        <w:rPr>
                          <w:rFonts w:asciiTheme="minorHAnsi" w:hAnsiTheme="minorHAnsi"/>
                          <w:color w:val="FFFFFF" w:themeColor="background1"/>
                          <w:sz w:val="22"/>
                          <w:lang w:val="pt-BR"/>
                        </w:rPr>
                        <w:t>5</w:t>
                      </w:r>
                    </w:p>
                    <w:p w:rsidR="00627C9F" w:rsidRPr="00D95661" w:rsidRDefault="00627C9F" w:rsidP="002C1641">
                      <w:pPr>
                        <w:jc w:val="right"/>
                        <w:rPr>
                          <w:rFonts w:asciiTheme="minorHAnsi" w:hAnsiTheme="minorHAnsi"/>
                          <w:color w:val="FFFFFF" w:themeColor="background1"/>
                          <w:sz w:val="22"/>
                          <w:lang w:val="pt-BR"/>
                        </w:rPr>
                      </w:pPr>
                      <w:r w:rsidRPr="00D95661">
                        <w:rPr>
                          <w:rFonts w:asciiTheme="minorHAnsi" w:hAnsiTheme="minorHAnsi"/>
                          <w:color w:val="FFFFFF" w:themeColor="background1"/>
                          <w:sz w:val="22"/>
                          <w:lang w:val="pt-BR"/>
                        </w:rPr>
                        <w:t xml:space="preserve">Doc. </w:t>
                      </w:r>
                      <w:r w:rsidR="00D34B27" w:rsidRPr="00D95661">
                        <w:rPr>
                          <w:rFonts w:asciiTheme="minorHAnsi" w:hAnsiTheme="minorHAnsi"/>
                          <w:color w:val="FFFFFF" w:themeColor="background1"/>
                          <w:sz w:val="22"/>
                          <w:lang w:val="pt-BR"/>
                        </w:rPr>
                        <w:t>27</w:t>
                      </w:r>
                    </w:p>
                    <w:p w:rsidR="00627C9F" w:rsidRPr="004B7EB6" w:rsidRDefault="00D34B27" w:rsidP="002C1641">
                      <w:pPr>
                        <w:jc w:val="right"/>
                        <w:rPr>
                          <w:rFonts w:asciiTheme="minorHAnsi" w:hAnsiTheme="minorHAnsi"/>
                          <w:color w:val="FFFFFF" w:themeColor="background1"/>
                          <w:sz w:val="22"/>
                        </w:rPr>
                      </w:pPr>
                      <w:r>
                        <w:rPr>
                          <w:rFonts w:asciiTheme="minorHAnsi" w:hAnsiTheme="minorHAnsi"/>
                          <w:color w:val="FFFFFF" w:themeColor="background1"/>
                          <w:sz w:val="22"/>
                        </w:rPr>
                        <w:t>28 July</w:t>
                      </w:r>
                      <w:r w:rsidR="00B33241">
                        <w:rPr>
                          <w:rFonts w:asciiTheme="minorHAnsi" w:hAnsiTheme="minorHAnsi"/>
                          <w:color w:val="FFFFFF" w:themeColor="background1"/>
                          <w:sz w:val="22"/>
                        </w:rPr>
                        <w:t xml:space="preserve"> 2015</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F2851">
                        <w:rPr>
                          <w:rFonts w:asciiTheme="minorHAnsi" w:hAnsiTheme="minorHAnsi"/>
                          <w:color w:val="FFFFFF" w:themeColor="background1"/>
                          <w:sz w:val="22"/>
                        </w:rPr>
                        <w:t>S</w:t>
                      </w:r>
                      <w:r w:rsidR="00D95661">
                        <w:rPr>
                          <w:rFonts w:asciiTheme="minorHAnsi" w:hAnsiTheme="minorHAnsi"/>
                          <w:color w:val="FFFFFF" w:themeColor="background1"/>
                          <w:sz w:val="22"/>
                        </w:rPr>
                        <w:t>panish</w:t>
                      </w:r>
                    </w:p>
                  </w:txbxContent>
                </v:textbox>
              </v:shape>
            </w:pict>
          </mc:Fallback>
        </mc:AlternateContent>
      </w: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cs="Arial"/>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5128E4" w:rsidRPr="00BC4CC3" w:rsidRDefault="005128E4" w:rsidP="00040C3A">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5128E4" w:rsidRPr="00BC4CC3" w:rsidRDefault="005128E4" w:rsidP="00040C3A">
      <w:pPr>
        <w:tabs>
          <w:tab w:val="center" w:pos="5400"/>
        </w:tabs>
        <w:suppressAutoHyphens/>
        <w:jc w:val="center"/>
        <w:rPr>
          <w:rFonts w:asciiTheme="majorHAnsi" w:hAnsiTheme="majorHAnsi"/>
          <w:sz w:val="22"/>
          <w:szCs w:val="22"/>
          <w:lang w:val="es-ES_tradnl"/>
        </w:rPr>
      </w:pPr>
    </w:p>
    <w:p w:rsidR="005128E4" w:rsidRPr="00BC4CC3" w:rsidRDefault="005128E4" w:rsidP="00040C3A">
      <w:pPr>
        <w:tabs>
          <w:tab w:val="center" w:pos="5400"/>
        </w:tabs>
        <w:suppressAutoHyphens/>
        <w:jc w:val="center"/>
        <w:rPr>
          <w:rFonts w:asciiTheme="majorHAnsi" w:hAnsiTheme="majorHAnsi"/>
          <w:sz w:val="22"/>
          <w:szCs w:val="22"/>
          <w:lang w:val="es-ES_tradnl"/>
        </w:rPr>
      </w:pPr>
    </w:p>
    <w:p w:rsidR="005128E4" w:rsidRPr="00BC4CC3" w:rsidRDefault="005128E4" w:rsidP="00040C3A">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040C3A" w:rsidRPr="00BC4CC3" w:rsidRDefault="00040C3A" w:rsidP="00040C3A">
      <w:pPr>
        <w:tabs>
          <w:tab w:val="center" w:pos="5400"/>
        </w:tabs>
        <w:suppressAutoHyphens/>
        <w:jc w:val="center"/>
        <w:rPr>
          <w:rFonts w:asciiTheme="majorHAnsi" w:hAnsiTheme="majorHAnsi"/>
          <w:sz w:val="22"/>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3C32BC" w:rsidP="00040C3A">
      <w:pPr>
        <w:tabs>
          <w:tab w:val="center" w:pos="5400"/>
        </w:tabs>
        <w:suppressAutoHyphens/>
        <w:jc w:val="center"/>
        <w:rPr>
          <w:rFonts w:asciiTheme="majorHAnsi" w:hAnsiTheme="majorHAnsi"/>
          <w:sz w:val="18"/>
          <w:szCs w:val="22"/>
          <w:lang w:val="es-ES_tradnl"/>
        </w:rPr>
      </w:pPr>
      <w:r w:rsidRPr="00BC4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7743B9C" wp14:editId="411FD73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241" w:rsidRPr="00B33241" w:rsidRDefault="00B33241" w:rsidP="00B33241">
                            <w:pPr>
                              <w:tabs>
                                <w:tab w:val="center" w:pos="5400"/>
                              </w:tabs>
                              <w:suppressAutoHyphens/>
                              <w:spacing w:before="60"/>
                              <w:rPr>
                                <w:rFonts w:asciiTheme="majorHAnsi" w:hAnsiTheme="majorHAnsi"/>
                                <w:color w:val="0D0D0D" w:themeColor="text1" w:themeTint="F2"/>
                                <w:sz w:val="18"/>
                                <w:szCs w:val="20"/>
                              </w:rPr>
                            </w:pPr>
                            <w:r w:rsidRPr="00B33241">
                              <w:rPr>
                                <w:rFonts w:asciiTheme="majorHAnsi" w:hAnsiTheme="majorHAnsi"/>
                                <w:color w:val="0D0D0D" w:themeColor="text1" w:themeTint="F2"/>
                                <w:sz w:val="18"/>
                                <w:szCs w:val="20"/>
                              </w:rPr>
                              <w:t xml:space="preserve">Adopted by the Committee at its session No. </w:t>
                            </w:r>
                            <w:r w:rsidR="00D34B27">
                              <w:rPr>
                                <w:rFonts w:asciiTheme="majorHAnsi" w:hAnsiTheme="majorHAnsi"/>
                                <w:color w:val="0D0D0D" w:themeColor="text1" w:themeTint="F2"/>
                                <w:sz w:val="18"/>
                                <w:szCs w:val="20"/>
                              </w:rPr>
                              <w:t>2044</w:t>
                            </w:r>
                            <w:r w:rsidRPr="00B33241">
                              <w:rPr>
                                <w:rFonts w:asciiTheme="majorHAnsi" w:hAnsiTheme="majorHAnsi"/>
                                <w:color w:val="0D0D0D" w:themeColor="text1" w:themeTint="F2"/>
                                <w:sz w:val="18"/>
                                <w:szCs w:val="20"/>
                              </w:rPr>
                              <w:t xml:space="preserve">, held on </w:t>
                            </w:r>
                            <w:r w:rsidR="00D34B27">
                              <w:rPr>
                                <w:rFonts w:asciiTheme="majorHAnsi" w:hAnsiTheme="majorHAnsi"/>
                                <w:color w:val="0D0D0D" w:themeColor="text1" w:themeTint="F2"/>
                                <w:sz w:val="18"/>
                                <w:szCs w:val="20"/>
                              </w:rPr>
                              <w:t>July 28, 2015</w:t>
                            </w:r>
                            <w:r w:rsidRPr="00B33241">
                              <w:rPr>
                                <w:rFonts w:asciiTheme="majorHAnsi" w:hAnsiTheme="majorHAnsi"/>
                                <w:color w:val="0D0D0D" w:themeColor="text1" w:themeTint="F2"/>
                                <w:sz w:val="18"/>
                                <w:szCs w:val="20"/>
                              </w:rPr>
                              <w:br/>
                              <w:t>15</w:t>
                            </w:r>
                            <w:r w:rsidR="00D34B27">
                              <w:rPr>
                                <w:rFonts w:asciiTheme="majorHAnsi" w:hAnsiTheme="majorHAnsi"/>
                                <w:color w:val="0D0D0D" w:themeColor="text1" w:themeTint="F2"/>
                                <w:sz w:val="18"/>
                                <w:szCs w:val="20"/>
                              </w:rPr>
                              <w:t>5</w:t>
                            </w:r>
                            <w:r w:rsidR="00874750" w:rsidRPr="00874750">
                              <w:rPr>
                                <w:rFonts w:asciiTheme="majorHAnsi" w:hAnsiTheme="majorHAnsi"/>
                                <w:color w:val="0D0D0D" w:themeColor="text1" w:themeTint="F2"/>
                                <w:sz w:val="18"/>
                                <w:szCs w:val="20"/>
                                <w:vertAlign w:val="superscript"/>
                              </w:rPr>
                              <w:t>th</w:t>
                            </w:r>
                            <w:r w:rsidR="00D34B27">
                              <w:rPr>
                                <w:rFonts w:asciiTheme="majorHAnsi" w:hAnsiTheme="majorHAnsi"/>
                                <w:color w:val="0D0D0D" w:themeColor="text1" w:themeTint="F2"/>
                                <w:sz w:val="18"/>
                                <w:szCs w:val="20"/>
                              </w:rPr>
                              <w:t xml:space="preserve"> Regular Period of S</w:t>
                            </w:r>
                            <w:r w:rsidR="00874750">
                              <w:rPr>
                                <w:rFonts w:asciiTheme="majorHAnsi" w:hAnsiTheme="majorHAnsi"/>
                                <w:color w:val="0D0D0D" w:themeColor="text1" w:themeTint="F2"/>
                                <w:sz w:val="18"/>
                                <w:szCs w:val="20"/>
                              </w:rPr>
                              <w:t>ession.</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B33241" w:rsidRPr="00B33241" w:rsidRDefault="00B33241" w:rsidP="00B33241">
                      <w:pPr>
                        <w:tabs>
                          <w:tab w:val="center" w:pos="5400"/>
                        </w:tabs>
                        <w:suppressAutoHyphens/>
                        <w:spacing w:before="60"/>
                        <w:rPr>
                          <w:rFonts w:asciiTheme="majorHAnsi" w:hAnsiTheme="majorHAnsi"/>
                          <w:color w:val="0D0D0D" w:themeColor="text1" w:themeTint="F2"/>
                          <w:sz w:val="18"/>
                          <w:szCs w:val="20"/>
                        </w:rPr>
                      </w:pPr>
                      <w:r w:rsidRPr="00B33241">
                        <w:rPr>
                          <w:rFonts w:asciiTheme="majorHAnsi" w:hAnsiTheme="majorHAnsi"/>
                          <w:color w:val="0D0D0D" w:themeColor="text1" w:themeTint="F2"/>
                          <w:sz w:val="18"/>
                          <w:szCs w:val="20"/>
                        </w:rPr>
                        <w:t xml:space="preserve">Adopted by the Committee at its session No. </w:t>
                      </w:r>
                      <w:r w:rsidR="00D34B27">
                        <w:rPr>
                          <w:rFonts w:asciiTheme="majorHAnsi" w:hAnsiTheme="majorHAnsi"/>
                          <w:color w:val="0D0D0D" w:themeColor="text1" w:themeTint="F2"/>
                          <w:sz w:val="18"/>
                          <w:szCs w:val="20"/>
                        </w:rPr>
                        <w:t>2044</w:t>
                      </w:r>
                      <w:r w:rsidRPr="00B33241">
                        <w:rPr>
                          <w:rFonts w:asciiTheme="majorHAnsi" w:hAnsiTheme="majorHAnsi"/>
                          <w:color w:val="0D0D0D" w:themeColor="text1" w:themeTint="F2"/>
                          <w:sz w:val="18"/>
                          <w:szCs w:val="20"/>
                        </w:rPr>
                        <w:t xml:space="preserve">, held on </w:t>
                      </w:r>
                      <w:r w:rsidR="00D34B27">
                        <w:rPr>
                          <w:rFonts w:asciiTheme="majorHAnsi" w:hAnsiTheme="majorHAnsi"/>
                          <w:color w:val="0D0D0D" w:themeColor="text1" w:themeTint="F2"/>
                          <w:sz w:val="18"/>
                          <w:szCs w:val="20"/>
                        </w:rPr>
                        <w:t>July 28, 2015</w:t>
                      </w:r>
                      <w:r w:rsidRPr="00B33241">
                        <w:rPr>
                          <w:rFonts w:asciiTheme="majorHAnsi" w:hAnsiTheme="majorHAnsi"/>
                          <w:color w:val="0D0D0D" w:themeColor="text1" w:themeTint="F2"/>
                          <w:sz w:val="18"/>
                          <w:szCs w:val="20"/>
                        </w:rPr>
                        <w:br/>
                        <w:t>15</w:t>
                      </w:r>
                      <w:r w:rsidR="00D34B27">
                        <w:rPr>
                          <w:rFonts w:asciiTheme="majorHAnsi" w:hAnsiTheme="majorHAnsi"/>
                          <w:color w:val="0D0D0D" w:themeColor="text1" w:themeTint="F2"/>
                          <w:sz w:val="18"/>
                          <w:szCs w:val="20"/>
                        </w:rPr>
                        <w:t>5</w:t>
                      </w:r>
                      <w:r w:rsidR="00874750" w:rsidRPr="00874750">
                        <w:rPr>
                          <w:rFonts w:asciiTheme="majorHAnsi" w:hAnsiTheme="majorHAnsi"/>
                          <w:color w:val="0D0D0D" w:themeColor="text1" w:themeTint="F2"/>
                          <w:sz w:val="18"/>
                          <w:szCs w:val="20"/>
                          <w:vertAlign w:val="superscript"/>
                        </w:rPr>
                        <w:t>th</w:t>
                      </w:r>
                      <w:r w:rsidR="00D34B27">
                        <w:rPr>
                          <w:rFonts w:asciiTheme="majorHAnsi" w:hAnsiTheme="majorHAnsi"/>
                          <w:color w:val="0D0D0D" w:themeColor="text1" w:themeTint="F2"/>
                          <w:sz w:val="18"/>
                          <w:szCs w:val="20"/>
                        </w:rPr>
                        <w:t xml:space="preserve"> Regular Period of S</w:t>
                      </w:r>
                      <w:r w:rsidR="00874750">
                        <w:rPr>
                          <w:rFonts w:asciiTheme="majorHAnsi" w:hAnsiTheme="majorHAnsi"/>
                          <w:color w:val="0D0D0D" w:themeColor="text1" w:themeTint="F2"/>
                          <w:sz w:val="18"/>
                          <w:szCs w:val="20"/>
                        </w:rPr>
                        <w:t>ession.</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3C32BC" w:rsidP="00040C3A">
      <w:pPr>
        <w:tabs>
          <w:tab w:val="center" w:pos="5400"/>
        </w:tabs>
        <w:suppressAutoHyphens/>
        <w:jc w:val="center"/>
        <w:rPr>
          <w:rFonts w:asciiTheme="majorHAnsi" w:hAnsiTheme="majorHAnsi"/>
          <w:sz w:val="18"/>
          <w:szCs w:val="22"/>
          <w:lang w:val="es-ES_tradnl"/>
        </w:rPr>
      </w:pPr>
      <w:r w:rsidRPr="00BC4CC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7850CC9" wp14:editId="464878D3">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241" w:rsidRPr="00A236D2" w:rsidRDefault="00B33241" w:rsidP="00B33241">
                            <w:pPr>
                              <w:spacing w:line="276" w:lineRule="auto"/>
                              <w:rPr>
                                <w:rFonts w:asciiTheme="majorHAnsi" w:hAnsiTheme="majorHAnsi"/>
                                <w:color w:val="595959" w:themeColor="text1" w:themeTint="A6"/>
                                <w:sz w:val="18"/>
                                <w:szCs w:val="18"/>
                              </w:rPr>
                            </w:pPr>
                            <w:r w:rsidRPr="00A236D2">
                              <w:rPr>
                                <w:rFonts w:ascii="Cambria" w:hAnsi="Cambria"/>
                                <w:b/>
                                <w:color w:val="595959"/>
                                <w:sz w:val="18"/>
                                <w:szCs w:val="18"/>
                              </w:rPr>
                              <w:t>Cit</w:t>
                            </w:r>
                            <w:r>
                              <w:rPr>
                                <w:rFonts w:ascii="Cambria" w:hAnsi="Cambria"/>
                                <w:b/>
                                <w:color w:val="595959"/>
                                <w:sz w:val="18"/>
                                <w:szCs w:val="18"/>
                              </w:rPr>
                              <w:t>e as</w:t>
                            </w:r>
                            <w:r w:rsidRPr="00A236D2">
                              <w:rPr>
                                <w:rFonts w:ascii="Cambria" w:hAnsi="Cambria"/>
                                <w:b/>
                                <w:color w:val="595959"/>
                                <w:sz w:val="18"/>
                                <w:szCs w:val="18"/>
                              </w:rPr>
                              <w:t>:</w:t>
                            </w:r>
                            <w:r w:rsidRPr="00A236D2">
                              <w:rPr>
                                <w:rFonts w:ascii="Cambria" w:hAnsi="Cambria"/>
                                <w:color w:val="595959"/>
                                <w:sz w:val="18"/>
                                <w:szCs w:val="18"/>
                              </w:rPr>
                              <w:t xml:space="preserve"> </w:t>
                            </w:r>
                            <w:r w:rsidRPr="00D34B27">
                              <w:rPr>
                                <w:rFonts w:ascii="Cambria" w:hAnsi="Cambria"/>
                                <w:color w:val="595959"/>
                                <w:sz w:val="18"/>
                                <w:szCs w:val="18"/>
                              </w:rPr>
                              <w:t xml:space="preserve">IACHR, Report No. </w:t>
                            </w:r>
                            <w:r w:rsidR="00D34B27" w:rsidRPr="00D34B27">
                              <w:rPr>
                                <w:rFonts w:ascii="Cambria" w:hAnsi="Cambria"/>
                                <w:color w:val="595959"/>
                                <w:sz w:val="18"/>
                                <w:szCs w:val="18"/>
                              </w:rPr>
                              <w:t>47/15</w:t>
                            </w:r>
                            <w:r w:rsidRPr="00D34B27">
                              <w:rPr>
                                <w:rFonts w:ascii="Cambria" w:hAnsi="Cambria"/>
                                <w:color w:val="595959"/>
                                <w:sz w:val="18"/>
                                <w:szCs w:val="18"/>
                              </w:rPr>
                              <w:t>, Case 11.794. Admissibility. Olga Luz Echavarría and Eliécer Pérez Morales. Colombia.</w:t>
                            </w:r>
                            <w:r w:rsidRPr="00D34B27">
                              <w:rPr>
                                <w:rFonts w:asciiTheme="majorHAnsi" w:hAnsiTheme="majorHAnsi"/>
                                <w:color w:val="595959" w:themeColor="text1" w:themeTint="A6"/>
                                <w:sz w:val="18"/>
                                <w:szCs w:val="18"/>
                              </w:rPr>
                              <w:t xml:space="preserve"> </w:t>
                            </w:r>
                            <w:r w:rsidR="00D34B27" w:rsidRPr="00D34B27">
                              <w:rPr>
                                <w:rFonts w:asciiTheme="majorHAnsi" w:hAnsiTheme="majorHAnsi"/>
                                <w:color w:val="595959" w:themeColor="text1" w:themeTint="A6"/>
                                <w:sz w:val="18"/>
                                <w:szCs w:val="18"/>
                              </w:rPr>
                              <w:t>July 28, 2015</w:t>
                            </w:r>
                            <w:r w:rsidRPr="00D34B27">
                              <w:rPr>
                                <w:rFonts w:asciiTheme="majorHAnsi" w:hAnsiTheme="majorHAnsi"/>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B33241" w:rsidRPr="00A236D2" w:rsidRDefault="00B33241" w:rsidP="00B33241">
                      <w:pPr>
                        <w:spacing w:line="276" w:lineRule="auto"/>
                        <w:rPr>
                          <w:rFonts w:asciiTheme="majorHAnsi" w:hAnsiTheme="majorHAnsi"/>
                          <w:color w:val="595959" w:themeColor="text1" w:themeTint="A6"/>
                          <w:sz w:val="18"/>
                          <w:szCs w:val="18"/>
                        </w:rPr>
                      </w:pPr>
                      <w:r w:rsidRPr="00A236D2">
                        <w:rPr>
                          <w:rFonts w:ascii="Cambria" w:hAnsi="Cambria"/>
                          <w:b/>
                          <w:color w:val="595959"/>
                          <w:sz w:val="18"/>
                          <w:szCs w:val="18"/>
                        </w:rPr>
                        <w:t>Cit</w:t>
                      </w:r>
                      <w:r>
                        <w:rPr>
                          <w:rFonts w:ascii="Cambria" w:hAnsi="Cambria"/>
                          <w:b/>
                          <w:color w:val="595959"/>
                          <w:sz w:val="18"/>
                          <w:szCs w:val="18"/>
                        </w:rPr>
                        <w:t>e as</w:t>
                      </w:r>
                      <w:r w:rsidRPr="00A236D2">
                        <w:rPr>
                          <w:rFonts w:ascii="Cambria" w:hAnsi="Cambria"/>
                          <w:b/>
                          <w:color w:val="595959"/>
                          <w:sz w:val="18"/>
                          <w:szCs w:val="18"/>
                        </w:rPr>
                        <w:t>:</w:t>
                      </w:r>
                      <w:r w:rsidRPr="00A236D2">
                        <w:rPr>
                          <w:rFonts w:ascii="Cambria" w:hAnsi="Cambria"/>
                          <w:color w:val="595959"/>
                          <w:sz w:val="18"/>
                          <w:szCs w:val="18"/>
                        </w:rPr>
                        <w:t xml:space="preserve"> </w:t>
                      </w:r>
                      <w:r w:rsidRPr="00D34B27">
                        <w:rPr>
                          <w:rFonts w:ascii="Cambria" w:hAnsi="Cambria"/>
                          <w:color w:val="595959"/>
                          <w:sz w:val="18"/>
                          <w:szCs w:val="18"/>
                        </w:rPr>
                        <w:t xml:space="preserve">IACHR, Report No. </w:t>
                      </w:r>
                      <w:r w:rsidR="00D34B27" w:rsidRPr="00D34B27">
                        <w:rPr>
                          <w:rFonts w:ascii="Cambria" w:hAnsi="Cambria"/>
                          <w:color w:val="595959"/>
                          <w:sz w:val="18"/>
                          <w:szCs w:val="18"/>
                        </w:rPr>
                        <w:t>47/15</w:t>
                      </w:r>
                      <w:r w:rsidRPr="00D34B27">
                        <w:rPr>
                          <w:rFonts w:ascii="Cambria" w:hAnsi="Cambria"/>
                          <w:color w:val="595959"/>
                          <w:sz w:val="18"/>
                          <w:szCs w:val="18"/>
                        </w:rPr>
                        <w:t xml:space="preserve">, Case 11.794. </w:t>
                      </w:r>
                      <w:proofErr w:type="gramStart"/>
                      <w:r w:rsidRPr="00D34B27">
                        <w:rPr>
                          <w:rFonts w:ascii="Cambria" w:hAnsi="Cambria"/>
                          <w:color w:val="595959"/>
                          <w:sz w:val="18"/>
                          <w:szCs w:val="18"/>
                        </w:rPr>
                        <w:t>Admissibility.</w:t>
                      </w:r>
                      <w:proofErr w:type="gramEnd"/>
                      <w:r w:rsidRPr="00D34B27">
                        <w:rPr>
                          <w:rFonts w:ascii="Cambria" w:hAnsi="Cambria"/>
                          <w:color w:val="595959"/>
                          <w:sz w:val="18"/>
                          <w:szCs w:val="18"/>
                        </w:rPr>
                        <w:t xml:space="preserve"> </w:t>
                      </w:r>
                      <w:proofErr w:type="gramStart"/>
                      <w:r w:rsidRPr="00D34B27">
                        <w:rPr>
                          <w:rFonts w:ascii="Cambria" w:hAnsi="Cambria"/>
                          <w:color w:val="595959"/>
                          <w:sz w:val="18"/>
                          <w:szCs w:val="18"/>
                        </w:rPr>
                        <w:t xml:space="preserve">Olga Luz Echavarría and </w:t>
                      </w:r>
                      <w:proofErr w:type="spellStart"/>
                      <w:r w:rsidRPr="00D34B27">
                        <w:rPr>
                          <w:rFonts w:ascii="Cambria" w:hAnsi="Cambria"/>
                          <w:color w:val="595959"/>
                          <w:sz w:val="18"/>
                          <w:szCs w:val="18"/>
                        </w:rPr>
                        <w:t>Eliécer</w:t>
                      </w:r>
                      <w:proofErr w:type="spellEnd"/>
                      <w:r w:rsidRPr="00D34B27">
                        <w:rPr>
                          <w:rFonts w:ascii="Cambria" w:hAnsi="Cambria"/>
                          <w:color w:val="595959"/>
                          <w:sz w:val="18"/>
                          <w:szCs w:val="18"/>
                        </w:rPr>
                        <w:t xml:space="preserve"> Pérez Morales.</w:t>
                      </w:r>
                      <w:proofErr w:type="gramEnd"/>
                      <w:r w:rsidRPr="00D34B27">
                        <w:rPr>
                          <w:rFonts w:ascii="Cambria" w:hAnsi="Cambria"/>
                          <w:color w:val="595959"/>
                          <w:sz w:val="18"/>
                          <w:szCs w:val="18"/>
                        </w:rPr>
                        <w:t xml:space="preserve"> Colombia.</w:t>
                      </w:r>
                      <w:r w:rsidRPr="00D34B27">
                        <w:rPr>
                          <w:rFonts w:asciiTheme="majorHAnsi" w:hAnsiTheme="majorHAnsi"/>
                          <w:color w:val="595959" w:themeColor="text1" w:themeTint="A6"/>
                          <w:sz w:val="18"/>
                          <w:szCs w:val="18"/>
                        </w:rPr>
                        <w:t xml:space="preserve"> </w:t>
                      </w:r>
                      <w:r w:rsidR="00D34B27" w:rsidRPr="00D34B27">
                        <w:rPr>
                          <w:rFonts w:asciiTheme="majorHAnsi" w:hAnsiTheme="majorHAnsi"/>
                          <w:color w:val="595959" w:themeColor="text1" w:themeTint="A6"/>
                          <w:sz w:val="18"/>
                          <w:szCs w:val="18"/>
                        </w:rPr>
                        <w:t>July 28, 2015</w:t>
                      </w:r>
                      <w:r w:rsidRPr="00D34B27">
                        <w:rPr>
                          <w:rFonts w:asciiTheme="majorHAnsi" w:hAnsiTheme="majorHAnsi"/>
                          <w:color w:val="595959" w:themeColor="text1" w:themeTint="A6"/>
                          <w:sz w:val="18"/>
                          <w:szCs w:val="18"/>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2C1641" w:rsidRPr="00BC4CC3" w:rsidRDefault="002C1641" w:rsidP="00040C3A">
      <w:pPr>
        <w:tabs>
          <w:tab w:val="center" w:pos="5400"/>
        </w:tabs>
        <w:suppressAutoHyphens/>
        <w:jc w:val="center"/>
        <w:rPr>
          <w:rFonts w:asciiTheme="majorHAnsi" w:hAnsiTheme="majorHAnsi"/>
          <w:sz w:val="18"/>
          <w:szCs w:val="22"/>
          <w:lang w:val="es-ES_tradnl"/>
        </w:rPr>
      </w:pPr>
    </w:p>
    <w:p w:rsidR="003C32BC" w:rsidRPr="00BC4CC3" w:rsidRDefault="003C32BC" w:rsidP="003C32BC">
      <w:pPr>
        <w:tabs>
          <w:tab w:val="center" w:pos="5400"/>
        </w:tabs>
        <w:suppressAutoHyphens/>
        <w:jc w:val="center"/>
        <w:rPr>
          <w:rFonts w:asciiTheme="majorHAnsi" w:hAnsiTheme="majorHAnsi"/>
          <w:sz w:val="18"/>
          <w:szCs w:val="22"/>
        </w:rPr>
      </w:pPr>
    </w:p>
    <w:p w:rsidR="003C32BC" w:rsidRPr="00BC4CC3" w:rsidRDefault="006311DA" w:rsidP="003C32BC">
      <w:pPr>
        <w:tabs>
          <w:tab w:val="center" w:pos="5400"/>
        </w:tabs>
        <w:suppressAutoHyphens/>
        <w:jc w:val="center"/>
        <w:rPr>
          <w:rFonts w:asciiTheme="majorHAnsi" w:hAnsiTheme="majorHAnsi"/>
          <w:sz w:val="18"/>
          <w:szCs w:val="22"/>
        </w:rPr>
      </w:pPr>
      <w:r w:rsidRPr="00BC4CC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6DC4EAA" wp14:editId="0CC2AE19">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BC4CC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5FBF174" wp14:editId="5D6AD557">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6577DFC1" wp14:editId="42CFCDBF">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EDFB902" wp14:editId="07C932F5">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BC4CC3" w:rsidRDefault="007607C4" w:rsidP="00B33241">
      <w:pPr>
        <w:tabs>
          <w:tab w:val="center" w:pos="5400"/>
        </w:tabs>
        <w:suppressAutoHyphens/>
        <w:rPr>
          <w:rFonts w:asciiTheme="majorHAnsi" w:hAnsiTheme="majorHAnsi"/>
          <w:sz w:val="18"/>
          <w:szCs w:val="22"/>
        </w:rPr>
        <w:sectPr w:rsidR="007607C4" w:rsidRPr="00BC4CC3"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Fonts w:asciiTheme="majorHAnsi" w:hAnsiTheme="majorHAnsi" w:cs="Calibri"/>
          <w:b/>
          <w:sz w:val="18"/>
          <w:szCs w:val="18"/>
          <w:bdr w:val="none" w:sz="0" w:space="0" w:color="auto"/>
        </w:rPr>
      </w:pPr>
      <w:r w:rsidRPr="00BC4CC3">
        <w:rPr>
          <w:rFonts w:asciiTheme="majorHAnsi" w:hAnsiTheme="majorHAnsi" w:cs="Calibri"/>
          <w:b/>
          <w:sz w:val="18"/>
          <w:szCs w:val="18"/>
          <w:bdr w:val="none" w:sz="0" w:space="0" w:color="auto"/>
        </w:rPr>
        <w:lastRenderedPageBreak/>
        <w:t xml:space="preserve">REPORT No. </w:t>
      </w:r>
      <w:r w:rsidR="00D34B27" w:rsidRPr="00BC4CC3">
        <w:rPr>
          <w:rFonts w:asciiTheme="majorHAnsi" w:hAnsiTheme="majorHAnsi" w:cs="Calibri"/>
          <w:b/>
          <w:sz w:val="18"/>
          <w:szCs w:val="18"/>
          <w:bdr w:val="none" w:sz="0" w:space="0" w:color="auto"/>
        </w:rPr>
        <w:t>47</w:t>
      </w:r>
      <w:r w:rsidRPr="00BC4CC3">
        <w:rPr>
          <w:rFonts w:asciiTheme="majorHAnsi" w:hAnsiTheme="majorHAnsi" w:cs="Calibri"/>
          <w:b/>
          <w:sz w:val="18"/>
          <w:szCs w:val="18"/>
          <w:bdr w:val="none" w:sz="0" w:space="0" w:color="auto"/>
        </w:rPr>
        <w:t>/15</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Fonts w:asciiTheme="majorHAnsi" w:hAnsiTheme="majorHAnsi" w:cs="Calibri"/>
          <w:b/>
          <w:sz w:val="18"/>
          <w:szCs w:val="18"/>
          <w:bdr w:val="none" w:sz="0" w:space="0" w:color="auto"/>
        </w:rPr>
      </w:pPr>
      <w:r w:rsidRPr="00BC4CC3">
        <w:rPr>
          <w:rFonts w:asciiTheme="majorHAnsi" w:hAnsiTheme="majorHAnsi" w:cs="Calibri"/>
          <w:b/>
          <w:sz w:val="18"/>
          <w:szCs w:val="18"/>
          <w:bdr w:val="none" w:sz="0" w:space="0" w:color="auto"/>
        </w:rPr>
        <w:t>CASE 11.794</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ajorHAnsi" w:hAnsiTheme="majorHAnsi" w:cs="Calibri"/>
          <w:sz w:val="18"/>
          <w:szCs w:val="18"/>
          <w:bdr w:val="none" w:sz="0" w:space="0" w:color="auto"/>
        </w:rPr>
      </w:pPr>
      <w:r w:rsidRPr="00BC4CC3">
        <w:rPr>
          <w:rFonts w:asciiTheme="majorHAnsi" w:hAnsiTheme="majorHAnsi" w:cs="Calibri"/>
          <w:sz w:val="18"/>
          <w:szCs w:val="18"/>
          <w:bdr w:val="none" w:sz="0" w:space="0" w:color="auto"/>
        </w:rPr>
        <w:t>ADMISSIBILITY</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Fonts w:asciiTheme="majorHAnsi" w:hAnsiTheme="majorHAnsi" w:cs="Calibri"/>
          <w:caps/>
          <w:snapToGrid w:val="0"/>
          <w:sz w:val="18"/>
          <w:szCs w:val="18"/>
          <w:bdr w:val="none" w:sz="0" w:space="0" w:color="auto"/>
        </w:rPr>
      </w:pPr>
      <w:r w:rsidRPr="00BC4CC3">
        <w:rPr>
          <w:rFonts w:asciiTheme="majorHAnsi" w:hAnsiTheme="majorHAnsi" w:cs="Calibri"/>
          <w:caps/>
          <w:snapToGrid w:val="0"/>
          <w:sz w:val="18"/>
          <w:szCs w:val="18"/>
          <w:bdr w:val="none" w:sz="0" w:space="0" w:color="auto"/>
        </w:rPr>
        <w:t xml:space="preserve">OLGA LUZ ECHAVARRÍA AND ELIÉCER PÉREZ MORALES </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Fonts w:asciiTheme="majorHAnsi" w:hAnsiTheme="majorHAnsi" w:cs="Calibri"/>
          <w:sz w:val="18"/>
          <w:szCs w:val="18"/>
          <w:bdr w:val="none" w:sz="0" w:space="0" w:color="auto"/>
        </w:rPr>
      </w:pPr>
      <w:r w:rsidRPr="00BC4CC3">
        <w:rPr>
          <w:rFonts w:asciiTheme="majorHAnsi" w:hAnsiTheme="majorHAnsi" w:cs="Calibri"/>
          <w:sz w:val="18"/>
          <w:szCs w:val="18"/>
          <w:bdr w:val="none" w:sz="0" w:space="0" w:color="auto"/>
        </w:rPr>
        <w:t xml:space="preserve">COLOMBIA </w:t>
      </w:r>
    </w:p>
    <w:p w:rsidR="00B33241" w:rsidRPr="00BC4CC3" w:rsidRDefault="00D34B27" w:rsidP="00A4354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ajorHAnsi" w:hAnsiTheme="majorHAnsi" w:cs="Calibri"/>
          <w:sz w:val="18"/>
          <w:szCs w:val="18"/>
          <w:bdr w:val="none" w:sz="0" w:space="0" w:color="auto"/>
        </w:rPr>
      </w:pPr>
      <w:r w:rsidRPr="00BC4CC3">
        <w:rPr>
          <w:rFonts w:asciiTheme="majorHAnsi" w:hAnsiTheme="majorHAnsi" w:cs="Calibri"/>
          <w:sz w:val="18"/>
          <w:szCs w:val="18"/>
          <w:bdr w:val="none" w:sz="0" w:space="0" w:color="auto"/>
        </w:rPr>
        <w:t>JULY 28, 2015</w:t>
      </w:r>
    </w:p>
    <w:p w:rsidR="00B33241" w:rsidRPr="00BC4CC3" w:rsidRDefault="00B33241" w:rsidP="00B3324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rPr>
          <w:rFonts w:asciiTheme="majorHAnsi" w:hAnsiTheme="majorHAnsi" w:cs="Calibri"/>
          <w:b/>
          <w:sz w:val="20"/>
          <w:szCs w:val="20"/>
          <w:bdr w:val="none" w:sz="0" w:space="0" w:color="auto"/>
        </w:r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z w:val="20"/>
          <w:szCs w:val="20"/>
          <w:bdr w:val="none" w:sz="0" w:space="0" w:color="auto"/>
        </w:rPr>
      </w:pPr>
    </w:p>
    <w:p w:rsidR="00B33241" w:rsidRPr="00BC4CC3" w:rsidRDefault="00B33241" w:rsidP="00A4354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bdr w:val="none" w:sz="0" w:space="0" w:color="auto"/>
        </w:rPr>
      </w:pPr>
      <w:r w:rsidRPr="00BC4CC3">
        <w:rPr>
          <w:rFonts w:asciiTheme="majorHAnsi" w:hAnsiTheme="majorHAnsi"/>
          <w:b/>
          <w:sz w:val="20"/>
          <w:szCs w:val="20"/>
          <w:bdr w:val="none" w:sz="0" w:space="0" w:color="auto"/>
        </w:rPr>
        <w:t>SUMMARY</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napToGrid w:val="0"/>
          <w:sz w:val="20"/>
          <w:szCs w:val="20"/>
          <w:bdr w:val="none" w:sz="0" w:space="0" w:color="auto"/>
        </w:rPr>
        <w:t xml:space="preserve">On August 8, 1997, the Inter-American Commission on Human Rights (hereinafter “the Commission” or “the IACHR”) received a petition submitted by the Colombian Commission of Jurists (CCJ) and the </w:t>
      </w:r>
      <w:r w:rsidRPr="00BC4CC3">
        <w:rPr>
          <w:rFonts w:asciiTheme="majorHAnsi" w:hAnsiTheme="majorHAnsi" w:cs="Calibri"/>
          <w:i/>
          <w:snapToGrid w:val="0"/>
          <w:sz w:val="20"/>
          <w:szCs w:val="20"/>
          <w:bdr w:val="none" w:sz="0" w:space="0" w:color="auto"/>
        </w:rPr>
        <w:t>Asociación de familiares de detenidos desaparecidos</w:t>
      </w:r>
      <w:r w:rsidRPr="00BC4CC3">
        <w:rPr>
          <w:rFonts w:asciiTheme="majorHAnsi" w:hAnsiTheme="majorHAnsi" w:cs="Calibri"/>
          <w:snapToGrid w:val="0"/>
          <w:sz w:val="20"/>
          <w:szCs w:val="20"/>
          <w:bdr w:val="none" w:sz="0" w:space="0" w:color="auto"/>
        </w:rPr>
        <w:t xml:space="preserve"> (Association of Relatives of Disappeared Detained Persons, or ASFADDES)</w:t>
      </w:r>
      <w:r w:rsidRPr="00BC4CC3">
        <w:rPr>
          <w:rFonts w:asciiTheme="majorHAnsi" w:hAnsiTheme="majorHAnsi"/>
          <w:snapToGrid w:val="0"/>
          <w:sz w:val="20"/>
          <w:szCs w:val="20"/>
          <w:bdr w:val="none" w:sz="0" w:space="0" w:color="auto"/>
          <w:vertAlign w:val="superscript"/>
        </w:rPr>
        <w:footnoteReference w:id="2"/>
      </w:r>
      <w:r w:rsidRPr="00BC4CC3">
        <w:rPr>
          <w:rFonts w:asciiTheme="majorHAnsi" w:hAnsiTheme="majorHAnsi" w:cs="Calibri"/>
          <w:snapToGrid w:val="0"/>
          <w:sz w:val="20"/>
          <w:szCs w:val="20"/>
          <w:bdr w:val="none" w:sz="0" w:space="0" w:color="auto"/>
        </w:rPr>
        <w:t xml:space="preserve"> (hereinafter “the petitioners”), which alleges that the Republic of Colombia (hereinafter “the State” or “the Colombian State”) violated Articles 3 (right to juridical personality), 4 (right to life), 5 (right to humane treatment), 7 (right to personal liberty), 8 (right to a fair trial), 13 (freedom of thought and expression), 19 (rights of the child), and 25 (right to judicial protection), with respect to the obligation to respect and safeguar</w:t>
      </w:r>
      <w:r w:rsidR="00874750">
        <w:rPr>
          <w:rFonts w:asciiTheme="majorHAnsi" w:hAnsiTheme="majorHAnsi" w:cs="Calibri"/>
          <w:snapToGrid w:val="0"/>
          <w:sz w:val="20"/>
          <w:szCs w:val="20"/>
          <w:bdr w:val="none" w:sz="0" w:space="0" w:color="auto"/>
        </w:rPr>
        <w:t>d rights set forth in Article 1(</w:t>
      </w:r>
      <w:r w:rsidRPr="00BC4CC3">
        <w:rPr>
          <w:rFonts w:asciiTheme="majorHAnsi" w:hAnsiTheme="majorHAnsi" w:cs="Calibri"/>
          <w:snapToGrid w:val="0"/>
          <w:sz w:val="20"/>
          <w:szCs w:val="20"/>
          <w:bdr w:val="none" w:sz="0" w:space="0" w:color="auto"/>
        </w:rPr>
        <w:t>1</w:t>
      </w:r>
      <w:r w:rsidR="00874750">
        <w:rPr>
          <w:rFonts w:asciiTheme="majorHAnsi" w:hAnsiTheme="majorHAnsi" w:cs="Calibri"/>
          <w:snapToGrid w:val="0"/>
          <w:sz w:val="20"/>
          <w:szCs w:val="20"/>
          <w:bdr w:val="none" w:sz="0" w:space="0" w:color="auto"/>
        </w:rPr>
        <w:t>)</w:t>
      </w:r>
      <w:r w:rsidRPr="00BC4CC3">
        <w:rPr>
          <w:rFonts w:asciiTheme="majorHAnsi" w:hAnsiTheme="majorHAnsi" w:cs="Calibri"/>
          <w:snapToGrid w:val="0"/>
          <w:sz w:val="20"/>
          <w:szCs w:val="20"/>
          <w:bdr w:val="none" w:sz="0" w:space="0" w:color="auto"/>
        </w:rPr>
        <w:t xml:space="preserve"> of the American Convention on Human Rights (hereinafter the "American Convention" or “Convention”); as well as Articles I and III of the Inter-American Convention on Forced Disappearance of Persons (hereinafter “CIDFP”), to the detriment of Olga Luz Echavarría, Eliécer Pérez Morales, and their relatives.</w:t>
      </w:r>
      <w:r w:rsidRPr="00BC4CC3">
        <w:rPr>
          <w:rFonts w:asciiTheme="majorHAnsi" w:hAnsiTheme="majorHAnsi" w:cs="Calibri"/>
          <w:snapToGrid w:val="0"/>
          <w:sz w:val="20"/>
          <w:szCs w:val="20"/>
          <w:bdr w:val="none" w:sz="0" w:space="0" w:color="auto"/>
          <w:vertAlign w:val="superscript"/>
        </w:rPr>
        <w:footnoteReference w:id="3"/>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napToGrid w:val="0"/>
          <w:sz w:val="20"/>
          <w:szCs w:val="20"/>
          <w:bdr w:val="none" w:sz="0" w:space="0" w:color="auto"/>
        </w:rPr>
        <w:t>The petitioners maintain that, on March 28, 1990, in the municipality of Yarumal (Antioquia), the forced disappearance of Olga Luz Echavarría and Eliécer Pérez Morales (hereinafter “the alleged victims”) was committed by alleged government agents and that, to date, the parties responsible have not been tried, nor have reparations for the reported acts been made.  They invoked the exceptions, set forth in Article 46</w:t>
      </w:r>
      <w:r w:rsidR="00874750">
        <w:rPr>
          <w:rFonts w:asciiTheme="majorHAnsi" w:hAnsiTheme="majorHAnsi" w:cs="Calibri"/>
          <w:snapToGrid w:val="0"/>
          <w:sz w:val="20"/>
          <w:szCs w:val="20"/>
          <w:bdr w:val="none" w:sz="0" w:space="0" w:color="auto"/>
        </w:rPr>
        <w:t>(</w:t>
      </w:r>
      <w:r w:rsidRPr="00BC4CC3">
        <w:rPr>
          <w:rFonts w:asciiTheme="majorHAnsi" w:hAnsiTheme="majorHAnsi" w:cs="Calibri"/>
          <w:snapToGrid w:val="0"/>
          <w:sz w:val="20"/>
          <w:szCs w:val="20"/>
          <w:bdr w:val="none" w:sz="0" w:space="0" w:color="auto"/>
        </w:rPr>
        <w:t>2</w:t>
      </w:r>
      <w:r w:rsidR="00874750">
        <w:rPr>
          <w:rFonts w:asciiTheme="majorHAnsi" w:hAnsiTheme="majorHAnsi" w:cs="Calibri"/>
          <w:snapToGrid w:val="0"/>
          <w:sz w:val="20"/>
          <w:szCs w:val="20"/>
          <w:bdr w:val="none" w:sz="0" w:space="0" w:color="auto"/>
        </w:rPr>
        <w:t>)</w:t>
      </w:r>
      <w:r w:rsidRPr="00BC4CC3">
        <w:rPr>
          <w:rFonts w:asciiTheme="majorHAnsi" w:hAnsiTheme="majorHAnsi" w:cs="Calibri"/>
          <w:snapToGrid w:val="0"/>
          <w:sz w:val="20"/>
          <w:szCs w:val="20"/>
          <w:bdr w:val="none" w:sz="0" w:space="0" w:color="auto"/>
        </w:rPr>
        <w:t xml:space="preserve"> of the American Convention, to the requirement of prior exhaustion of domestic remedies.</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napToGrid w:val="0"/>
          <w:sz w:val="20"/>
          <w:szCs w:val="20"/>
          <w:bdr w:val="none" w:sz="0" w:space="0" w:color="auto"/>
        </w:rPr>
        <w:t>The State requested that the Commission declare the case inadmissible for failure to meet the requirement of prior exhaustion of domestic remedies set forth in Article 46</w:t>
      </w:r>
      <w:r w:rsidR="00874750">
        <w:rPr>
          <w:rFonts w:asciiTheme="majorHAnsi" w:hAnsiTheme="majorHAnsi" w:cs="Calibri"/>
          <w:snapToGrid w:val="0"/>
          <w:sz w:val="20"/>
          <w:szCs w:val="20"/>
          <w:bdr w:val="none" w:sz="0" w:space="0" w:color="auto"/>
        </w:rPr>
        <w:t>(</w:t>
      </w:r>
      <w:r w:rsidRPr="00BC4CC3">
        <w:rPr>
          <w:rFonts w:asciiTheme="majorHAnsi" w:hAnsiTheme="majorHAnsi" w:cs="Calibri"/>
          <w:snapToGrid w:val="0"/>
          <w:sz w:val="20"/>
          <w:szCs w:val="20"/>
          <w:bdr w:val="none" w:sz="0" w:space="0" w:color="auto"/>
        </w:rPr>
        <w:t>1</w:t>
      </w:r>
      <w:r w:rsidR="00874750">
        <w:rPr>
          <w:rFonts w:asciiTheme="majorHAnsi" w:hAnsiTheme="majorHAnsi" w:cs="Calibri"/>
          <w:snapToGrid w:val="0"/>
          <w:sz w:val="20"/>
          <w:szCs w:val="20"/>
          <w:bdr w:val="none" w:sz="0" w:space="0" w:color="auto"/>
        </w:rPr>
        <w:t>)(</w:t>
      </w:r>
      <w:r w:rsidRPr="00BC4CC3">
        <w:rPr>
          <w:rFonts w:asciiTheme="majorHAnsi" w:hAnsiTheme="majorHAnsi" w:cs="Calibri"/>
          <w:snapToGrid w:val="0"/>
          <w:sz w:val="20"/>
          <w:szCs w:val="20"/>
          <w:bdr w:val="none" w:sz="0" w:space="0" w:color="auto"/>
        </w:rPr>
        <w:t>a</w:t>
      </w:r>
      <w:r w:rsidR="00874750">
        <w:rPr>
          <w:rFonts w:asciiTheme="majorHAnsi" w:hAnsiTheme="majorHAnsi" w:cs="Calibri"/>
          <w:snapToGrid w:val="0"/>
          <w:sz w:val="20"/>
          <w:szCs w:val="20"/>
          <w:bdr w:val="none" w:sz="0" w:space="0" w:color="auto"/>
        </w:rPr>
        <w:t>)</w:t>
      </w:r>
      <w:r w:rsidRPr="00BC4CC3">
        <w:rPr>
          <w:rFonts w:asciiTheme="majorHAnsi" w:hAnsiTheme="majorHAnsi" w:cs="Calibri"/>
          <w:snapToGrid w:val="0"/>
          <w:sz w:val="20"/>
          <w:szCs w:val="20"/>
          <w:bdr w:val="none" w:sz="0" w:space="0" w:color="auto"/>
        </w:rPr>
        <w:t xml:space="preserve"> of the American Convention, and for </w:t>
      </w:r>
      <w:r w:rsidRPr="00BC4CC3">
        <w:rPr>
          <w:rFonts w:asciiTheme="majorHAnsi" w:hAnsiTheme="majorHAnsi"/>
          <w:sz w:val="20"/>
          <w:szCs w:val="20"/>
          <w:bdr w:val="none" w:sz="0" w:space="0" w:color="auto"/>
        </w:rPr>
        <w:t>failure to show that the acts were violations of the Convention.</w:t>
      </w:r>
      <w:r w:rsidRPr="00BC4CC3">
        <w:rPr>
          <w:rFonts w:asciiTheme="majorHAnsi" w:hAnsiTheme="majorHAnsi" w:cs="Calibri"/>
          <w:snapToGrid w:val="0"/>
          <w:sz w:val="20"/>
          <w:szCs w:val="20"/>
          <w:bdr w:val="none" w:sz="0" w:space="0" w:color="auto"/>
        </w:rPr>
        <w:t xml:space="preserve">  </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napToGrid w:val="0"/>
          <w:sz w:val="20"/>
          <w:szCs w:val="20"/>
          <w:bdr w:val="none" w:sz="0" w:space="0" w:color="auto"/>
        </w:rPr>
        <w:t xml:space="preserve">After studying the positions of the parties, the Commission concluded, without prejudging the merits, that it is competent to rule on the complaint submitted by the petitioners, and that the case is admissible under Articles 46 and 47 of the American Convention, as regards the alleged violations of rights enshrined in Articles </w:t>
      </w:r>
      <w:r w:rsidRPr="00BC4CC3">
        <w:rPr>
          <w:rFonts w:asciiTheme="majorHAnsi" w:hAnsiTheme="majorHAnsi" w:cs="Calibri"/>
          <w:sz w:val="20"/>
          <w:szCs w:val="20"/>
          <w:bdr w:val="none" w:sz="0" w:space="0" w:color="auto"/>
        </w:rPr>
        <w:t xml:space="preserve">3, 4, 5, 7, 8, 16, 19, and 25 of that </w:t>
      </w:r>
      <w:r w:rsidRPr="00BC4CC3">
        <w:rPr>
          <w:rFonts w:asciiTheme="majorHAnsi" w:hAnsiTheme="majorHAnsi" w:cs="Calibri"/>
          <w:snapToGrid w:val="0"/>
          <w:sz w:val="20"/>
          <w:szCs w:val="20"/>
          <w:bdr w:val="none" w:sz="0" w:space="0" w:color="auto"/>
        </w:rPr>
        <w:t>instrument, with respect t</w:t>
      </w:r>
      <w:r w:rsidR="00874750">
        <w:rPr>
          <w:rFonts w:asciiTheme="majorHAnsi" w:hAnsiTheme="majorHAnsi" w:cs="Calibri"/>
          <w:snapToGrid w:val="0"/>
          <w:sz w:val="20"/>
          <w:szCs w:val="20"/>
          <w:bdr w:val="none" w:sz="0" w:space="0" w:color="auto"/>
        </w:rPr>
        <w:t>o Article 1(</w:t>
      </w:r>
      <w:r w:rsidRPr="00BC4CC3">
        <w:rPr>
          <w:rFonts w:asciiTheme="majorHAnsi" w:hAnsiTheme="majorHAnsi" w:cs="Calibri"/>
          <w:snapToGrid w:val="0"/>
          <w:sz w:val="20"/>
          <w:szCs w:val="20"/>
          <w:bdr w:val="none" w:sz="0" w:space="0" w:color="auto"/>
        </w:rPr>
        <w:t>1</w:t>
      </w:r>
      <w:r w:rsidR="00874750">
        <w:rPr>
          <w:rFonts w:asciiTheme="majorHAnsi" w:hAnsiTheme="majorHAnsi" w:cs="Calibri"/>
          <w:snapToGrid w:val="0"/>
          <w:sz w:val="20"/>
          <w:szCs w:val="20"/>
          <w:bdr w:val="none" w:sz="0" w:space="0" w:color="auto"/>
        </w:rPr>
        <w:t>)</w:t>
      </w:r>
      <w:r w:rsidRPr="00BC4CC3">
        <w:rPr>
          <w:rFonts w:asciiTheme="majorHAnsi" w:hAnsiTheme="majorHAnsi" w:cs="Calibri"/>
          <w:snapToGrid w:val="0"/>
          <w:sz w:val="20"/>
          <w:szCs w:val="20"/>
          <w:bdr w:val="none" w:sz="0" w:space="0" w:color="auto"/>
        </w:rPr>
        <w:t xml:space="preserve"> of the same, as well as Articles I and III of the Inter-American Convention on Forced Disappearance of Persons. The Commission finds inadmissible the petitioners' claim regarding Article 13.</w:t>
      </w:r>
      <w:r w:rsidRPr="00BC4CC3">
        <w:rPr>
          <w:rFonts w:asciiTheme="majorHAnsi" w:hAnsiTheme="majorHAnsi"/>
          <w:sz w:val="20"/>
          <w:szCs w:val="20"/>
        </w:rPr>
        <w:t xml:space="preserve"> </w:t>
      </w:r>
      <w:r w:rsidRPr="00BC4CC3">
        <w:rPr>
          <w:rFonts w:asciiTheme="majorHAnsi" w:hAnsiTheme="majorHAnsi" w:cs="Calibri"/>
          <w:snapToGrid w:val="0"/>
          <w:sz w:val="20"/>
          <w:szCs w:val="20"/>
          <w:bdr w:val="none" w:sz="0" w:space="0" w:color="auto"/>
        </w:rPr>
        <w:t>Lastly, the Commission has decided to notify both parties of this decision and to order that this report be published and included in its Annual Report to the General Assembly of the Organization of American States.</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b/>
          <w:sz w:val="20"/>
          <w:szCs w:val="20"/>
          <w:bdr w:val="none" w:sz="0" w:space="0" w:color="auto"/>
        </w:rPr>
      </w:pPr>
      <w:r w:rsidRPr="00BC4CC3">
        <w:rPr>
          <w:rFonts w:asciiTheme="majorHAnsi" w:hAnsiTheme="majorHAnsi"/>
          <w:b/>
          <w:sz w:val="20"/>
          <w:szCs w:val="20"/>
          <w:bdr w:val="none" w:sz="0" w:space="0" w:color="auto"/>
        </w:rPr>
        <w:t>PROCEEDINGS BEFORE THE IACHR</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B33241" w:rsidRPr="00BC4CC3" w:rsidRDefault="00B33241" w:rsidP="006B5AB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mbria" w:hAnsiTheme="majorHAnsi" w:cs="Calibri"/>
          <w:snapToGrid w:val="0"/>
          <w:sz w:val="20"/>
          <w:szCs w:val="20"/>
          <w:u w:color="000000"/>
          <w:bdr w:val="none" w:sz="0" w:space="0" w:color="auto"/>
          <w:lang w:eastAsia="es-ES"/>
        </w:rPr>
      </w:pPr>
      <w:r w:rsidRPr="00BC4CC3">
        <w:rPr>
          <w:rFonts w:asciiTheme="majorHAnsi" w:eastAsia="Cambria" w:hAnsiTheme="majorHAnsi" w:cs="Calibri"/>
          <w:snapToGrid w:val="0"/>
          <w:sz w:val="20"/>
          <w:szCs w:val="20"/>
          <w:u w:color="000000"/>
          <w:bdr w:val="none" w:sz="0" w:space="0" w:color="auto"/>
          <w:lang w:eastAsia="es-ES"/>
        </w:rPr>
        <w:t xml:space="preserve">The petition was received on August 8, 1997, and recorded under No. 11.794. On August 22, 1997, the pertinent sections were transmitted to the State, which was granted a period of three months in which to submit its observations. The State submitted its observations on April 18, 2001, and on November 1, 2013, these notes were transmitted to the petitioners. For their part, the petitioners, on March </w:t>
      </w:r>
      <w:r w:rsidRPr="00BC4CC3">
        <w:rPr>
          <w:rFonts w:asciiTheme="majorHAnsi" w:eastAsia="Calibri" w:hAnsiTheme="majorHAnsi" w:cs="Cambria"/>
          <w:sz w:val="20"/>
          <w:szCs w:val="20"/>
          <w:u w:color="000000"/>
          <w:bdr w:val="none" w:sz="0" w:space="0" w:color="auto"/>
          <w:lang w:eastAsia="es-ES"/>
        </w:rPr>
        <w:t>27, 2000, added representatives and</w:t>
      </w:r>
      <w:r w:rsidRPr="00BC4CC3">
        <w:rPr>
          <w:rFonts w:asciiTheme="majorHAnsi" w:eastAsia="Cambria" w:hAnsiTheme="majorHAnsi" w:cs="Calibri"/>
          <w:snapToGrid w:val="0"/>
          <w:sz w:val="20"/>
          <w:szCs w:val="20"/>
          <w:u w:color="000000"/>
          <w:bdr w:val="none" w:sz="0" w:space="0" w:color="auto"/>
          <w:lang w:eastAsia="es-ES"/>
        </w:rPr>
        <w:t xml:space="preserve"> presented observations or further information on November 3, 1997</w:t>
      </w:r>
      <w:r w:rsidRPr="00BC4CC3">
        <w:rPr>
          <w:rFonts w:asciiTheme="majorHAnsi" w:eastAsia="Calibri" w:hAnsiTheme="majorHAnsi" w:cs="Cambria"/>
          <w:sz w:val="20"/>
          <w:szCs w:val="20"/>
          <w:u w:color="000000"/>
          <w:bdr w:val="none" w:sz="0" w:space="0" w:color="auto"/>
          <w:lang w:eastAsia="es-ES"/>
        </w:rPr>
        <w:t xml:space="preserve">, March </w:t>
      </w:r>
      <w:r w:rsidRPr="00BC4CC3">
        <w:rPr>
          <w:rFonts w:asciiTheme="majorHAnsi" w:eastAsia="Cambria" w:hAnsiTheme="majorHAnsi" w:cs="Calibri"/>
          <w:snapToGrid w:val="0"/>
          <w:sz w:val="20"/>
          <w:szCs w:val="20"/>
          <w:u w:color="000000"/>
          <w:bdr w:val="none" w:sz="0" w:space="0" w:color="auto"/>
          <w:lang w:eastAsia="es-ES"/>
        </w:rPr>
        <w:t xml:space="preserve">2, </w:t>
      </w:r>
      <w:r w:rsidRPr="00BC4CC3">
        <w:rPr>
          <w:rFonts w:asciiTheme="majorHAnsi" w:eastAsia="Cambria" w:hAnsiTheme="majorHAnsi" w:cs="Calibri"/>
          <w:snapToGrid w:val="0"/>
          <w:sz w:val="20"/>
          <w:szCs w:val="20"/>
          <w:u w:color="000000"/>
          <w:bdr w:val="none" w:sz="0" w:space="0" w:color="auto"/>
          <w:lang w:eastAsia="es-ES"/>
        </w:rPr>
        <w:lastRenderedPageBreak/>
        <w:t>2001, June 5, 2012, and November 19, 2013.</w:t>
      </w:r>
      <w:r w:rsidRPr="00BC4CC3">
        <w:rPr>
          <w:rFonts w:asciiTheme="majorHAnsi" w:eastAsia="Calibri" w:hAnsiTheme="majorHAnsi" w:cs="Cambria"/>
          <w:sz w:val="20"/>
          <w:szCs w:val="20"/>
          <w:u w:color="000000"/>
          <w:bdr w:val="none" w:sz="0" w:space="0" w:color="auto"/>
          <w:lang w:eastAsia="es-ES"/>
        </w:rPr>
        <w:t xml:space="preserve"> These </w:t>
      </w:r>
      <w:r w:rsidRPr="00BC4CC3">
        <w:rPr>
          <w:rFonts w:asciiTheme="majorHAnsi" w:eastAsia="Cambria" w:hAnsiTheme="majorHAnsi" w:cs="Calibri"/>
          <w:snapToGrid w:val="0"/>
          <w:sz w:val="20"/>
          <w:szCs w:val="20"/>
          <w:u w:color="000000"/>
          <w:bdr w:val="none" w:sz="0" w:space="0" w:color="auto"/>
          <w:lang w:eastAsia="es-ES"/>
        </w:rPr>
        <w:t>communications were transmitted to the State.</w:t>
      </w:r>
      <w:r w:rsidR="006B5AB4" w:rsidRPr="00BC4CC3">
        <w:rPr>
          <w:rFonts w:asciiTheme="majorHAnsi" w:eastAsia="Cambria" w:hAnsiTheme="majorHAnsi" w:cs="Calibri"/>
          <w:snapToGrid w:val="0"/>
          <w:sz w:val="20"/>
          <w:szCs w:val="20"/>
          <w:u w:color="000000"/>
          <w:bdr w:val="none" w:sz="0" w:space="0" w:color="auto"/>
          <w:lang w:eastAsia="es-ES"/>
        </w:rPr>
        <w:t xml:space="preserve"> Finally, a communication from the petitioners was received on July 23, 2015</w:t>
      </w:r>
      <w:r w:rsidR="001800EE" w:rsidRPr="00BC4CC3">
        <w:rPr>
          <w:rStyle w:val="FootnoteReference"/>
          <w:rFonts w:asciiTheme="majorHAnsi" w:eastAsia="Cambria" w:hAnsiTheme="majorHAnsi"/>
          <w:snapToGrid w:val="0"/>
          <w:sz w:val="20"/>
          <w:szCs w:val="20"/>
          <w:u w:color="000000"/>
          <w:bdr w:val="none" w:sz="0" w:space="0" w:color="auto"/>
          <w:lang w:eastAsia="es-ES"/>
        </w:rPr>
        <w:footnoteReference w:id="4"/>
      </w:r>
      <w:r w:rsidR="006B5AB4" w:rsidRPr="00BC4CC3">
        <w:rPr>
          <w:rFonts w:asciiTheme="majorHAnsi" w:eastAsia="Cambria" w:hAnsiTheme="majorHAnsi" w:cs="Calibri"/>
          <w:snapToGrid w:val="0"/>
          <w:sz w:val="20"/>
          <w:szCs w:val="20"/>
          <w:u w:color="000000"/>
          <w:bdr w:val="none" w:sz="0" w:space="0" w:color="auto"/>
          <w:lang w:eastAsia="es-ES"/>
        </w:rPr>
        <w:t>.</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BC4CC3">
        <w:rPr>
          <w:rFonts w:asciiTheme="majorHAnsi" w:eastAsia="Cambria" w:hAnsiTheme="majorHAnsi" w:cs="Cambria"/>
          <w:sz w:val="20"/>
          <w:szCs w:val="20"/>
          <w:u w:color="000000"/>
          <w:lang w:eastAsia="es-ES"/>
        </w:rPr>
        <w:t xml:space="preserve">During the proceedings, the IACHR held a public hearing, on February </w:t>
      </w:r>
      <w:r w:rsidRPr="00BC4CC3">
        <w:rPr>
          <w:rFonts w:asciiTheme="majorHAnsi" w:eastAsia="Cambria" w:hAnsiTheme="majorHAnsi" w:cs="Calibri"/>
          <w:snapToGrid w:val="0"/>
          <w:sz w:val="20"/>
          <w:szCs w:val="20"/>
          <w:u w:color="000000"/>
          <w:bdr w:val="none" w:sz="0" w:space="0" w:color="auto"/>
          <w:lang w:eastAsia="es-ES"/>
        </w:rPr>
        <w:t>27, 2001</w:t>
      </w:r>
      <w:r w:rsidRPr="00BC4CC3">
        <w:rPr>
          <w:rFonts w:asciiTheme="majorHAnsi" w:eastAsia="Cambria" w:hAnsiTheme="majorHAnsi" w:cs="Cambria"/>
          <w:sz w:val="20"/>
          <w:szCs w:val="20"/>
          <w:u w:color="000000"/>
          <w:lang w:eastAsia="es-ES"/>
        </w:rPr>
        <w:t xml:space="preserve"> (110th regular period of sessions), at which the State proposed incorporating this case into the friendly settlement process concerning the </w:t>
      </w:r>
      <w:r w:rsidRPr="00BC4CC3">
        <w:rPr>
          <w:rFonts w:asciiTheme="majorHAnsi" w:eastAsia="Cambria" w:hAnsiTheme="majorHAnsi" w:cs="Cambria"/>
          <w:i/>
          <w:sz w:val="20"/>
          <w:szCs w:val="20"/>
          <w:u w:color="000000"/>
          <w:lang w:eastAsia="es-ES"/>
        </w:rPr>
        <w:t>Unión Patriótica</w:t>
      </w:r>
      <w:r w:rsidRPr="00BC4CC3">
        <w:rPr>
          <w:rFonts w:asciiTheme="majorHAnsi" w:eastAsia="Cambria" w:hAnsiTheme="majorHAnsi" w:cs="Cambria"/>
          <w:sz w:val="20"/>
          <w:szCs w:val="20"/>
          <w:u w:color="000000"/>
          <w:lang w:eastAsia="es-ES"/>
        </w:rPr>
        <w:t xml:space="preserve"> that was then under way before the IACHR (case 11.227). On January </w:t>
      </w:r>
      <w:r w:rsidRPr="00BC4CC3">
        <w:rPr>
          <w:rFonts w:asciiTheme="majorHAnsi" w:eastAsia="Cambria" w:hAnsiTheme="majorHAnsi" w:cs="Calibri"/>
          <w:snapToGrid w:val="0"/>
          <w:sz w:val="20"/>
          <w:szCs w:val="20"/>
          <w:u w:color="000000"/>
          <w:bdr w:val="none" w:sz="0" w:space="0" w:color="auto"/>
          <w:lang w:eastAsia="es-ES"/>
        </w:rPr>
        <w:t>12, 2007,</w:t>
      </w:r>
      <w:r w:rsidRPr="00BC4CC3">
        <w:rPr>
          <w:rFonts w:asciiTheme="majorHAnsi" w:eastAsia="Cambria" w:hAnsiTheme="majorHAnsi" w:cs="Cambria"/>
          <w:sz w:val="20"/>
          <w:szCs w:val="20"/>
          <w:u w:color="000000"/>
          <w:lang w:eastAsia="es-ES"/>
        </w:rPr>
        <w:t xml:space="preserve"> the petitioners expressed their wish to continue the separate processing of this case and, on March </w:t>
      </w:r>
      <w:r w:rsidRPr="00BC4CC3">
        <w:rPr>
          <w:rFonts w:asciiTheme="majorHAnsi" w:eastAsia="Cambria" w:hAnsiTheme="majorHAnsi" w:cs="Calibri"/>
          <w:snapToGrid w:val="0"/>
          <w:sz w:val="20"/>
          <w:szCs w:val="20"/>
          <w:u w:color="000000"/>
          <w:bdr w:val="none" w:sz="0" w:space="0" w:color="auto"/>
          <w:lang w:eastAsia="es-ES"/>
        </w:rPr>
        <w:t xml:space="preserve">25, 2009, they requested that the case be divided into two separate proceedings. </w:t>
      </w:r>
    </w:p>
    <w:p w:rsidR="00B33241" w:rsidRPr="00BC4CC3" w:rsidRDefault="00B33241" w:rsidP="00A4354E">
      <w:pPr>
        <w:ind w:left="720"/>
        <w:rPr>
          <w:rFonts w:asciiTheme="majorHAnsi" w:eastAsia="Cambria" w:hAnsiTheme="majorHAnsi" w:cs="Cambria"/>
          <w:sz w:val="20"/>
          <w:szCs w:val="20"/>
          <w:u w:color="000000"/>
          <w:lang w:eastAsia="es-ES"/>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sz w:val="20"/>
          <w:szCs w:val="20"/>
          <w:u w:color="000000"/>
          <w:bdr w:val="none" w:sz="0" w:space="0" w:color="auto"/>
          <w:lang w:eastAsia="es-ES"/>
        </w:rPr>
      </w:pPr>
      <w:r w:rsidRPr="00BC4CC3">
        <w:rPr>
          <w:rFonts w:asciiTheme="majorHAnsi" w:eastAsia="Cambria" w:hAnsiTheme="majorHAnsi" w:cs="Cambria"/>
          <w:sz w:val="20"/>
          <w:szCs w:val="20"/>
          <w:u w:color="000000"/>
          <w:lang w:eastAsia="es-ES"/>
        </w:rPr>
        <w:t>On June 2, 2012, the IACHR deci</w:t>
      </w:r>
      <w:r w:rsidR="00874750">
        <w:rPr>
          <w:rFonts w:asciiTheme="majorHAnsi" w:eastAsia="Cambria" w:hAnsiTheme="majorHAnsi" w:cs="Cambria"/>
          <w:sz w:val="20"/>
          <w:szCs w:val="20"/>
          <w:u w:color="000000"/>
          <w:lang w:eastAsia="es-ES"/>
        </w:rPr>
        <w:t>ded, on the basis of Article 29(</w:t>
      </w:r>
      <w:r w:rsidRPr="00BC4CC3">
        <w:rPr>
          <w:rFonts w:asciiTheme="majorHAnsi" w:eastAsia="Cambria" w:hAnsiTheme="majorHAnsi" w:cs="Cambria"/>
          <w:sz w:val="20"/>
          <w:szCs w:val="20"/>
          <w:u w:color="000000"/>
          <w:lang w:eastAsia="es-ES"/>
        </w:rPr>
        <w:t>1</w:t>
      </w:r>
      <w:r w:rsidR="00874750">
        <w:rPr>
          <w:rFonts w:asciiTheme="majorHAnsi" w:eastAsia="Cambria" w:hAnsiTheme="majorHAnsi" w:cs="Cambria"/>
          <w:sz w:val="20"/>
          <w:szCs w:val="20"/>
          <w:u w:color="000000"/>
          <w:lang w:eastAsia="es-ES"/>
        </w:rPr>
        <w:t>)(</w:t>
      </w:r>
      <w:r w:rsidRPr="00BC4CC3">
        <w:rPr>
          <w:rFonts w:asciiTheme="majorHAnsi" w:eastAsia="Cambria" w:hAnsiTheme="majorHAnsi" w:cs="Cambria"/>
          <w:sz w:val="20"/>
          <w:szCs w:val="20"/>
          <w:u w:color="000000"/>
          <w:lang w:eastAsia="es-ES"/>
        </w:rPr>
        <w:t>c</w:t>
      </w:r>
      <w:r w:rsidR="00874750">
        <w:rPr>
          <w:rFonts w:asciiTheme="majorHAnsi" w:eastAsia="Cambria" w:hAnsiTheme="majorHAnsi" w:cs="Cambria"/>
          <w:sz w:val="20"/>
          <w:szCs w:val="20"/>
          <w:u w:color="000000"/>
          <w:lang w:eastAsia="es-ES"/>
        </w:rPr>
        <w:t>)</w:t>
      </w:r>
      <w:r w:rsidRPr="00BC4CC3">
        <w:rPr>
          <w:rFonts w:asciiTheme="majorHAnsi" w:eastAsia="Cambria" w:hAnsiTheme="majorHAnsi" w:cs="Cambria"/>
          <w:sz w:val="20"/>
          <w:szCs w:val="20"/>
          <w:u w:color="000000"/>
          <w:lang w:eastAsia="es-ES"/>
        </w:rPr>
        <w:t xml:space="preserve"> of its Rules of Procedure, to divide this petition and process separately the allegations made concerning the Campame</w:t>
      </w:r>
      <w:r w:rsidR="00874750">
        <w:rPr>
          <w:rFonts w:asciiTheme="majorHAnsi" w:eastAsia="Cambria" w:hAnsiTheme="majorHAnsi" w:cs="Cambria"/>
          <w:sz w:val="20"/>
          <w:szCs w:val="20"/>
          <w:u w:color="000000"/>
          <w:lang w:eastAsia="es-ES"/>
        </w:rPr>
        <w:t xml:space="preserve">nto Massacre, issuing petition </w:t>
      </w:r>
      <w:r w:rsidRPr="00BC4CC3">
        <w:rPr>
          <w:rFonts w:asciiTheme="majorHAnsi" w:eastAsia="Cambria" w:hAnsiTheme="majorHAnsi" w:cs="Cambria"/>
          <w:sz w:val="20"/>
          <w:szCs w:val="20"/>
          <w:u w:color="000000"/>
          <w:lang w:eastAsia="es-ES"/>
        </w:rPr>
        <w:t>467-97, since this petition dealt with alleged acts occurring on June 5, 1990, in the municipality of Campamento, Department of Antioquia, pertaining to the alleged extrajudicial execution of six persons.</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snapToGrid w:val="0"/>
          <w:sz w:val="20"/>
          <w:szCs w:val="20"/>
          <w:bdr w:val="none" w:sz="0" w:space="0" w:color="auto"/>
        </w:rPr>
      </w:pPr>
      <w:r w:rsidRPr="00BC4CC3">
        <w:rPr>
          <w:rFonts w:asciiTheme="majorHAnsi" w:hAnsiTheme="majorHAnsi"/>
          <w:b/>
          <w:snapToGrid w:val="0"/>
          <w:sz w:val="20"/>
          <w:szCs w:val="20"/>
          <w:bdr w:val="none" w:sz="0" w:space="0" w:color="auto"/>
        </w:rPr>
        <w:t xml:space="preserve"> </w:t>
      </w:r>
    </w:p>
    <w:p w:rsidR="00B33241" w:rsidRPr="00BC4CC3" w:rsidRDefault="00B33241" w:rsidP="00A4354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hAnsiTheme="majorHAnsi"/>
          <w:b/>
          <w:snapToGrid w:val="0"/>
          <w:sz w:val="20"/>
          <w:szCs w:val="20"/>
          <w:bdr w:val="none" w:sz="0" w:space="0" w:color="auto"/>
        </w:rPr>
      </w:pPr>
      <w:r w:rsidRPr="00BC4CC3">
        <w:rPr>
          <w:rFonts w:asciiTheme="majorHAnsi" w:hAnsiTheme="majorHAnsi"/>
          <w:b/>
          <w:sz w:val="20"/>
          <w:szCs w:val="20"/>
          <w:bdr w:val="none" w:sz="0" w:space="0" w:color="auto"/>
        </w:rPr>
        <w:t>POSITIONS OF THE PARTIES</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b/>
          <w:snapToGrid w:val="0"/>
          <w:sz w:val="20"/>
          <w:szCs w:val="20"/>
          <w:bdr w:val="none" w:sz="0" w:space="0" w:color="auto"/>
        </w:rPr>
      </w:pPr>
    </w:p>
    <w:p w:rsidR="00B33241" w:rsidRPr="00BC4CC3" w:rsidRDefault="00B33241" w:rsidP="00A4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rPr>
      </w:pPr>
      <w:r w:rsidRPr="00BC4CC3">
        <w:rPr>
          <w:rFonts w:asciiTheme="majorHAnsi" w:hAnsiTheme="majorHAnsi"/>
          <w:b/>
          <w:sz w:val="20"/>
          <w:szCs w:val="20"/>
          <w:bdr w:val="none" w:sz="0" w:space="0" w:color="auto"/>
        </w:rPr>
        <w:t xml:space="preserve">Position of the petitioners </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Theme="majorHAnsi" w:hAnsiTheme="majorHAnsi"/>
          <w:snapToGrid w:val="0"/>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BC4CC3">
        <w:rPr>
          <w:rFonts w:asciiTheme="majorHAnsi" w:eastAsia="Cambria" w:hAnsiTheme="majorHAnsi" w:cs="Calibri"/>
          <w:snapToGrid w:val="0"/>
          <w:sz w:val="20"/>
          <w:szCs w:val="20"/>
          <w:u w:color="000000"/>
          <w:bdr w:val="none" w:sz="0" w:space="0" w:color="auto"/>
          <w:lang w:eastAsia="es-ES"/>
        </w:rPr>
        <w:t xml:space="preserve">As background, the petitioners indicate that, at the time of the events, Olga Luz Echavarría Areiza was of minor age (17) and was around three months pregnant. Eliécer Pérez Morales was 29 years old. Eliécer Pérez Morales worked as a farmer and, at the time of the events, apparently was undergoing medical treatment for a heart problem. They state that both individuals were </w:t>
      </w:r>
      <w:r w:rsidRPr="00BC4CC3">
        <w:rPr>
          <w:rFonts w:asciiTheme="majorHAnsi" w:eastAsia="Cambria" w:hAnsiTheme="majorHAnsi" w:cs="Cambria"/>
          <w:sz w:val="20"/>
          <w:szCs w:val="20"/>
          <w:u w:color="000000"/>
          <w:bdr w:val="none" w:sz="0" w:space="0" w:color="auto"/>
          <w:lang w:eastAsia="es-ES"/>
        </w:rPr>
        <w:t xml:space="preserve">militants in the political movement </w:t>
      </w:r>
      <w:r w:rsidRPr="00BC4CC3">
        <w:rPr>
          <w:rFonts w:asciiTheme="majorHAnsi" w:eastAsia="Cambria" w:hAnsiTheme="majorHAnsi" w:cs="Cambria"/>
          <w:i/>
          <w:iCs/>
          <w:sz w:val="20"/>
          <w:szCs w:val="20"/>
          <w:u w:color="000000"/>
          <w:bdr w:val="none" w:sz="0" w:space="0" w:color="auto"/>
          <w:lang w:eastAsia="es-ES"/>
        </w:rPr>
        <w:t xml:space="preserve">Unión Patriótica </w:t>
      </w:r>
      <w:r w:rsidRPr="00BC4CC3">
        <w:rPr>
          <w:rFonts w:asciiTheme="majorHAnsi" w:eastAsia="Cambria" w:hAnsiTheme="majorHAnsi" w:cs="Cambria"/>
          <w:sz w:val="20"/>
          <w:szCs w:val="20"/>
          <w:u w:color="000000"/>
          <w:bdr w:val="none" w:sz="0" w:space="0" w:color="auto"/>
          <w:lang w:eastAsia="es-ES"/>
        </w:rPr>
        <w:t xml:space="preserve">(hereinafter “UP”), in the </w:t>
      </w:r>
      <w:r w:rsidRPr="00BC4CC3">
        <w:rPr>
          <w:rFonts w:asciiTheme="majorHAnsi" w:eastAsia="Cambria" w:hAnsiTheme="majorHAnsi" w:cs="Calibri"/>
          <w:snapToGrid w:val="0"/>
          <w:sz w:val="20"/>
          <w:szCs w:val="20"/>
          <w:u w:color="000000"/>
          <w:bdr w:val="none" w:sz="0" w:space="0" w:color="auto"/>
          <w:lang w:eastAsia="es-ES"/>
        </w:rPr>
        <w:t>municipality of Yarumal, Department of Antioquia, and</w:t>
      </w:r>
      <w:r w:rsidRPr="00BC4CC3">
        <w:rPr>
          <w:rFonts w:asciiTheme="majorHAnsi" w:eastAsia="Cambria" w:hAnsiTheme="majorHAnsi" w:cs="Cambria"/>
          <w:sz w:val="20"/>
          <w:szCs w:val="20"/>
          <w:u w:color="000000"/>
          <w:bdr w:val="none" w:sz="0" w:space="0" w:color="auto"/>
          <w:lang w:eastAsia="es-ES"/>
        </w:rPr>
        <w:t xml:space="preserve"> that their forced disappearance took place in a context of systematic extermination of the UP's leaders, militants, sympathizers, and social and electoral grassroots</w:t>
      </w:r>
      <w:r w:rsidRPr="00BC4CC3">
        <w:rPr>
          <w:rFonts w:asciiTheme="majorHAnsi" w:eastAsia="Cambria" w:hAnsiTheme="majorHAnsi" w:cs="Cambria"/>
          <w:sz w:val="20"/>
          <w:szCs w:val="20"/>
          <w:u w:color="000000"/>
          <w:bdr w:val="none" w:sz="0" w:space="0" w:color="auto"/>
          <w:vertAlign w:val="superscript"/>
          <w:lang w:eastAsia="es-ES"/>
        </w:rPr>
        <w:footnoteReference w:id="5"/>
      </w:r>
      <w:r w:rsidRPr="00BC4CC3">
        <w:rPr>
          <w:rFonts w:asciiTheme="majorHAnsi" w:eastAsia="Cambria" w:hAnsiTheme="majorHAnsi" w:cs="Cambria"/>
          <w:sz w:val="20"/>
          <w:szCs w:val="20"/>
          <w:u w:color="000000"/>
          <w:bdr w:val="none" w:sz="0" w:space="0" w:color="auto"/>
          <w:lang w:eastAsia="es-ES"/>
        </w:rPr>
        <w:t>.</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mbria"/>
          <w:sz w:val="20"/>
          <w:szCs w:val="20"/>
          <w:u w:color="000000"/>
          <w:bdr w:val="none" w:sz="0" w:space="0" w:color="auto"/>
          <w:lang w:eastAsia="es-ES"/>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As for the local context in the municipality of Yarumal, they state that, between 1986 and 1988, the UP appeared in the region as a political party organization and met with support among the inhabitants and in the social and rural people's movements. They state that, in parallel to the appearance of the UP, systematic massacres took place in various villages in the area, in which the UP had strong political influence.  They allege that, since the 1980s, the presence and activities of paramilitary groups had been seen in the area in a series of violent acts</w:t>
      </w:r>
      <w:r w:rsidRPr="00BC4CC3">
        <w:rPr>
          <w:rFonts w:asciiTheme="majorHAnsi" w:eastAsia="Cambria" w:hAnsiTheme="majorHAnsi" w:cs="Cambria"/>
          <w:sz w:val="20"/>
          <w:szCs w:val="20"/>
          <w:u w:color="000000"/>
          <w:bdr w:val="none" w:sz="0" w:space="0" w:color="auto"/>
          <w:vertAlign w:val="superscript"/>
          <w:lang w:eastAsia="es-ES"/>
        </w:rPr>
        <w:footnoteReference w:id="6"/>
      </w:r>
      <w:r w:rsidRPr="00BC4CC3">
        <w:rPr>
          <w:rFonts w:asciiTheme="majorHAnsi" w:eastAsia="Cambria" w:hAnsiTheme="majorHAnsi" w:cs="Cambria"/>
          <w:sz w:val="20"/>
          <w:szCs w:val="20"/>
          <w:u w:color="000000"/>
          <w:bdr w:val="none" w:sz="0" w:space="0" w:color="auto"/>
          <w:lang w:eastAsia="es-ES"/>
        </w:rPr>
        <w:t>, and that, in the 1990s, a local paramilitary group called “The Twelve Apostles” appeared, with its base of operations in the urban area of Yarumal, from where it ordered extrajudicial executions of villagers. They state that this group consisted of government forces and former members of the “</w:t>
      </w:r>
      <w:r w:rsidRPr="00BC4CC3">
        <w:rPr>
          <w:rFonts w:asciiTheme="majorHAnsi" w:eastAsia="Cambria" w:hAnsiTheme="majorHAnsi" w:cs="Cambria"/>
          <w:i/>
          <w:iCs/>
          <w:sz w:val="20"/>
          <w:szCs w:val="20"/>
          <w:u w:color="000000"/>
          <w:bdr w:val="none" w:sz="0" w:space="0" w:color="auto"/>
          <w:lang w:eastAsia="es-ES"/>
        </w:rPr>
        <w:t xml:space="preserve">Sección de orden ciudadano municipal” </w:t>
      </w:r>
      <w:r w:rsidRPr="00BC4CC3">
        <w:rPr>
          <w:rFonts w:asciiTheme="majorHAnsi" w:eastAsia="Cambria" w:hAnsiTheme="majorHAnsi" w:cs="Cambria"/>
          <w:sz w:val="20"/>
          <w:szCs w:val="20"/>
          <w:u w:color="000000"/>
          <w:bdr w:val="none" w:sz="0" w:space="0" w:color="auto"/>
          <w:lang w:eastAsia="es-ES"/>
        </w:rPr>
        <w:t>(Citizens' Municipal Order Section, or SOC), a “legal” paramilitary group, later disbanded</w:t>
      </w:r>
      <w:r w:rsidRPr="00BC4CC3">
        <w:rPr>
          <w:rFonts w:asciiTheme="majorHAnsi" w:eastAsia="Cambria" w:hAnsiTheme="majorHAnsi" w:cs="Cambria"/>
          <w:sz w:val="20"/>
          <w:szCs w:val="20"/>
          <w:u w:color="000000"/>
          <w:bdr w:val="none" w:sz="0" w:space="0" w:color="auto"/>
          <w:vertAlign w:val="superscript"/>
          <w:lang w:eastAsia="es-ES"/>
        </w:rPr>
        <w:footnoteReference w:id="7"/>
      </w:r>
      <w:r w:rsidRPr="00BC4CC3">
        <w:rPr>
          <w:rFonts w:asciiTheme="majorHAnsi" w:eastAsia="Cambria" w:hAnsiTheme="majorHAnsi" w:cs="Cambria"/>
          <w:sz w:val="20"/>
          <w:szCs w:val="20"/>
          <w:u w:color="000000"/>
          <w:bdr w:val="none" w:sz="0" w:space="0" w:color="auto"/>
          <w:lang w:eastAsia="es-ES"/>
        </w:rPr>
        <w:t>.</w:t>
      </w:r>
    </w:p>
    <w:p w:rsidR="00B33241" w:rsidRPr="00BC4CC3" w:rsidRDefault="00B33241" w:rsidP="00A4354E">
      <w:pPr>
        <w:ind w:left="720"/>
        <w:rPr>
          <w:rFonts w:asciiTheme="majorHAnsi" w:eastAsia="Cambria" w:hAnsiTheme="majorHAnsi" w:cs="Calibri"/>
          <w:snapToGrid w:val="0"/>
          <w:sz w:val="20"/>
          <w:szCs w:val="20"/>
          <w:u w:color="000000"/>
          <w:bdr w:val="none" w:sz="0" w:space="0" w:color="auto"/>
          <w:lang w:eastAsia="es-ES"/>
        </w:rPr>
      </w:pPr>
    </w:p>
    <w:p w:rsidR="00B33241" w:rsidRPr="00BC4CC3" w:rsidRDefault="00B33241" w:rsidP="00EF1D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BC4CC3">
        <w:rPr>
          <w:rFonts w:asciiTheme="majorHAnsi" w:eastAsia="Cambria" w:hAnsiTheme="majorHAnsi" w:cs="Calibri"/>
          <w:snapToGrid w:val="0"/>
          <w:sz w:val="20"/>
          <w:szCs w:val="20"/>
          <w:u w:color="000000"/>
          <w:bdr w:val="none" w:sz="0" w:space="0" w:color="auto"/>
          <w:lang w:eastAsia="es-ES"/>
        </w:rPr>
        <w:t xml:space="preserve">The events described in this petition allegedly occurred on March 28, 1990. At approximately 11:00 a.m., Olga Luz Echavarría Areiza and Eliécer Pérez Morales were in the vicinity of the market square in the municipality of Yarumal (Antioquia) and the headquarters of the </w:t>
      </w:r>
      <w:r w:rsidRPr="00BC4CC3">
        <w:rPr>
          <w:rFonts w:asciiTheme="majorHAnsi" w:eastAsia="Cambria" w:hAnsiTheme="majorHAnsi" w:cs="Calibri"/>
          <w:i/>
          <w:snapToGrid w:val="0"/>
          <w:sz w:val="20"/>
          <w:szCs w:val="20"/>
          <w:u w:color="000000"/>
          <w:bdr w:val="none" w:sz="0" w:space="0" w:color="auto"/>
          <w:lang w:eastAsia="es-ES"/>
        </w:rPr>
        <w:t>Coonorte</w:t>
      </w:r>
      <w:r w:rsidRPr="00BC4CC3">
        <w:rPr>
          <w:rFonts w:asciiTheme="majorHAnsi" w:eastAsia="Cambria" w:hAnsiTheme="majorHAnsi" w:cs="Calibri"/>
          <w:snapToGrid w:val="0"/>
          <w:sz w:val="20"/>
          <w:szCs w:val="20"/>
          <w:u w:color="000000"/>
          <w:bdr w:val="none" w:sz="0" w:space="0" w:color="auto"/>
          <w:lang w:eastAsia="es-ES"/>
        </w:rPr>
        <w:t xml:space="preserve"> public transportation company when they were detained by members of the National Police--in uniform and carrying long guns--and were taken in the direction of the area's Police Command Headquarters.  Olga Luz Echavarría Areiza and Eliécer Pérez Morales are alleged to have been missing since that time and their fate and whereabouts are unknown. </w:t>
      </w:r>
    </w:p>
    <w:p w:rsidR="00B33241" w:rsidRPr="00BC4CC3" w:rsidRDefault="00B33241" w:rsidP="00EF1DFE">
      <w:pPr>
        <w:ind w:left="720"/>
        <w:jc w:val="both"/>
        <w:rPr>
          <w:rFonts w:asciiTheme="majorHAnsi" w:eastAsia="Cambria" w:hAnsiTheme="majorHAnsi" w:cs="Cambria"/>
          <w:sz w:val="20"/>
          <w:szCs w:val="20"/>
          <w:u w:color="000000"/>
          <w:bdr w:val="none" w:sz="0" w:space="0" w:color="auto"/>
          <w:lang w:eastAsia="es-ES"/>
        </w:rPr>
      </w:pPr>
    </w:p>
    <w:p w:rsidR="00B33241" w:rsidRPr="00BC4CC3" w:rsidRDefault="00B33241" w:rsidP="00EF1D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 xml:space="preserve">They indicate that the detention of Olga Luz Echavarría Areiza and Eliécer Pérez Morales was witnessed by numerous people, since it took place in broad daylight at a time and place at which many people were present. They state that Argiro Areiza Londoño, uncle of Olga Luz, and Franci Marín Orrego, neighbor and childhood friend of Olga Luz, witnessed the detention of Olga Luz Echavarría Areiza and Eliécer Pérez Morales and watched the four police officers and the two detainees head toward the Yarumal police station. They also allege that Libardo de Jesús Mazo Medina, a bus dispatcher for the </w:t>
      </w:r>
      <w:r w:rsidRPr="00BC4CC3">
        <w:rPr>
          <w:rFonts w:asciiTheme="majorHAnsi" w:eastAsia="Cambria" w:hAnsiTheme="majorHAnsi" w:cs="Cambria"/>
          <w:i/>
          <w:sz w:val="20"/>
          <w:szCs w:val="20"/>
          <w:u w:color="000000"/>
          <w:bdr w:val="none" w:sz="0" w:space="0" w:color="auto"/>
          <w:lang w:eastAsia="es-ES"/>
        </w:rPr>
        <w:t>Coonorte</w:t>
      </w:r>
      <w:r w:rsidRPr="00BC4CC3">
        <w:rPr>
          <w:rFonts w:asciiTheme="majorHAnsi" w:eastAsia="Cambria" w:hAnsiTheme="majorHAnsi" w:cs="Cambria"/>
          <w:sz w:val="20"/>
          <w:szCs w:val="20"/>
          <w:u w:color="000000"/>
          <w:bdr w:val="none" w:sz="0" w:space="0" w:color="auto"/>
          <w:lang w:eastAsia="es-ES"/>
        </w:rPr>
        <w:t xml:space="preserve"> company, said in his statement that, on that same day, in the morning, he saw two police officers get off a </w:t>
      </w:r>
      <w:r w:rsidRPr="00BC4CC3">
        <w:rPr>
          <w:rFonts w:asciiTheme="majorHAnsi" w:eastAsia="Cambria" w:hAnsiTheme="majorHAnsi" w:cs="Cambria"/>
          <w:i/>
          <w:sz w:val="20"/>
          <w:szCs w:val="20"/>
          <w:u w:color="000000"/>
          <w:bdr w:val="none" w:sz="0" w:space="0" w:color="auto"/>
          <w:lang w:eastAsia="es-ES"/>
        </w:rPr>
        <w:t>Coonorte</w:t>
      </w:r>
      <w:r w:rsidRPr="00BC4CC3">
        <w:rPr>
          <w:rFonts w:asciiTheme="majorHAnsi" w:eastAsia="Cambria" w:hAnsiTheme="majorHAnsi" w:cs="Cambria"/>
          <w:sz w:val="20"/>
          <w:szCs w:val="20"/>
          <w:u w:color="000000"/>
          <w:bdr w:val="none" w:sz="0" w:space="0" w:color="auto"/>
          <w:lang w:eastAsia="es-ES"/>
        </w:rPr>
        <w:t xml:space="preserve"> bus with a woman and a man and take them to the Yarumal Police Command.</w:t>
      </w:r>
    </w:p>
    <w:p w:rsidR="00B33241" w:rsidRPr="00BC4CC3" w:rsidRDefault="00B33241" w:rsidP="00EF1DFE">
      <w:pPr>
        <w:ind w:left="720"/>
        <w:jc w:val="both"/>
        <w:rPr>
          <w:rFonts w:asciiTheme="majorHAnsi" w:eastAsia="Cambria" w:hAnsiTheme="majorHAnsi" w:cs="Cambria"/>
          <w:sz w:val="20"/>
          <w:szCs w:val="20"/>
          <w:u w:color="000000"/>
          <w:lang w:eastAsia="es-ES"/>
        </w:rPr>
      </w:pPr>
    </w:p>
    <w:p w:rsidR="00B33241" w:rsidRPr="00BC4CC3" w:rsidRDefault="00B33241" w:rsidP="00EF1D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BC4CC3">
        <w:rPr>
          <w:rFonts w:asciiTheme="majorHAnsi" w:eastAsia="Cambria" w:hAnsiTheme="majorHAnsi" w:cs="Cambria"/>
          <w:sz w:val="20"/>
          <w:szCs w:val="20"/>
          <w:u w:color="000000"/>
          <w:lang w:eastAsia="es-ES"/>
        </w:rPr>
        <w:t xml:space="preserve">They allege that, two days after the arrest, the mother of </w:t>
      </w:r>
      <w:r w:rsidRPr="00BC4CC3">
        <w:rPr>
          <w:rFonts w:asciiTheme="majorHAnsi" w:eastAsia="Cambria" w:hAnsiTheme="majorHAnsi" w:cs="Cambria"/>
          <w:sz w:val="20"/>
          <w:szCs w:val="20"/>
          <w:u w:color="000000"/>
          <w:bdr w:val="none" w:sz="0" w:space="0" w:color="auto"/>
          <w:lang w:eastAsia="es-ES"/>
        </w:rPr>
        <w:t>Olga Luz Echavarría, María Rosalba Areiza Londoño</w:t>
      </w:r>
      <w:r w:rsidRPr="00BC4CC3">
        <w:rPr>
          <w:rFonts w:asciiTheme="majorHAnsi" w:eastAsia="Cambria" w:hAnsiTheme="majorHAnsi" w:cs="Cambria"/>
          <w:sz w:val="20"/>
          <w:szCs w:val="20"/>
          <w:u w:color="000000"/>
          <w:lang w:eastAsia="es-ES"/>
        </w:rPr>
        <w:t>,</w:t>
      </w:r>
      <w:r w:rsidRPr="00BC4CC3">
        <w:rPr>
          <w:rFonts w:asciiTheme="majorHAnsi" w:eastAsia="Cambria" w:hAnsiTheme="majorHAnsi" w:cs="Cambria"/>
          <w:sz w:val="20"/>
          <w:szCs w:val="20"/>
          <w:u w:color="000000"/>
          <w:bdr w:val="none" w:sz="0" w:space="0" w:color="auto"/>
          <w:lang w:eastAsia="es-ES"/>
        </w:rPr>
        <w:t xml:space="preserve"> went to the Yarumal police substation to ask about her daughter's whereabouts, but the police officials denied that her daughter was there because, according to them, she was not listed in the station's registry and log.</w:t>
      </w:r>
      <w:r w:rsidRPr="00BC4CC3">
        <w:rPr>
          <w:rFonts w:asciiTheme="majorHAnsi" w:eastAsia="Cambria" w:hAnsiTheme="majorHAnsi" w:cs="Cambria"/>
          <w:sz w:val="20"/>
          <w:szCs w:val="20"/>
          <w:u w:color="000000"/>
          <w:lang w:eastAsia="es-ES"/>
        </w:rPr>
        <w:t xml:space="preserve"> They add that two of the National Police officers who had been seen participating in these events were Captain César Emilio Camargo Cuchía, the police commander, and officer Javier Alberto Patiño; and that during the investigations the petitioners reported on potential links between the Twelve Apostles paramilitary group and members of the District 7 Police Command in Yarumal</w:t>
      </w:r>
      <w:r w:rsidRPr="00BC4CC3">
        <w:rPr>
          <w:rFonts w:asciiTheme="majorHAnsi" w:eastAsia="Cambria" w:hAnsiTheme="majorHAnsi" w:cs="Cambria"/>
          <w:sz w:val="20"/>
          <w:szCs w:val="20"/>
          <w:u w:color="000000"/>
          <w:vertAlign w:val="superscript"/>
          <w:lang w:eastAsia="es-ES"/>
        </w:rPr>
        <w:footnoteReference w:id="8"/>
      </w:r>
      <w:r w:rsidRPr="00BC4CC3">
        <w:rPr>
          <w:rFonts w:asciiTheme="majorHAnsi" w:eastAsia="Cambria" w:hAnsiTheme="majorHAnsi" w:cs="Cambria"/>
          <w:sz w:val="20"/>
          <w:szCs w:val="20"/>
          <w:u w:color="000000"/>
          <w:lang w:eastAsia="es-ES"/>
        </w:rPr>
        <w:t>.</w:t>
      </w:r>
    </w:p>
    <w:p w:rsidR="00B33241" w:rsidRPr="00BC4CC3" w:rsidRDefault="00B33241" w:rsidP="00EF1DFE">
      <w:pPr>
        <w:ind w:left="720"/>
        <w:jc w:val="both"/>
        <w:rPr>
          <w:rFonts w:asciiTheme="majorHAnsi" w:eastAsia="Cambria" w:hAnsiTheme="majorHAnsi" w:cs="Cambria"/>
          <w:sz w:val="20"/>
          <w:szCs w:val="20"/>
          <w:u w:color="000000"/>
          <w:bdr w:val="none" w:sz="0" w:space="0" w:color="auto"/>
          <w:lang w:eastAsia="es-ES"/>
        </w:rPr>
      </w:pPr>
    </w:p>
    <w:p w:rsidR="00B33241" w:rsidRPr="00BC4CC3" w:rsidRDefault="00B33241" w:rsidP="00EF1D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As for the criminal investigations conducted, the petitioners believe that, to a large degree, these have consisted of judicial inspections of case files previously processed by the officials who later heard the case.  They also claim that the reasonable time period has been exceeded, because over 25 years have elapsed since the alleged victims disappeared. They state that, despite the existence of evidence that would point to the culpability of members of government forces, the investigations are still in a preliminary investigation stage or have been shelved provisionally without identification of the parties responsible.  Therefore, as for compliance with the requirement of prior exhaustion of domestic remedies, they consider the exception set forth in Ar</w:t>
      </w:r>
      <w:r w:rsidR="00874750">
        <w:rPr>
          <w:rFonts w:asciiTheme="majorHAnsi" w:eastAsia="Cambria" w:hAnsiTheme="majorHAnsi" w:cs="Cambria"/>
          <w:sz w:val="20"/>
          <w:szCs w:val="20"/>
          <w:u w:color="000000"/>
          <w:bdr w:val="none" w:sz="0" w:space="0" w:color="auto"/>
          <w:lang w:eastAsia="es-ES"/>
        </w:rPr>
        <w:t>ticle 46(</w:t>
      </w:r>
      <w:r w:rsidRPr="00BC4CC3">
        <w:rPr>
          <w:rFonts w:asciiTheme="majorHAnsi" w:eastAsia="Cambria" w:hAnsiTheme="majorHAnsi" w:cs="Cambria"/>
          <w:sz w:val="20"/>
          <w:szCs w:val="20"/>
          <w:u w:color="000000"/>
          <w:bdr w:val="none" w:sz="0" w:space="0" w:color="auto"/>
          <w:lang w:eastAsia="es-ES"/>
        </w:rPr>
        <w:t>2</w:t>
      </w:r>
      <w:r w:rsidR="00874750">
        <w:rPr>
          <w:rFonts w:asciiTheme="majorHAnsi" w:eastAsia="Cambria" w:hAnsiTheme="majorHAnsi" w:cs="Cambria"/>
          <w:sz w:val="20"/>
          <w:szCs w:val="20"/>
          <w:u w:color="000000"/>
          <w:bdr w:val="none" w:sz="0" w:space="0" w:color="auto"/>
          <w:lang w:eastAsia="es-ES"/>
        </w:rPr>
        <w:t>)(</w:t>
      </w:r>
      <w:r w:rsidRPr="00BC4CC3">
        <w:rPr>
          <w:rFonts w:asciiTheme="majorHAnsi" w:eastAsia="Cambria" w:hAnsiTheme="majorHAnsi" w:cs="Cambria"/>
          <w:sz w:val="20"/>
          <w:szCs w:val="20"/>
          <w:u w:color="000000"/>
          <w:bdr w:val="none" w:sz="0" w:space="0" w:color="auto"/>
          <w:lang w:eastAsia="es-ES"/>
        </w:rPr>
        <w:t>c</w:t>
      </w:r>
      <w:r w:rsidR="00874750">
        <w:rPr>
          <w:rFonts w:asciiTheme="majorHAnsi" w:eastAsia="Cambria" w:hAnsiTheme="majorHAnsi" w:cs="Cambria"/>
          <w:sz w:val="20"/>
          <w:szCs w:val="20"/>
          <w:u w:color="000000"/>
          <w:bdr w:val="none" w:sz="0" w:space="0" w:color="auto"/>
          <w:lang w:eastAsia="es-ES"/>
        </w:rPr>
        <w:t>)</w:t>
      </w:r>
      <w:r w:rsidRPr="00BC4CC3">
        <w:rPr>
          <w:rFonts w:asciiTheme="majorHAnsi" w:eastAsia="Cambria" w:hAnsiTheme="majorHAnsi" w:cs="Cambria"/>
          <w:sz w:val="20"/>
          <w:szCs w:val="20"/>
          <w:u w:color="000000"/>
          <w:bdr w:val="none" w:sz="0" w:space="0" w:color="auto"/>
          <w:lang w:eastAsia="es-ES"/>
        </w:rPr>
        <w:t xml:space="preserve"> to be applicable. </w:t>
      </w:r>
    </w:p>
    <w:p w:rsidR="00B33241" w:rsidRPr="00BC4CC3" w:rsidRDefault="00B33241" w:rsidP="00EF1DFE">
      <w:pPr>
        <w:ind w:left="720"/>
        <w:jc w:val="both"/>
        <w:rPr>
          <w:rFonts w:asciiTheme="majorHAnsi" w:eastAsia="Cambria" w:hAnsiTheme="majorHAnsi" w:cs="Cambria"/>
          <w:sz w:val="20"/>
          <w:szCs w:val="20"/>
          <w:u w:color="000000"/>
          <w:bdr w:val="none" w:sz="0" w:space="0" w:color="auto"/>
          <w:lang w:eastAsia="es-ES"/>
        </w:rPr>
      </w:pPr>
    </w:p>
    <w:p w:rsidR="00B33241" w:rsidRPr="00BC4CC3" w:rsidRDefault="00B33241" w:rsidP="00EF1D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As for proceedings initiated at the domestic level, on April 16, 1990, the mother of Olga Luz allegedly submitted a criminal complaint to the Preliminary Investigations Unit of the Judicial Police Technical Corps in Medellín</w:t>
      </w:r>
      <w:r w:rsidRPr="00BC4CC3">
        <w:rPr>
          <w:rFonts w:asciiTheme="majorHAnsi" w:eastAsia="Cambria" w:hAnsiTheme="majorHAnsi" w:cs="Cambria"/>
          <w:sz w:val="20"/>
          <w:szCs w:val="20"/>
          <w:u w:color="000000"/>
          <w:lang w:eastAsia="es-ES"/>
        </w:rPr>
        <w:t>. On that basis, a criminal investigation was instituted under ordinary jurisdiction</w:t>
      </w:r>
      <w:r w:rsidRPr="00BC4CC3">
        <w:rPr>
          <w:rFonts w:asciiTheme="majorHAnsi" w:eastAsiaTheme="minorEastAsia" w:hAnsiTheme="majorHAnsi" w:cs="Cambria"/>
          <w:sz w:val="20"/>
          <w:szCs w:val="20"/>
          <w:u w:color="000000"/>
          <w:lang w:eastAsia="es-ES"/>
        </w:rPr>
        <w:t>, in which a judicial inspection of the detainee entry logs of the Yarumal Police Command was conducted and no record was found of the detention of the two missing persons</w:t>
      </w:r>
      <w:r w:rsidRPr="00BC4CC3">
        <w:rPr>
          <w:rFonts w:asciiTheme="majorHAnsi" w:eastAsia="Cambria" w:hAnsiTheme="majorHAnsi" w:cs="Cambria"/>
          <w:sz w:val="20"/>
          <w:szCs w:val="20"/>
          <w:u w:color="000000"/>
          <w:lang w:eastAsia="es-ES"/>
        </w:rPr>
        <w:t xml:space="preserve">; and </w:t>
      </w:r>
      <w:r w:rsidRPr="00BC4CC3">
        <w:rPr>
          <w:rFonts w:asciiTheme="majorHAnsi" w:eastAsia="Cambria" w:hAnsiTheme="majorHAnsi" w:cs="Cambria"/>
          <w:sz w:val="20"/>
          <w:szCs w:val="20"/>
          <w:u w:color="000000"/>
          <w:bdr w:val="none" w:sz="0" w:space="0" w:color="auto"/>
          <w:lang w:eastAsia="es-ES"/>
        </w:rPr>
        <w:t>statements were taken from the three witnesses who claimed to have seen personally the arrest of the two alleged victims</w:t>
      </w:r>
      <w:r w:rsidRPr="00BC4CC3">
        <w:rPr>
          <w:rFonts w:asciiTheme="majorHAnsi" w:eastAsia="Cambria" w:hAnsiTheme="majorHAnsi" w:cs="Cambria"/>
          <w:sz w:val="20"/>
          <w:szCs w:val="20"/>
          <w:u w:color="000000"/>
          <w:lang w:eastAsia="es-ES"/>
        </w:rPr>
        <w:t xml:space="preserve">. They state that, after a drawn-out and labyrinthine proceeding, which was suspended a number of times, on August </w:t>
      </w:r>
      <w:r w:rsidRPr="00BC4CC3">
        <w:rPr>
          <w:rFonts w:asciiTheme="majorHAnsi" w:eastAsia="Cambria" w:hAnsiTheme="majorHAnsi" w:cs="Cambria"/>
          <w:sz w:val="20"/>
          <w:szCs w:val="20"/>
          <w:u w:color="000000"/>
          <w:bdr w:val="none" w:sz="0" w:space="0" w:color="auto"/>
          <w:lang w:eastAsia="es-ES"/>
        </w:rPr>
        <w:t>11, 2008, the preliminary inquiry was reassigned to the 69th Prosecutor's Office of the National Human Rights and International Humanitarian Law Unit of the Office of the Attorney General of the Nation.  To date, the criminal proceeding remains at the preliminary investigation stage</w:t>
      </w:r>
      <w:r w:rsidRPr="00BC4CC3">
        <w:rPr>
          <w:rFonts w:asciiTheme="majorHAnsi" w:eastAsia="Cambria" w:hAnsiTheme="majorHAnsi" w:cs="Cambria"/>
          <w:sz w:val="20"/>
          <w:szCs w:val="20"/>
          <w:u w:color="000000"/>
          <w:lang w:eastAsia="es-ES"/>
        </w:rPr>
        <w:t>.</w:t>
      </w:r>
    </w:p>
    <w:p w:rsidR="00B33241" w:rsidRPr="00BC4CC3" w:rsidRDefault="00B33241" w:rsidP="00A4354E">
      <w:pPr>
        <w:ind w:left="720"/>
        <w:rPr>
          <w:rFonts w:asciiTheme="majorHAnsi" w:eastAsia="Cambria" w:hAnsiTheme="majorHAnsi" w:cs="Cambria"/>
          <w:sz w:val="20"/>
          <w:szCs w:val="20"/>
          <w:u w:color="000000"/>
          <w:bdr w:val="none" w:sz="0" w:space="0" w:color="auto"/>
          <w:lang w:eastAsia="es-ES"/>
        </w:rPr>
      </w:pPr>
    </w:p>
    <w:p w:rsidR="00B33241" w:rsidRPr="00BC4CC3" w:rsidRDefault="00B33241" w:rsidP="00EF1D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lastRenderedPageBreak/>
        <w:t>The petitioners also state that the Code of Criminal Procedure in effect at the time of the events provided that, while a case was in a preliminary stage, no civil claim could be admitted, and that such provision was amended only in 2002.  They say that was the reason that, in the first 12 years of the criminal proceeding, the relatives of the alleged victims did not pursue an effective remedy under domestic law.</w:t>
      </w:r>
    </w:p>
    <w:p w:rsidR="00B33241" w:rsidRPr="00BC4CC3" w:rsidRDefault="00B33241" w:rsidP="00EF1D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rPr>
      </w:pPr>
    </w:p>
    <w:p w:rsidR="00B33241" w:rsidRPr="00BC4CC3" w:rsidRDefault="00B33241" w:rsidP="00EF1D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lang w:eastAsia="es-ES"/>
        </w:rPr>
      </w:pPr>
      <w:r w:rsidRPr="00BC4CC3">
        <w:rPr>
          <w:rFonts w:asciiTheme="majorHAnsi" w:eastAsia="Cambria" w:hAnsiTheme="majorHAnsi" w:cs="Cambria"/>
          <w:sz w:val="20"/>
          <w:szCs w:val="20"/>
          <w:u w:color="000000"/>
          <w:bdr w:val="none" w:sz="0" w:space="0" w:color="auto"/>
          <w:lang w:eastAsia="es-ES"/>
        </w:rPr>
        <w:t xml:space="preserve">On the other hand, they state that a disciplinary proceeding was instituted in response to the complaint lodged by the mother of Olga Luz Echevarría with the Yarumal </w:t>
      </w:r>
      <w:r w:rsidRPr="00BC4CC3">
        <w:rPr>
          <w:rFonts w:asciiTheme="majorHAnsi" w:eastAsia="Cambria" w:hAnsiTheme="majorHAnsi" w:cs="Cambria"/>
          <w:sz w:val="20"/>
          <w:szCs w:val="20"/>
          <w:u w:color="000000"/>
          <w:lang w:eastAsia="es-ES"/>
        </w:rPr>
        <w:t>Municipal Ombudsman on April 3, 1990</w:t>
      </w:r>
      <w:r w:rsidRPr="00BC4CC3">
        <w:rPr>
          <w:rFonts w:asciiTheme="majorHAnsi" w:eastAsia="Cambria" w:hAnsiTheme="majorHAnsi" w:cs="Cambria"/>
          <w:sz w:val="20"/>
          <w:szCs w:val="20"/>
          <w:u w:color="000000"/>
          <w:bdr w:val="none" w:sz="0" w:space="0" w:color="auto"/>
          <w:lang w:eastAsia="es-ES"/>
        </w:rPr>
        <w:t>.</w:t>
      </w:r>
      <w:r w:rsidRPr="00BC4CC3">
        <w:rPr>
          <w:rFonts w:asciiTheme="majorHAnsi" w:eastAsia="Cambria" w:hAnsiTheme="majorHAnsi" w:cs="Cambria"/>
          <w:sz w:val="20"/>
          <w:szCs w:val="20"/>
          <w:u w:color="000000"/>
          <w:lang w:eastAsia="es-ES"/>
        </w:rPr>
        <w:t xml:space="preserve"> On May 28, 1992, upon assessing the evidentiary merit of the proceedings conducted, the Office of the Delegate Prosecutor for the Defense of Human Rights, in a cryptic decision, declined to open a disciplinary inquiry and shelved the case. In April 1996, the petitioners allegedly requested that the investigation be reopened, but the Office of the Delegate Prosecutor would only state that the preliminary disciplinary investigation had been shelved.</w:t>
      </w:r>
    </w:p>
    <w:p w:rsidR="00B33241" w:rsidRPr="00BC4CC3" w:rsidRDefault="00B33241" w:rsidP="00EF1DFE">
      <w:pPr>
        <w:ind w:left="720"/>
        <w:jc w:val="both"/>
        <w:rPr>
          <w:rFonts w:asciiTheme="majorHAnsi" w:eastAsia="Cambria" w:hAnsiTheme="majorHAnsi" w:cs="Cambria"/>
          <w:sz w:val="20"/>
          <w:szCs w:val="20"/>
          <w:u w:color="000000"/>
          <w:bdr w:val="none" w:sz="0" w:space="0" w:color="auto"/>
          <w:lang w:eastAsia="es-ES"/>
        </w:rPr>
      </w:pPr>
    </w:p>
    <w:p w:rsidR="005A399B" w:rsidRPr="00BC4CC3" w:rsidRDefault="00B33241" w:rsidP="00EF1D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The petitioners state that, at the time of the disciplinary action by the prosecutor's office, the Antioquia Police Department also opened an internal disciplinary investigation of the police. They state that actions by the Office of the Attorney General take precedence and, therefore, the commander of the Antioquia Police Department should have legally disqualified himself</w:t>
      </w:r>
      <w:r w:rsidRPr="00BC4CC3">
        <w:rPr>
          <w:rFonts w:asciiTheme="majorHAnsi" w:eastAsia="Cambria" w:hAnsiTheme="majorHAnsi" w:cs="Cambria"/>
          <w:sz w:val="20"/>
          <w:szCs w:val="20"/>
          <w:u w:color="000000"/>
          <w:lang w:eastAsia="es-ES"/>
        </w:rPr>
        <w:t xml:space="preserve"> or transferred the case to the Office of the Attorney General, rather than proceeding to render a decision. Nevertheless, in a decision of May 12, 1992, the commander of the Antioquia Police Department, acting as disciplinary judge, exonerated from “any disciplinary liability” the police officers who, at the time of the events, were members of the Yarumal police station.  Captain</w:t>
      </w:r>
      <w:r w:rsidRPr="00BC4CC3">
        <w:rPr>
          <w:rFonts w:asciiTheme="majorHAnsi" w:eastAsia="Times New Roman" w:hAnsiTheme="majorHAnsi" w:cs="Cambria"/>
          <w:sz w:val="20"/>
          <w:szCs w:val="20"/>
          <w:u w:color="000000"/>
          <w:bdr w:val="none" w:sz="0" w:space="0" w:color="auto"/>
          <w:lang w:eastAsia="es-ES"/>
        </w:rPr>
        <w:t xml:space="preserve"> César Emilio Camargo Cuchía was never subjected to a disciplinary inquiry</w:t>
      </w:r>
      <w:r w:rsidRPr="00BC4CC3">
        <w:rPr>
          <w:rFonts w:asciiTheme="majorHAnsi" w:eastAsia="Cambria" w:hAnsiTheme="majorHAnsi" w:cs="Cambria"/>
          <w:sz w:val="20"/>
          <w:szCs w:val="20"/>
          <w:u w:color="000000"/>
          <w:lang w:eastAsia="es-ES"/>
        </w:rPr>
        <w:t>.</w:t>
      </w:r>
    </w:p>
    <w:p w:rsidR="005A399B" w:rsidRPr="00BC4CC3" w:rsidRDefault="005A399B" w:rsidP="00EF1DFE">
      <w:pPr>
        <w:pStyle w:val="ListParagraph"/>
        <w:jc w:val="both"/>
        <w:rPr>
          <w:rFonts w:asciiTheme="majorHAnsi" w:hAnsiTheme="majorHAnsi"/>
          <w:color w:val="auto"/>
          <w:sz w:val="20"/>
          <w:szCs w:val="20"/>
        </w:rPr>
      </w:pPr>
    </w:p>
    <w:p w:rsidR="00075CC1" w:rsidRPr="00BC4CC3" w:rsidRDefault="00075CC1" w:rsidP="00EF1DF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mbria"/>
          <w:sz w:val="20"/>
          <w:szCs w:val="20"/>
          <w:u w:color="000000"/>
          <w:bdr w:val="none" w:sz="0" w:space="0" w:color="auto"/>
          <w:lang w:eastAsia="es-ES"/>
        </w:rPr>
      </w:pPr>
      <w:r w:rsidRPr="00BC4CC3">
        <w:rPr>
          <w:rFonts w:asciiTheme="majorHAnsi" w:eastAsia="Cambria" w:hAnsiTheme="majorHAnsi" w:cs="Cambria"/>
          <w:sz w:val="20"/>
          <w:szCs w:val="20"/>
          <w:u w:color="000000"/>
          <w:lang w:eastAsia="es-ES"/>
        </w:rPr>
        <w:t xml:space="preserve">Finally, in its communication of June 5, 2012, the petitioners alleged </w:t>
      </w:r>
      <w:r w:rsidR="00B33241" w:rsidRPr="00BC4CC3">
        <w:rPr>
          <w:rFonts w:asciiTheme="majorHAnsi" w:eastAsia="Cambria" w:hAnsiTheme="majorHAnsi" w:cs="Cambria"/>
          <w:sz w:val="20"/>
          <w:szCs w:val="20"/>
          <w:u w:color="000000"/>
          <w:bdr w:val="none" w:sz="0" w:space="0" w:color="auto"/>
          <w:lang w:eastAsia="es-ES"/>
        </w:rPr>
        <w:t>violation of Articles 4 and 19 of the American Convention to the detriment of Olga Luz Echavarría Areiza,</w:t>
      </w:r>
      <w:r w:rsidR="00B33241" w:rsidRPr="00BC4CC3">
        <w:rPr>
          <w:rFonts w:asciiTheme="majorHAnsi" w:eastAsia="Cambria" w:hAnsiTheme="majorHAnsi" w:cs="Cambria"/>
          <w:sz w:val="20"/>
          <w:szCs w:val="20"/>
          <w:u w:color="000000"/>
          <w:lang w:eastAsia="es-ES"/>
        </w:rPr>
        <w:t xml:space="preserve"> as she was of minor age at the time of her </w:t>
      </w:r>
      <w:r w:rsidR="00B33241" w:rsidRPr="00BC4CC3">
        <w:rPr>
          <w:rFonts w:asciiTheme="majorHAnsi" w:eastAsia="Cambria" w:hAnsiTheme="majorHAnsi" w:cs="Cambria"/>
          <w:sz w:val="20"/>
          <w:szCs w:val="20"/>
          <w:u w:color="000000"/>
          <w:bdr w:val="none" w:sz="0" w:space="0" w:color="auto"/>
          <w:lang w:eastAsia="es-ES"/>
        </w:rPr>
        <w:t>forced disappearance, and of the “son or daughter she carried in her womb at the time of her forced disappearance.” They state that the forced disappearance of a pregnant woman is “one of the most severe and reprehensible forms of violence against women”</w:t>
      </w:r>
      <w:r w:rsidR="00B33241" w:rsidRPr="00BC4CC3">
        <w:rPr>
          <w:rFonts w:asciiTheme="majorHAnsi" w:eastAsia="Cambria" w:hAnsiTheme="majorHAnsi" w:cs="Cambria"/>
          <w:sz w:val="20"/>
          <w:szCs w:val="20"/>
          <w:u w:color="000000"/>
          <w:bdr w:val="none" w:sz="0" w:space="0" w:color="auto"/>
          <w:vertAlign w:val="superscript"/>
          <w:lang w:eastAsia="es-ES"/>
        </w:rPr>
        <w:footnoteReference w:id="9"/>
      </w:r>
      <w:r w:rsidR="00B33241" w:rsidRPr="00BC4CC3">
        <w:rPr>
          <w:rFonts w:asciiTheme="majorHAnsi" w:eastAsia="Cambria" w:hAnsiTheme="majorHAnsi" w:cs="Cambria"/>
          <w:sz w:val="20"/>
          <w:szCs w:val="20"/>
          <w:u w:color="000000"/>
          <w:bdr w:val="none" w:sz="0" w:space="0" w:color="auto"/>
          <w:lang w:eastAsia="es-ES"/>
        </w:rPr>
        <w:t xml:space="preserve">. </w:t>
      </w:r>
      <w:r w:rsidRPr="00BC4CC3">
        <w:rPr>
          <w:rFonts w:asciiTheme="majorHAnsi" w:eastAsia="Cambria" w:hAnsiTheme="majorHAnsi" w:cs="Cambria"/>
          <w:sz w:val="20"/>
          <w:szCs w:val="20"/>
          <w:u w:color="000000"/>
          <w:bdr w:val="none" w:sz="0" w:space="0" w:color="auto"/>
          <w:lang w:eastAsia="es-ES"/>
        </w:rPr>
        <w:t xml:space="preserve">With </w:t>
      </w:r>
      <w:r w:rsidR="001924C6" w:rsidRPr="00BC4CC3">
        <w:rPr>
          <w:rFonts w:asciiTheme="majorHAnsi" w:eastAsia="Cambria" w:hAnsiTheme="majorHAnsi" w:cs="Cambria"/>
          <w:sz w:val="20"/>
          <w:szCs w:val="20"/>
          <w:u w:color="000000"/>
          <w:bdr w:val="none" w:sz="0" w:space="0" w:color="auto"/>
          <w:lang w:eastAsia="es-ES"/>
        </w:rPr>
        <w:t>communication</w:t>
      </w:r>
      <w:r w:rsidRPr="00BC4CC3">
        <w:rPr>
          <w:rFonts w:asciiTheme="majorHAnsi" w:eastAsia="Cambria" w:hAnsiTheme="majorHAnsi" w:cs="Cambria"/>
          <w:sz w:val="20"/>
          <w:szCs w:val="20"/>
          <w:u w:color="000000"/>
          <w:bdr w:val="none" w:sz="0" w:space="0" w:color="auto"/>
          <w:lang w:eastAsia="es-ES"/>
        </w:rPr>
        <w:t xml:space="preserve"> of July 23, 2015</w:t>
      </w:r>
      <w:r w:rsidR="00025A41" w:rsidRPr="00BC4CC3">
        <w:rPr>
          <w:rFonts w:asciiTheme="majorHAnsi" w:eastAsia="Cambria" w:hAnsiTheme="majorHAnsi" w:cs="Cambria"/>
          <w:sz w:val="20"/>
          <w:szCs w:val="20"/>
          <w:u w:color="000000"/>
          <w:bdr w:val="none" w:sz="0" w:space="0" w:color="auto"/>
          <w:lang w:eastAsia="es-ES"/>
        </w:rPr>
        <w:t>,</w:t>
      </w:r>
      <w:r w:rsidRPr="00BC4CC3">
        <w:rPr>
          <w:rFonts w:asciiTheme="majorHAnsi" w:eastAsia="Cambria" w:hAnsiTheme="majorHAnsi" w:cs="Cambria"/>
          <w:sz w:val="20"/>
          <w:szCs w:val="20"/>
          <w:u w:color="000000"/>
          <w:bdr w:val="none" w:sz="0" w:space="0" w:color="auto"/>
          <w:lang w:eastAsia="es-ES"/>
        </w:rPr>
        <w:t xml:space="preserve"> the petitioners requested the Commission to dismiss this wording </w:t>
      </w:r>
      <w:r w:rsidR="001924C6" w:rsidRPr="00BC4CC3">
        <w:rPr>
          <w:rFonts w:asciiTheme="majorHAnsi" w:eastAsia="Cambria" w:hAnsiTheme="majorHAnsi" w:cs="Cambria"/>
          <w:sz w:val="20"/>
          <w:szCs w:val="20"/>
          <w:u w:color="000000"/>
          <w:bdr w:val="none" w:sz="0" w:space="0" w:color="auto"/>
          <w:lang w:eastAsia="es-ES"/>
        </w:rPr>
        <w:t>as</w:t>
      </w:r>
      <w:r w:rsidRPr="00BC4CC3">
        <w:rPr>
          <w:rFonts w:asciiTheme="majorHAnsi" w:eastAsia="Cambria" w:hAnsiTheme="majorHAnsi" w:cs="Cambria"/>
          <w:sz w:val="20"/>
          <w:szCs w:val="20"/>
          <w:u w:color="000000"/>
          <w:bdr w:val="none" w:sz="0" w:space="0" w:color="auto"/>
          <w:lang w:eastAsia="es-ES"/>
        </w:rPr>
        <w:t xml:space="preserve"> it d</w:t>
      </w:r>
      <w:r w:rsidR="001924C6" w:rsidRPr="00BC4CC3">
        <w:rPr>
          <w:rFonts w:asciiTheme="majorHAnsi" w:eastAsia="Cambria" w:hAnsiTheme="majorHAnsi" w:cs="Cambria"/>
          <w:sz w:val="20"/>
          <w:szCs w:val="20"/>
          <w:u w:color="000000"/>
          <w:bdr w:val="none" w:sz="0" w:space="0" w:color="auto"/>
          <w:lang w:eastAsia="es-ES"/>
        </w:rPr>
        <w:t>id</w:t>
      </w:r>
      <w:r w:rsidRPr="00BC4CC3">
        <w:rPr>
          <w:rFonts w:asciiTheme="majorHAnsi" w:eastAsia="Cambria" w:hAnsiTheme="majorHAnsi" w:cs="Cambria"/>
          <w:sz w:val="20"/>
          <w:szCs w:val="20"/>
          <w:u w:color="000000"/>
          <w:bdr w:val="none" w:sz="0" w:space="0" w:color="auto"/>
          <w:lang w:eastAsia="es-ES"/>
        </w:rPr>
        <w:t xml:space="preserve"> not accurately reflect the</w:t>
      </w:r>
      <w:r w:rsidR="001924C6" w:rsidRPr="00BC4CC3">
        <w:rPr>
          <w:rFonts w:asciiTheme="majorHAnsi" w:eastAsia="Cambria" w:hAnsiTheme="majorHAnsi" w:cs="Cambria"/>
          <w:sz w:val="20"/>
          <w:szCs w:val="20"/>
          <w:u w:color="000000"/>
          <w:bdr w:val="none" w:sz="0" w:space="0" w:color="auto"/>
          <w:lang w:eastAsia="es-ES"/>
        </w:rPr>
        <w:t>ir</w:t>
      </w:r>
      <w:r w:rsidRPr="00BC4CC3">
        <w:rPr>
          <w:rFonts w:asciiTheme="majorHAnsi" w:eastAsia="Cambria" w:hAnsiTheme="majorHAnsi" w:cs="Cambria"/>
          <w:sz w:val="20"/>
          <w:szCs w:val="20"/>
          <w:u w:color="000000"/>
          <w:bdr w:val="none" w:sz="0" w:space="0" w:color="auto"/>
          <w:lang w:eastAsia="es-ES"/>
        </w:rPr>
        <w:t xml:space="preserve"> position, stating that the request is "determining the responsibility of Colombia for the violation of the right to life and integrity to the detriment of Olga Luz </w:t>
      </w:r>
      <w:r w:rsidR="001924C6" w:rsidRPr="00BC4CC3">
        <w:rPr>
          <w:rFonts w:asciiTheme="majorHAnsi" w:eastAsia="Cambria" w:hAnsiTheme="majorHAnsi" w:cs="Cambria"/>
          <w:sz w:val="20"/>
          <w:szCs w:val="20"/>
          <w:u w:color="000000"/>
          <w:bdr w:val="none" w:sz="0" w:space="0" w:color="auto"/>
          <w:lang w:eastAsia="es-ES"/>
        </w:rPr>
        <w:t>Echavarría</w:t>
      </w:r>
      <w:r w:rsidRPr="00BC4CC3">
        <w:rPr>
          <w:rFonts w:asciiTheme="majorHAnsi" w:eastAsia="Cambria" w:hAnsiTheme="majorHAnsi" w:cs="Cambria"/>
          <w:sz w:val="20"/>
          <w:szCs w:val="20"/>
          <w:u w:color="000000"/>
          <w:bdr w:val="none" w:sz="0" w:space="0" w:color="auto"/>
          <w:lang w:eastAsia="es-ES"/>
        </w:rPr>
        <w:t xml:space="preserve">, </w:t>
      </w:r>
      <w:r w:rsidR="005A399B" w:rsidRPr="00BC4CC3">
        <w:rPr>
          <w:rFonts w:asciiTheme="majorHAnsi" w:eastAsia="Cambria" w:hAnsiTheme="majorHAnsi" w:cs="Cambria"/>
          <w:sz w:val="20"/>
          <w:szCs w:val="20"/>
          <w:u w:color="000000"/>
          <w:bdr w:val="none" w:sz="0" w:space="0" w:color="auto"/>
          <w:lang w:eastAsia="es-ES"/>
        </w:rPr>
        <w:t>further</w:t>
      </w:r>
      <w:r w:rsidRPr="00BC4CC3">
        <w:rPr>
          <w:rFonts w:asciiTheme="majorHAnsi" w:eastAsia="Cambria" w:hAnsiTheme="majorHAnsi" w:cs="Cambria"/>
          <w:sz w:val="20"/>
          <w:szCs w:val="20"/>
          <w:u w:color="000000"/>
          <w:bdr w:val="none" w:sz="0" w:space="0" w:color="auto"/>
          <w:lang w:eastAsia="es-ES"/>
        </w:rPr>
        <w:t xml:space="preserve"> </w:t>
      </w:r>
      <w:r w:rsidR="005A399B" w:rsidRPr="00BC4CC3">
        <w:rPr>
          <w:rFonts w:asciiTheme="majorHAnsi" w:eastAsia="Cambria" w:hAnsiTheme="majorHAnsi" w:cs="Cambria"/>
          <w:sz w:val="20"/>
          <w:szCs w:val="20"/>
          <w:u w:color="000000"/>
          <w:bdr w:val="none" w:sz="0" w:space="0" w:color="auto"/>
          <w:lang w:eastAsia="es-ES"/>
        </w:rPr>
        <w:t xml:space="preserve">aggravated </w:t>
      </w:r>
      <w:r w:rsidRPr="00BC4CC3">
        <w:rPr>
          <w:rFonts w:asciiTheme="majorHAnsi" w:eastAsia="Cambria" w:hAnsiTheme="majorHAnsi" w:cs="Cambria"/>
          <w:sz w:val="20"/>
          <w:szCs w:val="20"/>
          <w:u w:color="000000"/>
          <w:bdr w:val="none" w:sz="0" w:space="0" w:color="auto"/>
          <w:lang w:eastAsia="es-ES"/>
        </w:rPr>
        <w:t>by the fact that the victim was a child and was pre</w:t>
      </w:r>
      <w:r w:rsidR="001924C6" w:rsidRPr="00BC4CC3">
        <w:rPr>
          <w:rFonts w:asciiTheme="majorHAnsi" w:eastAsia="Cambria" w:hAnsiTheme="majorHAnsi" w:cs="Cambria"/>
          <w:sz w:val="20"/>
          <w:szCs w:val="20"/>
          <w:u w:color="000000"/>
          <w:bdr w:val="none" w:sz="0" w:space="0" w:color="auto"/>
          <w:lang w:eastAsia="es-ES"/>
        </w:rPr>
        <w:t>gnant at the time of the facts.</w:t>
      </w:r>
      <w:r w:rsidRPr="00BC4CC3">
        <w:rPr>
          <w:rFonts w:asciiTheme="majorHAnsi" w:eastAsia="Cambria" w:hAnsiTheme="majorHAnsi" w:cs="Cambria"/>
          <w:sz w:val="20"/>
          <w:szCs w:val="20"/>
          <w:u w:color="000000"/>
          <w:bdr w:val="none" w:sz="0" w:space="0" w:color="auto"/>
          <w:lang w:eastAsia="es-ES"/>
        </w:rPr>
        <w:t>"</w:t>
      </w:r>
    </w:p>
    <w:p w:rsidR="00B33241" w:rsidRPr="00BC4CC3" w:rsidRDefault="00B33241" w:rsidP="005A399B">
      <w:pPr>
        <w:rPr>
          <w:rFonts w:asciiTheme="majorHAnsi" w:eastAsia="Cambria" w:hAnsiTheme="majorHAnsi" w:cs="Cambria"/>
          <w:sz w:val="20"/>
          <w:szCs w:val="20"/>
          <w:u w:color="000000"/>
          <w:lang w:eastAsia="es-ES"/>
        </w:rPr>
      </w:pPr>
    </w:p>
    <w:p w:rsidR="00B33241" w:rsidRPr="00BC4CC3" w:rsidRDefault="00B33241" w:rsidP="00A4354E">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b/>
          <w:snapToGrid w:val="0"/>
          <w:sz w:val="20"/>
          <w:szCs w:val="20"/>
          <w:bdr w:val="none" w:sz="0" w:space="0" w:color="auto"/>
        </w:rPr>
      </w:pPr>
      <w:r w:rsidRPr="00BC4CC3">
        <w:rPr>
          <w:rFonts w:asciiTheme="majorHAnsi" w:hAnsiTheme="majorHAnsi"/>
          <w:b/>
          <w:sz w:val="20"/>
          <w:szCs w:val="20"/>
          <w:bdr w:val="none" w:sz="0" w:space="0" w:color="auto"/>
        </w:rPr>
        <w:t xml:space="preserve">Position of the State </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sz w:val="20"/>
          <w:szCs w:val="20"/>
          <w:u w:color="000000"/>
          <w:bdr w:val="none" w:sz="0" w:space="0" w:color="auto"/>
          <w:lang w:eastAsia="es-ES"/>
        </w:rPr>
      </w:pPr>
      <w:r w:rsidRPr="00BC4CC3">
        <w:rPr>
          <w:rFonts w:asciiTheme="majorHAnsi" w:eastAsia="Cambria" w:hAnsiTheme="majorHAnsi" w:cs="Calibri"/>
          <w:snapToGrid w:val="0"/>
          <w:sz w:val="20"/>
          <w:szCs w:val="20"/>
          <w:u w:color="000000"/>
          <w:bdr w:val="none" w:sz="0" w:space="0" w:color="auto"/>
          <w:lang w:eastAsia="es-ES"/>
        </w:rPr>
        <w:t xml:space="preserve">The State considers that the petitioners' observations concerning the context of this case pertain to substantive questions and therefore reserves the right to submit its observations in that phase. The State alleges, however, that the petitioners have not provided information that would establish the alleged membership of Olga Luz Echavarría and Eliécer Pérez Morales in the UP, and that their membership in that political group is evidenced only in the statement made by Maria Eugenia López to the Office of the Attorney General. It argues that, therefore, one cannot assume militancy in that party as a motive for their alleged disappearance, nor could the alleged State liability for such actions be examined on the basis of the supposed context described by the petitioners. In that sense, the State reiterates its demands for proof of the supposed militancy in the political party </w:t>
      </w:r>
      <w:r w:rsidRPr="00BC4CC3">
        <w:rPr>
          <w:rFonts w:asciiTheme="majorHAnsi" w:eastAsia="Cambria" w:hAnsiTheme="majorHAnsi" w:cs="Calibri"/>
          <w:i/>
          <w:snapToGrid w:val="0"/>
          <w:sz w:val="20"/>
          <w:szCs w:val="20"/>
          <w:u w:color="000000"/>
          <w:bdr w:val="none" w:sz="0" w:space="0" w:color="auto"/>
          <w:lang w:eastAsia="es-ES"/>
        </w:rPr>
        <w:t>Unión Patriótica</w:t>
      </w:r>
      <w:r w:rsidRPr="00BC4CC3">
        <w:rPr>
          <w:rFonts w:asciiTheme="majorHAnsi" w:eastAsia="Cambria" w:hAnsiTheme="majorHAnsi" w:cs="Calibri"/>
          <w:snapToGrid w:val="0"/>
          <w:sz w:val="20"/>
          <w:szCs w:val="20"/>
          <w:u w:color="000000"/>
          <w:bdr w:val="none" w:sz="0" w:space="0" w:color="auto"/>
          <w:lang w:eastAsia="es-ES"/>
        </w:rPr>
        <w:t xml:space="preserve">, demands which it has been expressing to the IACHR in case 11.227, </w:t>
      </w:r>
      <w:r w:rsidRPr="00BC4CC3">
        <w:rPr>
          <w:rFonts w:asciiTheme="majorHAnsi" w:eastAsia="Cambria" w:hAnsiTheme="majorHAnsi" w:cs="Calibri"/>
          <w:i/>
          <w:snapToGrid w:val="0"/>
          <w:sz w:val="20"/>
          <w:szCs w:val="20"/>
          <w:u w:color="000000"/>
          <w:bdr w:val="none" w:sz="0" w:space="0" w:color="auto"/>
          <w:lang w:eastAsia="es-ES"/>
        </w:rPr>
        <w:t>Unión Patriótica</w:t>
      </w:r>
      <w:r w:rsidRPr="00BC4CC3">
        <w:rPr>
          <w:rFonts w:asciiTheme="majorHAnsi" w:eastAsia="Cambria" w:hAnsiTheme="majorHAnsi" w:cs="Calibri"/>
          <w:snapToGrid w:val="0"/>
          <w:sz w:val="20"/>
          <w:szCs w:val="20"/>
          <w:u w:color="000000"/>
          <w:bdr w:val="none" w:sz="0" w:space="0" w:color="auto"/>
          <w:lang w:eastAsia="es-ES"/>
        </w:rPr>
        <w:t>, and extends those demands to the alleged membership in that party of the alleged victims in this case.</w:t>
      </w:r>
    </w:p>
    <w:p w:rsidR="00B33241" w:rsidRPr="00BC4CC3" w:rsidRDefault="00B33241" w:rsidP="00A4354E">
      <w:pPr>
        <w:rPr>
          <w:rFonts w:asciiTheme="majorHAnsi" w:hAnsiTheme="majorHAnsi"/>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The State maintains that this petition should be found inadmissible for failure to meet the requirement of prior exhaustion of domestic r</w:t>
      </w:r>
      <w:r w:rsidR="00874750">
        <w:rPr>
          <w:rFonts w:asciiTheme="majorHAnsi" w:eastAsia="Cambria" w:hAnsiTheme="majorHAnsi" w:cs="Cambria"/>
          <w:sz w:val="20"/>
          <w:szCs w:val="20"/>
          <w:u w:color="000000"/>
          <w:bdr w:val="none" w:sz="0" w:space="0" w:color="auto"/>
          <w:lang w:eastAsia="es-ES"/>
        </w:rPr>
        <w:t>emedies enshrined in Article 46(</w:t>
      </w:r>
      <w:r w:rsidRPr="00BC4CC3">
        <w:rPr>
          <w:rFonts w:asciiTheme="majorHAnsi" w:eastAsia="Cambria" w:hAnsiTheme="majorHAnsi" w:cs="Cambria"/>
          <w:sz w:val="20"/>
          <w:szCs w:val="20"/>
          <w:u w:color="000000"/>
          <w:bdr w:val="none" w:sz="0" w:space="0" w:color="auto"/>
          <w:lang w:eastAsia="es-ES"/>
        </w:rPr>
        <w:t>1</w:t>
      </w:r>
      <w:r w:rsidR="00874750">
        <w:rPr>
          <w:rFonts w:asciiTheme="majorHAnsi" w:eastAsia="Cambria" w:hAnsiTheme="majorHAnsi" w:cs="Cambria"/>
          <w:sz w:val="20"/>
          <w:szCs w:val="20"/>
          <w:u w:color="000000"/>
          <w:bdr w:val="none" w:sz="0" w:space="0" w:color="auto"/>
          <w:lang w:eastAsia="es-ES"/>
        </w:rPr>
        <w:t>)(</w:t>
      </w:r>
      <w:r w:rsidRPr="00BC4CC3">
        <w:rPr>
          <w:rFonts w:asciiTheme="majorHAnsi" w:eastAsia="Cambria" w:hAnsiTheme="majorHAnsi" w:cs="Cambria"/>
          <w:sz w:val="20"/>
          <w:szCs w:val="20"/>
          <w:u w:color="000000"/>
          <w:bdr w:val="none" w:sz="0" w:space="0" w:color="auto"/>
          <w:lang w:eastAsia="es-ES"/>
        </w:rPr>
        <w:t>a</w:t>
      </w:r>
      <w:r w:rsidR="00874750">
        <w:rPr>
          <w:rFonts w:asciiTheme="majorHAnsi" w:eastAsia="Cambria" w:hAnsiTheme="majorHAnsi" w:cs="Cambria"/>
          <w:sz w:val="20"/>
          <w:szCs w:val="20"/>
          <w:u w:color="000000"/>
          <w:bdr w:val="none" w:sz="0" w:space="0" w:color="auto"/>
          <w:lang w:eastAsia="es-ES"/>
        </w:rPr>
        <w:t>)</w:t>
      </w:r>
      <w:r w:rsidRPr="00BC4CC3">
        <w:rPr>
          <w:rFonts w:asciiTheme="majorHAnsi" w:eastAsia="Cambria" w:hAnsiTheme="majorHAnsi" w:cs="Cambria"/>
          <w:sz w:val="20"/>
          <w:szCs w:val="20"/>
          <w:u w:color="000000"/>
          <w:bdr w:val="none" w:sz="0" w:space="0" w:color="auto"/>
          <w:lang w:eastAsia="es-ES"/>
        </w:rPr>
        <w:t xml:space="preserve"> of the Convention. It also believes that the exceptions to the exhaustion of domestic remedies set forth in Article 46</w:t>
      </w:r>
      <w:r w:rsidR="00874750">
        <w:rPr>
          <w:rFonts w:asciiTheme="majorHAnsi" w:eastAsia="Cambria" w:hAnsiTheme="majorHAnsi" w:cs="Cambria"/>
          <w:sz w:val="20"/>
          <w:szCs w:val="20"/>
          <w:u w:color="000000"/>
          <w:bdr w:val="none" w:sz="0" w:space="0" w:color="auto"/>
          <w:lang w:eastAsia="es-ES"/>
        </w:rPr>
        <w:t>(</w:t>
      </w:r>
      <w:r w:rsidRPr="00BC4CC3">
        <w:rPr>
          <w:rFonts w:asciiTheme="majorHAnsi" w:eastAsia="Cambria" w:hAnsiTheme="majorHAnsi" w:cs="Cambria"/>
          <w:sz w:val="20"/>
          <w:szCs w:val="20"/>
          <w:u w:color="000000"/>
          <w:bdr w:val="none" w:sz="0" w:space="0" w:color="auto"/>
          <w:lang w:eastAsia="es-ES"/>
        </w:rPr>
        <w:t>2</w:t>
      </w:r>
      <w:r w:rsidR="00874750">
        <w:rPr>
          <w:rFonts w:asciiTheme="majorHAnsi" w:eastAsia="Cambria" w:hAnsiTheme="majorHAnsi" w:cs="Cambria"/>
          <w:sz w:val="20"/>
          <w:szCs w:val="20"/>
          <w:u w:color="000000"/>
          <w:bdr w:val="none" w:sz="0" w:space="0" w:color="auto"/>
          <w:lang w:eastAsia="es-ES"/>
        </w:rPr>
        <w:t>)(</w:t>
      </w:r>
      <w:r w:rsidRPr="00BC4CC3">
        <w:rPr>
          <w:rFonts w:asciiTheme="majorHAnsi" w:eastAsia="Cambria" w:hAnsiTheme="majorHAnsi" w:cs="Cambria"/>
          <w:sz w:val="20"/>
          <w:szCs w:val="20"/>
          <w:u w:color="000000"/>
          <w:bdr w:val="none" w:sz="0" w:space="0" w:color="auto"/>
          <w:lang w:eastAsia="es-ES"/>
        </w:rPr>
        <w:t>b</w:t>
      </w:r>
      <w:r w:rsidR="00874750">
        <w:rPr>
          <w:rFonts w:asciiTheme="majorHAnsi" w:eastAsia="Cambria" w:hAnsiTheme="majorHAnsi" w:cs="Cambria"/>
          <w:sz w:val="20"/>
          <w:szCs w:val="20"/>
          <w:u w:color="000000"/>
          <w:bdr w:val="none" w:sz="0" w:space="0" w:color="auto"/>
          <w:lang w:eastAsia="es-ES"/>
        </w:rPr>
        <w:t>)</w:t>
      </w:r>
      <w:r w:rsidRPr="00BC4CC3">
        <w:rPr>
          <w:rFonts w:asciiTheme="majorHAnsi" w:eastAsia="Cambria" w:hAnsiTheme="majorHAnsi" w:cs="Cambria"/>
          <w:sz w:val="20"/>
          <w:szCs w:val="20"/>
          <w:u w:color="000000"/>
          <w:bdr w:val="none" w:sz="0" w:space="0" w:color="auto"/>
          <w:lang w:eastAsia="es-ES"/>
        </w:rPr>
        <w:t xml:space="preserve"> and (c) would not apply. </w:t>
      </w:r>
    </w:p>
    <w:p w:rsidR="00B33241" w:rsidRPr="00BC4CC3" w:rsidRDefault="00B33241" w:rsidP="00A4354E">
      <w:pPr>
        <w:ind w:left="720"/>
        <w:rPr>
          <w:rFonts w:asciiTheme="majorHAnsi" w:eastAsia="Cambria" w:hAnsiTheme="majorHAnsi" w:cs="Cambria"/>
          <w:sz w:val="20"/>
          <w:szCs w:val="20"/>
          <w:u w:color="000000"/>
          <w:bdr w:val="none" w:sz="0" w:space="0" w:color="auto"/>
          <w:lang w:eastAsia="es-ES"/>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lastRenderedPageBreak/>
        <w:t>In that regard, the State indicates that a criminal proceeding exists at the domestic level and is in a processing phase, so that the petitioners have not exhausted criminal actions.  It indicates that criminal investigation No. 186 DH has been heard by various authorities, both jurisdictional and investigative, and that numerous efforts have been made to clarify the facts, but this has proven impossible to date.</w:t>
      </w:r>
    </w:p>
    <w:p w:rsidR="00B33241" w:rsidRPr="00BC4CC3" w:rsidRDefault="00B33241" w:rsidP="00A4354E">
      <w:pPr>
        <w:ind w:left="720"/>
        <w:rPr>
          <w:rFonts w:asciiTheme="majorHAnsi" w:eastAsia="Cambria" w:hAnsiTheme="majorHAnsi" w:cs="Cambria"/>
          <w:sz w:val="20"/>
          <w:szCs w:val="20"/>
          <w:u w:color="000000"/>
          <w:bdr w:val="none" w:sz="0" w:space="0" w:color="auto"/>
          <w:lang w:eastAsia="es-ES"/>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The State maintains that the investigations were conducted with due diligence and within a reasonable period of time, given the complexity of the case, and considering that no civil action was lodged by interested persons authorized to do so, which action certainly would have helped to propel the investigation of the events in this case. It claims that the circumstances under which the alleged victims disappeared hindered the investigation, because of issues of public order in the area where the events took place.</w:t>
      </w:r>
    </w:p>
    <w:p w:rsidR="00B33241" w:rsidRPr="00BC4CC3" w:rsidRDefault="00B33241" w:rsidP="00A4354E">
      <w:pPr>
        <w:ind w:left="720"/>
        <w:rPr>
          <w:rFonts w:asciiTheme="majorHAnsi" w:eastAsia="Cambria" w:hAnsiTheme="majorHAnsi" w:cs="Cambria"/>
          <w:sz w:val="20"/>
          <w:szCs w:val="20"/>
          <w:u w:color="000000"/>
          <w:bdr w:val="none" w:sz="0" w:space="0" w:color="auto"/>
          <w:lang w:eastAsia="es-ES"/>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The State argues that, if the petitioners had believed that government agents bore responsibility, the petitioners should have lodged a petition for direct reparations with the contentious administrative jurisdiction; therefore, the State requests that the Commission not admit the petitioners' claims for reparations for material and non-material damages, since a direct action for reparations was not lodged at the domestic level.</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As for the actions of judicial authorities, the State says that, both in the criminal proceeding and in the disciplinary proceeding, a large number of measures were taken to clarify the facts.  It maintains that, despite the intensive investigation conducted--and it recites a long list of measures taken--it has proven impossible to obtain evidence that would identify the parties responsible for the disappearance of the alleged victims.</w:t>
      </w:r>
    </w:p>
    <w:p w:rsidR="00B33241" w:rsidRPr="00BC4CC3" w:rsidRDefault="00B33241" w:rsidP="00A4354E">
      <w:pPr>
        <w:ind w:left="720"/>
        <w:rPr>
          <w:rFonts w:asciiTheme="majorHAnsi" w:eastAsia="Cambria" w:hAnsiTheme="majorHAnsi" w:cs="Cambria"/>
          <w:sz w:val="20"/>
          <w:szCs w:val="20"/>
          <w:u w:color="000000"/>
          <w:bdr w:val="none" w:sz="0" w:space="0" w:color="auto"/>
          <w:lang w:eastAsia="es-ES"/>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mbria" w:hAnsiTheme="majorHAnsi" w:cs="Calibri"/>
          <w:snapToGrid w:val="0"/>
          <w:sz w:val="20"/>
          <w:szCs w:val="20"/>
          <w:u w:color="000000"/>
          <w:bdr w:val="none" w:sz="0" w:space="0" w:color="auto"/>
          <w:lang w:eastAsia="es-ES"/>
        </w:rPr>
      </w:pPr>
      <w:r w:rsidRPr="00BC4CC3">
        <w:rPr>
          <w:rFonts w:asciiTheme="majorHAnsi" w:eastAsia="Cambria" w:hAnsiTheme="majorHAnsi" w:cs="Cambria"/>
          <w:sz w:val="20"/>
          <w:szCs w:val="20"/>
          <w:u w:color="000000"/>
          <w:bdr w:val="none" w:sz="0" w:space="0" w:color="auto"/>
          <w:lang w:eastAsia="es-ES"/>
        </w:rPr>
        <w:t>The State also maintains that the disappearance of the alleged victims would not constitute a violation of the Convention. It says that this action would not be attributable to the State since, to date, there exists no evidence to link members of the public authority of the Colombian State, whether by action or by omission, to the disappearance of Olga Luz Echavarría Areiza and Eliécer Pérez Morales.  The State points out, consequently, that there is no link between the disappearance of the alleged victims and any international liability on the part of the State.</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hAnsiTheme="majorHAnsi"/>
          <w:b/>
          <w:snapToGrid w:val="0"/>
          <w:sz w:val="20"/>
          <w:szCs w:val="20"/>
          <w:bdr w:val="none" w:sz="0" w:space="0" w:color="auto"/>
        </w:rPr>
      </w:pPr>
    </w:p>
    <w:p w:rsidR="00B33241" w:rsidRPr="00BC4CC3" w:rsidRDefault="00B33241" w:rsidP="00A4354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rPr>
      </w:pPr>
      <w:r w:rsidRPr="00BC4CC3">
        <w:rPr>
          <w:rFonts w:asciiTheme="majorHAnsi" w:hAnsiTheme="majorHAnsi"/>
          <w:b/>
          <w:sz w:val="20"/>
          <w:szCs w:val="20"/>
          <w:bdr w:val="none" w:sz="0" w:space="0" w:color="auto"/>
        </w:rPr>
        <w:t>LEGAL ANALYSIS</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b/>
          <w:snapToGrid w:val="0"/>
          <w:sz w:val="20"/>
          <w:szCs w:val="20"/>
          <w:bdr w:val="none" w:sz="0" w:space="0" w:color="auto"/>
        </w:rPr>
      </w:pPr>
    </w:p>
    <w:p w:rsidR="00B33241" w:rsidRPr="00BC4CC3" w:rsidRDefault="00B33241" w:rsidP="00A4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rPr>
      </w:pPr>
      <w:r w:rsidRPr="00BC4CC3">
        <w:rPr>
          <w:rFonts w:asciiTheme="majorHAnsi" w:hAnsiTheme="majorHAnsi"/>
          <w:b/>
          <w:sz w:val="20"/>
          <w:szCs w:val="20"/>
          <w:bdr w:val="none" w:sz="0" w:space="0" w:color="auto"/>
        </w:rPr>
        <w:t xml:space="preserve">Competence </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 xml:space="preserve">The petitioners are entitled, in principle, by Article 44 of the American Convention, to submit petitions to the Commission.  The alleged victims are natural persons with respect to whom the State pledged to guarantee the rights enshrined in the American Convention and the Inter-American Convention on Forced Disappearance of Persons.  As regards the State, the Commission notes that Colombia has been a State party to the American Convention since July 31, 1973, and to the Inter-American Convention on Forced Disappearance of Persons since April 4, 2005, on which dates, respectively, Colombia deposited its instruments of ratification. Therefore, the Commission is competent </w:t>
      </w:r>
      <w:r w:rsidRPr="00BC4CC3">
        <w:rPr>
          <w:rFonts w:asciiTheme="majorHAnsi" w:hAnsiTheme="majorHAnsi" w:cs="Calibri"/>
          <w:i/>
          <w:sz w:val="20"/>
          <w:szCs w:val="20"/>
          <w:bdr w:val="none" w:sz="0" w:space="0" w:color="auto"/>
        </w:rPr>
        <w:t>ratione personae</w:t>
      </w:r>
      <w:r w:rsidRPr="00BC4CC3">
        <w:rPr>
          <w:rFonts w:asciiTheme="majorHAnsi" w:hAnsiTheme="majorHAnsi" w:cs="Calibri"/>
          <w:sz w:val="20"/>
          <w:szCs w:val="20"/>
          <w:bdr w:val="none" w:sz="0" w:space="0" w:color="auto"/>
        </w:rPr>
        <w:t xml:space="preserve"> to examine the petition.</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 xml:space="preserve">The Commission also is competent </w:t>
      </w:r>
      <w:r w:rsidRPr="00BC4CC3">
        <w:rPr>
          <w:rFonts w:asciiTheme="majorHAnsi" w:hAnsiTheme="majorHAnsi" w:cs="Calibri"/>
          <w:i/>
          <w:sz w:val="20"/>
          <w:szCs w:val="20"/>
          <w:bdr w:val="none" w:sz="0" w:space="0" w:color="auto"/>
        </w:rPr>
        <w:t>ratione temporis,</w:t>
      </w:r>
      <w:r w:rsidRPr="00BC4CC3">
        <w:rPr>
          <w:rFonts w:asciiTheme="majorHAnsi" w:hAnsiTheme="majorHAnsi" w:cs="Calibri"/>
          <w:sz w:val="20"/>
          <w:szCs w:val="20"/>
          <w:bdr w:val="none" w:sz="0" w:space="0" w:color="auto"/>
        </w:rPr>
        <w:t xml:space="preserve"> because the obligation to respect and guarantee the rights protected in the American Convention was already in effect for the State on the date on which the events are alleged in the petition to have taken place. The Commission notes that the Convention on Forced Disappearance entered into effect for Colombia on April 4, 2005.  Therefore, the IACHR is competent </w:t>
      </w:r>
      <w:r w:rsidRPr="00BC4CC3">
        <w:rPr>
          <w:rFonts w:asciiTheme="majorHAnsi" w:hAnsiTheme="majorHAnsi" w:cs="Calibri"/>
          <w:i/>
          <w:sz w:val="20"/>
          <w:szCs w:val="20"/>
          <w:bdr w:val="none" w:sz="0" w:space="0" w:color="auto"/>
        </w:rPr>
        <w:t>ratione temporis</w:t>
      </w:r>
      <w:r w:rsidRPr="00BC4CC3">
        <w:rPr>
          <w:rFonts w:asciiTheme="majorHAnsi" w:hAnsiTheme="majorHAnsi" w:cs="Calibri"/>
          <w:sz w:val="20"/>
          <w:szCs w:val="20"/>
          <w:bdr w:val="none" w:sz="0" w:space="0" w:color="auto"/>
        </w:rPr>
        <w:t xml:space="preserve"> in matters regarding the obligations set forth in Articles I and III of that Convention, with respect to events after that date, as regards the alleged continuing nature and lack of clarification of the crime of forced disappearance</w:t>
      </w:r>
      <w:r w:rsidRPr="00BC4CC3">
        <w:rPr>
          <w:rFonts w:asciiTheme="majorHAnsi" w:hAnsiTheme="majorHAnsi" w:cs="Calibri"/>
          <w:sz w:val="20"/>
          <w:szCs w:val="20"/>
          <w:bdr w:val="none" w:sz="0" w:space="0" w:color="auto"/>
          <w:vertAlign w:val="superscript"/>
        </w:rPr>
        <w:footnoteReference w:id="10"/>
      </w:r>
      <w:r w:rsidRPr="00BC4CC3">
        <w:rPr>
          <w:rFonts w:asciiTheme="majorHAnsi" w:hAnsiTheme="majorHAnsi" w:cs="Calibri"/>
          <w:sz w:val="20"/>
          <w:szCs w:val="20"/>
          <w:bdr w:val="none" w:sz="0" w:space="0" w:color="auto"/>
        </w:rPr>
        <w:t>.</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z w:val="20"/>
          <w:szCs w:val="20"/>
          <w:bdr w:val="none" w:sz="0" w:space="0" w:color="auto"/>
        </w:rPr>
      </w:pPr>
    </w:p>
    <w:p w:rsidR="00B33241" w:rsidRPr="00BC4CC3" w:rsidRDefault="00B33241" w:rsidP="00A435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lastRenderedPageBreak/>
        <w:t xml:space="preserve">The Commission is competent </w:t>
      </w:r>
      <w:r w:rsidRPr="00BC4CC3">
        <w:rPr>
          <w:rFonts w:asciiTheme="majorHAnsi" w:hAnsiTheme="majorHAnsi" w:cs="Calibri"/>
          <w:i/>
          <w:sz w:val="20"/>
          <w:szCs w:val="20"/>
          <w:bdr w:val="none" w:sz="0" w:space="0" w:color="auto"/>
        </w:rPr>
        <w:t>ratione loci</w:t>
      </w:r>
      <w:r w:rsidRPr="00BC4CC3">
        <w:rPr>
          <w:rFonts w:asciiTheme="majorHAnsi" w:hAnsiTheme="majorHAnsi" w:cs="Calibri"/>
          <w:sz w:val="20"/>
          <w:szCs w:val="20"/>
          <w:bdr w:val="none" w:sz="0" w:space="0" w:color="auto"/>
        </w:rPr>
        <w:t xml:space="preserve"> to hear the petition because it alleges violations of rights protected under the American Convention, occurring within the territory of Colombia, a State party to that instrument. Lastly, the Commission is competent </w:t>
      </w:r>
      <w:r w:rsidRPr="00BC4CC3">
        <w:rPr>
          <w:rFonts w:asciiTheme="majorHAnsi" w:hAnsiTheme="majorHAnsi" w:cs="Calibri"/>
          <w:i/>
          <w:sz w:val="20"/>
          <w:szCs w:val="20"/>
          <w:bdr w:val="none" w:sz="0" w:space="0" w:color="auto"/>
        </w:rPr>
        <w:t>ratione materiae</w:t>
      </w:r>
      <w:r w:rsidRPr="00BC4CC3">
        <w:rPr>
          <w:rFonts w:asciiTheme="majorHAnsi" w:hAnsiTheme="majorHAnsi" w:cs="Calibri"/>
          <w:sz w:val="20"/>
          <w:szCs w:val="20"/>
          <w:bdr w:val="none" w:sz="0" w:space="0" w:color="auto"/>
        </w:rPr>
        <w:t xml:space="preserve">, because the petition denounces potential violations of human rights protected by the American Convention and of the applicable provisions of the Inter-American Convention on Forced Disappearance of Persons. </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rPr>
      </w:pPr>
    </w:p>
    <w:p w:rsidR="00B33241" w:rsidRPr="00BC4CC3" w:rsidRDefault="00B33241" w:rsidP="00A435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rPr>
      </w:pPr>
      <w:r w:rsidRPr="00BC4CC3">
        <w:rPr>
          <w:rFonts w:asciiTheme="majorHAnsi" w:hAnsiTheme="majorHAnsi"/>
          <w:b/>
          <w:sz w:val="20"/>
          <w:szCs w:val="20"/>
          <w:bdr w:val="none" w:sz="0" w:space="0" w:color="auto"/>
        </w:rPr>
        <w:t>Admissibility requirements</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rPr>
      </w:pPr>
    </w:p>
    <w:p w:rsidR="00B33241" w:rsidRPr="00BC4CC3" w:rsidRDefault="00B33241" w:rsidP="00A4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rPr>
      </w:pPr>
      <w:r w:rsidRPr="00BC4CC3">
        <w:rPr>
          <w:rFonts w:asciiTheme="majorHAnsi" w:hAnsiTheme="majorHAnsi"/>
          <w:b/>
          <w:sz w:val="20"/>
          <w:szCs w:val="20"/>
          <w:bdr w:val="none" w:sz="0" w:space="0" w:color="auto"/>
        </w:rPr>
        <w:t>Exhaustion of domestic remedies</w:t>
      </w:r>
    </w:p>
    <w:p w:rsidR="00A4354E" w:rsidRPr="00BC4CC3" w:rsidRDefault="00A4354E" w:rsidP="00A4354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Calibri"/>
          <w:b/>
          <w:snapToGrid w:val="0"/>
          <w:sz w:val="20"/>
          <w:szCs w:val="20"/>
          <w:bdr w:val="none" w:sz="0" w:space="0" w:color="auto"/>
        </w:rPr>
      </w:pPr>
    </w:p>
    <w:p w:rsidR="00B33241" w:rsidRPr="00BC4CC3" w:rsidRDefault="00B33241" w:rsidP="00EF1D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rPr>
      </w:pPr>
      <w:r w:rsidRPr="00BC4CC3">
        <w:rPr>
          <w:rFonts w:asciiTheme="majorHAnsi" w:eastAsia="Times New Roman" w:hAnsiTheme="majorHAnsi" w:cs="Calibri"/>
          <w:sz w:val="20"/>
          <w:szCs w:val="20"/>
          <w:bdr w:val="none" w:sz="0" w:space="0" w:color="auto"/>
        </w:rPr>
        <w:tab/>
        <w:t>29.</w:t>
      </w:r>
      <w:r w:rsidRPr="00BC4CC3">
        <w:rPr>
          <w:rFonts w:asciiTheme="majorHAnsi" w:eastAsia="Times New Roman" w:hAnsiTheme="majorHAnsi" w:cs="Calibri"/>
          <w:sz w:val="20"/>
          <w:szCs w:val="20"/>
          <w:bdr w:val="none" w:sz="0" w:space="0" w:color="auto"/>
        </w:rPr>
        <w:tab/>
        <w:t>Article 46</w:t>
      </w:r>
      <w:r w:rsidR="00874750">
        <w:rPr>
          <w:rFonts w:asciiTheme="majorHAnsi" w:eastAsia="Times New Roman" w:hAnsiTheme="majorHAnsi" w:cs="Calibri"/>
          <w:sz w:val="20"/>
          <w:szCs w:val="20"/>
          <w:bdr w:val="none" w:sz="0" w:space="0" w:color="auto"/>
        </w:rPr>
        <w:t>(</w:t>
      </w:r>
      <w:r w:rsidRPr="00BC4CC3">
        <w:rPr>
          <w:rFonts w:asciiTheme="majorHAnsi" w:eastAsia="Times New Roman" w:hAnsiTheme="majorHAnsi" w:cs="Calibri"/>
          <w:sz w:val="20"/>
          <w:szCs w:val="20"/>
          <w:bdr w:val="none" w:sz="0" w:space="0" w:color="auto"/>
        </w:rPr>
        <w:t>1</w:t>
      </w:r>
      <w:r w:rsidR="00874750">
        <w:rPr>
          <w:rFonts w:asciiTheme="majorHAnsi" w:eastAsia="Times New Roman" w:hAnsiTheme="majorHAnsi" w:cs="Calibri"/>
          <w:sz w:val="20"/>
          <w:szCs w:val="20"/>
          <w:bdr w:val="none" w:sz="0" w:space="0" w:color="auto"/>
        </w:rPr>
        <w:t>)(</w:t>
      </w:r>
      <w:r w:rsidRPr="00BC4CC3">
        <w:rPr>
          <w:rFonts w:asciiTheme="majorHAnsi" w:eastAsia="Times New Roman" w:hAnsiTheme="majorHAnsi" w:cs="Calibri"/>
          <w:sz w:val="20"/>
          <w:szCs w:val="20"/>
          <w:bdr w:val="none" w:sz="0" w:space="0" w:color="auto"/>
        </w:rPr>
        <w:t>a</w:t>
      </w:r>
      <w:r w:rsidR="00874750">
        <w:rPr>
          <w:rFonts w:asciiTheme="majorHAnsi" w:eastAsia="Times New Roman" w:hAnsiTheme="majorHAnsi" w:cs="Calibri"/>
          <w:sz w:val="20"/>
          <w:szCs w:val="20"/>
          <w:bdr w:val="none" w:sz="0" w:space="0" w:color="auto"/>
        </w:rPr>
        <w:t>)</w:t>
      </w:r>
      <w:r w:rsidRPr="00BC4CC3">
        <w:rPr>
          <w:rFonts w:asciiTheme="majorHAnsi" w:eastAsia="Times New Roman" w:hAnsiTheme="majorHAnsi" w:cs="Calibri"/>
          <w:sz w:val="20"/>
          <w:szCs w:val="20"/>
          <w:bdr w:val="none" w:sz="0" w:space="0" w:color="auto"/>
        </w:rPr>
        <w:t xml:space="preserve"> of the American Convention provides that, in order for a complaint lodged with the Commission to be admissible, domestic remedies must have been pursued and exhausted according to generally recognized principles of international law.  For its part, Articl</w:t>
      </w:r>
      <w:r w:rsidR="00874750">
        <w:rPr>
          <w:rFonts w:asciiTheme="majorHAnsi" w:eastAsia="Times New Roman" w:hAnsiTheme="majorHAnsi" w:cs="Calibri"/>
          <w:sz w:val="20"/>
          <w:szCs w:val="20"/>
          <w:bdr w:val="none" w:sz="0" w:space="0" w:color="auto"/>
        </w:rPr>
        <w:t>e 46(</w:t>
      </w:r>
      <w:r w:rsidRPr="00BC4CC3">
        <w:rPr>
          <w:rFonts w:asciiTheme="majorHAnsi" w:eastAsia="Times New Roman" w:hAnsiTheme="majorHAnsi" w:cs="Calibri"/>
          <w:sz w:val="20"/>
          <w:szCs w:val="20"/>
          <w:bdr w:val="none" w:sz="0" w:space="0" w:color="auto"/>
        </w:rPr>
        <w:t>2</w:t>
      </w:r>
      <w:r w:rsidR="00874750">
        <w:rPr>
          <w:rFonts w:asciiTheme="majorHAnsi" w:eastAsia="Times New Roman" w:hAnsiTheme="majorHAnsi" w:cs="Calibri"/>
          <w:sz w:val="20"/>
          <w:szCs w:val="20"/>
          <w:bdr w:val="none" w:sz="0" w:space="0" w:color="auto"/>
        </w:rPr>
        <w:t>)</w:t>
      </w:r>
      <w:r w:rsidRPr="00BC4CC3">
        <w:rPr>
          <w:rFonts w:asciiTheme="majorHAnsi" w:eastAsia="Times New Roman" w:hAnsiTheme="majorHAnsi" w:cs="Calibri"/>
          <w:sz w:val="20"/>
          <w:szCs w:val="20"/>
          <w:bdr w:val="none" w:sz="0" w:space="0" w:color="auto"/>
        </w:rPr>
        <w:t xml:space="preserve"> of the Convention specifies that this requirement does not apply when (</w:t>
      </w:r>
      <w:r w:rsidRPr="00BC4CC3">
        <w:rPr>
          <w:rFonts w:asciiTheme="majorHAnsi" w:eastAsia="Times New Roman" w:hAnsiTheme="majorHAnsi"/>
          <w:sz w:val="20"/>
          <w:szCs w:val="20"/>
          <w:bdr w:val="none" w:sz="0" w:space="0" w:color="auto"/>
        </w:rPr>
        <w:t>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or (c) there has been unwarranted delay in rendering a final judgment under the aforementioned remedies.</w:t>
      </w:r>
    </w:p>
    <w:p w:rsidR="00A4354E" w:rsidRPr="00BC4CC3" w:rsidRDefault="00A4354E" w:rsidP="00A4354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sz w:val="20"/>
          <w:szCs w:val="20"/>
          <w:bdr w:val="none" w:sz="0" w:space="0" w:color="auto"/>
        </w:r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30.</w:t>
      </w:r>
      <w:r w:rsidRPr="00BC4CC3">
        <w:rPr>
          <w:rFonts w:asciiTheme="majorHAnsi" w:hAnsiTheme="majorHAnsi" w:cs="Calibri"/>
          <w:sz w:val="20"/>
          <w:szCs w:val="20"/>
          <w:bdr w:val="none" w:sz="0" w:space="0" w:color="auto"/>
        </w:rPr>
        <w:tab/>
        <w:t>The State claims that the requirement of prior exhaustion of domestic remedies has not been met because a proceeding remains open under ordinary criminal jurisdiction and that the relatives of the victim should pursue an action for direct reparations with the contentious administrative jurisdiction.  It adds that, given the complexity of the matter and the actions taken by domestic authorities, the exc</w:t>
      </w:r>
      <w:r w:rsidR="00874750">
        <w:rPr>
          <w:rFonts w:asciiTheme="majorHAnsi" w:hAnsiTheme="majorHAnsi" w:cs="Calibri"/>
          <w:sz w:val="20"/>
          <w:szCs w:val="20"/>
          <w:bdr w:val="none" w:sz="0" w:space="0" w:color="auto"/>
        </w:rPr>
        <w:t>eptions set forth in Article 46(</w:t>
      </w:r>
      <w:r w:rsidRPr="00BC4CC3">
        <w:rPr>
          <w:rFonts w:asciiTheme="majorHAnsi" w:hAnsiTheme="majorHAnsi" w:cs="Calibri"/>
          <w:sz w:val="20"/>
          <w:szCs w:val="20"/>
          <w:bdr w:val="none" w:sz="0" w:space="0" w:color="auto"/>
        </w:rPr>
        <w:t>2</w:t>
      </w:r>
      <w:r w:rsidR="00874750">
        <w:rPr>
          <w:rFonts w:asciiTheme="majorHAnsi" w:hAnsiTheme="majorHAnsi" w:cs="Calibri"/>
          <w:sz w:val="20"/>
          <w:szCs w:val="20"/>
          <w:bdr w:val="none" w:sz="0" w:space="0" w:color="auto"/>
        </w:rPr>
        <w:t>)</w:t>
      </w:r>
      <w:r w:rsidRPr="00BC4CC3">
        <w:rPr>
          <w:rFonts w:asciiTheme="majorHAnsi" w:hAnsiTheme="majorHAnsi" w:cs="Calibri"/>
          <w:sz w:val="20"/>
          <w:szCs w:val="20"/>
          <w:bdr w:val="none" w:sz="0" w:space="0" w:color="auto"/>
        </w:rPr>
        <w:t xml:space="preserve"> of the Convention would not apply.  For their part, the petitioners argue that the ex</w:t>
      </w:r>
      <w:r w:rsidR="00874750">
        <w:rPr>
          <w:rFonts w:asciiTheme="majorHAnsi" w:hAnsiTheme="majorHAnsi" w:cs="Calibri"/>
          <w:sz w:val="20"/>
          <w:szCs w:val="20"/>
          <w:bdr w:val="none" w:sz="0" w:space="0" w:color="auto"/>
        </w:rPr>
        <w:t>ception provided in Article 46(</w:t>
      </w:r>
      <w:r w:rsidRPr="00BC4CC3">
        <w:rPr>
          <w:rFonts w:asciiTheme="majorHAnsi" w:hAnsiTheme="majorHAnsi" w:cs="Calibri"/>
          <w:sz w:val="20"/>
          <w:szCs w:val="20"/>
          <w:bdr w:val="none" w:sz="0" w:space="0" w:color="auto"/>
        </w:rPr>
        <w:t>2</w:t>
      </w:r>
      <w:r w:rsidR="00874750">
        <w:rPr>
          <w:rFonts w:asciiTheme="majorHAnsi" w:hAnsiTheme="majorHAnsi" w:cs="Calibri"/>
          <w:sz w:val="20"/>
          <w:szCs w:val="20"/>
          <w:bdr w:val="none" w:sz="0" w:space="0" w:color="auto"/>
        </w:rPr>
        <w:t>)(</w:t>
      </w:r>
      <w:r w:rsidRPr="00BC4CC3">
        <w:rPr>
          <w:rFonts w:asciiTheme="majorHAnsi" w:hAnsiTheme="majorHAnsi" w:cs="Calibri"/>
          <w:sz w:val="20"/>
          <w:szCs w:val="20"/>
          <w:bdr w:val="none" w:sz="0" w:space="0" w:color="auto"/>
        </w:rPr>
        <w:t>c</w:t>
      </w:r>
      <w:r w:rsidR="00874750">
        <w:rPr>
          <w:rFonts w:asciiTheme="majorHAnsi" w:hAnsiTheme="majorHAnsi" w:cs="Calibri"/>
          <w:sz w:val="20"/>
          <w:szCs w:val="20"/>
          <w:bdr w:val="none" w:sz="0" w:space="0" w:color="auto"/>
        </w:rPr>
        <w:t>)</w:t>
      </w:r>
      <w:r w:rsidRPr="00BC4CC3">
        <w:rPr>
          <w:rFonts w:asciiTheme="majorHAnsi" w:hAnsiTheme="majorHAnsi" w:cs="Calibri"/>
          <w:sz w:val="20"/>
          <w:szCs w:val="20"/>
          <w:bdr w:val="none" w:sz="0" w:space="0" w:color="auto"/>
        </w:rPr>
        <w:t xml:space="preserve"> of the Convention applies because, now over 25 years after the events and the initiation of the criminal investigation, no criminal responsibility has been established. </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31.</w:t>
      </w:r>
      <w:r w:rsidRPr="00BC4CC3">
        <w:rPr>
          <w:rFonts w:asciiTheme="majorHAnsi" w:hAnsiTheme="majorHAnsi" w:cs="Calibri"/>
          <w:sz w:val="20"/>
          <w:szCs w:val="20"/>
          <w:bdr w:val="none" w:sz="0" w:space="0" w:color="auto"/>
        </w:rPr>
        <w:tab/>
        <w:t xml:space="preserve">In view of the allegations of the parties, the Commission must first clarify which domestic remedies should be exhausted under the jurisprudence of the inter-American system. The Commission observes that the object of this petition pertains to events related to the alleged forced disappearance of Olga Luz Echavarría and Eliécer Pérez Morales and to the investigation of the circumstances under which those events took place. The precedents established by the Commission indicate that, when an offense that is actionable </w:t>
      </w:r>
      <w:r w:rsidRPr="00BC4CC3">
        <w:rPr>
          <w:rFonts w:asciiTheme="majorHAnsi" w:hAnsiTheme="majorHAnsi" w:cs="Calibri"/>
          <w:i/>
          <w:sz w:val="20"/>
          <w:szCs w:val="20"/>
          <w:bdr w:val="none" w:sz="0" w:space="0" w:color="auto"/>
        </w:rPr>
        <w:t xml:space="preserve">ex officio </w:t>
      </w:r>
      <w:r w:rsidRPr="00BC4CC3">
        <w:rPr>
          <w:rFonts w:asciiTheme="majorHAnsi" w:hAnsiTheme="majorHAnsi" w:cs="Calibri"/>
          <w:sz w:val="20"/>
          <w:szCs w:val="20"/>
          <w:bdr w:val="none" w:sz="0" w:space="0" w:color="auto"/>
        </w:rPr>
        <w:t>is alleged to have been committed, the State has the duty to institute and pursue the criminal proceeding</w:t>
      </w:r>
      <w:r w:rsidRPr="00BC4CC3">
        <w:rPr>
          <w:rFonts w:asciiTheme="majorHAnsi" w:hAnsiTheme="majorHAnsi" w:cs="Calibri"/>
          <w:sz w:val="20"/>
          <w:szCs w:val="20"/>
          <w:bdr w:val="none" w:sz="0" w:space="0" w:color="auto"/>
          <w:vertAlign w:val="superscript"/>
        </w:rPr>
        <w:footnoteReference w:id="11"/>
      </w:r>
      <w:r w:rsidRPr="00BC4CC3">
        <w:rPr>
          <w:rFonts w:asciiTheme="majorHAnsi" w:hAnsiTheme="majorHAnsi" w:cs="Calibri"/>
          <w:sz w:val="20"/>
          <w:szCs w:val="20"/>
          <w:bdr w:val="none" w:sz="0" w:space="0" w:color="auto"/>
        </w:rPr>
        <w:t>, and that, in such cases, a criminal proceeding is the appropriate means of clarifying the facts, prosecuting those responsible, and establishing the appropriate criminal penalties, as well as making other, monetary forms of reparation possible.</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z w:val="20"/>
          <w:szCs w:val="20"/>
          <w:bdr w:val="none" w:sz="0" w:space="0" w:color="auto"/>
        </w:r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32.</w:t>
      </w:r>
      <w:r w:rsidRPr="00BC4CC3">
        <w:rPr>
          <w:rFonts w:asciiTheme="majorHAnsi" w:hAnsiTheme="majorHAnsi" w:cs="Calibri"/>
          <w:sz w:val="20"/>
          <w:szCs w:val="20"/>
          <w:bdr w:val="none" w:sz="0" w:space="0" w:color="auto"/>
        </w:rPr>
        <w:tab/>
        <w:t>The Commission has stated as a general rule that a criminal investigation must be conducted promptly to protect the interests of the victims, preserve evidence, and even safeguard the rights of any person who may be considered suspicious in the context of the investigation</w:t>
      </w:r>
      <w:r w:rsidRPr="00BC4CC3">
        <w:rPr>
          <w:rFonts w:asciiTheme="majorHAnsi" w:hAnsiTheme="majorHAnsi" w:cs="Calibri"/>
          <w:sz w:val="20"/>
          <w:szCs w:val="20"/>
          <w:bdr w:val="none" w:sz="0" w:space="0" w:color="auto"/>
          <w:vertAlign w:val="superscript"/>
        </w:rPr>
        <w:footnoteReference w:id="12"/>
      </w:r>
      <w:r w:rsidRPr="00BC4CC3">
        <w:rPr>
          <w:rFonts w:asciiTheme="majorHAnsi" w:hAnsiTheme="majorHAnsi" w:cs="Calibri"/>
          <w:sz w:val="20"/>
          <w:szCs w:val="20"/>
          <w:bdr w:val="none" w:sz="0" w:space="0" w:color="auto"/>
        </w:rPr>
        <w:t>. The Commission observes that information provided by both parties shows that the investigation to clarify the facts remains open and the perpetrator(s) and instigator(s) of the events described in this petition have not been identified.  Therefore, given the nature of the petition and the amount of time elapsed since the events to which the complaint pertains, the Commission finds applicable the exception set forth in Article 46</w:t>
      </w:r>
      <w:r w:rsidR="00874750">
        <w:rPr>
          <w:rFonts w:asciiTheme="majorHAnsi" w:hAnsiTheme="majorHAnsi" w:cs="Calibri"/>
          <w:sz w:val="20"/>
          <w:szCs w:val="20"/>
          <w:bdr w:val="none" w:sz="0" w:space="0" w:color="auto"/>
        </w:rPr>
        <w:t>(</w:t>
      </w:r>
      <w:r w:rsidRPr="00BC4CC3">
        <w:rPr>
          <w:rFonts w:asciiTheme="majorHAnsi" w:hAnsiTheme="majorHAnsi" w:cs="Calibri"/>
          <w:sz w:val="20"/>
          <w:szCs w:val="20"/>
          <w:bdr w:val="none" w:sz="0" w:space="0" w:color="auto"/>
        </w:rPr>
        <w:t>2</w:t>
      </w:r>
      <w:r w:rsidR="00874750">
        <w:rPr>
          <w:rFonts w:asciiTheme="majorHAnsi" w:hAnsiTheme="majorHAnsi" w:cs="Calibri"/>
          <w:sz w:val="20"/>
          <w:szCs w:val="20"/>
          <w:bdr w:val="none" w:sz="0" w:space="0" w:color="auto"/>
        </w:rPr>
        <w:t>)(</w:t>
      </w:r>
      <w:r w:rsidRPr="00BC4CC3">
        <w:rPr>
          <w:rFonts w:asciiTheme="majorHAnsi" w:hAnsiTheme="majorHAnsi" w:cs="Calibri"/>
          <w:sz w:val="20"/>
          <w:szCs w:val="20"/>
          <w:bdr w:val="none" w:sz="0" w:space="0" w:color="auto"/>
        </w:rPr>
        <w:t>c</w:t>
      </w:r>
      <w:r w:rsidR="00874750">
        <w:rPr>
          <w:rFonts w:asciiTheme="majorHAnsi" w:hAnsiTheme="majorHAnsi" w:cs="Calibri"/>
          <w:sz w:val="20"/>
          <w:szCs w:val="20"/>
          <w:bdr w:val="none" w:sz="0" w:space="0" w:color="auto"/>
        </w:rPr>
        <w:t>)</w:t>
      </w:r>
      <w:r w:rsidRPr="00BC4CC3">
        <w:rPr>
          <w:rFonts w:asciiTheme="majorHAnsi" w:hAnsiTheme="majorHAnsi" w:cs="Calibri"/>
          <w:sz w:val="20"/>
          <w:szCs w:val="20"/>
          <w:bdr w:val="none" w:sz="0" w:space="0" w:color="auto"/>
        </w:rPr>
        <w:t xml:space="preserve"> of the Convention, considering the unwarranted delay in domestic judicial proceedings, and rejects the claim that domestic remedies must be exhausted. </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r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r w:rsidRPr="00BC4CC3">
        <w:rPr>
          <w:rFonts w:asciiTheme="majorHAnsi" w:hAnsiTheme="majorHAnsi"/>
          <w:sz w:val="20"/>
          <w:szCs w:val="20"/>
          <w:bdr w:val="none" w:sz="0" w:space="0" w:color="auto"/>
        </w:rPr>
        <w:t>33.</w:t>
      </w:r>
      <w:r w:rsidRPr="00BC4CC3">
        <w:rPr>
          <w:rFonts w:asciiTheme="majorHAnsi" w:hAnsiTheme="majorHAnsi"/>
          <w:sz w:val="20"/>
          <w:szCs w:val="20"/>
          <w:bdr w:val="none" w:sz="0" w:space="0" w:color="auto"/>
        </w:rPr>
        <w:tab/>
        <w:t>The citing of exceptions to the rule of exhaustion of domestic r</w:t>
      </w:r>
      <w:r w:rsidR="00DA2911">
        <w:rPr>
          <w:rFonts w:asciiTheme="majorHAnsi" w:hAnsiTheme="majorHAnsi"/>
          <w:sz w:val="20"/>
          <w:szCs w:val="20"/>
          <w:bdr w:val="none" w:sz="0" w:space="0" w:color="auto"/>
        </w:rPr>
        <w:t>emedies set forth in Article 46(</w:t>
      </w:r>
      <w:r w:rsidRPr="00BC4CC3">
        <w:rPr>
          <w:rFonts w:asciiTheme="majorHAnsi" w:hAnsiTheme="majorHAnsi"/>
          <w:sz w:val="20"/>
          <w:szCs w:val="20"/>
          <w:bdr w:val="none" w:sz="0" w:space="0" w:color="auto"/>
        </w:rPr>
        <w:t>2</w:t>
      </w:r>
      <w:r w:rsidR="00DA2911">
        <w:rPr>
          <w:rFonts w:asciiTheme="majorHAnsi" w:hAnsiTheme="majorHAnsi"/>
          <w:sz w:val="20"/>
          <w:szCs w:val="20"/>
          <w:bdr w:val="none" w:sz="0" w:space="0" w:color="auto"/>
        </w:rPr>
        <w:t>)</w:t>
      </w:r>
      <w:r w:rsidRPr="00BC4CC3">
        <w:rPr>
          <w:rFonts w:asciiTheme="majorHAnsi" w:hAnsiTheme="majorHAnsi"/>
          <w:sz w:val="20"/>
          <w:szCs w:val="20"/>
          <w:bdr w:val="none" w:sz="0" w:space="0" w:color="auto"/>
        </w:rPr>
        <w:t xml:space="preserve"> of the Convention is closely linked to the determination of possible violations of certain rights </w:t>
      </w:r>
      <w:r w:rsidRPr="00BC4CC3">
        <w:rPr>
          <w:rFonts w:asciiTheme="majorHAnsi" w:hAnsiTheme="majorHAnsi"/>
          <w:sz w:val="20"/>
          <w:szCs w:val="20"/>
          <w:bdr w:val="none" w:sz="0" w:space="0" w:color="auto"/>
        </w:rPr>
        <w:lastRenderedPageBreak/>
        <w:t>enshrined therein, such as the guarantee of access to justice. However, the rule in Article 46</w:t>
      </w:r>
      <w:r w:rsidR="00DA2911">
        <w:rPr>
          <w:rFonts w:asciiTheme="majorHAnsi" w:hAnsiTheme="majorHAnsi"/>
          <w:sz w:val="20"/>
          <w:szCs w:val="20"/>
          <w:bdr w:val="none" w:sz="0" w:space="0" w:color="auto"/>
        </w:rPr>
        <w:t>(</w:t>
      </w:r>
      <w:r w:rsidRPr="00BC4CC3">
        <w:rPr>
          <w:rFonts w:asciiTheme="majorHAnsi" w:hAnsiTheme="majorHAnsi"/>
          <w:sz w:val="20"/>
          <w:szCs w:val="20"/>
          <w:bdr w:val="none" w:sz="0" w:space="0" w:color="auto"/>
        </w:rPr>
        <w:t>2</w:t>
      </w:r>
      <w:r w:rsidR="00DA2911">
        <w:rPr>
          <w:rFonts w:asciiTheme="majorHAnsi" w:hAnsiTheme="majorHAnsi"/>
          <w:sz w:val="20"/>
          <w:szCs w:val="20"/>
          <w:bdr w:val="none" w:sz="0" w:space="0" w:color="auto"/>
        </w:rPr>
        <w:t>)</w:t>
      </w:r>
      <w:r w:rsidRPr="00BC4CC3">
        <w:rPr>
          <w:rFonts w:asciiTheme="majorHAnsi" w:hAnsiTheme="majorHAnsi"/>
          <w:sz w:val="20"/>
          <w:szCs w:val="20"/>
          <w:bdr w:val="none" w:sz="0" w:space="0" w:color="auto"/>
        </w:rPr>
        <w:t>, by its nature and purpose, is independent of the Convention's substantive provisions. Therefore, the determination of whether the exceptions to the rule of exhaustion of domestic remedies apply in this case should be carried out previously and separately from the consideration of the merits, since it depends upon a standard of evaluation that is distinct from the standard used to determine possible violations of Articles 8 and 25 of the Convention.  We should clarify that the causes and effects that hindered the exhaustion of domestic remedies will be examined in the report to be adopted by the Commission on the merits, so as to establish whether violations of the American Convention are involved.</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rPr>
      </w:pPr>
    </w:p>
    <w:p w:rsidR="00B33241" w:rsidRPr="00BC4CC3" w:rsidRDefault="00B33241" w:rsidP="00A4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rPr>
      </w:pPr>
      <w:r w:rsidRPr="00BC4CC3">
        <w:rPr>
          <w:rFonts w:asciiTheme="majorHAnsi" w:hAnsiTheme="majorHAnsi"/>
          <w:b/>
          <w:sz w:val="20"/>
          <w:szCs w:val="20"/>
          <w:bdr w:val="none" w:sz="0" w:space="0" w:color="auto"/>
        </w:rPr>
        <w:t>Deadline for presentation of the petition</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r w:rsidRPr="00BC4CC3">
        <w:rPr>
          <w:rFonts w:asciiTheme="majorHAnsi" w:hAnsiTheme="majorHAnsi"/>
          <w:sz w:val="20"/>
          <w:szCs w:val="20"/>
          <w:bdr w:val="none" w:sz="0" w:space="0" w:color="auto"/>
        </w:rPr>
        <w:t>34.</w:t>
      </w:r>
      <w:r w:rsidRPr="00BC4CC3">
        <w:rPr>
          <w:rFonts w:asciiTheme="majorHAnsi" w:hAnsiTheme="majorHAnsi"/>
          <w:sz w:val="20"/>
          <w:szCs w:val="20"/>
          <w:bdr w:val="none" w:sz="0" w:space="0" w:color="auto"/>
        </w:rPr>
        <w:tab/>
        <w:t>Under the provisions of Article 46</w:t>
      </w:r>
      <w:r w:rsidR="00874750">
        <w:rPr>
          <w:rFonts w:asciiTheme="majorHAnsi" w:hAnsiTheme="majorHAnsi"/>
          <w:sz w:val="20"/>
          <w:szCs w:val="20"/>
          <w:bdr w:val="none" w:sz="0" w:space="0" w:color="auto"/>
        </w:rPr>
        <w:t>(</w:t>
      </w:r>
      <w:r w:rsidRPr="00BC4CC3">
        <w:rPr>
          <w:rFonts w:asciiTheme="majorHAnsi" w:hAnsiTheme="majorHAnsi"/>
          <w:sz w:val="20"/>
          <w:szCs w:val="20"/>
          <w:bdr w:val="none" w:sz="0" w:space="0" w:color="auto"/>
        </w:rPr>
        <w:t>1</w:t>
      </w:r>
      <w:r w:rsidR="00874750">
        <w:rPr>
          <w:rFonts w:asciiTheme="majorHAnsi" w:hAnsiTheme="majorHAnsi"/>
          <w:sz w:val="20"/>
          <w:szCs w:val="20"/>
          <w:bdr w:val="none" w:sz="0" w:space="0" w:color="auto"/>
        </w:rPr>
        <w:t>)(</w:t>
      </w:r>
      <w:r w:rsidRPr="00BC4CC3">
        <w:rPr>
          <w:rFonts w:asciiTheme="majorHAnsi" w:hAnsiTheme="majorHAnsi"/>
          <w:sz w:val="20"/>
          <w:szCs w:val="20"/>
          <w:bdr w:val="none" w:sz="0" w:space="0" w:color="auto"/>
        </w:rPr>
        <w:t>b</w:t>
      </w:r>
      <w:r w:rsidR="00874750">
        <w:rPr>
          <w:rFonts w:asciiTheme="majorHAnsi" w:hAnsiTheme="majorHAnsi"/>
          <w:sz w:val="20"/>
          <w:szCs w:val="20"/>
          <w:bdr w:val="none" w:sz="0" w:space="0" w:color="auto"/>
        </w:rPr>
        <w:t>)</w:t>
      </w:r>
      <w:r w:rsidRPr="00BC4CC3">
        <w:rPr>
          <w:rFonts w:asciiTheme="majorHAnsi" w:hAnsiTheme="majorHAnsi"/>
          <w:sz w:val="20"/>
          <w:szCs w:val="20"/>
          <w:bdr w:val="none" w:sz="0" w:space="0" w:color="auto"/>
        </w:rPr>
        <w:t xml:space="preserve"> of the American Convention, a petition, in order to be admitted by the Commission, must have been submitted within the six months following the date on which the party whose rights have been allegedly violated was notified of the final decision.  Article 32 of the IACHR Rules of Procedure provides that, in cases in which the exceptions to the prior exhaustion of domestic remedies apply, the petition must be submitted within a reasonable period of time in the judgment of the Commission.  To that effect, the Commission must consider the date on which the alleged violation of rights occurred and the circumstances of each case.</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r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r w:rsidRPr="00BC4CC3">
        <w:rPr>
          <w:rFonts w:asciiTheme="majorHAnsi" w:hAnsiTheme="majorHAnsi"/>
          <w:sz w:val="20"/>
          <w:szCs w:val="20"/>
          <w:bdr w:val="none" w:sz="0" w:space="0" w:color="auto"/>
        </w:rPr>
        <w:t>35.</w:t>
      </w:r>
      <w:r w:rsidRPr="00BC4CC3">
        <w:rPr>
          <w:rFonts w:asciiTheme="majorHAnsi" w:hAnsiTheme="majorHAnsi"/>
          <w:sz w:val="20"/>
          <w:szCs w:val="20"/>
          <w:bdr w:val="none" w:sz="0" w:space="0" w:color="auto"/>
        </w:rPr>
        <w:tab/>
        <w:t>In the complaint in question, the Commission has concluded that the exception to the requirement of exhaustion of domestic remedies is applicable and that, therefore, the IACHR should examine whether the petition was presented within a reasonable period of time according to the specific circumstances. In this matter, the petition</w:t>
      </w:r>
      <w:r w:rsidRPr="00BC4CC3">
        <w:rPr>
          <w:rFonts w:asciiTheme="majorHAnsi" w:hAnsiTheme="majorHAnsi" w:cs="Calibri"/>
          <w:sz w:val="20"/>
          <w:szCs w:val="20"/>
          <w:bdr w:val="none" w:sz="0" w:space="0" w:color="auto"/>
        </w:rPr>
        <w:t xml:space="preserve"> was received on August 8, 1997, the events to which the complaint pertains began on March 28, 1990, and their effects, in terms of the alleged lack of results in the administration of justice, continue to date. Therefore, given the context and nature of this petition, and the fact that the criminal proceeding remains open, the Commission finds that the petition was submitted within a reasonable period of time and that the admissibility requirement pertaining to when it was presented should be considered to have been met</w:t>
      </w:r>
      <w:r w:rsidRPr="00BC4CC3">
        <w:rPr>
          <w:rFonts w:asciiTheme="majorHAnsi" w:hAnsiTheme="majorHAnsi"/>
          <w:sz w:val="20"/>
          <w:szCs w:val="20"/>
          <w:bdr w:val="none" w:sz="0" w:space="0" w:color="auto"/>
        </w:rPr>
        <w:t>.</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rPr>
      </w:pPr>
    </w:p>
    <w:p w:rsidR="00B33241" w:rsidRPr="00BC4CC3" w:rsidRDefault="00B33241" w:rsidP="00A4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i/>
          <w:snapToGrid w:val="0"/>
          <w:sz w:val="20"/>
          <w:szCs w:val="20"/>
          <w:bdr w:val="none" w:sz="0" w:space="0" w:color="auto"/>
        </w:rPr>
      </w:pPr>
      <w:r w:rsidRPr="00BC4CC3">
        <w:rPr>
          <w:rFonts w:asciiTheme="majorHAnsi" w:hAnsiTheme="majorHAnsi"/>
          <w:b/>
          <w:sz w:val="20"/>
          <w:szCs w:val="20"/>
          <w:bdr w:val="none" w:sz="0" w:space="0" w:color="auto"/>
        </w:rPr>
        <w:t xml:space="preserve">Duplication of proceedings and international </w:t>
      </w:r>
      <w:r w:rsidRPr="00BC4CC3">
        <w:rPr>
          <w:rFonts w:asciiTheme="majorHAnsi" w:hAnsiTheme="majorHAnsi"/>
          <w:b/>
          <w:i/>
          <w:sz w:val="20"/>
          <w:szCs w:val="20"/>
          <w:bdr w:val="none" w:sz="0" w:space="0" w:color="auto"/>
        </w:rPr>
        <w:t>res judicata</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36.</w:t>
      </w:r>
      <w:r w:rsidRPr="00BC4CC3">
        <w:rPr>
          <w:rFonts w:asciiTheme="majorHAnsi" w:hAnsiTheme="majorHAnsi" w:cs="Calibri"/>
          <w:sz w:val="20"/>
          <w:szCs w:val="20"/>
          <w:bdr w:val="none" w:sz="0" w:space="0" w:color="auto"/>
        </w:rPr>
        <w:tab/>
        <w:t>The case file contains no indication that the matter in question is pending consideration under any other international proceeding, nor that it duplicates any petition already examined by this or any other international body.  Therefore, the requirem</w:t>
      </w:r>
      <w:r w:rsidR="00DA2911">
        <w:rPr>
          <w:rFonts w:asciiTheme="majorHAnsi" w:hAnsiTheme="majorHAnsi" w:cs="Calibri"/>
          <w:sz w:val="20"/>
          <w:szCs w:val="20"/>
          <w:bdr w:val="none" w:sz="0" w:space="0" w:color="auto"/>
        </w:rPr>
        <w:t>ents established in Articles 46(</w:t>
      </w:r>
      <w:r w:rsidRPr="00BC4CC3">
        <w:rPr>
          <w:rFonts w:asciiTheme="majorHAnsi" w:hAnsiTheme="majorHAnsi" w:cs="Calibri"/>
          <w:sz w:val="20"/>
          <w:szCs w:val="20"/>
          <w:bdr w:val="none" w:sz="0" w:space="0" w:color="auto"/>
        </w:rPr>
        <w:t>1</w:t>
      </w:r>
      <w:r w:rsidR="00DA2911">
        <w:rPr>
          <w:rFonts w:asciiTheme="majorHAnsi" w:hAnsiTheme="majorHAnsi" w:cs="Calibri"/>
          <w:sz w:val="20"/>
          <w:szCs w:val="20"/>
          <w:bdr w:val="none" w:sz="0" w:space="0" w:color="auto"/>
        </w:rPr>
        <w:t>)(</w:t>
      </w:r>
      <w:r w:rsidRPr="00BC4CC3">
        <w:rPr>
          <w:rFonts w:asciiTheme="majorHAnsi" w:hAnsiTheme="majorHAnsi" w:cs="Calibri"/>
          <w:sz w:val="20"/>
          <w:szCs w:val="20"/>
          <w:bdr w:val="none" w:sz="0" w:space="0" w:color="auto"/>
        </w:rPr>
        <w:t>c</w:t>
      </w:r>
      <w:r w:rsidR="00DA2911">
        <w:rPr>
          <w:rFonts w:asciiTheme="majorHAnsi" w:hAnsiTheme="majorHAnsi" w:cs="Calibri"/>
          <w:sz w:val="20"/>
          <w:szCs w:val="20"/>
          <w:bdr w:val="none" w:sz="0" w:space="0" w:color="auto"/>
        </w:rPr>
        <w:t>) and 47(</w:t>
      </w:r>
      <w:r w:rsidRPr="00BC4CC3">
        <w:rPr>
          <w:rFonts w:asciiTheme="majorHAnsi" w:hAnsiTheme="majorHAnsi" w:cs="Calibri"/>
          <w:sz w:val="20"/>
          <w:szCs w:val="20"/>
          <w:bdr w:val="none" w:sz="0" w:space="0" w:color="auto"/>
        </w:rPr>
        <w:t>d</w:t>
      </w:r>
      <w:r w:rsidR="00DA2911">
        <w:rPr>
          <w:rFonts w:asciiTheme="majorHAnsi" w:hAnsiTheme="majorHAnsi" w:cs="Calibri"/>
          <w:sz w:val="20"/>
          <w:szCs w:val="20"/>
          <w:bdr w:val="none" w:sz="0" w:space="0" w:color="auto"/>
        </w:rPr>
        <w:t>)</w:t>
      </w:r>
      <w:r w:rsidRPr="00BC4CC3">
        <w:rPr>
          <w:rFonts w:asciiTheme="majorHAnsi" w:hAnsiTheme="majorHAnsi" w:cs="Calibri"/>
          <w:sz w:val="20"/>
          <w:szCs w:val="20"/>
          <w:bdr w:val="none" w:sz="0" w:space="0" w:color="auto"/>
        </w:rPr>
        <w:t xml:space="preserve"> of the Convention should be deemed to have been met.</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cs="Calibri"/>
          <w:b/>
          <w:snapToGrid w:val="0"/>
          <w:sz w:val="20"/>
          <w:szCs w:val="20"/>
          <w:bdr w:val="none" w:sz="0" w:space="0" w:color="auto"/>
        </w:rPr>
      </w:pPr>
    </w:p>
    <w:p w:rsidR="00B33241" w:rsidRPr="00BC4CC3" w:rsidRDefault="00B33241" w:rsidP="00A4354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cs="Calibri"/>
          <w:b/>
          <w:snapToGrid w:val="0"/>
          <w:sz w:val="20"/>
          <w:szCs w:val="20"/>
          <w:bdr w:val="none" w:sz="0" w:space="0" w:color="auto"/>
        </w:rPr>
      </w:pPr>
      <w:r w:rsidRPr="00BC4CC3">
        <w:rPr>
          <w:rFonts w:asciiTheme="majorHAnsi" w:hAnsiTheme="majorHAnsi"/>
          <w:b/>
          <w:sz w:val="20"/>
          <w:szCs w:val="20"/>
          <w:bdr w:val="none" w:sz="0" w:space="0" w:color="auto"/>
        </w:rPr>
        <w:t xml:space="preserve">Nature of the alleged events </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cs="Calibri"/>
          <w:snapToGrid w:val="0"/>
          <w:sz w:val="20"/>
          <w:szCs w:val="20"/>
          <w:bdr w:val="none" w:sz="0" w:space="0" w:color="auto"/>
        </w:rPr>
      </w:pPr>
    </w:p>
    <w:p w:rsidR="007E2EA7" w:rsidRPr="00BC4CC3" w:rsidRDefault="00B33241" w:rsidP="007E2EA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Theme="majorHAnsi" w:eastAsia="Cambria" w:hAnsiTheme="majorHAnsi" w:cs="Cambria"/>
          <w:sz w:val="20"/>
          <w:szCs w:val="20"/>
          <w:u w:color="000000"/>
          <w:lang w:eastAsia="es-ES"/>
        </w:rPr>
      </w:pPr>
      <w:r w:rsidRPr="00BC4CC3">
        <w:rPr>
          <w:rFonts w:asciiTheme="majorHAnsi" w:eastAsia="Cambria" w:hAnsiTheme="majorHAnsi" w:cs="Cambria"/>
          <w:sz w:val="20"/>
          <w:szCs w:val="20"/>
          <w:u w:color="000000"/>
          <w:bdr w:val="none" w:sz="0" w:space="0" w:color="auto"/>
          <w:lang w:eastAsia="es-ES"/>
        </w:rPr>
        <w:t>37.</w:t>
      </w:r>
      <w:r w:rsidRPr="00BC4CC3">
        <w:rPr>
          <w:rFonts w:asciiTheme="majorHAnsi" w:eastAsia="Cambria" w:hAnsiTheme="majorHAnsi" w:cs="Cambria"/>
          <w:sz w:val="20"/>
          <w:szCs w:val="20"/>
          <w:u w:color="000000"/>
          <w:bdr w:val="none" w:sz="0" w:space="0" w:color="auto"/>
          <w:lang w:eastAsia="es-ES"/>
        </w:rPr>
        <w:tab/>
        <w:t xml:space="preserve">In view of the arguments of fact and of law presented by the parties, and of the nature of the matter under its consideration, the IACHR finds that the facts alleged by the petitioners as to the scope of alleged State liability for the unwarranted delay in the criminal investigation, the failure to identify the parties responsible and to establish the corresponding penalties, and the alleged forced disappearance of the alleged victims could constitute potential violations of the rights set forth in Articles 3, 4, 5, 7, 8, and 25, under </w:t>
      </w:r>
      <w:r w:rsidR="00874750">
        <w:rPr>
          <w:rFonts w:asciiTheme="majorHAnsi" w:eastAsia="Cambria" w:hAnsiTheme="majorHAnsi" w:cs="Cambria"/>
          <w:sz w:val="20"/>
          <w:szCs w:val="20"/>
          <w:u w:color="000000"/>
          <w:lang w:eastAsia="es-ES"/>
        </w:rPr>
        <w:t>Article 1(</w:t>
      </w:r>
      <w:r w:rsidRPr="00BC4CC3">
        <w:rPr>
          <w:rFonts w:asciiTheme="majorHAnsi" w:eastAsia="Cambria" w:hAnsiTheme="majorHAnsi" w:cs="Cambria"/>
          <w:sz w:val="20"/>
          <w:szCs w:val="20"/>
          <w:u w:color="000000"/>
          <w:lang w:eastAsia="es-ES"/>
        </w:rPr>
        <w:t>1</w:t>
      </w:r>
      <w:r w:rsidR="00874750">
        <w:rPr>
          <w:rFonts w:asciiTheme="majorHAnsi" w:eastAsia="Cambria" w:hAnsiTheme="majorHAnsi" w:cs="Cambria"/>
          <w:sz w:val="20"/>
          <w:szCs w:val="20"/>
          <w:u w:color="000000"/>
          <w:lang w:eastAsia="es-ES"/>
        </w:rPr>
        <w:t>)</w:t>
      </w:r>
      <w:r w:rsidRPr="00BC4CC3">
        <w:rPr>
          <w:rFonts w:asciiTheme="majorHAnsi" w:eastAsia="Cambria" w:hAnsiTheme="majorHAnsi" w:cs="Cambria"/>
          <w:sz w:val="20"/>
          <w:szCs w:val="20"/>
          <w:u w:color="000000"/>
          <w:lang w:eastAsia="es-ES"/>
        </w:rPr>
        <w:t xml:space="preserve"> of the American Convention, to the detriment of Olga Luz Echavarría Areiza and Eliécer Pérez Morales; and in Article 19 of the American Conven</w:t>
      </w:r>
      <w:r w:rsidR="00874750">
        <w:rPr>
          <w:rFonts w:asciiTheme="majorHAnsi" w:eastAsia="Cambria" w:hAnsiTheme="majorHAnsi" w:cs="Cambria"/>
          <w:sz w:val="20"/>
          <w:szCs w:val="20"/>
          <w:u w:color="000000"/>
          <w:lang w:eastAsia="es-ES"/>
        </w:rPr>
        <w:t>tion, with respect to Article 1(</w:t>
      </w:r>
      <w:r w:rsidRPr="00BC4CC3">
        <w:rPr>
          <w:rFonts w:asciiTheme="majorHAnsi" w:eastAsia="Cambria" w:hAnsiTheme="majorHAnsi" w:cs="Cambria"/>
          <w:sz w:val="20"/>
          <w:szCs w:val="20"/>
          <w:u w:color="000000"/>
          <w:lang w:eastAsia="es-ES"/>
        </w:rPr>
        <w:t>1</w:t>
      </w:r>
      <w:r w:rsidR="00874750">
        <w:rPr>
          <w:rFonts w:asciiTheme="majorHAnsi" w:eastAsia="Cambria" w:hAnsiTheme="majorHAnsi" w:cs="Cambria"/>
          <w:sz w:val="20"/>
          <w:szCs w:val="20"/>
          <w:u w:color="000000"/>
          <w:lang w:eastAsia="es-ES"/>
        </w:rPr>
        <w:t>)</w:t>
      </w:r>
      <w:r w:rsidRPr="00BC4CC3">
        <w:rPr>
          <w:rFonts w:asciiTheme="majorHAnsi" w:eastAsia="Cambria" w:hAnsiTheme="majorHAnsi" w:cs="Cambria"/>
          <w:sz w:val="20"/>
          <w:szCs w:val="20"/>
          <w:u w:color="000000"/>
          <w:lang w:eastAsia="es-ES"/>
        </w:rPr>
        <w:t xml:space="preserve"> of the same instrument, to the detriment of Olga Luz Echavarría</w:t>
      </w:r>
      <w:r w:rsidR="007E2EA7" w:rsidRPr="00BC4CC3">
        <w:rPr>
          <w:rFonts w:asciiTheme="majorHAnsi" w:eastAsia="Cambria" w:hAnsiTheme="majorHAnsi" w:cs="Cambria"/>
          <w:sz w:val="20"/>
          <w:szCs w:val="20"/>
          <w:u w:color="000000"/>
          <w:lang w:eastAsia="es-ES"/>
        </w:rPr>
        <w:t xml:space="preserve"> Areiza, who was of minor age.</w:t>
      </w:r>
    </w:p>
    <w:p w:rsidR="007E2EA7" w:rsidRPr="00BC4CC3" w:rsidRDefault="007E2EA7" w:rsidP="007E2EA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mbria" w:hAnsiTheme="majorHAnsi" w:cs="Cambria"/>
          <w:sz w:val="20"/>
          <w:szCs w:val="20"/>
          <w:u w:color="000000"/>
          <w:lang w:eastAsia="es-ES"/>
        </w:rPr>
      </w:pPr>
    </w:p>
    <w:p w:rsidR="00B33241" w:rsidRPr="00BC4CC3" w:rsidRDefault="00D95661" w:rsidP="007E2E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Cambria" w:hAnsiTheme="majorHAnsi" w:cs="Cambria"/>
          <w:sz w:val="20"/>
          <w:szCs w:val="20"/>
          <w:u w:color="000000"/>
          <w:lang w:eastAsia="es-ES"/>
        </w:rPr>
      </w:pPr>
      <w:r w:rsidRPr="00BC4CC3">
        <w:rPr>
          <w:rFonts w:asciiTheme="majorHAnsi" w:eastAsia="Cambria" w:hAnsiTheme="majorHAnsi" w:cs="Cambria"/>
          <w:sz w:val="20"/>
          <w:szCs w:val="20"/>
          <w:u w:color="000000"/>
          <w:lang w:eastAsia="es-ES"/>
        </w:rPr>
        <w:t>38.</w:t>
      </w:r>
      <w:r w:rsidRPr="00BC4CC3">
        <w:rPr>
          <w:rFonts w:asciiTheme="majorHAnsi" w:eastAsia="Cambria" w:hAnsiTheme="majorHAnsi" w:cs="Cambria"/>
          <w:sz w:val="20"/>
          <w:szCs w:val="20"/>
          <w:u w:color="000000"/>
          <w:lang w:eastAsia="es-ES"/>
        </w:rPr>
        <w:tab/>
      </w:r>
      <w:r w:rsidR="00B33241" w:rsidRPr="00BC4CC3">
        <w:rPr>
          <w:rFonts w:asciiTheme="majorHAnsi" w:hAnsiTheme="majorHAnsi"/>
          <w:sz w:val="20"/>
          <w:szCs w:val="20"/>
          <w:u w:color="000000"/>
        </w:rPr>
        <w:t>On the other hand, the IACHR finds that the alleged violations of physical well-being, judicial guarantees, and the right to judicial protection described by the petitioners could constitute violations of Articles 5, 8, and 25 of the American Convention, to the detriment of the relatives of Olga Luz Echavarría and Eliécer Pérez Morales. Similarly, it finds that Articles I and III of the Convention on Forced Disappearance could apply.</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B33241" w:rsidRPr="00BC4CC3" w:rsidRDefault="007E2EA7"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mbria" w:hAnsiTheme="majorHAnsi" w:cs="Cambria"/>
          <w:sz w:val="20"/>
          <w:szCs w:val="20"/>
          <w:u w:color="000000"/>
          <w:lang w:eastAsia="es-ES"/>
        </w:rPr>
      </w:pPr>
      <w:r w:rsidRPr="00BC4CC3">
        <w:rPr>
          <w:rFonts w:asciiTheme="majorHAnsi" w:eastAsia="Cambria" w:hAnsiTheme="majorHAnsi" w:cs="Cambria"/>
          <w:sz w:val="20"/>
          <w:szCs w:val="20"/>
          <w:u w:color="000000"/>
          <w:bdr w:val="none" w:sz="0" w:space="0" w:color="auto"/>
          <w:lang w:eastAsia="es-ES"/>
        </w:rPr>
        <w:t>39</w:t>
      </w:r>
      <w:r w:rsidR="00B33241" w:rsidRPr="00BC4CC3">
        <w:rPr>
          <w:rFonts w:asciiTheme="majorHAnsi" w:eastAsia="Cambria" w:hAnsiTheme="majorHAnsi" w:cs="Cambria"/>
          <w:sz w:val="20"/>
          <w:szCs w:val="20"/>
          <w:u w:color="000000"/>
          <w:bdr w:val="none" w:sz="0" w:space="0" w:color="auto"/>
          <w:lang w:eastAsia="es-ES"/>
        </w:rPr>
        <w:t>.</w:t>
      </w:r>
      <w:r w:rsidR="00B33241" w:rsidRPr="00BC4CC3">
        <w:rPr>
          <w:rFonts w:asciiTheme="majorHAnsi" w:eastAsia="Cambria" w:hAnsiTheme="majorHAnsi" w:cs="Cambria"/>
          <w:sz w:val="20"/>
          <w:szCs w:val="20"/>
          <w:u w:color="000000"/>
          <w:bdr w:val="none" w:sz="0" w:space="0" w:color="auto"/>
          <w:lang w:eastAsia="es-ES"/>
        </w:rPr>
        <w:tab/>
        <w:t xml:space="preserve">In addition, the IACHR finds that the alleged potential link between the alleged disappearance of the alleged victims and their involvement with the political party </w:t>
      </w:r>
      <w:r w:rsidR="00B33241" w:rsidRPr="00BC4CC3">
        <w:rPr>
          <w:rFonts w:asciiTheme="majorHAnsi" w:eastAsia="Cambria" w:hAnsiTheme="majorHAnsi" w:cs="Cambria"/>
          <w:i/>
          <w:sz w:val="20"/>
          <w:szCs w:val="20"/>
          <w:u w:color="000000"/>
          <w:bdr w:val="none" w:sz="0" w:space="0" w:color="auto"/>
          <w:lang w:eastAsia="es-ES"/>
        </w:rPr>
        <w:t>Unión Patriótica</w:t>
      </w:r>
      <w:r w:rsidR="00B33241" w:rsidRPr="00BC4CC3">
        <w:rPr>
          <w:rFonts w:asciiTheme="majorHAnsi" w:eastAsia="Cambria" w:hAnsiTheme="majorHAnsi" w:cs="Cambria"/>
          <w:sz w:val="20"/>
          <w:szCs w:val="20"/>
          <w:u w:color="000000"/>
          <w:bdr w:val="none" w:sz="0" w:space="0" w:color="auto"/>
          <w:lang w:eastAsia="es-ES"/>
        </w:rPr>
        <w:t xml:space="preserve">, as well as </w:t>
      </w:r>
      <w:r w:rsidR="00B33241" w:rsidRPr="00BC4CC3">
        <w:rPr>
          <w:rFonts w:asciiTheme="majorHAnsi" w:eastAsia="Cambria" w:hAnsiTheme="majorHAnsi" w:cs="Cambria"/>
          <w:sz w:val="20"/>
          <w:szCs w:val="20"/>
          <w:u w:color="000000"/>
          <w:bdr w:val="none" w:sz="0" w:space="0" w:color="auto"/>
          <w:lang w:eastAsia="es-ES"/>
        </w:rPr>
        <w:lastRenderedPageBreak/>
        <w:t>the lack of judicial clarification of the facts, if demonstrated, could constitute a violation of Article 16 of the American Convention.</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p>
    <w:p w:rsidR="00B33241" w:rsidRPr="00BC4CC3" w:rsidRDefault="007E2EA7" w:rsidP="007E2EA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mbria" w:hAnsiTheme="majorHAnsi" w:cs="Cambria"/>
          <w:sz w:val="20"/>
          <w:szCs w:val="20"/>
          <w:u w:color="000000"/>
          <w:lang w:eastAsia="es-ES"/>
        </w:rPr>
      </w:pPr>
      <w:r w:rsidRPr="00BC4CC3">
        <w:rPr>
          <w:rFonts w:asciiTheme="majorHAnsi" w:eastAsia="Cambria" w:hAnsiTheme="majorHAnsi" w:cs="Cambria"/>
          <w:sz w:val="20"/>
          <w:szCs w:val="20"/>
          <w:u w:color="000000"/>
          <w:bdr w:val="none" w:sz="0" w:space="0" w:color="auto"/>
          <w:lang w:eastAsia="es-ES"/>
        </w:rPr>
        <w:t>40</w:t>
      </w:r>
      <w:r w:rsidR="00B33241" w:rsidRPr="00BC4CC3">
        <w:rPr>
          <w:rFonts w:asciiTheme="majorHAnsi" w:eastAsia="Cambria" w:hAnsiTheme="majorHAnsi" w:cs="Cambria"/>
          <w:sz w:val="20"/>
          <w:szCs w:val="20"/>
          <w:u w:color="000000"/>
          <w:bdr w:val="none" w:sz="0" w:space="0" w:color="auto"/>
          <w:lang w:eastAsia="es-ES"/>
        </w:rPr>
        <w:t>.</w:t>
      </w:r>
      <w:r w:rsidR="00B33241" w:rsidRPr="00BC4CC3">
        <w:rPr>
          <w:rFonts w:asciiTheme="majorHAnsi" w:eastAsia="Cambria" w:hAnsiTheme="majorHAnsi" w:cs="Cambria"/>
          <w:sz w:val="20"/>
          <w:szCs w:val="20"/>
          <w:u w:color="000000"/>
          <w:bdr w:val="none" w:sz="0" w:space="0" w:color="auto"/>
          <w:lang w:eastAsia="es-ES"/>
        </w:rPr>
        <w:tab/>
        <w:t xml:space="preserve">On the other hand, the Commission finds inadmissible the claims regarding the alleged violation of Article 13 (freedom of thought and expression) of the American Convention, having found no evidence to establish, </w:t>
      </w:r>
      <w:r w:rsidR="00B33241" w:rsidRPr="00BC4CC3">
        <w:rPr>
          <w:rFonts w:asciiTheme="majorHAnsi" w:eastAsia="Cambria" w:hAnsiTheme="majorHAnsi" w:cs="Cambria"/>
          <w:i/>
          <w:sz w:val="20"/>
          <w:szCs w:val="20"/>
          <w:u w:color="000000"/>
          <w:bdr w:val="none" w:sz="0" w:space="0" w:color="auto"/>
          <w:lang w:eastAsia="es-ES"/>
        </w:rPr>
        <w:t>prima facie,</w:t>
      </w:r>
      <w:r w:rsidR="00B33241" w:rsidRPr="00BC4CC3">
        <w:rPr>
          <w:rFonts w:asciiTheme="majorHAnsi" w:eastAsia="Cambria" w:hAnsiTheme="majorHAnsi" w:cs="Cambria"/>
          <w:sz w:val="20"/>
          <w:szCs w:val="20"/>
          <w:u w:color="000000"/>
          <w:bdr w:val="none" w:sz="0" w:space="0" w:color="auto"/>
          <w:lang w:eastAsia="es-ES"/>
        </w:rPr>
        <w:t xml:space="preserve"> its possible violation.</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bdr w:val="none" w:sz="0" w:space="0" w:color="auto"/>
        </w:rPr>
      </w:pPr>
    </w:p>
    <w:p w:rsidR="00B33241" w:rsidRPr="00BC4CC3" w:rsidRDefault="00B33241" w:rsidP="00A4354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hAnsiTheme="majorHAnsi"/>
          <w:b/>
          <w:snapToGrid w:val="0"/>
          <w:sz w:val="20"/>
          <w:szCs w:val="20"/>
          <w:bdr w:val="none" w:sz="0" w:space="0" w:color="auto"/>
        </w:rPr>
      </w:pPr>
      <w:r w:rsidRPr="00BC4CC3">
        <w:rPr>
          <w:rFonts w:asciiTheme="majorHAnsi" w:hAnsiTheme="majorHAnsi"/>
          <w:b/>
          <w:sz w:val="20"/>
          <w:szCs w:val="20"/>
          <w:bdr w:val="none" w:sz="0" w:space="0" w:color="auto"/>
        </w:rPr>
        <w:t>CONCLUSIONS</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hAnsiTheme="majorHAnsi"/>
          <w:b/>
          <w:snapToGrid w:val="0"/>
          <w:sz w:val="20"/>
          <w:szCs w:val="20"/>
          <w:bdr w:val="none" w:sz="0" w:space="0" w:color="auto"/>
        </w:rPr>
      </w:pP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mbria" w:hAnsiTheme="majorHAnsi" w:cs="Calibri"/>
          <w:sz w:val="20"/>
          <w:szCs w:val="20"/>
          <w:u w:color="000000"/>
          <w:bdr w:val="none" w:sz="0" w:space="0" w:color="auto"/>
          <w:lang w:eastAsia="es-ES"/>
        </w:rPr>
      </w:pPr>
      <w:r w:rsidRPr="00BC4CC3">
        <w:rPr>
          <w:rFonts w:asciiTheme="majorHAnsi" w:eastAsia="Cambria" w:hAnsiTheme="majorHAnsi" w:cs="Calibri"/>
          <w:sz w:val="20"/>
          <w:szCs w:val="20"/>
          <w:u w:color="000000"/>
          <w:bdr w:val="none" w:sz="0" w:space="0" w:color="auto"/>
          <w:lang w:eastAsia="es-ES"/>
        </w:rPr>
        <w:t>41.</w:t>
      </w:r>
      <w:r w:rsidRPr="00BC4CC3">
        <w:rPr>
          <w:rFonts w:asciiTheme="majorHAnsi" w:eastAsia="Cambria" w:hAnsiTheme="majorHAnsi" w:cs="Calibri"/>
          <w:sz w:val="20"/>
          <w:szCs w:val="20"/>
          <w:u w:color="000000"/>
          <w:bdr w:val="none" w:sz="0" w:space="0" w:color="auto"/>
          <w:lang w:eastAsia="es-ES"/>
        </w:rPr>
        <w:tab/>
        <w:t>On the basis of the considerations of fact and of law set forth, and without prejudging the merits of the matter, the Commission concludes that this case meets the admissibility requirements set forth in Articles 46 and 47 of the American Convention and, therefore,</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Calibri"/>
          <w:b/>
          <w:sz w:val="20"/>
          <w:szCs w:val="20"/>
          <w:bdr w:val="none" w:sz="0" w:space="0" w:color="auto"/>
        </w:rPr>
      </w:pPr>
    </w:p>
    <w:p w:rsidR="00874750" w:rsidRDefault="00B33241" w:rsidP="00B9638D">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center"/>
        <w:rPr>
          <w:rFonts w:asciiTheme="majorHAnsi" w:hAnsiTheme="majorHAnsi" w:cs="Calibri"/>
          <w:b/>
          <w:sz w:val="20"/>
          <w:szCs w:val="20"/>
          <w:bdr w:val="none" w:sz="0" w:space="0" w:color="auto"/>
        </w:rPr>
      </w:pPr>
      <w:r w:rsidRPr="00BC4CC3">
        <w:rPr>
          <w:rFonts w:asciiTheme="majorHAnsi" w:hAnsiTheme="majorHAnsi" w:cs="Calibri"/>
          <w:b/>
          <w:sz w:val="20"/>
          <w:szCs w:val="20"/>
          <w:bdr w:val="none" w:sz="0" w:space="0" w:color="auto"/>
        </w:rPr>
        <w:t>THE INTER-AMERICAN COMMISSION ON HUMAN RIGHTS</w:t>
      </w:r>
      <w:r w:rsidR="00D95661" w:rsidRPr="00BC4CC3">
        <w:rPr>
          <w:rFonts w:asciiTheme="majorHAnsi" w:hAnsiTheme="majorHAnsi" w:cs="Calibri"/>
          <w:b/>
          <w:sz w:val="20"/>
          <w:szCs w:val="20"/>
          <w:bdr w:val="none" w:sz="0" w:space="0" w:color="auto"/>
        </w:rPr>
        <w:t>,</w:t>
      </w:r>
    </w:p>
    <w:p w:rsidR="00B33241" w:rsidRPr="00BC4CC3" w:rsidRDefault="00B33241" w:rsidP="0087475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Calibri"/>
          <w:b/>
          <w:sz w:val="20"/>
          <w:szCs w:val="20"/>
          <w:bdr w:val="none" w:sz="0" w:space="0" w:color="auto"/>
        </w:rPr>
      </w:pPr>
      <w:r w:rsidRPr="00BC4CC3">
        <w:rPr>
          <w:rFonts w:asciiTheme="majorHAnsi" w:hAnsiTheme="majorHAnsi" w:cs="Calibri"/>
          <w:b/>
          <w:sz w:val="20"/>
          <w:szCs w:val="20"/>
          <w:bdr w:val="none" w:sz="0" w:space="0" w:color="auto"/>
        </w:rPr>
        <w:t>DECIDES:</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Calibri"/>
          <w:b/>
          <w:sz w:val="20"/>
          <w:szCs w:val="20"/>
          <w:bdr w:val="none" w:sz="0" w:space="0" w:color="auto"/>
        </w:rPr>
      </w:pPr>
    </w:p>
    <w:p w:rsidR="00B33241" w:rsidRPr="00BC4CC3" w:rsidRDefault="00B33241" w:rsidP="00A4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 xml:space="preserve">To declare this petition admissible with respect to Articles 3, 4, 5, 7, 8, </w:t>
      </w:r>
      <w:r w:rsidR="00DA2911">
        <w:rPr>
          <w:rFonts w:asciiTheme="majorHAnsi" w:hAnsiTheme="majorHAnsi" w:cs="Calibri"/>
          <w:sz w:val="20"/>
          <w:szCs w:val="20"/>
          <w:bdr w:val="none" w:sz="0" w:space="0" w:color="auto"/>
        </w:rPr>
        <w:t>16, 19, and 25, under Article 1(</w:t>
      </w:r>
      <w:r w:rsidRPr="00BC4CC3">
        <w:rPr>
          <w:rFonts w:asciiTheme="majorHAnsi" w:hAnsiTheme="majorHAnsi" w:cs="Calibri"/>
          <w:sz w:val="20"/>
          <w:szCs w:val="20"/>
          <w:bdr w:val="none" w:sz="0" w:space="0" w:color="auto"/>
        </w:rPr>
        <w:t>1</w:t>
      </w:r>
      <w:r w:rsidR="00DA2911">
        <w:rPr>
          <w:rFonts w:asciiTheme="majorHAnsi" w:hAnsiTheme="majorHAnsi" w:cs="Calibri"/>
          <w:sz w:val="20"/>
          <w:szCs w:val="20"/>
          <w:bdr w:val="none" w:sz="0" w:space="0" w:color="auto"/>
        </w:rPr>
        <w:t>)</w:t>
      </w:r>
      <w:r w:rsidRPr="00BC4CC3">
        <w:rPr>
          <w:rFonts w:asciiTheme="majorHAnsi" w:hAnsiTheme="majorHAnsi" w:cs="Calibri"/>
          <w:sz w:val="20"/>
          <w:szCs w:val="20"/>
          <w:bdr w:val="none" w:sz="0" w:space="0" w:color="auto"/>
        </w:rPr>
        <w:t xml:space="preserve"> of the American Convention; and to Articles I and III of the Inter-American Convention on Forced Disappearance of Persons.</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cs="Calibri"/>
          <w:snapToGrid w:val="0"/>
          <w:sz w:val="20"/>
          <w:szCs w:val="20"/>
          <w:bdr w:val="none" w:sz="0" w:space="0" w:color="auto"/>
        </w:rPr>
      </w:pPr>
    </w:p>
    <w:p w:rsidR="00B33241" w:rsidRPr="00BC4CC3" w:rsidRDefault="00B33241" w:rsidP="00A4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napToGrid w:val="0"/>
          <w:sz w:val="20"/>
          <w:szCs w:val="20"/>
          <w:bdr w:val="none" w:sz="0" w:space="0" w:color="auto"/>
        </w:rPr>
        <w:t>To declare this petition inadmissible with respect to the alleged violation of Article 13 of the American Convention.</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rPr>
      </w:pPr>
    </w:p>
    <w:p w:rsidR="00B33241" w:rsidRPr="00BC4CC3" w:rsidRDefault="00B33241" w:rsidP="00A4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To notify the Colombian State and the petitioners of this decision.</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rPr>
      </w:pPr>
      <w:r w:rsidRPr="00BC4CC3">
        <w:rPr>
          <w:rFonts w:asciiTheme="majorHAnsi" w:hAnsiTheme="majorHAnsi" w:cs="Calibri"/>
          <w:sz w:val="20"/>
          <w:szCs w:val="20"/>
          <w:bdr w:val="none" w:sz="0" w:space="0" w:color="auto"/>
        </w:rPr>
        <w:t xml:space="preserve"> </w:t>
      </w:r>
    </w:p>
    <w:p w:rsidR="00B33241" w:rsidRPr="00BC4CC3" w:rsidRDefault="00B33241" w:rsidP="00A4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To continue to examine the merits of the matter.</w:t>
      </w:r>
    </w:p>
    <w:p w:rsidR="00B33241" w:rsidRPr="00BC4CC3" w:rsidRDefault="00B33241" w:rsidP="00A435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rPr>
      </w:pPr>
    </w:p>
    <w:p w:rsidR="00B33241" w:rsidRPr="00BC4CC3" w:rsidRDefault="00B33241" w:rsidP="00A4354E">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napToGrid w:val="0"/>
          <w:sz w:val="20"/>
          <w:szCs w:val="20"/>
          <w:bdr w:val="none" w:sz="0" w:space="0" w:color="auto"/>
        </w:rPr>
      </w:pPr>
      <w:r w:rsidRPr="00BC4CC3">
        <w:rPr>
          <w:rFonts w:asciiTheme="majorHAnsi" w:hAnsiTheme="majorHAnsi" w:cs="Calibri"/>
          <w:sz w:val="20"/>
          <w:szCs w:val="20"/>
          <w:bdr w:val="none" w:sz="0" w:space="0" w:color="auto"/>
        </w:rPr>
        <w:t>To publish this decision and include it in the Commission's Annual Report to the OAS General Assembly.</w:t>
      </w:r>
    </w:p>
    <w:p w:rsidR="00D95661" w:rsidRPr="00BC4CC3" w:rsidRDefault="00D95661" w:rsidP="00BC4CC3">
      <w:pPr>
        <w:jc w:val="both"/>
        <w:rPr>
          <w:rFonts w:ascii="Cambria" w:hAnsi="Cambria" w:cs="Tahoma"/>
          <w:sz w:val="20"/>
          <w:szCs w:val="20"/>
        </w:rPr>
      </w:pPr>
    </w:p>
    <w:p w:rsidR="00D95661" w:rsidRPr="00BC4CC3" w:rsidRDefault="00D95661" w:rsidP="00BC4CC3">
      <w:pPr>
        <w:ind w:firstLine="720"/>
        <w:jc w:val="both"/>
        <w:rPr>
          <w:rFonts w:ascii="Cambria" w:hAnsi="Cambria"/>
          <w:spacing w:val="-2"/>
          <w:sz w:val="20"/>
          <w:szCs w:val="20"/>
        </w:rPr>
      </w:pPr>
      <w:r w:rsidRPr="00BC4CC3">
        <w:rPr>
          <w:rFonts w:ascii="Cambria" w:hAnsi="Cambria"/>
          <w:spacing w:val="-2"/>
          <w:sz w:val="20"/>
          <w:szCs w:val="20"/>
        </w:rPr>
        <w:t>Done and signed in the city of Washington, D.C., on the 28</w:t>
      </w:r>
      <w:r w:rsidRPr="00BC4CC3">
        <w:rPr>
          <w:rFonts w:ascii="Cambria" w:hAnsi="Cambria"/>
          <w:spacing w:val="-2"/>
          <w:sz w:val="20"/>
          <w:szCs w:val="20"/>
          <w:vertAlign w:val="superscript"/>
        </w:rPr>
        <w:t>tht</w:t>
      </w:r>
      <w:r w:rsidRPr="00BC4CC3">
        <w:rPr>
          <w:rFonts w:ascii="Cambria" w:hAnsi="Cambria"/>
          <w:spacing w:val="-2"/>
          <w:sz w:val="20"/>
          <w:szCs w:val="20"/>
        </w:rPr>
        <w:t xml:space="preserve"> day of the month of July</w:t>
      </w:r>
      <w:r w:rsidR="00160E4E" w:rsidRPr="00BC4CC3">
        <w:rPr>
          <w:rFonts w:ascii="Cambria" w:hAnsi="Cambria"/>
          <w:spacing w:val="-2"/>
          <w:sz w:val="20"/>
          <w:szCs w:val="20"/>
        </w:rPr>
        <w:t xml:space="preserve">, 2015. (Signed): </w:t>
      </w:r>
      <w:r w:rsidRPr="00BC4CC3">
        <w:rPr>
          <w:rFonts w:ascii="Cambria" w:hAnsi="Cambria" w:cs="Arial"/>
          <w:noProof/>
          <w:spacing w:val="-2"/>
          <w:sz w:val="20"/>
          <w:szCs w:val="20"/>
        </w:rPr>
        <w:t>Rose-Marie Belle Antoine,</w:t>
      </w:r>
      <w:r w:rsidRPr="00BC4CC3">
        <w:rPr>
          <w:rFonts w:ascii="Cambria" w:hAnsi="Cambria"/>
          <w:sz w:val="20"/>
          <w:szCs w:val="20"/>
        </w:rPr>
        <w:t xml:space="preserve"> President; </w:t>
      </w:r>
      <w:r w:rsidRPr="00BC4CC3">
        <w:rPr>
          <w:rFonts w:ascii="Cambria" w:hAnsi="Cambria" w:cs="Arial"/>
          <w:noProof/>
          <w:spacing w:val="-2"/>
          <w:sz w:val="20"/>
          <w:szCs w:val="20"/>
        </w:rPr>
        <w:t>James L. Cavallaro</w:t>
      </w:r>
      <w:r w:rsidRPr="00BC4CC3">
        <w:rPr>
          <w:rFonts w:ascii="Cambria" w:hAnsi="Cambria"/>
          <w:sz w:val="20"/>
          <w:szCs w:val="20"/>
        </w:rPr>
        <w:t xml:space="preserve">, </w:t>
      </w:r>
      <w:r w:rsidRPr="00BC4CC3">
        <w:rPr>
          <w:rFonts w:ascii="Cambria" w:hAnsi="Cambria"/>
          <w:spacing w:val="-2"/>
          <w:sz w:val="20"/>
          <w:szCs w:val="20"/>
        </w:rPr>
        <w:t>First Vice President;</w:t>
      </w:r>
      <w:r w:rsidRPr="00BC4CC3">
        <w:rPr>
          <w:rFonts w:ascii="Cambria" w:hAnsi="Cambria" w:cs="Arial"/>
          <w:noProof/>
          <w:spacing w:val="-2"/>
          <w:sz w:val="20"/>
          <w:szCs w:val="20"/>
        </w:rPr>
        <w:t xml:space="preserve"> José de Jesús Orozco Henríquez</w:t>
      </w:r>
      <w:r w:rsidRPr="00BC4CC3">
        <w:rPr>
          <w:rFonts w:ascii="Cambria" w:hAnsi="Cambria"/>
          <w:spacing w:val="-2"/>
          <w:sz w:val="20"/>
          <w:szCs w:val="20"/>
        </w:rPr>
        <w:t xml:space="preserve">, </w:t>
      </w:r>
      <w:r w:rsidRPr="00BC4CC3">
        <w:rPr>
          <w:rFonts w:ascii="Cambria" w:hAnsi="Cambria" w:cs="Arial"/>
          <w:noProof/>
          <w:spacing w:val="-2"/>
          <w:sz w:val="20"/>
          <w:szCs w:val="20"/>
        </w:rPr>
        <w:t xml:space="preserve">Second Vice President; Felipe González, Rosa María Ortiz and </w:t>
      </w:r>
      <w:r w:rsidRPr="00BC4CC3">
        <w:rPr>
          <w:rFonts w:ascii="Cambria" w:hAnsi="Cambria"/>
          <w:sz w:val="20"/>
          <w:szCs w:val="20"/>
        </w:rPr>
        <w:t>Tracy Robinson</w:t>
      </w:r>
      <w:r w:rsidRPr="00BC4CC3">
        <w:rPr>
          <w:rFonts w:ascii="Cambria" w:hAnsi="Cambria" w:cs="Arial"/>
          <w:noProof/>
          <w:spacing w:val="-2"/>
          <w:sz w:val="20"/>
          <w:szCs w:val="20"/>
        </w:rPr>
        <w:t xml:space="preserve">, </w:t>
      </w:r>
      <w:r w:rsidRPr="00BC4CC3">
        <w:rPr>
          <w:rFonts w:ascii="Cambria" w:hAnsi="Cambria"/>
          <w:spacing w:val="-2"/>
          <w:sz w:val="20"/>
          <w:szCs w:val="20"/>
        </w:rPr>
        <w:t>Commissioners</w:t>
      </w:r>
      <w:r w:rsidRPr="00BC4CC3">
        <w:rPr>
          <w:rFonts w:ascii="Cambria" w:hAnsi="Cambria" w:cs="Tahoma"/>
          <w:sz w:val="20"/>
          <w:szCs w:val="20"/>
        </w:rPr>
        <w:t>.</w:t>
      </w:r>
    </w:p>
    <w:p w:rsidR="00D95661" w:rsidRPr="00BC4CC3" w:rsidRDefault="00D95661" w:rsidP="00D95661">
      <w:pPr>
        <w:rPr>
          <w:rFonts w:ascii="Cambria" w:hAnsi="Cambria"/>
          <w:sz w:val="20"/>
          <w:szCs w:val="20"/>
        </w:rPr>
      </w:pPr>
    </w:p>
    <w:sectPr w:rsidR="00D95661" w:rsidRPr="00BC4CC3"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DDA" w:rsidRDefault="00ED5DDA" w:rsidP="00036A8A">
      <w:r>
        <w:separator/>
      </w:r>
    </w:p>
  </w:endnote>
  <w:endnote w:type="continuationSeparator" w:id="0">
    <w:p w:rsidR="00ED5DDA" w:rsidRDefault="00ED5DD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85" w:rsidRDefault="004A0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A0C85">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DDA" w:rsidRPr="00036A8A" w:rsidRDefault="00ED5DD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D5DDA" w:rsidRPr="00036A8A" w:rsidRDefault="00ED5DDA" w:rsidP="00036A8A">
      <w:pPr>
        <w:rPr>
          <w:rFonts w:asciiTheme="majorHAnsi" w:hAnsiTheme="majorHAnsi"/>
          <w:sz w:val="16"/>
          <w:szCs w:val="16"/>
        </w:rPr>
      </w:pPr>
      <w:r w:rsidRPr="00036A8A">
        <w:rPr>
          <w:rFonts w:asciiTheme="majorHAnsi" w:hAnsiTheme="majorHAnsi"/>
          <w:sz w:val="16"/>
          <w:szCs w:val="16"/>
        </w:rPr>
        <w:separator/>
      </w:r>
    </w:p>
    <w:p w:rsidR="00ED5DDA" w:rsidRPr="00036A8A" w:rsidRDefault="00ED5DD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ED5DDA" w:rsidRPr="0093441A" w:rsidRDefault="00ED5DD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B33241" w:rsidRPr="00C210C0" w:rsidRDefault="00B33241" w:rsidP="00EF1DFE">
      <w:pPr>
        <w:pStyle w:val="FootnoteText"/>
        <w:spacing w:after="120"/>
        <w:ind w:firstLine="720"/>
        <w:jc w:val="both"/>
        <w:rPr>
          <w:rFonts w:asciiTheme="minorHAnsi" w:hAnsiTheme="minorHAnsi"/>
          <w:sz w:val="16"/>
          <w:szCs w:val="16"/>
        </w:rPr>
      </w:pPr>
      <w:r w:rsidRPr="00C210C0">
        <w:rPr>
          <w:rStyle w:val="FootnoteReference"/>
          <w:rFonts w:asciiTheme="minorHAnsi" w:hAnsiTheme="minorHAnsi"/>
          <w:color w:val="auto"/>
          <w:sz w:val="16"/>
          <w:szCs w:val="16"/>
        </w:rPr>
        <w:footnoteRef/>
      </w:r>
      <w:r w:rsidRPr="00C210C0">
        <w:rPr>
          <w:rFonts w:asciiTheme="minorHAnsi" w:hAnsiTheme="minorHAnsi"/>
          <w:color w:val="auto"/>
          <w:sz w:val="16"/>
          <w:szCs w:val="16"/>
        </w:rPr>
        <w:t xml:space="preserve"> On March 27, 2000, the </w:t>
      </w:r>
      <w:r w:rsidRPr="00C210C0">
        <w:rPr>
          <w:rFonts w:asciiTheme="minorHAnsi" w:hAnsiTheme="minorHAnsi"/>
          <w:snapToGrid w:val="0"/>
          <w:color w:val="auto"/>
          <w:sz w:val="16"/>
          <w:szCs w:val="16"/>
        </w:rPr>
        <w:t>Center for Justice and International Law (CEJIL) reported that it had joined the action as co-petitioner.</w:t>
      </w:r>
    </w:p>
  </w:footnote>
  <w:footnote w:id="3">
    <w:p w:rsidR="00B33241" w:rsidRPr="00C210C0" w:rsidRDefault="00B33241" w:rsidP="00EF1DFE">
      <w:pPr>
        <w:pStyle w:val="FootnoteText"/>
        <w:spacing w:after="120"/>
        <w:ind w:firstLine="720"/>
        <w:jc w:val="both"/>
        <w:rPr>
          <w:rFonts w:asciiTheme="minorHAnsi" w:hAnsiTheme="minorHAnsi"/>
          <w:sz w:val="16"/>
          <w:szCs w:val="16"/>
        </w:rPr>
      </w:pPr>
      <w:r w:rsidRPr="00C210C0">
        <w:rPr>
          <w:rStyle w:val="FootnoteReference"/>
          <w:rFonts w:asciiTheme="minorHAnsi" w:hAnsiTheme="minorHAnsi"/>
          <w:sz w:val="16"/>
          <w:szCs w:val="16"/>
        </w:rPr>
        <w:footnoteRef/>
      </w:r>
      <w:r w:rsidRPr="00C210C0">
        <w:rPr>
          <w:rFonts w:asciiTheme="minorHAnsi" w:hAnsiTheme="minorHAnsi" w:cs="Univers"/>
          <w:sz w:val="16"/>
          <w:szCs w:val="16"/>
        </w:rPr>
        <w:t xml:space="preserve"> The petition was submitted also on behalf of eight other alleged victims. As indicated in paragraph 7 of this report, the IACHR decided to divide the petition and process as a separate matter the situation of those alleged victims.</w:t>
      </w:r>
    </w:p>
  </w:footnote>
  <w:footnote w:id="4">
    <w:p w:rsidR="001800EE" w:rsidRPr="00EF1DFE" w:rsidRDefault="001800EE" w:rsidP="00EF1DFE">
      <w:pPr>
        <w:pStyle w:val="FootnoteText"/>
        <w:spacing w:after="120"/>
        <w:ind w:firstLine="720"/>
        <w:jc w:val="both"/>
        <w:rPr>
          <w:sz w:val="16"/>
          <w:szCs w:val="16"/>
        </w:rPr>
      </w:pPr>
      <w:r w:rsidRPr="00660BDD">
        <w:rPr>
          <w:rStyle w:val="FootnoteReference"/>
          <w:sz w:val="16"/>
          <w:szCs w:val="16"/>
        </w:rPr>
        <w:footnoteRef/>
      </w:r>
      <w:r w:rsidRPr="00660BDD">
        <w:rPr>
          <w:sz w:val="16"/>
          <w:szCs w:val="16"/>
        </w:rPr>
        <w:t xml:space="preserve"> </w:t>
      </w:r>
      <w:r w:rsidRPr="00660BDD">
        <w:rPr>
          <w:rFonts w:asciiTheme="minorHAnsi" w:hAnsiTheme="minorHAnsi"/>
          <w:sz w:val="16"/>
          <w:szCs w:val="16"/>
        </w:rPr>
        <w:t xml:space="preserve">As indicated in paragraph 18 of this report, in </w:t>
      </w:r>
      <w:r w:rsidR="00217A39" w:rsidRPr="00660BDD">
        <w:rPr>
          <w:rFonts w:asciiTheme="minorHAnsi" w:hAnsiTheme="minorHAnsi"/>
          <w:sz w:val="16"/>
          <w:szCs w:val="16"/>
        </w:rPr>
        <w:t xml:space="preserve">a </w:t>
      </w:r>
      <w:r w:rsidRPr="00660BDD">
        <w:rPr>
          <w:rFonts w:asciiTheme="minorHAnsi" w:hAnsiTheme="minorHAnsi"/>
          <w:sz w:val="16"/>
          <w:szCs w:val="16"/>
        </w:rPr>
        <w:t>communication dated July 23, 2015</w:t>
      </w:r>
      <w:r w:rsidR="00217A39" w:rsidRPr="00660BDD">
        <w:rPr>
          <w:rFonts w:asciiTheme="minorHAnsi" w:hAnsiTheme="minorHAnsi"/>
          <w:sz w:val="16"/>
          <w:szCs w:val="16"/>
        </w:rPr>
        <w:t>,</w:t>
      </w:r>
      <w:r w:rsidR="00EF1DFE" w:rsidRPr="00660BDD">
        <w:rPr>
          <w:rFonts w:asciiTheme="minorHAnsi" w:hAnsiTheme="minorHAnsi"/>
          <w:sz w:val="16"/>
          <w:szCs w:val="16"/>
        </w:rPr>
        <w:t xml:space="preserve"> the petitioners requested</w:t>
      </w:r>
      <w:r w:rsidRPr="00660BDD">
        <w:rPr>
          <w:rFonts w:asciiTheme="minorHAnsi" w:hAnsiTheme="minorHAnsi"/>
          <w:sz w:val="16"/>
          <w:szCs w:val="16"/>
        </w:rPr>
        <w:t xml:space="preserve"> the Commission</w:t>
      </w:r>
      <w:r w:rsidR="00EF1DFE" w:rsidRPr="00660BDD">
        <w:rPr>
          <w:rFonts w:asciiTheme="minorHAnsi" w:hAnsiTheme="minorHAnsi"/>
          <w:sz w:val="16"/>
          <w:szCs w:val="16"/>
        </w:rPr>
        <w:t xml:space="preserve"> to</w:t>
      </w:r>
      <w:r w:rsidRPr="00660BDD">
        <w:rPr>
          <w:rFonts w:asciiTheme="minorHAnsi" w:hAnsiTheme="minorHAnsi"/>
          <w:sz w:val="16"/>
          <w:szCs w:val="16"/>
        </w:rPr>
        <w:t xml:space="preserve"> dismi</w:t>
      </w:r>
      <w:r w:rsidR="00217A39" w:rsidRPr="00660BDD">
        <w:rPr>
          <w:rFonts w:asciiTheme="minorHAnsi" w:hAnsiTheme="minorHAnsi"/>
          <w:sz w:val="16"/>
          <w:szCs w:val="16"/>
        </w:rPr>
        <w:t>ss an allegation to which the S</w:t>
      </w:r>
      <w:r w:rsidRPr="00660BDD">
        <w:rPr>
          <w:rFonts w:asciiTheme="minorHAnsi" w:hAnsiTheme="minorHAnsi"/>
          <w:sz w:val="16"/>
          <w:szCs w:val="16"/>
        </w:rPr>
        <w:t xml:space="preserve">tate never </w:t>
      </w:r>
      <w:r w:rsidR="00217A39" w:rsidRPr="00660BDD">
        <w:rPr>
          <w:rFonts w:asciiTheme="minorHAnsi" w:hAnsiTheme="minorHAnsi"/>
          <w:sz w:val="16"/>
          <w:szCs w:val="16"/>
        </w:rPr>
        <w:t>responded</w:t>
      </w:r>
      <w:r w:rsidRPr="00660BDD">
        <w:rPr>
          <w:rFonts w:asciiTheme="minorHAnsi" w:hAnsiTheme="minorHAnsi"/>
          <w:sz w:val="16"/>
          <w:szCs w:val="16"/>
        </w:rPr>
        <w:t xml:space="preserve">. The Commission received that communication during </w:t>
      </w:r>
      <w:r w:rsidR="00217A39" w:rsidRPr="00660BDD">
        <w:rPr>
          <w:rFonts w:asciiTheme="minorHAnsi" w:hAnsiTheme="minorHAnsi"/>
          <w:sz w:val="16"/>
          <w:szCs w:val="16"/>
        </w:rPr>
        <w:t>its</w:t>
      </w:r>
      <w:r w:rsidRPr="00660BDD">
        <w:rPr>
          <w:rFonts w:asciiTheme="minorHAnsi" w:hAnsiTheme="minorHAnsi"/>
          <w:sz w:val="16"/>
          <w:szCs w:val="16"/>
        </w:rPr>
        <w:t xml:space="preserve"> 155th regular </w:t>
      </w:r>
      <w:r w:rsidR="00217A39" w:rsidRPr="00660BDD">
        <w:rPr>
          <w:rFonts w:asciiTheme="minorHAnsi" w:hAnsiTheme="minorHAnsi"/>
          <w:sz w:val="16"/>
          <w:szCs w:val="16"/>
        </w:rPr>
        <w:t xml:space="preserve">period of </w:t>
      </w:r>
      <w:r w:rsidRPr="00660BDD">
        <w:rPr>
          <w:rFonts w:asciiTheme="minorHAnsi" w:hAnsiTheme="minorHAnsi"/>
          <w:sz w:val="16"/>
          <w:szCs w:val="16"/>
        </w:rPr>
        <w:t>session</w:t>
      </w:r>
      <w:r w:rsidR="00217A39" w:rsidRPr="00660BDD">
        <w:rPr>
          <w:rFonts w:asciiTheme="minorHAnsi" w:hAnsiTheme="minorHAnsi"/>
          <w:sz w:val="16"/>
          <w:szCs w:val="16"/>
        </w:rPr>
        <w:t>s</w:t>
      </w:r>
      <w:r w:rsidR="00EF1DFE" w:rsidRPr="00660BDD">
        <w:rPr>
          <w:rFonts w:asciiTheme="minorHAnsi" w:hAnsiTheme="minorHAnsi"/>
          <w:sz w:val="16"/>
          <w:szCs w:val="16"/>
        </w:rPr>
        <w:t>,</w:t>
      </w:r>
      <w:r w:rsidR="00217A39" w:rsidRPr="00660BDD">
        <w:rPr>
          <w:rFonts w:asciiTheme="minorHAnsi" w:hAnsiTheme="minorHAnsi"/>
          <w:sz w:val="16"/>
          <w:szCs w:val="16"/>
        </w:rPr>
        <w:t xml:space="preserve"> and the present</w:t>
      </w:r>
      <w:r w:rsidRPr="00660BDD">
        <w:rPr>
          <w:rFonts w:asciiTheme="minorHAnsi" w:hAnsiTheme="minorHAnsi"/>
          <w:sz w:val="16"/>
          <w:szCs w:val="16"/>
        </w:rPr>
        <w:t xml:space="preserve"> report was approved </w:t>
      </w:r>
      <w:r w:rsidR="00217A39" w:rsidRPr="00660BDD">
        <w:rPr>
          <w:rFonts w:asciiTheme="minorHAnsi" w:hAnsiTheme="minorHAnsi"/>
          <w:sz w:val="16"/>
          <w:szCs w:val="16"/>
        </w:rPr>
        <w:t>prior to transmitting</w:t>
      </w:r>
      <w:r w:rsidRPr="00660BDD">
        <w:rPr>
          <w:rFonts w:asciiTheme="minorHAnsi" w:hAnsiTheme="minorHAnsi"/>
          <w:sz w:val="16"/>
          <w:szCs w:val="16"/>
        </w:rPr>
        <w:t xml:space="preserve"> this last communication to the State</w:t>
      </w:r>
      <w:r w:rsidR="00217A39" w:rsidRPr="00660BDD">
        <w:rPr>
          <w:rFonts w:asciiTheme="minorHAnsi" w:hAnsiTheme="minorHAnsi"/>
          <w:sz w:val="16"/>
          <w:szCs w:val="16"/>
        </w:rPr>
        <w:t>, as it does not contain any</w:t>
      </w:r>
      <w:r w:rsidRPr="00660BDD">
        <w:rPr>
          <w:rFonts w:asciiTheme="minorHAnsi" w:hAnsiTheme="minorHAnsi"/>
          <w:sz w:val="16"/>
          <w:szCs w:val="16"/>
        </w:rPr>
        <w:t xml:space="preserve"> information </w:t>
      </w:r>
      <w:r w:rsidR="00217A39" w:rsidRPr="00660BDD">
        <w:rPr>
          <w:rFonts w:asciiTheme="minorHAnsi" w:hAnsiTheme="minorHAnsi"/>
          <w:sz w:val="16"/>
          <w:szCs w:val="16"/>
        </w:rPr>
        <w:t>that</w:t>
      </w:r>
      <w:r w:rsidRPr="00660BDD">
        <w:rPr>
          <w:rFonts w:asciiTheme="minorHAnsi" w:hAnsiTheme="minorHAnsi"/>
          <w:sz w:val="16"/>
          <w:szCs w:val="16"/>
        </w:rPr>
        <w:t xml:space="preserve"> might entail a violation of</w:t>
      </w:r>
      <w:r w:rsidR="00217A39" w:rsidRPr="00660BDD">
        <w:rPr>
          <w:rFonts w:asciiTheme="minorHAnsi" w:hAnsiTheme="minorHAnsi"/>
          <w:sz w:val="16"/>
          <w:szCs w:val="16"/>
        </w:rPr>
        <w:t xml:space="preserve"> the State’s</w:t>
      </w:r>
      <w:r w:rsidRPr="00660BDD">
        <w:rPr>
          <w:rFonts w:asciiTheme="minorHAnsi" w:hAnsiTheme="minorHAnsi"/>
          <w:sz w:val="16"/>
          <w:szCs w:val="16"/>
        </w:rPr>
        <w:t xml:space="preserve"> right to defense.</w:t>
      </w:r>
    </w:p>
  </w:footnote>
  <w:footnote w:id="5">
    <w:p w:rsidR="00B33241" w:rsidRPr="00EF1DFE" w:rsidRDefault="00B33241" w:rsidP="00EF1DFE">
      <w:pPr>
        <w:pStyle w:val="FootnoteText"/>
        <w:spacing w:after="120"/>
        <w:ind w:firstLine="720"/>
        <w:jc w:val="both"/>
        <w:rPr>
          <w:rFonts w:asciiTheme="minorHAnsi" w:hAnsiTheme="minorHAnsi"/>
          <w:sz w:val="16"/>
          <w:szCs w:val="16"/>
        </w:rPr>
      </w:pPr>
      <w:r w:rsidRPr="00EF1DFE">
        <w:rPr>
          <w:rStyle w:val="FootnoteReference"/>
          <w:rFonts w:asciiTheme="minorHAnsi" w:hAnsiTheme="minorHAnsi"/>
          <w:sz w:val="16"/>
          <w:szCs w:val="16"/>
        </w:rPr>
        <w:footnoteRef/>
      </w:r>
      <w:r w:rsidRPr="00EF1DFE">
        <w:rPr>
          <w:rFonts w:asciiTheme="minorHAnsi" w:hAnsiTheme="minorHAnsi"/>
          <w:sz w:val="16"/>
          <w:szCs w:val="16"/>
        </w:rPr>
        <w:t xml:space="preserve"> The petitioners cite, </w:t>
      </w:r>
      <w:r w:rsidRPr="00EF1DFE">
        <w:rPr>
          <w:rFonts w:asciiTheme="minorHAnsi" w:hAnsiTheme="minorHAnsi"/>
          <w:i/>
          <w:sz w:val="16"/>
          <w:szCs w:val="16"/>
        </w:rPr>
        <w:t>inter alia</w:t>
      </w:r>
      <w:r w:rsidRPr="00EF1DFE">
        <w:rPr>
          <w:rFonts w:asciiTheme="minorHAnsi" w:hAnsiTheme="minorHAnsi"/>
          <w:sz w:val="16"/>
          <w:szCs w:val="16"/>
        </w:rPr>
        <w:t xml:space="preserve">, the </w:t>
      </w:r>
      <w:r w:rsidRPr="00EF1DFE">
        <w:rPr>
          <w:rFonts w:asciiTheme="minorHAnsi" w:hAnsiTheme="minorHAnsi"/>
          <w:iCs/>
          <w:sz w:val="16"/>
          <w:szCs w:val="16"/>
        </w:rPr>
        <w:t>Second Report on the Situation of Human Rights in Colombia</w:t>
      </w:r>
      <w:r w:rsidRPr="00EF1DFE">
        <w:rPr>
          <w:rFonts w:asciiTheme="minorHAnsi" w:hAnsiTheme="minorHAnsi"/>
          <w:sz w:val="16"/>
          <w:szCs w:val="16"/>
        </w:rPr>
        <w:t xml:space="preserve">, OEA/Ser.L/V/II.84. </w:t>
      </w:r>
      <w:r w:rsidRPr="00EF1DFE">
        <w:rPr>
          <w:rFonts w:asciiTheme="minorHAnsi" w:hAnsiTheme="minorHAnsi"/>
          <w:sz w:val="16"/>
          <w:szCs w:val="16"/>
          <w:lang w:val="es-ES"/>
        </w:rPr>
        <w:t xml:space="preserve">October 14, 1993; and the </w:t>
      </w:r>
      <w:r w:rsidRPr="00EF1DFE">
        <w:rPr>
          <w:rFonts w:asciiTheme="minorHAnsi" w:hAnsiTheme="minorHAnsi"/>
          <w:i/>
          <w:iCs/>
          <w:sz w:val="16"/>
          <w:szCs w:val="16"/>
          <w:lang w:val="es-ES"/>
        </w:rPr>
        <w:t xml:space="preserve">Informe para el Gobierno, el Congreso y el Procurador General de la Nación: Estudio de caso de homicidio de miembros de la Unión Patriótica y Esperanza Paz y Libertad </w:t>
      </w:r>
      <w:r w:rsidRPr="00EF1DFE">
        <w:rPr>
          <w:rFonts w:asciiTheme="minorHAnsi" w:hAnsiTheme="minorHAnsi"/>
          <w:iCs/>
          <w:sz w:val="16"/>
          <w:szCs w:val="16"/>
          <w:lang w:val="es-ES"/>
        </w:rPr>
        <w:t xml:space="preserve">(Report to the Government, Congress, and Attorney General of the Nation: Case Study of the Homicide of Members of the </w:t>
      </w:r>
      <w:r w:rsidRPr="00EF1DFE">
        <w:rPr>
          <w:rFonts w:asciiTheme="minorHAnsi" w:hAnsiTheme="minorHAnsi"/>
          <w:i/>
          <w:iCs/>
          <w:sz w:val="16"/>
          <w:szCs w:val="16"/>
          <w:lang w:val="es-ES"/>
        </w:rPr>
        <w:t>Unión Patriótica</w:t>
      </w:r>
      <w:r w:rsidRPr="00EF1DFE">
        <w:rPr>
          <w:rFonts w:asciiTheme="minorHAnsi" w:hAnsiTheme="minorHAnsi"/>
          <w:iCs/>
          <w:sz w:val="16"/>
          <w:szCs w:val="16"/>
          <w:lang w:val="es-ES"/>
        </w:rPr>
        <w:t xml:space="preserve"> and </w:t>
      </w:r>
      <w:r w:rsidRPr="00EF1DFE">
        <w:rPr>
          <w:rFonts w:asciiTheme="minorHAnsi" w:hAnsiTheme="minorHAnsi"/>
          <w:i/>
          <w:iCs/>
          <w:sz w:val="16"/>
          <w:szCs w:val="16"/>
          <w:lang w:val="es-ES"/>
        </w:rPr>
        <w:t xml:space="preserve">Esperanza Paz y Libertad). </w:t>
      </w:r>
      <w:r w:rsidRPr="00EF1DFE">
        <w:rPr>
          <w:rFonts w:asciiTheme="minorHAnsi" w:hAnsiTheme="minorHAnsi"/>
          <w:iCs/>
          <w:sz w:val="16"/>
          <w:szCs w:val="16"/>
        </w:rPr>
        <w:t xml:space="preserve">Office of the People's </w:t>
      </w:r>
      <w:r w:rsidRPr="00EF1DFE">
        <w:rPr>
          <w:rFonts w:asciiTheme="minorHAnsi" w:hAnsiTheme="minorHAnsi"/>
          <w:sz w:val="16"/>
          <w:szCs w:val="16"/>
        </w:rPr>
        <w:t>Defender of Colombia, 1992. Petitioners' writ of June 5, 2012.</w:t>
      </w:r>
    </w:p>
  </w:footnote>
  <w:footnote w:id="6">
    <w:p w:rsidR="00B33241" w:rsidRPr="00C210C0" w:rsidRDefault="00B33241" w:rsidP="00EF1DFE">
      <w:pPr>
        <w:pStyle w:val="FootnoteText"/>
        <w:spacing w:after="120"/>
        <w:ind w:firstLine="720"/>
        <w:jc w:val="both"/>
        <w:rPr>
          <w:rFonts w:asciiTheme="minorHAnsi" w:hAnsiTheme="minorHAnsi"/>
          <w:sz w:val="16"/>
          <w:szCs w:val="16"/>
          <w:lang w:val="es-ES"/>
        </w:rPr>
      </w:pPr>
      <w:r w:rsidRPr="00EF1DFE">
        <w:rPr>
          <w:rStyle w:val="FootnoteReference"/>
          <w:rFonts w:asciiTheme="minorHAnsi" w:hAnsiTheme="minorHAnsi"/>
          <w:sz w:val="16"/>
          <w:szCs w:val="16"/>
        </w:rPr>
        <w:footnoteRef/>
      </w:r>
      <w:r w:rsidRPr="00EF1DFE">
        <w:rPr>
          <w:rFonts w:asciiTheme="minorHAnsi" w:hAnsiTheme="minorHAnsi"/>
          <w:sz w:val="16"/>
          <w:szCs w:val="16"/>
          <w:lang w:val="es-ES"/>
        </w:rPr>
        <w:t xml:space="preserve"> National Social Ministry Secretariat and University of Antioquia, </w:t>
      </w:r>
      <w:r w:rsidRPr="00EF1DFE">
        <w:rPr>
          <w:rFonts w:asciiTheme="minorHAnsi" w:hAnsiTheme="minorHAnsi"/>
          <w:i/>
          <w:iCs/>
          <w:sz w:val="16"/>
          <w:szCs w:val="16"/>
          <w:lang w:val="es-ES"/>
        </w:rPr>
        <w:t xml:space="preserve">Desplazamiento Forzado en Antioquia 1985-1998. Conflicto armado en la subregión norte de Antioquia entre 1985 y 1998 </w:t>
      </w:r>
      <w:r w:rsidRPr="00EF1DFE">
        <w:rPr>
          <w:rFonts w:asciiTheme="minorHAnsi" w:hAnsiTheme="minorHAnsi"/>
          <w:iCs/>
          <w:sz w:val="16"/>
          <w:szCs w:val="16"/>
          <w:lang w:val="es-ES"/>
        </w:rPr>
        <w:t>(Forced Displacement in Antioquia, 1985-1998.  Armed Conflict in the Northern Subregion of Antioquia Between 1985 and 1998)</w:t>
      </w:r>
      <w:r w:rsidRPr="00EF1DFE">
        <w:rPr>
          <w:rFonts w:asciiTheme="minorHAnsi" w:hAnsiTheme="minorHAnsi"/>
          <w:sz w:val="16"/>
          <w:szCs w:val="16"/>
          <w:lang w:val="es-ES"/>
        </w:rPr>
        <w:t xml:space="preserve">, pp. 31-32 of that document, and </w:t>
      </w:r>
      <w:r w:rsidRPr="00EF1DFE">
        <w:rPr>
          <w:rFonts w:asciiTheme="minorHAnsi" w:hAnsiTheme="minorHAnsi"/>
          <w:i/>
          <w:sz w:val="16"/>
          <w:szCs w:val="16"/>
          <w:lang w:val="es-ES"/>
        </w:rPr>
        <w:t>Centro de Investigaciones y Educación Popular</w:t>
      </w:r>
      <w:r w:rsidRPr="00EF1DFE">
        <w:rPr>
          <w:rFonts w:asciiTheme="minorHAnsi" w:hAnsiTheme="minorHAnsi"/>
          <w:sz w:val="16"/>
          <w:szCs w:val="16"/>
          <w:lang w:val="es-ES"/>
        </w:rPr>
        <w:t xml:space="preserve"> (Center for Research and Popular Education, CINEP); </w:t>
      </w:r>
      <w:r w:rsidRPr="00EF1DFE">
        <w:rPr>
          <w:rFonts w:asciiTheme="minorHAnsi" w:hAnsiTheme="minorHAnsi"/>
          <w:i/>
          <w:sz w:val="16"/>
          <w:szCs w:val="16"/>
          <w:lang w:val="es-ES"/>
        </w:rPr>
        <w:t xml:space="preserve">Banco de Datos, </w:t>
      </w:r>
      <w:r w:rsidRPr="00EF1DFE">
        <w:rPr>
          <w:rFonts w:asciiTheme="minorHAnsi" w:hAnsiTheme="minorHAnsi"/>
          <w:i/>
          <w:iCs/>
          <w:sz w:val="16"/>
          <w:szCs w:val="16"/>
          <w:lang w:val="es-ES"/>
        </w:rPr>
        <w:t>Noche y Niebla - Deuda con la Humanidad – Paramilitarismo de Estado en Colombia 1988-2003 – Banco de datos de violencia política</w:t>
      </w:r>
      <w:r w:rsidRPr="00EF1DFE">
        <w:rPr>
          <w:rFonts w:asciiTheme="minorHAnsi" w:hAnsiTheme="minorHAnsi"/>
          <w:sz w:val="16"/>
          <w:szCs w:val="16"/>
          <w:lang w:val="es-ES"/>
        </w:rPr>
        <w:t xml:space="preserve"> (Database, Night and Fog--Debt to Humanity--State Paramilitarism in Colombia, 1988-2003--Database on political violence), CINEP, Bogotá, 2004.</w:t>
      </w:r>
    </w:p>
  </w:footnote>
  <w:footnote w:id="7">
    <w:p w:rsidR="00B33241" w:rsidRPr="00C210C0" w:rsidRDefault="00B33241" w:rsidP="00EF1DFE">
      <w:pPr>
        <w:pStyle w:val="FootnoteText"/>
        <w:spacing w:after="120"/>
        <w:ind w:firstLine="720"/>
        <w:jc w:val="both"/>
        <w:rPr>
          <w:rFonts w:asciiTheme="minorHAnsi" w:hAnsiTheme="minorHAnsi"/>
          <w:sz w:val="16"/>
          <w:szCs w:val="16"/>
        </w:rPr>
      </w:pPr>
      <w:r w:rsidRPr="00C210C0">
        <w:rPr>
          <w:rStyle w:val="FootnoteReference"/>
          <w:rFonts w:asciiTheme="minorHAnsi" w:hAnsiTheme="minorHAnsi"/>
          <w:sz w:val="16"/>
          <w:szCs w:val="16"/>
        </w:rPr>
        <w:footnoteRef/>
      </w:r>
      <w:r w:rsidRPr="00C210C0">
        <w:rPr>
          <w:rFonts w:asciiTheme="minorHAnsi" w:hAnsiTheme="minorHAnsi"/>
          <w:sz w:val="16"/>
          <w:szCs w:val="16"/>
        </w:rPr>
        <w:t xml:space="preserve"> The petitioners state in their writ that the Office of the Attorney General of the Nation is pursuing an investigation of Santiago Uribe Vélez, brother of former president-elect and senator of the Republic of Colombia Álvaro Uribe Vélez, for his alleged link to the paramilitary group known as “The Twelve Apostles,” in response to a public complaint lodged by Major (Ret.) Juan Carlos Meneses Quintero of the Colombian National Police in 2010. </w:t>
      </w:r>
    </w:p>
  </w:footnote>
  <w:footnote w:id="8">
    <w:p w:rsidR="00B33241" w:rsidRPr="00C210C0" w:rsidRDefault="00B33241" w:rsidP="00EF1DFE">
      <w:pPr>
        <w:pStyle w:val="FootnoteText"/>
        <w:spacing w:after="120"/>
        <w:ind w:firstLine="720"/>
        <w:jc w:val="both"/>
        <w:rPr>
          <w:rFonts w:asciiTheme="minorHAnsi" w:hAnsiTheme="minorHAnsi"/>
          <w:sz w:val="16"/>
          <w:szCs w:val="16"/>
        </w:rPr>
      </w:pPr>
      <w:r w:rsidRPr="00C210C0">
        <w:rPr>
          <w:rStyle w:val="FootnoteReference"/>
          <w:rFonts w:asciiTheme="minorHAnsi" w:hAnsiTheme="minorHAnsi"/>
          <w:sz w:val="16"/>
          <w:szCs w:val="16"/>
        </w:rPr>
        <w:footnoteRef/>
      </w:r>
      <w:r w:rsidRPr="00C210C0">
        <w:rPr>
          <w:rFonts w:asciiTheme="minorHAnsi" w:hAnsiTheme="minorHAnsi"/>
          <w:sz w:val="16"/>
          <w:szCs w:val="16"/>
        </w:rPr>
        <w:t xml:space="preserve"> Report No. 869-807, Appeal: 640, Submitted UDH 186 (P), July 3, 1997, addressed to the Chief of the National Human Rights Unit by the Regional Investigative Unit of the CTI (Luis Rafael Bravo B., Judicial Investigator, and Diego Mauricio Gutiérrez, Chief of the Investigative Unit), p. 2.</w:t>
      </w:r>
    </w:p>
  </w:footnote>
  <w:footnote w:id="9">
    <w:p w:rsidR="00B33241" w:rsidRPr="00C210C0" w:rsidRDefault="00B33241" w:rsidP="00EF1DFE">
      <w:pPr>
        <w:pStyle w:val="FootnoteText"/>
        <w:spacing w:after="120"/>
        <w:ind w:firstLine="720"/>
        <w:jc w:val="both"/>
        <w:rPr>
          <w:rFonts w:asciiTheme="minorHAnsi" w:hAnsiTheme="minorHAnsi"/>
          <w:sz w:val="16"/>
          <w:szCs w:val="16"/>
        </w:rPr>
      </w:pPr>
      <w:r w:rsidRPr="00C210C0">
        <w:rPr>
          <w:rStyle w:val="FootnoteReference"/>
          <w:rFonts w:asciiTheme="minorHAnsi" w:hAnsiTheme="minorHAnsi"/>
          <w:sz w:val="16"/>
          <w:szCs w:val="16"/>
        </w:rPr>
        <w:footnoteRef/>
      </w:r>
      <w:r w:rsidRPr="00C210C0">
        <w:rPr>
          <w:rFonts w:asciiTheme="minorHAnsi" w:hAnsiTheme="minorHAnsi"/>
          <w:sz w:val="16"/>
          <w:szCs w:val="16"/>
        </w:rPr>
        <w:t xml:space="preserve"> The petitioners cite I-A Court HR, Case of Gelman v. Uruguay, Merits and Reparations. Judgment of February 24, 2011, Series C, No. 221, para. 98.</w:t>
      </w:r>
    </w:p>
  </w:footnote>
  <w:footnote w:id="10">
    <w:p w:rsidR="00B33241" w:rsidRPr="00C210C0" w:rsidRDefault="00B33241" w:rsidP="00EF1DFE">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rPr>
      </w:pPr>
      <w:r w:rsidRPr="00C210C0">
        <w:rPr>
          <w:rStyle w:val="FootnoteReference"/>
          <w:rFonts w:asciiTheme="minorHAnsi" w:hAnsiTheme="minorHAnsi"/>
          <w:color w:val="auto"/>
          <w:sz w:val="16"/>
          <w:szCs w:val="16"/>
        </w:rPr>
        <w:footnoteRef/>
      </w:r>
      <w:r w:rsidRPr="00C210C0">
        <w:rPr>
          <w:rFonts w:asciiTheme="minorHAnsi" w:hAnsiTheme="minorHAnsi"/>
          <w:color w:val="auto"/>
          <w:sz w:val="16"/>
          <w:szCs w:val="16"/>
        </w:rPr>
        <w:t xml:space="preserve"> See IACHR, Report No. 65/09, Petition 616-06, Admissibility, </w:t>
      </w:r>
      <w:r w:rsidRPr="00C210C0">
        <w:rPr>
          <w:rFonts w:asciiTheme="minorHAnsi" w:hAnsiTheme="minorHAnsi"/>
          <w:iCs/>
          <w:color w:val="auto"/>
          <w:sz w:val="16"/>
          <w:szCs w:val="16"/>
        </w:rPr>
        <w:t>Juan Carlos Flores Bedregal</w:t>
      </w:r>
      <w:r w:rsidRPr="00C210C0">
        <w:rPr>
          <w:rFonts w:asciiTheme="minorHAnsi" w:hAnsiTheme="minorHAnsi"/>
          <w:color w:val="auto"/>
          <w:sz w:val="16"/>
          <w:szCs w:val="16"/>
        </w:rPr>
        <w:t xml:space="preserve">, Bolivia, August 4, 2009, para. 45; and Report No. 72/07, Petition 319-01, Admissibility, </w:t>
      </w:r>
      <w:r w:rsidRPr="00C210C0">
        <w:rPr>
          <w:rFonts w:asciiTheme="minorHAnsi" w:hAnsiTheme="minorHAnsi"/>
          <w:iCs/>
          <w:color w:val="auto"/>
          <w:sz w:val="16"/>
          <w:szCs w:val="16"/>
        </w:rPr>
        <w:t>Edgar Quiroga and Gildardo Fuentes</w:t>
      </w:r>
      <w:r w:rsidRPr="00C210C0">
        <w:rPr>
          <w:rFonts w:asciiTheme="minorHAnsi" w:hAnsiTheme="minorHAnsi"/>
          <w:color w:val="auto"/>
          <w:sz w:val="16"/>
          <w:szCs w:val="16"/>
        </w:rPr>
        <w:t>, Colombia, October 15, 2007, para. 44.</w:t>
      </w:r>
    </w:p>
  </w:footnote>
  <w:footnote w:id="11">
    <w:p w:rsidR="00B33241" w:rsidRPr="00C210C0" w:rsidRDefault="00B33241" w:rsidP="00EF1DFE">
      <w:pPr>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rPr>
      </w:pPr>
      <w:r w:rsidRPr="00C210C0">
        <w:rPr>
          <w:rStyle w:val="FootnoteReference"/>
          <w:rFonts w:asciiTheme="minorHAnsi" w:hAnsiTheme="minorHAnsi" w:cs="Calibri"/>
          <w:sz w:val="16"/>
          <w:szCs w:val="16"/>
        </w:rPr>
        <w:footnoteRef/>
      </w:r>
      <w:r w:rsidRPr="00C210C0">
        <w:rPr>
          <w:rFonts w:asciiTheme="minorHAnsi" w:hAnsiTheme="minorHAnsi" w:cs="Calibri"/>
          <w:sz w:val="16"/>
          <w:szCs w:val="16"/>
        </w:rPr>
        <w:t xml:space="preserve"> IACHR, Report No. 52/97, Case 11.218, Merits, Arges Sequeira Mangas, Nicaragua, Annual Report Anual of the IACHR 1997, paras. 96 and 97.  See also Report No. 55/97, Case 11.137, Merits, Abella et al., Argentina, para. 392. </w:t>
      </w:r>
    </w:p>
  </w:footnote>
  <w:footnote w:id="12">
    <w:p w:rsidR="00B33241" w:rsidRPr="00C210C0" w:rsidRDefault="00B33241" w:rsidP="00EF1DFE">
      <w:pPr>
        <w:pBdr>
          <w:top w:val="none" w:sz="0" w:space="0" w:color="auto"/>
          <w:left w:val="none" w:sz="0" w:space="0" w:color="auto"/>
          <w:bottom w:val="none" w:sz="0" w:space="0" w:color="auto"/>
          <w:right w:val="none" w:sz="0" w:space="0" w:color="auto"/>
          <w:bar w:val="none" w:sz="0" w:color="auto"/>
        </w:pBdr>
        <w:spacing w:after="120"/>
        <w:ind w:firstLine="720"/>
        <w:jc w:val="both"/>
        <w:rPr>
          <w:rFonts w:asciiTheme="minorHAnsi" w:hAnsiTheme="minorHAnsi"/>
          <w:sz w:val="16"/>
          <w:szCs w:val="16"/>
        </w:rPr>
      </w:pPr>
      <w:r w:rsidRPr="00C210C0">
        <w:rPr>
          <w:rStyle w:val="FootnoteReference"/>
          <w:rFonts w:asciiTheme="minorHAnsi" w:hAnsiTheme="minorHAnsi" w:cs="Calibri"/>
          <w:sz w:val="16"/>
          <w:szCs w:val="16"/>
        </w:rPr>
        <w:footnoteRef/>
      </w:r>
      <w:r w:rsidRPr="00C210C0">
        <w:rPr>
          <w:rFonts w:asciiTheme="minorHAnsi" w:hAnsiTheme="minorHAnsi" w:cs="Calibri"/>
          <w:sz w:val="16"/>
          <w:szCs w:val="16"/>
        </w:rPr>
        <w:t xml:space="preserve"> IACHR, Report No. 151/11, Petition 1077-06, Admissibility, Luis Giován Laverde Moreno et al., Colombia, November 2, 2011, para.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76EA05B" wp14:editId="2A0A9F5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ED5DD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C85" w:rsidRDefault="004A0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41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01E009B"/>
    <w:multiLevelType w:val="hybridMultilevel"/>
    <w:tmpl w:val="CBA873A0"/>
    <w:lvl w:ilvl="0" w:tplc="BBD4251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14B71D7"/>
    <w:multiLevelType w:val="hybridMultilevel"/>
    <w:tmpl w:val="3A621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372751"/>
    <w:multiLevelType w:val="hybridMultilevel"/>
    <w:tmpl w:val="2CBC870E"/>
    <w:lvl w:ilvl="0" w:tplc="C69032CA">
      <w:start w:val="1"/>
      <w:numFmt w:val="decimal"/>
      <w:lvlText w:val="%1."/>
      <w:lvlJc w:val="left"/>
      <w:pPr>
        <w:ind w:left="1044" w:hanging="504"/>
      </w:pPr>
      <w:rPr>
        <w:rFonts w:ascii="Cambria" w:hAnsi="Cambria" w:cs="Times New Roman" w:hint="default"/>
        <w:b w:val="0"/>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0F0C1F"/>
    <w:multiLevelType w:val="hybridMultilevel"/>
    <w:tmpl w:val="C0F89654"/>
    <w:lvl w:ilvl="0" w:tplc="9DA68692">
      <w:start w:val="1"/>
      <w:numFmt w:val="decimal"/>
      <w:lvlText w:val="%1."/>
      <w:lvlJc w:val="left"/>
      <w:pPr>
        <w:ind w:left="1134" w:hanging="504"/>
      </w:pPr>
      <w:rPr>
        <w:rFonts w:ascii="Cambria" w:hAnsi="Cambria" w:cs="Times New Roman" w:hint="default"/>
        <w:b w:val="0"/>
        <w:color w:val="auto"/>
        <w:sz w:val="20"/>
        <w:szCs w:val="2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51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1B0238D"/>
    <w:multiLevelType w:val="hybridMultilevel"/>
    <w:tmpl w:val="B2C0200E"/>
    <w:lvl w:ilvl="0" w:tplc="0338BC72">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54533009"/>
    <w:multiLevelType w:val="multilevel"/>
    <w:tmpl w:val="E592B904"/>
    <w:styleLink w:val="List211"/>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8C47893"/>
    <w:multiLevelType w:val="hybridMultilevel"/>
    <w:tmpl w:val="D0D2858C"/>
    <w:lvl w:ilvl="0" w:tplc="E23EE40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7C64281"/>
    <w:multiLevelType w:val="hybridMultilevel"/>
    <w:tmpl w:val="4438A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FA696D"/>
    <w:multiLevelType w:val="hybridMultilevel"/>
    <w:tmpl w:val="711480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2"/>
  </w:num>
  <w:num w:numId="5">
    <w:abstractNumId w:val="47"/>
  </w:num>
  <w:num w:numId="6">
    <w:abstractNumId w:val="27"/>
  </w:num>
  <w:num w:numId="7">
    <w:abstractNumId w:val="6"/>
  </w:num>
  <w:num w:numId="8">
    <w:abstractNumId w:val="18"/>
  </w:num>
  <w:num w:numId="9">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0">
    <w:abstractNumId w:val="43"/>
  </w:num>
  <w:num w:numId="11">
    <w:abstractNumId w:val="0"/>
  </w:num>
  <w:num w:numId="12">
    <w:abstractNumId w:val="37"/>
  </w:num>
  <w:num w:numId="13">
    <w:abstractNumId w:val="38"/>
  </w:num>
  <w:num w:numId="14">
    <w:abstractNumId w:val="44"/>
  </w:num>
  <w:num w:numId="15">
    <w:abstractNumId w:val="1"/>
  </w:num>
  <w:num w:numId="16">
    <w:abstractNumId w:val="2"/>
  </w:num>
  <w:num w:numId="17">
    <w:abstractNumId w:val="7"/>
  </w:num>
  <w:num w:numId="18">
    <w:abstractNumId w:val="8"/>
  </w:num>
  <w:num w:numId="19">
    <w:abstractNumId w:val="9"/>
  </w:num>
  <w:num w:numId="20">
    <w:abstractNumId w:val="10"/>
  </w:num>
  <w:num w:numId="21">
    <w:abstractNumId w:val="11"/>
  </w:num>
  <w:num w:numId="22">
    <w:abstractNumId w:val="13"/>
  </w:num>
  <w:num w:numId="23">
    <w:abstractNumId w:val="14"/>
  </w:num>
  <w:num w:numId="24">
    <w:abstractNumId w:val="15"/>
  </w:num>
  <w:num w:numId="25">
    <w:abstractNumId w:val="16"/>
  </w:num>
  <w:num w:numId="26">
    <w:abstractNumId w:val="19"/>
  </w:num>
  <w:num w:numId="27">
    <w:abstractNumId w:val="20"/>
  </w:num>
  <w:num w:numId="28">
    <w:abstractNumId w:val="23"/>
  </w:num>
  <w:num w:numId="29">
    <w:abstractNumId w:val="24"/>
  </w:num>
  <w:num w:numId="30">
    <w:abstractNumId w:val="25"/>
  </w:num>
  <w:num w:numId="31">
    <w:abstractNumId w:val="26"/>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6"/>
  </w:num>
  <w:num w:numId="40">
    <w:abstractNumId w:val="39"/>
  </w:num>
  <w:num w:numId="41">
    <w:abstractNumId w:val="40"/>
  </w:num>
  <w:num w:numId="42">
    <w:abstractNumId w:val="46"/>
  </w:num>
  <w:num w:numId="43">
    <w:abstractNumId w:val="49"/>
  </w:num>
  <w:num w:numId="44">
    <w:abstractNumId w:val="50"/>
  </w:num>
  <w:num w:numId="45">
    <w:abstractNumId w:val="52"/>
  </w:num>
  <w:num w:numId="46">
    <w:abstractNumId w:val="54"/>
  </w:num>
  <w:num w:numId="47">
    <w:abstractNumId w:val="56"/>
  </w:num>
  <w:num w:numId="48">
    <w:abstractNumId w:val="57"/>
  </w:num>
  <w:num w:numId="49">
    <w:abstractNumId w:val="58"/>
  </w:num>
  <w:num w:numId="50">
    <w:abstractNumId w:val="60"/>
  </w:num>
  <w:num w:numId="51">
    <w:abstractNumId w:val="61"/>
  </w:num>
  <w:num w:numId="52">
    <w:abstractNumId w:val="21"/>
  </w:num>
  <w:num w:numId="53">
    <w:abstractNumId w:val="41"/>
  </w:num>
  <w:num w:numId="54">
    <w:abstractNumId w:val="51"/>
  </w:num>
  <w:num w:numId="55">
    <w:abstractNumId w:val="45"/>
  </w:num>
  <w:num w:numId="56">
    <w:abstractNumId w:val="35"/>
  </w:num>
  <w:num w:numId="57">
    <w:abstractNumId w:val="4"/>
  </w:num>
  <w:num w:numId="58">
    <w:abstractNumId w:val="59"/>
  </w:num>
  <w:num w:numId="59">
    <w:abstractNumId w:val="48"/>
  </w:num>
  <w:num w:numId="60">
    <w:abstractNumId w:val="42"/>
  </w:num>
  <w:num w:numId="61">
    <w:abstractNumId w:val="17"/>
  </w:num>
  <w:num w:numId="62">
    <w:abstractNumId w:val="12"/>
  </w:num>
  <w:num w:numId="63">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25A41"/>
    <w:rsid w:val="00036A8A"/>
    <w:rsid w:val="00040C3A"/>
    <w:rsid w:val="00056B98"/>
    <w:rsid w:val="000639C0"/>
    <w:rsid w:val="00070F3A"/>
    <w:rsid w:val="000716C5"/>
    <w:rsid w:val="00075CC1"/>
    <w:rsid w:val="00075E23"/>
    <w:rsid w:val="00092F32"/>
    <w:rsid w:val="0009344A"/>
    <w:rsid w:val="000A575F"/>
    <w:rsid w:val="000D10DB"/>
    <w:rsid w:val="0013104F"/>
    <w:rsid w:val="00137EBA"/>
    <w:rsid w:val="00145EDC"/>
    <w:rsid w:val="00160E4E"/>
    <w:rsid w:val="00167A34"/>
    <w:rsid w:val="001800EE"/>
    <w:rsid w:val="0018037F"/>
    <w:rsid w:val="001924C6"/>
    <w:rsid w:val="001A5F27"/>
    <w:rsid w:val="001A7870"/>
    <w:rsid w:val="001C1B41"/>
    <w:rsid w:val="00210E0E"/>
    <w:rsid w:val="00217A39"/>
    <w:rsid w:val="00247403"/>
    <w:rsid w:val="00247542"/>
    <w:rsid w:val="00257893"/>
    <w:rsid w:val="00266092"/>
    <w:rsid w:val="00266B61"/>
    <w:rsid w:val="0026712A"/>
    <w:rsid w:val="002704DB"/>
    <w:rsid w:val="0028083A"/>
    <w:rsid w:val="002C1641"/>
    <w:rsid w:val="002D7EA2"/>
    <w:rsid w:val="002E15DF"/>
    <w:rsid w:val="002E187C"/>
    <w:rsid w:val="002E6E57"/>
    <w:rsid w:val="00301075"/>
    <w:rsid w:val="00302733"/>
    <w:rsid w:val="00311A4F"/>
    <w:rsid w:val="00314078"/>
    <w:rsid w:val="00317DE0"/>
    <w:rsid w:val="00322450"/>
    <w:rsid w:val="003246B5"/>
    <w:rsid w:val="0033169F"/>
    <w:rsid w:val="003414AC"/>
    <w:rsid w:val="00356185"/>
    <w:rsid w:val="00360380"/>
    <w:rsid w:val="00386CF0"/>
    <w:rsid w:val="003C32BC"/>
    <w:rsid w:val="003C5BBE"/>
    <w:rsid w:val="003F1BBF"/>
    <w:rsid w:val="004165C2"/>
    <w:rsid w:val="00445B0F"/>
    <w:rsid w:val="00450A4A"/>
    <w:rsid w:val="004666FB"/>
    <w:rsid w:val="00467B7E"/>
    <w:rsid w:val="0049419D"/>
    <w:rsid w:val="004A0C85"/>
    <w:rsid w:val="004B2762"/>
    <w:rsid w:val="004B7EB6"/>
    <w:rsid w:val="004C4B62"/>
    <w:rsid w:val="004D6025"/>
    <w:rsid w:val="004D72BC"/>
    <w:rsid w:val="004E5F9B"/>
    <w:rsid w:val="004F6CAC"/>
    <w:rsid w:val="00501399"/>
    <w:rsid w:val="00507BC4"/>
    <w:rsid w:val="005128E4"/>
    <w:rsid w:val="00525560"/>
    <w:rsid w:val="005357A6"/>
    <w:rsid w:val="00544C49"/>
    <w:rsid w:val="0057402A"/>
    <w:rsid w:val="005771D0"/>
    <w:rsid w:val="0059191A"/>
    <w:rsid w:val="005921FF"/>
    <w:rsid w:val="005A399B"/>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60BDD"/>
    <w:rsid w:val="0068009E"/>
    <w:rsid w:val="006A17D2"/>
    <w:rsid w:val="006A73E6"/>
    <w:rsid w:val="006B2D5C"/>
    <w:rsid w:val="006B5AB4"/>
    <w:rsid w:val="006C4EB1"/>
    <w:rsid w:val="006E0166"/>
    <w:rsid w:val="006E7B34"/>
    <w:rsid w:val="00701B24"/>
    <w:rsid w:val="00745899"/>
    <w:rsid w:val="007607C4"/>
    <w:rsid w:val="0076643F"/>
    <w:rsid w:val="007A2F70"/>
    <w:rsid w:val="007C3334"/>
    <w:rsid w:val="007C52BB"/>
    <w:rsid w:val="007D2B98"/>
    <w:rsid w:val="007E2EA7"/>
    <w:rsid w:val="00803F1C"/>
    <w:rsid w:val="0080600E"/>
    <w:rsid w:val="00817612"/>
    <w:rsid w:val="00837C45"/>
    <w:rsid w:val="00853419"/>
    <w:rsid w:val="00874750"/>
    <w:rsid w:val="00897E12"/>
    <w:rsid w:val="008D43BA"/>
    <w:rsid w:val="008E3759"/>
    <w:rsid w:val="008F1FF6"/>
    <w:rsid w:val="009041DC"/>
    <w:rsid w:val="009104B4"/>
    <w:rsid w:val="00925FCD"/>
    <w:rsid w:val="0093441A"/>
    <w:rsid w:val="00954BF7"/>
    <w:rsid w:val="009562BC"/>
    <w:rsid w:val="0096706E"/>
    <w:rsid w:val="00981FBA"/>
    <w:rsid w:val="009B381B"/>
    <w:rsid w:val="009D7611"/>
    <w:rsid w:val="009E53DE"/>
    <w:rsid w:val="00A43458"/>
    <w:rsid w:val="00A4354E"/>
    <w:rsid w:val="00A528D1"/>
    <w:rsid w:val="00A66BE5"/>
    <w:rsid w:val="00AB7626"/>
    <w:rsid w:val="00AD37C1"/>
    <w:rsid w:val="00AE66EC"/>
    <w:rsid w:val="00AE6F91"/>
    <w:rsid w:val="00AF5571"/>
    <w:rsid w:val="00B167E9"/>
    <w:rsid w:val="00B314DB"/>
    <w:rsid w:val="00B31EBE"/>
    <w:rsid w:val="00B33241"/>
    <w:rsid w:val="00B3718B"/>
    <w:rsid w:val="00B4632A"/>
    <w:rsid w:val="00B9638D"/>
    <w:rsid w:val="00BA276C"/>
    <w:rsid w:val="00BB306F"/>
    <w:rsid w:val="00BC4CC3"/>
    <w:rsid w:val="00BD232B"/>
    <w:rsid w:val="00BD4B89"/>
    <w:rsid w:val="00C21762"/>
    <w:rsid w:val="00C24543"/>
    <w:rsid w:val="00C256A2"/>
    <w:rsid w:val="00C3492D"/>
    <w:rsid w:val="00C542A3"/>
    <w:rsid w:val="00C55560"/>
    <w:rsid w:val="00C66B72"/>
    <w:rsid w:val="00C9567A"/>
    <w:rsid w:val="00CB2660"/>
    <w:rsid w:val="00CC5E90"/>
    <w:rsid w:val="00CD046C"/>
    <w:rsid w:val="00CE1004"/>
    <w:rsid w:val="00CE5199"/>
    <w:rsid w:val="00CE66D5"/>
    <w:rsid w:val="00CF2851"/>
    <w:rsid w:val="00D34786"/>
    <w:rsid w:val="00D34B27"/>
    <w:rsid w:val="00D40A1E"/>
    <w:rsid w:val="00D712D3"/>
    <w:rsid w:val="00D71422"/>
    <w:rsid w:val="00D7145E"/>
    <w:rsid w:val="00D7558D"/>
    <w:rsid w:val="00D7645C"/>
    <w:rsid w:val="00D81D92"/>
    <w:rsid w:val="00D93446"/>
    <w:rsid w:val="00D95661"/>
    <w:rsid w:val="00DA2911"/>
    <w:rsid w:val="00DA7B5F"/>
    <w:rsid w:val="00DB0AEA"/>
    <w:rsid w:val="00E43157"/>
    <w:rsid w:val="00E533FF"/>
    <w:rsid w:val="00E709B3"/>
    <w:rsid w:val="00E867FE"/>
    <w:rsid w:val="00E8789F"/>
    <w:rsid w:val="00E97B71"/>
    <w:rsid w:val="00EB454D"/>
    <w:rsid w:val="00ED5DDA"/>
    <w:rsid w:val="00EE3522"/>
    <w:rsid w:val="00EF1DFE"/>
    <w:rsid w:val="00EF619B"/>
    <w:rsid w:val="00F00B55"/>
    <w:rsid w:val="00F1380F"/>
    <w:rsid w:val="00F14F0E"/>
    <w:rsid w:val="00F24C29"/>
    <w:rsid w:val="00F253CC"/>
    <w:rsid w:val="00F56BA5"/>
    <w:rsid w:val="00F644E6"/>
    <w:rsid w:val="00F9653B"/>
    <w:rsid w:val="00FB62CF"/>
    <w:rsid w:val="00FC3EB4"/>
    <w:rsid w:val="00FC6C58"/>
    <w:rsid w:val="00FD0684"/>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324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B3324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2"/>
      </w:numPr>
    </w:pPr>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0">
    <w:name w:val="List 21"/>
    <w:basedOn w:val="Estiloimportado3"/>
    <w:pPr>
      <w:numPr>
        <w:numId w:val="53"/>
      </w:numPr>
    </w:pPr>
  </w:style>
  <w:style w:type="numbering" w:customStyle="1" w:styleId="Estiloimportado3">
    <w:name w:val="Estilo importado 3"/>
  </w:style>
  <w:style w:type="numbering" w:customStyle="1" w:styleId="List31">
    <w:name w:val="List 31"/>
    <w:basedOn w:val="Estiloimportado4"/>
    <w:pPr>
      <w:numPr>
        <w:numId w:val="52"/>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5"/>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3"/>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7"/>
      </w:numPr>
    </w:pPr>
  </w:style>
  <w:style w:type="numbering" w:customStyle="1" w:styleId="Estiloimportado13">
    <w:name w:val="Estilo importado 13"/>
  </w:style>
  <w:style w:type="numbering" w:customStyle="1" w:styleId="List13">
    <w:name w:val="List 13"/>
    <w:basedOn w:val="Estiloimportado14"/>
    <w:pPr>
      <w:numPr>
        <w:numId w:val="43"/>
      </w:numPr>
    </w:pPr>
  </w:style>
  <w:style w:type="numbering" w:customStyle="1" w:styleId="Estiloimportado14">
    <w:name w:val="Estilo importado 14"/>
  </w:style>
  <w:style w:type="numbering" w:customStyle="1" w:styleId="List14">
    <w:name w:val="List 14"/>
    <w:basedOn w:val="Estiloimportado15"/>
    <w:pPr>
      <w:numPr>
        <w:numId w:val="18"/>
      </w:numPr>
    </w:pPr>
  </w:style>
  <w:style w:type="numbering" w:customStyle="1" w:styleId="Estiloimportado15">
    <w:name w:val="Estilo importado 15"/>
  </w:style>
  <w:style w:type="numbering" w:customStyle="1" w:styleId="List15">
    <w:name w:val="List 15"/>
    <w:basedOn w:val="Estiloimportado16"/>
    <w:pPr>
      <w:numPr>
        <w:numId w:val="17"/>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6"/>
      </w:numPr>
    </w:pPr>
  </w:style>
  <w:style w:type="numbering" w:customStyle="1" w:styleId="Estiloimportado17">
    <w:name w:val="Estilo importado 17"/>
  </w:style>
  <w:style w:type="numbering" w:customStyle="1" w:styleId="List18">
    <w:name w:val="List 18"/>
    <w:basedOn w:val="Estiloimportado18"/>
    <w:pPr>
      <w:numPr>
        <w:numId w:val="28"/>
      </w:numPr>
    </w:pPr>
  </w:style>
  <w:style w:type="numbering" w:customStyle="1" w:styleId="Estiloimportado18">
    <w:name w:val="Estilo importado 18"/>
  </w:style>
  <w:style w:type="numbering" w:customStyle="1" w:styleId="List19">
    <w:name w:val="List 19"/>
    <w:basedOn w:val="Estiloimportado10"/>
    <w:pPr>
      <w:numPr>
        <w:numId w:val="20"/>
      </w:numPr>
    </w:pPr>
  </w:style>
  <w:style w:type="numbering" w:customStyle="1" w:styleId="List20">
    <w:name w:val="List 20"/>
    <w:basedOn w:val="Estiloimportado12"/>
    <w:pPr>
      <w:numPr>
        <w:numId w:val="44"/>
      </w:numPr>
    </w:pPr>
  </w:style>
  <w:style w:type="numbering" w:customStyle="1" w:styleId="List21">
    <w:name w:val="List 21"/>
    <w:basedOn w:val="Estiloimportado19"/>
    <w:pPr>
      <w:numPr>
        <w:numId w:val="39"/>
      </w:numPr>
    </w:pPr>
  </w:style>
  <w:style w:type="numbering" w:customStyle="1" w:styleId="Estiloimportado19">
    <w:name w:val="Estilo importado 19"/>
  </w:style>
  <w:style w:type="numbering" w:customStyle="1" w:styleId="List22">
    <w:name w:val="List 22"/>
    <w:basedOn w:val="Estiloimportado19"/>
    <w:pPr>
      <w:numPr>
        <w:numId w:val="29"/>
      </w:numPr>
    </w:pPr>
  </w:style>
  <w:style w:type="numbering" w:customStyle="1" w:styleId="List23">
    <w:name w:val="List 23"/>
    <w:basedOn w:val="Estiloimportado19"/>
    <w:pPr>
      <w:numPr>
        <w:numId w:val="19"/>
      </w:numPr>
    </w:pPr>
  </w:style>
  <w:style w:type="numbering" w:customStyle="1" w:styleId="List24">
    <w:name w:val="List 24"/>
    <w:basedOn w:val="Estiloimportado20"/>
    <w:pPr>
      <w:numPr>
        <w:numId w:val="14"/>
      </w:numPr>
    </w:pPr>
  </w:style>
  <w:style w:type="numbering" w:customStyle="1" w:styleId="Estiloimportado20">
    <w:name w:val="Estilo importado 20"/>
  </w:style>
  <w:style w:type="numbering" w:customStyle="1" w:styleId="List25">
    <w:name w:val="List 25"/>
    <w:basedOn w:val="Estiloimportado21"/>
    <w:pPr>
      <w:numPr>
        <w:numId w:val="16"/>
      </w:numPr>
    </w:pPr>
  </w:style>
  <w:style w:type="numbering" w:customStyle="1" w:styleId="Estiloimportado21">
    <w:name w:val="Estilo importado 21"/>
  </w:style>
  <w:style w:type="numbering" w:customStyle="1" w:styleId="List26">
    <w:name w:val="List 26"/>
    <w:basedOn w:val="Estiloimportado22"/>
    <w:pPr>
      <w:numPr>
        <w:numId w:val="50"/>
      </w:numPr>
    </w:pPr>
  </w:style>
  <w:style w:type="numbering" w:customStyle="1" w:styleId="Estiloimportado22">
    <w:name w:val="Estilo importado 22"/>
  </w:style>
  <w:style w:type="numbering" w:customStyle="1" w:styleId="List27">
    <w:name w:val="List 27"/>
    <w:basedOn w:val="Estiloimportado23"/>
    <w:pPr>
      <w:numPr>
        <w:numId w:val="42"/>
      </w:numPr>
    </w:pPr>
  </w:style>
  <w:style w:type="numbering" w:customStyle="1" w:styleId="Estiloimportado23">
    <w:name w:val="Estilo importado 23"/>
  </w:style>
  <w:style w:type="numbering" w:customStyle="1" w:styleId="List28">
    <w:name w:val="List 28"/>
    <w:basedOn w:val="Estiloimportado24"/>
    <w:pPr>
      <w:numPr>
        <w:numId w:val="31"/>
      </w:numPr>
    </w:pPr>
  </w:style>
  <w:style w:type="numbering" w:customStyle="1" w:styleId="Estiloimportado24">
    <w:name w:val="Estilo importado 24"/>
  </w:style>
  <w:style w:type="numbering" w:customStyle="1" w:styleId="List29">
    <w:name w:val="List 29"/>
    <w:basedOn w:val="Estiloimportado25"/>
    <w:pPr>
      <w:numPr>
        <w:numId w:val="35"/>
      </w:numPr>
    </w:pPr>
  </w:style>
  <w:style w:type="numbering" w:customStyle="1" w:styleId="Estiloimportado25">
    <w:name w:val="Estilo importado 25"/>
  </w:style>
  <w:style w:type="numbering" w:customStyle="1" w:styleId="List30">
    <w:name w:val="List 30"/>
    <w:basedOn w:val="Estiloimportado26"/>
    <w:pPr>
      <w:numPr>
        <w:numId w:val="33"/>
      </w:numPr>
    </w:pPr>
  </w:style>
  <w:style w:type="numbering" w:customStyle="1" w:styleId="Estiloimportado26">
    <w:name w:val="Estilo importado 26"/>
  </w:style>
  <w:style w:type="numbering" w:customStyle="1" w:styleId="List310">
    <w:name w:val="List 31"/>
    <w:basedOn w:val="Estiloimportado27"/>
    <w:pPr>
      <w:numPr>
        <w:numId w:val="46"/>
      </w:numPr>
    </w:pPr>
  </w:style>
  <w:style w:type="numbering" w:customStyle="1" w:styleId="Estiloimportado27">
    <w:name w:val="Estilo importado 27"/>
  </w:style>
  <w:style w:type="numbering" w:customStyle="1" w:styleId="List32">
    <w:name w:val="List 32"/>
    <w:basedOn w:val="Estiloimportado28"/>
    <w:pPr>
      <w:numPr>
        <w:numId w:val="49"/>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7"/>
      </w:numPr>
    </w:pPr>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5"/>
      </w:numPr>
    </w:pPr>
  </w:style>
  <w:style w:type="numbering" w:customStyle="1" w:styleId="Estiloimportado32">
    <w:name w:val="Estilo importado 32"/>
  </w:style>
  <w:style w:type="numbering" w:customStyle="1" w:styleId="List37">
    <w:name w:val="List 37"/>
    <w:basedOn w:val="Estiloimportado33"/>
    <w:pPr>
      <w:numPr>
        <w:numId w:val="48"/>
      </w:numPr>
    </w:pPr>
  </w:style>
  <w:style w:type="numbering" w:customStyle="1" w:styleId="Estiloimportado33">
    <w:name w:val="Estilo importado 33"/>
  </w:style>
  <w:style w:type="numbering" w:customStyle="1" w:styleId="List38">
    <w:name w:val="List 38"/>
    <w:basedOn w:val="Estiloimportado34"/>
    <w:pPr>
      <w:numPr>
        <w:numId w:val="36"/>
      </w:numPr>
    </w:pPr>
  </w:style>
  <w:style w:type="numbering" w:customStyle="1" w:styleId="Estiloimportado34">
    <w:name w:val="Estilo importado 34"/>
  </w:style>
  <w:style w:type="numbering" w:customStyle="1" w:styleId="List39">
    <w:name w:val="List 39"/>
    <w:basedOn w:val="Estiloimportado35"/>
    <w:pPr>
      <w:numPr>
        <w:numId w:val="47"/>
      </w:numPr>
    </w:pPr>
  </w:style>
  <w:style w:type="numbering" w:customStyle="1" w:styleId="Estiloimportado35">
    <w:name w:val="Estilo importado 35"/>
  </w:style>
  <w:style w:type="numbering" w:customStyle="1" w:styleId="List40">
    <w:name w:val="List 40"/>
    <w:basedOn w:val="Estiloimportado36"/>
    <w:pPr>
      <w:numPr>
        <w:numId w:val="22"/>
      </w:numPr>
    </w:pPr>
  </w:style>
  <w:style w:type="numbering" w:customStyle="1" w:styleId="Estiloimportado36">
    <w:name w:val="Estilo importado 36"/>
  </w:style>
  <w:style w:type="numbering" w:customStyle="1" w:styleId="List410">
    <w:name w:val="List 41"/>
    <w:basedOn w:val="Estiloimportado37"/>
    <w:pPr>
      <w:numPr>
        <w:numId w:val="45"/>
      </w:numPr>
    </w:pPr>
  </w:style>
  <w:style w:type="numbering" w:customStyle="1" w:styleId="Estiloimportado37">
    <w:name w:val="Estilo importado 37"/>
  </w:style>
  <w:style w:type="numbering" w:customStyle="1" w:styleId="List42">
    <w:name w:val="List 42"/>
    <w:basedOn w:val="Estiloimportado12"/>
    <w:pPr>
      <w:numPr>
        <w:numId w:val="13"/>
      </w:numPr>
    </w:pPr>
  </w:style>
  <w:style w:type="numbering" w:customStyle="1" w:styleId="List43">
    <w:name w:val="List 43"/>
    <w:basedOn w:val="Estiloimportado38"/>
    <w:pPr>
      <w:numPr>
        <w:numId w:val="24"/>
      </w:numPr>
    </w:pPr>
  </w:style>
  <w:style w:type="numbering" w:customStyle="1" w:styleId="Estiloimportado38">
    <w:name w:val="Estilo importado 38"/>
  </w:style>
  <w:style w:type="numbering" w:customStyle="1" w:styleId="List44">
    <w:name w:val="List 44"/>
    <w:basedOn w:val="Estiloimportado39"/>
    <w:pPr>
      <w:numPr>
        <w:numId w:val="41"/>
      </w:numPr>
    </w:pPr>
  </w:style>
  <w:style w:type="numbering" w:customStyle="1" w:styleId="Estiloimportado39">
    <w:name w:val="Estilo importado 39"/>
  </w:style>
  <w:style w:type="numbering" w:customStyle="1" w:styleId="List45">
    <w:name w:val="List 45"/>
    <w:basedOn w:val="Estiloimportado40"/>
    <w:pPr>
      <w:numPr>
        <w:numId w:val="21"/>
      </w:numPr>
    </w:pPr>
  </w:style>
  <w:style w:type="numbering" w:customStyle="1" w:styleId="Estiloimportado40">
    <w:name w:val="Estilo importado 40"/>
  </w:style>
  <w:style w:type="numbering" w:customStyle="1" w:styleId="List46">
    <w:name w:val="List 46"/>
    <w:basedOn w:val="Estiloimportado41"/>
    <w:pPr>
      <w:numPr>
        <w:numId w:val="25"/>
      </w:numPr>
    </w:pPr>
  </w:style>
  <w:style w:type="numbering" w:customStyle="1" w:styleId="Estiloimportado41">
    <w:name w:val="Estilo importado 41"/>
  </w:style>
  <w:style w:type="numbering" w:customStyle="1" w:styleId="List47">
    <w:name w:val="List 47"/>
    <w:basedOn w:val="Estiloimportado42"/>
    <w:pPr>
      <w:numPr>
        <w:numId w:val="30"/>
      </w:numPr>
    </w:pPr>
  </w:style>
  <w:style w:type="numbering" w:customStyle="1" w:styleId="Estiloimportado42">
    <w:name w:val="Estilo importado 42"/>
  </w:style>
  <w:style w:type="numbering" w:customStyle="1" w:styleId="List48">
    <w:name w:val="List 48"/>
    <w:basedOn w:val="Estiloimportado43"/>
    <w:pPr>
      <w:numPr>
        <w:numId w:val="51"/>
      </w:numPr>
    </w:pPr>
  </w:style>
  <w:style w:type="numbering" w:customStyle="1" w:styleId="Estiloimportado43">
    <w:name w:val="Estilo importado 43"/>
  </w:style>
  <w:style w:type="numbering" w:customStyle="1" w:styleId="List49">
    <w:name w:val="List 49"/>
    <w:basedOn w:val="Estiloimportado44"/>
    <w:pPr>
      <w:numPr>
        <w:numId w:val="40"/>
      </w:numPr>
    </w:pPr>
  </w:style>
  <w:style w:type="numbering" w:customStyle="1" w:styleId="Estiloimportado44">
    <w:name w:val="Estilo importado 44"/>
  </w:style>
  <w:style w:type="numbering" w:customStyle="1" w:styleId="List50">
    <w:name w:val="List 50"/>
    <w:basedOn w:val="Estiloimportado45"/>
    <w:pPr>
      <w:numPr>
        <w:numId w:val="38"/>
      </w:numPr>
    </w:pPr>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B33241"/>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B33241"/>
    <w:rPr>
      <w:rFonts w:ascii="Arial" w:eastAsia="Times New Roman" w:hAnsi="Arial" w:cs="Arial"/>
      <w:b/>
      <w:bCs/>
      <w:sz w:val="26"/>
      <w:szCs w:val="26"/>
      <w:bdr w:val="none" w:sz="0" w:space="0" w:color="auto"/>
      <w:lang w:val="en-US" w:eastAsia="en-US"/>
    </w:rPr>
  </w:style>
  <w:style w:type="numbering" w:customStyle="1" w:styleId="List211">
    <w:name w:val="List 211"/>
    <w:basedOn w:val="Estiloimportado3"/>
    <w:rsid w:val="00B33241"/>
    <w:pPr>
      <w:numPr>
        <w:numId w:val="10"/>
      </w:numPr>
    </w:pPr>
  </w:style>
  <w:style w:type="numbering" w:customStyle="1" w:styleId="List311">
    <w:name w:val="List 311"/>
    <w:basedOn w:val="Estiloimportado4"/>
    <w:rsid w:val="00B33241"/>
    <w:pPr>
      <w:numPr>
        <w:numId w:val="34"/>
      </w:numPr>
    </w:pPr>
  </w:style>
  <w:style w:type="numbering" w:customStyle="1" w:styleId="List411">
    <w:name w:val="List 411"/>
    <w:basedOn w:val="Estiloimportado5"/>
    <w:rsid w:val="00B33241"/>
    <w:pPr>
      <w:numPr>
        <w:numId w:val="1"/>
      </w:numPr>
    </w:pPr>
  </w:style>
  <w:style w:type="numbering" w:customStyle="1" w:styleId="List511">
    <w:name w:val="List 511"/>
    <w:basedOn w:val="Estiloimportado6"/>
    <w:rsid w:val="00B33241"/>
    <w:pPr>
      <w:numPr>
        <w:numId w:val="12"/>
      </w:numPr>
    </w:pPr>
  </w:style>
  <w:style w:type="table" w:customStyle="1" w:styleId="MediumShading1-Accent11">
    <w:name w:val="Medium Shading 1 - Accent 11"/>
    <w:basedOn w:val="TableNormal"/>
    <w:uiPriority w:val="63"/>
    <w:rsid w:val="00B332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B33241"/>
    <w:pPr>
      <w:spacing w:after="120" w:line="480" w:lineRule="auto"/>
      <w:ind w:left="360"/>
    </w:pPr>
  </w:style>
  <w:style w:type="character" w:customStyle="1" w:styleId="BodyTextIndent2Char">
    <w:name w:val="Body Text Indent 2 Char"/>
    <w:basedOn w:val="DefaultParagraphFont"/>
    <w:link w:val="BodyTextIndent2"/>
    <w:uiPriority w:val="99"/>
    <w:semiHidden/>
    <w:rsid w:val="00B33241"/>
    <w:rPr>
      <w:sz w:val="24"/>
      <w:szCs w:val="24"/>
      <w:lang w:val="en-US" w:eastAsia="en-US"/>
    </w:rPr>
  </w:style>
  <w:style w:type="paragraph" w:customStyle="1" w:styleId="Default">
    <w:name w:val="Default"/>
    <w:link w:val="DefaultChar"/>
    <w:rsid w:val="00B332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B332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B33241"/>
    <w:rPr>
      <w:rFonts w:eastAsia="Times New Roman"/>
      <w:sz w:val="24"/>
      <w:szCs w:val="24"/>
      <w:bdr w:val="none" w:sz="0" w:space="0" w:color="auto"/>
      <w:lang w:val="en-US" w:eastAsia="en-US"/>
    </w:rPr>
  </w:style>
  <w:style w:type="character" w:customStyle="1" w:styleId="DefaultChar">
    <w:name w:val="Default Char"/>
    <w:link w:val="Default"/>
    <w:rsid w:val="00B33241"/>
    <w:rPr>
      <w:rFonts w:eastAsia="Times New Roman"/>
      <w:color w:val="000000"/>
      <w:sz w:val="24"/>
      <w:szCs w:val="24"/>
      <w:bdr w:val="none" w:sz="0" w:space="0" w:color="auto"/>
      <w:lang w:val="en-US" w:eastAsia="en-US"/>
    </w:rPr>
  </w:style>
  <w:style w:type="character" w:customStyle="1" w:styleId="s7d2086b4">
    <w:name w:val="s7d2086b4"/>
    <w:basedOn w:val="DefaultParagraphFont"/>
    <w:rsid w:val="00B33241"/>
  </w:style>
  <w:style w:type="character" w:customStyle="1" w:styleId="apple-converted-space">
    <w:name w:val="apple-converted-space"/>
    <w:basedOn w:val="DefaultParagraphFont"/>
    <w:rsid w:val="00B33241"/>
  </w:style>
  <w:style w:type="paragraph" w:customStyle="1" w:styleId="s6e50bd9a">
    <w:name w:val="s6e50bd9a"/>
    <w:basedOn w:val="Normal"/>
    <w:rsid w:val="00B332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wordhighlighted">
    <w:name w:val="wordhighlighted"/>
    <w:basedOn w:val="DefaultParagraphFont"/>
    <w:rsid w:val="00B33241"/>
  </w:style>
  <w:style w:type="character" w:customStyle="1" w:styleId="sfbbfee58">
    <w:name w:val="sfbbfee58"/>
    <w:basedOn w:val="DefaultParagraphFont"/>
    <w:rsid w:val="00B33241"/>
  </w:style>
  <w:style w:type="paragraph" w:styleId="NormalWeb">
    <w:name w:val="Normal (Web)"/>
    <w:basedOn w:val="Normal"/>
    <w:uiPriority w:val="99"/>
    <w:unhideWhenUsed/>
    <w:rsid w:val="00B332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3324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B3324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2"/>
      </w:numPr>
    </w:pPr>
  </w:style>
  <w:style w:type="numbering" w:customStyle="1" w:styleId="Estiloimportado1">
    <w:name w:val="Estilo importado 1"/>
  </w:style>
  <w:style w:type="numbering" w:customStyle="1" w:styleId="List1">
    <w:name w:val="List 1"/>
    <w:basedOn w:val="Estiloimportado2"/>
  </w:style>
  <w:style w:type="numbering" w:customStyle="1" w:styleId="Estiloimportado2">
    <w:name w:val="Estilo importado 2"/>
  </w:style>
  <w:style w:type="numbering" w:customStyle="1" w:styleId="List210">
    <w:name w:val="List 21"/>
    <w:basedOn w:val="Estiloimportado3"/>
    <w:pPr>
      <w:numPr>
        <w:numId w:val="53"/>
      </w:numPr>
    </w:pPr>
  </w:style>
  <w:style w:type="numbering" w:customStyle="1" w:styleId="Estiloimportado3">
    <w:name w:val="Estilo importado 3"/>
  </w:style>
  <w:style w:type="numbering" w:customStyle="1" w:styleId="List31">
    <w:name w:val="List 31"/>
    <w:basedOn w:val="Estiloimportado4"/>
    <w:pPr>
      <w:numPr>
        <w:numId w:val="52"/>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5"/>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3"/>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7"/>
      </w:numPr>
    </w:pPr>
  </w:style>
  <w:style w:type="numbering" w:customStyle="1" w:styleId="Estiloimportado13">
    <w:name w:val="Estilo importado 13"/>
  </w:style>
  <w:style w:type="numbering" w:customStyle="1" w:styleId="List13">
    <w:name w:val="List 13"/>
    <w:basedOn w:val="Estiloimportado14"/>
    <w:pPr>
      <w:numPr>
        <w:numId w:val="43"/>
      </w:numPr>
    </w:pPr>
  </w:style>
  <w:style w:type="numbering" w:customStyle="1" w:styleId="Estiloimportado14">
    <w:name w:val="Estilo importado 14"/>
  </w:style>
  <w:style w:type="numbering" w:customStyle="1" w:styleId="List14">
    <w:name w:val="List 14"/>
    <w:basedOn w:val="Estiloimportado15"/>
    <w:pPr>
      <w:numPr>
        <w:numId w:val="18"/>
      </w:numPr>
    </w:pPr>
  </w:style>
  <w:style w:type="numbering" w:customStyle="1" w:styleId="Estiloimportado15">
    <w:name w:val="Estilo importado 15"/>
  </w:style>
  <w:style w:type="numbering" w:customStyle="1" w:styleId="List15">
    <w:name w:val="List 15"/>
    <w:basedOn w:val="Estiloimportado16"/>
    <w:pPr>
      <w:numPr>
        <w:numId w:val="17"/>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6"/>
      </w:numPr>
    </w:pPr>
  </w:style>
  <w:style w:type="numbering" w:customStyle="1" w:styleId="Estiloimportado17">
    <w:name w:val="Estilo importado 17"/>
  </w:style>
  <w:style w:type="numbering" w:customStyle="1" w:styleId="List18">
    <w:name w:val="List 18"/>
    <w:basedOn w:val="Estiloimportado18"/>
    <w:pPr>
      <w:numPr>
        <w:numId w:val="28"/>
      </w:numPr>
    </w:pPr>
  </w:style>
  <w:style w:type="numbering" w:customStyle="1" w:styleId="Estiloimportado18">
    <w:name w:val="Estilo importado 18"/>
  </w:style>
  <w:style w:type="numbering" w:customStyle="1" w:styleId="List19">
    <w:name w:val="List 19"/>
    <w:basedOn w:val="Estiloimportado10"/>
    <w:pPr>
      <w:numPr>
        <w:numId w:val="20"/>
      </w:numPr>
    </w:pPr>
  </w:style>
  <w:style w:type="numbering" w:customStyle="1" w:styleId="List20">
    <w:name w:val="List 20"/>
    <w:basedOn w:val="Estiloimportado12"/>
    <w:pPr>
      <w:numPr>
        <w:numId w:val="44"/>
      </w:numPr>
    </w:pPr>
  </w:style>
  <w:style w:type="numbering" w:customStyle="1" w:styleId="List21">
    <w:name w:val="List 21"/>
    <w:basedOn w:val="Estiloimportado19"/>
    <w:pPr>
      <w:numPr>
        <w:numId w:val="39"/>
      </w:numPr>
    </w:pPr>
  </w:style>
  <w:style w:type="numbering" w:customStyle="1" w:styleId="Estiloimportado19">
    <w:name w:val="Estilo importado 19"/>
  </w:style>
  <w:style w:type="numbering" w:customStyle="1" w:styleId="List22">
    <w:name w:val="List 22"/>
    <w:basedOn w:val="Estiloimportado19"/>
    <w:pPr>
      <w:numPr>
        <w:numId w:val="29"/>
      </w:numPr>
    </w:pPr>
  </w:style>
  <w:style w:type="numbering" w:customStyle="1" w:styleId="List23">
    <w:name w:val="List 23"/>
    <w:basedOn w:val="Estiloimportado19"/>
    <w:pPr>
      <w:numPr>
        <w:numId w:val="19"/>
      </w:numPr>
    </w:pPr>
  </w:style>
  <w:style w:type="numbering" w:customStyle="1" w:styleId="List24">
    <w:name w:val="List 24"/>
    <w:basedOn w:val="Estiloimportado20"/>
    <w:pPr>
      <w:numPr>
        <w:numId w:val="14"/>
      </w:numPr>
    </w:pPr>
  </w:style>
  <w:style w:type="numbering" w:customStyle="1" w:styleId="Estiloimportado20">
    <w:name w:val="Estilo importado 20"/>
  </w:style>
  <w:style w:type="numbering" w:customStyle="1" w:styleId="List25">
    <w:name w:val="List 25"/>
    <w:basedOn w:val="Estiloimportado21"/>
    <w:pPr>
      <w:numPr>
        <w:numId w:val="16"/>
      </w:numPr>
    </w:pPr>
  </w:style>
  <w:style w:type="numbering" w:customStyle="1" w:styleId="Estiloimportado21">
    <w:name w:val="Estilo importado 21"/>
  </w:style>
  <w:style w:type="numbering" w:customStyle="1" w:styleId="List26">
    <w:name w:val="List 26"/>
    <w:basedOn w:val="Estiloimportado22"/>
    <w:pPr>
      <w:numPr>
        <w:numId w:val="50"/>
      </w:numPr>
    </w:pPr>
  </w:style>
  <w:style w:type="numbering" w:customStyle="1" w:styleId="Estiloimportado22">
    <w:name w:val="Estilo importado 22"/>
  </w:style>
  <w:style w:type="numbering" w:customStyle="1" w:styleId="List27">
    <w:name w:val="List 27"/>
    <w:basedOn w:val="Estiloimportado23"/>
    <w:pPr>
      <w:numPr>
        <w:numId w:val="42"/>
      </w:numPr>
    </w:pPr>
  </w:style>
  <w:style w:type="numbering" w:customStyle="1" w:styleId="Estiloimportado23">
    <w:name w:val="Estilo importado 23"/>
  </w:style>
  <w:style w:type="numbering" w:customStyle="1" w:styleId="List28">
    <w:name w:val="List 28"/>
    <w:basedOn w:val="Estiloimportado24"/>
    <w:pPr>
      <w:numPr>
        <w:numId w:val="31"/>
      </w:numPr>
    </w:pPr>
  </w:style>
  <w:style w:type="numbering" w:customStyle="1" w:styleId="Estiloimportado24">
    <w:name w:val="Estilo importado 24"/>
  </w:style>
  <w:style w:type="numbering" w:customStyle="1" w:styleId="List29">
    <w:name w:val="List 29"/>
    <w:basedOn w:val="Estiloimportado25"/>
    <w:pPr>
      <w:numPr>
        <w:numId w:val="35"/>
      </w:numPr>
    </w:pPr>
  </w:style>
  <w:style w:type="numbering" w:customStyle="1" w:styleId="Estiloimportado25">
    <w:name w:val="Estilo importado 25"/>
  </w:style>
  <w:style w:type="numbering" w:customStyle="1" w:styleId="List30">
    <w:name w:val="List 30"/>
    <w:basedOn w:val="Estiloimportado26"/>
    <w:pPr>
      <w:numPr>
        <w:numId w:val="33"/>
      </w:numPr>
    </w:pPr>
  </w:style>
  <w:style w:type="numbering" w:customStyle="1" w:styleId="Estiloimportado26">
    <w:name w:val="Estilo importado 26"/>
  </w:style>
  <w:style w:type="numbering" w:customStyle="1" w:styleId="List310">
    <w:name w:val="List 31"/>
    <w:basedOn w:val="Estiloimportado27"/>
    <w:pPr>
      <w:numPr>
        <w:numId w:val="46"/>
      </w:numPr>
    </w:pPr>
  </w:style>
  <w:style w:type="numbering" w:customStyle="1" w:styleId="Estiloimportado27">
    <w:name w:val="Estilo importado 27"/>
  </w:style>
  <w:style w:type="numbering" w:customStyle="1" w:styleId="List32">
    <w:name w:val="List 32"/>
    <w:basedOn w:val="Estiloimportado28"/>
    <w:pPr>
      <w:numPr>
        <w:numId w:val="49"/>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7"/>
      </w:numPr>
    </w:pPr>
  </w:style>
  <w:style w:type="numbering" w:customStyle="1" w:styleId="Estiloimportado29">
    <w:name w:val="Estilo importado 29"/>
  </w:style>
  <w:style w:type="numbering" w:customStyle="1" w:styleId="List34">
    <w:name w:val="List 34"/>
    <w:basedOn w:val="Estiloimportado30"/>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5"/>
      </w:numPr>
    </w:pPr>
  </w:style>
  <w:style w:type="numbering" w:customStyle="1" w:styleId="Estiloimportado32">
    <w:name w:val="Estilo importado 32"/>
  </w:style>
  <w:style w:type="numbering" w:customStyle="1" w:styleId="List37">
    <w:name w:val="List 37"/>
    <w:basedOn w:val="Estiloimportado33"/>
    <w:pPr>
      <w:numPr>
        <w:numId w:val="48"/>
      </w:numPr>
    </w:pPr>
  </w:style>
  <w:style w:type="numbering" w:customStyle="1" w:styleId="Estiloimportado33">
    <w:name w:val="Estilo importado 33"/>
  </w:style>
  <w:style w:type="numbering" w:customStyle="1" w:styleId="List38">
    <w:name w:val="List 38"/>
    <w:basedOn w:val="Estiloimportado34"/>
    <w:pPr>
      <w:numPr>
        <w:numId w:val="36"/>
      </w:numPr>
    </w:pPr>
  </w:style>
  <w:style w:type="numbering" w:customStyle="1" w:styleId="Estiloimportado34">
    <w:name w:val="Estilo importado 34"/>
  </w:style>
  <w:style w:type="numbering" w:customStyle="1" w:styleId="List39">
    <w:name w:val="List 39"/>
    <w:basedOn w:val="Estiloimportado35"/>
    <w:pPr>
      <w:numPr>
        <w:numId w:val="47"/>
      </w:numPr>
    </w:pPr>
  </w:style>
  <w:style w:type="numbering" w:customStyle="1" w:styleId="Estiloimportado35">
    <w:name w:val="Estilo importado 35"/>
  </w:style>
  <w:style w:type="numbering" w:customStyle="1" w:styleId="List40">
    <w:name w:val="List 40"/>
    <w:basedOn w:val="Estiloimportado36"/>
    <w:pPr>
      <w:numPr>
        <w:numId w:val="22"/>
      </w:numPr>
    </w:pPr>
  </w:style>
  <w:style w:type="numbering" w:customStyle="1" w:styleId="Estiloimportado36">
    <w:name w:val="Estilo importado 36"/>
  </w:style>
  <w:style w:type="numbering" w:customStyle="1" w:styleId="List410">
    <w:name w:val="List 41"/>
    <w:basedOn w:val="Estiloimportado37"/>
    <w:pPr>
      <w:numPr>
        <w:numId w:val="45"/>
      </w:numPr>
    </w:pPr>
  </w:style>
  <w:style w:type="numbering" w:customStyle="1" w:styleId="Estiloimportado37">
    <w:name w:val="Estilo importado 37"/>
  </w:style>
  <w:style w:type="numbering" w:customStyle="1" w:styleId="List42">
    <w:name w:val="List 42"/>
    <w:basedOn w:val="Estiloimportado12"/>
    <w:pPr>
      <w:numPr>
        <w:numId w:val="13"/>
      </w:numPr>
    </w:pPr>
  </w:style>
  <w:style w:type="numbering" w:customStyle="1" w:styleId="List43">
    <w:name w:val="List 43"/>
    <w:basedOn w:val="Estiloimportado38"/>
    <w:pPr>
      <w:numPr>
        <w:numId w:val="24"/>
      </w:numPr>
    </w:pPr>
  </w:style>
  <w:style w:type="numbering" w:customStyle="1" w:styleId="Estiloimportado38">
    <w:name w:val="Estilo importado 38"/>
  </w:style>
  <w:style w:type="numbering" w:customStyle="1" w:styleId="List44">
    <w:name w:val="List 44"/>
    <w:basedOn w:val="Estiloimportado39"/>
    <w:pPr>
      <w:numPr>
        <w:numId w:val="41"/>
      </w:numPr>
    </w:pPr>
  </w:style>
  <w:style w:type="numbering" w:customStyle="1" w:styleId="Estiloimportado39">
    <w:name w:val="Estilo importado 39"/>
  </w:style>
  <w:style w:type="numbering" w:customStyle="1" w:styleId="List45">
    <w:name w:val="List 45"/>
    <w:basedOn w:val="Estiloimportado40"/>
    <w:pPr>
      <w:numPr>
        <w:numId w:val="21"/>
      </w:numPr>
    </w:pPr>
  </w:style>
  <w:style w:type="numbering" w:customStyle="1" w:styleId="Estiloimportado40">
    <w:name w:val="Estilo importado 40"/>
  </w:style>
  <w:style w:type="numbering" w:customStyle="1" w:styleId="List46">
    <w:name w:val="List 46"/>
    <w:basedOn w:val="Estiloimportado41"/>
    <w:pPr>
      <w:numPr>
        <w:numId w:val="25"/>
      </w:numPr>
    </w:pPr>
  </w:style>
  <w:style w:type="numbering" w:customStyle="1" w:styleId="Estiloimportado41">
    <w:name w:val="Estilo importado 41"/>
  </w:style>
  <w:style w:type="numbering" w:customStyle="1" w:styleId="List47">
    <w:name w:val="List 47"/>
    <w:basedOn w:val="Estiloimportado42"/>
    <w:pPr>
      <w:numPr>
        <w:numId w:val="30"/>
      </w:numPr>
    </w:pPr>
  </w:style>
  <w:style w:type="numbering" w:customStyle="1" w:styleId="Estiloimportado42">
    <w:name w:val="Estilo importado 42"/>
  </w:style>
  <w:style w:type="numbering" w:customStyle="1" w:styleId="List48">
    <w:name w:val="List 48"/>
    <w:basedOn w:val="Estiloimportado43"/>
    <w:pPr>
      <w:numPr>
        <w:numId w:val="51"/>
      </w:numPr>
    </w:pPr>
  </w:style>
  <w:style w:type="numbering" w:customStyle="1" w:styleId="Estiloimportado43">
    <w:name w:val="Estilo importado 43"/>
  </w:style>
  <w:style w:type="numbering" w:customStyle="1" w:styleId="List49">
    <w:name w:val="List 49"/>
    <w:basedOn w:val="Estiloimportado44"/>
    <w:pPr>
      <w:numPr>
        <w:numId w:val="40"/>
      </w:numPr>
    </w:pPr>
  </w:style>
  <w:style w:type="numbering" w:customStyle="1" w:styleId="Estiloimportado44">
    <w:name w:val="Estilo importado 44"/>
  </w:style>
  <w:style w:type="numbering" w:customStyle="1" w:styleId="List50">
    <w:name w:val="List 50"/>
    <w:basedOn w:val="Estiloimportado45"/>
    <w:pPr>
      <w:numPr>
        <w:numId w:val="38"/>
      </w:numPr>
    </w:pPr>
  </w:style>
  <w:style w:type="numbering" w:customStyle="1" w:styleId="Estiloimportado45">
    <w:name w:val="Estilo importado 45"/>
  </w:style>
  <w:style w:type="numbering" w:customStyle="1" w:styleId="List510">
    <w:name w:val="List 51"/>
    <w:basedOn w:val="Estiloimportado46"/>
  </w:style>
  <w:style w:type="numbering" w:customStyle="1" w:styleId="Estiloimportado46">
    <w:name w:val="Estilo importado 46"/>
  </w:style>
  <w:style w:type="numbering" w:customStyle="1" w:styleId="List52">
    <w:name w:val="List 52"/>
    <w:basedOn w:val="Estiloimportado1"/>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B33241"/>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B33241"/>
    <w:rPr>
      <w:rFonts w:ascii="Arial" w:eastAsia="Times New Roman" w:hAnsi="Arial" w:cs="Arial"/>
      <w:b/>
      <w:bCs/>
      <w:sz w:val="26"/>
      <w:szCs w:val="26"/>
      <w:bdr w:val="none" w:sz="0" w:space="0" w:color="auto"/>
      <w:lang w:val="en-US" w:eastAsia="en-US"/>
    </w:rPr>
  </w:style>
  <w:style w:type="numbering" w:customStyle="1" w:styleId="List211">
    <w:name w:val="List 211"/>
    <w:basedOn w:val="Estiloimportado3"/>
    <w:rsid w:val="00B33241"/>
    <w:pPr>
      <w:numPr>
        <w:numId w:val="10"/>
      </w:numPr>
    </w:pPr>
  </w:style>
  <w:style w:type="numbering" w:customStyle="1" w:styleId="List311">
    <w:name w:val="List 311"/>
    <w:basedOn w:val="Estiloimportado4"/>
    <w:rsid w:val="00B33241"/>
    <w:pPr>
      <w:numPr>
        <w:numId w:val="34"/>
      </w:numPr>
    </w:pPr>
  </w:style>
  <w:style w:type="numbering" w:customStyle="1" w:styleId="List411">
    <w:name w:val="List 411"/>
    <w:basedOn w:val="Estiloimportado5"/>
    <w:rsid w:val="00B33241"/>
    <w:pPr>
      <w:numPr>
        <w:numId w:val="1"/>
      </w:numPr>
    </w:pPr>
  </w:style>
  <w:style w:type="numbering" w:customStyle="1" w:styleId="List511">
    <w:name w:val="List 511"/>
    <w:basedOn w:val="Estiloimportado6"/>
    <w:rsid w:val="00B33241"/>
    <w:pPr>
      <w:numPr>
        <w:numId w:val="12"/>
      </w:numPr>
    </w:pPr>
  </w:style>
  <w:style w:type="table" w:customStyle="1" w:styleId="MediumShading1-Accent11">
    <w:name w:val="Medium Shading 1 - Accent 11"/>
    <w:basedOn w:val="TableNormal"/>
    <w:uiPriority w:val="63"/>
    <w:rsid w:val="00B332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B33241"/>
    <w:pPr>
      <w:spacing w:after="120" w:line="480" w:lineRule="auto"/>
      <w:ind w:left="360"/>
    </w:pPr>
  </w:style>
  <w:style w:type="character" w:customStyle="1" w:styleId="BodyTextIndent2Char">
    <w:name w:val="Body Text Indent 2 Char"/>
    <w:basedOn w:val="DefaultParagraphFont"/>
    <w:link w:val="BodyTextIndent2"/>
    <w:uiPriority w:val="99"/>
    <w:semiHidden/>
    <w:rsid w:val="00B33241"/>
    <w:rPr>
      <w:sz w:val="24"/>
      <w:szCs w:val="24"/>
      <w:lang w:val="en-US" w:eastAsia="en-US"/>
    </w:rPr>
  </w:style>
  <w:style w:type="paragraph" w:customStyle="1" w:styleId="Default">
    <w:name w:val="Default"/>
    <w:link w:val="DefaultChar"/>
    <w:rsid w:val="00B3324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B332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B33241"/>
    <w:rPr>
      <w:rFonts w:eastAsia="Times New Roman"/>
      <w:sz w:val="24"/>
      <w:szCs w:val="24"/>
      <w:bdr w:val="none" w:sz="0" w:space="0" w:color="auto"/>
      <w:lang w:val="en-US" w:eastAsia="en-US"/>
    </w:rPr>
  </w:style>
  <w:style w:type="character" w:customStyle="1" w:styleId="DefaultChar">
    <w:name w:val="Default Char"/>
    <w:link w:val="Default"/>
    <w:rsid w:val="00B33241"/>
    <w:rPr>
      <w:rFonts w:eastAsia="Times New Roman"/>
      <w:color w:val="000000"/>
      <w:sz w:val="24"/>
      <w:szCs w:val="24"/>
      <w:bdr w:val="none" w:sz="0" w:space="0" w:color="auto"/>
      <w:lang w:val="en-US" w:eastAsia="en-US"/>
    </w:rPr>
  </w:style>
  <w:style w:type="character" w:customStyle="1" w:styleId="s7d2086b4">
    <w:name w:val="s7d2086b4"/>
    <w:basedOn w:val="DefaultParagraphFont"/>
    <w:rsid w:val="00B33241"/>
  </w:style>
  <w:style w:type="character" w:customStyle="1" w:styleId="apple-converted-space">
    <w:name w:val="apple-converted-space"/>
    <w:basedOn w:val="DefaultParagraphFont"/>
    <w:rsid w:val="00B33241"/>
  </w:style>
  <w:style w:type="paragraph" w:customStyle="1" w:styleId="s6e50bd9a">
    <w:name w:val="s6e50bd9a"/>
    <w:basedOn w:val="Normal"/>
    <w:rsid w:val="00B332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wordhighlighted">
    <w:name w:val="wordhighlighted"/>
    <w:basedOn w:val="DefaultParagraphFont"/>
    <w:rsid w:val="00B33241"/>
  </w:style>
  <w:style w:type="character" w:customStyle="1" w:styleId="sfbbfee58">
    <w:name w:val="sfbbfee58"/>
    <w:basedOn w:val="DefaultParagraphFont"/>
    <w:rsid w:val="00B33241"/>
  </w:style>
  <w:style w:type="paragraph" w:styleId="NormalWeb">
    <w:name w:val="Normal (Web)"/>
    <w:basedOn w:val="Normal"/>
    <w:uiPriority w:val="99"/>
    <w:unhideWhenUsed/>
    <w:rsid w:val="00B332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0861-846A-4B14-87BA-BEB6872E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4515</Words>
  <Characters>23709</Characters>
  <Application>Microsoft Office Word</Application>
  <DocSecurity>0</DocSecurity>
  <Lines>415</Lines>
  <Paragraphs>76</Paragraphs>
  <ScaleCrop>false</ScaleCrop>
  <Company/>
  <LinksUpToDate>false</LinksUpToDate>
  <CharactersWithSpaces>28148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47/15</dc:title>
  <dc:creator/>
  <cp:lastModifiedBy/>
  <cp:revision>1</cp:revision>
  <dcterms:created xsi:type="dcterms:W3CDTF">2015-11-16T17:13:00Z</dcterms:created>
  <dcterms:modified xsi:type="dcterms:W3CDTF">2015-11-16T17:13:00Z</dcterms:modified>
</cp:coreProperties>
</file>