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844736" w:rsidRDefault="003F7663" w:rsidP="00627C9F">
      <w:pPr>
        <w:jc w:val="both"/>
        <w:rPr>
          <w:rFonts w:asciiTheme="majorHAnsi" w:hAnsiTheme="majorHAnsi" w:cs="Univers"/>
          <w:b/>
          <w:bCs/>
          <w:sz w:val="22"/>
          <w:szCs w:val="22"/>
        </w:rPr>
      </w:pPr>
      <w:bookmarkStart w:id="0" w:name="_GoBack"/>
      <w:bookmarkEnd w:id="0"/>
      <w:r>
        <w:rPr>
          <w:noProof/>
        </w:rPr>
        <w:pict>
          <v:rect id="Rectangle 1" o:spid="_x0000_s1040" style="position:absolute;left:0;text-align:left;margin-left:-33.05pt;margin-top:-26pt;width:111pt;height:706.9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CZODNw4QAAAAoBAAAPAAAAZHJzL2Rvd25yZXYueG1s&#10;TI9LT8MwEITvSPwHa5G4IGoX1DYKcSoeRaJIHCg9lJsbL0lEvI5i59F/z3KC4858mp3J1pNrxIBd&#10;qD1pmM8UCKTC25pKDfuP5+sERIiGrGk8oYYTBljn52eZSa0f6R2HXSwFh1BIjYYqxjaVMhQVOhNm&#10;vkVi78t3zkQ+u1Lazowc7hp5o9RSOlMTf6hMi48VFt+73mlIxteH7XB6S+LL5mr/tJkOn/3Ba315&#10;Md3fgYg4xT8Yfutzdci509H3ZINoNKySBZOcteIF7N8qxcKRwYWaL0Hmmfw/If8BAAD//wMAUEsB&#10;Ai0AFAAGAAgAAAAhALaDOJL+AAAA4QEAABMAAAAAAAAAAAAAAAAAAAAAAFtDb250ZW50X1R5cGVz&#10;XS54bWxQSwECLQAUAAYACAAAACEAOP0h/9YAAACUAQAACwAAAAAAAAAAAAAAAAAvAQAAX3JlbHMv&#10;LnJlbHNQSwECLQAUAAYACAAAACEAm2IJs5gCAACGBQAADgAAAAAAAAAAAAAAAAAuAgAAZHJzL2Uy&#10;b0RvYy54bWxQSwECLQAUAAYACAAAACEAmTgzcOEAAAAKAQAADwAAAAAAAAAAAAAAAADyBAAAZHJz&#10;L2Rvd25yZXYueG1sUEsFBgAAAAAEAAQA8wAAAAAGAAAAAA==&#10;" fillcolor="#67ae3c" stroked="f" strokeweight="2pt"/>
        </w:pict>
      </w:r>
      <w:r>
        <w:rPr>
          <w:rFonts w:asciiTheme="majorHAnsi" w:hAnsiTheme="majorHAnsi"/>
          <w:noProof/>
          <w:sz w:val="22"/>
          <w:szCs w:val="22"/>
        </w:rPr>
        <w:pict>
          <v:shapetype id="_x0000_t202" coordsize="21600,21600" o:spt="202" path="m,l,21600r21600,l21600,xe">
            <v:stroke joinstyle="miter"/>
            <v:path gradientshapeok="t" o:connecttype="rect"/>
          </v:shapetype>
          <v:shape id="Text Box 11" o:spid="_x0000_s1033" type="#_x0000_t202" style="position:absolute;left:0;text-align:left;margin-left:100.95pt;margin-top:-33.4pt;width:413.25pt;height:71.0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style="mso-next-textbox:#Text Box 11">
              <w:txbxContent>
                <w:p w:rsidR="009475D2" w:rsidRDefault="00DD67B6" w:rsidP="00AE5488">
                  <w:r>
                    <w:rPr>
                      <w:noProof/>
                    </w:rPr>
                    <w:drawing>
                      <wp:inline distT="0" distB="0" distL="0" distR="0" wp14:anchorId="20B53798" wp14:editId="632290D1">
                        <wp:extent cx="2522763" cy="485775"/>
                        <wp:effectExtent l="0" t="0" r="0" b="0"/>
                        <wp:docPr id="20" name="Picture 20"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9475D2">
                    <w:tab/>
                    <w:t xml:space="preserve">               </w:t>
                  </w:r>
                </w:p>
              </w:txbxContent>
            </v:textbox>
          </v:shape>
        </w:pict>
      </w:r>
    </w:p>
    <w:p w:rsidR="00040C3A" w:rsidRPr="00844736" w:rsidRDefault="00040C3A" w:rsidP="00040C3A">
      <w:pPr>
        <w:tabs>
          <w:tab w:val="center" w:pos="5400"/>
        </w:tabs>
        <w:suppressAutoHyphens/>
        <w:jc w:val="both"/>
        <w:rPr>
          <w:rFonts w:asciiTheme="majorHAnsi" w:hAnsiTheme="majorHAnsi"/>
          <w:sz w:val="22"/>
          <w:szCs w:val="22"/>
        </w:rPr>
      </w:pPr>
    </w:p>
    <w:p w:rsidR="00040C3A" w:rsidRPr="00844736" w:rsidRDefault="00040C3A" w:rsidP="00040C3A">
      <w:pPr>
        <w:tabs>
          <w:tab w:val="center" w:pos="5400"/>
        </w:tabs>
        <w:suppressAutoHyphens/>
        <w:jc w:val="both"/>
        <w:rPr>
          <w:rFonts w:asciiTheme="majorHAnsi" w:hAnsiTheme="majorHAnsi"/>
          <w:sz w:val="22"/>
          <w:szCs w:val="22"/>
        </w:rPr>
      </w:pPr>
    </w:p>
    <w:p w:rsidR="005128E4" w:rsidRPr="00844736" w:rsidRDefault="005128E4" w:rsidP="00040C3A">
      <w:pPr>
        <w:tabs>
          <w:tab w:val="center" w:pos="5400"/>
        </w:tabs>
        <w:suppressAutoHyphens/>
        <w:rPr>
          <w:rFonts w:asciiTheme="majorHAnsi" w:hAnsiTheme="majorHAnsi"/>
          <w:sz w:val="22"/>
          <w:szCs w:val="22"/>
        </w:rPr>
      </w:pPr>
    </w:p>
    <w:p w:rsidR="005128E4" w:rsidRPr="00844736" w:rsidRDefault="005128E4" w:rsidP="00040C3A">
      <w:pPr>
        <w:tabs>
          <w:tab w:val="center" w:pos="5400"/>
        </w:tabs>
        <w:suppressAutoHyphens/>
        <w:rPr>
          <w:rFonts w:asciiTheme="majorHAnsi" w:hAnsiTheme="majorHAnsi"/>
          <w:sz w:val="22"/>
          <w:szCs w:val="22"/>
        </w:rPr>
      </w:pPr>
    </w:p>
    <w:p w:rsidR="005128E4" w:rsidRPr="00844736" w:rsidRDefault="005128E4" w:rsidP="00040C3A">
      <w:pPr>
        <w:tabs>
          <w:tab w:val="center" w:pos="5400"/>
        </w:tabs>
        <w:suppressAutoHyphens/>
        <w:rPr>
          <w:rFonts w:asciiTheme="majorHAnsi" w:hAnsiTheme="majorHAnsi"/>
          <w:sz w:val="22"/>
          <w:szCs w:val="22"/>
        </w:rPr>
      </w:pPr>
    </w:p>
    <w:p w:rsidR="00040C3A" w:rsidRPr="00844736" w:rsidRDefault="00040C3A" w:rsidP="005128E4">
      <w:pPr>
        <w:tabs>
          <w:tab w:val="center" w:pos="5400"/>
        </w:tabs>
        <w:suppressAutoHyphens/>
        <w:jc w:val="center"/>
        <w:rPr>
          <w:rFonts w:asciiTheme="majorHAnsi" w:hAnsiTheme="majorHAnsi"/>
          <w:sz w:val="22"/>
          <w:szCs w:val="22"/>
        </w:rPr>
      </w:pPr>
    </w:p>
    <w:p w:rsidR="00040C3A" w:rsidRPr="00844736" w:rsidRDefault="00040C3A" w:rsidP="005128E4">
      <w:pPr>
        <w:tabs>
          <w:tab w:val="center" w:pos="5400"/>
        </w:tabs>
        <w:suppressAutoHyphens/>
        <w:jc w:val="center"/>
        <w:rPr>
          <w:rFonts w:asciiTheme="majorHAnsi" w:hAnsiTheme="majorHAnsi"/>
          <w:sz w:val="22"/>
          <w:szCs w:val="22"/>
        </w:rPr>
      </w:pPr>
    </w:p>
    <w:p w:rsidR="005B52B0" w:rsidRPr="00844736" w:rsidRDefault="005B52B0" w:rsidP="005128E4">
      <w:pPr>
        <w:tabs>
          <w:tab w:val="center" w:pos="5400"/>
        </w:tabs>
        <w:suppressAutoHyphens/>
        <w:jc w:val="center"/>
        <w:rPr>
          <w:rFonts w:asciiTheme="majorHAnsi" w:hAnsiTheme="majorHAnsi"/>
          <w:sz w:val="22"/>
          <w:szCs w:val="22"/>
        </w:rPr>
      </w:pPr>
    </w:p>
    <w:p w:rsidR="005B52B0" w:rsidRPr="00844736" w:rsidRDefault="005B52B0" w:rsidP="005128E4">
      <w:pPr>
        <w:tabs>
          <w:tab w:val="center" w:pos="5400"/>
        </w:tabs>
        <w:suppressAutoHyphens/>
        <w:jc w:val="center"/>
        <w:rPr>
          <w:rFonts w:asciiTheme="majorHAnsi" w:hAnsiTheme="majorHAnsi"/>
          <w:sz w:val="22"/>
          <w:szCs w:val="22"/>
        </w:rPr>
      </w:pPr>
    </w:p>
    <w:p w:rsidR="005B52B0" w:rsidRPr="00844736" w:rsidRDefault="005B52B0" w:rsidP="005128E4">
      <w:pPr>
        <w:tabs>
          <w:tab w:val="center" w:pos="5400"/>
        </w:tabs>
        <w:suppressAutoHyphens/>
        <w:jc w:val="center"/>
        <w:rPr>
          <w:rFonts w:asciiTheme="majorHAnsi" w:hAnsiTheme="majorHAnsi"/>
          <w:sz w:val="22"/>
          <w:szCs w:val="22"/>
        </w:rPr>
      </w:pPr>
    </w:p>
    <w:p w:rsidR="00040C3A" w:rsidRPr="00844736" w:rsidRDefault="00040C3A" w:rsidP="00040C3A">
      <w:pPr>
        <w:tabs>
          <w:tab w:val="center" w:pos="5400"/>
        </w:tabs>
        <w:suppressAutoHyphens/>
        <w:jc w:val="center"/>
        <w:rPr>
          <w:rFonts w:asciiTheme="majorHAnsi" w:hAnsiTheme="majorHAnsi"/>
          <w:sz w:val="22"/>
          <w:szCs w:val="22"/>
        </w:rPr>
      </w:pPr>
    </w:p>
    <w:p w:rsidR="00040C3A" w:rsidRPr="00844736" w:rsidRDefault="00040C3A" w:rsidP="00040C3A">
      <w:pPr>
        <w:tabs>
          <w:tab w:val="center" w:pos="5400"/>
        </w:tabs>
        <w:suppressAutoHyphens/>
        <w:jc w:val="center"/>
        <w:rPr>
          <w:rFonts w:asciiTheme="majorHAnsi" w:hAnsiTheme="majorHAnsi"/>
          <w:sz w:val="22"/>
          <w:szCs w:val="22"/>
        </w:rPr>
      </w:pPr>
    </w:p>
    <w:p w:rsidR="00040C3A" w:rsidRPr="00844736" w:rsidRDefault="003F7663"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w:pict>
          <v:shape id="Text Box 5" o:spid="_x0000_s1027" type="#_x0000_t202" style="position:absolute;left:0;text-align:left;margin-left:106.5pt;margin-top:8.45pt;width:349.7pt;height:171.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9475D2" w:rsidRPr="00422DA9" w:rsidRDefault="009475D2" w:rsidP="00422DA9">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 xml:space="preserve">REPORT </w:t>
                  </w:r>
                  <w:r w:rsidRPr="00422DA9">
                    <w:rPr>
                      <w:rFonts w:asciiTheme="majorHAnsi" w:hAnsiTheme="majorHAnsi" w:cs="Arial"/>
                      <w:b/>
                      <w:bCs/>
                      <w:color w:val="0D0D0D" w:themeColor="text1" w:themeTint="F2"/>
                      <w:sz w:val="36"/>
                      <w:szCs w:val="40"/>
                    </w:rPr>
                    <w:t>No.</w:t>
                  </w:r>
                  <w:r w:rsidR="0069280C">
                    <w:rPr>
                      <w:rFonts w:asciiTheme="majorHAnsi" w:hAnsiTheme="majorHAnsi" w:cs="Arial"/>
                      <w:b/>
                      <w:bCs/>
                      <w:color w:val="0D0D0D" w:themeColor="text1" w:themeTint="F2"/>
                      <w:sz w:val="36"/>
                      <w:szCs w:val="22"/>
                    </w:rPr>
                    <w:t xml:space="preserve"> 17</w:t>
                  </w:r>
                  <w:r w:rsidRPr="00422DA9">
                    <w:rPr>
                      <w:rFonts w:asciiTheme="majorHAnsi" w:hAnsiTheme="majorHAnsi" w:cs="Arial"/>
                      <w:b/>
                      <w:bCs/>
                      <w:color w:val="0D0D0D" w:themeColor="text1" w:themeTint="F2"/>
                      <w:sz w:val="36"/>
                      <w:szCs w:val="22"/>
                    </w:rPr>
                    <w:t>/</w:t>
                  </w:r>
                  <w:r w:rsidR="0069280C">
                    <w:rPr>
                      <w:rFonts w:asciiTheme="majorHAnsi" w:hAnsiTheme="majorHAnsi" w:cs="Arial"/>
                      <w:b/>
                      <w:bCs/>
                      <w:color w:val="0D0D0D" w:themeColor="text1" w:themeTint="F2"/>
                      <w:sz w:val="36"/>
                      <w:szCs w:val="22"/>
                    </w:rPr>
                    <w:t>16</w:t>
                  </w:r>
                </w:p>
                <w:p w:rsidR="009475D2" w:rsidRPr="00422DA9" w:rsidRDefault="009475D2" w:rsidP="00997BC5">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PETITIO</w:t>
                  </w:r>
                  <w:r w:rsidRPr="00422DA9">
                    <w:rPr>
                      <w:rFonts w:asciiTheme="majorHAnsi" w:hAnsiTheme="majorHAnsi" w:cs="Arial"/>
                      <w:b/>
                      <w:color w:val="0D0D0D" w:themeColor="text1" w:themeTint="F2"/>
                      <w:sz w:val="36"/>
                      <w:szCs w:val="22"/>
                    </w:rPr>
                    <w:t xml:space="preserve">N 1132-06 </w:t>
                  </w:r>
                </w:p>
                <w:p w:rsidR="009475D2" w:rsidRPr="00422DA9" w:rsidRDefault="009475D2" w:rsidP="00422DA9">
                  <w:pPr>
                    <w:spacing w:line="276" w:lineRule="auto"/>
                    <w:rPr>
                      <w:rFonts w:asciiTheme="majorHAnsi" w:hAnsiTheme="majorHAnsi" w:cs="Arial"/>
                      <w:color w:val="0D0D0D" w:themeColor="text1" w:themeTint="F2"/>
                      <w:szCs w:val="22"/>
                    </w:rPr>
                  </w:pPr>
                  <w:r w:rsidRPr="00422DA9">
                    <w:rPr>
                      <w:rFonts w:asciiTheme="majorHAnsi" w:hAnsiTheme="majorHAnsi" w:cs="Arial"/>
                      <w:color w:val="0D0D0D" w:themeColor="text1" w:themeTint="F2"/>
                      <w:szCs w:val="22"/>
                    </w:rPr>
                    <w:t>ADMIS</w:t>
                  </w:r>
                  <w:r>
                    <w:rPr>
                      <w:rFonts w:asciiTheme="majorHAnsi" w:hAnsiTheme="majorHAnsi" w:cs="Arial"/>
                      <w:color w:val="0D0D0D" w:themeColor="text1" w:themeTint="F2"/>
                      <w:szCs w:val="22"/>
                    </w:rPr>
                    <w:t>S</w:t>
                  </w:r>
                  <w:r w:rsidRPr="00422DA9">
                    <w:rPr>
                      <w:rFonts w:asciiTheme="majorHAnsi" w:hAnsiTheme="majorHAnsi" w:cs="Arial"/>
                      <w:color w:val="0D0D0D" w:themeColor="text1" w:themeTint="F2"/>
                      <w:szCs w:val="22"/>
                    </w:rPr>
                    <w:t>IBILI</w:t>
                  </w:r>
                  <w:r>
                    <w:rPr>
                      <w:rFonts w:asciiTheme="majorHAnsi" w:hAnsiTheme="majorHAnsi" w:cs="Arial"/>
                      <w:color w:val="0D0D0D" w:themeColor="text1" w:themeTint="F2"/>
                      <w:szCs w:val="22"/>
                    </w:rPr>
                    <w:t xml:space="preserve">TY REPORT </w:t>
                  </w:r>
                </w:p>
                <w:p w:rsidR="009475D2" w:rsidRPr="00422DA9" w:rsidRDefault="009475D2" w:rsidP="00997BC5">
                  <w:pPr>
                    <w:spacing w:line="276" w:lineRule="auto"/>
                    <w:rPr>
                      <w:rFonts w:asciiTheme="majorHAnsi" w:hAnsiTheme="majorHAnsi" w:cs="Arial"/>
                      <w:color w:val="0D0D0D" w:themeColor="text1" w:themeTint="F2"/>
                      <w:szCs w:val="22"/>
                    </w:rPr>
                  </w:pPr>
                  <w:bookmarkStart w:id="1" w:name="_ftnref1"/>
                </w:p>
                <w:bookmarkEnd w:id="1"/>
                <w:p w:rsidR="009475D2" w:rsidRPr="00422DA9" w:rsidRDefault="00435466" w:rsidP="00422DA9">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HORTENSIA</w:t>
                  </w:r>
                  <w:r w:rsidR="009475D2" w:rsidRPr="00422DA9">
                    <w:rPr>
                      <w:rFonts w:asciiTheme="majorHAnsi" w:hAnsiTheme="majorHAnsi" w:cs="Arial"/>
                      <w:color w:val="0D0D0D" w:themeColor="text1" w:themeTint="F2"/>
                      <w:szCs w:val="22"/>
                    </w:rPr>
                    <w:t xml:space="preserve"> NEYID TUNJA CUCHUMBE </w:t>
                  </w:r>
                  <w:r w:rsidR="009475D2">
                    <w:rPr>
                      <w:rFonts w:asciiTheme="majorHAnsi" w:hAnsiTheme="majorHAnsi" w:cs="Arial"/>
                      <w:color w:val="0D0D0D" w:themeColor="text1" w:themeTint="F2"/>
                      <w:szCs w:val="22"/>
                    </w:rPr>
                    <w:t xml:space="preserve">ET AL. </w:t>
                  </w:r>
                </w:p>
                <w:p w:rsidR="009475D2" w:rsidRPr="00422DA9" w:rsidRDefault="009475D2" w:rsidP="00997BC5">
                  <w:pPr>
                    <w:spacing w:line="276" w:lineRule="auto"/>
                    <w:rPr>
                      <w:rFonts w:asciiTheme="majorHAnsi" w:hAnsiTheme="majorHAnsi" w:cs="Arial"/>
                      <w:color w:val="0D0D0D" w:themeColor="text1" w:themeTint="F2"/>
                      <w:szCs w:val="22"/>
                    </w:rPr>
                  </w:pPr>
                  <w:r w:rsidRPr="00422DA9">
                    <w:rPr>
                      <w:rFonts w:asciiTheme="majorHAnsi" w:hAnsiTheme="majorHAnsi" w:cs="Arial"/>
                      <w:color w:val="0D0D0D" w:themeColor="text1" w:themeTint="F2"/>
                      <w:szCs w:val="22"/>
                    </w:rPr>
                    <w:t>COLOMBIA</w:t>
                  </w:r>
                </w:p>
                <w:p w:rsidR="009475D2" w:rsidRPr="00422DA9" w:rsidRDefault="009475D2" w:rsidP="007A5817">
                  <w:pPr>
                    <w:rPr>
                      <w:color w:val="0D0D0D" w:themeColor="text1" w:themeTint="F2"/>
                    </w:rPr>
                  </w:pPr>
                </w:p>
              </w:txbxContent>
            </v:textbox>
          </v:shape>
        </w:pict>
      </w:r>
      <w:r>
        <w:rPr>
          <w:rFonts w:asciiTheme="majorHAnsi" w:hAnsiTheme="majorHAnsi"/>
          <w:noProof/>
          <w:sz w:val="22"/>
          <w:szCs w:val="22"/>
        </w:rPr>
        <w:pict>
          <v:shape id="Text Box 8" o:spid="_x0000_s1028" type="#_x0000_t202" style="position:absolute;left:0;text-align:left;margin-left:-27pt;margin-top:12.95pt;width:109.5pt;height:108.4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9475D2" w:rsidRPr="00422DA9" w:rsidRDefault="009475D2" w:rsidP="00DD67B6">
                  <w:pPr>
                    <w:spacing w:line="276" w:lineRule="auto"/>
                    <w:jc w:val="right"/>
                    <w:rPr>
                      <w:rFonts w:asciiTheme="minorHAnsi" w:hAnsiTheme="minorHAnsi"/>
                      <w:color w:val="FFFFFF" w:themeColor="background1"/>
                      <w:sz w:val="22"/>
                    </w:rPr>
                  </w:pPr>
                  <w:r w:rsidRPr="0069280C">
                    <w:rPr>
                      <w:rFonts w:asciiTheme="minorHAnsi" w:hAnsiTheme="minorHAnsi"/>
                      <w:color w:val="FFFFFF" w:themeColor="background1"/>
                      <w:sz w:val="22"/>
                    </w:rPr>
                    <w:t>OEA/Ser.L/V/II.</w:t>
                  </w:r>
                </w:p>
                <w:p w:rsidR="009475D2" w:rsidRPr="00422DA9" w:rsidRDefault="009475D2" w:rsidP="00422DA9">
                  <w:pPr>
                    <w:spacing w:line="276" w:lineRule="auto"/>
                    <w:jc w:val="right"/>
                    <w:rPr>
                      <w:rFonts w:asciiTheme="minorHAnsi" w:hAnsiTheme="minorHAnsi"/>
                      <w:color w:val="FFFFFF" w:themeColor="background1"/>
                      <w:sz w:val="22"/>
                    </w:rPr>
                  </w:pPr>
                  <w:r w:rsidRPr="00422DA9">
                    <w:rPr>
                      <w:rFonts w:asciiTheme="minorHAnsi" w:hAnsiTheme="minorHAnsi"/>
                      <w:color w:val="FFFFFF" w:themeColor="background1"/>
                      <w:sz w:val="22"/>
                    </w:rPr>
                    <w:t xml:space="preserve">Original: </w:t>
                  </w:r>
                  <w:r>
                    <w:rPr>
                      <w:rFonts w:asciiTheme="minorHAnsi" w:hAnsiTheme="minorHAnsi"/>
                      <w:color w:val="FFFFFF" w:themeColor="background1"/>
                      <w:sz w:val="22"/>
                    </w:rPr>
                    <w:t xml:space="preserve">Spanish </w:t>
                  </w:r>
                </w:p>
              </w:txbxContent>
            </v:textbox>
          </v:shape>
        </w:pict>
      </w:r>
    </w:p>
    <w:p w:rsidR="00040C3A" w:rsidRPr="00844736" w:rsidRDefault="00040C3A" w:rsidP="00040C3A">
      <w:pPr>
        <w:tabs>
          <w:tab w:val="center" w:pos="5400"/>
        </w:tabs>
        <w:suppressAutoHyphens/>
        <w:jc w:val="center"/>
        <w:rPr>
          <w:rFonts w:asciiTheme="majorHAnsi" w:hAnsiTheme="majorHAnsi"/>
          <w:sz w:val="22"/>
          <w:szCs w:val="22"/>
        </w:rPr>
      </w:pPr>
    </w:p>
    <w:p w:rsidR="00040C3A" w:rsidRPr="00844736" w:rsidRDefault="00040C3A" w:rsidP="00040C3A">
      <w:pPr>
        <w:tabs>
          <w:tab w:val="center" w:pos="5400"/>
        </w:tabs>
        <w:suppressAutoHyphens/>
        <w:jc w:val="center"/>
        <w:rPr>
          <w:rFonts w:asciiTheme="majorHAnsi" w:hAnsiTheme="majorHAnsi"/>
          <w:sz w:val="22"/>
          <w:szCs w:val="22"/>
        </w:rPr>
      </w:pPr>
    </w:p>
    <w:p w:rsidR="00040C3A" w:rsidRPr="00844736" w:rsidRDefault="00040C3A" w:rsidP="00040C3A">
      <w:pPr>
        <w:tabs>
          <w:tab w:val="center" w:pos="5400"/>
        </w:tabs>
        <w:suppressAutoHyphens/>
        <w:jc w:val="center"/>
        <w:rPr>
          <w:rFonts w:asciiTheme="majorHAnsi" w:hAnsiTheme="majorHAnsi" w:cs="Arial"/>
          <w:sz w:val="22"/>
          <w:szCs w:val="22"/>
        </w:rPr>
      </w:pPr>
    </w:p>
    <w:p w:rsidR="00040C3A" w:rsidRPr="00844736" w:rsidRDefault="00040C3A" w:rsidP="00040C3A">
      <w:pPr>
        <w:tabs>
          <w:tab w:val="center" w:pos="5400"/>
        </w:tabs>
        <w:suppressAutoHyphens/>
        <w:jc w:val="center"/>
        <w:rPr>
          <w:rFonts w:asciiTheme="majorHAnsi" w:hAnsiTheme="majorHAnsi"/>
          <w:sz w:val="22"/>
          <w:szCs w:val="22"/>
        </w:rPr>
      </w:pPr>
    </w:p>
    <w:p w:rsidR="00040C3A" w:rsidRPr="00844736" w:rsidRDefault="00040C3A" w:rsidP="00040C3A">
      <w:pPr>
        <w:tabs>
          <w:tab w:val="center" w:pos="5400"/>
        </w:tabs>
        <w:suppressAutoHyphens/>
        <w:jc w:val="center"/>
        <w:rPr>
          <w:rFonts w:asciiTheme="majorHAnsi" w:hAnsiTheme="majorHAnsi"/>
          <w:sz w:val="22"/>
          <w:szCs w:val="22"/>
        </w:rPr>
      </w:pPr>
    </w:p>
    <w:p w:rsidR="00040C3A" w:rsidRPr="00844736" w:rsidRDefault="00040C3A" w:rsidP="00040C3A">
      <w:pPr>
        <w:tabs>
          <w:tab w:val="center" w:pos="5400"/>
        </w:tabs>
        <w:suppressAutoHyphens/>
        <w:jc w:val="center"/>
        <w:rPr>
          <w:rFonts w:asciiTheme="majorHAnsi" w:hAnsiTheme="majorHAnsi"/>
          <w:sz w:val="22"/>
          <w:szCs w:val="22"/>
        </w:rPr>
      </w:pPr>
    </w:p>
    <w:p w:rsidR="00040C3A" w:rsidRPr="00844736" w:rsidRDefault="003F7663" w:rsidP="00040C3A">
      <w:pPr>
        <w:tabs>
          <w:tab w:val="center" w:pos="5400"/>
        </w:tabs>
        <w:suppressAutoHyphens/>
        <w:jc w:val="center"/>
        <w:rPr>
          <w:rFonts w:asciiTheme="majorHAnsi" w:hAnsiTheme="majorHAnsi"/>
          <w:sz w:val="22"/>
          <w:szCs w:val="22"/>
        </w:rPr>
      </w:pPr>
      <w:r>
        <w:rPr>
          <w:noProof/>
        </w:rPr>
        <w:pict>
          <v:shape id="_x0000_s1039" type="#_x0000_t202" style="position:absolute;left:0;text-align:left;margin-left:-27.1pt;margin-top:4.65pt;width:105.05pt;height:108.45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lgggIAAGoFAAAOAAAAZHJzL2Uyb0RvYy54bWysVN9v2jAQfp+0/8Hy+wgpUDrUUDGqTpOq&#10;thpMfTaOXaLZPs82JOyv79lJKGJ76bSX5Oz77nw/vrvrm0YrshfOV2AKmg+GlAjDoazMS0F/rO8+&#10;XVHiAzMlU2BEQQ/C05v5xw/XtZ2JC9iCKoUj6MT4WW0Lug3BzrLM863QzA/ACoNKCU6zgEf3kpWO&#10;1ehdq+xiOLzManCldcCF93h72yrpPPmXUvDwKKUXgaiCYmwhfV36buI3m1+z2YtjdlvxLgz2D1Fo&#10;Vhl89OjqlgVGdq76w5WuuAMPMgw46AykrLhIOWA2+fAsm9WWWZFyweJ4eyyT/39u+cP+yZGqLCg2&#10;yjCNLVqLJpAv0JCrWJ3a+hmCVhZhocFr7HJ/7/EyJt1Ip+Mf0yGoxzofjrWNzng0Go3G+WhCCUdd&#10;PppOR/kk+snezK3z4asATaJQUIfNSzVl+3sfWmgPia8ZuKuUSg1UhtQFvRxNhsngqEHnykSsSFTo&#10;3MSU2tCTFA5KRIwy34XEUqQM4kUioVgqR/YM6cM4Fyak5JNfREeUxCDeY9jh36J6j3GbR/8ymHA0&#10;1pUBl7I/C7v82YcsWzzW/CTvKIZm0yQOTPvObqA8YMMdtAPjLb+rsCn3zIcn5nBCsMc49eERP1IB&#10;Fh86iZItuN9/u494JC5qKalx4grqf+2YE5SobwYp/Tkfj+OIpsN4Mr3AgzvVbE41ZqeXgF3Jcb9Y&#10;nsSID6oXpQP9jMthEV9FFTMc3y5o6MVlaPcALhcuFosEwqG0LNybleXRdWxSpNy6eWbOdrwMSOkH&#10;6GeTzc7o2WKjpYHFLoCsEndjnduqdvXHgU7s75ZP3Bin54R6W5HzVwAAAP//AwBQSwMEFAAGAAgA&#10;AAAhAMD1ZJriAAAACgEAAA8AAABkcnMvZG93bnJldi54bWxMj8FOwzAQRO9I/IO1SNyoUwuXNI1T&#10;VZEqJASHll64beJtEhHbIXbbwNdjTuW4mqeZt/l6Mj070+g7ZxXMZwkwsrXTnW0UHN63DykwH9Bq&#10;7J0lBd/kYV3c3uSYaXexOzrvQ8NiifUZKmhDGDLOfd2SQT9zA9mYHd1oMMRzbLge8RLLTc9Fkiy4&#10;wc7GhRYHKluqP/cno+Cl3L7hrhIm/enL59fjZvg6fEil7u+mzQpYoClcYfjTj+pQRKfKnaz2rFeQ&#10;ShlJBVLIObAIiKVcAKsUPD2KBHiR8/8vFL8AAAD//wMAUEsBAi0AFAAGAAgAAAAhALaDOJL+AAAA&#10;4QEAABMAAAAAAAAAAAAAAAAAAAAAAFtDb250ZW50X1R5cGVzXS54bWxQSwECLQAUAAYACAAAACEA&#10;OP0h/9YAAACUAQAACwAAAAAAAAAAAAAAAAAvAQAAX3JlbHMvLnJlbHNQSwECLQAUAAYACAAAACEA&#10;RWcJYIICAABqBQAADgAAAAAAAAAAAAAAAAAuAgAAZHJzL2Uyb0RvYy54bWxQSwECLQAUAAYACAAA&#10;ACEAwPVkmuIAAAAKAQAADwAAAAAAAAAAAAAAAADcBAAAZHJzL2Rvd25yZXYueG1sUEsFBgAAAAAE&#10;AAQA8wAAAOsFAAAAAA==&#10;" filled="f" stroked="f" strokeweight=".5pt">
            <v:textbox>
              <w:txbxContent>
                <w:p w:rsidR="00DD67B6" w:rsidRPr="004B7EB6" w:rsidRDefault="0069280C" w:rsidP="00DD67B6">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OEA/Ser.L/V/II.157</w:t>
                  </w:r>
                </w:p>
                <w:p w:rsidR="00DD67B6" w:rsidRPr="004B7EB6" w:rsidRDefault="00DD67B6" w:rsidP="00DD67B6">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69280C">
                    <w:rPr>
                      <w:rFonts w:asciiTheme="minorHAnsi" w:hAnsiTheme="minorHAnsi"/>
                      <w:color w:val="FFFFFF" w:themeColor="background1"/>
                      <w:sz w:val="22"/>
                      <w:lang w:val="pt-BR"/>
                    </w:rPr>
                    <w:t>21</w:t>
                  </w:r>
                </w:p>
                <w:p w:rsidR="00DD67B6" w:rsidRPr="004B7EB6" w:rsidRDefault="0069280C" w:rsidP="00DD67B6">
                  <w:pPr>
                    <w:jc w:val="right"/>
                    <w:rPr>
                      <w:rFonts w:asciiTheme="minorHAnsi" w:hAnsiTheme="minorHAnsi"/>
                      <w:color w:val="FFFFFF" w:themeColor="background1"/>
                      <w:sz w:val="22"/>
                    </w:rPr>
                  </w:pPr>
                  <w:r>
                    <w:rPr>
                      <w:rFonts w:asciiTheme="minorHAnsi" w:hAnsiTheme="minorHAnsi"/>
                      <w:color w:val="FFFFFF" w:themeColor="background1"/>
                      <w:sz w:val="22"/>
                    </w:rPr>
                    <w:t>15</w:t>
                  </w:r>
                  <w:r w:rsidR="00DD67B6" w:rsidRPr="004B7EB6">
                    <w:rPr>
                      <w:rFonts w:asciiTheme="minorHAnsi" w:hAnsiTheme="minorHAnsi"/>
                      <w:color w:val="FFFFFF" w:themeColor="background1"/>
                      <w:sz w:val="22"/>
                    </w:rPr>
                    <w:t xml:space="preserve"> </w:t>
                  </w:r>
                  <w:r>
                    <w:rPr>
                      <w:rFonts w:asciiTheme="minorHAnsi" w:hAnsiTheme="minorHAnsi"/>
                      <w:color w:val="FFFFFF" w:themeColor="background1"/>
                      <w:sz w:val="22"/>
                    </w:rPr>
                    <w:t xml:space="preserve">April </w:t>
                  </w:r>
                  <w:r w:rsidR="00DD67B6">
                    <w:rPr>
                      <w:rFonts w:asciiTheme="minorHAnsi" w:hAnsiTheme="minorHAnsi"/>
                      <w:color w:val="FFFFFF" w:themeColor="background1"/>
                      <w:sz w:val="22"/>
                    </w:rPr>
                    <w:t>2016</w:t>
                  </w:r>
                </w:p>
                <w:p w:rsidR="00DD67B6" w:rsidRPr="004B7EB6" w:rsidRDefault="00DD67B6" w:rsidP="00DD67B6">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w:r>
    </w:p>
    <w:p w:rsidR="005128E4" w:rsidRPr="00844736" w:rsidRDefault="005128E4" w:rsidP="00040C3A">
      <w:pPr>
        <w:tabs>
          <w:tab w:val="center" w:pos="5400"/>
        </w:tabs>
        <w:suppressAutoHyphens/>
        <w:jc w:val="center"/>
        <w:rPr>
          <w:rFonts w:asciiTheme="majorHAnsi" w:hAnsiTheme="majorHAnsi"/>
          <w:sz w:val="22"/>
          <w:szCs w:val="22"/>
        </w:rPr>
      </w:pPr>
    </w:p>
    <w:p w:rsidR="00040C3A" w:rsidRPr="00844736" w:rsidRDefault="00040C3A" w:rsidP="00040C3A">
      <w:pPr>
        <w:tabs>
          <w:tab w:val="center" w:pos="5400"/>
        </w:tabs>
        <w:suppressAutoHyphens/>
        <w:jc w:val="center"/>
        <w:rPr>
          <w:rFonts w:asciiTheme="majorHAnsi" w:hAnsiTheme="majorHAnsi"/>
          <w:sz w:val="22"/>
          <w:szCs w:val="22"/>
        </w:rPr>
      </w:pPr>
    </w:p>
    <w:p w:rsidR="005128E4" w:rsidRPr="00844736" w:rsidRDefault="005128E4" w:rsidP="00040C3A">
      <w:pPr>
        <w:tabs>
          <w:tab w:val="center" w:pos="5400"/>
        </w:tabs>
        <w:suppressAutoHyphens/>
        <w:jc w:val="center"/>
        <w:rPr>
          <w:rFonts w:asciiTheme="majorHAnsi" w:hAnsiTheme="majorHAnsi"/>
          <w:sz w:val="22"/>
          <w:szCs w:val="22"/>
        </w:rPr>
      </w:pPr>
    </w:p>
    <w:p w:rsidR="005128E4" w:rsidRPr="00844736" w:rsidRDefault="005128E4" w:rsidP="00040C3A">
      <w:pPr>
        <w:tabs>
          <w:tab w:val="center" w:pos="5400"/>
        </w:tabs>
        <w:suppressAutoHyphens/>
        <w:jc w:val="center"/>
        <w:rPr>
          <w:rFonts w:asciiTheme="majorHAnsi" w:hAnsiTheme="majorHAnsi"/>
          <w:sz w:val="22"/>
          <w:szCs w:val="22"/>
        </w:rPr>
      </w:pPr>
    </w:p>
    <w:p w:rsidR="005128E4" w:rsidRPr="00844736" w:rsidRDefault="005128E4" w:rsidP="00040C3A">
      <w:pPr>
        <w:tabs>
          <w:tab w:val="center" w:pos="5400"/>
        </w:tabs>
        <w:suppressAutoHyphens/>
        <w:jc w:val="center"/>
        <w:rPr>
          <w:rFonts w:asciiTheme="majorHAnsi" w:hAnsiTheme="majorHAnsi"/>
          <w:sz w:val="22"/>
          <w:szCs w:val="22"/>
        </w:rPr>
      </w:pPr>
    </w:p>
    <w:p w:rsidR="00040C3A" w:rsidRPr="00844736" w:rsidRDefault="00040C3A" w:rsidP="00040C3A">
      <w:pPr>
        <w:tabs>
          <w:tab w:val="center" w:pos="5400"/>
        </w:tabs>
        <w:suppressAutoHyphens/>
        <w:jc w:val="center"/>
        <w:rPr>
          <w:rFonts w:asciiTheme="majorHAnsi" w:hAnsiTheme="majorHAnsi"/>
          <w:sz w:val="22"/>
          <w:szCs w:val="22"/>
        </w:rPr>
      </w:pPr>
    </w:p>
    <w:p w:rsidR="00040C3A" w:rsidRPr="00844736" w:rsidRDefault="00040C3A" w:rsidP="00040C3A">
      <w:pPr>
        <w:tabs>
          <w:tab w:val="center" w:pos="5400"/>
        </w:tabs>
        <w:suppressAutoHyphens/>
        <w:jc w:val="center"/>
        <w:rPr>
          <w:rFonts w:asciiTheme="majorHAnsi" w:hAnsiTheme="majorHAnsi"/>
          <w:sz w:val="22"/>
          <w:szCs w:val="22"/>
        </w:rPr>
      </w:pPr>
    </w:p>
    <w:p w:rsidR="00A50FCF" w:rsidRPr="00844736" w:rsidRDefault="00A50FCF" w:rsidP="00040C3A">
      <w:pPr>
        <w:tabs>
          <w:tab w:val="center" w:pos="5400"/>
        </w:tabs>
        <w:suppressAutoHyphens/>
        <w:jc w:val="center"/>
        <w:rPr>
          <w:rFonts w:asciiTheme="majorHAnsi" w:hAnsiTheme="majorHAnsi"/>
          <w:sz w:val="18"/>
          <w:szCs w:val="22"/>
        </w:rPr>
      </w:pPr>
    </w:p>
    <w:p w:rsidR="00A50FCF" w:rsidRPr="00844736" w:rsidRDefault="00A50FCF" w:rsidP="00040C3A">
      <w:pPr>
        <w:tabs>
          <w:tab w:val="center" w:pos="5400"/>
        </w:tabs>
        <w:suppressAutoHyphens/>
        <w:jc w:val="center"/>
        <w:rPr>
          <w:rFonts w:asciiTheme="majorHAnsi" w:hAnsiTheme="majorHAnsi"/>
          <w:sz w:val="18"/>
          <w:szCs w:val="22"/>
        </w:rPr>
      </w:pPr>
    </w:p>
    <w:p w:rsidR="00A50FCF" w:rsidRPr="00844736" w:rsidRDefault="00A50FCF" w:rsidP="00040C3A">
      <w:pPr>
        <w:tabs>
          <w:tab w:val="center" w:pos="5400"/>
        </w:tabs>
        <w:suppressAutoHyphens/>
        <w:jc w:val="center"/>
        <w:rPr>
          <w:rFonts w:asciiTheme="majorHAnsi" w:hAnsiTheme="majorHAnsi"/>
          <w:sz w:val="18"/>
          <w:szCs w:val="22"/>
        </w:rPr>
      </w:pPr>
    </w:p>
    <w:p w:rsidR="00A50FCF" w:rsidRPr="00844736" w:rsidRDefault="00A50FCF" w:rsidP="00040C3A">
      <w:pPr>
        <w:tabs>
          <w:tab w:val="center" w:pos="5400"/>
        </w:tabs>
        <w:suppressAutoHyphens/>
        <w:jc w:val="center"/>
        <w:rPr>
          <w:rFonts w:asciiTheme="majorHAnsi" w:hAnsiTheme="majorHAnsi"/>
          <w:sz w:val="18"/>
          <w:szCs w:val="22"/>
        </w:rPr>
      </w:pPr>
    </w:p>
    <w:p w:rsidR="00A50FCF" w:rsidRPr="00844736" w:rsidRDefault="00A50FCF" w:rsidP="00040C3A">
      <w:pPr>
        <w:tabs>
          <w:tab w:val="center" w:pos="5400"/>
        </w:tabs>
        <w:suppressAutoHyphens/>
        <w:jc w:val="center"/>
        <w:rPr>
          <w:rFonts w:asciiTheme="majorHAnsi" w:hAnsiTheme="majorHAnsi"/>
          <w:sz w:val="18"/>
          <w:szCs w:val="22"/>
        </w:rPr>
      </w:pPr>
    </w:p>
    <w:p w:rsidR="00A50FCF" w:rsidRPr="00844736" w:rsidRDefault="00A50FCF" w:rsidP="00040C3A">
      <w:pPr>
        <w:tabs>
          <w:tab w:val="center" w:pos="5400"/>
        </w:tabs>
        <w:suppressAutoHyphens/>
        <w:jc w:val="center"/>
        <w:rPr>
          <w:rFonts w:asciiTheme="majorHAnsi" w:hAnsiTheme="majorHAnsi"/>
          <w:sz w:val="18"/>
          <w:szCs w:val="22"/>
        </w:rPr>
      </w:pPr>
    </w:p>
    <w:p w:rsidR="00A50FCF" w:rsidRPr="00844736" w:rsidRDefault="00A50FCF" w:rsidP="00040C3A">
      <w:pPr>
        <w:tabs>
          <w:tab w:val="center" w:pos="5400"/>
        </w:tabs>
        <w:suppressAutoHyphens/>
        <w:jc w:val="center"/>
        <w:rPr>
          <w:rFonts w:asciiTheme="majorHAnsi" w:hAnsiTheme="majorHAnsi"/>
          <w:sz w:val="18"/>
          <w:szCs w:val="22"/>
        </w:rPr>
      </w:pPr>
    </w:p>
    <w:p w:rsidR="00A50FCF" w:rsidRPr="00844736" w:rsidRDefault="00A50FCF" w:rsidP="00040C3A">
      <w:pPr>
        <w:tabs>
          <w:tab w:val="center" w:pos="5400"/>
        </w:tabs>
        <w:suppressAutoHyphens/>
        <w:jc w:val="center"/>
        <w:rPr>
          <w:rFonts w:asciiTheme="majorHAnsi" w:hAnsiTheme="majorHAnsi"/>
          <w:sz w:val="18"/>
          <w:szCs w:val="22"/>
        </w:rPr>
      </w:pPr>
    </w:p>
    <w:p w:rsidR="00A50FCF" w:rsidRPr="00844736" w:rsidRDefault="00A50FCF" w:rsidP="00040C3A">
      <w:pPr>
        <w:tabs>
          <w:tab w:val="center" w:pos="5400"/>
        </w:tabs>
        <w:suppressAutoHyphens/>
        <w:jc w:val="center"/>
        <w:rPr>
          <w:rFonts w:asciiTheme="majorHAnsi" w:hAnsiTheme="majorHAnsi"/>
          <w:sz w:val="18"/>
          <w:szCs w:val="22"/>
        </w:rPr>
      </w:pPr>
    </w:p>
    <w:p w:rsidR="00A50FCF" w:rsidRPr="00844736" w:rsidRDefault="00A50FCF" w:rsidP="00040C3A">
      <w:pPr>
        <w:tabs>
          <w:tab w:val="center" w:pos="5400"/>
        </w:tabs>
        <w:suppressAutoHyphens/>
        <w:jc w:val="center"/>
        <w:rPr>
          <w:rFonts w:asciiTheme="majorHAnsi" w:hAnsiTheme="majorHAnsi"/>
          <w:sz w:val="18"/>
          <w:szCs w:val="22"/>
        </w:rPr>
      </w:pPr>
    </w:p>
    <w:p w:rsidR="00A50FCF" w:rsidRPr="00844736" w:rsidRDefault="00A50FCF" w:rsidP="00040C3A">
      <w:pPr>
        <w:tabs>
          <w:tab w:val="center" w:pos="5400"/>
        </w:tabs>
        <w:suppressAutoHyphens/>
        <w:jc w:val="center"/>
        <w:rPr>
          <w:rFonts w:asciiTheme="majorHAnsi" w:hAnsiTheme="majorHAnsi"/>
          <w:sz w:val="18"/>
          <w:szCs w:val="22"/>
        </w:rPr>
      </w:pPr>
    </w:p>
    <w:p w:rsidR="00A50FCF" w:rsidRPr="00844736" w:rsidRDefault="00A50FCF" w:rsidP="00040C3A">
      <w:pPr>
        <w:tabs>
          <w:tab w:val="center" w:pos="5400"/>
        </w:tabs>
        <w:suppressAutoHyphens/>
        <w:jc w:val="center"/>
        <w:rPr>
          <w:rFonts w:asciiTheme="majorHAnsi" w:hAnsiTheme="majorHAnsi"/>
          <w:sz w:val="18"/>
          <w:szCs w:val="22"/>
        </w:rPr>
      </w:pPr>
    </w:p>
    <w:p w:rsidR="00A50FCF" w:rsidRPr="00844736" w:rsidRDefault="00A50FCF" w:rsidP="00040C3A">
      <w:pPr>
        <w:tabs>
          <w:tab w:val="center" w:pos="5400"/>
        </w:tabs>
        <w:suppressAutoHyphens/>
        <w:jc w:val="center"/>
        <w:rPr>
          <w:rFonts w:asciiTheme="majorHAnsi" w:hAnsiTheme="majorHAnsi"/>
          <w:sz w:val="18"/>
          <w:szCs w:val="22"/>
        </w:rPr>
      </w:pPr>
    </w:p>
    <w:p w:rsidR="00A50FCF" w:rsidRPr="00844736" w:rsidRDefault="00A50FCF" w:rsidP="00040C3A">
      <w:pPr>
        <w:tabs>
          <w:tab w:val="center" w:pos="5400"/>
        </w:tabs>
        <w:suppressAutoHyphens/>
        <w:jc w:val="center"/>
        <w:rPr>
          <w:rFonts w:asciiTheme="majorHAnsi" w:hAnsiTheme="majorHAnsi"/>
          <w:sz w:val="18"/>
          <w:szCs w:val="22"/>
        </w:rPr>
      </w:pPr>
    </w:p>
    <w:p w:rsidR="00A50FCF" w:rsidRPr="00844736" w:rsidRDefault="003F7663"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w:pict>
          <v:shape id="Text Box 7" o:spid="_x0000_s1029" type="#_x0000_t202" style="position:absolute;left:0;text-align:left;margin-left:105.65pt;margin-top:1.8pt;width:388.5pt;height:52.3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9475D2" w:rsidRPr="00422DA9" w:rsidRDefault="00F40DAF" w:rsidP="00422DA9">
                  <w:pPr>
                    <w:tabs>
                      <w:tab w:val="center" w:pos="5400"/>
                    </w:tabs>
                    <w:suppressAutoHyphens/>
                    <w:spacing w:before="60"/>
                    <w:rPr>
                      <w:rFonts w:asciiTheme="majorHAnsi" w:hAnsiTheme="majorHAnsi" w:cs="Univers"/>
                      <w:color w:val="0D0D0D" w:themeColor="text1" w:themeTint="F2"/>
                      <w:sz w:val="18"/>
                      <w:szCs w:val="20"/>
                    </w:rPr>
                  </w:pPr>
                  <w:r w:rsidRPr="00F40DAF">
                    <w:rPr>
                      <w:rFonts w:asciiTheme="majorHAnsi" w:hAnsiTheme="majorHAnsi"/>
                      <w:color w:val="0D0D0D" w:themeColor="text1" w:themeTint="F2"/>
                      <w:sz w:val="18"/>
                      <w:szCs w:val="20"/>
                    </w:rPr>
                    <w:t xml:space="preserve">Approved </w:t>
                  </w:r>
                  <w:r w:rsidR="009475D2">
                    <w:rPr>
                      <w:rFonts w:asciiTheme="majorHAnsi" w:hAnsiTheme="majorHAnsi"/>
                      <w:color w:val="0D0D0D" w:themeColor="text1" w:themeTint="F2"/>
                      <w:sz w:val="18"/>
                      <w:szCs w:val="20"/>
                    </w:rPr>
                    <w:t xml:space="preserve">by the Commission at its session No. </w:t>
                  </w:r>
                  <w:r w:rsidR="0069280C">
                    <w:rPr>
                      <w:rFonts w:asciiTheme="majorHAnsi" w:hAnsiTheme="majorHAnsi"/>
                      <w:color w:val="0D0D0D" w:themeColor="text1" w:themeTint="F2"/>
                      <w:sz w:val="18"/>
                      <w:szCs w:val="20"/>
                    </w:rPr>
                    <w:t>2065</w:t>
                  </w:r>
                  <w:r w:rsidR="009475D2" w:rsidRPr="00422DA9">
                    <w:rPr>
                      <w:rFonts w:asciiTheme="majorHAnsi" w:hAnsiTheme="majorHAnsi"/>
                      <w:color w:val="0D0D0D" w:themeColor="text1" w:themeTint="F2"/>
                      <w:sz w:val="18"/>
                      <w:szCs w:val="20"/>
                    </w:rPr>
                    <w:t xml:space="preserve"> </w:t>
                  </w:r>
                  <w:r w:rsidR="009475D2">
                    <w:rPr>
                      <w:rFonts w:asciiTheme="majorHAnsi" w:hAnsiTheme="majorHAnsi"/>
                      <w:color w:val="0D0D0D" w:themeColor="text1" w:themeTint="F2"/>
                      <w:sz w:val="18"/>
                      <w:szCs w:val="20"/>
                    </w:rPr>
                    <w:t xml:space="preserve">held on </w:t>
                  </w:r>
                  <w:r w:rsidR="0069280C">
                    <w:rPr>
                      <w:rFonts w:asciiTheme="majorHAnsi" w:hAnsiTheme="majorHAnsi"/>
                      <w:color w:val="0D0D0D" w:themeColor="text1" w:themeTint="F2"/>
                      <w:sz w:val="18"/>
                      <w:szCs w:val="20"/>
                    </w:rPr>
                    <w:t>April 15</w:t>
                  </w:r>
                  <w:r w:rsidR="009475D2">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2016</w:t>
                  </w:r>
                  <w:r w:rsidR="009475D2" w:rsidRPr="00422DA9">
                    <w:rPr>
                      <w:rFonts w:asciiTheme="majorHAnsi" w:hAnsiTheme="majorHAnsi"/>
                      <w:color w:val="0D0D0D" w:themeColor="text1" w:themeTint="F2"/>
                      <w:sz w:val="18"/>
                      <w:szCs w:val="20"/>
                    </w:rPr>
                    <w:br/>
                  </w:r>
                  <w:r w:rsidR="0069280C" w:rsidRPr="00BB422C">
                    <w:rPr>
                      <w:rFonts w:asciiTheme="majorHAnsi" w:hAnsiTheme="majorHAnsi" w:cs="Univers"/>
                      <w:color w:val="0D0D0D" w:themeColor="text1" w:themeTint="F2"/>
                      <w:sz w:val="18"/>
                      <w:szCs w:val="20"/>
                    </w:rPr>
                    <w:t>157</w:t>
                  </w:r>
                  <w:r w:rsidR="009475D2" w:rsidRPr="00BB422C">
                    <w:rPr>
                      <w:rFonts w:asciiTheme="majorHAnsi" w:hAnsiTheme="majorHAnsi" w:cs="Univers"/>
                      <w:color w:val="0D0D0D" w:themeColor="text1" w:themeTint="F2"/>
                      <w:sz w:val="18"/>
                      <w:szCs w:val="20"/>
                    </w:rPr>
                    <w:t>regular period of sessions</w:t>
                  </w:r>
                  <w:r w:rsidR="009475D2">
                    <w:rPr>
                      <w:rFonts w:asciiTheme="majorHAnsi" w:hAnsiTheme="majorHAnsi" w:cs="Univers"/>
                      <w:color w:val="0D0D0D" w:themeColor="text1" w:themeTint="F2"/>
                      <w:sz w:val="18"/>
                      <w:szCs w:val="20"/>
                    </w:rPr>
                    <w:t xml:space="preserve"> </w:t>
                  </w:r>
                </w:p>
                <w:p w:rsidR="009475D2" w:rsidRPr="00422DA9" w:rsidRDefault="009475D2" w:rsidP="00247403">
                  <w:pPr>
                    <w:tabs>
                      <w:tab w:val="center" w:pos="5400"/>
                    </w:tabs>
                    <w:suppressAutoHyphens/>
                    <w:spacing w:before="60"/>
                    <w:rPr>
                      <w:rFonts w:asciiTheme="minorHAnsi" w:hAnsiTheme="minorHAnsi" w:cs="Univers"/>
                      <w:color w:val="0D0D0D" w:themeColor="text1" w:themeTint="F2"/>
                      <w:sz w:val="20"/>
                      <w:szCs w:val="20"/>
                    </w:rPr>
                  </w:pPr>
                </w:p>
                <w:p w:rsidR="009475D2" w:rsidRPr="00422DA9" w:rsidRDefault="009475D2" w:rsidP="0059191A">
                  <w:pPr>
                    <w:tabs>
                      <w:tab w:val="center" w:pos="5400"/>
                    </w:tabs>
                    <w:suppressAutoHyphens/>
                    <w:spacing w:before="60"/>
                    <w:rPr>
                      <w:rFonts w:ascii="Calibri" w:hAnsi="Calibri"/>
                      <w:color w:val="FFFFFF" w:themeColor="background1"/>
                      <w:spacing w:val="-2"/>
                      <w:sz w:val="16"/>
                    </w:rPr>
                  </w:pPr>
                </w:p>
              </w:txbxContent>
            </v:textbox>
          </v:shape>
        </w:pict>
      </w:r>
    </w:p>
    <w:p w:rsidR="00A50FCF" w:rsidRPr="00844736" w:rsidRDefault="00A50FCF" w:rsidP="00040C3A">
      <w:pPr>
        <w:tabs>
          <w:tab w:val="center" w:pos="5400"/>
        </w:tabs>
        <w:suppressAutoHyphens/>
        <w:jc w:val="center"/>
        <w:rPr>
          <w:rFonts w:asciiTheme="majorHAnsi" w:hAnsiTheme="majorHAnsi"/>
          <w:sz w:val="18"/>
          <w:szCs w:val="22"/>
        </w:rPr>
      </w:pPr>
    </w:p>
    <w:p w:rsidR="00A50FCF" w:rsidRPr="00844736" w:rsidRDefault="00A50FCF" w:rsidP="00040C3A">
      <w:pPr>
        <w:tabs>
          <w:tab w:val="center" w:pos="5400"/>
        </w:tabs>
        <w:suppressAutoHyphens/>
        <w:jc w:val="center"/>
        <w:rPr>
          <w:rFonts w:asciiTheme="majorHAnsi" w:hAnsiTheme="majorHAnsi"/>
          <w:sz w:val="18"/>
          <w:szCs w:val="22"/>
        </w:rPr>
      </w:pPr>
    </w:p>
    <w:p w:rsidR="00A50FCF" w:rsidRPr="00844736" w:rsidRDefault="00A50FCF" w:rsidP="00040C3A">
      <w:pPr>
        <w:tabs>
          <w:tab w:val="center" w:pos="5400"/>
        </w:tabs>
        <w:suppressAutoHyphens/>
        <w:jc w:val="center"/>
        <w:rPr>
          <w:rFonts w:asciiTheme="majorHAnsi" w:hAnsiTheme="majorHAnsi"/>
          <w:sz w:val="18"/>
          <w:szCs w:val="22"/>
        </w:rPr>
      </w:pPr>
    </w:p>
    <w:p w:rsidR="00A50FCF" w:rsidRPr="00844736" w:rsidRDefault="00A50FCF" w:rsidP="00040C3A">
      <w:pPr>
        <w:tabs>
          <w:tab w:val="center" w:pos="5400"/>
        </w:tabs>
        <w:suppressAutoHyphens/>
        <w:jc w:val="center"/>
        <w:rPr>
          <w:rFonts w:asciiTheme="majorHAnsi" w:hAnsiTheme="majorHAnsi"/>
          <w:sz w:val="18"/>
          <w:szCs w:val="22"/>
        </w:rPr>
      </w:pPr>
    </w:p>
    <w:p w:rsidR="00A50FCF" w:rsidRPr="00844736" w:rsidRDefault="003F7663"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w:pict>
          <v:shape id="Text Box 10" o:spid="_x0000_s1030" type="#_x0000_t202" style="position:absolute;left:0;text-align:left;margin-left:105pt;margin-top:.45pt;width:389.25pt;height:51.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9475D2" w:rsidRPr="00422DA9" w:rsidRDefault="009475D2" w:rsidP="00780AE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szCs w:val="18"/>
                    </w:rPr>
                    <w:t>Cite as</w:t>
                  </w:r>
                  <w:r w:rsidRPr="00422DA9">
                    <w:rPr>
                      <w:rFonts w:asciiTheme="majorHAnsi" w:hAnsiTheme="majorHAnsi"/>
                      <w:b/>
                      <w:color w:val="595959" w:themeColor="text1" w:themeTint="A6"/>
                      <w:sz w:val="18"/>
                      <w:szCs w:val="18"/>
                    </w:rPr>
                    <w:t>:</w:t>
                  </w:r>
                  <w:r w:rsidRPr="00422DA9">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IACHR</w:t>
                  </w:r>
                  <w:r w:rsidRPr="00422DA9">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 xml:space="preserve">Report </w:t>
                  </w:r>
                  <w:r w:rsidR="0069280C">
                    <w:rPr>
                      <w:rFonts w:asciiTheme="majorHAnsi" w:hAnsiTheme="majorHAnsi"/>
                      <w:color w:val="595959" w:themeColor="text1" w:themeTint="A6"/>
                      <w:sz w:val="18"/>
                      <w:szCs w:val="18"/>
                    </w:rPr>
                    <w:t>No. 17</w:t>
                  </w:r>
                  <w:r w:rsidRPr="00422DA9">
                    <w:rPr>
                      <w:rFonts w:asciiTheme="majorHAnsi" w:hAnsiTheme="majorHAnsi"/>
                      <w:color w:val="595959" w:themeColor="text1" w:themeTint="A6"/>
                      <w:sz w:val="18"/>
                      <w:szCs w:val="18"/>
                    </w:rPr>
                    <w:t>/</w:t>
                  </w:r>
                  <w:r w:rsidR="006902E6">
                    <w:rPr>
                      <w:rFonts w:asciiTheme="majorHAnsi" w:hAnsiTheme="majorHAnsi"/>
                      <w:color w:val="595959" w:themeColor="text1" w:themeTint="A6"/>
                      <w:sz w:val="18"/>
                      <w:szCs w:val="18"/>
                    </w:rPr>
                    <w:t>16</w:t>
                  </w:r>
                  <w:r>
                    <w:rPr>
                      <w:rFonts w:asciiTheme="majorHAnsi" w:hAnsiTheme="majorHAnsi"/>
                      <w:color w:val="595959" w:themeColor="text1" w:themeTint="A6"/>
                      <w:sz w:val="18"/>
                      <w:szCs w:val="18"/>
                    </w:rPr>
                    <w:t>, Petitio</w:t>
                  </w:r>
                  <w:r w:rsidR="006902E6">
                    <w:rPr>
                      <w:rFonts w:asciiTheme="majorHAnsi" w:hAnsiTheme="majorHAnsi"/>
                      <w:color w:val="595959" w:themeColor="text1" w:themeTint="A6"/>
                      <w:sz w:val="18"/>
                      <w:szCs w:val="18"/>
                    </w:rPr>
                    <w:t xml:space="preserve">n </w:t>
                  </w:r>
                  <w:r w:rsidR="00B909FF">
                    <w:rPr>
                      <w:rFonts w:asciiTheme="majorHAnsi" w:hAnsiTheme="majorHAnsi"/>
                      <w:color w:val="595959" w:themeColor="text1" w:themeTint="A6"/>
                      <w:sz w:val="18"/>
                      <w:szCs w:val="18"/>
                    </w:rPr>
                    <w:t>1132-06</w:t>
                  </w:r>
                  <w:r w:rsidR="006902E6">
                    <w:rPr>
                      <w:rFonts w:asciiTheme="majorHAnsi" w:hAnsiTheme="majorHAnsi"/>
                      <w:color w:val="595959" w:themeColor="text1" w:themeTint="A6"/>
                      <w:sz w:val="18"/>
                      <w:szCs w:val="18"/>
                    </w:rPr>
                    <w:t xml:space="preserve">. </w:t>
                  </w:r>
                  <w:r w:rsidRPr="00422DA9">
                    <w:rPr>
                      <w:rFonts w:asciiTheme="majorHAnsi" w:hAnsiTheme="majorHAnsi"/>
                      <w:color w:val="595959" w:themeColor="text1" w:themeTint="A6"/>
                      <w:sz w:val="18"/>
                      <w:szCs w:val="18"/>
                    </w:rPr>
                    <w:t>Admi</w:t>
                  </w:r>
                  <w:r>
                    <w:rPr>
                      <w:rFonts w:asciiTheme="majorHAnsi" w:hAnsiTheme="majorHAnsi"/>
                      <w:color w:val="595959" w:themeColor="text1" w:themeTint="A6"/>
                      <w:sz w:val="18"/>
                      <w:szCs w:val="18"/>
                    </w:rPr>
                    <w:t>s</w:t>
                  </w:r>
                  <w:r w:rsidRPr="00422DA9">
                    <w:rPr>
                      <w:rFonts w:asciiTheme="majorHAnsi" w:hAnsiTheme="majorHAnsi"/>
                      <w:color w:val="595959" w:themeColor="text1" w:themeTint="A6"/>
                      <w:sz w:val="18"/>
                      <w:szCs w:val="18"/>
                    </w:rPr>
                    <w:t>sibil</w:t>
                  </w:r>
                  <w:r>
                    <w:rPr>
                      <w:rFonts w:asciiTheme="majorHAnsi" w:hAnsiTheme="majorHAnsi"/>
                      <w:color w:val="595959" w:themeColor="text1" w:themeTint="A6"/>
                      <w:sz w:val="18"/>
                      <w:szCs w:val="18"/>
                    </w:rPr>
                    <w:t>ity</w:t>
                  </w:r>
                  <w:r w:rsidR="00B909FF">
                    <w:rPr>
                      <w:rFonts w:asciiTheme="majorHAnsi" w:hAnsiTheme="majorHAnsi"/>
                      <w:color w:val="595959" w:themeColor="text1" w:themeTint="A6"/>
                      <w:sz w:val="18"/>
                      <w:szCs w:val="18"/>
                    </w:rPr>
                    <w:t xml:space="preserve">. </w:t>
                  </w:r>
                  <w:r w:rsidR="00B909FF" w:rsidRPr="00B909FF">
                    <w:rPr>
                      <w:rFonts w:asciiTheme="majorHAnsi" w:hAnsiTheme="majorHAnsi"/>
                      <w:color w:val="595959" w:themeColor="text1" w:themeTint="A6"/>
                      <w:sz w:val="18"/>
                      <w:szCs w:val="18"/>
                    </w:rPr>
                    <w:t>Hortensia Neyid Tunja Cuchumbe</w:t>
                  </w:r>
                  <w:r w:rsidR="00D560EE">
                    <w:rPr>
                      <w:rFonts w:asciiTheme="majorHAnsi" w:hAnsiTheme="majorHAnsi"/>
                      <w:color w:val="595959" w:themeColor="text1" w:themeTint="A6"/>
                      <w:sz w:val="18"/>
                      <w:szCs w:val="18"/>
                    </w:rPr>
                    <w:t xml:space="preserve"> et al. Colombia</w:t>
                  </w:r>
                  <w:r w:rsidRPr="00422DA9">
                    <w:rPr>
                      <w:rFonts w:asciiTheme="majorHAnsi" w:hAnsiTheme="majorHAnsi"/>
                      <w:color w:val="595959" w:themeColor="text1" w:themeTint="A6"/>
                      <w:sz w:val="18"/>
                      <w:szCs w:val="18"/>
                    </w:rPr>
                    <w:t xml:space="preserve">. </w:t>
                  </w:r>
                  <w:r w:rsidR="0069280C">
                    <w:rPr>
                      <w:rFonts w:asciiTheme="majorHAnsi" w:hAnsiTheme="majorHAnsi"/>
                      <w:color w:val="595959" w:themeColor="text1" w:themeTint="A6"/>
                      <w:sz w:val="18"/>
                    </w:rPr>
                    <w:t>April 15, 2016</w:t>
                  </w:r>
                  <w:r w:rsidRPr="00422DA9">
                    <w:rPr>
                      <w:rFonts w:asciiTheme="majorHAnsi" w:hAnsiTheme="majorHAnsi"/>
                      <w:color w:val="595959" w:themeColor="text1" w:themeTint="A6"/>
                      <w:sz w:val="18"/>
                      <w:szCs w:val="18"/>
                    </w:rPr>
                    <w:t>.</w:t>
                  </w:r>
                </w:p>
              </w:txbxContent>
            </v:textbox>
          </v:shape>
        </w:pict>
      </w:r>
    </w:p>
    <w:p w:rsidR="00A50FCF" w:rsidRPr="00844736" w:rsidRDefault="00A50FCF" w:rsidP="00040C3A">
      <w:pPr>
        <w:tabs>
          <w:tab w:val="center" w:pos="5400"/>
        </w:tabs>
        <w:suppressAutoHyphens/>
        <w:jc w:val="center"/>
        <w:rPr>
          <w:rFonts w:asciiTheme="majorHAnsi" w:hAnsiTheme="majorHAnsi"/>
          <w:sz w:val="18"/>
          <w:szCs w:val="22"/>
        </w:rPr>
      </w:pPr>
    </w:p>
    <w:p w:rsidR="0090270B" w:rsidRPr="00844736" w:rsidRDefault="003F7663" w:rsidP="005516A1">
      <w:pPr>
        <w:tabs>
          <w:tab w:val="center" w:pos="5400"/>
        </w:tabs>
        <w:suppressAutoHyphens/>
        <w:jc w:val="center"/>
        <w:rPr>
          <w:rFonts w:asciiTheme="majorHAnsi" w:hAnsiTheme="majorHAnsi"/>
          <w:b/>
          <w:sz w:val="20"/>
        </w:rPr>
      </w:pPr>
      <w:r>
        <w:rPr>
          <w:rFonts w:asciiTheme="majorHAnsi" w:hAnsiTheme="majorHAnsi"/>
          <w:noProof/>
          <w:sz w:val="18"/>
          <w:szCs w:val="22"/>
        </w:rPr>
        <w:pict>
          <v:shape id="Text Box 9" o:spid="_x0000_s1031" type="#_x0000_t202" style="position:absolute;left:0;text-align:left;margin-left:104.7pt;margin-top:50.3pt;width:322.55pt;height:44.6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9475D2" w:rsidRPr="00D72DC6" w:rsidRDefault="009475D2" w:rsidP="00F02AD1">
                  <w:pPr>
                    <w:rPr>
                      <w:color w:val="FFFFFF" w:themeColor="background1"/>
                    </w:rPr>
                  </w:pPr>
                  <w:r w:rsidRPr="00D72DC6">
                    <w:rPr>
                      <w:noProof/>
                      <w:color w:val="FFFFFF" w:themeColor="background1"/>
                    </w:rPr>
                    <w:drawing>
                      <wp:inline distT="0" distB="0" distL="0" distR="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w:r>
      <w:r>
        <w:rPr>
          <w:rFonts w:asciiTheme="majorHAnsi" w:hAnsiTheme="majorHAnsi"/>
          <w:noProof/>
          <w:sz w:val="22"/>
          <w:szCs w:val="22"/>
        </w:rPr>
        <w:pict>
          <v:shape id="Text Box 4" o:spid="_x0000_s1032" type="#_x0000_t202" style="position:absolute;left:0;text-align:left;margin-left:-21.45pt;margin-top:72.05pt;width:93pt;height:26.2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9475D2" w:rsidRPr="004B7EB6" w:rsidRDefault="009475D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w:r>
    </w:p>
    <w:p w:rsidR="0070697F" w:rsidRPr="00844736" w:rsidRDefault="0070697F" w:rsidP="005516A1">
      <w:pPr>
        <w:tabs>
          <w:tab w:val="center" w:pos="5400"/>
        </w:tabs>
        <w:suppressAutoHyphens/>
        <w:jc w:val="center"/>
        <w:rPr>
          <w:rFonts w:asciiTheme="majorHAnsi" w:hAnsiTheme="majorHAnsi"/>
          <w:b/>
          <w:sz w:val="20"/>
        </w:rPr>
        <w:sectPr w:rsidR="0070697F" w:rsidRPr="00844736"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722C9F" w:rsidRPr="00844736" w:rsidRDefault="00844736" w:rsidP="00844736">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 xml:space="preserve">REPORT </w:t>
      </w:r>
      <w:r w:rsidR="0069280C">
        <w:rPr>
          <w:rFonts w:asciiTheme="majorHAnsi" w:hAnsiTheme="majorHAnsi"/>
          <w:b/>
          <w:sz w:val="18"/>
          <w:szCs w:val="20"/>
        </w:rPr>
        <w:t>No. 17</w:t>
      </w:r>
      <w:r w:rsidR="00E75999">
        <w:rPr>
          <w:rFonts w:asciiTheme="majorHAnsi" w:hAnsiTheme="majorHAnsi"/>
          <w:b/>
          <w:sz w:val="18"/>
          <w:szCs w:val="20"/>
        </w:rPr>
        <w:t>/16</w:t>
      </w:r>
    </w:p>
    <w:p w:rsidR="00722C9F" w:rsidRPr="00844736" w:rsidRDefault="00844736" w:rsidP="00722C9F">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t>PETITIO</w:t>
      </w:r>
      <w:r w:rsidR="00722C9F" w:rsidRPr="00844736">
        <w:rPr>
          <w:rFonts w:asciiTheme="majorHAnsi" w:hAnsiTheme="majorHAnsi"/>
          <w:b/>
          <w:sz w:val="18"/>
          <w:szCs w:val="20"/>
        </w:rPr>
        <w:t xml:space="preserve">N </w:t>
      </w:r>
      <w:r w:rsidR="00B577E2" w:rsidRPr="00844736">
        <w:rPr>
          <w:rFonts w:asciiTheme="majorHAnsi" w:hAnsiTheme="majorHAnsi"/>
          <w:b/>
          <w:sz w:val="18"/>
          <w:szCs w:val="20"/>
        </w:rPr>
        <w:t>1132-06</w:t>
      </w:r>
      <w:r w:rsidR="00544712" w:rsidRPr="00844736">
        <w:rPr>
          <w:rStyle w:val="FootnoteReference"/>
          <w:rFonts w:asciiTheme="majorHAnsi" w:hAnsiTheme="majorHAnsi"/>
          <w:b/>
          <w:sz w:val="18"/>
          <w:szCs w:val="20"/>
        </w:rPr>
        <w:footnoteReference w:id="2"/>
      </w:r>
    </w:p>
    <w:p w:rsidR="00722C9F" w:rsidRPr="00844736" w:rsidRDefault="006E0457" w:rsidP="00844736">
      <w:pPr>
        <w:tabs>
          <w:tab w:val="center" w:pos="5400"/>
        </w:tabs>
        <w:suppressAutoHyphens/>
        <w:spacing w:line="276" w:lineRule="auto"/>
        <w:jc w:val="center"/>
        <w:rPr>
          <w:rFonts w:asciiTheme="majorHAnsi" w:hAnsiTheme="majorHAnsi"/>
          <w:sz w:val="18"/>
          <w:szCs w:val="20"/>
        </w:rPr>
      </w:pPr>
      <w:r w:rsidRPr="00844736">
        <w:rPr>
          <w:rFonts w:asciiTheme="majorHAnsi" w:hAnsiTheme="majorHAnsi"/>
          <w:sz w:val="18"/>
          <w:szCs w:val="20"/>
        </w:rPr>
        <w:t>ADMIS</w:t>
      </w:r>
      <w:r w:rsidR="00844736">
        <w:rPr>
          <w:rFonts w:asciiTheme="majorHAnsi" w:hAnsiTheme="majorHAnsi"/>
          <w:sz w:val="18"/>
          <w:szCs w:val="20"/>
        </w:rPr>
        <w:t>SIBILITY REPORT</w:t>
      </w:r>
    </w:p>
    <w:p w:rsidR="00722C9F" w:rsidRPr="00844736" w:rsidRDefault="00435466" w:rsidP="00844736">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HORTENSIA</w:t>
      </w:r>
      <w:r w:rsidR="0038413E" w:rsidRPr="00844736">
        <w:rPr>
          <w:rFonts w:asciiTheme="majorHAnsi" w:hAnsiTheme="majorHAnsi"/>
          <w:sz w:val="18"/>
          <w:szCs w:val="20"/>
        </w:rPr>
        <w:t xml:space="preserve"> NEYID TUNJA CUCHUMBE </w:t>
      </w:r>
      <w:r w:rsidR="00844736">
        <w:rPr>
          <w:rFonts w:asciiTheme="majorHAnsi" w:hAnsiTheme="majorHAnsi"/>
          <w:sz w:val="18"/>
          <w:szCs w:val="20"/>
        </w:rPr>
        <w:t xml:space="preserve">ET AL. </w:t>
      </w:r>
    </w:p>
    <w:p w:rsidR="0070697F" w:rsidRPr="00844736" w:rsidRDefault="0038413E" w:rsidP="00722C9F">
      <w:pPr>
        <w:tabs>
          <w:tab w:val="center" w:pos="5400"/>
        </w:tabs>
        <w:suppressAutoHyphens/>
        <w:spacing w:line="276" w:lineRule="auto"/>
        <w:jc w:val="center"/>
        <w:rPr>
          <w:rFonts w:asciiTheme="majorHAnsi" w:hAnsiTheme="majorHAnsi"/>
          <w:sz w:val="18"/>
          <w:szCs w:val="20"/>
        </w:rPr>
      </w:pPr>
      <w:r w:rsidRPr="00844736">
        <w:rPr>
          <w:rFonts w:asciiTheme="majorHAnsi" w:hAnsiTheme="majorHAnsi"/>
          <w:sz w:val="18"/>
          <w:szCs w:val="20"/>
        </w:rPr>
        <w:t>COLOMBIA</w:t>
      </w:r>
    </w:p>
    <w:p w:rsidR="00722C9F" w:rsidRPr="00844736" w:rsidRDefault="0069280C" w:rsidP="00722C9F">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APRIL 15, 2016</w:t>
      </w:r>
    </w:p>
    <w:p w:rsidR="00547D7F" w:rsidRPr="00844736" w:rsidRDefault="00547D7F" w:rsidP="00AE2982">
      <w:pPr>
        <w:tabs>
          <w:tab w:val="center" w:pos="5400"/>
        </w:tabs>
        <w:suppressAutoHyphens/>
        <w:spacing w:line="276" w:lineRule="auto"/>
        <w:rPr>
          <w:rFonts w:asciiTheme="majorHAnsi" w:hAnsiTheme="majorHAnsi"/>
          <w:sz w:val="18"/>
          <w:szCs w:val="20"/>
        </w:rPr>
      </w:pPr>
    </w:p>
    <w:p w:rsidR="0063685A" w:rsidRPr="00844736" w:rsidRDefault="0063685A" w:rsidP="00844736">
      <w:pPr>
        <w:spacing w:after="240"/>
        <w:ind w:firstLine="720"/>
        <w:jc w:val="both"/>
        <w:rPr>
          <w:rFonts w:asciiTheme="majorHAnsi" w:hAnsiTheme="majorHAnsi"/>
          <w:b/>
          <w:bCs/>
          <w:sz w:val="20"/>
          <w:szCs w:val="20"/>
        </w:rPr>
      </w:pPr>
      <w:r w:rsidRPr="00844736">
        <w:rPr>
          <w:rFonts w:asciiTheme="majorHAnsi" w:hAnsiTheme="majorHAnsi"/>
          <w:b/>
          <w:bCs/>
          <w:sz w:val="20"/>
          <w:szCs w:val="20"/>
        </w:rPr>
        <w:t>I.</w:t>
      </w:r>
      <w:r w:rsidRPr="00844736">
        <w:rPr>
          <w:rFonts w:asciiTheme="majorHAnsi" w:hAnsiTheme="majorHAnsi"/>
          <w:b/>
          <w:bCs/>
          <w:sz w:val="20"/>
          <w:szCs w:val="20"/>
        </w:rPr>
        <w:tab/>
        <w:t>SUM</w:t>
      </w:r>
      <w:r w:rsidR="00844736">
        <w:rPr>
          <w:rFonts w:asciiTheme="majorHAnsi" w:hAnsiTheme="majorHAnsi"/>
          <w:b/>
          <w:bCs/>
          <w:sz w:val="20"/>
          <w:szCs w:val="20"/>
        </w:rPr>
        <w:t xml:space="preserve">MARY </w:t>
      </w:r>
    </w:p>
    <w:p w:rsidR="00547D7F" w:rsidRPr="00844736" w:rsidRDefault="00844736" w:rsidP="00C801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On October </w:t>
      </w:r>
      <w:r w:rsidR="008E79BF" w:rsidRPr="00844736">
        <w:rPr>
          <w:rFonts w:asciiTheme="majorHAnsi" w:hAnsiTheme="majorHAnsi"/>
          <w:sz w:val="20"/>
          <w:szCs w:val="20"/>
        </w:rPr>
        <w:t>19</w:t>
      </w:r>
      <w:r>
        <w:rPr>
          <w:rFonts w:asciiTheme="majorHAnsi" w:hAnsiTheme="majorHAnsi"/>
          <w:sz w:val="20"/>
          <w:szCs w:val="20"/>
        </w:rPr>
        <w:t>,</w:t>
      </w:r>
      <w:r w:rsidR="008E79BF" w:rsidRPr="00844736">
        <w:rPr>
          <w:rFonts w:asciiTheme="majorHAnsi" w:hAnsiTheme="majorHAnsi"/>
          <w:sz w:val="20"/>
          <w:szCs w:val="20"/>
        </w:rPr>
        <w:t xml:space="preserve"> 2006</w:t>
      </w:r>
      <w:r>
        <w:rPr>
          <w:rFonts w:asciiTheme="majorHAnsi" w:hAnsiTheme="majorHAnsi"/>
          <w:sz w:val="20"/>
          <w:szCs w:val="20"/>
        </w:rPr>
        <w:t>, the Inter-American Commission on Human Rights (hereinafter “the Inter-American Commission,” “the Commission,” or “the IACHR”)</w:t>
      </w:r>
      <w:r w:rsidR="0063685A" w:rsidRPr="00844736">
        <w:rPr>
          <w:rFonts w:asciiTheme="majorHAnsi" w:hAnsiTheme="majorHAnsi"/>
          <w:sz w:val="20"/>
          <w:szCs w:val="20"/>
        </w:rPr>
        <w:t xml:space="preserve"> rec</w:t>
      </w:r>
      <w:r>
        <w:rPr>
          <w:rFonts w:asciiTheme="majorHAnsi" w:hAnsiTheme="majorHAnsi"/>
          <w:sz w:val="20"/>
          <w:szCs w:val="20"/>
        </w:rPr>
        <w:t>eived a petition filed by the C</w:t>
      </w:r>
      <w:r w:rsidR="00FC547C" w:rsidRPr="00844736">
        <w:rPr>
          <w:rFonts w:asciiTheme="majorHAnsi" w:hAnsiTheme="majorHAnsi"/>
          <w:sz w:val="20"/>
          <w:szCs w:val="20"/>
        </w:rPr>
        <w:t>omisión Intereclesial de Justicia y Paz (</w:t>
      </w:r>
      <w:r>
        <w:rPr>
          <w:rFonts w:asciiTheme="majorHAnsi" w:hAnsiTheme="majorHAnsi"/>
          <w:sz w:val="20"/>
          <w:szCs w:val="20"/>
        </w:rPr>
        <w:t xml:space="preserve">hereinafter </w:t>
      </w:r>
      <w:r w:rsidR="00FC547C" w:rsidRPr="00844736">
        <w:rPr>
          <w:rFonts w:asciiTheme="majorHAnsi" w:hAnsiTheme="majorHAnsi"/>
          <w:sz w:val="20"/>
          <w:szCs w:val="20"/>
        </w:rPr>
        <w:t>“</w:t>
      </w:r>
      <w:r>
        <w:rPr>
          <w:rFonts w:asciiTheme="majorHAnsi" w:hAnsiTheme="majorHAnsi"/>
          <w:sz w:val="20"/>
          <w:szCs w:val="20"/>
        </w:rPr>
        <w:t>the petitioners</w:t>
      </w:r>
      <w:r w:rsidR="0063685A" w:rsidRPr="00844736">
        <w:rPr>
          <w:rFonts w:asciiTheme="majorHAnsi" w:hAnsiTheme="majorHAnsi"/>
          <w:sz w:val="20"/>
          <w:szCs w:val="20"/>
        </w:rPr>
        <w:t xml:space="preserve">”) </w:t>
      </w:r>
      <w:r>
        <w:rPr>
          <w:rFonts w:asciiTheme="majorHAnsi" w:hAnsiTheme="majorHAnsi"/>
          <w:sz w:val="20"/>
          <w:szCs w:val="20"/>
        </w:rPr>
        <w:t xml:space="preserve">against the State of </w:t>
      </w:r>
      <w:r w:rsidR="00FC547C" w:rsidRPr="00844736">
        <w:rPr>
          <w:rFonts w:asciiTheme="majorHAnsi" w:hAnsiTheme="majorHAnsi"/>
          <w:sz w:val="20"/>
          <w:szCs w:val="20"/>
        </w:rPr>
        <w:t>Colombia</w:t>
      </w:r>
      <w:r w:rsidR="0063685A" w:rsidRPr="00844736">
        <w:rPr>
          <w:rFonts w:asciiTheme="majorHAnsi" w:hAnsiTheme="majorHAnsi"/>
          <w:sz w:val="20"/>
          <w:szCs w:val="20"/>
        </w:rPr>
        <w:t xml:space="preserve"> (</w:t>
      </w:r>
      <w:r>
        <w:rPr>
          <w:rFonts w:asciiTheme="majorHAnsi" w:hAnsiTheme="majorHAnsi"/>
          <w:sz w:val="20"/>
          <w:szCs w:val="20"/>
        </w:rPr>
        <w:t xml:space="preserve">hereinafter </w:t>
      </w:r>
      <w:r w:rsidR="0063685A" w:rsidRPr="00844736">
        <w:rPr>
          <w:rFonts w:asciiTheme="majorHAnsi" w:hAnsiTheme="majorHAnsi"/>
          <w:sz w:val="20"/>
          <w:szCs w:val="20"/>
        </w:rPr>
        <w:t>“</w:t>
      </w:r>
      <w:r w:rsidR="00FC547C" w:rsidRPr="00844736">
        <w:rPr>
          <w:rFonts w:asciiTheme="majorHAnsi" w:hAnsiTheme="majorHAnsi"/>
          <w:sz w:val="20"/>
          <w:szCs w:val="20"/>
        </w:rPr>
        <w:t>Colombia</w:t>
      </w:r>
      <w:r w:rsidR="0063685A" w:rsidRPr="00844736">
        <w:rPr>
          <w:rFonts w:asciiTheme="majorHAnsi" w:hAnsiTheme="majorHAnsi"/>
          <w:sz w:val="20"/>
          <w:szCs w:val="20"/>
        </w:rPr>
        <w:t>” o</w:t>
      </w:r>
      <w:r>
        <w:rPr>
          <w:rFonts w:asciiTheme="majorHAnsi" w:hAnsiTheme="majorHAnsi"/>
          <w:sz w:val="20"/>
          <w:szCs w:val="20"/>
        </w:rPr>
        <w:t>r</w:t>
      </w:r>
      <w:r w:rsidR="0063685A" w:rsidRPr="00844736">
        <w:rPr>
          <w:rFonts w:asciiTheme="majorHAnsi" w:hAnsiTheme="majorHAnsi"/>
          <w:sz w:val="20"/>
          <w:szCs w:val="20"/>
        </w:rPr>
        <w:t xml:space="preserve"> “</w:t>
      </w:r>
      <w:r>
        <w:rPr>
          <w:rFonts w:asciiTheme="majorHAnsi" w:hAnsiTheme="majorHAnsi"/>
          <w:sz w:val="20"/>
          <w:szCs w:val="20"/>
        </w:rPr>
        <w:t>the State</w:t>
      </w:r>
      <w:r w:rsidR="0063685A" w:rsidRPr="00844736">
        <w:rPr>
          <w:rFonts w:asciiTheme="majorHAnsi" w:hAnsiTheme="majorHAnsi"/>
          <w:sz w:val="20"/>
          <w:szCs w:val="20"/>
        </w:rPr>
        <w:t xml:space="preserve">”). </w:t>
      </w:r>
      <w:r>
        <w:rPr>
          <w:rFonts w:asciiTheme="majorHAnsi" w:hAnsiTheme="majorHAnsi"/>
          <w:sz w:val="20"/>
          <w:szCs w:val="20"/>
        </w:rPr>
        <w:t xml:space="preserve">The petition was filed in representation of </w:t>
      </w:r>
      <w:r w:rsidR="00435466">
        <w:rPr>
          <w:rFonts w:asciiTheme="majorHAnsi" w:hAnsiTheme="majorHAnsi"/>
          <w:sz w:val="20"/>
          <w:szCs w:val="20"/>
        </w:rPr>
        <w:t>Hortensia</w:t>
      </w:r>
      <w:r w:rsidR="00FC547C" w:rsidRPr="00844736">
        <w:rPr>
          <w:rFonts w:asciiTheme="majorHAnsi" w:hAnsiTheme="majorHAnsi"/>
          <w:sz w:val="20"/>
          <w:szCs w:val="20"/>
        </w:rPr>
        <w:t xml:space="preserve"> Neyid Tunja Cuchumbe, Manuel Antonio Tao Pillimué</w:t>
      </w:r>
      <w:r>
        <w:rPr>
          <w:rFonts w:asciiTheme="majorHAnsi" w:hAnsiTheme="majorHAnsi"/>
          <w:sz w:val="20"/>
          <w:szCs w:val="20"/>
        </w:rPr>
        <w:t xml:space="preserve">, and </w:t>
      </w:r>
      <w:r w:rsidR="00FC547C" w:rsidRPr="00844736">
        <w:rPr>
          <w:rFonts w:asciiTheme="majorHAnsi" w:hAnsiTheme="majorHAnsi"/>
          <w:sz w:val="20"/>
          <w:szCs w:val="20"/>
        </w:rPr>
        <w:t xml:space="preserve">Willian José Cunacue Medina </w:t>
      </w:r>
      <w:r w:rsidR="0063685A" w:rsidRPr="00844736">
        <w:rPr>
          <w:rFonts w:asciiTheme="majorHAnsi" w:hAnsiTheme="majorHAnsi"/>
          <w:sz w:val="20"/>
          <w:szCs w:val="20"/>
        </w:rPr>
        <w:t>(</w:t>
      </w:r>
      <w:r>
        <w:rPr>
          <w:rFonts w:asciiTheme="majorHAnsi" w:hAnsiTheme="majorHAnsi"/>
          <w:sz w:val="20"/>
          <w:szCs w:val="20"/>
        </w:rPr>
        <w:t>hereinafter</w:t>
      </w:r>
      <w:r w:rsidR="0063685A" w:rsidRPr="00844736">
        <w:rPr>
          <w:rFonts w:asciiTheme="majorHAnsi" w:hAnsiTheme="majorHAnsi"/>
          <w:sz w:val="20"/>
          <w:szCs w:val="20"/>
        </w:rPr>
        <w:t xml:space="preserve"> “</w:t>
      </w:r>
      <w:r>
        <w:rPr>
          <w:rFonts w:asciiTheme="majorHAnsi" w:hAnsiTheme="majorHAnsi"/>
          <w:sz w:val="20"/>
          <w:szCs w:val="20"/>
        </w:rPr>
        <w:t>the alleged victims</w:t>
      </w:r>
      <w:r w:rsidR="00FC547C" w:rsidRPr="00844736">
        <w:rPr>
          <w:rFonts w:asciiTheme="majorHAnsi" w:hAnsiTheme="majorHAnsi"/>
          <w:sz w:val="20"/>
          <w:szCs w:val="20"/>
        </w:rPr>
        <w:t>”</w:t>
      </w:r>
      <w:r w:rsidR="0063685A" w:rsidRPr="00844736">
        <w:rPr>
          <w:rFonts w:asciiTheme="majorHAnsi" w:hAnsiTheme="majorHAnsi"/>
          <w:sz w:val="20"/>
          <w:szCs w:val="20"/>
        </w:rPr>
        <w:t>)</w:t>
      </w:r>
      <w:r w:rsidR="008E79BF" w:rsidRPr="00844736">
        <w:rPr>
          <w:rFonts w:asciiTheme="majorHAnsi" w:hAnsiTheme="majorHAnsi"/>
          <w:sz w:val="20"/>
          <w:szCs w:val="20"/>
        </w:rPr>
        <w:t xml:space="preserve">, </w:t>
      </w:r>
      <w:r>
        <w:rPr>
          <w:rFonts w:asciiTheme="majorHAnsi" w:hAnsiTheme="majorHAnsi"/>
          <w:sz w:val="20"/>
          <w:szCs w:val="20"/>
        </w:rPr>
        <w:t>as well as their next-of-kin, for the alleged extrajudicial execution of the first two, a</w:t>
      </w:r>
      <w:r w:rsidR="009402AA">
        <w:rPr>
          <w:rFonts w:asciiTheme="majorHAnsi" w:hAnsiTheme="majorHAnsi"/>
          <w:sz w:val="20"/>
          <w:szCs w:val="20"/>
        </w:rPr>
        <w:t xml:space="preserve">nd the grievous </w:t>
      </w:r>
      <w:r>
        <w:rPr>
          <w:rFonts w:asciiTheme="majorHAnsi" w:hAnsiTheme="majorHAnsi"/>
          <w:sz w:val="20"/>
          <w:szCs w:val="20"/>
        </w:rPr>
        <w:t xml:space="preserve">injuries inflicted on </w:t>
      </w:r>
      <w:r w:rsidR="00C80141">
        <w:rPr>
          <w:rFonts w:asciiTheme="majorHAnsi" w:hAnsiTheme="majorHAnsi"/>
          <w:sz w:val="20"/>
          <w:szCs w:val="20"/>
        </w:rPr>
        <w:t>Willian</w:t>
      </w:r>
      <w:r w:rsidR="00B47A60" w:rsidRPr="00844736">
        <w:rPr>
          <w:rFonts w:asciiTheme="majorHAnsi" w:hAnsiTheme="majorHAnsi"/>
          <w:sz w:val="20"/>
          <w:szCs w:val="20"/>
        </w:rPr>
        <w:t xml:space="preserve"> </w:t>
      </w:r>
      <w:r w:rsidR="00D10221" w:rsidRPr="00844736">
        <w:rPr>
          <w:rFonts w:asciiTheme="majorHAnsi" w:hAnsiTheme="majorHAnsi"/>
          <w:sz w:val="20"/>
          <w:szCs w:val="20"/>
        </w:rPr>
        <w:t>José Cunacue</w:t>
      </w:r>
      <w:r w:rsidR="00830420" w:rsidRPr="00844736">
        <w:rPr>
          <w:rFonts w:asciiTheme="majorHAnsi" w:hAnsiTheme="majorHAnsi"/>
          <w:sz w:val="20"/>
          <w:szCs w:val="20"/>
        </w:rPr>
        <w:t xml:space="preserve">, </w:t>
      </w:r>
      <w:r>
        <w:rPr>
          <w:rFonts w:asciiTheme="majorHAnsi" w:hAnsiTheme="majorHAnsi"/>
          <w:sz w:val="20"/>
          <w:szCs w:val="20"/>
        </w:rPr>
        <w:t xml:space="preserve">as well as the purported failure to investigate, punish those responsible, and </w:t>
      </w:r>
      <w:r w:rsidR="00883C0A">
        <w:rPr>
          <w:rFonts w:asciiTheme="majorHAnsi" w:hAnsiTheme="majorHAnsi"/>
          <w:sz w:val="20"/>
          <w:szCs w:val="20"/>
        </w:rPr>
        <w:t>provide a comprehensive</w:t>
      </w:r>
      <w:r>
        <w:rPr>
          <w:rFonts w:asciiTheme="majorHAnsi" w:hAnsiTheme="majorHAnsi"/>
          <w:sz w:val="20"/>
          <w:szCs w:val="20"/>
        </w:rPr>
        <w:t xml:space="preserve"> reparation for </w:t>
      </w:r>
      <w:r w:rsidR="00883C0A">
        <w:rPr>
          <w:rFonts w:asciiTheme="majorHAnsi" w:hAnsiTheme="majorHAnsi"/>
          <w:sz w:val="20"/>
          <w:szCs w:val="20"/>
        </w:rPr>
        <w:t>the alleged facts</w:t>
      </w:r>
      <w:r>
        <w:rPr>
          <w:rFonts w:asciiTheme="majorHAnsi" w:hAnsiTheme="majorHAnsi"/>
          <w:sz w:val="20"/>
          <w:szCs w:val="20"/>
        </w:rPr>
        <w:t xml:space="preserve">. </w:t>
      </w:r>
    </w:p>
    <w:p w:rsidR="00B47A60" w:rsidRPr="00844736" w:rsidRDefault="00B47A60" w:rsidP="007B004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3D0297" w:rsidRPr="00844736" w:rsidRDefault="00844736" w:rsidP="00C801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SimSun" w:hAnsiTheme="majorHAnsi"/>
          <w:sz w:val="20"/>
          <w:szCs w:val="20"/>
        </w:rPr>
      </w:pPr>
      <w:r>
        <w:rPr>
          <w:rFonts w:asciiTheme="majorHAnsi" w:hAnsiTheme="majorHAnsi"/>
          <w:sz w:val="20"/>
          <w:szCs w:val="20"/>
        </w:rPr>
        <w:t xml:space="preserve">The petitioners argue that </w:t>
      </w:r>
      <w:r w:rsidR="00435466">
        <w:rPr>
          <w:rFonts w:asciiTheme="majorHAnsi" w:hAnsiTheme="majorHAnsi"/>
          <w:sz w:val="20"/>
          <w:szCs w:val="20"/>
        </w:rPr>
        <w:t>Hortensia</w:t>
      </w:r>
      <w:r w:rsidR="008C2F70" w:rsidRPr="00844736">
        <w:rPr>
          <w:rFonts w:asciiTheme="majorHAnsi" w:hAnsiTheme="majorHAnsi"/>
          <w:sz w:val="20"/>
          <w:szCs w:val="20"/>
        </w:rPr>
        <w:t xml:space="preserve"> Neyid Tunja Cuchumbe,</w:t>
      </w:r>
      <w:r w:rsidR="005F33CF" w:rsidRPr="00844736">
        <w:rPr>
          <w:rFonts w:asciiTheme="majorHAnsi" w:hAnsiTheme="majorHAnsi"/>
          <w:sz w:val="20"/>
          <w:szCs w:val="20"/>
        </w:rPr>
        <w:t xml:space="preserve"> 17 </w:t>
      </w:r>
      <w:r>
        <w:rPr>
          <w:rFonts w:asciiTheme="majorHAnsi" w:hAnsiTheme="majorHAnsi"/>
          <w:sz w:val="20"/>
          <w:szCs w:val="20"/>
        </w:rPr>
        <w:t xml:space="preserve">years old, and </w:t>
      </w:r>
      <w:r w:rsidR="008C2F70" w:rsidRPr="00844736">
        <w:rPr>
          <w:rFonts w:asciiTheme="majorHAnsi" w:hAnsiTheme="majorHAnsi"/>
          <w:sz w:val="20"/>
          <w:szCs w:val="20"/>
        </w:rPr>
        <w:t>Manuel Antonio Tao Pillimué</w:t>
      </w:r>
      <w:r w:rsidR="001F2E7D" w:rsidRPr="00844736">
        <w:rPr>
          <w:rFonts w:asciiTheme="majorHAnsi" w:hAnsiTheme="majorHAnsi"/>
          <w:sz w:val="20"/>
          <w:szCs w:val="20"/>
        </w:rPr>
        <w:t>,</w:t>
      </w:r>
      <w:r w:rsidR="007B0047" w:rsidRPr="00844736">
        <w:rPr>
          <w:rFonts w:asciiTheme="majorHAnsi" w:hAnsiTheme="majorHAnsi"/>
          <w:sz w:val="20"/>
          <w:szCs w:val="20"/>
        </w:rPr>
        <w:t xml:space="preserve"> </w:t>
      </w:r>
      <w:r>
        <w:rPr>
          <w:rFonts w:asciiTheme="majorHAnsi" w:hAnsiTheme="majorHAnsi"/>
          <w:sz w:val="20"/>
          <w:szCs w:val="20"/>
        </w:rPr>
        <w:t xml:space="preserve">were executed by members of the Army who altered the crime scene and changed the clothes </w:t>
      </w:r>
      <w:r w:rsidR="00C80141">
        <w:rPr>
          <w:rFonts w:asciiTheme="majorHAnsi" w:hAnsiTheme="majorHAnsi"/>
          <w:sz w:val="20"/>
          <w:szCs w:val="20"/>
        </w:rPr>
        <w:t xml:space="preserve">that both </w:t>
      </w:r>
      <w:r>
        <w:rPr>
          <w:rFonts w:asciiTheme="majorHAnsi" w:hAnsiTheme="majorHAnsi"/>
          <w:sz w:val="20"/>
          <w:szCs w:val="20"/>
        </w:rPr>
        <w:t xml:space="preserve">were wearing so as to be able to report them as guerrillas killed in combat, and that </w:t>
      </w:r>
      <w:r w:rsidR="007B0047" w:rsidRPr="00844736">
        <w:rPr>
          <w:rFonts w:asciiTheme="majorHAnsi" w:hAnsiTheme="majorHAnsi"/>
          <w:sz w:val="20"/>
          <w:szCs w:val="20"/>
        </w:rPr>
        <w:t>Willian José Cunacue Medina</w:t>
      </w:r>
      <w:r>
        <w:rPr>
          <w:rFonts w:asciiTheme="majorHAnsi" w:hAnsiTheme="majorHAnsi"/>
          <w:sz w:val="20"/>
          <w:szCs w:val="20"/>
        </w:rPr>
        <w:t xml:space="preserve"> was </w:t>
      </w:r>
      <w:r w:rsidR="009402AA">
        <w:rPr>
          <w:rFonts w:asciiTheme="majorHAnsi" w:hAnsiTheme="majorHAnsi"/>
          <w:sz w:val="20"/>
          <w:szCs w:val="20"/>
        </w:rPr>
        <w:t>grievously i</w:t>
      </w:r>
      <w:r>
        <w:rPr>
          <w:rFonts w:asciiTheme="majorHAnsi" w:hAnsiTheme="majorHAnsi"/>
          <w:sz w:val="20"/>
          <w:szCs w:val="20"/>
        </w:rPr>
        <w:t>njured in the same facts, and that he was able to flee, a</w:t>
      </w:r>
      <w:r w:rsidR="009402AA">
        <w:rPr>
          <w:rFonts w:asciiTheme="majorHAnsi" w:hAnsiTheme="majorHAnsi"/>
          <w:sz w:val="20"/>
          <w:szCs w:val="20"/>
        </w:rPr>
        <w:t>nd was later detained without a</w:t>
      </w:r>
      <w:r>
        <w:rPr>
          <w:rFonts w:asciiTheme="majorHAnsi" w:hAnsiTheme="majorHAnsi"/>
          <w:sz w:val="20"/>
          <w:szCs w:val="20"/>
        </w:rPr>
        <w:t xml:space="preserve"> judicial warrant and prosecuted for the crime of rebellion (</w:t>
      </w:r>
      <w:r w:rsidR="001F2E7D" w:rsidRPr="00844736">
        <w:rPr>
          <w:rFonts w:asciiTheme="majorHAnsi" w:hAnsiTheme="majorHAnsi"/>
          <w:i/>
          <w:iCs/>
          <w:sz w:val="20"/>
          <w:szCs w:val="20"/>
        </w:rPr>
        <w:t>rebelión</w:t>
      </w:r>
      <w:r>
        <w:rPr>
          <w:rFonts w:asciiTheme="majorHAnsi" w:hAnsiTheme="majorHAnsi"/>
          <w:sz w:val="20"/>
          <w:szCs w:val="20"/>
        </w:rPr>
        <w:t>)</w:t>
      </w:r>
      <w:r w:rsidR="001F2E7D" w:rsidRPr="00844736">
        <w:rPr>
          <w:rFonts w:asciiTheme="majorHAnsi" w:hAnsiTheme="majorHAnsi"/>
          <w:sz w:val="20"/>
          <w:szCs w:val="20"/>
        </w:rPr>
        <w:t xml:space="preserve">. </w:t>
      </w:r>
      <w:r>
        <w:rPr>
          <w:rFonts w:asciiTheme="majorHAnsi" w:hAnsiTheme="majorHAnsi"/>
          <w:sz w:val="20"/>
          <w:szCs w:val="20"/>
        </w:rPr>
        <w:t>They argue that the State has not fulfilled its obligations to investigate</w:t>
      </w:r>
      <w:r w:rsidR="00321AB6" w:rsidRPr="00844736">
        <w:rPr>
          <w:rFonts w:asciiTheme="majorHAnsi" w:hAnsiTheme="majorHAnsi"/>
          <w:sz w:val="20"/>
          <w:szCs w:val="20"/>
        </w:rPr>
        <w:t xml:space="preserve">, </w:t>
      </w:r>
      <w:r>
        <w:rPr>
          <w:rFonts w:asciiTheme="majorHAnsi" w:hAnsiTheme="majorHAnsi"/>
          <w:sz w:val="20"/>
          <w:szCs w:val="20"/>
        </w:rPr>
        <w:t xml:space="preserve">punish, and </w:t>
      </w:r>
      <w:r w:rsidR="00A81F23">
        <w:rPr>
          <w:rFonts w:asciiTheme="majorHAnsi" w:hAnsiTheme="majorHAnsi"/>
          <w:sz w:val="20"/>
          <w:szCs w:val="20"/>
        </w:rPr>
        <w:t xml:space="preserve">provide </w:t>
      </w:r>
      <w:r w:rsidR="00120934">
        <w:rPr>
          <w:rFonts w:asciiTheme="majorHAnsi" w:hAnsiTheme="majorHAnsi"/>
          <w:sz w:val="20"/>
          <w:szCs w:val="20"/>
        </w:rPr>
        <w:t>reparation</w:t>
      </w:r>
      <w:r>
        <w:rPr>
          <w:rFonts w:asciiTheme="majorHAnsi" w:hAnsiTheme="majorHAnsi"/>
          <w:sz w:val="20"/>
          <w:szCs w:val="20"/>
        </w:rPr>
        <w:t xml:space="preserve"> with respect to the facts alleged, in particular with respect to the criminal proceeding</w:t>
      </w:r>
      <w:r w:rsidR="000C27BE" w:rsidRPr="00844736">
        <w:rPr>
          <w:rFonts w:asciiTheme="majorHAnsi" w:hAnsiTheme="majorHAnsi"/>
          <w:sz w:val="20"/>
          <w:szCs w:val="20"/>
        </w:rPr>
        <w:t xml:space="preserve">, </w:t>
      </w:r>
      <w:r>
        <w:rPr>
          <w:rFonts w:asciiTheme="majorHAnsi" w:hAnsiTheme="majorHAnsi"/>
          <w:sz w:val="20"/>
          <w:szCs w:val="20"/>
        </w:rPr>
        <w:t xml:space="preserve">which has not yet concluded. </w:t>
      </w:r>
    </w:p>
    <w:p w:rsidR="003D0297" w:rsidRPr="00844736" w:rsidRDefault="003D0297" w:rsidP="003D0297">
      <w:pPr>
        <w:pStyle w:val="ListParagraph"/>
        <w:rPr>
          <w:rFonts w:asciiTheme="majorHAnsi" w:eastAsia="SimSun" w:hAnsiTheme="majorHAnsi"/>
          <w:sz w:val="20"/>
          <w:szCs w:val="20"/>
        </w:rPr>
      </w:pPr>
    </w:p>
    <w:p w:rsidR="0063685A" w:rsidRPr="00844736" w:rsidRDefault="00844736" w:rsidP="00C801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SimSun" w:hAnsiTheme="majorHAnsi"/>
          <w:sz w:val="20"/>
          <w:szCs w:val="20"/>
        </w:rPr>
      </w:pPr>
      <w:r>
        <w:rPr>
          <w:rFonts w:asciiTheme="majorHAnsi" w:eastAsia="SimSun" w:hAnsiTheme="majorHAnsi"/>
          <w:sz w:val="20"/>
          <w:szCs w:val="20"/>
        </w:rPr>
        <w:t>The State argues that the petition is inadmissible on grounds that the alleged victims’ representatives failed to exhaust remedies before the criminal justice system</w:t>
      </w:r>
      <w:r w:rsidR="00CF79E0" w:rsidRPr="00844736">
        <w:rPr>
          <w:rFonts w:asciiTheme="majorHAnsi" w:eastAsia="SimSun" w:hAnsiTheme="majorHAnsi"/>
          <w:sz w:val="20"/>
          <w:szCs w:val="20"/>
        </w:rPr>
        <w:t>,</w:t>
      </w:r>
      <w:r w:rsidR="00D00E04" w:rsidRPr="00844736">
        <w:rPr>
          <w:rFonts w:asciiTheme="majorHAnsi" w:eastAsia="SimSun" w:hAnsiTheme="majorHAnsi"/>
          <w:sz w:val="20"/>
          <w:szCs w:val="20"/>
        </w:rPr>
        <w:t xml:space="preserve"> </w:t>
      </w:r>
      <w:r w:rsidR="009402AA">
        <w:rPr>
          <w:rFonts w:asciiTheme="majorHAnsi" w:eastAsia="SimSun" w:hAnsiTheme="majorHAnsi"/>
          <w:sz w:val="20"/>
          <w:szCs w:val="20"/>
        </w:rPr>
        <w:t xml:space="preserve">as </w:t>
      </w:r>
      <w:r>
        <w:rPr>
          <w:rFonts w:asciiTheme="majorHAnsi" w:eastAsia="SimSun" w:hAnsiTheme="majorHAnsi"/>
          <w:sz w:val="20"/>
          <w:szCs w:val="20"/>
        </w:rPr>
        <w:t xml:space="preserve">there is a proceeding pending, and that as regards the processing before the contentious-administrative jurisdiction, the matter was resolved in favor of </w:t>
      </w:r>
      <w:r w:rsidR="000E1C80">
        <w:rPr>
          <w:rFonts w:asciiTheme="majorHAnsi" w:eastAsia="SimSun" w:hAnsiTheme="majorHAnsi"/>
          <w:sz w:val="20"/>
          <w:szCs w:val="20"/>
        </w:rPr>
        <w:t>the alleged victims</w:t>
      </w:r>
      <w:r w:rsidR="009402AA">
        <w:rPr>
          <w:rFonts w:asciiTheme="majorHAnsi" w:eastAsia="SimSun" w:hAnsiTheme="majorHAnsi"/>
          <w:sz w:val="20"/>
          <w:szCs w:val="20"/>
        </w:rPr>
        <w:t>’ family members</w:t>
      </w:r>
      <w:r w:rsidR="000E1C80">
        <w:rPr>
          <w:rFonts w:asciiTheme="majorHAnsi" w:eastAsia="SimSun" w:hAnsiTheme="majorHAnsi"/>
          <w:sz w:val="20"/>
          <w:szCs w:val="20"/>
        </w:rPr>
        <w:t>. A</w:t>
      </w:r>
      <w:r>
        <w:rPr>
          <w:rFonts w:asciiTheme="majorHAnsi" w:eastAsia="SimSun" w:hAnsiTheme="majorHAnsi"/>
          <w:sz w:val="20"/>
          <w:szCs w:val="20"/>
        </w:rPr>
        <w:t>ccordingly</w:t>
      </w:r>
      <w:r w:rsidR="000E1C80">
        <w:rPr>
          <w:rFonts w:asciiTheme="majorHAnsi" w:eastAsia="SimSun" w:hAnsiTheme="majorHAnsi"/>
          <w:sz w:val="20"/>
          <w:szCs w:val="20"/>
        </w:rPr>
        <w:t xml:space="preserve">, </w:t>
      </w:r>
      <w:r w:rsidR="00C80141">
        <w:rPr>
          <w:rFonts w:asciiTheme="majorHAnsi" w:eastAsia="SimSun" w:hAnsiTheme="majorHAnsi"/>
          <w:sz w:val="20"/>
          <w:szCs w:val="20"/>
        </w:rPr>
        <w:t xml:space="preserve">it argues, </w:t>
      </w:r>
      <w:r w:rsidR="000E1C80">
        <w:rPr>
          <w:rFonts w:asciiTheme="majorHAnsi" w:eastAsia="SimSun" w:hAnsiTheme="majorHAnsi"/>
          <w:sz w:val="20"/>
          <w:szCs w:val="20"/>
        </w:rPr>
        <w:t xml:space="preserve">petitioners </w:t>
      </w:r>
      <w:r w:rsidR="00C80141">
        <w:rPr>
          <w:rFonts w:asciiTheme="majorHAnsi" w:eastAsia="SimSun" w:hAnsiTheme="majorHAnsi"/>
          <w:sz w:val="20"/>
          <w:szCs w:val="20"/>
        </w:rPr>
        <w:t xml:space="preserve">are </w:t>
      </w:r>
      <w:r w:rsidR="000E1C80">
        <w:rPr>
          <w:rFonts w:asciiTheme="majorHAnsi" w:eastAsia="SimSun" w:hAnsiTheme="majorHAnsi"/>
          <w:sz w:val="20"/>
          <w:szCs w:val="20"/>
        </w:rPr>
        <w:t xml:space="preserve">seeking to turn to the Commission as a court of fourth instance, </w:t>
      </w:r>
      <w:r w:rsidR="009402AA">
        <w:rPr>
          <w:rFonts w:asciiTheme="majorHAnsi" w:eastAsia="SimSun" w:hAnsiTheme="majorHAnsi"/>
          <w:sz w:val="20"/>
          <w:szCs w:val="20"/>
        </w:rPr>
        <w:t xml:space="preserve">or court of appeals, </w:t>
      </w:r>
      <w:r w:rsidR="000E1C80">
        <w:rPr>
          <w:rFonts w:asciiTheme="majorHAnsi" w:eastAsia="SimSun" w:hAnsiTheme="majorHAnsi"/>
          <w:sz w:val="20"/>
          <w:szCs w:val="20"/>
        </w:rPr>
        <w:t xml:space="preserve">which is not admissible.  </w:t>
      </w:r>
    </w:p>
    <w:p w:rsidR="00547D7F" w:rsidRPr="00844736" w:rsidRDefault="00547D7F"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p>
    <w:p w:rsidR="00787F1E" w:rsidRPr="00844736" w:rsidRDefault="000E1C80" w:rsidP="000E1C8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Without prejudging on the merits</w:t>
      </w:r>
      <w:r w:rsidR="00C17BCC">
        <w:rPr>
          <w:rFonts w:asciiTheme="majorHAnsi" w:hAnsiTheme="majorHAnsi"/>
          <w:sz w:val="20"/>
          <w:szCs w:val="20"/>
        </w:rPr>
        <w:t xml:space="preserve"> of the complaint</w:t>
      </w:r>
      <w:r>
        <w:rPr>
          <w:rFonts w:asciiTheme="majorHAnsi" w:hAnsiTheme="majorHAnsi"/>
          <w:sz w:val="20"/>
          <w:szCs w:val="20"/>
        </w:rPr>
        <w:t xml:space="preserve">, after analyzing the parties’ positions, and </w:t>
      </w:r>
      <w:r w:rsidR="00F5010E">
        <w:rPr>
          <w:rFonts w:asciiTheme="majorHAnsi" w:hAnsiTheme="majorHAnsi"/>
          <w:sz w:val="20"/>
          <w:szCs w:val="20"/>
        </w:rPr>
        <w:t xml:space="preserve">pursuant to </w:t>
      </w:r>
      <w:r>
        <w:rPr>
          <w:rFonts w:asciiTheme="majorHAnsi" w:hAnsiTheme="majorHAnsi"/>
          <w:sz w:val="20"/>
          <w:szCs w:val="20"/>
        </w:rPr>
        <w:t xml:space="preserve">the requirements set forth </w:t>
      </w:r>
      <w:r w:rsidR="00F5010E">
        <w:rPr>
          <w:rFonts w:asciiTheme="majorHAnsi" w:hAnsiTheme="majorHAnsi"/>
          <w:sz w:val="20"/>
          <w:szCs w:val="20"/>
        </w:rPr>
        <w:t>in</w:t>
      </w:r>
      <w:r>
        <w:rPr>
          <w:rFonts w:asciiTheme="majorHAnsi" w:hAnsiTheme="majorHAnsi"/>
          <w:sz w:val="20"/>
          <w:szCs w:val="20"/>
        </w:rPr>
        <w:t xml:space="preserve"> Articles </w:t>
      </w:r>
      <w:r w:rsidR="0063685A" w:rsidRPr="00844736">
        <w:rPr>
          <w:rFonts w:asciiTheme="majorHAnsi" w:hAnsiTheme="majorHAnsi"/>
          <w:sz w:val="20"/>
          <w:szCs w:val="20"/>
        </w:rPr>
        <w:t xml:space="preserve">46 </w:t>
      </w:r>
      <w:r>
        <w:rPr>
          <w:rFonts w:asciiTheme="majorHAnsi" w:hAnsiTheme="majorHAnsi"/>
          <w:sz w:val="20"/>
          <w:szCs w:val="20"/>
        </w:rPr>
        <w:t xml:space="preserve">and </w:t>
      </w:r>
      <w:r w:rsidR="0063685A" w:rsidRPr="00844736">
        <w:rPr>
          <w:rFonts w:asciiTheme="majorHAnsi" w:hAnsiTheme="majorHAnsi"/>
          <w:sz w:val="20"/>
          <w:szCs w:val="20"/>
        </w:rPr>
        <w:t xml:space="preserve">47 </w:t>
      </w:r>
      <w:r>
        <w:rPr>
          <w:rFonts w:asciiTheme="majorHAnsi" w:hAnsiTheme="majorHAnsi"/>
          <w:sz w:val="20"/>
          <w:szCs w:val="20"/>
        </w:rPr>
        <w:t xml:space="preserve">of the American Convention, the Commission decides to find the case admissible for the purposes of examining the arguments regarding the alleged violations of the rights enshrined in Article 4 (right to life), Article 5 (right to humane treatment), Article 7 (right to personal liberty), Article 8 (right to a fair trial), Article 11 (right to </w:t>
      </w:r>
      <w:r w:rsidR="004C535F">
        <w:rPr>
          <w:rFonts w:asciiTheme="majorHAnsi" w:hAnsiTheme="majorHAnsi"/>
          <w:sz w:val="20"/>
          <w:szCs w:val="20"/>
        </w:rPr>
        <w:t>privacy</w:t>
      </w:r>
      <w:r>
        <w:rPr>
          <w:rFonts w:asciiTheme="majorHAnsi" w:hAnsiTheme="majorHAnsi"/>
          <w:sz w:val="20"/>
          <w:szCs w:val="20"/>
        </w:rPr>
        <w:t xml:space="preserve">), Article 19 (rights of the child), and Article 25 (right to judicial protection), all of the American Convention on Human Rights (hereinafter </w:t>
      </w:r>
      <w:r w:rsidR="009402AA">
        <w:rPr>
          <w:rFonts w:asciiTheme="majorHAnsi" w:hAnsiTheme="majorHAnsi"/>
          <w:sz w:val="20"/>
          <w:szCs w:val="20"/>
        </w:rPr>
        <w:t xml:space="preserve">the </w:t>
      </w:r>
      <w:r>
        <w:rPr>
          <w:rFonts w:asciiTheme="majorHAnsi" w:hAnsiTheme="majorHAnsi"/>
          <w:sz w:val="20"/>
          <w:szCs w:val="20"/>
        </w:rPr>
        <w:t xml:space="preserve">“American Convention” or </w:t>
      </w:r>
      <w:r w:rsidR="009402AA">
        <w:rPr>
          <w:rFonts w:asciiTheme="majorHAnsi" w:hAnsiTheme="majorHAnsi"/>
          <w:sz w:val="20"/>
          <w:szCs w:val="20"/>
        </w:rPr>
        <w:t xml:space="preserve">the </w:t>
      </w:r>
      <w:r>
        <w:rPr>
          <w:rFonts w:asciiTheme="majorHAnsi" w:hAnsiTheme="majorHAnsi"/>
          <w:sz w:val="20"/>
          <w:szCs w:val="20"/>
        </w:rPr>
        <w:t>“Convention”) in relation to Article 1(1) (obligation to respect rights) and Article 2 (domestic</w:t>
      </w:r>
      <w:r w:rsidR="004C535F">
        <w:rPr>
          <w:rFonts w:asciiTheme="majorHAnsi" w:hAnsiTheme="majorHAnsi"/>
          <w:sz w:val="20"/>
          <w:szCs w:val="20"/>
        </w:rPr>
        <w:t xml:space="preserve"> legal effects</w:t>
      </w:r>
      <w:r>
        <w:rPr>
          <w:rFonts w:asciiTheme="majorHAnsi" w:hAnsiTheme="majorHAnsi"/>
          <w:sz w:val="20"/>
          <w:szCs w:val="20"/>
        </w:rPr>
        <w:t xml:space="preserve"> ) of the same instrument.</w:t>
      </w:r>
      <w:r w:rsidR="0063685A" w:rsidRPr="00844736">
        <w:rPr>
          <w:rFonts w:asciiTheme="majorHAnsi" w:hAnsiTheme="majorHAnsi"/>
          <w:sz w:val="20"/>
          <w:szCs w:val="20"/>
        </w:rPr>
        <w:t xml:space="preserve"> </w:t>
      </w:r>
      <w:r>
        <w:rPr>
          <w:rFonts w:asciiTheme="majorHAnsi" w:hAnsiTheme="majorHAnsi"/>
          <w:sz w:val="20"/>
          <w:szCs w:val="20"/>
        </w:rPr>
        <w:t xml:space="preserve">The Commission also decides to notify the parties of this decision, publish it, and include it in its Annual Report to the General Assembly of the OAS. </w:t>
      </w:r>
    </w:p>
    <w:p w:rsidR="00547D7F" w:rsidRPr="00844736"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63685A" w:rsidRPr="00844736" w:rsidRDefault="0063685A" w:rsidP="000E1C80">
      <w:pPr>
        <w:spacing w:after="240"/>
        <w:ind w:firstLine="720"/>
        <w:jc w:val="both"/>
        <w:rPr>
          <w:rFonts w:asciiTheme="majorHAnsi" w:hAnsiTheme="majorHAnsi"/>
          <w:b/>
          <w:bCs/>
          <w:sz w:val="20"/>
          <w:szCs w:val="20"/>
        </w:rPr>
      </w:pPr>
      <w:r w:rsidRPr="00844736">
        <w:rPr>
          <w:rFonts w:asciiTheme="majorHAnsi" w:hAnsiTheme="majorHAnsi"/>
          <w:b/>
          <w:bCs/>
          <w:sz w:val="20"/>
          <w:szCs w:val="20"/>
        </w:rPr>
        <w:t>II.</w:t>
      </w:r>
      <w:r w:rsidRPr="00844736">
        <w:rPr>
          <w:rFonts w:asciiTheme="majorHAnsi" w:hAnsiTheme="majorHAnsi"/>
          <w:b/>
          <w:bCs/>
          <w:sz w:val="20"/>
          <w:szCs w:val="20"/>
        </w:rPr>
        <w:tab/>
      </w:r>
      <w:r w:rsidR="000E1C80">
        <w:rPr>
          <w:rFonts w:asciiTheme="majorHAnsi" w:hAnsiTheme="majorHAnsi"/>
          <w:b/>
          <w:bCs/>
          <w:sz w:val="20"/>
          <w:szCs w:val="20"/>
        </w:rPr>
        <w:t>PROC</w:t>
      </w:r>
      <w:r w:rsidR="000E17FC">
        <w:rPr>
          <w:rFonts w:asciiTheme="majorHAnsi" w:hAnsiTheme="majorHAnsi"/>
          <w:b/>
          <w:bCs/>
          <w:sz w:val="20"/>
          <w:szCs w:val="20"/>
        </w:rPr>
        <w:t>EED</w:t>
      </w:r>
      <w:r w:rsidR="000E1C80">
        <w:rPr>
          <w:rFonts w:asciiTheme="majorHAnsi" w:hAnsiTheme="majorHAnsi"/>
          <w:b/>
          <w:bCs/>
          <w:sz w:val="20"/>
          <w:szCs w:val="20"/>
        </w:rPr>
        <w:t xml:space="preserve">ING BEFORE THE IACHR </w:t>
      </w:r>
    </w:p>
    <w:p w:rsidR="0063685A" w:rsidRPr="00844736" w:rsidRDefault="000E1C80" w:rsidP="00C801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The IACHR received the petition on October 19, 2006, and on September 29, 2008 </w:t>
      </w:r>
      <w:r w:rsidR="00C80141">
        <w:rPr>
          <w:rFonts w:asciiTheme="majorHAnsi" w:hAnsiTheme="majorHAnsi"/>
          <w:sz w:val="20"/>
          <w:szCs w:val="20"/>
        </w:rPr>
        <w:t xml:space="preserve">it </w:t>
      </w:r>
      <w:r>
        <w:rPr>
          <w:rFonts w:asciiTheme="majorHAnsi" w:hAnsiTheme="majorHAnsi"/>
          <w:sz w:val="20"/>
          <w:szCs w:val="20"/>
        </w:rPr>
        <w:t xml:space="preserve">forwarded a copy of the pertinent parts to the State, </w:t>
      </w:r>
      <w:r w:rsidR="00620778">
        <w:rPr>
          <w:rFonts w:asciiTheme="majorHAnsi" w:hAnsiTheme="majorHAnsi"/>
          <w:sz w:val="20"/>
          <w:szCs w:val="20"/>
        </w:rPr>
        <w:t xml:space="preserve">granting it a </w:t>
      </w:r>
      <w:r>
        <w:rPr>
          <w:rFonts w:asciiTheme="majorHAnsi" w:hAnsiTheme="majorHAnsi"/>
          <w:sz w:val="20"/>
          <w:szCs w:val="20"/>
        </w:rPr>
        <w:t xml:space="preserve">two months </w:t>
      </w:r>
      <w:r w:rsidR="00620778">
        <w:rPr>
          <w:rFonts w:asciiTheme="majorHAnsi" w:hAnsiTheme="majorHAnsi"/>
          <w:sz w:val="20"/>
          <w:szCs w:val="20"/>
        </w:rPr>
        <w:t xml:space="preserve">period </w:t>
      </w:r>
      <w:r>
        <w:rPr>
          <w:rFonts w:asciiTheme="majorHAnsi" w:hAnsiTheme="majorHAnsi"/>
          <w:sz w:val="20"/>
          <w:szCs w:val="20"/>
        </w:rPr>
        <w:t xml:space="preserve">to submit </w:t>
      </w:r>
      <w:r w:rsidR="00C80141">
        <w:rPr>
          <w:rFonts w:asciiTheme="majorHAnsi" w:hAnsiTheme="majorHAnsi"/>
          <w:sz w:val="20"/>
          <w:szCs w:val="20"/>
        </w:rPr>
        <w:t xml:space="preserve">any </w:t>
      </w:r>
      <w:r>
        <w:rPr>
          <w:rFonts w:asciiTheme="majorHAnsi" w:hAnsiTheme="majorHAnsi"/>
          <w:sz w:val="20"/>
          <w:szCs w:val="20"/>
        </w:rPr>
        <w:t xml:space="preserve">observations, </w:t>
      </w:r>
      <w:r w:rsidR="00C80141">
        <w:rPr>
          <w:rFonts w:asciiTheme="majorHAnsi" w:hAnsiTheme="majorHAnsi"/>
          <w:sz w:val="20"/>
          <w:szCs w:val="20"/>
        </w:rPr>
        <w:t xml:space="preserve">as per </w:t>
      </w:r>
      <w:r>
        <w:rPr>
          <w:rFonts w:asciiTheme="majorHAnsi" w:hAnsiTheme="majorHAnsi"/>
          <w:sz w:val="20"/>
          <w:szCs w:val="20"/>
        </w:rPr>
        <w:t xml:space="preserve">Article </w:t>
      </w:r>
      <w:r w:rsidR="00057DD7" w:rsidRPr="00844736">
        <w:rPr>
          <w:rFonts w:asciiTheme="majorHAnsi" w:hAnsiTheme="majorHAnsi"/>
          <w:sz w:val="20"/>
          <w:szCs w:val="20"/>
        </w:rPr>
        <w:t>30</w:t>
      </w:r>
      <w:r>
        <w:rPr>
          <w:rFonts w:asciiTheme="majorHAnsi" w:hAnsiTheme="majorHAnsi"/>
          <w:sz w:val="20"/>
          <w:szCs w:val="20"/>
        </w:rPr>
        <w:t>(</w:t>
      </w:r>
      <w:r w:rsidR="003E3653" w:rsidRPr="00844736">
        <w:rPr>
          <w:rFonts w:asciiTheme="majorHAnsi" w:hAnsiTheme="majorHAnsi"/>
          <w:sz w:val="20"/>
          <w:szCs w:val="20"/>
        </w:rPr>
        <w:t>3</w:t>
      </w:r>
      <w:r>
        <w:rPr>
          <w:rFonts w:asciiTheme="majorHAnsi" w:hAnsiTheme="majorHAnsi"/>
          <w:sz w:val="20"/>
          <w:szCs w:val="20"/>
        </w:rPr>
        <w:t xml:space="preserve">) of its Rules of Procedure then in force. On December 1, </w:t>
      </w:r>
      <w:r w:rsidR="000746E3" w:rsidRPr="00844736">
        <w:rPr>
          <w:rFonts w:asciiTheme="majorHAnsi" w:hAnsiTheme="majorHAnsi"/>
          <w:bCs/>
          <w:sz w:val="20"/>
          <w:szCs w:val="20"/>
        </w:rPr>
        <w:t>2008</w:t>
      </w:r>
      <w:r>
        <w:rPr>
          <w:rFonts w:asciiTheme="majorHAnsi" w:hAnsiTheme="majorHAnsi"/>
          <w:bCs/>
          <w:sz w:val="20"/>
          <w:szCs w:val="20"/>
        </w:rPr>
        <w:t>, the response from the State</w:t>
      </w:r>
      <w:r w:rsidR="00C80141" w:rsidRPr="00C80141">
        <w:rPr>
          <w:rFonts w:asciiTheme="majorHAnsi" w:hAnsiTheme="majorHAnsi"/>
          <w:bCs/>
          <w:sz w:val="20"/>
          <w:szCs w:val="20"/>
        </w:rPr>
        <w:t xml:space="preserve"> </w:t>
      </w:r>
      <w:r w:rsidR="00C80141">
        <w:rPr>
          <w:rFonts w:asciiTheme="majorHAnsi" w:hAnsiTheme="majorHAnsi"/>
          <w:bCs/>
          <w:sz w:val="20"/>
          <w:szCs w:val="20"/>
        </w:rPr>
        <w:t>was received</w:t>
      </w:r>
      <w:r w:rsidR="00620778">
        <w:rPr>
          <w:rFonts w:asciiTheme="majorHAnsi" w:hAnsiTheme="majorHAnsi"/>
          <w:bCs/>
          <w:sz w:val="20"/>
          <w:szCs w:val="20"/>
        </w:rPr>
        <w:t xml:space="preserve"> and</w:t>
      </w:r>
      <w:r>
        <w:rPr>
          <w:rFonts w:asciiTheme="majorHAnsi" w:hAnsiTheme="majorHAnsi"/>
          <w:bCs/>
          <w:sz w:val="20"/>
          <w:szCs w:val="20"/>
        </w:rPr>
        <w:t xml:space="preserve"> transmitted to the petitioners on December 4, </w:t>
      </w:r>
      <w:r w:rsidR="000746E3" w:rsidRPr="00844736">
        <w:rPr>
          <w:rFonts w:asciiTheme="majorHAnsi" w:hAnsiTheme="majorHAnsi"/>
          <w:bCs/>
          <w:sz w:val="20"/>
          <w:szCs w:val="20"/>
        </w:rPr>
        <w:t>2008</w:t>
      </w:r>
      <w:r w:rsidR="0063685A" w:rsidRPr="00844736">
        <w:rPr>
          <w:rFonts w:asciiTheme="majorHAnsi" w:hAnsiTheme="majorHAnsi"/>
          <w:bCs/>
          <w:sz w:val="20"/>
          <w:szCs w:val="20"/>
        </w:rPr>
        <w:t>.</w:t>
      </w:r>
    </w:p>
    <w:p w:rsidR="00547D7F" w:rsidRPr="00844736"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547D7F" w:rsidRPr="009402AA" w:rsidRDefault="000E1C80" w:rsidP="009402A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color w:val="000000"/>
          <w:sz w:val="20"/>
          <w:szCs w:val="20"/>
        </w:rPr>
        <w:lastRenderedPageBreak/>
        <w:t xml:space="preserve">The petitioners submitted additional observations on September </w:t>
      </w:r>
      <w:r w:rsidR="00B7611C" w:rsidRPr="00844736">
        <w:rPr>
          <w:rFonts w:asciiTheme="majorHAnsi" w:hAnsiTheme="majorHAnsi"/>
          <w:color w:val="000000"/>
          <w:sz w:val="20"/>
          <w:szCs w:val="20"/>
        </w:rPr>
        <w:t>16</w:t>
      </w:r>
      <w:r>
        <w:rPr>
          <w:rFonts w:asciiTheme="majorHAnsi" w:hAnsiTheme="majorHAnsi"/>
          <w:color w:val="000000"/>
          <w:sz w:val="20"/>
          <w:szCs w:val="20"/>
        </w:rPr>
        <w:t>,</w:t>
      </w:r>
      <w:r w:rsidR="00B7611C" w:rsidRPr="00844736">
        <w:rPr>
          <w:rFonts w:asciiTheme="majorHAnsi" w:hAnsiTheme="majorHAnsi"/>
          <w:color w:val="000000"/>
          <w:sz w:val="20"/>
          <w:szCs w:val="20"/>
        </w:rPr>
        <w:t xml:space="preserve"> 2014</w:t>
      </w:r>
      <w:r w:rsidR="009051ED" w:rsidRPr="00844736">
        <w:rPr>
          <w:rFonts w:asciiTheme="majorHAnsi" w:hAnsiTheme="majorHAnsi"/>
          <w:color w:val="000000"/>
          <w:sz w:val="20"/>
          <w:szCs w:val="20"/>
        </w:rPr>
        <w:t xml:space="preserve">. </w:t>
      </w:r>
      <w:r w:rsidR="009402AA">
        <w:rPr>
          <w:rFonts w:asciiTheme="majorHAnsi" w:hAnsiTheme="majorHAnsi"/>
          <w:color w:val="000000"/>
          <w:sz w:val="20"/>
          <w:szCs w:val="20"/>
        </w:rPr>
        <w:t xml:space="preserve">The </w:t>
      </w:r>
      <w:r>
        <w:rPr>
          <w:rFonts w:asciiTheme="majorHAnsi" w:hAnsiTheme="majorHAnsi"/>
          <w:color w:val="000000"/>
          <w:sz w:val="20"/>
          <w:szCs w:val="20"/>
        </w:rPr>
        <w:t xml:space="preserve">State submitted additional observations on March 6, </w:t>
      </w:r>
      <w:r w:rsidR="00933923" w:rsidRPr="00844736">
        <w:rPr>
          <w:rFonts w:asciiTheme="majorHAnsi" w:hAnsiTheme="majorHAnsi"/>
          <w:color w:val="000000"/>
          <w:sz w:val="20"/>
          <w:szCs w:val="20"/>
        </w:rPr>
        <w:t>2015</w:t>
      </w:r>
      <w:r w:rsidR="009051ED" w:rsidRPr="00844736">
        <w:rPr>
          <w:rFonts w:asciiTheme="majorHAnsi" w:hAnsiTheme="majorHAnsi"/>
          <w:color w:val="000000"/>
          <w:sz w:val="20"/>
          <w:szCs w:val="20"/>
        </w:rPr>
        <w:t>.</w:t>
      </w:r>
      <w:r w:rsidR="0063685A" w:rsidRPr="00844736">
        <w:rPr>
          <w:rFonts w:asciiTheme="majorHAnsi" w:hAnsiTheme="majorHAnsi"/>
          <w:color w:val="000000"/>
          <w:sz w:val="20"/>
          <w:szCs w:val="20"/>
        </w:rPr>
        <w:t xml:space="preserve"> </w:t>
      </w:r>
      <w:r>
        <w:rPr>
          <w:rFonts w:asciiTheme="majorHAnsi" w:hAnsiTheme="majorHAnsi"/>
          <w:color w:val="000000"/>
          <w:sz w:val="20"/>
          <w:szCs w:val="20"/>
        </w:rPr>
        <w:t xml:space="preserve">These communications were duly forwarded to the other party. </w:t>
      </w:r>
    </w:p>
    <w:p w:rsidR="00E616C3" w:rsidRPr="00844736" w:rsidRDefault="00E616C3" w:rsidP="009F0583">
      <w:pPr>
        <w:spacing w:after="240"/>
        <w:ind w:firstLine="720"/>
        <w:jc w:val="both"/>
        <w:rPr>
          <w:rFonts w:asciiTheme="majorHAnsi" w:hAnsiTheme="majorHAnsi"/>
          <w:color w:val="FF0000"/>
          <w:sz w:val="20"/>
          <w:szCs w:val="20"/>
        </w:rPr>
      </w:pPr>
    </w:p>
    <w:p w:rsidR="0063685A" w:rsidRPr="00844736" w:rsidRDefault="0063685A" w:rsidP="000E1C80">
      <w:pPr>
        <w:spacing w:after="240"/>
        <w:ind w:firstLine="720"/>
        <w:jc w:val="both"/>
        <w:rPr>
          <w:rFonts w:asciiTheme="majorHAnsi" w:hAnsiTheme="majorHAnsi"/>
          <w:b/>
          <w:bCs/>
          <w:sz w:val="20"/>
          <w:szCs w:val="20"/>
        </w:rPr>
      </w:pPr>
      <w:r w:rsidRPr="00844736">
        <w:rPr>
          <w:rFonts w:asciiTheme="majorHAnsi" w:hAnsiTheme="majorHAnsi"/>
          <w:b/>
          <w:bCs/>
          <w:sz w:val="20"/>
          <w:szCs w:val="20"/>
        </w:rPr>
        <w:t>III.</w:t>
      </w:r>
      <w:r w:rsidRPr="00844736">
        <w:rPr>
          <w:rFonts w:asciiTheme="majorHAnsi" w:hAnsiTheme="majorHAnsi"/>
          <w:b/>
          <w:bCs/>
          <w:sz w:val="20"/>
          <w:szCs w:val="20"/>
        </w:rPr>
        <w:tab/>
      </w:r>
      <w:r w:rsidR="000E1C80">
        <w:rPr>
          <w:rFonts w:asciiTheme="majorHAnsi" w:hAnsiTheme="majorHAnsi"/>
          <w:b/>
          <w:bCs/>
          <w:sz w:val="20"/>
          <w:szCs w:val="20"/>
        </w:rPr>
        <w:t xml:space="preserve">THE PARTIES’ POSITIONS </w:t>
      </w:r>
    </w:p>
    <w:p w:rsidR="0063685A" w:rsidRPr="00844736" w:rsidRDefault="003872C5" w:rsidP="000D1BF9">
      <w:pPr>
        <w:suppressAutoHyphens/>
        <w:ind w:firstLine="720"/>
        <w:jc w:val="both"/>
        <w:rPr>
          <w:rFonts w:asciiTheme="majorHAnsi" w:hAnsiTheme="majorHAnsi"/>
          <w:b/>
          <w:bCs/>
          <w:sz w:val="20"/>
          <w:szCs w:val="20"/>
        </w:rPr>
      </w:pPr>
      <w:r w:rsidRPr="00844736">
        <w:rPr>
          <w:rFonts w:asciiTheme="majorHAnsi" w:hAnsiTheme="majorHAnsi"/>
          <w:b/>
          <w:bCs/>
          <w:sz w:val="20"/>
          <w:szCs w:val="20"/>
        </w:rPr>
        <w:t>A.</w:t>
      </w:r>
      <w:r w:rsidRPr="00844736">
        <w:rPr>
          <w:rFonts w:asciiTheme="majorHAnsi" w:hAnsiTheme="majorHAnsi"/>
          <w:b/>
          <w:bCs/>
          <w:sz w:val="20"/>
          <w:szCs w:val="20"/>
        </w:rPr>
        <w:tab/>
      </w:r>
      <w:r w:rsidR="000D1BF9">
        <w:rPr>
          <w:rFonts w:asciiTheme="majorHAnsi" w:hAnsiTheme="majorHAnsi"/>
          <w:b/>
          <w:bCs/>
          <w:sz w:val="20"/>
          <w:szCs w:val="20"/>
        </w:rPr>
        <w:t xml:space="preserve">The petitioners’ position </w:t>
      </w:r>
    </w:p>
    <w:p w:rsidR="003872C5" w:rsidRPr="00844736" w:rsidRDefault="003872C5" w:rsidP="003872C5">
      <w:pPr>
        <w:suppressAutoHyphens/>
        <w:jc w:val="both"/>
        <w:rPr>
          <w:rFonts w:asciiTheme="majorHAnsi" w:hAnsiTheme="majorHAnsi"/>
          <w:b/>
          <w:bCs/>
          <w:color w:val="FF0000"/>
          <w:sz w:val="20"/>
          <w:szCs w:val="20"/>
        </w:rPr>
      </w:pPr>
    </w:p>
    <w:p w:rsidR="00515280" w:rsidRPr="00844736" w:rsidRDefault="000D1BF9" w:rsidP="0034411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rPr>
      </w:pPr>
      <w:r>
        <w:rPr>
          <w:rFonts w:asciiTheme="majorHAnsi" w:hAnsiTheme="majorHAnsi" w:cs="Arial"/>
          <w:sz w:val="20"/>
          <w:szCs w:val="20"/>
        </w:rPr>
        <w:t xml:space="preserve">The petitioners indicate that in the context of the defense and security policy implemented by former president </w:t>
      </w:r>
      <w:r w:rsidR="00302AA0" w:rsidRPr="00844736">
        <w:rPr>
          <w:rFonts w:asciiTheme="majorHAnsi" w:hAnsiTheme="majorHAnsi" w:cs="Arial"/>
          <w:sz w:val="20"/>
          <w:szCs w:val="20"/>
        </w:rPr>
        <w:t xml:space="preserve">Álvaro Uribe, </w:t>
      </w:r>
      <w:r w:rsidR="00B36A06">
        <w:rPr>
          <w:rFonts w:asciiTheme="majorHAnsi" w:hAnsiTheme="majorHAnsi" w:cs="Arial"/>
          <w:sz w:val="20"/>
          <w:szCs w:val="20"/>
        </w:rPr>
        <w:t xml:space="preserve">as of late 2004 </w:t>
      </w:r>
      <w:r>
        <w:rPr>
          <w:rFonts w:asciiTheme="majorHAnsi" w:hAnsiTheme="majorHAnsi" w:cs="Arial"/>
          <w:sz w:val="20"/>
          <w:szCs w:val="20"/>
        </w:rPr>
        <w:t>the military operation known as “</w:t>
      </w:r>
      <w:r w:rsidR="00B36A06">
        <w:rPr>
          <w:rFonts w:asciiTheme="majorHAnsi" w:hAnsiTheme="majorHAnsi" w:cs="Arial"/>
          <w:sz w:val="20"/>
          <w:szCs w:val="20"/>
        </w:rPr>
        <w:t>F</w:t>
      </w:r>
      <w:r w:rsidR="003D301C" w:rsidRPr="00844736">
        <w:rPr>
          <w:rFonts w:asciiTheme="majorHAnsi" w:hAnsiTheme="majorHAnsi" w:cs="Arial"/>
          <w:sz w:val="20"/>
          <w:szCs w:val="20"/>
        </w:rPr>
        <w:t xml:space="preserve">uego </w:t>
      </w:r>
      <w:r w:rsidR="00B36A06">
        <w:rPr>
          <w:rFonts w:asciiTheme="majorHAnsi" w:hAnsiTheme="majorHAnsi" w:cs="Arial"/>
          <w:sz w:val="20"/>
          <w:szCs w:val="20"/>
        </w:rPr>
        <w:t>A</w:t>
      </w:r>
      <w:r w:rsidR="003D301C" w:rsidRPr="00844736">
        <w:rPr>
          <w:rFonts w:asciiTheme="majorHAnsi" w:hAnsiTheme="majorHAnsi" w:cs="Arial"/>
          <w:sz w:val="20"/>
          <w:szCs w:val="20"/>
        </w:rPr>
        <w:t>zul”</w:t>
      </w:r>
      <w:r w:rsidR="00B36A06">
        <w:rPr>
          <w:rFonts w:asciiTheme="majorHAnsi" w:hAnsiTheme="majorHAnsi" w:cs="Arial"/>
          <w:sz w:val="20"/>
          <w:szCs w:val="20"/>
        </w:rPr>
        <w:t xml:space="preserve"> (“B</w:t>
      </w:r>
      <w:r>
        <w:rPr>
          <w:rFonts w:asciiTheme="majorHAnsi" w:hAnsiTheme="majorHAnsi" w:cs="Arial"/>
          <w:sz w:val="20"/>
          <w:szCs w:val="20"/>
        </w:rPr>
        <w:t xml:space="preserve">lue </w:t>
      </w:r>
      <w:r w:rsidR="00B36A06">
        <w:rPr>
          <w:rFonts w:asciiTheme="majorHAnsi" w:hAnsiTheme="majorHAnsi" w:cs="Arial"/>
          <w:sz w:val="20"/>
          <w:szCs w:val="20"/>
        </w:rPr>
        <w:t>F</w:t>
      </w:r>
      <w:r>
        <w:rPr>
          <w:rFonts w:asciiTheme="majorHAnsi" w:hAnsiTheme="majorHAnsi" w:cs="Arial"/>
          <w:sz w:val="20"/>
          <w:szCs w:val="20"/>
        </w:rPr>
        <w:t xml:space="preserve">ire”) was carried out in the municipality of Inza, </w:t>
      </w:r>
      <w:r w:rsidR="009402AA">
        <w:rPr>
          <w:rFonts w:asciiTheme="majorHAnsi" w:hAnsiTheme="majorHAnsi" w:cs="Arial"/>
          <w:sz w:val="20"/>
          <w:szCs w:val="20"/>
        </w:rPr>
        <w:t xml:space="preserve">resulting in an </w:t>
      </w:r>
      <w:r>
        <w:rPr>
          <w:rFonts w:asciiTheme="majorHAnsi" w:hAnsiTheme="majorHAnsi" w:cs="Arial"/>
          <w:sz w:val="20"/>
          <w:szCs w:val="20"/>
        </w:rPr>
        <w:t>inc</w:t>
      </w:r>
      <w:r w:rsidR="009402AA">
        <w:rPr>
          <w:rFonts w:asciiTheme="majorHAnsi" w:hAnsiTheme="majorHAnsi" w:cs="Arial"/>
          <w:sz w:val="20"/>
          <w:szCs w:val="20"/>
        </w:rPr>
        <w:t>reased</w:t>
      </w:r>
      <w:r>
        <w:rPr>
          <w:rFonts w:asciiTheme="majorHAnsi" w:hAnsiTheme="majorHAnsi" w:cs="Arial"/>
          <w:sz w:val="20"/>
          <w:szCs w:val="20"/>
        </w:rPr>
        <w:t xml:space="preserve"> presence of military forces in the area and abuses against indigenous and peasant persons and communities in the </w:t>
      </w:r>
      <w:r w:rsidR="0034411E" w:rsidRPr="0034411E">
        <w:rPr>
          <w:rFonts w:asciiTheme="majorHAnsi" w:hAnsiTheme="majorHAnsi" w:cs="Arial"/>
          <w:sz w:val="20"/>
          <w:szCs w:val="20"/>
        </w:rPr>
        <w:t>municipality</w:t>
      </w:r>
      <w:r>
        <w:rPr>
          <w:rFonts w:asciiTheme="majorHAnsi" w:hAnsiTheme="majorHAnsi" w:cs="Arial"/>
          <w:sz w:val="20"/>
          <w:szCs w:val="20"/>
        </w:rPr>
        <w:t xml:space="preserve">. In this context, they note that on January </w:t>
      </w:r>
      <w:r w:rsidR="00A152A3" w:rsidRPr="00844736">
        <w:rPr>
          <w:rFonts w:asciiTheme="majorHAnsi" w:hAnsiTheme="majorHAnsi" w:cs="Arial"/>
          <w:sz w:val="20"/>
          <w:szCs w:val="20"/>
        </w:rPr>
        <w:t>8</w:t>
      </w:r>
      <w:r>
        <w:rPr>
          <w:rFonts w:asciiTheme="majorHAnsi" w:hAnsiTheme="majorHAnsi" w:cs="Arial"/>
          <w:sz w:val="20"/>
          <w:szCs w:val="20"/>
        </w:rPr>
        <w:t>,</w:t>
      </w:r>
      <w:r w:rsidR="00A57461" w:rsidRPr="00844736">
        <w:rPr>
          <w:rFonts w:asciiTheme="majorHAnsi" w:hAnsiTheme="majorHAnsi" w:cs="Arial"/>
          <w:sz w:val="20"/>
          <w:szCs w:val="20"/>
        </w:rPr>
        <w:t xml:space="preserve"> 2006</w:t>
      </w:r>
      <w:r w:rsidR="009402AA">
        <w:rPr>
          <w:rFonts w:asciiTheme="majorHAnsi" w:hAnsiTheme="majorHAnsi" w:cs="Arial"/>
          <w:sz w:val="20"/>
          <w:szCs w:val="20"/>
        </w:rPr>
        <w:t>,</w:t>
      </w:r>
      <w:r w:rsidR="00A57461" w:rsidRPr="00844736">
        <w:rPr>
          <w:rFonts w:asciiTheme="majorHAnsi" w:hAnsiTheme="majorHAnsi" w:cs="Arial"/>
          <w:sz w:val="20"/>
          <w:szCs w:val="20"/>
        </w:rPr>
        <w:t xml:space="preserve"> </w:t>
      </w:r>
      <w:r w:rsidR="00435466">
        <w:rPr>
          <w:rFonts w:asciiTheme="majorHAnsi" w:hAnsiTheme="majorHAnsi"/>
          <w:sz w:val="20"/>
          <w:szCs w:val="20"/>
        </w:rPr>
        <w:t>Hortensia</w:t>
      </w:r>
      <w:r w:rsidR="00A57461" w:rsidRPr="00844736">
        <w:rPr>
          <w:rFonts w:asciiTheme="majorHAnsi" w:hAnsiTheme="majorHAnsi"/>
          <w:sz w:val="20"/>
          <w:szCs w:val="20"/>
        </w:rPr>
        <w:t xml:space="preserve"> Neyid Tunja Cuchumbe</w:t>
      </w:r>
      <w:r w:rsidR="00A152A3" w:rsidRPr="00844736">
        <w:rPr>
          <w:rFonts w:asciiTheme="majorHAnsi" w:hAnsiTheme="majorHAnsi"/>
          <w:sz w:val="20"/>
          <w:szCs w:val="20"/>
        </w:rPr>
        <w:t>, Manuel Antonio Tao Pillimué</w:t>
      </w:r>
      <w:r>
        <w:rPr>
          <w:rFonts w:asciiTheme="majorHAnsi" w:hAnsiTheme="majorHAnsi"/>
          <w:sz w:val="20"/>
          <w:szCs w:val="20"/>
        </w:rPr>
        <w:t xml:space="preserve">, and </w:t>
      </w:r>
      <w:r w:rsidR="00A57461" w:rsidRPr="00844736">
        <w:rPr>
          <w:rFonts w:asciiTheme="majorHAnsi" w:hAnsiTheme="majorHAnsi"/>
          <w:sz w:val="20"/>
          <w:szCs w:val="20"/>
        </w:rPr>
        <w:t>Willian José Cunacue Medina</w:t>
      </w:r>
      <w:r w:rsidR="00A40334" w:rsidRPr="00844736">
        <w:rPr>
          <w:rFonts w:asciiTheme="majorHAnsi" w:hAnsiTheme="majorHAnsi"/>
          <w:sz w:val="20"/>
          <w:szCs w:val="20"/>
        </w:rPr>
        <w:t xml:space="preserve">, </w:t>
      </w:r>
      <w:r>
        <w:rPr>
          <w:rFonts w:asciiTheme="majorHAnsi" w:hAnsiTheme="majorHAnsi"/>
          <w:sz w:val="20"/>
          <w:szCs w:val="20"/>
        </w:rPr>
        <w:t xml:space="preserve">who at the time of the facts were </w:t>
      </w:r>
      <w:r w:rsidR="00A40334" w:rsidRPr="00844736">
        <w:rPr>
          <w:rFonts w:asciiTheme="majorHAnsi" w:hAnsiTheme="majorHAnsi"/>
          <w:sz w:val="20"/>
          <w:szCs w:val="20"/>
        </w:rPr>
        <w:t>17, 22</w:t>
      </w:r>
      <w:r>
        <w:rPr>
          <w:rFonts w:asciiTheme="majorHAnsi" w:hAnsiTheme="majorHAnsi"/>
          <w:sz w:val="20"/>
          <w:szCs w:val="20"/>
        </w:rPr>
        <w:t>,</w:t>
      </w:r>
      <w:r w:rsidR="00A40334" w:rsidRPr="00844736">
        <w:rPr>
          <w:rFonts w:asciiTheme="majorHAnsi" w:hAnsiTheme="majorHAnsi"/>
          <w:sz w:val="20"/>
          <w:szCs w:val="20"/>
        </w:rPr>
        <w:t xml:space="preserve"> </w:t>
      </w:r>
      <w:r w:rsidR="009402AA">
        <w:rPr>
          <w:rFonts w:asciiTheme="majorHAnsi" w:hAnsiTheme="majorHAnsi"/>
          <w:sz w:val="20"/>
          <w:szCs w:val="20"/>
        </w:rPr>
        <w:t xml:space="preserve">and </w:t>
      </w:r>
      <w:r w:rsidR="00A40334" w:rsidRPr="00844736">
        <w:rPr>
          <w:rFonts w:asciiTheme="majorHAnsi" w:hAnsiTheme="majorHAnsi"/>
          <w:sz w:val="20"/>
          <w:szCs w:val="20"/>
        </w:rPr>
        <w:t xml:space="preserve">26 </w:t>
      </w:r>
      <w:r>
        <w:rPr>
          <w:rFonts w:asciiTheme="majorHAnsi" w:hAnsiTheme="majorHAnsi"/>
          <w:sz w:val="20"/>
          <w:szCs w:val="20"/>
        </w:rPr>
        <w:t xml:space="preserve">years old respectively, </w:t>
      </w:r>
      <w:r w:rsidR="00861EF7">
        <w:rPr>
          <w:rFonts w:asciiTheme="majorHAnsi" w:hAnsiTheme="majorHAnsi"/>
          <w:sz w:val="20"/>
          <w:szCs w:val="20"/>
        </w:rPr>
        <w:t xml:space="preserve">were </w:t>
      </w:r>
      <w:r w:rsidR="009402AA">
        <w:rPr>
          <w:rFonts w:asciiTheme="majorHAnsi" w:hAnsiTheme="majorHAnsi"/>
          <w:sz w:val="20"/>
          <w:szCs w:val="20"/>
        </w:rPr>
        <w:t xml:space="preserve">traveling </w:t>
      </w:r>
      <w:r w:rsidR="00861EF7">
        <w:rPr>
          <w:rFonts w:asciiTheme="majorHAnsi" w:hAnsiTheme="majorHAnsi"/>
          <w:sz w:val="20"/>
          <w:szCs w:val="20"/>
        </w:rPr>
        <w:t xml:space="preserve">on a motorcycle returning to their homes after participating in a party, when </w:t>
      </w:r>
      <w:r w:rsidR="009402AA">
        <w:rPr>
          <w:rFonts w:asciiTheme="majorHAnsi" w:hAnsiTheme="majorHAnsi"/>
          <w:sz w:val="20"/>
          <w:szCs w:val="20"/>
        </w:rPr>
        <w:t xml:space="preserve">soldiers </w:t>
      </w:r>
      <w:r w:rsidR="00861EF7">
        <w:rPr>
          <w:rFonts w:asciiTheme="majorHAnsi" w:hAnsiTheme="majorHAnsi"/>
          <w:sz w:val="20"/>
          <w:szCs w:val="20"/>
        </w:rPr>
        <w:t xml:space="preserve">who were members of Infantry Battalion No. </w:t>
      </w:r>
      <w:r w:rsidR="00A152A3" w:rsidRPr="00844736">
        <w:rPr>
          <w:rFonts w:asciiTheme="majorHAnsi" w:hAnsiTheme="majorHAnsi" w:cs="Arial"/>
          <w:sz w:val="20"/>
          <w:szCs w:val="20"/>
        </w:rPr>
        <w:t>26 “</w:t>
      </w:r>
      <w:r w:rsidR="005D7588" w:rsidRPr="00844736">
        <w:rPr>
          <w:rFonts w:asciiTheme="majorHAnsi" w:hAnsiTheme="majorHAnsi" w:cs="Arial"/>
          <w:sz w:val="20"/>
          <w:szCs w:val="20"/>
        </w:rPr>
        <w:t>Caciq</w:t>
      </w:r>
      <w:r w:rsidR="00A152A3" w:rsidRPr="00844736">
        <w:rPr>
          <w:rFonts w:asciiTheme="majorHAnsi" w:hAnsiTheme="majorHAnsi" w:cs="Arial"/>
          <w:sz w:val="20"/>
          <w:szCs w:val="20"/>
        </w:rPr>
        <w:t>ue Pigoanza</w:t>
      </w:r>
      <w:r w:rsidR="00861EF7">
        <w:rPr>
          <w:rFonts w:asciiTheme="majorHAnsi" w:hAnsiTheme="majorHAnsi" w:cs="Arial"/>
          <w:sz w:val="20"/>
          <w:szCs w:val="20"/>
        </w:rPr>
        <w:t>,</w:t>
      </w:r>
      <w:r w:rsidR="00A152A3" w:rsidRPr="00844736">
        <w:rPr>
          <w:rFonts w:asciiTheme="majorHAnsi" w:hAnsiTheme="majorHAnsi" w:cs="Arial"/>
          <w:sz w:val="20"/>
          <w:szCs w:val="20"/>
        </w:rPr>
        <w:t xml:space="preserve">” </w:t>
      </w:r>
      <w:r w:rsidR="00861EF7">
        <w:rPr>
          <w:rFonts w:asciiTheme="majorHAnsi" w:hAnsiTheme="majorHAnsi" w:cs="Arial"/>
          <w:sz w:val="20"/>
          <w:szCs w:val="20"/>
        </w:rPr>
        <w:t xml:space="preserve">based in </w:t>
      </w:r>
      <w:r w:rsidR="00A152A3" w:rsidRPr="00844736">
        <w:rPr>
          <w:rFonts w:asciiTheme="majorHAnsi" w:hAnsiTheme="majorHAnsi" w:cs="Arial"/>
          <w:sz w:val="20"/>
          <w:szCs w:val="20"/>
        </w:rPr>
        <w:t xml:space="preserve">Neiva, </w:t>
      </w:r>
      <w:r w:rsidR="00861EF7">
        <w:rPr>
          <w:rFonts w:asciiTheme="majorHAnsi" w:hAnsiTheme="majorHAnsi" w:cs="Arial"/>
          <w:sz w:val="20"/>
          <w:szCs w:val="20"/>
        </w:rPr>
        <w:t xml:space="preserve">shot at them indiscriminately and surprisingly. </w:t>
      </w:r>
      <w:r w:rsidR="00435466">
        <w:rPr>
          <w:rFonts w:asciiTheme="majorHAnsi" w:hAnsiTheme="majorHAnsi"/>
          <w:sz w:val="20"/>
          <w:szCs w:val="20"/>
        </w:rPr>
        <w:t>Hortensia</w:t>
      </w:r>
      <w:r w:rsidR="00515280" w:rsidRPr="00844736">
        <w:rPr>
          <w:rFonts w:asciiTheme="majorHAnsi" w:hAnsiTheme="majorHAnsi"/>
          <w:sz w:val="20"/>
          <w:szCs w:val="20"/>
        </w:rPr>
        <w:t xml:space="preserve"> Neyid Tunja Cuchumbe </w:t>
      </w:r>
      <w:r w:rsidR="00861EF7">
        <w:rPr>
          <w:rFonts w:asciiTheme="majorHAnsi" w:hAnsiTheme="majorHAnsi"/>
          <w:sz w:val="20"/>
          <w:szCs w:val="20"/>
        </w:rPr>
        <w:t xml:space="preserve">and </w:t>
      </w:r>
      <w:r w:rsidR="00515280" w:rsidRPr="00844736">
        <w:rPr>
          <w:rFonts w:asciiTheme="majorHAnsi" w:hAnsiTheme="majorHAnsi"/>
          <w:sz w:val="20"/>
          <w:szCs w:val="20"/>
        </w:rPr>
        <w:t xml:space="preserve">Manuel Antonio Tao Pillimué </w:t>
      </w:r>
      <w:r w:rsidR="00861EF7">
        <w:rPr>
          <w:rFonts w:asciiTheme="majorHAnsi" w:hAnsiTheme="majorHAnsi"/>
          <w:sz w:val="20"/>
          <w:szCs w:val="20"/>
        </w:rPr>
        <w:t xml:space="preserve">died immediately, while </w:t>
      </w:r>
      <w:r w:rsidR="00515280" w:rsidRPr="00844736">
        <w:rPr>
          <w:rFonts w:asciiTheme="majorHAnsi" w:hAnsiTheme="majorHAnsi"/>
          <w:sz w:val="20"/>
          <w:szCs w:val="20"/>
        </w:rPr>
        <w:t xml:space="preserve">Willian José Cunacue Medina </w:t>
      </w:r>
      <w:r w:rsidR="00861EF7">
        <w:rPr>
          <w:rFonts w:asciiTheme="majorHAnsi" w:hAnsiTheme="majorHAnsi"/>
          <w:sz w:val="20"/>
          <w:szCs w:val="20"/>
        </w:rPr>
        <w:t xml:space="preserve">suffered serious injuries in both legs. </w:t>
      </w:r>
    </w:p>
    <w:p w:rsidR="008C60D9" w:rsidRPr="00844736" w:rsidRDefault="008C60D9" w:rsidP="00403B82">
      <w:pPr>
        <w:rPr>
          <w:rFonts w:asciiTheme="majorHAnsi" w:hAnsiTheme="majorHAnsi" w:cs="Arial"/>
          <w:sz w:val="20"/>
          <w:szCs w:val="20"/>
        </w:rPr>
      </w:pPr>
    </w:p>
    <w:p w:rsidR="00CA17C9" w:rsidRPr="00844736" w:rsidRDefault="00861EF7" w:rsidP="00B36A06">
      <w:pPr>
        <w:pStyle w:val="ListParagraph"/>
        <w:numPr>
          <w:ilvl w:val="0"/>
          <w:numId w:val="56"/>
        </w:numPr>
        <w:jc w:val="both"/>
        <w:rPr>
          <w:rFonts w:asciiTheme="majorHAnsi" w:eastAsia="Arial Unicode MS" w:hAnsiTheme="majorHAnsi" w:cs="Arial"/>
          <w:color w:val="auto"/>
          <w:sz w:val="20"/>
          <w:szCs w:val="20"/>
          <w:lang w:eastAsia="en-US"/>
        </w:rPr>
      </w:pPr>
      <w:r>
        <w:rPr>
          <w:rFonts w:asciiTheme="majorHAnsi" w:hAnsiTheme="majorHAnsi" w:cs="Arial"/>
          <w:sz w:val="20"/>
          <w:szCs w:val="20"/>
        </w:rPr>
        <w:t>The petitioners indicate that the members of the military</w:t>
      </w:r>
      <w:r w:rsidR="005C6005">
        <w:rPr>
          <w:rFonts w:asciiTheme="majorHAnsi" w:hAnsiTheme="majorHAnsi" w:cs="Arial"/>
          <w:sz w:val="20"/>
          <w:szCs w:val="20"/>
        </w:rPr>
        <w:t xml:space="preserve"> force</w:t>
      </w:r>
      <w:r>
        <w:rPr>
          <w:rFonts w:asciiTheme="majorHAnsi" w:hAnsiTheme="majorHAnsi" w:cs="Arial"/>
          <w:sz w:val="20"/>
          <w:szCs w:val="20"/>
        </w:rPr>
        <w:t xml:space="preserve"> restricted access to the site of the incident, not allowing access to family members or community members and also keeping the prosecutorial authorities (</w:t>
      </w:r>
      <w:r w:rsidR="00A152A3" w:rsidRPr="00844736">
        <w:rPr>
          <w:rFonts w:asciiTheme="majorHAnsi" w:hAnsiTheme="majorHAnsi" w:cs="Arial"/>
          <w:sz w:val="20"/>
          <w:szCs w:val="20"/>
        </w:rPr>
        <w:t>Fiscalía</w:t>
      </w:r>
      <w:r>
        <w:rPr>
          <w:rFonts w:asciiTheme="majorHAnsi" w:hAnsiTheme="majorHAnsi" w:cs="Arial"/>
          <w:sz w:val="20"/>
          <w:szCs w:val="20"/>
        </w:rPr>
        <w:t xml:space="preserve">) from </w:t>
      </w:r>
      <w:r w:rsidR="00A152A3" w:rsidRPr="00844736">
        <w:rPr>
          <w:rFonts w:asciiTheme="majorHAnsi" w:hAnsiTheme="majorHAnsi" w:cs="Arial"/>
          <w:sz w:val="20"/>
          <w:szCs w:val="20"/>
        </w:rPr>
        <w:t xml:space="preserve"> </w:t>
      </w:r>
      <w:r>
        <w:rPr>
          <w:rFonts w:asciiTheme="majorHAnsi" w:hAnsiTheme="majorHAnsi" w:cs="Arial"/>
          <w:sz w:val="20"/>
          <w:szCs w:val="20"/>
        </w:rPr>
        <w:t>performing the official act of</w:t>
      </w:r>
      <w:r w:rsidR="00B36A06">
        <w:rPr>
          <w:rFonts w:asciiTheme="majorHAnsi" w:hAnsiTheme="majorHAnsi" w:cs="Arial"/>
          <w:sz w:val="20"/>
          <w:szCs w:val="20"/>
        </w:rPr>
        <w:t xml:space="preserve"> removing</w:t>
      </w:r>
      <w:r>
        <w:rPr>
          <w:rFonts w:asciiTheme="majorHAnsi" w:hAnsiTheme="majorHAnsi" w:cs="Arial"/>
          <w:sz w:val="20"/>
          <w:szCs w:val="20"/>
        </w:rPr>
        <w:t xml:space="preserve"> the bodies, which were said to have been transported by the military in a public service truck and placed at the disposal of the local prosecutorial authorities at the military base in the municipality of </w:t>
      </w:r>
      <w:r w:rsidR="00DB244D" w:rsidRPr="00844736">
        <w:rPr>
          <w:rFonts w:asciiTheme="majorHAnsi" w:hAnsiTheme="majorHAnsi" w:cs="Arial"/>
          <w:sz w:val="20"/>
          <w:szCs w:val="20"/>
        </w:rPr>
        <w:t xml:space="preserve">La Plata, </w:t>
      </w:r>
      <w:r>
        <w:rPr>
          <w:rFonts w:asciiTheme="majorHAnsi" w:hAnsiTheme="majorHAnsi" w:cs="Arial"/>
          <w:sz w:val="20"/>
          <w:szCs w:val="20"/>
        </w:rPr>
        <w:t xml:space="preserve">where they were said to have been shown along with military equipment </w:t>
      </w:r>
      <w:r w:rsidR="00B36A06">
        <w:rPr>
          <w:rFonts w:asciiTheme="majorHAnsi" w:hAnsiTheme="majorHAnsi" w:cs="Arial"/>
          <w:sz w:val="20"/>
          <w:szCs w:val="20"/>
        </w:rPr>
        <w:t xml:space="preserve">purportedly </w:t>
      </w:r>
      <w:r>
        <w:rPr>
          <w:rFonts w:asciiTheme="majorHAnsi" w:hAnsiTheme="majorHAnsi" w:cs="Arial"/>
          <w:sz w:val="20"/>
          <w:szCs w:val="20"/>
        </w:rPr>
        <w:t xml:space="preserve">seized, and presented to the media as guerrillas killed in combat. </w:t>
      </w:r>
      <w:r w:rsidR="0057114A">
        <w:rPr>
          <w:rFonts w:asciiTheme="majorHAnsi" w:hAnsiTheme="majorHAnsi" w:cs="Arial"/>
          <w:sz w:val="20"/>
          <w:szCs w:val="20"/>
        </w:rPr>
        <w:t xml:space="preserve">They also state that military units forcibly entered the offices of the </w:t>
      </w:r>
      <w:r w:rsidR="00A152A3" w:rsidRPr="00844736">
        <w:rPr>
          <w:rFonts w:asciiTheme="majorHAnsi" w:hAnsiTheme="majorHAnsi" w:cs="Arial"/>
          <w:sz w:val="20"/>
          <w:szCs w:val="20"/>
        </w:rPr>
        <w:t>Junta de Acción Comunal</w:t>
      </w:r>
      <w:r w:rsidR="0057114A">
        <w:rPr>
          <w:rFonts w:asciiTheme="majorHAnsi" w:hAnsiTheme="majorHAnsi" w:cs="Arial"/>
          <w:sz w:val="20"/>
          <w:szCs w:val="20"/>
        </w:rPr>
        <w:t xml:space="preserve"> </w:t>
      </w:r>
      <w:r w:rsidR="00B36A06">
        <w:rPr>
          <w:rFonts w:asciiTheme="majorHAnsi" w:hAnsiTheme="majorHAnsi" w:cs="Arial"/>
          <w:sz w:val="20"/>
          <w:szCs w:val="20"/>
        </w:rPr>
        <w:t xml:space="preserve">(Community Action Council) </w:t>
      </w:r>
      <w:r w:rsidR="0057114A">
        <w:rPr>
          <w:rFonts w:asciiTheme="majorHAnsi" w:hAnsiTheme="majorHAnsi" w:cs="Arial"/>
          <w:sz w:val="20"/>
          <w:szCs w:val="20"/>
        </w:rPr>
        <w:t xml:space="preserve">where the party was being held in which the alleged victims had participated prior to the facts, </w:t>
      </w:r>
      <w:r w:rsidR="009402AA">
        <w:rPr>
          <w:rFonts w:asciiTheme="majorHAnsi" w:hAnsiTheme="majorHAnsi" w:cs="Arial"/>
          <w:sz w:val="20"/>
          <w:szCs w:val="20"/>
        </w:rPr>
        <w:t xml:space="preserve">their </w:t>
      </w:r>
      <w:r w:rsidR="0057114A">
        <w:rPr>
          <w:rFonts w:asciiTheme="majorHAnsi" w:hAnsiTheme="majorHAnsi" w:cs="Arial"/>
          <w:sz w:val="20"/>
          <w:szCs w:val="20"/>
        </w:rPr>
        <w:t xml:space="preserve">faces covered and their identities concealed, threatening and beating the peasants. They further allege that the families of </w:t>
      </w:r>
      <w:r w:rsidR="00CA17C9" w:rsidRPr="00844736">
        <w:rPr>
          <w:rFonts w:asciiTheme="majorHAnsi" w:eastAsia="Arial Unicode MS" w:hAnsiTheme="majorHAnsi" w:cs="Arial"/>
          <w:color w:val="auto"/>
          <w:sz w:val="20"/>
          <w:szCs w:val="20"/>
          <w:lang w:eastAsia="en-US"/>
        </w:rPr>
        <w:t>Willian José Cunacue Medina</w:t>
      </w:r>
      <w:r w:rsidR="00BC55D0" w:rsidRPr="00844736">
        <w:rPr>
          <w:rFonts w:asciiTheme="majorHAnsi" w:eastAsia="Arial Unicode MS" w:hAnsiTheme="majorHAnsi" w:cs="Arial"/>
          <w:color w:val="auto"/>
          <w:sz w:val="20"/>
          <w:szCs w:val="20"/>
          <w:lang w:eastAsia="en-US"/>
        </w:rPr>
        <w:t xml:space="preserve"> </w:t>
      </w:r>
      <w:r w:rsidR="0057114A">
        <w:rPr>
          <w:rFonts w:asciiTheme="majorHAnsi" w:eastAsia="Arial Unicode MS" w:hAnsiTheme="majorHAnsi" w:cs="Arial"/>
          <w:color w:val="auto"/>
          <w:sz w:val="20"/>
          <w:szCs w:val="20"/>
          <w:lang w:eastAsia="en-US"/>
        </w:rPr>
        <w:t xml:space="preserve">and </w:t>
      </w:r>
      <w:r w:rsidR="00435466">
        <w:rPr>
          <w:rFonts w:asciiTheme="majorHAnsi" w:eastAsia="Arial Unicode MS" w:hAnsiTheme="majorHAnsi" w:cs="Arial"/>
          <w:color w:val="auto"/>
          <w:sz w:val="20"/>
          <w:szCs w:val="20"/>
          <w:lang w:eastAsia="en-US"/>
        </w:rPr>
        <w:t>Hortensia</w:t>
      </w:r>
      <w:r w:rsidR="00CA17C9" w:rsidRPr="00844736">
        <w:rPr>
          <w:rFonts w:asciiTheme="majorHAnsi" w:eastAsia="Arial Unicode MS" w:hAnsiTheme="majorHAnsi" w:cs="Arial"/>
          <w:color w:val="auto"/>
          <w:sz w:val="20"/>
          <w:szCs w:val="20"/>
          <w:lang w:eastAsia="en-US"/>
        </w:rPr>
        <w:t xml:space="preserve"> Neyid Tunja Cuchumbe </w:t>
      </w:r>
      <w:r w:rsidR="0057114A">
        <w:rPr>
          <w:rFonts w:asciiTheme="majorHAnsi" w:eastAsia="Arial Unicode MS" w:hAnsiTheme="majorHAnsi" w:cs="Arial"/>
          <w:color w:val="auto"/>
          <w:sz w:val="20"/>
          <w:szCs w:val="20"/>
          <w:lang w:eastAsia="en-US"/>
        </w:rPr>
        <w:t xml:space="preserve">were intimidated after </w:t>
      </w:r>
      <w:r w:rsidR="002F59CD">
        <w:rPr>
          <w:rFonts w:asciiTheme="majorHAnsi" w:eastAsia="Arial Unicode MS" w:hAnsiTheme="majorHAnsi" w:cs="Arial"/>
          <w:color w:val="auto"/>
          <w:sz w:val="20"/>
          <w:szCs w:val="20"/>
          <w:lang w:eastAsia="en-US"/>
        </w:rPr>
        <w:t>such events</w:t>
      </w:r>
      <w:r w:rsidR="009402AA">
        <w:rPr>
          <w:rFonts w:asciiTheme="majorHAnsi" w:eastAsia="Arial Unicode MS" w:hAnsiTheme="majorHAnsi" w:cs="Arial"/>
          <w:color w:val="auto"/>
          <w:sz w:val="20"/>
          <w:szCs w:val="20"/>
          <w:lang w:eastAsia="en-US"/>
        </w:rPr>
        <w:t xml:space="preserve">. </w:t>
      </w:r>
    </w:p>
    <w:p w:rsidR="00166105" w:rsidRPr="00844736" w:rsidRDefault="00166105" w:rsidP="00D31F2B">
      <w:pPr>
        <w:rPr>
          <w:rFonts w:asciiTheme="majorHAnsi" w:hAnsiTheme="majorHAnsi" w:cs="Arial"/>
          <w:sz w:val="20"/>
          <w:szCs w:val="20"/>
        </w:rPr>
      </w:pPr>
    </w:p>
    <w:p w:rsidR="00166105" w:rsidRPr="00844736" w:rsidRDefault="0057114A" w:rsidP="009F524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rPr>
      </w:pPr>
      <w:r>
        <w:rPr>
          <w:rFonts w:asciiTheme="majorHAnsi" w:hAnsiTheme="majorHAnsi" w:cs="Arial"/>
          <w:sz w:val="20"/>
          <w:szCs w:val="20"/>
        </w:rPr>
        <w:t xml:space="preserve">They state that </w:t>
      </w:r>
      <w:r w:rsidR="00CA70A2" w:rsidRPr="00844736">
        <w:rPr>
          <w:rFonts w:asciiTheme="majorHAnsi" w:eastAsia="Arial Unicode MS" w:hAnsiTheme="majorHAnsi" w:cs="Arial"/>
          <w:color w:val="auto"/>
          <w:sz w:val="20"/>
          <w:szCs w:val="20"/>
          <w:lang w:eastAsia="en-US"/>
        </w:rPr>
        <w:t xml:space="preserve">Willian José Cunacue Medina, </w:t>
      </w:r>
      <w:r>
        <w:rPr>
          <w:rFonts w:asciiTheme="majorHAnsi" w:eastAsia="Arial Unicode MS" w:hAnsiTheme="majorHAnsi" w:cs="Arial"/>
          <w:color w:val="auto"/>
          <w:sz w:val="20"/>
          <w:szCs w:val="20"/>
          <w:lang w:eastAsia="en-US"/>
        </w:rPr>
        <w:t>who was able to flee, was assisted by residents and taken to a health center, where he underwent surgery. They indicate that from that moment they were subjected to harassment, followed</w:t>
      </w:r>
      <w:r w:rsidR="00AC635D">
        <w:rPr>
          <w:rFonts w:asciiTheme="majorHAnsi" w:eastAsia="Arial Unicode MS" w:hAnsiTheme="majorHAnsi" w:cs="Arial"/>
          <w:color w:val="auto"/>
          <w:sz w:val="20"/>
          <w:szCs w:val="20"/>
          <w:lang w:eastAsia="en-US"/>
        </w:rPr>
        <w:t xml:space="preserve">, </w:t>
      </w:r>
      <w:r>
        <w:rPr>
          <w:rFonts w:asciiTheme="majorHAnsi" w:eastAsia="Arial Unicode MS" w:hAnsiTheme="majorHAnsi" w:cs="Arial"/>
          <w:color w:val="auto"/>
          <w:sz w:val="20"/>
          <w:szCs w:val="20"/>
          <w:lang w:eastAsia="en-US"/>
        </w:rPr>
        <w:t>and threatened, and that two days after the facts the Office of the Attorney General began a judicial proceeding against him for the crime of rebellion (</w:t>
      </w:r>
      <w:r w:rsidR="00B75ECA" w:rsidRPr="0057114A">
        <w:rPr>
          <w:rFonts w:asciiTheme="majorHAnsi" w:hAnsiTheme="majorHAnsi" w:cs="Arial"/>
          <w:i/>
          <w:iCs/>
          <w:sz w:val="20"/>
          <w:szCs w:val="20"/>
        </w:rPr>
        <w:t>rebelión</w:t>
      </w:r>
      <w:r>
        <w:rPr>
          <w:rFonts w:asciiTheme="majorHAnsi" w:hAnsiTheme="majorHAnsi" w:cs="Arial"/>
          <w:sz w:val="20"/>
          <w:szCs w:val="20"/>
        </w:rPr>
        <w:t>)</w:t>
      </w:r>
      <w:r w:rsidR="00650AC4" w:rsidRPr="00844736">
        <w:rPr>
          <w:rFonts w:asciiTheme="majorHAnsi" w:hAnsiTheme="majorHAnsi" w:cs="Arial"/>
          <w:sz w:val="20"/>
          <w:szCs w:val="20"/>
        </w:rPr>
        <w:t xml:space="preserve">, </w:t>
      </w:r>
      <w:r>
        <w:rPr>
          <w:rFonts w:asciiTheme="majorHAnsi" w:hAnsiTheme="majorHAnsi" w:cs="Arial"/>
          <w:sz w:val="20"/>
          <w:szCs w:val="20"/>
        </w:rPr>
        <w:t xml:space="preserve">and </w:t>
      </w:r>
      <w:r w:rsidR="009F5241">
        <w:rPr>
          <w:rFonts w:asciiTheme="majorHAnsi" w:hAnsiTheme="majorHAnsi" w:cs="Arial"/>
          <w:sz w:val="20"/>
          <w:szCs w:val="20"/>
        </w:rPr>
        <w:t xml:space="preserve">that the </w:t>
      </w:r>
      <w:r>
        <w:rPr>
          <w:rFonts w:asciiTheme="majorHAnsi" w:hAnsiTheme="majorHAnsi" w:cs="Arial"/>
          <w:sz w:val="20"/>
          <w:szCs w:val="20"/>
        </w:rPr>
        <w:t xml:space="preserve">was compelled to make a statement at the hospital where he had been admitted. They state that on January </w:t>
      </w:r>
      <w:r w:rsidR="009974B7" w:rsidRPr="00844736">
        <w:rPr>
          <w:rFonts w:asciiTheme="majorHAnsi" w:hAnsiTheme="majorHAnsi" w:cs="Arial"/>
          <w:sz w:val="20"/>
          <w:szCs w:val="20"/>
        </w:rPr>
        <w:t>11</w:t>
      </w:r>
      <w:r>
        <w:rPr>
          <w:rFonts w:asciiTheme="majorHAnsi" w:hAnsiTheme="majorHAnsi" w:cs="Arial"/>
          <w:sz w:val="20"/>
          <w:szCs w:val="20"/>
        </w:rPr>
        <w:t>,</w:t>
      </w:r>
      <w:r w:rsidR="009974B7" w:rsidRPr="00844736">
        <w:rPr>
          <w:rFonts w:asciiTheme="majorHAnsi" w:hAnsiTheme="majorHAnsi" w:cs="Arial"/>
          <w:sz w:val="20"/>
          <w:szCs w:val="20"/>
        </w:rPr>
        <w:t xml:space="preserve"> </w:t>
      </w:r>
      <w:r>
        <w:rPr>
          <w:rFonts w:asciiTheme="majorHAnsi" w:hAnsiTheme="majorHAnsi" w:cs="Arial"/>
          <w:sz w:val="20"/>
          <w:szCs w:val="20"/>
        </w:rPr>
        <w:t xml:space="preserve">in delicate health, he was taken from the hospital in an Army truck in the direction of the jail in </w:t>
      </w:r>
      <w:r w:rsidR="009974B7" w:rsidRPr="00844736">
        <w:rPr>
          <w:rFonts w:asciiTheme="majorHAnsi" w:hAnsiTheme="majorHAnsi" w:cs="Arial"/>
          <w:sz w:val="20"/>
          <w:szCs w:val="20"/>
        </w:rPr>
        <w:t xml:space="preserve">La Plata, </w:t>
      </w:r>
      <w:r>
        <w:rPr>
          <w:rFonts w:asciiTheme="majorHAnsi" w:hAnsiTheme="majorHAnsi" w:cs="Arial"/>
          <w:sz w:val="20"/>
          <w:szCs w:val="20"/>
        </w:rPr>
        <w:t xml:space="preserve">where he was not received due to the lack of a judicial order, and then taken to the </w:t>
      </w:r>
      <w:r w:rsidR="009F5241">
        <w:rPr>
          <w:rFonts w:asciiTheme="majorHAnsi" w:hAnsiTheme="majorHAnsi" w:cs="Arial"/>
          <w:sz w:val="20"/>
          <w:szCs w:val="20"/>
        </w:rPr>
        <w:t>Fiscal</w:t>
      </w:r>
      <w:r w:rsidR="009F5241" w:rsidRPr="00F92641">
        <w:rPr>
          <w:rFonts w:asciiTheme="majorHAnsi" w:hAnsiTheme="majorHAnsi" w:cs="Arial"/>
          <w:sz w:val="20"/>
          <w:szCs w:val="20"/>
        </w:rPr>
        <w:t>ía (</w:t>
      </w:r>
      <w:r w:rsidR="00AC635D">
        <w:rPr>
          <w:rFonts w:asciiTheme="majorHAnsi" w:hAnsiTheme="majorHAnsi" w:cs="Arial"/>
          <w:sz w:val="20"/>
          <w:szCs w:val="20"/>
        </w:rPr>
        <w:t xml:space="preserve">Office of the Attorney General) </w:t>
      </w:r>
      <w:r>
        <w:rPr>
          <w:rFonts w:asciiTheme="majorHAnsi" w:hAnsiTheme="majorHAnsi" w:cs="Arial"/>
          <w:sz w:val="20"/>
          <w:szCs w:val="20"/>
        </w:rPr>
        <w:t xml:space="preserve">where he was not received either. They state that after having been taken by members of the military to the police jail, on January </w:t>
      </w:r>
      <w:r w:rsidR="000F135A" w:rsidRPr="00844736">
        <w:rPr>
          <w:rFonts w:asciiTheme="majorHAnsi" w:hAnsiTheme="majorHAnsi" w:cs="Arial"/>
          <w:sz w:val="20"/>
          <w:szCs w:val="20"/>
        </w:rPr>
        <w:t xml:space="preserve">12 </w:t>
      </w:r>
      <w:r>
        <w:rPr>
          <w:rFonts w:asciiTheme="majorHAnsi" w:hAnsiTheme="majorHAnsi" w:cs="Arial"/>
          <w:sz w:val="20"/>
          <w:szCs w:val="20"/>
        </w:rPr>
        <w:t>he was reportedly taken by the police of La Plata to the jail</w:t>
      </w:r>
      <w:r w:rsidR="009F5241">
        <w:rPr>
          <w:rFonts w:asciiTheme="majorHAnsi" w:hAnsiTheme="majorHAnsi" w:cs="Arial"/>
          <w:sz w:val="20"/>
          <w:szCs w:val="20"/>
        </w:rPr>
        <w:t xml:space="preserve"> there</w:t>
      </w:r>
      <w:r>
        <w:rPr>
          <w:rFonts w:asciiTheme="majorHAnsi" w:hAnsiTheme="majorHAnsi" w:cs="Arial"/>
          <w:sz w:val="20"/>
          <w:szCs w:val="20"/>
        </w:rPr>
        <w:t xml:space="preserve">, where once again </w:t>
      </w:r>
      <w:r w:rsidR="009F5241">
        <w:rPr>
          <w:rFonts w:asciiTheme="majorHAnsi" w:hAnsiTheme="majorHAnsi" w:cs="Arial"/>
          <w:sz w:val="20"/>
          <w:szCs w:val="20"/>
        </w:rPr>
        <w:t xml:space="preserve">he was not received. </w:t>
      </w:r>
      <w:r>
        <w:rPr>
          <w:rFonts w:asciiTheme="majorHAnsi" w:hAnsiTheme="majorHAnsi" w:cs="Arial"/>
          <w:sz w:val="20"/>
          <w:szCs w:val="20"/>
        </w:rPr>
        <w:t xml:space="preserve">They indicate that on January </w:t>
      </w:r>
      <w:r w:rsidR="00767D05" w:rsidRPr="00844736">
        <w:rPr>
          <w:rFonts w:asciiTheme="majorHAnsi" w:hAnsiTheme="majorHAnsi" w:cs="Arial"/>
          <w:sz w:val="20"/>
          <w:szCs w:val="20"/>
        </w:rPr>
        <w:t xml:space="preserve">13 </w:t>
      </w:r>
      <w:r>
        <w:rPr>
          <w:rFonts w:asciiTheme="majorHAnsi" w:hAnsiTheme="majorHAnsi" w:cs="Arial"/>
          <w:sz w:val="20"/>
          <w:szCs w:val="20"/>
        </w:rPr>
        <w:t xml:space="preserve">he was taken to the hospital for a medical exam, and that subsequently he was taken to the jail of La Plata, where he was held until January </w:t>
      </w:r>
      <w:r w:rsidR="00EA1C6B" w:rsidRPr="00844736">
        <w:rPr>
          <w:rFonts w:asciiTheme="majorHAnsi" w:hAnsiTheme="majorHAnsi" w:cs="Arial"/>
          <w:sz w:val="20"/>
          <w:szCs w:val="20"/>
        </w:rPr>
        <w:t xml:space="preserve">18. </w:t>
      </w:r>
      <w:r>
        <w:rPr>
          <w:rFonts w:asciiTheme="majorHAnsi" w:hAnsiTheme="majorHAnsi" w:cs="Arial"/>
          <w:sz w:val="20"/>
          <w:szCs w:val="20"/>
        </w:rPr>
        <w:t xml:space="preserve">They indicate that on that day, the Criminal Judge for the Circuit of Silvia, based in </w:t>
      </w:r>
      <w:r w:rsidR="009470DA" w:rsidRPr="00844736">
        <w:rPr>
          <w:rFonts w:asciiTheme="majorHAnsi" w:hAnsiTheme="majorHAnsi"/>
          <w:sz w:val="20"/>
          <w:szCs w:val="20"/>
        </w:rPr>
        <w:t xml:space="preserve">Belancazar, Cauca, </w:t>
      </w:r>
      <w:r>
        <w:rPr>
          <w:rFonts w:asciiTheme="majorHAnsi" w:hAnsiTheme="majorHAnsi"/>
          <w:sz w:val="20"/>
          <w:szCs w:val="20"/>
        </w:rPr>
        <w:t xml:space="preserve">ruled to refrain from decreeing any </w:t>
      </w:r>
      <w:r w:rsidR="005B588F">
        <w:rPr>
          <w:rFonts w:asciiTheme="majorHAnsi" w:hAnsiTheme="majorHAnsi"/>
          <w:sz w:val="20"/>
          <w:szCs w:val="20"/>
        </w:rPr>
        <w:t xml:space="preserve">arrest, and ordered him released. </w:t>
      </w:r>
    </w:p>
    <w:p w:rsidR="0016789E" w:rsidRPr="00844736" w:rsidRDefault="0016789E" w:rsidP="0016789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s="Arial"/>
          <w:sz w:val="20"/>
          <w:szCs w:val="20"/>
        </w:rPr>
      </w:pPr>
    </w:p>
    <w:p w:rsidR="0016789E" w:rsidRPr="00844736" w:rsidRDefault="00615560" w:rsidP="009F52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rPr>
      </w:pPr>
      <w:r>
        <w:rPr>
          <w:rFonts w:asciiTheme="majorHAnsi" w:hAnsiTheme="majorHAnsi" w:cs="Arial"/>
          <w:sz w:val="20"/>
          <w:szCs w:val="20"/>
        </w:rPr>
        <w:t xml:space="preserve">A criminal proceeding was begun before the military justice system because of the facts described; after a jurisdictional conflict, the case ended up in the </w:t>
      </w:r>
      <w:r w:rsidR="0013454D">
        <w:rPr>
          <w:rFonts w:asciiTheme="majorHAnsi" w:hAnsiTheme="majorHAnsi" w:cs="Arial"/>
          <w:sz w:val="20"/>
          <w:szCs w:val="20"/>
        </w:rPr>
        <w:t>civilian justice</w:t>
      </w:r>
      <w:r>
        <w:rPr>
          <w:rFonts w:asciiTheme="majorHAnsi" w:hAnsiTheme="majorHAnsi" w:cs="Arial"/>
          <w:sz w:val="20"/>
          <w:szCs w:val="20"/>
        </w:rPr>
        <w:t xml:space="preserve">. According to the information submitted, on August 27, </w:t>
      </w:r>
      <w:r w:rsidR="0016789E" w:rsidRPr="00844736">
        <w:rPr>
          <w:rFonts w:asciiTheme="majorHAnsi" w:hAnsiTheme="majorHAnsi" w:cs="Arial"/>
          <w:sz w:val="20"/>
          <w:szCs w:val="20"/>
        </w:rPr>
        <w:t xml:space="preserve">2010, </w:t>
      </w:r>
      <w:r>
        <w:rPr>
          <w:rFonts w:asciiTheme="majorHAnsi" w:hAnsiTheme="majorHAnsi" w:cs="Arial"/>
          <w:sz w:val="20"/>
          <w:szCs w:val="20"/>
        </w:rPr>
        <w:t>the Office of the 70</w:t>
      </w:r>
      <w:r w:rsidRPr="00615560">
        <w:rPr>
          <w:rFonts w:asciiTheme="majorHAnsi" w:hAnsiTheme="majorHAnsi" w:cs="Arial"/>
          <w:sz w:val="20"/>
          <w:szCs w:val="20"/>
          <w:vertAlign w:val="superscript"/>
        </w:rPr>
        <w:t>th</w:t>
      </w:r>
      <w:r>
        <w:rPr>
          <w:rFonts w:asciiTheme="majorHAnsi" w:hAnsiTheme="majorHAnsi" w:cs="Arial"/>
          <w:sz w:val="20"/>
          <w:szCs w:val="20"/>
        </w:rPr>
        <w:t xml:space="preserve"> Prosecutor (</w:t>
      </w:r>
      <w:r w:rsidR="000D6D3A" w:rsidRPr="00844736">
        <w:rPr>
          <w:rFonts w:asciiTheme="majorHAnsi" w:hAnsiTheme="majorHAnsi" w:cs="Arial"/>
          <w:sz w:val="20"/>
          <w:szCs w:val="20"/>
        </w:rPr>
        <w:t>Fiscalía</w:t>
      </w:r>
      <w:r w:rsidR="0016789E" w:rsidRPr="00844736">
        <w:rPr>
          <w:rFonts w:asciiTheme="majorHAnsi" w:hAnsiTheme="majorHAnsi" w:cs="Arial"/>
          <w:sz w:val="20"/>
          <w:szCs w:val="20"/>
        </w:rPr>
        <w:t xml:space="preserve"> 70</w:t>
      </w:r>
      <w:r>
        <w:rPr>
          <w:rFonts w:asciiTheme="majorHAnsi" w:hAnsiTheme="majorHAnsi" w:cs="Arial"/>
          <w:sz w:val="20"/>
          <w:szCs w:val="20"/>
        </w:rPr>
        <w:t xml:space="preserve">) of the National Unit for Human Rights </w:t>
      </w:r>
      <w:r w:rsidR="009F5241">
        <w:rPr>
          <w:rFonts w:asciiTheme="majorHAnsi" w:hAnsiTheme="majorHAnsi" w:cs="Arial"/>
          <w:sz w:val="20"/>
          <w:szCs w:val="20"/>
        </w:rPr>
        <w:t xml:space="preserve">in </w:t>
      </w:r>
      <w:r>
        <w:rPr>
          <w:rFonts w:asciiTheme="majorHAnsi" w:hAnsiTheme="majorHAnsi" w:cs="Arial"/>
          <w:sz w:val="20"/>
          <w:szCs w:val="20"/>
        </w:rPr>
        <w:t xml:space="preserve">the city of </w:t>
      </w:r>
      <w:r w:rsidR="0016789E" w:rsidRPr="00844736">
        <w:rPr>
          <w:rFonts w:asciiTheme="majorHAnsi" w:hAnsiTheme="majorHAnsi" w:cs="Arial"/>
          <w:sz w:val="20"/>
          <w:szCs w:val="20"/>
        </w:rPr>
        <w:t>Cali</w:t>
      </w:r>
      <w:r w:rsidR="0016789E" w:rsidRPr="00844736">
        <w:t xml:space="preserve"> </w:t>
      </w:r>
      <w:r>
        <w:rPr>
          <w:rFonts w:asciiTheme="majorHAnsi" w:hAnsiTheme="majorHAnsi" w:cs="Arial"/>
          <w:sz w:val="20"/>
          <w:szCs w:val="20"/>
        </w:rPr>
        <w:t xml:space="preserve">handed down an indictment </w:t>
      </w:r>
      <w:r w:rsidR="009F5241">
        <w:rPr>
          <w:rFonts w:asciiTheme="majorHAnsi" w:hAnsiTheme="majorHAnsi" w:cs="Arial"/>
          <w:sz w:val="20"/>
          <w:szCs w:val="20"/>
        </w:rPr>
        <w:t xml:space="preserve">against </w:t>
      </w:r>
      <w:r>
        <w:rPr>
          <w:rFonts w:asciiTheme="majorHAnsi" w:hAnsiTheme="majorHAnsi" w:cs="Arial"/>
          <w:sz w:val="20"/>
          <w:szCs w:val="20"/>
        </w:rPr>
        <w:t xml:space="preserve">soldiers </w:t>
      </w:r>
      <w:r w:rsidR="0016789E" w:rsidRPr="00844736">
        <w:rPr>
          <w:rFonts w:asciiTheme="majorHAnsi" w:hAnsiTheme="majorHAnsi" w:cs="Arial"/>
          <w:sz w:val="20"/>
          <w:szCs w:val="20"/>
        </w:rPr>
        <w:t>Bertulfo Tao Muñoz, Yeison Lozano Cerquera</w:t>
      </w:r>
      <w:r>
        <w:rPr>
          <w:rFonts w:asciiTheme="majorHAnsi" w:hAnsiTheme="majorHAnsi" w:cs="Arial"/>
          <w:sz w:val="20"/>
          <w:szCs w:val="20"/>
        </w:rPr>
        <w:t>,</w:t>
      </w:r>
      <w:r w:rsidR="0016789E" w:rsidRPr="00844736">
        <w:rPr>
          <w:rFonts w:asciiTheme="majorHAnsi" w:hAnsiTheme="majorHAnsi" w:cs="Arial"/>
          <w:sz w:val="20"/>
          <w:szCs w:val="20"/>
        </w:rPr>
        <w:t xml:space="preserve"> </w:t>
      </w:r>
      <w:r>
        <w:rPr>
          <w:rFonts w:asciiTheme="majorHAnsi" w:hAnsiTheme="majorHAnsi" w:cs="Arial"/>
          <w:sz w:val="20"/>
          <w:szCs w:val="20"/>
        </w:rPr>
        <w:t xml:space="preserve">and </w:t>
      </w:r>
      <w:r w:rsidR="0016789E" w:rsidRPr="00844736">
        <w:rPr>
          <w:rFonts w:asciiTheme="majorHAnsi" w:hAnsiTheme="majorHAnsi" w:cs="Arial"/>
          <w:sz w:val="20"/>
          <w:szCs w:val="20"/>
        </w:rPr>
        <w:t>Henry Trujillo Lizcano</w:t>
      </w:r>
      <w:r>
        <w:rPr>
          <w:rFonts w:asciiTheme="majorHAnsi" w:hAnsiTheme="majorHAnsi" w:cs="Arial"/>
          <w:sz w:val="20"/>
          <w:szCs w:val="20"/>
        </w:rPr>
        <w:t xml:space="preserve"> as the alleged director perpetrators of the </w:t>
      </w:r>
      <w:r w:rsidR="009F5241">
        <w:rPr>
          <w:rFonts w:asciiTheme="majorHAnsi" w:hAnsiTheme="majorHAnsi" w:cs="Arial"/>
          <w:sz w:val="20"/>
          <w:szCs w:val="20"/>
        </w:rPr>
        <w:t xml:space="preserve">crimes of aggravated homicide </w:t>
      </w:r>
      <w:r>
        <w:rPr>
          <w:rFonts w:asciiTheme="majorHAnsi" w:hAnsiTheme="majorHAnsi" w:cs="Arial"/>
          <w:sz w:val="20"/>
          <w:szCs w:val="20"/>
        </w:rPr>
        <w:t>(</w:t>
      </w:r>
      <w:r w:rsidR="0016789E" w:rsidRPr="009F5241">
        <w:rPr>
          <w:rFonts w:asciiTheme="majorHAnsi" w:hAnsiTheme="majorHAnsi" w:cs="Arial"/>
          <w:i/>
          <w:iCs/>
          <w:sz w:val="20"/>
          <w:szCs w:val="20"/>
        </w:rPr>
        <w:t>homicidio agravado en concurso homogéneo</w:t>
      </w:r>
      <w:r>
        <w:rPr>
          <w:rFonts w:asciiTheme="majorHAnsi" w:hAnsiTheme="majorHAnsi" w:cs="Arial"/>
          <w:sz w:val="20"/>
          <w:szCs w:val="20"/>
        </w:rPr>
        <w:t xml:space="preserve">) and personal injuries due to attempted homicide with respect to </w:t>
      </w:r>
      <w:r w:rsidR="0016789E" w:rsidRPr="00844736">
        <w:rPr>
          <w:rFonts w:asciiTheme="majorHAnsi" w:hAnsiTheme="majorHAnsi"/>
          <w:sz w:val="20"/>
          <w:szCs w:val="20"/>
        </w:rPr>
        <w:t>Willian José Cunacue Medina</w:t>
      </w:r>
      <w:r w:rsidR="0027139E" w:rsidRPr="00844736">
        <w:rPr>
          <w:rFonts w:asciiTheme="majorHAnsi" w:hAnsiTheme="majorHAnsi"/>
          <w:sz w:val="20"/>
          <w:szCs w:val="20"/>
        </w:rPr>
        <w:t xml:space="preserve">. </w:t>
      </w:r>
    </w:p>
    <w:p w:rsidR="000D6D3A" w:rsidRPr="00844736" w:rsidRDefault="000D6D3A" w:rsidP="000D6D3A">
      <w:pPr>
        <w:pStyle w:val="ListParagraph"/>
        <w:rPr>
          <w:rFonts w:asciiTheme="majorHAnsi" w:hAnsiTheme="majorHAnsi" w:cs="Arial"/>
          <w:sz w:val="20"/>
          <w:szCs w:val="20"/>
        </w:rPr>
      </w:pPr>
    </w:p>
    <w:p w:rsidR="000D6D3A" w:rsidRPr="00844736" w:rsidRDefault="00615560" w:rsidP="0061556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rPr>
      </w:pPr>
      <w:r>
        <w:rPr>
          <w:rFonts w:asciiTheme="majorHAnsi" w:hAnsiTheme="majorHAnsi" w:cs="Arial"/>
          <w:sz w:val="20"/>
          <w:szCs w:val="20"/>
        </w:rPr>
        <w:lastRenderedPageBreak/>
        <w:t xml:space="preserve">They also indicate that on January </w:t>
      </w:r>
      <w:r w:rsidR="00D55C76" w:rsidRPr="00844736">
        <w:rPr>
          <w:rFonts w:asciiTheme="majorHAnsi" w:hAnsiTheme="majorHAnsi" w:cs="Arial"/>
          <w:sz w:val="20"/>
          <w:szCs w:val="20"/>
        </w:rPr>
        <w:t>8</w:t>
      </w:r>
      <w:r>
        <w:rPr>
          <w:rFonts w:asciiTheme="majorHAnsi" w:hAnsiTheme="majorHAnsi" w:cs="Arial"/>
          <w:sz w:val="20"/>
          <w:szCs w:val="20"/>
        </w:rPr>
        <w:t>,</w:t>
      </w:r>
      <w:r w:rsidR="00D55C76" w:rsidRPr="00844736">
        <w:rPr>
          <w:rFonts w:asciiTheme="majorHAnsi" w:hAnsiTheme="majorHAnsi" w:cs="Arial"/>
          <w:sz w:val="20"/>
          <w:szCs w:val="20"/>
        </w:rPr>
        <w:t xml:space="preserve"> </w:t>
      </w:r>
      <w:r w:rsidR="000D6D3A" w:rsidRPr="00844736">
        <w:rPr>
          <w:rFonts w:asciiTheme="majorHAnsi" w:hAnsiTheme="majorHAnsi" w:cs="Arial"/>
          <w:sz w:val="20"/>
          <w:szCs w:val="20"/>
        </w:rPr>
        <w:t>2006</w:t>
      </w:r>
      <w:r>
        <w:rPr>
          <w:rFonts w:asciiTheme="majorHAnsi" w:hAnsiTheme="majorHAnsi" w:cs="Arial"/>
          <w:sz w:val="20"/>
          <w:szCs w:val="20"/>
        </w:rPr>
        <w:t xml:space="preserve">, the next-of-kin of the alleged victims filed a group action before the contentious-administrative jurisdiction. On September </w:t>
      </w:r>
      <w:r w:rsidR="00E9731C" w:rsidRPr="00844736">
        <w:rPr>
          <w:rFonts w:asciiTheme="majorHAnsi" w:hAnsiTheme="majorHAnsi" w:cs="Arial"/>
          <w:sz w:val="20"/>
          <w:szCs w:val="20"/>
        </w:rPr>
        <w:t>10</w:t>
      </w:r>
      <w:r>
        <w:rPr>
          <w:rFonts w:asciiTheme="majorHAnsi" w:hAnsiTheme="majorHAnsi" w:cs="Arial"/>
          <w:sz w:val="20"/>
          <w:szCs w:val="20"/>
        </w:rPr>
        <w:t>,</w:t>
      </w:r>
      <w:r w:rsidR="00E9731C" w:rsidRPr="00844736">
        <w:rPr>
          <w:rFonts w:asciiTheme="majorHAnsi" w:hAnsiTheme="majorHAnsi" w:cs="Arial"/>
          <w:sz w:val="20"/>
          <w:szCs w:val="20"/>
        </w:rPr>
        <w:t xml:space="preserve"> 2009</w:t>
      </w:r>
      <w:r>
        <w:rPr>
          <w:rFonts w:asciiTheme="majorHAnsi" w:hAnsiTheme="majorHAnsi" w:cs="Arial"/>
          <w:sz w:val="20"/>
          <w:szCs w:val="20"/>
        </w:rPr>
        <w:t>,</w:t>
      </w:r>
      <w:r w:rsidR="00E9731C" w:rsidRPr="00844736">
        <w:rPr>
          <w:rFonts w:asciiTheme="majorHAnsi" w:hAnsiTheme="majorHAnsi" w:cs="Arial"/>
          <w:sz w:val="20"/>
          <w:szCs w:val="20"/>
        </w:rPr>
        <w:t xml:space="preserve"> </w:t>
      </w:r>
      <w:r>
        <w:rPr>
          <w:rFonts w:asciiTheme="majorHAnsi" w:hAnsiTheme="majorHAnsi" w:cs="Arial"/>
          <w:sz w:val="20"/>
          <w:szCs w:val="20"/>
        </w:rPr>
        <w:t xml:space="preserve">the Eighth Administrative Court of the Circuit of </w:t>
      </w:r>
      <w:r w:rsidR="00E9731C" w:rsidRPr="00844736">
        <w:rPr>
          <w:rFonts w:asciiTheme="majorHAnsi" w:hAnsiTheme="majorHAnsi" w:cs="Arial"/>
          <w:sz w:val="20"/>
          <w:szCs w:val="20"/>
        </w:rPr>
        <w:t xml:space="preserve">Popayán </w:t>
      </w:r>
      <w:r>
        <w:rPr>
          <w:rFonts w:asciiTheme="majorHAnsi" w:hAnsiTheme="majorHAnsi" w:cs="Arial"/>
          <w:sz w:val="20"/>
          <w:szCs w:val="20"/>
        </w:rPr>
        <w:t xml:space="preserve">handed down a judgment and found the Ministry of Defense-National Army administratively liable, and recognized that damages were owed some of the plaintiffs for compensation for some of the material and non-material </w:t>
      </w:r>
      <w:r w:rsidR="0040175E">
        <w:rPr>
          <w:rFonts w:asciiTheme="majorHAnsi" w:hAnsiTheme="majorHAnsi" w:cs="Arial"/>
          <w:sz w:val="20"/>
          <w:szCs w:val="20"/>
        </w:rPr>
        <w:t>damage</w:t>
      </w:r>
      <w:r>
        <w:rPr>
          <w:rFonts w:asciiTheme="majorHAnsi" w:hAnsiTheme="majorHAnsi" w:cs="Arial"/>
          <w:sz w:val="20"/>
          <w:szCs w:val="20"/>
        </w:rPr>
        <w:t xml:space="preserve">, ordering certain non-pecuniary measures of reparation. That decision was upheld by the Administrative Court of </w:t>
      </w:r>
      <w:r w:rsidR="00E9731C" w:rsidRPr="00844736">
        <w:rPr>
          <w:rFonts w:asciiTheme="majorHAnsi" w:hAnsiTheme="majorHAnsi" w:cs="Arial"/>
          <w:sz w:val="20"/>
          <w:szCs w:val="20"/>
        </w:rPr>
        <w:t xml:space="preserve">Cauca </w:t>
      </w:r>
      <w:r>
        <w:rPr>
          <w:rFonts w:asciiTheme="majorHAnsi" w:hAnsiTheme="majorHAnsi" w:cs="Arial"/>
          <w:sz w:val="20"/>
          <w:szCs w:val="20"/>
        </w:rPr>
        <w:t xml:space="preserve">on March </w:t>
      </w:r>
      <w:r w:rsidR="00E9731C" w:rsidRPr="00844736">
        <w:rPr>
          <w:rFonts w:asciiTheme="majorHAnsi" w:hAnsiTheme="majorHAnsi" w:cs="Arial"/>
          <w:sz w:val="20"/>
          <w:szCs w:val="20"/>
        </w:rPr>
        <w:t>6</w:t>
      </w:r>
      <w:r>
        <w:rPr>
          <w:rFonts w:asciiTheme="majorHAnsi" w:hAnsiTheme="majorHAnsi" w:cs="Arial"/>
          <w:sz w:val="20"/>
          <w:szCs w:val="20"/>
        </w:rPr>
        <w:t>,</w:t>
      </w:r>
      <w:r w:rsidR="00E9731C" w:rsidRPr="00844736">
        <w:rPr>
          <w:rFonts w:asciiTheme="majorHAnsi" w:hAnsiTheme="majorHAnsi" w:cs="Arial"/>
          <w:sz w:val="20"/>
          <w:szCs w:val="20"/>
        </w:rPr>
        <w:t xml:space="preserve"> 2010.</w:t>
      </w:r>
    </w:p>
    <w:p w:rsidR="007C743F" w:rsidRPr="00844736" w:rsidRDefault="007C743F" w:rsidP="007C743F">
      <w:pPr>
        <w:pStyle w:val="ListParagraph"/>
        <w:rPr>
          <w:rFonts w:asciiTheme="majorHAnsi" w:hAnsiTheme="majorHAnsi" w:cs="Arial"/>
          <w:sz w:val="20"/>
          <w:szCs w:val="20"/>
        </w:rPr>
      </w:pPr>
    </w:p>
    <w:p w:rsidR="00FA451A" w:rsidRPr="00844736" w:rsidRDefault="00615560" w:rsidP="009F52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rPr>
      </w:pPr>
      <w:r>
        <w:rPr>
          <w:rFonts w:asciiTheme="majorHAnsi" w:hAnsiTheme="majorHAnsi" w:cs="Arial"/>
          <w:sz w:val="20"/>
          <w:szCs w:val="20"/>
        </w:rPr>
        <w:t xml:space="preserve">In the complaint brief the petitioners ask that the exceptions </w:t>
      </w:r>
      <w:r w:rsidR="00DA278C">
        <w:rPr>
          <w:rFonts w:asciiTheme="majorHAnsi" w:hAnsiTheme="majorHAnsi" w:cs="Arial"/>
          <w:sz w:val="20"/>
          <w:szCs w:val="20"/>
        </w:rPr>
        <w:t xml:space="preserve">contained in </w:t>
      </w:r>
      <w:r>
        <w:rPr>
          <w:rFonts w:asciiTheme="majorHAnsi" w:hAnsiTheme="majorHAnsi" w:cs="Arial"/>
          <w:sz w:val="20"/>
          <w:szCs w:val="20"/>
        </w:rPr>
        <w:t xml:space="preserve">Article 46(2)(a) and (c) of the American Convention be applied to them. With respect to the first exception, which is the lack of due process in the domestic legislation for protecting the rights alleged to have been violated, </w:t>
      </w:r>
      <w:r w:rsidR="00F467E1">
        <w:rPr>
          <w:rFonts w:asciiTheme="majorHAnsi" w:hAnsiTheme="majorHAnsi" w:cs="Arial"/>
          <w:sz w:val="20"/>
          <w:szCs w:val="20"/>
        </w:rPr>
        <w:t xml:space="preserve">they </w:t>
      </w:r>
      <w:r>
        <w:rPr>
          <w:rFonts w:asciiTheme="majorHAnsi" w:hAnsiTheme="majorHAnsi" w:cs="Arial"/>
          <w:sz w:val="20"/>
          <w:szCs w:val="20"/>
        </w:rPr>
        <w:t xml:space="preserve">argue that the assassinations of </w:t>
      </w:r>
      <w:r w:rsidR="00435466">
        <w:rPr>
          <w:rFonts w:asciiTheme="majorHAnsi" w:hAnsiTheme="majorHAnsi" w:cs="Arial"/>
          <w:sz w:val="20"/>
          <w:szCs w:val="20"/>
        </w:rPr>
        <w:t>Hortensia</w:t>
      </w:r>
      <w:r>
        <w:rPr>
          <w:rFonts w:asciiTheme="majorHAnsi" w:hAnsiTheme="majorHAnsi" w:cs="Arial"/>
          <w:sz w:val="20"/>
          <w:szCs w:val="20"/>
        </w:rPr>
        <w:t xml:space="preserve"> Neyid Tunja Cuchumbe and </w:t>
      </w:r>
      <w:r w:rsidR="00C16EAF" w:rsidRPr="00844736">
        <w:rPr>
          <w:rFonts w:asciiTheme="majorHAnsi" w:hAnsiTheme="majorHAnsi" w:cs="Arial"/>
          <w:sz w:val="20"/>
          <w:szCs w:val="20"/>
        </w:rPr>
        <w:t xml:space="preserve">Manuel Antonio Tao Pillimué </w:t>
      </w:r>
      <w:r>
        <w:rPr>
          <w:rFonts w:asciiTheme="majorHAnsi" w:hAnsiTheme="majorHAnsi" w:cs="Arial"/>
          <w:sz w:val="20"/>
          <w:szCs w:val="20"/>
        </w:rPr>
        <w:t>were investigated by the 65</w:t>
      </w:r>
      <w:r w:rsidRPr="00615560">
        <w:rPr>
          <w:rFonts w:asciiTheme="majorHAnsi" w:hAnsiTheme="majorHAnsi" w:cs="Arial"/>
          <w:sz w:val="20"/>
          <w:szCs w:val="20"/>
          <w:vertAlign w:val="superscript"/>
        </w:rPr>
        <w:t>th</w:t>
      </w:r>
      <w:r>
        <w:rPr>
          <w:rFonts w:asciiTheme="majorHAnsi" w:hAnsiTheme="majorHAnsi" w:cs="Arial"/>
          <w:sz w:val="20"/>
          <w:szCs w:val="20"/>
        </w:rPr>
        <w:t xml:space="preserve"> Court of Military Criminal Investigation</w:t>
      </w:r>
      <w:r w:rsidR="005E0399">
        <w:rPr>
          <w:rFonts w:asciiTheme="majorHAnsi" w:hAnsiTheme="majorHAnsi" w:cs="Arial"/>
          <w:sz w:val="20"/>
          <w:szCs w:val="20"/>
        </w:rPr>
        <w:t xml:space="preserve"> before the military jurisdiction, which </w:t>
      </w:r>
      <w:r w:rsidR="00F467E1">
        <w:rPr>
          <w:rFonts w:asciiTheme="majorHAnsi" w:hAnsiTheme="majorHAnsi" w:cs="Arial"/>
          <w:sz w:val="20"/>
          <w:szCs w:val="20"/>
        </w:rPr>
        <w:t xml:space="preserve">would not ensure </w:t>
      </w:r>
      <w:r w:rsidR="005E0399">
        <w:rPr>
          <w:rFonts w:asciiTheme="majorHAnsi" w:hAnsiTheme="majorHAnsi" w:cs="Arial"/>
          <w:sz w:val="20"/>
          <w:szCs w:val="20"/>
        </w:rPr>
        <w:t xml:space="preserve">an adequate and effective remedy to establish and </w:t>
      </w:r>
      <w:r w:rsidR="00F467E1">
        <w:rPr>
          <w:rFonts w:asciiTheme="majorHAnsi" w:hAnsiTheme="majorHAnsi" w:cs="Arial"/>
          <w:sz w:val="20"/>
          <w:szCs w:val="20"/>
        </w:rPr>
        <w:t xml:space="preserve">punish </w:t>
      </w:r>
      <w:r w:rsidR="009F5241">
        <w:rPr>
          <w:rFonts w:asciiTheme="majorHAnsi" w:hAnsiTheme="majorHAnsi" w:cs="Arial"/>
          <w:sz w:val="20"/>
          <w:szCs w:val="20"/>
        </w:rPr>
        <w:t xml:space="preserve">liability </w:t>
      </w:r>
      <w:r w:rsidR="005E0399">
        <w:rPr>
          <w:rFonts w:asciiTheme="majorHAnsi" w:hAnsiTheme="majorHAnsi" w:cs="Arial"/>
          <w:sz w:val="20"/>
          <w:szCs w:val="20"/>
        </w:rPr>
        <w:t xml:space="preserve">for violations </w:t>
      </w:r>
      <w:r w:rsidR="009F5241">
        <w:rPr>
          <w:rFonts w:asciiTheme="majorHAnsi" w:hAnsiTheme="majorHAnsi" w:cs="Arial"/>
          <w:sz w:val="20"/>
          <w:szCs w:val="20"/>
        </w:rPr>
        <w:t xml:space="preserve">of the rights </w:t>
      </w:r>
      <w:r w:rsidR="005E0399">
        <w:rPr>
          <w:rFonts w:asciiTheme="majorHAnsi" w:hAnsiTheme="majorHAnsi" w:cs="Arial"/>
          <w:sz w:val="20"/>
          <w:szCs w:val="20"/>
        </w:rPr>
        <w:t xml:space="preserve">to life, integrity, personal liberty and security, honor and dignity, and also a violation of the principle that </w:t>
      </w:r>
      <w:r w:rsidR="00F467E1">
        <w:rPr>
          <w:rFonts w:asciiTheme="majorHAnsi" w:hAnsiTheme="majorHAnsi" w:cs="Arial"/>
          <w:sz w:val="20"/>
          <w:szCs w:val="20"/>
        </w:rPr>
        <w:t xml:space="preserve">the court </w:t>
      </w:r>
      <w:r w:rsidR="005E0399">
        <w:rPr>
          <w:rFonts w:asciiTheme="majorHAnsi" w:hAnsiTheme="majorHAnsi" w:cs="Arial"/>
          <w:sz w:val="20"/>
          <w:szCs w:val="20"/>
        </w:rPr>
        <w:t xml:space="preserve">be competent by its constitution. As for the second exception, that is, the existence of unwarranted delay in the decision on domestic remedies, among other points they allege that Article </w:t>
      </w:r>
      <w:r w:rsidR="002B7406" w:rsidRPr="00844736">
        <w:rPr>
          <w:rFonts w:asciiTheme="majorHAnsi" w:hAnsiTheme="majorHAnsi" w:cs="Arial"/>
          <w:sz w:val="20"/>
          <w:szCs w:val="20"/>
        </w:rPr>
        <w:t xml:space="preserve">352 </w:t>
      </w:r>
      <w:r w:rsidR="005E0399">
        <w:rPr>
          <w:rFonts w:asciiTheme="majorHAnsi" w:hAnsiTheme="majorHAnsi" w:cs="Arial"/>
          <w:sz w:val="20"/>
          <w:szCs w:val="20"/>
        </w:rPr>
        <w:t xml:space="preserve">of Law </w:t>
      </w:r>
      <w:r w:rsidR="002B7406" w:rsidRPr="00844736">
        <w:rPr>
          <w:rFonts w:asciiTheme="majorHAnsi" w:hAnsiTheme="majorHAnsi" w:cs="Arial"/>
          <w:sz w:val="20"/>
          <w:szCs w:val="20"/>
        </w:rPr>
        <w:t xml:space="preserve">600 </w:t>
      </w:r>
      <w:r w:rsidR="005E0399">
        <w:rPr>
          <w:rFonts w:asciiTheme="majorHAnsi" w:hAnsiTheme="majorHAnsi" w:cs="Arial"/>
          <w:sz w:val="20"/>
          <w:szCs w:val="20"/>
        </w:rPr>
        <w:t xml:space="preserve">of 2000 establishes the maximum term of six months, after which an order is issued to begin the investigation; that period had already lapsed as of the date the complaint was lodged. </w:t>
      </w:r>
      <w:r w:rsidR="00531354">
        <w:rPr>
          <w:rFonts w:asciiTheme="majorHAnsi" w:hAnsiTheme="majorHAnsi" w:cs="Arial"/>
          <w:sz w:val="20"/>
          <w:szCs w:val="20"/>
        </w:rPr>
        <w:t xml:space="preserve">They also state that in the criminal investigation, by order of February 22, </w:t>
      </w:r>
      <w:r w:rsidR="004F37BE" w:rsidRPr="00844736">
        <w:rPr>
          <w:rFonts w:asciiTheme="majorHAnsi" w:hAnsiTheme="majorHAnsi" w:cs="Arial"/>
          <w:sz w:val="20"/>
          <w:szCs w:val="20"/>
        </w:rPr>
        <w:t>2006</w:t>
      </w:r>
      <w:r w:rsidR="00A2073D" w:rsidRPr="00844736">
        <w:rPr>
          <w:rFonts w:asciiTheme="majorHAnsi" w:hAnsiTheme="majorHAnsi" w:cs="Arial"/>
          <w:sz w:val="20"/>
          <w:szCs w:val="20"/>
        </w:rPr>
        <w:t xml:space="preserve">, </w:t>
      </w:r>
      <w:r w:rsidR="00531354">
        <w:rPr>
          <w:rFonts w:asciiTheme="majorHAnsi" w:hAnsiTheme="majorHAnsi" w:cs="Arial"/>
          <w:sz w:val="20"/>
          <w:szCs w:val="20"/>
        </w:rPr>
        <w:t xml:space="preserve">the Attorney General </w:t>
      </w:r>
      <w:r w:rsidR="00F27887">
        <w:rPr>
          <w:rFonts w:asciiTheme="majorHAnsi" w:hAnsiTheme="majorHAnsi" w:cs="Arial"/>
          <w:sz w:val="20"/>
          <w:szCs w:val="20"/>
        </w:rPr>
        <w:t xml:space="preserve">of the Nation ordered a change in the assignment of the investigation to the National Unit for Human Rights and International Humanitarian Law, </w:t>
      </w:r>
      <w:r w:rsidR="009F5241">
        <w:rPr>
          <w:rFonts w:asciiTheme="majorHAnsi" w:hAnsiTheme="majorHAnsi" w:cs="Arial"/>
          <w:sz w:val="20"/>
          <w:szCs w:val="20"/>
        </w:rPr>
        <w:t xml:space="preserve">and </w:t>
      </w:r>
      <w:r w:rsidR="00F27887">
        <w:rPr>
          <w:rFonts w:asciiTheme="majorHAnsi" w:hAnsiTheme="majorHAnsi" w:cs="Arial"/>
          <w:sz w:val="20"/>
          <w:szCs w:val="20"/>
        </w:rPr>
        <w:t>designated the Prosecutor Del</w:t>
      </w:r>
      <w:r w:rsidR="00F467E1">
        <w:rPr>
          <w:rFonts w:asciiTheme="majorHAnsi" w:hAnsiTheme="majorHAnsi" w:cs="Arial"/>
          <w:sz w:val="20"/>
          <w:szCs w:val="20"/>
        </w:rPr>
        <w:t>e</w:t>
      </w:r>
      <w:r w:rsidR="00F27887">
        <w:rPr>
          <w:rFonts w:asciiTheme="majorHAnsi" w:hAnsiTheme="majorHAnsi" w:cs="Arial"/>
          <w:sz w:val="20"/>
          <w:szCs w:val="20"/>
        </w:rPr>
        <w:t>gate before Criminal Circuit Courts assigned to the</w:t>
      </w:r>
      <w:r w:rsidR="009F5241">
        <w:rPr>
          <w:rFonts w:asciiTheme="majorHAnsi" w:hAnsiTheme="majorHAnsi" w:cs="Arial"/>
          <w:sz w:val="20"/>
          <w:szCs w:val="20"/>
        </w:rPr>
        <w:t xml:space="preserve"> National Unit for Human Rights</w:t>
      </w:r>
      <w:r w:rsidR="00F27887">
        <w:rPr>
          <w:rFonts w:asciiTheme="majorHAnsi" w:hAnsiTheme="majorHAnsi" w:cs="Arial"/>
          <w:sz w:val="20"/>
          <w:szCs w:val="20"/>
        </w:rPr>
        <w:t xml:space="preserve"> in </w:t>
      </w:r>
      <w:r w:rsidR="00AE0B95" w:rsidRPr="00844736">
        <w:rPr>
          <w:rFonts w:asciiTheme="majorHAnsi" w:hAnsiTheme="majorHAnsi" w:cs="Arial"/>
          <w:sz w:val="20"/>
          <w:szCs w:val="20"/>
        </w:rPr>
        <w:t xml:space="preserve">Cali. </w:t>
      </w:r>
      <w:r w:rsidR="00F27887">
        <w:rPr>
          <w:rFonts w:asciiTheme="majorHAnsi" w:hAnsiTheme="majorHAnsi" w:cs="Arial"/>
          <w:sz w:val="20"/>
          <w:szCs w:val="20"/>
        </w:rPr>
        <w:t xml:space="preserve">They indicate that on May </w:t>
      </w:r>
      <w:r w:rsidR="00AE0B95" w:rsidRPr="00844736">
        <w:rPr>
          <w:rFonts w:asciiTheme="majorHAnsi" w:hAnsiTheme="majorHAnsi" w:cs="Arial"/>
          <w:sz w:val="20"/>
          <w:szCs w:val="20"/>
        </w:rPr>
        <w:t>3</w:t>
      </w:r>
      <w:r w:rsidR="00F27887">
        <w:rPr>
          <w:rFonts w:asciiTheme="majorHAnsi" w:hAnsiTheme="majorHAnsi" w:cs="Arial"/>
          <w:sz w:val="20"/>
          <w:szCs w:val="20"/>
        </w:rPr>
        <w:t>,</w:t>
      </w:r>
      <w:r w:rsidR="00AE0B95" w:rsidRPr="00844736">
        <w:rPr>
          <w:rFonts w:asciiTheme="majorHAnsi" w:hAnsiTheme="majorHAnsi" w:cs="Arial"/>
          <w:sz w:val="20"/>
          <w:szCs w:val="20"/>
        </w:rPr>
        <w:t xml:space="preserve"> 2006</w:t>
      </w:r>
      <w:r w:rsidR="00F27887">
        <w:rPr>
          <w:rFonts w:asciiTheme="majorHAnsi" w:hAnsiTheme="majorHAnsi" w:cs="Arial"/>
          <w:sz w:val="20"/>
          <w:szCs w:val="20"/>
        </w:rPr>
        <w:t>, the attorney for the alleged victims came forward as a civil party, and that as of that date the matter was still being transferred, without any case number assigned or specialized prosecut</w:t>
      </w:r>
      <w:r w:rsidR="009F5241">
        <w:rPr>
          <w:rFonts w:asciiTheme="majorHAnsi" w:hAnsiTheme="majorHAnsi" w:cs="Arial"/>
          <w:sz w:val="20"/>
          <w:szCs w:val="20"/>
        </w:rPr>
        <w:t xml:space="preserve">orial office to assume the case. Thus </w:t>
      </w:r>
      <w:r w:rsidR="00F27887">
        <w:rPr>
          <w:rFonts w:asciiTheme="majorHAnsi" w:hAnsiTheme="majorHAnsi" w:cs="Arial"/>
          <w:sz w:val="20"/>
          <w:szCs w:val="20"/>
        </w:rPr>
        <w:t xml:space="preserve">three months elapsed in which the preliminary investigation came to a standstill due to the delay in the transfer </w:t>
      </w:r>
      <w:r w:rsidR="009F5241">
        <w:rPr>
          <w:rFonts w:asciiTheme="majorHAnsi" w:hAnsiTheme="majorHAnsi" w:cs="Arial"/>
          <w:sz w:val="20"/>
          <w:szCs w:val="20"/>
        </w:rPr>
        <w:t xml:space="preserve">of the matter </w:t>
      </w:r>
      <w:r w:rsidR="00F27887">
        <w:rPr>
          <w:rFonts w:asciiTheme="majorHAnsi" w:hAnsiTheme="majorHAnsi" w:cs="Arial"/>
          <w:sz w:val="20"/>
          <w:szCs w:val="20"/>
        </w:rPr>
        <w:t xml:space="preserve">from one prosecutorial office to another within the Office of the Attorney General. Moreover, they argue that the evidence ordered was not collected, and that nine months have gone by and the preliminary investigation is still under way. </w:t>
      </w:r>
      <w:r w:rsidR="00F467E1">
        <w:rPr>
          <w:rFonts w:asciiTheme="majorHAnsi" w:hAnsiTheme="majorHAnsi" w:cs="Arial"/>
          <w:sz w:val="20"/>
          <w:szCs w:val="20"/>
        </w:rPr>
        <w:t xml:space="preserve"> </w:t>
      </w:r>
    </w:p>
    <w:p w:rsidR="00BD59AF" w:rsidRPr="00844736" w:rsidRDefault="00BD59AF" w:rsidP="00A07CD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rPr>
      </w:pPr>
    </w:p>
    <w:p w:rsidR="003F31F9" w:rsidRPr="00844736" w:rsidRDefault="00F27887" w:rsidP="002700C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rPr>
      </w:pPr>
      <w:r>
        <w:rPr>
          <w:rFonts w:asciiTheme="majorHAnsi" w:hAnsiTheme="majorHAnsi" w:cs="Arial"/>
          <w:sz w:val="20"/>
          <w:szCs w:val="20"/>
        </w:rPr>
        <w:t xml:space="preserve">By brief of September </w:t>
      </w:r>
      <w:r w:rsidR="0054334B" w:rsidRPr="00844736">
        <w:rPr>
          <w:rFonts w:asciiTheme="majorHAnsi" w:hAnsiTheme="majorHAnsi" w:cs="Arial"/>
          <w:sz w:val="20"/>
          <w:szCs w:val="20"/>
        </w:rPr>
        <w:t>16</w:t>
      </w:r>
      <w:r>
        <w:rPr>
          <w:rFonts w:asciiTheme="majorHAnsi" w:hAnsiTheme="majorHAnsi" w:cs="Arial"/>
          <w:sz w:val="20"/>
          <w:szCs w:val="20"/>
        </w:rPr>
        <w:t>,</w:t>
      </w:r>
      <w:r w:rsidR="0054334B" w:rsidRPr="00844736">
        <w:rPr>
          <w:rFonts w:asciiTheme="majorHAnsi" w:hAnsiTheme="majorHAnsi" w:cs="Arial"/>
          <w:sz w:val="20"/>
          <w:szCs w:val="20"/>
        </w:rPr>
        <w:t xml:space="preserve"> 2014</w:t>
      </w:r>
      <w:r w:rsidR="000552D0" w:rsidRPr="00844736">
        <w:rPr>
          <w:rFonts w:asciiTheme="majorHAnsi" w:hAnsiTheme="majorHAnsi" w:cs="Arial"/>
          <w:sz w:val="20"/>
          <w:szCs w:val="20"/>
        </w:rPr>
        <w:t>,</w:t>
      </w:r>
      <w:r w:rsidR="00BD59AF" w:rsidRPr="00844736">
        <w:rPr>
          <w:rFonts w:asciiTheme="majorHAnsi" w:hAnsiTheme="majorHAnsi" w:cs="Arial"/>
          <w:sz w:val="20"/>
          <w:szCs w:val="20"/>
        </w:rPr>
        <w:t xml:space="preserve"> </w:t>
      </w:r>
      <w:r>
        <w:rPr>
          <w:rFonts w:asciiTheme="majorHAnsi" w:hAnsiTheme="majorHAnsi" w:cs="Arial"/>
          <w:sz w:val="20"/>
          <w:szCs w:val="20"/>
        </w:rPr>
        <w:t>the petitioners indicate that more than eight years have gone by since the facts with</w:t>
      </w:r>
      <w:r w:rsidR="00F467E1">
        <w:rPr>
          <w:rFonts w:asciiTheme="majorHAnsi" w:hAnsiTheme="majorHAnsi" w:cs="Arial"/>
          <w:sz w:val="20"/>
          <w:szCs w:val="20"/>
        </w:rPr>
        <w:t>out there being a firm decision</w:t>
      </w:r>
      <w:r>
        <w:rPr>
          <w:rFonts w:asciiTheme="majorHAnsi" w:hAnsiTheme="majorHAnsi" w:cs="Arial"/>
          <w:sz w:val="20"/>
          <w:szCs w:val="20"/>
        </w:rPr>
        <w:t xml:space="preserve"> as to the responsibility of the state agents, thus they adduce the exception of unwarranted delay in the decision on domestic remedies, provided for at Article 46(</w:t>
      </w:r>
      <w:r w:rsidR="00BD59AF" w:rsidRPr="00844736">
        <w:rPr>
          <w:rFonts w:asciiTheme="majorHAnsi" w:hAnsiTheme="majorHAnsi" w:cs="Arial"/>
          <w:sz w:val="20"/>
          <w:szCs w:val="20"/>
        </w:rPr>
        <w:t>2</w:t>
      </w:r>
      <w:r>
        <w:rPr>
          <w:rFonts w:asciiTheme="majorHAnsi" w:hAnsiTheme="majorHAnsi" w:cs="Arial"/>
          <w:sz w:val="20"/>
          <w:szCs w:val="20"/>
        </w:rPr>
        <w:t>)(</w:t>
      </w:r>
      <w:r w:rsidR="00BD59AF" w:rsidRPr="00844736">
        <w:rPr>
          <w:rFonts w:asciiTheme="majorHAnsi" w:hAnsiTheme="majorHAnsi" w:cs="Arial"/>
          <w:sz w:val="20"/>
          <w:szCs w:val="20"/>
        </w:rPr>
        <w:t>c</w:t>
      </w:r>
      <w:r>
        <w:rPr>
          <w:rFonts w:asciiTheme="majorHAnsi" w:hAnsiTheme="majorHAnsi" w:cs="Arial"/>
          <w:sz w:val="20"/>
          <w:szCs w:val="20"/>
        </w:rPr>
        <w:t>)</w:t>
      </w:r>
      <w:r w:rsidR="00BD59AF" w:rsidRPr="00844736">
        <w:rPr>
          <w:rFonts w:asciiTheme="majorHAnsi" w:hAnsiTheme="majorHAnsi" w:cs="Arial"/>
          <w:sz w:val="20"/>
          <w:szCs w:val="20"/>
        </w:rPr>
        <w:t xml:space="preserve"> </w:t>
      </w:r>
      <w:r>
        <w:rPr>
          <w:rFonts w:asciiTheme="majorHAnsi" w:hAnsiTheme="majorHAnsi" w:cs="Arial"/>
          <w:sz w:val="20"/>
          <w:szCs w:val="20"/>
        </w:rPr>
        <w:t>of the American Convention. In addition, with respect to the contentious-administrative jurisdiction, they argue that while non-pecuniary measures were ordered</w:t>
      </w:r>
      <w:r w:rsidR="004954A6">
        <w:rPr>
          <w:rFonts w:asciiTheme="majorHAnsi" w:hAnsiTheme="majorHAnsi" w:cs="Arial"/>
          <w:sz w:val="20"/>
          <w:szCs w:val="20"/>
        </w:rPr>
        <w:t xml:space="preserve">, these </w:t>
      </w:r>
      <w:r>
        <w:rPr>
          <w:rFonts w:asciiTheme="majorHAnsi" w:hAnsiTheme="majorHAnsi" w:cs="Arial"/>
          <w:sz w:val="20"/>
          <w:szCs w:val="20"/>
        </w:rPr>
        <w:t xml:space="preserve">do not </w:t>
      </w:r>
      <w:r w:rsidR="004954A6">
        <w:rPr>
          <w:rFonts w:asciiTheme="majorHAnsi" w:hAnsiTheme="majorHAnsi" w:cs="Arial"/>
          <w:sz w:val="20"/>
          <w:szCs w:val="20"/>
        </w:rPr>
        <w:t xml:space="preserve">make </w:t>
      </w:r>
      <w:r w:rsidR="00F467E1">
        <w:rPr>
          <w:rFonts w:asciiTheme="majorHAnsi" w:hAnsiTheme="majorHAnsi" w:cs="Arial"/>
          <w:sz w:val="20"/>
          <w:szCs w:val="20"/>
        </w:rPr>
        <w:t xml:space="preserve">it </w:t>
      </w:r>
      <w:r>
        <w:rPr>
          <w:rFonts w:asciiTheme="majorHAnsi" w:hAnsiTheme="majorHAnsi" w:cs="Arial"/>
          <w:sz w:val="20"/>
          <w:szCs w:val="20"/>
        </w:rPr>
        <w:t>an effective remedy that must be exhausted for the p</w:t>
      </w:r>
      <w:r w:rsidR="00F467E1">
        <w:rPr>
          <w:rFonts w:asciiTheme="majorHAnsi" w:hAnsiTheme="majorHAnsi" w:cs="Arial"/>
          <w:sz w:val="20"/>
          <w:szCs w:val="20"/>
        </w:rPr>
        <w:t xml:space="preserve">etition to be found admissible; </w:t>
      </w:r>
      <w:r>
        <w:rPr>
          <w:rFonts w:asciiTheme="majorHAnsi" w:hAnsiTheme="majorHAnsi" w:cs="Arial"/>
          <w:sz w:val="20"/>
          <w:szCs w:val="20"/>
        </w:rPr>
        <w:t xml:space="preserve">and that the non-pecuniary measures ordered </w:t>
      </w:r>
      <w:r w:rsidR="00F467E1">
        <w:rPr>
          <w:rFonts w:asciiTheme="majorHAnsi" w:hAnsiTheme="majorHAnsi" w:cs="Arial"/>
          <w:sz w:val="20"/>
          <w:szCs w:val="20"/>
        </w:rPr>
        <w:t xml:space="preserve">do not </w:t>
      </w:r>
      <w:r>
        <w:rPr>
          <w:rFonts w:asciiTheme="majorHAnsi" w:hAnsiTheme="majorHAnsi" w:cs="Arial"/>
          <w:sz w:val="20"/>
          <w:szCs w:val="20"/>
        </w:rPr>
        <w:t xml:space="preserve">constitute a mechanism of reparation </w:t>
      </w:r>
      <w:r w:rsidR="004954A6">
        <w:rPr>
          <w:rFonts w:asciiTheme="majorHAnsi" w:hAnsiTheme="majorHAnsi" w:cs="Arial"/>
          <w:sz w:val="20"/>
          <w:szCs w:val="20"/>
        </w:rPr>
        <w:t xml:space="preserve">as per </w:t>
      </w:r>
      <w:r>
        <w:rPr>
          <w:rFonts w:asciiTheme="majorHAnsi" w:hAnsiTheme="majorHAnsi" w:cs="Arial"/>
          <w:sz w:val="20"/>
          <w:szCs w:val="20"/>
        </w:rPr>
        <w:t xml:space="preserve">the standards of the system, for </w:t>
      </w:r>
      <w:r w:rsidR="00F467E1">
        <w:rPr>
          <w:rFonts w:asciiTheme="majorHAnsi" w:hAnsiTheme="majorHAnsi" w:cs="Arial"/>
          <w:sz w:val="20"/>
          <w:szCs w:val="20"/>
        </w:rPr>
        <w:t xml:space="preserve">they were </w:t>
      </w:r>
      <w:r>
        <w:rPr>
          <w:rFonts w:asciiTheme="majorHAnsi" w:hAnsiTheme="majorHAnsi" w:cs="Arial"/>
          <w:sz w:val="20"/>
          <w:szCs w:val="20"/>
        </w:rPr>
        <w:t xml:space="preserve">not the result of a consensus reached with the victims. </w:t>
      </w:r>
      <w:r w:rsidR="00F467E1">
        <w:rPr>
          <w:rFonts w:asciiTheme="majorHAnsi" w:hAnsiTheme="majorHAnsi" w:cs="Arial"/>
          <w:sz w:val="20"/>
          <w:szCs w:val="20"/>
        </w:rPr>
        <w:t xml:space="preserve">Petitioners </w:t>
      </w:r>
      <w:r>
        <w:rPr>
          <w:rFonts w:asciiTheme="majorHAnsi" w:hAnsiTheme="majorHAnsi" w:cs="Arial"/>
          <w:sz w:val="20"/>
          <w:szCs w:val="20"/>
        </w:rPr>
        <w:t xml:space="preserve">also state that the expectation of the alleged victims is focused on the investigation, processing, and criminal sanction of the persons responsible, for which the contentious-administrative procedure is not a suitable mechanism.  </w:t>
      </w:r>
    </w:p>
    <w:p w:rsidR="003872C5" w:rsidRPr="00844736" w:rsidRDefault="003872C5" w:rsidP="0041762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rPr>
      </w:pPr>
    </w:p>
    <w:p w:rsidR="0063685A" w:rsidRPr="00844736" w:rsidRDefault="00F27887" w:rsidP="00F2788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rPr>
      </w:pPr>
      <w:r>
        <w:rPr>
          <w:rFonts w:asciiTheme="majorHAnsi" w:hAnsiTheme="majorHAnsi" w:cs="Arial"/>
          <w:sz w:val="20"/>
          <w:szCs w:val="20"/>
        </w:rPr>
        <w:t xml:space="preserve">Based on the foregoing, the petitioners allege that the State violated the rights recognized in Articles </w:t>
      </w:r>
      <w:r w:rsidR="00472905" w:rsidRPr="00844736">
        <w:rPr>
          <w:rFonts w:asciiTheme="majorHAnsi" w:hAnsiTheme="majorHAnsi"/>
          <w:sz w:val="20"/>
          <w:szCs w:val="20"/>
        </w:rPr>
        <w:t xml:space="preserve">1, 4, 5, </w:t>
      </w:r>
      <w:r w:rsidR="001F34FB" w:rsidRPr="00844736">
        <w:rPr>
          <w:rFonts w:asciiTheme="majorHAnsi" w:hAnsiTheme="majorHAnsi"/>
          <w:sz w:val="20"/>
          <w:szCs w:val="20"/>
        </w:rPr>
        <w:t xml:space="preserve">7, </w:t>
      </w:r>
      <w:r w:rsidR="00472905" w:rsidRPr="00844736">
        <w:rPr>
          <w:rFonts w:asciiTheme="majorHAnsi" w:hAnsiTheme="majorHAnsi"/>
          <w:sz w:val="20"/>
          <w:szCs w:val="20"/>
        </w:rPr>
        <w:t>8</w:t>
      </w:r>
      <w:r w:rsidR="00142F69" w:rsidRPr="00844736">
        <w:rPr>
          <w:rFonts w:asciiTheme="majorHAnsi" w:hAnsiTheme="majorHAnsi"/>
          <w:sz w:val="20"/>
          <w:szCs w:val="20"/>
        </w:rPr>
        <w:t>, 11</w:t>
      </w:r>
      <w:r>
        <w:rPr>
          <w:rFonts w:asciiTheme="majorHAnsi" w:hAnsiTheme="majorHAnsi"/>
          <w:sz w:val="20"/>
          <w:szCs w:val="20"/>
        </w:rPr>
        <w:t>,</w:t>
      </w:r>
      <w:r w:rsidR="00472905" w:rsidRPr="00844736">
        <w:rPr>
          <w:rFonts w:asciiTheme="majorHAnsi" w:hAnsiTheme="majorHAnsi"/>
          <w:sz w:val="20"/>
          <w:szCs w:val="20"/>
        </w:rPr>
        <w:t xml:space="preserve"> </w:t>
      </w:r>
      <w:r>
        <w:rPr>
          <w:rFonts w:asciiTheme="majorHAnsi" w:hAnsiTheme="majorHAnsi"/>
          <w:sz w:val="20"/>
          <w:szCs w:val="20"/>
        </w:rPr>
        <w:t xml:space="preserve">and </w:t>
      </w:r>
      <w:r w:rsidR="00472905" w:rsidRPr="00844736">
        <w:rPr>
          <w:rFonts w:asciiTheme="majorHAnsi" w:hAnsiTheme="majorHAnsi"/>
          <w:sz w:val="20"/>
          <w:szCs w:val="20"/>
        </w:rPr>
        <w:t>25</w:t>
      </w:r>
      <w:r w:rsidR="0063685A" w:rsidRPr="00844736">
        <w:rPr>
          <w:rFonts w:asciiTheme="majorHAnsi" w:hAnsiTheme="majorHAnsi" w:cs="Arial"/>
          <w:sz w:val="20"/>
          <w:szCs w:val="20"/>
        </w:rPr>
        <w:t xml:space="preserve"> </w:t>
      </w:r>
      <w:r>
        <w:rPr>
          <w:rFonts w:asciiTheme="majorHAnsi" w:hAnsiTheme="majorHAnsi" w:cs="Arial"/>
          <w:sz w:val="20"/>
          <w:szCs w:val="20"/>
        </w:rPr>
        <w:t xml:space="preserve">of the </w:t>
      </w:r>
      <w:r w:rsidR="0063685A" w:rsidRPr="00844736">
        <w:rPr>
          <w:rFonts w:asciiTheme="majorHAnsi" w:hAnsiTheme="majorHAnsi" w:cs="Arial"/>
          <w:sz w:val="20"/>
          <w:szCs w:val="20"/>
        </w:rPr>
        <w:t>American</w:t>
      </w:r>
      <w:r>
        <w:rPr>
          <w:rFonts w:asciiTheme="majorHAnsi" w:hAnsiTheme="majorHAnsi" w:cs="Arial"/>
          <w:sz w:val="20"/>
          <w:szCs w:val="20"/>
        </w:rPr>
        <w:t xml:space="preserve"> Convention to the detriment of </w:t>
      </w:r>
      <w:r w:rsidR="00435466">
        <w:rPr>
          <w:rFonts w:asciiTheme="majorHAnsi" w:hAnsiTheme="majorHAnsi"/>
          <w:sz w:val="20"/>
          <w:szCs w:val="20"/>
        </w:rPr>
        <w:t>Hortensia</w:t>
      </w:r>
      <w:r w:rsidR="00472905" w:rsidRPr="00844736">
        <w:rPr>
          <w:rFonts w:asciiTheme="majorHAnsi" w:hAnsiTheme="majorHAnsi"/>
          <w:sz w:val="20"/>
          <w:szCs w:val="20"/>
        </w:rPr>
        <w:t xml:space="preserve"> Neyid Tunja Cuchumb</w:t>
      </w:r>
      <w:r>
        <w:rPr>
          <w:rFonts w:asciiTheme="majorHAnsi" w:hAnsiTheme="majorHAnsi"/>
          <w:sz w:val="20"/>
          <w:szCs w:val="20"/>
        </w:rPr>
        <w:t>e, Manuel Antonio Tao Pillimué,</w:t>
      </w:r>
      <w:r w:rsidR="00472905" w:rsidRPr="00844736">
        <w:rPr>
          <w:rFonts w:asciiTheme="majorHAnsi" w:hAnsiTheme="majorHAnsi"/>
          <w:sz w:val="20"/>
          <w:szCs w:val="20"/>
        </w:rPr>
        <w:t xml:space="preserve"> </w:t>
      </w:r>
      <w:r>
        <w:rPr>
          <w:rFonts w:asciiTheme="majorHAnsi" w:hAnsiTheme="majorHAnsi"/>
          <w:sz w:val="20"/>
          <w:szCs w:val="20"/>
        </w:rPr>
        <w:t xml:space="preserve">and </w:t>
      </w:r>
      <w:r w:rsidR="00472905" w:rsidRPr="00844736">
        <w:rPr>
          <w:rFonts w:asciiTheme="majorHAnsi" w:hAnsiTheme="majorHAnsi"/>
          <w:sz w:val="20"/>
          <w:szCs w:val="20"/>
        </w:rPr>
        <w:t>Willian José Cunacue Medina</w:t>
      </w:r>
      <w:r w:rsidR="0063685A" w:rsidRPr="00844736">
        <w:rPr>
          <w:rFonts w:asciiTheme="majorHAnsi" w:hAnsiTheme="majorHAnsi" w:cs="Arial"/>
          <w:sz w:val="20"/>
          <w:szCs w:val="20"/>
        </w:rPr>
        <w:t>.</w:t>
      </w:r>
      <w:r w:rsidR="00472905" w:rsidRPr="00844736">
        <w:rPr>
          <w:rFonts w:asciiTheme="majorHAnsi" w:hAnsiTheme="majorHAnsi" w:cs="Arial"/>
          <w:sz w:val="20"/>
          <w:szCs w:val="20"/>
        </w:rPr>
        <w:t xml:space="preserve"> </w:t>
      </w:r>
    </w:p>
    <w:p w:rsidR="00547D7F" w:rsidRPr="00844736"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rPr>
      </w:pPr>
    </w:p>
    <w:p w:rsidR="0063685A" w:rsidRPr="00844736" w:rsidRDefault="0063685A" w:rsidP="00F27887">
      <w:pPr>
        <w:spacing w:after="240"/>
        <w:ind w:firstLine="720"/>
        <w:jc w:val="both"/>
        <w:rPr>
          <w:rFonts w:asciiTheme="majorHAnsi" w:hAnsiTheme="majorHAnsi"/>
          <w:b/>
          <w:bCs/>
          <w:sz w:val="20"/>
          <w:szCs w:val="20"/>
        </w:rPr>
      </w:pPr>
      <w:r w:rsidRPr="00844736">
        <w:rPr>
          <w:rFonts w:asciiTheme="majorHAnsi" w:hAnsiTheme="majorHAnsi"/>
          <w:b/>
          <w:bCs/>
          <w:sz w:val="20"/>
          <w:szCs w:val="20"/>
        </w:rPr>
        <w:t>B.</w:t>
      </w:r>
      <w:r w:rsidRPr="00844736">
        <w:rPr>
          <w:rFonts w:asciiTheme="majorHAnsi" w:hAnsiTheme="majorHAnsi"/>
          <w:b/>
          <w:bCs/>
          <w:sz w:val="20"/>
          <w:szCs w:val="20"/>
        </w:rPr>
        <w:tab/>
      </w:r>
      <w:r w:rsidR="00F27887">
        <w:rPr>
          <w:rFonts w:asciiTheme="majorHAnsi" w:hAnsiTheme="majorHAnsi"/>
          <w:b/>
          <w:bCs/>
          <w:sz w:val="20"/>
          <w:szCs w:val="20"/>
        </w:rPr>
        <w:t xml:space="preserve">The State’s position </w:t>
      </w:r>
    </w:p>
    <w:p w:rsidR="006D142D" w:rsidRPr="00844736" w:rsidRDefault="00F27887" w:rsidP="00AB1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According to the State the petitioner</w:t>
      </w:r>
      <w:r w:rsidR="00AB1A20">
        <w:rPr>
          <w:rFonts w:asciiTheme="majorHAnsi" w:hAnsiTheme="majorHAnsi"/>
          <w:sz w:val="20"/>
          <w:szCs w:val="20"/>
        </w:rPr>
        <w:t>s</w:t>
      </w:r>
      <w:r>
        <w:rPr>
          <w:rFonts w:asciiTheme="majorHAnsi" w:hAnsiTheme="majorHAnsi"/>
          <w:sz w:val="20"/>
          <w:szCs w:val="20"/>
        </w:rPr>
        <w:t xml:space="preserve"> have failed to exhaust domestic remedies. The State indicates that there is a criminal proceeding </w:t>
      </w:r>
      <w:r w:rsidR="0037012C">
        <w:rPr>
          <w:rFonts w:asciiTheme="majorHAnsi" w:hAnsiTheme="majorHAnsi"/>
          <w:sz w:val="20"/>
          <w:szCs w:val="20"/>
        </w:rPr>
        <w:t xml:space="preserve">addressing the facts, </w:t>
      </w:r>
      <w:r w:rsidR="00205B4D">
        <w:rPr>
          <w:rFonts w:asciiTheme="majorHAnsi" w:hAnsiTheme="majorHAnsi"/>
          <w:sz w:val="20"/>
          <w:szCs w:val="20"/>
        </w:rPr>
        <w:t>com</w:t>
      </w:r>
      <w:r w:rsidR="0037012C">
        <w:rPr>
          <w:rFonts w:asciiTheme="majorHAnsi" w:hAnsiTheme="majorHAnsi"/>
          <w:sz w:val="20"/>
          <w:szCs w:val="20"/>
        </w:rPr>
        <w:t xml:space="preserve">plemented by a disciplinary investigation and a contentious-administrative proceeding, all under way, investigating what happened to the alleged victims. In particular, as regards the criminal proceeding it argues that </w:t>
      </w:r>
      <w:r w:rsidR="00AB1A20">
        <w:rPr>
          <w:rFonts w:asciiTheme="majorHAnsi" w:hAnsiTheme="majorHAnsi"/>
          <w:sz w:val="20"/>
          <w:szCs w:val="20"/>
        </w:rPr>
        <w:t xml:space="preserve">it is </w:t>
      </w:r>
      <w:r w:rsidR="0037012C">
        <w:rPr>
          <w:rFonts w:asciiTheme="majorHAnsi" w:hAnsiTheme="majorHAnsi"/>
          <w:sz w:val="20"/>
          <w:szCs w:val="20"/>
        </w:rPr>
        <w:t>a suit</w:t>
      </w:r>
      <w:r w:rsidR="00AB1A20">
        <w:rPr>
          <w:rFonts w:asciiTheme="majorHAnsi" w:hAnsiTheme="majorHAnsi"/>
          <w:sz w:val="20"/>
          <w:szCs w:val="20"/>
        </w:rPr>
        <w:t xml:space="preserve">able remedy that </w:t>
      </w:r>
      <w:r w:rsidR="0037012C">
        <w:rPr>
          <w:rFonts w:asciiTheme="majorHAnsi" w:hAnsiTheme="majorHAnsi"/>
          <w:sz w:val="20"/>
          <w:szCs w:val="20"/>
        </w:rPr>
        <w:t xml:space="preserve">has yet to be exhausted, and that it is clearly within a reasonable time. </w:t>
      </w:r>
      <w:r w:rsidR="00AB1A20">
        <w:rPr>
          <w:rFonts w:asciiTheme="majorHAnsi" w:hAnsiTheme="majorHAnsi"/>
          <w:sz w:val="20"/>
          <w:szCs w:val="20"/>
        </w:rPr>
        <w:t xml:space="preserve"> </w:t>
      </w:r>
    </w:p>
    <w:p w:rsidR="00813100" w:rsidRPr="00844736" w:rsidRDefault="0037012C" w:rsidP="00501C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Specifically, in terms of criminal justice, </w:t>
      </w:r>
      <w:r w:rsidR="0002053F">
        <w:rPr>
          <w:rFonts w:asciiTheme="majorHAnsi" w:hAnsiTheme="majorHAnsi"/>
          <w:sz w:val="20"/>
          <w:szCs w:val="20"/>
        </w:rPr>
        <w:t xml:space="preserve">the State </w:t>
      </w:r>
      <w:r>
        <w:rPr>
          <w:rFonts w:asciiTheme="majorHAnsi" w:hAnsiTheme="majorHAnsi"/>
          <w:sz w:val="20"/>
          <w:szCs w:val="20"/>
        </w:rPr>
        <w:t xml:space="preserve">notes that on June </w:t>
      </w:r>
      <w:r w:rsidR="005B0E7F" w:rsidRPr="00844736">
        <w:rPr>
          <w:rFonts w:asciiTheme="majorHAnsi" w:hAnsiTheme="majorHAnsi"/>
          <w:sz w:val="20"/>
          <w:szCs w:val="20"/>
        </w:rPr>
        <w:t>9</w:t>
      </w:r>
      <w:r>
        <w:rPr>
          <w:rFonts w:asciiTheme="majorHAnsi" w:hAnsiTheme="majorHAnsi"/>
          <w:sz w:val="20"/>
          <w:szCs w:val="20"/>
        </w:rPr>
        <w:t>,</w:t>
      </w:r>
      <w:r w:rsidR="005B0E7F" w:rsidRPr="00844736">
        <w:rPr>
          <w:rFonts w:asciiTheme="majorHAnsi" w:hAnsiTheme="majorHAnsi"/>
          <w:sz w:val="20"/>
          <w:szCs w:val="20"/>
        </w:rPr>
        <w:t xml:space="preserve"> 2008</w:t>
      </w:r>
      <w:r>
        <w:rPr>
          <w:rFonts w:asciiTheme="majorHAnsi" w:hAnsiTheme="majorHAnsi"/>
          <w:sz w:val="20"/>
          <w:szCs w:val="20"/>
        </w:rPr>
        <w:t xml:space="preserve">, it was ordered that the investigation into </w:t>
      </w:r>
      <w:r w:rsidR="005B0E7F" w:rsidRPr="00844736">
        <w:rPr>
          <w:rFonts w:asciiTheme="majorHAnsi" w:hAnsiTheme="majorHAnsi"/>
          <w:sz w:val="20"/>
          <w:szCs w:val="20"/>
        </w:rPr>
        <w:t xml:space="preserve">Willian Jose Cunacue </w:t>
      </w:r>
      <w:r>
        <w:rPr>
          <w:rFonts w:asciiTheme="majorHAnsi" w:hAnsiTheme="majorHAnsi"/>
          <w:sz w:val="20"/>
          <w:szCs w:val="20"/>
        </w:rPr>
        <w:t xml:space="preserve">for the crime of rebellion </w:t>
      </w:r>
      <w:r w:rsidR="0002053F">
        <w:rPr>
          <w:rFonts w:asciiTheme="majorHAnsi" w:hAnsiTheme="majorHAnsi"/>
          <w:sz w:val="20"/>
          <w:szCs w:val="20"/>
        </w:rPr>
        <w:t xml:space="preserve">be </w:t>
      </w:r>
      <w:r>
        <w:rPr>
          <w:rFonts w:asciiTheme="majorHAnsi" w:hAnsiTheme="majorHAnsi"/>
          <w:sz w:val="20"/>
          <w:szCs w:val="20"/>
        </w:rPr>
        <w:t xml:space="preserve">precluded. Moreover, on July </w:t>
      </w:r>
      <w:r w:rsidR="004C60A0" w:rsidRPr="00844736">
        <w:rPr>
          <w:rFonts w:asciiTheme="majorHAnsi" w:hAnsiTheme="majorHAnsi"/>
          <w:sz w:val="20"/>
          <w:szCs w:val="20"/>
        </w:rPr>
        <w:t>7</w:t>
      </w:r>
      <w:r>
        <w:rPr>
          <w:rFonts w:asciiTheme="majorHAnsi" w:hAnsiTheme="majorHAnsi"/>
          <w:sz w:val="20"/>
          <w:szCs w:val="20"/>
        </w:rPr>
        <w:t>,</w:t>
      </w:r>
      <w:r w:rsidR="004C60A0" w:rsidRPr="00844736">
        <w:rPr>
          <w:rFonts w:asciiTheme="majorHAnsi" w:hAnsiTheme="majorHAnsi"/>
          <w:sz w:val="20"/>
          <w:szCs w:val="20"/>
        </w:rPr>
        <w:t xml:space="preserve"> 2008</w:t>
      </w:r>
      <w:r>
        <w:rPr>
          <w:rFonts w:asciiTheme="majorHAnsi" w:hAnsiTheme="majorHAnsi"/>
          <w:sz w:val="20"/>
          <w:szCs w:val="20"/>
        </w:rPr>
        <w:t xml:space="preserve">, the Superior Judicial Council resolved a jurisdictional dispute that had arisen, ordering that the </w:t>
      </w:r>
      <w:r w:rsidR="004F6D64">
        <w:rPr>
          <w:rFonts w:asciiTheme="majorHAnsi" w:hAnsiTheme="majorHAnsi"/>
          <w:sz w:val="20"/>
          <w:szCs w:val="20"/>
        </w:rPr>
        <w:t>civilian justice</w:t>
      </w:r>
      <w:r>
        <w:rPr>
          <w:rFonts w:asciiTheme="majorHAnsi" w:hAnsiTheme="majorHAnsi"/>
          <w:sz w:val="20"/>
          <w:szCs w:val="20"/>
        </w:rPr>
        <w:t xml:space="preserve">, and not the military </w:t>
      </w:r>
      <w:r w:rsidR="004F6D64">
        <w:rPr>
          <w:rFonts w:asciiTheme="majorHAnsi" w:hAnsiTheme="majorHAnsi"/>
          <w:sz w:val="20"/>
          <w:szCs w:val="20"/>
        </w:rPr>
        <w:t>justice</w:t>
      </w:r>
      <w:r>
        <w:rPr>
          <w:rFonts w:asciiTheme="majorHAnsi" w:hAnsiTheme="majorHAnsi"/>
          <w:sz w:val="20"/>
          <w:szCs w:val="20"/>
        </w:rPr>
        <w:t xml:space="preserve">, had jurisdiction </w:t>
      </w:r>
      <w:r w:rsidR="0092741C">
        <w:rPr>
          <w:rFonts w:asciiTheme="majorHAnsi" w:hAnsiTheme="majorHAnsi"/>
          <w:sz w:val="20"/>
          <w:szCs w:val="20"/>
        </w:rPr>
        <w:t xml:space="preserve">over </w:t>
      </w:r>
      <w:r>
        <w:rPr>
          <w:rFonts w:asciiTheme="majorHAnsi" w:hAnsiTheme="majorHAnsi"/>
          <w:sz w:val="20"/>
          <w:szCs w:val="20"/>
        </w:rPr>
        <w:t xml:space="preserve">the facts alleged, and that in September </w:t>
      </w:r>
      <w:r w:rsidR="004E3F2C" w:rsidRPr="00844736">
        <w:rPr>
          <w:rFonts w:asciiTheme="majorHAnsi" w:hAnsiTheme="majorHAnsi"/>
          <w:sz w:val="20"/>
          <w:szCs w:val="20"/>
        </w:rPr>
        <w:t>2008</w:t>
      </w:r>
      <w:r w:rsidR="005B0E7F" w:rsidRPr="00844736">
        <w:rPr>
          <w:rFonts w:asciiTheme="majorHAnsi" w:hAnsiTheme="majorHAnsi"/>
          <w:sz w:val="20"/>
          <w:szCs w:val="20"/>
        </w:rPr>
        <w:t xml:space="preserve"> </w:t>
      </w:r>
      <w:r>
        <w:rPr>
          <w:rFonts w:asciiTheme="majorHAnsi" w:hAnsiTheme="majorHAnsi"/>
          <w:sz w:val="20"/>
          <w:szCs w:val="20"/>
        </w:rPr>
        <w:t xml:space="preserve">the </w:t>
      </w:r>
      <w:r>
        <w:rPr>
          <w:rFonts w:asciiTheme="majorHAnsi" w:hAnsiTheme="majorHAnsi"/>
          <w:sz w:val="20"/>
          <w:szCs w:val="20"/>
        </w:rPr>
        <w:lastRenderedPageBreak/>
        <w:t>Office of the 70</w:t>
      </w:r>
      <w:r w:rsidRPr="0037012C">
        <w:rPr>
          <w:rFonts w:asciiTheme="majorHAnsi" w:hAnsiTheme="majorHAnsi"/>
          <w:sz w:val="20"/>
          <w:szCs w:val="20"/>
          <w:vertAlign w:val="superscript"/>
        </w:rPr>
        <w:t>th</w:t>
      </w:r>
      <w:r>
        <w:rPr>
          <w:rFonts w:asciiTheme="majorHAnsi" w:hAnsiTheme="majorHAnsi"/>
          <w:sz w:val="20"/>
          <w:szCs w:val="20"/>
        </w:rPr>
        <w:t xml:space="preserve"> Specialized Prosecutor for Human Rights and International Humanitarian Law based in Cali</w:t>
      </w:r>
      <w:r w:rsidR="005B0E7F" w:rsidRPr="00844736">
        <w:rPr>
          <w:rFonts w:asciiTheme="majorHAnsi" w:hAnsiTheme="majorHAnsi"/>
          <w:sz w:val="20"/>
          <w:szCs w:val="20"/>
        </w:rPr>
        <w:t xml:space="preserve"> </w:t>
      </w:r>
      <w:r>
        <w:rPr>
          <w:rFonts w:asciiTheme="majorHAnsi" w:hAnsiTheme="majorHAnsi"/>
          <w:sz w:val="20"/>
          <w:szCs w:val="20"/>
        </w:rPr>
        <w:t>named three professional soldiers as possible suspects</w:t>
      </w:r>
      <w:r w:rsidR="001525F8">
        <w:rPr>
          <w:rFonts w:asciiTheme="majorHAnsi" w:hAnsiTheme="majorHAnsi"/>
          <w:sz w:val="20"/>
          <w:szCs w:val="20"/>
        </w:rPr>
        <w:t xml:space="preserve"> in the preliminary phase of the investigation. </w:t>
      </w:r>
      <w:r>
        <w:rPr>
          <w:rFonts w:asciiTheme="majorHAnsi" w:hAnsiTheme="majorHAnsi"/>
          <w:sz w:val="20"/>
          <w:szCs w:val="20"/>
        </w:rPr>
        <w:t xml:space="preserve">In addition, regarding the disciplinary proceeding that went forward, it notes that on February </w:t>
      </w:r>
      <w:r w:rsidR="004D3739" w:rsidRPr="00844736">
        <w:rPr>
          <w:rFonts w:asciiTheme="majorHAnsi" w:hAnsiTheme="majorHAnsi"/>
          <w:sz w:val="20"/>
          <w:szCs w:val="20"/>
        </w:rPr>
        <w:t>13</w:t>
      </w:r>
      <w:r>
        <w:rPr>
          <w:rFonts w:asciiTheme="majorHAnsi" w:hAnsiTheme="majorHAnsi"/>
          <w:sz w:val="20"/>
          <w:szCs w:val="20"/>
        </w:rPr>
        <w:t>,</w:t>
      </w:r>
      <w:r w:rsidR="004D3739" w:rsidRPr="00844736">
        <w:rPr>
          <w:rFonts w:asciiTheme="majorHAnsi" w:hAnsiTheme="majorHAnsi"/>
          <w:sz w:val="20"/>
          <w:szCs w:val="20"/>
        </w:rPr>
        <w:t xml:space="preserve"> 2006</w:t>
      </w:r>
      <w:r>
        <w:rPr>
          <w:rFonts w:asciiTheme="majorHAnsi" w:hAnsiTheme="majorHAnsi"/>
          <w:sz w:val="20"/>
          <w:szCs w:val="20"/>
        </w:rPr>
        <w:t xml:space="preserve">, the Office of the </w:t>
      </w:r>
      <w:r w:rsidR="001223A5">
        <w:rPr>
          <w:rFonts w:asciiTheme="majorHAnsi" w:hAnsiTheme="majorHAnsi"/>
          <w:sz w:val="20"/>
          <w:szCs w:val="20"/>
        </w:rPr>
        <w:t>Inspector</w:t>
      </w:r>
      <w:r w:rsidR="001525F8">
        <w:rPr>
          <w:rFonts w:asciiTheme="majorHAnsi" w:hAnsiTheme="majorHAnsi"/>
          <w:sz w:val="20"/>
          <w:szCs w:val="20"/>
        </w:rPr>
        <w:t xml:space="preserve"> General of the Nation </w:t>
      </w:r>
      <w:r>
        <w:rPr>
          <w:rFonts w:asciiTheme="majorHAnsi" w:hAnsiTheme="majorHAnsi"/>
          <w:sz w:val="20"/>
          <w:szCs w:val="20"/>
        </w:rPr>
        <w:t>began a preliminary investigation</w:t>
      </w:r>
      <w:r w:rsidR="004D3739" w:rsidRPr="00844736">
        <w:rPr>
          <w:rFonts w:asciiTheme="majorHAnsi" w:hAnsiTheme="majorHAnsi"/>
          <w:sz w:val="20"/>
          <w:szCs w:val="20"/>
        </w:rPr>
        <w:t xml:space="preserve">, </w:t>
      </w:r>
      <w:r>
        <w:rPr>
          <w:rFonts w:asciiTheme="majorHAnsi" w:hAnsiTheme="majorHAnsi"/>
          <w:sz w:val="20"/>
          <w:szCs w:val="20"/>
        </w:rPr>
        <w:t>and issued an order to open an investigation into three officers and one professional sold</w:t>
      </w:r>
      <w:r w:rsidR="00994990">
        <w:rPr>
          <w:rFonts w:asciiTheme="majorHAnsi" w:hAnsiTheme="majorHAnsi"/>
          <w:sz w:val="20"/>
          <w:szCs w:val="20"/>
        </w:rPr>
        <w:t>i</w:t>
      </w:r>
      <w:r>
        <w:rPr>
          <w:rFonts w:asciiTheme="majorHAnsi" w:hAnsiTheme="majorHAnsi"/>
          <w:sz w:val="20"/>
          <w:szCs w:val="20"/>
        </w:rPr>
        <w:t xml:space="preserve">er assigned to Battalion </w:t>
      </w:r>
      <w:r w:rsidR="00D60065" w:rsidRPr="00844736">
        <w:rPr>
          <w:rFonts w:asciiTheme="majorHAnsi" w:hAnsiTheme="majorHAnsi"/>
          <w:sz w:val="20"/>
          <w:szCs w:val="20"/>
        </w:rPr>
        <w:t>No. 26</w:t>
      </w:r>
      <w:r w:rsidR="001525F8">
        <w:rPr>
          <w:rFonts w:asciiTheme="majorHAnsi" w:hAnsiTheme="majorHAnsi"/>
          <w:sz w:val="20"/>
          <w:szCs w:val="20"/>
        </w:rPr>
        <w:t>;</w:t>
      </w:r>
      <w:r w:rsidR="004E3F2C" w:rsidRPr="00844736">
        <w:rPr>
          <w:rFonts w:asciiTheme="majorHAnsi" w:hAnsiTheme="majorHAnsi"/>
          <w:sz w:val="20"/>
          <w:szCs w:val="20"/>
        </w:rPr>
        <w:t xml:space="preserve"> </w:t>
      </w:r>
      <w:r>
        <w:rPr>
          <w:rFonts w:asciiTheme="majorHAnsi" w:hAnsiTheme="majorHAnsi"/>
          <w:sz w:val="20"/>
          <w:szCs w:val="20"/>
        </w:rPr>
        <w:t xml:space="preserve">and in relation to the contentious-administrative proceeding brought by </w:t>
      </w:r>
      <w:r w:rsidR="004D3739" w:rsidRPr="00844736">
        <w:rPr>
          <w:rFonts w:asciiTheme="majorHAnsi" w:hAnsiTheme="majorHAnsi"/>
          <w:sz w:val="20"/>
          <w:szCs w:val="20"/>
        </w:rPr>
        <w:t xml:space="preserve">Gloria Edilma Quintero Rivero </w:t>
      </w:r>
      <w:r w:rsidR="001525F8">
        <w:rPr>
          <w:rFonts w:asciiTheme="majorHAnsi" w:hAnsiTheme="majorHAnsi"/>
          <w:sz w:val="20"/>
          <w:szCs w:val="20"/>
        </w:rPr>
        <w:t xml:space="preserve">et al., </w:t>
      </w:r>
      <w:r w:rsidR="00915CEE">
        <w:rPr>
          <w:rFonts w:asciiTheme="majorHAnsi" w:hAnsiTheme="majorHAnsi"/>
          <w:sz w:val="20"/>
          <w:szCs w:val="20"/>
        </w:rPr>
        <w:t xml:space="preserve">it </w:t>
      </w:r>
      <w:r>
        <w:rPr>
          <w:rFonts w:asciiTheme="majorHAnsi" w:hAnsiTheme="majorHAnsi"/>
          <w:sz w:val="20"/>
          <w:szCs w:val="20"/>
        </w:rPr>
        <w:t xml:space="preserve">reported that the action was admitted on March 8, </w:t>
      </w:r>
      <w:r w:rsidR="00D60065" w:rsidRPr="00844736">
        <w:rPr>
          <w:rFonts w:asciiTheme="majorHAnsi" w:hAnsiTheme="majorHAnsi"/>
          <w:sz w:val="20"/>
          <w:szCs w:val="20"/>
        </w:rPr>
        <w:t xml:space="preserve">2006, </w:t>
      </w:r>
      <w:r>
        <w:rPr>
          <w:rFonts w:asciiTheme="majorHAnsi" w:hAnsiTheme="majorHAnsi"/>
          <w:sz w:val="20"/>
          <w:szCs w:val="20"/>
        </w:rPr>
        <w:t xml:space="preserve">and that it was </w:t>
      </w:r>
      <w:r w:rsidR="008E4915">
        <w:rPr>
          <w:rFonts w:asciiTheme="majorHAnsi" w:hAnsiTheme="majorHAnsi"/>
          <w:sz w:val="20"/>
          <w:szCs w:val="20"/>
        </w:rPr>
        <w:t>being studied</w:t>
      </w:r>
      <w:r w:rsidR="001525F8">
        <w:rPr>
          <w:rFonts w:asciiTheme="majorHAnsi" w:hAnsiTheme="majorHAnsi"/>
          <w:sz w:val="20"/>
          <w:szCs w:val="20"/>
        </w:rPr>
        <w:t xml:space="preserve">. </w:t>
      </w:r>
    </w:p>
    <w:p w:rsidR="00C24EF6" w:rsidRPr="00844736" w:rsidRDefault="0037012C" w:rsidP="00115BF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The State also argues that the exception at Article 46(2)(a) of the American Convention does not apply. It argues </w:t>
      </w:r>
      <w:r w:rsidR="00115BF7">
        <w:rPr>
          <w:rFonts w:asciiTheme="majorHAnsi" w:hAnsiTheme="majorHAnsi"/>
          <w:sz w:val="20"/>
          <w:szCs w:val="20"/>
        </w:rPr>
        <w:t xml:space="preserve">that the petitioners’ assertions are inaccurate, </w:t>
      </w:r>
      <w:r>
        <w:rPr>
          <w:rFonts w:asciiTheme="majorHAnsi" w:hAnsiTheme="majorHAnsi"/>
          <w:sz w:val="20"/>
          <w:szCs w:val="20"/>
        </w:rPr>
        <w:t xml:space="preserve">noting that the jurisdictional dispute was resolved in July </w:t>
      </w:r>
      <w:r w:rsidR="006D4BBD" w:rsidRPr="00844736">
        <w:rPr>
          <w:rFonts w:asciiTheme="majorHAnsi" w:hAnsiTheme="majorHAnsi"/>
          <w:sz w:val="20"/>
          <w:szCs w:val="20"/>
        </w:rPr>
        <w:t xml:space="preserve">2008, </w:t>
      </w:r>
      <w:r>
        <w:rPr>
          <w:rFonts w:asciiTheme="majorHAnsi" w:hAnsiTheme="majorHAnsi"/>
          <w:sz w:val="20"/>
          <w:szCs w:val="20"/>
        </w:rPr>
        <w:t xml:space="preserve">and </w:t>
      </w:r>
      <w:r w:rsidR="00115BF7">
        <w:rPr>
          <w:rFonts w:asciiTheme="majorHAnsi" w:hAnsiTheme="majorHAnsi"/>
          <w:sz w:val="20"/>
          <w:szCs w:val="20"/>
        </w:rPr>
        <w:t xml:space="preserve">points to </w:t>
      </w:r>
      <w:r>
        <w:rPr>
          <w:rFonts w:asciiTheme="majorHAnsi" w:hAnsiTheme="majorHAnsi"/>
          <w:sz w:val="20"/>
          <w:szCs w:val="20"/>
        </w:rPr>
        <w:t>the actions undertaken by the Attorney General</w:t>
      </w:r>
      <w:r w:rsidR="007406E0">
        <w:rPr>
          <w:rFonts w:asciiTheme="majorHAnsi" w:hAnsiTheme="majorHAnsi"/>
          <w:sz w:val="20"/>
          <w:szCs w:val="20"/>
        </w:rPr>
        <w:t>’s</w:t>
      </w:r>
      <w:r w:rsidR="007406E0" w:rsidRPr="007406E0">
        <w:rPr>
          <w:rFonts w:asciiTheme="majorHAnsi" w:hAnsiTheme="majorHAnsi"/>
          <w:sz w:val="20"/>
          <w:szCs w:val="20"/>
        </w:rPr>
        <w:t xml:space="preserve"> </w:t>
      </w:r>
      <w:r w:rsidR="007406E0">
        <w:rPr>
          <w:rFonts w:asciiTheme="majorHAnsi" w:hAnsiTheme="majorHAnsi"/>
          <w:sz w:val="20"/>
          <w:szCs w:val="20"/>
        </w:rPr>
        <w:t>Office</w:t>
      </w:r>
      <w:r>
        <w:rPr>
          <w:rFonts w:asciiTheme="majorHAnsi" w:hAnsiTheme="majorHAnsi"/>
          <w:sz w:val="20"/>
          <w:szCs w:val="20"/>
        </w:rPr>
        <w:t xml:space="preserve"> for the matter to be heard in the </w:t>
      </w:r>
      <w:r w:rsidR="00B61FC3">
        <w:rPr>
          <w:rFonts w:asciiTheme="majorHAnsi" w:hAnsiTheme="majorHAnsi"/>
          <w:sz w:val="20"/>
          <w:szCs w:val="20"/>
        </w:rPr>
        <w:t>civilian</w:t>
      </w:r>
      <w:r>
        <w:rPr>
          <w:rFonts w:asciiTheme="majorHAnsi" w:hAnsiTheme="majorHAnsi"/>
          <w:sz w:val="20"/>
          <w:szCs w:val="20"/>
        </w:rPr>
        <w:t xml:space="preserve"> jurisdiction. </w:t>
      </w:r>
    </w:p>
    <w:p w:rsidR="00CA578D" w:rsidRPr="00844736" w:rsidRDefault="0037012C" w:rsidP="0025594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As for the exception at Article 46(</w:t>
      </w:r>
      <w:r w:rsidR="009C48E0" w:rsidRPr="00844736">
        <w:rPr>
          <w:rFonts w:asciiTheme="majorHAnsi" w:hAnsiTheme="majorHAnsi"/>
          <w:sz w:val="20"/>
          <w:szCs w:val="20"/>
        </w:rPr>
        <w:t>2</w:t>
      </w:r>
      <w:r>
        <w:rPr>
          <w:rFonts w:asciiTheme="majorHAnsi" w:hAnsiTheme="majorHAnsi"/>
          <w:sz w:val="20"/>
          <w:szCs w:val="20"/>
        </w:rPr>
        <w:t>)(</w:t>
      </w:r>
      <w:r w:rsidR="007F4500" w:rsidRPr="00844736">
        <w:rPr>
          <w:rFonts w:asciiTheme="majorHAnsi" w:hAnsiTheme="majorHAnsi"/>
          <w:sz w:val="20"/>
          <w:szCs w:val="20"/>
        </w:rPr>
        <w:t>c</w:t>
      </w:r>
      <w:r>
        <w:rPr>
          <w:rFonts w:asciiTheme="majorHAnsi" w:hAnsiTheme="majorHAnsi"/>
          <w:sz w:val="20"/>
          <w:szCs w:val="20"/>
        </w:rPr>
        <w:t>)</w:t>
      </w:r>
      <w:r w:rsidR="009C48E0" w:rsidRPr="00844736">
        <w:rPr>
          <w:rFonts w:asciiTheme="majorHAnsi" w:hAnsiTheme="majorHAnsi"/>
          <w:sz w:val="20"/>
          <w:szCs w:val="20"/>
        </w:rPr>
        <w:t xml:space="preserve"> </w:t>
      </w:r>
      <w:r>
        <w:rPr>
          <w:rFonts w:asciiTheme="majorHAnsi" w:hAnsiTheme="majorHAnsi"/>
          <w:sz w:val="20"/>
          <w:szCs w:val="20"/>
        </w:rPr>
        <w:t xml:space="preserve">of the American Convention, the State </w:t>
      </w:r>
      <w:r w:rsidR="00F51B56">
        <w:rPr>
          <w:rFonts w:asciiTheme="majorHAnsi" w:hAnsiTheme="majorHAnsi"/>
          <w:sz w:val="20"/>
          <w:szCs w:val="20"/>
        </w:rPr>
        <w:t>argues that the criminal proceeding as a whole has unfolded within a reasonable time. As for the complexity of the matter, it indicates that thanks to the diligence of the judicial authorities there is a single investigation with respect to the incidents involving homicides and wounds. It indicates that there has been intense investigat</w:t>
      </w:r>
      <w:r w:rsidR="00115BF7">
        <w:rPr>
          <w:rFonts w:asciiTheme="majorHAnsi" w:hAnsiTheme="majorHAnsi"/>
          <w:sz w:val="20"/>
          <w:szCs w:val="20"/>
        </w:rPr>
        <w:t>iv</w:t>
      </w:r>
      <w:r w:rsidR="00F51B56">
        <w:rPr>
          <w:rFonts w:asciiTheme="majorHAnsi" w:hAnsiTheme="majorHAnsi"/>
          <w:sz w:val="20"/>
          <w:szCs w:val="20"/>
        </w:rPr>
        <w:t xml:space="preserve">e activity, noting a series of actions. </w:t>
      </w:r>
      <w:r w:rsidR="00115BF7">
        <w:rPr>
          <w:rFonts w:asciiTheme="majorHAnsi" w:hAnsiTheme="majorHAnsi"/>
          <w:sz w:val="20"/>
          <w:szCs w:val="20"/>
        </w:rPr>
        <w:t>As regards the petitioner</w:t>
      </w:r>
      <w:r w:rsidR="00F51B56">
        <w:rPr>
          <w:rFonts w:asciiTheme="majorHAnsi" w:hAnsiTheme="majorHAnsi"/>
          <w:sz w:val="20"/>
          <w:szCs w:val="20"/>
        </w:rPr>
        <w:t>s</w:t>
      </w:r>
      <w:r w:rsidR="00115BF7">
        <w:rPr>
          <w:rFonts w:asciiTheme="majorHAnsi" w:hAnsiTheme="majorHAnsi"/>
          <w:sz w:val="20"/>
          <w:szCs w:val="20"/>
        </w:rPr>
        <w:t>’</w:t>
      </w:r>
      <w:r w:rsidR="00F51B56">
        <w:rPr>
          <w:rFonts w:asciiTheme="majorHAnsi" w:hAnsiTheme="majorHAnsi"/>
          <w:sz w:val="20"/>
          <w:szCs w:val="20"/>
        </w:rPr>
        <w:t xml:space="preserve"> arguments that the six months provided </w:t>
      </w:r>
      <w:r w:rsidR="00255943">
        <w:rPr>
          <w:rFonts w:asciiTheme="majorHAnsi" w:hAnsiTheme="majorHAnsi"/>
          <w:sz w:val="20"/>
          <w:szCs w:val="20"/>
        </w:rPr>
        <w:t>f</w:t>
      </w:r>
      <w:r w:rsidR="00F51B56">
        <w:rPr>
          <w:rFonts w:asciiTheme="majorHAnsi" w:hAnsiTheme="majorHAnsi"/>
          <w:sz w:val="20"/>
          <w:szCs w:val="20"/>
        </w:rPr>
        <w:t xml:space="preserve">or in the law for the preliminary investigation had gone by, the State notes that </w:t>
      </w:r>
      <w:r w:rsidR="00115BF7">
        <w:rPr>
          <w:rFonts w:asciiTheme="majorHAnsi" w:hAnsiTheme="majorHAnsi"/>
          <w:sz w:val="20"/>
          <w:szCs w:val="20"/>
        </w:rPr>
        <w:t xml:space="preserve">the </w:t>
      </w:r>
      <w:r w:rsidR="00F51B56">
        <w:rPr>
          <w:rFonts w:asciiTheme="majorHAnsi" w:hAnsiTheme="majorHAnsi"/>
          <w:sz w:val="20"/>
          <w:szCs w:val="20"/>
        </w:rPr>
        <w:t xml:space="preserve">period petitioner alludes to refers to the criminal proceeding against </w:t>
      </w:r>
      <w:r w:rsidR="008B6C8E" w:rsidRPr="00844736">
        <w:rPr>
          <w:rFonts w:asciiTheme="majorHAnsi" w:hAnsiTheme="majorHAnsi"/>
          <w:sz w:val="20"/>
          <w:szCs w:val="20"/>
        </w:rPr>
        <w:t xml:space="preserve">Willian José Cunacue Medina </w:t>
      </w:r>
      <w:r w:rsidR="00F51B56">
        <w:rPr>
          <w:rFonts w:asciiTheme="majorHAnsi" w:hAnsiTheme="majorHAnsi"/>
          <w:sz w:val="20"/>
          <w:szCs w:val="20"/>
        </w:rPr>
        <w:t xml:space="preserve">for the crime of rebellion, an investigation that was precluded on June 9, </w:t>
      </w:r>
      <w:r w:rsidR="00CA578D" w:rsidRPr="00844736">
        <w:rPr>
          <w:rFonts w:asciiTheme="majorHAnsi" w:hAnsiTheme="majorHAnsi"/>
          <w:sz w:val="20"/>
          <w:szCs w:val="20"/>
        </w:rPr>
        <w:t>2008.</w:t>
      </w:r>
      <w:r w:rsidR="00B538FD" w:rsidRPr="00844736">
        <w:rPr>
          <w:rFonts w:asciiTheme="majorHAnsi" w:hAnsiTheme="majorHAnsi"/>
          <w:sz w:val="20"/>
          <w:szCs w:val="20"/>
        </w:rPr>
        <w:t xml:space="preserve"> </w:t>
      </w:r>
      <w:r w:rsidR="00F51B56">
        <w:rPr>
          <w:rFonts w:asciiTheme="majorHAnsi" w:hAnsiTheme="majorHAnsi"/>
          <w:sz w:val="20"/>
          <w:szCs w:val="20"/>
        </w:rPr>
        <w:t xml:space="preserve">In addition, it highlights several results obtained in the investigation. In view of the foregoing, it argues that neither in the general processing of the matter </w:t>
      </w:r>
      <w:r w:rsidR="00255943">
        <w:rPr>
          <w:rFonts w:asciiTheme="majorHAnsi" w:hAnsiTheme="majorHAnsi"/>
          <w:sz w:val="20"/>
          <w:szCs w:val="20"/>
        </w:rPr>
        <w:t xml:space="preserve">nor in its particular actions is there </w:t>
      </w:r>
      <w:r w:rsidR="00F51B56">
        <w:rPr>
          <w:rFonts w:asciiTheme="majorHAnsi" w:hAnsiTheme="majorHAnsi"/>
          <w:sz w:val="20"/>
          <w:szCs w:val="20"/>
        </w:rPr>
        <w:t xml:space="preserve">any basis for finding unwarranted delay so as to provide </w:t>
      </w:r>
      <w:r w:rsidR="00255943">
        <w:rPr>
          <w:rFonts w:asciiTheme="majorHAnsi" w:hAnsiTheme="majorHAnsi"/>
          <w:sz w:val="20"/>
          <w:szCs w:val="20"/>
        </w:rPr>
        <w:t xml:space="preserve">a foundation for </w:t>
      </w:r>
      <w:r w:rsidR="00F51B56">
        <w:rPr>
          <w:rFonts w:asciiTheme="majorHAnsi" w:hAnsiTheme="majorHAnsi"/>
          <w:sz w:val="20"/>
          <w:szCs w:val="20"/>
        </w:rPr>
        <w:t xml:space="preserve">applying the exception. Accordingly, it argues that the criminal proceeding is the suitable remedy, that it has not been exhausted, and that the exceptions to the prior exhaustion requirement that have been invoked are not admissible, thus it asks that the petition be found inadmissible. </w:t>
      </w:r>
    </w:p>
    <w:p w:rsidR="00BC2E51" w:rsidRPr="00844736" w:rsidRDefault="00F51B56" w:rsidP="006007E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Subsequently, by communication of March 6, 2015, the State argues that the criminal investigation has been carried out diligently and continues in the </w:t>
      </w:r>
      <w:r w:rsidR="00307A88">
        <w:rPr>
          <w:rFonts w:asciiTheme="majorHAnsi" w:hAnsiTheme="majorHAnsi"/>
          <w:sz w:val="20"/>
          <w:szCs w:val="20"/>
        </w:rPr>
        <w:t>civilian</w:t>
      </w:r>
      <w:r>
        <w:rPr>
          <w:rFonts w:asciiTheme="majorHAnsi" w:hAnsiTheme="majorHAnsi"/>
          <w:sz w:val="20"/>
          <w:szCs w:val="20"/>
        </w:rPr>
        <w:t xml:space="preserve"> jurisdiction, thus there is a failure to exhaust domestic remedies. It reiterates that due to the participation of the military forces in the events, it was necessary to settle the jurisdictional dispute by entrusting the investigation to the Office of the 70</w:t>
      </w:r>
      <w:r w:rsidRPr="00F51B56">
        <w:rPr>
          <w:rFonts w:asciiTheme="majorHAnsi" w:hAnsiTheme="majorHAnsi"/>
          <w:sz w:val="20"/>
          <w:szCs w:val="20"/>
          <w:vertAlign w:val="superscript"/>
        </w:rPr>
        <w:t>th</w:t>
      </w:r>
      <w:r>
        <w:rPr>
          <w:rFonts w:asciiTheme="majorHAnsi" w:hAnsiTheme="majorHAnsi"/>
          <w:sz w:val="20"/>
          <w:szCs w:val="20"/>
        </w:rPr>
        <w:t xml:space="preserve"> Special Prosecutor for Human Rights and International Humanitarian Law. </w:t>
      </w:r>
      <w:r w:rsidR="007275EB">
        <w:rPr>
          <w:rFonts w:asciiTheme="majorHAnsi" w:hAnsiTheme="majorHAnsi"/>
          <w:sz w:val="20"/>
          <w:szCs w:val="20"/>
        </w:rPr>
        <w:t xml:space="preserve">It notes that among the investigative steps taken by the Office of the Attorney General it was decided to bring charges against three professional soldiers as alleged direct perpetrators of the </w:t>
      </w:r>
      <w:r w:rsidR="00255943">
        <w:rPr>
          <w:rFonts w:asciiTheme="majorHAnsi" w:hAnsiTheme="majorHAnsi"/>
          <w:sz w:val="20"/>
          <w:szCs w:val="20"/>
        </w:rPr>
        <w:t xml:space="preserve">crimes of aggravated homicide </w:t>
      </w:r>
      <w:r w:rsidR="007275EB">
        <w:rPr>
          <w:rFonts w:asciiTheme="majorHAnsi" w:hAnsiTheme="majorHAnsi"/>
          <w:sz w:val="20"/>
          <w:szCs w:val="20"/>
        </w:rPr>
        <w:t>(</w:t>
      </w:r>
      <w:r w:rsidR="00255943" w:rsidRPr="00255943">
        <w:rPr>
          <w:rFonts w:asciiTheme="majorHAnsi" w:hAnsiTheme="majorHAnsi"/>
          <w:i/>
          <w:iCs/>
          <w:sz w:val="20"/>
          <w:szCs w:val="20"/>
        </w:rPr>
        <w:t xml:space="preserve">homicidio agravado </w:t>
      </w:r>
      <w:r w:rsidR="005C659D" w:rsidRPr="00255943">
        <w:rPr>
          <w:rFonts w:asciiTheme="majorHAnsi" w:hAnsiTheme="majorHAnsi"/>
          <w:i/>
          <w:iCs/>
          <w:sz w:val="20"/>
          <w:szCs w:val="20"/>
        </w:rPr>
        <w:t>en concurso homogéneo</w:t>
      </w:r>
      <w:r w:rsidR="007275EB">
        <w:rPr>
          <w:rFonts w:asciiTheme="majorHAnsi" w:hAnsiTheme="majorHAnsi"/>
          <w:sz w:val="20"/>
          <w:szCs w:val="20"/>
        </w:rPr>
        <w:t xml:space="preserve">) with respect to </w:t>
      </w:r>
      <w:r w:rsidR="00435466">
        <w:rPr>
          <w:rFonts w:asciiTheme="majorHAnsi" w:hAnsiTheme="majorHAnsi"/>
          <w:sz w:val="20"/>
          <w:szCs w:val="20"/>
        </w:rPr>
        <w:t>Hortensia</w:t>
      </w:r>
      <w:r w:rsidR="005C659D" w:rsidRPr="00844736">
        <w:rPr>
          <w:rFonts w:asciiTheme="majorHAnsi" w:hAnsiTheme="majorHAnsi"/>
          <w:sz w:val="20"/>
          <w:szCs w:val="20"/>
        </w:rPr>
        <w:t xml:space="preserve"> Neyid Tunja </w:t>
      </w:r>
      <w:r w:rsidR="007275EB">
        <w:rPr>
          <w:rFonts w:asciiTheme="majorHAnsi" w:hAnsiTheme="majorHAnsi"/>
          <w:sz w:val="20"/>
          <w:szCs w:val="20"/>
        </w:rPr>
        <w:t xml:space="preserve">and </w:t>
      </w:r>
      <w:r w:rsidR="005C659D" w:rsidRPr="00844736">
        <w:rPr>
          <w:rFonts w:asciiTheme="majorHAnsi" w:hAnsiTheme="majorHAnsi"/>
          <w:sz w:val="20"/>
          <w:szCs w:val="20"/>
        </w:rPr>
        <w:t>Manuel Antonio Tao Pillimu</w:t>
      </w:r>
      <w:r w:rsidR="006007EB" w:rsidRPr="00F92641">
        <w:rPr>
          <w:rFonts w:asciiTheme="majorHAnsi" w:hAnsiTheme="majorHAnsi"/>
          <w:sz w:val="20"/>
          <w:szCs w:val="20"/>
        </w:rPr>
        <w:t>é</w:t>
      </w:r>
      <w:r w:rsidR="005C659D" w:rsidRPr="00844736">
        <w:rPr>
          <w:rFonts w:asciiTheme="majorHAnsi" w:hAnsiTheme="majorHAnsi"/>
          <w:sz w:val="20"/>
          <w:szCs w:val="20"/>
        </w:rPr>
        <w:t xml:space="preserve">, </w:t>
      </w:r>
      <w:r w:rsidR="007275EB">
        <w:rPr>
          <w:rFonts w:asciiTheme="majorHAnsi" w:hAnsiTheme="majorHAnsi"/>
          <w:sz w:val="20"/>
          <w:szCs w:val="20"/>
        </w:rPr>
        <w:t xml:space="preserve">and aggravated attempted homicide with respect to Willian </w:t>
      </w:r>
      <w:r w:rsidR="005C659D" w:rsidRPr="00844736">
        <w:rPr>
          <w:rFonts w:asciiTheme="majorHAnsi" w:hAnsiTheme="majorHAnsi"/>
          <w:sz w:val="20"/>
          <w:szCs w:val="20"/>
        </w:rPr>
        <w:t>José Cunacue</w:t>
      </w:r>
      <w:r w:rsidR="00232D66" w:rsidRPr="00844736">
        <w:rPr>
          <w:rFonts w:asciiTheme="majorHAnsi" w:hAnsiTheme="majorHAnsi"/>
          <w:sz w:val="20"/>
          <w:szCs w:val="20"/>
        </w:rPr>
        <w:t xml:space="preserve">, </w:t>
      </w:r>
      <w:r w:rsidR="007275EB">
        <w:rPr>
          <w:rFonts w:asciiTheme="majorHAnsi" w:hAnsiTheme="majorHAnsi"/>
          <w:sz w:val="20"/>
          <w:szCs w:val="20"/>
        </w:rPr>
        <w:t xml:space="preserve">which was confirmed, and it states that </w:t>
      </w:r>
      <w:r w:rsidR="00255943">
        <w:rPr>
          <w:rFonts w:asciiTheme="majorHAnsi" w:hAnsiTheme="majorHAnsi"/>
          <w:sz w:val="20"/>
          <w:szCs w:val="20"/>
        </w:rPr>
        <w:t xml:space="preserve">a preparatory hearing was held </w:t>
      </w:r>
      <w:r w:rsidR="007275EB">
        <w:rPr>
          <w:rFonts w:asciiTheme="majorHAnsi" w:hAnsiTheme="majorHAnsi"/>
          <w:sz w:val="20"/>
          <w:szCs w:val="20"/>
        </w:rPr>
        <w:t xml:space="preserve">in the context of the trial phase, on September </w:t>
      </w:r>
      <w:r w:rsidR="005C659D" w:rsidRPr="00844736">
        <w:rPr>
          <w:rFonts w:asciiTheme="majorHAnsi" w:hAnsiTheme="majorHAnsi"/>
          <w:sz w:val="20"/>
          <w:szCs w:val="20"/>
        </w:rPr>
        <w:t>6</w:t>
      </w:r>
      <w:r w:rsidR="007275EB">
        <w:rPr>
          <w:rFonts w:asciiTheme="majorHAnsi" w:hAnsiTheme="majorHAnsi"/>
          <w:sz w:val="20"/>
          <w:szCs w:val="20"/>
        </w:rPr>
        <w:t>,</w:t>
      </w:r>
      <w:r w:rsidR="005C659D" w:rsidRPr="00844736">
        <w:rPr>
          <w:rFonts w:asciiTheme="majorHAnsi" w:hAnsiTheme="majorHAnsi"/>
          <w:sz w:val="20"/>
          <w:szCs w:val="20"/>
        </w:rPr>
        <w:t xml:space="preserve"> 2012</w:t>
      </w:r>
      <w:r w:rsidR="007275EB">
        <w:rPr>
          <w:rFonts w:asciiTheme="majorHAnsi" w:hAnsiTheme="majorHAnsi"/>
          <w:sz w:val="20"/>
          <w:szCs w:val="20"/>
        </w:rPr>
        <w:t xml:space="preserve">, and </w:t>
      </w:r>
      <w:r w:rsidR="007674AA">
        <w:rPr>
          <w:rFonts w:asciiTheme="majorHAnsi" w:hAnsiTheme="majorHAnsi"/>
          <w:sz w:val="20"/>
          <w:szCs w:val="20"/>
        </w:rPr>
        <w:t>several</w:t>
      </w:r>
      <w:r w:rsidR="007275EB">
        <w:rPr>
          <w:rFonts w:asciiTheme="majorHAnsi" w:hAnsiTheme="majorHAnsi"/>
          <w:sz w:val="20"/>
          <w:szCs w:val="20"/>
        </w:rPr>
        <w:t xml:space="preserve"> evidence has been received, with the active participation of family members as well as the attorney for the civil party. It notes that only four years after the events an indictment was handed down, and that in addition the investigation continues with respect to other persons. </w:t>
      </w:r>
    </w:p>
    <w:p w:rsidR="00234911" w:rsidRPr="00844736" w:rsidRDefault="00255943" w:rsidP="00136E4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T</w:t>
      </w:r>
      <w:r w:rsidR="007275EB">
        <w:rPr>
          <w:rFonts w:asciiTheme="majorHAnsi" w:hAnsiTheme="majorHAnsi"/>
          <w:sz w:val="20"/>
          <w:szCs w:val="20"/>
        </w:rPr>
        <w:t xml:space="preserve">he State </w:t>
      </w:r>
      <w:r>
        <w:rPr>
          <w:rFonts w:asciiTheme="majorHAnsi" w:hAnsiTheme="majorHAnsi"/>
          <w:sz w:val="20"/>
          <w:szCs w:val="20"/>
        </w:rPr>
        <w:t xml:space="preserve">also </w:t>
      </w:r>
      <w:r w:rsidR="007275EB">
        <w:rPr>
          <w:rFonts w:asciiTheme="majorHAnsi" w:hAnsiTheme="majorHAnsi"/>
          <w:sz w:val="20"/>
          <w:szCs w:val="20"/>
        </w:rPr>
        <w:t>adduces a fourth-instance argument with respect to the petitioners’ claim for reparation for the events that gave rise to the petition. It argues that mindful that the situation was already hear</w:t>
      </w:r>
      <w:r w:rsidR="00532EB7">
        <w:rPr>
          <w:rFonts w:asciiTheme="majorHAnsi" w:hAnsiTheme="majorHAnsi"/>
          <w:sz w:val="20"/>
          <w:szCs w:val="20"/>
        </w:rPr>
        <w:t>d</w:t>
      </w:r>
      <w:r w:rsidR="007275EB">
        <w:rPr>
          <w:rFonts w:asciiTheme="majorHAnsi" w:hAnsiTheme="majorHAnsi"/>
          <w:sz w:val="20"/>
          <w:szCs w:val="20"/>
        </w:rPr>
        <w:t xml:space="preserve">, studied, and decided in the contentious-administrative jurisdiction, and that </w:t>
      </w:r>
      <w:r w:rsidR="001A576B">
        <w:rPr>
          <w:rFonts w:asciiTheme="majorHAnsi" w:hAnsiTheme="majorHAnsi"/>
          <w:sz w:val="20"/>
          <w:szCs w:val="20"/>
        </w:rPr>
        <w:t>comprehensive</w:t>
      </w:r>
      <w:r w:rsidR="007275EB">
        <w:rPr>
          <w:rFonts w:asciiTheme="majorHAnsi" w:hAnsiTheme="majorHAnsi"/>
          <w:sz w:val="20"/>
          <w:szCs w:val="20"/>
        </w:rPr>
        <w:t xml:space="preserve"> reparation to the next-of-kin was ordered, the IACHR is barred from </w:t>
      </w:r>
      <w:r w:rsidR="00FF0BC3">
        <w:rPr>
          <w:rFonts w:asciiTheme="majorHAnsi" w:hAnsiTheme="majorHAnsi"/>
          <w:sz w:val="20"/>
          <w:szCs w:val="20"/>
        </w:rPr>
        <w:t>reviewing</w:t>
      </w:r>
      <w:r w:rsidR="007275EB">
        <w:rPr>
          <w:rFonts w:asciiTheme="majorHAnsi" w:hAnsiTheme="majorHAnsi"/>
          <w:sz w:val="20"/>
          <w:szCs w:val="20"/>
        </w:rPr>
        <w:t xml:space="preserve"> the petition, and in particular from ruling on it, at least in respect of the claim for reparation, for it would be sitting as a court of appeals</w:t>
      </w:r>
      <w:r w:rsidR="006238C9" w:rsidRPr="00844736">
        <w:rPr>
          <w:rFonts w:asciiTheme="majorHAnsi" w:hAnsiTheme="majorHAnsi"/>
          <w:sz w:val="20"/>
          <w:szCs w:val="20"/>
        </w:rPr>
        <w:t>.</w:t>
      </w:r>
      <w:r w:rsidR="00C41880" w:rsidRPr="00844736">
        <w:rPr>
          <w:rFonts w:asciiTheme="majorHAnsi" w:hAnsiTheme="majorHAnsi"/>
          <w:sz w:val="20"/>
          <w:szCs w:val="20"/>
        </w:rPr>
        <w:t xml:space="preserve"> </w:t>
      </w:r>
      <w:r w:rsidR="007275EB">
        <w:rPr>
          <w:rFonts w:asciiTheme="majorHAnsi" w:hAnsiTheme="majorHAnsi"/>
          <w:sz w:val="20"/>
          <w:szCs w:val="20"/>
        </w:rPr>
        <w:t xml:space="preserve">The State argues that the situations that were </w:t>
      </w:r>
      <w:r w:rsidR="004B3008">
        <w:rPr>
          <w:rFonts w:asciiTheme="majorHAnsi" w:hAnsiTheme="majorHAnsi"/>
          <w:sz w:val="20"/>
          <w:szCs w:val="20"/>
        </w:rPr>
        <w:t xml:space="preserve">already </w:t>
      </w:r>
      <w:r w:rsidR="007275EB">
        <w:rPr>
          <w:rFonts w:asciiTheme="majorHAnsi" w:hAnsiTheme="majorHAnsi"/>
          <w:sz w:val="20"/>
          <w:szCs w:val="20"/>
        </w:rPr>
        <w:t>subject to decision by the authorities who are part of the domestic legal order may only be brought before an international body to the ext</w:t>
      </w:r>
      <w:r w:rsidR="00532EB7">
        <w:rPr>
          <w:rFonts w:asciiTheme="majorHAnsi" w:hAnsiTheme="majorHAnsi"/>
          <w:sz w:val="20"/>
          <w:szCs w:val="20"/>
        </w:rPr>
        <w:t xml:space="preserve">ent that it is shown that the </w:t>
      </w:r>
      <w:r w:rsidR="004B3008">
        <w:rPr>
          <w:rFonts w:asciiTheme="majorHAnsi" w:hAnsiTheme="majorHAnsi"/>
          <w:sz w:val="20"/>
          <w:szCs w:val="20"/>
        </w:rPr>
        <w:t xml:space="preserve">domestic authorities’ </w:t>
      </w:r>
      <w:r w:rsidR="007275EB">
        <w:rPr>
          <w:rFonts w:asciiTheme="majorHAnsi" w:hAnsiTheme="majorHAnsi"/>
          <w:sz w:val="20"/>
          <w:szCs w:val="20"/>
        </w:rPr>
        <w:t xml:space="preserve">actions resulted in violations of the rights contained in the American Convention, which one does not find in this case. It also notes that </w:t>
      </w:r>
      <w:r w:rsidR="00F26C7F">
        <w:rPr>
          <w:rFonts w:asciiTheme="majorHAnsi" w:hAnsiTheme="majorHAnsi"/>
          <w:sz w:val="20"/>
          <w:szCs w:val="20"/>
        </w:rPr>
        <w:t xml:space="preserve">based on </w:t>
      </w:r>
      <w:r w:rsidR="007275EB">
        <w:rPr>
          <w:rFonts w:asciiTheme="majorHAnsi" w:hAnsiTheme="majorHAnsi"/>
          <w:sz w:val="20"/>
          <w:szCs w:val="20"/>
        </w:rPr>
        <w:t>the group action bro</w:t>
      </w:r>
      <w:r w:rsidR="00F26C7F">
        <w:rPr>
          <w:rFonts w:asciiTheme="majorHAnsi" w:hAnsiTheme="majorHAnsi"/>
          <w:sz w:val="20"/>
          <w:szCs w:val="20"/>
        </w:rPr>
        <w:t>u</w:t>
      </w:r>
      <w:r w:rsidR="007275EB">
        <w:rPr>
          <w:rFonts w:asciiTheme="majorHAnsi" w:hAnsiTheme="majorHAnsi"/>
          <w:sz w:val="20"/>
          <w:szCs w:val="20"/>
        </w:rPr>
        <w:t xml:space="preserve">ght </w:t>
      </w:r>
      <w:r w:rsidR="00F26C7F">
        <w:rPr>
          <w:rFonts w:asciiTheme="majorHAnsi" w:hAnsiTheme="majorHAnsi"/>
          <w:sz w:val="20"/>
          <w:szCs w:val="20"/>
        </w:rPr>
        <w:t>by the next-of-kin before the contenti</w:t>
      </w:r>
      <w:r w:rsidR="004A659C">
        <w:rPr>
          <w:rFonts w:asciiTheme="majorHAnsi" w:hAnsiTheme="majorHAnsi"/>
          <w:sz w:val="20"/>
          <w:szCs w:val="20"/>
        </w:rPr>
        <w:t>ous-administrative jurisdiction</w:t>
      </w:r>
      <w:r w:rsidR="00F26C7F">
        <w:rPr>
          <w:rFonts w:asciiTheme="majorHAnsi" w:hAnsiTheme="majorHAnsi"/>
          <w:sz w:val="20"/>
          <w:szCs w:val="20"/>
        </w:rPr>
        <w:t xml:space="preserve"> the Eighth Administrative Court of </w:t>
      </w:r>
      <w:r w:rsidR="00D1486E" w:rsidRPr="00844736">
        <w:rPr>
          <w:rFonts w:asciiTheme="majorHAnsi" w:hAnsiTheme="majorHAnsi"/>
          <w:sz w:val="20"/>
          <w:szCs w:val="20"/>
        </w:rPr>
        <w:t xml:space="preserve">Popayán </w:t>
      </w:r>
      <w:r w:rsidR="00532EB7">
        <w:rPr>
          <w:rFonts w:asciiTheme="majorHAnsi" w:hAnsiTheme="majorHAnsi"/>
          <w:sz w:val="20"/>
          <w:szCs w:val="20"/>
        </w:rPr>
        <w:t>handed down a</w:t>
      </w:r>
      <w:r w:rsidR="00F26C7F">
        <w:rPr>
          <w:rFonts w:asciiTheme="majorHAnsi" w:hAnsiTheme="majorHAnsi"/>
          <w:sz w:val="20"/>
          <w:szCs w:val="20"/>
        </w:rPr>
        <w:t xml:space="preserve"> ruling on September 10, </w:t>
      </w:r>
      <w:r w:rsidR="004A669C" w:rsidRPr="00844736">
        <w:rPr>
          <w:rFonts w:asciiTheme="majorHAnsi" w:hAnsiTheme="majorHAnsi"/>
          <w:sz w:val="20"/>
          <w:szCs w:val="20"/>
        </w:rPr>
        <w:t xml:space="preserve">2009, </w:t>
      </w:r>
      <w:r w:rsidR="00F26C7F">
        <w:rPr>
          <w:rFonts w:asciiTheme="majorHAnsi" w:hAnsiTheme="majorHAnsi"/>
          <w:sz w:val="20"/>
          <w:szCs w:val="20"/>
        </w:rPr>
        <w:t xml:space="preserve">in which it found the State liable, and ordered </w:t>
      </w:r>
      <w:r w:rsidR="00136E47" w:rsidRPr="00136E47">
        <w:rPr>
          <w:rFonts w:asciiTheme="majorHAnsi" w:hAnsiTheme="majorHAnsi"/>
          <w:sz w:val="20"/>
          <w:szCs w:val="20"/>
        </w:rPr>
        <w:t xml:space="preserve">comprehensive </w:t>
      </w:r>
      <w:r w:rsidR="00F26C7F">
        <w:rPr>
          <w:rFonts w:asciiTheme="majorHAnsi" w:hAnsiTheme="majorHAnsi"/>
          <w:sz w:val="20"/>
          <w:szCs w:val="20"/>
        </w:rPr>
        <w:t xml:space="preserve">reparation for the harm not only </w:t>
      </w:r>
      <w:r w:rsidR="004A659C">
        <w:rPr>
          <w:rFonts w:asciiTheme="majorHAnsi" w:hAnsiTheme="majorHAnsi"/>
          <w:sz w:val="20"/>
          <w:szCs w:val="20"/>
        </w:rPr>
        <w:t xml:space="preserve">finding </w:t>
      </w:r>
      <w:r w:rsidR="00F26C7F">
        <w:rPr>
          <w:rFonts w:asciiTheme="majorHAnsi" w:hAnsiTheme="majorHAnsi"/>
          <w:sz w:val="20"/>
          <w:szCs w:val="20"/>
        </w:rPr>
        <w:t>material and non-material damages</w:t>
      </w:r>
      <w:r w:rsidR="00D1486E" w:rsidRPr="00844736">
        <w:rPr>
          <w:rFonts w:asciiTheme="majorHAnsi" w:hAnsiTheme="majorHAnsi"/>
          <w:sz w:val="20"/>
          <w:szCs w:val="20"/>
        </w:rPr>
        <w:t xml:space="preserve">, </w:t>
      </w:r>
      <w:r w:rsidR="00F26C7F">
        <w:rPr>
          <w:rFonts w:asciiTheme="majorHAnsi" w:hAnsiTheme="majorHAnsi"/>
          <w:sz w:val="20"/>
          <w:szCs w:val="20"/>
        </w:rPr>
        <w:t xml:space="preserve">but also </w:t>
      </w:r>
      <w:r w:rsidR="004A659C">
        <w:rPr>
          <w:rFonts w:asciiTheme="majorHAnsi" w:hAnsiTheme="majorHAnsi"/>
          <w:sz w:val="20"/>
          <w:szCs w:val="20"/>
        </w:rPr>
        <w:t xml:space="preserve">ordering </w:t>
      </w:r>
      <w:r w:rsidR="00F26C7F">
        <w:rPr>
          <w:rFonts w:asciiTheme="majorHAnsi" w:hAnsiTheme="majorHAnsi"/>
          <w:sz w:val="20"/>
          <w:szCs w:val="20"/>
        </w:rPr>
        <w:t xml:space="preserve">measures of restorative justice, </w:t>
      </w:r>
      <w:r w:rsidR="00532EB7">
        <w:rPr>
          <w:rFonts w:asciiTheme="majorHAnsi" w:hAnsiTheme="majorHAnsi"/>
          <w:sz w:val="20"/>
          <w:szCs w:val="20"/>
        </w:rPr>
        <w:t xml:space="preserve">among </w:t>
      </w:r>
      <w:r w:rsidR="006F1BB2">
        <w:rPr>
          <w:rFonts w:asciiTheme="majorHAnsi" w:hAnsiTheme="majorHAnsi"/>
          <w:sz w:val="20"/>
          <w:szCs w:val="20"/>
        </w:rPr>
        <w:t xml:space="preserve">which it was ordered to hold </w:t>
      </w:r>
      <w:r w:rsidR="00532EB7">
        <w:rPr>
          <w:rFonts w:asciiTheme="majorHAnsi" w:hAnsiTheme="majorHAnsi"/>
          <w:sz w:val="20"/>
          <w:szCs w:val="20"/>
        </w:rPr>
        <w:t xml:space="preserve">ceremonies for </w:t>
      </w:r>
      <w:r w:rsidR="006F1BB2">
        <w:rPr>
          <w:rFonts w:asciiTheme="majorHAnsi" w:hAnsiTheme="majorHAnsi"/>
          <w:sz w:val="20"/>
          <w:szCs w:val="20"/>
        </w:rPr>
        <w:t xml:space="preserve">public apologies by the Army, the implementation of a system for promoting and respecting the rights of persons by the Army, and publication of the judgment </w:t>
      </w:r>
      <w:r w:rsidR="006F1BB2">
        <w:rPr>
          <w:rFonts w:asciiTheme="majorHAnsi" w:hAnsiTheme="majorHAnsi"/>
          <w:sz w:val="20"/>
          <w:szCs w:val="20"/>
        </w:rPr>
        <w:lastRenderedPageBreak/>
        <w:t xml:space="preserve">in a visible place in the City Hall of the municipality of </w:t>
      </w:r>
      <w:r w:rsidR="008704E4" w:rsidRPr="00844736">
        <w:rPr>
          <w:rFonts w:asciiTheme="majorHAnsi" w:hAnsiTheme="majorHAnsi"/>
          <w:sz w:val="20"/>
          <w:szCs w:val="20"/>
        </w:rPr>
        <w:t>Inza</w:t>
      </w:r>
      <w:r w:rsidR="006F1BB2">
        <w:rPr>
          <w:rFonts w:asciiTheme="majorHAnsi" w:hAnsiTheme="majorHAnsi"/>
          <w:sz w:val="20"/>
          <w:szCs w:val="20"/>
        </w:rPr>
        <w:t>,</w:t>
      </w:r>
      <w:r w:rsidR="008704E4" w:rsidRPr="00844736">
        <w:rPr>
          <w:rFonts w:asciiTheme="majorHAnsi" w:hAnsiTheme="majorHAnsi"/>
          <w:sz w:val="20"/>
          <w:szCs w:val="20"/>
        </w:rPr>
        <w:t xml:space="preserve"> Cauca </w:t>
      </w:r>
      <w:r w:rsidR="006F1BB2">
        <w:rPr>
          <w:rFonts w:asciiTheme="majorHAnsi" w:hAnsiTheme="majorHAnsi"/>
          <w:sz w:val="20"/>
          <w:szCs w:val="20"/>
        </w:rPr>
        <w:t xml:space="preserve">and </w:t>
      </w:r>
      <w:r w:rsidR="008704E4" w:rsidRPr="00844736">
        <w:rPr>
          <w:rFonts w:asciiTheme="majorHAnsi" w:hAnsiTheme="majorHAnsi"/>
          <w:sz w:val="20"/>
          <w:szCs w:val="20"/>
        </w:rPr>
        <w:t>La</w:t>
      </w:r>
      <w:r w:rsidR="004A659C">
        <w:rPr>
          <w:rFonts w:asciiTheme="majorHAnsi" w:hAnsiTheme="majorHAnsi"/>
          <w:sz w:val="20"/>
          <w:szCs w:val="20"/>
        </w:rPr>
        <w:t xml:space="preserve"> Plata.</w:t>
      </w:r>
      <w:r w:rsidR="006F1BB2">
        <w:rPr>
          <w:rFonts w:asciiTheme="majorHAnsi" w:hAnsiTheme="majorHAnsi"/>
          <w:sz w:val="20"/>
          <w:szCs w:val="20"/>
        </w:rPr>
        <w:t xml:space="preserve"> </w:t>
      </w:r>
      <w:r w:rsidR="004A659C">
        <w:rPr>
          <w:rFonts w:asciiTheme="majorHAnsi" w:hAnsiTheme="majorHAnsi"/>
          <w:sz w:val="20"/>
          <w:szCs w:val="20"/>
        </w:rPr>
        <w:t>T</w:t>
      </w:r>
      <w:r w:rsidR="006F1BB2">
        <w:rPr>
          <w:rFonts w:asciiTheme="majorHAnsi" w:hAnsiTheme="majorHAnsi"/>
          <w:sz w:val="20"/>
          <w:szCs w:val="20"/>
        </w:rPr>
        <w:t xml:space="preserve">hat ruling was affirmed on appeal by judgment of March 25, </w:t>
      </w:r>
      <w:r w:rsidR="008704E4" w:rsidRPr="00844736">
        <w:rPr>
          <w:rFonts w:asciiTheme="majorHAnsi" w:hAnsiTheme="majorHAnsi"/>
          <w:sz w:val="20"/>
          <w:szCs w:val="20"/>
        </w:rPr>
        <w:t xml:space="preserve">2010. </w:t>
      </w:r>
      <w:r w:rsidR="006F1BB2">
        <w:rPr>
          <w:rFonts w:asciiTheme="majorHAnsi" w:hAnsiTheme="majorHAnsi"/>
          <w:sz w:val="20"/>
          <w:szCs w:val="20"/>
        </w:rPr>
        <w:t xml:space="preserve">In view of the foregoing, it argues that the reparation sought was already granted domestically. </w:t>
      </w:r>
    </w:p>
    <w:p w:rsidR="004C60A0" w:rsidRPr="00844736" w:rsidRDefault="006F1BB2" w:rsidP="000E60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Finally</w:t>
      </w:r>
      <w:r w:rsidR="00424BF8" w:rsidRPr="00844736">
        <w:rPr>
          <w:rFonts w:asciiTheme="majorHAnsi" w:hAnsiTheme="majorHAnsi"/>
          <w:sz w:val="20"/>
          <w:szCs w:val="20"/>
        </w:rPr>
        <w:t>,</w:t>
      </w:r>
      <w:r w:rsidR="008704E4" w:rsidRPr="00844736">
        <w:rPr>
          <w:rFonts w:asciiTheme="majorHAnsi" w:hAnsiTheme="majorHAnsi"/>
          <w:sz w:val="20"/>
          <w:szCs w:val="20"/>
        </w:rPr>
        <w:t xml:space="preserve"> </w:t>
      </w:r>
      <w:r>
        <w:rPr>
          <w:rFonts w:asciiTheme="majorHAnsi" w:hAnsiTheme="majorHAnsi"/>
          <w:sz w:val="20"/>
          <w:szCs w:val="20"/>
        </w:rPr>
        <w:t>it notes that in the disciplinary jurisdiction the Delegate for the Defense of Human Rights of the Office of the Procurator General (</w:t>
      </w:r>
      <w:r w:rsidR="008704E4" w:rsidRPr="00844736">
        <w:rPr>
          <w:rFonts w:asciiTheme="majorHAnsi" w:hAnsiTheme="majorHAnsi"/>
          <w:sz w:val="20"/>
          <w:szCs w:val="20"/>
        </w:rPr>
        <w:t>Procuraduría General de la Nación</w:t>
      </w:r>
      <w:r>
        <w:rPr>
          <w:rFonts w:asciiTheme="majorHAnsi" w:hAnsiTheme="majorHAnsi"/>
          <w:sz w:val="20"/>
          <w:szCs w:val="20"/>
        </w:rPr>
        <w:t>)</w:t>
      </w:r>
      <w:r w:rsidR="008704E4" w:rsidRPr="00844736">
        <w:rPr>
          <w:rFonts w:asciiTheme="majorHAnsi" w:hAnsiTheme="majorHAnsi"/>
          <w:sz w:val="20"/>
          <w:szCs w:val="20"/>
        </w:rPr>
        <w:t xml:space="preserve"> </w:t>
      </w:r>
      <w:r>
        <w:rPr>
          <w:rFonts w:asciiTheme="majorHAnsi" w:hAnsiTheme="majorHAnsi"/>
          <w:sz w:val="20"/>
          <w:szCs w:val="20"/>
        </w:rPr>
        <w:t xml:space="preserve">imposed disciplinary sanctions on </w:t>
      </w:r>
      <w:r w:rsidR="008704E4" w:rsidRPr="00844736">
        <w:rPr>
          <w:rFonts w:asciiTheme="majorHAnsi" w:hAnsiTheme="majorHAnsi"/>
          <w:sz w:val="20"/>
          <w:szCs w:val="20"/>
        </w:rPr>
        <w:t>Berulfo Tao Muñoz, Jeyson Lozano Cerquera</w:t>
      </w:r>
      <w:r>
        <w:rPr>
          <w:rFonts w:asciiTheme="majorHAnsi" w:hAnsiTheme="majorHAnsi"/>
          <w:sz w:val="20"/>
          <w:szCs w:val="20"/>
        </w:rPr>
        <w:t xml:space="preserve">, and </w:t>
      </w:r>
      <w:r w:rsidR="008704E4" w:rsidRPr="00844736">
        <w:rPr>
          <w:rFonts w:asciiTheme="majorHAnsi" w:hAnsiTheme="majorHAnsi"/>
          <w:sz w:val="20"/>
          <w:szCs w:val="20"/>
        </w:rPr>
        <w:t xml:space="preserve">Henry Trujillo Lizcano, </w:t>
      </w:r>
      <w:r>
        <w:rPr>
          <w:rFonts w:asciiTheme="majorHAnsi" w:hAnsiTheme="majorHAnsi"/>
          <w:sz w:val="20"/>
          <w:szCs w:val="20"/>
        </w:rPr>
        <w:t xml:space="preserve">professional soldiers </w:t>
      </w:r>
      <w:r w:rsidR="00B63718">
        <w:rPr>
          <w:rFonts w:asciiTheme="majorHAnsi" w:hAnsiTheme="majorHAnsi"/>
          <w:sz w:val="20"/>
          <w:szCs w:val="20"/>
        </w:rPr>
        <w:t>of</w:t>
      </w:r>
      <w:r>
        <w:rPr>
          <w:rFonts w:asciiTheme="majorHAnsi" w:hAnsiTheme="majorHAnsi"/>
          <w:sz w:val="20"/>
          <w:szCs w:val="20"/>
        </w:rPr>
        <w:t xml:space="preserve"> the National Army, with the removal from their positions and disqualification f</w:t>
      </w:r>
      <w:r w:rsidR="00532EB7">
        <w:rPr>
          <w:rFonts w:asciiTheme="majorHAnsi" w:hAnsiTheme="majorHAnsi"/>
          <w:sz w:val="20"/>
          <w:szCs w:val="20"/>
        </w:rPr>
        <w:t xml:space="preserve">rom </w:t>
      </w:r>
      <w:r>
        <w:rPr>
          <w:rFonts w:asciiTheme="majorHAnsi" w:hAnsiTheme="majorHAnsi"/>
          <w:sz w:val="20"/>
          <w:szCs w:val="20"/>
        </w:rPr>
        <w:t xml:space="preserve">holding public office for </w:t>
      </w:r>
      <w:r w:rsidR="008704E4" w:rsidRPr="00844736">
        <w:rPr>
          <w:rFonts w:asciiTheme="majorHAnsi" w:hAnsiTheme="majorHAnsi"/>
          <w:sz w:val="20"/>
          <w:szCs w:val="20"/>
        </w:rPr>
        <w:t xml:space="preserve">15 </w:t>
      </w:r>
      <w:r>
        <w:rPr>
          <w:rFonts w:asciiTheme="majorHAnsi" w:hAnsiTheme="majorHAnsi"/>
          <w:sz w:val="20"/>
          <w:szCs w:val="20"/>
        </w:rPr>
        <w:t xml:space="preserve">years. </w:t>
      </w:r>
      <w:r w:rsidR="00532EB7">
        <w:rPr>
          <w:rFonts w:asciiTheme="majorHAnsi" w:hAnsiTheme="majorHAnsi"/>
          <w:sz w:val="20"/>
          <w:szCs w:val="20"/>
        </w:rPr>
        <w:t xml:space="preserve"> </w:t>
      </w:r>
    </w:p>
    <w:p w:rsidR="0063685A" w:rsidRPr="00844736" w:rsidRDefault="006F1BB2" w:rsidP="006F1BB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In conclusion, the State argues that in light of the failure to exhaust domestic remedies in respect of the criminal jurisdiction, and the fourth-instance argument with respect to the aspect</w:t>
      </w:r>
      <w:r w:rsidR="00617C7B" w:rsidRPr="00844736">
        <w:rPr>
          <w:rFonts w:asciiTheme="majorHAnsi" w:hAnsiTheme="majorHAnsi"/>
          <w:sz w:val="20"/>
          <w:szCs w:val="20"/>
        </w:rPr>
        <w:t xml:space="preserve"> </w:t>
      </w:r>
      <w:r>
        <w:rPr>
          <w:rFonts w:asciiTheme="majorHAnsi" w:hAnsiTheme="majorHAnsi"/>
          <w:sz w:val="20"/>
          <w:szCs w:val="20"/>
        </w:rPr>
        <w:t xml:space="preserve">of reparations, the petition is </w:t>
      </w:r>
      <w:r w:rsidR="0063685A" w:rsidRPr="00844736">
        <w:rPr>
          <w:rFonts w:asciiTheme="majorHAnsi" w:hAnsiTheme="majorHAnsi"/>
          <w:sz w:val="20"/>
          <w:szCs w:val="20"/>
        </w:rPr>
        <w:t>inadmis</w:t>
      </w:r>
      <w:r>
        <w:rPr>
          <w:rFonts w:asciiTheme="majorHAnsi" w:hAnsiTheme="majorHAnsi"/>
          <w:sz w:val="20"/>
          <w:szCs w:val="20"/>
        </w:rPr>
        <w:t>s</w:t>
      </w:r>
      <w:r w:rsidR="0063685A" w:rsidRPr="00844736">
        <w:rPr>
          <w:rFonts w:asciiTheme="majorHAnsi" w:hAnsiTheme="majorHAnsi"/>
          <w:sz w:val="20"/>
          <w:szCs w:val="20"/>
        </w:rPr>
        <w:t>ible</w:t>
      </w:r>
      <w:r>
        <w:rPr>
          <w:rFonts w:asciiTheme="majorHAnsi" w:hAnsiTheme="majorHAnsi"/>
          <w:sz w:val="20"/>
          <w:szCs w:val="20"/>
        </w:rPr>
        <w:t>;</w:t>
      </w:r>
      <w:r w:rsidR="0063685A" w:rsidRPr="00844736">
        <w:rPr>
          <w:rFonts w:asciiTheme="majorHAnsi" w:hAnsiTheme="majorHAnsi"/>
          <w:sz w:val="20"/>
          <w:szCs w:val="20"/>
        </w:rPr>
        <w:t xml:space="preserve"> </w:t>
      </w:r>
      <w:r>
        <w:rPr>
          <w:rFonts w:asciiTheme="majorHAnsi" w:hAnsiTheme="majorHAnsi"/>
          <w:sz w:val="20"/>
          <w:szCs w:val="20"/>
        </w:rPr>
        <w:t xml:space="preserve">and it asks the IACHR to </w:t>
      </w:r>
      <w:r w:rsidR="000E6089">
        <w:rPr>
          <w:rFonts w:asciiTheme="majorHAnsi" w:hAnsiTheme="majorHAnsi"/>
          <w:sz w:val="20"/>
          <w:szCs w:val="20"/>
        </w:rPr>
        <w:t xml:space="preserve">find </w:t>
      </w:r>
      <w:r>
        <w:rPr>
          <w:rFonts w:asciiTheme="majorHAnsi" w:hAnsiTheme="majorHAnsi"/>
          <w:sz w:val="20"/>
          <w:szCs w:val="20"/>
        </w:rPr>
        <w:t xml:space="preserve">it inadmissible. </w:t>
      </w:r>
    </w:p>
    <w:p w:rsidR="0063685A" w:rsidRPr="00844736" w:rsidRDefault="006F1BB2" w:rsidP="006F1BB2">
      <w:pPr>
        <w:spacing w:after="240"/>
        <w:ind w:firstLine="720"/>
        <w:jc w:val="both"/>
        <w:rPr>
          <w:rFonts w:asciiTheme="majorHAnsi" w:hAnsiTheme="majorHAnsi"/>
          <w:b/>
          <w:bCs/>
          <w:sz w:val="20"/>
          <w:szCs w:val="20"/>
        </w:rPr>
      </w:pPr>
      <w:r>
        <w:rPr>
          <w:rFonts w:asciiTheme="majorHAnsi" w:hAnsiTheme="majorHAnsi"/>
          <w:b/>
          <w:bCs/>
          <w:sz w:val="20"/>
          <w:szCs w:val="20"/>
        </w:rPr>
        <w:t>IV.</w:t>
      </w:r>
      <w:r>
        <w:rPr>
          <w:rFonts w:asciiTheme="majorHAnsi" w:hAnsiTheme="majorHAnsi"/>
          <w:b/>
          <w:bCs/>
          <w:sz w:val="20"/>
          <w:szCs w:val="20"/>
        </w:rPr>
        <w:tab/>
        <w:t>ANALY</w:t>
      </w:r>
      <w:r w:rsidR="0063685A" w:rsidRPr="00844736">
        <w:rPr>
          <w:rFonts w:asciiTheme="majorHAnsi" w:hAnsiTheme="majorHAnsi"/>
          <w:b/>
          <w:bCs/>
          <w:sz w:val="20"/>
          <w:szCs w:val="20"/>
        </w:rPr>
        <w:t xml:space="preserve">SIS </w:t>
      </w:r>
      <w:r>
        <w:rPr>
          <w:rFonts w:asciiTheme="majorHAnsi" w:hAnsiTheme="majorHAnsi"/>
          <w:b/>
          <w:bCs/>
          <w:sz w:val="20"/>
          <w:szCs w:val="20"/>
        </w:rPr>
        <w:t xml:space="preserve">OF COMPETENCE AND </w:t>
      </w:r>
      <w:r w:rsidR="0063685A" w:rsidRPr="00844736">
        <w:rPr>
          <w:rFonts w:asciiTheme="majorHAnsi" w:hAnsiTheme="majorHAnsi"/>
          <w:b/>
          <w:bCs/>
          <w:sz w:val="20"/>
          <w:szCs w:val="20"/>
        </w:rPr>
        <w:t>ADMI</w:t>
      </w:r>
      <w:r>
        <w:rPr>
          <w:rFonts w:asciiTheme="majorHAnsi" w:hAnsiTheme="majorHAnsi"/>
          <w:b/>
          <w:bCs/>
          <w:sz w:val="20"/>
          <w:szCs w:val="20"/>
        </w:rPr>
        <w:t>S</w:t>
      </w:r>
      <w:r w:rsidR="0063685A" w:rsidRPr="00844736">
        <w:rPr>
          <w:rFonts w:asciiTheme="majorHAnsi" w:hAnsiTheme="majorHAnsi"/>
          <w:b/>
          <w:bCs/>
          <w:sz w:val="20"/>
          <w:szCs w:val="20"/>
        </w:rPr>
        <w:t>SIBILI</w:t>
      </w:r>
      <w:r>
        <w:rPr>
          <w:rFonts w:asciiTheme="majorHAnsi" w:hAnsiTheme="majorHAnsi"/>
          <w:b/>
          <w:bCs/>
          <w:sz w:val="20"/>
          <w:szCs w:val="20"/>
        </w:rPr>
        <w:t>TY</w:t>
      </w:r>
    </w:p>
    <w:p w:rsidR="0063685A" w:rsidRPr="00844736" w:rsidRDefault="0063685A" w:rsidP="009F0583">
      <w:pPr>
        <w:spacing w:after="240"/>
        <w:ind w:left="1440" w:hanging="720"/>
        <w:jc w:val="both"/>
        <w:rPr>
          <w:rFonts w:asciiTheme="majorHAnsi" w:hAnsiTheme="majorHAnsi"/>
          <w:sz w:val="20"/>
          <w:szCs w:val="20"/>
        </w:rPr>
      </w:pPr>
      <w:r w:rsidRPr="00844736">
        <w:rPr>
          <w:rFonts w:asciiTheme="majorHAnsi" w:hAnsiTheme="majorHAnsi"/>
          <w:b/>
          <w:bCs/>
          <w:sz w:val="20"/>
          <w:szCs w:val="20"/>
        </w:rPr>
        <w:t>A.</w:t>
      </w:r>
      <w:r w:rsidRPr="00844736">
        <w:rPr>
          <w:rFonts w:asciiTheme="majorHAnsi" w:hAnsiTheme="majorHAnsi"/>
          <w:b/>
          <w:bCs/>
          <w:sz w:val="20"/>
          <w:szCs w:val="20"/>
        </w:rPr>
        <w:tab/>
        <w:t>Competenc</w:t>
      </w:r>
      <w:r w:rsidR="006F1BB2">
        <w:rPr>
          <w:rFonts w:asciiTheme="majorHAnsi" w:hAnsiTheme="majorHAnsi"/>
          <w:b/>
          <w:bCs/>
          <w:sz w:val="20"/>
          <w:szCs w:val="20"/>
        </w:rPr>
        <w:t>e</w:t>
      </w:r>
    </w:p>
    <w:p w:rsidR="0063685A" w:rsidRPr="00844736" w:rsidRDefault="006F1BB2" w:rsidP="000E6089">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r>
        <w:rPr>
          <w:rFonts w:asciiTheme="majorHAnsi" w:eastAsia="SimSun" w:hAnsiTheme="majorHAnsi"/>
          <w:sz w:val="20"/>
          <w:szCs w:val="20"/>
        </w:rPr>
        <w:t xml:space="preserve">The petitioners are </w:t>
      </w:r>
      <w:r w:rsidR="00B63718">
        <w:rPr>
          <w:rFonts w:asciiTheme="majorHAnsi" w:eastAsia="SimSun" w:hAnsiTheme="majorHAnsi"/>
          <w:sz w:val="20"/>
          <w:szCs w:val="20"/>
        </w:rPr>
        <w:t>entitled</w:t>
      </w:r>
      <w:r>
        <w:rPr>
          <w:rFonts w:asciiTheme="majorHAnsi" w:eastAsia="SimSun" w:hAnsiTheme="majorHAnsi"/>
          <w:sz w:val="20"/>
          <w:szCs w:val="20"/>
        </w:rPr>
        <w:t>, in principle, to file petitions with the Commission</w:t>
      </w:r>
      <w:r w:rsidR="000E6089" w:rsidRPr="000E6089">
        <w:rPr>
          <w:rFonts w:asciiTheme="majorHAnsi" w:eastAsia="SimSun" w:hAnsiTheme="majorHAnsi"/>
          <w:sz w:val="20"/>
          <w:szCs w:val="20"/>
        </w:rPr>
        <w:t xml:space="preserve"> </w:t>
      </w:r>
      <w:r w:rsidR="000E6089">
        <w:rPr>
          <w:rFonts w:asciiTheme="majorHAnsi" w:eastAsia="SimSun" w:hAnsiTheme="majorHAnsi"/>
          <w:sz w:val="20"/>
          <w:szCs w:val="20"/>
        </w:rPr>
        <w:t xml:space="preserve">by Article </w:t>
      </w:r>
      <w:r w:rsidR="000E6089" w:rsidRPr="00844736">
        <w:rPr>
          <w:rFonts w:asciiTheme="majorHAnsi" w:eastAsia="SimSun" w:hAnsiTheme="majorHAnsi"/>
          <w:sz w:val="20"/>
          <w:szCs w:val="20"/>
        </w:rPr>
        <w:t xml:space="preserve">44 </w:t>
      </w:r>
      <w:r w:rsidR="000E6089">
        <w:rPr>
          <w:rFonts w:asciiTheme="majorHAnsi" w:eastAsia="SimSun" w:hAnsiTheme="majorHAnsi"/>
          <w:sz w:val="20"/>
          <w:szCs w:val="20"/>
        </w:rPr>
        <w:t>of the American Convention</w:t>
      </w:r>
      <w:r>
        <w:rPr>
          <w:rFonts w:asciiTheme="majorHAnsi" w:eastAsia="SimSun" w:hAnsiTheme="majorHAnsi"/>
          <w:sz w:val="20"/>
          <w:szCs w:val="20"/>
        </w:rPr>
        <w:t xml:space="preserve">. The petition identifies as alleged victims individual persons with respect to whom the Colombian State undertook to respect and ensure the rights enshrined in the American Convention. As regards the State, the Commission notes that Colombia has been a </w:t>
      </w:r>
      <w:r w:rsidR="00FC056F">
        <w:rPr>
          <w:rFonts w:asciiTheme="majorHAnsi" w:eastAsia="SimSun" w:hAnsiTheme="majorHAnsi"/>
          <w:sz w:val="20"/>
          <w:szCs w:val="20"/>
        </w:rPr>
        <w:t>S</w:t>
      </w:r>
      <w:r>
        <w:rPr>
          <w:rFonts w:asciiTheme="majorHAnsi" w:eastAsia="SimSun" w:hAnsiTheme="majorHAnsi"/>
          <w:sz w:val="20"/>
          <w:szCs w:val="20"/>
        </w:rPr>
        <w:t xml:space="preserve">tate party to the American Convention since July </w:t>
      </w:r>
      <w:r w:rsidR="0077269F" w:rsidRPr="00844736">
        <w:rPr>
          <w:rFonts w:asciiTheme="majorHAnsi" w:eastAsia="SimSun" w:hAnsiTheme="majorHAnsi"/>
          <w:sz w:val="20"/>
          <w:szCs w:val="20"/>
        </w:rPr>
        <w:t>31</w:t>
      </w:r>
      <w:r>
        <w:rPr>
          <w:rFonts w:asciiTheme="majorHAnsi" w:eastAsia="SimSun" w:hAnsiTheme="majorHAnsi"/>
          <w:sz w:val="20"/>
          <w:szCs w:val="20"/>
        </w:rPr>
        <w:t>,</w:t>
      </w:r>
      <w:r w:rsidR="0077269F" w:rsidRPr="00844736">
        <w:rPr>
          <w:rFonts w:asciiTheme="majorHAnsi" w:eastAsia="SimSun" w:hAnsiTheme="majorHAnsi"/>
          <w:sz w:val="20"/>
          <w:szCs w:val="20"/>
        </w:rPr>
        <w:t xml:space="preserve"> 1973</w:t>
      </w:r>
      <w:r w:rsidR="0063685A" w:rsidRPr="00844736">
        <w:rPr>
          <w:rFonts w:asciiTheme="majorHAnsi" w:eastAsia="SimSun" w:hAnsiTheme="majorHAnsi"/>
          <w:sz w:val="20"/>
          <w:szCs w:val="20"/>
        </w:rPr>
        <w:t xml:space="preserve">, </w:t>
      </w:r>
      <w:r>
        <w:rPr>
          <w:rFonts w:asciiTheme="majorHAnsi" w:eastAsia="SimSun" w:hAnsiTheme="majorHAnsi"/>
          <w:sz w:val="20"/>
          <w:szCs w:val="20"/>
        </w:rPr>
        <w:t xml:space="preserve">the date on which it deposited its instrument of ratification. Therefore, the Commission is competent </w:t>
      </w:r>
      <w:r w:rsidR="0063685A" w:rsidRPr="00844736">
        <w:rPr>
          <w:rFonts w:asciiTheme="majorHAnsi" w:eastAsia="SimSun" w:hAnsiTheme="majorHAnsi"/>
          <w:i/>
          <w:sz w:val="20"/>
          <w:szCs w:val="20"/>
        </w:rPr>
        <w:t>ratione personae</w:t>
      </w:r>
      <w:r>
        <w:rPr>
          <w:rFonts w:asciiTheme="majorHAnsi" w:eastAsia="SimSun" w:hAnsiTheme="majorHAnsi"/>
          <w:sz w:val="20"/>
          <w:szCs w:val="20"/>
        </w:rPr>
        <w:t xml:space="preserve"> to examine the petition. The Commission is also competent </w:t>
      </w:r>
      <w:r w:rsidR="0063685A" w:rsidRPr="00844736">
        <w:rPr>
          <w:rFonts w:asciiTheme="majorHAnsi" w:eastAsia="SimSun" w:hAnsiTheme="majorHAnsi"/>
          <w:i/>
          <w:sz w:val="20"/>
          <w:szCs w:val="20"/>
        </w:rPr>
        <w:t>ratione loci</w:t>
      </w:r>
      <w:r w:rsidR="0063685A" w:rsidRPr="00844736">
        <w:rPr>
          <w:rFonts w:asciiTheme="majorHAnsi" w:eastAsia="SimSun" w:hAnsiTheme="majorHAnsi"/>
          <w:sz w:val="20"/>
          <w:szCs w:val="20"/>
        </w:rPr>
        <w:t xml:space="preserve"> </w:t>
      </w:r>
      <w:r>
        <w:rPr>
          <w:rFonts w:asciiTheme="majorHAnsi" w:eastAsia="SimSun" w:hAnsiTheme="majorHAnsi"/>
          <w:sz w:val="20"/>
          <w:szCs w:val="20"/>
        </w:rPr>
        <w:t xml:space="preserve">insofar as the petition alleges violations of rights protected in the American Convention said to have occurred within the territory of </w:t>
      </w:r>
      <w:r w:rsidR="0077269F" w:rsidRPr="00844736">
        <w:rPr>
          <w:rFonts w:asciiTheme="majorHAnsi" w:eastAsia="SimSun" w:hAnsiTheme="majorHAnsi"/>
          <w:sz w:val="20"/>
          <w:szCs w:val="20"/>
        </w:rPr>
        <w:t>Colombia</w:t>
      </w:r>
      <w:r w:rsidR="0063685A" w:rsidRPr="00844736">
        <w:rPr>
          <w:rFonts w:asciiTheme="majorHAnsi" w:eastAsia="SimSun" w:hAnsiTheme="majorHAnsi"/>
          <w:sz w:val="20"/>
          <w:szCs w:val="20"/>
        </w:rPr>
        <w:t xml:space="preserve">, </w:t>
      </w:r>
      <w:r w:rsidR="00FC056F">
        <w:rPr>
          <w:rFonts w:asciiTheme="majorHAnsi" w:eastAsia="SimSun" w:hAnsiTheme="majorHAnsi"/>
          <w:sz w:val="20"/>
          <w:szCs w:val="20"/>
        </w:rPr>
        <w:t>a S</w:t>
      </w:r>
      <w:r>
        <w:rPr>
          <w:rFonts w:asciiTheme="majorHAnsi" w:eastAsia="SimSun" w:hAnsiTheme="majorHAnsi"/>
          <w:sz w:val="20"/>
          <w:szCs w:val="20"/>
        </w:rPr>
        <w:t>tate party to that treaty.</w:t>
      </w:r>
      <w:r w:rsidR="0063685A" w:rsidRPr="00844736">
        <w:rPr>
          <w:rFonts w:asciiTheme="majorHAnsi" w:eastAsia="SimSun" w:hAnsiTheme="majorHAnsi"/>
          <w:sz w:val="20"/>
          <w:szCs w:val="20"/>
        </w:rPr>
        <w:t> </w:t>
      </w:r>
    </w:p>
    <w:p w:rsidR="00547D7F" w:rsidRPr="00844736" w:rsidRDefault="00547D7F"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p>
    <w:p w:rsidR="0063685A" w:rsidRPr="00844736" w:rsidRDefault="006F1BB2" w:rsidP="00937B6C">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r>
        <w:rPr>
          <w:rFonts w:asciiTheme="majorHAnsi" w:eastAsia="SimSun" w:hAnsiTheme="majorHAnsi"/>
          <w:sz w:val="20"/>
          <w:szCs w:val="20"/>
        </w:rPr>
        <w:t xml:space="preserve">The Commission is competent </w:t>
      </w:r>
      <w:r w:rsidR="0063685A" w:rsidRPr="00844736">
        <w:rPr>
          <w:rFonts w:asciiTheme="majorHAnsi" w:eastAsia="SimSun" w:hAnsiTheme="majorHAnsi"/>
          <w:i/>
          <w:sz w:val="20"/>
          <w:szCs w:val="20"/>
        </w:rPr>
        <w:t>ratione temporis</w:t>
      </w:r>
      <w:r w:rsidR="0063685A" w:rsidRPr="00844736">
        <w:rPr>
          <w:rFonts w:asciiTheme="majorHAnsi" w:eastAsia="SimSun" w:hAnsiTheme="majorHAnsi"/>
          <w:sz w:val="20"/>
          <w:szCs w:val="20"/>
        </w:rPr>
        <w:t xml:space="preserve"> </w:t>
      </w:r>
      <w:r w:rsidR="00CB6E11">
        <w:rPr>
          <w:rFonts w:asciiTheme="majorHAnsi" w:eastAsia="SimSun" w:hAnsiTheme="majorHAnsi"/>
          <w:sz w:val="20"/>
          <w:szCs w:val="20"/>
        </w:rPr>
        <w:t>because</w:t>
      </w:r>
      <w:r>
        <w:rPr>
          <w:rFonts w:asciiTheme="majorHAnsi" w:eastAsia="SimSun" w:hAnsiTheme="majorHAnsi"/>
          <w:sz w:val="20"/>
          <w:szCs w:val="20"/>
        </w:rPr>
        <w:t xml:space="preserve"> the obligation to respect and ensure the rights protected in the American Convention was already in </w:t>
      </w:r>
      <w:r w:rsidR="004848BC">
        <w:rPr>
          <w:rFonts w:asciiTheme="majorHAnsi" w:eastAsia="SimSun" w:hAnsiTheme="majorHAnsi"/>
          <w:sz w:val="20"/>
          <w:szCs w:val="20"/>
        </w:rPr>
        <w:t>effect</w:t>
      </w:r>
      <w:r>
        <w:rPr>
          <w:rFonts w:asciiTheme="majorHAnsi" w:eastAsia="SimSun" w:hAnsiTheme="majorHAnsi"/>
          <w:sz w:val="20"/>
          <w:szCs w:val="20"/>
        </w:rPr>
        <w:t xml:space="preserve"> for the State</w:t>
      </w:r>
      <w:r w:rsidR="00937B6C">
        <w:rPr>
          <w:rFonts w:asciiTheme="majorHAnsi" w:eastAsia="SimSun" w:hAnsiTheme="majorHAnsi"/>
          <w:sz w:val="20"/>
          <w:szCs w:val="20"/>
        </w:rPr>
        <w:t xml:space="preserve"> as of the date of the facts alleged in the petition. Finally</w:t>
      </w:r>
      <w:r w:rsidR="0063685A" w:rsidRPr="00844736">
        <w:rPr>
          <w:rFonts w:asciiTheme="majorHAnsi" w:eastAsia="SimSun" w:hAnsiTheme="majorHAnsi"/>
          <w:sz w:val="20"/>
          <w:szCs w:val="20"/>
        </w:rPr>
        <w:t xml:space="preserve">, </w:t>
      </w:r>
      <w:r w:rsidR="00937B6C">
        <w:rPr>
          <w:rFonts w:asciiTheme="majorHAnsi" w:eastAsia="SimSun" w:hAnsiTheme="majorHAnsi"/>
          <w:sz w:val="20"/>
          <w:szCs w:val="20"/>
        </w:rPr>
        <w:t xml:space="preserve">the Commission is competent </w:t>
      </w:r>
      <w:r w:rsidR="0063685A" w:rsidRPr="00844736">
        <w:rPr>
          <w:rFonts w:asciiTheme="majorHAnsi" w:eastAsia="SimSun" w:hAnsiTheme="majorHAnsi"/>
          <w:i/>
          <w:sz w:val="20"/>
          <w:szCs w:val="20"/>
        </w:rPr>
        <w:t>ratione materiae</w:t>
      </w:r>
      <w:r w:rsidR="0063685A" w:rsidRPr="00844736">
        <w:rPr>
          <w:rFonts w:asciiTheme="majorHAnsi" w:eastAsia="SimSun" w:hAnsiTheme="majorHAnsi"/>
          <w:sz w:val="20"/>
          <w:szCs w:val="20"/>
        </w:rPr>
        <w:t xml:space="preserve">, </w:t>
      </w:r>
      <w:r w:rsidR="00937B6C">
        <w:rPr>
          <w:rFonts w:asciiTheme="majorHAnsi" w:eastAsia="SimSun" w:hAnsiTheme="majorHAnsi"/>
          <w:sz w:val="20"/>
          <w:szCs w:val="20"/>
        </w:rPr>
        <w:t>given that the petition alleges possible violations of human rights protected by the American Convention</w:t>
      </w:r>
      <w:r w:rsidR="0063685A" w:rsidRPr="00844736">
        <w:rPr>
          <w:rFonts w:asciiTheme="majorHAnsi" w:eastAsia="SimSun" w:hAnsiTheme="majorHAnsi"/>
          <w:sz w:val="20"/>
          <w:szCs w:val="20"/>
        </w:rPr>
        <w:t>.</w:t>
      </w:r>
    </w:p>
    <w:p w:rsidR="00547D7F" w:rsidRPr="00844736" w:rsidRDefault="00547D7F"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p>
    <w:p w:rsidR="0063685A" w:rsidRPr="00844736" w:rsidRDefault="00937B6C" w:rsidP="00937B6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rPr>
      </w:pPr>
      <w:r>
        <w:rPr>
          <w:rFonts w:asciiTheme="majorHAnsi" w:hAnsiTheme="majorHAnsi"/>
          <w:b/>
          <w:bCs/>
          <w:sz w:val="20"/>
          <w:szCs w:val="20"/>
        </w:rPr>
        <w:t xml:space="preserve">Admissibility Requirements </w:t>
      </w:r>
    </w:p>
    <w:p w:rsidR="0063685A" w:rsidRPr="00844736" w:rsidRDefault="0063685A" w:rsidP="00937B6C">
      <w:pPr>
        <w:spacing w:after="240"/>
        <w:ind w:firstLine="720"/>
        <w:jc w:val="both"/>
        <w:rPr>
          <w:rFonts w:asciiTheme="majorHAnsi" w:hAnsiTheme="majorHAnsi"/>
          <w:b/>
          <w:sz w:val="20"/>
          <w:szCs w:val="20"/>
        </w:rPr>
      </w:pPr>
      <w:r w:rsidRPr="00844736">
        <w:rPr>
          <w:rFonts w:asciiTheme="majorHAnsi" w:hAnsiTheme="majorHAnsi"/>
          <w:b/>
          <w:sz w:val="20"/>
          <w:szCs w:val="20"/>
        </w:rPr>
        <w:t>1.</w:t>
      </w:r>
      <w:r w:rsidRPr="00844736">
        <w:rPr>
          <w:rFonts w:asciiTheme="majorHAnsi" w:hAnsiTheme="majorHAnsi"/>
          <w:b/>
          <w:sz w:val="20"/>
          <w:szCs w:val="20"/>
        </w:rPr>
        <w:tab/>
      </w:r>
      <w:r w:rsidR="00937B6C">
        <w:rPr>
          <w:rFonts w:asciiTheme="majorHAnsi" w:hAnsiTheme="majorHAnsi"/>
          <w:b/>
          <w:sz w:val="20"/>
          <w:szCs w:val="20"/>
        </w:rPr>
        <w:t xml:space="preserve">Exhaustion of domestic remedies </w:t>
      </w:r>
    </w:p>
    <w:p w:rsidR="0063685A" w:rsidRPr="00844736" w:rsidRDefault="00937B6C" w:rsidP="000E60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rPr>
      </w:pPr>
      <w:r>
        <w:rPr>
          <w:rFonts w:asciiTheme="majorHAnsi" w:hAnsiTheme="majorHAnsi" w:cs="Arial"/>
          <w:sz w:val="20"/>
          <w:szCs w:val="20"/>
        </w:rPr>
        <w:t xml:space="preserve">Article </w:t>
      </w:r>
      <w:r w:rsidR="008422FF" w:rsidRPr="00844736">
        <w:rPr>
          <w:rFonts w:asciiTheme="majorHAnsi" w:hAnsiTheme="majorHAnsi" w:cs="Arial"/>
          <w:sz w:val="20"/>
          <w:szCs w:val="20"/>
        </w:rPr>
        <w:t>46</w:t>
      </w:r>
      <w:r>
        <w:rPr>
          <w:rFonts w:asciiTheme="majorHAnsi" w:hAnsiTheme="majorHAnsi" w:cs="Arial"/>
          <w:sz w:val="20"/>
          <w:szCs w:val="20"/>
        </w:rPr>
        <w:t>(</w:t>
      </w:r>
      <w:r w:rsidR="008422FF" w:rsidRPr="00844736">
        <w:rPr>
          <w:rFonts w:asciiTheme="majorHAnsi" w:hAnsiTheme="majorHAnsi" w:cs="Arial"/>
          <w:sz w:val="20"/>
          <w:szCs w:val="20"/>
        </w:rPr>
        <w:t>1</w:t>
      </w:r>
      <w:r>
        <w:rPr>
          <w:rFonts w:asciiTheme="majorHAnsi" w:hAnsiTheme="majorHAnsi" w:cs="Arial"/>
          <w:sz w:val="20"/>
          <w:szCs w:val="20"/>
        </w:rPr>
        <w:t>)(</w:t>
      </w:r>
      <w:r w:rsidR="008422FF" w:rsidRPr="00844736">
        <w:rPr>
          <w:rFonts w:asciiTheme="majorHAnsi" w:hAnsiTheme="majorHAnsi" w:cs="Arial"/>
          <w:sz w:val="20"/>
          <w:szCs w:val="20"/>
        </w:rPr>
        <w:t>a</w:t>
      </w:r>
      <w:r>
        <w:rPr>
          <w:rFonts w:asciiTheme="majorHAnsi" w:hAnsiTheme="majorHAnsi" w:cs="Arial"/>
          <w:sz w:val="20"/>
          <w:szCs w:val="20"/>
        </w:rPr>
        <w:t>)</w:t>
      </w:r>
      <w:r w:rsidR="0063685A" w:rsidRPr="00844736">
        <w:rPr>
          <w:rFonts w:asciiTheme="majorHAnsi" w:hAnsiTheme="majorHAnsi" w:cs="Arial"/>
          <w:sz w:val="20"/>
          <w:szCs w:val="20"/>
        </w:rPr>
        <w:t xml:space="preserve"> </w:t>
      </w:r>
      <w:r>
        <w:rPr>
          <w:rFonts w:asciiTheme="majorHAnsi" w:hAnsiTheme="majorHAnsi" w:cs="Arial"/>
          <w:sz w:val="20"/>
          <w:szCs w:val="20"/>
        </w:rPr>
        <w:t xml:space="preserve">of the American Convention requires the prior exhaustion of remedies available in the domestic jurisdiction in </w:t>
      </w:r>
      <w:r w:rsidR="007737DF">
        <w:rPr>
          <w:rFonts w:asciiTheme="majorHAnsi" w:hAnsiTheme="majorHAnsi" w:cs="Arial"/>
          <w:sz w:val="20"/>
          <w:szCs w:val="20"/>
        </w:rPr>
        <w:t>accordance</w:t>
      </w:r>
      <w:r>
        <w:rPr>
          <w:rFonts w:asciiTheme="majorHAnsi" w:hAnsiTheme="majorHAnsi" w:cs="Arial"/>
          <w:sz w:val="20"/>
          <w:szCs w:val="20"/>
        </w:rPr>
        <w:t xml:space="preserve"> with the generally recognized principles of international law</w:t>
      </w:r>
      <w:r w:rsidR="0063685A" w:rsidRPr="00844736">
        <w:rPr>
          <w:rFonts w:asciiTheme="majorHAnsi" w:hAnsiTheme="majorHAnsi" w:cs="Arial"/>
          <w:sz w:val="20"/>
          <w:szCs w:val="20"/>
        </w:rPr>
        <w:t xml:space="preserve">, </w:t>
      </w:r>
      <w:r>
        <w:rPr>
          <w:rFonts w:asciiTheme="majorHAnsi" w:hAnsiTheme="majorHAnsi" w:cs="Arial"/>
          <w:sz w:val="20"/>
          <w:szCs w:val="20"/>
        </w:rPr>
        <w:t xml:space="preserve">as a requirement for the admissibility of a claim alleging a violation of the American Convention. The purpose of this requirement is to allow the national authorities to </w:t>
      </w:r>
      <w:r w:rsidR="00F26DBB">
        <w:rPr>
          <w:rFonts w:asciiTheme="majorHAnsi" w:hAnsiTheme="majorHAnsi" w:cs="Arial"/>
          <w:sz w:val="20"/>
          <w:szCs w:val="20"/>
        </w:rPr>
        <w:t>consider</w:t>
      </w:r>
      <w:r>
        <w:rPr>
          <w:rFonts w:asciiTheme="majorHAnsi" w:hAnsiTheme="majorHAnsi" w:cs="Arial"/>
          <w:sz w:val="20"/>
          <w:szCs w:val="20"/>
        </w:rPr>
        <w:t xml:space="preserve"> the alleged violation of a protected right and, if appropriate, to solve the situation before it is taken up by an international body. Article </w:t>
      </w:r>
      <w:r w:rsidR="0063685A" w:rsidRPr="00844736">
        <w:rPr>
          <w:rFonts w:asciiTheme="majorHAnsi" w:hAnsiTheme="majorHAnsi"/>
          <w:sz w:val="20"/>
          <w:szCs w:val="20"/>
        </w:rPr>
        <w:t>46</w:t>
      </w:r>
      <w:r>
        <w:rPr>
          <w:rFonts w:asciiTheme="majorHAnsi" w:hAnsiTheme="majorHAnsi"/>
          <w:sz w:val="20"/>
          <w:szCs w:val="20"/>
        </w:rPr>
        <w:t>(</w:t>
      </w:r>
      <w:r w:rsidR="008422FF" w:rsidRPr="00844736">
        <w:rPr>
          <w:rFonts w:asciiTheme="majorHAnsi" w:hAnsiTheme="majorHAnsi"/>
          <w:sz w:val="20"/>
          <w:szCs w:val="20"/>
        </w:rPr>
        <w:t>2</w:t>
      </w:r>
      <w:r>
        <w:rPr>
          <w:rFonts w:asciiTheme="majorHAnsi" w:hAnsiTheme="majorHAnsi"/>
          <w:sz w:val="20"/>
          <w:szCs w:val="20"/>
        </w:rPr>
        <w:t xml:space="preserve">) of the Convention provides that the prior exhaustion requirement does not apply when </w:t>
      </w:r>
      <w:r w:rsidR="0063685A" w:rsidRPr="00844736">
        <w:rPr>
          <w:rFonts w:asciiTheme="majorHAnsi" w:hAnsiTheme="majorHAnsi"/>
          <w:sz w:val="20"/>
          <w:szCs w:val="20"/>
        </w:rPr>
        <w:t xml:space="preserve">(i) </w:t>
      </w:r>
      <w:r>
        <w:rPr>
          <w:rFonts w:asciiTheme="majorHAnsi" w:hAnsiTheme="majorHAnsi"/>
          <w:sz w:val="20"/>
          <w:szCs w:val="20"/>
        </w:rPr>
        <w:t>the</w:t>
      </w:r>
      <w:r w:rsidR="000E6089">
        <w:rPr>
          <w:rFonts w:asciiTheme="majorHAnsi" w:hAnsiTheme="majorHAnsi"/>
          <w:sz w:val="20"/>
          <w:szCs w:val="20"/>
        </w:rPr>
        <w:t xml:space="preserve"> </w:t>
      </w:r>
      <w:r>
        <w:rPr>
          <w:rFonts w:asciiTheme="majorHAnsi" w:hAnsiTheme="majorHAnsi"/>
          <w:sz w:val="20"/>
          <w:szCs w:val="20"/>
        </w:rPr>
        <w:t xml:space="preserve">domestic legislation in the state in question does not provide for due process of law for protecting the right or rights alleged to have been violated; </w:t>
      </w:r>
      <w:r w:rsidR="0063685A" w:rsidRPr="00844736">
        <w:rPr>
          <w:rFonts w:asciiTheme="majorHAnsi" w:hAnsiTheme="majorHAnsi"/>
          <w:sz w:val="20"/>
          <w:szCs w:val="20"/>
        </w:rPr>
        <w:t xml:space="preserve">(ii) </w:t>
      </w:r>
      <w:r>
        <w:rPr>
          <w:rFonts w:asciiTheme="majorHAnsi" w:hAnsiTheme="majorHAnsi"/>
          <w:sz w:val="20"/>
          <w:szCs w:val="20"/>
        </w:rPr>
        <w:t xml:space="preserve">the person whose rights have been violated has not been allowed </w:t>
      </w:r>
      <w:r w:rsidR="000E6089">
        <w:rPr>
          <w:rFonts w:asciiTheme="majorHAnsi" w:hAnsiTheme="majorHAnsi"/>
          <w:sz w:val="20"/>
          <w:szCs w:val="20"/>
        </w:rPr>
        <w:t xml:space="preserve">to </w:t>
      </w:r>
      <w:r>
        <w:rPr>
          <w:rFonts w:asciiTheme="majorHAnsi" w:hAnsiTheme="majorHAnsi"/>
          <w:sz w:val="20"/>
          <w:szCs w:val="20"/>
        </w:rPr>
        <w:t xml:space="preserve">access domestic remedies or has been impeded from exhausting them; or </w:t>
      </w:r>
      <w:r w:rsidR="0063685A" w:rsidRPr="00844736">
        <w:rPr>
          <w:rFonts w:asciiTheme="majorHAnsi" w:hAnsiTheme="majorHAnsi"/>
          <w:sz w:val="20"/>
          <w:szCs w:val="20"/>
        </w:rPr>
        <w:t xml:space="preserve">(iii) </w:t>
      </w:r>
      <w:r>
        <w:rPr>
          <w:rFonts w:asciiTheme="majorHAnsi" w:hAnsiTheme="majorHAnsi"/>
          <w:sz w:val="20"/>
          <w:szCs w:val="20"/>
        </w:rPr>
        <w:t xml:space="preserve">when there is unwarranted delay in the decision on said remedies. </w:t>
      </w:r>
    </w:p>
    <w:p w:rsidR="00547D7F" w:rsidRPr="00844736"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rPr>
      </w:pPr>
    </w:p>
    <w:p w:rsidR="00DD570C" w:rsidRPr="00844736" w:rsidRDefault="00DB0EA9" w:rsidP="00C32F5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The petitioners alleged in their original complaint that two exceptions to the prior exhaustion requirement apply, </w:t>
      </w:r>
      <w:r w:rsidR="00782748">
        <w:rPr>
          <w:rFonts w:asciiTheme="majorHAnsi" w:hAnsiTheme="majorHAnsi"/>
          <w:sz w:val="20"/>
          <w:szCs w:val="20"/>
        </w:rPr>
        <w:t xml:space="preserve">pointing to </w:t>
      </w:r>
      <w:r>
        <w:rPr>
          <w:rFonts w:asciiTheme="majorHAnsi" w:hAnsiTheme="majorHAnsi"/>
          <w:sz w:val="20"/>
          <w:szCs w:val="20"/>
        </w:rPr>
        <w:t>Article 46(</w:t>
      </w:r>
      <w:r w:rsidR="00097050" w:rsidRPr="00844736">
        <w:rPr>
          <w:rFonts w:asciiTheme="majorHAnsi" w:hAnsiTheme="majorHAnsi"/>
          <w:sz w:val="20"/>
          <w:szCs w:val="20"/>
        </w:rPr>
        <w:t>2</w:t>
      </w:r>
      <w:r>
        <w:rPr>
          <w:rFonts w:asciiTheme="majorHAnsi" w:hAnsiTheme="majorHAnsi"/>
          <w:sz w:val="20"/>
          <w:szCs w:val="20"/>
        </w:rPr>
        <w:t>)(a) and</w:t>
      </w:r>
      <w:r w:rsidR="006427C4" w:rsidRPr="00844736">
        <w:rPr>
          <w:rFonts w:asciiTheme="majorHAnsi" w:hAnsiTheme="majorHAnsi"/>
          <w:sz w:val="20"/>
          <w:szCs w:val="20"/>
        </w:rPr>
        <w:t xml:space="preserve"> </w:t>
      </w:r>
      <w:r>
        <w:rPr>
          <w:rFonts w:asciiTheme="majorHAnsi" w:hAnsiTheme="majorHAnsi"/>
          <w:sz w:val="20"/>
          <w:szCs w:val="20"/>
        </w:rPr>
        <w:t>(</w:t>
      </w:r>
      <w:r w:rsidR="006427C4" w:rsidRPr="00844736">
        <w:rPr>
          <w:rFonts w:asciiTheme="majorHAnsi" w:hAnsiTheme="majorHAnsi"/>
          <w:sz w:val="20"/>
          <w:szCs w:val="20"/>
        </w:rPr>
        <w:t xml:space="preserve">c) </w:t>
      </w:r>
      <w:r>
        <w:rPr>
          <w:rFonts w:asciiTheme="majorHAnsi" w:hAnsiTheme="majorHAnsi"/>
          <w:sz w:val="20"/>
          <w:szCs w:val="20"/>
        </w:rPr>
        <w:t xml:space="preserve">of the American Convention, insofar as the matter was </w:t>
      </w:r>
      <w:r w:rsidR="00782748">
        <w:rPr>
          <w:rFonts w:asciiTheme="majorHAnsi" w:hAnsiTheme="majorHAnsi"/>
          <w:sz w:val="20"/>
          <w:szCs w:val="20"/>
        </w:rPr>
        <w:t xml:space="preserve">initially </w:t>
      </w:r>
      <w:r>
        <w:rPr>
          <w:rFonts w:asciiTheme="majorHAnsi" w:hAnsiTheme="majorHAnsi"/>
          <w:sz w:val="20"/>
          <w:szCs w:val="20"/>
        </w:rPr>
        <w:t>being heard by the military justice system</w:t>
      </w:r>
      <w:r w:rsidR="00DD265A" w:rsidRPr="00844736">
        <w:rPr>
          <w:rFonts w:asciiTheme="majorHAnsi" w:hAnsiTheme="majorHAnsi"/>
          <w:sz w:val="20"/>
          <w:szCs w:val="20"/>
        </w:rPr>
        <w:t xml:space="preserve">, </w:t>
      </w:r>
      <w:r>
        <w:rPr>
          <w:rFonts w:asciiTheme="majorHAnsi" w:hAnsiTheme="majorHAnsi"/>
          <w:sz w:val="20"/>
          <w:szCs w:val="20"/>
        </w:rPr>
        <w:t xml:space="preserve">and insofar as there was unwarranted delay in the criminal proceeding. Subsequently, by brief of September </w:t>
      </w:r>
      <w:r w:rsidR="00097050" w:rsidRPr="00844736">
        <w:rPr>
          <w:rFonts w:asciiTheme="majorHAnsi" w:hAnsiTheme="majorHAnsi"/>
          <w:sz w:val="20"/>
          <w:szCs w:val="20"/>
        </w:rPr>
        <w:t>16</w:t>
      </w:r>
      <w:r>
        <w:rPr>
          <w:rFonts w:asciiTheme="majorHAnsi" w:hAnsiTheme="majorHAnsi"/>
          <w:sz w:val="20"/>
          <w:szCs w:val="20"/>
        </w:rPr>
        <w:t>,</w:t>
      </w:r>
      <w:r w:rsidR="00097050" w:rsidRPr="00844736">
        <w:rPr>
          <w:rFonts w:asciiTheme="majorHAnsi" w:hAnsiTheme="majorHAnsi"/>
          <w:sz w:val="20"/>
          <w:szCs w:val="20"/>
        </w:rPr>
        <w:t xml:space="preserve"> 2014</w:t>
      </w:r>
      <w:r>
        <w:rPr>
          <w:rFonts w:asciiTheme="majorHAnsi" w:hAnsiTheme="majorHAnsi"/>
          <w:sz w:val="20"/>
          <w:szCs w:val="20"/>
        </w:rPr>
        <w:t>, they emphasized that there was unwarranted delay in the criminal proceeding</w:t>
      </w:r>
      <w:r w:rsidR="00124674" w:rsidRPr="00844736">
        <w:rPr>
          <w:rFonts w:asciiTheme="majorHAnsi" w:hAnsiTheme="majorHAnsi"/>
          <w:sz w:val="20"/>
          <w:szCs w:val="20"/>
        </w:rPr>
        <w:t>,</w:t>
      </w:r>
      <w:r w:rsidR="009051ED" w:rsidRPr="00844736">
        <w:rPr>
          <w:rFonts w:asciiTheme="majorHAnsi" w:hAnsiTheme="majorHAnsi"/>
          <w:sz w:val="20"/>
          <w:szCs w:val="20"/>
        </w:rPr>
        <w:t xml:space="preserve"> </w:t>
      </w:r>
      <w:r>
        <w:rPr>
          <w:rFonts w:asciiTheme="majorHAnsi" w:hAnsiTheme="majorHAnsi"/>
          <w:sz w:val="20"/>
          <w:szCs w:val="20"/>
        </w:rPr>
        <w:t xml:space="preserve">for more than eight years had elapsed without any judgment being handed down. The State argued failure to exhaust domestic remedies and alleged that the exceptions provided for at Article </w:t>
      </w:r>
      <w:r w:rsidR="00124674" w:rsidRPr="00844736">
        <w:rPr>
          <w:rFonts w:asciiTheme="majorHAnsi" w:hAnsiTheme="majorHAnsi"/>
          <w:sz w:val="20"/>
          <w:szCs w:val="20"/>
        </w:rPr>
        <w:t>46</w:t>
      </w:r>
      <w:r>
        <w:rPr>
          <w:rFonts w:asciiTheme="majorHAnsi" w:hAnsiTheme="majorHAnsi"/>
          <w:sz w:val="20"/>
          <w:szCs w:val="20"/>
        </w:rPr>
        <w:t>(</w:t>
      </w:r>
      <w:r w:rsidR="00124674" w:rsidRPr="00844736">
        <w:rPr>
          <w:rFonts w:asciiTheme="majorHAnsi" w:hAnsiTheme="majorHAnsi"/>
          <w:sz w:val="20"/>
          <w:szCs w:val="20"/>
        </w:rPr>
        <w:t>2</w:t>
      </w:r>
      <w:r>
        <w:rPr>
          <w:rFonts w:asciiTheme="majorHAnsi" w:hAnsiTheme="majorHAnsi"/>
          <w:sz w:val="20"/>
          <w:szCs w:val="20"/>
        </w:rPr>
        <w:t>)(</w:t>
      </w:r>
      <w:r w:rsidR="00124674" w:rsidRPr="00844736">
        <w:rPr>
          <w:rFonts w:asciiTheme="majorHAnsi" w:hAnsiTheme="majorHAnsi"/>
          <w:sz w:val="20"/>
          <w:szCs w:val="20"/>
        </w:rPr>
        <w:t xml:space="preserve">a) </w:t>
      </w:r>
      <w:r>
        <w:rPr>
          <w:rFonts w:asciiTheme="majorHAnsi" w:hAnsiTheme="majorHAnsi"/>
          <w:sz w:val="20"/>
          <w:szCs w:val="20"/>
        </w:rPr>
        <w:t>and (</w:t>
      </w:r>
      <w:r w:rsidR="00124674" w:rsidRPr="00844736">
        <w:rPr>
          <w:rFonts w:asciiTheme="majorHAnsi" w:hAnsiTheme="majorHAnsi"/>
          <w:sz w:val="20"/>
          <w:szCs w:val="20"/>
        </w:rPr>
        <w:t xml:space="preserve">c) </w:t>
      </w:r>
      <w:r>
        <w:rPr>
          <w:rFonts w:asciiTheme="majorHAnsi" w:hAnsiTheme="majorHAnsi"/>
          <w:sz w:val="20"/>
          <w:szCs w:val="20"/>
        </w:rPr>
        <w:t>of the American Convention do not apply</w:t>
      </w:r>
      <w:r w:rsidR="00124674" w:rsidRPr="00844736">
        <w:rPr>
          <w:rFonts w:asciiTheme="majorHAnsi" w:hAnsiTheme="majorHAnsi"/>
          <w:sz w:val="20"/>
          <w:szCs w:val="20"/>
        </w:rPr>
        <w:t xml:space="preserve">, </w:t>
      </w:r>
      <w:r>
        <w:rPr>
          <w:rFonts w:asciiTheme="majorHAnsi" w:hAnsiTheme="majorHAnsi"/>
          <w:sz w:val="20"/>
          <w:szCs w:val="20"/>
        </w:rPr>
        <w:t xml:space="preserve">for with respect to the first, there was a jurisdictional conflict that was resolved in favor of the </w:t>
      </w:r>
      <w:r w:rsidR="00A97AEF">
        <w:rPr>
          <w:rFonts w:asciiTheme="majorHAnsi" w:hAnsiTheme="majorHAnsi"/>
          <w:sz w:val="20"/>
          <w:szCs w:val="20"/>
        </w:rPr>
        <w:t>civilian</w:t>
      </w:r>
      <w:r>
        <w:rPr>
          <w:rFonts w:asciiTheme="majorHAnsi" w:hAnsiTheme="majorHAnsi"/>
          <w:sz w:val="20"/>
          <w:szCs w:val="20"/>
        </w:rPr>
        <w:t xml:space="preserve"> justice system, and </w:t>
      </w:r>
      <w:r w:rsidR="00EA6B75">
        <w:rPr>
          <w:rFonts w:asciiTheme="majorHAnsi" w:hAnsiTheme="majorHAnsi"/>
          <w:sz w:val="20"/>
          <w:szCs w:val="20"/>
        </w:rPr>
        <w:t xml:space="preserve">the criminal </w:t>
      </w:r>
      <w:r w:rsidR="00EA6B75">
        <w:rPr>
          <w:rFonts w:asciiTheme="majorHAnsi" w:hAnsiTheme="majorHAnsi"/>
          <w:sz w:val="20"/>
          <w:szCs w:val="20"/>
        </w:rPr>
        <w:lastRenderedPageBreak/>
        <w:t xml:space="preserve">proceeding is now </w:t>
      </w:r>
      <w:r w:rsidR="00066D76">
        <w:rPr>
          <w:rFonts w:asciiTheme="majorHAnsi" w:hAnsiTheme="majorHAnsi"/>
          <w:sz w:val="20"/>
          <w:szCs w:val="20"/>
        </w:rPr>
        <w:t>being reviewed</w:t>
      </w:r>
      <w:r w:rsidR="00EA6B75">
        <w:rPr>
          <w:rFonts w:asciiTheme="majorHAnsi" w:hAnsiTheme="majorHAnsi"/>
          <w:sz w:val="20"/>
          <w:szCs w:val="20"/>
        </w:rPr>
        <w:t xml:space="preserve"> in that jurisdiction, and in terms of the second ground, it argued that the proceeding was unfolding within a reasonable time. </w:t>
      </w:r>
      <w:r w:rsidR="000E6089">
        <w:rPr>
          <w:rFonts w:asciiTheme="majorHAnsi" w:hAnsiTheme="majorHAnsi"/>
          <w:sz w:val="20"/>
          <w:szCs w:val="20"/>
        </w:rPr>
        <w:t xml:space="preserve"> </w:t>
      </w:r>
    </w:p>
    <w:p w:rsidR="00424BF8" w:rsidRPr="00844736" w:rsidRDefault="00424BF8" w:rsidP="00424B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2E0A91" w:rsidRPr="00844736" w:rsidRDefault="00EA6B75" w:rsidP="00C32F5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Cambria" w:hAnsi="Cambria"/>
          <w:sz w:val="20"/>
          <w:szCs w:val="20"/>
        </w:rPr>
        <w:t>The precedents established by the Commission note that whenever a</w:t>
      </w:r>
      <w:r w:rsidR="000E6089">
        <w:rPr>
          <w:rFonts w:ascii="Cambria" w:hAnsi="Cambria"/>
          <w:sz w:val="20"/>
          <w:szCs w:val="20"/>
        </w:rPr>
        <w:t>n</w:t>
      </w:r>
      <w:r>
        <w:rPr>
          <w:rFonts w:ascii="Cambria" w:hAnsi="Cambria"/>
          <w:sz w:val="20"/>
          <w:szCs w:val="20"/>
        </w:rPr>
        <w:t xml:space="preserve"> alleged crime is committed that by law should be prosecuted at the initiative of the authorities, the State has the obligation to promote and give impetus to the criminal proceeding and that in those cases the criminal justice process is the suitable forum for clarifying the facts, prosecuting those responsible, and establishing the corresponding criminal sanctions, in addition to making possible other forms of pecuniary reparation.</w:t>
      </w:r>
      <w:r w:rsidR="002E0A91" w:rsidRPr="00844736">
        <w:rPr>
          <w:rStyle w:val="FootnoteReference"/>
          <w:rFonts w:ascii="Cambria" w:hAnsi="Cambria"/>
          <w:sz w:val="20"/>
          <w:szCs w:val="20"/>
        </w:rPr>
        <w:footnoteReference w:id="3"/>
      </w:r>
      <w:r w:rsidR="002E0A91" w:rsidRPr="00844736">
        <w:rPr>
          <w:rFonts w:ascii="Cambria" w:hAnsi="Cambria"/>
          <w:sz w:val="20"/>
          <w:szCs w:val="20"/>
        </w:rPr>
        <w:t xml:space="preserve"> </w:t>
      </w:r>
      <w:r>
        <w:rPr>
          <w:rFonts w:ascii="Cambria" w:hAnsi="Cambria"/>
          <w:sz w:val="20"/>
          <w:szCs w:val="20"/>
        </w:rPr>
        <w:t xml:space="preserve">Therefore, and considering that the facts alleged by the petitioners constitute crimes which by law are to be prosecuted at the initiative of the authorities, the domestic proceeding that should be exhausted in the instant case is the criminal investigation, which should be </w:t>
      </w:r>
      <w:r w:rsidR="00CC0739">
        <w:rPr>
          <w:rFonts w:ascii="Cambria" w:hAnsi="Cambria"/>
          <w:sz w:val="20"/>
          <w:szCs w:val="20"/>
        </w:rPr>
        <w:t>assume</w:t>
      </w:r>
      <w:r w:rsidR="00EF45A4">
        <w:rPr>
          <w:rFonts w:ascii="Cambria" w:hAnsi="Cambria"/>
          <w:sz w:val="20"/>
          <w:szCs w:val="20"/>
        </w:rPr>
        <w:t>d</w:t>
      </w:r>
      <w:r>
        <w:rPr>
          <w:rFonts w:ascii="Cambria" w:hAnsi="Cambria"/>
          <w:sz w:val="20"/>
          <w:szCs w:val="20"/>
        </w:rPr>
        <w:t xml:space="preserve"> by the State. </w:t>
      </w:r>
    </w:p>
    <w:p w:rsidR="00DD570C" w:rsidRPr="00844736" w:rsidRDefault="00DD570C" w:rsidP="00DD570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rsidR="00DD570C" w:rsidRPr="00844736" w:rsidRDefault="00045A36" w:rsidP="00C32F5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Cambria" w:hAnsi="Cambria"/>
          <w:sz w:val="20"/>
          <w:szCs w:val="20"/>
        </w:rPr>
        <w:t xml:space="preserve">With respect to the duration of the criminal proceeding, the IACHR has already reached a decision on admissibility in similar matters, in Report </w:t>
      </w:r>
      <w:r w:rsidR="00DD570C" w:rsidRPr="00844736">
        <w:rPr>
          <w:rFonts w:ascii="Cambria" w:hAnsi="Cambria"/>
          <w:sz w:val="20"/>
          <w:szCs w:val="20"/>
        </w:rPr>
        <w:t xml:space="preserve">34/15 </w:t>
      </w:r>
      <w:r>
        <w:rPr>
          <w:rFonts w:ascii="Cambria" w:hAnsi="Cambria"/>
          <w:sz w:val="20"/>
          <w:szCs w:val="20"/>
        </w:rPr>
        <w:t xml:space="preserve">on Petition </w:t>
      </w:r>
      <w:r w:rsidR="00DD570C" w:rsidRPr="00844736">
        <w:rPr>
          <w:rFonts w:ascii="Cambria" w:hAnsi="Cambria"/>
          <w:sz w:val="20"/>
          <w:szCs w:val="20"/>
        </w:rPr>
        <w:t xml:space="preserve">191-07 (Álvaro Enrique </w:t>
      </w:r>
      <w:r w:rsidR="00015DEE" w:rsidRPr="00844736">
        <w:rPr>
          <w:rFonts w:ascii="Cambria" w:hAnsi="Cambria"/>
          <w:sz w:val="20"/>
          <w:szCs w:val="20"/>
        </w:rPr>
        <w:t xml:space="preserve">Rodríguez Buitrago </w:t>
      </w:r>
      <w:r>
        <w:rPr>
          <w:rFonts w:ascii="Cambria" w:hAnsi="Cambria"/>
          <w:sz w:val="20"/>
          <w:szCs w:val="20"/>
        </w:rPr>
        <w:t>et al.</w:t>
      </w:r>
      <w:r w:rsidR="00015DEE" w:rsidRPr="00844736">
        <w:rPr>
          <w:rFonts w:ascii="Cambria" w:hAnsi="Cambria"/>
          <w:sz w:val="20"/>
          <w:szCs w:val="20"/>
        </w:rPr>
        <w:t xml:space="preserve">), </w:t>
      </w:r>
      <w:r>
        <w:rPr>
          <w:rFonts w:ascii="Cambria" w:hAnsi="Cambria"/>
          <w:sz w:val="20"/>
          <w:szCs w:val="20"/>
        </w:rPr>
        <w:t xml:space="preserve">of July </w:t>
      </w:r>
      <w:r w:rsidR="00DD570C" w:rsidRPr="00844736">
        <w:rPr>
          <w:rFonts w:ascii="Cambria" w:hAnsi="Cambria"/>
          <w:sz w:val="20"/>
          <w:szCs w:val="20"/>
        </w:rPr>
        <w:t>22</w:t>
      </w:r>
      <w:r>
        <w:rPr>
          <w:rFonts w:ascii="Cambria" w:hAnsi="Cambria"/>
          <w:sz w:val="20"/>
          <w:szCs w:val="20"/>
        </w:rPr>
        <w:t>,</w:t>
      </w:r>
      <w:r w:rsidR="00DD570C" w:rsidRPr="00844736">
        <w:rPr>
          <w:rFonts w:ascii="Cambria" w:hAnsi="Cambria"/>
          <w:sz w:val="20"/>
          <w:szCs w:val="20"/>
        </w:rPr>
        <w:t xml:space="preserve"> 2015. </w:t>
      </w:r>
      <w:r>
        <w:rPr>
          <w:rFonts w:ascii="Cambria" w:hAnsi="Cambria"/>
          <w:sz w:val="20"/>
          <w:szCs w:val="20"/>
        </w:rPr>
        <w:t>Applying that case-law, the Inter-American Commission concludes</w:t>
      </w:r>
      <w:r w:rsidR="00522545" w:rsidRPr="00844736">
        <w:rPr>
          <w:rFonts w:ascii="Cambria" w:hAnsi="Cambria"/>
          <w:sz w:val="20"/>
          <w:szCs w:val="20"/>
        </w:rPr>
        <w:t xml:space="preserve"> </w:t>
      </w:r>
      <w:r>
        <w:rPr>
          <w:rFonts w:ascii="Cambria" w:hAnsi="Cambria"/>
          <w:sz w:val="20"/>
          <w:szCs w:val="20"/>
        </w:rPr>
        <w:t xml:space="preserve">that in view of the time that has elapsed since the facts occurred without the authorities having even handed down a judgment of first instance, </w:t>
      </w:r>
      <w:r w:rsidR="000E6089">
        <w:rPr>
          <w:rFonts w:ascii="Cambria" w:hAnsi="Cambria"/>
          <w:sz w:val="20"/>
          <w:szCs w:val="20"/>
        </w:rPr>
        <w:t>and considering that therefore t</w:t>
      </w:r>
      <w:r>
        <w:rPr>
          <w:rFonts w:ascii="Cambria" w:hAnsi="Cambria"/>
          <w:sz w:val="20"/>
          <w:szCs w:val="20"/>
        </w:rPr>
        <w:t>here has been no conviction of any person in a final judgment, it is considered that the exception provided for at Article 46(</w:t>
      </w:r>
      <w:r w:rsidR="00DD570C" w:rsidRPr="00844736">
        <w:rPr>
          <w:rFonts w:ascii="Cambria" w:hAnsi="Cambria"/>
          <w:sz w:val="20"/>
          <w:szCs w:val="20"/>
        </w:rPr>
        <w:t>2</w:t>
      </w:r>
      <w:r>
        <w:rPr>
          <w:rFonts w:ascii="Cambria" w:hAnsi="Cambria"/>
          <w:sz w:val="20"/>
          <w:szCs w:val="20"/>
        </w:rPr>
        <w:t>)(</w:t>
      </w:r>
      <w:r w:rsidR="008422FF" w:rsidRPr="00844736">
        <w:rPr>
          <w:rFonts w:ascii="Cambria" w:hAnsi="Cambria"/>
          <w:sz w:val="20"/>
          <w:szCs w:val="20"/>
        </w:rPr>
        <w:t>c</w:t>
      </w:r>
      <w:r>
        <w:rPr>
          <w:rFonts w:ascii="Cambria" w:hAnsi="Cambria"/>
          <w:sz w:val="20"/>
          <w:szCs w:val="20"/>
        </w:rPr>
        <w:t>)</w:t>
      </w:r>
      <w:r w:rsidR="00DD570C" w:rsidRPr="00844736">
        <w:rPr>
          <w:rFonts w:ascii="Cambria" w:hAnsi="Cambria"/>
          <w:sz w:val="20"/>
          <w:szCs w:val="20"/>
        </w:rPr>
        <w:t xml:space="preserve"> </w:t>
      </w:r>
      <w:r>
        <w:rPr>
          <w:rFonts w:ascii="Cambria" w:hAnsi="Cambria"/>
          <w:sz w:val="20"/>
          <w:szCs w:val="20"/>
        </w:rPr>
        <w:t>of the American Convention, on exhaustion of domestic remedies, does apply</w:t>
      </w:r>
      <w:r w:rsidR="00DD570C" w:rsidRPr="00844736">
        <w:rPr>
          <w:rFonts w:ascii="Cambria" w:hAnsi="Cambria"/>
          <w:sz w:val="20"/>
          <w:szCs w:val="20"/>
        </w:rPr>
        <w:t xml:space="preserve">. </w:t>
      </w:r>
      <w:r w:rsidR="00CB72CF">
        <w:rPr>
          <w:rFonts w:ascii="Cambria" w:hAnsi="Cambria"/>
          <w:sz w:val="20"/>
          <w:szCs w:val="20"/>
        </w:rPr>
        <w:t xml:space="preserve"> </w:t>
      </w:r>
    </w:p>
    <w:p w:rsidR="000337E5" w:rsidRPr="00844736" w:rsidRDefault="000337E5" w:rsidP="000337E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0337E5" w:rsidRPr="00844736" w:rsidRDefault="00C73471" w:rsidP="00F926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Theme="majorHAnsi" w:hAnsiTheme="majorHAnsi"/>
          <w:sz w:val="20"/>
          <w:szCs w:val="20"/>
        </w:rPr>
        <w:t>In addition, and citing case-law in the above-mentioned matter and in others</w:t>
      </w:r>
      <w:r w:rsidR="00663A60" w:rsidRPr="00844736">
        <w:rPr>
          <w:rStyle w:val="FootnoteReference"/>
          <w:rFonts w:ascii="Cambria" w:hAnsi="Cambria"/>
          <w:sz w:val="20"/>
          <w:szCs w:val="20"/>
        </w:rPr>
        <w:footnoteReference w:id="4"/>
      </w:r>
      <w:r w:rsidR="005E63E5" w:rsidRPr="00844736">
        <w:rPr>
          <w:rFonts w:asciiTheme="majorHAnsi" w:hAnsiTheme="majorHAnsi"/>
          <w:sz w:val="20"/>
          <w:szCs w:val="20"/>
        </w:rPr>
        <w:t xml:space="preserve">, </w:t>
      </w:r>
      <w:r>
        <w:rPr>
          <w:rFonts w:asciiTheme="majorHAnsi" w:hAnsiTheme="majorHAnsi"/>
          <w:sz w:val="20"/>
          <w:szCs w:val="20"/>
        </w:rPr>
        <w:t>the Commission understands with respect to the proceedings heard before the contentious-administrative jurisdictio</w:t>
      </w:r>
      <w:r w:rsidR="000E6089">
        <w:rPr>
          <w:rFonts w:asciiTheme="majorHAnsi" w:hAnsiTheme="majorHAnsi"/>
          <w:sz w:val="20"/>
          <w:szCs w:val="20"/>
        </w:rPr>
        <w:t>n</w:t>
      </w:r>
      <w:r>
        <w:rPr>
          <w:rFonts w:asciiTheme="majorHAnsi" w:hAnsiTheme="majorHAnsi"/>
          <w:sz w:val="20"/>
          <w:szCs w:val="20"/>
        </w:rPr>
        <w:t xml:space="preserve"> that it does not constitute a suitable remedy for the purposes of analyzing the admissibility of a claim as in the instant matter. Specifically, the Commission has noted that the contentious-administrative jurisdiction is a mechanism that seeks to supervise the administrative activity of the State and that it </w:t>
      </w:r>
      <w:r w:rsidR="004E257F">
        <w:rPr>
          <w:rFonts w:asciiTheme="majorHAnsi" w:hAnsiTheme="majorHAnsi"/>
          <w:sz w:val="20"/>
          <w:szCs w:val="20"/>
        </w:rPr>
        <w:t xml:space="preserve">only allows one to obtain compensation for damages caused by </w:t>
      </w:r>
      <w:r w:rsidR="000E6089">
        <w:rPr>
          <w:rFonts w:asciiTheme="majorHAnsi" w:hAnsiTheme="majorHAnsi"/>
          <w:sz w:val="20"/>
          <w:szCs w:val="20"/>
        </w:rPr>
        <w:t xml:space="preserve">an </w:t>
      </w:r>
      <w:r w:rsidR="00F034AD">
        <w:rPr>
          <w:rFonts w:asciiTheme="majorHAnsi" w:hAnsiTheme="majorHAnsi"/>
          <w:sz w:val="20"/>
          <w:szCs w:val="20"/>
        </w:rPr>
        <w:t>act or omission of S</w:t>
      </w:r>
      <w:r w:rsidR="004E257F">
        <w:rPr>
          <w:rFonts w:asciiTheme="majorHAnsi" w:hAnsiTheme="majorHAnsi"/>
          <w:sz w:val="20"/>
          <w:szCs w:val="20"/>
        </w:rPr>
        <w:t xml:space="preserve">tate agents. </w:t>
      </w:r>
      <w:r w:rsidR="002C0E2B">
        <w:rPr>
          <w:rFonts w:asciiTheme="majorHAnsi" w:hAnsiTheme="majorHAnsi"/>
          <w:sz w:val="20"/>
          <w:szCs w:val="20"/>
        </w:rPr>
        <w:t xml:space="preserve">In this respect, the Inter-American Court has considered that </w:t>
      </w:r>
      <w:r w:rsidR="005E63E5" w:rsidRPr="00844736">
        <w:rPr>
          <w:rFonts w:ascii="Cambria" w:hAnsi="Cambria"/>
          <w:sz w:val="20"/>
          <w:szCs w:val="20"/>
        </w:rPr>
        <w:t>“</w:t>
      </w:r>
      <w:r w:rsidR="00F92641" w:rsidRPr="00F92641">
        <w:rPr>
          <w:rFonts w:ascii="Cambria" w:hAnsi="Cambria"/>
          <w:sz w:val="20"/>
          <w:szCs w:val="20"/>
        </w:rPr>
        <w:t>the comprehensive reparation for a violation of a right protected by the Convention cannot be reduced to the payment of compensation to the family of the victim</w:t>
      </w:r>
      <w:r w:rsidR="00B8577A" w:rsidRPr="00844736">
        <w:rPr>
          <w:rFonts w:ascii="Cambria" w:hAnsi="Cambria"/>
          <w:sz w:val="20"/>
          <w:szCs w:val="20"/>
        </w:rPr>
        <w:t>”</w:t>
      </w:r>
      <w:r w:rsidR="00B8577A" w:rsidRPr="00844736">
        <w:rPr>
          <w:rStyle w:val="FootnoteReference"/>
          <w:rFonts w:ascii="Cambria" w:hAnsi="Cambria"/>
          <w:sz w:val="20"/>
          <w:szCs w:val="20"/>
        </w:rPr>
        <w:footnoteReference w:id="5"/>
      </w:r>
      <w:r w:rsidR="002C0E2B">
        <w:rPr>
          <w:rFonts w:ascii="Cambria" w:hAnsi="Cambria"/>
          <w:sz w:val="20"/>
          <w:szCs w:val="20"/>
        </w:rPr>
        <w:t xml:space="preserve"> </w:t>
      </w:r>
    </w:p>
    <w:p w:rsidR="000337E5" w:rsidRPr="00844736" w:rsidRDefault="000337E5" w:rsidP="000337E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B056A5" w:rsidRPr="00844736" w:rsidRDefault="002C0E2B" w:rsidP="00C32F5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Therefore, the Commission concludes that in the instant case the exception to the prior exhaustion requirement set </w:t>
      </w:r>
      <w:r w:rsidR="00702413">
        <w:rPr>
          <w:rFonts w:asciiTheme="majorHAnsi" w:hAnsiTheme="majorHAnsi"/>
          <w:sz w:val="20"/>
          <w:szCs w:val="20"/>
        </w:rPr>
        <w:t>forth on</w:t>
      </w:r>
      <w:r>
        <w:rPr>
          <w:rFonts w:asciiTheme="majorHAnsi" w:hAnsiTheme="majorHAnsi"/>
          <w:sz w:val="20"/>
          <w:szCs w:val="20"/>
        </w:rPr>
        <w:t xml:space="preserve"> Article </w:t>
      </w:r>
      <w:r w:rsidR="00D61AA1" w:rsidRPr="00844736">
        <w:rPr>
          <w:rFonts w:asciiTheme="majorHAnsi" w:hAnsiTheme="majorHAnsi"/>
          <w:sz w:val="20"/>
          <w:szCs w:val="20"/>
        </w:rPr>
        <w:t>46</w:t>
      </w:r>
      <w:r>
        <w:rPr>
          <w:rFonts w:asciiTheme="majorHAnsi" w:hAnsiTheme="majorHAnsi"/>
          <w:sz w:val="20"/>
          <w:szCs w:val="20"/>
        </w:rPr>
        <w:t>(</w:t>
      </w:r>
      <w:r w:rsidR="00D61AA1" w:rsidRPr="00844736">
        <w:rPr>
          <w:rFonts w:asciiTheme="majorHAnsi" w:hAnsiTheme="majorHAnsi"/>
          <w:sz w:val="20"/>
          <w:szCs w:val="20"/>
        </w:rPr>
        <w:t>2</w:t>
      </w:r>
      <w:r>
        <w:rPr>
          <w:rFonts w:asciiTheme="majorHAnsi" w:hAnsiTheme="majorHAnsi"/>
          <w:sz w:val="20"/>
          <w:szCs w:val="20"/>
        </w:rPr>
        <w:t>)(</w:t>
      </w:r>
      <w:r w:rsidR="00D61AA1" w:rsidRPr="00844736">
        <w:rPr>
          <w:rFonts w:asciiTheme="majorHAnsi" w:hAnsiTheme="majorHAnsi"/>
          <w:sz w:val="20"/>
          <w:szCs w:val="20"/>
        </w:rPr>
        <w:t>c</w:t>
      </w:r>
      <w:r>
        <w:rPr>
          <w:rFonts w:asciiTheme="majorHAnsi" w:hAnsiTheme="majorHAnsi"/>
          <w:sz w:val="20"/>
          <w:szCs w:val="20"/>
        </w:rPr>
        <w:t>)</w:t>
      </w:r>
      <w:r w:rsidR="0063685A" w:rsidRPr="00844736">
        <w:rPr>
          <w:rFonts w:asciiTheme="majorHAnsi" w:hAnsiTheme="majorHAnsi"/>
          <w:sz w:val="20"/>
          <w:szCs w:val="20"/>
        </w:rPr>
        <w:t xml:space="preserve"> </w:t>
      </w:r>
      <w:r>
        <w:rPr>
          <w:rFonts w:asciiTheme="majorHAnsi" w:hAnsiTheme="majorHAnsi"/>
          <w:sz w:val="20"/>
          <w:szCs w:val="20"/>
        </w:rPr>
        <w:t xml:space="preserve">of the American Convention applies, and it dismisses the argument presented by the State </w:t>
      </w:r>
      <w:r w:rsidR="00E270C2">
        <w:rPr>
          <w:rFonts w:asciiTheme="majorHAnsi" w:hAnsiTheme="majorHAnsi"/>
          <w:sz w:val="20"/>
          <w:szCs w:val="20"/>
        </w:rPr>
        <w:t xml:space="preserve">regarding </w:t>
      </w:r>
      <w:r>
        <w:rPr>
          <w:rFonts w:asciiTheme="majorHAnsi" w:hAnsiTheme="majorHAnsi"/>
          <w:sz w:val="20"/>
          <w:szCs w:val="20"/>
        </w:rPr>
        <w:t xml:space="preserve">the applicability of the fourth-instance formula to the case. </w:t>
      </w:r>
    </w:p>
    <w:p w:rsidR="00547D7F" w:rsidRPr="00844736"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B056A5" w:rsidRPr="00844736" w:rsidRDefault="00B056A5" w:rsidP="002C0E2B">
      <w:pPr>
        <w:spacing w:after="240"/>
        <w:ind w:firstLine="720"/>
        <w:jc w:val="both"/>
        <w:rPr>
          <w:rFonts w:asciiTheme="majorHAnsi" w:hAnsiTheme="majorHAnsi"/>
          <w:b/>
          <w:sz w:val="20"/>
          <w:szCs w:val="20"/>
        </w:rPr>
      </w:pPr>
      <w:r w:rsidRPr="00844736">
        <w:rPr>
          <w:rFonts w:asciiTheme="majorHAnsi" w:hAnsiTheme="majorHAnsi"/>
          <w:b/>
          <w:sz w:val="20"/>
          <w:szCs w:val="20"/>
        </w:rPr>
        <w:t>2.</w:t>
      </w:r>
      <w:r w:rsidRPr="00844736">
        <w:rPr>
          <w:rFonts w:asciiTheme="majorHAnsi" w:hAnsiTheme="majorHAnsi"/>
          <w:b/>
          <w:sz w:val="20"/>
          <w:szCs w:val="20"/>
        </w:rPr>
        <w:tab/>
      </w:r>
      <w:r w:rsidR="002C0E2B">
        <w:rPr>
          <w:rFonts w:asciiTheme="majorHAnsi" w:hAnsiTheme="majorHAnsi"/>
          <w:b/>
          <w:sz w:val="20"/>
          <w:szCs w:val="20"/>
        </w:rPr>
        <w:t xml:space="preserve">Time for filing the petition </w:t>
      </w:r>
    </w:p>
    <w:p w:rsidR="0063685A" w:rsidRPr="00844736" w:rsidRDefault="002C0E2B" w:rsidP="0007011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cs="Arial"/>
          <w:sz w:val="20"/>
          <w:szCs w:val="20"/>
        </w:rPr>
        <w:t xml:space="preserve">Article </w:t>
      </w:r>
      <w:r w:rsidR="008422FF" w:rsidRPr="00844736">
        <w:rPr>
          <w:rFonts w:asciiTheme="majorHAnsi" w:hAnsiTheme="majorHAnsi" w:cs="Arial"/>
          <w:sz w:val="20"/>
          <w:szCs w:val="20"/>
        </w:rPr>
        <w:t>46</w:t>
      </w:r>
      <w:r>
        <w:rPr>
          <w:rFonts w:asciiTheme="majorHAnsi" w:hAnsiTheme="majorHAnsi" w:cs="Arial"/>
          <w:sz w:val="20"/>
          <w:szCs w:val="20"/>
        </w:rPr>
        <w:t>(</w:t>
      </w:r>
      <w:r w:rsidR="008422FF" w:rsidRPr="00844736">
        <w:rPr>
          <w:rFonts w:asciiTheme="majorHAnsi" w:hAnsiTheme="majorHAnsi" w:cs="Arial"/>
          <w:sz w:val="20"/>
          <w:szCs w:val="20"/>
        </w:rPr>
        <w:t>1</w:t>
      </w:r>
      <w:r>
        <w:rPr>
          <w:rFonts w:asciiTheme="majorHAnsi" w:hAnsiTheme="majorHAnsi" w:cs="Arial"/>
          <w:sz w:val="20"/>
          <w:szCs w:val="20"/>
        </w:rPr>
        <w:t>)(</w:t>
      </w:r>
      <w:r w:rsidR="008422FF" w:rsidRPr="00844736">
        <w:rPr>
          <w:rFonts w:asciiTheme="majorHAnsi" w:hAnsiTheme="majorHAnsi" w:cs="Arial"/>
          <w:sz w:val="20"/>
          <w:szCs w:val="20"/>
        </w:rPr>
        <w:t>b</w:t>
      </w:r>
      <w:r>
        <w:rPr>
          <w:rFonts w:asciiTheme="majorHAnsi" w:hAnsiTheme="majorHAnsi" w:cs="Arial"/>
          <w:sz w:val="20"/>
          <w:szCs w:val="20"/>
        </w:rPr>
        <w:t xml:space="preserve">) of the </w:t>
      </w:r>
      <w:r>
        <w:rPr>
          <w:rFonts w:asciiTheme="majorHAnsi" w:hAnsiTheme="majorHAnsi"/>
          <w:sz w:val="20"/>
          <w:szCs w:val="20"/>
        </w:rPr>
        <w:t xml:space="preserve">American Convention establishes that for a petition to </w:t>
      </w:r>
      <w:r w:rsidR="00C32F5E">
        <w:rPr>
          <w:rFonts w:asciiTheme="majorHAnsi" w:hAnsiTheme="majorHAnsi"/>
          <w:sz w:val="20"/>
          <w:szCs w:val="20"/>
        </w:rPr>
        <w:t>be admissible by the Commission</w:t>
      </w:r>
      <w:r>
        <w:rPr>
          <w:rFonts w:asciiTheme="majorHAnsi" w:hAnsiTheme="majorHAnsi"/>
          <w:sz w:val="20"/>
          <w:szCs w:val="20"/>
        </w:rPr>
        <w:t xml:space="preserve"> it must be filed within six months of the date on which the alleged victim has been notified of the final decision. In the </w:t>
      </w:r>
      <w:r w:rsidR="002129A2">
        <w:rPr>
          <w:rFonts w:asciiTheme="majorHAnsi" w:hAnsiTheme="majorHAnsi"/>
          <w:sz w:val="20"/>
          <w:szCs w:val="20"/>
        </w:rPr>
        <w:t>present</w:t>
      </w:r>
      <w:r>
        <w:rPr>
          <w:rFonts w:asciiTheme="majorHAnsi" w:hAnsiTheme="majorHAnsi"/>
          <w:sz w:val="20"/>
          <w:szCs w:val="20"/>
        </w:rPr>
        <w:t xml:space="preserve"> case the IACHR has established that the exception to the prior exhaustion rule set </w:t>
      </w:r>
      <w:r w:rsidR="00070110" w:rsidRPr="00070110">
        <w:rPr>
          <w:rFonts w:asciiTheme="majorHAnsi" w:hAnsiTheme="majorHAnsi"/>
          <w:sz w:val="20"/>
          <w:szCs w:val="20"/>
        </w:rPr>
        <w:t>forth on</w:t>
      </w:r>
      <w:r>
        <w:rPr>
          <w:rFonts w:asciiTheme="majorHAnsi" w:hAnsiTheme="majorHAnsi"/>
          <w:sz w:val="20"/>
          <w:szCs w:val="20"/>
        </w:rPr>
        <w:t xml:space="preserve"> Article </w:t>
      </w:r>
      <w:r w:rsidR="0063685A" w:rsidRPr="00844736">
        <w:rPr>
          <w:rFonts w:asciiTheme="majorHAnsi" w:hAnsiTheme="majorHAnsi"/>
          <w:sz w:val="20"/>
          <w:szCs w:val="20"/>
        </w:rPr>
        <w:t>46</w:t>
      </w:r>
      <w:r>
        <w:rPr>
          <w:rFonts w:asciiTheme="majorHAnsi" w:hAnsiTheme="majorHAnsi"/>
          <w:sz w:val="20"/>
          <w:szCs w:val="20"/>
        </w:rPr>
        <w:t>(</w:t>
      </w:r>
      <w:r w:rsidR="008422FF" w:rsidRPr="00844736">
        <w:rPr>
          <w:rFonts w:asciiTheme="majorHAnsi" w:hAnsiTheme="majorHAnsi"/>
          <w:sz w:val="20"/>
          <w:szCs w:val="20"/>
        </w:rPr>
        <w:t>2</w:t>
      </w:r>
      <w:r>
        <w:rPr>
          <w:rFonts w:asciiTheme="majorHAnsi" w:hAnsiTheme="majorHAnsi"/>
          <w:sz w:val="20"/>
          <w:szCs w:val="20"/>
        </w:rPr>
        <w:t>)(</w:t>
      </w:r>
      <w:r w:rsidR="008422FF" w:rsidRPr="00844736">
        <w:rPr>
          <w:rFonts w:asciiTheme="majorHAnsi" w:hAnsiTheme="majorHAnsi"/>
          <w:sz w:val="20"/>
          <w:szCs w:val="20"/>
        </w:rPr>
        <w:t>c</w:t>
      </w:r>
      <w:r>
        <w:rPr>
          <w:rFonts w:asciiTheme="majorHAnsi" w:hAnsiTheme="majorHAnsi"/>
          <w:sz w:val="20"/>
          <w:szCs w:val="20"/>
        </w:rPr>
        <w:t>)</w:t>
      </w:r>
      <w:r w:rsidR="0063685A" w:rsidRPr="00844736">
        <w:rPr>
          <w:rFonts w:asciiTheme="majorHAnsi" w:hAnsiTheme="majorHAnsi"/>
          <w:sz w:val="20"/>
          <w:szCs w:val="20"/>
        </w:rPr>
        <w:t xml:space="preserve"> </w:t>
      </w:r>
      <w:r>
        <w:rPr>
          <w:rFonts w:asciiTheme="majorHAnsi" w:hAnsiTheme="majorHAnsi"/>
          <w:sz w:val="20"/>
          <w:szCs w:val="20"/>
        </w:rPr>
        <w:t>of the American Convention applies here</w:t>
      </w:r>
      <w:r w:rsidR="0063685A" w:rsidRPr="00844736">
        <w:rPr>
          <w:rFonts w:asciiTheme="majorHAnsi" w:hAnsiTheme="majorHAnsi"/>
          <w:sz w:val="20"/>
          <w:szCs w:val="20"/>
        </w:rPr>
        <w:t>.</w:t>
      </w:r>
      <w:r w:rsidR="009051ED" w:rsidRPr="00844736">
        <w:rPr>
          <w:rFonts w:asciiTheme="majorHAnsi" w:hAnsiTheme="majorHAnsi"/>
          <w:sz w:val="20"/>
          <w:szCs w:val="20"/>
        </w:rPr>
        <w:t xml:space="preserve"> </w:t>
      </w:r>
      <w:r>
        <w:rPr>
          <w:rFonts w:asciiTheme="majorHAnsi" w:hAnsiTheme="majorHAnsi"/>
          <w:sz w:val="20"/>
          <w:szCs w:val="20"/>
        </w:rPr>
        <w:t xml:space="preserve">In this respect, Article </w:t>
      </w:r>
      <w:r w:rsidR="0063685A" w:rsidRPr="00844736">
        <w:rPr>
          <w:rFonts w:asciiTheme="majorHAnsi" w:hAnsiTheme="majorHAnsi"/>
          <w:sz w:val="20"/>
          <w:szCs w:val="20"/>
        </w:rPr>
        <w:t>32</w:t>
      </w:r>
      <w:r w:rsidR="00B8787B">
        <w:rPr>
          <w:rFonts w:asciiTheme="majorHAnsi" w:hAnsiTheme="majorHAnsi"/>
          <w:sz w:val="20"/>
          <w:szCs w:val="20"/>
        </w:rPr>
        <w:t>(</w:t>
      </w:r>
      <w:r w:rsidR="008422FF" w:rsidRPr="00844736">
        <w:rPr>
          <w:rFonts w:asciiTheme="majorHAnsi" w:hAnsiTheme="majorHAnsi"/>
          <w:sz w:val="20"/>
          <w:szCs w:val="20"/>
        </w:rPr>
        <w:t>2</w:t>
      </w:r>
      <w:r w:rsidR="00B8787B">
        <w:rPr>
          <w:rFonts w:asciiTheme="majorHAnsi" w:hAnsiTheme="majorHAnsi"/>
          <w:sz w:val="20"/>
          <w:szCs w:val="20"/>
        </w:rPr>
        <w:t xml:space="preserve">) of the Commission’s Rules of Procedure establishes that in those cases in which the exceptions to the rule requiring prior exhaustion of domestic remedies apply, the petition must be filed within a reasonable time, with reasonableness to be judged by the Commission. For that purpose, the Commission must consider the date of the alleged violation of rights, and the circumstances of each case. </w:t>
      </w:r>
    </w:p>
    <w:p w:rsidR="00547D7F" w:rsidRPr="00844736"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7D286D" w:rsidRPr="00844736" w:rsidRDefault="00C96EC7" w:rsidP="00C32F5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lastRenderedPageBreak/>
        <w:t xml:space="preserve">In the case under analysis, the petition was received by the Commission on October </w:t>
      </w:r>
      <w:r w:rsidR="00DB797D" w:rsidRPr="00844736">
        <w:rPr>
          <w:rFonts w:asciiTheme="majorHAnsi" w:hAnsiTheme="majorHAnsi"/>
          <w:sz w:val="20"/>
          <w:szCs w:val="20"/>
        </w:rPr>
        <w:t>19</w:t>
      </w:r>
      <w:r>
        <w:rPr>
          <w:rFonts w:asciiTheme="majorHAnsi" w:hAnsiTheme="majorHAnsi"/>
          <w:sz w:val="20"/>
          <w:szCs w:val="20"/>
        </w:rPr>
        <w:t>,</w:t>
      </w:r>
      <w:r w:rsidR="00DB797D" w:rsidRPr="00844736">
        <w:rPr>
          <w:rFonts w:asciiTheme="majorHAnsi" w:hAnsiTheme="majorHAnsi"/>
          <w:sz w:val="20"/>
          <w:szCs w:val="20"/>
        </w:rPr>
        <w:t xml:space="preserve"> 2006</w:t>
      </w:r>
      <w:r w:rsidR="006C3C73" w:rsidRPr="00844736">
        <w:rPr>
          <w:rFonts w:asciiTheme="majorHAnsi" w:hAnsiTheme="majorHAnsi"/>
          <w:sz w:val="20"/>
          <w:szCs w:val="20"/>
        </w:rPr>
        <w:t>,</w:t>
      </w:r>
      <w:r w:rsidR="00DB797D" w:rsidRPr="00844736">
        <w:rPr>
          <w:rFonts w:asciiTheme="majorHAnsi" w:hAnsiTheme="majorHAnsi"/>
          <w:sz w:val="20"/>
          <w:szCs w:val="20"/>
        </w:rPr>
        <w:t xml:space="preserve"> </w:t>
      </w:r>
      <w:r>
        <w:rPr>
          <w:rFonts w:asciiTheme="majorHAnsi" w:hAnsiTheme="majorHAnsi"/>
          <w:sz w:val="20"/>
          <w:szCs w:val="20"/>
        </w:rPr>
        <w:t xml:space="preserve">and the alleged facts that are the subject matter of the claim began on January </w:t>
      </w:r>
      <w:r w:rsidR="00E1382B" w:rsidRPr="00844736">
        <w:rPr>
          <w:rFonts w:asciiTheme="majorHAnsi" w:hAnsiTheme="majorHAnsi"/>
          <w:sz w:val="20"/>
          <w:szCs w:val="20"/>
        </w:rPr>
        <w:t>8</w:t>
      </w:r>
      <w:r w:rsidR="00E81DD4">
        <w:rPr>
          <w:rFonts w:asciiTheme="majorHAnsi" w:hAnsiTheme="majorHAnsi"/>
          <w:sz w:val="20"/>
          <w:szCs w:val="20"/>
        </w:rPr>
        <w:t>,</w:t>
      </w:r>
      <w:r w:rsidR="00E1382B" w:rsidRPr="00844736">
        <w:rPr>
          <w:rFonts w:asciiTheme="majorHAnsi" w:hAnsiTheme="majorHAnsi"/>
          <w:sz w:val="20"/>
          <w:szCs w:val="20"/>
        </w:rPr>
        <w:t xml:space="preserve"> 2006</w:t>
      </w:r>
      <w:r w:rsidR="007D286D" w:rsidRPr="00844736">
        <w:rPr>
          <w:rFonts w:asciiTheme="majorHAnsi" w:hAnsiTheme="majorHAnsi"/>
          <w:sz w:val="20"/>
          <w:szCs w:val="20"/>
        </w:rPr>
        <w:t xml:space="preserve">. </w:t>
      </w:r>
      <w:r w:rsidR="00E81DD4">
        <w:rPr>
          <w:rFonts w:asciiTheme="majorHAnsi" w:hAnsiTheme="majorHAnsi"/>
          <w:sz w:val="20"/>
          <w:szCs w:val="20"/>
        </w:rPr>
        <w:t xml:space="preserve">Therefore, in view of the context and </w:t>
      </w:r>
      <w:r w:rsidR="00E270C2">
        <w:rPr>
          <w:rFonts w:asciiTheme="majorHAnsi" w:hAnsiTheme="majorHAnsi"/>
          <w:sz w:val="20"/>
          <w:szCs w:val="20"/>
        </w:rPr>
        <w:t xml:space="preserve">the </w:t>
      </w:r>
      <w:r w:rsidR="00E81DD4">
        <w:rPr>
          <w:rFonts w:asciiTheme="majorHAnsi" w:hAnsiTheme="majorHAnsi"/>
          <w:sz w:val="20"/>
          <w:szCs w:val="20"/>
        </w:rPr>
        <w:t xml:space="preserve">characteristics of the instant case the Commission considers that the petition was </w:t>
      </w:r>
      <w:r w:rsidR="005F2A0E">
        <w:rPr>
          <w:rFonts w:asciiTheme="majorHAnsi" w:hAnsiTheme="majorHAnsi"/>
          <w:sz w:val="20"/>
          <w:szCs w:val="20"/>
        </w:rPr>
        <w:t>submitted</w:t>
      </w:r>
      <w:r w:rsidR="00E81DD4">
        <w:rPr>
          <w:rFonts w:asciiTheme="majorHAnsi" w:hAnsiTheme="majorHAnsi"/>
          <w:sz w:val="20"/>
          <w:szCs w:val="20"/>
        </w:rPr>
        <w:t xml:space="preserve"> within a reasonable time and that the admissibility requirement regarding time of submission should be considered satisfied. </w:t>
      </w:r>
    </w:p>
    <w:p w:rsidR="00547D7F" w:rsidRPr="00844736"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63685A" w:rsidRPr="00844736" w:rsidRDefault="00E81DD4" w:rsidP="00E81DD4">
      <w:pPr>
        <w:spacing w:after="240"/>
        <w:ind w:left="720"/>
        <w:jc w:val="both"/>
        <w:rPr>
          <w:rFonts w:asciiTheme="majorHAnsi" w:hAnsiTheme="majorHAnsi"/>
          <w:b/>
          <w:bCs/>
          <w:sz w:val="20"/>
          <w:szCs w:val="20"/>
        </w:rPr>
      </w:pPr>
      <w:r>
        <w:rPr>
          <w:rFonts w:asciiTheme="majorHAnsi" w:hAnsiTheme="majorHAnsi"/>
          <w:b/>
          <w:bCs/>
          <w:sz w:val="20"/>
          <w:szCs w:val="20"/>
        </w:rPr>
        <w:t>3.</w:t>
      </w:r>
      <w:r>
        <w:rPr>
          <w:rFonts w:asciiTheme="majorHAnsi" w:hAnsiTheme="majorHAnsi"/>
          <w:b/>
          <w:bCs/>
          <w:sz w:val="20"/>
          <w:szCs w:val="20"/>
        </w:rPr>
        <w:tab/>
        <w:t xml:space="preserve">Duplication of procedure and international </w:t>
      </w:r>
      <w:r w:rsidRPr="00E81DD4">
        <w:rPr>
          <w:rFonts w:asciiTheme="majorHAnsi" w:hAnsiTheme="majorHAnsi"/>
          <w:b/>
          <w:bCs/>
          <w:i/>
          <w:iCs/>
          <w:sz w:val="20"/>
          <w:szCs w:val="20"/>
        </w:rPr>
        <w:t>res judicata</w:t>
      </w:r>
    </w:p>
    <w:p w:rsidR="0063685A" w:rsidRPr="00844736" w:rsidRDefault="00E81DD4" w:rsidP="00E81DD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It does not appear from the </w:t>
      </w:r>
      <w:r w:rsidR="005F2A0E">
        <w:rPr>
          <w:rFonts w:asciiTheme="majorHAnsi" w:hAnsiTheme="majorHAnsi"/>
          <w:sz w:val="20"/>
          <w:szCs w:val="20"/>
        </w:rPr>
        <w:t>file</w:t>
      </w:r>
      <w:r>
        <w:rPr>
          <w:rFonts w:asciiTheme="majorHAnsi" w:hAnsiTheme="majorHAnsi"/>
          <w:sz w:val="20"/>
          <w:szCs w:val="20"/>
        </w:rPr>
        <w:t xml:space="preserve"> that the subject matter of the petition is pending </w:t>
      </w:r>
      <w:r w:rsidR="00E270C2">
        <w:rPr>
          <w:rFonts w:asciiTheme="majorHAnsi" w:hAnsiTheme="majorHAnsi"/>
          <w:sz w:val="20"/>
          <w:szCs w:val="20"/>
        </w:rPr>
        <w:t xml:space="preserve">before </w:t>
      </w:r>
      <w:r>
        <w:rPr>
          <w:rFonts w:asciiTheme="majorHAnsi" w:hAnsiTheme="majorHAnsi"/>
          <w:sz w:val="20"/>
          <w:szCs w:val="20"/>
        </w:rPr>
        <w:t xml:space="preserve">any other international procedure for settlement, or that it reproduces a petition already examined by this or any other international organization. Therefore, one should consider the requirements established at Articles </w:t>
      </w:r>
      <w:r w:rsidR="00385E1D" w:rsidRPr="00844736">
        <w:rPr>
          <w:rFonts w:asciiTheme="majorHAnsi" w:hAnsiTheme="majorHAnsi"/>
          <w:sz w:val="20"/>
          <w:szCs w:val="20"/>
        </w:rPr>
        <w:t>46</w:t>
      </w:r>
      <w:r>
        <w:rPr>
          <w:rFonts w:asciiTheme="majorHAnsi" w:hAnsiTheme="majorHAnsi"/>
          <w:sz w:val="20"/>
          <w:szCs w:val="20"/>
        </w:rPr>
        <w:t>(</w:t>
      </w:r>
      <w:r w:rsidR="00385E1D" w:rsidRPr="00844736">
        <w:rPr>
          <w:rFonts w:asciiTheme="majorHAnsi" w:hAnsiTheme="majorHAnsi"/>
          <w:sz w:val="20"/>
          <w:szCs w:val="20"/>
        </w:rPr>
        <w:t>1</w:t>
      </w:r>
      <w:r>
        <w:rPr>
          <w:rFonts w:asciiTheme="majorHAnsi" w:hAnsiTheme="majorHAnsi"/>
          <w:sz w:val="20"/>
          <w:szCs w:val="20"/>
        </w:rPr>
        <w:t>)(</w:t>
      </w:r>
      <w:r w:rsidR="00385E1D" w:rsidRPr="00844736">
        <w:rPr>
          <w:rFonts w:asciiTheme="majorHAnsi" w:hAnsiTheme="majorHAnsi"/>
          <w:sz w:val="20"/>
          <w:szCs w:val="20"/>
        </w:rPr>
        <w:t>c</w:t>
      </w:r>
      <w:r>
        <w:rPr>
          <w:rFonts w:asciiTheme="majorHAnsi" w:hAnsiTheme="majorHAnsi"/>
          <w:sz w:val="20"/>
          <w:szCs w:val="20"/>
        </w:rPr>
        <w:t>)</w:t>
      </w:r>
      <w:r w:rsidR="0063685A" w:rsidRPr="00844736">
        <w:rPr>
          <w:rFonts w:asciiTheme="majorHAnsi" w:hAnsiTheme="majorHAnsi"/>
          <w:sz w:val="20"/>
          <w:szCs w:val="20"/>
        </w:rPr>
        <w:t xml:space="preserve"> </w:t>
      </w:r>
      <w:r>
        <w:rPr>
          <w:rFonts w:asciiTheme="majorHAnsi" w:hAnsiTheme="majorHAnsi"/>
          <w:sz w:val="20"/>
          <w:szCs w:val="20"/>
        </w:rPr>
        <w:t xml:space="preserve">and </w:t>
      </w:r>
      <w:r w:rsidR="0063685A" w:rsidRPr="00844736">
        <w:rPr>
          <w:rFonts w:asciiTheme="majorHAnsi" w:hAnsiTheme="majorHAnsi"/>
          <w:sz w:val="20"/>
          <w:szCs w:val="20"/>
        </w:rPr>
        <w:t>47</w:t>
      </w:r>
      <w:r>
        <w:rPr>
          <w:rFonts w:asciiTheme="majorHAnsi" w:hAnsiTheme="majorHAnsi"/>
          <w:sz w:val="20"/>
          <w:szCs w:val="20"/>
        </w:rPr>
        <w:t>(</w:t>
      </w:r>
      <w:r w:rsidR="00385E1D" w:rsidRPr="00844736">
        <w:rPr>
          <w:rFonts w:asciiTheme="majorHAnsi" w:hAnsiTheme="majorHAnsi"/>
          <w:sz w:val="20"/>
          <w:szCs w:val="20"/>
        </w:rPr>
        <w:t>d</w:t>
      </w:r>
      <w:r>
        <w:rPr>
          <w:rFonts w:asciiTheme="majorHAnsi" w:hAnsiTheme="majorHAnsi"/>
          <w:sz w:val="20"/>
          <w:szCs w:val="20"/>
        </w:rPr>
        <w:t xml:space="preserve">) of the Convention to have been satisfied. </w:t>
      </w:r>
    </w:p>
    <w:p w:rsidR="00547D7F" w:rsidRPr="00844736"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63685A" w:rsidRPr="00844736" w:rsidRDefault="0063685A" w:rsidP="00E81DD4">
      <w:pPr>
        <w:spacing w:after="240"/>
        <w:ind w:left="720"/>
        <w:jc w:val="both"/>
        <w:rPr>
          <w:rFonts w:asciiTheme="majorHAnsi" w:hAnsiTheme="majorHAnsi"/>
          <w:b/>
          <w:bCs/>
          <w:sz w:val="20"/>
          <w:szCs w:val="20"/>
        </w:rPr>
      </w:pPr>
      <w:r w:rsidRPr="00844736">
        <w:rPr>
          <w:rFonts w:asciiTheme="majorHAnsi" w:hAnsiTheme="majorHAnsi"/>
          <w:b/>
          <w:bCs/>
          <w:sz w:val="20"/>
          <w:szCs w:val="20"/>
        </w:rPr>
        <w:t>4.</w:t>
      </w:r>
      <w:r w:rsidRPr="00844736">
        <w:rPr>
          <w:rFonts w:asciiTheme="majorHAnsi" w:hAnsiTheme="majorHAnsi"/>
          <w:b/>
          <w:bCs/>
          <w:sz w:val="20"/>
          <w:szCs w:val="20"/>
        </w:rPr>
        <w:tab/>
        <w:t>C</w:t>
      </w:r>
      <w:r w:rsidR="00E81DD4">
        <w:rPr>
          <w:rFonts w:asciiTheme="majorHAnsi" w:hAnsiTheme="majorHAnsi"/>
          <w:b/>
          <w:bCs/>
          <w:sz w:val="20"/>
          <w:szCs w:val="20"/>
        </w:rPr>
        <w:t xml:space="preserve">haracterization of the facts alleged </w:t>
      </w:r>
    </w:p>
    <w:p w:rsidR="009F0B9A" w:rsidRPr="00844736" w:rsidRDefault="00E81DD4" w:rsidP="00E270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For the purposes of admissibility, the Commission must decide whether the facts alleged tend to establish a violation of rights, as stipulated in Article </w:t>
      </w:r>
      <w:r w:rsidR="00385E1D" w:rsidRPr="00844736">
        <w:rPr>
          <w:rFonts w:asciiTheme="majorHAnsi" w:hAnsiTheme="majorHAnsi"/>
          <w:sz w:val="20"/>
          <w:szCs w:val="20"/>
        </w:rPr>
        <w:t>47</w:t>
      </w:r>
      <w:r>
        <w:rPr>
          <w:rFonts w:asciiTheme="majorHAnsi" w:hAnsiTheme="majorHAnsi"/>
          <w:sz w:val="20"/>
          <w:szCs w:val="20"/>
        </w:rPr>
        <w:t>(</w:t>
      </w:r>
      <w:r w:rsidR="00385E1D" w:rsidRPr="00844736">
        <w:rPr>
          <w:rFonts w:asciiTheme="majorHAnsi" w:hAnsiTheme="majorHAnsi"/>
          <w:sz w:val="20"/>
          <w:szCs w:val="20"/>
        </w:rPr>
        <w:t>b</w:t>
      </w:r>
      <w:r>
        <w:rPr>
          <w:rFonts w:asciiTheme="majorHAnsi" w:hAnsiTheme="majorHAnsi"/>
          <w:sz w:val="20"/>
          <w:szCs w:val="20"/>
        </w:rPr>
        <w:t xml:space="preserve">) of the American Convention, or whether the petition is “manifestly </w:t>
      </w:r>
      <w:r w:rsidR="00E270C2">
        <w:rPr>
          <w:rFonts w:asciiTheme="majorHAnsi" w:hAnsiTheme="majorHAnsi"/>
          <w:sz w:val="20"/>
          <w:szCs w:val="20"/>
        </w:rPr>
        <w:t>groundless</w:t>
      </w:r>
      <w:r>
        <w:rPr>
          <w:rFonts w:asciiTheme="majorHAnsi" w:hAnsiTheme="majorHAnsi"/>
          <w:sz w:val="20"/>
          <w:szCs w:val="20"/>
        </w:rPr>
        <w:t>” or “obviously out of order,” as per Article 47(c)</w:t>
      </w:r>
      <w:r w:rsidR="008553C6" w:rsidRPr="00844736">
        <w:rPr>
          <w:rFonts w:asciiTheme="majorHAnsi" w:hAnsiTheme="majorHAnsi"/>
          <w:sz w:val="20"/>
          <w:szCs w:val="20"/>
        </w:rPr>
        <w:t>.</w:t>
      </w:r>
      <w:r w:rsidR="0063685A" w:rsidRPr="00844736">
        <w:rPr>
          <w:rFonts w:asciiTheme="majorHAnsi" w:hAnsiTheme="majorHAnsi"/>
          <w:sz w:val="20"/>
          <w:szCs w:val="20"/>
        </w:rPr>
        <w:t xml:space="preserve"> </w:t>
      </w:r>
      <w:r>
        <w:rPr>
          <w:rFonts w:asciiTheme="majorHAnsi" w:hAnsiTheme="majorHAnsi"/>
          <w:sz w:val="20"/>
          <w:szCs w:val="20"/>
        </w:rPr>
        <w:t xml:space="preserve">The </w:t>
      </w:r>
      <w:r w:rsidR="00474C58">
        <w:rPr>
          <w:rFonts w:asciiTheme="majorHAnsi" w:hAnsiTheme="majorHAnsi"/>
          <w:sz w:val="20"/>
          <w:szCs w:val="20"/>
        </w:rPr>
        <w:t>standard</w:t>
      </w:r>
      <w:r w:rsidR="0063685A" w:rsidRPr="00844736">
        <w:rPr>
          <w:rFonts w:asciiTheme="majorHAnsi" w:hAnsiTheme="majorHAnsi"/>
          <w:sz w:val="20"/>
          <w:szCs w:val="20"/>
        </w:rPr>
        <w:t xml:space="preserve"> </w:t>
      </w:r>
      <w:r>
        <w:rPr>
          <w:rFonts w:asciiTheme="majorHAnsi" w:hAnsiTheme="majorHAnsi"/>
          <w:sz w:val="20"/>
          <w:szCs w:val="20"/>
        </w:rPr>
        <w:t xml:space="preserve">for analyzing admissibility differs from that used for the analysis of the merits of the petition, given that the Commission only performs a </w:t>
      </w:r>
      <w:r w:rsidR="0063685A" w:rsidRPr="00844736">
        <w:rPr>
          <w:rFonts w:asciiTheme="majorHAnsi" w:hAnsiTheme="majorHAnsi"/>
          <w:i/>
          <w:sz w:val="20"/>
          <w:szCs w:val="20"/>
        </w:rPr>
        <w:t>prima facie</w:t>
      </w:r>
      <w:r w:rsidR="0063685A" w:rsidRPr="00844736">
        <w:rPr>
          <w:rFonts w:asciiTheme="majorHAnsi" w:hAnsiTheme="majorHAnsi"/>
          <w:sz w:val="20"/>
          <w:szCs w:val="20"/>
        </w:rPr>
        <w:t xml:space="preserve"> </w:t>
      </w:r>
      <w:r>
        <w:rPr>
          <w:rFonts w:asciiTheme="majorHAnsi" w:hAnsiTheme="majorHAnsi"/>
          <w:sz w:val="20"/>
          <w:szCs w:val="20"/>
        </w:rPr>
        <w:t xml:space="preserve">analysis to determine whether the petitioners establish the apparent or possible violation of a right guaranteed by the American Convention. </w:t>
      </w:r>
      <w:r w:rsidR="00E52CEC">
        <w:rPr>
          <w:rFonts w:asciiTheme="majorHAnsi" w:hAnsiTheme="majorHAnsi"/>
          <w:sz w:val="20"/>
          <w:szCs w:val="20"/>
        </w:rPr>
        <w:t xml:space="preserve">It is a summary analysis that does not imply prejudging or issuing a preliminary opinion on the merits. </w:t>
      </w:r>
    </w:p>
    <w:p w:rsidR="00CE4E23" w:rsidRPr="00844736" w:rsidRDefault="00CE4E23" w:rsidP="00CE4E2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9F0B9A" w:rsidRPr="00844736" w:rsidRDefault="00E52CEC" w:rsidP="00C32F5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Moreover, neither the American Convention nor the Rules of Procedure of the IACHR require that the petition identify the specific rights alleged to have been violated by the State in the matter submitted to the Commission, although the petition</w:t>
      </w:r>
      <w:r w:rsidR="00C32F5E">
        <w:rPr>
          <w:rFonts w:asciiTheme="majorHAnsi" w:hAnsiTheme="majorHAnsi"/>
          <w:sz w:val="20"/>
          <w:szCs w:val="20"/>
        </w:rPr>
        <w:t>er</w:t>
      </w:r>
      <w:r>
        <w:rPr>
          <w:rFonts w:asciiTheme="majorHAnsi" w:hAnsiTheme="majorHAnsi"/>
          <w:sz w:val="20"/>
          <w:szCs w:val="20"/>
        </w:rPr>
        <w:t xml:space="preserve">s may do so. It is up to the Commission, based on the case-law of the system, to determine in its admissibility reports which provision of the </w:t>
      </w:r>
      <w:r w:rsidR="00C32F5E">
        <w:rPr>
          <w:rFonts w:asciiTheme="majorHAnsi" w:hAnsiTheme="majorHAnsi"/>
          <w:sz w:val="20"/>
          <w:szCs w:val="20"/>
        </w:rPr>
        <w:t xml:space="preserve">relevant </w:t>
      </w:r>
      <w:r>
        <w:rPr>
          <w:rFonts w:asciiTheme="majorHAnsi" w:hAnsiTheme="majorHAnsi"/>
          <w:sz w:val="20"/>
          <w:szCs w:val="20"/>
        </w:rPr>
        <w:t xml:space="preserve">inter-American </w:t>
      </w:r>
      <w:r w:rsidR="00E270C2">
        <w:rPr>
          <w:rFonts w:asciiTheme="majorHAnsi" w:hAnsiTheme="majorHAnsi"/>
          <w:sz w:val="20"/>
          <w:szCs w:val="20"/>
        </w:rPr>
        <w:t xml:space="preserve">instruments </w:t>
      </w:r>
      <w:r>
        <w:rPr>
          <w:rFonts w:asciiTheme="majorHAnsi" w:hAnsiTheme="majorHAnsi"/>
          <w:sz w:val="20"/>
          <w:szCs w:val="20"/>
        </w:rPr>
        <w:t xml:space="preserve">is applicable and whose violation could be established if the facts alleged are proven by sufficient evidence. </w:t>
      </w:r>
    </w:p>
    <w:p w:rsidR="00547D7F" w:rsidRPr="00844736"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F95293" w:rsidRPr="00844736" w:rsidRDefault="00E52CEC" w:rsidP="00C32F5E">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r>
        <w:rPr>
          <w:rFonts w:asciiTheme="majorHAnsi" w:eastAsia="SimSun" w:hAnsiTheme="majorHAnsi"/>
          <w:sz w:val="20"/>
          <w:szCs w:val="20"/>
        </w:rPr>
        <w:t xml:space="preserve">The petitioners argue that the alleged victims </w:t>
      </w:r>
      <w:r w:rsidR="00435466">
        <w:rPr>
          <w:rFonts w:asciiTheme="majorHAnsi" w:hAnsiTheme="majorHAnsi"/>
          <w:sz w:val="20"/>
          <w:szCs w:val="20"/>
        </w:rPr>
        <w:t>Hortensia</w:t>
      </w:r>
      <w:r w:rsidR="00CE3776" w:rsidRPr="00844736">
        <w:rPr>
          <w:rFonts w:asciiTheme="majorHAnsi" w:hAnsiTheme="majorHAnsi"/>
          <w:sz w:val="20"/>
          <w:szCs w:val="20"/>
        </w:rPr>
        <w:t xml:space="preserve"> Neyid Tunja Cuchumbe </w:t>
      </w:r>
      <w:r>
        <w:rPr>
          <w:rFonts w:asciiTheme="majorHAnsi" w:hAnsiTheme="majorHAnsi"/>
          <w:sz w:val="20"/>
          <w:szCs w:val="20"/>
        </w:rPr>
        <w:t xml:space="preserve">and </w:t>
      </w:r>
      <w:r w:rsidR="00CE3776" w:rsidRPr="00844736">
        <w:rPr>
          <w:rFonts w:asciiTheme="majorHAnsi" w:hAnsiTheme="majorHAnsi"/>
          <w:sz w:val="20"/>
          <w:szCs w:val="20"/>
        </w:rPr>
        <w:t>Manuel Antonio Tao Pillimué</w:t>
      </w:r>
      <w:r>
        <w:rPr>
          <w:rFonts w:asciiTheme="majorHAnsi" w:hAnsiTheme="majorHAnsi"/>
          <w:sz w:val="20"/>
          <w:szCs w:val="20"/>
        </w:rPr>
        <w:t xml:space="preserve"> were extrajudicially executed, and that in those same events </w:t>
      </w:r>
      <w:r w:rsidR="00F95293" w:rsidRPr="00844736">
        <w:rPr>
          <w:rFonts w:asciiTheme="majorHAnsi" w:hAnsiTheme="majorHAnsi"/>
          <w:sz w:val="20"/>
          <w:szCs w:val="20"/>
        </w:rPr>
        <w:t>W</w:t>
      </w:r>
      <w:r w:rsidR="00CE3776" w:rsidRPr="00844736">
        <w:rPr>
          <w:rFonts w:asciiTheme="majorHAnsi" w:hAnsiTheme="majorHAnsi"/>
          <w:sz w:val="20"/>
          <w:szCs w:val="20"/>
        </w:rPr>
        <w:t>illian José Cunacue Medina</w:t>
      </w:r>
      <w:r>
        <w:rPr>
          <w:rFonts w:asciiTheme="majorHAnsi" w:hAnsiTheme="majorHAnsi"/>
          <w:sz w:val="20"/>
          <w:szCs w:val="20"/>
        </w:rPr>
        <w:t xml:space="preserve"> suffered serious injuries.  They indicate that the Army had acted to alter the scene and presented </w:t>
      </w:r>
      <w:r w:rsidR="00435466">
        <w:rPr>
          <w:rFonts w:asciiTheme="majorHAnsi" w:hAnsiTheme="majorHAnsi"/>
          <w:sz w:val="20"/>
          <w:szCs w:val="20"/>
        </w:rPr>
        <w:t>Hortensia</w:t>
      </w:r>
      <w:r w:rsidR="00F95293" w:rsidRPr="00844736">
        <w:rPr>
          <w:rFonts w:asciiTheme="majorHAnsi" w:hAnsiTheme="majorHAnsi"/>
          <w:sz w:val="20"/>
          <w:szCs w:val="20"/>
        </w:rPr>
        <w:t xml:space="preserve"> Neyid Tunja Cuchumbe </w:t>
      </w:r>
      <w:r>
        <w:rPr>
          <w:rFonts w:asciiTheme="majorHAnsi" w:hAnsiTheme="majorHAnsi"/>
          <w:sz w:val="20"/>
          <w:szCs w:val="20"/>
        </w:rPr>
        <w:t xml:space="preserve">and </w:t>
      </w:r>
      <w:r w:rsidR="00F95293" w:rsidRPr="00844736">
        <w:rPr>
          <w:rFonts w:asciiTheme="majorHAnsi" w:hAnsiTheme="majorHAnsi"/>
          <w:sz w:val="20"/>
          <w:szCs w:val="20"/>
        </w:rPr>
        <w:t xml:space="preserve">Manuel Antonio Tao Pillimué </w:t>
      </w:r>
      <w:r>
        <w:rPr>
          <w:rFonts w:asciiTheme="majorHAnsi" w:hAnsiTheme="majorHAnsi"/>
          <w:sz w:val="20"/>
          <w:szCs w:val="20"/>
        </w:rPr>
        <w:t xml:space="preserve">to the media as </w:t>
      </w:r>
      <w:r w:rsidR="00920C48" w:rsidRPr="00844736">
        <w:rPr>
          <w:rFonts w:asciiTheme="majorHAnsi" w:hAnsiTheme="majorHAnsi"/>
          <w:sz w:val="20"/>
          <w:szCs w:val="20"/>
        </w:rPr>
        <w:t>“</w:t>
      </w:r>
      <w:r>
        <w:rPr>
          <w:rFonts w:asciiTheme="majorHAnsi" w:hAnsiTheme="majorHAnsi"/>
          <w:sz w:val="20"/>
          <w:szCs w:val="20"/>
        </w:rPr>
        <w:t>positive</w:t>
      </w:r>
      <w:r w:rsidR="00F95293" w:rsidRPr="00844736">
        <w:rPr>
          <w:rFonts w:asciiTheme="majorHAnsi" w:hAnsiTheme="majorHAnsi"/>
          <w:sz w:val="20"/>
          <w:szCs w:val="20"/>
        </w:rPr>
        <w:t>s</w:t>
      </w:r>
      <w:r w:rsidR="00920C48" w:rsidRPr="00844736">
        <w:rPr>
          <w:rFonts w:asciiTheme="majorHAnsi" w:hAnsiTheme="majorHAnsi"/>
          <w:sz w:val="20"/>
          <w:szCs w:val="20"/>
        </w:rPr>
        <w:t>”</w:t>
      </w:r>
      <w:r w:rsidR="00F95293" w:rsidRPr="00844736">
        <w:rPr>
          <w:rFonts w:asciiTheme="majorHAnsi" w:hAnsiTheme="majorHAnsi"/>
          <w:sz w:val="20"/>
          <w:szCs w:val="20"/>
        </w:rPr>
        <w:t xml:space="preserve"> </w:t>
      </w:r>
      <w:r>
        <w:rPr>
          <w:rFonts w:asciiTheme="majorHAnsi" w:hAnsiTheme="majorHAnsi"/>
          <w:sz w:val="20"/>
          <w:szCs w:val="20"/>
        </w:rPr>
        <w:t xml:space="preserve">in the military </w:t>
      </w:r>
      <w:r w:rsidR="007040D0">
        <w:rPr>
          <w:rFonts w:asciiTheme="majorHAnsi" w:hAnsiTheme="majorHAnsi"/>
          <w:sz w:val="20"/>
          <w:szCs w:val="20"/>
        </w:rPr>
        <w:t xml:space="preserve">campaign </w:t>
      </w:r>
      <w:r w:rsidR="00B81BC9">
        <w:rPr>
          <w:rFonts w:asciiTheme="majorHAnsi" w:hAnsiTheme="majorHAnsi"/>
          <w:sz w:val="20"/>
          <w:szCs w:val="20"/>
        </w:rPr>
        <w:t xml:space="preserve">against insurgent forces. </w:t>
      </w:r>
      <w:r w:rsidR="003677D4">
        <w:rPr>
          <w:rFonts w:asciiTheme="majorHAnsi" w:hAnsiTheme="majorHAnsi"/>
          <w:sz w:val="20"/>
          <w:szCs w:val="20"/>
        </w:rPr>
        <w:t xml:space="preserve">They state that a proceeding was initiated for the crime of rebellion against </w:t>
      </w:r>
      <w:r w:rsidR="00DC666E" w:rsidRPr="00844736">
        <w:rPr>
          <w:rFonts w:asciiTheme="majorHAnsi" w:hAnsiTheme="majorHAnsi"/>
          <w:sz w:val="20"/>
          <w:szCs w:val="20"/>
        </w:rPr>
        <w:t>Willian José Cunacue Medina</w:t>
      </w:r>
      <w:r w:rsidR="003677D4">
        <w:rPr>
          <w:rFonts w:asciiTheme="majorHAnsi" w:hAnsiTheme="majorHAnsi"/>
          <w:sz w:val="20"/>
          <w:szCs w:val="20"/>
        </w:rPr>
        <w:t xml:space="preserve">, </w:t>
      </w:r>
      <w:r w:rsidR="00E270C2">
        <w:rPr>
          <w:rFonts w:asciiTheme="majorHAnsi" w:hAnsiTheme="majorHAnsi"/>
          <w:sz w:val="20"/>
          <w:szCs w:val="20"/>
        </w:rPr>
        <w:t xml:space="preserve">and that a </w:t>
      </w:r>
      <w:r w:rsidR="003677D4">
        <w:rPr>
          <w:rFonts w:asciiTheme="majorHAnsi" w:hAnsiTheme="majorHAnsi"/>
          <w:sz w:val="20"/>
          <w:szCs w:val="20"/>
        </w:rPr>
        <w:t xml:space="preserve">criminal proceeding </w:t>
      </w:r>
      <w:r w:rsidR="00E270C2">
        <w:rPr>
          <w:rFonts w:asciiTheme="majorHAnsi" w:hAnsiTheme="majorHAnsi"/>
          <w:sz w:val="20"/>
          <w:szCs w:val="20"/>
        </w:rPr>
        <w:t xml:space="preserve">also went forward </w:t>
      </w:r>
      <w:r w:rsidR="003677D4">
        <w:rPr>
          <w:rFonts w:asciiTheme="majorHAnsi" w:hAnsiTheme="majorHAnsi"/>
          <w:sz w:val="20"/>
          <w:szCs w:val="20"/>
        </w:rPr>
        <w:t>in relation to the crimes of homicide and injuries against the alleged vict</w:t>
      </w:r>
      <w:r w:rsidR="00E270C2">
        <w:rPr>
          <w:rFonts w:asciiTheme="majorHAnsi" w:hAnsiTheme="majorHAnsi"/>
          <w:sz w:val="20"/>
          <w:szCs w:val="20"/>
        </w:rPr>
        <w:t>ims. Regarding this last proceeding</w:t>
      </w:r>
      <w:r w:rsidR="003677D4">
        <w:rPr>
          <w:rFonts w:asciiTheme="majorHAnsi" w:hAnsiTheme="majorHAnsi"/>
          <w:sz w:val="20"/>
          <w:szCs w:val="20"/>
        </w:rPr>
        <w:t xml:space="preserve">, they indicate that initially it was heard by the military </w:t>
      </w:r>
      <w:r w:rsidR="00A17E9D">
        <w:rPr>
          <w:rFonts w:asciiTheme="majorHAnsi" w:hAnsiTheme="majorHAnsi"/>
          <w:sz w:val="20"/>
          <w:szCs w:val="20"/>
        </w:rPr>
        <w:t>justice</w:t>
      </w:r>
      <w:r w:rsidR="00291868" w:rsidRPr="00844736">
        <w:rPr>
          <w:rFonts w:asciiTheme="majorHAnsi" w:hAnsiTheme="majorHAnsi"/>
          <w:sz w:val="20"/>
          <w:szCs w:val="20"/>
        </w:rPr>
        <w:t xml:space="preserve">, </w:t>
      </w:r>
      <w:r w:rsidR="003677D4">
        <w:rPr>
          <w:rFonts w:asciiTheme="majorHAnsi" w:hAnsiTheme="majorHAnsi"/>
          <w:sz w:val="20"/>
          <w:szCs w:val="20"/>
        </w:rPr>
        <w:t xml:space="preserve">and subsequently it was removed to the regular courts, under whose jurisdiction three state agents were identified as suspects in the criminal </w:t>
      </w:r>
      <w:r w:rsidR="00E270C2">
        <w:rPr>
          <w:rFonts w:asciiTheme="majorHAnsi" w:hAnsiTheme="majorHAnsi"/>
          <w:sz w:val="20"/>
          <w:szCs w:val="20"/>
        </w:rPr>
        <w:t xml:space="preserve">investigation, </w:t>
      </w:r>
      <w:r w:rsidR="003677D4">
        <w:rPr>
          <w:rFonts w:asciiTheme="majorHAnsi" w:hAnsiTheme="majorHAnsi"/>
          <w:sz w:val="20"/>
          <w:szCs w:val="20"/>
        </w:rPr>
        <w:t>yet according to the information received, to date no judgment has been handed down in the first instance. Moreover, they state that family members of the alleged victims brought a contentious-administrative proceeding to obtain reparations, yet the measures ordered in the judgment did not comply with the standards of the system regarding</w:t>
      </w:r>
      <w:r w:rsidR="005E198E">
        <w:rPr>
          <w:rFonts w:asciiTheme="majorHAnsi" w:hAnsiTheme="majorHAnsi"/>
          <w:sz w:val="20"/>
          <w:szCs w:val="20"/>
        </w:rPr>
        <w:t xml:space="preserve"> comprehensive</w:t>
      </w:r>
      <w:r w:rsidR="003677D4">
        <w:rPr>
          <w:rFonts w:asciiTheme="majorHAnsi" w:hAnsiTheme="majorHAnsi"/>
          <w:sz w:val="20"/>
          <w:szCs w:val="20"/>
        </w:rPr>
        <w:t xml:space="preserve"> reparation. </w:t>
      </w:r>
    </w:p>
    <w:p w:rsidR="00F95293" w:rsidRPr="00844736" w:rsidRDefault="00F95293" w:rsidP="00F95293">
      <w:pPr>
        <w:pStyle w:val="ListParagraph"/>
        <w:rPr>
          <w:rFonts w:asciiTheme="majorHAnsi" w:hAnsiTheme="majorHAnsi"/>
          <w:sz w:val="20"/>
          <w:szCs w:val="20"/>
        </w:rPr>
      </w:pPr>
    </w:p>
    <w:p w:rsidR="001F458D" w:rsidRPr="00844736" w:rsidRDefault="003677D4" w:rsidP="00E270C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r>
        <w:rPr>
          <w:rFonts w:asciiTheme="majorHAnsi" w:eastAsia="SimSun" w:hAnsiTheme="majorHAnsi"/>
          <w:sz w:val="20"/>
          <w:szCs w:val="20"/>
        </w:rPr>
        <w:t xml:space="preserve">The State has said that the domestic remedies have unfolded properly, and notes that </w:t>
      </w:r>
      <w:r w:rsidR="00E270C2">
        <w:rPr>
          <w:rFonts w:asciiTheme="majorHAnsi" w:eastAsia="SimSun" w:hAnsiTheme="majorHAnsi"/>
          <w:sz w:val="20"/>
          <w:szCs w:val="20"/>
        </w:rPr>
        <w:t xml:space="preserve">several </w:t>
      </w:r>
      <w:r>
        <w:rPr>
          <w:rFonts w:asciiTheme="majorHAnsi" w:eastAsia="SimSun" w:hAnsiTheme="majorHAnsi"/>
          <w:sz w:val="20"/>
          <w:szCs w:val="20"/>
        </w:rPr>
        <w:t xml:space="preserve">actions have been taken in the criminal jurisdiction to investigate the facts alleged, detailing them, explaining that at present it is the </w:t>
      </w:r>
      <w:r w:rsidR="00CD496A">
        <w:rPr>
          <w:rFonts w:asciiTheme="majorHAnsi" w:eastAsia="SimSun" w:hAnsiTheme="majorHAnsi"/>
          <w:sz w:val="20"/>
          <w:szCs w:val="20"/>
        </w:rPr>
        <w:t>civilian</w:t>
      </w:r>
      <w:r>
        <w:rPr>
          <w:rFonts w:asciiTheme="majorHAnsi" w:eastAsia="SimSun" w:hAnsiTheme="majorHAnsi"/>
          <w:sz w:val="20"/>
          <w:szCs w:val="20"/>
        </w:rPr>
        <w:t xml:space="preserve"> jurisdiction that is hearing the criminal matter, and that both in the contentious-administrative jurisdiction and in the disciplinary proceeding that </w:t>
      </w:r>
      <w:r w:rsidR="00E270C2">
        <w:rPr>
          <w:rFonts w:asciiTheme="majorHAnsi" w:eastAsia="SimSun" w:hAnsiTheme="majorHAnsi"/>
          <w:sz w:val="20"/>
          <w:szCs w:val="20"/>
        </w:rPr>
        <w:t xml:space="preserve">is now under way </w:t>
      </w:r>
      <w:r>
        <w:rPr>
          <w:rFonts w:asciiTheme="majorHAnsi" w:eastAsia="SimSun" w:hAnsiTheme="majorHAnsi"/>
          <w:sz w:val="20"/>
          <w:szCs w:val="20"/>
        </w:rPr>
        <w:t xml:space="preserve">judgments have been handed down favorable to the alleged victims; and that with respect to reparations, the matter is inadmissible on grounds of the fourth-instance formula. In view of the foregoing the State alleges that the Commission should not hear the matter considering the principle of subsidiarity and the prohibition on sitting as an appellate court. </w:t>
      </w:r>
    </w:p>
    <w:p w:rsidR="001F458D" w:rsidRPr="00844736" w:rsidRDefault="001F458D" w:rsidP="004E5F6F">
      <w:pPr>
        <w:pStyle w:val="ListParagraph"/>
        <w:rPr>
          <w:rFonts w:asciiTheme="majorHAnsi" w:eastAsia="SimSun" w:hAnsiTheme="majorHAnsi"/>
          <w:sz w:val="20"/>
          <w:szCs w:val="20"/>
        </w:rPr>
      </w:pPr>
    </w:p>
    <w:p w:rsidR="00B20D90" w:rsidRPr="00844736" w:rsidRDefault="003677D4" w:rsidP="004E5F6F">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r>
        <w:rPr>
          <w:rFonts w:asciiTheme="majorHAnsi" w:eastAsia="SimSun" w:hAnsiTheme="majorHAnsi"/>
          <w:sz w:val="20"/>
          <w:szCs w:val="20"/>
        </w:rPr>
        <w:t xml:space="preserve">With respect to the State’s arguments, the Commission </w:t>
      </w:r>
      <w:r w:rsidR="001F458D" w:rsidRPr="00844736">
        <w:rPr>
          <w:rFonts w:asciiTheme="majorHAnsi" w:eastAsia="SimSun" w:hAnsiTheme="majorHAnsi"/>
          <w:sz w:val="20"/>
          <w:szCs w:val="20"/>
        </w:rPr>
        <w:t>reitera</w:t>
      </w:r>
      <w:r>
        <w:rPr>
          <w:rFonts w:asciiTheme="majorHAnsi" w:eastAsia="SimSun" w:hAnsiTheme="majorHAnsi"/>
          <w:sz w:val="20"/>
          <w:szCs w:val="20"/>
        </w:rPr>
        <w:t xml:space="preserve">tes what is established in its case-law, among others in Report 34/15, cited above, </w:t>
      </w:r>
      <w:r w:rsidR="009C6768">
        <w:rPr>
          <w:rFonts w:asciiTheme="majorHAnsi" w:eastAsia="SimSun" w:hAnsiTheme="majorHAnsi"/>
          <w:sz w:val="20"/>
          <w:szCs w:val="20"/>
        </w:rPr>
        <w:t xml:space="preserve">affirming that it is not competent to review the </w:t>
      </w:r>
      <w:r w:rsidR="009C6768">
        <w:rPr>
          <w:rFonts w:asciiTheme="majorHAnsi" w:eastAsia="SimSun" w:hAnsiTheme="majorHAnsi"/>
          <w:sz w:val="20"/>
          <w:szCs w:val="20"/>
        </w:rPr>
        <w:lastRenderedPageBreak/>
        <w:t xml:space="preserve">judgments handed down by national courts that act within their jurisdiction and apply due process and judicial guarantees. </w:t>
      </w:r>
      <w:r w:rsidR="00CB1D11">
        <w:rPr>
          <w:rFonts w:asciiTheme="majorHAnsi" w:eastAsia="SimSun" w:hAnsiTheme="majorHAnsi"/>
          <w:sz w:val="20"/>
          <w:szCs w:val="20"/>
        </w:rPr>
        <w:t xml:space="preserve">The Commission cannot act as a court of appeals to examine purported errors of law or fact that may have been made by national courts. Nonetheless, in the context of its mandate to ensure the observance of the rights enshrined in the American Convention and other inter-American human rights instruments the Commission is competent to find a petition admissible and to rule on the merits when the petition refers to domestic proceedings related to alleged human rights violations and which may be in violation of rights guaranteed by the American Convention. Given that the arguments made by the petitioners are intimately related to the merits of the </w:t>
      </w:r>
      <w:r w:rsidR="00677EA7">
        <w:rPr>
          <w:rFonts w:asciiTheme="majorHAnsi" w:eastAsia="SimSun" w:hAnsiTheme="majorHAnsi"/>
          <w:sz w:val="20"/>
          <w:szCs w:val="20"/>
        </w:rPr>
        <w:t>present</w:t>
      </w:r>
      <w:r w:rsidR="00CB1D11">
        <w:rPr>
          <w:rFonts w:asciiTheme="majorHAnsi" w:eastAsia="SimSun" w:hAnsiTheme="majorHAnsi"/>
          <w:sz w:val="20"/>
          <w:szCs w:val="20"/>
        </w:rPr>
        <w:t xml:space="preserve"> matter, in </w:t>
      </w:r>
      <w:r w:rsidR="00612771" w:rsidRPr="00844736">
        <w:rPr>
          <w:rFonts w:asciiTheme="majorHAnsi" w:eastAsia="SimSun" w:hAnsiTheme="majorHAnsi"/>
          <w:sz w:val="20"/>
          <w:szCs w:val="20"/>
        </w:rPr>
        <w:t xml:space="preserve">particular </w:t>
      </w:r>
      <w:r w:rsidR="00CB1D11">
        <w:rPr>
          <w:rFonts w:asciiTheme="majorHAnsi" w:eastAsia="SimSun" w:hAnsiTheme="majorHAnsi"/>
          <w:sz w:val="20"/>
          <w:szCs w:val="20"/>
        </w:rPr>
        <w:t>as regards the alleged violation</w:t>
      </w:r>
      <w:r w:rsidR="00C32F5E">
        <w:rPr>
          <w:rFonts w:asciiTheme="majorHAnsi" w:eastAsia="SimSun" w:hAnsiTheme="majorHAnsi"/>
          <w:sz w:val="20"/>
          <w:szCs w:val="20"/>
        </w:rPr>
        <w:t>s</w:t>
      </w:r>
      <w:r w:rsidR="00CB1D11">
        <w:rPr>
          <w:rFonts w:asciiTheme="majorHAnsi" w:eastAsia="SimSun" w:hAnsiTheme="majorHAnsi"/>
          <w:sz w:val="20"/>
          <w:szCs w:val="20"/>
        </w:rPr>
        <w:t xml:space="preserve"> of Articles </w:t>
      </w:r>
      <w:r w:rsidR="00612771" w:rsidRPr="00844736">
        <w:rPr>
          <w:rFonts w:asciiTheme="majorHAnsi" w:eastAsia="SimSun" w:hAnsiTheme="majorHAnsi"/>
          <w:sz w:val="20"/>
          <w:szCs w:val="20"/>
        </w:rPr>
        <w:t xml:space="preserve">8 </w:t>
      </w:r>
      <w:r w:rsidR="00CB1D11">
        <w:rPr>
          <w:rFonts w:asciiTheme="majorHAnsi" w:eastAsia="SimSun" w:hAnsiTheme="majorHAnsi"/>
          <w:sz w:val="20"/>
          <w:szCs w:val="20"/>
        </w:rPr>
        <w:t xml:space="preserve">and </w:t>
      </w:r>
      <w:r w:rsidR="00612771" w:rsidRPr="00844736">
        <w:rPr>
          <w:rFonts w:asciiTheme="majorHAnsi" w:eastAsia="SimSun" w:hAnsiTheme="majorHAnsi"/>
          <w:sz w:val="20"/>
          <w:szCs w:val="20"/>
        </w:rPr>
        <w:t xml:space="preserve">25 </w:t>
      </w:r>
      <w:r w:rsidR="00CB1D11">
        <w:rPr>
          <w:rFonts w:asciiTheme="majorHAnsi" w:eastAsia="SimSun" w:hAnsiTheme="majorHAnsi"/>
          <w:sz w:val="20"/>
          <w:szCs w:val="20"/>
        </w:rPr>
        <w:t xml:space="preserve">of the Convention, the Commission will analyze the claims in the merits phase to determine whether in effect there was a diligent, effective, and impartial investigation. </w:t>
      </w:r>
    </w:p>
    <w:p w:rsidR="00AB6323" w:rsidRPr="00844736" w:rsidRDefault="00AB6323" w:rsidP="00AB6323">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720"/>
        <w:jc w:val="both"/>
        <w:rPr>
          <w:rFonts w:asciiTheme="majorHAnsi" w:eastAsia="SimSun" w:hAnsiTheme="majorHAnsi"/>
          <w:sz w:val="20"/>
          <w:szCs w:val="20"/>
        </w:rPr>
      </w:pPr>
    </w:p>
    <w:p w:rsidR="001F458D" w:rsidRPr="00844736" w:rsidRDefault="004E5F6F" w:rsidP="00501C2E">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rPr>
      </w:pPr>
      <w:r>
        <w:rPr>
          <w:rFonts w:asciiTheme="majorHAnsi" w:eastAsia="SimSun" w:hAnsiTheme="majorHAnsi"/>
          <w:sz w:val="20"/>
          <w:szCs w:val="20"/>
        </w:rPr>
        <w:t>B</w:t>
      </w:r>
      <w:r w:rsidR="00656C72">
        <w:rPr>
          <w:rFonts w:asciiTheme="majorHAnsi" w:eastAsia="SimSun" w:hAnsiTheme="majorHAnsi"/>
          <w:sz w:val="20"/>
          <w:szCs w:val="20"/>
        </w:rPr>
        <w:t>ased on the information</w:t>
      </w:r>
      <w:r>
        <w:rPr>
          <w:rFonts w:asciiTheme="majorHAnsi" w:eastAsia="SimSun" w:hAnsiTheme="majorHAnsi"/>
          <w:sz w:val="20"/>
          <w:szCs w:val="20"/>
        </w:rPr>
        <w:t xml:space="preserve"> presented by the parties the Commission considers </w:t>
      </w:r>
      <w:r w:rsidR="00656C72">
        <w:rPr>
          <w:rFonts w:asciiTheme="majorHAnsi" w:eastAsia="SimSun" w:hAnsiTheme="majorHAnsi"/>
          <w:sz w:val="20"/>
          <w:szCs w:val="20"/>
        </w:rPr>
        <w:t xml:space="preserve">that the alleged </w:t>
      </w:r>
      <w:r w:rsidR="00FF0FD7" w:rsidRPr="00844736">
        <w:rPr>
          <w:rFonts w:asciiTheme="majorHAnsi" w:eastAsia="SimSun" w:hAnsiTheme="majorHAnsi"/>
          <w:sz w:val="20"/>
          <w:szCs w:val="20"/>
        </w:rPr>
        <w:t xml:space="preserve">extrajudicial </w:t>
      </w:r>
      <w:r w:rsidR="00656C72">
        <w:rPr>
          <w:rFonts w:asciiTheme="majorHAnsi" w:eastAsia="SimSun" w:hAnsiTheme="majorHAnsi"/>
          <w:sz w:val="20"/>
          <w:szCs w:val="20"/>
        </w:rPr>
        <w:t xml:space="preserve">execution of </w:t>
      </w:r>
      <w:r w:rsidR="00435466">
        <w:rPr>
          <w:rFonts w:asciiTheme="majorHAnsi" w:hAnsiTheme="majorHAnsi"/>
          <w:sz w:val="20"/>
          <w:szCs w:val="20"/>
        </w:rPr>
        <w:t>Hortensia</w:t>
      </w:r>
      <w:r w:rsidR="00FF0FD7" w:rsidRPr="00844736">
        <w:rPr>
          <w:rFonts w:asciiTheme="majorHAnsi" w:hAnsiTheme="majorHAnsi"/>
          <w:sz w:val="20"/>
          <w:szCs w:val="20"/>
        </w:rPr>
        <w:t xml:space="preserve"> Neyid Tunja Cuchumbe </w:t>
      </w:r>
      <w:r w:rsidR="00656C72">
        <w:rPr>
          <w:rFonts w:asciiTheme="majorHAnsi" w:hAnsiTheme="majorHAnsi"/>
          <w:sz w:val="20"/>
          <w:szCs w:val="20"/>
        </w:rPr>
        <w:t>and Manuel Antonio Tao Pillimué</w:t>
      </w:r>
      <w:r w:rsidR="00FF0FD7" w:rsidRPr="00844736">
        <w:rPr>
          <w:rFonts w:asciiTheme="majorHAnsi" w:hAnsiTheme="majorHAnsi"/>
          <w:sz w:val="20"/>
          <w:szCs w:val="20"/>
        </w:rPr>
        <w:t xml:space="preserve"> </w:t>
      </w:r>
      <w:r w:rsidR="00656C72">
        <w:rPr>
          <w:rFonts w:asciiTheme="majorHAnsi" w:hAnsiTheme="majorHAnsi"/>
          <w:sz w:val="20"/>
          <w:szCs w:val="20"/>
        </w:rPr>
        <w:t>tends to establish a possible violation of the right to life</w:t>
      </w:r>
      <w:r w:rsidR="00804777" w:rsidRPr="00844736">
        <w:rPr>
          <w:rFonts w:asciiTheme="majorHAnsi" w:hAnsiTheme="majorHAnsi"/>
          <w:sz w:val="20"/>
          <w:szCs w:val="20"/>
        </w:rPr>
        <w:t xml:space="preserve">. </w:t>
      </w:r>
      <w:r w:rsidR="00656C72">
        <w:rPr>
          <w:rFonts w:asciiTheme="majorHAnsi" w:hAnsiTheme="majorHAnsi"/>
          <w:sz w:val="20"/>
          <w:szCs w:val="20"/>
        </w:rPr>
        <w:t xml:space="preserve">In </w:t>
      </w:r>
      <w:r w:rsidR="00804777" w:rsidRPr="00844736">
        <w:rPr>
          <w:rFonts w:asciiTheme="majorHAnsi" w:hAnsiTheme="majorHAnsi"/>
          <w:sz w:val="20"/>
          <w:szCs w:val="20"/>
        </w:rPr>
        <w:t xml:space="preserve">particular, </w:t>
      </w:r>
      <w:r w:rsidR="00656C72">
        <w:rPr>
          <w:rFonts w:asciiTheme="majorHAnsi" w:hAnsiTheme="majorHAnsi"/>
          <w:sz w:val="20"/>
          <w:szCs w:val="20"/>
        </w:rPr>
        <w:t xml:space="preserve">in the case of </w:t>
      </w:r>
      <w:r w:rsidR="00435466">
        <w:rPr>
          <w:rFonts w:asciiTheme="majorHAnsi" w:hAnsiTheme="majorHAnsi"/>
          <w:sz w:val="20"/>
          <w:szCs w:val="20"/>
        </w:rPr>
        <w:t>Hortensia</w:t>
      </w:r>
      <w:r w:rsidR="00804777" w:rsidRPr="00844736">
        <w:rPr>
          <w:rFonts w:asciiTheme="majorHAnsi" w:hAnsiTheme="majorHAnsi"/>
          <w:sz w:val="20"/>
          <w:szCs w:val="20"/>
        </w:rPr>
        <w:t xml:space="preserve"> Neyid Tunja Cuchumbe, </w:t>
      </w:r>
      <w:r w:rsidR="00656C72">
        <w:rPr>
          <w:rFonts w:asciiTheme="majorHAnsi" w:hAnsiTheme="majorHAnsi"/>
          <w:sz w:val="20"/>
          <w:szCs w:val="20"/>
        </w:rPr>
        <w:t xml:space="preserve">who was </w:t>
      </w:r>
      <w:r w:rsidR="00804777" w:rsidRPr="00844736">
        <w:rPr>
          <w:rFonts w:asciiTheme="majorHAnsi" w:hAnsiTheme="majorHAnsi"/>
          <w:sz w:val="20"/>
          <w:szCs w:val="20"/>
        </w:rPr>
        <w:t xml:space="preserve">17 </w:t>
      </w:r>
      <w:r w:rsidR="00656C72">
        <w:rPr>
          <w:rFonts w:asciiTheme="majorHAnsi" w:hAnsiTheme="majorHAnsi"/>
          <w:sz w:val="20"/>
          <w:szCs w:val="20"/>
        </w:rPr>
        <w:t xml:space="preserve">years old at the time of the facts, there is also a possible violation of the rights of the child. In addition, as for </w:t>
      </w:r>
      <w:r w:rsidR="00804777" w:rsidRPr="00844736">
        <w:rPr>
          <w:rFonts w:asciiTheme="majorHAnsi" w:hAnsiTheme="majorHAnsi"/>
          <w:sz w:val="20"/>
          <w:szCs w:val="20"/>
        </w:rPr>
        <w:t xml:space="preserve">Willian José Cunacue Medina, </w:t>
      </w:r>
      <w:r w:rsidR="00656C72">
        <w:rPr>
          <w:rFonts w:asciiTheme="majorHAnsi" w:hAnsiTheme="majorHAnsi"/>
          <w:sz w:val="20"/>
          <w:szCs w:val="20"/>
        </w:rPr>
        <w:t>who is said to have suffered grievous injury as the result of the attack suffered by the alleged victims, and who was subsequently arrested for</w:t>
      </w:r>
      <w:r w:rsidR="00501C2E">
        <w:rPr>
          <w:rFonts w:asciiTheme="majorHAnsi" w:hAnsiTheme="majorHAnsi"/>
          <w:sz w:val="20"/>
          <w:szCs w:val="20"/>
        </w:rPr>
        <w:t xml:space="preserve"> approximately one week, purportedly in </w:t>
      </w:r>
      <w:r w:rsidR="00656C72">
        <w:rPr>
          <w:rFonts w:asciiTheme="majorHAnsi" w:hAnsiTheme="majorHAnsi"/>
          <w:sz w:val="20"/>
          <w:szCs w:val="20"/>
        </w:rPr>
        <w:t>violation of the law, and prosecuted for the crime of rebellion, there may be a possible violation of his</w:t>
      </w:r>
      <w:r w:rsidR="00656C72" w:rsidRPr="00F92641">
        <w:rPr>
          <w:rFonts w:asciiTheme="majorHAnsi" w:hAnsiTheme="majorHAnsi"/>
          <w:sz w:val="20"/>
          <w:szCs w:val="20"/>
        </w:rPr>
        <w:t xml:space="preserve"> </w:t>
      </w:r>
      <w:r w:rsidR="00656C72">
        <w:rPr>
          <w:rFonts w:asciiTheme="majorHAnsi" w:hAnsiTheme="majorHAnsi"/>
          <w:sz w:val="20"/>
          <w:szCs w:val="20"/>
        </w:rPr>
        <w:t xml:space="preserve">rights to integrity and personal liberty. In addition, as regards the presentation by the </w:t>
      </w:r>
      <w:r>
        <w:rPr>
          <w:rFonts w:asciiTheme="majorHAnsi" w:hAnsiTheme="majorHAnsi"/>
          <w:sz w:val="20"/>
          <w:szCs w:val="20"/>
        </w:rPr>
        <w:t>A</w:t>
      </w:r>
      <w:r w:rsidR="00656C72">
        <w:rPr>
          <w:rFonts w:asciiTheme="majorHAnsi" w:hAnsiTheme="majorHAnsi"/>
          <w:sz w:val="20"/>
          <w:szCs w:val="20"/>
        </w:rPr>
        <w:t xml:space="preserve">rmy of </w:t>
      </w:r>
      <w:r w:rsidR="00BC06F9">
        <w:rPr>
          <w:rFonts w:asciiTheme="majorHAnsi" w:hAnsiTheme="majorHAnsi"/>
          <w:sz w:val="20"/>
          <w:szCs w:val="20"/>
        </w:rPr>
        <w:t xml:space="preserve">the alleged </w:t>
      </w:r>
      <w:r w:rsidR="00656C72">
        <w:rPr>
          <w:rFonts w:asciiTheme="majorHAnsi" w:hAnsiTheme="majorHAnsi"/>
          <w:sz w:val="20"/>
          <w:szCs w:val="20"/>
        </w:rPr>
        <w:t>facts</w:t>
      </w:r>
      <w:r w:rsidR="00501C2E">
        <w:rPr>
          <w:rFonts w:asciiTheme="majorHAnsi" w:hAnsiTheme="majorHAnsi"/>
          <w:sz w:val="20"/>
          <w:szCs w:val="20"/>
        </w:rPr>
        <w:t>, which it</w:t>
      </w:r>
      <w:r w:rsidR="00656C72">
        <w:rPr>
          <w:rFonts w:asciiTheme="majorHAnsi" w:hAnsiTheme="majorHAnsi"/>
          <w:sz w:val="20"/>
          <w:szCs w:val="20"/>
        </w:rPr>
        <w:t xml:space="preserve"> </w:t>
      </w:r>
      <w:r w:rsidR="00662829">
        <w:rPr>
          <w:rFonts w:asciiTheme="majorHAnsi" w:hAnsiTheme="majorHAnsi"/>
          <w:sz w:val="20"/>
          <w:szCs w:val="20"/>
        </w:rPr>
        <w:t>describ</w:t>
      </w:r>
      <w:r w:rsidR="00501C2E">
        <w:rPr>
          <w:rFonts w:asciiTheme="majorHAnsi" w:hAnsiTheme="majorHAnsi"/>
          <w:sz w:val="20"/>
          <w:szCs w:val="20"/>
        </w:rPr>
        <w:t xml:space="preserve">ed as </w:t>
      </w:r>
      <w:r w:rsidR="00656C72">
        <w:rPr>
          <w:rFonts w:asciiTheme="majorHAnsi" w:hAnsiTheme="majorHAnsi"/>
          <w:sz w:val="20"/>
          <w:szCs w:val="20"/>
        </w:rPr>
        <w:t>result</w:t>
      </w:r>
      <w:r w:rsidR="00501C2E">
        <w:rPr>
          <w:rFonts w:asciiTheme="majorHAnsi" w:hAnsiTheme="majorHAnsi"/>
          <w:sz w:val="20"/>
          <w:szCs w:val="20"/>
        </w:rPr>
        <w:t xml:space="preserve">ing from </w:t>
      </w:r>
      <w:r w:rsidR="00656C72">
        <w:rPr>
          <w:rFonts w:asciiTheme="majorHAnsi" w:hAnsiTheme="majorHAnsi"/>
          <w:sz w:val="20"/>
          <w:szCs w:val="20"/>
        </w:rPr>
        <w:t xml:space="preserve">a confrontation with members of guerrilla forces, with the Army even showing the bodies of </w:t>
      </w:r>
      <w:r w:rsidR="00435466">
        <w:rPr>
          <w:rFonts w:asciiTheme="majorHAnsi" w:hAnsiTheme="majorHAnsi"/>
          <w:sz w:val="20"/>
          <w:szCs w:val="20"/>
        </w:rPr>
        <w:t>Hortensia</w:t>
      </w:r>
      <w:r w:rsidR="0002721C" w:rsidRPr="00844736">
        <w:rPr>
          <w:rFonts w:asciiTheme="majorHAnsi" w:hAnsiTheme="majorHAnsi"/>
          <w:sz w:val="20"/>
          <w:szCs w:val="20"/>
        </w:rPr>
        <w:t xml:space="preserve"> Neyid Tunja Cuchumbe </w:t>
      </w:r>
      <w:r w:rsidR="00656C72">
        <w:rPr>
          <w:rFonts w:asciiTheme="majorHAnsi" w:hAnsiTheme="majorHAnsi"/>
          <w:sz w:val="20"/>
          <w:szCs w:val="20"/>
        </w:rPr>
        <w:t xml:space="preserve">and </w:t>
      </w:r>
      <w:r w:rsidR="0002721C" w:rsidRPr="00844736">
        <w:rPr>
          <w:rFonts w:asciiTheme="majorHAnsi" w:hAnsiTheme="majorHAnsi"/>
          <w:sz w:val="20"/>
          <w:szCs w:val="20"/>
        </w:rPr>
        <w:t xml:space="preserve">Manuel Antonio Tao Pillimué </w:t>
      </w:r>
      <w:r w:rsidR="00662829">
        <w:rPr>
          <w:rFonts w:asciiTheme="majorHAnsi" w:hAnsiTheme="majorHAnsi"/>
          <w:sz w:val="20"/>
          <w:szCs w:val="20"/>
        </w:rPr>
        <w:t xml:space="preserve">to the media </w:t>
      </w:r>
      <w:r w:rsidR="00656C72">
        <w:rPr>
          <w:rFonts w:asciiTheme="majorHAnsi" w:hAnsiTheme="majorHAnsi"/>
          <w:sz w:val="20"/>
          <w:szCs w:val="20"/>
        </w:rPr>
        <w:t xml:space="preserve">as </w:t>
      </w:r>
      <w:r w:rsidR="00662829">
        <w:rPr>
          <w:rFonts w:asciiTheme="majorHAnsi" w:hAnsiTheme="majorHAnsi"/>
          <w:sz w:val="20"/>
          <w:szCs w:val="20"/>
        </w:rPr>
        <w:t xml:space="preserve">insurgents killed in combat, </w:t>
      </w:r>
      <w:r w:rsidR="00656C72">
        <w:rPr>
          <w:rFonts w:asciiTheme="majorHAnsi" w:hAnsiTheme="majorHAnsi"/>
          <w:sz w:val="20"/>
          <w:szCs w:val="20"/>
        </w:rPr>
        <w:t xml:space="preserve">it could constitute a violation of the right </w:t>
      </w:r>
      <w:r w:rsidR="00662829">
        <w:rPr>
          <w:rFonts w:asciiTheme="majorHAnsi" w:hAnsiTheme="majorHAnsi"/>
          <w:sz w:val="20"/>
          <w:szCs w:val="20"/>
        </w:rPr>
        <w:t xml:space="preserve">of the alleged victims </w:t>
      </w:r>
      <w:r w:rsidR="00656C72">
        <w:rPr>
          <w:rFonts w:asciiTheme="majorHAnsi" w:hAnsiTheme="majorHAnsi"/>
          <w:sz w:val="20"/>
          <w:szCs w:val="20"/>
        </w:rPr>
        <w:t xml:space="preserve">to the protection of honor and dignity. In addition, mindful of the alleged failure to investigate, punish, and </w:t>
      </w:r>
      <w:r w:rsidR="00AD5D19">
        <w:rPr>
          <w:rFonts w:asciiTheme="majorHAnsi" w:hAnsiTheme="majorHAnsi"/>
          <w:sz w:val="20"/>
          <w:szCs w:val="20"/>
        </w:rPr>
        <w:t xml:space="preserve">provide </w:t>
      </w:r>
      <w:r w:rsidR="009E682C">
        <w:rPr>
          <w:rFonts w:asciiTheme="majorHAnsi" w:hAnsiTheme="majorHAnsi"/>
          <w:sz w:val="20"/>
          <w:szCs w:val="20"/>
        </w:rPr>
        <w:t>comprehensive</w:t>
      </w:r>
      <w:r w:rsidR="00AD5D19">
        <w:rPr>
          <w:rFonts w:asciiTheme="majorHAnsi" w:hAnsiTheme="majorHAnsi"/>
          <w:sz w:val="20"/>
          <w:szCs w:val="20"/>
        </w:rPr>
        <w:t xml:space="preserve"> </w:t>
      </w:r>
      <w:r w:rsidR="00656C72">
        <w:rPr>
          <w:rFonts w:asciiTheme="majorHAnsi" w:hAnsiTheme="majorHAnsi"/>
          <w:sz w:val="20"/>
          <w:szCs w:val="20"/>
        </w:rPr>
        <w:t xml:space="preserve">reparation in light of the facts alleged, the facts could tend to establish violations of </w:t>
      </w:r>
      <w:r w:rsidR="00501C2E">
        <w:rPr>
          <w:rFonts w:asciiTheme="majorHAnsi" w:hAnsiTheme="majorHAnsi"/>
          <w:sz w:val="20"/>
          <w:szCs w:val="20"/>
        </w:rPr>
        <w:t xml:space="preserve">the rights to </w:t>
      </w:r>
      <w:r w:rsidR="00656C72">
        <w:rPr>
          <w:rFonts w:asciiTheme="majorHAnsi" w:hAnsiTheme="majorHAnsi"/>
          <w:sz w:val="20"/>
          <w:szCs w:val="20"/>
        </w:rPr>
        <w:t xml:space="preserve">judicial guarantees and judicial protection. </w:t>
      </w:r>
      <w:r>
        <w:rPr>
          <w:rFonts w:asciiTheme="majorHAnsi" w:hAnsiTheme="majorHAnsi"/>
          <w:sz w:val="20"/>
          <w:szCs w:val="20"/>
        </w:rPr>
        <w:t xml:space="preserve"> </w:t>
      </w:r>
    </w:p>
    <w:p w:rsidR="0002721C" w:rsidRPr="00844736" w:rsidRDefault="0002721C" w:rsidP="001F458D">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p>
    <w:p w:rsidR="00547D7F" w:rsidRPr="00844736" w:rsidRDefault="007C777C" w:rsidP="006801A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r>
        <w:rPr>
          <w:rFonts w:asciiTheme="majorHAnsi" w:eastAsia="SimSun" w:hAnsiTheme="majorHAnsi"/>
          <w:sz w:val="20"/>
          <w:szCs w:val="20"/>
        </w:rPr>
        <w:t xml:space="preserve">In view of the </w:t>
      </w:r>
      <w:r w:rsidR="006801A0">
        <w:rPr>
          <w:rFonts w:asciiTheme="majorHAnsi" w:eastAsia="SimSun" w:hAnsiTheme="majorHAnsi"/>
          <w:sz w:val="20"/>
          <w:szCs w:val="20"/>
        </w:rPr>
        <w:t xml:space="preserve">elements of fact and law presented by the parties and the nature of the matter put before it, the Commission considers that, if proven, the facts alleged tend to establish possible violations of the rights protected in Article </w:t>
      </w:r>
      <w:r w:rsidR="00373EF0" w:rsidRPr="00844736">
        <w:rPr>
          <w:rFonts w:asciiTheme="majorHAnsi" w:eastAsia="SimSun" w:hAnsiTheme="majorHAnsi"/>
          <w:sz w:val="20"/>
          <w:szCs w:val="20"/>
        </w:rPr>
        <w:t>4 (</w:t>
      </w:r>
      <w:r w:rsidR="006801A0">
        <w:rPr>
          <w:rFonts w:asciiTheme="majorHAnsi" w:eastAsia="SimSun" w:hAnsiTheme="majorHAnsi"/>
          <w:sz w:val="20"/>
          <w:szCs w:val="20"/>
        </w:rPr>
        <w:t>right to life</w:t>
      </w:r>
      <w:r w:rsidR="00373EF0" w:rsidRPr="00844736">
        <w:rPr>
          <w:rFonts w:asciiTheme="majorHAnsi" w:eastAsia="SimSun" w:hAnsiTheme="majorHAnsi"/>
          <w:sz w:val="20"/>
          <w:szCs w:val="20"/>
        </w:rPr>
        <w:t xml:space="preserve">), </w:t>
      </w:r>
      <w:r w:rsidR="006801A0">
        <w:rPr>
          <w:rFonts w:asciiTheme="majorHAnsi" w:eastAsia="SimSun" w:hAnsiTheme="majorHAnsi"/>
          <w:sz w:val="20"/>
          <w:szCs w:val="20"/>
        </w:rPr>
        <w:t xml:space="preserve">Article </w:t>
      </w:r>
      <w:r w:rsidR="00373EF0" w:rsidRPr="00844736">
        <w:rPr>
          <w:rFonts w:asciiTheme="majorHAnsi" w:eastAsia="SimSun" w:hAnsiTheme="majorHAnsi"/>
          <w:sz w:val="20"/>
          <w:szCs w:val="20"/>
        </w:rPr>
        <w:t>5 (</w:t>
      </w:r>
      <w:r w:rsidR="006801A0">
        <w:rPr>
          <w:rFonts w:asciiTheme="majorHAnsi" w:eastAsia="SimSun" w:hAnsiTheme="majorHAnsi"/>
          <w:sz w:val="20"/>
          <w:szCs w:val="20"/>
        </w:rPr>
        <w:t>right to humane treatment</w:t>
      </w:r>
      <w:r w:rsidR="00373EF0" w:rsidRPr="00844736">
        <w:rPr>
          <w:rFonts w:asciiTheme="majorHAnsi" w:eastAsia="SimSun" w:hAnsiTheme="majorHAnsi"/>
          <w:sz w:val="20"/>
          <w:szCs w:val="20"/>
        </w:rPr>
        <w:t xml:space="preserve">), </w:t>
      </w:r>
      <w:r w:rsidR="006801A0">
        <w:rPr>
          <w:rFonts w:asciiTheme="majorHAnsi" w:eastAsia="SimSun" w:hAnsiTheme="majorHAnsi"/>
          <w:sz w:val="20"/>
          <w:szCs w:val="20"/>
        </w:rPr>
        <w:t xml:space="preserve">Article </w:t>
      </w:r>
      <w:r w:rsidR="00373EF0" w:rsidRPr="00844736">
        <w:rPr>
          <w:rFonts w:asciiTheme="majorHAnsi" w:eastAsia="SimSun" w:hAnsiTheme="majorHAnsi"/>
          <w:sz w:val="20"/>
          <w:szCs w:val="20"/>
        </w:rPr>
        <w:t>7 (</w:t>
      </w:r>
      <w:r w:rsidR="006801A0">
        <w:rPr>
          <w:rFonts w:asciiTheme="majorHAnsi" w:eastAsia="SimSun" w:hAnsiTheme="majorHAnsi"/>
          <w:sz w:val="20"/>
          <w:szCs w:val="20"/>
        </w:rPr>
        <w:t>right to personal liberty</w:t>
      </w:r>
      <w:r w:rsidR="00373EF0" w:rsidRPr="00844736">
        <w:rPr>
          <w:rFonts w:asciiTheme="majorHAnsi" w:eastAsia="SimSun" w:hAnsiTheme="majorHAnsi"/>
          <w:sz w:val="20"/>
          <w:szCs w:val="20"/>
        </w:rPr>
        <w:t xml:space="preserve">), </w:t>
      </w:r>
      <w:r w:rsidR="006801A0">
        <w:rPr>
          <w:rFonts w:asciiTheme="majorHAnsi" w:eastAsia="SimSun" w:hAnsiTheme="majorHAnsi"/>
          <w:sz w:val="20"/>
          <w:szCs w:val="20"/>
        </w:rPr>
        <w:t xml:space="preserve">Article </w:t>
      </w:r>
      <w:r w:rsidR="00373EF0" w:rsidRPr="00844736">
        <w:rPr>
          <w:rFonts w:asciiTheme="majorHAnsi" w:eastAsia="SimSun" w:hAnsiTheme="majorHAnsi"/>
          <w:sz w:val="20"/>
          <w:szCs w:val="20"/>
        </w:rPr>
        <w:t>8 (</w:t>
      </w:r>
      <w:r w:rsidR="006801A0">
        <w:rPr>
          <w:rFonts w:asciiTheme="majorHAnsi" w:eastAsia="SimSun" w:hAnsiTheme="majorHAnsi"/>
          <w:sz w:val="20"/>
          <w:szCs w:val="20"/>
        </w:rPr>
        <w:t>right to a fair trial)</w:t>
      </w:r>
      <w:r w:rsidR="00373EF0" w:rsidRPr="00844736">
        <w:rPr>
          <w:rFonts w:asciiTheme="majorHAnsi" w:eastAsia="SimSun" w:hAnsiTheme="majorHAnsi"/>
          <w:sz w:val="20"/>
          <w:szCs w:val="20"/>
        </w:rPr>
        <w:t xml:space="preserve">, </w:t>
      </w:r>
      <w:r w:rsidR="006801A0">
        <w:rPr>
          <w:rFonts w:asciiTheme="majorHAnsi" w:eastAsia="SimSun" w:hAnsiTheme="majorHAnsi"/>
          <w:sz w:val="20"/>
          <w:szCs w:val="20"/>
        </w:rPr>
        <w:t xml:space="preserve">Article </w:t>
      </w:r>
      <w:r w:rsidR="00373EF0" w:rsidRPr="00844736">
        <w:rPr>
          <w:rFonts w:asciiTheme="majorHAnsi" w:eastAsia="SimSun" w:hAnsiTheme="majorHAnsi"/>
          <w:sz w:val="20"/>
          <w:szCs w:val="20"/>
        </w:rPr>
        <w:t>11 (</w:t>
      </w:r>
      <w:r w:rsidR="006801A0">
        <w:rPr>
          <w:rFonts w:asciiTheme="majorHAnsi" w:eastAsia="SimSun" w:hAnsiTheme="majorHAnsi"/>
          <w:sz w:val="20"/>
          <w:szCs w:val="20"/>
        </w:rPr>
        <w:t xml:space="preserve">right to </w:t>
      </w:r>
      <w:r w:rsidR="005A460A">
        <w:rPr>
          <w:rFonts w:asciiTheme="majorHAnsi" w:eastAsia="SimSun" w:hAnsiTheme="majorHAnsi"/>
          <w:sz w:val="20"/>
          <w:szCs w:val="20"/>
        </w:rPr>
        <w:t>privacy</w:t>
      </w:r>
      <w:r w:rsidR="00373EF0" w:rsidRPr="00844736">
        <w:rPr>
          <w:rFonts w:asciiTheme="majorHAnsi" w:eastAsia="SimSun" w:hAnsiTheme="majorHAnsi"/>
          <w:sz w:val="20"/>
          <w:szCs w:val="20"/>
        </w:rPr>
        <w:t xml:space="preserve">), </w:t>
      </w:r>
      <w:r w:rsidR="006801A0">
        <w:rPr>
          <w:rFonts w:asciiTheme="majorHAnsi" w:eastAsia="SimSun" w:hAnsiTheme="majorHAnsi"/>
          <w:sz w:val="20"/>
          <w:szCs w:val="20"/>
        </w:rPr>
        <w:t xml:space="preserve">Article </w:t>
      </w:r>
      <w:r w:rsidR="00373EF0" w:rsidRPr="00844736">
        <w:rPr>
          <w:rFonts w:asciiTheme="majorHAnsi" w:eastAsia="SimSun" w:hAnsiTheme="majorHAnsi"/>
          <w:sz w:val="20"/>
          <w:szCs w:val="20"/>
        </w:rPr>
        <w:t>19 (</w:t>
      </w:r>
      <w:r w:rsidR="006801A0">
        <w:rPr>
          <w:rFonts w:asciiTheme="majorHAnsi" w:eastAsia="SimSun" w:hAnsiTheme="majorHAnsi"/>
          <w:sz w:val="20"/>
          <w:szCs w:val="20"/>
        </w:rPr>
        <w:t xml:space="preserve">rights of the child), and Article </w:t>
      </w:r>
      <w:r w:rsidR="00373EF0" w:rsidRPr="00844736">
        <w:rPr>
          <w:rFonts w:asciiTheme="majorHAnsi" w:eastAsia="SimSun" w:hAnsiTheme="majorHAnsi"/>
          <w:sz w:val="20"/>
          <w:szCs w:val="20"/>
        </w:rPr>
        <w:t>25 (</w:t>
      </w:r>
      <w:r w:rsidR="006801A0">
        <w:rPr>
          <w:rFonts w:asciiTheme="majorHAnsi" w:eastAsia="SimSun" w:hAnsiTheme="majorHAnsi"/>
          <w:sz w:val="20"/>
          <w:szCs w:val="20"/>
        </w:rPr>
        <w:t xml:space="preserve">right to </w:t>
      </w:r>
      <w:r w:rsidR="00373EF0" w:rsidRPr="00844736">
        <w:rPr>
          <w:rFonts w:asciiTheme="majorHAnsi" w:eastAsia="SimSun" w:hAnsiTheme="majorHAnsi"/>
          <w:sz w:val="20"/>
          <w:szCs w:val="20"/>
        </w:rPr>
        <w:t>judicial</w:t>
      </w:r>
      <w:r w:rsidR="006801A0">
        <w:rPr>
          <w:rFonts w:asciiTheme="majorHAnsi" w:eastAsia="SimSun" w:hAnsiTheme="majorHAnsi"/>
          <w:sz w:val="20"/>
          <w:szCs w:val="20"/>
        </w:rPr>
        <w:t xml:space="preserve"> protection</w:t>
      </w:r>
      <w:r w:rsidR="00373EF0" w:rsidRPr="00844736">
        <w:rPr>
          <w:rFonts w:asciiTheme="majorHAnsi" w:eastAsia="SimSun" w:hAnsiTheme="majorHAnsi"/>
          <w:sz w:val="20"/>
          <w:szCs w:val="20"/>
        </w:rPr>
        <w:t xml:space="preserve">) </w:t>
      </w:r>
      <w:r w:rsidR="004E5F6F">
        <w:rPr>
          <w:rFonts w:asciiTheme="majorHAnsi" w:eastAsia="SimSun" w:hAnsiTheme="majorHAnsi"/>
          <w:sz w:val="20"/>
          <w:szCs w:val="20"/>
        </w:rPr>
        <w:t>of the American Conventio</w:t>
      </w:r>
      <w:r w:rsidR="006801A0">
        <w:rPr>
          <w:rFonts w:asciiTheme="majorHAnsi" w:eastAsia="SimSun" w:hAnsiTheme="majorHAnsi"/>
          <w:sz w:val="20"/>
          <w:szCs w:val="20"/>
        </w:rPr>
        <w:t xml:space="preserve">n on Human Rights, in relation to Article 1(1) </w:t>
      </w:r>
      <w:r w:rsidR="00373EF0" w:rsidRPr="00844736">
        <w:rPr>
          <w:rFonts w:asciiTheme="majorHAnsi" w:eastAsia="SimSun" w:hAnsiTheme="majorHAnsi"/>
          <w:sz w:val="20"/>
          <w:szCs w:val="20"/>
        </w:rPr>
        <w:t>(</w:t>
      </w:r>
      <w:r w:rsidR="006801A0">
        <w:rPr>
          <w:rFonts w:asciiTheme="majorHAnsi" w:eastAsia="SimSun" w:hAnsiTheme="majorHAnsi"/>
          <w:sz w:val="20"/>
          <w:szCs w:val="20"/>
        </w:rPr>
        <w:t>obligation to respect the rights</w:t>
      </w:r>
      <w:r w:rsidR="00373EF0" w:rsidRPr="00844736">
        <w:rPr>
          <w:rFonts w:asciiTheme="majorHAnsi" w:eastAsia="SimSun" w:hAnsiTheme="majorHAnsi"/>
          <w:sz w:val="20"/>
          <w:szCs w:val="20"/>
        </w:rPr>
        <w:t xml:space="preserve">) </w:t>
      </w:r>
      <w:r w:rsidR="006801A0">
        <w:rPr>
          <w:rFonts w:asciiTheme="majorHAnsi" w:eastAsia="SimSun" w:hAnsiTheme="majorHAnsi"/>
          <w:sz w:val="20"/>
          <w:szCs w:val="20"/>
        </w:rPr>
        <w:t>and Article 2 (domestic l</w:t>
      </w:r>
      <w:r w:rsidR="005A460A">
        <w:rPr>
          <w:rFonts w:asciiTheme="majorHAnsi" w:eastAsia="SimSun" w:hAnsiTheme="majorHAnsi"/>
          <w:sz w:val="20"/>
          <w:szCs w:val="20"/>
        </w:rPr>
        <w:t>egal effects)</w:t>
      </w:r>
      <w:r w:rsidR="00373EF0" w:rsidRPr="00844736">
        <w:rPr>
          <w:rFonts w:asciiTheme="majorHAnsi" w:eastAsia="SimSun" w:hAnsiTheme="majorHAnsi"/>
          <w:sz w:val="20"/>
          <w:szCs w:val="20"/>
        </w:rPr>
        <w:t xml:space="preserve"> </w:t>
      </w:r>
      <w:r w:rsidR="006801A0">
        <w:rPr>
          <w:rFonts w:asciiTheme="majorHAnsi" w:eastAsia="SimSun" w:hAnsiTheme="majorHAnsi"/>
          <w:sz w:val="20"/>
          <w:szCs w:val="20"/>
        </w:rPr>
        <w:t>of the same instrument</w:t>
      </w:r>
      <w:r w:rsidR="007E1669" w:rsidRPr="00844736">
        <w:rPr>
          <w:rFonts w:asciiTheme="majorHAnsi" w:eastAsia="SimSun" w:hAnsiTheme="majorHAnsi"/>
          <w:sz w:val="20"/>
          <w:szCs w:val="20"/>
        </w:rPr>
        <w:t>.</w:t>
      </w:r>
      <w:r w:rsidR="009051ED" w:rsidRPr="00844736">
        <w:rPr>
          <w:rFonts w:asciiTheme="majorHAnsi" w:eastAsia="SimSun" w:hAnsiTheme="majorHAnsi"/>
          <w:sz w:val="20"/>
          <w:szCs w:val="20"/>
        </w:rPr>
        <w:t xml:space="preserve"> </w:t>
      </w:r>
    </w:p>
    <w:p w:rsidR="00547D7F" w:rsidRPr="00844736" w:rsidRDefault="00547D7F"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color w:val="FF0000"/>
          <w:sz w:val="20"/>
          <w:szCs w:val="20"/>
        </w:rPr>
      </w:pPr>
    </w:p>
    <w:p w:rsidR="0063685A" w:rsidRPr="00844736" w:rsidRDefault="006801A0" w:rsidP="009F0583">
      <w:pPr>
        <w:spacing w:after="240"/>
        <w:ind w:firstLine="720"/>
        <w:jc w:val="both"/>
        <w:rPr>
          <w:rFonts w:asciiTheme="majorHAnsi" w:hAnsiTheme="majorHAnsi"/>
          <w:b/>
          <w:bCs/>
          <w:sz w:val="20"/>
          <w:szCs w:val="20"/>
        </w:rPr>
      </w:pPr>
      <w:r>
        <w:rPr>
          <w:rFonts w:asciiTheme="majorHAnsi" w:hAnsiTheme="majorHAnsi"/>
          <w:b/>
          <w:bCs/>
          <w:sz w:val="20"/>
          <w:szCs w:val="20"/>
        </w:rPr>
        <w:t>V.</w:t>
      </w:r>
      <w:r>
        <w:rPr>
          <w:rFonts w:asciiTheme="majorHAnsi" w:hAnsiTheme="majorHAnsi"/>
          <w:b/>
          <w:bCs/>
          <w:sz w:val="20"/>
          <w:szCs w:val="20"/>
        </w:rPr>
        <w:tab/>
        <w:t>CONCLUSION</w:t>
      </w:r>
      <w:r w:rsidR="0063685A" w:rsidRPr="00844736">
        <w:rPr>
          <w:rFonts w:asciiTheme="majorHAnsi" w:hAnsiTheme="majorHAnsi"/>
          <w:b/>
          <w:bCs/>
          <w:sz w:val="20"/>
          <w:szCs w:val="20"/>
        </w:rPr>
        <w:t>S</w:t>
      </w:r>
    </w:p>
    <w:p w:rsidR="003664B3" w:rsidRPr="00844736" w:rsidRDefault="006801A0" w:rsidP="006801A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Based on the considerations of fact and law </w:t>
      </w:r>
      <w:r w:rsidR="003E600C">
        <w:rPr>
          <w:rFonts w:asciiTheme="majorHAnsi" w:hAnsiTheme="majorHAnsi"/>
          <w:sz w:val="20"/>
          <w:szCs w:val="20"/>
        </w:rPr>
        <w:t>presented</w:t>
      </w:r>
      <w:r>
        <w:rPr>
          <w:rFonts w:asciiTheme="majorHAnsi" w:hAnsiTheme="majorHAnsi"/>
          <w:sz w:val="20"/>
          <w:szCs w:val="20"/>
        </w:rPr>
        <w:t xml:space="preserve">, the Inter-American Commission concludes that this petition </w:t>
      </w:r>
      <w:r w:rsidR="003E600C">
        <w:rPr>
          <w:rFonts w:asciiTheme="majorHAnsi" w:hAnsiTheme="majorHAnsi"/>
          <w:sz w:val="20"/>
          <w:szCs w:val="20"/>
        </w:rPr>
        <w:t>meets</w:t>
      </w:r>
      <w:r>
        <w:rPr>
          <w:rFonts w:asciiTheme="majorHAnsi" w:hAnsiTheme="majorHAnsi"/>
          <w:sz w:val="20"/>
          <w:szCs w:val="20"/>
        </w:rPr>
        <w:t xml:space="preserve"> the admissibility requirements set out at Articles </w:t>
      </w:r>
      <w:r w:rsidR="003664B3" w:rsidRPr="00844736">
        <w:rPr>
          <w:rFonts w:asciiTheme="majorHAnsi" w:hAnsiTheme="majorHAnsi"/>
          <w:sz w:val="20"/>
          <w:szCs w:val="20"/>
        </w:rPr>
        <w:t xml:space="preserve">46 </w:t>
      </w:r>
      <w:r>
        <w:rPr>
          <w:rFonts w:asciiTheme="majorHAnsi" w:hAnsiTheme="majorHAnsi"/>
          <w:sz w:val="20"/>
          <w:szCs w:val="20"/>
        </w:rPr>
        <w:t xml:space="preserve">and </w:t>
      </w:r>
      <w:r w:rsidR="003664B3" w:rsidRPr="00844736">
        <w:rPr>
          <w:rFonts w:asciiTheme="majorHAnsi" w:hAnsiTheme="majorHAnsi"/>
          <w:sz w:val="20"/>
          <w:szCs w:val="20"/>
        </w:rPr>
        <w:t xml:space="preserve">47 </w:t>
      </w:r>
      <w:r>
        <w:rPr>
          <w:rFonts w:asciiTheme="majorHAnsi" w:hAnsiTheme="majorHAnsi"/>
          <w:sz w:val="20"/>
          <w:szCs w:val="20"/>
        </w:rPr>
        <w:t>of the American Convention, and, without prejudging on the merits</w:t>
      </w:r>
      <w:r w:rsidR="003664B3" w:rsidRPr="00844736">
        <w:rPr>
          <w:rFonts w:asciiTheme="majorHAnsi" w:hAnsiTheme="majorHAnsi"/>
          <w:sz w:val="20"/>
          <w:szCs w:val="20"/>
        </w:rPr>
        <w:t>,</w:t>
      </w:r>
    </w:p>
    <w:p w:rsidR="00547D7F" w:rsidRPr="00844736" w:rsidRDefault="00547D7F" w:rsidP="00913522">
      <w:pPr>
        <w:jc w:val="center"/>
        <w:rPr>
          <w:rFonts w:asciiTheme="majorHAnsi" w:hAnsiTheme="majorHAnsi"/>
          <w:b/>
          <w:bCs/>
          <w:sz w:val="20"/>
          <w:szCs w:val="20"/>
        </w:rPr>
      </w:pPr>
    </w:p>
    <w:p w:rsidR="0063685A" w:rsidRPr="00844736" w:rsidRDefault="006801A0" w:rsidP="006801A0">
      <w:pPr>
        <w:spacing w:after="240"/>
        <w:jc w:val="center"/>
        <w:rPr>
          <w:rFonts w:asciiTheme="majorHAnsi" w:hAnsiTheme="majorHAnsi"/>
          <w:b/>
          <w:bCs/>
          <w:sz w:val="20"/>
          <w:szCs w:val="20"/>
        </w:rPr>
      </w:pPr>
      <w:r>
        <w:rPr>
          <w:rFonts w:asciiTheme="majorHAnsi" w:hAnsiTheme="majorHAnsi"/>
          <w:b/>
          <w:bCs/>
          <w:sz w:val="20"/>
          <w:szCs w:val="20"/>
        </w:rPr>
        <w:t>THE INTER-AMERICAN COMMISSION ON HUMAN RIGHTS</w:t>
      </w:r>
      <w:r w:rsidR="00A165EA">
        <w:rPr>
          <w:rFonts w:asciiTheme="majorHAnsi" w:hAnsiTheme="majorHAnsi"/>
          <w:b/>
          <w:bCs/>
          <w:sz w:val="20"/>
          <w:szCs w:val="20"/>
        </w:rPr>
        <w:t>,</w:t>
      </w:r>
    </w:p>
    <w:p w:rsidR="0063685A" w:rsidRPr="00844736" w:rsidRDefault="0063685A" w:rsidP="009F0583">
      <w:pPr>
        <w:spacing w:after="240"/>
        <w:jc w:val="both"/>
        <w:rPr>
          <w:rFonts w:asciiTheme="majorHAnsi" w:hAnsiTheme="majorHAnsi"/>
          <w:b/>
          <w:bCs/>
          <w:sz w:val="20"/>
          <w:szCs w:val="20"/>
        </w:rPr>
      </w:pPr>
      <w:r w:rsidRPr="00844736">
        <w:rPr>
          <w:rFonts w:asciiTheme="majorHAnsi" w:hAnsiTheme="majorHAnsi"/>
          <w:b/>
          <w:bCs/>
          <w:sz w:val="20"/>
          <w:szCs w:val="20"/>
        </w:rPr>
        <w:t>DECIDE</w:t>
      </w:r>
      <w:r w:rsidR="006801A0">
        <w:rPr>
          <w:rFonts w:asciiTheme="majorHAnsi" w:hAnsiTheme="majorHAnsi"/>
          <w:b/>
          <w:bCs/>
          <w:sz w:val="20"/>
          <w:szCs w:val="20"/>
        </w:rPr>
        <w:t>S</w:t>
      </w:r>
      <w:r w:rsidRPr="00844736">
        <w:rPr>
          <w:rFonts w:asciiTheme="majorHAnsi" w:hAnsiTheme="majorHAnsi"/>
          <w:b/>
          <w:bCs/>
          <w:sz w:val="20"/>
          <w:szCs w:val="20"/>
        </w:rPr>
        <w:t>:</w:t>
      </w:r>
    </w:p>
    <w:p w:rsidR="00547D7F" w:rsidRPr="00844736" w:rsidRDefault="006801A0" w:rsidP="001411BC">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To find this petition admissible in relation to Articles </w:t>
      </w:r>
      <w:r w:rsidR="007544B3" w:rsidRPr="00844736">
        <w:rPr>
          <w:rFonts w:asciiTheme="majorHAnsi" w:hAnsiTheme="majorHAnsi"/>
          <w:sz w:val="20"/>
          <w:szCs w:val="20"/>
        </w:rPr>
        <w:t>4, 5, 7, 8, 11</w:t>
      </w:r>
      <w:r w:rsidR="00940459" w:rsidRPr="00844736">
        <w:rPr>
          <w:rFonts w:asciiTheme="majorHAnsi" w:hAnsiTheme="majorHAnsi"/>
          <w:sz w:val="20"/>
          <w:szCs w:val="20"/>
        </w:rPr>
        <w:t>, 19</w:t>
      </w:r>
      <w:r>
        <w:rPr>
          <w:rFonts w:asciiTheme="majorHAnsi" w:hAnsiTheme="majorHAnsi"/>
          <w:sz w:val="20"/>
          <w:szCs w:val="20"/>
        </w:rPr>
        <w:t xml:space="preserve">, and </w:t>
      </w:r>
      <w:r w:rsidR="007544B3" w:rsidRPr="00844736">
        <w:rPr>
          <w:rFonts w:asciiTheme="majorHAnsi" w:hAnsiTheme="majorHAnsi"/>
          <w:sz w:val="20"/>
          <w:szCs w:val="20"/>
        </w:rPr>
        <w:t>25</w:t>
      </w:r>
      <w:r w:rsidR="0063685A" w:rsidRPr="00844736">
        <w:rPr>
          <w:rFonts w:asciiTheme="majorHAnsi" w:hAnsiTheme="majorHAnsi"/>
          <w:sz w:val="20"/>
          <w:szCs w:val="20"/>
        </w:rPr>
        <w:t xml:space="preserve"> </w:t>
      </w:r>
      <w:r>
        <w:rPr>
          <w:rFonts w:asciiTheme="majorHAnsi" w:hAnsiTheme="majorHAnsi"/>
          <w:sz w:val="20"/>
          <w:szCs w:val="20"/>
        </w:rPr>
        <w:t xml:space="preserve">of the American Convention in connection with the obligations established at Articles </w:t>
      </w:r>
      <w:r w:rsidR="003664B3" w:rsidRPr="00844736">
        <w:rPr>
          <w:rFonts w:asciiTheme="majorHAnsi" w:hAnsiTheme="majorHAnsi"/>
          <w:sz w:val="20"/>
          <w:szCs w:val="20"/>
        </w:rPr>
        <w:t>1</w:t>
      </w:r>
      <w:r>
        <w:rPr>
          <w:rFonts w:asciiTheme="majorHAnsi" w:hAnsiTheme="majorHAnsi"/>
          <w:sz w:val="20"/>
          <w:szCs w:val="20"/>
        </w:rPr>
        <w:t>(</w:t>
      </w:r>
      <w:r w:rsidR="003664B3" w:rsidRPr="00844736">
        <w:rPr>
          <w:rFonts w:asciiTheme="majorHAnsi" w:hAnsiTheme="majorHAnsi"/>
          <w:sz w:val="20"/>
          <w:szCs w:val="20"/>
        </w:rPr>
        <w:t>1</w:t>
      </w:r>
      <w:r>
        <w:rPr>
          <w:rFonts w:asciiTheme="majorHAnsi" w:hAnsiTheme="majorHAnsi"/>
          <w:sz w:val="20"/>
          <w:szCs w:val="20"/>
        </w:rPr>
        <w:t xml:space="preserve">) and </w:t>
      </w:r>
      <w:r w:rsidR="003664B3" w:rsidRPr="00844736">
        <w:rPr>
          <w:rFonts w:asciiTheme="majorHAnsi" w:hAnsiTheme="majorHAnsi"/>
          <w:sz w:val="20"/>
          <w:szCs w:val="20"/>
        </w:rPr>
        <w:t xml:space="preserve">2 </w:t>
      </w:r>
      <w:r>
        <w:rPr>
          <w:rFonts w:asciiTheme="majorHAnsi" w:hAnsiTheme="majorHAnsi"/>
          <w:sz w:val="20"/>
          <w:szCs w:val="20"/>
        </w:rPr>
        <w:t>of the same instrument</w:t>
      </w:r>
      <w:r w:rsidR="00D61AA1" w:rsidRPr="00844736">
        <w:rPr>
          <w:rFonts w:asciiTheme="majorHAnsi" w:hAnsiTheme="majorHAnsi"/>
          <w:sz w:val="20"/>
          <w:szCs w:val="20"/>
        </w:rPr>
        <w:t>;</w:t>
      </w:r>
    </w:p>
    <w:p w:rsidR="00547D7F" w:rsidRPr="00844736" w:rsidRDefault="00547D7F" w:rsidP="00547D7F">
      <w:pPr>
        <w:pStyle w:val="ListParagraph"/>
        <w:tabs>
          <w:tab w:val="num" w:pos="0"/>
        </w:tabs>
        <w:suppressAutoHyphens/>
        <w:ind w:left="0" w:firstLine="720"/>
        <w:jc w:val="both"/>
        <w:rPr>
          <w:rFonts w:asciiTheme="majorHAnsi" w:hAnsiTheme="majorHAnsi"/>
          <w:sz w:val="20"/>
          <w:szCs w:val="20"/>
        </w:rPr>
      </w:pPr>
    </w:p>
    <w:p w:rsidR="0063685A" w:rsidRPr="00844736" w:rsidRDefault="006801A0" w:rsidP="001411BC">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To notify the parties of this decision</w:t>
      </w:r>
      <w:r w:rsidR="0063685A" w:rsidRPr="00844736">
        <w:rPr>
          <w:rFonts w:asciiTheme="majorHAnsi" w:hAnsiTheme="majorHAnsi"/>
          <w:sz w:val="20"/>
          <w:szCs w:val="20"/>
        </w:rPr>
        <w:t>;</w:t>
      </w:r>
    </w:p>
    <w:p w:rsidR="00913522" w:rsidRPr="00844736" w:rsidRDefault="00913522" w:rsidP="00547D7F">
      <w:pPr>
        <w:tabs>
          <w:tab w:val="num" w:pos="0"/>
        </w:tabs>
        <w:ind w:firstLine="720"/>
        <w:jc w:val="both"/>
        <w:rPr>
          <w:rFonts w:asciiTheme="majorHAnsi" w:hAnsiTheme="majorHAnsi"/>
          <w:sz w:val="20"/>
          <w:szCs w:val="20"/>
        </w:rPr>
      </w:pPr>
    </w:p>
    <w:p w:rsidR="0063685A" w:rsidRPr="00844736" w:rsidRDefault="006801A0" w:rsidP="001411BC">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To continue with the analysis on the merits; </w:t>
      </w:r>
    </w:p>
    <w:p w:rsidR="00D61AA1" w:rsidRPr="00844736" w:rsidRDefault="00D61AA1" w:rsidP="00D61AA1">
      <w:pPr>
        <w:pStyle w:val="ListParagraph"/>
        <w:rPr>
          <w:rFonts w:asciiTheme="majorHAnsi" w:hAnsiTheme="majorHAnsi"/>
          <w:sz w:val="20"/>
          <w:szCs w:val="20"/>
        </w:rPr>
      </w:pPr>
    </w:p>
    <w:p w:rsidR="00D61AA1" w:rsidRPr="00844736" w:rsidRDefault="006801A0" w:rsidP="001411BC">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To join this matter to Case </w:t>
      </w:r>
      <w:r w:rsidR="00920BC4" w:rsidRPr="00844736">
        <w:rPr>
          <w:rFonts w:asciiTheme="majorHAnsi" w:hAnsiTheme="majorHAnsi"/>
          <w:sz w:val="20"/>
          <w:szCs w:val="20"/>
        </w:rPr>
        <w:t>12</w:t>
      </w:r>
      <w:r>
        <w:rPr>
          <w:rFonts w:asciiTheme="majorHAnsi" w:hAnsiTheme="majorHAnsi"/>
          <w:sz w:val="20"/>
          <w:szCs w:val="20"/>
        </w:rPr>
        <w:t>,</w:t>
      </w:r>
      <w:r w:rsidR="00920BC4" w:rsidRPr="00844736">
        <w:rPr>
          <w:rFonts w:asciiTheme="majorHAnsi" w:hAnsiTheme="majorHAnsi"/>
          <w:sz w:val="20"/>
          <w:szCs w:val="20"/>
        </w:rPr>
        <w:t>998</w:t>
      </w:r>
      <w:r>
        <w:rPr>
          <w:rFonts w:asciiTheme="majorHAnsi" w:hAnsiTheme="majorHAnsi"/>
          <w:sz w:val="20"/>
          <w:szCs w:val="20"/>
        </w:rPr>
        <w:t>, which at present is in the merits stage; and,</w:t>
      </w:r>
    </w:p>
    <w:p w:rsidR="00547D7F" w:rsidRPr="00844736" w:rsidRDefault="00547D7F" w:rsidP="00913522">
      <w:pPr>
        <w:suppressAutoHyphens/>
        <w:jc w:val="both"/>
        <w:rPr>
          <w:rFonts w:asciiTheme="majorHAnsi" w:hAnsiTheme="majorHAnsi"/>
          <w:sz w:val="20"/>
          <w:szCs w:val="20"/>
        </w:rPr>
      </w:pPr>
    </w:p>
    <w:p w:rsidR="0063685A" w:rsidRDefault="006801A0" w:rsidP="001411BC">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To publish this decision and include it in its Annual Report to the General Assembly of the Organization of American States. </w:t>
      </w:r>
    </w:p>
    <w:p w:rsidR="00A165EA" w:rsidRDefault="00A165EA" w:rsidP="00A165EA">
      <w:pPr>
        <w:pStyle w:val="ListParagraph"/>
        <w:rPr>
          <w:rFonts w:asciiTheme="majorHAnsi" w:hAnsiTheme="majorHAnsi"/>
          <w:sz w:val="20"/>
          <w:szCs w:val="20"/>
        </w:rPr>
      </w:pPr>
    </w:p>
    <w:p w:rsidR="00A165EA" w:rsidRPr="00365F2F" w:rsidRDefault="00A165EA" w:rsidP="00A165EA">
      <w:pPr>
        <w:suppressAutoHyphens/>
        <w:ind w:firstLine="720"/>
        <w:jc w:val="both"/>
        <w:rPr>
          <w:rFonts w:ascii="Cambria" w:hAnsi="Cambria"/>
          <w:spacing w:val="-2"/>
          <w:sz w:val="20"/>
        </w:rPr>
      </w:pPr>
      <w:r w:rsidRPr="00365F2F">
        <w:rPr>
          <w:rFonts w:ascii="Cambria" w:hAnsi="Cambria"/>
          <w:spacing w:val="-2"/>
          <w:sz w:val="20"/>
        </w:rPr>
        <w:t xml:space="preserve">Done and signed in the city of Washington, D.C., on the </w:t>
      </w:r>
      <w:r>
        <w:rPr>
          <w:rFonts w:ascii="Cambria" w:hAnsi="Cambria"/>
          <w:spacing w:val="-2"/>
          <w:sz w:val="20"/>
        </w:rPr>
        <w:t>15th</w:t>
      </w:r>
      <w:r w:rsidRPr="00365F2F">
        <w:rPr>
          <w:rFonts w:ascii="Cambria" w:hAnsi="Cambria"/>
          <w:spacing w:val="-2"/>
          <w:sz w:val="20"/>
        </w:rPr>
        <w:t xml:space="preserve"> day of the month of </w:t>
      </w:r>
      <w:r>
        <w:rPr>
          <w:rFonts w:ascii="Cambria" w:hAnsi="Cambria"/>
          <w:spacing w:val="-2"/>
          <w:sz w:val="20"/>
        </w:rPr>
        <w:t>April</w:t>
      </w:r>
      <w:r w:rsidRPr="00365F2F">
        <w:rPr>
          <w:rFonts w:ascii="Cambria" w:hAnsi="Cambria"/>
          <w:spacing w:val="-2"/>
          <w:sz w:val="20"/>
        </w:rPr>
        <w:t>, 201</w:t>
      </w:r>
      <w:r>
        <w:rPr>
          <w:rFonts w:ascii="Cambria" w:hAnsi="Cambria"/>
          <w:spacing w:val="-2"/>
          <w:sz w:val="20"/>
        </w:rPr>
        <w:t>6</w:t>
      </w:r>
      <w:r w:rsidRPr="00365F2F">
        <w:rPr>
          <w:rFonts w:ascii="Cambria" w:hAnsi="Cambria"/>
          <w:spacing w:val="-2"/>
          <w:sz w:val="20"/>
        </w:rPr>
        <w:t xml:space="preserve">. (Signed):  </w:t>
      </w:r>
      <w:r>
        <w:rPr>
          <w:rFonts w:ascii="Cambria" w:hAnsi="Cambria" w:cs="Arial"/>
          <w:noProof/>
          <w:spacing w:val="-2"/>
          <w:sz w:val="20"/>
        </w:rPr>
        <w:t xml:space="preserve">James L. Cavallaro, </w:t>
      </w:r>
      <w:r w:rsidRPr="00365F2F">
        <w:rPr>
          <w:rFonts w:ascii="Cambria" w:hAnsi="Cambria"/>
          <w:sz w:val="20"/>
        </w:rPr>
        <w:t>President;</w:t>
      </w:r>
      <w:r>
        <w:rPr>
          <w:rFonts w:ascii="Cambria" w:hAnsi="Cambria"/>
          <w:sz w:val="20"/>
        </w:rPr>
        <w:t xml:space="preserve"> </w:t>
      </w:r>
      <w:r w:rsidRPr="0032569A">
        <w:rPr>
          <w:rFonts w:ascii="Cambria" w:hAnsi="Cambria" w:cs="Arial"/>
          <w:noProof/>
          <w:spacing w:val="-2"/>
          <w:sz w:val="20"/>
        </w:rPr>
        <w:t>Fran</w:t>
      </w:r>
      <w:r>
        <w:rPr>
          <w:rFonts w:ascii="Cambria" w:hAnsi="Cambria" w:cs="Arial"/>
          <w:noProof/>
          <w:spacing w:val="-2"/>
          <w:sz w:val="20"/>
        </w:rPr>
        <w:t>cisco José Eguiguren</w:t>
      </w:r>
      <w:r w:rsidRPr="00365F2F">
        <w:rPr>
          <w:rFonts w:ascii="Cambria" w:hAnsi="Cambria"/>
          <w:spacing w:val="-2"/>
          <w:sz w:val="20"/>
        </w:rPr>
        <w:t>, First Vice President</w:t>
      </w:r>
      <w:r>
        <w:rPr>
          <w:rFonts w:ascii="Cambria" w:hAnsi="Cambria"/>
          <w:spacing w:val="-2"/>
          <w:sz w:val="20"/>
        </w:rPr>
        <w:t>;</w:t>
      </w:r>
      <w:r w:rsidRPr="00365F2F">
        <w:rPr>
          <w:rFonts w:ascii="Cambria" w:hAnsi="Cambria" w:cs="Arial"/>
          <w:noProof/>
          <w:spacing w:val="-2"/>
          <w:sz w:val="20"/>
        </w:rPr>
        <w:t xml:space="preserve"> </w:t>
      </w:r>
      <w:r>
        <w:rPr>
          <w:rFonts w:ascii="Cambria" w:hAnsi="Cambria" w:cs="Arial"/>
          <w:noProof/>
          <w:spacing w:val="-2"/>
          <w:sz w:val="20"/>
        </w:rPr>
        <w:t>Margarette May Macaulay, Second Vice President;</w:t>
      </w:r>
      <w:r>
        <w:rPr>
          <w:rFonts w:ascii="Cambria" w:hAnsi="Cambria"/>
          <w:sz w:val="20"/>
        </w:rPr>
        <w:t xml:space="preserve"> </w:t>
      </w:r>
      <w:r>
        <w:rPr>
          <w:rFonts w:ascii="Cambria" w:hAnsi="Cambria" w:cs="Arial"/>
          <w:noProof/>
          <w:spacing w:val="-2"/>
          <w:sz w:val="20"/>
        </w:rPr>
        <w:t xml:space="preserve">José de Jesús Orozco Henríquez, and </w:t>
      </w:r>
      <w:r w:rsidRPr="0032569A">
        <w:rPr>
          <w:rFonts w:ascii="Cambria" w:hAnsi="Cambria" w:cs="Arial"/>
          <w:noProof/>
          <w:spacing w:val="-2"/>
          <w:sz w:val="20"/>
        </w:rPr>
        <w:t>Esmeralda</w:t>
      </w:r>
      <w:r>
        <w:rPr>
          <w:rFonts w:ascii="Cambria" w:hAnsi="Cambria" w:cs="Arial"/>
          <w:noProof/>
          <w:spacing w:val="-2"/>
          <w:sz w:val="20"/>
        </w:rPr>
        <w:t xml:space="preserve"> E. Arosemena Bernal de Troitiño,  </w:t>
      </w:r>
      <w:r w:rsidRPr="00365F2F">
        <w:rPr>
          <w:rFonts w:ascii="Cambria" w:hAnsi="Cambria"/>
          <w:spacing w:val="-2"/>
          <w:sz w:val="20"/>
        </w:rPr>
        <w:t>Commissioners.</w:t>
      </w:r>
    </w:p>
    <w:p w:rsidR="00A165EA" w:rsidRPr="000C15DF" w:rsidRDefault="00A165EA" w:rsidP="00A165E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sectPr w:rsidR="00A165EA" w:rsidRPr="000C15D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663" w:rsidRDefault="003F7663">
      <w:r>
        <w:separator/>
      </w:r>
    </w:p>
  </w:endnote>
  <w:endnote w:type="continuationSeparator" w:id="0">
    <w:p w:rsidR="003F7663" w:rsidRDefault="003F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34C" w:rsidRDefault="00042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9475D2" w:rsidRPr="00934A2C" w:rsidRDefault="009475D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4234C">
          <w:rPr>
            <w:noProof/>
            <w:sz w:val="16"/>
            <w:szCs w:val="22"/>
          </w:rPr>
          <w:t>1</w:t>
        </w:r>
        <w:r w:rsidRPr="00934A2C">
          <w:rPr>
            <w:noProof/>
            <w:sz w:val="16"/>
            <w:szCs w:val="22"/>
          </w:rPr>
          <w:fldChar w:fldCharType="end"/>
        </w:r>
      </w:p>
    </w:sdtContent>
  </w:sdt>
  <w:p w:rsidR="009475D2" w:rsidRDefault="009475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D2" w:rsidRPr="00934A2C" w:rsidRDefault="009475D2">
    <w:pPr>
      <w:pStyle w:val="Footer"/>
      <w:jc w:val="center"/>
      <w:rPr>
        <w:sz w:val="16"/>
        <w:szCs w:val="22"/>
      </w:rPr>
    </w:pPr>
  </w:p>
  <w:p w:rsidR="009475D2" w:rsidRDefault="00947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663" w:rsidRPr="000F35ED" w:rsidRDefault="003F7663">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F7663" w:rsidRPr="000F35ED" w:rsidRDefault="003F7663" w:rsidP="000F35ED">
      <w:pPr>
        <w:rPr>
          <w:rFonts w:asciiTheme="majorHAnsi" w:hAnsiTheme="majorHAnsi"/>
          <w:sz w:val="16"/>
          <w:szCs w:val="16"/>
        </w:rPr>
      </w:pPr>
      <w:r w:rsidRPr="000F35ED">
        <w:rPr>
          <w:rFonts w:asciiTheme="majorHAnsi" w:hAnsiTheme="majorHAnsi"/>
          <w:sz w:val="16"/>
          <w:szCs w:val="16"/>
        </w:rPr>
        <w:separator/>
      </w:r>
    </w:p>
    <w:p w:rsidR="003F7663" w:rsidRPr="000F35ED" w:rsidRDefault="003F766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3F7663" w:rsidRPr="000F35ED" w:rsidRDefault="003F766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9475D2" w:rsidRPr="00780AE3" w:rsidRDefault="009475D2" w:rsidP="00780AE3">
      <w:pPr>
        <w:pStyle w:val="FootnoteText"/>
        <w:ind w:firstLine="720"/>
        <w:jc w:val="both"/>
      </w:pPr>
      <w:r w:rsidRPr="00780AE3">
        <w:rPr>
          <w:rStyle w:val="FootnoteReference"/>
        </w:rPr>
        <w:footnoteRef/>
      </w:r>
      <w:r w:rsidRPr="00780AE3">
        <w:t xml:space="preserve"> </w:t>
      </w:r>
      <w:r w:rsidRPr="00780AE3">
        <w:rPr>
          <w:rFonts w:asciiTheme="majorHAnsi" w:hAnsiTheme="majorHAnsi"/>
          <w:sz w:val="16"/>
          <w:szCs w:val="16"/>
        </w:rPr>
        <w:t xml:space="preserve">In keeping with Article </w:t>
      </w:r>
      <w:r>
        <w:rPr>
          <w:rFonts w:asciiTheme="majorHAnsi" w:hAnsiTheme="majorHAnsi" w:cs="Arial"/>
          <w:sz w:val="16"/>
          <w:szCs w:val="16"/>
        </w:rPr>
        <w:t>17(</w:t>
      </w:r>
      <w:r w:rsidRPr="00780AE3">
        <w:rPr>
          <w:rFonts w:asciiTheme="majorHAnsi" w:hAnsiTheme="majorHAnsi" w:cs="Arial"/>
          <w:sz w:val="16"/>
          <w:szCs w:val="16"/>
        </w:rPr>
        <w:t>2</w:t>
      </w:r>
      <w:r>
        <w:rPr>
          <w:rFonts w:asciiTheme="majorHAnsi" w:hAnsiTheme="majorHAnsi" w:cs="Arial"/>
          <w:sz w:val="16"/>
          <w:szCs w:val="16"/>
        </w:rPr>
        <w:t>)(</w:t>
      </w:r>
      <w:r w:rsidRPr="00780AE3">
        <w:rPr>
          <w:rFonts w:asciiTheme="majorHAnsi" w:hAnsiTheme="majorHAnsi" w:cs="Arial"/>
          <w:sz w:val="16"/>
          <w:szCs w:val="16"/>
        </w:rPr>
        <w:t>a</w:t>
      </w:r>
      <w:r>
        <w:rPr>
          <w:rFonts w:asciiTheme="majorHAnsi" w:hAnsiTheme="majorHAnsi" w:cs="Arial"/>
          <w:sz w:val="16"/>
          <w:szCs w:val="16"/>
        </w:rPr>
        <w:t xml:space="preserve">) of the Commission’s Rules of Procedure, Commissioner </w:t>
      </w:r>
      <w:r w:rsidRPr="00780AE3">
        <w:rPr>
          <w:rFonts w:asciiTheme="majorHAnsi" w:hAnsiTheme="majorHAnsi" w:cs="Arial"/>
          <w:sz w:val="16"/>
          <w:szCs w:val="16"/>
        </w:rPr>
        <w:t xml:space="preserve">Enrique Gil Botero, </w:t>
      </w:r>
      <w:r>
        <w:rPr>
          <w:rFonts w:asciiTheme="majorHAnsi" w:hAnsiTheme="majorHAnsi" w:cs="Arial"/>
          <w:sz w:val="16"/>
          <w:szCs w:val="16"/>
        </w:rPr>
        <w:t xml:space="preserve">of Colombian nationality, did not participate in the deliberations or decision in the instant case. </w:t>
      </w:r>
    </w:p>
  </w:footnote>
  <w:footnote w:id="3">
    <w:p w:rsidR="009475D2" w:rsidRPr="00780AE3" w:rsidRDefault="009475D2" w:rsidP="00782AD7">
      <w:pPr>
        <w:pStyle w:val="FootnoteText"/>
        <w:spacing w:before="120"/>
        <w:ind w:firstLine="720"/>
        <w:jc w:val="both"/>
        <w:rPr>
          <w:rFonts w:asciiTheme="majorHAnsi" w:hAnsiTheme="majorHAnsi"/>
          <w:sz w:val="16"/>
          <w:szCs w:val="16"/>
        </w:rPr>
      </w:pPr>
      <w:r w:rsidRPr="00780AE3">
        <w:rPr>
          <w:rStyle w:val="FootnoteReference"/>
          <w:rFonts w:asciiTheme="majorHAnsi" w:hAnsiTheme="majorHAnsi"/>
          <w:sz w:val="16"/>
          <w:szCs w:val="16"/>
        </w:rPr>
        <w:footnoteRef/>
      </w:r>
      <w:r w:rsidRPr="00780AE3">
        <w:rPr>
          <w:rFonts w:asciiTheme="majorHAnsi" w:hAnsiTheme="majorHAnsi"/>
          <w:sz w:val="16"/>
          <w:szCs w:val="16"/>
        </w:rPr>
        <w:t xml:space="preserve"> </w:t>
      </w:r>
      <w:r>
        <w:rPr>
          <w:rFonts w:asciiTheme="majorHAnsi" w:hAnsiTheme="majorHAnsi"/>
          <w:sz w:val="16"/>
          <w:szCs w:val="16"/>
        </w:rPr>
        <w:t>IACHR</w:t>
      </w:r>
      <w:r w:rsidRPr="00780AE3">
        <w:rPr>
          <w:rFonts w:asciiTheme="majorHAnsi" w:hAnsiTheme="majorHAnsi"/>
          <w:sz w:val="16"/>
          <w:szCs w:val="16"/>
        </w:rPr>
        <w:t xml:space="preserve">, </w:t>
      </w:r>
      <w:r>
        <w:rPr>
          <w:rFonts w:asciiTheme="majorHAnsi" w:hAnsiTheme="majorHAnsi"/>
          <w:sz w:val="16"/>
          <w:szCs w:val="16"/>
        </w:rPr>
        <w:t>Report</w:t>
      </w:r>
      <w:r w:rsidRPr="00780AE3">
        <w:rPr>
          <w:rFonts w:asciiTheme="majorHAnsi" w:hAnsiTheme="majorHAnsi"/>
          <w:sz w:val="16"/>
          <w:szCs w:val="16"/>
        </w:rPr>
        <w:t xml:space="preserve"> No. 34/15, </w:t>
      </w:r>
      <w:r>
        <w:rPr>
          <w:rFonts w:asciiTheme="majorHAnsi" w:hAnsiTheme="majorHAnsi"/>
          <w:sz w:val="16"/>
          <w:szCs w:val="16"/>
        </w:rPr>
        <w:t xml:space="preserve">Petition 191-07 and others. </w:t>
      </w:r>
      <w:r w:rsidRPr="00F92641">
        <w:rPr>
          <w:rFonts w:asciiTheme="majorHAnsi" w:hAnsiTheme="majorHAnsi"/>
          <w:sz w:val="16"/>
          <w:szCs w:val="16"/>
          <w:lang w:val="es-ES"/>
        </w:rPr>
        <w:t xml:space="preserve">Admissibility. Álvaro Enrique Rodríguez et al. Colombia. </w:t>
      </w:r>
      <w:r>
        <w:rPr>
          <w:rFonts w:asciiTheme="majorHAnsi" w:hAnsiTheme="majorHAnsi"/>
          <w:sz w:val="16"/>
          <w:szCs w:val="16"/>
        </w:rPr>
        <w:t xml:space="preserve">July </w:t>
      </w:r>
      <w:r w:rsidRPr="00780AE3">
        <w:rPr>
          <w:rFonts w:asciiTheme="majorHAnsi" w:hAnsiTheme="majorHAnsi"/>
          <w:sz w:val="16"/>
          <w:szCs w:val="16"/>
        </w:rPr>
        <w:t>22</w:t>
      </w:r>
      <w:r>
        <w:rPr>
          <w:rFonts w:asciiTheme="majorHAnsi" w:hAnsiTheme="majorHAnsi"/>
          <w:sz w:val="16"/>
          <w:szCs w:val="16"/>
        </w:rPr>
        <w:t>,</w:t>
      </w:r>
      <w:r w:rsidRPr="00780AE3">
        <w:rPr>
          <w:rFonts w:asciiTheme="majorHAnsi" w:hAnsiTheme="majorHAnsi"/>
          <w:sz w:val="16"/>
          <w:szCs w:val="16"/>
        </w:rPr>
        <w:t xml:space="preserve"> </w:t>
      </w:r>
      <w:r>
        <w:rPr>
          <w:rFonts w:asciiTheme="majorHAnsi" w:hAnsiTheme="majorHAnsi"/>
          <w:sz w:val="16"/>
          <w:szCs w:val="16"/>
        </w:rPr>
        <w:t>2015, para</w:t>
      </w:r>
      <w:r w:rsidRPr="00780AE3">
        <w:rPr>
          <w:rFonts w:asciiTheme="majorHAnsi" w:hAnsiTheme="majorHAnsi"/>
          <w:sz w:val="16"/>
          <w:szCs w:val="16"/>
        </w:rPr>
        <w:t xml:space="preserve">. 246. </w:t>
      </w:r>
    </w:p>
  </w:footnote>
  <w:footnote w:id="4">
    <w:p w:rsidR="009475D2" w:rsidRPr="00780AE3" w:rsidRDefault="009475D2" w:rsidP="00480C66">
      <w:pPr>
        <w:pStyle w:val="FootnoteText"/>
        <w:ind w:firstLine="720"/>
        <w:jc w:val="both"/>
        <w:rPr>
          <w:rFonts w:asciiTheme="majorHAnsi" w:hAnsiTheme="majorHAnsi"/>
          <w:sz w:val="16"/>
          <w:szCs w:val="16"/>
        </w:rPr>
      </w:pPr>
      <w:r w:rsidRPr="00780AE3">
        <w:rPr>
          <w:rStyle w:val="FootnoteReference"/>
        </w:rPr>
        <w:footnoteRef/>
      </w:r>
      <w:r w:rsidRPr="00780AE3">
        <w:t xml:space="preserve"> </w:t>
      </w:r>
      <w:r>
        <w:rPr>
          <w:rFonts w:asciiTheme="majorHAnsi" w:hAnsiTheme="majorHAnsi"/>
          <w:sz w:val="16"/>
          <w:szCs w:val="16"/>
        </w:rPr>
        <w:t>See, among others, IACHR</w:t>
      </w:r>
      <w:r w:rsidRPr="00780AE3">
        <w:rPr>
          <w:rFonts w:asciiTheme="majorHAnsi" w:hAnsiTheme="majorHAnsi"/>
          <w:sz w:val="16"/>
          <w:szCs w:val="16"/>
        </w:rPr>
        <w:t xml:space="preserve">, </w:t>
      </w:r>
      <w:r>
        <w:rPr>
          <w:rFonts w:asciiTheme="majorHAnsi" w:hAnsiTheme="majorHAnsi"/>
          <w:sz w:val="16"/>
          <w:szCs w:val="16"/>
        </w:rPr>
        <w:t>Report</w:t>
      </w:r>
      <w:r w:rsidRPr="00780AE3">
        <w:rPr>
          <w:rFonts w:asciiTheme="majorHAnsi" w:hAnsiTheme="majorHAnsi"/>
          <w:sz w:val="16"/>
          <w:szCs w:val="16"/>
        </w:rPr>
        <w:t xml:space="preserve"> No. 34/15, </w:t>
      </w:r>
      <w:r>
        <w:rPr>
          <w:rFonts w:asciiTheme="majorHAnsi" w:hAnsiTheme="majorHAnsi"/>
          <w:sz w:val="16"/>
          <w:szCs w:val="16"/>
        </w:rPr>
        <w:t>Petition</w:t>
      </w:r>
      <w:r w:rsidRPr="00780AE3">
        <w:rPr>
          <w:rFonts w:asciiTheme="majorHAnsi" w:hAnsiTheme="majorHAnsi"/>
          <w:sz w:val="16"/>
          <w:szCs w:val="16"/>
        </w:rPr>
        <w:t xml:space="preserve"> 191-07 </w:t>
      </w:r>
      <w:r>
        <w:rPr>
          <w:rFonts w:asciiTheme="majorHAnsi" w:hAnsiTheme="majorHAnsi"/>
          <w:sz w:val="16"/>
          <w:szCs w:val="16"/>
        </w:rPr>
        <w:t xml:space="preserve">and others. </w:t>
      </w:r>
      <w:r w:rsidRPr="00A165EA">
        <w:rPr>
          <w:rFonts w:asciiTheme="majorHAnsi" w:hAnsiTheme="majorHAnsi"/>
          <w:sz w:val="16"/>
          <w:szCs w:val="16"/>
          <w:lang w:val="es-ES"/>
        </w:rPr>
        <w:t xml:space="preserve">Admissibility. Álvaro Enrique Rodríguez et al. Colombia. July 22, 2015, para. 251; IACHR, Report No. 15/95, Case No. 11,010, Hildegard María Feldman, Colombia, September 13, 1995; IACHR, Report No. 61/99, Case 11,519, José Alexis Fuentes Guerrero et al., Colombia, April 13, 1999, para. </w:t>
      </w:r>
      <w:r w:rsidRPr="00F92641">
        <w:rPr>
          <w:rFonts w:asciiTheme="majorHAnsi" w:hAnsiTheme="majorHAnsi"/>
          <w:sz w:val="16"/>
          <w:szCs w:val="16"/>
          <w:lang w:val="es-ES"/>
        </w:rPr>
        <w:t xml:space="preserve">51; IACHR, Report No. 43/02, Petition 12,009, Leydi Dayán Sánchez, Colombia, October 9, 2002, para. </w:t>
      </w:r>
      <w:r w:rsidRPr="00780AE3">
        <w:rPr>
          <w:rFonts w:asciiTheme="majorHAnsi" w:hAnsiTheme="majorHAnsi"/>
          <w:sz w:val="16"/>
          <w:szCs w:val="16"/>
        </w:rPr>
        <w:t xml:space="preserve">22; </w:t>
      </w:r>
      <w:r>
        <w:rPr>
          <w:rFonts w:asciiTheme="majorHAnsi" w:hAnsiTheme="majorHAnsi"/>
          <w:sz w:val="16"/>
          <w:szCs w:val="16"/>
        </w:rPr>
        <w:t>and IACHR</w:t>
      </w:r>
      <w:r w:rsidRPr="00780AE3">
        <w:rPr>
          <w:rFonts w:asciiTheme="majorHAnsi" w:hAnsiTheme="majorHAnsi"/>
          <w:sz w:val="16"/>
          <w:szCs w:val="16"/>
        </w:rPr>
        <w:t xml:space="preserve">. </w:t>
      </w:r>
      <w:r>
        <w:rPr>
          <w:rFonts w:asciiTheme="majorHAnsi" w:hAnsiTheme="majorHAnsi"/>
          <w:sz w:val="16"/>
          <w:szCs w:val="16"/>
        </w:rPr>
        <w:t>Report</w:t>
      </w:r>
      <w:r w:rsidRPr="00780AE3">
        <w:rPr>
          <w:rFonts w:asciiTheme="majorHAnsi" w:hAnsiTheme="majorHAnsi"/>
          <w:sz w:val="16"/>
          <w:szCs w:val="16"/>
        </w:rPr>
        <w:t xml:space="preserve"> No. 74/07, </w:t>
      </w:r>
      <w:r>
        <w:rPr>
          <w:rFonts w:asciiTheme="majorHAnsi" w:hAnsiTheme="majorHAnsi"/>
          <w:sz w:val="16"/>
          <w:szCs w:val="16"/>
        </w:rPr>
        <w:t>Petition</w:t>
      </w:r>
      <w:r w:rsidRPr="00780AE3">
        <w:rPr>
          <w:rFonts w:asciiTheme="majorHAnsi" w:hAnsiTheme="majorHAnsi"/>
          <w:sz w:val="16"/>
          <w:szCs w:val="16"/>
        </w:rPr>
        <w:t xml:space="preserve"> 1136/03, Admis</w:t>
      </w:r>
      <w:r>
        <w:rPr>
          <w:rFonts w:asciiTheme="majorHAnsi" w:hAnsiTheme="majorHAnsi"/>
          <w:sz w:val="16"/>
          <w:szCs w:val="16"/>
        </w:rPr>
        <w:t>s</w:t>
      </w:r>
      <w:r w:rsidRPr="00780AE3">
        <w:rPr>
          <w:rFonts w:asciiTheme="majorHAnsi" w:hAnsiTheme="majorHAnsi"/>
          <w:sz w:val="16"/>
          <w:szCs w:val="16"/>
        </w:rPr>
        <w:t>ibili</w:t>
      </w:r>
      <w:r>
        <w:rPr>
          <w:rFonts w:asciiTheme="majorHAnsi" w:hAnsiTheme="majorHAnsi"/>
          <w:sz w:val="16"/>
          <w:szCs w:val="16"/>
        </w:rPr>
        <w:t>ty,</w:t>
      </w:r>
      <w:r w:rsidRPr="00780AE3">
        <w:rPr>
          <w:rFonts w:asciiTheme="majorHAnsi" w:hAnsiTheme="majorHAnsi"/>
          <w:sz w:val="16"/>
          <w:szCs w:val="16"/>
        </w:rPr>
        <w:t xml:space="preserve"> José Antonio Romero Cruz </w:t>
      </w:r>
      <w:r>
        <w:rPr>
          <w:rFonts w:asciiTheme="majorHAnsi" w:hAnsiTheme="majorHAnsi"/>
          <w:sz w:val="16"/>
          <w:szCs w:val="16"/>
        </w:rPr>
        <w:t xml:space="preserve">et al. October </w:t>
      </w:r>
      <w:r w:rsidRPr="00780AE3">
        <w:rPr>
          <w:rFonts w:asciiTheme="majorHAnsi" w:hAnsiTheme="majorHAnsi"/>
          <w:sz w:val="16"/>
          <w:szCs w:val="16"/>
        </w:rPr>
        <w:t>15</w:t>
      </w:r>
      <w:r>
        <w:rPr>
          <w:rFonts w:asciiTheme="majorHAnsi" w:hAnsiTheme="majorHAnsi"/>
          <w:sz w:val="16"/>
          <w:szCs w:val="16"/>
        </w:rPr>
        <w:t>,</w:t>
      </w:r>
      <w:r w:rsidRPr="00780AE3">
        <w:rPr>
          <w:rFonts w:asciiTheme="majorHAnsi" w:hAnsiTheme="majorHAnsi"/>
          <w:sz w:val="16"/>
          <w:szCs w:val="16"/>
        </w:rPr>
        <w:t xml:space="preserve"> </w:t>
      </w:r>
      <w:r>
        <w:rPr>
          <w:rFonts w:asciiTheme="majorHAnsi" w:hAnsiTheme="majorHAnsi"/>
          <w:sz w:val="16"/>
          <w:szCs w:val="16"/>
        </w:rPr>
        <w:t xml:space="preserve">2007, para. </w:t>
      </w:r>
      <w:r w:rsidRPr="00780AE3">
        <w:rPr>
          <w:rFonts w:asciiTheme="majorHAnsi" w:hAnsiTheme="majorHAnsi"/>
          <w:sz w:val="16"/>
          <w:szCs w:val="16"/>
        </w:rPr>
        <w:t xml:space="preserve">34. </w:t>
      </w:r>
      <w:r w:rsidR="00480C66">
        <w:rPr>
          <w:rFonts w:asciiTheme="majorHAnsi" w:hAnsiTheme="majorHAnsi"/>
          <w:sz w:val="16"/>
          <w:szCs w:val="16"/>
        </w:rPr>
        <w:t xml:space="preserve"> </w:t>
      </w:r>
    </w:p>
  </w:footnote>
  <w:footnote w:id="5">
    <w:p w:rsidR="009475D2" w:rsidRPr="00780AE3" w:rsidRDefault="009475D2" w:rsidP="009402AA">
      <w:pPr>
        <w:pStyle w:val="FootnoteText"/>
        <w:ind w:firstLine="720"/>
        <w:jc w:val="both"/>
      </w:pPr>
      <w:r w:rsidRPr="00780AE3">
        <w:rPr>
          <w:rStyle w:val="FootnoteReference"/>
        </w:rPr>
        <w:footnoteRef/>
      </w:r>
      <w:r w:rsidRPr="00780AE3">
        <w:t xml:space="preserve"> </w:t>
      </w:r>
      <w:r>
        <w:rPr>
          <w:rFonts w:asciiTheme="majorHAnsi" w:hAnsiTheme="majorHAnsi"/>
          <w:sz w:val="16"/>
          <w:szCs w:val="16"/>
        </w:rPr>
        <w:t>See</w:t>
      </w:r>
      <w:r w:rsidRPr="00780AE3">
        <w:rPr>
          <w:rFonts w:asciiTheme="majorHAnsi" w:hAnsiTheme="majorHAnsi"/>
          <w:sz w:val="16"/>
          <w:szCs w:val="16"/>
        </w:rPr>
        <w:t xml:space="preserve">, </w:t>
      </w:r>
      <w:r w:rsidRPr="009402AA">
        <w:rPr>
          <w:rFonts w:asciiTheme="majorHAnsi" w:hAnsiTheme="majorHAnsi"/>
          <w:i/>
          <w:iCs/>
          <w:sz w:val="16"/>
          <w:szCs w:val="16"/>
        </w:rPr>
        <w:t>inter alia</w:t>
      </w:r>
      <w:r w:rsidRPr="00780AE3">
        <w:rPr>
          <w:rFonts w:asciiTheme="majorHAnsi" w:hAnsiTheme="majorHAnsi"/>
          <w:sz w:val="16"/>
          <w:szCs w:val="16"/>
        </w:rPr>
        <w:t xml:space="preserve">, </w:t>
      </w:r>
      <w:r>
        <w:rPr>
          <w:rFonts w:asciiTheme="majorHAnsi" w:hAnsiTheme="majorHAnsi"/>
          <w:sz w:val="16"/>
          <w:szCs w:val="16"/>
        </w:rPr>
        <w:t xml:space="preserve">I/A Court HR, Case of the </w:t>
      </w:r>
      <w:r w:rsidRPr="00780AE3">
        <w:rPr>
          <w:rFonts w:asciiTheme="majorHAnsi" w:hAnsiTheme="majorHAnsi"/>
          <w:sz w:val="16"/>
          <w:szCs w:val="16"/>
        </w:rPr>
        <w:t xml:space="preserve">Mapiripán </w:t>
      </w:r>
      <w:r>
        <w:rPr>
          <w:rFonts w:asciiTheme="majorHAnsi" w:hAnsiTheme="majorHAnsi"/>
          <w:sz w:val="16"/>
          <w:szCs w:val="16"/>
        </w:rPr>
        <w:t>Massacre v</w:t>
      </w:r>
      <w:r w:rsidRPr="00780AE3">
        <w:rPr>
          <w:rFonts w:asciiTheme="majorHAnsi" w:hAnsiTheme="majorHAnsi"/>
          <w:sz w:val="16"/>
          <w:szCs w:val="16"/>
        </w:rPr>
        <w:t xml:space="preserve">. Colombia. </w:t>
      </w:r>
      <w:r>
        <w:rPr>
          <w:rFonts w:asciiTheme="majorHAnsi" w:hAnsiTheme="majorHAnsi"/>
          <w:sz w:val="16"/>
          <w:szCs w:val="16"/>
        </w:rPr>
        <w:t xml:space="preserve">Merits, Reparations, and Costs. Judgment of September </w:t>
      </w:r>
      <w:r w:rsidRPr="00780AE3">
        <w:rPr>
          <w:rFonts w:asciiTheme="majorHAnsi" w:hAnsiTheme="majorHAnsi"/>
          <w:sz w:val="16"/>
          <w:szCs w:val="16"/>
        </w:rPr>
        <w:t>15</w:t>
      </w:r>
      <w:r>
        <w:rPr>
          <w:rFonts w:asciiTheme="majorHAnsi" w:hAnsiTheme="majorHAnsi"/>
          <w:sz w:val="16"/>
          <w:szCs w:val="16"/>
        </w:rPr>
        <w:t>,</w:t>
      </w:r>
      <w:r w:rsidRPr="00780AE3">
        <w:rPr>
          <w:rFonts w:asciiTheme="majorHAnsi" w:hAnsiTheme="majorHAnsi"/>
          <w:sz w:val="16"/>
          <w:szCs w:val="16"/>
        </w:rPr>
        <w:t xml:space="preserve"> 2005. Serie</w:t>
      </w:r>
      <w:r>
        <w:rPr>
          <w:rFonts w:asciiTheme="majorHAnsi" w:hAnsiTheme="majorHAnsi"/>
          <w:sz w:val="16"/>
          <w:szCs w:val="16"/>
        </w:rPr>
        <w:t>s C No. 134, para</w:t>
      </w:r>
      <w:r w:rsidR="00626C2A">
        <w:rPr>
          <w:rFonts w:asciiTheme="majorHAnsi" w:hAnsiTheme="majorHAnsi"/>
          <w:sz w:val="16"/>
          <w:szCs w:val="16"/>
        </w:rPr>
        <w:t>. 214</w:t>
      </w:r>
      <w:r w:rsidRPr="00780AE3">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D2" w:rsidRDefault="009475D2" w:rsidP="009051E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9475D2" w:rsidRDefault="009475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D2" w:rsidRDefault="009475D2" w:rsidP="00A50FCF">
    <w:pPr>
      <w:pStyle w:val="Header"/>
      <w:tabs>
        <w:tab w:val="clear" w:pos="4320"/>
        <w:tab w:val="clear" w:pos="8640"/>
      </w:tabs>
      <w:jc w:val="center"/>
      <w:rPr>
        <w:sz w:val="22"/>
        <w:szCs w:val="22"/>
      </w:rPr>
    </w:pPr>
    <w:r>
      <w:rPr>
        <w:noProof/>
        <w:sz w:val="22"/>
        <w:szCs w:val="22"/>
      </w:rPr>
      <w:drawing>
        <wp:inline distT="0" distB="0" distL="0" distR="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9475D2" w:rsidRPr="00EC7D62" w:rsidRDefault="003F7663"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34C" w:rsidRDefault="00042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A5E491BA"/>
    <w:lvl w:ilvl="0" w:tplc="11044AE4">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274528"/>
    <w:multiLevelType w:val="multilevel"/>
    <w:tmpl w:val="A02A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0492B84"/>
    <w:multiLevelType w:val="hybridMultilevel"/>
    <w:tmpl w:val="536E284C"/>
    <w:lvl w:ilvl="0" w:tplc="0409000F">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3"/>
  </w:num>
  <w:num w:numId="5">
    <w:abstractNumId w:val="48"/>
  </w:num>
  <w:num w:numId="6">
    <w:abstractNumId w:val="28"/>
  </w:num>
  <w:num w:numId="7">
    <w:abstractNumId w:val="7"/>
  </w:num>
  <w:num w:numId="8">
    <w:abstractNumId w:val="19"/>
  </w:num>
  <w:num w:numId="9">
    <w:abstractNumId w:val="42"/>
  </w:num>
  <w:num w:numId="10">
    <w:abstractNumId w:val="1"/>
  </w:num>
  <w:num w:numId="11">
    <w:abstractNumId w:val="37"/>
  </w:num>
  <w:num w:numId="12">
    <w:abstractNumId w:val="38"/>
  </w:num>
  <w:num w:numId="13">
    <w:abstractNumId w:val="43"/>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9"/>
  </w:num>
  <w:num w:numId="43">
    <w:abstractNumId w:val="50"/>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2"/>
  </w:num>
  <w:num w:numId="52">
    <w:abstractNumId w:val="41"/>
  </w:num>
  <w:num w:numId="53">
    <w:abstractNumId w:val="52"/>
  </w:num>
  <w:num w:numId="54">
    <w:abstractNumId w:val="44"/>
  </w:num>
  <w:num w:numId="55">
    <w:abstractNumId w:val="47"/>
  </w:num>
  <w:num w:numId="56">
    <w:abstractNumId w:val="5"/>
  </w:num>
  <w:num w:numId="57">
    <w:abstractNumId w:val="11"/>
  </w:num>
  <w:num w:numId="58">
    <w:abstractNumId w:val="51"/>
  </w:num>
  <w:num w:numId="59">
    <w:abstractNumId w:val="18"/>
  </w:num>
  <w:num w:numId="60">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2"/>
  </w:compat>
  <w:rsids>
    <w:rsidRoot w:val="006B2D5C"/>
    <w:rsid w:val="0000036F"/>
    <w:rsid w:val="00000CDA"/>
    <w:rsid w:val="00004F63"/>
    <w:rsid w:val="00006E1F"/>
    <w:rsid w:val="000070D7"/>
    <w:rsid w:val="00015DEE"/>
    <w:rsid w:val="000162B3"/>
    <w:rsid w:val="0001788C"/>
    <w:rsid w:val="0002053F"/>
    <w:rsid w:val="00021692"/>
    <w:rsid w:val="00024654"/>
    <w:rsid w:val="0002721C"/>
    <w:rsid w:val="000337E5"/>
    <w:rsid w:val="00034785"/>
    <w:rsid w:val="00040C3A"/>
    <w:rsid w:val="0004198F"/>
    <w:rsid w:val="0004234C"/>
    <w:rsid w:val="0004353B"/>
    <w:rsid w:val="00045A36"/>
    <w:rsid w:val="0004752F"/>
    <w:rsid w:val="000531C1"/>
    <w:rsid w:val="000552D0"/>
    <w:rsid w:val="000567B8"/>
    <w:rsid w:val="00057DD7"/>
    <w:rsid w:val="000602B0"/>
    <w:rsid w:val="000605C3"/>
    <w:rsid w:val="00062B44"/>
    <w:rsid w:val="00066D76"/>
    <w:rsid w:val="000678AB"/>
    <w:rsid w:val="00070110"/>
    <w:rsid w:val="000716C5"/>
    <w:rsid w:val="000746E3"/>
    <w:rsid w:val="00075E23"/>
    <w:rsid w:val="000765D2"/>
    <w:rsid w:val="000919D0"/>
    <w:rsid w:val="0009344A"/>
    <w:rsid w:val="00094D7F"/>
    <w:rsid w:val="00097050"/>
    <w:rsid w:val="000A392E"/>
    <w:rsid w:val="000A575F"/>
    <w:rsid w:val="000B0FC0"/>
    <w:rsid w:val="000B6604"/>
    <w:rsid w:val="000C148E"/>
    <w:rsid w:val="000C15DF"/>
    <w:rsid w:val="000C27BE"/>
    <w:rsid w:val="000C2E2E"/>
    <w:rsid w:val="000C5AF5"/>
    <w:rsid w:val="000C7E95"/>
    <w:rsid w:val="000D10DB"/>
    <w:rsid w:val="000D1BF9"/>
    <w:rsid w:val="000D68D9"/>
    <w:rsid w:val="000D6D3A"/>
    <w:rsid w:val="000D6DD1"/>
    <w:rsid w:val="000D7D02"/>
    <w:rsid w:val="000D7E9C"/>
    <w:rsid w:val="000E17FC"/>
    <w:rsid w:val="000E1C80"/>
    <w:rsid w:val="000E56D1"/>
    <w:rsid w:val="000E5EB5"/>
    <w:rsid w:val="000E6089"/>
    <w:rsid w:val="000F135A"/>
    <w:rsid w:val="000F160E"/>
    <w:rsid w:val="000F35ED"/>
    <w:rsid w:val="00107131"/>
    <w:rsid w:val="0010736F"/>
    <w:rsid w:val="001100AC"/>
    <w:rsid w:val="00112B3C"/>
    <w:rsid w:val="00112D7A"/>
    <w:rsid w:val="00113F73"/>
    <w:rsid w:val="00115BF7"/>
    <w:rsid w:val="00117E6B"/>
    <w:rsid w:val="00120934"/>
    <w:rsid w:val="00121CC2"/>
    <w:rsid w:val="001223A5"/>
    <w:rsid w:val="00124674"/>
    <w:rsid w:val="00133EE5"/>
    <w:rsid w:val="0013454D"/>
    <w:rsid w:val="00136E47"/>
    <w:rsid w:val="00136E79"/>
    <w:rsid w:val="001411BC"/>
    <w:rsid w:val="00141477"/>
    <w:rsid w:val="00142F69"/>
    <w:rsid w:val="001452A9"/>
    <w:rsid w:val="001525F8"/>
    <w:rsid w:val="0015297E"/>
    <w:rsid w:val="00154339"/>
    <w:rsid w:val="00155378"/>
    <w:rsid w:val="00164A6C"/>
    <w:rsid w:val="001655D3"/>
    <w:rsid w:val="00166105"/>
    <w:rsid w:val="0016789E"/>
    <w:rsid w:val="00167A34"/>
    <w:rsid w:val="001714CF"/>
    <w:rsid w:val="0017172E"/>
    <w:rsid w:val="001762CF"/>
    <w:rsid w:val="00181715"/>
    <w:rsid w:val="00182D70"/>
    <w:rsid w:val="00187AB4"/>
    <w:rsid w:val="00187D51"/>
    <w:rsid w:val="00197D36"/>
    <w:rsid w:val="001A404A"/>
    <w:rsid w:val="001A5556"/>
    <w:rsid w:val="001A576B"/>
    <w:rsid w:val="001A701C"/>
    <w:rsid w:val="001A7870"/>
    <w:rsid w:val="001B3A61"/>
    <w:rsid w:val="001B5F9E"/>
    <w:rsid w:val="001C10B9"/>
    <w:rsid w:val="001C1B41"/>
    <w:rsid w:val="001C44FE"/>
    <w:rsid w:val="001D65EF"/>
    <w:rsid w:val="001E3AAA"/>
    <w:rsid w:val="001E53D9"/>
    <w:rsid w:val="001F06C7"/>
    <w:rsid w:val="001F0BE1"/>
    <w:rsid w:val="001F2B56"/>
    <w:rsid w:val="001F2E7D"/>
    <w:rsid w:val="001F34FB"/>
    <w:rsid w:val="001F458D"/>
    <w:rsid w:val="001F5EFA"/>
    <w:rsid w:val="001F6550"/>
    <w:rsid w:val="00201767"/>
    <w:rsid w:val="0020178A"/>
    <w:rsid w:val="002022DD"/>
    <w:rsid w:val="002053A7"/>
    <w:rsid w:val="00205B4D"/>
    <w:rsid w:val="002129A2"/>
    <w:rsid w:val="002225FB"/>
    <w:rsid w:val="00222B33"/>
    <w:rsid w:val="002250A3"/>
    <w:rsid w:val="0022561D"/>
    <w:rsid w:val="002316D4"/>
    <w:rsid w:val="00232D66"/>
    <w:rsid w:val="00234911"/>
    <w:rsid w:val="00235217"/>
    <w:rsid w:val="0023669E"/>
    <w:rsid w:val="00242E56"/>
    <w:rsid w:val="00246160"/>
    <w:rsid w:val="0024631D"/>
    <w:rsid w:val="00246D1F"/>
    <w:rsid w:val="00247403"/>
    <w:rsid w:val="00247542"/>
    <w:rsid w:val="00251D4D"/>
    <w:rsid w:val="00253D55"/>
    <w:rsid w:val="00255943"/>
    <w:rsid w:val="0026525D"/>
    <w:rsid w:val="00266B61"/>
    <w:rsid w:val="0026712A"/>
    <w:rsid w:val="002700CF"/>
    <w:rsid w:val="002704DB"/>
    <w:rsid w:val="0027139E"/>
    <w:rsid w:val="00291868"/>
    <w:rsid w:val="00291E6F"/>
    <w:rsid w:val="0029694E"/>
    <w:rsid w:val="002A0AAE"/>
    <w:rsid w:val="002A5820"/>
    <w:rsid w:val="002A702C"/>
    <w:rsid w:val="002B2FBB"/>
    <w:rsid w:val="002B7406"/>
    <w:rsid w:val="002C0E2B"/>
    <w:rsid w:val="002C135F"/>
    <w:rsid w:val="002D2B26"/>
    <w:rsid w:val="002D7EA2"/>
    <w:rsid w:val="002E0A91"/>
    <w:rsid w:val="002E187C"/>
    <w:rsid w:val="002E5576"/>
    <w:rsid w:val="002E598C"/>
    <w:rsid w:val="002E78E9"/>
    <w:rsid w:val="002E7A16"/>
    <w:rsid w:val="002F091A"/>
    <w:rsid w:val="002F280E"/>
    <w:rsid w:val="002F59CD"/>
    <w:rsid w:val="002F6413"/>
    <w:rsid w:val="002F76FA"/>
    <w:rsid w:val="0030217B"/>
    <w:rsid w:val="00302733"/>
    <w:rsid w:val="00302AA0"/>
    <w:rsid w:val="00303272"/>
    <w:rsid w:val="00303C86"/>
    <w:rsid w:val="003047E7"/>
    <w:rsid w:val="00307A88"/>
    <w:rsid w:val="00314078"/>
    <w:rsid w:val="0031535D"/>
    <w:rsid w:val="00315B13"/>
    <w:rsid w:val="003169F0"/>
    <w:rsid w:val="00321AB6"/>
    <w:rsid w:val="0032314C"/>
    <w:rsid w:val="003259D9"/>
    <w:rsid w:val="003277BB"/>
    <w:rsid w:val="0033169F"/>
    <w:rsid w:val="0033467B"/>
    <w:rsid w:val="00337142"/>
    <w:rsid w:val="0033716D"/>
    <w:rsid w:val="00340B34"/>
    <w:rsid w:val="0034411E"/>
    <w:rsid w:val="00346C95"/>
    <w:rsid w:val="003543B9"/>
    <w:rsid w:val="003548B2"/>
    <w:rsid w:val="00356185"/>
    <w:rsid w:val="003577BB"/>
    <w:rsid w:val="00360380"/>
    <w:rsid w:val="003655B5"/>
    <w:rsid w:val="00365D51"/>
    <w:rsid w:val="003664B3"/>
    <w:rsid w:val="003677D4"/>
    <w:rsid w:val="0037012C"/>
    <w:rsid w:val="00370F07"/>
    <w:rsid w:val="0037378F"/>
    <w:rsid w:val="00373EF0"/>
    <w:rsid w:val="0037519E"/>
    <w:rsid w:val="0038413E"/>
    <w:rsid w:val="00385E1D"/>
    <w:rsid w:val="00386CF0"/>
    <w:rsid w:val="003872C5"/>
    <w:rsid w:val="0039237C"/>
    <w:rsid w:val="0039642A"/>
    <w:rsid w:val="00397685"/>
    <w:rsid w:val="003A71BD"/>
    <w:rsid w:val="003B6C88"/>
    <w:rsid w:val="003B6DF8"/>
    <w:rsid w:val="003B70DB"/>
    <w:rsid w:val="003B75C0"/>
    <w:rsid w:val="003C5306"/>
    <w:rsid w:val="003C676B"/>
    <w:rsid w:val="003C679C"/>
    <w:rsid w:val="003D0297"/>
    <w:rsid w:val="003D0327"/>
    <w:rsid w:val="003D1B3B"/>
    <w:rsid w:val="003D2966"/>
    <w:rsid w:val="003D301C"/>
    <w:rsid w:val="003D3BC2"/>
    <w:rsid w:val="003D427A"/>
    <w:rsid w:val="003E3653"/>
    <w:rsid w:val="003E600C"/>
    <w:rsid w:val="003E6986"/>
    <w:rsid w:val="003E6CA1"/>
    <w:rsid w:val="003E7C63"/>
    <w:rsid w:val="003F19AB"/>
    <w:rsid w:val="003F31F9"/>
    <w:rsid w:val="003F7663"/>
    <w:rsid w:val="0040175E"/>
    <w:rsid w:val="00403B82"/>
    <w:rsid w:val="004051D6"/>
    <w:rsid w:val="00413576"/>
    <w:rsid w:val="004165C2"/>
    <w:rsid w:val="00416C0A"/>
    <w:rsid w:val="0041762D"/>
    <w:rsid w:val="00422DA9"/>
    <w:rsid w:val="00424BF8"/>
    <w:rsid w:val="00425572"/>
    <w:rsid w:val="004312FE"/>
    <w:rsid w:val="00431535"/>
    <w:rsid w:val="004318D7"/>
    <w:rsid w:val="004338A6"/>
    <w:rsid w:val="00435466"/>
    <w:rsid w:val="0044097E"/>
    <w:rsid w:val="00440D2C"/>
    <w:rsid w:val="00441DBA"/>
    <w:rsid w:val="00441ECB"/>
    <w:rsid w:val="00444520"/>
    <w:rsid w:val="00447F43"/>
    <w:rsid w:val="004535A5"/>
    <w:rsid w:val="004652A1"/>
    <w:rsid w:val="00466F7A"/>
    <w:rsid w:val="00467B7E"/>
    <w:rsid w:val="004700C1"/>
    <w:rsid w:val="00472905"/>
    <w:rsid w:val="00473581"/>
    <w:rsid w:val="00474C58"/>
    <w:rsid w:val="00477315"/>
    <w:rsid w:val="00477592"/>
    <w:rsid w:val="00480C66"/>
    <w:rsid w:val="00482601"/>
    <w:rsid w:val="004848BC"/>
    <w:rsid w:val="00485810"/>
    <w:rsid w:val="00486F1C"/>
    <w:rsid w:val="00490A61"/>
    <w:rsid w:val="0049288C"/>
    <w:rsid w:val="0049419D"/>
    <w:rsid w:val="004954A6"/>
    <w:rsid w:val="004A3212"/>
    <w:rsid w:val="004A5F9E"/>
    <w:rsid w:val="004A5FF5"/>
    <w:rsid w:val="004A64B3"/>
    <w:rsid w:val="004A659C"/>
    <w:rsid w:val="004A669C"/>
    <w:rsid w:val="004A66A4"/>
    <w:rsid w:val="004B3008"/>
    <w:rsid w:val="004B7041"/>
    <w:rsid w:val="004B7A65"/>
    <w:rsid w:val="004C20D2"/>
    <w:rsid w:val="004C25F2"/>
    <w:rsid w:val="004C4B62"/>
    <w:rsid w:val="004C50E6"/>
    <w:rsid w:val="004C535F"/>
    <w:rsid w:val="004C54C9"/>
    <w:rsid w:val="004C60A0"/>
    <w:rsid w:val="004D05BB"/>
    <w:rsid w:val="004D077C"/>
    <w:rsid w:val="004D21F3"/>
    <w:rsid w:val="004D27AD"/>
    <w:rsid w:val="004D3739"/>
    <w:rsid w:val="004D6025"/>
    <w:rsid w:val="004E257F"/>
    <w:rsid w:val="004E2649"/>
    <w:rsid w:val="004E3F2C"/>
    <w:rsid w:val="004E5F6F"/>
    <w:rsid w:val="004F0157"/>
    <w:rsid w:val="004F37BE"/>
    <w:rsid w:val="004F3855"/>
    <w:rsid w:val="004F4ACA"/>
    <w:rsid w:val="004F6D64"/>
    <w:rsid w:val="00501399"/>
    <w:rsid w:val="00501C2E"/>
    <w:rsid w:val="0050633D"/>
    <w:rsid w:val="00507BC4"/>
    <w:rsid w:val="00511F56"/>
    <w:rsid w:val="005128E4"/>
    <w:rsid w:val="005133DB"/>
    <w:rsid w:val="0051343F"/>
    <w:rsid w:val="00515280"/>
    <w:rsid w:val="00517F63"/>
    <w:rsid w:val="00520C4B"/>
    <w:rsid w:val="00520FC4"/>
    <w:rsid w:val="00522545"/>
    <w:rsid w:val="00525560"/>
    <w:rsid w:val="00530296"/>
    <w:rsid w:val="00531354"/>
    <w:rsid w:val="005316A2"/>
    <w:rsid w:val="00531A90"/>
    <w:rsid w:val="00532EB7"/>
    <w:rsid w:val="00532FC2"/>
    <w:rsid w:val="00536C3F"/>
    <w:rsid w:val="0053788D"/>
    <w:rsid w:val="00541CA3"/>
    <w:rsid w:val="00542A6B"/>
    <w:rsid w:val="0054334B"/>
    <w:rsid w:val="00544712"/>
    <w:rsid w:val="00544C49"/>
    <w:rsid w:val="005459F5"/>
    <w:rsid w:val="00547D7F"/>
    <w:rsid w:val="005516A1"/>
    <w:rsid w:val="00553983"/>
    <w:rsid w:val="00561FFF"/>
    <w:rsid w:val="005643C5"/>
    <w:rsid w:val="00565EAA"/>
    <w:rsid w:val="0057114A"/>
    <w:rsid w:val="0057402A"/>
    <w:rsid w:val="005771D0"/>
    <w:rsid w:val="00577F9E"/>
    <w:rsid w:val="00580FFC"/>
    <w:rsid w:val="005835AA"/>
    <w:rsid w:val="00584F56"/>
    <w:rsid w:val="0059191A"/>
    <w:rsid w:val="005921FF"/>
    <w:rsid w:val="00596831"/>
    <w:rsid w:val="00597682"/>
    <w:rsid w:val="005A460A"/>
    <w:rsid w:val="005A5CFB"/>
    <w:rsid w:val="005A6D0E"/>
    <w:rsid w:val="005A7D57"/>
    <w:rsid w:val="005B0E7F"/>
    <w:rsid w:val="005B1F5D"/>
    <w:rsid w:val="005B52B0"/>
    <w:rsid w:val="005B588F"/>
    <w:rsid w:val="005B6806"/>
    <w:rsid w:val="005C029D"/>
    <w:rsid w:val="005C23F7"/>
    <w:rsid w:val="005C4225"/>
    <w:rsid w:val="005C6005"/>
    <w:rsid w:val="005C659D"/>
    <w:rsid w:val="005C6EE8"/>
    <w:rsid w:val="005D322D"/>
    <w:rsid w:val="005D516C"/>
    <w:rsid w:val="005D707C"/>
    <w:rsid w:val="005D7588"/>
    <w:rsid w:val="005E0399"/>
    <w:rsid w:val="005E198E"/>
    <w:rsid w:val="005E63E5"/>
    <w:rsid w:val="005F0DAD"/>
    <w:rsid w:val="005F0F33"/>
    <w:rsid w:val="005F2A0E"/>
    <w:rsid w:val="005F33CF"/>
    <w:rsid w:val="005F40FF"/>
    <w:rsid w:val="006003F1"/>
    <w:rsid w:val="006007EB"/>
    <w:rsid w:val="00600DEB"/>
    <w:rsid w:val="006029EB"/>
    <w:rsid w:val="00607F5D"/>
    <w:rsid w:val="00612771"/>
    <w:rsid w:val="00613DAC"/>
    <w:rsid w:val="00615560"/>
    <w:rsid w:val="00617C7B"/>
    <w:rsid w:val="00620778"/>
    <w:rsid w:val="006238C9"/>
    <w:rsid w:val="00626426"/>
    <w:rsid w:val="00626C2A"/>
    <w:rsid w:val="0062709B"/>
    <w:rsid w:val="00627C9F"/>
    <w:rsid w:val="00630E0F"/>
    <w:rsid w:val="006311E9"/>
    <w:rsid w:val="00632354"/>
    <w:rsid w:val="0063685A"/>
    <w:rsid w:val="00636D7B"/>
    <w:rsid w:val="00636EDA"/>
    <w:rsid w:val="00641BA7"/>
    <w:rsid w:val="006427C4"/>
    <w:rsid w:val="00642810"/>
    <w:rsid w:val="00646713"/>
    <w:rsid w:val="00650AC4"/>
    <w:rsid w:val="00652333"/>
    <w:rsid w:val="00656C72"/>
    <w:rsid w:val="00662829"/>
    <w:rsid w:val="00663A60"/>
    <w:rsid w:val="00663A61"/>
    <w:rsid w:val="00676E9B"/>
    <w:rsid w:val="00677EA7"/>
    <w:rsid w:val="0068009E"/>
    <w:rsid w:val="006801A0"/>
    <w:rsid w:val="006902E6"/>
    <w:rsid w:val="00692219"/>
    <w:rsid w:val="0069280C"/>
    <w:rsid w:val="00695C42"/>
    <w:rsid w:val="006A17D2"/>
    <w:rsid w:val="006A3448"/>
    <w:rsid w:val="006A5197"/>
    <w:rsid w:val="006A6B7B"/>
    <w:rsid w:val="006A6C26"/>
    <w:rsid w:val="006A73E6"/>
    <w:rsid w:val="006B2D5C"/>
    <w:rsid w:val="006B73B3"/>
    <w:rsid w:val="006C3C73"/>
    <w:rsid w:val="006C4EB1"/>
    <w:rsid w:val="006D142D"/>
    <w:rsid w:val="006D4BBD"/>
    <w:rsid w:val="006D601C"/>
    <w:rsid w:val="006D7DFF"/>
    <w:rsid w:val="006E0166"/>
    <w:rsid w:val="006E0457"/>
    <w:rsid w:val="006E4CF8"/>
    <w:rsid w:val="006E6D32"/>
    <w:rsid w:val="006E71F4"/>
    <w:rsid w:val="006E7B34"/>
    <w:rsid w:val="006F0F9E"/>
    <w:rsid w:val="006F1BB2"/>
    <w:rsid w:val="006F23D0"/>
    <w:rsid w:val="006F28AC"/>
    <w:rsid w:val="006F7074"/>
    <w:rsid w:val="00702413"/>
    <w:rsid w:val="007040D0"/>
    <w:rsid w:val="0070435F"/>
    <w:rsid w:val="00704AF7"/>
    <w:rsid w:val="0070521D"/>
    <w:rsid w:val="0070577A"/>
    <w:rsid w:val="0070697F"/>
    <w:rsid w:val="00711192"/>
    <w:rsid w:val="007120EE"/>
    <w:rsid w:val="00715982"/>
    <w:rsid w:val="00715F0E"/>
    <w:rsid w:val="00721865"/>
    <w:rsid w:val="0072199C"/>
    <w:rsid w:val="00722C9F"/>
    <w:rsid w:val="007253B8"/>
    <w:rsid w:val="007275EB"/>
    <w:rsid w:val="0073346D"/>
    <w:rsid w:val="0073741F"/>
    <w:rsid w:val="007406E0"/>
    <w:rsid w:val="007417AF"/>
    <w:rsid w:val="00741FCC"/>
    <w:rsid w:val="007505D4"/>
    <w:rsid w:val="007539FB"/>
    <w:rsid w:val="007544B3"/>
    <w:rsid w:val="00762414"/>
    <w:rsid w:val="00762EBB"/>
    <w:rsid w:val="00765868"/>
    <w:rsid w:val="00766178"/>
    <w:rsid w:val="0076643F"/>
    <w:rsid w:val="007674AA"/>
    <w:rsid w:val="00767D05"/>
    <w:rsid w:val="0077264C"/>
    <w:rsid w:val="0077269F"/>
    <w:rsid w:val="00772807"/>
    <w:rsid w:val="007737DF"/>
    <w:rsid w:val="00775913"/>
    <w:rsid w:val="00775BDD"/>
    <w:rsid w:val="00777F63"/>
    <w:rsid w:val="00780AE3"/>
    <w:rsid w:val="00782748"/>
    <w:rsid w:val="00782AD7"/>
    <w:rsid w:val="0078466D"/>
    <w:rsid w:val="00787F1E"/>
    <w:rsid w:val="00794345"/>
    <w:rsid w:val="0079626A"/>
    <w:rsid w:val="007A4DDB"/>
    <w:rsid w:val="007A5817"/>
    <w:rsid w:val="007B0047"/>
    <w:rsid w:val="007B0908"/>
    <w:rsid w:val="007B60E9"/>
    <w:rsid w:val="007B6589"/>
    <w:rsid w:val="007B6CC3"/>
    <w:rsid w:val="007C1C9F"/>
    <w:rsid w:val="007C3334"/>
    <w:rsid w:val="007C655E"/>
    <w:rsid w:val="007C743F"/>
    <w:rsid w:val="007C747F"/>
    <w:rsid w:val="007C777C"/>
    <w:rsid w:val="007D286D"/>
    <w:rsid w:val="007D2B98"/>
    <w:rsid w:val="007D52EE"/>
    <w:rsid w:val="007D7640"/>
    <w:rsid w:val="007E1669"/>
    <w:rsid w:val="007E21BC"/>
    <w:rsid w:val="007E41AB"/>
    <w:rsid w:val="007E7B9F"/>
    <w:rsid w:val="007F0764"/>
    <w:rsid w:val="007F3B1A"/>
    <w:rsid w:val="007F4500"/>
    <w:rsid w:val="007F50EF"/>
    <w:rsid w:val="00803F1C"/>
    <w:rsid w:val="00804777"/>
    <w:rsid w:val="0080600E"/>
    <w:rsid w:val="008075E5"/>
    <w:rsid w:val="00810D8A"/>
    <w:rsid w:val="008126F0"/>
    <w:rsid w:val="00813100"/>
    <w:rsid w:val="00817612"/>
    <w:rsid w:val="00820C69"/>
    <w:rsid w:val="00821738"/>
    <w:rsid w:val="00830420"/>
    <w:rsid w:val="00831155"/>
    <w:rsid w:val="00831365"/>
    <w:rsid w:val="008325D9"/>
    <w:rsid w:val="008338A4"/>
    <w:rsid w:val="00833E2A"/>
    <w:rsid w:val="00837C45"/>
    <w:rsid w:val="00840450"/>
    <w:rsid w:val="00842241"/>
    <w:rsid w:val="008422FF"/>
    <w:rsid w:val="00844730"/>
    <w:rsid w:val="00844736"/>
    <w:rsid w:val="00844D73"/>
    <w:rsid w:val="008457C2"/>
    <w:rsid w:val="00846EF1"/>
    <w:rsid w:val="00847102"/>
    <w:rsid w:val="008553C6"/>
    <w:rsid w:val="00855BE2"/>
    <w:rsid w:val="00856052"/>
    <w:rsid w:val="00857A82"/>
    <w:rsid w:val="00861EF7"/>
    <w:rsid w:val="00864A05"/>
    <w:rsid w:val="008651FF"/>
    <w:rsid w:val="008704E4"/>
    <w:rsid w:val="00872E3A"/>
    <w:rsid w:val="00872F17"/>
    <w:rsid w:val="00873836"/>
    <w:rsid w:val="008746A7"/>
    <w:rsid w:val="008751A9"/>
    <w:rsid w:val="008817AB"/>
    <w:rsid w:val="008838D0"/>
    <w:rsid w:val="00883A74"/>
    <w:rsid w:val="00883C0A"/>
    <w:rsid w:val="00885737"/>
    <w:rsid w:val="00887CB8"/>
    <w:rsid w:val="00887FD6"/>
    <w:rsid w:val="00890650"/>
    <w:rsid w:val="00890CEB"/>
    <w:rsid w:val="008950C3"/>
    <w:rsid w:val="00897E12"/>
    <w:rsid w:val="008A01DB"/>
    <w:rsid w:val="008A1545"/>
    <w:rsid w:val="008A24FA"/>
    <w:rsid w:val="008A4A02"/>
    <w:rsid w:val="008A7A51"/>
    <w:rsid w:val="008A7E0F"/>
    <w:rsid w:val="008B12F5"/>
    <w:rsid w:val="008B6550"/>
    <w:rsid w:val="008B6C8E"/>
    <w:rsid w:val="008C2961"/>
    <w:rsid w:val="008C2F70"/>
    <w:rsid w:val="008C60D9"/>
    <w:rsid w:val="008D057C"/>
    <w:rsid w:val="008D0A48"/>
    <w:rsid w:val="008D534E"/>
    <w:rsid w:val="008D768D"/>
    <w:rsid w:val="008E0EB3"/>
    <w:rsid w:val="008E3759"/>
    <w:rsid w:val="008E4915"/>
    <w:rsid w:val="008E4AB9"/>
    <w:rsid w:val="008E79BF"/>
    <w:rsid w:val="008F1912"/>
    <w:rsid w:val="0090270B"/>
    <w:rsid w:val="009041DC"/>
    <w:rsid w:val="009051ED"/>
    <w:rsid w:val="00911CEA"/>
    <w:rsid w:val="00913522"/>
    <w:rsid w:val="00915CEE"/>
    <w:rsid w:val="00916B32"/>
    <w:rsid w:val="00917B5A"/>
    <w:rsid w:val="00920A58"/>
    <w:rsid w:val="00920A8C"/>
    <w:rsid w:val="00920BC4"/>
    <w:rsid w:val="00920C48"/>
    <w:rsid w:val="0092628C"/>
    <w:rsid w:val="00926406"/>
    <w:rsid w:val="0092741C"/>
    <w:rsid w:val="00927850"/>
    <w:rsid w:val="00933923"/>
    <w:rsid w:val="00934A2C"/>
    <w:rsid w:val="009358F9"/>
    <w:rsid w:val="00937B6C"/>
    <w:rsid w:val="009402AA"/>
    <w:rsid w:val="00940459"/>
    <w:rsid w:val="0094295C"/>
    <w:rsid w:val="00946A6F"/>
    <w:rsid w:val="009470DA"/>
    <w:rsid w:val="009475D2"/>
    <w:rsid w:val="00954AB9"/>
    <w:rsid w:val="009568DB"/>
    <w:rsid w:val="0096706E"/>
    <w:rsid w:val="00967874"/>
    <w:rsid w:val="00970CD7"/>
    <w:rsid w:val="009715F8"/>
    <w:rsid w:val="00973040"/>
    <w:rsid w:val="0097378B"/>
    <w:rsid w:val="00975C4E"/>
    <w:rsid w:val="00981FBA"/>
    <w:rsid w:val="00994990"/>
    <w:rsid w:val="00996E8A"/>
    <w:rsid w:val="009974B7"/>
    <w:rsid w:val="00997BC5"/>
    <w:rsid w:val="009A03EE"/>
    <w:rsid w:val="009A4F41"/>
    <w:rsid w:val="009B2E24"/>
    <w:rsid w:val="009B381B"/>
    <w:rsid w:val="009B5834"/>
    <w:rsid w:val="009B646B"/>
    <w:rsid w:val="009B6476"/>
    <w:rsid w:val="009B6D25"/>
    <w:rsid w:val="009C48E0"/>
    <w:rsid w:val="009C6768"/>
    <w:rsid w:val="009D0E3D"/>
    <w:rsid w:val="009D1753"/>
    <w:rsid w:val="009D5D72"/>
    <w:rsid w:val="009D7611"/>
    <w:rsid w:val="009D7C0F"/>
    <w:rsid w:val="009E0B61"/>
    <w:rsid w:val="009E1583"/>
    <w:rsid w:val="009E53DE"/>
    <w:rsid w:val="009E682C"/>
    <w:rsid w:val="009E782B"/>
    <w:rsid w:val="009F0086"/>
    <w:rsid w:val="009F0583"/>
    <w:rsid w:val="009F0B9A"/>
    <w:rsid w:val="009F2836"/>
    <w:rsid w:val="009F5241"/>
    <w:rsid w:val="009F69EC"/>
    <w:rsid w:val="00A07CDF"/>
    <w:rsid w:val="00A10F61"/>
    <w:rsid w:val="00A12251"/>
    <w:rsid w:val="00A152A3"/>
    <w:rsid w:val="00A165EA"/>
    <w:rsid w:val="00A17AE5"/>
    <w:rsid w:val="00A17E9D"/>
    <w:rsid w:val="00A2073D"/>
    <w:rsid w:val="00A24CD0"/>
    <w:rsid w:val="00A31B73"/>
    <w:rsid w:val="00A328B3"/>
    <w:rsid w:val="00A37492"/>
    <w:rsid w:val="00A40334"/>
    <w:rsid w:val="00A4195D"/>
    <w:rsid w:val="00A475C6"/>
    <w:rsid w:val="00A47F90"/>
    <w:rsid w:val="00A50FCF"/>
    <w:rsid w:val="00A528D1"/>
    <w:rsid w:val="00A57461"/>
    <w:rsid w:val="00A60795"/>
    <w:rsid w:val="00A610CD"/>
    <w:rsid w:val="00A62021"/>
    <w:rsid w:val="00A62C64"/>
    <w:rsid w:val="00A649C8"/>
    <w:rsid w:val="00A6693C"/>
    <w:rsid w:val="00A70E54"/>
    <w:rsid w:val="00A71887"/>
    <w:rsid w:val="00A72B47"/>
    <w:rsid w:val="00A76CCD"/>
    <w:rsid w:val="00A81F23"/>
    <w:rsid w:val="00A97AEF"/>
    <w:rsid w:val="00AA09A2"/>
    <w:rsid w:val="00AA15E6"/>
    <w:rsid w:val="00AA638D"/>
    <w:rsid w:val="00AA7996"/>
    <w:rsid w:val="00AB1A20"/>
    <w:rsid w:val="00AB4E75"/>
    <w:rsid w:val="00AB6323"/>
    <w:rsid w:val="00AC0370"/>
    <w:rsid w:val="00AC19CB"/>
    <w:rsid w:val="00AC635D"/>
    <w:rsid w:val="00AD5D19"/>
    <w:rsid w:val="00AD5E5D"/>
    <w:rsid w:val="00AD7C4B"/>
    <w:rsid w:val="00AE0B95"/>
    <w:rsid w:val="00AE28B4"/>
    <w:rsid w:val="00AE2982"/>
    <w:rsid w:val="00AE4DA0"/>
    <w:rsid w:val="00AE5488"/>
    <w:rsid w:val="00AE6F91"/>
    <w:rsid w:val="00AF5571"/>
    <w:rsid w:val="00B012AB"/>
    <w:rsid w:val="00B03647"/>
    <w:rsid w:val="00B0531B"/>
    <w:rsid w:val="00B05658"/>
    <w:rsid w:val="00B056A5"/>
    <w:rsid w:val="00B071E3"/>
    <w:rsid w:val="00B07341"/>
    <w:rsid w:val="00B07B35"/>
    <w:rsid w:val="00B14432"/>
    <w:rsid w:val="00B16B83"/>
    <w:rsid w:val="00B20D90"/>
    <w:rsid w:val="00B2420F"/>
    <w:rsid w:val="00B26361"/>
    <w:rsid w:val="00B26E49"/>
    <w:rsid w:val="00B27E65"/>
    <w:rsid w:val="00B303C4"/>
    <w:rsid w:val="00B30539"/>
    <w:rsid w:val="00B314DB"/>
    <w:rsid w:val="00B361F2"/>
    <w:rsid w:val="00B36A06"/>
    <w:rsid w:val="00B36FDF"/>
    <w:rsid w:val="00B3718B"/>
    <w:rsid w:val="00B42DBD"/>
    <w:rsid w:val="00B436BD"/>
    <w:rsid w:val="00B4632A"/>
    <w:rsid w:val="00B47A60"/>
    <w:rsid w:val="00B52719"/>
    <w:rsid w:val="00B52DCE"/>
    <w:rsid w:val="00B530F1"/>
    <w:rsid w:val="00B538FD"/>
    <w:rsid w:val="00B55409"/>
    <w:rsid w:val="00B561B1"/>
    <w:rsid w:val="00B56992"/>
    <w:rsid w:val="00B577E2"/>
    <w:rsid w:val="00B61FC3"/>
    <w:rsid w:val="00B63718"/>
    <w:rsid w:val="00B71B0C"/>
    <w:rsid w:val="00B72B3B"/>
    <w:rsid w:val="00B75262"/>
    <w:rsid w:val="00B75ECA"/>
    <w:rsid w:val="00B7611C"/>
    <w:rsid w:val="00B77B3C"/>
    <w:rsid w:val="00B80AAF"/>
    <w:rsid w:val="00B81BC9"/>
    <w:rsid w:val="00B81E98"/>
    <w:rsid w:val="00B83598"/>
    <w:rsid w:val="00B83E39"/>
    <w:rsid w:val="00B851B0"/>
    <w:rsid w:val="00B8577A"/>
    <w:rsid w:val="00B8787B"/>
    <w:rsid w:val="00B909FF"/>
    <w:rsid w:val="00B95E6A"/>
    <w:rsid w:val="00BA0CAD"/>
    <w:rsid w:val="00BA1F3A"/>
    <w:rsid w:val="00BA276C"/>
    <w:rsid w:val="00BA5B21"/>
    <w:rsid w:val="00BA7E55"/>
    <w:rsid w:val="00BB306F"/>
    <w:rsid w:val="00BB414D"/>
    <w:rsid w:val="00BB422C"/>
    <w:rsid w:val="00BB757B"/>
    <w:rsid w:val="00BC06F9"/>
    <w:rsid w:val="00BC271B"/>
    <w:rsid w:val="00BC2E51"/>
    <w:rsid w:val="00BC55D0"/>
    <w:rsid w:val="00BC771B"/>
    <w:rsid w:val="00BD4B89"/>
    <w:rsid w:val="00BD56A5"/>
    <w:rsid w:val="00BD59AF"/>
    <w:rsid w:val="00BD6245"/>
    <w:rsid w:val="00BE21F5"/>
    <w:rsid w:val="00BF02E9"/>
    <w:rsid w:val="00BF560C"/>
    <w:rsid w:val="00BF64F4"/>
    <w:rsid w:val="00BF6C36"/>
    <w:rsid w:val="00BF6FD8"/>
    <w:rsid w:val="00C00B36"/>
    <w:rsid w:val="00C0216E"/>
    <w:rsid w:val="00C03680"/>
    <w:rsid w:val="00C0483A"/>
    <w:rsid w:val="00C054DF"/>
    <w:rsid w:val="00C066BC"/>
    <w:rsid w:val="00C118D9"/>
    <w:rsid w:val="00C16EAF"/>
    <w:rsid w:val="00C17BCC"/>
    <w:rsid w:val="00C20898"/>
    <w:rsid w:val="00C21762"/>
    <w:rsid w:val="00C24543"/>
    <w:rsid w:val="00C24EF6"/>
    <w:rsid w:val="00C256A2"/>
    <w:rsid w:val="00C318CD"/>
    <w:rsid w:val="00C32F5E"/>
    <w:rsid w:val="00C35D9F"/>
    <w:rsid w:val="00C41880"/>
    <w:rsid w:val="00C42C57"/>
    <w:rsid w:val="00C448BD"/>
    <w:rsid w:val="00C4538D"/>
    <w:rsid w:val="00C45BAA"/>
    <w:rsid w:val="00C45C07"/>
    <w:rsid w:val="00C50FD8"/>
    <w:rsid w:val="00C51515"/>
    <w:rsid w:val="00C54545"/>
    <w:rsid w:val="00C5660B"/>
    <w:rsid w:val="00C61B5B"/>
    <w:rsid w:val="00C66B72"/>
    <w:rsid w:val="00C67EEB"/>
    <w:rsid w:val="00C729DE"/>
    <w:rsid w:val="00C73471"/>
    <w:rsid w:val="00C77A15"/>
    <w:rsid w:val="00C77B4F"/>
    <w:rsid w:val="00C80141"/>
    <w:rsid w:val="00C81C0F"/>
    <w:rsid w:val="00C90443"/>
    <w:rsid w:val="00C912E5"/>
    <w:rsid w:val="00C9567A"/>
    <w:rsid w:val="00C96EC7"/>
    <w:rsid w:val="00CA17C9"/>
    <w:rsid w:val="00CA4B0F"/>
    <w:rsid w:val="00CA578D"/>
    <w:rsid w:val="00CA70A2"/>
    <w:rsid w:val="00CB1D11"/>
    <w:rsid w:val="00CB212D"/>
    <w:rsid w:val="00CB2660"/>
    <w:rsid w:val="00CB6E11"/>
    <w:rsid w:val="00CB72CF"/>
    <w:rsid w:val="00CC0739"/>
    <w:rsid w:val="00CC5E90"/>
    <w:rsid w:val="00CC6E48"/>
    <w:rsid w:val="00CD046C"/>
    <w:rsid w:val="00CD496A"/>
    <w:rsid w:val="00CD63FB"/>
    <w:rsid w:val="00CE076C"/>
    <w:rsid w:val="00CE3216"/>
    <w:rsid w:val="00CE3776"/>
    <w:rsid w:val="00CE4E23"/>
    <w:rsid w:val="00CE5199"/>
    <w:rsid w:val="00CE6553"/>
    <w:rsid w:val="00CE66D5"/>
    <w:rsid w:val="00CE7F7C"/>
    <w:rsid w:val="00CF09B0"/>
    <w:rsid w:val="00CF37A3"/>
    <w:rsid w:val="00CF637A"/>
    <w:rsid w:val="00CF79E0"/>
    <w:rsid w:val="00D00E04"/>
    <w:rsid w:val="00D03F56"/>
    <w:rsid w:val="00D059DE"/>
    <w:rsid w:val="00D10221"/>
    <w:rsid w:val="00D110D7"/>
    <w:rsid w:val="00D127A5"/>
    <w:rsid w:val="00D13FCE"/>
    <w:rsid w:val="00D1486E"/>
    <w:rsid w:val="00D15F9D"/>
    <w:rsid w:val="00D1656C"/>
    <w:rsid w:val="00D221BC"/>
    <w:rsid w:val="00D276C0"/>
    <w:rsid w:val="00D277F8"/>
    <w:rsid w:val="00D27EC5"/>
    <w:rsid w:val="00D306D1"/>
    <w:rsid w:val="00D30FF3"/>
    <w:rsid w:val="00D31F2B"/>
    <w:rsid w:val="00D34786"/>
    <w:rsid w:val="00D35267"/>
    <w:rsid w:val="00D354C3"/>
    <w:rsid w:val="00D377B9"/>
    <w:rsid w:val="00D37BFC"/>
    <w:rsid w:val="00D41E96"/>
    <w:rsid w:val="00D43B3E"/>
    <w:rsid w:val="00D454E9"/>
    <w:rsid w:val="00D47A8E"/>
    <w:rsid w:val="00D52D14"/>
    <w:rsid w:val="00D55C76"/>
    <w:rsid w:val="00D560EE"/>
    <w:rsid w:val="00D60065"/>
    <w:rsid w:val="00D61AA1"/>
    <w:rsid w:val="00D637E9"/>
    <w:rsid w:val="00D66217"/>
    <w:rsid w:val="00D712D3"/>
    <w:rsid w:val="00D71422"/>
    <w:rsid w:val="00D72DC6"/>
    <w:rsid w:val="00D7558D"/>
    <w:rsid w:val="00D77BE6"/>
    <w:rsid w:val="00D81899"/>
    <w:rsid w:val="00D81D92"/>
    <w:rsid w:val="00D85FCC"/>
    <w:rsid w:val="00D91341"/>
    <w:rsid w:val="00DA278C"/>
    <w:rsid w:val="00DA7B5F"/>
    <w:rsid w:val="00DB0EA9"/>
    <w:rsid w:val="00DB244D"/>
    <w:rsid w:val="00DB6817"/>
    <w:rsid w:val="00DB797D"/>
    <w:rsid w:val="00DC05BA"/>
    <w:rsid w:val="00DC11E7"/>
    <w:rsid w:val="00DC666E"/>
    <w:rsid w:val="00DC7023"/>
    <w:rsid w:val="00DC73B3"/>
    <w:rsid w:val="00DC769A"/>
    <w:rsid w:val="00DD265A"/>
    <w:rsid w:val="00DD3D86"/>
    <w:rsid w:val="00DD50CA"/>
    <w:rsid w:val="00DD570C"/>
    <w:rsid w:val="00DD67B6"/>
    <w:rsid w:val="00DE3463"/>
    <w:rsid w:val="00DF1EC4"/>
    <w:rsid w:val="00DF46FD"/>
    <w:rsid w:val="00DF65B1"/>
    <w:rsid w:val="00E001AD"/>
    <w:rsid w:val="00E02FFA"/>
    <w:rsid w:val="00E0340B"/>
    <w:rsid w:val="00E04A90"/>
    <w:rsid w:val="00E12774"/>
    <w:rsid w:val="00E1382B"/>
    <w:rsid w:val="00E219C7"/>
    <w:rsid w:val="00E270C2"/>
    <w:rsid w:val="00E306EB"/>
    <w:rsid w:val="00E342EE"/>
    <w:rsid w:val="00E41744"/>
    <w:rsid w:val="00E43157"/>
    <w:rsid w:val="00E43A63"/>
    <w:rsid w:val="00E461CE"/>
    <w:rsid w:val="00E4652F"/>
    <w:rsid w:val="00E50AEB"/>
    <w:rsid w:val="00E52133"/>
    <w:rsid w:val="00E52CEC"/>
    <w:rsid w:val="00E55A14"/>
    <w:rsid w:val="00E55C00"/>
    <w:rsid w:val="00E56B4B"/>
    <w:rsid w:val="00E56D98"/>
    <w:rsid w:val="00E616C3"/>
    <w:rsid w:val="00E625A9"/>
    <w:rsid w:val="00E62A24"/>
    <w:rsid w:val="00E720CA"/>
    <w:rsid w:val="00E75999"/>
    <w:rsid w:val="00E80288"/>
    <w:rsid w:val="00E81DD4"/>
    <w:rsid w:val="00E84EB5"/>
    <w:rsid w:val="00E85662"/>
    <w:rsid w:val="00E8592B"/>
    <w:rsid w:val="00E8789F"/>
    <w:rsid w:val="00E904BF"/>
    <w:rsid w:val="00E91BE0"/>
    <w:rsid w:val="00E9731C"/>
    <w:rsid w:val="00E97B71"/>
    <w:rsid w:val="00EA1C6B"/>
    <w:rsid w:val="00EA3D34"/>
    <w:rsid w:val="00EA3EE4"/>
    <w:rsid w:val="00EA6B75"/>
    <w:rsid w:val="00EA7A4D"/>
    <w:rsid w:val="00EB3CE8"/>
    <w:rsid w:val="00EB454D"/>
    <w:rsid w:val="00EC2086"/>
    <w:rsid w:val="00EC5618"/>
    <w:rsid w:val="00EC5EC6"/>
    <w:rsid w:val="00ED380C"/>
    <w:rsid w:val="00ED3A83"/>
    <w:rsid w:val="00ED5C58"/>
    <w:rsid w:val="00ED76BE"/>
    <w:rsid w:val="00EE1AE4"/>
    <w:rsid w:val="00EF1E7A"/>
    <w:rsid w:val="00EF279B"/>
    <w:rsid w:val="00EF45A4"/>
    <w:rsid w:val="00EF619B"/>
    <w:rsid w:val="00F00012"/>
    <w:rsid w:val="00F003FD"/>
    <w:rsid w:val="00F00B55"/>
    <w:rsid w:val="00F00C45"/>
    <w:rsid w:val="00F01097"/>
    <w:rsid w:val="00F01CBC"/>
    <w:rsid w:val="00F02AD1"/>
    <w:rsid w:val="00F034AD"/>
    <w:rsid w:val="00F05551"/>
    <w:rsid w:val="00F12B00"/>
    <w:rsid w:val="00F14F38"/>
    <w:rsid w:val="00F15BAF"/>
    <w:rsid w:val="00F15DD3"/>
    <w:rsid w:val="00F17D97"/>
    <w:rsid w:val="00F2241E"/>
    <w:rsid w:val="00F253CC"/>
    <w:rsid w:val="00F258BD"/>
    <w:rsid w:val="00F26C7F"/>
    <w:rsid w:val="00F26DBB"/>
    <w:rsid w:val="00F275ED"/>
    <w:rsid w:val="00F27887"/>
    <w:rsid w:val="00F3678C"/>
    <w:rsid w:val="00F37106"/>
    <w:rsid w:val="00F3719B"/>
    <w:rsid w:val="00F40DAF"/>
    <w:rsid w:val="00F433B2"/>
    <w:rsid w:val="00F45F31"/>
    <w:rsid w:val="00F467E1"/>
    <w:rsid w:val="00F5010E"/>
    <w:rsid w:val="00F519CF"/>
    <w:rsid w:val="00F51B56"/>
    <w:rsid w:val="00F56534"/>
    <w:rsid w:val="00F56573"/>
    <w:rsid w:val="00F56BA5"/>
    <w:rsid w:val="00F57287"/>
    <w:rsid w:val="00F60E22"/>
    <w:rsid w:val="00F70C11"/>
    <w:rsid w:val="00F77B95"/>
    <w:rsid w:val="00F77FB5"/>
    <w:rsid w:val="00F81395"/>
    <w:rsid w:val="00F87A1A"/>
    <w:rsid w:val="00F917D1"/>
    <w:rsid w:val="00F92641"/>
    <w:rsid w:val="00F95293"/>
    <w:rsid w:val="00F963A6"/>
    <w:rsid w:val="00F9653B"/>
    <w:rsid w:val="00FA451A"/>
    <w:rsid w:val="00FB0514"/>
    <w:rsid w:val="00FB62CF"/>
    <w:rsid w:val="00FC056F"/>
    <w:rsid w:val="00FC547C"/>
    <w:rsid w:val="00FC6F4A"/>
    <w:rsid w:val="00FC736F"/>
    <w:rsid w:val="00FD3C3B"/>
    <w:rsid w:val="00FD7DB0"/>
    <w:rsid w:val="00FE0465"/>
    <w:rsid w:val="00FE438A"/>
    <w:rsid w:val="00FE5480"/>
    <w:rsid w:val="00FE6B45"/>
    <w:rsid w:val="00FE79E5"/>
    <w:rsid w:val="00FF0BC3"/>
    <w:rsid w:val="00FF0FD7"/>
    <w:rsid w:val="00FF4E2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5B13"/>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15B13"/>
    <w:rPr>
      <w:u w:val="single"/>
    </w:rPr>
  </w:style>
  <w:style w:type="paragraph" w:customStyle="1" w:styleId="Cabeceraypie">
    <w:name w:val="Cabecera y pie"/>
    <w:rsid w:val="00315B13"/>
    <w:pPr>
      <w:tabs>
        <w:tab w:val="right" w:pos="9020"/>
      </w:tabs>
    </w:pPr>
    <w:rPr>
      <w:rFonts w:ascii="Helvetica" w:hAnsi="Arial Unicode MS" w:cs="Arial Unicode MS"/>
      <w:color w:val="000000"/>
      <w:sz w:val="24"/>
      <w:szCs w:val="24"/>
    </w:rPr>
  </w:style>
  <w:style w:type="paragraph" w:styleId="Footer">
    <w:name w:val="footer"/>
    <w:link w:val="FooterChar"/>
    <w:uiPriority w:val="99"/>
    <w:rsid w:val="00315B13"/>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315B13"/>
    <w:rPr>
      <w:rFonts w:ascii="Cambria" w:eastAsia="Cambria" w:hAnsi="Cambria" w:cs="Cambria"/>
      <w:color w:val="000000"/>
      <w:sz w:val="24"/>
      <w:szCs w:val="24"/>
      <w:u w:color="000000"/>
    </w:rPr>
  </w:style>
  <w:style w:type="paragraph" w:styleId="BodyTextIndent">
    <w:name w:val="Body Text Indent"/>
    <w:rsid w:val="00315B13"/>
    <w:pPr>
      <w:ind w:left="2160" w:hanging="720"/>
    </w:pPr>
    <w:rPr>
      <w:rFonts w:eastAsia="Times New Roman"/>
      <w:color w:val="000000"/>
      <w:sz w:val="24"/>
      <w:szCs w:val="24"/>
      <w:u w:color="000000"/>
      <w:lang w:val="es-ES_tradnl"/>
    </w:rPr>
  </w:style>
  <w:style w:type="paragraph" w:styleId="ListParagraph">
    <w:name w:val="List Paragraph"/>
    <w:uiPriority w:val="34"/>
    <w:qFormat/>
    <w:rsid w:val="00315B13"/>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315B13"/>
    <w:pPr>
      <w:numPr>
        <w:numId w:val="31"/>
      </w:numPr>
    </w:pPr>
  </w:style>
  <w:style w:type="numbering" w:customStyle="1" w:styleId="Estiloimportado1">
    <w:name w:val="Estilo importado 1"/>
    <w:rsid w:val="00315B13"/>
  </w:style>
  <w:style w:type="numbering" w:customStyle="1" w:styleId="List1">
    <w:name w:val="List 1"/>
    <w:basedOn w:val="Estiloimportado2"/>
    <w:rsid w:val="00315B13"/>
    <w:pPr>
      <w:numPr>
        <w:numId w:val="1"/>
      </w:numPr>
    </w:pPr>
  </w:style>
  <w:style w:type="numbering" w:customStyle="1" w:styleId="Estiloimportado2">
    <w:name w:val="Estilo importado 2"/>
    <w:rsid w:val="00315B13"/>
  </w:style>
  <w:style w:type="numbering" w:customStyle="1" w:styleId="List210">
    <w:name w:val="List 21"/>
    <w:basedOn w:val="Estiloimportado3"/>
    <w:rsid w:val="00315B13"/>
    <w:pPr>
      <w:numPr>
        <w:numId w:val="52"/>
      </w:numPr>
    </w:pPr>
  </w:style>
  <w:style w:type="numbering" w:customStyle="1" w:styleId="Estiloimportado3">
    <w:name w:val="Estilo importado 3"/>
    <w:rsid w:val="00315B13"/>
  </w:style>
  <w:style w:type="numbering" w:customStyle="1" w:styleId="List31">
    <w:name w:val="List 31"/>
    <w:basedOn w:val="Estiloimportado4"/>
    <w:rsid w:val="00315B13"/>
    <w:pPr>
      <w:numPr>
        <w:numId w:val="51"/>
      </w:numPr>
    </w:pPr>
  </w:style>
  <w:style w:type="numbering" w:customStyle="1" w:styleId="Estiloimportado4">
    <w:name w:val="Estilo importado 4"/>
    <w:rsid w:val="00315B13"/>
  </w:style>
  <w:style w:type="numbering" w:customStyle="1" w:styleId="List41">
    <w:name w:val="List 41"/>
    <w:basedOn w:val="Estiloimportado5"/>
    <w:rsid w:val="00315B13"/>
    <w:pPr>
      <w:numPr>
        <w:numId w:val="2"/>
      </w:numPr>
    </w:pPr>
  </w:style>
  <w:style w:type="numbering" w:customStyle="1" w:styleId="Estiloimportado5">
    <w:name w:val="Estilo importado 5"/>
    <w:rsid w:val="00315B13"/>
  </w:style>
  <w:style w:type="numbering" w:customStyle="1" w:styleId="List510">
    <w:name w:val="List 51"/>
    <w:basedOn w:val="Estiloimportado6"/>
    <w:rsid w:val="00315B13"/>
    <w:pPr>
      <w:numPr>
        <w:numId w:val="54"/>
      </w:numPr>
    </w:pPr>
  </w:style>
  <w:style w:type="numbering" w:customStyle="1" w:styleId="Estiloimportado6">
    <w:name w:val="Estilo importado 6"/>
    <w:rsid w:val="00315B13"/>
  </w:style>
  <w:style w:type="numbering" w:customStyle="1" w:styleId="List6">
    <w:name w:val="List 6"/>
    <w:basedOn w:val="Estiloimportado7"/>
    <w:rsid w:val="00315B13"/>
    <w:pPr>
      <w:numPr>
        <w:numId w:val="3"/>
      </w:numPr>
    </w:pPr>
  </w:style>
  <w:style w:type="numbering" w:customStyle="1" w:styleId="Estiloimportado7">
    <w:name w:val="Estilo importado 7"/>
    <w:rsid w:val="00315B13"/>
  </w:style>
  <w:style w:type="numbering" w:customStyle="1" w:styleId="List7">
    <w:name w:val="List 7"/>
    <w:basedOn w:val="Estiloimportado8"/>
    <w:rsid w:val="00315B13"/>
    <w:pPr>
      <w:numPr>
        <w:numId w:val="4"/>
      </w:numPr>
    </w:pPr>
  </w:style>
  <w:style w:type="numbering" w:customStyle="1" w:styleId="Estiloimportado8">
    <w:name w:val="Estilo importado 8"/>
    <w:rsid w:val="00315B13"/>
  </w:style>
  <w:style w:type="numbering" w:customStyle="1" w:styleId="List8">
    <w:name w:val="List 8"/>
    <w:basedOn w:val="Estiloimportado9"/>
    <w:rsid w:val="00315B13"/>
    <w:pPr>
      <w:numPr>
        <w:numId w:val="5"/>
      </w:numPr>
    </w:pPr>
  </w:style>
  <w:style w:type="numbering" w:customStyle="1" w:styleId="Estiloimportado9">
    <w:name w:val="Estilo importado 9"/>
    <w:rsid w:val="00315B13"/>
  </w:style>
  <w:style w:type="numbering" w:customStyle="1" w:styleId="List9">
    <w:name w:val="List 9"/>
    <w:basedOn w:val="Estiloimportado10"/>
    <w:rsid w:val="00315B13"/>
    <w:pPr>
      <w:numPr>
        <w:numId w:val="22"/>
      </w:numPr>
    </w:pPr>
  </w:style>
  <w:style w:type="numbering" w:customStyle="1" w:styleId="Estiloimportado10">
    <w:name w:val="Estilo importado 10"/>
    <w:rsid w:val="00315B13"/>
  </w:style>
  <w:style w:type="numbering" w:customStyle="1" w:styleId="List10">
    <w:name w:val="List 10"/>
    <w:basedOn w:val="Estiloimportado11"/>
    <w:rsid w:val="00315B13"/>
    <w:pPr>
      <w:numPr>
        <w:numId w:val="6"/>
      </w:numPr>
    </w:pPr>
  </w:style>
  <w:style w:type="numbering" w:customStyle="1" w:styleId="Estiloimportado11">
    <w:name w:val="Estilo importado 11"/>
    <w:rsid w:val="00315B13"/>
  </w:style>
  <w:style w:type="numbering" w:customStyle="1" w:styleId="List11">
    <w:name w:val="List 11"/>
    <w:basedOn w:val="Estiloimportado12"/>
    <w:rsid w:val="00315B13"/>
    <w:pPr>
      <w:numPr>
        <w:numId w:val="7"/>
      </w:numPr>
    </w:pPr>
  </w:style>
  <w:style w:type="numbering" w:customStyle="1" w:styleId="Estiloimportado12">
    <w:name w:val="Estilo importado 12"/>
    <w:rsid w:val="00315B13"/>
  </w:style>
  <w:style w:type="numbering" w:customStyle="1" w:styleId="List12">
    <w:name w:val="List 12"/>
    <w:basedOn w:val="Estiloimportado13"/>
    <w:rsid w:val="00315B13"/>
    <w:pPr>
      <w:numPr>
        <w:numId w:val="36"/>
      </w:numPr>
    </w:pPr>
  </w:style>
  <w:style w:type="numbering" w:customStyle="1" w:styleId="Estiloimportado13">
    <w:name w:val="Estilo importado 13"/>
    <w:rsid w:val="00315B13"/>
  </w:style>
  <w:style w:type="numbering" w:customStyle="1" w:styleId="List13">
    <w:name w:val="List 13"/>
    <w:basedOn w:val="Estiloimportado14"/>
    <w:rsid w:val="00315B13"/>
    <w:pPr>
      <w:numPr>
        <w:numId w:val="42"/>
      </w:numPr>
    </w:pPr>
  </w:style>
  <w:style w:type="numbering" w:customStyle="1" w:styleId="Estiloimportado14">
    <w:name w:val="Estilo importado 14"/>
    <w:rsid w:val="00315B13"/>
  </w:style>
  <w:style w:type="numbering" w:customStyle="1" w:styleId="List14">
    <w:name w:val="List 14"/>
    <w:basedOn w:val="Estiloimportado15"/>
    <w:rsid w:val="00315B13"/>
    <w:pPr>
      <w:numPr>
        <w:numId w:val="17"/>
      </w:numPr>
    </w:pPr>
  </w:style>
  <w:style w:type="numbering" w:customStyle="1" w:styleId="Estiloimportado15">
    <w:name w:val="Estilo importado 15"/>
    <w:rsid w:val="00315B13"/>
  </w:style>
  <w:style w:type="numbering" w:customStyle="1" w:styleId="List15">
    <w:name w:val="List 15"/>
    <w:basedOn w:val="Estiloimportado16"/>
    <w:rsid w:val="00315B13"/>
    <w:pPr>
      <w:numPr>
        <w:numId w:val="16"/>
      </w:numPr>
    </w:pPr>
  </w:style>
  <w:style w:type="numbering" w:customStyle="1" w:styleId="Estiloimportado16">
    <w:name w:val="Estilo importado 16"/>
    <w:rsid w:val="00315B13"/>
  </w:style>
  <w:style w:type="numbering" w:customStyle="1" w:styleId="List16">
    <w:name w:val="List 16"/>
    <w:basedOn w:val="Estiloimportado16"/>
    <w:rsid w:val="00315B13"/>
    <w:pPr>
      <w:numPr>
        <w:numId w:val="10"/>
      </w:numPr>
    </w:pPr>
  </w:style>
  <w:style w:type="numbering" w:customStyle="1" w:styleId="List17">
    <w:name w:val="List 17"/>
    <w:basedOn w:val="Estiloimportado17"/>
    <w:rsid w:val="00315B13"/>
    <w:pPr>
      <w:numPr>
        <w:numId w:val="25"/>
      </w:numPr>
    </w:pPr>
  </w:style>
  <w:style w:type="numbering" w:customStyle="1" w:styleId="Estiloimportado17">
    <w:name w:val="Estilo importado 17"/>
    <w:rsid w:val="00315B13"/>
  </w:style>
  <w:style w:type="numbering" w:customStyle="1" w:styleId="List18">
    <w:name w:val="List 18"/>
    <w:basedOn w:val="Estiloimportado18"/>
    <w:rsid w:val="00315B13"/>
    <w:pPr>
      <w:numPr>
        <w:numId w:val="27"/>
      </w:numPr>
    </w:pPr>
  </w:style>
  <w:style w:type="numbering" w:customStyle="1" w:styleId="Estiloimportado18">
    <w:name w:val="Estilo importado 18"/>
    <w:rsid w:val="00315B13"/>
  </w:style>
  <w:style w:type="numbering" w:customStyle="1" w:styleId="List19">
    <w:name w:val="List 19"/>
    <w:basedOn w:val="Estiloimportado10"/>
    <w:rsid w:val="00315B13"/>
    <w:pPr>
      <w:numPr>
        <w:numId w:val="19"/>
      </w:numPr>
    </w:pPr>
  </w:style>
  <w:style w:type="numbering" w:customStyle="1" w:styleId="List20">
    <w:name w:val="List 20"/>
    <w:basedOn w:val="Estiloimportado12"/>
    <w:rsid w:val="00315B13"/>
    <w:pPr>
      <w:numPr>
        <w:numId w:val="43"/>
      </w:numPr>
    </w:pPr>
  </w:style>
  <w:style w:type="numbering" w:customStyle="1" w:styleId="List21">
    <w:name w:val="List 21"/>
    <w:basedOn w:val="Estiloimportado19"/>
    <w:rsid w:val="00315B13"/>
    <w:pPr>
      <w:numPr>
        <w:numId w:val="38"/>
      </w:numPr>
    </w:pPr>
  </w:style>
  <w:style w:type="numbering" w:customStyle="1" w:styleId="Estiloimportado19">
    <w:name w:val="Estilo importado 19"/>
    <w:rsid w:val="00315B13"/>
  </w:style>
  <w:style w:type="numbering" w:customStyle="1" w:styleId="List22">
    <w:name w:val="List 22"/>
    <w:basedOn w:val="Estiloimportado19"/>
    <w:rsid w:val="00315B13"/>
    <w:pPr>
      <w:numPr>
        <w:numId w:val="28"/>
      </w:numPr>
    </w:pPr>
  </w:style>
  <w:style w:type="numbering" w:customStyle="1" w:styleId="List23">
    <w:name w:val="List 23"/>
    <w:basedOn w:val="Estiloimportado19"/>
    <w:rsid w:val="00315B13"/>
    <w:pPr>
      <w:numPr>
        <w:numId w:val="18"/>
      </w:numPr>
    </w:pPr>
  </w:style>
  <w:style w:type="numbering" w:customStyle="1" w:styleId="List24">
    <w:name w:val="List 24"/>
    <w:basedOn w:val="Estiloimportado20"/>
    <w:rsid w:val="00315B13"/>
    <w:pPr>
      <w:numPr>
        <w:numId w:val="13"/>
      </w:numPr>
    </w:pPr>
  </w:style>
  <w:style w:type="numbering" w:customStyle="1" w:styleId="Estiloimportado20">
    <w:name w:val="Estilo importado 20"/>
    <w:rsid w:val="00315B13"/>
  </w:style>
  <w:style w:type="numbering" w:customStyle="1" w:styleId="List25">
    <w:name w:val="List 25"/>
    <w:basedOn w:val="Estiloimportado21"/>
    <w:rsid w:val="00315B13"/>
    <w:pPr>
      <w:numPr>
        <w:numId w:val="15"/>
      </w:numPr>
    </w:pPr>
  </w:style>
  <w:style w:type="numbering" w:customStyle="1" w:styleId="Estiloimportado21">
    <w:name w:val="Estilo importado 21"/>
    <w:rsid w:val="00315B13"/>
  </w:style>
  <w:style w:type="numbering" w:customStyle="1" w:styleId="List26">
    <w:name w:val="List 26"/>
    <w:basedOn w:val="Estiloimportado22"/>
    <w:rsid w:val="00315B13"/>
    <w:pPr>
      <w:numPr>
        <w:numId w:val="49"/>
      </w:numPr>
    </w:pPr>
  </w:style>
  <w:style w:type="numbering" w:customStyle="1" w:styleId="Estiloimportado22">
    <w:name w:val="Estilo importado 22"/>
    <w:rsid w:val="00315B13"/>
  </w:style>
  <w:style w:type="numbering" w:customStyle="1" w:styleId="List27">
    <w:name w:val="List 27"/>
    <w:basedOn w:val="Estiloimportado23"/>
    <w:rsid w:val="00315B13"/>
    <w:pPr>
      <w:numPr>
        <w:numId w:val="41"/>
      </w:numPr>
    </w:pPr>
  </w:style>
  <w:style w:type="numbering" w:customStyle="1" w:styleId="Estiloimportado23">
    <w:name w:val="Estilo importado 23"/>
    <w:rsid w:val="00315B13"/>
  </w:style>
  <w:style w:type="numbering" w:customStyle="1" w:styleId="List28">
    <w:name w:val="List 28"/>
    <w:basedOn w:val="Estiloimportado24"/>
    <w:rsid w:val="00315B13"/>
    <w:pPr>
      <w:numPr>
        <w:numId w:val="30"/>
      </w:numPr>
    </w:pPr>
  </w:style>
  <w:style w:type="numbering" w:customStyle="1" w:styleId="Estiloimportado24">
    <w:name w:val="Estilo importado 24"/>
    <w:rsid w:val="00315B13"/>
  </w:style>
  <w:style w:type="numbering" w:customStyle="1" w:styleId="List29">
    <w:name w:val="List 29"/>
    <w:basedOn w:val="Estiloimportado25"/>
    <w:rsid w:val="00315B13"/>
    <w:pPr>
      <w:numPr>
        <w:numId w:val="34"/>
      </w:numPr>
    </w:pPr>
  </w:style>
  <w:style w:type="numbering" w:customStyle="1" w:styleId="Estiloimportado25">
    <w:name w:val="Estilo importado 25"/>
    <w:rsid w:val="00315B13"/>
  </w:style>
  <w:style w:type="numbering" w:customStyle="1" w:styleId="List30">
    <w:name w:val="List 30"/>
    <w:basedOn w:val="Estiloimportado26"/>
    <w:rsid w:val="00315B13"/>
    <w:pPr>
      <w:numPr>
        <w:numId w:val="32"/>
      </w:numPr>
    </w:pPr>
  </w:style>
  <w:style w:type="numbering" w:customStyle="1" w:styleId="Estiloimportado26">
    <w:name w:val="Estilo importado 26"/>
    <w:rsid w:val="00315B13"/>
  </w:style>
  <w:style w:type="numbering" w:customStyle="1" w:styleId="List310">
    <w:name w:val="List 31"/>
    <w:basedOn w:val="Estiloimportado27"/>
    <w:rsid w:val="00315B13"/>
    <w:pPr>
      <w:numPr>
        <w:numId w:val="45"/>
      </w:numPr>
    </w:pPr>
  </w:style>
  <w:style w:type="numbering" w:customStyle="1" w:styleId="Estiloimportado27">
    <w:name w:val="Estilo importado 27"/>
    <w:rsid w:val="00315B13"/>
  </w:style>
  <w:style w:type="numbering" w:customStyle="1" w:styleId="List32">
    <w:name w:val="List 32"/>
    <w:basedOn w:val="Estiloimportado28"/>
    <w:rsid w:val="00315B13"/>
    <w:pPr>
      <w:numPr>
        <w:numId w:val="48"/>
      </w:numPr>
    </w:pPr>
  </w:style>
  <w:style w:type="numbering" w:customStyle="1" w:styleId="Estiloimportado28">
    <w:name w:val="Estilo importado 28"/>
    <w:rsid w:val="00315B13"/>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315B13"/>
    <w:rPr>
      <w:rFonts w:ascii="Calibri" w:eastAsia="Calibri" w:hAnsi="Calibri" w:cs="Calibri"/>
      <w:color w:val="000000"/>
      <w:u w:color="000000"/>
      <w:lang w:val="en-US"/>
    </w:rPr>
  </w:style>
  <w:style w:type="numbering" w:customStyle="1" w:styleId="List33">
    <w:name w:val="List 33"/>
    <w:basedOn w:val="Estiloimportado29"/>
    <w:rsid w:val="00315B13"/>
    <w:pPr>
      <w:numPr>
        <w:numId w:val="26"/>
      </w:numPr>
    </w:pPr>
  </w:style>
  <w:style w:type="numbering" w:customStyle="1" w:styleId="Estiloimportado29">
    <w:name w:val="Estilo importado 29"/>
    <w:rsid w:val="00315B13"/>
  </w:style>
  <w:style w:type="numbering" w:customStyle="1" w:styleId="List34">
    <w:name w:val="List 34"/>
    <w:basedOn w:val="Estiloimportado30"/>
    <w:rsid w:val="00315B13"/>
    <w:pPr>
      <w:numPr>
        <w:numId w:val="11"/>
      </w:numPr>
    </w:pPr>
  </w:style>
  <w:style w:type="numbering" w:customStyle="1" w:styleId="Estiloimportado30">
    <w:name w:val="Estilo importado 30"/>
    <w:rsid w:val="00315B13"/>
  </w:style>
  <w:style w:type="numbering" w:customStyle="1" w:styleId="List35">
    <w:name w:val="List 35"/>
    <w:basedOn w:val="Estiloimportado31"/>
    <w:rsid w:val="00315B13"/>
    <w:pPr>
      <w:numPr>
        <w:numId w:val="8"/>
      </w:numPr>
    </w:pPr>
  </w:style>
  <w:style w:type="numbering" w:customStyle="1" w:styleId="Estiloimportado31">
    <w:name w:val="Estilo importado 31"/>
    <w:rsid w:val="00315B13"/>
  </w:style>
  <w:style w:type="numbering" w:customStyle="1" w:styleId="List36">
    <w:name w:val="List 36"/>
    <w:basedOn w:val="Estiloimportado32"/>
    <w:rsid w:val="00315B13"/>
    <w:pPr>
      <w:numPr>
        <w:numId w:val="14"/>
      </w:numPr>
    </w:pPr>
  </w:style>
  <w:style w:type="numbering" w:customStyle="1" w:styleId="Estiloimportado32">
    <w:name w:val="Estilo importado 32"/>
    <w:rsid w:val="00315B13"/>
  </w:style>
  <w:style w:type="numbering" w:customStyle="1" w:styleId="List37">
    <w:name w:val="List 37"/>
    <w:basedOn w:val="Estiloimportado33"/>
    <w:rsid w:val="00315B13"/>
    <w:pPr>
      <w:numPr>
        <w:numId w:val="47"/>
      </w:numPr>
    </w:pPr>
  </w:style>
  <w:style w:type="numbering" w:customStyle="1" w:styleId="Estiloimportado33">
    <w:name w:val="Estilo importado 33"/>
    <w:rsid w:val="00315B13"/>
  </w:style>
  <w:style w:type="numbering" w:customStyle="1" w:styleId="List38">
    <w:name w:val="List 38"/>
    <w:basedOn w:val="Estiloimportado34"/>
    <w:rsid w:val="00315B13"/>
    <w:pPr>
      <w:numPr>
        <w:numId w:val="35"/>
      </w:numPr>
    </w:pPr>
  </w:style>
  <w:style w:type="numbering" w:customStyle="1" w:styleId="Estiloimportado34">
    <w:name w:val="Estilo importado 34"/>
    <w:rsid w:val="00315B13"/>
  </w:style>
  <w:style w:type="numbering" w:customStyle="1" w:styleId="List39">
    <w:name w:val="List 39"/>
    <w:basedOn w:val="Estiloimportado35"/>
    <w:rsid w:val="00315B13"/>
    <w:pPr>
      <w:numPr>
        <w:numId w:val="46"/>
      </w:numPr>
    </w:pPr>
  </w:style>
  <w:style w:type="numbering" w:customStyle="1" w:styleId="Estiloimportado35">
    <w:name w:val="Estilo importado 35"/>
    <w:rsid w:val="00315B13"/>
  </w:style>
  <w:style w:type="numbering" w:customStyle="1" w:styleId="List40">
    <w:name w:val="List 40"/>
    <w:basedOn w:val="Estiloimportado36"/>
    <w:rsid w:val="00315B13"/>
    <w:pPr>
      <w:numPr>
        <w:numId w:val="21"/>
      </w:numPr>
    </w:pPr>
  </w:style>
  <w:style w:type="numbering" w:customStyle="1" w:styleId="Estiloimportado36">
    <w:name w:val="Estilo importado 36"/>
    <w:rsid w:val="00315B13"/>
  </w:style>
  <w:style w:type="numbering" w:customStyle="1" w:styleId="List410">
    <w:name w:val="List 41"/>
    <w:basedOn w:val="Estiloimportado37"/>
    <w:rsid w:val="00315B13"/>
    <w:pPr>
      <w:numPr>
        <w:numId w:val="44"/>
      </w:numPr>
    </w:pPr>
  </w:style>
  <w:style w:type="numbering" w:customStyle="1" w:styleId="Estiloimportado37">
    <w:name w:val="Estilo importado 37"/>
    <w:rsid w:val="00315B13"/>
  </w:style>
  <w:style w:type="numbering" w:customStyle="1" w:styleId="List42">
    <w:name w:val="List 42"/>
    <w:basedOn w:val="Estiloimportado12"/>
    <w:rsid w:val="00315B13"/>
    <w:pPr>
      <w:numPr>
        <w:numId w:val="12"/>
      </w:numPr>
    </w:pPr>
  </w:style>
  <w:style w:type="numbering" w:customStyle="1" w:styleId="List43">
    <w:name w:val="List 43"/>
    <w:basedOn w:val="Estiloimportado38"/>
    <w:rsid w:val="00315B13"/>
    <w:pPr>
      <w:numPr>
        <w:numId w:val="23"/>
      </w:numPr>
    </w:pPr>
  </w:style>
  <w:style w:type="numbering" w:customStyle="1" w:styleId="Estiloimportado38">
    <w:name w:val="Estilo importado 38"/>
    <w:rsid w:val="00315B13"/>
  </w:style>
  <w:style w:type="numbering" w:customStyle="1" w:styleId="List44">
    <w:name w:val="List 44"/>
    <w:basedOn w:val="Estiloimportado39"/>
    <w:rsid w:val="00315B13"/>
    <w:pPr>
      <w:numPr>
        <w:numId w:val="40"/>
      </w:numPr>
    </w:pPr>
  </w:style>
  <w:style w:type="numbering" w:customStyle="1" w:styleId="Estiloimportado39">
    <w:name w:val="Estilo importado 39"/>
    <w:rsid w:val="00315B13"/>
  </w:style>
  <w:style w:type="numbering" w:customStyle="1" w:styleId="List45">
    <w:name w:val="List 45"/>
    <w:basedOn w:val="Estiloimportado40"/>
    <w:rsid w:val="00315B13"/>
    <w:pPr>
      <w:numPr>
        <w:numId w:val="20"/>
      </w:numPr>
    </w:pPr>
  </w:style>
  <w:style w:type="numbering" w:customStyle="1" w:styleId="Estiloimportado40">
    <w:name w:val="Estilo importado 40"/>
    <w:rsid w:val="00315B13"/>
  </w:style>
  <w:style w:type="numbering" w:customStyle="1" w:styleId="List46">
    <w:name w:val="List 46"/>
    <w:basedOn w:val="Estiloimportado41"/>
    <w:rsid w:val="00315B13"/>
    <w:pPr>
      <w:numPr>
        <w:numId w:val="24"/>
      </w:numPr>
    </w:pPr>
  </w:style>
  <w:style w:type="numbering" w:customStyle="1" w:styleId="Estiloimportado41">
    <w:name w:val="Estilo importado 41"/>
    <w:rsid w:val="00315B13"/>
  </w:style>
  <w:style w:type="numbering" w:customStyle="1" w:styleId="List47">
    <w:name w:val="List 47"/>
    <w:basedOn w:val="Estiloimportado42"/>
    <w:rsid w:val="00315B13"/>
    <w:pPr>
      <w:numPr>
        <w:numId w:val="29"/>
      </w:numPr>
    </w:pPr>
  </w:style>
  <w:style w:type="numbering" w:customStyle="1" w:styleId="Estiloimportado42">
    <w:name w:val="Estilo importado 42"/>
    <w:rsid w:val="00315B13"/>
  </w:style>
  <w:style w:type="numbering" w:customStyle="1" w:styleId="List48">
    <w:name w:val="List 48"/>
    <w:basedOn w:val="Estiloimportado43"/>
    <w:rsid w:val="00315B13"/>
    <w:pPr>
      <w:numPr>
        <w:numId w:val="50"/>
      </w:numPr>
    </w:pPr>
  </w:style>
  <w:style w:type="numbering" w:customStyle="1" w:styleId="Estiloimportado43">
    <w:name w:val="Estilo importado 43"/>
    <w:rsid w:val="00315B13"/>
  </w:style>
  <w:style w:type="numbering" w:customStyle="1" w:styleId="List49">
    <w:name w:val="List 49"/>
    <w:basedOn w:val="Estiloimportado44"/>
    <w:rsid w:val="00315B13"/>
    <w:pPr>
      <w:numPr>
        <w:numId w:val="39"/>
      </w:numPr>
    </w:pPr>
  </w:style>
  <w:style w:type="numbering" w:customStyle="1" w:styleId="Estiloimportado44">
    <w:name w:val="Estilo importado 44"/>
    <w:rsid w:val="00315B13"/>
  </w:style>
  <w:style w:type="numbering" w:customStyle="1" w:styleId="List50">
    <w:name w:val="List 50"/>
    <w:basedOn w:val="Estiloimportado45"/>
    <w:rsid w:val="00315B13"/>
    <w:pPr>
      <w:numPr>
        <w:numId w:val="37"/>
      </w:numPr>
    </w:pPr>
  </w:style>
  <w:style w:type="numbering" w:customStyle="1" w:styleId="Estiloimportado45">
    <w:name w:val="Estilo importado 45"/>
    <w:rsid w:val="00315B13"/>
  </w:style>
  <w:style w:type="numbering" w:customStyle="1" w:styleId="List51">
    <w:name w:val="List 51"/>
    <w:basedOn w:val="Estiloimportado46"/>
    <w:rsid w:val="00315B13"/>
    <w:pPr>
      <w:numPr>
        <w:numId w:val="33"/>
      </w:numPr>
    </w:pPr>
  </w:style>
  <w:style w:type="numbering" w:customStyle="1" w:styleId="Estiloimportado46">
    <w:name w:val="Estilo importado 46"/>
    <w:rsid w:val="00315B13"/>
  </w:style>
  <w:style w:type="numbering" w:customStyle="1" w:styleId="List52">
    <w:name w:val="List 52"/>
    <w:basedOn w:val="Estiloimportado1"/>
    <w:rsid w:val="00315B13"/>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666668">
      <w:bodyDiv w:val="1"/>
      <w:marLeft w:val="0"/>
      <w:marRight w:val="0"/>
      <w:marTop w:val="0"/>
      <w:marBottom w:val="0"/>
      <w:divBdr>
        <w:top w:val="none" w:sz="0" w:space="0" w:color="auto"/>
        <w:left w:val="none" w:sz="0" w:space="0" w:color="auto"/>
        <w:bottom w:val="none" w:sz="0" w:space="0" w:color="auto"/>
        <w:right w:val="none" w:sz="0" w:space="0" w:color="auto"/>
      </w:divBdr>
    </w:div>
    <w:div w:id="1450509771">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52BC-C097-4165-BB8F-7900B298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5483</Words>
  <Characters>29226</Characters>
  <Application>Microsoft Office Word</Application>
  <DocSecurity>0</DocSecurity>
  <Lines>487</Lines>
  <Paragraphs>80</Paragraphs>
  <ScaleCrop>false</ScaleCrop>
  <Company/>
  <LinksUpToDate>false</LinksUpToDate>
  <CharactersWithSpaces>34629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17/16</dc:title>
  <dc:creator/>
  <cp:lastModifiedBy/>
  <cp:revision>1</cp:revision>
  <dcterms:created xsi:type="dcterms:W3CDTF">2016-09-28T12:52:00Z</dcterms:created>
  <dcterms:modified xsi:type="dcterms:W3CDTF">2016-09-28T12:52:00Z</dcterms:modified>
</cp:coreProperties>
</file>