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703017" w:rsidRDefault="006311DA" w:rsidP="00627C9F">
      <w:pPr>
        <w:jc w:val="both"/>
        <w:rPr>
          <w:rFonts w:ascii="Cambria" w:hAnsi="Cambria"/>
          <w:b/>
          <w:bCs/>
          <w:sz w:val="22"/>
          <w:szCs w:val="22"/>
          <w:lang w:val="es-ES_tradnl"/>
        </w:rPr>
      </w:pPr>
      <w:r w:rsidRPr="00703017">
        <w:rPr>
          <w:rFonts w:ascii="Cambria" w:hAnsi="Cambria"/>
          <w:noProof/>
          <w:sz w:val="22"/>
          <w:szCs w:val="22"/>
        </w:rPr>
        <mc:AlternateContent>
          <mc:Choice Requires="wps">
            <w:drawing>
              <wp:anchor distT="0" distB="0" distL="114300" distR="114300" simplePos="0" relativeHeight="251661311" behindDoc="0" locked="0" layoutInCell="1" allowOverlap="1" wp14:anchorId="7D542A0F" wp14:editId="20DE6CAD">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15ED" w:rsidRDefault="002915ED" w:rsidP="00F03D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" fillcolor="#67ae3c" stroked="f" strokeweight="2pt">
                <v:textbox>
                  <w:txbxContent>
                    <w:p w:rsidR="002915ED" w:rsidRDefault="002915ED" w:rsidP="00F03D78">
                      <w:pPr>
                        <w:jc w:val="center"/>
                      </w:pPr>
                    </w:p>
                  </w:txbxContent>
                </v:textbox>
              </v:rect>
            </w:pict>
          </mc:Fallback>
        </mc:AlternateContent>
      </w:r>
      <w:r w:rsidR="00B31EBE" w:rsidRPr="00703017">
        <w:rPr>
          <w:rFonts w:ascii="Cambria" w:hAnsi="Cambria"/>
          <w:noProof/>
          <w:sz w:val="22"/>
          <w:szCs w:val="22"/>
        </w:rPr>
        <mc:AlternateContent>
          <mc:Choice Requires="wps">
            <w:drawing>
              <wp:anchor distT="0" distB="0" distL="114300" distR="114300" simplePos="0" relativeHeight="251673600" behindDoc="0" locked="0" layoutInCell="1" allowOverlap="1" wp14:anchorId="0FFBD9A1" wp14:editId="4BD8B27B">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15ED" w:rsidRDefault="002915ED">
                            <w:r>
                              <w:rPr>
                                <w:noProof/>
                              </w:rPr>
                              <w:drawing>
                                <wp:inline distT="0" distB="0" distL="0" distR="0" wp14:anchorId="6473E3A1" wp14:editId="4CF08230">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" filled="f" stroked="f" strokeweight=".5pt">
                <v:textbox>
                  <w:txbxContent>
                    <w:p w:rsidR="002915ED" w:rsidRDefault="002915ED">
                      <w:r>
                        <w:rPr>
                          <w:noProof/>
                        </w:rPr>
                        <w:drawing>
                          <wp:inline distT="0" distB="0" distL="0" distR="0" wp14:anchorId="6473E3A1" wp14:editId="4CF08230">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703017" w:rsidRDefault="00040C3A" w:rsidP="00040C3A">
      <w:pPr>
        <w:tabs>
          <w:tab w:val="center" w:pos="5400"/>
        </w:tabs>
        <w:suppressAutoHyphens/>
        <w:jc w:val="both"/>
        <w:rPr>
          <w:rFonts w:ascii="Cambria" w:hAnsi="Cambria"/>
          <w:sz w:val="22"/>
          <w:szCs w:val="22"/>
          <w:lang w:val="es-ES"/>
        </w:rPr>
      </w:pPr>
    </w:p>
    <w:p w:rsidR="00040C3A" w:rsidRPr="00703017" w:rsidRDefault="00040C3A" w:rsidP="00040C3A">
      <w:pPr>
        <w:tabs>
          <w:tab w:val="center" w:pos="5400"/>
        </w:tabs>
        <w:suppressAutoHyphens/>
        <w:jc w:val="both"/>
        <w:rPr>
          <w:rFonts w:ascii="Cambria" w:hAnsi="Cambria"/>
          <w:sz w:val="22"/>
          <w:szCs w:val="22"/>
          <w:lang w:val="es-ES"/>
        </w:rPr>
      </w:pPr>
    </w:p>
    <w:p w:rsidR="005128E4" w:rsidRPr="00703017" w:rsidRDefault="005128E4" w:rsidP="00040C3A">
      <w:pPr>
        <w:tabs>
          <w:tab w:val="center" w:pos="5400"/>
        </w:tabs>
        <w:suppressAutoHyphens/>
        <w:rPr>
          <w:rFonts w:ascii="Cambria" w:hAnsi="Cambria"/>
          <w:sz w:val="22"/>
          <w:szCs w:val="22"/>
          <w:lang w:val="es-ES_tradnl"/>
        </w:rPr>
      </w:pPr>
    </w:p>
    <w:p w:rsidR="005128E4" w:rsidRPr="00703017" w:rsidRDefault="005128E4" w:rsidP="00040C3A">
      <w:pPr>
        <w:tabs>
          <w:tab w:val="center" w:pos="5400"/>
        </w:tabs>
        <w:suppressAutoHyphens/>
        <w:rPr>
          <w:rFonts w:ascii="Cambria" w:hAnsi="Cambria"/>
          <w:sz w:val="22"/>
          <w:szCs w:val="22"/>
          <w:lang w:val="es-ES_tradnl"/>
        </w:rPr>
      </w:pPr>
    </w:p>
    <w:p w:rsidR="005128E4" w:rsidRPr="00703017" w:rsidRDefault="005128E4" w:rsidP="00040C3A">
      <w:pPr>
        <w:tabs>
          <w:tab w:val="center" w:pos="5400"/>
        </w:tabs>
        <w:suppressAutoHyphens/>
        <w:rPr>
          <w:rFonts w:ascii="Cambria" w:hAnsi="Cambria"/>
          <w:sz w:val="22"/>
          <w:szCs w:val="22"/>
          <w:lang w:val="es-ES_tradnl"/>
        </w:rPr>
      </w:pPr>
    </w:p>
    <w:p w:rsidR="00040C3A" w:rsidRPr="00703017" w:rsidRDefault="00040C3A" w:rsidP="005128E4">
      <w:pPr>
        <w:tabs>
          <w:tab w:val="center" w:pos="5400"/>
        </w:tabs>
        <w:suppressAutoHyphens/>
        <w:jc w:val="center"/>
        <w:rPr>
          <w:rFonts w:ascii="Cambria" w:hAnsi="Cambria"/>
          <w:sz w:val="22"/>
          <w:szCs w:val="22"/>
          <w:lang w:val="es-ES_tradnl"/>
        </w:rPr>
      </w:pPr>
    </w:p>
    <w:p w:rsidR="00040C3A" w:rsidRPr="00703017" w:rsidRDefault="00040C3A" w:rsidP="005128E4">
      <w:pPr>
        <w:tabs>
          <w:tab w:val="center" w:pos="5400"/>
        </w:tabs>
        <w:suppressAutoHyphens/>
        <w:jc w:val="center"/>
        <w:rPr>
          <w:rFonts w:ascii="Cambria" w:hAnsi="Cambria"/>
          <w:sz w:val="22"/>
          <w:szCs w:val="22"/>
          <w:lang w:val="es-ES_tradnl"/>
        </w:rPr>
      </w:pPr>
    </w:p>
    <w:p w:rsidR="005B52B0" w:rsidRPr="00703017" w:rsidRDefault="005B52B0" w:rsidP="005128E4">
      <w:pPr>
        <w:tabs>
          <w:tab w:val="center" w:pos="5400"/>
        </w:tabs>
        <w:suppressAutoHyphens/>
        <w:jc w:val="center"/>
        <w:rPr>
          <w:rFonts w:ascii="Cambria" w:hAnsi="Cambria"/>
          <w:sz w:val="22"/>
          <w:szCs w:val="22"/>
          <w:lang w:val="es-ES_tradnl"/>
        </w:rPr>
      </w:pPr>
    </w:p>
    <w:p w:rsidR="005B52B0" w:rsidRPr="00703017" w:rsidRDefault="005B52B0" w:rsidP="005128E4">
      <w:pPr>
        <w:tabs>
          <w:tab w:val="center" w:pos="5400"/>
        </w:tabs>
        <w:suppressAutoHyphens/>
        <w:jc w:val="center"/>
        <w:rPr>
          <w:rFonts w:ascii="Cambria" w:hAnsi="Cambria"/>
          <w:sz w:val="22"/>
          <w:szCs w:val="22"/>
          <w:lang w:val="es-ES_tradnl"/>
        </w:rPr>
      </w:pPr>
    </w:p>
    <w:p w:rsidR="005B52B0" w:rsidRPr="00703017" w:rsidRDefault="005B52B0" w:rsidP="005128E4">
      <w:pPr>
        <w:tabs>
          <w:tab w:val="center" w:pos="5400"/>
        </w:tabs>
        <w:suppressAutoHyphens/>
        <w:jc w:val="center"/>
        <w:rPr>
          <w:rFonts w:ascii="Cambria" w:hAnsi="Cambria"/>
          <w:sz w:val="22"/>
          <w:szCs w:val="22"/>
          <w:lang w:val="es-ES_tradnl"/>
        </w:rPr>
      </w:pPr>
    </w:p>
    <w:p w:rsidR="00040C3A" w:rsidRPr="00703017" w:rsidRDefault="00040C3A" w:rsidP="00040C3A">
      <w:pPr>
        <w:tabs>
          <w:tab w:val="center" w:pos="5400"/>
        </w:tabs>
        <w:suppressAutoHyphens/>
        <w:jc w:val="center"/>
        <w:rPr>
          <w:rFonts w:ascii="Cambria" w:hAnsi="Cambria"/>
          <w:sz w:val="22"/>
          <w:szCs w:val="22"/>
          <w:lang w:val="es-ES_tradnl"/>
        </w:rPr>
      </w:pPr>
    </w:p>
    <w:p w:rsidR="00040C3A" w:rsidRPr="00703017" w:rsidRDefault="00040C3A" w:rsidP="00040C3A">
      <w:pPr>
        <w:tabs>
          <w:tab w:val="center" w:pos="5400"/>
        </w:tabs>
        <w:suppressAutoHyphens/>
        <w:jc w:val="center"/>
        <w:rPr>
          <w:rFonts w:ascii="Cambria" w:hAnsi="Cambria"/>
          <w:sz w:val="22"/>
          <w:szCs w:val="22"/>
          <w:lang w:val="es-ES_tradnl"/>
        </w:rPr>
      </w:pPr>
    </w:p>
    <w:p w:rsidR="00040C3A" w:rsidRPr="00703017" w:rsidRDefault="00040C3A" w:rsidP="00040C3A">
      <w:pPr>
        <w:tabs>
          <w:tab w:val="center" w:pos="5400"/>
        </w:tabs>
        <w:suppressAutoHyphens/>
        <w:jc w:val="center"/>
        <w:rPr>
          <w:rFonts w:ascii="Cambria" w:hAnsi="Cambria"/>
          <w:sz w:val="22"/>
          <w:szCs w:val="22"/>
          <w:lang w:val="es-ES_tradnl"/>
        </w:rPr>
      </w:pPr>
    </w:p>
    <w:p w:rsidR="00040C3A" w:rsidRPr="00703017" w:rsidRDefault="00E533FF" w:rsidP="00040C3A">
      <w:pPr>
        <w:tabs>
          <w:tab w:val="center" w:pos="5400"/>
        </w:tabs>
        <w:suppressAutoHyphens/>
        <w:jc w:val="center"/>
        <w:rPr>
          <w:rFonts w:ascii="Cambria" w:hAnsi="Cambria"/>
          <w:sz w:val="22"/>
          <w:szCs w:val="22"/>
          <w:lang w:val="es-ES_tradnl"/>
        </w:rPr>
      </w:pPr>
      <w:r w:rsidRPr="00703017">
        <w:rPr>
          <w:rFonts w:ascii="Cambria" w:hAnsi="Cambria"/>
          <w:noProof/>
          <w:sz w:val="22"/>
          <w:szCs w:val="22"/>
        </w:rPr>
        <mc:AlternateContent>
          <mc:Choice Requires="wps">
            <w:drawing>
              <wp:anchor distT="0" distB="0" distL="114300" distR="114300" simplePos="0" relativeHeight="251669504" behindDoc="0" locked="0" layoutInCell="1" allowOverlap="1" wp14:anchorId="5343ECFA" wp14:editId="6FE719EB">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15ED" w:rsidRPr="00431256" w:rsidRDefault="002915ED" w:rsidP="00C06055">
                            <w:pPr>
                              <w:rPr>
                                <w:rFonts w:ascii="Cambria" w:hAnsi="Cambria" w:cs="Arial"/>
                                <w:b/>
                                <w:bCs/>
                                <w:color w:val="0D0D0D"/>
                                <w:sz w:val="36"/>
                              </w:rPr>
                            </w:pPr>
                            <w:r w:rsidRPr="00431256">
                              <w:rPr>
                                <w:rFonts w:ascii="Cambria" w:hAnsi="Cambria" w:cs="Arial"/>
                                <w:b/>
                                <w:bCs/>
                                <w:color w:val="0D0D0D"/>
                                <w:sz w:val="36"/>
                              </w:rPr>
                              <w:t xml:space="preserve">REPORT </w:t>
                            </w:r>
                            <w:r w:rsidRPr="00431256">
                              <w:rPr>
                                <w:rFonts w:ascii="Cambria" w:hAnsi="Cambria" w:cs="Arial"/>
                                <w:b/>
                                <w:bCs/>
                                <w:color w:val="0D0D0D"/>
                                <w:sz w:val="36"/>
                                <w:szCs w:val="40"/>
                              </w:rPr>
                              <w:t>No.</w:t>
                            </w:r>
                            <w:r w:rsidR="001E1053">
                              <w:rPr>
                                <w:rFonts w:ascii="Cambria" w:hAnsi="Cambria" w:cs="Arial"/>
                                <w:b/>
                                <w:bCs/>
                                <w:color w:val="0D0D0D"/>
                                <w:sz w:val="36"/>
                              </w:rPr>
                              <w:t xml:space="preserve"> 62</w:t>
                            </w:r>
                            <w:r w:rsidRPr="00431256">
                              <w:rPr>
                                <w:rFonts w:ascii="Cambria" w:hAnsi="Cambria" w:cs="Arial"/>
                                <w:b/>
                                <w:bCs/>
                                <w:color w:val="0D0D0D"/>
                                <w:sz w:val="36"/>
                              </w:rPr>
                              <w:t>/16</w:t>
                            </w:r>
                          </w:p>
                          <w:p w:rsidR="002915ED" w:rsidRPr="00431256" w:rsidRDefault="002915ED" w:rsidP="00C06055">
                            <w:pPr>
                              <w:rPr>
                                <w:rFonts w:ascii="Cambria" w:hAnsi="Cambria" w:cs="Arial"/>
                                <w:b/>
                                <w:color w:val="0D0D0D"/>
                                <w:sz w:val="36"/>
                              </w:rPr>
                            </w:pPr>
                            <w:r>
                              <w:rPr>
                                <w:rFonts w:ascii="Cambria" w:hAnsi="Cambria" w:cs="Arial"/>
                                <w:b/>
                                <w:color w:val="0D0D0D"/>
                                <w:sz w:val="36"/>
                              </w:rPr>
                              <w:t>PETITION</w:t>
                            </w:r>
                            <w:r w:rsidRPr="00431256">
                              <w:rPr>
                                <w:rFonts w:ascii="Cambria" w:hAnsi="Cambria" w:cs="Arial"/>
                                <w:b/>
                                <w:color w:val="0D0D0D"/>
                                <w:sz w:val="36"/>
                              </w:rPr>
                              <w:t xml:space="preserve"> 4449-02 </w:t>
                            </w:r>
                          </w:p>
                          <w:p w:rsidR="002915ED" w:rsidRPr="00431256" w:rsidRDefault="002915ED" w:rsidP="00C06055">
                            <w:pPr>
                              <w:rPr>
                                <w:rFonts w:ascii="Cambria" w:hAnsi="Cambria" w:cs="Arial"/>
                                <w:color w:val="0D0D0D"/>
                              </w:rPr>
                            </w:pPr>
                            <w:bookmarkStart w:id="1" w:name="_ftnref1"/>
                            <w:r>
                              <w:rPr>
                                <w:rFonts w:ascii="Cambria" w:hAnsi="Cambria" w:cs="Arial"/>
                                <w:color w:val="0D0D0D"/>
                              </w:rPr>
                              <w:t>REPORT</w:t>
                            </w:r>
                            <w:r w:rsidR="002E121D">
                              <w:rPr>
                                <w:rFonts w:ascii="Cambria" w:hAnsi="Cambria" w:cs="Arial"/>
                                <w:color w:val="0D0D0D"/>
                              </w:rPr>
                              <w:t xml:space="preserve"> ON ADMISSIBILITY</w:t>
                            </w:r>
                          </w:p>
                          <w:p w:rsidR="002915ED" w:rsidRPr="00431256" w:rsidRDefault="002915ED" w:rsidP="00C06055">
                            <w:pPr>
                              <w:rPr>
                                <w:rFonts w:ascii="Cambria" w:hAnsi="Cambria" w:cs="Arial"/>
                                <w:color w:val="0D0D0D"/>
                              </w:rPr>
                            </w:pPr>
                          </w:p>
                          <w:p w:rsidR="002915ED" w:rsidRPr="00431256" w:rsidRDefault="002915ED" w:rsidP="00C06055">
                            <w:pPr>
                              <w:rPr>
                                <w:rFonts w:ascii="Cambria" w:hAnsi="Cambria" w:cs="Arial"/>
                                <w:color w:val="0D0D0D"/>
                              </w:rPr>
                            </w:pPr>
                            <w:r w:rsidRPr="00431256">
                              <w:rPr>
                                <w:rFonts w:ascii="Cambria" w:hAnsi="Cambria" w:cs="Arial"/>
                                <w:color w:val="0D0D0D"/>
                              </w:rPr>
                              <w:t>SAULO ARBOLEDA GÓMEZ</w:t>
                            </w:r>
                          </w:p>
                          <w:bookmarkEnd w:id="1"/>
                          <w:p w:rsidR="002915ED" w:rsidRPr="00431256" w:rsidRDefault="002915ED" w:rsidP="00C06055">
                            <w:pPr>
                              <w:rPr>
                                <w:rFonts w:ascii="Cambria" w:hAnsi="Cambria" w:cs="Arial"/>
                                <w:color w:val="0D0D0D"/>
                              </w:rPr>
                            </w:pPr>
                            <w:r w:rsidRPr="00431256">
                              <w:rPr>
                                <w:rFonts w:ascii="Cambria" w:hAnsi="Cambria" w:cs="Arial"/>
                                <w:bCs/>
                                <w:color w:val="0D0D0D"/>
                              </w:rPr>
                              <w:t>COLOMBIA</w:t>
                            </w:r>
                          </w:p>
                          <w:p w:rsidR="002915ED" w:rsidRPr="00431256" w:rsidRDefault="002915ED" w:rsidP="004B7EB6">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BktpUQ&#10;fwIAAGoFAAAOAAAAAAAAAAAAAAAAAC4CAABkcnMvZTJvRG9jLnhtbFBLAQItABQABgAIAAAAIQDq&#10;sof94QAAAAoBAAAPAAAAAAAAAAAAAAAAANkEAABkcnMvZG93bnJldi54bWxQSwUGAAAAAAQABADz&#10;AAAA5wUAAAAA&#10;" filled="f" stroked="f" strokeweight=".5pt">
                <v:textbox>
                  <w:txbxContent>
                    <w:p w:rsidR="002915ED" w:rsidRPr="00431256" w:rsidRDefault="002915ED" w:rsidP="00C06055">
                      <w:pPr>
                        <w:rPr>
                          <w:rFonts w:ascii="Cambria" w:hAnsi="Cambria" w:cs="Arial"/>
                          <w:b/>
                          <w:bCs/>
                          <w:color w:val="0D0D0D"/>
                          <w:sz w:val="36"/>
                        </w:rPr>
                      </w:pPr>
                      <w:r w:rsidRPr="00431256">
                        <w:rPr>
                          <w:rFonts w:ascii="Cambria" w:hAnsi="Cambria" w:cs="Arial"/>
                          <w:b/>
                          <w:bCs/>
                          <w:color w:val="0D0D0D"/>
                          <w:sz w:val="36"/>
                        </w:rPr>
                        <w:t xml:space="preserve">REPORT </w:t>
                      </w:r>
                      <w:r w:rsidRPr="00431256">
                        <w:rPr>
                          <w:rFonts w:ascii="Cambria" w:hAnsi="Cambria" w:cs="Arial"/>
                          <w:b/>
                          <w:bCs/>
                          <w:color w:val="0D0D0D"/>
                          <w:sz w:val="36"/>
                          <w:szCs w:val="40"/>
                        </w:rPr>
                        <w:t>No.</w:t>
                      </w:r>
                      <w:r w:rsidR="001E1053">
                        <w:rPr>
                          <w:rFonts w:ascii="Cambria" w:hAnsi="Cambria" w:cs="Arial"/>
                          <w:b/>
                          <w:bCs/>
                          <w:color w:val="0D0D0D"/>
                          <w:sz w:val="36"/>
                        </w:rPr>
                        <w:t xml:space="preserve"> 62</w:t>
                      </w:r>
                      <w:r w:rsidRPr="00431256">
                        <w:rPr>
                          <w:rFonts w:ascii="Cambria" w:hAnsi="Cambria" w:cs="Arial"/>
                          <w:b/>
                          <w:bCs/>
                          <w:color w:val="0D0D0D"/>
                          <w:sz w:val="36"/>
                        </w:rPr>
                        <w:t>/16</w:t>
                      </w:r>
                    </w:p>
                    <w:p w:rsidR="002915ED" w:rsidRPr="00431256" w:rsidRDefault="002915ED" w:rsidP="00C06055">
                      <w:pPr>
                        <w:rPr>
                          <w:rFonts w:ascii="Cambria" w:hAnsi="Cambria" w:cs="Arial"/>
                          <w:b/>
                          <w:color w:val="0D0D0D"/>
                          <w:sz w:val="36"/>
                        </w:rPr>
                      </w:pPr>
                      <w:r>
                        <w:rPr>
                          <w:rFonts w:ascii="Cambria" w:hAnsi="Cambria" w:cs="Arial"/>
                          <w:b/>
                          <w:color w:val="0D0D0D"/>
                          <w:sz w:val="36"/>
                        </w:rPr>
                        <w:t>PETITION</w:t>
                      </w:r>
                      <w:r w:rsidRPr="00431256">
                        <w:rPr>
                          <w:rFonts w:ascii="Cambria" w:hAnsi="Cambria" w:cs="Arial"/>
                          <w:b/>
                          <w:color w:val="0D0D0D"/>
                          <w:sz w:val="36"/>
                        </w:rPr>
                        <w:t xml:space="preserve"> 4449-02 </w:t>
                      </w:r>
                    </w:p>
                    <w:p w:rsidR="002915ED" w:rsidRPr="00431256" w:rsidRDefault="002915ED" w:rsidP="00C06055">
                      <w:pPr>
                        <w:rPr>
                          <w:rFonts w:ascii="Cambria" w:hAnsi="Cambria" w:cs="Arial"/>
                          <w:color w:val="0D0D0D"/>
                        </w:rPr>
                      </w:pPr>
                      <w:bookmarkStart w:id="1" w:name="_ftnref1"/>
                      <w:r>
                        <w:rPr>
                          <w:rFonts w:ascii="Cambria" w:hAnsi="Cambria" w:cs="Arial"/>
                          <w:color w:val="0D0D0D"/>
                        </w:rPr>
                        <w:t>REPORT</w:t>
                      </w:r>
                      <w:r w:rsidR="002E121D">
                        <w:rPr>
                          <w:rFonts w:ascii="Cambria" w:hAnsi="Cambria" w:cs="Arial"/>
                          <w:color w:val="0D0D0D"/>
                        </w:rPr>
                        <w:t xml:space="preserve"> ON ADMISSIBILITY</w:t>
                      </w:r>
                    </w:p>
                    <w:p w:rsidR="002915ED" w:rsidRPr="00431256" w:rsidRDefault="002915ED" w:rsidP="00C06055">
                      <w:pPr>
                        <w:rPr>
                          <w:rFonts w:ascii="Cambria" w:hAnsi="Cambria" w:cs="Arial"/>
                          <w:color w:val="0D0D0D"/>
                        </w:rPr>
                      </w:pPr>
                    </w:p>
                    <w:p w:rsidR="002915ED" w:rsidRPr="00431256" w:rsidRDefault="002915ED" w:rsidP="00C06055">
                      <w:pPr>
                        <w:rPr>
                          <w:rFonts w:ascii="Cambria" w:hAnsi="Cambria" w:cs="Arial"/>
                          <w:color w:val="0D0D0D"/>
                        </w:rPr>
                      </w:pPr>
                      <w:r w:rsidRPr="00431256">
                        <w:rPr>
                          <w:rFonts w:ascii="Cambria" w:hAnsi="Cambria" w:cs="Arial"/>
                          <w:color w:val="0D0D0D"/>
                        </w:rPr>
                        <w:t>SAULO ARBOLEDA GÓMEZ</w:t>
                      </w:r>
                    </w:p>
                    <w:bookmarkEnd w:id="1"/>
                    <w:p w:rsidR="002915ED" w:rsidRPr="00431256" w:rsidRDefault="002915ED" w:rsidP="00C06055">
                      <w:pPr>
                        <w:rPr>
                          <w:rFonts w:ascii="Cambria" w:hAnsi="Cambria" w:cs="Arial"/>
                          <w:color w:val="0D0D0D"/>
                        </w:rPr>
                      </w:pPr>
                      <w:r w:rsidRPr="00431256">
                        <w:rPr>
                          <w:rFonts w:ascii="Cambria" w:hAnsi="Cambria" w:cs="Arial"/>
                          <w:bCs/>
                          <w:color w:val="0D0D0D"/>
                        </w:rPr>
                        <w:t>COLOMBIA</w:t>
                      </w:r>
                    </w:p>
                    <w:p w:rsidR="002915ED" w:rsidRPr="00431256" w:rsidRDefault="002915ED" w:rsidP="004B7EB6">
                      <w:pPr>
                        <w:spacing w:line="276" w:lineRule="auto"/>
                        <w:rPr>
                          <w:rFonts w:asciiTheme="majorHAnsi" w:hAnsiTheme="majorHAnsi"/>
                          <w:color w:val="0D0D0D" w:themeColor="text1" w:themeTint="F2"/>
                        </w:rPr>
                      </w:pPr>
                    </w:p>
                  </w:txbxContent>
                </v:textbox>
              </v:shape>
            </w:pict>
          </mc:Fallback>
        </mc:AlternateContent>
      </w:r>
      <w:r w:rsidR="004B7EB6" w:rsidRPr="00703017">
        <w:rPr>
          <w:rFonts w:ascii="Cambria" w:hAnsi="Cambria"/>
          <w:noProof/>
          <w:sz w:val="22"/>
          <w:szCs w:val="22"/>
        </w:rPr>
        <mc:AlternateContent>
          <mc:Choice Requires="wps">
            <w:drawing>
              <wp:anchor distT="0" distB="0" distL="114300" distR="114300" simplePos="0" relativeHeight="251671552" behindDoc="0" locked="0" layoutInCell="1" allowOverlap="1" wp14:anchorId="0FDA4A2E" wp14:editId="445C794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15ED" w:rsidRPr="000C5156" w:rsidRDefault="002915ED" w:rsidP="006C75BF">
                            <w:pPr>
                              <w:spacing w:line="360" w:lineRule="auto"/>
                              <w:jc w:val="right"/>
                              <w:rPr>
                                <w:rFonts w:asciiTheme="minorHAnsi" w:hAnsiTheme="minorHAnsi"/>
                                <w:color w:val="FFFFFF" w:themeColor="background1"/>
                                <w:sz w:val="22"/>
                                <w:lang w:val="pt-BR"/>
                              </w:rPr>
                            </w:pPr>
                            <w:r w:rsidRPr="00644FA2">
                              <w:rPr>
                                <w:rFonts w:asciiTheme="minorHAnsi" w:hAnsiTheme="minorHAnsi"/>
                                <w:color w:val="FFFFFF" w:themeColor="background1"/>
                                <w:sz w:val="22"/>
                                <w:lang w:val="pt-BR"/>
                              </w:rPr>
                              <w:t>O</w:t>
                            </w:r>
                            <w:r w:rsidRPr="000C5156">
                              <w:rPr>
                                <w:rFonts w:asciiTheme="minorHAnsi" w:hAnsiTheme="minorHAnsi"/>
                                <w:color w:val="FFFFFF" w:themeColor="background1"/>
                                <w:sz w:val="22"/>
                                <w:lang w:val="pt-BR"/>
                              </w:rPr>
                              <w:t>EA/Ser.L/V/II.159</w:t>
                            </w:r>
                          </w:p>
                          <w:p w:rsidR="002915ED" w:rsidRPr="000C5156" w:rsidRDefault="001E1053" w:rsidP="006C75BF">
                            <w:pPr>
                              <w:spacing w:line="360"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71</w:t>
                            </w:r>
                          </w:p>
                          <w:p w:rsidR="002915ED" w:rsidRPr="00431256" w:rsidRDefault="002915ED" w:rsidP="006C75BF">
                            <w:pPr>
                              <w:spacing w:line="360" w:lineRule="auto"/>
                              <w:jc w:val="right"/>
                              <w:rPr>
                                <w:rFonts w:asciiTheme="minorHAnsi" w:hAnsiTheme="minorHAnsi"/>
                                <w:color w:val="FFFFFF" w:themeColor="background1"/>
                                <w:sz w:val="22"/>
                              </w:rPr>
                            </w:pPr>
                            <w:r w:rsidRPr="00431256">
                              <w:rPr>
                                <w:rFonts w:asciiTheme="minorHAnsi" w:hAnsiTheme="minorHAnsi"/>
                                <w:color w:val="FFFFFF" w:themeColor="background1"/>
                                <w:sz w:val="22"/>
                              </w:rPr>
                              <w:t>December</w:t>
                            </w:r>
                            <w:r w:rsidR="001E1053">
                              <w:rPr>
                                <w:rFonts w:asciiTheme="minorHAnsi" w:hAnsiTheme="minorHAnsi"/>
                                <w:color w:val="FFFFFF" w:themeColor="background1"/>
                                <w:sz w:val="22"/>
                              </w:rPr>
                              <w:t xml:space="preserve"> 6,</w:t>
                            </w:r>
                            <w:r w:rsidRPr="00431256">
                              <w:rPr>
                                <w:rFonts w:asciiTheme="minorHAnsi" w:hAnsiTheme="minorHAnsi"/>
                                <w:color w:val="FFFFFF" w:themeColor="background1"/>
                                <w:sz w:val="22"/>
                              </w:rPr>
                              <w:t xml:space="preserve"> 2016</w:t>
                            </w:r>
                          </w:p>
                          <w:p w:rsidR="002915ED" w:rsidRPr="00431256" w:rsidRDefault="002915ED" w:rsidP="006C75BF">
                            <w:pPr>
                              <w:spacing w:line="360" w:lineRule="auto"/>
                              <w:jc w:val="right"/>
                              <w:rPr>
                                <w:rFonts w:asciiTheme="minorHAnsi" w:hAnsiTheme="minorHAnsi"/>
                                <w:color w:val="FFFFFF" w:themeColor="background1"/>
                                <w:sz w:val="22"/>
                              </w:rPr>
                            </w:pPr>
                            <w:r w:rsidRPr="00431256">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A7&#10;otWDggIAAGoFAAAOAAAAAAAAAAAAAAAAAC4CAABkcnMvZTJvRG9jLnhtbFBLAQItABQABgAIAAAA&#10;IQAXavU34QAAAAoBAAAPAAAAAAAAAAAAAAAAANwEAABkcnMvZG93bnJldi54bWxQSwUGAAAAAAQA&#10;BADzAAAA6gUAAAAA&#10;" filled="f" stroked="f" strokeweight=".5pt">
                <v:textbox>
                  <w:txbxContent>
                    <w:p w:rsidR="002915ED" w:rsidRPr="000C5156" w:rsidRDefault="002915ED" w:rsidP="006C75BF">
                      <w:pPr>
                        <w:spacing w:line="360" w:lineRule="auto"/>
                        <w:jc w:val="right"/>
                        <w:rPr>
                          <w:rFonts w:asciiTheme="minorHAnsi" w:hAnsiTheme="minorHAnsi"/>
                          <w:color w:val="FFFFFF" w:themeColor="background1"/>
                          <w:sz w:val="22"/>
                          <w:lang w:val="pt-BR"/>
                        </w:rPr>
                      </w:pPr>
                      <w:r w:rsidRPr="00644FA2">
                        <w:rPr>
                          <w:rFonts w:asciiTheme="minorHAnsi" w:hAnsiTheme="minorHAnsi"/>
                          <w:color w:val="FFFFFF" w:themeColor="background1"/>
                          <w:sz w:val="22"/>
                          <w:lang w:val="pt-BR"/>
                        </w:rPr>
                        <w:t>O</w:t>
                      </w:r>
                      <w:r w:rsidRPr="000C5156">
                        <w:rPr>
                          <w:rFonts w:asciiTheme="minorHAnsi" w:hAnsiTheme="minorHAnsi"/>
                          <w:color w:val="FFFFFF" w:themeColor="background1"/>
                          <w:sz w:val="22"/>
                          <w:lang w:val="pt-BR"/>
                        </w:rPr>
                        <w:t>EA/Ser.L/V/II.159</w:t>
                      </w:r>
                    </w:p>
                    <w:p w:rsidR="002915ED" w:rsidRPr="000C5156" w:rsidRDefault="001E1053" w:rsidP="006C75BF">
                      <w:pPr>
                        <w:spacing w:line="360"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71</w:t>
                      </w:r>
                    </w:p>
                    <w:p w:rsidR="002915ED" w:rsidRPr="00431256" w:rsidRDefault="002915ED" w:rsidP="006C75BF">
                      <w:pPr>
                        <w:spacing w:line="360" w:lineRule="auto"/>
                        <w:jc w:val="right"/>
                        <w:rPr>
                          <w:rFonts w:asciiTheme="minorHAnsi" w:hAnsiTheme="minorHAnsi"/>
                          <w:color w:val="FFFFFF" w:themeColor="background1"/>
                          <w:sz w:val="22"/>
                        </w:rPr>
                      </w:pPr>
                      <w:r w:rsidRPr="00431256">
                        <w:rPr>
                          <w:rFonts w:asciiTheme="minorHAnsi" w:hAnsiTheme="minorHAnsi"/>
                          <w:color w:val="FFFFFF" w:themeColor="background1"/>
                          <w:sz w:val="22"/>
                        </w:rPr>
                        <w:t>December</w:t>
                      </w:r>
                      <w:r w:rsidR="001E1053">
                        <w:rPr>
                          <w:rFonts w:asciiTheme="minorHAnsi" w:hAnsiTheme="minorHAnsi"/>
                          <w:color w:val="FFFFFF" w:themeColor="background1"/>
                          <w:sz w:val="22"/>
                        </w:rPr>
                        <w:t xml:space="preserve"> 6,</w:t>
                      </w:r>
                      <w:r w:rsidRPr="00431256">
                        <w:rPr>
                          <w:rFonts w:asciiTheme="minorHAnsi" w:hAnsiTheme="minorHAnsi"/>
                          <w:color w:val="FFFFFF" w:themeColor="background1"/>
                          <w:sz w:val="22"/>
                        </w:rPr>
                        <w:t xml:space="preserve"> 2016</w:t>
                      </w:r>
                    </w:p>
                    <w:p w:rsidR="002915ED" w:rsidRPr="00431256" w:rsidRDefault="002915ED" w:rsidP="006C75BF">
                      <w:pPr>
                        <w:spacing w:line="360" w:lineRule="auto"/>
                        <w:jc w:val="right"/>
                        <w:rPr>
                          <w:rFonts w:asciiTheme="minorHAnsi" w:hAnsiTheme="minorHAnsi"/>
                          <w:color w:val="FFFFFF" w:themeColor="background1"/>
                          <w:sz w:val="22"/>
                        </w:rPr>
                      </w:pPr>
                      <w:r w:rsidRPr="00431256">
                        <w:rPr>
                          <w:rFonts w:asciiTheme="minorHAnsi" w:hAnsiTheme="minorHAnsi"/>
                          <w:color w:val="FFFFFF" w:themeColor="background1"/>
                          <w:sz w:val="22"/>
                        </w:rPr>
                        <w:t>Original: Spanish</w:t>
                      </w:r>
                    </w:p>
                  </w:txbxContent>
                </v:textbox>
              </v:shape>
            </w:pict>
          </mc:Fallback>
        </mc:AlternateContent>
      </w:r>
    </w:p>
    <w:p w:rsidR="00040C3A" w:rsidRPr="00703017" w:rsidRDefault="00040C3A" w:rsidP="00040C3A">
      <w:pPr>
        <w:tabs>
          <w:tab w:val="center" w:pos="5400"/>
        </w:tabs>
        <w:suppressAutoHyphens/>
        <w:jc w:val="center"/>
        <w:rPr>
          <w:rFonts w:ascii="Cambria" w:hAnsi="Cambria"/>
          <w:sz w:val="22"/>
          <w:szCs w:val="22"/>
          <w:lang w:val="es-ES_tradnl"/>
        </w:rPr>
      </w:pPr>
    </w:p>
    <w:p w:rsidR="00040C3A" w:rsidRPr="00703017" w:rsidRDefault="00040C3A" w:rsidP="00040C3A">
      <w:pPr>
        <w:tabs>
          <w:tab w:val="center" w:pos="5400"/>
        </w:tabs>
        <w:suppressAutoHyphens/>
        <w:jc w:val="center"/>
        <w:rPr>
          <w:rFonts w:ascii="Cambria" w:hAnsi="Cambria"/>
          <w:sz w:val="22"/>
          <w:szCs w:val="22"/>
          <w:lang w:val="es-ES_tradnl"/>
        </w:rPr>
      </w:pPr>
    </w:p>
    <w:p w:rsidR="00040C3A" w:rsidRPr="00703017" w:rsidRDefault="00040C3A" w:rsidP="00040C3A">
      <w:pPr>
        <w:tabs>
          <w:tab w:val="center" w:pos="5400"/>
        </w:tabs>
        <w:suppressAutoHyphens/>
        <w:jc w:val="center"/>
        <w:rPr>
          <w:rFonts w:ascii="Cambria" w:hAnsi="Cambria"/>
          <w:sz w:val="22"/>
          <w:szCs w:val="22"/>
          <w:lang w:val="es-ES_tradnl"/>
        </w:rPr>
      </w:pPr>
    </w:p>
    <w:p w:rsidR="00040C3A" w:rsidRPr="00703017" w:rsidRDefault="00040C3A" w:rsidP="00040C3A">
      <w:pPr>
        <w:tabs>
          <w:tab w:val="center" w:pos="5400"/>
        </w:tabs>
        <w:suppressAutoHyphens/>
        <w:jc w:val="center"/>
        <w:rPr>
          <w:rFonts w:ascii="Cambria" w:hAnsi="Cambria"/>
          <w:sz w:val="22"/>
          <w:szCs w:val="22"/>
          <w:lang w:val="es-ES_tradnl"/>
        </w:rPr>
      </w:pPr>
    </w:p>
    <w:p w:rsidR="00040C3A" w:rsidRPr="00703017" w:rsidRDefault="00040C3A" w:rsidP="00040C3A">
      <w:pPr>
        <w:tabs>
          <w:tab w:val="center" w:pos="5400"/>
        </w:tabs>
        <w:suppressAutoHyphens/>
        <w:jc w:val="center"/>
        <w:rPr>
          <w:rFonts w:ascii="Cambria" w:hAnsi="Cambria"/>
          <w:sz w:val="22"/>
          <w:szCs w:val="22"/>
          <w:lang w:val="es-ES_tradnl"/>
        </w:rPr>
      </w:pPr>
    </w:p>
    <w:p w:rsidR="00040C3A" w:rsidRPr="00703017" w:rsidRDefault="00040C3A" w:rsidP="00040C3A">
      <w:pPr>
        <w:tabs>
          <w:tab w:val="center" w:pos="5400"/>
        </w:tabs>
        <w:suppressAutoHyphens/>
        <w:jc w:val="center"/>
        <w:rPr>
          <w:rFonts w:ascii="Cambria" w:hAnsi="Cambria"/>
          <w:sz w:val="22"/>
          <w:szCs w:val="22"/>
          <w:lang w:val="es-ES_tradnl"/>
        </w:rPr>
      </w:pPr>
    </w:p>
    <w:p w:rsidR="005128E4" w:rsidRPr="00703017" w:rsidRDefault="005128E4" w:rsidP="00040C3A">
      <w:pPr>
        <w:tabs>
          <w:tab w:val="center" w:pos="5400"/>
        </w:tabs>
        <w:suppressAutoHyphens/>
        <w:jc w:val="center"/>
        <w:rPr>
          <w:rFonts w:ascii="Cambria" w:hAnsi="Cambria"/>
          <w:sz w:val="22"/>
          <w:szCs w:val="22"/>
          <w:lang w:val="es-ES_tradnl"/>
        </w:rPr>
      </w:pPr>
    </w:p>
    <w:p w:rsidR="00040C3A" w:rsidRPr="00703017" w:rsidRDefault="00040C3A" w:rsidP="00040C3A">
      <w:pPr>
        <w:tabs>
          <w:tab w:val="center" w:pos="5400"/>
        </w:tabs>
        <w:suppressAutoHyphens/>
        <w:jc w:val="center"/>
        <w:rPr>
          <w:rFonts w:ascii="Cambria" w:hAnsi="Cambria"/>
          <w:sz w:val="22"/>
          <w:szCs w:val="22"/>
          <w:lang w:val="es-ES_tradnl"/>
        </w:rPr>
      </w:pPr>
    </w:p>
    <w:p w:rsidR="005128E4" w:rsidRPr="00703017" w:rsidRDefault="005128E4" w:rsidP="00040C3A">
      <w:pPr>
        <w:tabs>
          <w:tab w:val="center" w:pos="5400"/>
        </w:tabs>
        <w:suppressAutoHyphens/>
        <w:jc w:val="center"/>
        <w:rPr>
          <w:rFonts w:ascii="Cambria" w:hAnsi="Cambria"/>
          <w:sz w:val="22"/>
          <w:szCs w:val="22"/>
          <w:lang w:val="es-ES_tradnl"/>
        </w:rPr>
      </w:pPr>
    </w:p>
    <w:p w:rsidR="005128E4" w:rsidRPr="00703017" w:rsidRDefault="005128E4" w:rsidP="00040C3A">
      <w:pPr>
        <w:tabs>
          <w:tab w:val="center" w:pos="5400"/>
        </w:tabs>
        <w:suppressAutoHyphens/>
        <w:jc w:val="center"/>
        <w:rPr>
          <w:rFonts w:ascii="Cambria" w:hAnsi="Cambria"/>
          <w:sz w:val="22"/>
          <w:szCs w:val="22"/>
          <w:lang w:val="es-ES_tradnl"/>
        </w:rPr>
      </w:pPr>
    </w:p>
    <w:p w:rsidR="005128E4" w:rsidRPr="00703017" w:rsidRDefault="005128E4" w:rsidP="00040C3A">
      <w:pPr>
        <w:tabs>
          <w:tab w:val="center" w:pos="5400"/>
        </w:tabs>
        <w:suppressAutoHyphens/>
        <w:jc w:val="center"/>
        <w:rPr>
          <w:rFonts w:ascii="Cambria" w:hAnsi="Cambria"/>
          <w:sz w:val="22"/>
          <w:szCs w:val="22"/>
          <w:lang w:val="es-ES_tradnl"/>
        </w:rPr>
      </w:pPr>
    </w:p>
    <w:p w:rsidR="00040C3A" w:rsidRPr="00703017" w:rsidRDefault="00040C3A" w:rsidP="00040C3A">
      <w:pPr>
        <w:tabs>
          <w:tab w:val="center" w:pos="5400"/>
        </w:tabs>
        <w:suppressAutoHyphens/>
        <w:jc w:val="center"/>
        <w:rPr>
          <w:rFonts w:ascii="Cambria" w:hAnsi="Cambria"/>
          <w:sz w:val="22"/>
          <w:szCs w:val="22"/>
          <w:lang w:val="es-ES_tradnl"/>
        </w:rPr>
      </w:pPr>
    </w:p>
    <w:p w:rsidR="00040C3A" w:rsidRPr="00703017" w:rsidRDefault="00040C3A" w:rsidP="00040C3A">
      <w:pPr>
        <w:tabs>
          <w:tab w:val="center" w:pos="5400"/>
        </w:tabs>
        <w:suppressAutoHyphens/>
        <w:jc w:val="center"/>
        <w:rPr>
          <w:rFonts w:ascii="Cambria" w:hAnsi="Cambria"/>
          <w:sz w:val="22"/>
          <w:szCs w:val="22"/>
          <w:lang w:val="es-ES_tradnl"/>
        </w:rPr>
      </w:pPr>
    </w:p>
    <w:p w:rsidR="002C1641" w:rsidRPr="00703017" w:rsidRDefault="002C1641" w:rsidP="00040C3A">
      <w:pPr>
        <w:tabs>
          <w:tab w:val="center" w:pos="5400"/>
        </w:tabs>
        <w:suppressAutoHyphens/>
        <w:jc w:val="center"/>
        <w:rPr>
          <w:rFonts w:ascii="Cambria" w:hAnsi="Cambria"/>
          <w:sz w:val="18"/>
          <w:szCs w:val="22"/>
          <w:lang w:val="es-ES_tradnl"/>
        </w:rPr>
      </w:pPr>
    </w:p>
    <w:p w:rsidR="002C1641" w:rsidRPr="00703017" w:rsidRDefault="002C1641" w:rsidP="00040C3A">
      <w:pPr>
        <w:tabs>
          <w:tab w:val="center" w:pos="5400"/>
        </w:tabs>
        <w:suppressAutoHyphens/>
        <w:jc w:val="center"/>
        <w:rPr>
          <w:rFonts w:ascii="Cambria" w:hAnsi="Cambria"/>
          <w:sz w:val="18"/>
          <w:szCs w:val="22"/>
          <w:lang w:val="es-ES_tradnl"/>
        </w:rPr>
      </w:pPr>
    </w:p>
    <w:p w:rsidR="002C1641" w:rsidRPr="00703017" w:rsidRDefault="002C1641" w:rsidP="00040C3A">
      <w:pPr>
        <w:tabs>
          <w:tab w:val="center" w:pos="5400"/>
        </w:tabs>
        <w:suppressAutoHyphens/>
        <w:jc w:val="center"/>
        <w:rPr>
          <w:rFonts w:ascii="Cambria" w:hAnsi="Cambria"/>
          <w:sz w:val="18"/>
          <w:szCs w:val="22"/>
          <w:lang w:val="es-ES_tradnl"/>
        </w:rPr>
      </w:pPr>
    </w:p>
    <w:p w:rsidR="002C1641" w:rsidRPr="00703017" w:rsidRDefault="002C1641" w:rsidP="00040C3A">
      <w:pPr>
        <w:tabs>
          <w:tab w:val="center" w:pos="5400"/>
        </w:tabs>
        <w:suppressAutoHyphens/>
        <w:jc w:val="center"/>
        <w:rPr>
          <w:rFonts w:ascii="Cambria" w:hAnsi="Cambria"/>
          <w:sz w:val="18"/>
          <w:szCs w:val="22"/>
          <w:lang w:val="es-ES_tradnl"/>
        </w:rPr>
      </w:pPr>
    </w:p>
    <w:p w:rsidR="002C1641" w:rsidRPr="00703017" w:rsidRDefault="002C1641" w:rsidP="00040C3A">
      <w:pPr>
        <w:tabs>
          <w:tab w:val="center" w:pos="5400"/>
        </w:tabs>
        <w:suppressAutoHyphens/>
        <w:jc w:val="center"/>
        <w:rPr>
          <w:rFonts w:ascii="Cambria" w:hAnsi="Cambria"/>
          <w:sz w:val="18"/>
          <w:szCs w:val="22"/>
          <w:lang w:val="es-ES_tradnl"/>
        </w:rPr>
      </w:pPr>
    </w:p>
    <w:p w:rsidR="002C1641" w:rsidRPr="00703017" w:rsidRDefault="002C1641" w:rsidP="00040C3A">
      <w:pPr>
        <w:tabs>
          <w:tab w:val="center" w:pos="5400"/>
        </w:tabs>
        <w:suppressAutoHyphens/>
        <w:jc w:val="center"/>
        <w:rPr>
          <w:rFonts w:ascii="Cambria" w:hAnsi="Cambria"/>
          <w:sz w:val="18"/>
          <w:szCs w:val="22"/>
          <w:lang w:val="es-ES_tradnl"/>
        </w:rPr>
      </w:pPr>
    </w:p>
    <w:p w:rsidR="002C1641" w:rsidRPr="00703017" w:rsidRDefault="002C1641" w:rsidP="00040C3A">
      <w:pPr>
        <w:tabs>
          <w:tab w:val="center" w:pos="5400"/>
        </w:tabs>
        <w:suppressAutoHyphens/>
        <w:jc w:val="center"/>
        <w:rPr>
          <w:rFonts w:ascii="Cambria" w:hAnsi="Cambria"/>
          <w:sz w:val="18"/>
          <w:szCs w:val="22"/>
          <w:lang w:val="es-ES_tradnl"/>
        </w:rPr>
      </w:pPr>
    </w:p>
    <w:p w:rsidR="002C1641" w:rsidRPr="00703017" w:rsidRDefault="002C1641" w:rsidP="00040C3A">
      <w:pPr>
        <w:tabs>
          <w:tab w:val="center" w:pos="5400"/>
        </w:tabs>
        <w:suppressAutoHyphens/>
        <w:jc w:val="center"/>
        <w:rPr>
          <w:rFonts w:ascii="Cambria" w:hAnsi="Cambria"/>
          <w:sz w:val="18"/>
          <w:szCs w:val="22"/>
          <w:lang w:val="es-ES_tradnl"/>
        </w:rPr>
      </w:pPr>
    </w:p>
    <w:p w:rsidR="002C1641" w:rsidRPr="00703017" w:rsidRDefault="002C1641" w:rsidP="00040C3A">
      <w:pPr>
        <w:tabs>
          <w:tab w:val="center" w:pos="5400"/>
        </w:tabs>
        <w:suppressAutoHyphens/>
        <w:jc w:val="center"/>
        <w:rPr>
          <w:rFonts w:ascii="Cambria" w:hAnsi="Cambria"/>
          <w:sz w:val="18"/>
          <w:szCs w:val="22"/>
          <w:lang w:val="es-ES_tradnl"/>
        </w:rPr>
      </w:pPr>
    </w:p>
    <w:p w:rsidR="002C1641" w:rsidRPr="00703017" w:rsidRDefault="002C1641" w:rsidP="00040C3A">
      <w:pPr>
        <w:tabs>
          <w:tab w:val="center" w:pos="5400"/>
        </w:tabs>
        <w:suppressAutoHyphens/>
        <w:jc w:val="center"/>
        <w:rPr>
          <w:rFonts w:ascii="Cambria" w:hAnsi="Cambria"/>
          <w:sz w:val="18"/>
          <w:szCs w:val="22"/>
          <w:lang w:val="es-ES_tradnl"/>
        </w:rPr>
      </w:pPr>
    </w:p>
    <w:p w:rsidR="002C1641" w:rsidRPr="00703017" w:rsidRDefault="002C1641" w:rsidP="00040C3A">
      <w:pPr>
        <w:tabs>
          <w:tab w:val="center" w:pos="5400"/>
        </w:tabs>
        <w:suppressAutoHyphens/>
        <w:jc w:val="center"/>
        <w:rPr>
          <w:rFonts w:ascii="Cambria" w:hAnsi="Cambria"/>
          <w:sz w:val="18"/>
          <w:szCs w:val="22"/>
          <w:lang w:val="es-ES_tradnl"/>
        </w:rPr>
      </w:pPr>
    </w:p>
    <w:p w:rsidR="002C1641" w:rsidRPr="00703017" w:rsidRDefault="002C1641" w:rsidP="00040C3A">
      <w:pPr>
        <w:tabs>
          <w:tab w:val="center" w:pos="5400"/>
        </w:tabs>
        <w:suppressAutoHyphens/>
        <w:jc w:val="center"/>
        <w:rPr>
          <w:rFonts w:ascii="Cambria" w:hAnsi="Cambria"/>
          <w:sz w:val="18"/>
          <w:szCs w:val="22"/>
          <w:lang w:val="es-ES_tradnl"/>
        </w:rPr>
      </w:pPr>
    </w:p>
    <w:p w:rsidR="002C1641" w:rsidRPr="00703017" w:rsidRDefault="003C32BC" w:rsidP="00040C3A">
      <w:pPr>
        <w:tabs>
          <w:tab w:val="center" w:pos="5400"/>
        </w:tabs>
        <w:suppressAutoHyphens/>
        <w:jc w:val="center"/>
        <w:rPr>
          <w:rFonts w:ascii="Cambria" w:hAnsi="Cambria"/>
          <w:sz w:val="18"/>
          <w:szCs w:val="22"/>
          <w:lang w:val="es-ES_tradnl"/>
        </w:rPr>
      </w:pPr>
      <w:r w:rsidRPr="00703017">
        <w:rPr>
          <w:rFonts w:ascii="Cambria" w:hAnsi="Cambria"/>
          <w:noProof/>
          <w:sz w:val="22"/>
          <w:szCs w:val="22"/>
        </w:rPr>
        <mc:AlternateContent>
          <mc:Choice Requires="wps">
            <w:drawing>
              <wp:anchor distT="0" distB="0" distL="114300" distR="114300" simplePos="0" relativeHeight="251670528" behindDoc="0" locked="0" layoutInCell="1" allowOverlap="1" wp14:anchorId="2AA5D6AA" wp14:editId="3728F5E0">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15ED" w:rsidRPr="003C32BC" w:rsidRDefault="002915ED"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w:t>
                            </w:r>
                            <w:r w:rsidR="001E1053">
                              <w:rPr>
                                <w:rFonts w:asciiTheme="majorHAnsi" w:hAnsiTheme="majorHAnsi"/>
                                <w:color w:val="0D0D0D" w:themeColor="text1" w:themeTint="F2"/>
                                <w:sz w:val="18"/>
                                <w:szCs w:val="20"/>
                              </w:rPr>
                              <w:t>Commission at its session No. 2070</w:t>
                            </w:r>
                            <w:r w:rsidRPr="003C32BC">
                              <w:rPr>
                                <w:rFonts w:asciiTheme="majorHAnsi" w:hAnsiTheme="majorHAnsi"/>
                                <w:color w:val="0D0D0D" w:themeColor="text1" w:themeTint="F2"/>
                                <w:sz w:val="18"/>
                                <w:szCs w:val="20"/>
                              </w:rPr>
                              <w:t xml:space="preserve"> held on </w:t>
                            </w:r>
                            <w:r w:rsidR="001E1053">
                              <w:rPr>
                                <w:rFonts w:asciiTheme="majorHAnsi" w:hAnsiTheme="majorHAnsi"/>
                                <w:color w:val="0D0D0D" w:themeColor="text1" w:themeTint="F2"/>
                                <w:sz w:val="18"/>
                                <w:szCs w:val="20"/>
                              </w:rPr>
                              <w:t>December 6, 2016</w:t>
                            </w:r>
                            <w:r w:rsidR="006C75BF">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r w:rsidR="001E1053">
                              <w:rPr>
                                <w:rFonts w:asciiTheme="majorHAnsi" w:hAnsiTheme="majorHAnsi" w:cs="Univers"/>
                                <w:color w:val="0D0D0D" w:themeColor="text1" w:themeTint="F2"/>
                                <w:sz w:val="18"/>
                                <w:szCs w:val="20"/>
                              </w:rPr>
                              <w:t>159</w:t>
                            </w:r>
                            <w:r w:rsidR="006C75BF" w:rsidRPr="006C75BF">
                              <w:rPr>
                                <w:rFonts w:asciiTheme="majorHAnsi" w:hAnsiTheme="majorHAnsi" w:cs="Univers"/>
                                <w:color w:val="0D0D0D" w:themeColor="text1" w:themeTint="F2"/>
                                <w:sz w:val="18"/>
                                <w:szCs w:val="20"/>
                                <w:vertAlign w:val="superscript"/>
                              </w:rPr>
                              <w:t>th</w:t>
                            </w:r>
                            <w:r w:rsidRPr="003C32BC">
                              <w:rPr>
                                <w:rFonts w:asciiTheme="majorHAnsi" w:hAnsiTheme="majorHAnsi" w:cs="Univers"/>
                                <w:color w:val="0D0D0D" w:themeColor="text1" w:themeTint="F2"/>
                                <w:sz w:val="18"/>
                                <w:szCs w:val="20"/>
                              </w:rPr>
                              <w:t xml:space="preserve"> Regular Period of Sessions</w:t>
                            </w:r>
                            <w:r w:rsidR="006C75BF">
                              <w:rPr>
                                <w:rFonts w:asciiTheme="majorHAnsi" w:hAnsiTheme="majorHAnsi" w:cs="Univers"/>
                                <w:color w:val="0D0D0D" w:themeColor="text1" w:themeTint="F2"/>
                                <w:sz w:val="18"/>
                                <w:szCs w:val="20"/>
                              </w:rPr>
                              <w:t>.</w:t>
                            </w:r>
                          </w:p>
                          <w:p w:rsidR="002915ED" w:rsidRPr="003C32BC" w:rsidRDefault="002915ED"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" filled="f" stroked="f" strokeweight=".5pt">
                <v:textbox>
                  <w:txbxContent>
                    <w:p w:rsidR="002915ED" w:rsidRPr="003C32BC" w:rsidRDefault="002915ED"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w:t>
                      </w:r>
                      <w:r w:rsidR="001E1053">
                        <w:rPr>
                          <w:rFonts w:asciiTheme="majorHAnsi" w:hAnsiTheme="majorHAnsi"/>
                          <w:color w:val="0D0D0D" w:themeColor="text1" w:themeTint="F2"/>
                          <w:sz w:val="18"/>
                          <w:szCs w:val="20"/>
                        </w:rPr>
                        <w:t>Commission at its session No. 2070</w:t>
                      </w:r>
                      <w:r w:rsidRPr="003C32BC">
                        <w:rPr>
                          <w:rFonts w:asciiTheme="majorHAnsi" w:hAnsiTheme="majorHAnsi"/>
                          <w:color w:val="0D0D0D" w:themeColor="text1" w:themeTint="F2"/>
                          <w:sz w:val="18"/>
                          <w:szCs w:val="20"/>
                        </w:rPr>
                        <w:t xml:space="preserve"> held on </w:t>
                      </w:r>
                      <w:r w:rsidR="001E1053">
                        <w:rPr>
                          <w:rFonts w:asciiTheme="majorHAnsi" w:hAnsiTheme="majorHAnsi"/>
                          <w:color w:val="0D0D0D" w:themeColor="text1" w:themeTint="F2"/>
                          <w:sz w:val="18"/>
                          <w:szCs w:val="20"/>
                        </w:rPr>
                        <w:t>December 6, 2016</w:t>
                      </w:r>
                      <w:r w:rsidR="006C75BF">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r w:rsidR="001E1053">
                        <w:rPr>
                          <w:rFonts w:asciiTheme="majorHAnsi" w:hAnsiTheme="majorHAnsi" w:cs="Univers"/>
                          <w:color w:val="0D0D0D" w:themeColor="text1" w:themeTint="F2"/>
                          <w:sz w:val="18"/>
                          <w:szCs w:val="20"/>
                        </w:rPr>
                        <w:t>159</w:t>
                      </w:r>
                      <w:r w:rsidR="006C75BF" w:rsidRPr="006C75BF">
                        <w:rPr>
                          <w:rFonts w:asciiTheme="majorHAnsi" w:hAnsiTheme="majorHAnsi" w:cs="Univers"/>
                          <w:color w:val="0D0D0D" w:themeColor="text1" w:themeTint="F2"/>
                          <w:sz w:val="18"/>
                          <w:szCs w:val="20"/>
                          <w:vertAlign w:val="superscript"/>
                        </w:rPr>
                        <w:t>th</w:t>
                      </w:r>
                      <w:r w:rsidRPr="003C32BC">
                        <w:rPr>
                          <w:rFonts w:asciiTheme="majorHAnsi" w:hAnsiTheme="majorHAnsi" w:cs="Univers"/>
                          <w:color w:val="0D0D0D" w:themeColor="text1" w:themeTint="F2"/>
                          <w:sz w:val="18"/>
                          <w:szCs w:val="20"/>
                        </w:rPr>
                        <w:t xml:space="preserve"> Regular Period of Sessions</w:t>
                      </w:r>
                      <w:r w:rsidR="006C75BF">
                        <w:rPr>
                          <w:rFonts w:asciiTheme="majorHAnsi" w:hAnsiTheme="majorHAnsi" w:cs="Univers"/>
                          <w:color w:val="0D0D0D" w:themeColor="text1" w:themeTint="F2"/>
                          <w:sz w:val="18"/>
                          <w:szCs w:val="20"/>
                        </w:rPr>
                        <w:t>.</w:t>
                      </w:r>
                    </w:p>
                    <w:p w:rsidR="002915ED" w:rsidRPr="003C32BC" w:rsidRDefault="002915ED"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703017" w:rsidRDefault="002C1641" w:rsidP="00040C3A">
      <w:pPr>
        <w:tabs>
          <w:tab w:val="center" w:pos="5400"/>
        </w:tabs>
        <w:suppressAutoHyphens/>
        <w:jc w:val="center"/>
        <w:rPr>
          <w:rFonts w:ascii="Cambria" w:hAnsi="Cambria"/>
          <w:sz w:val="18"/>
          <w:szCs w:val="22"/>
          <w:lang w:val="es-ES_tradnl"/>
        </w:rPr>
      </w:pPr>
    </w:p>
    <w:p w:rsidR="002C1641" w:rsidRPr="00703017" w:rsidRDefault="002C1641" w:rsidP="00040C3A">
      <w:pPr>
        <w:tabs>
          <w:tab w:val="center" w:pos="5400"/>
        </w:tabs>
        <w:suppressAutoHyphens/>
        <w:jc w:val="center"/>
        <w:rPr>
          <w:rFonts w:ascii="Cambria" w:hAnsi="Cambria"/>
          <w:sz w:val="18"/>
          <w:szCs w:val="22"/>
          <w:lang w:val="es-ES_tradnl"/>
        </w:rPr>
      </w:pPr>
    </w:p>
    <w:p w:rsidR="002C1641" w:rsidRPr="00703017" w:rsidRDefault="002C1641" w:rsidP="00040C3A">
      <w:pPr>
        <w:tabs>
          <w:tab w:val="center" w:pos="5400"/>
        </w:tabs>
        <w:suppressAutoHyphens/>
        <w:jc w:val="center"/>
        <w:rPr>
          <w:rFonts w:ascii="Cambria" w:hAnsi="Cambria"/>
          <w:sz w:val="18"/>
          <w:szCs w:val="22"/>
          <w:lang w:val="es-ES_tradnl"/>
        </w:rPr>
      </w:pPr>
    </w:p>
    <w:p w:rsidR="002C1641" w:rsidRPr="00703017" w:rsidRDefault="002C1641" w:rsidP="00040C3A">
      <w:pPr>
        <w:tabs>
          <w:tab w:val="center" w:pos="5400"/>
        </w:tabs>
        <w:suppressAutoHyphens/>
        <w:jc w:val="center"/>
        <w:rPr>
          <w:rFonts w:ascii="Cambria" w:hAnsi="Cambria"/>
          <w:sz w:val="18"/>
          <w:szCs w:val="22"/>
          <w:lang w:val="es-ES_tradnl"/>
        </w:rPr>
      </w:pPr>
    </w:p>
    <w:p w:rsidR="002C1641" w:rsidRPr="00703017" w:rsidRDefault="003C32BC" w:rsidP="00040C3A">
      <w:pPr>
        <w:tabs>
          <w:tab w:val="center" w:pos="5400"/>
        </w:tabs>
        <w:suppressAutoHyphens/>
        <w:jc w:val="center"/>
        <w:rPr>
          <w:rFonts w:ascii="Cambria" w:hAnsi="Cambria"/>
          <w:sz w:val="18"/>
          <w:szCs w:val="22"/>
          <w:lang w:val="es-ES_tradnl"/>
        </w:rPr>
      </w:pPr>
      <w:r w:rsidRPr="00703017">
        <w:rPr>
          <w:rFonts w:ascii="Cambria" w:hAnsi="Cambria"/>
          <w:noProof/>
          <w:sz w:val="18"/>
          <w:szCs w:val="22"/>
        </w:rPr>
        <mc:AlternateContent>
          <mc:Choice Requires="wps">
            <w:drawing>
              <wp:anchor distT="0" distB="0" distL="114300" distR="114300" simplePos="0" relativeHeight="251683840" behindDoc="0" locked="0" layoutInCell="1" allowOverlap="1" wp14:anchorId="396D5C1B" wp14:editId="33734775">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15ED" w:rsidRPr="003C32BC" w:rsidRDefault="002915ED"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1E1053">
                              <w:rPr>
                                <w:rFonts w:asciiTheme="majorHAnsi" w:hAnsiTheme="majorHAnsi"/>
                                <w:color w:val="595959" w:themeColor="text1" w:themeTint="A6"/>
                                <w:sz w:val="18"/>
                              </w:rPr>
                              <w:t xml:space="preserve">IACHR, Report No. 62/16. Petition 4449-02. </w:t>
                            </w:r>
                            <w:r w:rsidRPr="003C32BC">
                              <w:rPr>
                                <w:rFonts w:asciiTheme="majorHAnsi" w:hAnsiTheme="majorHAnsi"/>
                                <w:color w:val="595959" w:themeColor="text1" w:themeTint="A6"/>
                                <w:sz w:val="18"/>
                              </w:rPr>
                              <w:t>Admi</w:t>
                            </w:r>
                            <w:r>
                              <w:rPr>
                                <w:rFonts w:asciiTheme="majorHAnsi" w:hAnsiTheme="majorHAnsi"/>
                                <w:color w:val="595959" w:themeColor="text1" w:themeTint="A6"/>
                                <w:sz w:val="18"/>
                              </w:rPr>
                              <w:t>s</w:t>
                            </w:r>
                            <w:r w:rsidRPr="003C32BC">
                              <w:rPr>
                                <w:rFonts w:asciiTheme="majorHAnsi" w:hAnsiTheme="majorHAnsi"/>
                                <w:color w:val="595959" w:themeColor="text1" w:themeTint="A6"/>
                                <w:sz w:val="18"/>
                              </w:rPr>
                              <w:t>sibility</w:t>
                            </w:r>
                            <w:r w:rsidR="001E1053">
                              <w:rPr>
                                <w:rFonts w:asciiTheme="majorHAnsi" w:hAnsiTheme="majorHAnsi"/>
                                <w:color w:val="595959" w:themeColor="text1" w:themeTint="A6"/>
                                <w:sz w:val="18"/>
                              </w:rPr>
                              <w:t>. Saulo Arboleda Gómez. Colombia. December 6,2016.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" filled="f" stroked="f" strokeweight=".5pt">
                <v:textbox>
                  <w:txbxContent>
                    <w:p w:rsidR="002915ED" w:rsidRPr="003C32BC" w:rsidRDefault="002915ED"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1E1053">
                        <w:rPr>
                          <w:rFonts w:asciiTheme="majorHAnsi" w:hAnsiTheme="majorHAnsi"/>
                          <w:color w:val="595959" w:themeColor="text1" w:themeTint="A6"/>
                          <w:sz w:val="18"/>
                        </w:rPr>
                        <w:t xml:space="preserve">IACHR, Report No. 62/16. </w:t>
                      </w:r>
                      <w:proofErr w:type="gramStart"/>
                      <w:r w:rsidR="001E1053">
                        <w:rPr>
                          <w:rFonts w:asciiTheme="majorHAnsi" w:hAnsiTheme="majorHAnsi"/>
                          <w:color w:val="595959" w:themeColor="text1" w:themeTint="A6"/>
                          <w:sz w:val="18"/>
                        </w:rPr>
                        <w:t>Petition 4449-02.</w:t>
                      </w:r>
                      <w:proofErr w:type="gramEnd"/>
                      <w:r w:rsidR="001E1053">
                        <w:rPr>
                          <w:rFonts w:asciiTheme="majorHAnsi" w:hAnsiTheme="majorHAnsi"/>
                          <w:color w:val="595959" w:themeColor="text1" w:themeTint="A6"/>
                          <w:sz w:val="18"/>
                        </w:rPr>
                        <w:t xml:space="preserve"> </w:t>
                      </w:r>
                      <w:proofErr w:type="gramStart"/>
                      <w:r w:rsidRPr="003C32BC">
                        <w:rPr>
                          <w:rFonts w:asciiTheme="majorHAnsi" w:hAnsiTheme="majorHAnsi"/>
                          <w:color w:val="595959" w:themeColor="text1" w:themeTint="A6"/>
                          <w:sz w:val="18"/>
                        </w:rPr>
                        <w:t>Admi</w:t>
                      </w:r>
                      <w:r>
                        <w:rPr>
                          <w:rFonts w:asciiTheme="majorHAnsi" w:hAnsiTheme="majorHAnsi"/>
                          <w:color w:val="595959" w:themeColor="text1" w:themeTint="A6"/>
                          <w:sz w:val="18"/>
                        </w:rPr>
                        <w:t>s</w:t>
                      </w:r>
                      <w:r w:rsidRPr="003C32BC">
                        <w:rPr>
                          <w:rFonts w:asciiTheme="majorHAnsi" w:hAnsiTheme="majorHAnsi"/>
                          <w:color w:val="595959" w:themeColor="text1" w:themeTint="A6"/>
                          <w:sz w:val="18"/>
                        </w:rPr>
                        <w:t>sibility</w:t>
                      </w:r>
                      <w:r w:rsidR="001E1053">
                        <w:rPr>
                          <w:rFonts w:asciiTheme="majorHAnsi" w:hAnsiTheme="majorHAnsi"/>
                          <w:color w:val="595959" w:themeColor="text1" w:themeTint="A6"/>
                          <w:sz w:val="18"/>
                        </w:rPr>
                        <w:t>.</w:t>
                      </w:r>
                      <w:proofErr w:type="gramEnd"/>
                      <w:r w:rsidR="001E1053">
                        <w:rPr>
                          <w:rFonts w:asciiTheme="majorHAnsi" w:hAnsiTheme="majorHAnsi"/>
                          <w:color w:val="595959" w:themeColor="text1" w:themeTint="A6"/>
                          <w:sz w:val="18"/>
                        </w:rPr>
                        <w:t xml:space="preserve"> </w:t>
                      </w:r>
                      <w:proofErr w:type="spellStart"/>
                      <w:r w:rsidR="001E1053">
                        <w:rPr>
                          <w:rFonts w:asciiTheme="majorHAnsi" w:hAnsiTheme="majorHAnsi"/>
                          <w:color w:val="595959" w:themeColor="text1" w:themeTint="A6"/>
                          <w:sz w:val="18"/>
                        </w:rPr>
                        <w:t>Saulo</w:t>
                      </w:r>
                      <w:proofErr w:type="spellEnd"/>
                      <w:r w:rsidR="001E1053">
                        <w:rPr>
                          <w:rFonts w:asciiTheme="majorHAnsi" w:hAnsiTheme="majorHAnsi"/>
                          <w:color w:val="595959" w:themeColor="text1" w:themeTint="A6"/>
                          <w:sz w:val="18"/>
                        </w:rPr>
                        <w:t xml:space="preserve"> </w:t>
                      </w:r>
                      <w:proofErr w:type="spellStart"/>
                      <w:r w:rsidR="001E1053">
                        <w:rPr>
                          <w:rFonts w:asciiTheme="majorHAnsi" w:hAnsiTheme="majorHAnsi"/>
                          <w:color w:val="595959" w:themeColor="text1" w:themeTint="A6"/>
                          <w:sz w:val="18"/>
                        </w:rPr>
                        <w:t>Arboleda</w:t>
                      </w:r>
                      <w:proofErr w:type="spellEnd"/>
                      <w:r w:rsidR="001E1053">
                        <w:rPr>
                          <w:rFonts w:asciiTheme="majorHAnsi" w:hAnsiTheme="majorHAnsi"/>
                          <w:color w:val="595959" w:themeColor="text1" w:themeTint="A6"/>
                          <w:sz w:val="18"/>
                        </w:rPr>
                        <w:t xml:space="preserve"> Gómez. Colombia. December 6</w:t>
                      </w:r>
                      <w:proofErr w:type="gramStart"/>
                      <w:r w:rsidR="001E1053">
                        <w:rPr>
                          <w:rFonts w:asciiTheme="majorHAnsi" w:hAnsiTheme="majorHAnsi"/>
                          <w:color w:val="595959" w:themeColor="text1" w:themeTint="A6"/>
                          <w:sz w:val="18"/>
                        </w:rPr>
                        <w:t>,2016</w:t>
                      </w:r>
                      <w:proofErr w:type="gramEnd"/>
                      <w:r w:rsidR="001E1053">
                        <w:rPr>
                          <w:rFonts w:asciiTheme="majorHAnsi" w:hAnsiTheme="majorHAnsi"/>
                          <w:color w:val="595959" w:themeColor="text1" w:themeTint="A6"/>
                          <w:sz w:val="18"/>
                        </w:rPr>
                        <w:t>.</w:t>
                      </w:r>
                    </w:p>
                  </w:txbxContent>
                </v:textbox>
              </v:shape>
            </w:pict>
          </mc:Fallback>
        </mc:AlternateContent>
      </w:r>
    </w:p>
    <w:p w:rsidR="002C1641" w:rsidRPr="00703017" w:rsidRDefault="002C1641" w:rsidP="00040C3A">
      <w:pPr>
        <w:tabs>
          <w:tab w:val="center" w:pos="5400"/>
        </w:tabs>
        <w:suppressAutoHyphens/>
        <w:jc w:val="center"/>
        <w:rPr>
          <w:rFonts w:ascii="Cambria" w:hAnsi="Cambria"/>
          <w:sz w:val="18"/>
          <w:szCs w:val="22"/>
          <w:lang w:val="es-ES_tradnl"/>
        </w:rPr>
      </w:pPr>
    </w:p>
    <w:p w:rsidR="002C1641" w:rsidRPr="00703017" w:rsidRDefault="002C1641" w:rsidP="00040C3A">
      <w:pPr>
        <w:tabs>
          <w:tab w:val="center" w:pos="5400"/>
        </w:tabs>
        <w:suppressAutoHyphens/>
        <w:jc w:val="center"/>
        <w:rPr>
          <w:rFonts w:ascii="Cambria" w:hAnsi="Cambria"/>
          <w:sz w:val="18"/>
          <w:szCs w:val="22"/>
          <w:lang w:val="es-ES_tradnl"/>
        </w:rPr>
      </w:pPr>
    </w:p>
    <w:p w:rsidR="003C32BC" w:rsidRPr="00703017" w:rsidRDefault="003C32BC" w:rsidP="003C32BC">
      <w:pPr>
        <w:tabs>
          <w:tab w:val="center" w:pos="5400"/>
        </w:tabs>
        <w:suppressAutoHyphens/>
        <w:jc w:val="center"/>
        <w:rPr>
          <w:rFonts w:ascii="Cambria" w:hAnsi="Cambria"/>
          <w:sz w:val="18"/>
          <w:szCs w:val="22"/>
        </w:rPr>
      </w:pPr>
    </w:p>
    <w:p w:rsidR="003C32BC" w:rsidRPr="00703017" w:rsidRDefault="006311DA" w:rsidP="003C32BC">
      <w:pPr>
        <w:tabs>
          <w:tab w:val="center" w:pos="5400"/>
        </w:tabs>
        <w:suppressAutoHyphens/>
        <w:jc w:val="center"/>
        <w:rPr>
          <w:rFonts w:ascii="Cambria" w:hAnsi="Cambria"/>
          <w:sz w:val="18"/>
          <w:szCs w:val="22"/>
        </w:rPr>
      </w:pPr>
      <w:r w:rsidRPr="00703017">
        <w:rPr>
          <w:rFonts w:ascii="Cambria" w:hAnsi="Cambria"/>
          <w:noProof/>
          <w:sz w:val="22"/>
          <w:szCs w:val="22"/>
        </w:rPr>
        <mc:AlternateContent>
          <mc:Choice Requires="wps">
            <w:drawing>
              <wp:anchor distT="0" distB="0" distL="114300" distR="114300" simplePos="0" relativeHeight="251686912" behindDoc="0" locked="0" layoutInCell="1" allowOverlap="1" wp14:anchorId="68893090" wp14:editId="7218F514">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15ED" w:rsidRPr="004B7EB6" w:rsidRDefault="002915ED"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rsidR="002915ED" w:rsidRPr="004B7EB6" w:rsidRDefault="002915ED"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703017">
        <w:rPr>
          <w:rFonts w:ascii="Cambria" w:hAnsi="Cambria"/>
          <w:noProof/>
          <w:sz w:val="22"/>
          <w:szCs w:val="22"/>
        </w:rPr>
        <mc:AlternateContent>
          <mc:Choice Requires="wps">
            <w:drawing>
              <wp:anchor distT="0" distB="0" distL="114300" distR="114300" simplePos="0" relativeHeight="251684864" behindDoc="0" locked="0" layoutInCell="1" allowOverlap="1" wp14:anchorId="427EE844" wp14:editId="19A1570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15ED" w:rsidRDefault="002915ED">
                            <w:r>
                              <w:rPr>
                                <w:noProof/>
                              </w:rPr>
                              <w:drawing>
                                <wp:inline distT="0" distB="0" distL="0" distR="0" wp14:anchorId="210D63BC" wp14:editId="19B7F44C">
                                  <wp:extent cx="1123950" cy="378416"/>
                                  <wp:effectExtent l="0" t="0" r="0" b="3175"/>
                                  <wp:docPr id="17" name="Picture 17"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A7+dOyOAgAAkQUAAA4AAAAAAAAAAAAAAAAALgIAAGRycy9lMm9Eb2MueG1sUEsBAi0A&#10;FAAGAAgAAAAhAGXRZXDdAAAACwEAAA8AAAAAAAAAAAAAAAAA6AQAAGRycy9kb3ducmV2LnhtbFBL&#10;BQYAAAAABAAEAPMAAADyBQAAAAA=&#10;" fillcolor="white [3201]" stroked="f" strokeweight=".5pt">
                <v:textbox>
                  <w:txbxContent>
                    <w:p w:rsidR="002915ED" w:rsidRDefault="002915ED">
                      <w:r>
                        <w:rPr>
                          <w:noProof/>
                        </w:rPr>
                        <w:drawing>
                          <wp:inline distT="0" distB="0" distL="0" distR="0" wp14:anchorId="210D63BC" wp14:editId="19B7F44C">
                            <wp:extent cx="1123950" cy="378416"/>
                            <wp:effectExtent l="0" t="0" r="0" b="3175"/>
                            <wp:docPr id="17" name="Picture 17"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703017" w:rsidRDefault="007607C4" w:rsidP="003C32BC">
      <w:pPr>
        <w:tabs>
          <w:tab w:val="center" w:pos="5400"/>
        </w:tabs>
        <w:suppressAutoHyphens/>
        <w:jc w:val="center"/>
        <w:rPr>
          <w:rFonts w:ascii="Cambria" w:hAnsi="Cambria"/>
          <w:sz w:val="18"/>
          <w:szCs w:val="22"/>
        </w:rPr>
        <w:sectPr w:rsidR="007607C4" w:rsidRPr="00703017"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C06055" w:rsidRPr="00703017" w:rsidRDefault="007F5118" w:rsidP="00C06055">
      <w:pPr>
        <w:tabs>
          <w:tab w:val="center" w:pos="5400"/>
        </w:tabs>
        <w:suppressAutoHyphens/>
        <w:jc w:val="center"/>
        <w:rPr>
          <w:rFonts w:ascii="Cambria" w:hAnsi="Cambria"/>
          <w:b/>
          <w:sz w:val="18"/>
          <w:szCs w:val="18"/>
        </w:rPr>
      </w:pPr>
      <w:r w:rsidRPr="00703017">
        <w:rPr>
          <w:rFonts w:ascii="Cambria" w:hAnsi="Cambria"/>
          <w:b/>
          <w:sz w:val="18"/>
          <w:szCs w:val="18"/>
        </w:rPr>
        <w:lastRenderedPageBreak/>
        <w:t>REPORT</w:t>
      </w:r>
      <w:r w:rsidR="001E1053">
        <w:rPr>
          <w:rFonts w:ascii="Cambria" w:hAnsi="Cambria"/>
          <w:b/>
          <w:sz w:val="18"/>
          <w:szCs w:val="18"/>
        </w:rPr>
        <w:t xml:space="preserve"> No. 62</w:t>
      </w:r>
      <w:r w:rsidR="00C06055" w:rsidRPr="00703017">
        <w:rPr>
          <w:rFonts w:ascii="Cambria" w:hAnsi="Cambria"/>
          <w:b/>
          <w:sz w:val="18"/>
          <w:szCs w:val="18"/>
        </w:rPr>
        <w:t>/ 16</w:t>
      </w:r>
      <w:r w:rsidR="00C06055" w:rsidRPr="00703017">
        <w:rPr>
          <w:rStyle w:val="FootnoteReference"/>
          <w:rFonts w:ascii="Cambria" w:hAnsi="Cambria"/>
          <w:b/>
          <w:sz w:val="18"/>
          <w:szCs w:val="18"/>
        </w:rPr>
        <w:footnoteReference w:id="2"/>
      </w:r>
    </w:p>
    <w:p w:rsidR="00C06055" w:rsidRPr="00703017" w:rsidRDefault="007F5118" w:rsidP="00C06055">
      <w:pPr>
        <w:tabs>
          <w:tab w:val="center" w:pos="5400"/>
        </w:tabs>
        <w:suppressAutoHyphens/>
        <w:jc w:val="center"/>
        <w:rPr>
          <w:rFonts w:ascii="Cambria" w:hAnsi="Cambria"/>
          <w:b/>
          <w:sz w:val="18"/>
          <w:szCs w:val="18"/>
        </w:rPr>
      </w:pPr>
      <w:r w:rsidRPr="00703017">
        <w:rPr>
          <w:rFonts w:ascii="Cambria" w:hAnsi="Cambria"/>
          <w:b/>
          <w:sz w:val="18"/>
          <w:szCs w:val="18"/>
        </w:rPr>
        <w:t>PETITIO</w:t>
      </w:r>
      <w:r w:rsidR="00C06055" w:rsidRPr="00703017">
        <w:rPr>
          <w:rFonts w:ascii="Cambria" w:hAnsi="Cambria"/>
          <w:b/>
          <w:sz w:val="18"/>
          <w:szCs w:val="18"/>
        </w:rPr>
        <w:t>N 4449-02</w:t>
      </w:r>
    </w:p>
    <w:p w:rsidR="00C06055" w:rsidRPr="00703017" w:rsidRDefault="00875E28" w:rsidP="00C06055">
      <w:pPr>
        <w:tabs>
          <w:tab w:val="center" w:pos="5400"/>
        </w:tabs>
        <w:suppressAutoHyphens/>
        <w:jc w:val="center"/>
        <w:rPr>
          <w:rFonts w:ascii="Cambria" w:hAnsi="Cambria"/>
          <w:sz w:val="18"/>
          <w:szCs w:val="18"/>
        </w:rPr>
      </w:pPr>
      <w:r w:rsidRPr="00703017">
        <w:rPr>
          <w:rFonts w:ascii="Cambria" w:hAnsi="Cambria"/>
          <w:sz w:val="18"/>
          <w:szCs w:val="18"/>
        </w:rPr>
        <w:t>REPORT ON ADMISSIBILITY</w:t>
      </w:r>
    </w:p>
    <w:p w:rsidR="00C06055" w:rsidRPr="00703017" w:rsidRDefault="00C06055" w:rsidP="00C06055">
      <w:pPr>
        <w:tabs>
          <w:tab w:val="center" w:pos="5400"/>
        </w:tabs>
        <w:suppressAutoHyphens/>
        <w:jc w:val="center"/>
        <w:rPr>
          <w:rFonts w:ascii="Cambria" w:hAnsi="Cambria"/>
          <w:sz w:val="18"/>
          <w:szCs w:val="18"/>
        </w:rPr>
      </w:pPr>
      <w:r w:rsidRPr="00703017">
        <w:rPr>
          <w:rFonts w:ascii="Cambria" w:hAnsi="Cambria"/>
          <w:sz w:val="18"/>
          <w:szCs w:val="18"/>
        </w:rPr>
        <w:t>SAULO ARBOLEDA GÓMEZ</w:t>
      </w:r>
    </w:p>
    <w:p w:rsidR="00C06055" w:rsidRPr="00703017" w:rsidRDefault="00C06055" w:rsidP="00C06055">
      <w:pPr>
        <w:tabs>
          <w:tab w:val="center" w:pos="5400"/>
        </w:tabs>
        <w:suppressAutoHyphens/>
        <w:jc w:val="center"/>
        <w:rPr>
          <w:rFonts w:ascii="Cambria" w:hAnsi="Cambria"/>
          <w:sz w:val="18"/>
          <w:szCs w:val="18"/>
        </w:rPr>
      </w:pPr>
      <w:r w:rsidRPr="00703017">
        <w:rPr>
          <w:rFonts w:ascii="Cambria" w:hAnsi="Cambria"/>
          <w:sz w:val="18"/>
          <w:szCs w:val="18"/>
        </w:rPr>
        <w:t>COLOMBIA</w:t>
      </w:r>
    </w:p>
    <w:p w:rsidR="00C06055" w:rsidRPr="00703017" w:rsidRDefault="001E1053" w:rsidP="00C06055">
      <w:pPr>
        <w:tabs>
          <w:tab w:val="center" w:pos="5400"/>
        </w:tabs>
        <w:suppressAutoHyphens/>
        <w:jc w:val="center"/>
        <w:rPr>
          <w:rFonts w:ascii="Cambria" w:hAnsi="Cambria"/>
          <w:sz w:val="18"/>
          <w:szCs w:val="18"/>
        </w:rPr>
      </w:pPr>
      <w:r>
        <w:rPr>
          <w:rFonts w:ascii="Cambria" w:hAnsi="Cambria"/>
          <w:sz w:val="18"/>
          <w:szCs w:val="18"/>
        </w:rPr>
        <w:t>DECEMBER 6, 2016</w:t>
      </w:r>
    </w:p>
    <w:p w:rsidR="00C06055" w:rsidRDefault="00C06055" w:rsidP="00C06055">
      <w:pPr>
        <w:tabs>
          <w:tab w:val="center" w:pos="5400"/>
        </w:tabs>
        <w:suppressAutoHyphens/>
        <w:jc w:val="center"/>
        <w:rPr>
          <w:rFonts w:ascii="Cambria" w:hAnsi="Cambria"/>
          <w:sz w:val="18"/>
          <w:szCs w:val="18"/>
        </w:rPr>
      </w:pPr>
    </w:p>
    <w:p w:rsidR="001E1053" w:rsidRPr="00703017" w:rsidRDefault="001E1053" w:rsidP="00C06055">
      <w:pPr>
        <w:tabs>
          <w:tab w:val="center" w:pos="5400"/>
        </w:tabs>
        <w:suppressAutoHyphens/>
        <w:jc w:val="center"/>
        <w:rPr>
          <w:rFonts w:ascii="Cambria" w:hAnsi="Cambria"/>
          <w:sz w:val="18"/>
          <w:szCs w:val="18"/>
        </w:rPr>
      </w:pPr>
    </w:p>
    <w:p w:rsidR="00C06055" w:rsidRPr="00703017" w:rsidRDefault="00C06055" w:rsidP="00C06055">
      <w:pPr>
        <w:spacing w:after="240"/>
        <w:ind w:firstLine="720"/>
        <w:jc w:val="both"/>
        <w:rPr>
          <w:rFonts w:ascii="Cambria" w:hAnsi="Cambria"/>
          <w:b/>
          <w:bCs/>
          <w:sz w:val="20"/>
          <w:szCs w:val="20"/>
        </w:rPr>
      </w:pPr>
      <w:r w:rsidRPr="00703017">
        <w:rPr>
          <w:rFonts w:ascii="Cambria" w:hAnsi="Cambria"/>
          <w:b/>
          <w:bCs/>
          <w:sz w:val="20"/>
          <w:szCs w:val="20"/>
        </w:rPr>
        <w:t>I.</w:t>
      </w:r>
      <w:r w:rsidRPr="00703017">
        <w:rPr>
          <w:rFonts w:ascii="Cambria" w:hAnsi="Cambria"/>
          <w:b/>
          <w:bCs/>
          <w:sz w:val="20"/>
          <w:szCs w:val="20"/>
        </w:rPr>
        <w:tab/>
      </w:r>
      <w:r w:rsidR="007F5118" w:rsidRPr="00703017">
        <w:rPr>
          <w:rFonts w:ascii="Cambria" w:hAnsi="Cambria"/>
          <w:b/>
          <w:bCs/>
          <w:sz w:val="20"/>
          <w:szCs w:val="20"/>
        </w:rPr>
        <w:t>SUMMARY</w:t>
      </w:r>
    </w:p>
    <w:p w:rsidR="009A3CCB" w:rsidRPr="00703017" w:rsidRDefault="009A3CCB" w:rsidP="00C060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3017">
        <w:rPr>
          <w:rFonts w:ascii="Cambria" w:hAnsi="Cambria"/>
          <w:sz w:val="20"/>
          <w:szCs w:val="20"/>
        </w:rPr>
        <w:t>On November 5, 2002, the Inter-American Commission on Human Rights (hereinafter</w:t>
      </w:r>
      <w:r w:rsidR="003413C7" w:rsidRPr="00703017">
        <w:rPr>
          <w:rFonts w:ascii="Cambria" w:hAnsi="Cambria"/>
          <w:sz w:val="20"/>
          <w:szCs w:val="20"/>
        </w:rPr>
        <w:t xml:space="preserve"> </w:t>
      </w:r>
      <w:r w:rsidR="005137FC" w:rsidRPr="00703017">
        <w:rPr>
          <w:rFonts w:ascii="Cambria" w:hAnsi="Cambria"/>
          <w:sz w:val="20"/>
          <w:szCs w:val="20"/>
        </w:rPr>
        <w:t>“</w:t>
      </w:r>
      <w:r w:rsidR="003413C7" w:rsidRPr="00703017">
        <w:rPr>
          <w:rFonts w:ascii="Cambria" w:hAnsi="Cambria"/>
          <w:sz w:val="20"/>
          <w:szCs w:val="20"/>
        </w:rPr>
        <w:t>the</w:t>
      </w:r>
      <w:r w:rsidRPr="00703017">
        <w:rPr>
          <w:rFonts w:ascii="Cambria" w:hAnsi="Cambria"/>
          <w:sz w:val="20"/>
          <w:szCs w:val="20"/>
        </w:rPr>
        <w:t xml:space="preserve"> Commission,”</w:t>
      </w:r>
      <w:r w:rsidR="003413C7" w:rsidRPr="00703017">
        <w:rPr>
          <w:rFonts w:ascii="Cambria" w:hAnsi="Cambria"/>
          <w:sz w:val="20"/>
          <w:szCs w:val="20"/>
        </w:rPr>
        <w:t xml:space="preserve"> </w:t>
      </w:r>
      <w:r w:rsidR="005137FC" w:rsidRPr="00703017">
        <w:rPr>
          <w:rFonts w:ascii="Cambria" w:hAnsi="Cambria"/>
          <w:sz w:val="20"/>
          <w:szCs w:val="20"/>
        </w:rPr>
        <w:t>“</w:t>
      </w:r>
      <w:r w:rsidR="003413C7" w:rsidRPr="00703017">
        <w:rPr>
          <w:rFonts w:ascii="Cambria" w:hAnsi="Cambria"/>
          <w:sz w:val="20"/>
          <w:szCs w:val="20"/>
        </w:rPr>
        <w:t xml:space="preserve">the </w:t>
      </w:r>
      <w:r w:rsidRPr="00703017">
        <w:rPr>
          <w:rFonts w:ascii="Cambria" w:hAnsi="Cambria"/>
          <w:sz w:val="20"/>
          <w:szCs w:val="20"/>
        </w:rPr>
        <w:t xml:space="preserve">Inter-American Commission,” or </w:t>
      </w:r>
      <w:r w:rsidR="005137FC" w:rsidRPr="00703017">
        <w:rPr>
          <w:rFonts w:ascii="Cambria" w:hAnsi="Cambria"/>
          <w:sz w:val="20"/>
          <w:szCs w:val="20"/>
        </w:rPr>
        <w:t>“</w:t>
      </w:r>
      <w:r w:rsidR="003413C7" w:rsidRPr="00703017">
        <w:rPr>
          <w:rFonts w:ascii="Cambria" w:hAnsi="Cambria"/>
          <w:sz w:val="20"/>
          <w:szCs w:val="20"/>
        </w:rPr>
        <w:t xml:space="preserve">the </w:t>
      </w:r>
      <w:r w:rsidRPr="00703017">
        <w:rPr>
          <w:rFonts w:ascii="Cambria" w:hAnsi="Cambria"/>
          <w:sz w:val="20"/>
          <w:szCs w:val="20"/>
        </w:rPr>
        <w:t xml:space="preserve">IACHR”) received a petition </w:t>
      </w:r>
      <w:r w:rsidR="008910A8" w:rsidRPr="00703017">
        <w:rPr>
          <w:rFonts w:ascii="Cambria" w:hAnsi="Cambria"/>
          <w:sz w:val="20"/>
          <w:szCs w:val="20"/>
        </w:rPr>
        <w:t>lodge</w:t>
      </w:r>
      <w:r w:rsidRPr="00703017">
        <w:rPr>
          <w:rFonts w:ascii="Cambria" w:hAnsi="Cambria"/>
          <w:sz w:val="20"/>
          <w:szCs w:val="20"/>
        </w:rPr>
        <w:t xml:space="preserve">d by Saulo Arboleda Gómez (hereinafter </w:t>
      </w:r>
      <w:r w:rsidR="005137FC" w:rsidRPr="00703017">
        <w:rPr>
          <w:rFonts w:ascii="Cambria" w:hAnsi="Cambria"/>
          <w:sz w:val="20"/>
          <w:szCs w:val="20"/>
        </w:rPr>
        <w:t xml:space="preserve">“the </w:t>
      </w:r>
      <w:r w:rsidR="00C20D40" w:rsidRPr="00703017">
        <w:rPr>
          <w:rFonts w:ascii="Cambria" w:hAnsi="Cambria"/>
          <w:sz w:val="20"/>
          <w:szCs w:val="20"/>
        </w:rPr>
        <w:t>Petitioner</w:t>
      </w:r>
      <w:r w:rsidRPr="00703017">
        <w:rPr>
          <w:rFonts w:ascii="Cambria" w:hAnsi="Cambria"/>
          <w:sz w:val="20"/>
          <w:szCs w:val="20"/>
        </w:rPr>
        <w:t xml:space="preserve">” or </w:t>
      </w:r>
      <w:r w:rsidR="005137FC" w:rsidRPr="00703017">
        <w:rPr>
          <w:rFonts w:ascii="Cambria" w:hAnsi="Cambria"/>
          <w:sz w:val="20"/>
          <w:szCs w:val="20"/>
        </w:rPr>
        <w:t xml:space="preserve">“the </w:t>
      </w:r>
      <w:r w:rsidRPr="00703017">
        <w:rPr>
          <w:rFonts w:ascii="Cambria" w:hAnsi="Cambria"/>
          <w:sz w:val="20"/>
          <w:szCs w:val="20"/>
        </w:rPr>
        <w:t xml:space="preserve">alleged victim”) against the Republic of Colombia (hereinafter “Colombia” or </w:t>
      </w:r>
      <w:r w:rsidR="005137FC" w:rsidRPr="00703017">
        <w:rPr>
          <w:rFonts w:ascii="Cambria" w:hAnsi="Cambria"/>
          <w:sz w:val="20"/>
          <w:szCs w:val="20"/>
        </w:rPr>
        <w:t xml:space="preserve">“the </w:t>
      </w:r>
      <w:r w:rsidRPr="00703017">
        <w:rPr>
          <w:rFonts w:ascii="Cambria" w:hAnsi="Cambria"/>
          <w:sz w:val="20"/>
          <w:szCs w:val="20"/>
        </w:rPr>
        <w:t xml:space="preserve">State”) alleging </w:t>
      </w:r>
      <w:r w:rsidR="00976E7A" w:rsidRPr="00703017">
        <w:rPr>
          <w:rFonts w:ascii="Cambria" w:hAnsi="Cambria"/>
          <w:sz w:val="20"/>
          <w:szCs w:val="20"/>
        </w:rPr>
        <w:t>violation of his right to a fair trial</w:t>
      </w:r>
      <w:r w:rsidRPr="00703017">
        <w:rPr>
          <w:rFonts w:ascii="Cambria" w:hAnsi="Cambria"/>
          <w:sz w:val="20"/>
          <w:szCs w:val="20"/>
        </w:rPr>
        <w:t xml:space="preserve"> in criminal proceedings against him.</w:t>
      </w:r>
    </w:p>
    <w:p w:rsidR="00C06055" w:rsidRPr="00703017" w:rsidRDefault="00C20D40" w:rsidP="00C060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3017">
        <w:rPr>
          <w:rFonts w:ascii="Cambria" w:hAnsi="Cambria"/>
          <w:sz w:val="20"/>
          <w:szCs w:val="20"/>
        </w:rPr>
        <w:t>According to the</w:t>
      </w:r>
      <w:r w:rsidR="00B42DC5" w:rsidRPr="00703017">
        <w:rPr>
          <w:rFonts w:ascii="Cambria" w:hAnsi="Cambria"/>
          <w:sz w:val="20"/>
          <w:szCs w:val="20"/>
        </w:rPr>
        <w:t xml:space="preserve"> </w:t>
      </w:r>
      <w:r w:rsidR="0076428E">
        <w:rPr>
          <w:rFonts w:ascii="Cambria" w:hAnsi="Cambria"/>
          <w:sz w:val="20"/>
          <w:szCs w:val="20"/>
        </w:rPr>
        <w:t>p</w:t>
      </w:r>
      <w:r w:rsidRPr="00703017">
        <w:rPr>
          <w:rFonts w:ascii="Cambria" w:hAnsi="Cambria"/>
          <w:sz w:val="20"/>
          <w:szCs w:val="20"/>
        </w:rPr>
        <w:t xml:space="preserve">etitioner, </w:t>
      </w:r>
      <w:r w:rsidR="00B42DC5" w:rsidRPr="00703017">
        <w:rPr>
          <w:rFonts w:ascii="Cambria" w:hAnsi="Cambria"/>
          <w:sz w:val="20"/>
          <w:szCs w:val="20"/>
        </w:rPr>
        <w:t xml:space="preserve">he was investigated and </w:t>
      </w:r>
      <w:r w:rsidR="001F4F6B" w:rsidRPr="00703017">
        <w:rPr>
          <w:rFonts w:ascii="Cambria" w:hAnsi="Cambria"/>
          <w:sz w:val="20"/>
          <w:szCs w:val="20"/>
        </w:rPr>
        <w:t>convict</w:t>
      </w:r>
      <w:r w:rsidR="00B42DC5" w:rsidRPr="00703017">
        <w:rPr>
          <w:rFonts w:ascii="Cambria" w:hAnsi="Cambria"/>
          <w:sz w:val="20"/>
          <w:szCs w:val="20"/>
        </w:rPr>
        <w:t xml:space="preserve">ed in criminal proceedings </w:t>
      </w:r>
      <w:r w:rsidR="00976E7A" w:rsidRPr="00703017">
        <w:rPr>
          <w:rFonts w:ascii="Cambria" w:hAnsi="Cambria"/>
          <w:sz w:val="20"/>
          <w:szCs w:val="20"/>
        </w:rPr>
        <w:t xml:space="preserve">triggered in 1997 by </w:t>
      </w:r>
      <w:r w:rsidR="00AF6793" w:rsidRPr="00703017">
        <w:rPr>
          <w:rFonts w:ascii="Cambria" w:hAnsi="Cambria"/>
          <w:sz w:val="20"/>
          <w:szCs w:val="20"/>
        </w:rPr>
        <w:t xml:space="preserve">the </w:t>
      </w:r>
      <w:r w:rsidR="0088712D" w:rsidRPr="00703017">
        <w:rPr>
          <w:rFonts w:ascii="Cambria" w:hAnsi="Cambria"/>
          <w:sz w:val="20"/>
          <w:szCs w:val="20"/>
        </w:rPr>
        <w:t>dissemination</w:t>
      </w:r>
      <w:r w:rsidRPr="00703017">
        <w:rPr>
          <w:rFonts w:ascii="Cambria" w:hAnsi="Cambria"/>
          <w:sz w:val="20"/>
          <w:szCs w:val="20"/>
        </w:rPr>
        <w:t xml:space="preserve"> </w:t>
      </w:r>
      <w:r w:rsidR="00B42DC5" w:rsidRPr="00703017">
        <w:rPr>
          <w:rFonts w:ascii="Cambria" w:hAnsi="Cambria"/>
          <w:sz w:val="20"/>
          <w:szCs w:val="20"/>
        </w:rPr>
        <w:t xml:space="preserve">of illegal recordings </w:t>
      </w:r>
      <w:r w:rsidR="00C36D56" w:rsidRPr="00703017">
        <w:rPr>
          <w:rFonts w:ascii="Cambria" w:hAnsi="Cambria"/>
          <w:sz w:val="20"/>
          <w:szCs w:val="20"/>
        </w:rPr>
        <w:t>related to</w:t>
      </w:r>
      <w:r w:rsidR="00B42DC5" w:rsidRPr="00703017">
        <w:rPr>
          <w:rFonts w:ascii="Cambria" w:hAnsi="Cambria"/>
          <w:sz w:val="20"/>
          <w:szCs w:val="20"/>
        </w:rPr>
        <w:t xml:space="preserve"> the </w:t>
      </w:r>
      <w:r w:rsidR="00AF6793" w:rsidRPr="00703017">
        <w:rPr>
          <w:rFonts w:ascii="Cambria" w:hAnsi="Cambria"/>
          <w:sz w:val="20"/>
          <w:szCs w:val="20"/>
        </w:rPr>
        <w:t>granting</w:t>
      </w:r>
      <w:r w:rsidR="00B42DC5" w:rsidRPr="00703017">
        <w:rPr>
          <w:rFonts w:ascii="Cambria" w:hAnsi="Cambria"/>
          <w:sz w:val="20"/>
          <w:szCs w:val="20"/>
        </w:rPr>
        <w:t xml:space="preserve"> </w:t>
      </w:r>
      <w:r w:rsidR="00C417AC" w:rsidRPr="00703017">
        <w:rPr>
          <w:rFonts w:ascii="Cambria" w:hAnsi="Cambria"/>
          <w:sz w:val="20"/>
          <w:szCs w:val="20"/>
        </w:rPr>
        <w:t>process for</w:t>
      </w:r>
      <w:r w:rsidR="00B42DC5" w:rsidRPr="00703017">
        <w:rPr>
          <w:rFonts w:ascii="Cambria" w:hAnsi="Cambria"/>
          <w:sz w:val="20"/>
          <w:szCs w:val="20"/>
        </w:rPr>
        <w:t xml:space="preserve"> a radio broadcast station license </w:t>
      </w:r>
      <w:r w:rsidR="004472E8" w:rsidRPr="00703017">
        <w:rPr>
          <w:rFonts w:ascii="Cambria" w:hAnsi="Cambria"/>
          <w:sz w:val="20"/>
          <w:szCs w:val="20"/>
        </w:rPr>
        <w:t xml:space="preserve">which he </w:t>
      </w:r>
      <w:r w:rsidR="00976E7A" w:rsidRPr="00703017">
        <w:rPr>
          <w:rFonts w:ascii="Cambria" w:hAnsi="Cambria"/>
          <w:sz w:val="20"/>
          <w:szCs w:val="20"/>
        </w:rPr>
        <w:t>oversaw</w:t>
      </w:r>
      <w:r w:rsidR="00AF6793" w:rsidRPr="00703017">
        <w:rPr>
          <w:rFonts w:ascii="Cambria" w:hAnsi="Cambria"/>
          <w:sz w:val="20"/>
          <w:szCs w:val="20"/>
        </w:rPr>
        <w:t xml:space="preserve"> </w:t>
      </w:r>
      <w:r w:rsidR="002F602F" w:rsidRPr="00703017">
        <w:rPr>
          <w:rFonts w:ascii="Cambria" w:hAnsi="Cambria"/>
          <w:sz w:val="20"/>
          <w:szCs w:val="20"/>
        </w:rPr>
        <w:t xml:space="preserve">in his capacity </w:t>
      </w:r>
      <w:r w:rsidR="00AF6793" w:rsidRPr="00703017">
        <w:rPr>
          <w:rFonts w:ascii="Cambria" w:hAnsi="Cambria"/>
          <w:sz w:val="20"/>
          <w:szCs w:val="20"/>
        </w:rPr>
        <w:t xml:space="preserve">as Minister for Communications. He indicates that said </w:t>
      </w:r>
      <w:r w:rsidR="009F304D" w:rsidRPr="00703017">
        <w:rPr>
          <w:rFonts w:ascii="Cambria" w:hAnsi="Cambria"/>
          <w:sz w:val="20"/>
          <w:szCs w:val="20"/>
        </w:rPr>
        <w:t>audio material</w:t>
      </w:r>
      <w:r w:rsidR="00693F74" w:rsidRPr="00703017">
        <w:rPr>
          <w:rFonts w:ascii="Cambria" w:hAnsi="Cambria"/>
          <w:sz w:val="20"/>
          <w:szCs w:val="20"/>
        </w:rPr>
        <w:t>, obtained illegally in violation of his right to privacy, w</w:t>
      </w:r>
      <w:r w:rsidR="00FE0674" w:rsidRPr="00703017">
        <w:rPr>
          <w:rFonts w:ascii="Cambria" w:hAnsi="Cambria"/>
          <w:sz w:val="20"/>
          <w:szCs w:val="20"/>
        </w:rPr>
        <w:t>as</w:t>
      </w:r>
      <w:r w:rsidR="00693F74" w:rsidRPr="00703017">
        <w:rPr>
          <w:rFonts w:ascii="Cambria" w:hAnsi="Cambria"/>
          <w:sz w:val="20"/>
          <w:szCs w:val="20"/>
        </w:rPr>
        <w:t xml:space="preserve"> used as evidence against him in </w:t>
      </w:r>
      <w:r w:rsidR="00FE0674" w:rsidRPr="00703017">
        <w:rPr>
          <w:rFonts w:ascii="Cambria" w:hAnsi="Cambria"/>
          <w:sz w:val="20"/>
          <w:szCs w:val="20"/>
        </w:rPr>
        <w:t>proceedings</w:t>
      </w:r>
      <w:r w:rsidR="00693F74" w:rsidRPr="00703017">
        <w:rPr>
          <w:rFonts w:ascii="Cambria" w:hAnsi="Cambria"/>
          <w:sz w:val="20"/>
          <w:szCs w:val="20"/>
        </w:rPr>
        <w:t xml:space="preserve"> that did not </w:t>
      </w:r>
      <w:r w:rsidR="0036346B" w:rsidRPr="00703017">
        <w:rPr>
          <w:rFonts w:ascii="Cambria" w:hAnsi="Cambria"/>
          <w:sz w:val="20"/>
          <w:szCs w:val="20"/>
        </w:rPr>
        <w:t>meet</w:t>
      </w:r>
      <w:r w:rsidR="00693F74" w:rsidRPr="00703017">
        <w:rPr>
          <w:rFonts w:ascii="Cambria" w:hAnsi="Cambria"/>
          <w:sz w:val="20"/>
          <w:szCs w:val="20"/>
        </w:rPr>
        <w:t xml:space="preserve"> minimum due process</w:t>
      </w:r>
      <w:r w:rsidR="0036346B" w:rsidRPr="00703017">
        <w:rPr>
          <w:rFonts w:ascii="Cambria" w:hAnsi="Cambria"/>
          <w:sz w:val="20"/>
          <w:szCs w:val="20"/>
        </w:rPr>
        <w:t xml:space="preserve"> requirements. </w:t>
      </w:r>
      <w:r w:rsidR="00A13203" w:rsidRPr="00703017">
        <w:rPr>
          <w:rFonts w:ascii="Cambria" w:hAnsi="Cambria"/>
          <w:sz w:val="20"/>
          <w:szCs w:val="20"/>
        </w:rPr>
        <w:t>He also states that</w:t>
      </w:r>
      <w:r w:rsidR="00976E7A" w:rsidRPr="00703017">
        <w:rPr>
          <w:rFonts w:ascii="Cambria" w:hAnsi="Cambria"/>
          <w:sz w:val="20"/>
          <w:szCs w:val="20"/>
        </w:rPr>
        <w:t xml:space="preserve">, </w:t>
      </w:r>
      <w:r w:rsidR="00030F86" w:rsidRPr="00703017">
        <w:rPr>
          <w:rFonts w:ascii="Cambria" w:hAnsi="Cambria"/>
          <w:sz w:val="20"/>
          <w:szCs w:val="20"/>
        </w:rPr>
        <w:t>under</w:t>
      </w:r>
      <w:r w:rsidR="00976E7A" w:rsidRPr="00703017">
        <w:rPr>
          <w:rFonts w:ascii="Cambria" w:hAnsi="Cambria"/>
          <w:sz w:val="20"/>
          <w:szCs w:val="20"/>
        </w:rPr>
        <w:t xml:space="preserve"> the </w:t>
      </w:r>
      <w:r w:rsidR="00A13203" w:rsidRPr="00703017">
        <w:rPr>
          <w:rFonts w:ascii="Cambria" w:hAnsi="Cambria"/>
          <w:sz w:val="20"/>
          <w:szCs w:val="20"/>
        </w:rPr>
        <w:t xml:space="preserve">Colombian legal </w:t>
      </w:r>
      <w:r w:rsidR="00C417AC" w:rsidRPr="00703017">
        <w:rPr>
          <w:rFonts w:ascii="Cambria" w:hAnsi="Cambria"/>
          <w:sz w:val="20"/>
          <w:szCs w:val="20"/>
        </w:rPr>
        <w:t>system</w:t>
      </w:r>
      <w:r w:rsidR="00976E7A" w:rsidRPr="00703017">
        <w:rPr>
          <w:rFonts w:ascii="Cambria" w:hAnsi="Cambria"/>
          <w:sz w:val="20"/>
          <w:szCs w:val="20"/>
        </w:rPr>
        <w:t xml:space="preserve">, he could not </w:t>
      </w:r>
      <w:r w:rsidR="00952725" w:rsidRPr="00703017">
        <w:rPr>
          <w:rFonts w:ascii="Cambria" w:hAnsi="Cambria"/>
          <w:sz w:val="20"/>
          <w:szCs w:val="20"/>
        </w:rPr>
        <w:t>appeal</w:t>
      </w:r>
      <w:r w:rsidR="00976E7A" w:rsidRPr="00703017">
        <w:rPr>
          <w:rFonts w:ascii="Cambria" w:hAnsi="Cambria"/>
          <w:sz w:val="20"/>
          <w:szCs w:val="20"/>
        </w:rPr>
        <w:t xml:space="preserve"> the</w:t>
      </w:r>
      <w:r w:rsidR="00A13203" w:rsidRPr="00703017">
        <w:rPr>
          <w:rFonts w:ascii="Cambria" w:hAnsi="Cambria"/>
          <w:sz w:val="20"/>
          <w:szCs w:val="20"/>
        </w:rPr>
        <w:t xml:space="preserve"> </w:t>
      </w:r>
      <w:r w:rsidR="004472E8" w:rsidRPr="00703017">
        <w:rPr>
          <w:rFonts w:ascii="Cambria" w:hAnsi="Cambria"/>
          <w:sz w:val="20"/>
          <w:szCs w:val="20"/>
        </w:rPr>
        <w:t>conviction</w:t>
      </w:r>
      <w:r w:rsidR="00A13203" w:rsidRPr="00703017">
        <w:rPr>
          <w:rFonts w:ascii="Cambria" w:hAnsi="Cambria"/>
          <w:sz w:val="20"/>
          <w:szCs w:val="20"/>
        </w:rPr>
        <w:t xml:space="preserve"> </w:t>
      </w:r>
      <w:r w:rsidR="004472E8" w:rsidRPr="00703017">
        <w:rPr>
          <w:rFonts w:ascii="Cambria" w:hAnsi="Cambria"/>
          <w:sz w:val="20"/>
          <w:szCs w:val="20"/>
        </w:rPr>
        <w:t>pronounce</w:t>
      </w:r>
      <w:r w:rsidR="004A27CB" w:rsidRPr="00703017">
        <w:rPr>
          <w:rFonts w:ascii="Cambria" w:hAnsi="Cambria"/>
          <w:sz w:val="20"/>
          <w:szCs w:val="20"/>
        </w:rPr>
        <w:t>d</w:t>
      </w:r>
      <w:r w:rsidR="00A13203" w:rsidRPr="00703017">
        <w:rPr>
          <w:rFonts w:ascii="Cambria" w:hAnsi="Cambria"/>
          <w:sz w:val="20"/>
          <w:szCs w:val="20"/>
        </w:rPr>
        <w:t xml:space="preserve"> by the Crimina</w:t>
      </w:r>
      <w:r w:rsidR="00E90354" w:rsidRPr="00703017">
        <w:rPr>
          <w:rFonts w:ascii="Cambria" w:hAnsi="Cambria"/>
          <w:sz w:val="20"/>
          <w:szCs w:val="20"/>
        </w:rPr>
        <w:t>l Division of the Supreme Court</w:t>
      </w:r>
      <w:r w:rsidR="009446C7" w:rsidRPr="00703017">
        <w:rPr>
          <w:rFonts w:ascii="Cambria" w:hAnsi="Cambria"/>
          <w:sz w:val="20"/>
          <w:szCs w:val="20"/>
        </w:rPr>
        <w:t xml:space="preserve"> of Justice</w:t>
      </w:r>
      <w:r w:rsidR="00E90354" w:rsidRPr="00703017">
        <w:rPr>
          <w:rFonts w:ascii="Cambria" w:hAnsi="Cambria"/>
          <w:sz w:val="20"/>
          <w:szCs w:val="20"/>
        </w:rPr>
        <w:t>,</w:t>
      </w:r>
      <w:r w:rsidR="00A13203" w:rsidRPr="00703017">
        <w:rPr>
          <w:rFonts w:ascii="Cambria" w:hAnsi="Cambria"/>
          <w:sz w:val="20"/>
          <w:szCs w:val="20"/>
        </w:rPr>
        <w:t xml:space="preserve"> which decided his case in sole instance. The alleged victim </w:t>
      </w:r>
      <w:r w:rsidR="00642F52" w:rsidRPr="00703017">
        <w:rPr>
          <w:rFonts w:ascii="Cambria" w:hAnsi="Cambria"/>
          <w:sz w:val="20"/>
          <w:szCs w:val="20"/>
        </w:rPr>
        <w:t>claim</w:t>
      </w:r>
      <w:r w:rsidR="004A27CB" w:rsidRPr="00703017">
        <w:rPr>
          <w:rFonts w:ascii="Cambria" w:hAnsi="Cambria"/>
          <w:sz w:val="20"/>
          <w:szCs w:val="20"/>
        </w:rPr>
        <w:t>s violation of</w:t>
      </w:r>
      <w:r w:rsidR="00A13203" w:rsidRPr="00703017">
        <w:rPr>
          <w:rFonts w:ascii="Cambria" w:hAnsi="Cambria"/>
          <w:sz w:val="20"/>
          <w:szCs w:val="20"/>
        </w:rPr>
        <w:t xml:space="preserve"> his right</w:t>
      </w:r>
      <w:r w:rsidR="00C36D56" w:rsidRPr="00703017">
        <w:rPr>
          <w:rFonts w:ascii="Cambria" w:hAnsi="Cambria"/>
          <w:sz w:val="20"/>
          <w:szCs w:val="20"/>
        </w:rPr>
        <w:t>s</w:t>
      </w:r>
      <w:r w:rsidR="00A13203" w:rsidRPr="00703017">
        <w:rPr>
          <w:rFonts w:ascii="Cambria" w:hAnsi="Cambria"/>
          <w:sz w:val="20"/>
          <w:szCs w:val="20"/>
        </w:rPr>
        <w:t xml:space="preserve"> to </w:t>
      </w:r>
      <w:r w:rsidR="004A27CB" w:rsidRPr="00703017">
        <w:rPr>
          <w:rFonts w:ascii="Cambria" w:hAnsi="Cambria"/>
          <w:sz w:val="20"/>
          <w:szCs w:val="20"/>
        </w:rPr>
        <w:t>a fair trial</w:t>
      </w:r>
      <w:r w:rsidR="00A13203" w:rsidRPr="00703017">
        <w:rPr>
          <w:rFonts w:ascii="Cambria" w:hAnsi="Cambria"/>
          <w:sz w:val="20"/>
          <w:szCs w:val="20"/>
        </w:rPr>
        <w:t xml:space="preserve">, protection of honor and </w:t>
      </w:r>
      <w:r w:rsidR="00511061" w:rsidRPr="00703017">
        <w:rPr>
          <w:rFonts w:ascii="Cambria" w:hAnsi="Cambria"/>
          <w:sz w:val="20"/>
          <w:szCs w:val="20"/>
        </w:rPr>
        <w:t>dignity</w:t>
      </w:r>
      <w:r w:rsidR="00C91757" w:rsidRPr="00703017">
        <w:rPr>
          <w:rFonts w:ascii="Cambria" w:hAnsi="Cambria"/>
          <w:sz w:val="20"/>
          <w:szCs w:val="20"/>
        </w:rPr>
        <w:t xml:space="preserve">, equal treatment </w:t>
      </w:r>
      <w:r w:rsidR="00C36D56" w:rsidRPr="00703017">
        <w:rPr>
          <w:rFonts w:ascii="Cambria" w:hAnsi="Cambria"/>
          <w:sz w:val="20"/>
          <w:szCs w:val="20"/>
        </w:rPr>
        <w:t>under</w:t>
      </w:r>
      <w:r w:rsidR="00C91757" w:rsidRPr="00703017">
        <w:rPr>
          <w:rFonts w:ascii="Cambria" w:hAnsi="Cambria"/>
          <w:sz w:val="20"/>
          <w:szCs w:val="20"/>
        </w:rPr>
        <w:t xml:space="preserve"> the law</w:t>
      </w:r>
      <w:r w:rsidR="004A27CB" w:rsidRPr="00703017">
        <w:rPr>
          <w:rFonts w:ascii="Cambria" w:hAnsi="Cambria"/>
          <w:sz w:val="20"/>
          <w:szCs w:val="20"/>
        </w:rPr>
        <w:t>,</w:t>
      </w:r>
      <w:r w:rsidR="00C91757" w:rsidRPr="00703017">
        <w:rPr>
          <w:rFonts w:ascii="Cambria" w:hAnsi="Cambria"/>
          <w:sz w:val="20"/>
          <w:szCs w:val="20"/>
        </w:rPr>
        <w:t xml:space="preserve"> and judicial protection.</w:t>
      </w:r>
    </w:p>
    <w:p w:rsidR="00C674E9" w:rsidRPr="00703017" w:rsidRDefault="00C20D40" w:rsidP="00C060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SimSun" w:hAnsi="Cambria"/>
          <w:sz w:val="20"/>
          <w:szCs w:val="20"/>
        </w:rPr>
      </w:pPr>
      <w:r w:rsidRPr="00703017">
        <w:rPr>
          <w:rFonts w:ascii="Cambria" w:eastAsia="SimSun" w:hAnsi="Cambria"/>
          <w:sz w:val="20"/>
          <w:szCs w:val="20"/>
        </w:rPr>
        <w:t>According to the State,</w:t>
      </w:r>
      <w:r w:rsidR="004C4BD5" w:rsidRPr="00703017">
        <w:rPr>
          <w:rFonts w:ascii="Cambria" w:eastAsia="SimSun" w:hAnsi="Cambria"/>
          <w:sz w:val="20"/>
          <w:szCs w:val="20"/>
        </w:rPr>
        <w:t xml:space="preserve"> it </w:t>
      </w:r>
      <w:r w:rsidR="0083271E" w:rsidRPr="00703017">
        <w:rPr>
          <w:rFonts w:ascii="Cambria" w:eastAsia="SimSun" w:hAnsi="Cambria"/>
          <w:sz w:val="20"/>
          <w:szCs w:val="20"/>
        </w:rPr>
        <w:t>did not violate</w:t>
      </w:r>
      <w:r w:rsidR="004C4BD5" w:rsidRPr="00703017">
        <w:rPr>
          <w:rFonts w:ascii="Cambria" w:eastAsia="SimSun" w:hAnsi="Cambria"/>
          <w:sz w:val="20"/>
          <w:szCs w:val="20"/>
        </w:rPr>
        <w:t xml:space="preserve"> the </w:t>
      </w:r>
      <w:r w:rsidR="000C5156">
        <w:rPr>
          <w:rFonts w:ascii="Cambria" w:eastAsia="SimSun" w:hAnsi="Cambria"/>
          <w:sz w:val="20"/>
          <w:szCs w:val="20"/>
        </w:rPr>
        <w:t>p</w:t>
      </w:r>
      <w:r w:rsidRPr="00703017">
        <w:rPr>
          <w:rFonts w:ascii="Cambria" w:eastAsia="SimSun" w:hAnsi="Cambria"/>
          <w:sz w:val="20"/>
          <w:szCs w:val="20"/>
        </w:rPr>
        <w:t>etitioner</w:t>
      </w:r>
      <w:r w:rsidR="004C4BD5" w:rsidRPr="00703017">
        <w:rPr>
          <w:rFonts w:ascii="Cambria" w:eastAsia="SimSun" w:hAnsi="Cambria"/>
          <w:sz w:val="20"/>
          <w:szCs w:val="20"/>
        </w:rPr>
        <w:t>’s human rights</w:t>
      </w:r>
      <w:r w:rsidR="0083271E" w:rsidRPr="00703017">
        <w:rPr>
          <w:rFonts w:ascii="Cambria" w:eastAsia="SimSun" w:hAnsi="Cambria"/>
          <w:sz w:val="20"/>
          <w:szCs w:val="20"/>
        </w:rPr>
        <w:t xml:space="preserve"> at any time</w:t>
      </w:r>
      <w:r w:rsidR="00E02A50" w:rsidRPr="00703017">
        <w:rPr>
          <w:rFonts w:ascii="Cambria" w:eastAsia="SimSun" w:hAnsi="Cambria"/>
          <w:sz w:val="20"/>
          <w:szCs w:val="20"/>
        </w:rPr>
        <w:t xml:space="preserve"> since, it argues,</w:t>
      </w:r>
      <w:r w:rsidR="004C4BD5" w:rsidRPr="00703017">
        <w:rPr>
          <w:rFonts w:ascii="Cambria" w:eastAsia="SimSun" w:hAnsi="Cambria"/>
          <w:sz w:val="20"/>
          <w:szCs w:val="20"/>
        </w:rPr>
        <w:t xml:space="preserve"> due process and due judicial protection</w:t>
      </w:r>
      <w:r w:rsidR="00F64154" w:rsidRPr="00703017">
        <w:rPr>
          <w:rFonts w:ascii="Cambria" w:eastAsia="SimSun" w:hAnsi="Cambria"/>
          <w:sz w:val="20"/>
          <w:szCs w:val="20"/>
        </w:rPr>
        <w:t xml:space="preserve"> were provided</w:t>
      </w:r>
      <w:r w:rsidR="004C4BD5" w:rsidRPr="00703017">
        <w:rPr>
          <w:rFonts w:ascii="Cambria" w:eastAsia="SimSun" w:hAnsi="Cambria"/>
          <w:sz w:val="20"/>
          <w:szCs w:val="20"/>
        </w:rPr>
        <w:t xml:space="preserve"> in all </w:t>
      </w:r>
      <w:r w:rsidR="00F64154" w:rsidRPr="00703017">
        <w:rPr>
          <w:rFonts w:ascii="Cambria" w:eastAsia="SimSun" w:hAnsi="Cambria"/>
          <w:sz w:val="20"/>
          <w:szCs w:val="20"/>
        </w:rPr>
        <w:t>legal</w:t>
      </w:r>
      <w:r w:rsidR="004C4BD5" w:rsidRPr="00703017">
        <w:rPr>
          <w:rFonts w:ascii="Cambria" w:eastAsia="SimSun" w:hAnsi="Cambria"/>
          <w:sz w:val="20"/>
          <w:szCs w:val="20"/>
        </w:rPr>
        <w:t xml:space="preserve"> proce</w:t>
      </w:r>
      <w:r w:rsidR="004A27CB" w:rsidRPr="00703017">
        <w:rPr>
          <w:rFonts w:ascii="Cambria" w:eastAsia="SimSun" w:hAnsi="Cambria"/>
          <w:sz w:val="20"/>
          <w:szCs w:val="20"/>
        </w:rPr>
        <w:t>eding</w:t>
      </w:r>
      <w:r w:rsidR="004C4BD5" w:rsidRPr="00703017">
        <w:rPr>
          <w:rFonts w:ascii="Cambria" w:eastAsia="SimSun" w:hAnsi="Cambria"/>
          <w:sz w:val="20"/>
          <w:szCs w:val="20"/>
        </w:rPr>
        <w:t>s.</w:t>
      </w:r>
      <w:r w:rsidR="00F64154" w:rsidRPr="00703017">
        <w:rPr>
          <w:rFonts w:ascii="Cambria" w:eastAsia="SimSun" w:hAnsi="Cambria"/>
          <w:sz w:val="20"/>
          <w:szCs w:val="20"/>
        </w:rPr>
        <w:t xml:space="preserve"> It also indicates that the petition was </w:t>
      </w:r>
      <w:r w:rsidR="00826241" w:rsidRPr="00703017">
        <w:rPr>
          <w:rFonts w:ascii="Cambria" w:eastAsia="SimSun" w:hAnsi="Cambria"/>
          <w:sz w:val="20"/>
          <w:szCs w:val="20"/>
        </w:rPr>
        <w:t>present</w:t>
      </w:r>
      <w:r w:rsidR="00F64154" w:rsidRPr="00703017">
        <w:rPr>
          <w:rFonts w:ascii="Cambria" w:eastAsia="SimSun" w:hAnsi="Cambria"/>
          <w:sz w:val="20"/>
          <w:szCs w:val="20"/>
        </w:rPr>
        <w:t xml:space="preserve">ed </w:t>
      </w:r>
      <w:r w:rsidR="004A27CB" w:rsidRPr="00703017">
        <w:rPr>
          <w:rFonts w:ascii="Cambria" w:eastAsia="SimSun" w:hAnsi="Cambria"/>
          <w:sz w:val="20"/>
          <w:szCs w:val="20"/>
        </w:rPr>
        <w:t>out of time</w:t>
      </w:r>
      <w:r w:rsidR="00F64154" w:rsidRPr="00703017">
        <w:rPr>
          <w:rFonts w:ascii="Cambria" w:eastAsia="SimSun" w:hAnsi="Cambria"/>
          <w:sz w:val="20"/>
          <w:szCs w:val="20"/>
        </w:rPr>
        <w:t xml:space="preserve"> and that </w:t>
      </w:r>
      <w:r w:rsidR="00976E7A" w:rsidRPr="00703017">
        <w:rPr>
          <w:rFonts w:ascii="Cambria" w:eastAsia="SimSun" w:hAnsi="Cambria"/>
          <w:sz w:val="20"/>
          <w:szCs w:val="20"/>
        </w:rPr>
        <w:t>the alleged victim has</w:t>
      </w:r>
      <w:r w:rsidR="00745B47" w:rsidRPr="00703017">
        <w:rPr>
          <w:rFonts w:ascii="Cambria" w:eastAsia="SimSun" w:hAnsi="Cambria"/>
          <w:sz w:val="20"/>
          <w:szCs w:val="20"/>
        </w:rPr>
        <w:t xml:space="preserve"> not yet exhausted the </w:t>
      </w:r>
      <w:r w:rsidR="005F7A32" w:rsidRPr="00703017">
        <w:rPr>
          <w:rFonts w:ascii="Cambria" w:eastAsia="SimSun" w:hAnsi="Cambria"/>
          <w:sz w:val="20"/>
          <w:szCs w:val="20"/>
        </w:rPr>
        <w:t xml:space="preserve">adequate domestic remedies </w:t>
      </w:r>
      <w:r w:rsidR="00745B47" w:rsidRPr="00703017">
        <w:rPr>
          <w:rFonts w:ascii="Cambria" w:eastAsia="SimSun" w:hAnsi="Cambria"/>
          <w:sz w:val="20"/>
          <w:szCs w:val="20"/>
        </w:rPr>
        <w:t>available</w:t>
      </w:r>
      <w:r w:rsidR="005F7A32" w:rsidRPr="00703017">
        <w:rPr>
          <w:rFonts w:ascii="Cambria" w:eastAsia="SimSun" w:hAnsi="Cambria"/>
          <w:sz w:val="20"/>
          <w:szCs w:val="20"/>
        </w:rPr>
        <w:t>.</w:t>
      </w:r>
    </w:p>
    <w:p w:rsidR="00C06055" w:rsidRPr="00703017" w:rsidRDefault="001E05AB" w:rsidP="00C060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SimSun" w:hAnsi="Cambria"/>
          <w:sz w:val="20"/>
          <w:szCs w:val="20"/>
        </w:rPr>
      </w:pPr>
      <w:r w:rsidRPr="00703017">
        <w:rPr>
          <w:rFonts w:ascii="Cambria" w:eastAsia="SimSun" w:hAnsi="Cambria"/>
          <w:sz w:val="20"/>
          <w:szCs w:val="20"/>
        </w:rPr>
        <w:t>Without prejudice to the merits of the c</w:t>
      </w:r>
      <w:r w:rsidR="00F10AA1" w:rsidRPr="00703017">
        <w:rPr>
          <w:rFonts w:ascii="Cambria" w:eastAsia="SimSun" w:hAnsi="Cambria"/>
          <w:sz w:val="20"/>
          <w:szCs w:val="20"/>
        </w:rPr>
        <w:t>ase</w:t>
      </w:r>
      <w:r w:rsidRPr="00703017">
        <w:rPr>
          <w:rFonts w:ascii="Cambria" w:eastAsia="SimSun" w:hAnsi="Cambria"/>
          <w:sz w:val="20"/>
          <w:szCs w:val="20"/>
        </w:rPr>
        <w:t xml:space="preserve">, </w:t>
      </w:r>
      <w:r w:rsidR="0028040F" w:rsidRPr="00703017">
        <w:rPr>
          <w:rFonts w:ascii="Cambria" w:eastAsia="SimSun" w:hAnsi="Cambria"/>
          <w:sz w:val="20"/>
          <w:szCs w:val="20"/>
        </w:rPr>
        <w:t>having examined</w:t>
      </w:r>
      <w:r w:rsidRPr="00703017">
        <w:rPr>
          <w:rFonts w:ascii="Cambria" w:eastAsia="SimSun" w:hAnsi="Cambria"/>
          <w:sz w:val="20"/>
          <w:szCs w:val="20"/>
        </w:rPr>
        <w:t xml:space="preserve"> the positions of the parties</w:t>
      </w:r>
      <w:r w:rsidR="000560EF" w:rsidRPr="00703017">
        <w:rPr>
          <w:rFonts w:ascii="Cambria" w:eastAsia="SimSun" w:hAnsi="Cambria"/>
          <w:sz w:val="20"/>
          <w:szCs w:val="20"/>
        </w:rPr>
        <w:t>, and in accordance with</w:t>
      </w:r>
      <w:r w:rsidR="002919AC" w:rsidRPr="00703017">
        <w:rPr>
          <w:rFonts w:ascii="Cambria" w:eastAsia="SimSun" w:hAnsi="Cambria"/>
          <w:sz w:val="20"/>
          <w:szCs w:val="20"/>
        </w:rPr>
        <w:t xml:space="preserve"> the requirements </w:t>
      </w:r>
      <w:r w:rsidR="00F10AA1" w:rsidRPr="00703017">
        <w:rPr>
          <w:rFonts w:ascii="Cambria" w:eastAsia="SimSun" w:hAnsi="Cambria"/>
          <w:sz w:val="20"/>
          <w:szCs w:val="20"/>
        </w:rPr>
        <w:t>of</w:t>
      </w:r>
      <w:r w:rsidRPr="00703017">
        <w:rPr>
          <w:rFonts w:ascii="Cambria" w:eastAsia="SimSun" w:hAnsi="Cambria"/>
          <w:sz w:val="20"/>
          <w:szCs w:val="20"/>
        </w:rPr>
        <w:t xml:space="preserve"> Articles 31 to 34 of the Rules of Procedure </w:t>
      </w:r>
      <w:r w:rsidR="00E52636" w:rsidRPr="00703017">
        <w:rPr>
          <w:rFonts w:ascii="Cambria" w:eastAsia="SimSun" w:hAnsi="Cambria"/>
          <w:sz w:val="20"/>
          <w:szCs w:val="20"/>
        </w:rPr>
        <w:t xml:space="preserve">of the IACHR </w:t>
      </w:r>
      <w:r w:rsidRPr="00703017">
        <w:rPr>
          <w:rFonts w:ascii="Cambria" w:eastAsia="SimSun" w:hAnsi="Cambria"/>
          <w:sz w:val="20"/>
          <w:szCs w:val="20"/>
        </w:rPr>
        <w:t xml:space="preserve">(hereinafter </w:t>
      </w:r>
      <w:r w:rsidR="008F52E8" w:rsidRPr="00703017">
        <w:rPr>
          <w:rFonts w:ascii="Cambria" w:eastAsia="SimSun" w:hAnsi="Cambria"/>
          <w:sz w:val="20"/>
          <w:szCs w:val="20"/>
        </w:rPr>
        <w:t xml:space="preserve">“the </w:t>
      </w:r>
      <w:r w:rsidRPr="00703017">
        <w:rPr>
          <w:rFonts w:ascii="Cambria" w:eastAsia="SimSun" w:hAnsi="Cambria"/>
          <w:sz w:val="20"/>
          <w:szCs w:val="20"/>
        </w:rPr>
        <w:t>Rules of Procedure”)</w:t>
      </w:r>
      <w:r w:rsidR="00DF40EB" w:rsidRPr="00703017">
        <w:rPr>
          <w:rFonts w:ascii="Cambria" w:eastAsia="SimSun" w:hAnsi="Cambria"/>
          <w:sz w:val="20"/>
          <w:szCs w:val="20"/>
        </w:rPr>
        <w:t xml:space="preserve"> and Articles 46 and 47 of the American Convention on Human Rights (hereinafter </w:t>
      </w:r>
      <w:r w:rsidR="008F52E8" w:rsidRPr="00703017">
        <w:rPr>
          <w:rFonts w:ascii="Cambria" w:eastAsia="SimSun" w:hAnsi="Cambria"/>
          <w:sz w:val="20"/>
          <w:szCs w:val="20"/>
        </w:rPr>
        <w:t xml:space="preserve">“the </w:t>
      </w:r>
      <w:r w:rsidR="00DF40EB" w:rsidRPr="00703017">
        <w:rPr>
          <w:rFonts w:ascii="Cambria" w:eastAsia="SimSun" w:hAnsi="Cambria"/>
          <w:sz w:val="20"/>
          <w:szCs w:val="20"/>
        </w:rPr>
        <w:t xml:space="preserve">American Convention” or </w:t>
      </w:r>
      <w:r w:rsidR="008F52E8" w:rsidRPr="00703017">
        <w:rPr>
          <w:rFonts w:ascii="Cambria" w:eastAsia="SimSun" w:hAnsi="Cambria"/>
          <w:sz w:val="20"/>
          <w:szCs w:val="20"/>
        </w:rPr>
        <w:t xml:space="preserve">“the </w:t>
      </w:r>
      <w:r w:rsidR="00DF40EB" w:rsidRPr="00703017">
        <w:rPr>
          <w:rFonts w:ascii="Cambria" w:eastAsia="SimSun" w:hAnsi="Cambria"/>
          <w:sz w:val="20"/>
          <w:szCs w:val="20"/>
        </w:rPr>
        <w:t>Convention”)</w:t>
      </w:r>
      <w:r w:rsidR="0025318E" w:rsidRPr="00703017">
        <w:rPr>
          <w:rFonts w:ascii="Cambria" w:eastAsia="SimSun" w:hAnsi="Cambria"/>
          <w:sz w:val="20"/>
          <w:szCs w:val="20"/>
        </w:rPr>
        <w:t xml:space="preserve">, the Commission </w:t>
      </w:r>
      <w:r w:rsidR="00EA4BE9" w:rsidRPr="00703017">
        <w:rPr>
          <w:rFonts w:ascii="Cambria" w:eastAsia="SimSun" w:hAnsi="Cambria"/>
          <w:sz w:val="20"/>
          <w:szCs w:val="20"/>
        </w:rPr>
        <w:t>has decided</w:t>
      </w:r>
      <w:r w:rsidR="0025318E" w:rsidRPr="00703017">
        <w:rPr>
          <w:rFonts w:ascii="Cambria" w:eastAsia="SimSun" w:hAnsi="Cambria"/>
          <w:sz w:val="20"/>
          <w:szCs w:val="20"/>
        </w:rPr>
        <w:t xml:space="preserve"> to declare the petition admissible </w:t>
      </w:r>
      <w:r w:rsidR="00F10AA1" w:rsidRPr="00703017">
        <w:rPr>
          <w:rFonts w:ascii="Cambria" w:eastAsia="SimSun" w:hAnsi="Cambria"/>
          <w:sz w:val="20"/>
          <w:szCs w:val="20"/>
        </w:rPr>
        <w:t>in order to examine</w:t>
      </w:r>
      <w:r w:rsidR="0025318E" w:rsidRPr="00703017">
        <w:rPr>
          <w:rFonts w:ascii="Cambria" w:eastAsia="SimSun" w:hAnsi="Cambria"/>
          <w:sz w:val="20"/>
          <w:szCs w:val="20"/>
        </w:rPr>
        <w:t xml:space="preserve"> the arguments </w:t>
      </w:r>
      <w:r w:rsidR="00E02A50" w:rsidRPr="00703017">
        <w:rPr>
          <w:rFonts w:ascii="Cambria" w:eastAsia="SimSun" w:hAnsi="Cambria"/>
          <w:sz w:val="20"/>
          <w:szCs w:val="20"/>
        </w:rPr>
        <w:t>as to</w:t>
      </w:r>
      <w:r w:rsidR="0025318E" w:rsidRPr="00703017">
        <w:rPr>
          <w:rFonts w:ascii="Cambria" w:eastAsia="SimSun" w:hAnsi="Cambria"/>
          <w:sz w:val="20"/>
          <w:szCs w:val="20"/>
        </w:rPr>
        <w:t xml:space="preserve"> alleged violation of the rights </w:t>
      </w:r>
      <w:r w:rsidR="00E02A50" w:rsidRPr="00703017">
        <w:rPr>
          <w:rFonts w:ascii="Cambria" w:eastAsia="SimSun" w:hAnsi="Cambria"/>
          <w:sz w:val="20"/>
          <w:szCs w:val="20"/>
        </w:rPr>
        <w:t xml:space="preserve">enshrined </w:t>
      </w:r>
      <w:r w:rsidR="0025318E" w:rsidRPr="00703017">
        <w:rPr>
          <w:rFonts w:ascii="Cambria" w:eastAsia="SimSun" w:hAnsi="Cambria"/>
          <w:sz w:val="20"/>
          <w:szCs w:val="20"/>
        </w:rPr>
        <w:t xml:space="preserve">in Articles </w:t>
      </w:r>
      <w:r w:rsidR="00534FCA" w:rsidRPr="00703017">
        <w:rPr>
          <w:rFonts w:ascii="Cambria" w:eastAsia="SimSun" w:hAnsi="Cambria"/>
          <w:sz w:val="20"/>
          <w:szCs w:val="20"/>
        </w:rPr>
        <w:t>8 (Right to a fair trial) and 25 (Right to judicial protection)</w:t>
      </w:r>
      <w:r w:rsidR="00C8672F" w:rsidRPr="00703017">
        <w:rPr>
          <w:rFonts w:ascii="Cambria" w:eastAsia="SimSun" w:hAnsi="Cambria"/>
          <w:sz w:val="20"/>
          <w:szCs w:val="20"/>
        </w:rPr>
        <w:t xml:space="preserve"> of the Co</w:t>
      </w:r>
      <w:r w:rsidR="00E02A50" w:rsidRPr="00703017">
        <w:rPr>
          <w:rFonts w:ascii="Cambria" w:eastAsia="SimSun" w:hAnsi="Cambria"/>
          <w:sz w:val="20"/>
          <w:szCs w:val="20"/>
        </w:rPr>
        <w:t>nvent</w:t>
      </w:r>
      <w:r w:rsidR="00C8672F" w:rsidRPr="00703017">
        <w:rPr>
          <w:rFonts w:ascii="Cambria" w:eastAsia="SimSun" w:hAnsi="Cambria"/>
          <w:sz w:val="20"/>
          <w:szCs w:val="20"/>
        </w:rPr>
        <w:t>ion</w:t>
      </w:r>
      <w:r w:rsidR="002919AC" w:rsidRPr="00703017">
        <w:rPr>
          <w:rFonts w:ascii="Cambria" w:eastAsia="SimSun" w:hAnsi="Cambria"/>
          <w:sz w:val="20"/>
          <w:szCs w:val="20"/>
        </w:rPr>
        <w:t>,</w:t>
      </w:r>
      <w:r w:rsidR="00C8672F" w:rsidRPr="00703017">
        <w:rPr>
          <w:rFonts w:ascii="Cambria" w:eastAsia="SimSun" w:hAnsi="Cambria"/>
          <w:sz w:val="20"/>
          <w:szCs w:val="20"/>
        </w:rPr>
        <w:t xml:space="preserve"> in conjunction with Articles </w:t>
      </w:r>
      <w:r w:rsidR="0025318E" w:rsidRPr="00703017">
        <w:rPr>
          <w:rFonts w:ascii="Cambria" w:eastAsia="SimSun" w:hAnsi="Cambria"/>
          <w:sz w:val="20"/>
          <w:szCs w:val="20"/>
        </w:rPr>
        <w:t>1</w:t>
      </w:r>
      <w:r w:rsidR="005F7A32" w:rsidRPr="00703017">
        <w:rPr>
          <w:rFonts w:ascii="Cambria" w:eastAsia="SimSun" w:hAnsi="Cambria"/>
          <w:sz w:val="20"/>
          <w:szCs w:val="20"/>
        </w:rPr>
        <w:t>(1)</w:t>
      </w:r>
      <w:r w:rsidR="0025318E" w:rsidRPr="00703017">
        <w:rPr>
          <w:rFonts w:ascii="Cambria" w:eastAsia="SimSun" w:hAnsi="Cambria"/>
          <w:sz w:val="20"/>
          <w:szCs w:val="20"/>
        </w:rPr>
        <w:t xml:space="preserve"> and 2 </w:t>
      </w:r>
      <w:r w:rsidR="00C8672F" w:rsidRPr="00703017">
        <w:rPr>
          <w:rFonts w:ascii="Cambria" w:eastAsia="SimSun" w:hAnsi="Cambria"/>
          <w:sz w:val="20"/>
          <w:szCs w:val="20"/>
        </w:rPr>
        <w:t>thereof</w:t>
      </w:r>
      <w:r w:rsidR="0025318E" w:rsidRPr="00703017">
        <w:rPr>
          <w:rFonts w:ascii="Cambria" w:eastAsia="SimSun" w:hAnsi="Cambria"/>
          <w:sz w:val="20"/>
          <w:szCs w:val="20"/>
        </w:rPr>
        <w:t xml:space="preserve">. However, the Commission </w:t>
      </w:r>
      <w:r w:rsidR="002C7C56" w:rsidRPr="00703017">
        <w:rPr>
          <w:rFonts w:ascii="Cambria" w:eastAsia="SimSun" w:hAnsi="Cambria"/>
          <w:sz w:val="20"/>
          <w:szCs w:val="20"/>
        </w:rPr>
        <w:t>has decided</w:t>
      </w:r>
      <w:r w:rsidR="0025318E" w:rsidRPr="00703017">
        <w:rPr>
          <w:rFonts w:ascii="Cambria" w:eastAsia="SimSun" w:hAnsi="Cambria"/>
          <w:sz w:val="20"/>
          <w:szCs w:val="20"/>
        </w:rPr>
        <w:t xml:space="preserve"> to declare the petition inadmissible with respect to </w:t>
      </w:r>
      <w:r w:rsidR="00DF5791" w:rsidRPr="00703017">
        <w:rPr>
          <w:rFonts w:ascii="Cambria" w:eastAsia="SimSun" w:hAnsi="Cambria"/>
          <w:sz w:val="20"/>
          <w:szCs w:val="20"/>
        </w:rPr>
        <w:t>the allegations of</w:t>
      </w:r>
      <w:r w:rsidR="0025318E" w:rsidRPr="00703017">
        <w:rPr>
          <w:rFonts w:ascii="Cambria" w:eastAsia="SimSun" w:hAnsi="Cambria"/>
          <w:sz w:val="20"/>
          <w:szCs w:val="20"/>
        </w:rPr>
        <w:t xml:space="preserve"> violation of the rights in Articles 11 and 24 of the American Convention. The Commission </w:t>
      </w:r>
      <w:r w:rsidR="002C7C56" w:rsidRPr="00703017">
        <w:rPr>
          <w:rFonts w:ascii="Cambria" w:eastAsia="SimSun" w:hAnsi="Cambria"/>
          <w:sz w:val="20"/>
          <w:szCs w:val="20"/>
        </w:rPr>
        <w:t xml:space="preserve">has </w:t>
      </w:r>
      <w:r w:rsidR="0025318E" w:rsidRPr="00703017">
        <w:rPr>
          <w:rFonts w:ascii="Cambria" w:eastAsia="SimSun" w:hAnsi="Cambria"/>
          <w:sz w:val="20"/>
          <w:szCs w:val="20"/>
        </w:rPr>
        <w:t>also decide</w:t>
      </w:r>
      <w:r w:rsidR="002C7C56" w:rsidRPr="00703017">
        <w:rPr>
          <w:rFonts w:ascii="Cambria" w:eastAsia="SimSun" w:hAnsi="Cambria"/>
          <w:sz w:val="20"/>
          <w:szCs w:val="20"/>
        </w:rPr>
        <w:t>d</w:t>
      </w:r>
      <w:r w:rsidR="0025318E" w:rsidRPr="00703017">
        <w:rPr>
          <w:rFonts w:ascii="Cambria" w:eastAsia="SimSun" w:hAnsi="Cambria"/>
          <w:sz w:val="20"/>
          <w:szCs w:val="20"/>
        </w:rPr>
        <w:t xml:space="preserve"> to notify the parties of this decision, to publish it, and to include it in </w:t>
      </w:r>
      <w:r w:rsidR="002C7C56" w:rsidRPr="00703017">
        <w:rPr>
          <w:rFonts w:ascii="Cambria" w:eastAsia="SimSun" w:hAnsi="Cambria"/>
          <w:sz w:val="20"/>
          <w:szCs w:val="20"/>
        </w:rPr>
        <w:t>it</w:t>
      </w:r>
      <w:r w:rsidR="00DF5791" w:rsidRPr="00703017">
        <w:rPr>
          <w:rFonts w:ascii="Cambria" w:eastAsia="SimSun" w:hAnsi="Cambria"/>
          <w:sz w:val="20"/>
          <w:szCs w:val="20"/>
        </w:rPr>
        <w:t>s</w:t>
      </w:r>
      <w:r w:rsidR="0025318E" w:rsidRPr="00703017">
        <w:rPr>
          <w:rFonts w:ascii="Cambria" w:eastAsia="SimSun" w:hAnsi="Cambria"/>
          <w:sz w:val="20"/>
          <w:szCs w:val="20"/>
        </w:rPr>
        <w:t xml:space="preserve"> Annual Report to the General Assembly of the Organization of American States.</w:t>
      </w:r>
    </w:p>
    <w:p w:rsidR="00C06055" w:rsidRPr="00703017" w:rsidRDefault="00C06055" w:rsidP="00C06055">
      <w:pPr>
        <w:spacing w:after="240"/>
        <w:ind w:firstLine="720"/>
        <w:jc w:val="both"/>
        <w:rPr>
          <w:rFonts w:ascii="Cambria" w:hAnsi="Cambria"/>
          <w:b/>
          <w:bCs/>
          <w:sz w:val="20"/>
          <w:szCs w:val="20"/>
        </w:rPr>
      </w:pPr>
      <w:r w:rsidRPr="00703017">
        <w:rPr>
          <w:rFonts w:ascii="Cambria" w:hAnsi="Cambria"/>
          <w:b/>
          <w:bCs/>
          <w:sz w:val="20"/>
          <w:szCs w:val="20"/>
        </w:rPr>
        <w:t>II.</w:t>
      </w:r>
      <w:r w:rsidRPr="00703017">
        <w:rPr>
          <w:rFonts w:ascii="Cambria" w:hAnsi="Cambria"/>
          <w:b/>
          <w:bCs/>
          <w:sz w:val="20"/>
          <w:szCs w:val="20"/>
        </w:rPr>
        <w:tab/>
      </w:r>
      <w:r w:rsidR="00C8672F" w:rsidRPr="00703017">
        <w:rPr>
          <w:rFonts w:ascii="Cambria" w:hAnsi="Cambria"/>
          <w:b/>
          <w:bCs/>
          <w:sz w:val="20"/>
          <w:szCs w:val="20"/>
        </w:rPr>
        <w:t xml:space="preserve">PROCESSING </w:t>
      </w:r>
      <w:r w:rsidR="00D0256D" w:rsidRPr="00703017">
        <w:rPr>
          <w:rFonts w:ascii="Cambria" w:hAnsi="Cambria"/>
          <w:b/>
          <w:bCs/>
          <w:sz w:val="20"/>
          <w:szCs w:val="20"/>
        </w:rPr>
        <w:t>BY THE COMMISSION</w:t>
      </w:r>
    </w:p>
    <w:p w:rsidR="00F10AA1" w:rsidRPr="00703017" w:rsidRDefault="00F10AA1" w:rsidP="00C060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3017">
        <w:rPr>
          <w:rFonts w:ascii="Cambria" w:hAnsi="Cambria"/>
          <w:sz w:val="20"/>
          <w:szCs w:val="20"/>
        </w:rPr>
        <w:t>The IACHR received the petition on November 5, 2002. During the initial evaluation phase, it received additional information o</w:t>
      </w:r>
      <w:r w:rsidR="00267E2B" w:rsidRPr="00703017">
        <w:rPr>
          <w:rFonts w:ascii="Cambria" w:hAnsi="Cambria"/>
          <w:sz w:val="20"/>
          <w:szCs w:val="20"/>
        </w:rPr>
        <w:t>n July 21, 2003; January 22, 200</w:t>
      </w:r>
      <w:r w:rsidRPr="00703017">
        <w:rPr>
          <w:rFonts w:ascii="Cambria" w:hAnsi="Cambria"/>
          <w:sz w:val="20"/>
          <w:szCs w:val="20"/>
        </w:rPr>
        <w:t>4</w:t>
      </w:r>
      <w:r w:rsidR="009A5CA6" w:rsidRPr="00703017">
        <w:rPr>
          <w:rFonts w:ascii="Cambria" w:hAnsi="Cambria"/>
          <w:sz w:val="20"/>
          <w:szCs w:val="20"/>
        </w:rPr>
        <w:t>;</w:t>
      </w:r>
      <w:r w:rsidRPr="00703017">
        <w:rPr>
          <w:rFonts w:ascii="Cambria" w:hAnsi="Cambria"/>
          <w:sz w:val="20"/>
          <w:szCs w:val="20"/>
        </w:rPr>
        <w:t xml:space="preserve"> February 28, March 4, and September 28, 2005</w:t>
      </w:r>
      <w:r w:rsidR="006D15AE" w:rsidRPr="00703017">
        <w:rPr>
          <w:rFonts w:ascii="Cambria" w:hAnsi="Cambria"/>
          <w:sz w:val="20"/>
          <w:szCs w:val="20"/>
        </w:rPr>
        <w:t>;</w:t>
      </w:r>
      <w:r w:rsidRPr="00703017">
        <w:rPr>
          <w:rFonts w:ascii="Cambria" w:hAnsi="Cambria"/>
          <w:sz w:val="20"/>
          <w:szCs w:val="20"/>
        </w:rPr>
        <w:t xml:space="preserve"> and March 30, 2007.</w:t>
      </w:r>
      <w:r w:rsidR="009B6EB0" w:rsidRPr="00703017">
        <w:rPr>
          <w:rFonts w:ascii="Cambria" w:hAnsi="Cambria"/>
          <w:sz w:val="20"/>
          <w:szCs w:val="20"/>
        </w:rPr>
        <w:t xml:space="preserve"> On September 20, 2013, the IACHR sent the State </w:t>
      </w:r>
      <w:r w:rsidR="0003541F">
        <w:rPr>
          <w:rFonts w:ascii="Cambria" w:hAnsi="Cambria"/>
          <w:sz w:val="20"/>
          <w:szCs w:val="20"/>
        </w:rPr>
        <w:t>copies</w:t>
      </w:r>
      <w:r w:rsidR="009B6EB0" w:rsidRPr="00703017">
        <w:rPr>
          <w:rFonts w:ascii="Cambria" w:hAnsi="Cambria"/>
          <w:sz w:val="20"/>
          <w:szCs w:val="20"/>
        </w:rPr>
        <w:t xml:space="preserve"> of the relevant p</w:t>
      </w:r>
      <w:r w:rsidR="009A5CA6" w:rsidRPr="00703017">
        <w:rPr>
          <w:rFonts w:ascii="Cambria" w:hAnsi="Cambria"/>
          <w:sz w:val="20"/>
          <w:szCs w:val="20"/>
        </w:rPr>
        <w:t>art</w:t>
      </w:r>
      <w:r w:rsidR="009B6EB0" w:rsidRPr="00703017">
        <w:rPr>
          <w:rFonts w:ascii="Cambria" w:hAnsi="Cambria"/>
          <w:sz w:val="20"/>
          <w:szCs w:val="20"/>
        </w:rPr>
        <w:t xml:space="preserve">s of the petition and additional information received during the initial evaluation phase, giving it three months to submit its observations, </w:t>
      </w:r>
      <w:r w:rsidR="00355744" w:rsidRPr="00703017">
        <w:rPr>
          <w:rFonts w:ascii="Cambria" w:hAnsi="Cambria"/>
          <w:sz w:val="20"/>
          <w:szCs w:val="20"/>
        </w:rPr>
        <w:t>on the basis of</w:t>
      </w:r>
      <w:r w:rsidR="00CC760B" w:rsidRPr="00703017">
        <w:rPr>
          <w:rFonts w:ascii="Cambria" w:hAnsi="Cambria"/>
          <w:sz w:val="20"/>
          <w:szCs w:val="20"/>
        </w:rPr>
        <w:t xml:space="preserve"> Article 30(</w:t>
      </w:r>
      <w:r w:rsidR="009B6EB0" w:rsidRPr="00703017">
        <w:rPr>
          <w:rFonts w:ascii="Cambria" w:hAnsi="Cambria"/>
          <w:sz w:val="20"/>
          <w:szCs w:val="20"/>
        </w:rPr>
        <w:t>3</w:t>
      </w:r>
      <w:r w:rsidR="00CC760B" w:rsidRPr="00703017">
        <w:rPr>
          <w:rFonts w:ascii="Cambria" w:hAnsi="Cambria"/>
          <w:sz w:val="20"/>
          <w:szCs w:val="20"/>
        </w:rPr>
        <w:t>)</w:t>
      </w:r>
      <w:r w:rsidR="009B6EB0" w:rsidRPr="00703017">
        <w:rPr>
          <w:rFonts w:ascii="Cambria" w:hAnsi="Cambria"/>
          <w:sz w:val="20"/>
          <w:szCs w:val="20"/>
        </w:rPr>
        <w:t xml:space="preserve"> of its Rules of Procedure.</w:t>
      </w:r>
      <w:r w:rsidR="009C2508" w:rsidRPr="00703017">
        <w:rPr>
          <w:rFonts w:ascii="Cambria" w:hAnsi="Cambria"/>
          <w:sz w:val="20"/>
          <w:szCs w:val="20"/>
        </w:rPr>
        <w:t xml:space="preserve"> The State</w:t>
      </w:r>
      <w:r w:rsidR="00267E2B" w:rsidRPr="00703017">
        <w:rPr>
          <w:rFonts w:ascii="Cambria" w:hAnsi="Cambria"/>
          <w:sz w:val="20"/>
          <w:szCs w:val="20"/>
        </w:rPr>
        <w:t>’s</w:t>
      </w:r>
      <w:r w:rsidR="009C2508" w:rsidRPr="00703017">
        <w:rPr>
          <w:rFonts w:ascii="Cambria" w:hAnsi="Cambria"/>
          <w:sz w:val="20"/>
          <w:szCs w:val="20"/>
        </w:rPr>
        <w:t xml:space="preserve"> response was received on December 24, 2013</w:t>
      </w:r>
      <w:r w:rsidR="00726434" w:rsidRPr="00703017">
        <w:rPr>
          <w:rFonts w:ascii="Cambria" w:hAnsi="Cambria"/>
          <w:sz w:val="20"/>
          <w:szCs w:val="20"/>
        </w:rPr>
        <w:t>,</w:t>
      </w:r>
      <w:r w:rsidR="009C2508" w:rsidRPr="00703017">
        <w:rPr>
          <w:rFonts w:ascii="Cambria" w:hAnsi="Cambria"/>
          <w:sz w:val="20"/>
          <w:szCs w:val="20"/>
        </w:rPr>
        <w:t xml:space="preserve"> and </w:t>
      </w:r>
      <w:r w:rsidR="0018175B" w:rsidRPr="00703017">
        <w:rPr>
          <w:rFonts w:ascii="Cambria" w:hAnsi="Cambria"/>
          <w:sz w:val="20"/>
          <w:szCs w:val="20"/>
        </w:rPr>
        <w:t xml:space="preserve">was </w:t>
      </w:r>
      <w:r w:rsidR="009C2508" w:rsidRPr="00703017">
        <w:rPr>
          <w:rFonts w:ascii="Cambria" w:hAnsi="Cambria"/>
          <w:sz w:val="20"/>
          <w:szCs w:val="20"/>
        </w:rPr>
        <w:t xml:space="preserve">forwarded to the </w:t>
      </w:r>
      <w:r w:rsidR="0076428E">
        <w:rPr>
          <w:rFonts w:ascii="Cambria" w:hAnsi="Cambria"/>
          <w:sz w:val="20"/>
          <w:szCs w:val="20"/>
        </w:rPr>
        <w:t>p</w:t>
      </w:r>
      <w:r w:rsidR="00C20D40" w:rsidRPr="00703017">
        <w:rPr>
          <w:rFonts w:ascii="Cambria" w:hAnsi="Cambria"/>
          <w:sz w:val="20"/>
          <w:szCs w:val="20"/>
        </w:rPr>
        <w:t>etitioner</w:t>
      </w:r>
      <w:r w:rsidR="009C2508" w:rsidRPr="00703017">
        <w:rPr>
          <w:rFonts w:ascii="Cambria" w:hAnsi="Cambria"/>
          <w:sz w:val="20"/>
          <w:szCs w:val="20"/>
        </w:rPr>
        <w:t>.</w:t>
      </w:r>
    </w:p>
    <w:p w:rsidR="00C06055" w:rsidRPr="00703017" w:rsidRDefault="009A5CA6" w:rsidP="00C060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3017">
        <w:rPr>
          <w:rFonts w:ascii="Cambria" w:hAnsi="Cambria"/>
          <w:sz w:val="20"/>
          <w:szCs w:val="20"/>
        </w:rPr>
        <w:lastRenderedPageBreak/>
        <w:t xml:space="preserve">The </w:t>
      </w:r>
      <w:r w:rsidR="0076428E">
        <w:rPr>
          <w:rFonts w:ascii="Cambria" w:hAnsi="Cambria"/>
          <w:sz w:val="20"/>
          <w:szCs w:val="20"/>
        </w:rPr>
        <w:t>p</w:t>
      </w:r>
      <w:r w:rsidR="00C20D40" w:rsidRPr="00703017">
        <w:rPr>
          <w:rFonts w:ascii="Cambria" w:hAnsi="Cambria"/>
          <w:sz w:val="20"/>
          <w:szCs w:val="20"/>
        </w:rPr>
        <w:t>etitioner</w:t>
      </w:r>
      <w:r w:rsidRPr="00703017">
        <w:rPr>
          <w:rFonts w:ascii="Cambria" w:hAnsi="Cambria"/>
          <w:sz w:val="20"/>
          <w:szCs w:val="20"/>
        </w:rPr>
        <w:t xml:space="preserve"> </w:t>
      </w:r>
      <w:r w:rsidR="00EE68EF" w:rsidRPr="00703017">
        <w:rPr>
          <w:rFonts w:ascii="Cambria" w:hAnsi="Cambria"/>
          <w:sz w:val="20"/>
          <w:szCs w:val="20"/>
        </w:rPr>
        <w:t>submitt</w:t>
      </w:r>
      <w:r w:rsidRPr="00703017">
        <w:rPr>
          <w:rFonts w:ascii="Cambria" w:hAnsi="Cambria"/>
          <w:sz w:val="20"/>
          <w:szCs w:val="20"/>
        </w:rPr>
        <w:t>ed additional observations on September 23, 2013; Apri</w:t>
      </w:r>
      <w:r w:rsidR="00CC760B" w:rsidRPr="00703017">
        <w:rPr>
          <w:rFonts w:ascii="Cambria" w:hAnsi="Cambria"/>
          <w:sz w:val="20"/>
          <w:szCs w:val="20"/>
        </w:rPr>
        <w:t>l 28 and September 2 and 25, 20</w:t>
      </w:r>
      <w:r w:rsidR="0018175B" w:rsidRPr="00703017">
        <w:rPr>
          <w:rFonts w:ascii="Cambria" w:hAnsi="Cambria"/>
          <w:sz w:val="20"/>
          <w:szCs w:val="20"/>
        </w:rPr>
        <w:t>1</w:t>
      </w:r>
      <w:r w:rsidRPr="00703017">
        <w:rPr>
          <w:rFonts w:ascii="Cambria" w:hAnsi="Cambria"/>
          <w:sz w:val="20"/>
          <w:szCs w:val="20"/>
        </w:rPr>
        <w:t>4; March 19, April 27, May 12, and July 8, 2015</w:t>
      </w:r>
      <w:r w:rsidR="00726434" w:rsidRPr="00703017">
        <w:rPr>
          <w:rFonts w:ascii="Cambria" w:hAnsi="Cambria"/>
          <w:sz w:val="20"/>
          <w:szCs w:val="20"/>
        </w:rPr>
        <w:t>;</w:t>
      </w:r>
      <w:r w:rsidRPr="00703017">
        <w:rPr>
          <w:rFonts w:ascii="Cambria" w:hAnsi="Cambria"/>
          <w:sz w:val="20"/>
          <w:szCs w:val="20"/>
        </w:rPr>
        <w:t xml:space="preserve"> </w:t>
      </w:r>
      <w:r w:rsidR="00E02A50" w:rsidRPr="00703017">
        <w:rPr>
          <w:rFonts w:ascii="Cambria" w:hAnsi="Cambria"/>
          <w:sz w:val="20"/>
          <w:szCs w:val="20"/>
        </w:rPr>
        <w:t>and March 14 and April 19, 2016.</w:t>
      </w:r>
      <w:r w:rsidRPr="00703017">
        <w:rPr>
          <w:rFonts w:ascii="Cambria" w:hAnsi="Cambria"/>
          <w:sz w:val="20"/>
          <w:szCs w:val="20"/>
        </w:rPr>
        <w:t xml:space="preserve"> </w:t>
      </w:r>
      <w:r w:rsidR="002A3471" w:rsidRPr="00703017">
        <w:rPr>
          <w:rFonts w:ascii="Cambria" w:hAnsi="Cambria"/>
          <w:sz w:val="20"/>
          <w:szCs w:val="20"/>
        </w:rPr>
        <w:t xml:space="preserve">The State </w:t>
      </w:r>
      <w:r w:rsidR="00C27582" w:rsidRPr="00703017">
        <w:rPr>
          <w:rFonts w:ascii="Cambria" w:hAnsi="Cambria"/>
          <w:sz w:val="20"/>
          <w:szCs w:val="20"/>
        </w:rPr>
        <w:t>presen</w:t>
      </w:r>
      <w:r w:rsidR="002A3471" w:rsidRPr="00703017">
        <w:rPr>
          <w:rFonts w:ascii="Cambria" w:hAnsi="Cambria"/>
          <w:sz w:val="20"/>
          <w:szCs w:val="20"/>
        </w:rPr>
        <w:t xml:space="preserve">ted additional observations on February 23, 2015 and July 18, 2016. </w:t>
      </w:r>
      <w:r w:rsidR="0018175B" w:rsidRPr="00703017">
        <w:rPr>
          <w:rFonts w:ascii="Cambria" w:hAnsi="Cambria"/>
          <w:sz w:val="20"/>
          <w:szCs w:val="20"/>
        </w:rPr>
        <w:t>All</w:t>
      </w:r>
      <w:r w:rsidR="002A3471" w:rsidRPr="00703017">
        <w:rPr>
          <w:rFonts w:ascii="Cambria" w:hAnsi="Cambria"/>
          <w:sz w:val="20"/>
          <w:szCs w:val="20"/>
        </w:rPr>
        <w:t xml:space="preserve"> observations were duly forwarded to the opposing party.</w:t>
      </w:r>
    </w:p>
    <w:p w:rsidR="00C06055" w:rsidRPr="00703017" w:rsidRDefault="00C06055" w:rsidP="00C06055">
      <w:pPr>
        <w:spacing w:after="240"/>
        <w:ind w:firstLine="720"/>
        <w:jc w:val="both"/>
        <w:rPr>
          <w:rFonts w:ascii="Cambria" w:hAnsi="Cambria"/>
          <w:b/>
          <w:bCs/>
          <w:sz w:val="20"/>
          <w:szCs w:val="20"/>
        </w:rPr>
      </w:pPr>
      <w:r w:rsidRPr="00703017">
        <w:rPr>
          <w:rFonts w:ascii="Cambria" w:hAnsi="Cambria"/>
          <w:b/>
          <w:bCs/>
          <w:sz w:val="20"/>
          <w:szCs w:val="20"/>
        </w:rPr>
        <w:t>III.</w:t>
      </w:r>
      <w:r w:rsidRPr="00703017">
        <w:rPr>
          <w:rFonts w:ascii="Cambria" w:hAnsi="Cambria"/>
          <w:b/>
          <w:bCs/>
          <w:sz w:val="20"/>
          <w:szCs w:val="20"/>
        </w:rPr>
        <w:tab/>
        <w:t>POSI</w:t>
      </w:r>
      <w:r w:rsidR="00BF7839" w:rsidRPr="00703017">
        <w:rPr>
          <w:rFonts w:ascii="Cambria" w:hAnsi="Cambria"/>
          <w:b/>
          <w:bCs/>
          <w:sz w:val="20"/>
          <w:szCs w:val="20"/>
        </w:rPr>
        <w:t>TIO</w:t>
      </w:r>
      <w:r w:rsidRPr="00703017">
        <w:rPr>
          <w:rFonts w:ascii="Cambria" w:hAnsi="Cambria"/>
          <w:b/>
          <w:bCs/>
          <w:sz w:val="20"/>
          <w:szCs w:val="20"/>
        </w:rPr>
        <w:t>N</w:t>
      </w:r>
      <w:r w:rsidR="00AE392A" w:rsidRPr="00703017">
        <w:rPr>
          <w:rFonts w:ascii="Cambria" w:hAnsi="Cambria"/>
          <w:b/>
          <w:bCs/>
          <w:sz w:val="20"/>
          <w:szCs w:val="20"/>
        </w:rPr>
        <w:t>S</w:t>
      </w:r>
      <w:r w:rsidRPr="00703017">
        <w:rPr>
          <w:rFonts w:ascii="Cambria" w:hAnsi="Cambria"/>
          <w:b/>
          <w:bCs/>
          <w:sz w:val="20"/>
          <w:szCs w:val="20"/>
        </w:rPr>
        <w:t xml:space="preserve"> </w:t>
      </w:r>
      <w:r w:rsidR="00BF7839" w:rsidRPr="00703017">
        <w:rPr>
          <w:rFonts w:ascii="Cambria" w:hAnsi="Cambria"/>
          <w:b/>
          <w:bCs/>
          <w:sz w:val="20"/>
          <w:szCs w:val="20"/>
        </w:rPr>
        <w:t>OF THE PARTIES</w:t>
      </w:r>
    </w:p>
    <w:p w:rsidR="00C06055" w:rsidRPr="00703017" w:rsidRDefault="00C06055" w:rsidP="00C06055">
      <w:pPr>
        <w:suppressAutoHyphens/>
        <w:spacing w:after="240"/>
        <w:ind w:firstLine="720"/>
        <w:jc w:val="both"/>
        <w:rPr>
          <w:rFonts w:ascii="Cambria" w:hAnsi="Cambria"/>
          <w:b/>
          <w:bCs/>
          <w:sz w:val="20"/>
          <w:szCs w:val="20"/>
        </w:rPr>
      </w:pPr>
      <w:r w:rsidRPr="00703017">
        <w:rPr>
          <w:rFonts w:ascii="Cambria" w:hAnsi="Cambria"/>
          <w:b/>
          <w:bCs/>
          <w:sz w:val="20"/>
          <w:szCs w:val="20"/>
        </w:rPr>
        <w:t>A.</w:t>
      </w:r>
      <w:r w:rsidRPr="00703017">
        <w:rPr>
          <w:rFonts w:ascii="Cambria" w:hAnsi="Cambria"/>
          <w:b/>
          <w:bCs/>
          <w:sz w:val="20"/>
          <w:szCs w:val="20"/>
        </w:rPr>
        <w:tab/>
      </w:r>
      <w:r w:rsidR="00B665A0" w:rsidRPr="00703017">
        <w:rPr>
          <w:rFonts w:ascii="Cambria" w:hAnsi="Cambria"/>
          <w:b/>
          <w:bCs/>
          <w:sz w:val="20"/>
          <w:szCs w:val="20"/>
        </w:rPr>
        <w:t>Position of t</w:t>
      </w:r>
      <w:r w:rsidR="007D2961" w:rsidRPr="00703017">
        <w:rPr>
          <w:rFonts w:ascii="Cambria" w:hAnsi="Cambria"/>
          <w:b/>
          <w:bCs/>
          <w:sz w:val="20"/>
          <w:szCs w:val="20"/>
        </w:rPr>
        <w:t xml:space="preserve">he </w:t>
      </w:r>
      <w:r w:rsidR="00C20D40" w:rsidRPr="00703017">
        <w:rPr>
          <w:rFonts w:ascii="Cambria" w:hAnsi="Cambria"/>
          <w:b/>
          <w:bCs/>
          <w:sz w:val="20"/>
          <w:szCs w:val="20"/>
        </w:rPr>
        <w:t>Petitioner</w:t>
      </w:r>
    </w:p>
    <w:p w:rsidR="00255159" w:rsidRPr="00703017" w:rsidRDefault="00255159" w:rsidP="00C060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3017">
        <w:rPr>
          <w:rFonts w:ascii="Cambria" w:hAnsi="Cambria"/>
          <w:sz w:val="20"/>
          <w:szCs w:val="20"/>
        </w:rPr>
        <w:t xml:space="preserve">The </w:t>
      </w:r>
      <w:r w:rsidR="0076428E">
        <w:rPr>
          <w:rFonts w:ascii="Cambria" w:hAnsi="Cambria"/>
          <w:sz w:val="20"/>
          <w:szCs w:val="20"/>
        </w:rPr>
        <w:t>p</w:t>
      </w:r>
      <w:r w:rsidR="00C20D40" w:rsidRPr="00703017">
        <w:rPr>
          <w:rFonts w:ascii="Cambria" w:hAnsi="Cambria"/>
          <w:sz w:val="20"/>
          <w:szCs w:val="20"/>
        </w:rPr>
        <w:t>etitioner</w:t>
      </w:r>
      <w:r w:rsidRPr="00703017">
        <w:rPr>
          <w:rFonts w:ascii="Cambria" w:hAnsi="Cambria"/>
          <w:sz w:val="20"/>
          <w:szCs w:val="20"/>
        </w:rPr>
        <w:t xml:space="preserve"> indicates that</w:t>
      </w:r>
      <w:r w:rsidR="00772907" w:rsidRPr="00703017">
        <w:rPr>
          <w:rFonts w:ascii="Cambria" w:hAnsi="Cambria"/>
          <w:sz w:val="20"/>
          <w:szCs w:val="20"/>
        </w:rPr>
        <w:t>,</w:t>
      </w:r>
      <w:r w:rsidRPr="00703017">
        <w:rPr>
          <w:rFonts w:ascii="Cambria" w:hAnsi="Cambria"/>
          <w:sz w:val="20"/>
          <w:szCs w:val="20"/>
        </w:rPr>
        <w:t xml:space="preserve"> on August 17, 1997, various communications media published an “illegal recording” obtained by unknown</w:t>
      </w:r>
      <w:r w:rsidR="004C40F1" w:rsidRPr="00703017">
        <w:rPr>
          <w:rFonts w:ascii="Cambria" w:hAnsi="Cambria"/>
          <w:sz w:val="20"/>
          <w:szCs w:val="20"/>
        </w:rPr>
        <w:t xml:space="preserve"> persons</w:t>
      </w:r>
      <w:r w:rsidRPr="00703017">
        <w:rPr>
          <w:rFonts w:ascii="Cambria" w:hAnsi="Cambria"/>
          <w:sz w:val="20"/>
          <w:szCs w:val="20"/>
        </w:rPr>
        <w:t xml:space="preserve"> </w:t>
      </w:r>
      <w:r w:rsidR="00C64EFA" w:rsidRPr="00703017">
        <w:rPr>
          <w:rFonts w:ascii="Cambria" w:hAnsi="Cambria"/>
          <w:sz w:val="20"/>
          <w:szCs w:val="20"/>
        </w:rPr>
        <w:t>of</w:t>
      </w:r>
      <w:r w:rsidRPr="00703017">
        <w:rPr>
          <w:rFonts w:ascii="Cambria" w:hAnsi="Cambria"/>
          <w:sz w:val="20"/>
          <w:szCs w:val="20"/>
        </w:rPr>
        <w:t xml:space="preserve"> a conversation between the alleged victim, then Minister for Communications, and Rodrigo Villamizar Alvargonzález, then Minister for Min</w:t>
      </w:r>
      <w:r w:rsidR="00965F70" w:rsidRPr="00703017">
        <w:rPr>
          <w:rFonts w:ascii="Cambria" w:hAnsi="Cambria"/>
          <w:sz w:val="20"/>
          <w:szCs w:val="20"/>
        </w:rPr>
        <w:t>es</w:t>
      </w:r>
      <w:r w:rsidRPr="00703017">
        <w:rPr>
          <w:rFonts w:ascii="Cambria" w:hAnsi="Cambria"/>
          <w:sz w:val="20"/>
          <w:szCs w:val="20"/>
        </w:rPr>
        <w:t xml:space="preserve"> and Energy</w:t>
      </w:r>
      <w:r w:rsidR="00F5151B" w:rsidRPr="00703017">
        <w:rPr>
          <w:rFonts w:ascii="Cambria" w:hAnsi="Cambria"/>
          <w:sz w:val="20"/>
          <w:szCs w:val="20"/>
        </w:rPr>
        <w:t xml:space="preserve">, </w:t>
      </w:r>
      <w:r w:rsidR="004C40F1" w:rsidRPr="00703017">
        <w:rPr>
          <w:rFonts w:ascii="Cambria" w:hAnsi="Cambria"/>
          <w:sz w:val="20"/>
          <w:szCs w:val="20"/>
        </w:rPr>
        <w:t>about</w:t>
      </w:r>
      <w:r w:rsidR="00F5151B" w:rsidRPr="00703017">
        <w:rPr>
          <w:rFonts w:ascii="Cambria" w:hAnsi="Cambria"/>
          <w:sz w:val="20"/>
          <w:szCs w:val="20"/>
        </w:rPr>
        <w:t xml:space="preserve"> the granting of a radio station broadcast license. </w:t>
      </w:r>
      <w:r w:rsidR="004615D5" w:rsidRPr="00703017">
        <w:rPr>
          <w:rFonts w:ascii="Cambria" w:hAnsi="Cambria"/>
          <w:sz w:val="20"/>
          <w:szCs w:val="20"/>
        </w:rPr>
        <w:t xml:space="preserve">He states that this illegal </w:t>
      </w:r>
      <w:r w:rsidR="00833637" w:rsidRPr="00703017">
        <w:rPr>
          <w:rFonts w:ascii="Cambria" w:hAnsi="Cambria"/>
          <w:sz w:val="20"/>
          <w:szCs w:val="20"/>
        </w:rPr>
        <w:t>material</w:t>
      </w:r>
      <w:r w:rsidR="004615D5" w:rsidRPr="00703017">
        <w:rPr>
          <w:rFonts w:ascii="Cambria" w:hAnsi="Cambria"/>
          <w:sz w:val="20"/>
          <w:szCs w:val="20"/>
        </w:rPr>
        <w:t xml:space="preserve"> </w:t>
      </w:r>
      <w:r w:rsidR="000C7CC9" w:rsidRPr="00703017">
        <w:rPr>
          <w:rFonts w:ascii="Cambria" w:hAnsi="Cambria"/>
          <w:sz w:val="20"/>
          <w:szCs w:val="20"/>
        </w:rPr>
        <w:t xml:space="preserve">provided </w:t>
      </w:r>
      <w:r w:rsidR="00833637" w:rsidRPr="00703017">
        <w:rPr>
          <w:rFonts w:ascii="Cambria" w:hAnsi="Cambria"/>
          <w:sz w:val="20"/>
          <w:szCs w:val="20"/>
        </w:rPr>
        <w:t>the basis for criminal proceedings against him</w:t>
      </w:r>
      <w:r w:rsidR="00961383" w:rsidRPr="00703017">
        <w:rPr>
          <w:rFonts w:ascii="Cambria" w:hAnsi="Cambria"/>
          <w:sz w:val="20"/>
          <w:szCs w:val="20"/>
        </w:rPr>
        <w:t xml:space="preserve"> given that</w:t>
      </w:r>
      <w:r w:rsidR="00A50F55" w:rsidRPr="00703017">
        <w:rPr>
          <w:rFonts w:ascii="Cambria" w:hAnsi="Cambria"/>
          <w:sz w:val="20"/>
          <w:szCs w:val="20"/>
        </w:rPr>
        <w:t>, o</w:t>
      </w:r>
      <w:r w:rsidR="004C40F1" w:rsidRPr="00703017">
        <w:rPr>
          <w:rFonts w:ascii="Cambria" w:hAnsi="Cambria"/>
          <w:sz w:val="20"/>
          <w:szCs w:val="20"/>
        </w:rPr>
        <w:t>n</w:t>
      </w:r>
      <w:r w:rsidR="00833637" w:rsidRPr="00703017">
        <w:rPr>
          <w:rFonts w:ascii="Cambria" w:hAnsi="Cambria"/>
          <w:sz w:val="20"/>
          <w:szCs w:val="20"/>
        </w:rPr>
        <w:t xml:space="preserve"> August 20, 1997</w:t>
      </w:r>
      <w:r w:rsidR="00C92E09" w:rsidRPr="00703017">
        <w:rPr>
          <w:rFonts w:ascii="Cambria" w:hAnsi="Cambria"/>
          <w:sz w:val="20"/>
          <w:szCs w:val="20"/>
        </w:rPr>
        <w:t>,</w:t>
      </w:r>
      <w:r w:rsidR="00833637" w:rsidRPr="00703017">
        <w:rPr>
          <w:rFonts w:ascii="Cambria" w:hAnsi="Cambria"/>
          <w:sz w:val="20"/>
          <w:szCs w:val="20"/>
        </w:rPr>
        <w:t xml:space="preserve"> the Office of the Attorney General opened a preliminary investigation against him</w:t>
      </w:r>
      <w:r w:rsidR="00961383" w:rsidRPr="00703017">
        <w:rPr>
          <w:rFonts w:ascii="Cambria" w:hAnsi="Cambria"/>
          <w:sz w:val="20"/>
          <w:szCs w:val="20"/>
        </w:rPr>
        <w:t xml:space="preserve"> on an </w:t>
      </w:r>
      <w:r w:rsidR="00961383" w:rsidRPr="00703017">
        <w:rPr>
          <w:rFonts w:ascii="Cambria" w:hAnsi="Cambria"/>
          <w:i/>
          <w:sz w:val="20"/>
          <w:szCs w:val="20"/>
        </w:rPr>
        <w:t>ex officio</w:t>
      </w:r>
      <w:r w:rsidR="00961383" w:rsidRPr="00703017">
        <w:rPr>
          <w:rFonts w:ascii="Cambria" w:hAnsi="Cambria"/>
          <w:sz w:val="20"/>
          <w:szCs w:val="20"/>
        </w:rPr>
        <w:t xml:space="preserve"> basis</w:t>
      </w:r>
      <w:r w:rsidR="00833637" w:rsidRPr="00703017">
        <w:rPr>
          <w:rFonts w:ascii="Cambria" w:hAnsi="Cambria"/>
          <w:sz w:val="20"/>
          <w:szCs w:val="20"/>
        </w:rPr>
        <w:t xml:space="preserve">. </w:t>
      </w:r>
      <w:r w:rsidR="000C7CC9" w:rsidRPr="00703017">
        <w:rPr>
          <w:rFonts w:ascii="Cambria" w:hAnsi="Cambria"/>
          <w:sz w:val="20"/>
          <w:szCs w:val="20"/>
        </w:rPr>
        <w:t xml:space="preserve">On August 21, 1998, </w:t>
      </w:r>
      <w:r w:rsidR="00E02A50" w:rsidRPr="00703017">
        <w:rPr>
          <w:rFonts w:ascii="Cambria" w:hAnsi="Cambria"/>
          <w:sz w:val="20"/>
          <w:szCs w:val="20"/>
        </w:rPr>
        <w:t>since</w:t>
      </w:r>
      <w:r w:rsidR="008C0937" w:rsidRPr="00703017">
        <w:rPr>
          <w:rFonts w:ascii="Cambria" w:hAnsi="Cambria"/>
          <w:sz w:val="20"/>
          <w:szCs w:val="20"/>
        </w:rPr>
        <w:t xml:space="preserve"> </w:t>
      </w:r>
      <w:r w:rsidR="000C7CC9" w:rsidRPr="00703017">
        <w:rPr>
          <w:rFonts w:ascii="Cambria" w:hAnsi="Cambria"/>
          <w:sz w:val="20"/>
          <w:szCs w:val="20"/>
        </w:rPr>
        <w:t xml:space="preserve">the </w:t>
      </w:r>
      <w:r w:rsidR="0076428E">
        <w:rPr>
          <w:rFonts w:ascii="Cambria" w:hAnsi="Cambria"/>
          <w:sz w:val="20"/>
          <w:szCs w:val="20"/>
        </w:rPr>
        <w:t>p</w:t>
      </w:r>
      <w:r w:rsidR="00C20D40" w:rsidRPr="00703017">
        <w:rPr>
          <w:rFonts w:ascii="Cambria" w:hAnsi="Cambria"/>
          <w:sz w:val="20"/>
          <w:szCs w:val="20"/>
        </w:rPr>
        <w:t>etitioner</w:t>
      </w:r>
      <w:r w:rsidR="000C7CC9" w:rsidRPr="00703017">
        <w:rPr>
          <w:rFonts w:ascii="Cambria" w:hAnsi="Cambria"/>
          <w:sz w:val="20"/>
          <w:szCs w:val="20"/>
        </w:rPr>
        <w:t xml:space="preserve"> and Rodrigo Villamizar were</w:t>
      </w:r>
      <w:r w:rsidR="008C0937" w:rsidRPr="00703017">
        <w:rPr>
          <w:rFonts w:ascii="Cambria" w:hAnsi="Cambria"/>
          <w:sz w:val="20"/>
          <w:szCs w:val="20"/>
        </w:rPr>
        <w:t xml:space="preserve"> both government ministers, they were</w:t>
      </w:r>
      <w:r w:rsidR="000C7CC9" w:rsidRPr="00703017">
        <w:rPr>
          <w:rFonts w:ascii="Cambria" w:hAnsi="Cambria"/>
          <w:sz w:val="20"/>
          <w:szCs w:val="20"/>
        </w:rPr>
        <w:t xml:space="preserve"> charged </w:t>
      </w:r>
      <w:r w:rsidR="008C0937" w:rsidRPr="00703017">
        <w:rPr>
          <w:rFonts w:ascii="Cambria" w:hAnsi="Cambria"/>
          <w:sz w:val="20"/>
          <w:szCs w:val="20"/>
        </w:rPr>
        <w:t xml:space="preserve">before the Criminal Appellate Division of the Supreme Court </w:t>
      </w:r>
      <w:r w:rsidR="00835803" w:rsidRPr="00703017">
        <w:rPr>
          <w:rFonts w:ascii="Cambria" w:hAnsi="Cambria"/>
          <w:sz w:val="20"/>
          <w:szCs w:val="20"/>
        </w:rPr>
        <w:t xml:space="preserve">of Justice </w:t>
      </w:r>
      <w:r w:rsidR="008C0937" w:rsidRPr="00703017">
        <w:rPr>
          <w:rFonts w:ascii="Cambria" w:hAnsi="Cambria"/>
          <w:sz w:val="20"/>
          <w:szCs w:val="20"/>
        </w:rPr>
        <w:t xml:space="preserve">(hereinafter </w:t>
      </w:r>
      <w:r w:rsidR="00C403EA" w:rsidRPr="00703017">
        <w:rPr>
          <w:rFonts w:ascii="Cambria" w:hAnsi="Cambria"/>
          <w:sz w:val="20"/>
          <w:szCs w:val="20"/>
        </w:rPr>
        <w:t>“</w:t>
      </w:r>
      <w:r w:rsidR="008C0937" w:rsidRPr="00703017">
        <w:rPr>
          <w:rFonts w:ascii="Cambria" w:hAnsi="Cambria"/>
          <w:sz w:val="20"/>
          <w:szCs w:val="20"/>
        </w:rPr>
        <w:t xml:space="preserve">the Criminal Division”) </w:t>
      </w:r>
      <w:r w:rsidR="000C7CC9" w:rsidRPr="00703017">
        <w:rPr>
          <w:rFonts w:ascii="Cambria" w:hAnsi="Cambria"/>
          <w:sz w:val="20"/>
          <w:szCs w:val="20"/>
        </w:rPr>
        <w:t xml:space="preserve">with the crime of </w:t>
      </w:r>
      <w:r w:rsidR="001C7039" w:rsidRPr="00703017">
        <w:rPr>
          <w:rFonts w:ascii="Cambria" w:hAnsi="Cambria"/>
          <w:sz w:val="20"/>
          <w:szCs w:val="20"/>
        </w:rPr>
        <w:t>unlawful</w:t>
      </w:r>
      <w:r w:rsidR="000C7CC9" w:rsidRPr="00703017">
        <w:rPr>
          <w:rFonts w:ascii="Cambria" w:hAnsi="Cambria"/>
          <w:sz w:val="20"/>
          <w:szCs w:val="20"/>
        </w:rPr>
        <w:t xml:space="preserve"> interest in a public contract.</w:t>
      </w:r>
      <w:r w:rsidR="001C7039" w:rsidRPr="00703017">
        <w:rPr>
          <w:rFonts w:ascii="Cambria" w:hAnsi="Cambria"/>
          <w:sz w:val="20"/>
          <w:szCs w:val="20"/>
        </w:rPr>
        <w:t xml:space="preserve"> Subsequently, on May 14, 1999, the Criminal Division d</w:t>
      </w:r>
      <w:r w:rsidR="00772907" w:rsidRPr="00703017">
        <w:rPr>
          <w:rFonts w:ascii="Cambria" w:hAnsi="Cambria"/>
          <w:sz w:val="20"/>
          <w:szCs w:val="20"/>
        </w:rPr>
        <w:t>eclared the proceedings</w:t>
      </w:r>
      <w:r w:rsidR="001C7039" w:rsidRPr="00703017">
        <w:rPr>
          <w:rFonts w:ascii="Cambria" w:hAnsi="Cambria"/>
          <w:sz w:val="20"/>
          <w:szCs w:val="20"/>
        </w:rPr>
        <w:t xml:space="preserve"> against Rodrigo Villamizar </w:t>
      </w:r>
      <w:r w:rsidR="00772907" w:rsidRPr="00703017">
        <w:rPr>
          <w:rFonts w:ascii="Cambria" w:hAnsi="Cambria"/>
          <w:sz w:val="20"/>
          <w:szCs w:val="20"/>
        </w:rPr>
        <w:t xml:space="preserve">null and void </w:t>
      </w:r>
      <w:r w:rsidR="00E1380A" w:rsidRPr="00703017">
        <w:rPr>
          <w:rFonts w:ascii="Cambria" w:hAnsi="Cambria"/>
          <w:sz w:val="20"/>
          <w:szCs w:val="20"/>
        </w:rPr>
        <w:t>because</w:t>
      </w:r>
      <w:r w:rsidR="006C1C35" w:rsidRPr="00703017">
        <w:rPr>
          <w:rFonts w:ascii="Cambria" w:hAnsi="Cambria"/>
          <w:sz w:val="20"/>
          <w:szCs w:val="20"/>
        </w:rPr>
        <w:t xml:space="preserve"> it considered</w:t>
      </w:r>
      <w:r w:rsidR="00E1380A" w:rsidRPr="00703017">
        <w:rPr>
          <w:rFonts w:ascii="Cambria" w:hAnsi="Cambria"/>
          <w:sz w:val="20"/>
          <w:szCs w:val="20"/>
        </w:rPr>
        <w:t xml:space="preserve"> him to have</w:t>
      </w:r>
      <w:r w:rsidR="001C7039" w:rsidRPr="00703017">
        <w:rPr>
          <w:rFonts w:ascii="Cambria" w:hAnsi="Cambria"/>
          <w:sz w:val="20"/>
          <w:szCs w:val="20"/>
        </w:rPr>
        <w:t xml:space="preserve"> </w:t>
      </w:r>
      <w:r w:rsidR="00C27582" w:rsidRPr="00703017">
        <w:rPr>
          <w:rFonts w:ascii="Cambria" w:hAnsi="Cambria"/>
          <w:sz w:val="20"/>
          <w:szCs w:val="20"/>
        </w:rPr>
        <w:t>acted</w:t>
      </w:r>
      <w:r w:rsidR="00E02A50" w:rsidRPr="00703017">
        <w:rPr>
          <w:rFonts w:ascii="Cambria" w:hAnsi="Cambria"/>
          <w:sz w:val="20"/>
          <w:szCs w:val="20"/>
        </w:rPr>
        <w:t xml:space="preserve"> in a private rather than ministerial capacity</w:t>
      </w:r>
      <w:r w:rsidR="00C27582" w:rsidRPr="00703017">
        <w:rPr>
          <w:rFonts w:ascii="Cambria" w:hAnsi="Cambria"/>
          <w:sz w:val="20"/>
          <w:szCs w:val="20"/>
        </w:rPr>
        <w:t>, which meant that it</w:t>
      </w:r>
      <w:r w:rsidR="008116A6" w:rsidRPr="00703017">
        <w:rPr>
          <w:rFonts w:ascii="Cambria" w:hAnsi="Cambria"/>
          <w:sz w:val="20"/>
          <w:szCs w:val="20"/>
        </w:rPr>
        <w:t xml:space="preserve"> </w:t>
      </w:r>
      <w:r w:rsidR="0060394E" w:rsidRPr="00703017">
        <w:rPr>
          <w:rFonts w:ascii="Cambria" w:hAnsi="Cambria"/>
          <w:sz w:val="20"/>
          <w:szCs w:val="20"/>
        </w:rPr>
        <w:t xml:space="preserve">did not have </w:t>
      </w:r>
      <w:r w:rsidR="00DF122F" w:rsidRPr="00703017">
        <w:rPr>
          <w:rFonts w:ascii="Cambria" w:hAnsi="Cambria"/>
          <w:sz w:val="20"/>
          <w:szCs w:val="20"/>
        </w:rPr>
        <w:t xml:space="preserve">the special jurisdiction </w:t>
      </w:r>
      <w:r w:rsidR="00E90354" w:rsidRPr="00703017">
        <w:rPr>
          <w:rFonts w:ascii="Cambria" w:hAnsi="Cambria"/>
          <w:sz w:val="20"/>
          <w:szCs w:val="20"/>
        </w:rPr>
        <w:t>established in Article 235 of the Constitution.</w:t>
      </w:r>
    </w:p>
    <w:p w:rsidR="00C06055" w:rsidRPr="00703017" w:rsidRDefault="00EA373D" w:rsidP="00C060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3017">
        <w:rPr>
          <w:rFonts w:ascii="Cambria" w:hAnsi="Cambria"/>
          <w:sz w:val="20"/>
          <w:szCs w:val="20"/>
        </w:rPr>
        <w:t xml:space="preserve">On October 25, 2000, the Criminal Division sentenced the alleged victim </w:t>
      </w:r>
      <w:r w:rsidR="002C33C1" w:rsidRPr="00703017">
        <w:rPr>
          <w:rFonts w:ascii="Cambria" w:hAnsi="Cambria"/>
          <w:sz w:val="20"/>
          <w:szCs w:val="20"/>
        </w:rPr>
        <w:t xml:space="preserve">to </w:t>
      </w:r>
      <w:r w:rsidR="00B15A63" w:rsidRPr="00703017">
        <w:rPr>
          <w:rFonts w:ascii="Cambria" w:hAnsi="Cambria"/>
          <w:sz w:val="20"/>
          <w:szCs w:val="20"/>
        </w:rPr>
        <w:t>a</w:t>
      </w:r>
      <w:r w:rsidRPr="00703017">
        <w:rPr>
          <w:rFonts w:ascii="Cambria" w:hAnsi="Cambria"/>
          <w:sz w:val="20"/>
          <w:szCs w:val="20"/>
        </w:rPr>
        <w:t xml:space="preserve"> </w:t>
      </w:r>
      <w:r w:rsidR="00B15A63" w:rsidRPr="00703017">
        <w:rPr>
          <w:rFonts w:ascii="Cambria" w:hAnsi="Cambria"/>
          <w:sz w:val="20"/>
          <w:szCs w:val="20"/>
        </w:rPr>
        <w:t>principal penalty of 54 months</w:t>
      </w:r>
      <w:r w:rsidR="002C2709" w:rsidRPr="00703017">
        <w:rPr>
          <w:rFonts w:ascii="Cambria" w:hAnsi="Cambria"/>
          <w:sz w:val="20"/>
          <w:szCs w:val="20"/>
        </w:rPr>
        <w:t xml:space="preserve"> in prison</w:t>
      </w:r>
      <w:r w:rsidR="00B15A63" w:rsidRPr="00703017">
        <w:rPr>
          <w:rFonts w:ascii="Cambria" w:hAnsi="Cambria"/>
          <w:sz w:val="20"/>
          <w:szCs w:val="20"/>
        </w:rPr>
        <w:t xml:space="preserve">, 15 monthly </w:t>
      </w:r>
      <w:r w:rsidR="00C06A93" w:rsidRPr="00703017">
        <w:rPr>
          <w:rFonts w:ascii="Cambria" w:hAnsi="Cambria"/>
          <w:sz w:val="20"/>
          <w:szCs w:val="20"/>
        </w:rPr>
        <w:t xml:space="preserve">legal </w:t>
      </w:r>
      <w:r w:rsidR="00B15A63" w:rsidRPr="00703017">
        <w:rPr>
          <w:rFonts w:ascii="Cambria" w:hAnsi="Cambria"/>
          <w:sz w:val="20"/>
          <w:szCs w:val="20"/>
        </w:rPr>
        <w:t xml:space="preserve">minimum wages, and disqualification from public office for </w:t>
      </w:r>
      <w:r w:rsidR="008A2240" w:rsidRPr="00703017">
        <w:rPr>
          <w:rFonts w:ascii="Cambria" w:hAnsi="Cambria"/>
          <w:sz w:val="20"/>
          <w:szCs w:val="20"/>
        </w:rPr>
        <w:t>the length of</w:t>
      </w:r>
      <w:r w:rsidR="00B15A63" w:rsidRPr="00703017">
        <w:rPr>
          <w:rFonts w:ascii="Cambria" w:hAnsi="Cambria"/>
          <w:sz w:val="20"/>
          <w:szCs w:val="20"/>
        </w:rPr>
        <w:t xml:space="preserve"> </w:t>
      </w:r>
      <w:r w:rsidR="002C2709" w:rsidRPr="00703017">
        <w:rPr>
          <w:rFonts w:ascii="Cambria" w:hAnsi="Cambria"/>
          <w:sz w:val="20"/>
          <w:szCs w:val="20"/>
        </w:rPr>
        <w:t>his prison term</w:t>
      </w:r>
      <w:r w:rsidR="00B15A63" w:rsidRPr="00703017">
        <w:rPr>
          <w:rFonts w:ascii="Cambria" w:hAnsi="Cambria"/>
          <w:sz w:val="20"/>
          <w:szCs w:val="20"/>
        </w:rPr>
        <w:t>.</w:t>
      </w:r>
      <w:r w:rsidR="00CB4243" w:rsidRPr="00703017">
        <w:rPr>
          <w:rFonts w:ascii="Cambria" w:hAnsi="Cambria"/>
          <w:sz w:val="20"/>
          <w:szCs w:val="20"/>
        </w:rPr>
        <w:t xml:space="preserve"> </w:t>
      </w:r>
      <w:r w:rsidR="00DA25B1" w:rsidRPr="00703017">
        <w:rPr>
          <w:rFonts w:ascii="Cambria" w:hAnsi="Cambria"/>
          <w:sz w:val="20"/>
          <w:szCs w:val="20"/>
        </w:rPr>
        <w:t xml:space="preserve">In </w:t>
      </w:r>
      <w:r w:rsidR="00110542" w:rsidRPr="00703017">
        <w:rPr>
          <w:rFonts w:ascii="Cambria" w:hAnsi="Cambria"/>
          <w:sz w:val="20"/>
          <w:szCs w:val="20"/>
        </w:rPr>
        <w:t>response</w:t>
      </w:r>
      <w:r w:rsidR="00CB4243" w:rsidRPr="00703017">
        <w:rPr>
          <w:rFonts w:ascii="Cambria" w:hAnsi="Cambria"/>
          <w:sz w:val="20"/>
          <w:szCs w:val="20"/>
        </w:rPr>
        <w:t>,</w:t>
      </w:r>
      <w:r w:rsidR="00A61256">
        <w:rPr>
          <w:rFonts w:ascii="Cambria" w:hAnsi="Cambria"/>
          <w:sz w:val="20"/>
          <w:szCs w:val="20"/>
        </w:rPr>
        <w:t xml:space="preserve"> </w:t>
      </w:r>
      <w:r w:rsidR="009613E3" w:rsidRPr="00703017">
        <w:rPr>
          <w:rFonts w:ascii="Cambria" w:hAnsi="Cambria"/>
          <w:sz w:val="20"/>
          <w:szCs w:val="20"/>
        </w:rPr>
        <w:t>as there was</w:t>
      </w:r>
      <w:r w:rsidR="00CB4243" w:rsidRPr="00703017">
        <w:rPr>
          <w:rFonts w:ascii="Cambria" w:hAnsi="Cambria"/>
          <w:sz w:val="20"/>
          <w:szCs w:val="20"/>
        </w:rPr>
        <w:t xml:space="preserve"> no possibility of appeal, the </w:t>
      </w:r>
      <w:r w:rsidR="0076428E">
        <w:rPr>
          <w:rFonts w:ascii="Cambria" w:hAnsi="Cambria"/>
          <w:sz w:val="20"/>
          <w:szCs w:val="20"/>
        </w:rPr>
        <w:t>p</w:t>
      </w:r>
      <w:r w:rsidR="00C20D40" w:rsidRPr="00703017">
        <w:rPr>
          <w:rFonts w:ascii="Cambria" w:hAnsi="Cambria"/>
          <w:sz w:val="20"/>
          <w:szCs w:val="20"/>
        </w:rPr>
        <w:t>etitioner</w:t>
      </w:r>
      <w:r w:rsidR="00CB4243" w:rsidRPr="00703017">
        <w:rPr>
          <w:rFonts w:ascii="Cambria" w:hAnsi="Cambria"/>
          <w:sz w:val="20"/>
          <w:szCs w:val="20"/>
        </w:rPr>
        <w:t xml:space="preserve"> </w:t>
      </w:r>
      <w:r w:rsidR="006B4589" w:rsidRPr="00703017">
        <w:rPr>
          <w:rFonts w:ascii="Cambria" w:hAnsi="Cambria"/>
          <w:sz w:val="20"/>
          <w:szCs w:val="20"/>
        </w:rPr>
        <w:t>lodg</w:t>
      </w:r>
      <w:r w:rsidR="00FE4635" w:rsidRPr="00703017">
        <w:rPr>
          <w:rFonts w:ascii="Cambria" w:hAnsi="Cambria"/>
          <w:sz w:val="20"/>
          <w:szCs w:val="20"/>
        </w:rPr>
        <w:t>ed a</w:t>
      </w:r>
      <w:r w:rsidR="00554ED1" w:rsidRPr="00703017">
        <w:rPr>
          <w:rFonts w:ascii="Cambria" w:hAnsi="Cambria"/>
          <w:sz w:val="20"/>
          <w:szCs w:val="20"/>
        </w:rPr>
        <w:t xml:space="preserve"> </w:t>
      </w:r>
      <w:r w:rsidR="00FE4635" w:rsidRPr="00703017">
        <w:rPr>
          <w:rFonts w:ascii="Cambria" w:hAnsi="Cambria"/>
          <w:i/>
          <w:sz w:val="20"/>
          <w:szCs w:val="20"/>
        </w:rPr>
        <w:t xml:space="preserve">tutela </w:t>
      </w:r>
      <w:r w:rsidR="00554ED1" w:rsidRPr="00703017">
        <w:rPr>
          <w:rFonts w:ascii="Cambria" w:hAnsi="Cambria"/>
          <w:sz w:val="20"/>
          <w:szCs w:val="20"/>
        </w:rPr>
        <w:t xml:space="preserve">action </w:t>
      </w:r>
      <w:r w:rsidR="00485DA0" w:rsidRPr="00703017">
        <w:rPr>
          <w:rFonts w:ascii="Cambria" w:hAnsi="Cambria"/>
          <w:sz w:val="20"/>
          <w:szCs w:val="20"/>
        </w:rPr>
        <w:t>[</w:t>
      </w:r>
      <w:r w:rsidR="00292D89" w:rsidRPr="00703017">
        <w:rPr>
          <w:rFonts w:ascii="Cambria" w:hAnsi="Cambria"/>
          <w:sz w:val="20"/>
          <w:szCs w:val="20"/>
        </w:rPr>
        <w:t>action for</w:t>
      </w:r>
      <w:r w:rsidR="00554ED1" w:rsidRPr="00703017">
        <w:rPr>
          <w:rFonts w:ascii="Cambria" w:hAnsi="Cambria"/>
          <w:sz w:val="20"/>
          <w:szCs w:val="20"/>
        </w:rPr>
        <w:t xml:space="preserve"> protection of constitutional rights</w:t>
      </w:r>
      <w:r w:rsidR="00485DA0" w:rsidRPr="00703017">
        <w:rPr>
          <w:rFonts w:ascii="Cambria" w:hAnsi="Cambria"/>
          <w:sz w:val="20"/>
          <w:szCs w:val="20"/>
        </w:rPr>
        <w:t>]</w:t>
      </w:r>
      <w:r w:rsidR="00FE4635" w:rsidRPr="00703017">
        <w:rPr>
          <w:rFonts w:ascii="Cambria" w:hAnsi="Cambria"/>
          <w:sz w:val="20"/>
          <w:szCs w:val="20"/>
        </w:rPr>
        <w:t xml:space="preserve"> with the Sectional Council of </w:t>
      </w:r>
      <w:r w:rsidR="00305F22" w:rsidRPr="00703017">
        <w:rPr>
          <w:rFonts w:ascii="Cambria" w:hAnsi="Cambria"/>
          <w:sz w:val="20"/>
          <w:szCs w:val="20"/>
        </w:rPr>
        <w:t>the Judiciary</w:t>
      </w:r>
      <w:r w:rsidR="00404FC5" w:rsidRPr="00703017">
        <w:rPr>
          <w:rFonts w:ascii="Cambria" w:hAnsi="Cambria"/>
          <w:sz w:val="20"/>
          <w:szCs w:val="20"/>
        </w:rPr>
        <w:t xml:space="preserve"> of Cundinamarca</w:t>
      </w:r>
      <w:r w:rsidR="00FE4635" w:rsidRPr="00703017">
        <w:rPr>
          <w:rFonts w:ascii="Cambria" w:hAnsi="Cambria"/>
          <w:sz w:val="20"/>
          <w:szCs w:val="20"/>
        </w:rPr>
        <w:t xml:space="preserve"> (hereinafter </w:t>
      </w:r>
      <w:r w:rsidR="00B66F2F" w:rsidRPr="00703017">
        <w:rPr>
          <w:rFonts w:ascii="Cambria" w:hAnsi="Cambria"/>
          <w:sz w:val="20"/>
          <w:szCs w:val="20"/>
        </w:rPr>
        <w:t xml:space="preserve">“the </w:t>
      </w:r>
      <w:r w:rsidR="00FE4635" w:rsidRPr="00703017">
        <w:rPr>
          <w:rFonts w:ascii="Cambria" w:hAnsi="Cambria"/>
          <w:sz w:val="20"/>
          <w:szCs w:val="20"/>
        </w:rPr>
        <w:t>Sectional Council”)</w:t>
      </w:r>
      <w:r w:rsidR="00485DA0" w:rsidRPr="00703017">
        <w:rPr>
          <w:rFonts w:ascii="Cambria" w:hAnsi="Cambria"/>
          <w:sz w:val="20"/>
          <w:szCs w:val="20"/>
        </w:rPr>
        <w:t xml:space="preserve">, which was </w:t>
      </w:r>
      <w:r w:rsidR="009613E3" w:rsidRPr="00703017">
        <w:rPr>
          <w:rFonts w:ascii="Cambria" w:hAnsi="Cambria"/>
          <w:sz w:val="20"/>
          <w:szCs w:val="20"/>
        </w:rPr>
        <w:t>deni</w:t>
      </w:r>
      <w:r w:rsidR="00485DA0" w:rsidRPr="00703017">
        <w:rPr>
          <w:rFonts w:ascii="Cambria" w:hAnsi="Cambria"/>
          <w:sz w:val="20"/>
          <w:szCs w:val="20"/>
        </w:rPr>
        <w:t xml:space="preserve">ed </w:t>
      </w:r>
      <w:r w:rsidR="000925E0" w:rsidRPr="00703017">
        <w:rPr>
          <w:rFonts w:ascii="Cambria" w:hAnsi="Cambria"/>
          <w:sz w:val="20"/>
          <w:szCs w:val="20"/>
        </w:rPr>
        <w:t xml:space="preserve">in a judgment issued </w:t>
      </w:r>
      <w:r w:rsidR="00485DA0" w:rsidRPr="00703017">
        <w:rPr>
          <w:rFonts w:ascii="Cambria" w:hAnsi="Cambria"/>
          <w:sz w:val="20"/>
          <w:szCs w:val="20"/>
        </w:rPr>
        <w:t xml:space="preserve">on December 1, 2000. The alleged victim </w:t>
      </w:r>
      <w:r w:rsidR="000925E0" w:rsidRPr="00703017">
        <w:rPr>
          <w:rFonts w:ascii="Cambria" w:hAnsi="Cambria"/>
          <w:sz w:val="20"/>
          <w:szCs w:val="20"/>
        </w:rPr>
        <w:t>lodged an appeal with</w:t>
      </w:r>
      <w:r w:rsidR="00485DA0" w:rsidRPr="00703017">
        <w:rPr>
          <w:rFonts w:ascii="Cambria" w:hAnsi="Cambria"/>
          <w:sz w:val="20"/>
          <w:szCs w:val="20"/>
        </w:rPr>
        <w:t xml:space="preserve"> the Superior Council</w:t>
      </w:r>
      <w:r w:rsidR="00942322" w:rsidRPr="00703017">
        <w:rPr>
          <w:rFonts w:ascii="Cambria" w:hAnsi="Cambria"/>
          <w:sz w:val="20"/>
          <w:szCs w:val="20"/>
        </w:rPr>
        <w:t xml:space="preserve"> of the Judiciary</w:t>
      </w:r>
      <w:r w:rsidR="00485DA0" w:rsidRPr="00703017">
        <w:rPr>
          <w:rFonts w:ascii="Cambria" w:hAnsi="Cambria"/>
          <w:sz w:val="20"/>
          <w:szCs w:val="20"/>
        </w:rPr>
        <w:t xml:space="preserve"> (hereinafter </w:t>
      </w:r>
      <w:r w:rsidR="00D56118" w:rsidRPr="00703017">
        <w:rPr>
          <w:rFonts w:ascii="Cambria" w:hAnsi="Cambria"/>
          <w:sz w:val="20"/>
          <w:szCs w:val="20"/>
        </w:rPr>
        <w:t xml:space="preserve">“the </w:t>
      </w:r>
      <w:r w:rsidR="00485DA0" w:rsidRPr="00703017">
        <w:rPr>
          <w:rFonts w:ascii="Cambria" w:hAnsi="Cambria"/>
          <w:sz w:val="20"/>
          <w:szCs w:val="20"/>
        </w:rPr>
        <w:t xml:space="preserve">Superior Council”), which on February 1, </w:t>
      </w:r>
      <w:r w:rsidR="006B4589" w:rsidRPr="00703017">
        <w:rPr>
          <w:rFonts w:ascii="Cambria" w:hAnsi="Cambria"/>
          <w:sz w:val="20"/>
          <w:szCs w:val="20"/>
        </w:rPr>
        <w:t>2001, upheld</w:t>
      </w:r>
      <w:r w:rsidR="00485DA0" w:rsidRPr="00703017">
        <w:rPr>
          <w:rFonts w:ascii="Cambria" w:hAnsi="Cambria"/>
          <w:sz w:val="20"/>
          <w:szCs w:val="20"/>
        </w:rPr>
        <w:t xml:space="preserve"> the contested decision</w:t>
      </w:r>
      <w:r w:rsidR="007C1F46" w:rsidRPr="00703017">
        <w:rPr>
          <w:rFonts w:ascii="Cambria" w:hAnsi="Cambria"/>
          <w:sz w:val="20"/>
          <w:szCs w:val="20"/>
        </w:rPr>
        <w:t>, thereby</w:t>
      </w:r>
      <w:r w:rsidR="00485DA0" w:rsidRPr="00703017">
        <w:rPr>
          <w:rFonts w:ascii="Cambria" w:hAnsi="Cambria"/>
          <w:sz w:val="20"/>
          <w:szCs w:val="20"/>
        </w:rPr>
        <w:t xml:space="preserve"> denying the</w:t>
      </w:r>
      <w:r w:rsidR="00C06A93" w:rsidRPr="00703017">
        <w:rPr>
          <w:rFonts w:ascii="Cambria" w:hAnsi="Cambria"/>
          <w:sz w:val="20"/>
          <w:szCs w:val="20"/>
        </w:rPr>
        <w:t xml:space="preserve"> requested protection</w:t>
      </w:r>
      <w:r w:rsidR="00D56118" w:rsidRPr="00703017">
        <w:rPr>
          <w:rFonts w:ascii="Cambria" w:hAnsi="Cambria"/>
          <w:sz w:val="20"/>
          <w:szCs w:val="20"/>
        </w:rPr>
        <w:t>.</w:t>
      </w:r>
    </w:p>
    <w:p w:rsidR="00C06055" w:rsidRPr="00703017" w:rsidRDefault="00B237A2" w:rsidP="00C060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3017">
        <w:rPr>
          <w:rFonts w:ascii="Cambria" w:hAnsi="Cambria"/>
          <w:sz w:val="20"/>
          <w:szCs w:val="20"/>
        </w:rPr>
        <w:t xml:space="preserve">Subsequently, </w:t>
      </w:r>
      <w:r w:rsidR="00F10318" w:rsidRPr="00703017">
        <w:rPr>
          <w:rFonts w:ascii="Cambria" w:hAnsi="Cambria"/>
          <w:sz w:val="20"/>
          <w:szCs w:val="20"/>
        </w:rPr>
        <w:t>in</w:t>
      </w:r>
      <w:r w:rsidRPr="00703017">
        <w:rPr>
          <w:rFonts w:ascii="Cambria" w:hAnsi="Cambria"/>
          <w:sz w:val="20"/>
          <w:szCs w:val="20"/>
        </w:rPr>
        <w:t xml:space="preserve"> a judgment o</w:t>
      </w:r>
      <w:r w:rsidR="005D3E46" w:rsidRPr="00703017">
        <w:rPr>
          <w:rFonts w:ascii="Cambria" w:hAnsi="Cambria"/>
          <w:sz w:val="20"/>
          <w:szCs w:val="20"/>
        </w:rPr>
        <w:t>f</w:t>
      </w:r>
      <w:r w:rsidRPr="00703017">
        <w:rPr>
          <w:rFonts w:ascii="Cambria" w:hAnsi="Cambria"/>
          <w:sz w:val="20"/>
          <w:szCs w:val="20"/>
        </w:rPr>
        <w:t xml:space="preserve"> March 6, 2002, </w:t>
      </w:r>
      <w:r w:rsidR="00F10318" w:rsidRPr="00703017">
        <w:rPr>
          <w:rFonts w:ascii="Cambria" w:hAnsi="Cambria"/>
          <w:sz w:val="20"/>
          <w:szCs w:val="20"/>
        </w:rPr>
        <w:t xml:space="preserve">the Constitutional Court </w:t>
      </w:r>
      <w:r w:rsidRPr="00703017">
        <w:rPr>
          <w:rFonts w:ascii="Cambria" w:hAnsi="Cambria"/>
          <w:sz w:val="20"/>
          <w:szCs w:val="20"/>
        </w:rPr>
        <w:t>uph</w:t>
      </w:r>
      <w:r w:rsidR="00F10318" w:rsidRPr="00703017">
        <w:rPr>
          <w:rFonts w:ascii="Cambria" w:hAnsi="Cambria"/>
          <w:sz w:val="20"/>
          <w:szCs w:val="20"/>
        </w:rPr>
        <w:t>eld</w:t>
      </w:r>
      <w:r w:rsidRPr="00703017">
        <w:rPr>
          <w:rFonts w:ascii="Cambria" w:hAnsi="Cambria"/>
          <w:sz w:val="20"/>
          <w:szCs w:val="20"/>
        </w:rPr>
        <w:t xml:space="preserve"> </w:t>
      </w:r>
      <w:r w:rsidR="00554ED1" w:rsidRPr="00703017">
        <w:rPr>
          <w:rFonts w:ascii="Cambria" w:hAnsi="Cambria"/>
          <w:sz w:val="20"/>
          <w:szCs w:val="20"/>
        </w:rPr>
        <w:t xml:space="preserve">the </w:t>
      </w:r>
      <w:r w:rsidR="00F27E59" w:rsidRPr="00703017">
        <w:rPr>
          <w:rFonts w:ascii="Cambria" w:hAnsi="Cambria"/>
          <w:sz w:val="20"/>
          <w:szCs w:val="20"/>
        </w:rPr>
        <w:t>decision</w:t>
      </w:r>
      <w:r w:rsidR="00554ED1" w:rsidRPr="00703017">
        <w:rPr>
          <w:rFonts w:ascii="Cambria" w:hAnsi="Cambria"/>
          <w:sz w:val="20"/>
          <w:szCs w:val="20"/>
        </w:rPr>
        <w:t xml:space="preserve"> of the Superior Court of the Judiciary</w:t>
      </w:r>
      <w:r w:rsidR="00F10318" w:rsidRPr="00703017">
        <w:rPr>
          <w:rFonts w:ascii="Cambria" w:hAnsi="Cambria"/>
          <w:sz w:val="20"/>
          <w:szCs w:val="20"/>
        </w:rPr>
        <w:t>, arguing</w:t>
      </w:r>
      <w:r w:rsidR="00554ED1" w:rsidRPr="00703017">
        <w:rPr>
          <w:rFonts w:ascii="Cambria" w:hAnsi="Cambria"/>
          <w:sz w:val="20"/>
          <w:szCs w:val="20"/>
        </w:rPr>
        <w:t xml:space="preserve"> that </w:t>
      </w:r>
      <w:r w:rsidR="008106A1" w:rsidRPr="00703017">
        <w:rPr>
          <w:rFonts w:ascii="Cambria" w:hAnsi="Cambria"/>
          <w:sz w:val="20"/>
          <w:szCs w:val="20"/>
        </w:rPr>
        <w:t xml:space="preserve">the recording of the telephone conversation had been </w:t>
      </w:r>
      <w:r w:rsidR="00CD5B03" w:rsidRPr="00703017">
        <w:rPr>
          <w:rFonts w:ascii="Cambria" w:hAnsi="Cambria"/>
          <w:sz w:val="20"/>
          <w:szCs w:val="20"/>
        </w:rPr>
        <w:t>barred</w:t>
      </w:r>
      <w:r w:rsidR="008106A1" w:rsidRPr="00703017">
        <w:rPr>
          <w:rFonts w:ascii="Cambria" w:hAnsi="Cambria"/>
          <w:sz w:val="20"/>
          <w:szCs w:val="20"/>
        </w:rPr>
        <w:t xml:space="preserve"> from evidence by </w:t>
      </w:r>
      <w:r w:rsidR="00554ED1" w:rsidRPr="00703017">
        <w:rPr>
          <w:rFonts w:ascii="Cambria" w:hAnsi="Cambria"/>
          <w:sz w:val="20"/>
          <w:szCs w:val="20"/>
        </w:rPr>
        <w:t xml:space="preserve">both </w:t>
      </w:r>
      <w:r w:rsidR="00F90717">
        <w:rPr>
          <w:rFonts w:ascii="Cambria" w:hAnsi="Cambria"/>
          <w:sz w:val="20"/>
          <w:szCs w:val="20"/>
        </w:rPr>
        <w:t xml:space="preserve">authorities, </w:t>
      </w:r>
      <w:r w:rsidR="00554ED1" w:rsidRPr="00703017">
        <w:rPr>
          <w:rFonts w:ascii="Cambria" w:hAnsi="Cambria"/>
          <w:sz w:val="20"/>
          <w:szCs w:val="20"/>
        </w:rPr>
        <w:t xml:space="preserve">the Office of the Attorney General and the Supreme Court of Justice and that </w:t>
      </w:r>
      <w:r w:rsidR="008106A1" w:rsidRPr="00703017">
        <w:rPr>
          <w:rFonts w:ascii="Cambria" w:hAnsi="Cambria"/>
          <w:sz w:val="20"/>
          <w:szCs w:val="20"/>
        </w:rPr>
        <w:t xml:space="preserve">the evidence on which </w:t>
      </w:r>
      <w:r w:rsidR="00554ED1" w:rsidRPr="00703017">
        <w:rPr>
          <w:rFonts w:ascii="Cambria" w:hAnsi="Cambria"/>
          <w:sz w:val="20"/>
          <w:szCs w:val="20"/>
        </w:rPr>
        <w:t xml:space="preserve">the charge and conviction were based </w:t>
      </w:r>
      <w:r w:rsidR="008106A1" w:rsidRPr="00703017">
        <w:rPr>
          <w:rFonts w:ascii="Cambria" w:hAnsi="Cambria"/>
          <w:sz w:val="20"/>
          <w:szCs w:val="20"/>
        </w:rPr>
        <w:t>came not from</w:t>
      </w:r>
      <w:r w:rsidR="00554ED1" w:rsidRPr="00703017">
        <w:rPr>
          <w:rFonts w:ascii="Cambria" w:hAnsi="Cambria"/>
          <w:sz w:val="20"/>
          <w:szCs w:val="20"/>
        </w:rPr>
        <w:t xml:space="preserve"> that recording but from separate, independent sources.</w:t>
      </w:r>
    </w:p>
    <w:p w:rsidR="00C06055" w:rsidRPr="00703017" w:rsidRDefault="008106A1" w:rsidP="00C060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3017">
        <w:rPr>
          <w:rFonts w:ascii="Cambria" w:hAnsi="Cambria"/>
          <w:sz w:val="20"/>
          <w:szCs w:val="20"/>
        </w:rPr>
        <w:t xml:space="preserve">In addition, in the context of disciplinary proceedings also initiated as a result of the illegal recordings, the alleged victim indicates that the Administrative Tribunal </w:t>
      </w:r>
      <w:r w:rsidR="00554F55" w:rsidRPr="00703017">
        <w:rPr>
          <w:rFonts w:ascii="Cambria" w:hAnsi="Cambria"/>
          <w:sz w:val="20"/>
          <w:szCs w:val="20"/>
        </w:rPr>
        <w:t xml:space="preserve">of Cundinamarca </w:t>
      </w:r>
      <w:r w:rsidRPr="00703017">
        <w:rPr>
          <w:rFonts w:ascii="Cambria" w:hAnsi="Cambria"/>
          <w:sz w:val="20"/>
          <w:szCs w:val="20"/>
        </w:rPr>
        <w:t xml:space="preserve">reversed </w:t>
      </w:r>
      <w:r w:rsidR="00554F55" w:rsidRPr="00703017">
        <w:rPr>
          <w:rFonts w:ascii="Cambria" w:hAnsi="Cambria"/>
          <w:sz w:val="20"/>
          <w:szCs w:val="20"/>
        </w:rPr>
        <w:t>two rulings</w:t>
      </w:r>
      <w:r w:rsidR="00547A9D" w:rsidRPr="00703017">
        <w:rPr>
          <w:rFonts w:ascii="Cambria" w:hAnsi="Cambria"/>
          <w:sz w:val="20"/>
          <w:szCs w:val="20"/>
        </w:rPr>
        <w:t xml:space="preserve"> against him </w:t>
      </w:r>
      <w:r w:rsidR="00487192" w:rsidRPr="00703017">
        <w:rPr>
          <w:rFonts w:ascii="Cambria" w:hAnsi="Cambria"/>
          <w:sz w:val="20"/>
          <w:szCs w:val="20"/>
        </w:rPr>
        <w:t xml:space="preserve">that had been </w:t>
      </w:r>
      <w:r w:rsidR="00554F55" w:rsidRPr="00703017">
        <w:rPr>
          <w:rFonts w:ascii="Cambria" w:hAnsi="Cambria"/>
          <w:sz w:val="20"/>
          <w:szCs w:val="20"/>
        </w:rPr>
        <w:t xml:space="preserve">issued </w:t>
      </w:r>
      <w:r w:rsidR="00547A9D" w:rsidRPr="00703017">
        <w:rPr>
          <w:rFonts w:ascii="Cambria" w:hAnsi="Cambria"/>
          <w:sz w:val="20"/>
          <w:szCs w:val="20"/>
        </w:rPr>
        <w:t xml:space="preserve">by the Office of the </w:t>
      </w:r>
      <w:r w:rsidR="00AF3B66" w:rsidRPr="00703017">
        <w:rPr>
          <w:rFonts w:ascii="Cambria" w:hAnsi="Cambria"/>
          <w:sz w:val="20"/>
          <w:szCs w:val="20"/>
        </w:rPr>
        <w:t>Inspector General</w:t>
      </w:r>
      <w:r w:rsidR="00554F55" w:rsidRPr="00703017">
        <w:rPr>
          <w:rFonts w:ascii="Cambria" w:hAnsi="Cambria"/>
          <w:sz w:val="20"/>
          <w:szCs w:val="20"/>
        </w:rPr>
        <w:t xml:space="preserve">. In his opinion, this </w:t>
      </w:r>
      <w:r w:rsidR="00871B21" w:rsidRPr="00703017">
        <w:rPr>
          <w:rFonts w:ascii="Cambria" w:hAnsi="Cambria"/>
          <w:sz w:val="20"/>
          <w:szCs w:val="20"/>
        </w:rPr>
        <w:t>voiding</w:t>
      </w:r>
      <w:r w:rsidR="00554F55" w:rsidRPr="00703017">
        <w:rPr>
          <w:rFonts w:ascii="Cambria" w:hAnsi="Cambria"/>
          <w:sz w:val="20"/>
          <w:szCs w:val="20"/>
        </w:rPr>
        <w:t xml:space="preserve"> of administrative sanctions is further </w:t>
      </w:r>
      <w:r w:rsidR="002B3FF5" w:rsidRPr="00703017">
        <w:rPr>
          <w:rFonts w:ascii="Cambria" w:hAnsi="Cambria"/>
          <w:sz w:val="20"/>
          <w:szCs w:val="20"/>
        </w:rPr>
        <w:t>evidence</w:t>
      </w:r>
      <w:r w:rsidR="00554F55" w:rsidRPr="00703017">
        <w:rPr>
          <w:rFonts w:ascii="Cambria" w:hAnsi="Cambria"/>
          <w:sz w:val="20"/>
          <w:szCs w:val="20"/>
        </w:rPr>
        <w:t xml:space="preserve"> of his innocence and </w:t>
      </w:r>
      <w:r w:rsidR="00064982" w:rsidRPr="00703017">
        <w:rPr>
          <w:rFonts w:ascii="Cambria" w:hAnsi="Cambria"/>
          <w:sz w:val="20"/>
          <w:szCs w:val="20"/>
        </w:rPr>
        <w:t>prov</w:t>
      </w:r>
      <w:r w:rsidR="00554F55" w:rsidRPr="00703017">
        <w:rPr>
          <w:rFonts w:ascii="Cambria" w:hAnsi="Cambria"/>
          <w:sz w:val="20"/>
          <w:szCs w:val="20"/>
        </w:rPr>
        <w:t xml:space="preserve">es that </w:t>
      </w:r>
      <w:r w:rsidR="0006700B" w:rsidRPr="00703017">
        <w:rPr>
          <w:rFonts w:ascii="Cambria" w:hAnsi="Cambria"/>
          <w:sz w:val="20"/>
          <w:szCs w:val="20"/>
        </w:rPr>
        <w:t>the</w:t>
      </w:r>
      <w:r w:rsidR="00871B21" w:rsidRPr="00703017">
        <w:rPr>
          <w:rFonts w:ascii="Cambria" w:hAnsi="Cambria"/>
          <w:sz w:val="20"/>
          <w:szCs w:val="20"/>
        </w:rPr>
        <w:t xml:space="preserve"> criminal conviction</w:t>
      </w:r>
      <w:r w:rsidR="0006700B" w:rsidRPr="00703017">
        <w:rPr>
          <w:rFonts w:ascii="Cambria" w:hAnsi="Cambria"/>
          <w:sz w:val="20"/>
          <w:szCs w:val="20"/>
        </w:rPr>
        <w:t xml:space="preserve"> against him is unjust</w:t>
      </w:r>
      <w:r w:rsidR="00554F55" w:rsidRPr="00703017">
        <w:rPr>
          <w:rFonts w:ascii="Cambria" w:hAnsi="Cambria"/>
          <w:sz w:val="20"/>
          <w:szCs w:val="20"/>
        </w:rPr>
        <w:t>.</w:t>
      </w:r>
    </w:p>
    <w:p w:rsidR="00C06055" w:rsidRPr="00703017" w:rsidRDefault="004E2F64" w:rsidP="00C060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3017">
        <w:rPr>
          <w:rFonts w:ascii="Cambria" w:hAnsi="Cambria"/>
          <w:sz w:val="20"/>
          <w:szCs w:val="20"/>
        </w:rPr>
        <w:t xml:space="preserve">Furthermore, the alleged victim </w:t>
      </w:r>
      <w:r w:rsidR="00064982" w:rsidRPr="00703017">
        <w:rPr>
          <w:rFonts w:ascii="Cambria" w:hAnsi="Cambria"/>
          <w:sz w:val="20"/>
          <w:szCs w:val="20"/>
        </w:rPr>
        <w:t>sta</w:t>
      </w:r>
      <w:r w:rsidRPr="00703017">
        <w:rPr>
          <w:rFonts w:ascii="Cambria" w:hAnsi="Cambria"/>
          <w:sz w:val="20"/>
          <w:szCs w:val="20"/>
        </w:rPr>
        <w:t xml:space="preserve">tes that he </w:t>
      </w:r>
      <w:r w:rsidR="005D3E46" w:rsidRPr="00703017">
        <w:rPr>
          <w:rFonts w:ascii="Cambria" w:hAnsi="Cambria"/>
          <w:sz w:val="20"/>
          <w:szCs w:val="20"/>
        </w:rPr>
        <w:t xml:space="preserve">lodged </w:t>
      </w:r>
      <w:r w:rsidRPr="00703017">
        <w:rPr>
          <w:rFonts w:ascii="Cambria" w:hAnsi="Cambria"/>
          <w:sz w:val="20"/>
          <w:szCs w:val="20"/>
        </w:rPr>
        <w:t>three actions for rev</w:t>
      </w:r>
      <w:r w:rsidR="0006700B" w:rsidRPr="00703017">
        <w:rPr>
          <w:rFonts w:ascii="Cambria" w:hAnsi="Cambria"/>
          <w:sz w:val="20"/>
          <w:szCs w:val="20"/>
        </w:rPr>
        <w:t>iew</w:t>
      </w:r>
      <w:r w:rsidR="005D3E46" w:rsidRPr="00703017">
        <w:rPr>
          <w:rFonts w:ascii="Cambria" w:hAnsi="Cambria"/>
          <w:sz w:val="20"/>
          <w:szCs w:val="20"/>
        </w:rPr>
        <w:t xml:space="preserve"> that were rejected</w:t>
      </w:r>
      <w:r w:rsidR="00F247D0" w:rsidRPr="00703017">
        <w:rPr>
          <w:rFonts w:ascii="Cambria" w:hAnsi="Cambria"/>
          <w:sz w:val="20"/>
          <w:szCs w:val="20"/>
        </w:rPr>
        <w:t>,</w:t>
      </w:r>
      <w:r w:rsidR="00023EE3" w:rsidRPr="00703017">
        <w:rPr>
          <w:rFonts w:ascii="Cambria" w:hAnsi="Cambria"/>
          <w:sz w:val="20"/>
          <w:szCs w:val="20"/>
        </w:rPr>
        <w:t xml:space="preserve"> as </w:t>
      </w:r>
      <w:r w:rsidR="00F247D0" w:rsidRPr="00703017">
        <w:rPr>
          <w:rFonts w:ascii="Cambria" w:hAnsi="Cambria"/>
          <w:sz w:val="20"/>
          <w:szCs w:val="20"/>
        </w:rPr>
        <w:t>described below.</w:t>
      </w:r>
    </w:p>
    <w:p w:rsidR="00C06055" w:rsidRPr="00703017" w:rsidRDefault="00023EE3" w:rsidP="00C06055">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cs="Times New Roman"/>
          <w:sz w:val="20"/>
          <w:szCs w:val="20"/>
          <w:u w:val="single"/>
        </w:rPr>
      </w:pPr>
      <w:r w:rsidRPr="00703017">
        <w:rPr>
          <w:rFonts w:cs="Times New Roman"/>
          <w:sz w:val="20"/>
          <w:szCs w:val="20"/>
          <w:u w:val="single"/>
        </w:rPr>
        <w:t>First action for review</w:t>
      </w:r>
    </w:p>
    <w:p w:rsidR="002B3FF5" w:rsidRPr="00703017" w:rsidRDefault="002B3FF5" w:rsidP="00C0605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cs="Times New Roman"/>
          <w:sz w:val="20"/>
          <w:szCs w:val="20"/>
        </w:rPr>
      </w:pPr>
      <w:r w:rsidRPr="00703017">
        <w:rPr>
          <w:rFonts w:cs="Times New Roman"/>
          <w:sz w:val="20"/>
          <w:szCs w:val="20"/>
        </w:rPr>
        <w:t xml:space="preserve">In the context of a </w:t>
      </w:r>
      <w:r w:rsidRPr="00703017">
        <w:rPr>
          <w:rFonts w:cs="Times New Roman"/>
          <w:i/>
          <w:sz w:val="20"/>
          <w:szCs w:val="20"/>
        </w:rPr>
        <w:t xml:space="preserve">tutela </w:t>
      </w:r>
      <w:r w:rsidRPr="00703017">
        <w:rPr>
          <w:rFonts w:cs="Times New Roman"/>
          <w:sz w:val="20"/>
          <w:szCs w:val="20"/>
        </w:rPr>
        <w:t>action,</w:t>
      </w:r>
      <w:r w:rsidR="002338CC" w:rsidRPr="00703017">
        <w:rPr>
          <w:rFonts w:cs="Times New Roman"/>
          <w:sz w:val="20"/>
          <w:szCs w:val="20"/>
        </w:rPr>
        <w:t xml:space="preserve"> the investigation proceedings against Rodrigo Villamizar were </w:t>
      </w:r>
      <w:r w:rsidR="00DB4E6C" w:rsidRPr="00703017">
        <w:rPr>
          <w:rFonts w:cs="Times New Roman"/>
          <w:sz w:val="20"/>
          <w:szCs w:val="20"/>
        </w:rPr>
        <w:t>void</w:t>
      </w:r>
      <w:r w:rsidR="002338CC" w:rsidRPr="00703017">
        <w:rPr>
          <w:rFonts w:cs="Times New Roman"/>
          <w:sz w:val="20"/>
          <w:szCs w:val="20"/>
        </w:rPr>
        <w:t>ed by Constitutional Court</w:t>
      </w:r>
      <w:r w:rsidRPr="00703017">
        <w:rPr>
          <w:rFonts w:cs="Times New Roman"/>
          <w:sz w:val="20"/>
          <w:szCs w:val="20"/>
        </w:rPr>
        <w:t xml:space="preserve"> </w:t>
      </w:r>
      <w:r w:rsidR="00641AE6" w:rsidRPr="00703017">
        <w:rPr>
          <w:rFonts w:cs="Times New Roman"/>
          <w:sz w:val="20"/>
          <w:szCs w:val="20"/>
        </w:rPr>
        <w:t>judgment</w:t>
      </w:r>
      <w:r w:rsidRPr="00703017">
        <w:rPr>
          <w:rFonts w:cs="Times New Roman"/>
          <w:sz w:val="20"/>
          <w:szCs w:val="20"/>
        </w:rPr>
        <w:t xml:space="preserve"> T-058/2006. According to the </w:t>
      </w:r>
      <w:r w:rsidR="001566A6">
        <w:rPr>
          <w:rFonts w:cs="Times New Roman"/>
          <w:sz w:val="20"/>
          <w:szCs w:val="20"/>
        </w:rPr>
        <w:t>p</w:t>
      </w:r>
      <w:r w:rsidR="00C20D40" w:rsidRPr="00703017">
        <w:rPr>
          <w:rFonts w:cs="Times New Roman"/>
          <w:sz w:val="20"/>
          <w:szCs w:val="20"/>
        </w:rPr>
        <w:t>etitioner</w:t>
      </w:r>
      <w:r w:rsidRPr="00703017">
        <w:rPr>
          <w:rFonts w:cs="Times New Roman"/>
          <w:sz w:val="20"/>
          <w:szCs w:val="20"/>
        </w:rPr>
        <w:t xml:space="preserve">, this </w:t>
      </w:r>
      <w:r w:rsidR="00793431" w:rsidRPr="00703017">
        <w:rPr>
          <w:rFonts w:cs="Times New Roman"/>
          <w:sz w:val="20"/>
          <w:szCs w:val="20"/>
        </w:rPr>
        <w:t xml:space="preserve">circumstance </w:t>
      </w:r>
      <w:r w:rsidRPr="00703017">
        <w:rPr>
          <w:rFonts w:cs="Times New Roman"/>
          <w:sz w:val="20"/>
          <w:szCs w:val="20"/>
        </w:rPr>
        <w:t>constitute</w:t>
      </w:r>
      <w:r w:rsidR="005032AF" w:rsidRPr="00703017">
        <w:rPr>
          <w:rFonts w:cs="Times New Roman"/>
          <w:sz w:val="20"/>
          <w:szCs w:val="20"/>
        </w:rPr>
        <w:t>d</w:t>
      </w:r>
      <w:r w:rsidRPr="00703017">
        <w:rPr>
          <w:rFonts w:cs="Times New Roman"/>
          <w:sz w:val="20"/>
          <w:szCs w:val="20"/>
        </w:rPr>
        <w:t xml:space="preserve"> </w:t>
      </w:r>
      <w:r w:rsidR="00A61256">
        <w:rPr>
          <w:rFonts w:cs="Times New Roman"/>
          <w:sz w:val="20"/>
          <w:szCs w:val="20"/>
        </w:rPr>
        <w:t xml:space="preserve">new </w:t>
      </w:r>
      <w:r w:rsidRPr="00703017">
        <w:rPr>
          <w:rFonts w:cs="Times New Roman"/>
          <w:sz w:val="20"/>
          <w:szCs w:val="20"/>
        </w:rPr>
        <w:t xml:space="preserve">evidence of his innocence. Accordingly, he lodged an action for review of his conviction with the Criminal Division. However, </w:t>
      </w:r>
      <w:r w:rsidR="005032AF" w:rsidRPr="00703017">
        <w:rPr>
          <w:rFonts w:cs="Times New Roman"/>
          <w:sz w:val="20"/>
          <w:szCs w:val="20"/>
        </w:rPr>
        <w:t xml:space="preserve">it was </w:t>
      </w:r>
      <w:r w:rsidR="003A3A95" w:rsidRPr="00703017">
        <w:rPr>
          <w:rFonts w:cs="Times New Roman"/>
          <w:sz w:val="20"/>
          <w:szCs w:val="20"/>
        </w:rPr>
        <w:t>reject</w:t>
      </w:r>
      <w:r w:rsidR="005032AF" w:rsidRPr="00703017">
        <w:rPr>
          <w:rFonts w:cs="Times New Roman"/>
          <w:sz w:val="20"/>
          <w:szCs w:val="20"/>
        </w:rPr>
        <w:t xml:space="preserve">ed in a decision of December 5, 2007, which indicated that </w:t>
      </w:r>
      <w:r w:rsidR="009B1458" w:rsidRPr="00703017">
        <w:rPr>
          <w:rFonts w:cs="Times New Roman"/>
          <w:sz w:val="20"/>
          <w:szCs w:val="20"/>
        </w:rPr>
        <w:t>the a</w:t>
      </w:r>
      <w:r w:rsidR="00135F6A" w:rsidRPr="00703017">
        <w:rPr>
          <w:rFonts w:cs="Times New Roman"/>
          <w:sz w:val="20"/>
          <w:szCs w:val="20"/>
        </w:rPr>
        <w:t>foresaid</w:t>
      </w:r>
      <w:r w:rsidR="005032AF" w:rsidRPr="00703017">
        <w:rPr>
          <w:rFonts w:cs="Times New Roman"/>
          <w:sz w:val="20"/>
          <w:szCs w:val="20"/>
        </w:rPr>
        <w:t xml:space="preserve"> ruling in the </w:t>
      </w:r>
      <w:r w:rsidR="005032AF" w:rsidRPr="00703017">
        <w:rPr>
          <w:rFonts w:cs="Times New Roman"/>
          <w:i/>
          <w:sz w:val="20"/>
          <w:szCs w:val="20"/>
        </w:rPr>
        <w:t xml:space="preserve">tutela </w:t>
      </w:r>
      <w:r w:rsidR="005032AF" w:rsidRPr="00703017">
        <w:rPr>
          <w:rFonts w:cs="Times New Roman"/>
          <w:sz w:val="20"/>
          <w:szCs w:val="20"/>
        </w:rPr>
        <w:t xml:space="preserve">action did not terminate the criminal investigation or </w:t>
      </w:r>
      <w:r w:rsidR="00AC46B3" w:rsidRPr="00703017">
        <w:rPr>
          <w:rFonts w:cs="Times New Roman"/>
          <w:sz w:val="20"/>
          <w:szCs w:val="20"/>
        </w:rPr>
        <w:t>absolve</w:t>
      </w:r>
      <w:r w:rsidR="005032AF" w:rsidRPr="00703017">
        <w:rPr>
          <w:rFonts w:cs="Times New Roman"/>
          <w:sz w:val="20"/>
          <w:szCs w:val="20"/>
        </w:rPr>
        <w:t xml:space="preserve"> Rodrigo Vill</w:t>
      </w:r>
      <w:r w:rsidR="00D42E97" w:rsidRPr="00703017">
        <w:rPr>
          <w:rFonts w:cs="Times New Roman"/>
          <w:sz w:val="20"/>
          <w:szCs w:val="20"/>
        </w:rPr>
        <w:t>a</w:t>
      </w:r>
      <w:r w:rsidR="005032AF" w:rsidRPr="00703017">
        <w:rPr>
          <w:rFonts w:cs="Times New Roman"/>
          <w:sz w:val="20"/>
          <w:szCs w:val="20"/>
        </w:rPr>
        <w:t xml:space="preserve">mizar of criminal </w:t>
      </w:r>
      <w:r w:rsidR="00AC46B3" w:rsidRPr="00703017">
        <w:rPr>
          <w:rFonts w:cs="Times New Roman"/>
          <w:sz w:val="20"/>
          <w:szCs w:val="20"/>
        </w:rPr>
        <w:t>responsibility</w:t>
      </w:r>
      <w:r w:rsidR="000F1140" w:rsidRPr="00703017">
        <w:rPr>
          <w:rFonts w:cs="Times New Roman"/>
          <w:sz w:val="20"/>
          <w:szCs w:val="20"/>
        </w:rPr>
        <w:t xml:space="preserve"> but</w:t>
      </w:r>
      <w:r w:rsidR="005032AF" w:rsidRPr="00703017">
        <w:rPr>
          <w:rFonts w:cs="Times New Roman"/>
          <w:sz w:val="20"/>
          <w:szCs w:val="20"/>
        </w:rPr>
        <w:t xml:space="preserve"> merely invalidated the </w:t>
      </w:r>
      <w:r w:rsidR="000F1140" w:rsidRPr="00703017">
        <w:rPr>
          <w:rFonts w:cs="Times New Roman"/>
          <w:sz w:val="20"/>
          <w:szCs w:val="20"/>
        </w:rPr>
        <w:t>proceedings</w:t>
      </w:r>
      <w:r w:rsidR="005032AF" w:rsidRPr="00703017">
        <w:rPr>
          <w:rFonts w:cs="Times New Roman"/>
          <w:sz w:val="20"/>
          <w:szCs w:val="20"/>
        </w:rPr>
        <w:t xml:space="preserve"> so that </w:t>
      </w:r>
      <w:r w:rsidR="000F1140" w:rsidRPr="00703017">
        <w:rPr>
          <w:rFonts w:cs="Times New Roman"/>
          <w:sz w:val="20"/>
          <w:szCs w:val="20"/>
        </w:rPr>
        <w:t xml:space="preserve">they </w:t>
      </w:r>
      <w:r w:rsidR="005032AF" w:rsidRPr="00703017">
        <w:rPr>
          <w:rFonts w:cs="Times New Roman"/>
          <w:sz w:val="20"/>
          <w:szCs w:val="20"/>
        </w:rPr>
        <w:t>could be reinitiated in accordance with internal procedures.</w:t>
      </w:r>
    </w:p>
    <w:p w:rsidR="00C06055" w:rsidRPr="00703017" w:rsidRDefault="00CF048D" w:rsidP="00CF048D">
      <w:pPr>
        <w:pStyle w:val="ListParagraph"/>
        <w:keepN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cs="Times New Roman"/>
          <w:sz w:val="20"/>
          <w:szCs w:val="20"/>
          <w:u w:val="single"/>
        </w:rPr>
      </w:pPr>
      <w:r w:rsidRPr="00703017">
        <w:rPr>
          <w:rFonts w:cs="Times New Roman"/>
          <w:sz w:val="20"/>
          <w:szCs w:val="20"/>
          <w:u w:val="single"/>
        </w:rPr>
        <w:lastRenderedPageBreak/>
        <w:t>Second action for review</w:t>
      </w:r>
    </w:p>
    <w:p w:rsidR="00FA3A1A" w:rsidRPr="00703017" w:rsidRDefault="004E51D1" w:rsidP="00C0605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cs="Times New Roman"/>
          <w:sz w:val="20"/>
          <w:szCs w:val="20"/>
        </w:rPr>
      </w:pPr>
      <w:r w:rsidRPr="00703017">
        <w:rPr>
          <w:rFonts w:cs="Times New Roman"/>
          <w:sz w:val="20"/>
          <w:szCs w:val="20"/>
        </w:rPr>
        <w:t xml:space="preserve">The </w:t>
      </w:r>
      <w:r w:rsidR="0076428E">
        <w:rPr>
          <w:rFonts w:cs="Times New Roman"/>
          <w:sz w:val="20"/>
          <w:szCs w:val="20"/>
        </w:rPr>
        <w:t>p</w:t>
      </w:r>
      <w:r w:rsidR="00C20D40" w:rsidRPr="00703017">
        <w:rPr>
          <w:rFonts w:cs="Times New Roman"/>
          <w:sz w:val="20"/>
          <w:szCs w:val="20"/>
        </w:rPr>
        <w:t>etitioner</w:t>
      </w:r>
      <w:r w:rsidRPr="00703017">
        <w:rPr>
          <w:rFonts w:cs="Times New Roman"/>
          <w:sz w:val="20"/>
          <w:szCs w:val="20"/>
        </w:rPr>
        <w:t xml:space="preserve"> reports that, in compliance with the constitutional ruling in (a) above, the Office of the Inspector General conducted </w:t>
      </w:r>
      <w:r w:rsidR="000B7AF9" w:rsidRPr="00703017">
        <w:rPr>
          <w:rFonts w:cs="Times New Roman"/>
          <w:sz w:val="20"/>
          <w:szCs w:val="20"/>
        </w:rPr>
        <w:t xml:space="preserve">a </w:t>
      </w:r>
      <w:r w:rsidRPr="00703017">
        <w:rPr>
          <w:rFonts w:cs="Times New Roman"/>
          <w:sz w:val="20"/>
          <w:szCs w:val="20"/>
        </w:rPr>
        <w:t xml:space="preserve">new </w:t>
      </w:r>
      <w:r w:rsidR="005349D4" w:rsidRPr="00703017">
        <w:rPr>
          <w:rFonts w:cs="Times New Roman"/>
          <w:sz w:val="20"/>
          <w:szCs w:val="20"/>
        </w:rPr>
        <w:t>investigation</w:t>
      </w:r>
      <w:r w:rsidRPr="00703017">
        <w:rPr>
          <w:rFonts w:cs="Times New Roman"/>
          <w:sz w:val="20"/>
          <w:szCs w:val="20"/>
        </w:rPr>
        <w:t xml:space="preserve"> and </w:t>
      </w:r>
      <w:r w:rsidR="000B7AF9" w:rsidRPr="00703017">
        <w:rPr>
          <w:rFonts w:cs="Times New Roman"/>
          <w:sz w:val="20"/>
          <w:szCs w:val="20"/>
        </w:rPr>
        <w:t>determined in</w:t>
      </w:r>
      <w:r w:rsidRPr="00703017">
        <w:rPr>
          <w:rFonts w:cs="Times New Roman"/>
          <w:sz w:val="20"/>
          <w:szCs w:val="20"/>
        </w:rPr>
        <w:t xml:space="preserve"> its decision of August 21, 2009, that Rodrigo Villamizar had not acted </w:t>
      </w:r>
      <w:r w:rsidR="007C6531" w:rsidRPr="00703017">
        <w:rPr>
          <w:rFonts w:cs="Times New Roman"/>
          <w:sz w:val="20"/>
          <w:szCs w:val="20"/>
        </w:rPr>
        <w:t>in a public capacity</w:t>
      </w:r>
      <w:r w:rsidRPr="00703017">
        <w:rPr>
          <w:rFonts w:cs="Times New Roman"/>
          <w:sz w:val="20"/>
          <w:szCs w:val="20"/>
        </w:rPr>
        <w:t xml:space="preserve">. Considering this outcome to constitute </w:t>
      </w:r>
      <w:r w:rsidR="00734833">
        <w:rPr>
          <w:rFonts w:cs="Times New Roman"/>
          <w:sz w:val="20"/>
          <w:szCs w:val="20"/>
        </w:rPr>
        <w:t>new</w:t>
      </w:r>
      <w:r w:rsidRPr="00703017">
        <w:rPr>
          <w:rFonts w:cs="Times New Roman"/>
          <w:sz w:val="20"/>
          <w:szCs w:val="20"/>
        </w:rPr>
        <w:t xml:space="preserve"> evidence, the alleged victim </w:t>
      </w:r>
      <w:r w:rsidR="00432E4F" w:rsidRPr="00703017">
        <w:rPr>
          <w:rFonts w:cs="Times New Roman"/>
          <w:sz w:val="20"/>
          <w:szCs w:val="20"/>
        </w:rPr>
        <w:t>lodged</w:t>
      </w:r>
      <w:r w:rsidRPr="00703017">
        <w:rPr>
          <w:rFonts w:cs="Times New Roman"/>
          <w:sz w:val="20"/>
          <w:szCs w:val="20"/>
        </w:rPr>
        <w:t xml:space="preserve"> a second action for review with the Criminal Division. However, the request was </w:t>
      </w:r>
      <w:r w:rsidR="00642741" w:rsidRPr="00703017">
        <w:rPr>
          <w:rFonts w:cs="Times New Roman"/>
          <w:sz w:val="20"/>
          <w:szCs w:val="20"/>
        </w:rPr>
        <w:t>declared inadmissible</w:t>
      </w:r>
      <w:r w:rsidR="00734833">
        <w:rPr>
          <w:rFonts w:cs="Times New Roman"/>
          <w:sz w:val="20"/>
          <w:szCs w:val="20"/>
        </w:rPr>
        <w:t xml:space="preserve"> on</w:t>
      </w:r>
      <w:r w:rsidR="00F52DBA" w:rsidRPr="00703017">
        <w:rPr>
          <w:rFonts w:cs="Times New Roman"/>
          <w:sz w:val="20"/>
          <w:szCs w:val="20"/>
        </w:rPr>
        <w:t xml:space="preserve"> technical </w:t>
      </w:r>
      <w:r w:rsidR="00734833">
        <w:rPr>
          <w:rFonts w:cs="Times New Roman"/>
          <w:sz w:val="20"/>
          <w:szCs w:val="20"/>
        </w:rPr>
        <w:t>grounds</w:t>
      </w:r>
      <w:r w:rsidR="00F52DBA" w:rsidRPr="00703017">
        <w:rPr>
          <w:rFonts w:cs="Times New Roman"/>
          <w:sz w:val="20"/>
          <w:szCs w:val="20"/>
        </w:rPr>
        <w:t xml:space="preserve"> </w:t>
      </w:r>
      <w:r w:rsidR="008D53E6" w:rsidRPr="00703017">
        <w:rPr>
          <w:rFonts w:cs="Times New Roman"/>
          <w:sz w:val="20"/>
          <w:szCs w:val="20"/>
        </w:rPr>
        <w:t>in</w:t>
      </w:r>
      <w:r w:rsidR="00237491" w:rsidRPr="00703017">
        <w:rPr>
          <w:rFonts w:cs="Times New Roman"/>
          <w:sz w:val="20"/>
          <w:szCs w:val="20"/>
        </w:rPr>
        <w:t xml:space="preserve"> orders entered March 9 and May 4, 2011</w:t>
      </w:r>
      <w:r w:rsidR="007C6531" w:rsidRPr="00703017">
        <w:rPr>
          <w:rFonts w:cs="Times New Roman"/>
          <w:sz w:val="20"/>
          <w:szCs w:val="20"/>
        </w:rPr>
        <w:t>.</w:t>
      </w:r>
    </w:p>
    <w:p w:rsidR="002635AE" w:rsidRPr="00703017" w:rsidRDefault="001C3C22" w:rsidP="00C0605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cs="Times New Roman"/>
          <w:sz w:val="20"/>
          <w:szCs w:val="20"/>
        </w:rPr>
      </w:pPr>
      <w:r w:rsidRPr="00703017">
        <w:rPr>
          <w:rFonts w:cs="Times New Roman"/>
          <w:sz w:val="20"/>
          <w:szCs w:val="20"/>
        </w:rPr>
        <w:t>It should be noted</w:t>
      </w:r>
      <w:r w:rsidR="00226B22" w:rsidRPr="00703017">
        <w:rPr>
          <w:rFonts w:cs="Times New Roman"/>
          <w:sz w:val="20"/>
          <w:szCs w:val="20"/>
        </w:rPr>
        <w:t xml:space="preserve"> that</w:t>
      </w:r>
      <w:r w:rsidRPr="00703017">
        <w:rPr>
          <w:rFonts w:cs="Times New Roman"/>
          <w:sz w:val="20"/>
          <w:szCs w:val="20"/>
        </w:rPr>
        <w:t>, following</w:t>
      </w:r>
      <w:r w:rsidR="00252879" w:rsidRPr="00703017">
        <w:rPr>
          <w:rFonts w:cs="Times New Roman"/>
          <w:sz w:val="20"/>
          <w:szCs w:val="20"/>
        </w:rPr>
        <w:t xml:space="preserve"> the a</w:t>
      </w:r>
      <w:r w:rsidR="00C259D2" w:rsidRPr="00703017">
        <w:rPr>
          <w:rFonts w:cs="Times New Roman"/>
          <w:sz w:val="20"/>
          <w:szCs w:val="20"/>
        </w:rPr>
        <w:t>bove</w:t>
      </w:r>
      <w:r w:rsidR="00252879" w:rsidRPr="00703017">
        <w:rPr>
          <w:rFonts w:cs="Times New Roman"/>
          <w:sz w:val="20"/>
          <w:szCs w:val="20"/>
        </w:rPr>
        <w:t xml:space="preserve"> inadmissibility</w:t>
      </w:r>
      <w:r w:rsidR="001523BC" w:rsidRPr="00703017">
        <w:rPr>
          <w:rFonts w:cs="Times New Roman"/>
          <w:sz w:val="20"/>
          <w:szCs w:val="20"/>
        </w:rPr>
        <w:t xml:space="preserve"> order</w:t>
      </w:r>
      <w:r w:rsidR="00F07B4B" w:rsidRPr="00703017">
        <w:rPr>
          <w:rFonts w:cs="Times New Roman"/>
          <w:sz w:val="20"/>
          <w:szCs w:val="20"/>
        </w:rPr>
        <w:t>,</w:t>
      </w:r>
      <w:r w:rsidR="00226B22" w:rsidRPr="00703017">
        <w:rPr>
          <w:rFonts w:cs="Times New Roman"/>
          <w:sz w:val="20"/>
          <w:szCs w:val="20"/>
        </w:rPr>
        <w:t xml:space="preserve"> the </w:t>
      </w:r>
      <w:r w:rsidR="001566A6">
        <w:rPr>
          <w:rFonts w:cs="Times New Roman"/>
          <w:sz w:val="20"/>
          <w:szCs w:val="20"/>
        </w:rPr>
        <w:t>p</w:t>
      </w:r>
      <w:r w:rsidR="00C20D40" w:rsidRPr="00703017">
        <w:rPr>
          <w:rFonts w:cs="Times New Roman"/>
          <w:sz w:val="20"/>
          <w:szCs w:val="20"/>
        </w:rPr>
        <w:t>etitioner</w:t>
      </w:r>
      <w:r w:rsidR="001E1EC7" w:rsidRPr="00703017">
        <w:rPr>
          <w:rFonts w:cs="Times New Roman"/>
          <w:sz w:val="20"/>
          <w:szCs w:val="20"/>
        </w:rPr>
        <w:t xml:space="preserve">, who considered the Criminal Division to have </w:t>
      </w:r>
      <w:r w:rsidR="006414FE" w:rsidRPr="00703017">
        <w:rPr>
          <w:rFonts w:cs="Times New Roman"/>
          <w:sz w:val="20"/>
          <w:szCs w:val="20"/>
        </w:rPr>
        <w:t>violated his right to</w:t>
      </w:r>
      <w:r w:rsidR="001E1EC7" w:rsidRPr="00703017">
        <w:rPr>
          <w:rFonts w:cs="Times New Roman"/>
          <w:sz w:val="20"/>
          <w:szCs w:val="20"/>
        </w:rPr>
        <w:t xml:space="preserve"> due process,</w:t>
      </w:r>
      <w:r w:rsidR="002635AE" w:rsidRPr="00703017">
        <w:rPr>
          <w:rFonts w:cs="Times New Roman"/>
          <w:sz w:val="20"/>
          <w:szCs w:val="20"/>
        </w:rPr>
        <w:t xml:space="preserve"> </w:t>
      </w:r>
      <w:r w:rsidR="00252879" w:rsidRPr="00703017">
        <w:rPr>
          <w:rFonts w:cs="Times New Roman"/>
          <w:sz w:val="20"/>
          <w:szCs w:val="20"/>
        </w:rPr>
        <w:t>lodged</w:t>
      </w:r>
      <w:r w:rsidR="00226B22" w:rsidRPr="00703017">
        <w:rPr>
          <w:rFonts w:cs="Times New Roman"/>
          <w:sz w:val="20"/>
          <w:szCs w:val="20"/>
        </w:rPr>
        <w:t xml:space="preserve"> a </w:t>
      </w:r>
      <w:r w:rsidR="00226B22" w:rsidRPr="00703017">
        <w:rPr>
          <w:rFonts w:cs="Times New Roman"/>
          <w:i/>
          <w:sz w:val="20"/>
          <w:szCs w:val="20"/>
        </w:rPr>
        <w:t>tutela</w:t>
      </w:r>
      <w:r w:rsidR="00226B22" w:rsidRPr="00703017">
        <w:rPr>
          <w:rFonts w:cs="Times New Roman"/>
          <w:sz w:val="20"/>
          <w:szCs w:val="20"/>
        </w:rPr>
        <w:t xml:space="preserve"> action with the Superior Court of the Judiciary</w:t>
      </w:r>
      <w:r w:rsidR="002635AE" w:rsidRPr="00703017">
        <w:rPr>
          <w:rFonts w:cs="Times New Roman"/>
          <w:sz w:val="20"/>
          <w:szCs w:val="20"/>
        </w:rPr>
        <w:t>, which</w:t>
      </w:r>
      <w:r w:rsidR="00226B22" w:rsidRPr="00703017">
        <w:rPr>
          <w:rFonts w:cs="Times New Roman"/>
          <w:sz w:val="20"/>
          <w:szCs w:val="20"/>
        </w:rPr>
        <w:t xml:space="preserve"> </w:t>
      </w:r>
      <w:r w:rsidR="002635AE" w:rsidRPr="00703017">
        <w:rPr>
          <w:rFonts w:cs="Times New Roman"/>
          <w:sz w:val="20"/>
          <w:szCs w:val="20"/>
        </w:rPr>
        <w:t>denied the requested protection on February 9, 2012.</w:t>
      </w:r>
    </w:p>
    <w:p w:rsidR="00C06055" w:rsidRPr="00703017" w:rsidRDefault="00C06055" w:rsidP="00C06055">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cs="Times New Roman"/>
          <w:sz w:val="20"/>
          <w:szCs w:val="20"/>
          <w:u w:val="single"/>
        </w:rPr>
      </w:pPr>
      <w:r w:rsidRPr="00703017">
        <w:rPr>
          <w:rFonts w:cs="Times New Roman"/>
          <w:sz w:val="20"/>
          <w:szCs w:val="20"/>
          <w:u w:val="single"/>
        </w:rPr>
        <w:t>T</w:t>
      </w:r>
      <w:r w:rsidR="00F07B4B" w:rsidRPr="00703017">
        <w:rPr>
          <w:rFonts w:cs="Times New Roman"/>
          <w:sz w:val="20"/>
          <w:szCs w:val="20"/>
          <w:u w:val="single"/>
        </w:rPr>
        <w:t>hird action for review</w:t>
      </w:r>
    </w:p>
    <w:p w:rsidR="00ED5C11" w:rsidRPr="00703017" w:rsidRDefault="00ED5C11" w:rsidP="00C0605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cs="Times New Roman"/>
          <w:sz w:val="20"/>
          <w:szCs w:val="20"/>
        </w:rPr>
      </w:pPr>
      <w:r w:rsidRPr="00703017">
        <w:rPr>
          <w:rFonts w:cs="Times New Roman"/>
          <w:sz w:val="20"/>
          <w:szCs w:val="20"/>
        </w:rPr>
        <w:t xml:space="preserve">The </w:t>
      </w:r>
      <w:r w:rsidR="00EC7E5D">
        <w:rPr>
          <w:rFonts w:cs="Times New Roman"/>
          <w:sz w:val="20"/>
          <w:szCs w:val="20"/>
        </w:rPr>
        <w:t>p</w:t>
      </w:r>
      <w:r w:rsidR="00C20D40" w:rsidRPr="00703017">
        <w:rPr>
          <w:rFonts w:cs="Times New Roman"/>
          <w:sz w:val="20"/>
          <w:szCs w:val="20"/>
        </w:rPr>
        <w:t>etitioner</w:t>
      </w:r>
      <w:r w:rsidRPr="00703017">
        <w:rPr>
          <w:rFonts w:cs="Times New Roman"/>
          <w:sz w:val="20"/>
          <w:szCs w:val="20"/>
        </w:rPr>
        <w:t xml:space="preserve"> </w:t>
      </w:r>
      <w:r w:rsidR="0010244A" w:rsidRPr="00703017">
        <w:rPr>
          <w:rFonts w:cs="Times New Roman"/>
          <w:sz w:val="20"/>
          <w:szCs w:val="20"/>
        </w:rPr>
        <w:t>report</w:t>
      </w:r>
      <w:r w:rsidRPr="00703017">
        <w:rPr>
          <w:rFonts w:cs="Times New Roman"/>
          <w:sz w:val="20"/>
          <w:szCs w:val="20"/>
        </w:rPr>
        <w:t xml:space="preserve">s that, </w:t>
      </w:r>
      <w:r w:rsidR="0020024C" w:rsidRPr="00703017">
        <w:rPr>
          <w:rFonts w:cs="Times New Roman"/>
          <w:sz w:val="20"/>
          <w:szCs w:val="20"/>
        </w:rPr>
        <w:t>on the basis of</w:t>
      </w:r>
      <w:r w:rsidRPr="00703017">
        <w:rPr>
          <w:rFonts w:cs="Times New Roman"/>
          <w:sz w:val="20"/>
          <w:szCs w:val="20"/>
        </w:rPr>
        <w:t xml:space="preserve"> the State’s argument in its response to </w:t>
      </w:r>
      <w:r w:rsidR="00E077D0" w:rsidRPr="00703017">
        <w:rPr>
          <w:rFonts w:cs="Times New Roman"/>
          <w:sz w:val="20"/>
          <w:szCs w:val="20"/>
        </w:rPr>
        <w:t>the</w:t>
      </w:r>
      <w:r w:rsidRPr="00703017">
        <w:rPr>
          <w:rFonts w:cs="Times New Roman"/>
          <w:sz w:val="20"/>
          <w:szCs w:val="20"/>
        </w:rPr>
        <w:t xml:space="preserve"> petition </w:t>
      </w:r>
      <w:r w:rsidR="00AE1D12">
        <w:rPr>
          <w:rFonts w:cs="Times New Roman"/>
          <w:sz w:val="20"/>
          <w:szCs w:val="20"/>
        </w:rPr>
        <w:t>filed</w:t>
      </w:r>
      <w:r w:rsidR="00E077D0" w:rsidRPr="00703017">
        <w:rPr>
          <w:rFonts w:cs="Times New Roman"/>
          <w:sz w:val="20"/>
          <w:szCs w:val="20"/>
        </w:rPr>
        <w:t xml:space="preserve"> </w:t>
      </w:r>
      <w:r w:rsidR="00AE1D12">
        <w:rPr>
          <w:rFonts w:cs="Times New Roman"/>
          <w:sz w:val="20"/>
          <w:szCs w:val="20"/>
        </w:rPr>
        <w:t>at</w:t>
      </w:r>
      <w:r w:rsidRPr="00703017">
        <w:rPr>
          <w:rFonts w:cs="Times New Roman"/>
          <w:sz w:val="20"/>
          <w:szCs w:val="20"/>
        </w:rPr>
        <w:t xml:space="preserve"> the IACHR, </w:t>
      </w:r>
      <w:r w:rsidR="008D53E6" w:rsidRPr="00703017">
        <w:rPr>
          <w:rFonts w:cs="Times New Roman"/>
          <w:sz w:val="20"/>
          <w:szCs w:val="20"/>
        </w:rPr>
        <w:t xml:space="preserve">which pointed </w:t>
      </w:r>
      <w:r w:rsidR="006D64A8" w:rsidRPr="00703017">
        <w:rPr>
          <w:rFonts w:cs="Times New Roman"/>
          <w:sz w:val="20"/>
          <w:szCs w:val="20"/>
        </w:rPr>
        <w:t>to</w:t>
      </w:r>
      <w:r w:rsidR="008D53E6" w:rsidRPr="00703017">
        <w:rPr>
          <w:rFonts w:cs="Times New Roman"/>
          <w:sz w:val="20"/>
          <w:szCs w:val="20"/>
        </w:rPr>
        <w:t xml:space="preserve"> the availability of</w:t>
      </w:r>
      <w:r w:rsidR="00795333" w:rsidRPr="00703017">
        <w:rPr>
          <w:rFonts w:cs="Times New Roman"/>
          <w:sz w:val="20"/>
          <w:szCs w:val="20"/>
        </w:rPr>
        <w:t xml:space="preserve"> </w:t>
      </w:r>
      <w:r w:rsidR="00D544CD" w:rsidRPr="00703017">
        <w:rPr>
          <w:rFonts w:cs="Times New Roman"/>
          <w:sz w:val="20"/>
          <w:szCs w:val="20"/>
        </w:rPr>
        <w:t>the</w:t>
      </w:r>
      <w:r w:rsidRPr="00703017">
        <w:rPr>
          <w:rFonts w:cs="Times New Roman"/>
          <w:sz w:val="20"/>
          <w:szCs w:val="20"/>
        </w:rPr>
        <w:t xml:space="preserve"> </w:t>
      </w:r>
      <w:r w:rsidR="00D544CD" w:rsidRPr="00703017">
        <w:rPr>
          <w:rFonts w:cs="Times New Roman"/>
          <w:sz w:val="20"/>
          <w:szCs w:val="20"/>
        </w:rPr>
        <w:t>action</w:t>
      </w:r>
      <w:r w:rsidR="0010244A" w:rsidRPr="00703017">
        <w:rPr>
          <w:rFonts w:cs="Times New Roman"/>
          <w:sz w:val="20"/>
          <w:szCs w:val="20"/>
        </w:rPr>
        <w:t xml:space="preserve"> for review</w:t>
      </w:r>
      <w:r w:rsidR="008D53E6" w:rsidRPr="00703017">
        <w:rPr>
          <w:rFonts w:cs="Times New Roman"/>
          <w:sz w:val="20"/>
          <w:szCs w:val="20"/>
        </w:rPr>
        <w:t xml:space="preserve"> under Colombian law</w:t>
      </w:r>
      <w:r w:rsidR="0010244A" w:rsidRPr="00703017">
        <w:rPr>
          <w:rFonts w:cs="Times New Roman"/>
          <w:sz w:val="20"/>
          <w:szCs w:val="20"/>
        </w:rPr>
        <w:t xml:space="preserve">, </w:t>
      </w:r>
      <w:r w:rsidR="00036371" w:rsidRPr="00703017">
        <w:rPr>
          <w:rFonts w:cs="Times New Roman"/>
          <w:sz w:val="20"/>
          <w:szCs w:val="20"/>
        </w:rPr>
        <w:t xml:space="preserve">he </w:t>
      </w:r>
      <w:r w:rsidR="00F90717">
        <w:rPr>
          <w:rFonts w:cs="Times New Roman"/>
          <w:sz w:val="20"/>
          <w:szCs w:val="20"/>
        </w:rPr>
        <w:t>presented</w:t>
      </w:r>
      <w:r w:rsidR="0010244A" w:rsidRPr="00703017">
        <w:rPr>
          <w:rFonts w:cs="Times New Roman"/>
          <w:sz w:val="20"/>
          <w:szCs w:val="20"/>
        </w:rPr>
        <w:t xml:space="preserve"> a third action for review with the Criminal Division on September 16, 2014. However, </w:t>
      </w:r>
      <w:r w:rsidR="002447BC" w:rsidRPr="00703017">
        <w:rPr>
          <w:rFonts w:cs="Times New Roman"/>
          <w:sz w:val="20"/>
          <w:szCs w:val="20"/>
        </w:rPr>
        <w:t>the action</w:t>
      </w:r>
      <w:r w:rsidR="0010244A" w:rsidRPr="00703017">
        <w:rPr>
          <w:rFonts w:cs="Times New Roman"/>
          <w:sz w:val="20"/>
          <w:szCs w:val="20"/>
        </w:rPr>
        <w:t xml:space="preserve"> was declared inadmissible </w:t>
      </w:r>
      <w:r w:rsidR="006D64A8" w:rsidRPr="00703017">
        <w:rPr>
          <w:rFonts w:cs="Times New Roman"/>
          <w:sz w:val="20"/>
          <w:szCs w:val="20"/>
        </w:rPr>
        <w:t>in</w:t>
      </w:r>
      <w:r w:rsidR="0010244A" w:rsidRPr="00703017">
        <w:rPr>
          <w:rFonts w:cs="Times New Roman"/>
          <w:sz w:val="20"/>
          <w:szCs w:val="20"/>
        </w:rPr>
        <w:t xml:space="preserve"> an order </w:t>
      </w:r>
      <w:r w:rsidR="00BD3EA6" w:rsidRPr="00703017">
        <w:rPr>
          <w:rFonts w:cs="Times New Roman"/>
          <w:sz w:val="20"/>
          <w:szCs w:val="20"/>
        </w:rPr>
        <w:t>entered</w:t>
      </w:r>
      <w:r w:rsidR="0010244A" w:rsidRPr="00703017">
        <w:rPr>
          <w:rFonts w:cs="Times New Roman"/>
          <w:sz w:val="20"/>
          <w:szCs w:val="20"/>
        </w:rPr>
        <w:t xml:space="preserve"> May 25, 2015, which state</w:t>
      </w:r>
      <w:r w:rsidR="0002162F" w:rsidRPr="00703017">
        <w:rPr>
          <w:rFonts w:cs="Times New Roman"/>
          <w:sz w:val="20"/>
          <w:szCs w:val="20"/>
        </w:rPr>
        <w:t>d</w:t>
      </w:r>
      <w:r w:rsidR="0010244A" w:rsidRPr="00703017">
        <w:rPr>
          <w:rFonts w:cs="Times New Roman"/>
          <w:sz w:val="20"/>
          <w:szCs w:val="20"/>
        </w:rPr>
        <w:t xml:space="preserve"> that the allegations </w:t>
      </w:r>
      <w:r w:rsidR="00502ED9" w:rsidRPr="00703017">
        <w:rPr>
          <w:rFonts w:cs="Times New Roman"/>
          <w:sz w:val="20"/>
          <w:szCs w:val="20"/>
        </w:rPr>
        <w:t>concerning</w:t>
      </w:r>
      <w:r w:rsidR="0010244A" w:rsidRPr="00703017">
        <w:rPr>
          <w:rFonts w:cs="Times New Roman"/>
          <w:sz w:val="20"/>
          <w:szCs w:val="20"/>
        </w:rPr>
        <w:t xml:space="preserve"> the criminal proceedings presented no new evidence</w:t>
      </w:r>
      <w:r w:rsidR="00502ED9" w:rsidRPr="00703017">
        <w:rPr>
          <w:rFonts w:cs="Times New Roman"/>
          <w:sz w:val="20"/>
          <w:szCs w:val="20"/>
        </w:rPr>
        <w:t xml:space="preserve"> and </w:t>
      </w:r>
      <w:r w:rsidR="004410D4" w:rsidRPr="00703017">
        <w:rPr>
          <w:rFonts w:cs="Times New Roman"/>
          <w:sz w:val="20"/>
          <w:szCs w:val="20"/>
        </w:rPr>
        <w:t>which</w:t>
      </w:r>
      <w:r w:rsidR="00502ED9" w:rsidRPr="00703017">
        <w:rPr>
          <w:rFonts w:cs="Times New Roman"/>
          <w:sz w:val="20"/>
          <w:szCs w:val="20"/>
        </w:rPr>
        <w:t xml:space="preserve"> also instructed</w:t>
      </w:r>
      <w:r w:rsidR="004410D4" w:rsidRPr="00703017">
        <w:rPr>
          <w:rFonts w:cs="Times New Roman"/>
          <w:sz w:val="20"/>
          <w:szCs w:val="20"/>
        </w:rPr>
        <w:t xml:space="preserve"> him</w:t>
      </w:r>
      <w:r w:rsidR="00502ED9" w:rsidRPr="00703017">
        <w:rPr>
          <w:rFonts w:cs="Times New Roman"/>
          <w:sz w:val="20"/>
          <w:szCs w:val="20"/>
        </w:rPr>
        <w:t xml:space="preserve"> </w:t>
      </w:r>
      <w:r w:rsidR="004149EE" w:rsidRPr="00703017">
        <w:rPr>
          <w:rFonts w:cs="Times New Roman"/>
          <w:sz w:val="20"/>
          <w:szCs w:val="20"/>
        </w:rPr>
        <w:t>to</w:t>
      </w:r>
      <w:r w:rsidR="0010244A" w:rsidRPr="00703017">
        <w:rPr>
          <w:rFonts w:cs="Times New Roman"/>
          <w:sz w:val="20"/>
          <w:szCs w:val="20"/>
        </w:rPr>
        <w:t xml:space="preserve"> refrain </w:t>
      </w:r>
      <w:r w:rsidR="00BA15EA" w:rsidRPr="00703017">
        <w:rPr>
          <w:rFonts w:cs="Times New Roman"/>
          <w:sz w:val="20"/>
          <w:szCs w:val="20"/>
        </w:rPr>
        <w:t xml:space="preserve">in the future </w:t>
      </w:r>
      <w:r w:rsidR="0010244A" w:rsidRPr="00703017">
        <w:rPr>
          <w:rFonts w:cs="Times New Roman"/>
          <w:sz w:val="20"/>
          <w:szCs w:val="20"/>
        </w:rPr>
        <w:t xml:space="preserve">from initiating </w:t>
      </w:r>
      <w:r w:rsidR="00BA15EA" w:rsidRPr="00703017">
        <w:rPr>
          <w:rFonts w:cs="Times New Roman"/>
          <w:sz w:val="20"/>
          <w:szCs w:val="20"/>
        </w:rPr>
        <w:t>additional</w:t>
      </w:r>
      <w:r w:rsidR="0010244A" w:rsidRPr="00703017">
        <w:rPr>
          <w:rFonts w:cs="Times New Roman"/>
          <w:sz w:val="20"/>
          <w:szCs w:val="20"/>
        </w:rPr>
        <w:t xml:space="preserve"> actions for review of the same decisions.</w:t>
      </w:r>
    </w:p>
    <w:p w:rsidR="00C06055" w:rsidRPr="00703017" w:rsidRDefault="00722975" w:rsidP="00C0605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cs="Times New Roman"/>
          <w:sz w:val="20"/>
          <w:szCs w:val="20"/>
        </w:rPr>
      </w:pPr>
      <w:r w:rsidRPr="00703017">
        <w:rPr>
          <w:rFonts w:cs="Times New Roman"/>
          <w:sz w:val="20"/>
          <w:szCs w:val="20"/>
        </w:rPr>
        <w:t>Following this rejection</w:t>
      </w:r>
      <w:r w:rsidR="0088763F" w:rsidRPr="00703017">
        <w:rPr>
          <w:rFonts w:cs="Times New Roman"/>
          <w:sz w:val="20"/>
          <w:szCs w:val="20"/>
        </w:rPr>
        <w:t xml:space="preserve">, the </w:t>
      </w:r>
      <w:r w:rsidR="001566A6">
        <w:rPr>
          <w:rFonts w:cs="Times New Roman"/>
          <w:sz w:val="20"/>
          <w:szCs w:val="20"/>
        </w:rPr>
        <w:t>p</w:t>
      </w:r>
      <w:r w:rsidR="00C20D40" w:rsidRPr="00703017">
        <w:rPr>
          <w:rFonts w:cs="Times New Roman"/>
          <w:sz w:val="20"/>
          <w:szCs w:val="20"/>
        </w:rPr>
        <w:t>etitioner</w:t>
      </w:r>
      <w:r w:rsidR="001566A6">
        <w:rPr>
          <w:rFonts w:cs="Times New Roman"/>
          <w:sz w:val="20"/>
          <w:szCs w:val="20"/>
        </w:rPr>
        <w:t xml:space="preserve"> fil</w:t>
      </w:r>
      <w:r w:rsidR="0088763F" w:rsidRPr="00703017">
        <w:rPr>
          <w:rFonts w:cs="Times New Roman"/>
          <w:sz w:val="20"/>
          <w:szCs w:val="20"/>
        </w:rPr>
        <w:t xml:space="preserve">ed a </w:t>
      </w:r>
      <w:r w:rsidR="0088763F" w:rsidRPr="00703017">
        <w:rPr>
          <w:rFonts w:cs="Times New Roman"/>
          <w:i/>
          <w:sz w:val="20"/>
          <w:szCs w:val="20"/>
        </w:rPr>
        <w:t>tutela</w:t>
      </w:r>
      <w:r w:rsidR="0088763F" w:rsidRPr="00703017">
        <w:rPr>
          <w:rFonts w:cs="Times New Roman"/>
          <w:sz w:val="20"/>
          <w:szCs w:val="20"/>
        </w:rPr>
        <w:t xml:space="preserve"> action with the Civil and Labor Divisions of the Supreme Court of Justice, which</w:t>
      </w:r>
      <w:r w:rsidR="004119E7" w:rsidRPr="00703017">
        <w:rPr>
          <w:rFonts w:cs="Times New Roman"/>
          <w:sz w:val="20"/>
          <w:szCs w:val="20"/>
        </w:rPr>
        <w:t xml:space="preserve"> </w:t>
      </w:r>
      <w:r w:rsidR="0002162F" w:rsidRPr="00703017">
        <w:rPr>
          <w:rFonts w:cs="Times New Roman"/>
          <w:sz w:val="20"/>
          <w:szCs w:val="20"/>
        </w:rPr>
        <w:t>deni</w:t>
      </w:r>
      <w:r w:rsidR="0088763F" w:rsidRPr="00703017">
        <w:rPr>
          <w:rFonts w:cs="Times New Roman"/>
          <w:sz w:val="20"/>
          <w:szCs w:val="20"/>
        </w:rPr>
        <w:t>ed his request</w:t>
      </w:r>
      <w:r w:rsidR="0002162F" w:rsidRPr="00703017">
        <w:rPr>
          <w:rFonts w:cs="Times New Roman"/>
          <w:sz w:val="20"/>
          <w:szCs w:val="20"/>
        </w:rPr>
        <w:t>s</w:t>
      </w:r>
      <w:r w:rsidR="0088763F" w:rsidRPr="00703017">
        <w:rPr>
          <w:rFonts w:cs="Times New Roman"/>
          <w:sz w:val="20"/>
          <w:szCs w:val="20"/>
        </w:rPr>
        <w:t xml:space="preserve">, confirming the </w:t>
      </w:r>
      <w:r w:rsidR="00B53CB5" w:rsidRPr="00703017">
        <w:rPr>
          <w:rFonts w:cs="Times New Roman"/>
          <w:sz w:val="20"/>
          <w:szCs w:val="20"/>
        </w:rPr>
        <w:t>re</w:t>
      </w:r>
      <w:r w:rsidR="0002162F" w:rsidRPr="00703017">
        <w:rPr>
          <w:rFonts w:cs="Times New Roman"/>
          <w:sz w:val="20"/>
          <w:szCs w:val="20"/>
        </w:rPr>
        <w:t>jection of</w:t>
      </w:r>
      <w:r w:rsidR="0088763F" w:rsidRPr="00703017">
        <w:rPr>
          <w:rFonts w:cs="Times New Roman"/>
          <w:sz w:val="20"/>
          <w:szCs w:val="20"/>
        </w:rPr>
        <w:t xml:space="preserve"> the third action for review of the conviction.</w:t>
      </w:r>
      <w:r w:rsidR="004119E7" w:rsidRPr="00703017">
        <w:rPr>
          <w:rFonts w:cs="Times New Roman"/>
          <w:sz w:val="20"/>
          <w:szCs w:val="20"/>
        </w:rPr>
        <w:t xml:space="preserve"> The alleged victim indicates that </w:t>
      </w:r>
      <w:r w:rsidR="003F6D52">
        <w:rPr>
          <w:rFonts w:cs="Times New Roman"/>
          <w:sz w:val="20"/>
          <w:szCs w:val="20"/>
        </w:rPr>
        <w:t>protection was denied</w:t>
      </w:r>
      <w:r w:rsidR="004119E7" w:rsidRPr="00703017">
        <w:rPr>
          <w:rFonts w:cs="Times New Roman"/>
          <w:sz w:val="20"/>
          <w:szCs w:val="20"/>
        </w:rPr>
        <w:t xml:space="preserve"> </w:t>
      </w:r>
      <w:r w:rsidR="009C52C3" w:rsidRPr="00703017">
        <w:rPr>
          <w:rFonts w:cs="Times New Roman"/>
          <w:sz w:val="20"/>
          <w:szCs w:val="20"/>
        </w:rPr>
        <w:t>because</w:t>
      </w:r>
      <w:r w:rsidR="004119E7" w:rsidRPr="00703017">
        <w:rPr>
          <w:rFonts w:cs="Times New Roman"/>
          <w:sz w:val="20"/>
          <w:szCs w:val="20"/>
        </w:rPr>
        <w:t xml:space="preserve"> the Supreme Court of Justice </w:t>
      </w:r>
      <w:r w:rsidR="007F0368" w:rsidRPr="00703017">
        <w:rPr>
          <w:rFonts w:cs="Times New Roman"/>
          <w:sz w:val="20"/>
          <w:szCs w:val="20"/>
        </w:rPr>
        <w:t xml:space="preserve">considers itself </w:t>
      </w:r>
      <w:r w:rsidR="0002162F" w:rsidRPr="00703017">
        <w:rPr>
          <w:rFonts w:cs="Times New Roman"/>
          <w:sz w:val="20"/>
          <w:szCs w:val="20"/>
        </w:rPr>
        <w:t>a</w:t>
      </w:r>
      <w:r w:rsidR="004119E7" w:rsidRPr="00703017">
        <w:rPr>
          <w:rFonts w:cs="Times New Roman"/>
          <w:sz w:val="20"/>
          <w:szCs w:val="20"/>
        </w:rPr>
        <w:t xml:space="preserve"> body of last resort and</w:t>
      </w:r>
      <w:r w:rsidR="007F0368" w:rsidRPr="00703017">
        <w:rPr>
          <w:rFonts w:cs="Times New Roman"/>
          <w:sz w:val="20"/>
          <w:szCs w:val="20"/>
        </w:rPr>
        <w:t xml:space="preserve"> therefore does not accept</w:t>
      </w:r>
      <w:r w:rsidR="004119E7" w:rsidRPr="00703017">
        <w:rPr>
          <w:rFonts w:cs="Times New Roman"/>
          <w:sz w:val="20"/>
          <w:szCs w:val="20"/>
        </w:rPr>
        <w:t xml:space="preserve"> </w:t>
      </w:r>
      <w:r w:rsidR="004119E7" w:rsidRPr="00703017">
        <w:rPr>
          <w:rFonts w:cs="Times New Roman"/>
          <w:i/>
          <w:sz w:val="20"/>
          <w:szCs w:val="20"/>
        </w:rPr>
        <w:t>tutela</w:t>
      </w:r>
      <w:r w:rsidR="004119E7" w:rsidRPr="00703017">
        <w:rPr>
          <w:rFonts w:cs="Times New Roman"/>
          <w:sz w:val="20"/>
          <w:szCs w:val="20"/>
        </w:rPr>
        <w:t xml:space="preserve"> actions against its </w:t>
      </w:r>
      <w:r w:rsidR="00B80842" w:rsidRPr="00703017">
        <w:rPr>
          <w:rFonts w:cs="Times New Roman"/>
          <w:sz w:val="20"/>
          <w:szCs w:val="20"/>
        </w:rPr>
        <w:t>judgment</w:t>
      </w:r>
      <w:r w:rsidR="004119E7" w:rsidRPr="00703017">
        <w:rPr>
          <w:rFonts w:cs="Times New Roman"/>
          <w:sz w:val="20"/>
          <w:szCs w:val="20"/>
        </w:rPr>
        <w:t>s.</w:t>
      </w:r>
      <w:r w:rsidR="007F0368" w:rsidRPr="00703017">
        <w:rPr>
          <w:rFonts w:cs="Times New Roman"/>
          <w:sz w:val="20"/>
          <w:szCs w:val="20"/>
        </w:rPr>
        <w:t xml:space="preserve"> </w:t>
      </w:r>
      <w:r w:rsidR="0002162F" w:rsidRPr="00703017">
        <w:rPr>
          <w:rFonts w:cs="Times New Roman"/>
          <w:sz w:val="20"/>
          <w:szCs w:val="20"/>
        </w:rPr>
        <w:t>The aforementioned</w:t>
      </w:r>
      <w:r w:rsidR="007F0368" w:rsidRPr="00703017">
        <w:rPr>
          <w:rFonts w:cs="Times New Roman"/>
          <w:sz w:val="20"/>
          <w:szCs w:val="20"/>
        </w:rPr>
        <w:t xml:space="preserve"> action was subsequently referred to the Constitutional Court, which declined to review it in an order of February 15, 2016, </w:t>
      </w:r>
      <w:r w:rsidR="000F2517" w:rsidRPr="00703017">
        <w:rPr>
          <w:rFonts w:cs="Times New Roman"/>
          <w:sz w:val="20"/>
          <w:szCs w:val="20"/>
        </w:rPr>
        <w:t>despite the</w:t>
      </w:r>
      <w:r w:rsidR="006E5E93" w:rsidRPr="00703017">
        <w:rPr>
          <w:rFonts w:cs="Times New Roman"/>
          <w:sz w:val="20"/>
          <w:szCs w:val="20"/>
        </w:rPr>
        <w:t xml:space="preserve"> </w:t>
      </w:r>
      <w:r w:rsidR="006E5E93" w:rsidRPr="00703017">
        <w:rPr>
          <w:rFonts w:cs="Times New Roman"/>
          <w:i/>
          <w:sz w:val="20"/>
          <w:szCs w:val="20"/>
        </w:rPr>
        <w:t>insistencia</w:t>
      </w:r>
      <w:r w:rsidR="006E5E93" w:rsidRPr="00703017">
        <w:rPr>
          <w:rFonts w:cs="Times New Roman"/>
          <w:sz w:val="20"/>
          <w:szCs w:val="20"/>
        </w:rPr>
        <w:t xml:space="preserve"> request [request to persist] </w:t>
      </w:r>
      <w:r w:rsidR="000F2517" w:rsidRPr="00703017">
        <w:rPr>
          <w:rFonts w:cs="Times New Roman"/>
          <w:sz w:val="20"/>
          <w:szCs w:val="20"/>
        </w:rPr>
        <w:t xml:space="preserve">submitted by two </w:t>
      </w:r>
      <w:r w:rsidR="00662C6C" w:rsidRPr="00703017">
        <w:rPr>
          <w:rFonts w:cs="Times New Roman"/>
          <w:sz w:val="20"/>
          <w:szCs w:val="20"/>
        </w:rPr>
        <w:t>judge</w:t>
      </w:r>
      <w:r w:rsidR="000F2517" w:rsidRPr="00703017">
        <w:rPr>
          <w:rFonts w:cs="Times New Roman"/>
          <w:sz w:val="20"/>
          <w:szCs w:val="20"/>
        </w:rPr>
        <w:t xml:space="preserve">s, who urged </w:t>
      </w:r>
      <w:r w:rsidR="006E5E93" w:rsidRPr="00703017">
        <w:rPr>
          <w:rFonts w:cs="Times New Roman"/>
          <w:sz w:val="20"/>
          <w:szCs w:val="20"/>
        </w:rPr>
        <w:t>the Constitutional Court to review the case.</w:t>
      </w:r>
    </w:p>
    <w:p w:rsidR="00C06055" w:rsidRPr="00703017" w:rsidRDefault="0000075C" w:rsidP="00C0605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cs="Times New Roman"/>
          <w:sz w:val="20"/>
          <w:szCs w:val="20"/>
        </w:rPr>
      </w:pPr>
      <w:r w:rsidRPr="00703017">
        <w:rPr>
          <w:rFonts w:cs="Times New Roman"/>
          <w:sz w:val="20"/>
          <w:szCs w:val="20"/>
        </w:rPr>
        <w:t xml:space="preserve">The </w:t>
      </w:r>
      <w:r w:rsidR="00EC7E5D">
        <w:rPr>
          <w:rFonts w:cs="Times New Roman"/>
          <w:sz w:val="20"/>
          <w:szCs w:val="20"/>
        </w:rPr>
        <w:t>p</w:t>
      </w:r>
      <w:r w:rsidR="00C20D40" w:rsidRPr="00703017">
        <w:rPr>
          <w:rFonts w:cs="Times New Roman"/>
          <w:sz w:val="20"/>
          <w:szCs w:val="20"/>
        </w:rPr>
        <w:t>etitioner</w:t>
      </w:r>
      <w:r w:rsidRPr="00703017">
        <w:rPr>
          <w:rFonts w:cs="Times New Roman"/>
          <w:sz w:val="20"/>
          <w:szCs w:val="20"/>
        </w:rPr>
        <w:t xml:space="preserve"> claims that his rights to privacy, due process</w:t>
      </w:r>
      <w:r w:rsidR="008A55FA" w:rsidRPr="00703017">
        <w:rPr>
          <w:rFonts w:cs="Times New Roman"/>
          <w:sz w:val="20"/>
          <w:szCs w:val="20"/>
        </w:rPr>
        <w:t>,</w:t>
      </w:r>
      <w:r w:rsidRPr="00703017">
        <w:rPr>
          <w:rFonts w:cs="Times New Roman"/>
          <w:sz w:val="20"/>
          <w:szCs w:val="20"/>
        </w:rPr>
        <w:t xml:space="preserve"> and due judicial protection were violated by the use of illegal evidence (the aforementioned recording). He also claims that the judicial authorities did not evaluate the evidence presented correctly and denied him the possibility of submitting </w:t>
      </w:r>
      <w:r w:rsidR="008A55FA" w:rsidRPr="00703017">
        <w:rPr>
          <w:rFonts w:cs="Times New Roman"/>
          <w:sz w:val="20"/>
          <w:szCs w:val="20"/>
        </w:rPr>
        <w:t>additional</w:t>
      </w:r>
      <w:r w:rsidRPr="00703017">
        <w:rPr>
          <w:rFonts w:cs="Times New Roman"/>
          <w:sz w:val="20"/>
          <w:szCs w:val="20"/>
        </w:rPr>
        <w:t xml:space="preserve"> evidence. Regarding the right to equal treatment before the law, the </w:t>
      </w:r>
      <w:r w:rsidR="00005225">
        <w:rPr>
          <w:rFonts w:cs="Times New Roman"/>
          <w:sz w:val="20"/>
          <w:szCs w:val="20"/>
        </w:rPr>
        <w:t>p</w:t>
      </w:r>
      <w:r w:rsidR="00C20D40" w:rsidRPr="00703017">
        <w:rPr>
          <w:rFonts w:cs="Times New Roman"/>
          <w:sz w:val="20"/>
          <w:szCs w:val="20"/>
        </w:rPr>
        <w:t>etitioner</w:t>
      </w:r>
      <w:r w:rsidRPr="00703017">
        <w:rPr>
          <w:rFonts w:cs="Times New Roman"/>
          <w:sz w:val="20"/>
          <w:szCs w:val="20"/>
        </w:rPr>
        <w:t xml:space="preserve"> </w:t>
      </w:r>
      <w:r w:rsidR="00EF4A4D" w:rsidRPr="00703017">
        <w:rPr>
          <w:rFonts w:cs="Times New Roman"/>
          <w:sz w:val="20"/>
          <w:szCs w:val="20"/>
        </w:rPr>
        <w:t>says that</w:t>
      </w:r>
      <w:r w:rsidR="00B75CCC" w:rsidRPr="00703017">
        <w:rPr>
          <w:rFonts w:cs="Times New Roman"/>
          <w:sz w:val="20"/>
          <w:szCs w:val="20"/>
        </w:rPr>
        <w:t>, in the criminal proceedings,</w:t>
      </w:r>
      <w:r w:rsidR="00EF4A4D" w:rsidRPr="00703017">
        <w:rPr>
          <w:rFonts w:cs="Times New Roman"/>
          <w:sz w:val="20"/>
          <w:szCs w:val="20"/>
        </w:rPr>
        <w:t xml:space="preserve"> the State applied different criteria for Rodrigo Villamizar, which supposed unequal treatment.</w:t>
      </w:r>
    </w:p>
    <w:p w:rsidR="00C06055" w:rsidRPr="00703017" w:rsidRDefault="00FE5B0A" w:rsidP="00C060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3017">
        <w:rPr>
          <w:rFonts w:ascii="Cambria" w:hAnsi="Cambria"/>
          <w:sz w:val="20"/>
          <w:szCs w:val="20"/>
        </w:rPr>
        <w:t xml:space="preserve">Lastly, he indicates that, in accordance with Colombian law, he was tried in sole instance, </w:t>
      </w:r>
      <w:r w:rsidR="00411D49" w:rsidRPr="00703017">
        <w:rPr>
          <w:rFonts w:ascii="Cambria" w:hAnsi="Cambria"/>
          <w:sz w:val="20"/>
          <w:szCs w:val="20"/>
        </w:rPr>
        <w:t>which meant that he could not</w:t>
      </w:r>
      <w:r w:rsidRPr="00703017">
        <w:rPr>
          <w:rFonts w:ascii="Cambria" w:hAnsi="Cambria"/>
          <w:sz w:val="20"/>
          <w:szCs w:val="20"/>
        </w:rPr>
        <w:t xml:space="preserve"> appeal his conviction. In this connection, he states that</w:t>
      </w:r>
      <w:r w:rsidR="000B0EAE" w:rsidRPr="00703017">
        <w:rPr>
          <w:rFonts w:ascii="Cambria" w:hAnsi="Cambria"/>
          <w:sz w:val="20"/>
          <w:szCs w:val="20"/>
        </w:rPr>
        <w:t>, under</w:t>
      </w:r>
      <w:r w:rsidRPr="00703017">
        <w:rPr>
          <w:rFonts w:ascii="Cambria" w:hAnsi="Cambria"/>
          <w:sz w:val="20"/>
          <w:szCs w:val="20"/>
        </w:rPr>
        <w:t xml:space="preserve"> Ar</w:t>
      </w:r>
      <w:r w:rsidR="000B0EAE" w:rsidRPr="00703017">
        <w:rPr>
          <w:rFonts w:ascii="Cambria" w:hAnsi="Cambria"/>
          <w:sz w:val="20"/>
          <w:szCs w:val="20"/>
        </w:rPr>
        <w:t>ticle 235</w:t>
      </w:r>
      <w:r w:rsidR="00CC760B" w:rsidRPr="00703017">
        <w:rPr>
          <w:rFonts w:ascii="Cambria" w:hAnsi="Cambria"/>
          <w:sz w:val="20"/>
          <w:szCs w:val="20"/>
        </w:rPr>
        <w:t>(</w:t>
      </w:r>
      <w:r w:rsidR="000B0EAE" w:rsidRPr="00703017">
        <w:rPr>
          <w:rFonts w:ascii="Cambria" w:hAnsi="Cambria"/>
          <w:sz w:val="20"/>
          <w:szCs w:val="20"/>
        </w:rPr>
        <w:t>4</w:t>
      </w:r>
      <w:r w:rsidR="00CC760B" w:rsidRPr="00703017">
        <w:rPr>
          <w:rFonts w:ascii="Cambria" w:hAnsi="Cambria"/>
          <w:sz w:val="20"/>
          <w:szCs w:val="20"/>
        </w:rPr>
        <w:t>)</w:t>
      </w:r>
      <w:r w:rsidR="000B0EAE" w:rsidRPr="00703017">
        <w:rPr>
          <w:rFonts w:ascii="Cambria" w:hAnsi="Cambria"/>
          <w:sz w:val="20"/>
          <w:szCs w:val="20"/>
        </w:rPr>
        <w:t xml:space="preserve"> of the Constitution, </w:t>
      </w:r>
      <w:r w:rsidRPr="00703017">
        <w:rPr>
          <w:rFonts w:ascii="Cambria" w:hAnsi="Cambria"/>
          <w:sz w:val="20"/>
          <w:szCs w:val="20"/>
        </w:rPr>
        <w:t xml:space="preserve">the Supreme Court </w:t>
      </w:r>
      <w:r w:rsidR="000B0EAE" w:rsidRPr="00703017">
        <w:rPr>
          <w:rFonts w:ascii="Cambria" w:hAnsi="Cambria"/>
          <w:sz w:val="20"/>
          <w:szCs w:val="20"/>
        </w:rPr>
        <w:t xml:space="preserve">has </w:t>
      </w:r>
      <w:r w:rsidRPr="00703017">
        <w:rPr>
          <w:rFonts w:ascii="Cambria" w:hAnsi="Cambria"/>
          <w:sz w:val="20"/>
          <w:szCs w:val="20"/>
        </w:rPr>
        <w:t>jurisdiction over punishable acts alleged against cabinet ministers</w:t>
      </w:r>
      <w:r w:rsidR="00702730" w:rsidRPr="00703017">
        <w:rPr>
          <w:rFonts w:ascii="Cambria" w:hAnsi="Cambria"/>
          <w:sz w:val="20"/>
          <w:szCs w:val="20"/>
        </w:rPr>
        <w:t xml:space="preserve"> and that</w:t>
      </w:r>
      <w:r w:rsidR="000B0EAE" w:rsidRPr="00703017">
        <w:rPr>
          <w:rFonts w:ascii="Cambria" w:hAnsi="Cambria"/>
          <w:sz w:val="20"/>
          <w:szCs w:val="20"/>
        </w:rPr>
        <w:t>, under</w:t>
      </w:r>
      <w:r w:rsidR="00702730" w:rsidRPr="00703017">
        <w:rPr>
          <w:rFonts w:ascii="Cambria" w:hAnsi="Cambria"/>
          <w:sz w:val="20"/>
          <w:szCs w:val="20"/>
        </w:rPr>
        <w:t xml:space="preserve"> Article 75</w:t>
      </w:r>
      <w:r w:rsidR="00CC760B" w:rsidRPr="00703017">
        <w:rPr>
          <w:rFonts w:ascii="Cambria" w:hAnsi="Cambria"/>
          <w:sz w:val="20"/>
          <w:szCs w:val="20"/>
        </w:rPr>
        <w:t>(2)</w:t>
      </w:r>
      <w:r w:rsidR="00702730" w:rsidRPr="00703017">
        <w:rPr>
          <w:rFonts w:ascii="Cambria" w:hAnsi="Cambria"/>
          <w:sz w:val="20"/>
          <w:szCs w:val="20"/>
        </w:rPr>
        <w:t xml:space="preserve"> of the Criminal Procedure Code</w:t>
      </w:r>
      <w:r w:rsidR="000B0EAE" w:rsidRPr="00703017">
        <w:rPr>
          <w:rFonts w:ascii="Cambria" w:hAnsi="Cambria"/>
          <w:sz w:val="20"/>
          <w:szCs w:val="20"/>
        </w:rPr>
        <w:t>,</w:t>
      </w:r>
      <w:r w:rsidR="00702730" w:rsidRPr="00703017">
        <w:rPr>
          <w:rFonts w:ascii="Cambria" w:hAnsi="Cambria"/>
          <w:sz w:val="20"/>
          <w:szCs w:val="20"/>
        </w:rPr>
        <w:t xml:space="preserve"> decisions issued by the Criminal Division of the Supreme Court of Justice </w:t>
      </w:r>
      <w:r w:rsidR="00153844" w:rsidRPr="00703017">
        <w:rPr>
          <w:rFonts w:ascii="Cambria" w:hAnsi="Cambria"/>
          <w:sz w:val="20"/>
          <w:szCs w:val="20"/>
        </w:rPr>
        <w:t>cannot be appealed</w:t>
      </w:r>
      <w:r w:rsidR="00702730" w:rsidRPr="00703017">
        <w:rPr>
          <w:rFonts w:ascii="Cambria" w:hAnsi="Cambria"/>
          <w:sz w:val="20"/>
          <w:szCs w:val="20"/>
        </w:rPr>
        <w:t>.</w:t>
      </w:r>
      <w:r w:rsidR="00411D49" w:rsidRPr="00703017">
        <w:rPr>
          <w:rFonts w:ascii="Cambria" w:hAnsi="Cambria"/>
          <w:sz w:val="20"/>
          <w:szCs w:val="20"/>
        </w:rPr>
        <w:t xml:space="preserve"> </w:t>
      </w:r>
      <w:r w:rsidR="006D75BA" w:rsidRPr="00703017">
        <w:rPr>
          <w:rFonts w:ascii="Cambria" w:hAnsi="Cambria"/>
          <w:sz w:val="20"/>
          <w:szCs w:val="20"/>
        </w:rPr>
        <w:t>He says that t</w:t>
      </w:r>
      <w:r w:rsidR="00411D49" w:rsidRPr="00703017">
        <w:rPr>
          <w:rFonts w:ascii="Cambria" w:hAnsi="Cambria"/>
          <w:sz w:val="20"/>
          <w:szCs w:val="20"/>
        </w:rPr>
        <w:t>he application of these pr</w:t>
      </w:r>
      <w:r w:rsidR="006A3396" w:rsidRPr="00703017">
        <w:rPr>
          <w:rFonts w:ascii="Cambria" w:hAnsi="Cambria"/>
          <w:sz w:val="20"/>
          <w:szCs w:val="20"/>
        </w:rPr>
        <w:t>ecept</w:t>
      </w:r>
      <w:r w:rsidR="00411D49" w:rsidRPr="00703017">
        <w:rPr>
          <w:rFonts w:ascii="Cambria" w:hAnsi="Cambria"/>
          <w:sz w:val="20"/>
          <w:szCs w:val="20"/>
        </w:rPr>
        <w:t>s</w:t>
      </w:r>
      <w:r w:rsidR="006D75BA" w:rsidRPr="00703017">
        <w:rPr>
          <w:rFonts w:ascii="Cambria" w:hAnsi="Cambria"/>
          <w:sz w:val="20"/>
          <w:szCs w:val="20"/>
        </w:rPr>
        <w:t xml:space="preserve"> </w:t>
      </w:r>
      <w:r w:rsidR="0098549D" w:rsidRPr="00703017">
        <w:rPr>
          <w:rFonts w:ascii="Cambria" w:hAnsi="Cambria"/>
          <w:sz w:val="20"/>
          <w:szCs w:val="20"/>
        </w:rPr>
        <w:t xml:space="preserve">denied him the protection of </w:t>
      </w:r>
      <w:r w:rsidR="00B13777" w:rsidRPr="00703017">
        <w:rPr>
          <w:rFonts w:ascii="Cambria" w:hAnsi="Cambria"/>
          <w:sz w:val="20"/>
          <w:szCs w:val="20"/>
        </w:rPr>
        <w:t>double</w:t>
      </w:r>
      <w:r w:rsidR="00CA2D18" w:rsidRPr="00703017">
        <w:rPr>
          <w:rFonts w:ascii="Cambria" w:hAnsi="Cambria"/>
          <w:sz w:val="20"/>
          <w:szCs w:val="20"/>
        </w:rPr>
        <w:t xml:space="preserve"> </w:t>
      </w:r>
      <w:r w:rsidR="00411D49" w:rsidRPr="00703017">
        <w:rPr>
          <w:rFonts w:ascii="Cambria" w:hAnsi="Cambria"/>
          <w:sz w:val="20"/>
          <w:szCs w:val="20"/>
        </w:rPr>
        <w:t>instance</w:t>
      </w:r>
      <w:r w:rsidR="00CA2D18" w:rsidRPr="00703017">
        <w:rPr>
          <w:rFonts w:ascii="Cambria" w:hAnsi="Cambria"/>
          <w:sz w:val="20"/>
          <w:szCs w:val="20"/>
        </w:rPr>
        <w:t xml:space="preserve"> in </w:t>
      </w:r>
      <w:r w:rsidR="00021CC1" w:rsidRPr="00703017">
        <w:rPr>
          <w:rFonts w:ascii="Cambria" w:hAnsi="Cambria"/>
          <w:sz w:val="20"/>
          <w:szCs w:val="20"/>
        </w:rPr>
        <w:t xml:space="preserve">a </w:t>
      </w:r>
      <w:r w:rsidR="00CA2D18" w:rsidRPr="00703017">
        <w:rPr>
          <w:rFonts w:ascii="Cambria" w:hAnsi="Cambria"/>
          <w:sz w:val="20"/>
          <w:szCs w:val="20"/>
        </w:rPr>
        <w:t xml:space="preserve">criminal </w:t>
      </w:r>
      <w:r w:rsidR="0098549D" w:rsidRPr="00703017">
        <w:rPr>
          <w:rFonts w:ascii="Cambria" w:hAnsi="Cambria"/>
          <w:sz w:val="20"/>
          <w:szCs w:val="20"/>
        </w:rPr>
        <w:t>case</w:t>
      </w:r>
      <w:r w:rsidR="00411D49" w:rsidRPr="00703017">
        <w:rPr>
          <w:rFonts w:ascii="Cambria" w:hAnsi="Cambria"/>
          <w:sz w:val="20"/>
          <w:szCs w:val="20"/>
        </w:rPr>
        <w:t>.</w:t>
      </w:r>
    </w:p>
    <w:p w:rsidR="00C06055" w:rsidRPr="00703017" w:rsidRDefault="00CA2751" w:rsidP="00C060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3017">
        <w:rPr>
          <w:rFonts w:ascii="Cambria" w:hAnsi="Cambria"/>
          <w:sz w:val="20"/>
          <w:szCs w:val="20"/>
        </w:rPr>
        <w:t xml:space="preserve">On the basis of the foregoing, the </w:t>
      </w:r>
      <w:r w:rsidR="00005225">
        <w:rPr>
          <w:rFonts w:ascii="Cambria" w:hAnsi="Cambria"/>
          <w:sz w:val="20"/>
          <w:szCs w:val="20"/>
        </w:rPr>
        <w:t>p</w:t>
      </w:r>
      <w:r w:rsidR="00C20D40" w:rsidRPr="00703017">
        <w:rPr>
          <w:rFonts w:ascii="Cambria" w:hAnsi="Cambria"/>
          <w:sz w:val="20"/>
          <w:szCs w:val="20"/>
        </w:rPr>
        <w:t>etitioner</w:t>
      </w:r>
      <w:r w:rsidRPr="00703017">
        <w:rPr>
          <w:rFonts w:ascii="Cambria" w:hAnsi="Cambria"/>
          <w:sz w:val="20"/>
          <w:szCs w:val="20"/>
        </w:rPr>
        <w:t xml:space="preserve"> claims that the State violated the rights recognized in Articles 8, 11, 24</w:t>
      </w:r>
      <w:r w:rsidR="00342D7B" w:rsidRPr="00703017">
        <w:rPr>
          <w:rFonts w:ascii="Cambria" w:hAnsi="Cambria"/>
          <w:sz w:val="20"/>
          <w:szCs w:val="20"/>
        </w:rPr>
        <w:t>,</w:t>
      </w:r>
      <w:r w:rsidRPr="00703017">
        <w:rPr>
          <w:rFonts w:ascii="Cambria" w:hAnsi="Cambria"/>
          <w:sz w:val="20"/>
          <w:szCs w:val="20"/>
        </w:rPr>
        <w:t xml:space="preserve"> and 25 of the American Convention</w:t>
      </w:r>
      <w:r w:rsidR="00894356" w:rsidRPr="00703017">
        <w:rPr>
          <w:rFonts w:ascii="Cambria" w:hAnsi="Cambria"/>
          <w:sz w:val="20"/>
          <w:szCs w:val="20"/>
        </w:rPr>
        <w:t xml:space="preserve"> to his detriment</w:t>
      </w:r>
      <w:r w:rsidRPr="00703017">
        <w:rPr>
          <w:rFonts w:ascii="Cambria" w:hAnsi="Cambria"/>
          <w:sz w:val="20"/>
          <w:szCs w:val="20"/>
        </w:rPr>
        <w:t>.</w:t>
      </w:r>
    </w:p>
    <w:p w:rsidR="00C06055" w:rsidRPr="00703017" w:rsidRDefault="00AE392A" w:rsidP="00262E2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b/>
          <w:bCs/>
          <w:sz w:val="20"/>
          <w:szCs w:val="20"/>
        </w:rPr>
      </w:pPr>
      <w:r w:rsidRPr="00703017">
        <w:rPr>
          <w:rFonts w:ascii="Cambria" w:hAnsi="Cambria"/>
          <w:b/>
          <w:bCs/>
          <w:sz w:val="20"/>
          <w:szCs w:val="20"/>
        </w:rPr>
        <w:t>B.</w:t>
      </w:r>
      <w:r w:rsidRPr="00703017">
        <w:rPr>
          <w:rFonts w:ascii="Cambria" w:hAnsi="Cambria"/>
          <w:b/>
          <w:bCs/>
          <w:sz w:val="20"/>
          <w:szCs w:val="20"/>
        </w:rPr>
        <w:tab/>
      </w:r>
      <w:r w:rsidR="00005225" w:rsidRPr="00B22C4D">
        <w:rPr>
          <w:rFonts w:asciiTheme="majorHAnsi" w:hAnsiTheme="majorHAnsi"/>
          <w:b/>
          <w:bCs/>
          <w:sz w:val="20"/>
          <w:szCs w:val="20"/>
        </w:rPr>
        <w:t>Position of the State</w:t>
      </w:r>
    </w:p>
    <w:p w:rsidR="00262E2C" w:rsidRPr="00703017" w:rsidRDefault="008A7065" w:rsidP="00C060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olor w:val="000000" w:themeColor="text1"/>
          <w:sz w:val="20"/>
          <w:szCs w:val="20"/>
        </w:rPr>
      </w:pPr>
      <w:r w:rsidRPr="00703017">
        <w:rPr>
          <w:rFonts w:ascii="Cambria" w:hAnsi="Cambria"/>
          <w:color w:val="000000" w:themeColor="text1"/>
          <w:sz w:val="20"/>
          <w:szCs w:val="20"/>
        </w:rPr>
        <w:t xml:space="preserve">The State </w:t>
      </w:r>
      <w:r w:rsidR="00E81323" w:rsidRPr="00703017">
        <w:rPr>
          <w:rFonts w:ascii="Cambria" w:hAnsi="Cambria"/>
          <w:color w:val="000000" w:themeColor="text1"/>
          <w:sz w:val="20"/>
          <w:szCs w:val="20"/>
        </w:rPr>
        <w:t xml:space="preserve">maintains that the petition should be considered inadmissible since it was lodged out of time, </w:t>
      </w:r>
      <w:r w:rsidR="001941BC" w:rsidRPr="00703017">
        <w:rPr>
          <w:rFonts w:ascii="Cambria" w:hAnsi="Cambria"/>
          <w:color w:val="000000" w:themeColor="text1"/>
          <w:sz w:val="20"/>
          <w:szCs w:val="20"/>
        </w:rPr>
        <w:t xml:space="preserve">i.e., </w:t>
      </w:r>
      <w:r w:rsidR="00E81323" w:rsidRPr="00703017">
        <w:rPr>
          <w:rFonts w:ascii="Cambria" w:hAnsi="Cambria"/>
          <w:color w:val="000000" w:themeColor="text1"/>
          <w:sz w:val="20"/>
          <w:szCs w:val="20"/>
        </w:rPr>
        <w:t xml:space="preserve">after the six-month period provided in the American Convention. </w:t>
      </w:r>
      <w:r w:rsidR="00BF6897" w:rsidRPr="00703017">
        <w:rPr>
          <w:rFonts w:ascii="Cambria" w:hAnsi="Cambria"/>
          <w:color w:val="000000" w:themeColor="text1"/>
          <w:sz w:val="20"/>
          <w:szCs w:val="20"/>
        </w:rPr>
        <w:t xml:space="preserve">It indicates that the Constitutional Court </w:t>
      </w:r>
      <w:r w:rsidR="00342D7B" w:rsidRPr="00703017">
        <w:rPr>
          <w:rFonts w:ascii="Cambria" w:hAnsi="Cambria"/>
          <w:color w:val="000000" w:themeColor="text1"/>
          <w:sz w:val="20"/>
          <w:szCs w:val="20"/>
        </w:rPr>
        <w:t>judgment</w:t>
      </w:r>
      <w:r w:rsidR="00BF6897" w:rsidRPr="00703017">
        <w:rPr>
          <w:rFonts w:ascii="Cambria" w:hAnsi="Cambria"/>
          <w:color w:val="000000" w:themeColor="text1"/>
          <w:sz w:val="20"/>
          <w:szCs w:val="20"/>
        </w:rPr>
        <w:t xml:space="preserve"> upholding the rejection of the </w:t>
      </w:r>
      <w:r w:rsidR="0076428E">
        <w:rPr>
          <w:rFonts w:ascii="Cambria" w:hAnsi="Cambria"/>
          <w:color w:val="000000" w:themeColor="text1"/>
          <w:sz w:val="20"/>
          <w:szCs w:val="20"/>
        </w:rPr>
        <w:t>p</w:t>
      </w:r>
      <w:r w:rsidR="00C20D40" w:rsidRPr="00703017">
        <w:rPr>
          <w:rFonts w:ascii="Cambria" w:hAnsi="Cambria"/>
          <w:color w:val="000000" w:themeColor="text1"/>
          <w:sz w:val="20"/>
          <w:szCs w:val="20"/>
        </w:rPr>
        <w:t>etitioner</w:t>
      </w:r>
      <w:r w:rsidR="00BF6897" w:rsidRPr="00703017">
        <w:rPr>
          <w:rFonts w:ascii="Cambria" w:hAnsi="Cambria"/>
          <w:color w:val="000000" w:themeColor="text1"/>
          <w:sz w:val="20"/>
          <w:szCs w:val="20"/>
        </w:rPr>
        <w:t xml:space="preserve">’s </w:t>
      </w:r>
      <w:r w:rsidR="00BF6897" w:rsidRPr="00703017">
        <w:rPr>
          <w:rFonts w:ascii="Cambria" w:hAnsi="Cambria"/>
          <w:i/>
          <w:color w:val="000000" w:themeColor="text1"/>
          <w:sz w:val="20"/>
          <w:szCs w:val="20"/>
        </w:rPr>
        <w:t>tutela</w:t>
      </w:r>
      <w:r w:rsidR="00D8121E" w:rsidRPr="00703017">
        <w:rPr>
          <w:rFonts w:ascii="Cambria" w:hAnsi="Cambria"/>
          <w:color w:val="000000" w:themeColor="text1"/>
          <w:sz w:val="20"/>
          <w:szCs w:val="20"/>
        </w:rPr>
        <w:t xml:space="preserve"> action was issued on March 6</w:t>
      </w:r>
      <w:r w:rsidR="00EE13B2" w:rsidRPr="00703017">
        <w:rPr>
          <w:rFonts w:ascii="Cambria" w:hAnsi="Cambria"/>
          <w:color w:val="000000" w:themeColor="text1"/>
          <w:sz w:val="20"/>
          <w:szCs w:val="20"/>
        </w:rPr>
        <w:t>, 2002</w:t>
      </w:r>
      <w:r w:rsidR="00D97DC1" w:rsidRPr="00703017">
        <w:rPr>
          <w:rFonts w:ascii="Cambria" w:hAnsi="Cambria"/>
          <w:color w:val="000000" w:themeColor="text1"/>
          <w:sz w:val="20"/>
          <w:szCs w:val="20"/>
        </w:rPr>
        <w:t>,</w:t>
      </w:r>
      <w:r w:rsidR="00EE13B2" w:rsidRPr="00703017">
        <w:rPr>
          <w:rFonts w:ascii="Cambria" w:hAnsi="Cambria"/>
          <w:color w:val="000000" w:themeColor="text1"/>
          <w:sz w:val="20"/>
          <w:szCs w:val="20"/>
        </w:rPr>
        <w:t xml:space="preserve"> and that the petition was presented on November 5, 2002</w:t>
      </w:r>
      <w:r w:rsidR="004A32D2" w:rsidRPr="00703017">
        <w:rPr>
          <w:rFonts w:ascii="Cambria" w:hAnsi="Cambria"/>
          <w:color w:val="000000" w:themeColor="text1"/>
          <w:sz w:val="20"/>
          <w:szCs w:val="20"/>
        </w:rPr>
        <w:t>; i</w:t>
      </w:r>
      <w:r w:rsidR="00D8121E" w:rsidRPr="00703017">
        <w:rPr>
          <w:rFonts w:ascii="Cambria" w:hAnsi="Cambria"/>
          <w:color w:val="000000" w:themeColor="text1"/>
          <w:sz w:val="20"/>
          <w:szCs w:val="20"/>
        </w:rPr>
        <w:t xml:space="preserve">n other words, </w:t>
      </w:r>
      <w:r w:rsidR="004A32D2" w:rsidRPr="00703017">
        <w:rPr>
          <w:rFonts w:ascii="Cambria" w:hAnsi="Cambria"/>
          <w:color w:val="000000" w:themeColor="text1"/>
          <w:sz w:val="20"/>
          <w:szCs w:val="20"/>
        </w:rPr>
        <w:t xml:space="preserve">that </w:t>
      </w:r>
      <w:r w:rsidR="00D8121E" w:rsidRPr="00703017">
        <w:rPr>
          <w:rFonts w:ascii="Cambria" w:hAnsi="Cambria"/>
          <w:color w:val="000000" w:themeColor="text1"/>
          <w:sz w:val="20"/>
          <w:szCs w:val="20"/>
        </w:rPr>
        <w:t>eight months elapsed between the final</w:t>
      </w:r>
      <w:r w:rsidR="00BF6897" w:rsidRPr="00703017">
        <w:rPr>
          <w:rFonts w:ascii="Cambria" w:hAnsi="Cambria"/>
          <w:color w:val="000000" w:themeColor="text1"/>
          <w:sz w:val="20"/>
          <w:szCs w:val="20"/>
        </w:rPr>
        <w:t xml:space="preserve"> </w:t>
      </w:r>
      <w:r w:rsidR="001C2E5E" w:rsidRPr="00703017">
        <w:rPr>
          <w:rFonts w:ascii="Cambria" w:hAnsi="Cambria"/>
          <w:color w:val="000000" w:themeColor="text1"/>
          <w:sz w:val="20"/>
          <w:szCs w:val="20"/>
        </w:rPr>
        <w:t>judicial</w:t>
      </w:r>
      <w:r w:rsidR="00BF6897" w:rsidRPr="00703017">
        <w:rPr>
          <w:rFonts w:ascii="Cambria" w:hAnsi="Cambria"/>
          <w:color w:val="000000" w:themeColor="text1"/>
          <w:sz w:val="20"/>
          <w:szCs w:val="20"/>
        </w:rPr>
        <w:t xml:space="preserve"> decision and the petition to the IACHR.</w:t>
      </w:r>
    </w:p>
    <w:p w:rsidR="00C06055" w:rsidRPr="00703017" w:rsidRDefault="001C2E5E" w:rsidP="00C060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olor w:val="000000" w:themeColor="text1"/>
          <w:sz w:val="20"/>
          <w:szCs w:val="20"/>
        </w:rPr>
      </w:pPr>
      <w:r w:rsidRPr="00703017">
        <w:rPr>
          <w:rFonts w:ascii="Cambria" w:hAnsi="Cambria"/>
          <w:color w:val="000000" w:themeColor="text1"/>
          <w:sz w:val="20"/>
          <w:szCs w:val="20"/>
        </w:rPr>
        <w:lastRenderedPageBreak/>
        <w:t xml:space="preserve">The State also asserts that the </w:t>
      </w:r>
      <w:r w:rsidR="00A040C6" w:rsidRPr="00703017">
        <w:rPr>
          <w:rFonts w:ascii="Cambria" w:hAnsi="Cambria"/>
          <w:color w:val="000000" w:themeColor="text1"/>
          <w:sz w:val="20"/>
          <w:szCs w:val="20"/>
        </w:rPr>
        <w:t>fact</w:t>
      </w:r>
      <w:r w:rsidRPr="00703017">
        <w:rPr>
          <w:rFonts w:ascii="Cambria" w:hAnsi="Cambria"/>
          <w:color w:val="000000" w:themeColor="text1"/>
          <w:sz w:val="20"/>
          <w:szCs w:val="20"/>
        </w:rPr>
        <w:t xml:space="preserve">s described by the </w:t>
      </w:r>
      <w:r w:rsidR="0076428E">
        <w:rPr>
          <w:rFonts w:ascii="Cambria" w:hAnsi="Cambria"/>
          <w:color w:val="000000" w:themeColor="text1"/>
          <w:sz w:val="20"/>
          <w:szCs w:val="20"/>
        </w:rPr>
        <w:t>alleged victim</w:t>
      </w:r>
      <w:r w:rsidRPr="00703017">
        <w:rPr>
          <w:rFonts w:ascii="Cambria" w:hAnsi="Cambria"/>
          <w:color w:val="000000" w:themeColor="text1"/>
          <w:sz w:val="20"/>
          <w:szCs w:val="20"/>
        </w:rPr>
        <w:t xml:space="preserve"> do not constitute violations of the Convention. In its view, the </w:t>
      </w:r>
      <w:r w:rsidR="00005225">
        <w:rPr>
          <w:rFonts w:ascii="Cambria" w:hAnsi="Cambria"/>
          <w:color w:val="000000" w:themeColor="text1"/>
          <w:sz w:val="20"/>
          <w:szCs w:val="20"/>
        </w:rPr>
        <w:t>p</w:t>
      </w:r>
      <w:r w:rsidR="00C20D40" w:rsidRPr="00703017">
        <w:rPr>
          <w:rFonts w:ascii="Cambria" w:hAnsi="Cambria"/>
          <w:color w:val="000000" w:themeColor="text1"/>
          <w:sz w:val="20"/>
          <w:szCs w:val="20"/>
        </w:rPr>
        <w:t>etitioner</w:t>
      </w:r>
      <w:r w:rsidRPr="00703017">
        <w:rPr>
          <w:rFonts w:ascii="Cambria" w:hAnsi="Cambria"/>
          <w:color w:val="000000" w:themeColor="text1"/>
          <w:sz w:val="20"/>
          <w:szCs w:val="20"/>
        </w:rPr>
        <w:t xml:space="preserve"> is seeking review of a court</w:t>
      </w:r>
      <w:r w:rsidR="00A040C6" w:rsidRPr="00703017">
        <w:rPr>
          <w:rFonts w:ascii="Cambria" w:hAnsi="Cambria"/>
          <w:color w:val="000000" w:themeColor="text1"/>
          <w:sz w:val="20"/>
          <w:szCs w:val="20"/>
        </w:rPr>
        <w:t xml:space="preserve"> ruling only because it is not </w:t>
      </w:r>
      <w:r w:rsidR="00133B90" w:rsidRPr="00703017">
        <w:rPr>
          <w:rFonts w:ascii="Cambria" w:hAnsi="Cambria"/>
          <w:color w:val="000000" w:themeColor="text1"/>
          <w:sz w:val="20"/>
          <w:szCs w:val="20"/>
        </w:rPr>
        <w:t>in</w:t>
      </w:r>
      <w:r w:rsidR="00A040C6" w:rsidRPr="00703017">
        <w:rPr>
          <w:rFonts w:ascii="Cambria" w:hAnsi="Cambria"/>
          <w:color w:val="000000" w:themeColor="text1"/>
          <w:sz w:val="20"/>
          <w:szCs w:val="20"/>
        </w:rPr>
        <w:t xml:space="preserve"> his </w:t>
      </w:r>
      <w:r w:rsidR="00133B90" w:rsidRPr="00703017">
        <w:rPr>
          <w:rFonts w:ascii="Cambria" w:hAnsi="Cambria"/>
          <w:color w:val="000000" w:themeColor="text1"/>
          <w:sz w:val="20"/>
          <w:szCs w:val="20"/>
        </w:rPr>
        <w:t>favor</w:t>
      </w:r>
      <w:r w:rsidRPr="00703017">
        <w:rPr>
          <w:rFonts w:ascii="Cambria" w:hAnsi="Cambria"/>
          <w:color w:val="000000" w:themeColor="text1"/>
          <w:sz w:val="20"/>
          <w:szCs w:val="20"/>
        </w:rPr>
        <w:t>.</w:t>
      </w:r>
      <w:r w:rsidR="00AF45EC" w:rsidRPr="00703017">
        <w:rPr>
          <w:rFonts w:ascii="Cambria" w:hAnsi="Cambria"/>
          <w:color w:val="000000" w:themeColor="text1"/>
          <w:sz w:val="20"/>
          <w:szCs w:val="20"/>
        </w:rPr>
        <w:t xml:space="preserve"> Furthermore, with respect to the publication of the recordings of conversations between former Minister Saulo Arboleda and former Minister Rodrigo Villamizar, </w:t>
      </w:r>
      <w:r w:rsidR="008B67EB" w:rsidRPr="00703017">
        <w:rPr>
          <w:rFonts w:ascii="Cambria" w:hAnsi="Cambria"/>
          <w:color w:val="000000" w:themeColor="text1"/>
          <w:sz w:val="20"/>
          <w:szCs w:val="20"/>
        </w:rPr>
        <w:t xml:space="preserve">Colombia states that this evidence was expressly barred during the criminal proceedings and maintains that the judicial authorities based their decisions on </w:t>
      </w:r>
      <w:r w:rsidR="009700A8" w:rsidRPr="00703017">
        <w:rPr>
          <w:rFonts w:ascii="Cambria" w:hAnsi="Cambria"/>
          <w:color w:val="000000" w:themeColor="text1"/>
          <w:sz w:val="20"/>
          <w:szCs w:val="20"/>
        </w:rPr>
        <w:t>evidence</w:t>
      </w:r>
      <w:r w:rsidR="008B67EB" w:rsidRPr="00703017">
        <w:rPr>
          <w:rFonts w:ascii="Cambria" w:hAnsi="Cambria"/>
          <w:color w:val="000000" w:themeColor="text1"/>
          <w:sz w:val="20"/>
          <w:szCs w:val="20"/>
        </w:rPr>
        <w:t xml:space="preserve"> </w:t>
      </w:r>
      <w:r w:rsidR="00FB389F" w:rsidRPr="00703017">
        <w:rPr>
          <w:rFonts w:ascii="Cambria" w:hAnsi="Cambria"/>
          <w:color w:val="000000" w:themeColor="text1"/>
          <w:sz w:val="20"/>
          <w:szCs w:val="20"/>
        </w:rPr>
        <w:t>other than</w:t>
      </w:r>
      <w:r w:rsidR="008B67EB" w:rsidRPr="00703017">
        <w:rPr>
          <w:rFonts w:ascii="Cambria" w:hAnsi="Cambria"/>
          <w:color w:val="000000" w:themeColor="text1"/>
          <w:sz w:val="20"/>
          <w:szCs w:val="20"/>
        </w:rPr>
        <w:t xml:space="preserve"> this illegally obtained information.</w:t>
      </w:r>
    </w:p>
    <w:p w:rsidR="00C06055" w:rsidRPr="00703017" w:rsidRDefault="00101936" w:rsidP="00C060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sidRPr="00703017">
        <w:rPr>
          <w:rFonts w:ascii="Cambria" w:hAnsi="Cambria"/>
          <w:sz w:val="20"/>
          <w:szCs w:val="20"/>
        </w:rPr>
        <w:t xml:space="preserve">In addition, regarding the </w:t>
      </w:r>
      <w:r w:rsidR="00005225">
        <w:rPr>
          <w:rFonts w:ascii="Cambria" w:hAnsi="Cambria"/>
          <w:sz w:val="20"/>
          <w:szCs w:val="20"/>
        </w:rPr>
        <w:t>p</w:t>
      </w:r>
      <w:r w:rsidR="00C20D40" w:rsidRPr="00703017">
        <w:rPr>
          <w:rFonts w:ascii="Cambria" w:hAnsi="Cambria"/>
          <w:sz w:val="20"/>
          <w:szCs w:val="20"/>
        </w:rPr>
        <w:t>etitioner</w:t>
      </w:r>
      <w:r w:rsidRPr="00703017">
        <w:rPr>
          <w:rFonts w:ascii="Cambria" w:hAnsi="Cambria"/>
          <w:sz w:val="20"/>
          <w:szCs w:val="20"/>
        </w:rPr>
        <w:t xml:space="preserve">’s reference to the existence of new evidence justifying </w:t>
      </w:r>
      <w:r w:rsidR="00470C4A" w:rsidRPr="00703017">
        <w:rPr>
          <w:rFonts w:ascii="Cambria" w:hAnsi="Cambria"/>
          <w:sz w:val="20"/>
          <w:szCs w:val="20"/>
        </w:rPr>
        <w:t xml:space="preserve">the </w:t>
      </w:r>
      <w:r w:rsidRPr="00703017">
        <w:rPr>
          <w:rFonts w:ascii="Cambria" w:hAnsi="Cambria"/>
          <w:sz w:val="20"/>
          <w:szCs w:val="20"/>
        </w:rPr>
        <w:t xml:space="preserve">review of his criminal case, the State indicated that he could avail himself of the action for review, </w:t>
      </w:r>
      <w:r w:rsidR="00862B4A" w:rsidRPr="00703017">
        <w:rPr>
          <w:rFonts w:ascii="Cambria" w:hAnsi="Cambria"/>
          <w:sz w:val="20"/>
          <w:szCs w:val="20"/>
        </w:rPr>
        <w:t xml:space="preserve">which was </w:t>
      </w:r>
      <w:r w:rsidRPr="00703017">
        <w:rPr>
          <w:rFonts w:ascii="Cambria" w:hAnsi="Cambria"/>
          <w:sz w:val="20"/>
          <w:szCs w:val="20"/>
        </w:rPr>
        <w:t>an adequate</w:t>
      </w:r>
      <w:r w:rsidR="00DD241D" w:rsidRPr="00703017">
        <w:rPr>
          <w:rFonts w:ascii="Cambria" w:hAnsi="Cambria"/>
          <w:sz w:val="20"/>
          <w:szCs w:val="20"/>
        </w:rPr>
        <w:t xml:space="preserve"> national </w:t>
      </w:r>
      <w:r w:rsidR="00526E6A" w:rsidRPr="00703017">
        <w:rPr>
          <w:rFonts w:ascii="Cambria" w:hAnsi="Cambria"/>
          <w:sz w:val="20"/>
          <w:szCs w:val="20"/>
        </w:rPr>
        <w:t>legal</w:t>
      </w:r>
      <w:r w:rsidR="00DD241D" w:rsidRPr="00703017">
        <w:rPr>
          <w:rFonts w:ascii="Cambria" w:hAnsi="Cambria"/>
          <w:sz w:val="20"/>
          <w:szCs w:val="20"/>
        </w:rPr>
        <w:t xml:space="preserve"> mechanism</w:t>
      </w:r>
      <w:r w:rsidRPr="00703017">
        <w:rPr>
          <w:rFonts w:ascii="Cambria" w:hAnsi="Cambria"/>
          <w:sz w:val="20"/>
          <w:szCs w:val="20"/>
        </w:rPr>
        <w:t xml:space="preserve"> </w:t>
      </w:r>
      <w:r w:rsidR="00233E4D" w:rsidRPr="00703017">
        <w:rPr>
          <w:rFonts w:ascii="Cambria" w:hAnsi="Cambria"/>
          <w:sz w:val="20"/>
          <w:szCs w:val="20"/>
        </w:rPr>
        <w:t>designed</w:t>
      </w:r>
      <w:r w:rsidR="00526E6A" w:rsidRPr="00703017">
        <w:rPr>
          <w:rFonts w:ascii="Cambria" w:hAnsi="Cambria"/>
          <w:sz w:val="20"/>
          <w:szCs w:val="20"/>
        </w:rPr>
        <w:t xml:space="preserve"> to resolve</w:t>
      </w:r>
      <w:r w:rsidR="00DD241D" w:rsidRPr="00703017">
        <w:rPr>
          <w:rFonts w:ascii="Cambria" w:hAnsi="Cambria"/>
          <w:sz w:val="20"/>
          <w:szCs w:val="20"/>
        </w:rPr>
        <w:t xml:space="preserve"> </w:t>
      </w:r>
      <w:r w:rsidRPr="00703017">
        <w:rPr>
          <w:rFonts w:ascii="Cambria" w:hAnsi="Cambria"/>
          <w:sz w:val="20"/>
          <w:szCs w:val="20"/>
        </w:rPr>
        <w:t xml:space="preserve">the legal situation </w:t>
      </w:r>
      <w:r w:rsidR="00601CA0" w:rsidRPr="00703017">
        <w:rPr>
          <w:rFonts w:ascii="Cambria" w:hAnsi="Cambria"/>
          <w:sz w:val="20"/>
          <w:szCs w:val="20"/>
        </w:rPr>
        <w:t>described</w:t>
      </w:r>
      <w:r w:rsidRPr="00703017">
        <w:rPr>
          <w:rFonts w:ascii="Cambria" w:hAnsi="Cambria"/>
          <w:sz w:val="20"/>
          <w:szCs w:val="20"/>
        </w:rPr>
        <w:t xml:space="preserve">. On that basis, it </w:t>
      </w:r>
      <w:r w:rsidR="00D20195" w:rsidRPr="00703017">
        <w:rPr>
          <w:rFonts w:ascii="Cambria" w:hAnsi="Cambria"/>
          <w:sz w:val="20"/>
          <w:szCs w:val="20"/>
        </w:rPr>
        <w:t>claimed non-exhaustion of domestic remedies</w:t>
      </w:r>
      <w:r w:rsidRPr="00703017">
        <w:rPr>
          <w:rFonts w:ascii="Cambria" w:hAnsi="Cambria"/>
          <w:sz w:val="20"/>
          <w:szCs w:val="20"/>
        </w:rPr>
        <w:t>.</w:t>
      </w:r>
    </w:p>
    <w:p w:rsidR="00C06055" w:rsidRPr="00703017" w:rsidRDefault="00FF5B00" w:rsidP="00C060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olor w:val="000000" w:themeColor="text1"/>
          <w:sz w:val="20"/>
          <w:szCs w:val="20"/>
        </w:rPr>
      </w:pPr>
      <w:r w:rsidRPr="00703017">
        <w:rPr>
          <w:rFonts w:ascii="Cambria" w:hAnsi="Cambria"/>
          <w:color w:val="000000" w:themeColor="text1"/>
          <w:sz w:val="20"/>
          <w:szCs w:val="20"/>
        </w:rPr>
        <w:t xml:space="preserve">Lastly, it argues that the IACHR is not a court of appeal with the power to review decisions </w:t>
      </w:r>
      <w:r w:rsidR="00510C19" w:rsidRPr="00703017">
        <w:rPr>
          <w:rFonts w:ascii="Cambria" w:hAnsi="Cambria"/>
          <w:color w:val="000000" w:themeColor="text1"/>
          <w:sz w:val="20"/>
          <w:szCs w:val="20"/>
        </w:rPr>
        <w:t>made</w:t>
      </w:r>
      <w:r w:rsidRPr="00703017">
        <w:rPr>
          <w:rFonts w:ascii="Cambria" w:hAnsi="Cambria"/>
          <w:color w:val="000000" w:themeColor="text1"/>
          <w:sz w:val="20"/>
          <w:szCs w:val="20"/>
        </w:rPr>
        <w:t xml:space="preserve"> by domestic courts in accordance with the law and due process</w:t>
      </w:r>
      <w:r w:rsidR="002E792A" w:rsidRPr="00703017">
        <w:rPr>
          <w:rFonts w:ascii="Cambria" w:hAnsi="Cambria"/>
          <w:color w:val="000000" w:themeColor="text1"/>
          <w:sz w:val="20"/>
          <w:szCs w:val="20"/>
        </w:rPr>
        <w:t>.</w:t>
      </w:r>
      <w:r w:rsidR="008B6EE7" w:rsidRPr="00703017">
        <w:rPr>
          <w:rFonts w:ascii="Cambria" w:hAnsi="Cambria"/>
          <w:color w:val="000000" w:themeColor="text1"/>
          <w:sz w:val="20"/>
          <w:szCs w:val="20"/>
        </w:rPr>
        <w:t xml:space="preserve"> B</w:t>
      </w:r>
      <w:r w:rsidRPr="00703017">
        <w:rPr>
          <w:rFonts w:ascii="Cambria" w:hAnsi="Cambria"/>
          <w:color w:val="000000" w:themeColor="text1"/>
          <w:sz w:val="20"/>
          <w:szCs w:val="20"/>
        </w:rPr>
        <w:t xml:space="preserve">y </w:t>
      </w:r>
      <w:r w:rsidR="002E792A" w:rsidRPr="00703017">
        <w:rPr>
          <w:rFonts w:ascii="Cambria" w:hAnsi="Cambria"/>
          <w:color w:val="000000" w:themeColor="text1"/>
          <w:sz w:val="20"/>
          <w:szCs w:val="20"/>
        </w:rPr>
        <w:t>accepting the petition</w:t>
      </w:r>
      <w:r w:rsidRPr="00703017">
        <w:rPr>
          <w:rFonts w:ascii="Cambria" w:hAnsi="Cambria"/>
          <w:color w:val="000000" w:themeColor="text1"/>
          <w:sz w:val="20"/>
          <w:szCs w:val="20"/>
        </w:rPr>
        <w:t xml:space="preserve">, it would </w:t>
      </w:r>
      <w:r w:rsidR="003411C3" w:rsidRPr="00703017">
        <w:rPr>
          <w:rFonts w:ascii="Cambria" w:hAnsi="Cambria"/>
          <w:color w:val="000000" w:themeColor="text1"/>
          <w:sz w:val="20"/>
          <w:szCs w:val="20"/>
        </w:rPr>
        <w:t xml:space="preserve">be </w:t>
      </w:r>
      <w:r w:rsidRPr="00703017">
        <w:rPr>
          <w:rFonts w:ascii="Cambria" w:hAnsi="Cambria"/>
          <w:color w:val="000000" w:themeColor="text1"/>
          <w:sz w:val="20"/>
          <w:szCs w:val="20"/>
        </w:rPr>
        <w:t>act</w:t>
      </w:r>
      <w:r w:rsidR="003411C3" w:rsidRPr="00703017">
        <w:rPr>
          <w:rFonts w:ascii="Cambria" w:hAnsi="Cambria"/>
          <w:color w:val="000000" w:themeColor="text1"/>
          <w:sz w:val="20"/>
          <w:szCs w:val="20"/>
        </w:rPr>
        <w:t>ing</w:t>
      </w:r>
      <w:r w:rsidRPr="00703017">
        <w:rPr>
          <w:rFonts w:ascii="Cambria" w:hAnsi="Cambria"/>
          <w:color w:val="000000" w:themeColor="text1"/>
          <w:sz w:val="20"/>
          <w:szCs w:val="20"/>
        </w:rPr>
        <w:t xml:space="preserve"> as a “fourth instance</w:t>
      </w:r>
      <w:r w:rsidR="00C3179E" w:rsidRPr="00703017">
        <w:rPr>
          <w:rFonts w:ascii="Cambria" w:hAnsi="Cambria"/>
          <w:color w:val="000000" w:themeColor="text1"/>
          <w:sz w:val="20"/>
          <w:szCs w:val="20"/>
        </w:rPr>
        <w:t xml:space="preserve">,” which </w:t>
      </w:r>
      <w:r w:rsidR="008B6EE7" w:rsidRPr="00703017">
        <w:rPr>
          <w:rFonts w:ascii="Cambria" w:hAnsi="Cambria"/>
          <w:color w:val="000000" w:themeColor="text1"/>
          <w:sz w:val="20"/>
          <w:szCs w:val="20"/>
        </w:rPr>
        <w:t>is yet</w:t>
      </w:r>
      <w:r w:rsidR="00C3179E" w:rsidRPr="00703017">
        <w:rPr>
          <w:rFonts w:ascii="Cambria" w:hAnsi="Cambria"/>
          <w:color w:val="000000" w:themeColor="text1"/>
          <w:sz w:val="20"/>
          <w:szCs w:val="20"/>
        </w:rPr>
        <w:t xml:space="preserve"> another reason for which the petition should not be admitted.</w:t>
      </w:r>
    </w:p>
    <w:p w:rsidR="00C06055" w:rsidRPr="00703017" w:rsidRDefault="00C06055" w:rsidP="00C06055">
      <w:pPr>
        <w:spacing w:after="240"/>
        <w:ind w:firstLine="720"/>
        <w:jc w:val="both"/>
        <w:rPr>
          <w:rFonts w:ascii="Cambria" w:hAnsi="Cambria"/>
          <w:b/>
          <w:bCs/>
          <w:color w:val="000000" w:themeColor="text1"/>
          <w:sz w:val="20"/>
          <w:szCs w:val="20"/>
        </w:rPr>
      </w:pPr>
      <w:r w:rsidRPr="00703017">
        <w:rPr>
          <w:rFonts w:ascii="Cambria" w:hAnsi="Cambria"/>
          <w:b/>
          <w:bCs/>
          <w:color w:val="000000" w:themeColor="text1"/>
          <w:sz w:val="20"/>
          <w:szCs w:val="20"/>
        </w:rPr>
        <w:t>IV.</w:t>
      </w:r>
      <w:r w:rsidRPr="00703017">
        <w:rPr>
          <w:rFonts w:ascii="Cambria" w:hAnsi="Cambria"/>
          <w:b/>
          <w:bCs/>
          <w:color w:val="000000" w:themeColor="text1"/>
          <w:sz w:val="20"/>
          <w:szCs w:val="20"/>
        </w:rPr>
        <w:tab/>
      </w:r>
      <w:r w:rsidR="00B308C7" w:rsidRPr="00703017">
        <w:rPr>
          <w:rFonts w:ascii="Cambria" w:hAnsi="Cambria"/>
          <w:b/>
          <w:bCs/>
          <w:color w:val="000000" w:themeColor="text1"/>
          <w:sz w:val="20"/>
          <w:szCs w:val="20"/>
        </w:rPr>
        <w:t>ANALYSIS OF COMPETENCE AND ADMISSIBILITY</w:t>
      </w:r>
    </w:p>
    <w:p w:rsidR="00C06055" w:rsidRPr="00703017" w:rsidRDefault="00C06055" w:rsidP="00C06055">
      <w:pPr>
        <w:spacing w:after="240"/>
        <w:ind w:firstLine="720"/>
        <w:jc w:val="both"/>
        <w:rPr>
          <w:rFonts w:ascii="Cambria" w:hAnsi="Cambria"/>
          <w:color w:val="000000" w:themeColor="text1"/>
          <w:sz w:val="20"/>
          <w:szCs w:val="20"/>
        </w:rPr>
      </w:pPr>
      <w:r w:rsidRPr="00703017">
        <w:rPr>
          <w:rFonts w:ascii="Cambria" w:hAnsi="Cambria"/>
          <w:b/>
          <w:bCs/>
          <w:color w:val="000000" w:themeColor="text1"/>
          <w:sz w:val="20"/>
          <w:szCs w:val="20"/>
        </w:rPr>
        <w:t>A.</w:t>
      </w:r>
      <w:r w:rsidRPr="00703017">
        <w:rPr>
          <w:rFonts w:ascii="Cambria" w:hAnsi="Cambria"/>
          <w:b/>
          <w:bCs/>
          <w:color w:val="000000" w:themeColor="text1"/>
          <w:sz w:val="20"/>
          <w:szCs w:val="20"/>
        </w:rPr>
        <w:tab/>
      </w:r>
      <w:r w:rsidR="00B308C7" w:rsidRPr="00703017">
        <w:rPr>
          <w:rFonts w:ascii="Cambria" w:hAnsi="Cambria"/>
          <w:b/>
          <w:bCs/>
          <w:color w:val="000000" w:themeColor="text1"/>
          <w:sz w:val="20"/>
          <w:szCs w:val="20"/>
        </w:rPr>
        <w:t>Competence</w:t>
      </w:r>
    </w:p>
    <w:p w:rsidR="00B308C7" w:rsidRPr="00703017" w:rsidRDefault="00B308C7" w:rsidP="00C06055">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SimSun" w:hAnsi="Cambria"/>
          <w:sz w:val="20"/>
          <w:szCs w:val="20"/>
        </w:rPr>
      </w:pPr>
      <w:r w:rsidRPr="00703017">
        <w:rPr>
          <w:rFonts w:ascii="Cambria" w:eastAsia="SimSun" w:hAnsi="Cambria"/>
          <w:sz w:val="20"/>
          <w:szCs w:val="20"/>
        </w:rPr>
        <w:t xml:space="preserve">Under </w:t>
      </w:r>
      <w:r w:rsidR="00005225" w:rsidRPr="00703017">
        <w:rPr>
          <w:rFonts w:ascii="Cambria" w:eastAsia="SimSun" w:hAnsi="Cambria"/>
          <w:sz w:val="20"/>
          <w:szCs w:val="20"/>
        </w:rPr>
        <w:t xml:space="preserve">Article 44 of the American Convention </w:t>
      </w:r>
      <w:r w:rsidR="00005225">
        <w:rPr>
          <w:rFonts w:ascii="Cambria" w:eastAsia="SimSun" w:hAnsi="Cambria"/>
          <w:sz w:val="20"/>
          <w:szCs w:val="20"/>
        </w:rPr>
        <w:t xml:space="preserve">and </w:t>
      </w:r>
      <w:r w:rsidRPr="00703017">
        <w:rPr>
          <w:rFonts w:ascii="Cambria" w:eastAsia="SimSun" w:hAnsi="Cambria"/>
          <w:sz w:val="20"/>
          <w:szCs w:val="20"/>
        </w:rPr>
        <w:t xml:space="preserve">Article 23 of the Rules of Procedure, the </w:t>
      </w:r>
      <w:r w:rsidR="00005225">
        <w:rPr>
          <w:rFonts w:ascii="Cambria" w:eastAsia="SimSun" w:hAnsi="Cambria"/>
          <w:sz w:val="20"/>
          <w:szCs w:val="20"/>
        </w:rPr>
        <w:t>p</w:t>
      </w:r>
      <w:r w:rsidR="00C20D40" w:rsidRPr="00703017">
        <w:rPr>
          <w:rFonts w:ascii="Cambria" w:eastAsia="SimSun" w:hAnsi="Cambria"/>
          <w:sz w:val="20"/>
          <w:szCs w:val="20"/>
        </w:rPr>
        <w:t>etitioner</w:t>
      </w:r>
      <w:r w:rsidRPr="00703017">
        <w:rPr>
          <w:rFonts w:ascii="Cambria" w:eastAsia="SimSun" w:hAnsi="Cambria"/>
          <w:sz w:val="20"/>
          <w:szCs w:val="20"/>
        </w:rPr>
        <w:t xml:space="preserve"> may </w:t>
      </w:r>
      <w:r w:rsidR="00005225">
        <w:rPr>
          <w:rFonts w:ascii="Cambria" w:eastAsia="SimSun" w:hAnsi="Cambria"/>
          <w:sz w:val="20"/>
          <w:szCs w:val="20"/>
        </w:rPr>
        <w:t>submit</w:t>
      </w:r>
      <w:r w:rsidRPr="00703017">
        <w:rPr>
          <w:rFonts w:ascii="Cambria" w:eastAsia="SimSun" w:hAnsi="Cambria"/>
          <w:sz w:val="20"/>
          <w:szCs w:val="20"/>
        </w:rPr>
        <w:t xml:space="preserve"> petitions </w:t>
      </w:r>
      <w:r w:rsidR="00005225">
        <w:rPr>
          <w:rFonts w:ascii="Cambria" w:eastAsia="SimSun" w:hAnsi="Cambria"/>
          <w:sz w:val="20"/>
          <w:szCs w:val="20"/>
        </w:rPr>
        <w:t>to</w:t>
      </w:r>
      <w:r w:rsidRPr="00703017">
        <w:rPr>
          <w:rFonts w:ascii="Cambria" w:eastAsia="SimSun" w:hAnsi="Cambria"/>
          <w:sz w:val="20"/>
          <w:szCs w:val="20"/>
        </w:rPr>
        <w:t xml:space="preserve"> the Commission. This petition </w:t>
      </w:r>
      <w:r w:rsidR="003A7F17" w:rsidRPr="00703017">
        <w:rPr>
          <w:rFonts w:ascii="Cambria" w:eastAsia="SimSun" w:hAnsi="Cambria"/>
          <w:sz w:val="20"/>
          <w:szCs w:val="20"/>
        </w:rPr>
        <w:t xml:space="preserve">names as the alleged victim an individual whose rights under the American Convention the State agreed to respect and </w:t>
      </w:r>
      <w:r w:rsidR="00311D4A" w:rsidRPr="00703017">
        <w:rPr>
          <w:rFonts w:ascii="Cambria" w:eastAsia="SimSun" w:hAnsi="Cambria"/>
          <w:sz w:val="20"/>
          <w:szCs w:val="20"/>
        </w:rPr>
        <w:t>protect</w:t>
      </w:r>
      <w:r w:rsidR="003A7F17" w:rsidRPr="00703017">
        <w:rPr>
          <w:rFonts w:ascii="Cambria" w:eastAsia="SimSun" w:hAnsi="Cambria"/>
          <w:sz w:val="20"/>
          <w:szCs w:val="20"/>
        </w:rPr>
        <w:t xml:space="preserve"> as from July 31, 1973, </w:t>
      </w:r>
      <w:r w:rsidR="006F2E9F" w:rsidRPr="00703017">
        <w:rPr>
          <w:rFonts w:ascii="Cambria" w:eastAsia="SimSun" w:hAnsi="Cambria"/>
          <w:sz w:val="20"/>
          <w:szCs w:val="20"/>
        </w:rPr>
        <w:t>when</w:t>
      </w:r>
      <w:r w:rsidR="003A7F17" w:rsidRPr="00703017">
        <w:rPr>
          <w:rFonts w:ascii="Cambria" w:eastAsia="SimSun" w:hAnsi="Cambria"/>
          <w:sz w:val="20"/>
          <w:szCs w:val="20"/>
        </w:rPr>
        <w:t xml:space="preserve"> it deposited its instrument of ratification. </w:t>
      </w:r>
      <w:r w:rsidR="007C239C" w:rsidRPr="00703017">
        <w:rPr>
          <w:rFonts w:ascii="Cambria" w:eastAsia="SimSun" w:hAnsi="Cambria"/>
          <w:sz w:val="20"/>
          <w:szCs w:val="20"/>
        </w:rPr>
        <w:t xml:space="preserve">Therefore, the Commission has </w:t>
      </w:r>
      <w:r w:rsidR="004530A8" w:rsidRPr="00703017">
        <w:rPr>
          <w:rFonts w:ascii="Cambria" w:eastAsia="SimSun" w:hAnsi="Cambria"/>
          <w:sz w:val="20"/>
          <w:szCs w:val="20"/>
        </w:rPr>
        <w:t>competence</w:t>
      </w:r>
      <w:r w:rsidR="007C239C" w:rsidRPr="00703017">
        <w:rPr>
          <w:rFonts w:ascii="Cambria" w:eastAsia="SimSun" w:hAnsi="Cambria"/>
          <w:sz w:val="20"/>
          <w:szCs w:val="20"/>
        </w:rPr>
        <w:t xml:space="preserve"> </w:t>
      </w:r>
      <w:r w:rsidR="007C239C" w:rsidRPr="00703017">
        <w:rPr>
          <w:rFonts w:ascii="Cambria" w:eastAsia="SimSun" w:hAnsi="Cambria"/>
          <w:i/>
          <w:sz w:val="20"/>
          <w:szCs w:val="20"/>
        </w:rPr>
        <w:t>ratione personae</w:t>
      </w:r>
      <w:r w:rsidR="007C239C" w:rsidRPr="00703017">
        <w:rPr>
          <w:rFonts w:ascii="Cambria" w:eastAsia="SimSun" w:hAnsi="Cambria"/>
          <w:sz w:val="20"/>
          <w:szCs w:val="20"/>
        </w:rPr>
        <w:t xml:space="preserve"> to consider the petition.</w:t>
      </w:r>
    </w:p>
    <w:p w:rsidR="00C06055" w:rsidRPr="00703017" w:rsidRDefault="006F2E9F" w:rsidP="00C06055">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SimSun" w:hAnsi="Cambria"/>
          <w:sz w:val="20"/>
          <w:szCs w:val="20"/>
        </w:rPr>
      </w:pPr>
      <w:r w:rsidRPr="00703017">
        <w:rPr>
          <w:rFonts w:ascii="Cambria" w:eastAsia="SimSun" w:hAnsi="Cambria"/>
          <w:sz w:val="20"/>
          <w:szCs w:val="20"/>
        </w:rPr>
        <w:t xml:space="preserve">The Commission has </w:t>
      </w:r>
      <w:r w:rsidR="004530A8" w:rsidRPr="00703017">
        <w:rPr>
          <w:rFonts w:ascii="Cambria" w:eastAsia="SimSun" w:hAnsi="Cambria"/>
          <w:sz w:val="20"/>
          <w:szCs w:val="20"/>
        </w:rPr>
        <w:t>competence</w:t>
      </w:r>
      <w:r w:rsidRPr="00703017">
        <w:rPr>
          <w:rFonts w:ascii="Cambria" w:eastAsia="SimSun" w:hAnsi="Cambria"/>
          <w:sz w:val="20"/>
          <w:szCs w:val="20"/>
        </w:rPr>
        <w:t xml:space="preserve"> </w:t>
      </w:r>
      <w:r w:rsidRPr="00703017">
        <w:rPr>
          <w:rFonts w:ascii="Cambria" w:eastAsia="SimSun" w:hAnsi="Cambria"/>
          <w:i/>
          <w:sz w:val="20"/>
          <w:szCs w:val="20"/>
        </w:rPr>
        <w:t xml:space="preserve">ratione loci </w:t>
      </w:r>
      <w:r w:rsidRPr="00703017">
        <w:rPr>
          <w:rFonts w:ascii="Cambria" w:eastAsia="SimSun" w:hAnsi="Cambria"/>
          <w:sz w:val="20"/>
          <w:szCs w:val="20"/>
        </w:rPr>
        <w:t xml:space="preserve">to consider the petition because the alleged </w:t>
      </w:r>
      <w:r w:rsidR="00B141AD" w:rsidRPr="00703017">
        <w:rPr>
          <w:rFonts w:ascii="Cambria" w:eastAsia="SimSun" w:hAnsi="Cambria"/>
          <w:sz w:val="20"/>
          <w:szCs w:val="20"/>
        </w:rPr>
        <w:t>fact</w:t>
      </w:r>
      <w:r w:rsidRPr="00703017">
        <w:rPr>
          <w:rFonts w:ascii="Cambria" w:eastAsia="SimSun" w:hAnsi="Cambria"/>
          <w:sz w:val="20"/>
          <w:szCs w:val="20"/>
        </w:rPr>
        <w:t xml:space="preserve">s occurred within the jurisdiction of a </w:t>
      </w:r>
      <w:r w:rsidR="00F85413" w:rsidRPr="00703017">
        <w:rPr>
          <w:rFonts w:ascii="Cambria" w:eastAsia="SimSun" w:hAnsi="Cambria"/>
          <w:sz w:val="20"/>
          <w:szCs w:val="20"/>
        </w:rPr>
        <w:t>s</w:t>
      </w:r>
      <w:r w:rsidRPr="00703017">
        <w:rPr>
          <w:rFonts w:ascii="Cambria" w:eastAsia="SimSun" w:hAnsi="Cambria"/>
          <w:sz w:val="20"/>
          <w:szCs w:val="20"/>
        </w:rPr>
        <w:t xml:space="preserve">tate party to the American Convention. The Commission also has </w:t>
      </w:r>
      <w:r w:rsidR="004530A8" w:rsidRPr="00703017">
        <w:rPr>
          <w:rFonts w:ascii="Cambria" w:eastAsia="SimSun" w:hAnsi="Cambria"/>
          <w:sz w:val="20"/>
          <w:szCs w:val="20"/>
        </w:rPr>
        <w:t>competence</w:t>
      </w:r>
      <w:r w:rsidRPr="00703017">
        <w:rPr>
          <w:rFonts w:ascii="Cambria" w:eastAsia="SimSun" w:hAnsi="Cambria"/>
          <w:sz w:val="20"/>
          <w:szCs w:val="20"/>
        </w:rPr>
        <w:t xml:space="preserve"> </w:t>
      </w:r>
      <w:r w:rsidRPr="00703017">
        <w:rPr>
          <w:rFonts w:ascii="Cambria" w:eastAsia="SimSun" w:hAnsi="Cambria"/>
          <w:i/>
          <w:sz w:val="20"/>
          <w:szCs w:val="20"/>
        </w:rPr>
        <w:t>ratione temporis</w:t>
      </w:r>
      <w:r w:rsidRPr="00703017">
        <w:rPr>
          <w:rFonts w:ascii="Cambria" w:eastAsia="SimSun" w:hAnsi="Cambria"/>
          <w:sz w:val="20"/>
          <w:szCs w:val="20"/>
        </w:rPr>
        <w:t xml:space="preserve"> </w:t>
      </w:r>
      <w:r w:rsidR="00510C19" w:rsidRPr="00703017">
        <w:rPr>
          <w:rFonts w:ascii="Cambria" w:eastAsia="SimSun" w:hAnsi="Cambria"/>
          <w:sz w:val="20"/>
          <w:szCs w:val="20"/>
        </w:rPr>
        <w:t xml:space="preserve">under the American Convention </w:t>
      </w:r>
      <w:r w:rsidR="004A6827" w:rsidRPr="00703017">
        <w:rPr>
          <w:rFonts w:ascii="Cambria" w:eastAsia="SimSun" w:hAnsi="Cambria"/>
          <w:sz w:val="20"/>
          <w:szCs w:val="20"/>
        </w:rPr>
        <w:t xml:space="preserve">because the </w:t>
      </w:r>
      <w:r w:rsidR="00B141AD" w:rsidRPr="00703017">
        <w:rPr>
          <w:rFonts w:ascii="Cambria" w:eastAsia="SimSun" w:hAnsi="Cambria"/>
          <w:sz w:val="20"/>
          <w:szCs w:val="20"/>
        </w:rPr>
        <w:t>fact</w:t>
      </w:r>
      <w:r w:rsidR="004A6827" w:rsidRPr="00703017">
        <w:rPr>
          <w:rFonts w:ascii="Cambria" w:eastAsia="SimSun" w:hAnsi="Cambria"/>
          <w:sz w:val="20"/>
          <w:szCs w:val="20"/>
        </w:rPr>
        <w:t xml:space="preserve">s occurred after the ratification </w:t>
      </w:r>
      <w:r w:rsidR="006F23C3" w:rsidRPr="00703017">
        <w:rPr>
          <w:rFonts w:ascii="Cambria" w:eastAsia="SimSun" w:hAnsi="Cambria"/>
          <w:sz w:val="20"/>
          <w:szCs w:val="20"/>
        </w:rPr>
        <w:t>of said treaty</w:t>
      </w:r>
      <w:r w:rsidR="004A6827" w:rsidRPr="00703017">
        <w:rPr>
          <w:rFonts w:ascii="Cambria" w:eastAsia="SimSun" w:hAnsi="Cambria"/>
          <w:sz w:val="20"/>
          <w:szCs w:val="20"/>
        </w:rPr>
        <w:t xml:space="preserve">. Lastly, the Commission has </w:t>
      </w:r>
      <w:r w:rsidR="004530A8" w:rsidRPr="00703017">
        <w:rPr>
          <w:rFonts w:ascii="Cambria" w:eastAsia="SimSun" w:hAnsi="Cambria"/>
          <w:sz w:val="20"/>
          <w:szCs w:val="20"/>
        </w:rPr>
        <w:t>competence</w:t>
      </w:r>
      <w:r w:rsidRPr="00703017">
        <w:rPr>
          <w:rFonts w:ascii="Cambria" w:eastAsia="SimSun" w:hAnsi="Cambria"/>
          <w:sz w:val="20"/>
          <w:szCs w:val="20"/>
        </w:rPr>
        <w:t xml:space="preserve"> </w:t>
      </w:r>
      <w:r w:rsidRPr="00703017">
        <w:rPr>
          <w:rFonts w:ascii="Cambria" w:eastAsia="SimSun" w:hAnsi="Cambria"/>
          <w:i/>
          <w:sz w:val="20"/>
          <w:szCs w:val="20"/>
        </w:rPr>
        <w:t>ratione materiae</w:t>
      </w:r>
      <w:r w:rsidRPr="00703017">
        <w:rPr>
          <w:rFonts w:ascii="Cambria" w:eastAsia="SimSun" w:hAnsi="Cambria"/>
          <w:sz w:val="20"/>
          <w:szCs w:val="20"/>
        </w:rPr>
        <w:t xml:space="preserve"> </w:t>
      </w:r>
      <w:r w:rsidR="00D2680D" w:rsidRPr="00703017">
        <w:rPr>
          <w:rFonts w:ascii="Cambria" w:eastAsia="SimSun" w:hAnsi="Cambria"/>
          <w:sz w:val="20"/>
          <w:szCs w:val="20"/>
        </w:rPr>
        <w:t>because the alleg</w:t>
      </w:r>
      <w:r w:rsidR="00B141AD" w:rsidRPr="00703017">
        <w:rPr>
          <w:rFonts w:ascii="Cambria" w:eastAsia="SimSun" w:hAnsi="Cambria"/>
          <w:sz w:val="20"/>
          <w:szCs w:val="20"/>
        </w:rPr>
        <w:t>ed facts</w:t>
      </w:r>
      <w:r w:rsidR="00D2680D" w:rsidRPr="00703017">
        <w:rPr>
          <w:rFonts w:ascii="Cambria" w:eastAsia="SimSun" w:hAnsi="Cambria"/>
          <w:sz w:val="20"/>
          <w:szCs w:val="20"/>
        </w:rPr>
        <w:t xml:space="preserve"> involve possible violations of rights protected by the American Convention.</w:t>
      </w:r>
    </w:p>
    <w:p w:rsidR="00C06055" w:rsidRPr="00703017" w:rsidRDefault="00B141AD" w:rsidP="00C06055">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hAnsi="Cambria"/>
          <w:b/>
          <w:sz w:val="20"/>
          <w:szCs w:val="20"/>
        </w:rPr>
      </w:pPr>
      <w:r w:rsidRPr="00703017">
        <w:rPr>
          <w:rFonts w:ascii="Cambria" w:hAnsi="Cambria"/>
          <w:b/>
          <w:bCs/>
          <w:sz w:val="20"/>
          <w:szCs w:val="20"/>
        </w:rPr>
        <w:t>Admissibility Requirements</w:t>
      </w:r>
    </w:p>
    <w:p w:rsidR="00C06055" w:rsidRPr="00703017" w:rsidRDefault="00C06055" w:rsidP="00C06055">
      <w:pPr>
        <w:spacing w:after="240"/>
        <w:ind w:firstLine="720"/>
        <w:jc w:val="both"/>
        <w:rPr>
          <w:rFonts w:ascii="Cambria" w:hAnsi="Cambria"/>
          <w:b/>
          <w:sz w:val="20"/>
          <w:szCs w:val="20"/>
        </w:rPr>
      </w:pPr>
      <w:r w:rsidRPr="00703017">
        <w:rPr>
          <w:rFonts w:ascii="Cambria" w:hAnsi="Cambria"/>
          <w:b/>
          <w:sz w:val="20"/>
          <w:szCs w:val="20"/>
        </w:rPr>
        <w:t>1.</w:t>
      </w:r>
      <w:r w:rsidRPr="00703017">
        <w:rPr>
          <w:rFonts w:ascii="Cambria" w:hAnsi="Cambria"/>
          <w:b/>
          <w:sz w:val="20"/>
          <w:szCs w:val="20"/>
        </w:rPr>
        <w:tab/>
      </w:r>
      <w:r w:rsidR="00B141AD" w:rsidRPr="00703017">
        <w:rPr>
          <w:rFonts w:ascii="Cambria" w:hAnsi="Cambria"/>
          <w:b/>
          <w:sz w:val="20"/>
          <w:szCs w:val="20"/>
        </w:rPr>
        <w:t>Exhaustion of domestic remedies</w:t>
      </w:r>
    </w:p>
    <w:p w:rsidR="000D3350" w:rsidRPr="00703017" w:rsidRDefault="00667A30" w:rsidP="008D5A44">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3017">
        <w:rPr>
          <w:rFonts w:ascii="Cambria" w:hAnsi="Cambria"/>
          <w:sz w:val="20"/>
          <w:szCs w:val="20"/>
        </w:rPr>
        <w:t>Article 46</w:t>
      </w:r>
      <w:r w:rsidR="00CC760B" w:rsidRPr="00703017">
        <w:rPr>
          <w:rFonts w:ascii="Cambria" w:hAnsi="Cambria"/>
          <w:sz w:val="20"/>
          <w:szCs w:val="20"/>
        </w:rPr>
        <w:t>(1)(a)</w:t>
      </w:r>
      <w:r w:rsidRPr="00703017">
        <w:rPr>
          <w:rFonts w:ascii="Cambria" w:hAnsi="Cambria"/>
          <w:sz w:val="20"/>
          <w:szCs w:val="20"/>
        </w:rPr>
        <w:t xml:space="preserve"> of the American Convention and Article 31</w:t>
      </w:r>
      <w:r w:rsidR="00CC760B" w:rsidRPr="00703017">
        <w:rPr>
          <w:rFonts w:ascii="Cambria" w:hAnsi="Cambria"/>
          <w:sz w:val="20"/>
          <w:szCs w:val="20"/>
        </w:rPr>
        <w:t>(1)</w:t>
      </w:r>
      <w:r w:rsidRPr="00703017">
        <w:rPr>
          <w:rFonts w:ascii="Cambria" w:hAnsi="Cambria"/>
          <w:sz w:val="20"/>
          <w:szCs w:val="20"/>
        </w:rPr>
        <w:t xml:space="preserve"> of the Rules of Procedure </w:t>
      </w:r>
      <w:r w:rsidR="004C264C" w:rsidRPr="00703017">
        <w:rPr>
          <w:rFonts w:ascii="Cambria" w:hAnsi="Cambria"/>
          <w:sz w:val="20"/>
          <w:szCs w:val="20"/>
        </w:rPr>
        <w:t xml:space="preserve">make admission </w:t>
      </w:r>
      <w:r w:rsidR="007058D5" w:rsidRPr="00703017">
        <w:rPr>
          <w:rFonts w:ascii="Cambria" w:hAnsi="Cambria"/>
          <w:sz w:val="20"/>
          <w:szCs w:val="20"/>
        </w:rPr>
        <w:t xml:space="preserve">of </w:t>
      </w:r>
      <w:r w:rsidR="004C264C" w:rsidRPr="00703017">
        <w:rPr>
          <w:rFonts w:ascii="Cambria" w:hAnsi="Cambria"/>
          <w:sz w:val="20"/>
          <w:szCs w:val="20"/>
        </w:rPr>
        <w:t xml:space="preserve">the claims in the petition subject to </w:t>
      </w:r>
      <w:r w:rsidRPr="00703017">
        <w:rPr>
          <w:rFonts w:ascii="Cambria" w:hAnsi="Cambria"/>
          <w:sz w:val="20"/>
          <w:szCs w:val="20"/>
        </w:rPr>
        <w:t>prior exhaustion of the remedies available under domestic law</w:t>
      </w:r>
      <w:r w:rsidR="00BE62C8" w:rsidRPr="00703017">
        <w:rPr>
          <w:rFonts w:ascii="Cambria" w:hAnsi="Cambria"/>
          <w:sz w:val="20"/>
          <w:szCs w:val="20"/>
        </w:rPr>
        <w:t xml:space="preserve"> in accordance with generally recognized </w:t>
      </w:r>
      <w:r w:rsidR="004C264C" w:rsidRPr="00703017">
        <w:rPr>
          <w:rFonts w:ascii="Cambria" w:hAnsi="Cambria"/>
          <w:sz w:val="20"/>
          <w:szCs w:val="20"/>
        </w:rPr>
        <w:t xml:space="preserve">principles of international law. The purpose of this requirement is to allow the national authorities to consider the alleged violation of a protected right and, if appropriate, resolve the situation before it is considered by an international court. </w:t>
      </w:r>
      <w:r w:rsidR="00CC760B" w:rsidRPr="00703017">
        <w:rPr>
          <w:rFonts w:ascii="Cambria" w:hAnsi="Cambria"/>
          <w:sz w:val="20"/>
          <w:szCs w:val="20"/>
        </w:rPr>
        <w:t>Article 46(2)</w:t>
      </w:r>
      <w:r w:rsidR="00FD0B18" w:rsidRPr="00703017">
        <w:rPr>
          <w:rFonts w:ascii="Cambria" w:hAnsi="Cambria"/>
          <w:sz w:val="20"/>
          <w:szCs w:val="20"/>
        </w:rPr>
        <w:t xml:space="preserve"> of the Convention and Article 31</w:t>
      </w:r>
      <w:r w:rsidR="00CC760B" w:rsidRPr="00703017">
        <w:rPr>
          <w:rFonts w:ascii="Cambria" w:hAnsi="Cambria"/>
          <w:sz w:val="20"/>
          <w:szCs w:val="20"/>
        </w:rPr>
        <w:t>(2)</w:t>
      </w:r>
      <w:r w:rsidR="00FD0B18" w:rsidRPr="00703017">
        <w:rPr>
          <w:rFonts w:ascii="Cambria" w:hAnsi="Cambria"/>
          <w:sz w:val="20"/>
          <w:szCs w:val="20"/>
        </w:rPr>
        <w:t xml:space="preserve"> of the Rules of Procedure </w:t>
      </w:r>
      <w:r w:rsidR="000D3350" w:rsidRPr="00703017">
        <w:rPr>
          <w:rFonts w:ascii="Cambria" w:hAnsi="Cambria"/>
          <w:sz w:val="20"/>
          <w:szCs w:val="20"/>
        </w:rPr>
        <w:t xml:space="preserve">provide that the requirement of prior exhaustion of domestic remedies shall not apply when (i) </w:t>
      </w:r>
      <w:r w:rsidR="000D3350" w:rsidRPr="00703017">
        <w:rPr>
          <w:rFonts w:ascii="Cambria" w:hAnsi="Cambria"/>
          <w:sz w:val="20"/>
          <w:szCs w:val="20"/>
          <w:lang w:eastAsia="es-ES"/>
        </w:rPr>
        <w:t xml:space="preserve">the domestic legislation of the state concerned does not afford due process of law for the protection of the right or rights that have allegedly been violated; (ii) </w:t>
      </w:r>
      <w:r w:rsidR="00E806BB" w:rsidRPr="00703017">
        <w:rPr>
          <w:rFonts w:ascii="Cambria" w:hAnsi="Cambria"/>
          <w:sz w:val="20"/>
          <w:szCs w:val="20"/>
          <w:lang w:eastAsia="es-ES"/>
        </w:rPr>
        <w:t>the party alleging violation of his or her rights has been denied access to the remedies under domestic law or has been prevented from exhausting them; or (iii) there has been unwarranted delay in rendering a final judgment under the aforementioned remedies.</w:t>
      </w:r>
    </w:p>
    <w:p w:rsidR="00E806BB" w:rsidRPr="00703017" w:rsidRDefault="00B13777" w:rsidP="008D5A44">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3017">
        <w:rPr>
          <w:rFonts w:ascii="Cambria" w:hAnsi="Cambria"/>
          <w:sz w:val="20"/>
          <w:szCs w:val="20"/>
        </w:rPr>
        <w:t>In th</w:t>
      </w:r>
      <w:r w:rsidR="003D6795" w:rsidRPr="00703017">
        <w:rPr>
          <w:rFonts w:ascii="Cambria" w:hAnsi="Cambria"/>
          <w:sz w:val="20"/>
          <w:szCs w:val="20"/>
        </w:rPr>
        <w:t>e</w:t>
      </w:r>
      <w:r w:rsidRPr="00703017">
        <w:rPr>
          <w:rFonts w:ascii="Cambria" w:hAnsi="Cambria"/>
          <w:sz w:val="20"/>
          <w:szCs w:val="20"/>
        </w:rPr>
        <w:t xml:space="preserve"> </w:t>
      </w:r>
      <w:r w:rsidR="0011765C" w:rsidRPr="00703017">
        <w:rPr>
          <w:rFonts w:ascii="Cambria" w:hAnsi="Cambria"/>
          <w:sz w:val="20"/>
          <w:szCs w:val="20"/>
        </w:rPr>
        <w:t xml:space="preserve">instant </w:t>
      </w:r>
      <w:r w:rsidRPr="00703017">
        <w:rPr>
          <w:rFonts w:ascii="Cambria" w:hAnsi="Cambria"/>
          <w:sz w:val="20"/>
          <w:szCs w:val="20"/>
        </w:rPr>
        <w:t xml:space="preserve">case, the </w:t>
      </w:r>
      <w:r w:rsidR="00480346">
        <w:rPr>
          <w:rFonts w:ascii="Cambria" w:hAnsi="Cambria"/>
          <w:sz w:val="20"/>
          <w:szCs w:val="20"/>
        </w:rPr>
        <w:t>p</w:t>
      </w:r>
      <w:r w:rsidR="00C20D40" w:rsidRPr="00703017">
        <w:rPr>
          <w:rFonts w:ascii="Cambria" w:hAnsi="Cambria"/>
          <w:sz w:val="20"/>
          <w:szCs w:val="20"/>
        </w:rPr>
        <w:t>etitioner</w:t>
      </w:r>
      <w:r w:rsidRPr="00703017">
        <w:rPr>
          <w:rFonts w:ascii="Cambria" w:hAnsi="Cambria"/>
          <w:sz w:val="20"/>
          <w:szCs w:val="20"/>
        </w:rPr>
        <w:t xml:space="preserve"> claims that, </w:t>
      </w:r>
      <w:r w:rsidR="00ED04C2" w:rsidRPr="00703017">
        <w:rPr>
          <w:rFonts w:ascii="Cambria" w:hAnsi="Cambria"/>
          <w:sz w:val="20"/>
          <w:szCs w:val="20"/>
        </w:rPr>
        <w:t xml:space="preserve">in the absence of </w:t>
      </w:r>
      <w:r w:rsidR="00CA0805" w:rsidRPr="00703017">
        <w:rPr>
          <w:rFonts w:ascii="Cambria" w:hAnsi="Cambria"/>
          <w:sz w:val="20"/>
          <w:szCs w:val="20"/>
        </w:rPr>
        <w:t>the guarantee of</w:t>
      </w:r>
      <w:r w:rsidR="00ED04C2" w:rsidRPr="00703017">
        <w:rPr>
          <w:rFonts w:ascii="Cambria" w:hAnsi="Cambria"/>
          <w:sz w:val="20"/>
          <w:szCs w:val="20"/>
        </w:rPr>
        <w:t xml:space="preserve"> </w:t>
      </w:r>
      <w:r w:rsidR="00AD70AE" w:rsidRPr="00703017">
        <w:rPr>
          <w:rFonts w:ascii="Cambria" w:hAnsi="Cambria"/>
          <w:sz w:val="20"/>
          <w:szCs w:val="20"/>
        </w:rPr>
        <w:t>double</w:t>
      </w:r>
      <w:r w:rsidR="00CA0805" w:rsidRPr="00703017">
        <w:rPr>
          <w:rFonts w:ascii="Cambria" w:hAnsi="Cambria"/>
          <w:sz w:val="20"/>
          <w:szCs w:val="20"/>
        </w:rPr>
        <w:t xml:space="preserve"> </w:t>
      </w:r>
      <w:r w:rsidRPr="00703017">
        <w:rPr>
          <w:rFonts w:ascii="Cambria" w:hAnsi="Cambria"/>
          <w:sz w:val="20"/>
          <w:szCs w:val="20"/>
        </w:rPr>
        <w:t xml:space="preserve">instance, </w:t>
      </w:r>
      <w:r w:rsidR="007876C6" w:rsidRPr="00703017">
        <w:rPr>
          <w:rFonts w:ascii="Cambria" w:hAnsi="Cambria"/>
          <w:sz w:val="20"/>
          <w:szCs w:val="20"/>
        </w:rPr>
        <w:t xml:space="preserve">he could not appeal his </w:t>
      </w:r>
      <w:r w:rsidR="00B63986" w:rsidRPr="00703017">
        <w:rPr>
          <w:rFonts w:ascii="Cambria" w:hAnsi="Cambria"/>
          <w:sz w:val="20"/>
          <w:szCs w:val="20"/>
        </w:rPr>
        <w:t xml:space="preserve">October 25, 2000 </w:t>
      </w:r>
      <w:r w:rsidR="007876C6" w:rsidRPr="00703017">
        <w:rPr>
          <w:rFonts w:ascii="Cambria" w:hAnsi="Cambria"/>
          <w:sz w:val="20"/>
          <w:szCs w:val="20"/>
        </w:rPr>
        <w:t>conviction by the Criminal Division. He argues that Colombian law does not provide for appeal in proceedings against high</w:t>
      </w:r>
      <w:r w:rsidR="00B63986" w:rsidRPr="00703017">
        <w:rPr>
          <w:rFonts w:ascii="Cambria" w:hAnsi="Cambria"/>
          <w:sz w:val="20"/>
          <w:szCs w:val="20"/>
        </w:rPr>
        <w:t>-level government</w:t>
      </w:r>
      <w:r w:rsidR="007876C6" w:rsidRPr="00703017">
        <w:rPr>
          <w:rFonts w:ascii="Cambria" w:hAnsi="Cambria"/>
          <w:sz w:val="20"/>
          <w:szCs w:val="20"/>
        </w:rPr>
        <w:t xml:space="preserve"> officials. However, he indicates that he </w:t>
      </w:r>
      <w:r w:rsidR="00480346">
        <w:rPr>
          <w:rFonts w:ascii="Cambria" w:hAnsi="Cambria"/>
          <w:sz w:val="20"/>
          <w:szCs w:val="20"/>
        </w:rPr>
        <w:t>submit</w:t>
      </w:r>
      <w:r w:rsidR="007876C6" w:rsidRPr="00703017">
        <w:rPr>
          <w:rFonts w:ascii="Cambria" w:hAnsi="Cambria"/>
          <w:sz w:val="20"/>
          <w:szCs w:val="20"/>
        </w:rPr>
        <w:t xml:space="preserve"> a </w:t>
      </w:r>
      <w:r w:rsidR="007876C6" w:rsidRPr="00703017">
        <w:rPr>
          <w:rFonts w:ascii="Cambria" w:hAnsi="Cambria"/>
          <w:i/>
          <w:sz w:val="20"/>
          <w:szCs w:val="20"/>
        </w:rPr>
        <w:t xml:space="preserve">tutela </w:t>
      </w:r>
      <w:r w:rsidR="007876C6" w:rsidRPr="00703017">
        <w:rPr>
          <w:rFonts w:ascii="Cambria" w:hAnsi="Cambria"/>
          <w:sz w:val="20"/>
          <w:szCs w:val="20"/>
        </w:rPr>
        <w:t xml:space="preserve">action </w:t>
      </w:r>
      <w:r w:rsidR="009647C7" w:rsidRPr="00703017">
        <w:rPr>
          <w:rFonts w:ascii="Cambria" w:hAnsi="Cambria"/>
          <w:sz w:val="20"/>
          <w:szCs w:val="20"/>
        </w:rPr>
        <w:t>that</w:t>
      </w:r>
      <w:r w:rsidR="007876C6" w:rsidRPr="00703017">
        <w:rPr>
          <w:rFonts w:ascii="Cambria" w:hAnsi="Cambria"/>
          <w:sz w:val="20"/>
          <w:szCs w:val="20"/>
        </w:rPr>
        <w:t xml:space="preserve"> was rejected </w:t>
      </w:r>
      <w:r w:rsidR="007C39FB" w:rsidRPr="00703017">
        <w:rPr>
          <w:rFonts w:ascii="Cambria" w:hAnsi="Cambria"/>
          <w:sz w:val="20"/>
          <w:szCs w:val="20"/>
        </w:rPr>
        <w:t>on December 1, 2000</w:t>
      </w:r>
      <w:r w:rsidR="00FB389F" w:rsidRPr="00703017">
        <w:rPr>
          <w:rFonts w:ascii="Cambria" w:hAnsi="Cambria"/>
          <w:sz w:val="20"/>
          <w:szCs w:val="20"/>
        </w:rPr>
        <w:t>,</w:t>
      </w:r>
      <w:r w:rsidR="007C39FB" w:rsidRPr="00703017">
        <w:rPr>
          <w:rFonts w:ascii="Cambria" w:hAnsi="Cambria"/>
          <w:sz w:val="20"/>
          <w:szCs w:val="20"/>
        </w:rPr>
        <w:t xml:space="preserve"> </w:t>
      </w:r>
      <w:r w:rsidR="007876C6" w:rsidRPr="00703017">
        <w:rPr>
          <w:rFonts w:ascii="Cambria" w:hAnsi="Cambria"/>
          <w:sz w:val="20"/>
          <w:szCs w:val="20"/>
        </w:rPr>
        <w:t>by the Section</w:t>
      </w:r>
      <w:r w:rsidR="00B87F91" w:rsidRPr="00703017">
        <w:rPr>
          <w:rFonts w:ascii="Cambria" w:hAnsi="Cambria"/>
          <w:sz w:val="20"/>
          <w:szCs w:val="20"/>
        </w:rPr>
        <w:t xml:space="preserve">al Council, which </w:t>
      </w:r>
      <w:r w:rsidR="00DE5D89" w:rsidRPr="00703017">
        <w:rPr>
          <w:rFonts w:ascii="Cambria" w:hAnsi="Cambria"/>
          <w:sz w:val="20"/>
          <w:szCs w:val="20"/>
        </w:rPr>
        <w:t>did not consider</w:t>
      </w:r>
      <w:r w:rsidR="00B87F91" w:rsidRPr="00703017">
        <w:rPr>
          <w:rFonts w:ascii="Cambria" w:hAnsi="Cambria"/>
          <w:sz w:val="20"/>
          <w:szCs w:val="20"/>
        </w:rPr>
        <w:t xml:space="preserve"> his rights to due process, privacy, and equal treatment </w:t>
      </w:r>
      <w:r w:rsidR="00DE5D89" w:rsidRPr="00703017">
        <w:rPr>
          <w:rFonts w:ascii="Cambria" w:hAnsi="Cambria"/>
          <w:sz w:val="20"/>
          <w:szCs w:val="20"/>
        </w:rPr>
        <w:t>to have</w:t>
      </w:r>
      <w:r w:rsidR="00B87F91" w:rsidRPr="00703017">
        <w:rPr>
          <w:rFonts w:ascii="Cambria" w:hAnsi="Cambria"/>
          <w:sz w:val="20"/>
          <w:szCs w:val="20"/>
        </w:rPr>
        <w:t xml:space="preserve"> </w:t>
      </w:r>
      <w:r w:rsidR="009647C7" w:rsidRPr="00703017">
        <w:rPr>
          <w:rFonts w:ascii="Cambria" w:hAnsi="Cambria"/>
          <w:sz w:val="20"/>
          <w:szCs w:val="20"/>
        </w:rPr>
        <w:t xml:space="preserve">been </w:t>
      </w:r>
      <w:r w:rsidR="00B87F91" w:rsidRPr="00703017">
        <w:rPr>
          <w:rFonts w:ascii="Cambria" w:hAnsi="Cambria"/>
          <w:sz w:val="20"/>
          <w:szCs w:val="20"/>
        </w:rPr>
        <w:t xml:space="preserve">violated </w:t>
      </w:r>
      <w:r w:rsidR="00DE5D89" w:rsidRPr="00703017">
        <w:rPr>
          <w:rFonts w:ascii="Cambria" w:hAnsi="Cambria"/>
          <w:sz w:val="20"/>
          <w:szCs w:val="20"/>
        </w:rPr>
        <w:t>in</w:t>
      </w:r>
      <w:r w:rsidR="00B87F91" w:rsidRPr="00703017">
        <w:rPr>
          <w:rFonts w:ascii="Cambria" w:hAnsi="Cambria"/>
          <w:sz w:val="20"/>
          <w:szCs w:val="20"/>
        </w:rPr>
        <w:t xml:space="preserve"> the investigation and criminal proceedings against him. Subsequently, the Constitutional Court also rejected this request in a decision of March 6, 2002.</w:t>
      </w:r>
      <w:r w:rsidR="008C78F9" w:rsidRPr="00703017">
        <w:rPr>
          <w:rFonts w:ascii="Cambria" w:hAnsi="Cambria"/>
          <w:sz w:val="20"/>
          <w:szCs w:val="20"/>
        </w:rPr>
        <w:t xml:space="preserve"> For its part, t</w:t>
      </w:r>
      <w:r w:rsidR="007876C6" w:rsidRPr="00703017">
        <w:rPr>
          <w:rFonts w:ascii="Cambria" w:hAnsi="Cambria"/>
          <w:sz w:val="20"/>
          <w:szCs w:val="20"/>
        </w:rPr>
        <w:t xml:space="preserve">he State indicates that the </w:t>
      </w:r>
      <w:r w:rsidR="00480346">
        <w:rPr>
          <w:rFonts w:ascii="Cambria" w:hAnsi="Cambria"/>
          <w:sz w:val="20"/>
          <w:szCs w:val="20"/>
        </w:rPr>
        <w:t>p</w:t>
      </w:r>
      <w:r w:rsidR="00C20D40" w:rsidRPr="00703017">
        <w:rPr>
          <w:rFonts w:ascii="Cambria" w:hAnsi="Cambria"/>
          <w:sz w:val="20"/>
          <w:szCs w:val="20"/>
        </w:rPr>
        <w:t>etitioner</w:t>
      </w:r>
      <w:r w:rsidR="007876C6" w:rsidRPr="00703017">
        <w:rPr>
          <w:rFonts w:ascii="Cambria" w:hAnsi="Cambria"/>
          <w:sz w:val="20"/>
          <w:szCs w:val="20"/>
        </w:rPr>
        <w:t xml:space="preserve"> </w:t>
      </w:r>
      <w:r w:rsidR="00FC162C" w:rsidRPr="00703017">
        <w:rPr>
          <w:rFonts w:ascii="Cambria" w:hAnsi="Cambria"/>
          <w:sz w:val="20"/>
          <w:szCs w:val="20"/>
        </w:rPr>
        <w:t>has</w:t>
      </w:r>
      <w:r w:rsidR="007876C6" w:rsidRPr="00703017">
        <w:rPr>
          <w:rFonts w:ascii="Cambria" w:hAnsi="Cambria"/>
          <w:sz w:val="20"/>
          <w:szCs w:val="20"/>
        </w:rPr>
        <w:t xml:space="preserve"> not exhaust</w:t>
      </w:r>
      <w:r w:rsidR="00FC162C" w:rsidRPr="00703017">
        <w:rPr>
          <w:rFonts w:ascii="Cambria" w:hAnsi="Cambria"/>
          <w:sz w:val="20"/>
          <w:szCs w:val="20"/>
        </w:rPr>
        <w:t>ed</w:t>
      </w:r>
      <w:r w:rsidR="007876C6" w:rsidRPr="00703017">
        <w:rPr>
          <w:rFonts w:ascii="Cambria" w:hAnsi="Cambria"/>
          <w:sz w:val="20"/>
          <w:szCs w:val="20"/>
        </w:rPr>
        <w:t xml:space="preserve"> </w:t>
      </w:r>
      <w:r w:rsidR="007876C6" w:rsidRPr="00703017">
        <w:rPr>
          <w:rFonts w:ascii="Cambria" w:hAnsi="Cambria"/>
          <w:sz w:val="20"/>
          <w:szCs w:val="20"/>
        </w:rPr>
        <w:lastRenderedPageBreak/>
        <w:t xml:space="preserve">the remedies under domestic law because </w:t>
      </w:r>
      <w:r w:rsidR="00B87F91" w:rsidRPr="00703017">
        <w:rPr>
          <w:rFonts w:ascii="Cambria" w:hAnsi="Cambria"/>
          <w:sz w:val="20"/>
          <w:szCs w:val="20"/>
        </w:rPr>
        <w:t xml:space="preserve">he </w:t>
      </w:r>
      <w:r w:rsidR="00FC162C" w:rsidRPr="00703017">
        <w:rPr>
          <w:rFonts w:ascii="Cambria" w:hAnsi="Cambria"/>
          <w:sz w:val="20"/>
          <w:szCs w:val="20"/>
        </w:rPr>
        <w:t>can lodge an</w:t>
      </w:r>
      <w:r w:rsidR="007876C6" w:rsidRPr="00703017">
        <w:rPr>
          <w:rFonts w:ascii="Cambria" w:hAnsi="Cambria"/>
          <w:sz w:val="20"/>
          <w:szCs w:val="20"/>
        </w:rPr>
        <w:t xml:space="preserve"> action for review to have his criminal case considered in the light of new evidence.</w:t>
      </w:r>
      <w:r w:rsidR="0059387F" w:rsidRPr="00703017">
        <w:rPr>
          <w:rFonts w:ascii="Cambria" w:hAnsi="Cambria"/>
          <w:sz w:val="20"/>
          <w:szCs w:val="20"/>
        </w:rPr>
        <w:t xml:space="preserve"> In this regard, the </w:t>
      </w:r>
      <w:r w:rsidR="0076428E">
        <w:rPr>
          <w:rFonts w:ascii="Cambria" w:hAnsi="Cambria"/>
          <w:sz w:val="20"/>
          <w:szCs w:val="20"/>
        </w:rPr>
        <w:t>alleged victim</w:t>
      </w:r>
      <w:r w:rsidR="0059387F" w:rsidRPr="00703017">
        <w:rPr>
          <w:rFonts w:ascii="Cambria" w:hAnsi="Cambria"/>
          <w:sz w:val="20"/>
          <w:szCs w:val="20"/>
        </w:rPr>
        <w:t xml:space="preserve"> indicates that he </w:t>
      </w:r>
      <w:r w:rsidR="00FC162C" w:rsidRPr="00703017">
        <w:rPr>
          <w:rFonts w:ascii="Cambria" w:hAnsi="Cambria"/>
          <w:sz w:val="20"/>
          <w:szCs w:val="20"/>
        </w:rPr>
        <w:t xml:space="preserve">has </w:t>
      </w:r>
      <w:r w:rsidR="00480346">
        <w:rPr>
          <w:rFonts w:ascii="Cambria" w:hAnsi="Cambria"/>
          <w:sz w:val="20"/>
          <w:szCs w:val="20"/>
        </w:rPr>
        <w:t>fi</w:t>
      </w:r>
      <w:r w:rsidR="0059387F" w:rsidRPr="00703017">
        <w:rPr>
          <w:rFonts w:ascii="Cambria" w:hAnsi="Cambria"/>
          <w:sz w:val="20"/>
          <w:szCs w:val="20"/>
        </w:rPr>
        <w:t xml:space="preserve">led three actions for review without obtaining </w:t>
      </w:r>
      <w:r w:rsidR="007C39FB" w:rsidRPr="00703017">
        <w:rPr>
          <w:rFonts w:ascii="Cambria" w:hAnsi="Cambria"/>
          <w:sz w:val="20"/>
          <w:szCs w:val="20"/>
        </w:rPr>
        <w:t>restitution</w:t>
      </w:r>
      <w:r w:rsidR="0059387F" w:rsidRPr="00703017">
        <w:rPr>
          <w:rFonts w:ascii="Cambria" w:hAnsi="Cambria"/>
          <w:sz w:val="20"/>
          <w:szCs w:val="20"/>
        </w:rPr>
        <w:t xml:space="preserve"> of his rights. </w:t>
      </w:r>
      <w:r w:rsidR="003551F3" w:rsidRPr="00703017">
        <w:rPr>
          <w:rFonts w:ascii="Cambria" w:hAnsi="Cambria"/>
          <w:sz w:val="20"/>
          <w:szCs w:val="20"/>
        </w:rPr>
        <w:t>It should be noted</w:t>
      </w:r>
      <w:r w:rsidR="0059387F" w:rsidRPr="00703017">
        <w:rPr>
          <w:rFonts w:ascii="Cambria" w:hAnsi="Cambria"/>
          <w:sz w:val="20"/>
          <w:szCs w:val="20"/>
        </w:rPr>
        <w:t xml:space="preserve"> that the State has not expressly refuted the </w:t>
      </w:r>
      <w:r w:rsidR="00480346">
        <w:rPr>
          <w:rFonts w:ascii="Cambria" w:hAnsi="Cambria"/>
          <w:sz w:val="20"/>
          <w:szCs w:val="20"/>
        </w:rPr>
        <w:t>p</w:t>
      </w:r>
      <w:r w:rsidR="00C20D40" w:rsidRPr="00703017">
        <w:rPr>
          <w:rFonts w:ascii="Cambria" w:hAnsi="Cambria"/>
          <w:sz w:val="20"/>
          <w:szCs w:val="20"/>
        </w:rPr>
        <w:t>etitioner</w:t>
      </w:r>
      <w:r w:rsidR="0059387F" w:rsidRPr="00703017">
        <w:rPr>
          <w:rFonts w:ascii="Cambria" w:hAnsi="Cambria"/>
          <w:sz w:val="20"/>
          <w:szCs w:val="20"/>
        </w:rPr>
        <w:t xml:space="preserve">’s claim </w:t>
      </w:r>
      <w:r w:rsidR="005903A9" w:rsidRPr="00703017">
        <w:rPr>
          <w:rFonts w:ascii="Cambria" w:hAnsi="Cambria"/>
          <w:sz w:val="20"/>
          <w:szCs w:val="20"/>
        </w:rPr>
        <w:t>regarding the absence of a</w:t>
      </w:r>
      <w:r w:rsidR="00C43E69" w:rsidRPr="00703017">
        <w:rPr>
          <w:rFonts w:ascii="Cambria" w:hAnsi="Cambria"/>
          <w:sz w:val="20"/>
          <w:szCs w:val="20"/>
        </w:rPr>
        <w:t xml:space="preserve"> </w:t>
      </w:r>
      <w:r w:rsidR="0059387F" w:rsidRPr="00703017">
        <w:rPr>
          <w:rFonts w:ascii="Cambria" w:hAnsi="Cambria"/>
          <w:sz w:val="20"/>
          <w:szCs w:val="20"/>
        </w:rPr>
        <w:t>remedy against a decision</w:t>
      </w:r>
      <w:r w:rsidR="00D97DC1" w:rsidRPr="00703017">
        <w:rPr>
          <w:rFonts w:ascii="Cambria" w:hAnsi="Cambria"/>
          <w:sz w:val="20"/>
          <w:szCs w:val="20"/>
        </w:rPr>
        <w:t xml:space="preserve"> issued</w:t>
      </w:r>
      <w:r w:rsidR="0059387F" w:rsidRPr="00703017">
        <w:rPr>
          <w:rFonts w:ascii="Cambria" w:hAnsi="Cambria"/>
          <w:sz w:val="20"/>
          <w:szCs w:val="20"/>
        </w:rPr>
        <w:t xml:space="preserve"> by the Criminal Division of the Supreme Court of Justice in proceedings against high</w:t>
      </w:r>
      <w:r w:rsidR="00127E06" w:rsidRPr="00703017">
        <w:rPr>
          <w:rFonts w:ascii="Cambria" w:hAnsi="Cambria"/>
          <w:sz w:val="20"/>
          <w:szCs w:val="20"/>
        </w:rPr>
        <w:t>-level</w:t>
      </w:r>
      <w:r w:rsidR="0059387F" w:rsidRPr="00703017">
        <w:rPr>
          <w:rFonts w:ascii="Cambria" w:hAnsi="Cambria"/>
          <w:sz w:val="20"/>
          <w:szCs w:val="20"/>
        </w:rPr>
        <w:t xml:space="preserve"> government </w:t>
      </w:r>
      <w:r w:rsidR="00127E06" w:rsidRPr="00703017">
        <w:rPr>
          <w:rFonts w:ascii="Cambria" w:hAnsi="Cambria"/>
          <w:sz w:val="20"/>
          <w:szCs w:val="20"/>
        </w:rPr>
        <w:t>official</w:t>
      </w:r>
      <w:r w:rsidR="0059387F" w:rsidRPr="00703017">
        <w:rPr>
          <w:rFonts w:ascii="Cambria" w:hAnsi="Cambria"/>
          <w:sz w:val="20"/>
          <w:szCs w:val="20"/>
        </w:rPr>
        <w:t xml:space="preserve">s. It has merely indicated that the alleged victim </w:t>
      </w:r>
      <w:r w:rsidR="00304475" w:rsidRPr="00703017">
        <w:rPr>
          <w:rFonts w:ascii="Cambria" w:hAnsi="Cambria"/>
          <w:sz w:val="20"/>
          <w:szCs w:val="20"/>
        </w:rPr>
        <w:t xml:space="preserve">has recourse to </w:t>
      </w:r>
      <w:r w:rsidR="0059387F" w:rsidRPr="00703017">
        <w:rPr>
          <w:rFonts w:ascii="Cambria" w:hAnsi="Cambria"/>
          <w:sz w:val="20"/>
          <w:szCs w:val="20"/>
        </w:rPr>
        <w:t>the action for review.</w:t>
      </w:r>
    </w:p>
    <w:p w:rsidR="00C06055" w:rsidRPr="00703017" w:rsidRDefault="00A229F3" w:rsidP="008D5A44">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3017">
        <w:rPr>
          <w:rFonts w:ascii="Cambria" w:hAnsi="Cambria"/>
          <w:sz w:val="20"/>
          <w:szCs w:val="20"/>
        </w:rPr>
        <w:t xml:space="preserve">The Commission notes that the State did not take responsibility for </w:t>
      </w:r>
      <w:r w:rsidR="00214983" w:rsidRPr="00703017">
        <w:rPr>
          <w:rFonts w:ascii="Cambria" w:hAnsi="Cambria"/>
          <w:sz w:val="20"/>
          <w:szCs w:val="20"/>
        </w:rPr>
        <w:t xml:space="preserve">proving </w:t>
      </w:r>
      <w:r w:rsidRPr="00703017">
        <w:rPr>
          <w:rFonts w:ascii="Cambria" w:hAnsi="Cambria"/>
          <w:sz w:val="20"/>
          <w:szCs w:val="20"/>
        </w:rPr>
        <w:t>the existence and availability of adequate, appropriate</w:t>
      </w:r>
      <w:r w:rsidR="00CA2034" w:rsidRPr="00703017">
        <w:rPr>
          <w:rFonts w:ascii="Cambria" w:hAnsi="Cambria"/>
          <w:sz w:val="20"/>
          <w:szCs w:val="20"/>
        </w:rPr>
        <w:t>,</w:t>
      </w:r>
      <w:r w:rsidRPr="00703017">
        <w:rPr>
          <w:rFonts w:ascii="Cambria" w:hAnsi="Cambria"/>
          <w:sz w:val="20"/>
          <w:szCs w:val="20"/>
        </w:rPr>
        <w:t xml:space="preserve"> and effective domestic remedies</w:t>
      </w:r>
      <w:r w:rsidR="00214983" w:rsidRPr="00703017">
        <w:rPr>
          <w:rStyle w:val="FootnoteReference"/>
          <w:rFonts w:ascii="Cambria" w:hAnsi="Cambria"/>
          <w:sz w:val="20"/>
          <w:szCs w:val="20"/>
        </w:rPr>
        <w:footnoteReference w:id="3"/>
      </w:r>
      <w:r w:rsidRPr="00703017">
        <w:rPr>
          <w:rFonts w:ascii="Cambria" w:hAnsi="Cambria"/>
          <w:sz w:val="20"/>
          <w:szCs w:val="20"/>
        </w:rPr>
        <w:t xml:space="preserve"> that had not been exhausted by the </w:t>
      </w:r>
      <w:r w:rsidR="00C20D40" w:rsidRPr="00703017">
        <w:rPr>
          <w:rFonts w:ascii="Cambria" w:hAnsi="Cambria"/>
          <w:sz w:val="20"/>
          <w:szCs w:val="20"/>
        </w:rPr>
        <w:t>Petitioner</w:t>
      </w:r>
      <w:r w:rsidRPr="00703017">
        <w:rPr>
          <w:rFonts w:ascii="Cambria" w:hAnsi="Cambria"/>
          <w:sz w:val="20"/>
          <w:szCs w:val="20"/>
        </w:rPr>
        <w:t xml:space="preserve">. In this regard, the Commission observes that the action for review cited by the State is an extraordinary remedy </w:t>
      </w:r>
      <w:r w:rsidR="00A152E7" w:rsidRPr="00703017">
        <w:rPr>
          <w:rFonts w:ascii="Cambria" w:hAnsi="Cambria"/>
          <w:sz w:val="20"/>
          <w:szCs w:val="20"/>
        </w:rPr>
        <w:t>invocable</w:t>
      </w:r>
      <w:r w:rsidRPr="00703017">
        <w:rPr>
          <w:rFonts w:ascii="Cambria" w:hAnsi="Cambria"/>
          <w:sz w:val="20"/>
          <w:szCs w:val="20"/>
        </w:rPr>
        <w:t xml:space="preserve"> against final judgments on specific grounds and therefore </w:t>
      </w:r>
      <w:r w:rsidR="009C1533" w:rsidRPr="00703017">
        <w:rPr>
          <w:rFonts w:ascii="Cambria" w:hAnsi="Cambria"/>
          <w:sz w:val="20"/>
          <w:szCs w:val="20"/>
        </w:rPr>
        <w:t>cannot be considered</w:t>
      </w:r>
      <w:r w:rsidR="00214983" w:rsidRPr="00703017">
        <w:rPr>
          <w:rFonts w:ascii="Cambria" w:hAnsi="Cambria"/>
          <w:sz w:val="20"/>
          <w:szCs w:val="20"/>
        </w:rPr>
        <w:t xml:space="preserve"> an appropriate remedy </w:t>
      </w:r>
      <w:r w:rsidR="009F2DCB" w:rsidRPr="00703017">
        <w:rPr>
          <w:rFonts w:ascii="Cambria" w:hAnsi="Cambria"/>
          <w:sz w:val="20"/>
          <w:szCs w:val="20"/>
        </w:rPr>
        <w:t>that ensures</w:t>
      </w:r>
      <w:r w:rsidR="00214983" w:rsidRPr="00703017">
        <w:rPr>
          <w:rFonts w:ascii="Cambria" w:hAnsi="Cambria"/>
          <w:sz w:val="20"/>
          <w:szCs w:val="20"/>
        </w:rPr>
        <w:t xml:space="preserve"> review </w:t>
      </w:r>
      <w:r w:rsidR="00A152E7" w:rsidRPr="00703017">
        <w:rPr>
          <w:rFonts w:ascii="Cambria" w:hAnsi="Cambria"/>
          <w:sz w:val="20"/>
          <w:szCs w:val="20"/>
        </w:rPr>
        <w:t xml:space="preserve">or appeal </w:t>
      </w:r>
      <w:r w:rsidR="00214983" w:rsidRPr="00703017">
        <w:rPr>
          <w:rFonts w:ascii="Cambria" w:hAnsi="Cambria"/>
          <w:sz w:val="20"/>
          <w:szCs w:val="20"/>
        </w:rPr>
        <w:t xml:space="preserve">of a </w:t>
      </w:r>
      <w:r w:rsidR="00F4507A" w:rsidRPr="00703017">
        <w:rPr>
          <w:rFonts w:ascii="Cambria" w:hAnsi="Cambria"/>
          <w:sz w:val="20"/>
          <w:szCs w:val="20"/>
        </w:rPr>
        <w:t>conviction</w:t>
      </w:r>
      <w:r w:rsidR="00214983" w:rsidRPr="00703017">
        <w:rPr>
          <w:rFonts w:ascii="Cambria" w:hAnsi="Cambria"/>
          <w:sz w:val="20"/>
          <w:szCs w:val="20"/>
        </w:rPr>
        <w:t xml:space="preserve"> </w:t>
      </w:r>
      <w:r w:rsidR="00F4507A" w:rsidRPr="00703017">
        <w:rPr>
          <w:rFonts w:ascii="Cambria" w:hAnsi="Cambria"/>
          <w:sz w:val="20"/>
          <w:szCs w:val="20"/>
        </w:rPr>
        <w:t xml:space="preserve">before </w:t>
      </w:r>
      <w:r w:rsidR="00A152E7" w:rsidRPr="00703017">
        <w:rPr>
          <w:rFonts w:ascii="Cambria" w:hAnsi="Cambria"/>
          <w:sz w:val="20"/>
          <w:szCs w:val="20"/>
        </w:rPr>
        <w:t>it</w:t>
      </w:r>
      <w:r w:rsidR="00F4507A" w:rsidRPr="00703017">
        <w:rPr>
          <w:rFonts w:ascii="Cambria" w:hAnsi="Cambria"/>
          <w:sz w:val="20"/>
          <w:szCs w:val="20"/>
        </w:rPr>
        <w:t xml:space="preserve"> </w:t>
      </w:r>
      <w:r w:rsidR="00275951" w:rsidRPr="00703017">
        <w:rPr>
          <w:rFonts w:ascii="Cambria" w:hAnsi="Cambria"/>
          <w:sz w:val="20"/>
          <w:szCs w:val="20"/>
        </w:rPr>
        <w:t>becomes</w:t>
      </w:r>
      <w:r w:rsidR="00F4507A" w:rsidRPr="00703017">
        <w:rPr>
          <w:rFonts w:ascii="Cambria" w:hAnsi="Cambria"/>
          <w:sz w:val="20"/>
          <w:szCs w:val="20"/>
        </w:rPr>
        <w:t xml:space="preserve"> final</w:t>
      </w:r>
      <w:r w:rsidR="00214983" w:rsidRPr="00703017">
        <w:rPr>
          <w:rFonts w:ascii="Cambria" w:hAnsi="Cambria"/>
          <w:sz w:val="20"/>
          <w:szCs w:val="20"/>
        </w:rPr>
        <w:t>.</w:t>
      </w:r>
      <w:r w:rsidR="00A152E7" w:rsidRPr="00703017">
        <w:rPr>
          <w:rStyle w:val="FootnoteReference"/>
          <w:rFonts w:ascii="Cambria" w:hAnsi="Cambria"/>
          <w:sz w:val="20"/>
          <w:szCs w:val="20"/>
        </w:rPr>
        <w:footnoteReference w:id="4"/>
      </w:r>
      <w:r w:rsidR="00A152E7" w:rsidRPr="00703017">
        <w:rPr>
          <w:rFonts w:ascii="Cambria" w:hAnsi="Cambria"/>
          <w:sz w:val="20"/>
          <w:szCs w:val="20"/>
        </w:rPr>
        <w:t xml:space="preserve"> </w:t>
      </w:r>
      <w:r w:rsidR="00C14E2E" w:rsidRPr="00703017">
        <w:rPr>
          <w:rFonts w:ascii="Cambria" w:hAnsi="Cambria"/>
          <w:sz w:val="20"/>
          <w:szCs w:val="20"/>
        </w:rPr>
        <w:t>Therefore, in accordance with Article 42</w:t>
      </w:r>
      <w:r w:rsidR="00135B6C" w:rsidRPr="00703017">
        <w:rPr>
          <w:rFonts w:ascii="Cambria" w:hAnsi="Cambria"/>
          <w:sz w:val="20"/>
          <w:szCs w:val="20"/>
        </w:rPr>
        <w:t>(2)(a)</w:t>
      </w:r>
      <w:r w:rsidR="00C14E2E" w:rsidRPr="00703017">
        <w:rPr>
          <w:rFonts w:ascii="Cambria" w:hAnsi="Cambria"/>
          <w:sz w:val="20"/>
          <w:szCs w:val="20"/>
        </w:rPr>
        <w:t xml:space="preserve"> of the American Convention, the rule of exhaustion of remedies under domestic law </w:t>
      </w:r>
      <w:r w:rsidR="00111DA2" w:rsidRPr="00703017">
        <w:rPr>
          <w:rFonts w:ascii="Cambria" w:hAnsi="Cambria"/>
          <w:sz w:val="20"/>
          <w:szCs w:val="20"/>
        </w:rPr>
        <w:t>does not apply</w:t>
      </w:r>
      <w:r w:rsidR="00E808F0" w:rsidRPr="00703017">
        <w:rPr>
          <w:rFonts w:ascii="Cambria" w:hAnsi="Cambria"/>
          <w:sz w:val="20"/>
          <w:szCs w:val="20"/>
        </w:rPr>
        <w:t xml:space="preserve"> </w:t>
      </w:r>
      <w:r w:rsidR="00C14E2E" w:rsidRPr="00703017">
        <w:rPr>
          <w:rFonts w:ascii="Cambria" w:hAnsi="Cambria"/>
          <w:sz w:val="20"/>
          <w:szCs w:val="20"/>
        </w:rPr>
        <w:t xml:space="preserve">because the State did </w:t>
      </w:r>
      <w:r w:rsidR="0075116B" w:rsidRPr="00703017">
        <w:rPr>
          <w:rFonts w:ascii="Cambria" w:hAnsi="Cambria"/>
          <w:sz w:val="20"/>
          <w:szCs w:val="20"/>
        </w:rPr>
        <w:t>not</w:t>
      </w:r>
      <w:r w:rsidR="000C5FCB" w:rsidRPr="00703017">
        <w:rPr>
          <w:rFonts w:ascii="Cambria" w:hAnsi="Cambria"/>
          <w:sz w:val="20"/>
          <w:szCs w:val="20"/>
        </w:rPr>
        <w:t xml:space="preserve"> afford</w:t>
      </w:r>
      <w:r w:rsidR="00BB4717" w:rsidRPr="00703017">
        <w:rPr>
          <w:rFonts w:ascii="Cambria" w:hAnsi="Cambria"/>
          <w:sz w:val="20"/>
          <w:szCs w:val="20"/>
        </w:rPr>
        <w:t xml:space="preserve"> the alleged victim </w:t>
      </w:r>
      <w:r w:rsidR="00347DAC" w:rsidRPr="00703017">
        <w:rPr>
          <w:rFonts w:ascii="Cambria" w:hAnsi="Cambria"/>
          <w:sz w:val="20"/>
          <w:szCs w:val="20"/>
        </w:rPr>
        <w:t xml:space="preserve">a remedy </w:t>
      </w:r>
      <w:r w:rsidR="00C14E2E" w:rsidRPr="00703017">
        <w:rPr>
          <w:rFonts w:ascii="Cambria" w:hAnsi="Cambria"/>
          <w:sz w:val="20"/>
          <w:szCs w:val="20"/>
        </w:rPr>
        <w:t>that could protect the rights allegedly violated.</w:t>
      </w:r>
    </w:p>
    <w:p w:rsidR="00C06055" w:rsidRPr="00703017" w:rsidRDefault="000A11E5" w:rsidP="008D5A44">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3017">
        <w:rPr>
          <w:rFonts w:ascii="Cambria" w:hAnsi="Cambria"/>
          <w:sz w:val="20"/>
          <w:szCs w:val="20"/>
        </w:rPr>
        <w:t>Notwithstanding the foregoing, the IACHR observes that</w:t>
      </w:r>
      <w:r w:rsidR="002915ED" w:rsidRPr="00703017">
        <w:rPr>
          <w:rFonts w:ascii="Cambria" w:hAnsi="Cambria"/>
          <w:sz w:val="20"/>
          <w:szCs w:val="20"/>
        </w:rPr>
        <w:t>, for the purpose of obtaining review of his conviction and restitution of his rights,</w:t>
      </w:r>
      <w:r w:rsidRPr="00703017">
        <w:rPr>
          <w:rFonts w:ascii="Cambria" w:hAnsi="Cambria"/>
          <w:sz w:val="20"/>
          <w:szCs w:val="20"/>
        </w:rPr>
        <w:t xml:space="preserve"> the alleged victim</w:t>
      </w:r>
      <w:r w:rsidR="002915ED" w:rsidRPr="00703017">
        <w:rPr>
          <w:rFonts w:ascii="Cambria" w:hAnsi="Cambria"/>
          <w:sz w:val="20"/>
          <w:szCs w:val="20"/>
        </w:rPr>
        <w:t xml:space="preserve"> </w:t>
      </w:r>
      <w:r w:rsidR="00385B36" w:rsidRPr="00703017">
        <w:rPr>
          <w:rFonts w:ascii="Cambria" w:hAnsi="Cambria"/>
          <w:sz w:val="20"/>
          <w:szCs w:val="20"/>
        </w:rPr>
        <w:t>attempted unsuccessfully to bring</w:t>
      </w:r>
      <w:r w:rsidR="002915ED" w:rsidRPr="00703017">
        <w:rPr>
          <w:rFonts w:ascii="Cambria" w:hAnsi="Cambria"/>
          <w:sz w:val="20"/>
          <w:szCs w:val="20"/>
        </w:rPr>
        <w:t xml:space="preserve"> three actions for review </w:t>
      </w:r>
      <w:r w:rsidR="00385B36" w:rsidRPr="00703017">
        <w:rPr>
          <w:rFonts w:ascii="Cambria" w:hAnsi="Cambria"/>
          <w:sz w:val="20"/>
          <w:szCs w:val="20"/>
        </w:rPr>
        <w:t>in</w:t>
      </w:r>
      <w:r w:rsidR="002915ED" w:rsidRPr="00703017">
        <w:rPr>
          <w:rFonts w:ascii="Cambria" w:hAnsi="Cambria"/>
          <w:sz w:val="20"/>
          <w:szCs w:val="20"/>
        </w:rPr>
        <w:t xml:space="preserve"> the Supreme Court of Justice. In 2007</w:t>
      </w:r>
      <w:r w:rsidR="00E67AAA" w:rsidRPr="00703017">
        <w:rPr>
          <w:rFonts w:ascii="Cambria" w:hAnsi="Cambria"/>
          <w:sz w:val="20"/>
          <w:szCs w:val="20"/>
        </w:rPr>
        <w:t>,</w:t>
      </w:r>
      <w:r w:rsidR="00CD40C7">
        <w:rPr>
          <w:rFonts w:ascii="Cambria" w:hAnsi="Cambria"/>
          <w:sz w:val="20"/>
          <w:szCs w:val="20"/>
        </w:rPr>
        <w:t xml:space="preserve"> the p</w:t>
      </w:r>
      <w:r w:rsidR="002915ED" w:rsidRPr="00703017">
        <w:rPr>
          <w:rFonts w:ascii="Cambria" w:hAnsi="Cambria"/>
          <w:sz w:val="20"/>
          <w:szCs w:val="20"/>
        </w:rPr>
        <w:t xml:space="preserve">etitioner submitted new evidence in the form of a constitutional judgment </w:t>
      </w:r>
      <w:r w:rsidR="0037339B" w:rsidRPr="00703017">
        <w:rPr>
          <w:rFonts w:ascii="Cambria" w:hAnsi="Cambria"/>
          <w:sz w:val="20"/>
          <w:szCs w:val="20"/>
        </w:rPr>
        <w:t>void</w:t>
      </w:r>
      <w:r w:rsidR="00BB68CB" w:rsidRPr="00703017">
        <w:rPr>
          <w:rFonts w:ascii="Cambria" w:hAnsi="Cambria"/>
          <w:sz w:val="20"/>
          <w:szCs w:val="20"/>
        </w:rPr>
        <w:t>ing</w:t>
      </w:r>
      <w:r w:rsidR="002915ED" w:rsidRPr="00703017">
        <w:rPr>
          <w:rFonts w:ascii="Cambria" w:hAnsi="Cambria"/>
          <w:sz w:val="20"/>
          <w:szCs w:val="20"/>
        </w:rPr>
        <w:t xml:space="preserve"> some of the </w:t>
      </w:r>
      <w:r w:rsidR="005349D4" w:rsidRPr="00703017">
        <w:rPr>
          <w:rFonts w:ascii="Cambria" w:hAnsi="Cambria"/>
          <w:sz w:val="20"/>
          <w:szCs w:val="20"/>
        </w:rPr>
        <w:t>investigation</w:t>
      </w:r>
      <w:r w:rsidR="002915ED" w:rsidRPr="00703017">
        <w:rPr>
          <w:rFonts w:ascii="Cambria" w:hAnsi="Cambria"/>
          <w:sz w:val="20"/>
          <w:szCs w:val="20"/>
        </w:rPr>
        <w:t xml:space="preserve"> proceedings against one of th</w:t>
      </w:r>
      <w:r w:rsidR="00E67AAA" w:rsidRPr="00703017">
        <w:rPr>
          <w:rFonts w:ascii="Cambria" w:hAnsi="Cambria"/>
          <w:sz w:val="20"/>
          <w:szCs w:val="20"/>
        </w:rPr>
        <w:t xml:space="preserve">e </w:t>
      </w:r>
      <w:r w:rsidR="000F54A9" w:rsidRPr="00703017">
        <w:rPr>
          <w:rFonts w:ascii="Cambria" w:hAnsi="Cambria"/>
          <w:sz w:val="20"/>
          <w:szCs w:val="20"/>
        </w:rPr>
        <w:t>defendants</w:t>
      </w:r>
      <w:r w:rsidR="002915ED" w:rsidRPr="00703017">
        <w:rPr>
          <w:rFonts w:ascii="Cambria" w:hAnsi="Cambria"/>
          <w:sz w:val="20"/>
          <w:szCs w:val="20"/>
        </w:rPr>
        <w:t xml:space="preserve"> in the case </w:t>
      </w:r>
      <w:r w:rsidR="00DE28D7" w:rsidRPr="00703017">
        <w:rPr>
          <w:rFonts w:ascii="Cambria" w:hAnsi="Cambria"/>
          <w:sz w:val="20"/>
          <w:szCs w:val="20"/>
        </w:rPr>
        <w:t xml:space="preserve">in </w:t>
      </w:r>
      <w:r w:rsidR="002915ED" w:rsidRPr="00703017">
        <w:rPr>
          <w:rFonts w:ascii="Cambria" w:hAnsi="Cambria"/>
          <w:sz w:val="20"/>
          <w:szCs w:val="20"/>
        </w:rPr>
        <w:t xml:space="preserve">which he </w:t>
      </w:r>
      <w:r w:rsidR="008B708B" w:rsidRPr="00703017">
        <w:rPr>
          <w:rFonts w:ascii="Cambria" w:hAnsi="Cambria"/>
          <w:sz w:val="20"/>
          <w:szCs w:val="20"/>
        </w:rPr>
        <w:t>had been</w:t>
      </w:r>
      <w:r w:rsidR="002915ED" w:rsidRPr="00703017">
        <w:rPr>
          <w:rFonts w:ascii="Cambria" w:hAnsi="Cambria"/>
          <w:sz w:val="20"/>
          <w:szCs w:val="20"/>
        </w:rPr>
        <w:t xml:space="preserve"> convicted. This request was rejected on the grounds that th</w:t>
      </w:r>
      <w:r w:rsidR="0063271B" w:rsidRPr="00703017">
        <w:rPr>
          <w:rFonts w:ascii="Cambria" w:hAnsi="Cambria"/>
          <w:sz w:val="20"/>
          <w:szCs w:val="20"/>
        </w:rPr>
        <w:t>e</w:t>
      </w:r>
      <w:r w:rsidR="002915ED" w:rsidRPr="00703017">
        <w:rPr>
          <w:rFonts w:ascii="Cambria" w:hAnsi="Cambria"/>
          <w:sz w:val="20"/>
          <w:szCs w:val="20"/>
        </w:rPr>
        <w:t xml:space="preserve"> constitutional ruling did not declare anyone innocent and only provided for investigations </w:t>
      </w:r>
      <w:r w:rsidR="0063271B" w:rsidRPr="00703017">
        <w:rPr>
          <w:rFonts w:ascii="Cambria" w:hAnsi="Cambria"/>
          <w:sz w:val="20"/>
          <w:szCs w:val="20"/>
        </w:rPr>
        <w:t xml:space="preserve">to be initiated </w:t>
      </w:r>
      <w:r w:rsidR="002915ED" w:rsidRPr="00703017">
        <w:rPr>
          <w:rFonts w:ascii="Cambria" w:hAnsi="Cambria"/>
          <w:sz w:val="20"/>
          <w:szCs w:val="20"/>
        </w:rPr>
        <w:t xml:space="preserve">in accordance with internal procedures. Subsequently, in 2011, </w:t>
      </w:r>
      <w:r w:rsidR="00B835EC" w:rsidRPr="00703017">
        <w:rPr>
          <w:rFonts w:ascii="Cambria" w:hAnsi="Cambria"/>
          <w:sz w:val="20"/>
          <w:szCs w:val="20"/>
        </w:rPr>
        <w:t xml:space="preserve">after </w:t>
      </w:r>
      <w:r w:rsidR="00A119AE">
        <w:rPr>
          <w:rFonts w:ascii="Cambria" w:hAnsi="Cambria"/>
          <w:sz w:val="20"/>
          <w:szCs w:val="20"/>
        </w:rPr>
        <w:t>the afore</w:t>
      </w:r>
      <w:r w:rsidR="00D21476" w:rsidRPr="00703017">
        <w:rPr>
          <w:rFonts w:ascii="Cambria" w:hAnsi="Cambria"/>
          <w:sz w:val="20"/>
          <w:szCs w:val="20"/>
        </w:rPr>
        <w:t>said</w:t>
      </w:r>
      <w:r w:rsidR="00B835EC" w:rsidRPr="00703017">
        <w:rPr>
          <w:rFonts w:ascii="Cambria" w:hAnsi="Cambria"/>
          <w:sz w:val="20"/>
          <w:szCs w:val="20"/>
        </w:rPr>
        <w:t xml:space="preserve"> investigations had </w:t>
      </w:r>
      <w:r w:rsidR="00D06177" w:rsidRPr="00703017">
        <w:rPr>
          <w:rFonts w:ascii="Cambria" w:hAnsi="Cambria"/>
          <w:sz w:val="20"/>
          <w:szCs w:val="20"/>
        </w:rPr>
        <w:t>end</w:t>
      </w:r>
      <w:r w:rsidR="00CD40C7">
        <w:rPr>
          <w:rFonts w:ascii="Cambria" w:hAnsi="Cambria"/>
          <w:sz w:val="20"/>
          <w:szCs w:val="20"/>
        </w:rPr>
        <w:t>ed, the p</w:t>
      </w:r>
      <w:r w:rsidR="00B835EC" w:rsidRPr="00703017">
        <w:rPr>
          <w:rFonts w:ascii="Cambria" w:hAnsi="Cambria"/>
          <w:sz w:val="20"/>
          <w:szCs w:val="20"/>
        </w:rPr>
        <w:t xml:space="preserve">etitioner lodged a second action for review, arguing </w:t>
      </w:r>
      <w:r w:rsidR="00A72E8D" w:rsidRPr="00703017">
        <w:rPr>
          <w:rFonts w:ascii="Cambria" w:hAnsi="Cambria"/>
          <w:sz w:val="20"/>
          <w:szCs w:val="20"/>
        </w:rPr>
        <w:t xml:space="preserve">that </w:t>
      </w:r>
      <w:r w:rsidR="00B835EC" w:rsidRPr="00703017">
        <w:rPr>
          <w:rFonts w:ascii="Cambria" w:hAnsi="Cambria"/>
          <w:sz w:val="20"/>
          <w:szCs w:val="20"/>
        </w:rPr>
        <w:t>the results of th</w:t>
      </w:r>
      <w:r w:rsidR="00A119AE">
        <w:rPr>
          <w:rFonts w:ascii="Cambria" w:hAnsi="Cambria"/>
          <w:sz w:val="20"/>
          <w:szCs w:val="20"/>
        </w:rPr>
        <w:t>ose proceedings</w:t>
      </w:r>
      <w:r w:rsidR="00B835EC" w:rsidRPr="00703017">
        <w:rPr>
          <w:rFonts w:ascii="Cambria" w:hAnsi="Cambria"/>
          <w:sz w:val="20"/>
          <w:szCs w:val="20"/>
        </w:rPr>
        <w:t xml:space="preserve"> constituted </w:t>
      </w:r>
      <w:r w:rsidR="00995E5E" w:rsidRPr="00703017">
        <w:rPr>
          <w:rFonts w:ascii="Cambria" w:hAnsi="Cambria"/>
          <w:sz w:val="20"/>
          <w:szCs w:val="20"/>
        </w:rPr>
        <w:t>new</w:t>
      </w:r>
      <w:r w:rsidR="00B835EC" w:rsidRPr="00703017">
        <w:rPr>
          <w:rFonts w:ascii="Cambria" w:hAnsi="Cambria"/>
          <w:sz w:val="20"/>
          <w:szCs w:val="20"/>
        </w:rPr>
        <w:t xml:space="preserve"> evidence. However, the Criminal Section </w:t>
      </w:r>
      <w:r w:rsidR="004E7609" w:rsidRPr="00703017">
        <w:rPr>
          <w:rFonts w:ascii="Cambria" w:hAnsi="Cambria"/>
          <w:sz w:val="20"/>
          <w:szCs w:val="20"/>
        </w:rPr>
        <w:t>rejected</w:t>
      </w:r>
      <w:r w:rsidR="00B835EC" w:rsidRPr="00703017">
        <w:rPr>
          <w:rFonts w:ascii="Cambria" w:hAnsi="Cambria"/>
          <w:sz w:val="20"/>
          <w:szCs w:val="20"/>
        </w:rPr>
        <w:t xml:space="preserve"> his case</w:t>
      </w:r>
      <w:r w:rsidR="008C0452" w:rsidRPr="00703017">
        <w:rPr>
          <w:rFonts w:ascii="Cambria" w:hAnsi="Cambria"/>
          <w:sz w:val="20"/>
          <w:szCs w:val="20"/>
        </w:rPr>
        <w:t xml:space="preserve"> </w:t>
      </w:r>
      <w:r w:rsidR="00995E5E" w:rsidRPr="00703017">
        <w:rPr>
          <w:rFonts w:ascii="Cambria" w:hAnsi="Cambria"/>
          <w:sz w:val="20"/>
          <w:szCs w:val="20"/>
        </w:rPr>
        <w:t>because of</w:t>
      </w:r>
      <w:r w:rsidR="008C0452" w:rsidRPr="00703017">
        <w:rPr>
          <w:rFonts w:ascii="Cambria" w:hAnsi="Cambria"/>
          <w:sz w:val="20"/>
          <w:szCs w:val="20"/>
        </w:rPr>
        <w:t xml:space="preserve"> technical defects without entering into the merits. </w:t>
      </w:r>
      <w:r w:rsidR="00FD40C3" w:rsidRPr="00703017">
        <w:rPr>
          <w:rFonts w:ascii="Cambria" w:hAnsi="Cambria"/>
          <w:sz w:val="20"/>
          <w:szCs w:val="20"/>
        </w:rPr>
        <w:t>Lastly, in 2015, the Criminal Section declared a third a</w:t>
      </w:r>
      <w:r w:rsidR="00CD40C7">
        <w:rPr>
          <w:rFonts w:ascii="Cambria" w:hAnsi="Cambria"/>
          <w:sz w:val="20"/>
          <w:szCs w:val="20"/>
        </w:rPr>
        <w:t>ction for review lodged by the p</w:t>
      </w:r>
      <w:r w:rsidR="00FD40C3" w:rsidRPr="00703017">
        <w:rPr>
          <w:rFonts w:ascii="Cambria" w:hAnsi="Cambria"/>
          <w:sz w:val="20"/>
          <w:szCs w:val="20"/>
        </w:rPr>
        <w:t>etitioner inadmissible on the grounds that there was no new evidence</w:t>
      </w:r>
      <w:r w:rsidR="00680ADD" w:rsidRPr="00703017">
        <w:rPr>
          <w:rFonts w:ascii="Cambria" w:hAnsi="Cambria"/>
          <w:sz w:val="20"/>
          <w:szCs w:val="20"/>
        </w:rPr>
        <w:t>,</w:t>
      </w:r>
      <w:r w:rsidR="00FD40C3" w:rsidRPr="00703017">
        <w:rPr>
          <w:rFonts w:ascii="Cambria" w:hAnsi="Cambria"/>
          <w:sz w:val="20"/>
          <w:szCs w:val="20"/>
        </w:rPr>
        <w:t xml:space="preserve"> and </w:t>
      </w:r>
      <w:r w:rsidR="00680ADD" w:rsidRPr="00703017">
        <w:rPr>
          <w:rFonts w:ascii="Cambria" w:hAnsi="Cambria"/>
          <w:sz w:val="20"/>
          <w:szCs w:val="20"/>
        </w:rPr>
        <w:t xml:space="preserve">it </w:t>
      </w:r>
      <w:r w:rsidR="00FD40C3" w:rsidRPr="00703017">
        <w:rPr>
          <w:rFonts w:ascii="Cambria" w:hAnsi="Cambria"/>
          <w:sz w:val="20"/>
          <w:szCs w:val="20"/>
        </w:rPr>
        <w:t xml:space="preserve">also instructed him to refrain in the future from </w:t>
      </w:r>
      <w:r w:rsidR="001C77C8" w:rsidRPr="00703017">
        <w:rPr>
          <w:rFonts w:ascii="Cambria" w:hAnsi="Cambria"/>
          <w:sz w:val="20"/>
          <w:szCs w:val="20"/>
        </w:rPr>
        <w:t>fil</w:t>
      </w:r>
      <w:r w:rsidR="00FD40C3" w:rsidRPr="00703017">
        <w:rPr>
          <w:rFonts w:ascii="Cambria" w:hAnsi="Cambria"/>
          <w:sz w:val="20"/>
          <w:szCs w:val="20"/>
        </w:rPr>
        <w:t>ing actions for review of decisions that it had already evaluated.</w:t>
      </w:r>
      <w:r w:rsidR="004E7609" w:rsidRPr="00703017">
        <w:rPr>
          <w:rFonts w:ascii="Cambria" w:hAnsi="Cambria"/>
          <w:sz w:val="20"/>
          <w:szCs w:val="20"/>
        </w:rPr>
        <w:t xml:space="preserve"> Therefore, in view of the foregoing, the Commission considers that, </w:t>
      </w:r>
      <w:r w:rsidR="005C09BF">
        <w:rPr>
          <w:rFonts w:ascii="Cambria" w:hAnsi="Cambria"/>
          <w:sz w:val="20"/>
          <w:szCs w:val="20"/>
        </w:rPr>
        <w:t>in</w:t>
      </w:r>
      <w:r w:rsidR="004E7609" w:rsidRPr="00703017">
        <w:rPr>
          <w:rFonts w:ascii="Cambria" w:hAnsi="Cambria"/>
          <w:sz w:val="20"/>
          <w:szCs w:val="20"/>
        </w:rPr>
        <w:t xml:space="preserve"> lodging </w:t>
      </w:r>
      <w:r w:rsidR="00901126" w:rsidRPr="00703017">
        <w:rPr>
          <w:rFonts w:ascii="Cambria" w:hAnsi="Cambria"/>
          <w:sz w:val="20"/>
          <w:szCs w:val="20"/>
        </w:rPr>
        <w:t>the aforesaid</w:t>
      </w:r>
      <w:r w:rsidR="004E7609" w:rsidRPr="00703017">
        <w:rPr>
          <w:rFonts w:ascii="Cambria" w:hAnsi="Cambria"/>
          <w:sz w:val="20"/>
          <w:szCs w:val="20"/>
        </w:rPr>
        <w:t xml:space="preserve"> actions, the </w:t>
      </w:r>
      <w:r w:rsidR="0076428E">
        <w:rPr>
          <w:rFonts w:ascii="Cambria" w:hAnsi="Cambria"/>
          <w:sz w:val="20"/>
          <w:szCs w:val="20"/>
        </w:rPr>
        <w:t>p</w:t>
      </w:r>
      <w:r w:rsidR="004E7609" w:rsidRPr="00703017">
        <w:rPr>
          <w:rFonts w:ascii="Cambria" w:hAnsi="Cambria"/>
          <w:sz w:val="20"/>
          <w:szCs w:val="20"/>
        </w:rPr>
        <w:t xml:space="preserve">etitioner </w:t>
      </w:r>
      <w:r w:rsidR="004D4EA0" w:rsidRPr="00703017">
        <w:rPr>
          <w:rFonts w:ascii="Cambria" w:hAnsi="Cambria"/>
          <w:sz w:val="20"/>
          <w:szCs w:val="20"/>
        </w:rPr>
        <w:t>used</w:t>
      </w:r>
      <w:r w:rsidR="004E7609" w:rsidRPr="00703017">
        <w:rPr>
          <w:rFonts w:ascii="Cambria" w:hAnsi="Cambria"/>
          <w:sz w:val="20"/>
          <w:szCs w:val="20"/>
        </w:rPr>
        <w:t xml:space="preserve"> the </w:t>
      </w:r>
      <w:r w:rsidR="008F7357" w:rsidRPr="00703017">
        <w:rPr>
          <w:rFonts w:ascii="Cambria" w:hAnsi="Cambria"/>
          <w:sz w:val="20"/>
          <w:szCs w:val="20"/>
        </w:rPr>
        <w:t>national</w:t>
      </w:r>
      <w:r w:rsidR="004E7609" w:rsidRPr="00703017">
        <w:rPr>
          <w:rFonts w:ascii="Cambria" w:hAnsi="Cambria"/>
          <w:sz w:val="20"/>
          <w:szCs w:val="20"/>
        </w:rPr>
        <w:t xml:space="preserve"> </w:t>
      </w:r>
      <w:r w:rsidR="007F64F4" w:rsidRPr="00703017">
        <w:rPr>
          <w:rFonts w:ascii="Cambria" w:hAnsi="Cambria"/>
          <w:sz w:val="20"/>
          <w:szCs w:val="20"/>
        </w:rPr>
        <w:t>legal</w:t>
      </w:r>
      <w:r w:rsidR="004E7609" w:rsidRPr="00703017">
        <w:rPr>
          <w:rFonts w:ascii="Cambria" w:hAnsi="Cambria"/>
          <w:sz w:val="20"/>
          <w:szCs w:val="20"/>
        </w:rPr>
        <w:t xml:space="preserve"> mechanisms</w:t>
      </w:r>
      <w:r w:rsidR="00F737D4" w:rsidRPr="00703017">
        <w:rPr>
          <w:rFonts w:ascii="Cambria" w:hAnsi="Cambria"/>
          <w:sz w:val="20"/>
          <w:szCs w:val="20"/>
        </w:rPr>
        <w:t xml:space="preserve"> available in the absence of appropriate remedies</w:t>
      </w:r>
      <w:r w:rsidR="004D4EA0" w:rsidRPr="00703017">
        <w:rPr>
          <w:rFonts w:ascii="Cambria" w:hAnsi="Cambria"/>
          <w:sz w:val="20"/>
          <w:szCs w:val="20"/>
        </w:rPr>
        <w:t xml:space="preserve"> </w:t>
      </w:r>
      <w:r w:rsidR="00E25481" w:rsidRPr="00703017">
        <w:rPr>
          <w:rFonts w:ascii="Cambria" w:hAnsi="Cambria"/>
          <w:sz w:val="20"/>
          <w:szCs w:val="20"/>
        </w:rPr>
        <w:t>under</w:t>
      </w:r>
      <w:r w:rsidR="00F737D4" w:rsidRPr="00703017">
        <w:rPr>
          <w:rFonts w:ascii="Cambria" w:hAnsi="Cambria"/>
          <w:sz w:val="20"/>
          <w:szCs w:val="20"/>
        </w:rPr>
        <w:t xml:space="preserve"> </w:t>
      </w:r>
      <w:r w:rsidR="008F7357" w:rsidRPr="00703017">
        <w:rPr>
          <w:rFonts w:ascii="Cambria" w:hAnsi="Cambria"/>
          <w:sz w:val="20"/>
          <w:szCs w:val="20"/>
        </w:rPr>
        <w:t>domestic</w:t>
      </w:r>
      <w:r w:rsidR="00F737D4" w:rsidRPr="00703017">
        <w:rPr>
          <w:rFonts w:ascii="Cambria" w:hAnsi="Cambria"/>
          <w:sz w:val="20"/>
          <w:szCs w:val="20"/>
        </w:rPr>
        <w:t xml:space="preserve"> </w:t>
      </w:r>
      <w:r w:rsidR="00E25481" w:rsidRPr="00703017">
        <w:rPr>
          <w:rFonts w:ascii="Cambria" w:hAnsi="Cambria"/>
          <w:sz w:val="20"/>
          <w:szCs w:val="20"/>
        </w:rPr>
        <w:t>law</w:t>
      </w:r>
      <w:r w:rsidR="00F737D4" w:rsidRPr="00703017">
        <w:rPr>
          <w:rFonts w:ascii="Cambria" w:hAnsi="Cambria"/>
          <w:sz w:val="20"/>
          <w:szCs w:val="20"/>
        </w:rPr>
        <w:t>.</w:t>
      </w:r>
    </w:p>
    <w:p w:rsidR="00C06055" w:rsidRPr="00703017" w:rsidRDefault="0067167F" w:rsidP="008D5A44">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cs="Times New Roman"/>
          <w:sz w:val="20"/>
          <w:szCs w:val="20"/>
        </w:rPr>
      </w:pPr>
      <w:r w:rsidRPr="00703017">
        <w:rPr>
          <w:rFonts w:cs="Times New Roman"/>
          <w:sz w:val="20"/>
          <w:szCs w:val="20"/>
        </w:rPr>
        <w:t>It should be noted that, by its nature and purpose, Article 46</w:t>
      </w:r>
      <w:r w:rsidR="00014924" w:rsidRPr="00703017">
        <w:rPr>
          <w:rFonts w:cs="Times New Roman"/>
          <w:sz w:val="20"/>
          <w:szCs w:val="20"/>
        </w:rPr>
        <w:t>(</w:t>
      </w:r>
      <w:r w:rsidRPr="00703017">
        <w:rPr>
          <w:rFonts w:cs="Times New Roman"/>
          <w:sz w:val="20"/>
          <w:szCs w:val="20"/>
        </w:rPr>
        <w:t>2</w:t>
      </w:r>
      <w:r w:rsidR="00014924" w:rsidRPr="00703017">
        <w:rPr>
          <w:rFonts w:cs="Times New Roman"/>
          <w:sz w:val="20"/>
          <w:szCs w:val="20"/>
        </w:rPr>
        <w:t>)</w:t>
      </w:r>
      <w:r w:rsidR="00365BEF" w:rsidRPr="00703017">
        <w:rPr>
          <w:rFonts w:cs="Times New Roman"/>
          <w:sz w:val="20"/>
          <w:szCs w:val="20"/>
        </w:rPr>
        <w:t xml:space="preserve"> operates independently of the other substantive rules of the Convention.</w:t>
      </w:r>
      <w:r w:rsidR="00524F0E" w:rsidRPr="00703017">
        <w:rPr>
          <w:rFonts w:cs="Times New Roman"/>
          <w:sz w:val="20"/>
          <w:szCs w:val="20"/>
        </w:rPr>
        <w:t xml:space="preserve"> Accordingly, </w:t>
      </w:r>
      <w:r w:rsidR="003229D1" w:rsidRPr="00703017">
        <w:rPr>
          <w:rFonts w:cs="Times New Roman"/>
          <w:sz w:val="20"/>
          <w:szCs w:val="20"/>
        </w:rPr>
        <w:t xml:space="preserve">a determination should be made as to the applicability of </w:t>
      </w:r>
      <w:r w:rsidR="00524F0E" w:rsidRPr="00703017">
        <w:rPr>
          <w:rFonts w:cs="Times New Roman"/>
          <w:sz w:val="20"/>
          <w:szCs w:val="20"/>
        </w:rPr>
        <w:t>the exception therein to the exhaustion</w:t>
      </w:r>
      <w:r w:rsidR="00511FAD" w:rsidRPr="00703017">
        <w:rPr>
          <w:rFonts w:cs="Times New Roman"/>
          <w:sz w:val="20"/>
          <w:szCs w:val="20"/>
        </w:rPr>
        <w:t>-</w:t>
      </w:r>
      <w:r w:rsidR="00524F0E" w:rsidRPr="00703017">
        <w:rPr>
          <w:rFonts w:cs="Times New Roman"/>
          <w:sz w:val="20"/>
          <w:szCs w:val="20"/>
        </w:rPr>
        <w:t>of</w:t>
      </w:r>
      <w:r w:rsidR="00511FAD" w:rsidRPr="00703017">
        <w:rPr>
          <w:rFonts w:cs="Times New Roman"/>
          <w:sz w:val="20"/>
          <w:szCs w:val="20"/>
        </w:rPr>
        <w:t>-</w:t>
      </w:r>
      <w:r w:rsidR="00524F0E" w:rsidRPr="00703017">
        <w:rPr>
          <w:rFonts w:cs="Times New Roman"/>
          <w:sz w:val="20"/>
          <w:szCs w:val="20"/>
        </w:rPr>
        <w:t>domestic</w:t>
      </w:r>
      <w:r w:rsidR="00511FAD" w:rsidRPr="00703017">
        <w:rPr>
          <w:rFonts w:cs="Times New Roman"/>
          <w:sz w:val="20"/>
          <w:szCs w:val="20"/>
        </w:rPr>
        <w:t>-remedies rule</w:t>
      </w:r>
      <w:r w:rsidR="00524F0E" w:rsidRPr="00703017">
        <w:rPr>
          <w:rFonts w:cs="Times New Roman"/>
          <w:sz w:val="20"/>
          <w:szCs w:val="20"/>
        </w:rPr>
        <w:t xml:space="preserve"> prior to</w:t>
      </w:r>
      <w:r w:rsidR="00AA430F" w:rsidRPr="00703017">
        <w:rPr>
          <w:rFonts w:cs="Times New Roman"/>
          <w:sz w:val="20"/>
          <w:szCs w:val="20"/>
        </w:rPr>
        <w:t>,</w:t>
      </w:r>
      <w:r w:rsidR="00524F0E" w:rsidRPr="00703017">
        <w:rPr>
          <w:rFonts w:cs="Times New Roman"/>
          <w:sz w:val="20"/>
          <w:szCs w:val="20"/>
        </w:rPr>
        <w:t xml:space="preserve"> and separately from</w:t>
      </w:r>
      <w:r w:rsidR="00AA430F" w:rsidRPr="00703017">
        <w:rPr>
          <w:rFonts w:cs="Times New Roman"/>
          <w:sz w:val="20"/>
          <w:szCs w:val="20"/>
        </w:rPr>
        <w:t>,</w:t>
      </w:r>
      <w:r w:rsidR="00524F0E" w:rsidRPr="00703017">
        <w:rPr>
          <w:rFonts w:cs="Times New Roman"/>
          <w:sz w:val="20"/>
          <w:szCs w:val="20"/>
        </w:rPr>
        <w:t xml:space="preserve"> </w:t>
      </w:r>
      <w:r w:rsidR="00511FAD" w:rsidRPr="00703017">
        <w:rPr>
          <w:rFonts w:cs="Times New Roman"/>
          <w:sz w:val="20"/>
          <w:szCs w:val="20"/>
        </w:rPr>
        <w:t xml:space="preserve">the </w:t>
      </w:r>
      <w:r w:rsidR="00524F0E" w:rsidRPr="00703017">
        <w:rPr>
          <w:rFonts w:cs="Times New Roman"/>
          <w:sz w:val="20"/>
          <w:szCs w:val="20"/>
        </w:rPr>
        <w:t xml:space="preserve">analysis of the merits, since it </w:t>
      </w:r>
      <w:r w:rsidR="00511FAD" w:rsidRPr="00703017">
        <w:rPr>
          <w:rFonts w:cs="Times New Roman"/>
          <w:sz w:val="20"/>
          <w:szCs w:val="20"/>
        </w:rPr>
        <w:t>relie</w:t>
      </w:r>
      <w:r w:rsidR="00524F0E" w:rsidRPr="00703017">
        <w:rPr>
          <w:rFonts w:cs="Times New Roman"/>
          <w:sz w:val="20"/>
          <w:szCs w:val="20"/>
        </w:rPr>
        <w:t xml:space="preserve">s on a </w:t>
      </w:r>
      <w:r w:rsidR="007903F9" w:rsidRPr="00703017">
        <w:rPr>
          <w:rFonts w:cs="Times New Roman"/>
          <w:sz w:val="20"/>
          <w:szCs w:val="20"/>
        </w:rPr>
        <w:t xml:space="preserve">different </w:t>
      </w:r>
      <w:r w:rsidR="003229D1" w:rsidRPr="00703017">
        <w:rPr>
          <w:rFonts w:cs="Times New Roman"/>
          <w:sz w:val="20"/>
          <w:szCs w:val="20"/>
        </w:rPr>
        <w:t xml:space="preserve">standard of </w:t>
      </w:r>
      <w:r w:rsidR="00E86FBF" w:rsidRPr="00703017">
        <w:rPr>
          <w:rFonts w:cs="Times New Roman"/>
          <w:sz w:val="20"/>
          <w:szCs w:val="20"/>
        </w:rPr>
        <w:t>evalu</w:t>
      </w:r>
      <w:r w:rsidR="003229D1" w:rsidRPr="00703017">
        <w:rPr>
          <w:rFonts w:cs="Times New Roman"/>
          <w:sz w:val="20"/>
          <w:szCs w:val="20"/>
        </w:rPr>
        <w:t xml:space="preserve">ation </w:t>
      </w:r>
      <w:r w:rsidR="00AA430F" w:rsidRPr="00703017">
        <w:rPr>
          <w:rFonts w:cs="Times New Roman"/>
          <w:sz w:val="20"/>
          <w:szCs w:val="20"/>
        </w:rPr>
        <w:t>than</w:t>
      </w:r>
      <w:r w:rsidR="003229D1" w:rsidRPr="00703017">
        <w:rPr>
          <w:rFonts w:cs="Times New Roman"/>
          <w:sz w:val="20"/>
          <w:szCs w:val="20"/>
        </w:rPr>
        <w:t xml:space="preserve"> </w:t>
      </w:r>
      <w:r w:rsidR="00073A5D" w:rsidRPr="00703017">
        <w:rPr>
          <w:rFonts w:cs="Times New Roman"/>
          <w:sz w:val="20"/>
          <w:szCs w:val="20"/>
        </w:rPr>
        <w:t>the one</w:t>
      </w:r>
      <w:r w:rsidR="003229D1" w:rsidRPr="00703017">
        <w:rPr>
          <w:rFonts w:cs="Times New Roman"/>
          <w:sz w:val="20"/>
          <w:szCs w:val="20"/>
        </w:rPr>
        <w:t xml:space="preserve"> used to determine violation of Articles 8 and 25 of the Convention.</w:t>
      </w:r>
      <w:r w:rsidR="007903F9" w:rsidRPr="00703017">
        <w:rPr>
          <w:rStyle w:val="FootnoteReference"/>
          <w:sz w:val="20"/>
          <w:szCs w:val="20"/>
        </w:rPr>
        <w:footnoteReference w:id="5"/>
      </w:r>
    </w:p>
    <w:p w:rsidR="00C06055" w:rsidRPr="00703017" w:rsidRDefault="001815E5" w:rsidP="008D5A44">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3017">
        <w:rPr>
          <w:rFonts w:ascii="Cambria" w:hAnsi="Cambria"/>
          <w:sz w:val="20"/>
          <w:szCs w:val="20"/>
        </w:rPr>
        <w:t xml:space="preserve">Therefore, the Commission concludes that </w:t>
      </w:r>
      <w:r w:rsidR="00181583" w:rsidRPr="00703017">
        <w:rPr>
          <w:rFonts w:ascii="Cambria" w:hAnsi="Cambria"/>
          <w:sz w:val="20"/>
          <w:szCs w:val="20"/>
        </w:rPr>
        <w:t>th</w:t>
      </w:r>
      <w:r w:rsidR="002A015A" w:rsidRPr="00703017">
        <w:rPr>
          <w:rFonts w:ascii="Cambria" w:hAnsi="Cambria"/>
          <w:sz w:val="20"/>
          <w:szCs w:val="20"/>
        </w:rPr>
        <w:t>e instant</w:t>
      </w:r>
      <w:r w:rsidR="00181583" w:rsidRPr="00703017">
        <w:rPr>
          <w:rFonts w:ascii="Cambria" w:hAnsi="Cambria"/>
          <w:sz w:val="20"/>
          <w:szCs w:val="20"/>
        </w:rPr>
        <w:t xml:space="preserve"> case is covered by </w:t>
      </w:r>
      <w:r w:rsidRPr="00703017">
        <w:rPr>
          <w:rFonts w:ascii="Cambria" w:hAnsi="Cambria"/>
          <w:sz w:val="20"/>
          <w:szCs w:val="20"/>
        </w:rPr>
        <w:t>the exception to the exhaustion of domestic remedies established in Article 46</w:t>
      </w:r>
      <w:r w:rsidR="00014924" w:rsidRPr="00703017">
        <w:rPr>
          <w:rFonts w:ascii="Cambria" w:hAnsi="Cambria"/>
          <w:sz w:val="20"/>
          <w:szCs w:val="20"/>
        </w:rPr>
        <w:t>(2)(a)</w:t>
      </w:r>
      <w:r w:rsidRPr="00703017">
        <w:rPr>
          <w:rFonts w:ascii="Cambria" w:hAnsi="Cambria"/>
          <w:sz w:val="20"/>
          <w:szCs w:val="20"/>
        </w:rPr>
        <w:t xml:space="preserve"> of the American Convention and Article 31</w:t>
      </w:r>
      <w:r w:rsidR="00014924" w:rsidRPr="00703017">
        <w:rPr>
          <w:rFonts w:ascii="Cambria" w:hAnsi="Cambria"/>
          <w:sz w:val="20"/>
          <w:szCs w:val="20"/>
        </w:rPr>
        <w:t>(2)(a)</w:t>
      </w:r>
      <w:r w:rsidRPr="00703017">
        <w:rPr>
          <w:rFonts w:ascii="Cambria" w:hAnsi="Cambria"/>
          <w:sz w:val="20"/>
          <w:szCs w:val="20"/>
        </w:rPr>
        <w:t xml:space="preserve"> of the Rules of Procedure.</w:t>
      </w:r>
    </w:p>
    <w:p w:rsidR="00C06055" w:rsidRPr="00703017" w:rsidRDefault="00C06055" w:rsidP="00C06055">
      <w:pPr>
        <w:spacing w:after="240"/>
        <w:ind w:firstLine="720"/>
        <w:jc w:val="both"/>
        <w:rPr>
          <w:rFonts w:ascii="Cambria" w:hAnsi="Cambria"/>
          <w:b/>
          <w:sz w:val="20"/>
          <w:szCs w:val="20"/>
        </w:rPr>
      </w:pPr>
      <w:r w:rsidRPr="00703017">
        <w:rPr>
          <w:rFonts w:ascii="Cambria" w:hAnsi="Cambria"/>
          <w:b/>
          <w:sz w:val="20"/>
          <w:szCs w:val="20"/>
        </w:rPr>
        <w:t>2.</w:t>
      </w:r>
      <w:r w:rsidRPr="00703017">
        <w:rPr>
          <w:rFonts w:ascii="Cambria" w:hAnsi="Cambria"/>
          <w:b/>
          <w:sz w:val="20"/>
          <w:szCs w:val="20"/>
        </w:rPr>
        <w:tab/>
      </w:r>
      <w:r w:rsidR="008C11B1" w:rsidRPr="00703017">
        <w:rPr>
          <w:rFonts w:ascii="Cambria" w:hAnsi="Cambria"/>
          <w:b/>
          <w:sz w:val="20"/>
          <w:szCs w:val="20"/>
        </w:rPr>
        <w:t>Timeliness of the petition</w:t>
      </w:r>
    </w:p>
    <w:p w:rsidR="00CE71EC" w:rsidRPr="00703017" w:rsidRDefault="00CE71EC" w:rsidP="008D5A44">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3017">
        <w:rPr>
          <w:rFonts w:ascii="Cambria" w:hAnsi="Cambria"/>
          <w:sz w:val="20"/>
          <w:szCs w:val="20"/>
        </w:rPr>
        <w:t>According to Article 46</w:t>
      </w:r>
      <w:r w:rsidR="00256BB5" w:rsidRPr="00703017">
        <w:rPr>
          <w:rFonts w:ascii="Cambria" w:hAnsi="Cambria"/>
          <w:sz w:val="20"/>
          <w:szCs w:val="20"/>
        </w:rPr>
        <w:t>(1)(b)</w:t>
      </w:r>
      <w:r w:rsidRPr="00703017">
        <w:rPr>
          <w:rFonts w:ascii="Cambria" w:hAnsi="Cambria"/>
          <w:sz w:val="20"/>
          <w:szCs w:val="20"/>
        </w:rPr>
        <w:t xml:space="preserve"> of the American Convention and Article 32</w:t>
      </w:r>
      <w:r w:rsidR="00256BB5" w:rsidRPr="00703017">
        <w:rPr>
          <w:rFonts w:ascii="Cambria" w:hAnsi="Cambria"/>
          <w:sz w:val="20"/>
          <w:szCs w:val="20"/>
        </w:rPr>
        <w:t>(1)</w:t>
      </w:r>
      <w:r w:rsidRPr="00703017">
        <w:rPr>
          <w:rFonts w:ascii="Cambria" w:hAnsi="Cambria"/>
          <w:sz w:val="20"/>
          <w:szCs w:val="20"/>
        </w:rPr>
        <w:t xml:space="preserve"> of the Rules of Procedure, to be admitted by the Commission, a petition must have been lodged within a period of six months from the date on which the party alleging violation of his </w:t>
      </w:r>
      <w:r w:rsidR="00970347" w:rsidRPr="00703017">
        <w:rPr>
          <w:rFonts w:ascii="Cambria" w:hAnsi="Cambria"/>
          <w:sz w:val="20"/>
          <w:szCs w:val="20"/>
        </w:rPr>
        <w:t xml:space="preserve">or her </w:t>
      </w:r>
      <w:r w:rsidRPr="00703017">
        <w:rPr>
          <w:rFonts w:ascii="Cambria" w:hAnsi="Cambria"/>
          <w:sz w:val="20"/>
          <w:szCs w:val="20"/>
        </w:rPr>
        <w:t>rights was notified of the final judgment.</w:t>
      </w:r>
      <w:r w:rsidR="00C3663C" w:rsidRPr="00703017">
        <w:rPr>
          <w:rFonts w:ascii="Cambria" w:hAnsi="Cambria"/>
          <w:sz w:val="20"/>
          <w:szCs w:val="20"/>
        </w:rPr>
        <w:t xml:space="preserve"> </w:t>
      </w:r>
      <w:r w:rsidR="00321F07" w:rsidRPr="00703017">
        <w:rPr>
          <w:rFonts w:ascii="Cambria" w:hAnsi="Cambria"/>
          <w:sz w:val="20"/>
          <w:szCs w:val="20"/>
        </w:rPr>
        <w:t xml:space="preserve">In the complaint under consideration, the IACHR has established the applicability of the exception to the exhaustion of domestic remedies </w:t>
      </w:r>
      <w:r w:rsidR="00970347" w:rsidRPr="00703017">
        <w:rPr>
          <w:rFonts w:ascii="Cambria" w:hAnsi="Cambria"/>
          <w:sz w:val="20"/>
          <w:szCs w:val="20"/>
        </w:rPr>
        <w:t>contained in</w:t>
      </w:r>
      <w:r w:rsidR="00321F07" w:rsidRPr="00703017">
        <w:rPr>
          <w:rFonts w:ascii="Cambria" w:hAnsi="Cambria"/>
          <w:sz w:val="20"/>
          <w:szCs w:val="20"/>
        </w:rPr>
        <w:t xml:space="preserve"> Article 46</w:t>
      </w:r>
      <w:r w:rsidR="000E19D2" w:rsidRPr="00703017">
        <w:rPr>
          <w:rFonts w:ascii="Cambria" w:hAnsi="Cambria"/>
          <w:sz w:val="20"/>
          <w:szCs w:val="20"/>
        </w:rPr>
        <w:t>(2)(a)</w:t>
      </w:r>
      <w:r w:rsidR="00321F07" w:rsidRPr="00703017">
        <w:rPr>
          <w:rFonts w:ascii="Cambria" w:hAnsi="Cambria"/>
          <w:sz w:val="20"/>
          <w:szCs w:val="20"/>
        </w:rPr>
        <w:t xml:space="preserve"> of the American Convention and Article </w:t>
      </w:r>
      <w:r w:rsidR="00321F07" w:rsidRPr="00703017">
        <w:rPr>
          <w:rFonts w:ascii="Cambria" w:hAnsi="Cambria"/>
          <w:sz w:val="20"/>
          <w:szCs w:val="20"/>
        </w:rPr>
        <w:lastRenderedPageBreak/>
        <w:t>31</w:t>
      </w:r>
      <w:r w:rsidR="000E19D2" w:rsidRPr="00703017">
        <w:rPr>
          <w:rFonts w:ascii="Cambria" w:hAnsi="Cambria"/>
          <w:sz w:val="20"/>
          <w:szCs w:val="20"/>
        </w:rPr>
        <w:t>(2)(a)</w:t>
      </w:r>
      <w:r w:rsidR="00321F07" w:rsidRPr="00703017">
        <w:rPr>
          <w:rFonts w:ascii="Cambria" w:hAnsi="Cambria"/>
          <w:sz w:val="20"/>
          <w:szCs w:val="20"/>
        </w:rPr>
        <w:t xml:space="preserve"> of the Rules of Procedure. </w:t>
      </w:r>
      <w:r w:rsidR="00A3257C" w:rsidRPr="00703017">
        <w:rPr>
          <w:rFonts w:ascii="Cambria" w:hAnsi="Cambria"/>
          <w:sz w:val="20"/>
          <w:szCs w:val="20"/>
        </w:rPr>
        <w:t xml:space="preserve">Under </w:t>
      </w:r>
      <w:r w:rsidR="007D352B" w:rsidRPr="00703017">
        <w:rPr>
          <w:rFonts w:ascii="Cambria" w:hAnsi="Cambria"/>
          <w:sz w:val="20"/>
          <w:szCs w:val="20"/>
        </w:rPr>
        <w:t>Article 46</w:t>
      </w:r>
      <w:r w:rsidR="000E19D2" w:rsidRPr="00703017">
        <w:rPr>
          <w:rFonts w:ascii="Cambria" w:hAnsi="Cambria"/>
          <w:sz w:val="20"/>
          <w:szCs w:val="20"/>
        </w:rPr>
        <w:t>(2)</w:t>
      </w:r>
      <w:r w:rsidR="007D352B" w:rsidRPr="00703017">
        <w:rPr>
          <w:rFonts w:ascii="Cambria" w:hAnsi="Cambria"/>
          <w:sz w:val="20"/>
          <w:szCs w:val="20"/>
        </w:rPr>
        <w:t xml:space="preserve"> of the Convention and Article 32</w:t>
      </w:r>
      <w:r w:rsidR="000E19D2" w:rsidRPr="00703017">
        <w:rPr>
          <w:rFonts w:ascii="Cambria" w:hAnsi="Cambria"/>
          <w:sz w:val="20"/>
          <w:szCs w:val="20"/>
        </w:rPr>
        <w:t>(2)</w:t>
      </w:r>
      <w:r w:rsidR="007D352B" w:rsidRPr="00703017">
        <w:rPr>
          <w:rFonts w:ascii="Cambria" w:hAnsi="Cambria"/>
          <w:sz w:val="20"/>
          <w:szCs w:val="20"/>
        </w:rPr>
        <w:t xml:space="preserve"> of the Rules of Procedure</w:t>
      </w:r>
      <w:r w:rsidR="00A3257C" w:rsidRPr="00703017">
        <w:rPr>
          <w:rFonts w:ascii="Cambria" w:hAnsi="Cambria"/>
          <w:sz w:val="20"/>
          <w:szCs w:val="20"/>
        </w:rPr>
        <w:t>,</w:t>
      </w:r>
      <w:r w:rsidR="007D352B" w:rsidRPr="00703017">
        <w:rPr>
          <w:rFonts w:ascii="Cambria" w:hAnsi="Cambria"/>
          <w:sz w:val="20"/>
          <w:szCs w:val="20"/>
        </w:rPr>
        <w:t xml:space="preserve"> in cases in which the exceptions to prior exhaustion of domestic resources</w:t>
      </w:r>
      <w:r w:rsidR="00970347" w:rsidRPr="00703017">
        <w:rPr>
          <w:rFonts w:ascii="Cambria" w:hAnsi="Cambria"/>
          <w:sz w:val="20"/>
          <w:szCs w:val="20"/>
        </w:rPr>
        <w:t xml:space="preserve"> are applicable, the petition must be presented within a reason</w:t>
      </w:r>
      <w:r w:rsidR="00166FF6" w:rsidRPr="00703017">
        <w:rPr>
          <w:rFonts w:ascii="Cambria" w:hAnsi="Cambria"/>
          <w:sz w:val="20"/>
          <w:szCs w:val="20"/>
        </w:rPr>
        <w:t>able</w:t>
      </w:r>
      <w:r w:rsidR="00970347" w:rsidRPr="00703017">
        <w:rPr>
          <w:rFonts w:ascii="Cambria" w:hAnsi="Cambria"/>
          <w:sz w:val="20"/>
          <w:szCs w:val="20"/>
        </w:rPr>
        <w:t xml:space="preserve"> period of time, </w:t>
      </w:r>
      <w:r w:rsidR="0050030E" w:rsidRPr="00703017">
        <w:rPr>
          <w:rFonts w:ascii="Cambria" w:hAnsi="Cambria"/>
          <w:sz w:val="20"/>
          <w:szCs w:val="20"/>
        </w:rPr>
        <w:t>to be</w:t>
      </w:r>
      <w:r w:rsidR="00970347" w:rsidRPr="00703017">
        <w:rPr>
          <w:rFonts w:ascii="Cambria" w:hAnsi="Cambria"/>
          <w:sz w:val="20"/>
          <w:szCs w:val="20"/>
        </w:rPr>
        <w:t xml:space="preserve"> determined by the Commission.</w:t>
      </w:r>
      <w:r w:rsidR="006B561A" w:rsidRPr="00703017">
        <w:rPr>
          <w:rFonts w:ascii="Cambria" w:hAnsi="Cambria"/>
          <w:sz w:val="20"/>
          <w:szCs w:val="20"/>
        </w:rPr>
        <w:t xml:space="preserve"> For </w:t>
      </w:r>
      <w:r w:rsidR="006062E2" w:rsidRPr="00703017">
        <w:rPr>
          <w:rFonts w:ascii="Cambria" w:hAnsi="Cambria"/>
          <w:sz w:val="20"/>
          <w:szCs w:val="20"/>
        </w:rPr>
        <w:t>such</w:t>
      </w:r>
      <w:r w:rsidR="006B561A" w:rsidRPr="00703017">
        <w:rPr>
          <w:rFonts w:ascii="Cambria" w:hAnsi="Cambria"/>
          <w:sz w:val="20"/>
          <w:szCs w:val="20"/>
        </w:rPr>
        <w:t xml:space="preserve"> purpose, the Commission must consider the date on which the alleged violation of rights occurred and the circumstances of each case.</w:t>
      </w:r>
    </w:p>
    <w:p w:rsidR="00C06055" w:rsidRPr="00703017" w:rsidRDefault="00A3257C" w:rsidP="008D5A44">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3017">
        <w:rPr>
          <w:rFonts w:ascii="Cambria" w:hAnsi="Cambria"/>
          <w:sz w:val="20"/>
          <w:szCs w:val="20"/>
        </w:rPr>
        <w:t xml:space="preserve">In the case under consideration, the IACHR has established the applicability of the exception to exhaustion of domestic remedies </w:t>
      </w:r>
      <w:r w:rsidR="00536E18" w:rsidRPr="00703017">
        <w:rPr>
          <w:rFonts w:ascii="Cambria" w:hAnsi="Cambria"/>
          <w:sz w:val="20"/>
          <w:szCs w:val="20"/>
        </w:rPr>
        <w:t>provid</w:t>
      </w:r>
      <w:r w:rsidRPr="00703017">
        <w:rPr>
          <w:rFonts w:ascii="Cambria" w:hAnsi="Cambria"/>
          <w:sz w:val="20"/>
          <w:szCs w:val="20"/>
        </w:rPr>
        <w:t>ed in Article 46</w:t>
      </w:r>
      <w:r w:rsidR="005C3D70" w:rsidRPr="00703017">
        <w:rPr>
          <w:rFonts w:ascii="Cambria" w:hAnsi="Cambria"/>
          <w:sz w:val="20"/>
          <w:szCs w:val="20"/>
        </w:rPr>
        <w:t>(2)(a)</w:t>
      </w:r>
      <w:r w:rsidRPr="00703017">
        <w:rPr>
          <w:rFonts w:ascii="Cambria" w:hAnsi="Cambria"/>
          <w:sz w:val="20"/>
          <w:szCs w:val="20"/>
        </w:rPr>
        <w:t xml:space="preserve"> of the American Convention and Article 31</w:t>
      </w:r>
      <w:r w:rsidR="005C3D70" w:rsidRPr="00703017">
        <w:rPr>
          <w:rFonts w:ascii="Cambria" w:hAnsi="Cambria"/>
          <w:sz w:val="20"/>
          <w:szCs w:val="20"/>
        </w:rPr>
        <w:t>(2)(a)</w:t>
      </w:r>
      <w:r w:rsidRPr="00703017">
        <w:rPr>
          <w:rFonts w:ascii="Cambria" w:hAnsi="Cambria"/>
          <w:sz w:val="20"/>
          <w:szCs w:val="20"/>
        </w:rPr>
        <w:t xml:space="preserve"> of the Rules of Procedure. The petition before the IACHR was received on November 5, 2002, and </w:t>
      </w:r>
      <w:r w:rsidR="0069549F" w:rsidRPr="00703017">
        <w:rPr>
          <w:rFonts w:ascii="Cambria" w:hAnsi="Cambria"/>
          <w:sz w:val="20"/>
          <w:szCs w:val="20"/>
        </w:rPr>
        <w:t>noti</w:t>
      </w:r>
      <w:r w:rsidR="00536E18" w:rsidRPr="00703017">
        <w:rPr>
          <w:rFonts w:ascii="Cambria" w:hAnsi="Cambria"/>
          <w:sz w:val="20"/>
          <w:szCs w:val="20"/>
        </w:rPr>
        <w:t xml:space="preserve">fication was made on May 20, 2002, </w:t>
      </w:r>
      <w:r w:rsidR="0069549F" w:rsidRPr="00703017">
        <w:rPr>
          <w:rFonts w:ascii="Cambria" w:hAnsi="Cambria"/>
          <w:sz w:val="20"/>
          <w:szCs w:val="20"/>
        </w:rPr>
        <w:t xml:space="preserve">of </w:t>
      </w:r>
      <w:r w:rsidRPr="00703017">
        <w:rPr>
          <w:rFonts w:ascii="Cambria" w:hAnsi="Cambria"/>
          <w:sz w:val="20"/>
          <w:szCs w:val="20"/>
        </w:rPr>
        <w:t xml:space="preserve">the </w:t>
      </w:r>
      <w:r w:rsidR="00166FF6" w:rsidRPr="00703017">
        <w:rPr>
          <w:rFonts w:ascii="Cambria" w:hAnsi="Cambria"/>
          <w:sz w:val="20"/>
          <w:szCs w:val="20"/>
        </w:rPr>
        <w:t xml:space="preserve">Constitutional Court </w:t>
      </w:r>
      <w:r w:rsidRPr="00703017">
        <w:rPr>
          <w:rFonts w:ascii="Cambria" w:hAnsi="Cambria"/>
          <w:sz w:val="20"/>
          <w:szCs w:val="20"/>
        </w:rPr>
        <w:t xml:space="preserve">judgment of </w:t>
      </w:r>
      <w:r w:rsidR="00166FF6" w:rsidRPr="00703017">
        <w:rPr>
          <w:rFonts w:ascii="Cambria" w:hAnsi="Cambria"/>
          <w:sz w:val="20"/>
          <w:szCs w:val="20"/>
        </w:rPr>
        <w:t xml:space="preserve">March 6, 2002 </w:t>
      </w:r>
      <w:r w:rsidR="0069549F" w:rsidRPr="00703017">
        <w:rPr>
          <w:rFonts w:ascii="Cambria" w:hAnsi="Cambria"/>
          <w:sz w:val="20"/>
          <w:szCs w:val="20"/>
        </w:rPr>
        <w:t xml:space="preserve">ending the </w:t>
      </w:r>
      <w:r w:rsidR="0069549F" w:rsidRPr="00703017">
        <w:rPr>
          <w:rFonts w:ascii="Cambria" w:hAnsi="Cambria"/>
          <w:i/>
          <w:sz w:val="20"/>
          <w:szCs w:val="20"/>
        </w:rPr>
        <w:t xml:space="preserve">tutela </w:t>
      </w:r>
      <w:r w:rsidR="0069549F" w:rsidRPr="00703017">
        <w:rPr>
          <w:rFonts w:ascii="Cambria" w:hAnsi="Cambria"/>
          <w:sz w:val="20"/>
          <w:szCs w:val="20"/>
        </w:rPr>
        <w:t xml:space="preserve">action </w:t>
      </w:r>
      <w:r w:rsidR="0076428E">
        <w:rPr>
          <w:rFonts w:ascii="Cambria" w:hAnsi="Cambria"/>
          <w:sz w:val="20"/>
          <w:szCs w:val="20"/>
        </w:rPr>
        <w:t>filed</w:t>
      </w:r>
      <w:r w:rsidR="0069549F" w:rsidRPr="00703017">
        <w:rPr>
          <w:rFonts w:ascii="Cambria" w:hAnsi="Cambria"/>
          <w:sz w:val="20"/>
          <w:szCs w:val="20"/>
        </w:rPr>
        <w:t xml:space="preserve"> by </w:t>
      </w:r>
      <w:r w:rsidR="0076428E">
        <w:rPr>
          <w:rFonts w:ascii="Cambria" w:hAnsi="Cambria"/>
          <w:sz w:val="20"/>
          <w:szCs w:val="20"/>
        </w:rPr>
        <w:t>the alleged victim</w:t>
      </w:r>
      <w:r w:rsidR="0031627A" w:rsidRPr="00703017">
        <w:rPr>
          <w:rFonts w:ascii="Cambria" w:hAnsi="Cambria"/>
          <w:sz w:val="20"/>
          <w:szCs w:val="20"/>
        </w:rPr>
        <w:t>,</w:t>
      </w:r>
      <w:r w:rsidR="0069549F" w:rsidRPr="00703017">
        <w:rPr>
          <w:rFonts w:ascii="Cambria" w:hAnsi="Cambria"/>
          <w:sz w:val="20"/>
          <w:szCs w:val="20"/>
        </w:rPr>
        <w:t xml:space="preserve"> </w:t>
      </w:r>
      <w:r w:rsidR="00536E18" w:rsidRPr="00703017">
        <w:rPr>
          <w:rFonts w:ascii="Cambria" w:hAnsi="Cambria"/>
          <w:sz w:val="20"/>
          <w:szCs w:val="20"/>
        </w:rPr>
        <w:t>which</w:t>
      </w:r>
      <w:r w:rsidR="0069549F" w:rsidRPr="00703017">
        <w:rPr>
          <w:rFonts w:ascii="Cambria" w:hAnsi="Cambria"/>
          <w:sz w:val="20"/>
          <w:szCs w:val="20"/>
        </w:rPr>
        <w:t xml:space="preserve"> remains </w:t>
      </w:r>
      <w:r w:rsidR="00536E18" w:rsidRPr="00703017">
        <w:rPr>
          <w:rFonts w:ascii="Cambria" w:hAnsi="Cambria"/>
          <w:sz w:val="20"/>
          <w:szCs w:val="20"/>
        </w:rPr>
        <w:t>in effect</w:t>
      </w:r>
      <w:r w:rsidR="0069549F" w:rsidRPr="00703017">
        <w:rPr>
          <w:rFonts w:ascii="Cambria" w:hAnsi="Cambria"/>
          <w:sz w:val="20"/>
          <w:szCs w:val="20"/>
        </w:rPr>
        <w:t>. Furthermore, the IACHR notes that in 2007, 20</w:t>
      </w:r>
      <w:r w:rsidR="00166FF6" w:rsidRPr="00703017">
        <w:rPr>
          <w:rFonts w:ascii="Cambria" w:hAnsi="Cambria"/>
          <w:sz w:val="20"/>
          <w:szCs w:val="20"/>
        </w:rPr>
        <w:t>1</w:t>
      </w:r>
      <w:r w:rsidR="0069549F" w:rsidRPr="00703017">
        <w:rPr>
          <w:rFonts w:ascii="Cambria" w:hAnsi="Cambria"/>
          <w:sz w:val="20"/>
          <w:szCs w:val="20"/>
        </w:rPr>
        <w:t>1, and 2015</w:t>
      </w:r>
      <w:r w:rsidR="00166FF6" w:rsidRPr="00703017">
        <w:rPr>
          <w:rFonts w:ascii="Cambria" w:hAnsi="Cambria"/>
          <w:sz w:val="20"/>
          <w:szCs w:val="20"/>
        </w:rPr>
        <w:t>,</w:t>
      </w:r>
      <w:r w:rsidR="0076428E">
        <w:rPr>
          <w:rFonts w:ascii="Cambria" w:hAnsi="Cambria"/>
          <w:sz w:val="20"/>
          <w:szCs w:val="20"/>
        </w:rPr>
        <w:t xml:space="preserve"> the p</w:t>
      </w:r>
      <w:r w:rsidR="0069549F" w:rsidRPr="00703017">
        <w:rPr>
          <w:rFonts w:ascii="Cambria" w:hAnsi="Cambria"/>
          <w:sz w:val="20"/>
          <w:szCs w:val="20"/>
        </w:rPr>
        <w:t>etitioner lodged three actions for revi</w:t>
      </w:r>
      <w:r w:rsidR="00457B95" w:rsidRPr="00703017">
        <w:rPr>
          <w:rFonts w:ascii="Cambria" w:hAnsi="Cambria"/>
          <w:sz w:val="20"/>
          <w:szCs w:val="20"/>
        </w:rPr>
        <w:t>ew</w:t>
      </w:r>
      <w:r w:rsidR="0069549F" w:rsidRPr="00703017">
        <w:rPr>
          <w:rFonts w:ascii="Cambria" w:hAnsi="Cambria"/>
          <w:sz w:val="20"/>
          <w:szCs w:val="20"/>
        </w:rPr>
        <w:t xml:space="preserve"> with the Criminal Division of the Supreme Court</w:t>
      </w:r>
      <w:r w:rsidR="00166FF6" w:rsidRPr="00703017">
        <w:rPr>
          <w:rFonts w:ascii="Cambria" w:hAnsi="Cambria"/>
          <w:sz w:val="20"/>
          <w:szCs w:val="20"/>
        </w:rPr>
        <w:t>,</w:t>
      </w:r>
      <w:r w:rsidR="00DA53E6" w:rsidRPr="00703017">
        <w:rPr>
          <w:rFonts w:ascii="Cambria" w:hAnsi="Cambria"/>
          <w:sz w:val="20"/>
          <w:szCs w:val="20"/>
        </w:rPr>
        <w:t xml:space="preserve"> </w:t>
      </w:r>
      <w:r w:rsidR="00166FF6" w:rsidRPr="00703017">
        <w:rPr>
          <w:rFonts w:ascii="Cambria" w:hAnsi="Cambria"/>
          <w:sz w:val="20"/>
          <w:szCs w:val="20"/>
        </w:rPr>
        <w:t xml:space="preserve">unsuccessfully </w:t>
      </w:r>
      <w:r w:rsidR="00DA53E6" w:rsidRPr="00703017">
        <w:rPr>
          <w:rFonts w:ascii="Cambria" w:hAnsi="Cambria"/>
          <w:sz w:val="20"/>
          <w:szCs w:val="20"/>
        </w:rPr>
        <w:t xml:space="preserve">requesting review of </w:t>
      </w:r>
      <w:r w:rsidR="00457B95" w:rsidRPr="00703017">
        <w:rPr>
          <w:rFonts w:ascii="Cambria" w:hAnsi="Cambria"/>
          <w:sz w:val="20"/>
          <w:szCs w:val="20"/>
        </w:rPr>
        <w:t>his conviction</w:t>
      </w:r>
      <w:r w:rsidR="00DA53E6" w:rsidRPr="00703017">
        <w:rPr>
          <w:rFonts w:ascii="Cambria" w:hAnsi="Cambria"/>
          <w:sz w:val="20"/>
          <w:szCs w:val="20"/>
        </w:rPr>
        <w:t xml:space="preserve"> in sole instance. Therefore, in </w:t>
      </w:r>
      <w:r w:rsidR="00A4140C" w:rsidRPr="00703017">
        <w:rPr>
          <w:rFonts w:ascii="Cambria" w:hAnsi="Cambria"/>
          <w:sz w:val="20"/>
          <w:szCs w:val="20"/>
        </w:rPr>
        <w:t>light</w:t>
      </w:r>
      <w:r w:rsidR="00DA53E6" w:rsidRPr="00703017">
        <w:rPr>
          <w:rFonts w:ascii="Cambria" w:hAnsi="Cambria"/>
          <w:sz w:val="20"/>
          <w:szCs w:val="20"/>
        </w:rPr>
        <w:t xml:space="preserve"> of the context and characteristics of this case, the Commission </w:t>
      </w:r>
      <w:r w:rsidR="00166FF6" w:rsidRPr="00703017">
        <w:rPr>
          <w:rFonts w:ascii="Cambria" w:hAnsi="Cambria"/>
          <w:sz w:val="20"/>
          <w:szCs w:val="20"/>
        </w:rPr>
        <w:t>deems</w:t>
      </w:r>
      <w:r w:rsidR="00DA53E6" w:rsidRPr="00703017">
        <w:rPr>
          <w:rFonts w:ascii="Cambria" w:hAnsi="Cambria"/>
          <w:sz w:val="20"/>
          <w:szCs w:val="20"/>
        </w:rPr>
        <w:t xml:space="preserve"> the petition </w:t>
      </w:r>
      <w:r w:rsidR="00166FF6" w:rsidRPr="00703017">
        <w:rPr>
          <w:rFonts w:ascii="Cambria" w:hAnsi="Cambria"/>
          <w:sz w:val="20"/>
          <w:szCs w:val="20"/>
        </w:rPr>
        <w:t>to have been</w:t>
      </w:r>
      <w:r w:rsidR="00DA53E6" w:rsidRPr="00703017">
        <w:rPr>
          <w:rFonts w:ascii="Cambria" w:hAnsi="Cambria"/>
          <w:sz w:val="20"/>
          <w:szCs w:val="20"/>
        </w:rPr>
        <w:t xml:space="preserve"> presented within a reasonable period and </w:t>
      </w:r>
      <w:r w:rsidR="00166FF6" w:rsidRPr="00703017">
        <w:rPr>
          <w:rFonts w:ascii="Cambria" w:hAnsi="Cambria"/>
          <w:sz w:val="20"/>
          <w:szCs w:val="20"/>
        </w:rPr>
        <w:t xml:space="preserve">the </w:t>
      </w:r>
      <w:r w:rsidR="00DA53E6" w:rsidRPr="00703017">
        <w:rPr>
          <w:rFonts w:ascii="Cambria" w:hAnsi="Cambria"/>
          <w:sz w:val="20"/>
          <w:szCs w:val="20"/>
        </w:rPr>
        <w:t>admissibility requirement of timely presentation to have been met.</w:t>
      </w:r>
    </w:p>
    <w:p w:rsidR="00C06055" w:rsidRPr="00703017" w:rsidRDefault="0063287B" w:rsidP="008D5A44">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3017">
        <w:rPr>
          <w:rFonts w:ascii="Cambria" w:hAnsi="Cambria"/>
          <w:sz w:val="20"/>
          <w:szCs w:val="20"/>
        </w:rPr>
        <w:t xml:space="preserve">Without prejudice to the above, the Commission notes that </w:t>
      </w:r>
      <w:r w:rsidR="00456DF2" w:rsidRPr="00703017">
        <w:rPr>
          <w:rFonts w:ascii="Cambria" w:hAnsi="Cambria"/>
          <w:sz w:val="20"/>
          <w:szCs w:val="20"/>
        </w:rPr>
        <w:t xml:space="preserve">in </w:t>
      </w:r>
      <w:r w:rsidRPr="00703017">
        <w:rPr>
          <w:rFonts w:ascii="Cambria" w:hAnsi="Cambria"/>
          <w:sz w:val="20"/>
          <w:szCs w:val="20"/>
        </w:rPr>
        <w:t>the response received on December 24, 2013</w:t>
      </w:r>
      <w:r w:rsidR="00701423" w:rsidRPr="00703017">
        <w:rPr>
          <w:rFonts w:ascii="Cambria" w:hAnsi="Cambria"/>
          <w:sz w:val="20"/>
          <w:szCs w:val="20"/>
        </w:rPr>
        <w:t>, the State</w:t>
      </w:r>
      <w:r w:rsidRPr="00703017">
        <w:rPr>
          <w:rFonts w:ascii="Cambria" w:hAnsi="Cambria"/>
          <w:sz w:val="20"/>
          <w:szCs w:val="20"/>
        </w:rPr>
        <w:t xml:space="preserve"> indicates that the petition was presented out of time since the Constitutional Court judgment was issued on March 6, 2002, and the petition was presented on November 5, 2002</w:t>
      </w:r>
      <w:r w:rsidR="00867762" w:rsidRPr="00703017">
        <w:rPr>
          <w:rFonts w:ascii="Cambria" w:hAnsi="Cambria"/>
          <w:sz w:val="20"/>
          <w:szCs w:val="20"/>
        </w:rPr>
        <w:t>, approximately</w:t>
      </w:r>
      <w:r w:rsidRPr="00703017">
        <w:rPr>
          <w:rFonts w:ascii="Cambria" w:hAnsi="Cambria"/>
          <w:sz w:val="20"/>
          <w:szCs w:val="20"/>
        </w:rPr>
        <w:t xml:space="preserve"> eight months after the final judicial decision. </w:t>
      </w:r>
      <w:r w:rsidR="00775267" w:rsidRPr="00703017">
        <w:rPr>
          <w:rFonts w:ascii="Cambria" w:hAnsi="Cambria"/>
          <w:sz w:val="20"/>
          <w:szCs w:val="20"/>
        </w:rPr>
        <w:t>In additional observations received on July 18, 2016</w:t>
      </w:r>
      <w:r w:rsidR="00701423" w:rsidRPr="00703017">
        <w:rPr>
          <w:rFonts w:ascii="Cambria" w:hAnsi="Cambria"/>
          <w:sz w:val="20"/>
          <w:szCs w:val="20"/>
        </w:rPr>
        <w:t>,</w:t>
      </w:r>
      <w:r w:rsidR="00775267" w:rsidRPr="00703017">
        <w:rPr>
          <w:rFonts w:ascii="Cambria" w:hAnsi="Cambria"/>
          <w:sz w:val="20"/>
          <w:szCs w:val="20"/>
        </w:rPr>
        <w:t xml:space="preserve"> the State indicates that th</w:t>
      </w:r>
      <w:r w:rsidR="00456DF2" w:rsidRPr="00703017">
        <w:rPr>
          <w:rFonts w:ascii="Cambria" w:hAnsi="Cambria"/>
          <w:sz w:val="20"/>
          <w:szCs w:val="20"/>
        </w:rPr>
        <w:t>e instant</w:t>
      </w:r>
      <w:r w:rsidR="00775267" w:rsidRPr="00703017">
        <w:rPr>
          <w:rFonts w:ascii="Cambria" w:hAnsi="Cambria"/>
          <w:sz w:val="20"/>
          <w:szCs w:val="20"/>
        </w:rPr>
        <w:t xml:space="preserve"> petition was </w:t>
      </w:r>
      <w:r w:rsidR="0076428E">
        <w:rPr>
          <w:rFonts w:ascii="Cambria" w:hAnsi="Cambria"/>
          <w:sz w:val="20"/>
          <w:szCs w:val="20"/>
        </w:rPr>
        <w:t>filed</w:t>
      </w:r>
      <w:r w:rsidR="00775267" w:rsidRPr="00703017">
        <w:rPr>
          <w:rFonts w:ascii="Cambria" w:hAnsi="Cambria"/>
          <w:sz w:val="20"/>
          <w:szCs w:val="20"/>
        </w:rPr>
        <w:t xml:space="preserve"> on January 18, 2008, </w:t>
      </w:r>
      <w:r w:rsidR="00867762" w:rsidRPr="00703017">
        <w:rPr>
          <w:rFonts w:ascii="Cambria" w:hAnsi="Cambria"/>
          <w:sz w:val="20"/>
          <w:szCs w:val="20"/>
        </w:rPr>
        <w:t>after what was in its view a period</w:t>
      </w:r>
      <w:r w:rsidR="00775267" w:rsidRPr="00703017">
        <w:rPr>
          <w:rFonts w:ascii="Cambria" w:hAnsi="Cambria"/>
          <w:sz w:val="20"/>
          <w:szCs w:val="20"/>
        </w:rPr>
        <w:t xml:space="preserve"> of six years</w:t>
      </w:r>
      <w:r w:rsidR="00867762" w:rsidRPr="00703017">
        <w:rPr>
          <w:rFonts w:ascii="Cambria" w:hAnsi="Cambria"/>
          <w:sz w:val="20"/>
          <w:szCs w:val="20"/>
        </w:rPr>
        <w:t xml:space="preserve">, which should </w:t>
      </w:r>
      <w:r w:rsidR="00E44D23" w:rsidRPr="00703017">
        <w:rPr>
          <w:rFonts w:ascii="Cambria" w:hAnsi="Cambria"/>
          <w:sz w:val="20"/>
          <w:szCs w:val="20"/>
        </w:rPr>
        <w:t xml:space="preserve">be considered to </w:t>
      </w:r>
      <w:r w:rsidR="00867762" w:rsidRPr="00703017">
        <w:rPr>
          <w:rFonts w:ascii="Cambria" w:hAnsi="Cambria"/>
          <w:sz w:val="20"/>
          <w:szCs w:val="20"/>
        </w:rPr>
        <w:t xml:space="preserve">constitute </w:t>
      </w:r>
      <w:r w:rsidR="009D19CC" w:rsidRPr="00703017">
        <w:rPr>
          <w:rFonts w:ascii="Cambria" w:hAnsi="Cambria"/>
          <w:sz w:val="20"/>
          <w:szCs w:val="20"/>
        </w:rPr>
        <w:t>breach of</w:t>
      </w:r>
      <w:r w:rsidR="00867762" w:rsidRPr="00703017">
        <w:rPr>
          <w:rFonts w:ascii="Cambria" w:hAnsi="Cambria"/>
          <w:sz w:val="20"/>
          <w:szCs w:val="20"/>
        </w:rPr>
        <w:t xml:space="preserve"> the</w:t>
      </w:r>
      <w:r w:rsidR="00775267" w:rsidRPr="00703017">
        <w:rPr>
          <w:rFonts w:ascii="Cambria" w:hAnsi="Cambria"/>
          <w:sz w:val="20"/>
          <w:szCs w:val="20"/>
        </w:rPr>
        <w:t xml:space="preserve"> requirement established in the Convention.</w:t>
      </w:r>
      <w:r w:rsidR="00EA1977" w:rsidRPr="00703017">
        <w:rPr>
          <w:rFonts w:ascii="Cambria" w:hAnsi="Cambria"/>
          <w:sz w:val="20"/>
          <w:szCs w:val="20"/>
        </w:rPr>
        <w:t xml:space="preserve"> On this point, the alleged victim </w:t>
      </w:r>
      <w:r w:rsidR="00C706F3" w:rsidRPr="00703017">
        <w:rPr>
          <w:rFonts w:ascii="Cambria" w:hAnsi="Cambria"/>
          <w:sz w:val="20"/>
          <w:szCs w:val="20"/>
        </w:rPr>
        <w:t>state</w:t>
      </w:r>
      <w:r w:rsidR="00EA1977" w:rsidRPr="00703017">
        <w:rPr>
          <w:rFonts w:ascii="Cambria" w:hAnsi="Cambria"/>
          <w:sz w:val="20"/>
          <w:szCs w:val="20"/>
        </w:rPr>
        <w:t>s that noti</w:t>
      </w:r>
      <w:r w:rsidR="00875E28" w:rsidRPr="00703017">
        <w:rPr>
          <w:rFonts w:ascii="Cambria" w:hAnsi="Cambria"/>
          <w:sz w:val="20"/>
          <w:szCs w:val="20"/>
        </w:rPr>
        <w:t>fication</w:t>
      </w:r>
      <w:r w:rsidR="00EA1977" w:rsidRPr="00703017">
        <w:rPr>
          <w:rFonts w:ascii="Cambria" w:hAnsi="Cambria"/>
          <w:sz w:val="20"/>
          <w:szCs w:val="20"/>
        </w:rPr>
        <w:t xml:space="preserve"> of the March 6, 2002 judgment was </w:t>
      </w:r>
      <w:r w:rsidR="00875E28" w:rsidRPr="00703017">
        <w:rPr>
          <w:rFonts w:ascii="Cambria" w:hAnsi="Cambria"/>
          <w:sz w:val="20"/>
          <w:szCs w:val="20"/>
        </w:rPr>
        <w:t>made</w:t>
      </w:r>
      <w:r w:rsidR="00EA1977" w:rsidRPr="00703017">
        <w:rPr>
          <w:rFonts w:ascii="Cambria" w:hAnsi="Cambria"/>
          <w:sz w:val="20"/>
          <w:szCs w:val="20"/>
        </w:rPr>
        <w:t xml:space="preserve"> on May 20, 2002, </w:t>
      </w:r>
      <w:r w:rsidR="0031627A" w:rsidRPr="00703017">
        <w:rPr>
          <w:rFonts w:ascii="Cambria" w:hAnsi="Cambria"/>
          <w:sz w:val="20"/>
          <w:szCs w:val="20"/>
        </w:rPr>
        <w:t>and he attaches</w:t>
      </w:r>
      <w:r w:rsidR="00DB0BC6" w:rsidRPr="00703017">
        <w:rPr>
          <w:rFonts w:ascii="Cambria" w:hAnsi="Cambria"/>
          <w:sz w:val="20"/>
          <w:szCs w:val="20"/>
        </w:rPr>
        <w:t xml:space="preserve"> </w:t>
      </w:r>
      <w:r w:rsidR="00EA1977" w:rsidRPr="00703017">
        <w:rPr>
          <w:rFonts w:ascii="Cambria" w:hAnsi="Cambria"/>
          <w:sz w:val="20"/>
          <w:szCs w:val="20"/>
        </w:rPr>
        <w:t xml:space="preserve">a certificate </w:t>
      </w:r>
      <w:r w:rsidR="00C706F3" w:rsidRPr="00703017">
        <w:rPr>
          <w:rFonts w:ascii="Cambria" w:hAnsi="Cambria"/>
          <w:sz w:val="20"/>
          <w:szCs w:val="20"/>
        </w:rPr>
        <w:t xml:space="preserve">to that effect </w:t>
      </w:r>
      <w:r w:rsidR="00EA1977" w:rsidRPr="00703017">
        <w:rPr>
          <w:rFonts w:ascii="Cambria" w:hAnsi="Cambria"/>
          <w:sz w:val="20"/>
          <w:szCs w:val="20"/>
        </w:rPr>
        <w:t xml:space="preserve">issued by the Disciplinary </w:t>
      </w:r>
      <w:r w:rsidR="00D65604" w:rsidRPr="00703017">
        <w:rPr>
          <w:rFonts w:ascii="Cambria" w:hAnsi="Cambria"/>
          <w:sz w:val="20"/>
          <w:szCs w:val="20"/>
        </w:rPr>
        <w:t>Division</w:t>
      </w:r>
      <w:r w:rsidR="00EA1977" w:rsidRPr="00703017">
        <w:rPr>
          <w:rFonts w:ascii="Cambria" w:hAnsi="Cambria"/>
          <w:sz w:val="20"/>
          <w:szCs w:val="20"/>
        </w:rPr>
        <w:t xml:space="preserve"> of the Sectional Council of the Judiciary of Cundinamarca.</w:t>
      </w:r>
      <w:r w:rsidR="00D65604" w:rsidRPr="00703017">
        <w:rPr>
          <w:rFonts w:ascii="Cambria" w:hAnsi="Cambria"/>
          <w:sz w:val="20"/>
          <w:szCs w:val="20"/>
        </w:rPr>
        <w:t xml:space="preserve"> In this regard, the IACHR reiterates that the petition was </w:t>
      </w:r>
      <w:r w:rsidR="00E41425" w:rsidRPr="00703017">
        <w:rPr>
          <w:rFonts w:ascii="Cambria" w:hAnsi="Cambria"/>
          <w:sz w:val="20"/>
          <w:szCs w:val="20"/>
        </w:rPr>
        <w:t>lodge</w:t>
      </w:r>
      <w:r w:rsidR="00D65604" w:rsidRPr="00703017">
        <w:rPr>
          <w:rFonts w:ascii="Cambria" w:hAnsi="Cambria"/>
          <w:sz w:val="20"/>
          <w:szCs w:val="20"/>
        </w:rPr>
        <w:t xml:space="preserve">d on November 5, 2002, </w:t>
      </w:r>
      <w:r w:rsidR="0031627A" w:rsidRPr="00703017">
        <w:rPr>
          <w:rFonts w:ascii="Cambria" w:hAnsi="Cambria"/>
          <w:sz w:val="20"/>
          <w:szCs w:val="20"/>
        </w:rPr>
        <w:t xml:space="preserve">and </w:t>
      </w:r>
      <w:r w:rsidR="00DE17B3">
        <w:rPr>
          <w:rFonts w:ascii="Cambria" w:hAnsi="Cambria"/>
          <w:sz w:val="20"/>
          <w:szCs w:val="20"/>
        </w:rPr>
        <w:t>its determination that</w:t>
      </w:r>
      <w:r w:rsidR="00E41425" w:rsidRPr="00703017">
        <w:rPr>
          <w:rFonts w:ascii="Cambria" w:hAnsi="Cambria"/>
          <w:sz w:val="20"/>
          <w:szCs w:val="20"/>
        </w:rPr>
        <w:t xml:space="preserve"> </w:t>
      </w:r>
      <w:r w:rsidR="00D65604" w:rsidRPr="00703017">
        <w:rPr>
          <w:rFonts w:ascii="Cambria" w:hAnsi="Cambria"/>
          <w:sz w:val="20"/>
          <w:szCs w:val="20"/>
        </w:rPr>
        <w:t xml:space="preserve">the case </w:t>
      </w:r>
      <w:r w:rsidR="00DE17B3">
        <w:rPr>
          <w:rFonts w:ascii="Cambria" w:hAnsi="Cambria"/>
          <w:sz w:val="20"/>
          <w:szCs w:val="20"/>
        </w:rPr>
        <w:t>was</w:t>
      </w:r>
      <w:r w:rsidR="00D65604" w:rsidRPr="00703017">
        <w:rPr>
          <w:rFonts w:ascii="Cambria" w:hAnsi="Cambria"/>
          <w:sz w:val="20"/>
          <w:szCs w:val="20"/>
        </w:rPr>
        <w:t xml:space="preserve"> submitted within a reasonable period</w:t>
      </w:r>
      <w:r w:rsidR="00DE17B3">
        <w:rPr>
          <w:rFonts w:ascii="Cambria" w:hAnsi="Cambria"/>
          <w:sz w:val="20"/>
          <w:szCs w:val="20"/>
        </w:rPr>
        <w:t xml:space="preserve"> is based on that date</w:t>
      </w:r>
      <w:r w:rsidR="00D65604" w:rsidRPr="00703017">
        <w:rPr>
          <w:rFonts w:ascii="Cambria" w:hAnsi="Cambria"/>
          <w:sz w:val="20"/>
          <w:szCs w:val="20"/>
        </w:rPr>
        <w:t>.</w:t>
      </w:r>
    </w:p>
    <w:p w:rsidR="00C06055" w:rsidRPr="00703017" w:rsidRDefault="00C06055" w:rsidP="00C06055">
      <w:pPr>
        <w:suppressAutoHyphens/>
        <w:spacing w:after="240"/>
        <w:ind w:left="720"/>
        <w:jc w:val="both"/>
        <w:rPr>
          <w:rFonts w:ascii="Cambria" w:hAnsi="Cambria"/>
          <w:b/>
          <w:bCs/>
          <w:sz w:val="20"/>
          <w:szCs w:val="20"/>
        </w:rPr>
      </w:pPr>
      <w:r w:rsidRPr="00703017">
        <w:rPr>
          <w:rFonts w:ascii="Cambria" w:hAnsi="Cambria"/>
          <w:b/>
          <w:bCs/>
          <w:sz w:val="20"/>
          <w:szCs w:val="20"/>
        </w:rPr>
        <w:t>3.</w:t>
      </w:r>
      <w:r w:rsidRPr="00703017">
        <w:rPr>
          <w:rFonts w:ascii="Cambria" w:hAnsi="Cambria"/>
          <w:b/>
          <w:bCs/>
          <w:sz w:val="20"/>
          <w:szCs w:val="20"/>
        </w:rPr>
        <w:tab/>
      </w:r>
      <w:r w:rsidR="0022509A" w:rsidRPr="00703017">
        <w:rPr>
          <w:rFonts w:ascii="Cambria" w:hAnsi="Cambria"/>
          <w:b/>
          <w:bCs/>
          <w:sz w:val="20"/>
          <w:szCs w:val="20"/>
        </w:rPr>
        <w:t>Duplication of proceedings and international</w:t>
      </w:r>
      <w:r w:rsidR="0022509A" w:rsidRPr="00703017">
        <w:rPr>
          <w:rFonts w:ascii="Cambria" w:hAnsi="Cambria"/>
          <w:b/>
          <w:bCs/>
          <w:i/>
          <w:sz w:val="20"/>
          <w:szCs w:val="20"/>
        </w:rPr>
        <w:t xml:space="preserve"> res judicata</w:t>
      </w:r>
    </w:p>
    <w:p w:rsidR="003340A5" w:rsidRPr="00703017" w:rsidRDefault="003340A5" w:rsidP="008D5A44">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3017">
        <w:rPr>
          <w:rFonts w:ascii="Cambria" w:hAnsi="Cambria"/>
          <w:sz w:val="20"/>
          <w:szCs w:val="20"/>
        </w:rPr>
        <w:t xml:space="preserve">There is nothing in the record to suggest that the subject matter of the petition is pending in another international proceeding for settlement, or is substantially the same as one previously studied by the Commission or by another international organization. </w:t>
      </w:r>
      <w:r w:rsidR="004B58B9" w:rsidRPr="00703017">
        <w:rPr>
          <w:rFonts w:ascii="Cambria" w:hAnsi="Cambria"/>
          <w:sz w:val="20"/>
          <w:szCs w:val="20"/>
        </w:rPr>
        <w:t>The grounds for inadmissibility established in Articles 46</w:t>
      </w:r>
      <w:r w:rsidR="00AB0DCF" w:rsidRPr="00703017">
        <w:rPr>
          <w:rFonts w:ascii="Cambria" w:hAnsi="Cambria"/>
          <w:sz w:val="20"/>
          <w:szCs w:val="20"/>
        </w:rPr>
        <w:t>(1)(c)</w:t>
      </w:r>
      <w:r w:rsidR="004B58B9" w:rsidRPr="00703017">
        <w:rPr>
          <w:rFonts w:ascii="Cambria" w:hAnsi="Cambria"/>
          <w:sz w:val="20"/>
          <w:szCs w:val="20"/>
        </w:rPr>
        <w:t xml:space="preserve"> and 47</w:t>
      </w:r>
      <w:r w:rsidR="00AB0DCF" w:rsidRPr="00703017">
        <w:rPr>
          <w:rFonts w:ascii="Cambria" w:hAnsi="Cambria"/>
          <w:sz w:val="20"/>
          <w:szCs w:val="20"/>
        </w:rPr>
        <w:t>(d)</w:t>
      </w:r>
      <w:r w:rsidR="004B58B9" w:rsidRPr="00703017">
        <w:rPr>
          <w:rFonts w:ascii="Cambria" w:hAnsi="Cambria"/>
          <w:sz w:val="20"/>
          <w:szCs w:val="20"/>
        </w:rPr>
        <w:t xml:space="preserve"> of the Convention and Article 33</w:t>
      </w:r>
      <w:r w:rsidR="00F4425E" w:rsidRPr="00703017">
        <w:rPr>
          <w:rFonts w:ascii="Cambria" w:hAnsi="Cambria"/>
          <w:sz w:val="20"/>
          <w:szCs w:val="20"/>
        </w:rPr>
        <w:t>(1)(a)</w:t>
      </w:r>
      <w:r w:rsidR="004B58B9" w:rsidRPr="00703017">
        <w:rPr>
          <w:rFonts w:ascii="Cambria" w:hAnsi="Cambria"/>
          <w:sz w:val="20"/>
          <w:szCs w:val="20"/>
        </w:rPr>
        <w:t>and 33</w:t>
      </w:r>
      <w:r w:rsidR="00F4425E" w:rsidRPr="00703017">
        <w:rPr>
          <w:rFonts w:ascii="Cambria" w:hAnsi="Cambria"/>
          <w:sz w:val="20"/>
          <w:szCs w:val="20"/>
        </w:rPr>
        <w:t>(1)(b)</w:t>
      </w:r>
      <w:r w:rsidR="004B58B9" w:rsidRPr="00703017">
        <w:rPr>
          <w:rFonts w:ascii="Cambria" w:hAnsi="Cambria"/>
          <w:sz w:val="20"/>
          <w:szCs w:val="20"/>
        </w:rPr>
        <w:t xml:space="preserve"> of the Rules of Procedure therefore do not apply.</w:t>
      </w:r>
    </w:p>
    <w:p w:rsidR="00C06055" w:rsidRPr="00703017" w:rsidRDefault="00C06055" w:rsidP="00C06055">
      <w:pPr>
        <w:spacing w:after="240"/>
        <w:ind w:firstLine="720"/>
        <w:jc w:val="both"/>
        <w:rPr>
          <w:rFonts w:ascii="Cambria" w:hAnsi="Cambria"/>
          <w:b/>
          <w:bCs/>
          <w:sz w:val="20"/>
          <w:szCs w:val="20"/>
        </w:rPr>
      </w:pPr>
      <w:r w:rsidRPr="00703017">
        <w:rPr>
          <w:rFonts w:ascii="Cambria" w:hAnsi="Cambria"/>
          <w:b/>
          <w:bCs/>
          <w:sz w:val="20"/>
          <w:szCs w:val="20"/>
        </w:rPr>
        <w:t>4.</w:t>
      </w:r>
      <w:r w:rsidRPr="00703017">
        <w:rPr>
          <w:rFonts w:ascii="Cambria" w:hAnsi="Cambria"/>
          <w:b/>
          <w:bCs/>
          <w:sz w:val="20"/>
          <w:szCs w:val="20"/>
        </w:rPr>
        <w:tab/>
      </w:r>
      <w:r w:rsidR="003340A5" w:rsidRPr="00703017">
        <w:rPr>
          <w:rFonts w:ascii="Cambria" w:hAnsi="Cambria"/>
          <w:b/>
          <w:bCs/>
          <w:sz w:val="20"/>
          <w:szCs w:val="20"/>
        </w:rPr>
        <w:t>Characterization</w:t>
      </w:r>
      <w:r w:rsidR="0022509A" w:rsidRPr="00703017">
        <w:rPr>
          <w:rFonts w:ascii="Cambria" w:hAnsi="Cambria"/>
          <w:b/>
          <w:bCs/>
          <w:sz w:val="20"/>
          <w:szCs w:val="20"/>
        </w:rPr>
        <w:t xml:space="preserve"> of the alleged facts</w:t>
      </w:r>
    </w:p>
    <w:p w:rsidR="003E3FBB" w:rsidRPr="00703017" w:rsidRDefault="003E3FBB" w:rsidP="008D5A44">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3017">
        <w:rPr>
          <w:rFonts w:ascii="Cambria" w:hAnsi="Cambria"/>
          <w:sz w:val="20"/>
          <w:szCs w:val="20"/>
        </w:rPr>
        <w:t>For the purposes of admissibility, the Commission must decide whether the alleged facts m</w:t>
      </w:r>
      <w:r w:rsidR="004A2B15" w:rsidRPr="00703017">
        <w:rPr>
          <w:rFonts w:ascii="Cambria" w:hAnsi="Cambria"/>
          <w:sz w:val="20"/>
          <w:szCs w:val="20"/>
        </w:rPr>
        <w:t>ight</w:t>
      </w:r>
      <w:r w:rsidRPr="00703017">
        <w:rPr>
          <w:rFonts w:ascii="Cambria" w:hAnsi="Cambria"/>
          <w:sz w:val="20"/>
          <w:szCs w:val="20"/>
        </w:rPr>
        <w:t xml:space="preserve"> constitute a violation of rights pursuant to Article 47</w:t>
      </w:r>
      <w:r w:rsidR="00CF2B13" w:rsidRPr="00703017">
        <w:rPr>
          <w:rFonts w:ascii="Cambria" w:hAnsi="Cambria"/>
          <w:sz w:val="20"/>
          <w:szCs w:val="20"/>
        </w:rPr>
        <w:t>(b)</w:t>
      </w:r>
      <w:r w:rsidRPr="00703017">
        <w:rPr>
          <w:rFonts w:ascii="Cambria" w:hAnsi="Cambria"/>
          <w:sz w:val="20"/>
          <w:szCs w:val="20"/>
        </w:rPr>
        <w:t xml:space="preserve"> of the American Convention and Article 34 of the Rules of Procedure, or whether </w:t>
      </w:r>
      <w:r w:rsidR="00272D98" w:rsidRPr="00703017">
        <w:rPr>
          <w:rFonts w:ascii="Cambria" w:hAnsi="Cambria"/>
          <w:sz w:val="20"/>
          <w:szCs w:val="20"/>
        </w:rPr>
        <w:t>the petition</w:t>
      </w:r>
      <w:r w:rsidRPr="00703017">
        <w:rPr>
          <w:rFonts w:ascii="Cambria" w:hAnsi="Cambria"/>
          <w:sz w:val="20"/>
          <w:szCs w:val="20"/>
        </w:rPr>
        <w:t xml:space="preserve"> is “manifestly groundless” or “obviously out of order,” pursuant to Article 47</w:t>
      </w:r>
      <w:r w:rsidR="00CF2B13" w:rsidRPr="00703017">
        <w:rPr>
          <w:rFonts w:ascii="Cambria" w:hAnsi="Cambria"/>
          <w:sz w:val="20"/>
          <w:szCs w:val="20"/>
        </w:rPr>
        <w:t>(c)</w:t>
      </w:r>
      <w:r w:rsidR="00EB3EB4" w:rsidRPr="00703017">
        <w:rPr>
          <w:rFonts w:ascii="Cambria" w:hAnsi="Cambria"/>
          <w:sz w:val="20"/>
          <w:szCs w:val="20"/>
        </w:rPr>
        <w:t xml:space="preserve"> of the American Convention and Article 34</w:t>
      </w:r>
      <w:r w:rsidR="00CF2B13" w:rsidRPr="00703017">
        <w:rPr>
          <w:rFonts w:ascii="Cambria" w:hAnsi="Cambria"/>
          <w:sz w:val="20"/>
          <w:szCs w:val="20"/>
        </w:rPr>
        <w:t>(b)</w:t>
      </w:r>
      <w:r w:rsidR="00EB3EB4" w:rsidRPr="00703017">
        <w:rPr>
          <w:rFonts w:ascii="Cambria" w:hAnsi="Cambria"/>
          <w:sz w:val="20"/>
          <w:szCs w:val="20"/>
        </w:rPr>
        <w:t xml:space="preserve"> of the Rules of Procedure. </w:t>
      </w:r>
      <w:r w:rsidR="00E00BD2" w:rsidRPr="00703017">
        <w:rPr>
          <w:rFonts w:ascii="Cambria" w:hAnsi="Cambria"/>
          <w:sz w:val="20"/>
          <w:szCs w:val="20"/>
        </w:rPr>
        <w:t>The criteria for evaluating admissibility differ from th</w:t>
      </w:r>
      <w:r w:rsidR="004A2B15" w:rsidRPr="00703017">
        <w:rPr>
          <w:rFonts w:ascii="Cambria" w:hAnsi="Cambria"/>
          <w:sz w:val="20"/>
          <w:szCs w:val="20"/>
        </w:rPr>
        <w:t>ose</w:t>
      </w:r>
      <w:r w:rsidR="00E00BD2" w:rsidRPr="00703017">
        <w:rPr>
          <w:rFonts w:ascii="Cambria" w:hAnsi="Cambria"/>
          <w:sz w:val="20"/>
          <w:szCs w:val="20"/>
        </w:rPr>
        <w:t xml:space="preserve"> </w:t>
      </w:r>
      <w:r w:rsidR="005C3686" w:rsidRPr="00703017">
        <w:rPr>
          <w:rFonts w:ascii="Cambria" w:hAnsi="Cambria"/>
          <w:sz w:val="20"/>
          <w:szCs w:val="20"/>
        </w:rPr>
        <w:t>appli</w:t>
      </w:r>
      <w:r w:rsidR="00E00BD2" w:rsidRPr="00703017">
        <w:rPr>
          <w:rFonts w:ascii="Cambria" w:hAnsi="Cambria"/>
          <w:sz w:val="20"/>
          <w:szCs w:val="20"/>
        </w:rPr>
        <w:t xml:space="preserve">ed to rule on the merits of a petition, since the Commission </w:t>
      </w:r>
      <w:r w:rsidR="00913733" w:rsidRPr="00703017">
        <w:rPr>
          <w:rFonts w:ascii="Cambria" w:hAnsi="Cambria"/>
          <w:sz w:val="20"/>
          <w:szCs w:val="20"/>
        </w:rPr>
        <w:t xml:space="preserve">only </w:t>
      </w:r>
      <w:r w:rsidR="00E00BD2" w:rsidRPr="00703017">
        <w:rPr>
          <w:rFonts w:ascii="Cambria" w:hAnsi="Cambria"/>
          <w:sz w:val="20"/>
          <w:szCs w:val="20"/>
        </w:rPr>
        <w:t xml:space="preserve">conducts a </w:t>
      </w:r>
      <w:r w:rsidR="00E00BD2" w:rsidRPr="00703017">
        <w:rPr>
          <w:rFonts w:ascii="Cambria" w:hAnsi="Cambria"/>
          <w:i/>
          <w:sz w:val="20"/>
          <w:szCs w:val="20"/>
        </w:rPr>
        <w:t>prima facie</w:t>
      </w:r>
      <w:r w:rsidR="00E00BD2" w:rsidRPr="00703017">
        <w:rPr>
          <w:rFonts w:ascii="Cambria" w:hAnsi="Cambria"/>
          <w:sz w:val="20"/>
          <w:szCs w:val="20"/>
        </w:rPr>
        <w:t xml:space="preserve"> </w:t>
      </w:r>
      <w:r w:rsidR="004A2B15" w:rsidRPr="00703017">
        <w:rPr>
          <w:rFonts w:ascii="Cambria" w:hAnsi="Cambria"/>
          <w:sz w:val="20"/>
          <w:szCs w:val="20"/>
        </w:rPr>
        <w:t>a</w:t>
      </w:r>
      <w:r w:rsidR="00A77CA7" w:rsidRPr="00703017">
        <w:rPr>
          <w:rFonts w:ascii="Cambria" w:hAnsi="Cambria"/>
          <w:sz w:val="20"/>
          <w:szCs w:val="20"/>
        </w:rPr>
        <w:t>ssessment</w:t>
      </w:r>
      <w:r w:rsidR="00E00BD2" w:rsidRPr="00703017">
        <w:rPr>
          <w:rFonts w:ascii="Cambria" w:hAnsi="Cambria"/>
          <w:sz w:val="20"/>
          <w:szCs w:val="20"/>
        </w:rPr>
        <w:t xml:space="preserve"> to determine whether the petition establish</w:t>
      </w:r>
      <w:r w:rsidR="00913733" w:rsidRPr="00703017">
        <w:rPr>
          <w:rFonts w:ascii="Cambria" w:hAnsi="Cambria"/>
          <w:sz w:val="20"/>
          <w:szCs w:val="20"/>
        </w:rPr>
        <w:t>es</w:t>
      </w:r>
      <w:r w:rsidR="00E00BD2" w:rsidRPr="00703017">
        <w:rPr>
          <w:rFonts w:ascii="Cambria" w:hAnsi="Cambria"/>
          <w:sz w:val="20"/>
          <w:szCs w:val="20"/>
        </w:rPr>
        <w:t xml:space="preserve"> </w:t>
      </w:r>
      <w:r w:rsidR="00ED2054" w:rsidRPr="00703017">
        <w:rPr>
          <w:rFonts w:ascii="Cambria" w:hAnsi="Cambria"/>
          <w:sz w:val="20"/>
          <w:szCs w:val="20"/>
        </w:rPr>
        <w:t>an apparent</w:t>
      </w:r>
      <w:r w:rsidR="00E00BD2" w:rsidRPr="00703017">
        <w:rPr>
          <w:rFonts w:ascii="Cambria" w:hAnsi="Cambria"/>
          <w:sz w:val="20"/>
          <w:szCs w:val="20"/>
        </w:rPr>
        <w:t xml:space="preserve"> or potential violation of a right </w:t>
      </w:r>
      <w:r w:rsidR="00850DF2" w:rsidRPr="00703017">
        <w:rPr>
          <w:rFonts w:ascii="Cambria" w:hAnsi="Cambria"/>
          <w:sz w:val="20"/>
          <w:szCs w:val="20"/>
        </w:rPr>
        <w:t>protecte</w:t>
      </w:r>
      <w:r w:rsidR="00E00BD2" w:rsidRPr="00703017">
        <w:rPr>
          <w:rFonts w:ascii="Cambria" w:hAnsi="Cambria"/>
          <w:sz w:val="20"/>
          <w:szCs w:val="20"/>
        </w:rPr>
        <w:t xml:space="preserve">d by the American Convention. </w:t>
      </w:r>
      <w:r w:rsidR="00850DF2" w:rsidRPr="00703017">
        <w:rPr>
          <w:rFonts w:ascii="Cambria" w:hAnsi="Cambria"/>
          <w:sz w:val="20"/>
          <w:szCs w:val="20"/>
        </w:rPr>
        <w:t>This examination is a summary analysis that neither prejudges nor offers a preliminary opinion on the merits</w:t>
      </w:r>
      <w:r w:rsidR="00913733" w:rsidRPr="00703017">
        <w:rPr>
          <w:rFonts w:ascii="Cambria" w:hAnsi="Cambria"/>
          <w:sz w:val="20"/>
          <w:szCs w:val="20"/>
        </w:rPr>
        <w:t xml:space="preserve"> of the case</w:t>
      </w:r>
      <w:r w:rsidR="00850DF2" w:rsidRPr="00703017">
        <w:rPr>
          <w:rFonts w:ascii="Cambria" w:hAnsi="Cambria"/>
          <w:sz w:val="20"/>
          <w:szCs w:val="20"/>
        </w:rPr>
        <w:t>.</w:t>
      </w:r>
    </w:p>
    <w:p w:rsidR="00C06055" w:rsidRPr="00703017" w:rsidRDefault="00E86FBF" w:rsidP="008D5A44">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3017">
        <w:rPr>
          <w:rFonts w:ascii="Cambria" w:hAnsi="Cambria"/>
          <w:sz w:val="20"/>
          <w:szCs w:val="20"/>
        </w:rPr>
        <w:t xml:space="preserve">Furthermore, the relevant legal instruments do not require the petitioners to identify the specific rights allegedly violated by the State </w:t>
      </w:r>
      <w:r w:rsidR="003F681F" w:rsidRPr="00703017">
        <w:rPr>
          <w:rFonts w:ascii="Cambria" w:hAnsi="Cambria"/>
          <w:sz w:val="20"/>
          <w:szCs w:val="20"/>
        </w:rPr>
        <w:t>in a case submitted to</w:t>
      </w:r>
      <w:r w:rsidRPr="00703017">
        <w:rPr>
          <w:rFonts w:ascii="Cambria" w:hAnsi="Cambria"/>
          <w:sz w:val="20"/>
          <w:szCs w:val="20"/>
        </w:rPr>
        <w:t xml:space="preserve"> the Commission, although the petitioners may do so. </w:t>
      </w:r>
      <w:r w:rsidR="003F681F" w:rsidRPr="00703017">
        <w:rPr>
          <w:rFonts w:ascii="Cambria" w:hAnsi="Cambria"/>
          <w:sz w:val="20"/>
          <w:szCs w:val="20"/>
        </w:rPr>
        <w:t>It is up to the Commission to determine in its admissibility reports</w:t>
      </w:r>
      <w:r w:rsidR="005C3686" w:rsidRPr="00703017">
        <w:rPr>
          <w:rFonts w:ascii="Cambria" w:hAnsi="Cambria"/>
          <w:sz w:val="20"/>
          <w:szCs w:val="20"/>
        </w:rPr>
        <w:t>, on the basis of</w:t>
      </w:r>
      <w:r w:rsidR="007E7A30" w:rsidRPr="00703017">
        <w:rPr>
          <w:rFonts w:ascii="Cambria" w:hAnsi="Cambria"/>
          <w:sz w:val="20"/>
          <w:szCs w:val="20"/>
        </w:rPr>
        <w:t xml:space="preserve"> the System’s case law</w:t>
      </w:r>
      <w:r w:rsidR="005C3686" w:rsidRPr="00703017">
        <w:rPr>
          <w:rFonts w:ascii="Cambria" w:hAnsi="Cambria"/>
          <w:sz w:val="20"/>
          <w:szCs w:val="20"/>
        </w:rPr>
        <w:t>,</w:t>
      </w:r>
      <w:r w:rsidR="007E7A30" w:rsidRPr="00703017">
        <w:rPr>
          <w:rFonts w:ascii="Cambria" w:hAnsi="Cambria"/>
          <w:sz w:val="20"/>
          <w:szCs w:val="20"/>
        </w:rPr>
        <w:t xml:space="preserve"> </w:t>
      </w:r>
      <w:r w:rsidR="003F681F" w:rsidRPr="00703017">
        <w:rPr>
          <w:rFonts w:ascii="Cambria" w:hAnsi="Cambria"/>
          <w:sz w:val="20"/>
          <w:szCs w:val="20"/>
        </w:rPr>
        <w:t>wh</w:t>
      </w:r>
      <w:r w:rsidR="007E7A30" w:rsidRPr="00703017">
        <w:rPr>
          <w:rFonts w:ascii="Cambria" w:hAnsi="Cambria"/>
          <w:sz w:val="20"/>
          <w:szCs w:val="20"/>
        </w:rPr>
        <w:t>ich</w:t>
      </w:r>
      <w:r w:rsidR="003F681F" w:rsidRPr="00703017">
        <w:rPr>
          <w:rFonts w:ascii="Cambria" w:hAnsi="Cambria"/>
          <w:sz w:val="20"/>
          <w:szCs w:val="20"/>
        </w:rPr>
        <w:t xml:space="preserve"> provisions of the relevant inter-American instruments apply and can be shown to have been violated if the alleged facts are proven by adequate evidence.</w:t>
      </w:r>
    </w:p>
    <w:p w:rsidR="00C06055" w:rsidRPr="00703017" w:rsidRDefault="00653728" w:rsidP="008D5A44">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3017">
        <w:rPr>
          <w:rFonts w:ascii="Cambria" w:hAnsi="Cambria"/>
          <w:sz w:val="20"/>
          <w:szCs w:val="20"/>
        </w:rPr>
        <w:t xml:space="preserve">According to the </w:t>
      </w:r>
      <w:r w:rsidR="0076428E">
        <w:rPr>
          <w:rFonts w:ascii="Cambria" w:hAnsi="Cambria"/>
          <w:sz w:val="20"/>
          <w:szCs w:val="20"/>
        </w:rPr>
        <w:t>alleged victim</w:t>
      </w:r>
      <w:r w:rsidRPr="00703017">
        <w:rPr>
          <w:rFonts w:ascii="Cambria" w:hAnsi="Cambria"/>
          <w:sz w:val="20"/>
          <w:szCs w:val="20"/>
        </w:rPr>
        <w:t xml:space="preserve">, he was </w:t>
      </w:r>
      <w:r w:rsidR="00AE480B" w:rsidRPr="00703017">
        <w:rPr>
          <w:rFonts w:ascii="Cambria" w:hAnsi="Cambria"/>
          <w:sz w:val="20"/>
          <w:szCs w:val="20"/>
        </w:rPr>
        <w:t>convict</w:t>
      </w:r>
      <w:r w:rsidRPr="00703017">
        <w:rPr>
          <w:rFonts w:ascii="Cambria" w:hAnsi="Cambria"/>
          <w:sz w:val="20"/>
          <w:szCs w:val="20"/>
        </w:rPr>
        <w:t xml:space="preserve">ed in criminal proceedings that did not ensure the right to double instance; in other words, he </w:t>
      </w:r>
      <w:r w:rsidR="00126DF9" w:rsidRPr="00703017">
        <w:rPr>
          <w:rFonts w:ascii="Cambria" w:hAnsi="Cambria"/>
          <w:sz w:val="20"/>
          <w:szCs w:val="20"/>
        </w:rPr>
        <w:t>could not</w:t>
      </w:r>
      <w:r w:rsidRPr="00703017">
        <w:rPr>
          <w:rFonts w:ascii="Cambria" w:hAnsi="Cambria"/>
          <w:sz w:val="20"/>
          <w:szCs w:val="20"/>
        </w:rPr>
        <w:t xml:space="preserve"> contest a judgment against him. According to the </w:t>
      </w:r>
      <w:r w:rsidRPr="00703017">
        <w:rPr>
          <w:rFonts w:ascii="Cambria" w:hAnsi="Cambria"/>
          <w:sz w:val="20"/>
          <w:szCs w:val="20"/>
        </w:rPr>
        <w:lastRenderedPageBreak/>
        <w:t xml:space="preserve">State, the </w:t>
      </w:r>
      <w:r w:rsidR="0076428E">
        <w:rPr>
          <w:rFonts w:ascii="Cambria" w:hAnsi="Cambria"/>
          <w:sz w:val="20"/>
          <w:szCs w:val="20"/>
        </w:rPr>
        <w:t>p</w:t>
      </w:r>
      <w:r w:rsidRPr="00703017">
        <w:rPr>
          <w:rFonts w:ascii="Cambria" w:hAnsi="Cambria"/>
          <w:sz w:val="20"/>
          <w:szCs w:val="20"/>
        </w:rPr>
        <w:t xml:space="preserve">etitioner </w:t>
      </w:r>
      <w:r w:rsidR="00CC1F0C" w:rsidRPr="00703017">
        <w:rPr>
          <w:rFonts w:ascii="Cambria" w:hAnsi="Cambria"/>
          <w:sz w:val="20"/>
          <w:szCs w:val="20"/>
        </w:rPr>
        <w:t xml:space="preserve">sought constitutional protection through the </w:t>
      </w:r>
      <w:r w:rsidR="00CC1F0C" w:rsidRPr="00703017">
        <w:rPr>
          <w:rFonts w:ascii="Cambria" w:hAnsi="Cambria"/>
          <w:i/>
          <w:sz w:val="20"/>
          <w:szCs w:val="20"/>
        </w:rPr>
        <w:t xml:space="preserve">tutela </w:t>
      </w:r>
      <w:r w:rsidR="00CC1F0C" w:rsidRPr="00703017">
        <w:rPr>
          <w:rFonts w:ascii="Cambria" w:hAnsi="Cambria"/>
          <w:sz w:val="20"/>
          <w:szCs w:val="20"/>
        </w:rPr>
        <w:t xml:space="preserve">action and can lodge an action for review if he has new evidence that could reverse the initial judgment. </w:t>
      </w:r>
      <w:r w:rsidR="00B20DFC" w:rsidRPr="00703017">
        <w:rPr>
          <w:rFonts w:ascii="Cambria" w:hAnsi="Cambria"/>
          <w:sz w:val="20"/>
          <w:szCs w:val="20"/>
        </w:rPr>
        <w:t xml:space="preserve">In view of the </w:t>
      </w:r>
      <w:r w:rsidR="005C0F9D" w:rsidRPr="00703017">
        <w:rPr>
          <w:rFonts w:ascii="Cambria" w:hAnsi="Cambria"/>
          <w:sz w:val="20"/>
          <w:szCs w:val="20"/>
        </w:rPr>
        <w:t>factual and legal information</w:t>
      </w:r>
      <w:r w:rsidR="00B20DFC" w:rsidRPr="00703017">
        <w:rPr>
          <w:rFonts w:ascii="Cambria" w:hAnsi="Cambria"/>
          <w:sz w:val="20"/>
          <w:szCs w:val="20"/>
        </w:rPr>
        <w:t xml:space="preserve"> submitted by the parties and the nature of the case before it, the IACHR considers that, if proven, sole-instance criminal proceedings might constitute </w:t>
      </w:r>
      <w:r w:rsidR="00DE54AF" w:rsidRPr="00703017">
        <w:rPr>
          <w:rFonts w:ascii="Cambria" w:hAnsi="Cambria"/>
          <w:sz w:val="20"/>
          <w:szCs w:val="20"/>
        </w:rPr>
        <w:t xml:space="preserve">a </w:t>
      </w:r>
      <w:r w:rsidR="00B20DFC" w:rsidRPr="00703017">
        <w:rPr>
          <w:rFonts w:ascii="Cambria" w:hAnsi="Cambria"/>
          <w:sz w:val="20"/>
          <w:szCs w:val="20"/>
        </w:rPr>
        <w:t>possible violation of the rights protected in Articles 8 and 25 of the American Convention, in conjunction with Article 1(1) and 2 thereof, to the detriment of Saulo Arboleda Gómez.</w:t>
      </w:r>
    </w:p>
    <w:p w:rsidR="00C06055" w:rsidRPr="00703017" w:rsidRDefault="00B20DFC" w:rsidP="008D5A44">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SimSun" w:hAnsi="Cambria"/>
          <w:color w:val="000000" w:themeColor="text1"/>
          <w:sz w:val="20"/>
          <w:szCs w:val="20"/>
        </w:rPr>
      </w:pPr>
      <w:r w:rsidRPr="00703017">
        <w:rPr>
          <w:rFonts w:ascii="Cambria" w:hAnsi="Cambria"/>
          <w:sz w:val="20"/>
          <w:szCs w:val="20"/>
        </w:rPr>
        <w:t xml:space="preserve">Lastly, regarding the alleged violation of the rights to honor and dignity and to equality before the law, contained in Articles 11 and 24 of the American Convention, </w:t>
      </w:r>
      <w:r w:rsidR="00524437" w:rsidRPr="00703017">
        <w:rPr>
          <w:rFonts w:ascii="Cambria" w:hAnsi="Cambria"/>
          <w:sz w:val="20"/>
          <w:szCs w:val="20"/>
        </w:rPr>
        <w:t xml:space="preserve">the Commission does not </w:t>
      </w:r>
      <w:r w:rsidR="00A16C0A" w:rsidRPr="00703017">
        <w:rPr>
          <w:rFonts w:ascii="Cambria" w:hAnsi="Cambria"/>
          <w:sz w:val="20"/>
          <w:szCs w:val="20"/>
        </w:rPr>
        <w:t xml:space="preserve">consider the allegations or evidence sufficient to establish a </w:t>
      </w:r>
      <w:r w:rsidR="00A16C0A" w:rsidRPr="00703017">
        <w:rPr>
          <w:rFonts w:ascii="Cambria" w:hAnsi="Cambria"/>
          <w:i/>
          <w:sz w:val="20"/>
          <w:szCs w:val="20"/>
        </w:rPr>
        <w:t>prima facie</w:t>
      </w:r>
      <w:r w:rsidR="00A16C0A" w:rsidRPr="00703017">
        <w:rPr>
          <w:rFonts w:ascii="Cambria" w:hAnsi="Cambria"/>
          <w:sz w:val="20"/>
          <w:szCs w:val="20"/>
        </w:rPr>
        <w:t xml:space="preserve"> case for violation of those </w:t>
      </w:r>
      <w:r w:rsidR="003A7201" w:rsidRPr="00703017">
        <w:rPr>
          <w:rFonts w:ascii="Cambria" w:hAnsi="Cambria"/>
          <w:sz w:val="20"/>
          <w:szCs w:val="20"/>
        </w:rPr>
        <w:t>a</w:t>
      </w:r>
      <w:r w:rsidR="00A16C0A" w:rsidRPr="00703017">
        <w:rPr>
          <w:rFonts w:ascii="Cambria" w:hAnsi="Cambria"/>
          <w:sz w:val="20"/>
          <w:szCs w:val="20"/>
        </w:rPr>
        <w:t xml:space="preserve">rticles. </w:t>
      </w:r>
      <w:r w:rsidR="005C0F9D" w:rsidRPr="00703017">
        <w:rPr>
          <w:rFonts w:ascii="Cambria" w:hAnsi="Cambria"/>
          <w:sz w:val="20"/>
          <w:szCs w:val="20"/>
        </w:rPr>
        <w:t xml:space="preserve">In regard to the right to equality before the law, the Commission notes that, according to the petitioners’ own claims, the Criminal Division </w:t>
      </w:r>
      <w:r w:rsidR="00C07EA7">
        <w:rPr>
          <w:rFonts w:ascii="Cambria" w:hAnsi="Cambria"/>
          <w:sz w:val="20"/>
          <w:szCs w:val="20"/>
        </w:rPr>
        <w:t>void</w:t>
      </w:r>
      <w:r w:rsidR="005C0F9D" w:rsidRPr="00703017">
        <w:rPr>
          <w:rFonts w:ascii="Cambria" w:hAnsi="Cambria"/>
          <w:sz w:val="20"/>
          <w:szCs w:val="20"/>
        </w:rPr>
        <w:t xml:space="preserve">ed the proceedings against Rodrigo Villamizar because it </w:t>
      </w:r>
      <w:r w:rsidR="00E42FD1" w:rsidRPr="00703017">
        <w:rPr>
          <w:rFonts w:ascii="Cambria" w:hAnsi="Cambria"/>
          <w:sz w:val="20"/>
          <w:szCs w:val="20"/>
        </w:rPr>
        <w:t>considered</w:t>
      </w:r>
      <w:r w:rsidR="005C0F9D" w:rsidRPr="00703017">
        <w:rPr>
          <w:rFonts w:ascii="Cambria" w:hAnsi="Cambria"/>
          <w:sz w:val="20"/>
          <w:szCs w:val="20"/>
        </w:rPr>
        <w:t xml:space="preserve"> </w:t>
      </w:r>
      <w:r w:rsidR="005C5DC4">
        <w:rPr>
          <w:rFonts w:ascii="Cambria" w:hAnsi="Cambria"/>
          <w:sz w:val="20"/>
          <w:szCs w:val="20"/>
        </w:rPr>
        <w:t>him to have</w:t>
      </w:r>
      <w:r w:rsidR="005C0F9D" w:rsidRPr="00703017">
        <w:rPr>
          <w:rFonts w:ascii="Cambria" w:hAnsi="Cambria"/>
          <w:sz w:val="20"/>
          <w:szCs w:val="20"/>
        </w:rPr>
        <w:t xml:space="preserve"> </w:t>
      </w:r>
      <w:r w:rsidR="003A7201" w:rsidRPr="00703017">
        <w:rPr>
          <w:rFonts w:ascii="Cambria" w:hAnsi="Cambria"/>
          <w:sz w:val="20"/>
          <w:szCs w:val="20"/>
        </w:rPr>
        <w:t>acted</w:t>
      </w:r>
      <w:r w:rsidR="005C0F9D" w:rsidRPr="00703017">
        <w:rPr>
          <w:rFonts w:ascii="Cambria" w:hAnsi="Cambria"/>
          <w:sz w:val="20"/>
          <w:szCs w:val="20"/>
        </w:rPr>
        <w:t xml:space="preserve"> in a private rather than ministerial capacity</w:t>
      </w:r>
      <w:r w:rsidR="003872E9" w:rsidRPr="00703017">
        <w:rPr>
          <w:rFonts w:ascii="Cambria" w:hAnsi="Cambria"/>
          <w:sz w:val="20"/>
          <w:szCs w:val="20"/>
        </w:rPr>
        <w:t xml:space="preserve">, which meant that it </w:t>
      </w:r>
      <w:r w:rsidR="005C0F9D" w:rsidRPr="00703017">
        <w:rPr>
          <w:rFonts w:ascii="Cambria" w:hAnsi="Cambria"/>
          <w:sz w:val="20"/>
          <w:szCs w:val="20"/>
        </w:rPr>
        <w:t>did not have special jurisdiction.</w:t>
      </w:r>
    </w:p>
    <w:p w:rsidR="00C06055" w:rsidRPr="00703017" w:rsidRDefault="00C06055" w:rsidP="00C06055">
      <w:pPr>
        <w:spacing w:after="240"/>
        <w:ind w:firstLine="720"/>
        <w:jc w:val="both"/>
        <w:rPr>
          <w:rFonts w:ascii="Cambria" w:hAnsi="Cambria"/>
          <w:b/>
          <w:bCs/>
          <w:sz w:val="20"/>
          <w:szCs w:val="20"/>
        </w:rPr>
      </w:pPr>
      <w:r w:rsidRPr="00703017">
        <w:rPr>
          <w:rFonts w:ascii="Cambria" w:hAnsi="Cambria"/>
          <w:b/>
          <w:bCs/>
          <w:sz w:val="20"/>
          <w:szCs w:val="20"/>
        </w:rPr>
        <w:t>V.</w:t>
      </w:r>
      <w:r w:rsidRPr="00703017">
        <w:rPr>
          <w:rFonts w:ascii="Cambria" w:hAnsi="Cambria"/>
          <w:b/>
          <w:bCs/>
          <w:sz w:val="20"/>
          <w:szCs w:val="20"/>
        </w:rPr>
        <w:tab/>
        <w:t>CONCLUSIONS</w:t>
      </w:r>
    </w:p>
    <w:p w:rsidR="00680075" w:rsidRPr="00703017" w:rsidRDefault="00680075" w:rsidP="008D5A44">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3017">
        <w:rPr>
          <w:rFonts w:ascii="Cambria" w:hAnsi="Cambria"/>
          <w:sz w:val="20"/>
          <w:szCs w:val="20"/>
        </w:rPr>
        <w:t>On the basis of the factual and legal arguments set forth above, the Inter-American Commission concludes that this petition satisfies the admissibility requirements established in Articles 31 to 34 of the Rules of Procedure and Articles 46 and 47 of the American Convention</w:t>
      </w:r>
      <w:r w:rsidR="008B7A6C" w:rsidRPr="00703017">
        <w:rPr>
          <w:rFonts w:ascii="Cambria" w:hAnsi="Cambria"/>
          <w:sz w:val="20"/>
          <w:szCs w:val="20"/>
        </w:rPr>
        <w:t xml:space="preserve"> and, without prejudging the merits of the case,</w:t>
      </w:r>
    </w:p>
    <w:p w:rsidR="00C06055" w:rsidRPr="00703017" w:rsidRDefault="008B7A6C" w:rsidP="006C75BF">
      <w:pPr>
        <w:spacing w:after="240"/>
        <w:jc w:val="center"/>
        <w:rPr>
          <w:rFonts w:ascii="Cambria" w:hAnsi="Cambria"/>
          <w:b/>
          <w:bCs/>
          <w:sz w:val="20"/>
          <w:szCs w:val="20"/>
        </w:rPr>
      </w:pPr>
      <w:r w:rsidRPr="00703017">
        <w:rPr>
          <w:rFonts w:ascii="Cambria" w:hAnsi="Cambria"/>
          <w:b/>
          <w:bCs/>
          <w:sz w:val="20"/>
          <w:szCs w:val="20"/>
        </w:rPr>
        <w:t>THE INTER-AMERICAN COMMISSION ON HUMAN RIGHTS</w:t>
      </w:r>
    </w:p>
    <w:p w:rsidR="00C06055" w:rsidRPr="00703017" w:rsidRDefault="00C06055" w:rsidP="006C75BF">
      <w:pPr>
        <w:spacing w:after="240"/>
        <w:jc w:val="both"/>
        <w:rPr>
          <w:rFonts w:ascii="Cambria" w:hAnsi="Cambria"/>
          <w:b/>
          <w:bCs/>
          <w:sz w:val="20"/>
          <w:szCs w:val="20"/>
        </w:rPr>
      </w:pPr>
      <w:r w:rsidRPr="00703017">
        <w:rPr>
          <w:rFonts w:ascii="Cambria" w:hAnsi="Cambria"/>
          <w:b/>
          <w:bCs/>
          <w:sz w:val="20"/>
          <w:szCs w:val="20"/>
        </w:rPr>
        <w:t>DECIDE</w:t>
      </w:r>
      <w:r w:rsidR="008B7A6C" w:rsidRPr="00703017">
        <w:rPr>
          <w:rFonts w:ascii="Cambria" w:hAnsi="Cambria"/>
          <w:b/>
          <w:bCs/>
          <w:sz w:val="20"/>
          <w:szCs w:val="20"/>
        </w:rPr>
        <w:t>S</w:t>
      </w:r>
      <w:r w:rsidRPr="00703017">
        <w:rPr>
          <w:rFonts w:ascii="Cambria" w:hAnsi="Cambria"/>
          <w:b/>
          <w:bCs/>
          <w:sz w:val="20"/>
          <w:szCs w:val="20"/>
        </w:rPr>
        <w:t>:</w:t>
      </w:r>
    </w:p>
    <w:p w:rsidR="008B7A6C" w:rsidRPr="00703017" w:rsidRDefault="008B7A6C" w:rsidP="00C06055">
      <w:pPr>
        <w:pStyle w:val="ListParagraph"/>
        <w:numPr>
          <w:ilvl w:val="1"/>
          <w:numId w:val="106"/>
        </w:numPr>
        <w:tabs>
          <w:tab w:val="clear" w:pos="1800"/>
          <w:tab w:val="num" w:pos="0"/>
        </w:tabs>
        <w:suppressAutoHyphens/>
        <w:spacing w:after="240"/>
        <w:ind w:left="0" w:firstLine="720"/>
        <w:jc w:val="both"/>
        <w:rPr>
          <w:rFonts w:cs="Times New Roman"/>
          <w:sz w:val="20"/>
          <w:szCs w:val="20"/>
        </w:rPr>
      </w:pPr>
      <w:r w:rsidRPr="00703017">
        <w:rPr>
          <w:rFonts w:cs="Times New Roman"/>
          <w:sz w:val="20"/>
          <w:szCs w:val="20"/>
        </w:rPr>
        <w:t>To declare this petition admissible with respect to Articles 8 and 25 of the American Convention, in conjunction with the obligations established in Articles 1(1) and 2 thereof;</w:t>
      </w:r>
    </w:p>
    <w:p w:rsidR="00C06055" w:rsidRPr="00703017" w:rsidRDefault="008B7A6C" w:rsidP="00C06055">
      <w:pPr>
        <w:pStyle w:val="ListParagraph"/>
        <w:numPr>
          <w:ilvl w:val="1"/>
          <w:numId w:val="106"/>
        </w:numPr>
        <w:tabs>
          <w:tab w:val="clear" w:pos="1800"/>
          <w:tab w:val="num" w:pos="0"/>
        </w:tabs>
        <w:suppressAutoHyphens/>
        <w:spacing w:after="240"/>
        <w:ind w:left="0" w:firstLine="720"/>
        <w:jc w:val="both"/>
        <w:rPr>
          <w:rFonts w:cs="Times New Roman"/>
          <w:sz w:val="20"/>
          <w:szCs w:val="20"/>
        </w:rPr>
      </w:pPr>
      <w:r w:rsidRPr="00703017">
        <w:rPr>
          <w:rFonts w:cs="Times New Roman"/>
          <w:sz w:val="20"/>
          <w:szCs w:val="20"/>
        </w:rPr>
        <w:t>To declare this petition inadmissible with respect to Articles 11 and 24 of the American Convention;</w:t>
      </w:r>
    </w:p>
    <w:p w:rsidR="00C06055" w:rsidRPr="00703017" w:rsidRDefault="008B7A6C" w:rsidP="00C06055">
      <w:pPr>
        <w:pStyle w:val="ListParagraph"/>
        <w:numPr>
          <w:ilvl w:val="1"/>
          <w:numId w:val="106"/>
        </w:numPr>
        <w:tabs>
          <w:tab w:val="clear" w:pos="1800"/>
          <w:tab w:val="num" w:pos="0"/>
        </w:tabs>
        <w:suppressAutoHyphens/>
        <w:spacing w:after="240"/>
        <w:ind w:left="0" w:firstLine="720"/>
        <w:jc w:val="both"/>
        <w:rPr>
          <w:rFonts w:cs="Times New Roman"/>
          <w:sz w:val="20"/>
          <w:szCs w:val="20"/>
        </w:rPr>
      </w:pPr>
      <w:r w:rsidRPr="00703017">
        <w:rPr>
          <w:rFonts w:cs="Times New Roman"/>
          <w:sz w:val="20"/>
          <w:szCs w:val="20"/>
        </w:rPr>
        <w:t>To notify the parties of this decision;</w:t>
      </w:r>
    </w:p>
    <w:p w:rsidR="00C06055" w:rsidRPr="00703017" w:rsidRDefault="008B7A6C" w:rsidP="00C06055">
      <w:pPr>
        <w:pStyle w:val="ListParagraph"/>
        <w:numPr>
          <w:ilvl w:val="1"/>
          <w:numId w:val="106"/>
        </w:numPr>
        <w:tabs>
          <w:tab w:val="clear" w:pos="1800"/>
          <w:tab w:val="num" w:pos="0"/>
        </w:tabs>
        <w:suppressAutoHyphens/>
        <w:spacing w:after="240"/>
        <w:ind w:left="0" w:firstLine="720"/>
        <w:jc w:val="both"/>
        <w:rPr>
          <w:rFonts w:cs="Times New Roman"/>
          <w:sz w:val="20"/>
          <w:szCs w:val="20"/>
        </w:rPr>
      </w:pPr>
      <w:r w:rsidRPr="00703017">
        <w:rPr>
          <w:rFonts w:cs="Times New Roman"/>
          <w:sz w:val="20"/>
          <w:szCs w:val="20"/>
        </w:rPr>
        <w:t>To continue with its analysis of the merits of the case</w:t>
      </w:r>
      <w:r w:rsidR="00C06055" w:rsidRPr="00703017">
        <w:rPr>
          <w:rFonts w:cs="Times New Roman"/>
          <w:sz w:val="20"/>
          <w:szCs w:val="20"/>
        </w:rPr>
        <w:t>;</w:t>
      </w:r>
      <w:r w:rsidRPr="00703017">
        <w:rPr>
          <w:rFonts w:cs="Times New Roman"/>
          <w:sz w:val="20"/>
          <w:szCs w:val="20"/>
        </w:rPr>
        <w:t xml:space="preserve"> and</w:t>
      </w:r>
    </w:p>
    <w:p w:rsidR="00706D3C" w:rsidRDefault="008B7A6C" w:rsidP="008B7A6C">
      <w:pPr>
        <w:pStyle w:val="ListParagraph"/>
        <w:numPr>
          <w:ilvl w:val="1"/>
          <w:numId w:val="106"/>
        </w:numPr>
        <w:tabs>
          <w:tab w:val="clear" w:pos="1800"/>
          <w:tab w:val="num" w:pos="0"/>
        </w:tabs>
        <w:suppressAutoHyphens/>
        <w:spacing w:after="240"/>
        <w:ind w:left="0" w:firstLine="720"/>
        <w:jc w:val="both"/>
        <w:rPr>
          <w:rFonts w:cs="Times New Roman"/>
          <w:sz w:val="20"/>
          <w:szCs w:val="20"/>
        </w:rPr>
      </w:pPr>
      <w:r w:rsidRPr="00703017">
        <w:rPr>
          <w:rFonts w:cs="Times New Roman"/>
          <w:sz w:val="20"/>
          <w:szCs w:val="20"/>
        </w:rPr>
        <w:t>To publish this decision and include it in the Commission’s Annual Report to the General Assembly of the Organization of American</w:t>
      </w:r>
      <w:r w:rsidRPr="006C75BF">
        <w:rPr>
          <w:rFonts w:cs="Times New Roman"/>
          <w:sz w:val="20"/>
          <w:szCs w:val="20"/>
          <w:u w:val="single"/>
        </w:rPr>
        <w:t xml:space="preserve"> </w:t>
      </w:r>
      <w:r w:rsidRPr="00703017">
        <w:rPr>
          <w:rFonts w:cs="Times New Roman"/>
          <w:sz w:val="20"/>
          <w:szCs w:val="20"/>
        </w:rPr>
        <w:t>States.</w:t>
      </w:r>
    </w:p>
    <w:p w:rsidR="006C75BF" w:rsidRPr="006C75BF" w:rsidRDefault="006C75BF" w:rsidP="006C75BF">
      <w:pPr>
        <w:suppressAutoHyphens/>
        <w:ind w:firstLine="720"/>
        <w:jc w:val="both"/>
        <w:rPr>
          <w:rFonts w:asciiTheme="majorHAnsi" w:hAnsiTheme="majorHAnsi"/>
          <w:spacing w:val="-2"/>
          <w:sz w:val="20"/>
        </w:rPr>
      </w:pPr>
      <w:r w:rsidRPr="006C75BF">
        <w:rPr>
          <w:rFonts w:asciiTheme="majorHAnsi" w:hAnsiTheme="majorHAnsi"/>
          <w:spacing w:val="-2"/>
          <w:sz w:val="20"/>
        </w:rPr>
        <w:t>Done and signed in the city of Panama, Panama, on the 6</w:t>
      </w:r>
      <w:r w:rsidRPr="006C75BF">
        <w:rPr>
          <w:rFonts w:asciiTheme="majorHAnsi" w:hAnsiTheme="majorHAnsi"/>
          <w:spacing w:val="-2"/>
          <w:sz w:val="20"/>
          <w:vertAlign w:val="superscript"/>
        </w:rPr>
        <w:t>th</w:t>
      </w:r>
      <w:r w:rsidRPr="006C75BF">
        <w:rPr>
          <w:rFonts w:asciiTheme="majorHAnsi" w:hAnsiTheme="majorHAnsi"/>
          <w:spacing w:val="-2"/>
          <w:sz w:val="20"/>
        </w:rPr>
        <w:t xml:space="preserve"> day of the month of December, 2016. (Signed):  </w:t>
      </w:r>
      <w:r w:rsidRPr="006C75BF">
        <w:rPr>
          <w:rFonts w:asciiTheme="majorHAnsi" w:hAnsiTheme="majorHAnsi" w:cs="Arial"/>
          <w:noProof/>
          <w:spacing w:val="-2"/>
          <w:sz w:val="20"/>
        </w:rPr>
        <w:t xml:space="preserve">James L. Cavallaro, </w:t>
      </w:r>
      <w:r w:rsidRPr="006C75BF">
        <w:rPr>
          <w:rFonts w:asciiTheme="majorHAnsi" w:hAnsiTheme="majorHAnsi"/>
          <w:sz w:val="20"/>
        </w:rPr>
        <w:t xml:space="preserve">President; </w:t>
      </w:r>
      <w:r w:rsidRPr="006C75BF">
        <w:rPr>
          <w:rFonts w:asciiTheme="majorHAnsi" w:hAnsiTheme="majorHAnsi" w:cs="Arial"/>
          <w:noProof/>
          <w:spacing w:val="-2"/>
          <w:sz w:val="20"/>
        </w:rPr>
        <w:t>Francisco José Eguiguren</w:t>
      </w:r>
      <w:r w:rsidRPr="006C75BF">
        <w:rPr>
          <w:rFonts w:asciiTheme="majorHAnsi" w:hAnsiTheme="majorHAnsi"/>
          <w:spacing w:val="-2"/>
          <w:sz w:val="20"/>
        </w:rPr>
        <w:t>, First Vice President;</w:t>
      </w:r>
      <w:r w:rsidRPr="006C75BF">
        <w:rPr>
          <w:rFonts w:asciiTheme="majorHAnsi" w:hAnsiTheme="majorHAnsi" w:cs="Arial"/>
          <w:noProof/>
          <w:spacing w:val="-2"/>
          <w:sz w:val="20"/>
        </w:rPr>
        <w:t xml:space="preserve"> Margarette May Macaulay, Second Vice President;</w:t>
      </w:r>
      <w:r w:rsidRPr="006C75BF">
        <w:rPr>
          <w:rFonts w:asciiTheme="majorHAnsi" w:hAnsiTheme="majorHAnsi"/>
          <w:sz w:val="20"/>
        </w:rPr>
        <w:t xml:space="preserve"> </w:t>
      </w:r>
      <w:r w:rsidRPr="006C75BF">
        <w:rPr>
          <w:rFonts w:asciiTheme="majorHAnsi" w:hAnsiTheme="majorHAnsi" w:cs="Arial"/>
          <w:noProof/>
          <w:spacing w:val="-2"/>
          <w:sz w:val="20"/>
        </w:rPr>
        <w:t xml:space="preserve">José de Jesús Orozco Henríquez, Paulo Vannuchi,  and Esmeralda E. Arosemena Bernal de Troitiño  </w:t>
      </w:r>
      <w:r w:rsidRPr="006C75BF">
        <w:rPr>
          <w:rFonts w:asciiTheme="majorHAnsi" w:hAnsiTheme="majorHAnsi"/>
          <w:spacing w:val="-2"/>
          <w:sz w:val="20"/>
        </w:rPr>
        <w:t>Commissioners.</w:t>
      </w:r>
    </w:p>
    <w:p w:rsidR="006C75BF" w:rsidRPr="006C75BF" w:rsidRDefault="006C75BF" w:rsidP="006C75BF">
      <w:pPr>
        <w:suppressAutoHyphens/>
        <w:spacing w:after="240"/>
        <w:jc w:val="both"/>
        <w:rPr>
          <w:sz w:val="20"/>
          <w:szCs w:val="20"/>
        </w:rPr>
      </w:pPr>
    </w:p>
    <w:sectPr w:rsidR="006C75BF" w:rsidRPr="006C75BF" w:rsidSect="006311DA">
      <w:footerReference w:type="first" r:id="rId1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341" w:rsidRDefault="00A93341" w:rsidP="00036A8A">
      <w:r>
        <w:separator/>
      </w:r>
    </w:p>
  </w:endnote>
  <w:endnote w:type="continuationSeparator" w:id="0">
    <w:p w:rsidR="00A93341" w:rsidRDefault="00A93341"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B6" w:rsidRDefault="00CB31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2915ED" w:rsidRPr="006311DA" w:rsidRDefault="002915ED">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CB31B6">
          <w:rPr>
            <w:noProof/>
            <w:sz w:val="16"/>
          </w:rPr>
          <w:t>1</w:t>
        </w:r>
        <w:r w:rsidRPr="006311DA">
          <w:rPr>
            <w:noProof/>
            <w:sz w:val="16"/>
          </w:rPr>
          <w:fldChar w:fldCharType="end"/>
        </w:r>
      </w:p>
    </w:sdtContent>
  </w:sdt>
  <w:p w:rsidR="002915ED" w:rsidRDefault="002915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5ED" w:rsidRDefault="002915ED">
    <w:pPr>
      <w:pStyle w:val="Footer"/>
      <w:jc w:val="center"/>
    </w:pPr>
  </w:p>
  <w:p w:rsidR="002915ED" w:rsidRDefault="002915E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2915ED" w:rsidRDefault="002915ED">
        <w:pPr>
          <w:pStyle w:val="Footer"/>
          <w:jc w:val="center"/>
        </w:pPr>
        <w:r>
          <w:fldChar w:fldCharType="begin"/>
        </w:r>
        <w:r>
          <w:instrText xml:space="preserve"> PAGE   \* MERGEFORMAT </w:instrText>
        </w:r>
        <w:r>
          <w:fldChar w:fldCharType="separate"/>
        </w:r>
        <w:r w:rsidR="00A27AFC">
          <w:rPr>
            <w:noProof/>
          </w:rPr>
          <w:t>7</w:t>
        </w:r>
        <w:r>
          <w:rPr>
            <w:noProof/>
          </w:rPr>
          <w:fldChar w:fldCharType="end"/>
        </w:r>
      </w:p>
    </w:sdtContent>
  </w:sdt>
  <w:p w:rsidR="002915ED" w:rsidRDefault="002915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341" w:rsidRPr="00036A8A" w:rsidRDefault="00A93341"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A93341" w:rsidRPr="00036A8A" w:rsidRDefault="00A93341" w:rsidP="00036A8A">
      <w:pPr>
        <w:rPr>
          <w:rFonts w:asciiTheme="majorHAnsi" w:hAnsiTheme="majorHAnsi"/>
          <w:sz w:val="16"/>
          <w:szCs w:val="16"/>
        </w:rPr>
      </w:pPr>
      <w:r w:rsidRPr="00036A8A">
        <w:rPr>
          <w:rFonts w:asciiTheme="majorHAnsi" w:hAnsiTheme="majorHAnsi"/>
          <w:sz w:val="16"/>
          <w:szCs w:val="16"/>
        </w:rPr>
        <w:separator/>
      </w:r>
    </w:p>
    <w:p w:rsidR="00A93341" w:rsidRPr="00036A8A" w:rsidRDefault="00A93341"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A93341" w:rsidRPr="0093441A" w:rsidRDefault="00A93341"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2915ED" w:rsidRPr="00CC760B" w:rsidRDefault="002915ED" w:rsidP="00255159">
      <w:pPr>
        <w:pStyle w:val="FootnoteText"/>
        <w:spacing w:before="120" w:after="120"/>
        <w:ind w:firstLine="720"/>
        <w:jc w:val="both"/>
        <w:rPr>
          <w:rFonts w:ascii="Cambria" w:hAnsi="Cambria"/>
          <w:color w:val="000000" w:themeColor="text1"/>
          <w:sz w:val="16"/>
          <w:szCs w:val="16"/>
        </w:rPr>
      </w:pPr>
      <w:r w:rsidRPr="00683B8E">
        <w:rPr>
          <w:rStyle w:val="FootnoteReference"/>
          <w:rFonts w:ascii="Cambria" w:hAnsi="Cambria"/>
          <w:color w:val="auto"/>
          <w:sz w:val="16"/>
          <w:szCs w:val="16"/>
        </w:rPr>
        <w:footnoteRef/>
      </w:r>
      <w:r w:rsidRPr="00683B8E">
        <w:rPr>
          <w:rFonts w:ascii="Cambria" w:hAnsi="Cambria"/>
          <w:color w:val="auto"/>
          <w:sz w:val="16"/>
          <w:szCs w:val="16"/>
        </w:rPr>
        <w:t xml:space="preserve"> </w:t>
      </w:r>
      <w:r>
        <w:rPr>
          <w:rFonts w:ascii="Cambria" w:hAnsi="Cambria"/>
          <w:color w:val="auto"/>
          <w:sz w:val="16"/>
          <w:szCs w:val="16"/>
        </w:rPr>
        <w:t>In accordance with Article 17</w:t>
      </w:r>
      <w:r w:rsidR="005F7A32">
        <w:rPr>
          <w:rFonts w:ascii="Cambria" w:hAnsi="Cambria"/>
          <w:color w:val="auto"/>
          <w:sz w:val="16"/>
          <w:szCs w:val="16"/>
        </w:rPr>
        <w:t>(2)(a)</w:t>
      </w:r>
      <w:r>
        <w:rPr>
          <w:rFonts w:ascii="Cambria" w:hAnsi="Cambria"/>
          <w:color w:val="auto"/>
          <w:sz w:val="16"/>
          <w:szCs w:val="16"/>
        </w:rPr>
        <w:t xml:space="preserve"> of the Rules of Procedure</w:t>
      </w:r>
      <w:r w:rsidR="00226659">
        <w:rPr>
          <w:rFonts w:ascii="Cambria" w:hAnsi="Cambria"/>
          <w:color w:val="auto"/>
          <w:sz w:val="16"/>
          <w:szCs w:val="16"/>
        </w:rPr>
        <w:t xml:space="preserve"> of the Commission</w:t>
      </w:r>
      <w:r>
        <w:rPr>
          <w:rFonts w:ascii="Cambria" w:hAnsi="Cambria"/>
          <w:color w:val="auto"/>
          <w:sz w:val="16"/>
          <w:szCs w:val="16"/>
        </w:rPr>
        <w:t xml:space="preserve">, Commissioner </w:t>
      </w:r>
      <w:r w:rsidRPr="00683B8E">
        <w:rPr>
          <w:rFonts w:ascii="Cambria" w:hAnsi="Cambria" w:cs="Arial"/>
          <w:color w:val="auto"/>
          <w:sz w:val="16"/>
          <w:szCs w:val="16"/>
        </w:rPr>
        <w:t>Enrique Gil Botero</w:t>
      </w:r>
      <w:r>
        <w:rPr>
          <w:rFonts w:ascii="Cambria" w:hAnsi="Cambria" w:cs="Arial"/>
          <w:color w:val="auto"/>
          <w:sz w:val="16"/>
          <w:szCs w:val="16"/>
        </w:rPr>
        <w:t>, a Colombian national, did not participate in the discussion or decision of this ma</w:t>
      </w:r>
      <w:r w:rsidRPr="00CC760B">
        <w:rPr>
          <w:rFonts w:ascii="Cambria" w:hAnsi="Cambria" w:cs="Arial"/>
          <w:color w:val="000000" w:themeColor="text1"/>
          <w:sz w:val="16"/>
          <w:szCs w:val="16"/>
        </w:rPr>
        <w:t xml:space="preserve">tter. </w:t>
      </w:r>
    </w:p>
  </w:footnote>
  <w:footnote w:id="3">
    <w:p w:rsidR="002915ED" w:rsidRPr="004C1BC2" w:rsidRDefault="002915ED" w:rsidP="00214983">
      <w:pPr>
        <w:pStyle w:val="FootnoteText"/>
        <w:spacing w:before="120"/>
        <w:ind w:firstLine="851"/>
        <w:jc w:val="both"/>
        <w:rPr>
          <w:sz w:val="16"/>
          <w:szCs w:val="16"/>
        </w:rPr>
      </w:pPr>
      <w:r w:rsidRPr="00683B8E">
        <w:rPr>
          <w:rStyle w:val="FootnoteReference"/>
          <w:rFonts w:ascii="Cambria" w:hAnsi="Cambria"/>
          <w:sz w:val="16"/>
          <w:szCs w:val="16"/>
        </w:rPr>
        <w:footnoteRef/>
      </w:r>
      <w:r w:rsidRPr="00683B8E">
        <w:rPr>
          <w:rFonts w:ascii="Cambria" w:hAnsi="Cambria"/>
          <w:sz w:val="16"/>
          <w:szCs w:val="16"/>
        </w:rPr>
        <w:t xml:space="preserve"> </w:t>
      </w:r>
      <w:r w:rsidRPr="004C1BC2">
        <w:rPr>
          <w:rFonts w:ascii="Cambria" w:hAnsi="Cambria"/>
          <w:sz w:val="16"/>
          <w:szCs w:val="16"/>
        </w:rPr>
        <w:t>IACHR, Report No. 34/07, Admissibility, Liakat Ali Alibux, Suriname, March 9, 2007, para. 4</w:t>
      </w:r>
      <w:r w:rsidR="008D2638">
        <w:rPr>
          <w:rFonts w:ascii="Cambria" w:hAnsi="Cambria"/>
          <w:sz w:val="16"/>
          <w:szCs w:val="16"/>
        </w:rPr>
        <w:t>6</w:t>
      </w:r>
      <w:r w:rsidRPr="004C1BC2">
        <w:rPr>
          <w:rFonts w:ascii="Cambria" w:hAnsi="Cambria"/>
          <w:sz w:val="16"/>
          <w:szCs w:val="16"/>
        </w:rPr>
        <w:t>; I/A Court H. R., Case of Liakat Ali Alibux v. Surinam, Judgment of January 30, 2014 (Preliminary Objections, Merits, Reparations and Costs); Series C</w:t>
      </w:r>
      <w:r w:rsidR="006062E2">
        <w:rPr>
          <w:rFonts w:ascii="Cambria" w:hAnsi="Cambria"/>
          <w:sz w:val="16"/>
          <w:szCs w:val="16"/>
        </w:rPr>
        <w:t>,</w:t>
      </w:r>
      <w:r w:rsidRPr="004C1BC2">
        <w:rPr>
          <w:rFonts w:ascii="Cambria" w:hAnsi="Cambria"/>
          <w:sz w:val="16"/>
          <w:szCs w:val="16"/>
        </w:rPr>
        <w:t xml:space="preserve"> No. 276</w:t>
      </w:r>
      <w:r w:rsidR="006062E2">
        <w:rPr>
          <w:rFonts w:ascii="Cambria" w:hAnsi="Cambria"/>
          <w:sz w:val="16"/>
          <w:szCs w:val="16"/>
        </w:rPr>
        <w:t>;</w:t>
      </w:r>
      <w:r w:rsidRPr="004C1BC2">
        <w:rPr>
          <w:rFonts w:ascii="Cambria" w:hAnsi="Cambria"/>
          <w:sz w:val="16"/>
          <w:szCs w:val="16"/>
        </w:rPr>
        <w:t xml:space="preserve"> para. 15.</w:t>
      </w:r>
    </w:p>
  </w:footnote>
  <w:footnote w:id="4">
    <w:p w:rsidR="002915ED" w:rsidRPr="000A11E5" w:rsidRDefault="002915ED" w:rsidP="000A11E5">
      <w:pPr>
        <w:pStyle w:val="FootnoteText"/>
        <w:spacing w:before="120"/>
        <w:ind w:firstLine="851"/>
        <w:jc w:val="both"/>
        <w:rPr>
          <w:rFonts w:ascii="Cambria" w:hAnsi="Cambria"/>
          <w:sz w:val="16"/>
        </w:rPr>
      </w:pPr>
      <w:r w:rsidRPr="004C1BC2">
        <w:rPr>
          <w:rStyle w:val="FootnoteReference"/>
          <w:rFonts w:ascii="Cambria" w:hAnsi="Cambria"/>
          <w:sz w:val="16"/>
        </w:rPr>
        <w:footnoteRef/>
      </w:r>
      <w:r w:rsidRPr="004C1BC2">
        <w:rPr>
          <w:rFonts w:ascii="Cambria" w:hAnsi="Cambria"/>
          <w:sz w:val="16"/>
        </w:rPr>
        <w:t xml:space="preserve"> I</w:t>
      </w:r>
      <w:r>
        <w:rPr>
          <w:rFonts w:ascii="Cambria" w:hAnsi="Cambria"/>
          <w:sz w:val="16"/>
        </w:rPr>
        <w:t xml:space="preserve">ACHR, Report No. 33/14, Case 12.820, Merits, Manfred Amrhein </w:t>
      </w:r>
      <w:r>
        <w:rPr>
          <w:rFonts w:ascii="Cambria" w:hAnsi="Cambria"/>
          <w:i/>
          <w:sz w:val="16"/>
        </w:rPr>
        <w:t>et al</w:t>
      </w:r>
      <w:r>
        <w:rPr>
          <w:rFonts w:ascii="Cambria" w:hAnsi="Cambria"/>
          <w:sz w:val="16"/>
        </w:rPr>
        <w:t>, Costa Rica, April 4, 2014; para. 203.</w:t>
      </w:r>
    </w:p>
  </w:footnote>
  <w:footnote w:id="5">
    <w:p w:rsidR="007903F9" w:rsidRPr="00683B8E" w:rsidRDefault="007903F9" w:rsidP="007903F9">
      <w:pPr>
        <w:pStyle w:val="FootnoteText"/>
        <w:spacing w:before="120"/>
        <w:ind w:firstLine="851"/>
        <w:jc w:val="both"/>
        <w:rPr>
          <w:rFonts w:ascii="Cambria" w:hAnsi="Cambria"/>
          <w:sz w:val="16"/>
          <w:szCs w:val="16"/>
        </w:rPr>
      </w:pPr>
      <w:r w:rsidRPr="00683B8E">
        <w:rPr>
          <w:rStyle w:val="FootnoteReference"/>
          <w:rFonts w:ascii="Cambria" w:hAnsi="Cambria"/>
          <w:sz w:val="16"/>
          <w:szCs w:val="16"/>
        </w:rPr>
        <w:footnoteRef/>
      </w:r>
      <w:r w:rsidRPr="00683B8E">
        <w:rPr>
          <w:rFonts w:ascii="Cambria" w:hAnsi="Cambria"/>
          <w:sz w:val="16"/>
          <w:szCs w:val="16"/>
        </w:rPr>
        <w:t xml:space="preserve"> </w:t>
      </w:r>
      <w:r>
        <w:rPr>
          <w:rFonts w:ascii="Cambria" w:hAnsi="Cambria"/>
          <w:sz w:val="16"/>
          <w:szCs w:val="16"/>
        </w:rPr>
        <w:t xml:space="preserve">IACHR, Report No. 20/14, Petition 1566-07, Report on Admissibility, Communities of the Sipakepense and Mam Mayan People of the Municipalities of Sipacapa and San Miguel </w:t>
      </w:r>
      <w:r w:rsidRPr="00683B8E">
        <w:rPr>
          <w:rFonts w:ascii="Cambria" w:hAnsi="Cambria"/>
          <w:sz w:val="16"/>
          <w:szCs w:val="16"/>
        </w:rPr>
        <w:t>Ixtahuacán, Guatemala</w:t>
      </w:r>
      <w:r>
        <w:rPr>
          <w:rFonts w:ascii="Cambria" w:hAnsi="Cambria"/>
          <w:sz w:val="16"/>
          <w:szCs w:val="16"/>
        </w:rPr>
        <w:t>; April 3, 2014, para. 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5ED" w:rsidRDefault="002915ED" w:rsidP="002915E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27AFC">
      <w:rPr>
        <w:rStyle w:val="PageNumber"/>
        <w:rFonts w:eastAsia="Trebuchet MS"/>
        <w:noProof/>
      </w:rPr>
      <w:t>7</w:t>
    </w:r>
    <w:r>
      <w:rPr>
        <w:rStyle w:val="PageNumber"/>
        <w:rFonts w:eastAsia="Trebuchet MS"/>
      </w:rPr>
      <w:fldChar w:fldCharType="end"/>
    </w:r>
  </w:p>
  <w:p w:rsidR="002915ED" w:rsidRDefault="002915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5ED" w:rsidRDefault="002915ED" w:rsidP="002C1641">
    <w:pPr>
      <w:pStyle w:val="Header"/>
      <w:tabs>
        <w:tab w:val="clear" w:pos="4320"/>
        <w:tab w:val="clear" w:pos="8640"/>
      </w:tabs>
      <w:jc w:val="center"/>
      <w:rPr>
        <w:sz w:val="22"/>
        <w:szCs w:val="22"/>
      </w:rPr>
    </w:pPr>
    <w:r>
      <w:rPr>
        <w:noProof/>
        <w:sz w:val="22"/>
        <w:szCs w:val="22"/>
      </w:rPr>
      <w:drawing>
        <wp:inline distT="0" distB="0" distL="0" distR="0" wp14:anchorId="7CE22A37" wp14:editId="0B7A85CE">
          <wp:extent cx="2209800" cy="117396"/>
          <wp:effectExtent l="0" t="0" r="0" b="0"/>
          <wp:docPr id="18" name="Picture 18"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2915ED" w:rsidRPr="00EC7D62" w:rsidRDefault="00A93341"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B6" w:rsidRDefault="00CB31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6B17492"/>
    <w:multiLevelType w:val="hybridMultilevel"/>
    <w:tmpl w:val="7592F678"/>
    <w:lvl w:ilvl="0" w:tplc="FD5E937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A792FC16"/>
    <w:lvl w:ilvl="0" w:tplc="0409000F">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C402F6"/>
    <w:multiLevelType w:val="hybridMultilevel"/>
    <w:tmpl w:val="9FF86930"/>
    <w:lvl w:ilvl="0" w:tplc="C40A67D6">
      <w:start w:val="2"/>
      <w:numFmt w:val="upperLetter"/>
      <w:lvlText w:val="%1."/>
      <w:lvlJc w:val="left"/>
      <w:pPr>
        <w:tabs>
          <w:tab w:val="num" w:pos="1440"/>
        </w:tabs>
        <w:ind w:left="1440" w:hanging="720"/>
      </w:pPr>
      <w:rPr>
        <w:rFonts w:hint="default"/>
      </w:rPr>
    </w:lvl>
    <w:lvl w:ilvl="1" w:tplc="BF2C9D00">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1FF824E0"/>
    <w:multiLevelType w:val="hybridMultilevel"/>
    <w:tmpl w:val="9190E5C2"/>
    <w:lvl w:ilvl="0" w:tplc="E9642EDC">
      <w:start w:val="4"/>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93637"/>
    <w:multiLevelType w:val="hybridMultilevel"/>
    <w:tmpl w:val="DBACFE70"/>
    <w:lvl w:ilvl="0" w:tplc="D68093FE">
      <w:start w:val="1"/>
      <w:numFmt w:val="upperLetter"/>
      <w:pStyle w:val="NoSpac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3364C9"/>
    <w:multiLevelType w:val="hybridMultilevel"/>
    <w:tmpl w:val="7DCEA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6C406B"/>
    <w:multiLevelType w:val="hybridMultilevel"/>
    <w:tmpl w:val="263AE2D6"/>
    <w:lvl w:ilvl="0" w:tplc="32A407EA">
      <w:start w:val="29"/>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0786ED7"/>
    <w:multiLevelType w:val="hybridMultilevel"/>
    <w:tmpl w:val="834209EA"/>
    <w:lvl w:ilvl="0" w:tplc="DB9A2834">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7"/>
  </w:num>
  <w:num w:numId="57">
    <w:abstractNumId w:val="1"/>
  </w:num>
  <w:num w:numId="58">
    <w:abstractNumId w:val="3"/>
  </w:num>
  <w:num w:numId="59">
    <w:abstractNumId w:val="9"/>
  </w:num>
  <w:num w:numId="60">
    <w:abstractNumId w:val="10"/>
  </w:num>
  <w:num w:numId="61">
    <w:abstractNumId w:val="11"/>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2"/>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49"/>
  </w:num>
  <w:num w:numId="85">
    <w:abstractNumId w:val="53"/>
  </w:num>
  <w:num w:numId="86">
    <w:abstractNumId w:val="55"/>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6"/>
  </w:num>
  <w:num w:numId="94">
    <w:abstractNumId w:val="23"/>
  </w:num>
  <w:num w:numId="95">
    <w:abstractNumId w:val="45"/>
  </w:num>
  <w:num w:numId="96">
    <w:abstractNumId w:val="57"/>
  </w:num>
  <w:num w:numId="97">
    <w:abstractNumId w:val="54"/>
  </w:num>
  <w:num w:numId="98">
    <w:abstractNumId w:val="48"/>
  </w:num>
  <w:num w:numId="99">
    <w:abstractNumId w:val="40"/>
  </w:num>
  <w:num w:numId="100">
    <w:abstractNumId w:val="4"/>
  </w:num>
  <w:num w:numId="101">
    <w:abstractNumId w:val="28"/>
  </w:num>
  <w:num w:numId="102">
    <w:abstractNumId w:val="51"/>
  </w:num>
  <w:num w:numId="103">
    <w:abstractNumId w:val="6"/>
  </w:num>
  <w:num w:numId="104">
    <w:abstractNumId w:val="33"/>
  </w:num>
  <w:num w:numId="105">
    <w:abstractNumId w:val="33"/>
    <w:lvlOverride w:ilvl="0">
      <w:startOverride w:val="1"/>
    </w:lvlOverride>
  </w:num>
  <w:num w:numId="106">
    <w:abstractNumId w:val="12"/>
  </w:num>
  <w:num w:numId="107">
    <w:abstractNumId w:val="50"/>
  </w:num>
  <w:num w:numId="108">
    <w:abstractNumId w:val="2"/>
  </w:num>
  <w:num w:numId="109">
    <w:abstractNumId w:val="15"/>
  </w:num>
  <w:num w:numId="110">
    <w:abstractNumId w:val="5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75C"/>
    <w:rsid w:val="00000CDA"/>
    <w:rsid w:val="00005225"/>
    <w:rsid w:val="000070D7"/>
    <w:rsid w:val="000111A8"/>
    <w:rsid w:val="00014924"/>
    <w:rsid w:val="0001788C"/>
    <w:rsid w:val="0002162F"/>
    <w:rsid w:val="000216EB"/>
    <w:rsid w:val="00021CC1"/>
    <w:rsid w:val="00023EE3"/>
    <w:rsid w:val="00030F86"/>
    <w:rsid w:val="0003541F"/>
    <w:rsid w:val="00036371"/>
    <w:rsid w:val="00036A8A"/>
    <w:rsid w:val="00040C3A"/>
    <w:rsid w:val="000560EF"/>
    <w:rsid w:val="000639C0"/>
    <w:rsid w:val="00064982"/>
    <w:rsid w:val="0006700B"/>
    <w:rsid w:val="00070F3A"/>
    <w:rsid w:val="000716C5"/>
    <w:rsid w:val="00073A5D"/>
    <w:rsid w:val="00075E23"/>
    <w:rsid w:val="000925E0"/>
    <w:rsid w:val="00092F32"/>
    <w:rsid w:val="0009344A"/>
    <w:rsid w:val="00095701"/>
    <w:rsid w:val="000A11E5"/>
    <w:rsid w:val="000A575F"/>
    <w:rsid w:val="000B0EAE"/>
    <w:rsid w:val="000B7AF9"/>
    <w:rsid w:val="000C0D6C"/>
    <w:rsid w:val="000C5156"/>
    <w:rsid w:val="000C5FCB"/>
    <w:rsid w:val="000C7CC9"/>
    <w:rsid w:val="000D10DB"/>
    <w:rsid w:val="000D3350"/>
    <w:rsid w:val="000E19D2"/>
    <w:rsid w:val="000E3845"/>
    <w:rsid w:val="000E4DDC"/>
    <w:rsid w:val="000F1140"/>
    <w:rsid w:val="000F2517"/>
    <w:rsid w:val="000F54A9"/>
    <w:rsid w:val="00101936"/>
    <w:rsid w:val="0010244A"/>
    <w:rsid w:val="00110542"/>
    <w:rsid w:val="00111DA2"/>
    <w:rsid w:val="0011765C"/>
    <w:rsid w:val="00124C6C"/>
    <w:rsid w:val="00126DF9"/>
    <w:rsid w:val="00127E06"/>
    <w:rsid w:val="0013104F"/>
    <w:rsid w:val="00133B90"/>
    <w:rsid w:val="00135B6C"/>
    <w:rsid w:val="00135F6A"/>
    <w:rsid w:val="00137EBA"/>
    <w:rsid w:val="0014143D"/>
    <w:rsid w:val="00145EDC"/>
    <w:rsid w:val="001523BC"/>
    <w:rsid w:val="00153844"/>
    <w:rsid w:val="0015433A"/>
    <w:rsid w:val="001566A6"/>
    <w:rsid w:val="00161E5D"/>
    <w:rsid w:val="00163D31"/>
    <w:rsid w:val="00163FDA"/>
    <w:rsid w:val="001663C9"/>
    <w:rsid w:val="00166FF6"/>
    <w:rsid w:val="00167A34"/>
    <w:rsid w:val="0018037F"/>
    <w:rsid w:val="00181583"/>
    <w:rsid w:val="001815E5"/>
    <w:rsid w:val="0018175B"/>
    <w:rsid w:val="001941BC"/>
    <w:rsid w:val="001A5F27"/>
    <w:rsid w:val="001A7870"/>
    <w:rsid w:val="001C1B41"/>
    <w:rsid w:val="001C2E5E"/>
    <w:rsid w:val="001C3C22"/>
    <w:rsid w:val="001C5E5C"/>
    <w:rsid w:val="001C7039"/>
    <w:rsid w:val="001C77C8"/>
    <w:rsid w:val="001E05AB"/>
    <w:rsid w:val="001E1053"/>
    <w:rsid w:val="001E1EC7"/>
    <w:rsid w:val="001F4F6B"/>
    <w:rsid w:val="0020024C"/>
    <w:rsid w:val="00210E0E"/>
    <w:rsid w:val="00212A9E"/>
    <w:rsid w:val="00214983"/>
    <w:rsid w:val="0022509A"/>
    <w:rsid w:val="00226659"/>
    <w:rsid w:val="00226B22"/>
    <w:rsid w:val="00230C28"/>
    <w:rsid w:val="0023156C"/>
    <w:rsid w:val="002338CC"/>
    <w:rsid w:val="00233E4D"/>
    <w:rsid w:val="00237491"/>
    <w:rsid w:val="002447BC"/>
    <w:rsid w:val="00247403"/>
    <w:rsid w:val="00247542"/>
    <w:rsid w:val="00252879"/>
    <w:rsid w:val="0025318E"/>
    <w:rsid w:val="00255159"/>
    <w:rsid w:val="00256BB5"/>
    <w:rsid w:val="00257893"/>
    <w:rsid w:val="00262E2C"/>
    <w:rsid w:val="002635AE"/>
    <w:rsid w:val="00266092"/>
    <w:rsid w:val="00266B61"/>
    <w:rsid w:val="0026712A"/>
    <w:rsid w:val="00267665"/>
    <w:rsid w:val="00267E2B"/>
    <w:rsid w:val="002704DB"/>
    <w:rsid w:val="00272D98"/>
    <w:rsid w:val="00275951"/>
    <w:rsid w:val="0028040F"/>
    <w:rsid w:val="002915ED"/>
    <w:rsid w:val="002919AC"/>
    <w:rsid w:val="00292D89"/>
    <w:rsid w:val="002A015A"/>
    <w:rsid w:val="002A3471"/>
    <w:rsid w:val="002A430F"/>
    <w:rsid w:val="002B3FF5"/>
    <w:rsid w:val="002C1641"/>
    <w:rsid w:val="002C2709"/>
    <w:rsid w:val="002C33C1"/>
    <w:rsid w:val="002C63E0"/>
    <w:rsid w:val="002C7C56"/>
    <w:rsid w:val="002D7EA2"/>
    <w:rsid w:val="002E121D"/>
    <w:rsid w:val="002E15DF"/>
    <w:rsid w:val="002E187C"/>
    <w:rsid w:val="002E6E57"/>
    <w:rsid w:val="002E792A"/>
    <w:rsid w:val="002F602F"/>
    <w:rsid w:val="00301075"/>
    <w:rsid w:val="00302733"/>
    <w:rsid w:val="00304475"/>
    <w:rsid w:val="00305F22"/>
    <w:rsid w:val="003074BA"/>
    <w:rsid w:val="00311A4F"/>
    <w:rsid w:val="00311D4A"/>
    <w:rsid w:val="00314078"/>
    <w:rsid w:val="00314BCA"/>
    <w:rsid w:val="0031627A"/>
    <w:rsid w:val="00321F07"/>
    <w:rsid w:val="00322450"/>
    <w:rsid w:val="003229D1"/>
    <w:rsid w:val="003246B5"/>
    <w:rsid w:val="0033169F"/>
    <w:rsid w:val="003340A5"/>
    <w:rsid w:val="00335272"/>
    <w:rsid w:val="003411C3"/>
    <w:rsid w:val="003413C7"/>
    <w:rsid w:val="003414AC"/>
    <w:rsid w:val="00342D7B"/>
    <w:rsid w:val="00347DAC"/>
    <w:rsid w:val="00352A16"/>
    <w:rsid w:val="003551F3"/>
    <w:rsid w:val="00355744"/>
    <w:rsid w:val="003557C5"/>
    <w:rsid w:val="00356185"/>
    <w:rsid w:val="00360380"/>
    <w:rsid w:val="00361173"/>
    <w:rsid w:val="0036143D"/>
    <w:rsid w:val="0036346B"/>
    <w:rsid w:val="00363F7C"/>
    <w:rsid w:val="00365BEF"/>
    <w:rsid w:val="0037339B"/>
    <w:rsid w:val="00374B7C"/>
    <w:rsid w:val="00385B36"/>
    <w:rsid w:val="00386CF0"/>
    <w:rsid w:val="003872E9"/>
    <w:rsid w:val="003A3A95"/>
    <w:rsid w:val="003A7201"/>
    <w:rsid w:val="003A7F17"/>
    <w:rsid w:val="003C32BC"/>
    <w:rsid w:val="003D6795"/>
    <w:rsid w:val="003E3FBB"/>
    <w:rsid w:val="003F1BBF"/>
    <w:rsid w:val="003F681F"/>
    <w:rsid w:val="003F6D52"/>
    <w:rsid w:val="00402354"/>
    <w:rsid w:val="00404FC5"/>
    <w:rsid w:val="00406637"/>
    <w:rsid w:val="004119E7"/>
    <w:rsid w:val="00411D49"/>
    <w:rsid w:val="004149EE"/>
    <w:rsid w:val="004165C2"/>
    <w:rsid w:val="00420D9E"/>
    <w:rsid w:val="00425EFA"/>
    <w:rsid w:val="00431256"/>
    <w:rsid w:val="00432E4F"/>
    <w:rsid w:val="004410D4"/>
    <w:rsid w:val="004472E8"/>
    <w:rsid w:val="00450A4A"/>
    <w:rsid w:val="004530A8"/>
    <w:rsid w:val="004534AC"/>
    <w:rsid w:val="00456DF2"/>
    <w:rsid w:val="00457B95"/>
    <w:rsid w:val="004615D5"/>
    <w:rsid w:val="004623F4"/>
    <w:rsid w:val="004666FB"/>
    <w:rsid w:val="00467B7E"/>
    <w:rsid w:val="00470C4A"/>
    <w:rsid w:val="00471187"/>
    <w:rsid w:val="004714AA"/>
    <w:rsid w:val="004718EC"/>
    <w:rsid w:val="004761C7"/>
    <w:rsid w:val="00480346"/>
    <w:rsid w:val="00485DA0"/>
    <w:rsid w:val="00487192"/>
    <w:rsid w:val="0049419D"/>
    <w:rsid w:val="004A141C"/>
    <w:rsid w:val="004A27CB"/>
    <w:rsid w:val="004A2B15"/>
    <w:rsid w:val="004A32D2"/>
    <w:rsid w:val="004A6827"/>
    <w:rsid w:val="004B2762"/>
    <w:rsid w:val="004B58B9"/>
    <w:rsid w:val="004B7EB6"/>
    <w:rsid w:val="004C1BC2"/>
    <w:rsid w:val="004C264C"/>
    <w:rsid w:val="004C40F1"/>
    <w:rsid w:val="004C4B62"/>
    <w:rsid w:val="004C4BD5"/>
    <w:rsid w:val="004D4CBD"/>
    <w:rsid w:val="004D4EA0"/>
    <w:rsid w:val="004D6025"/>
    <w:rsid w:val="004D72BC"/>
    <w:rsid w:val="004E2F64"/>
    <w:rsid w:val="004E51D1"/>
    <w:rsid w:val="004E7609"/>
    <w:rsid w:val="004F494F"/>
    <w:rsid w:val="004F6691"/>
    <w:rsid w:val="0050030E"/>
    <w:rsid w:val="00501399"/>
    <w:rsid w:val="00502ED9"/>
    <w:rsid w:val="005032AF"/>
    <w:rsid w:val="00507BC4"/>
    <w:rsid w:val="00510C19"/>
    <w:rsid w:val="00511061"/>
    <w:rsid w:val="00511FAD"/>
    <w:rsid w:val="005128E4"/>
    <w:rsid w:val="005137FC"/>
    <w:rsid w:val="00524437"/>
    <w:rsid w:val="00524F0E"/>
    <w:rsid w:val="00525560"/>
    <w:rsid w:val="00526E6A"/>
    <w:rsid w:val="005349D4"/>
    <w:rsid w:val="00534FBF"/>
    <w:rsid w:val="00534FCA"/>
    <w:rsid w:val="005357A6"/>
    <w:rsid w:val="00536E18"/>
    <w:rsid w:val="00544C49"/>
    <w:rsid w:val="00547A9D"/>
    <w:rsid w:val="00554ED1"/>
    <w:rsid w:val="00554F55"/>
    <w:rsid w:val="00572F5A"/>
    <w:rsid w:val="0057402A"/>
    <w:rsid w:val="005771D0"/>
    <w:rsid w:val="005903A9"/>
    <w:rsid w:val="0059191A"/>
    <w:rsid w:val="005921FF"/>
    <w:rsid w:val="0059387F"/>
    <w:rsid w:val="00594658"/>
    <w:rsid w:val="005A6D0E"/>
    <w:rsid w:val="005B222D"/>
    <w:rsid w:val="005B52B0"/>
    <w:rsid w:val="005B6806"/>
    <w:rsid w:val="005C00F9"/>
    <w:rsid w:val="005C09BF"/>
    <w:rsid w:val="005C0F9D"/>
    <w:rsid w:val="005C11D3"/>
    <w:rsid w:val="005C3686"/>
    <w:rsid w:val="005C3D70"/>
    <w:rsid w:val="005C4225"/>
    <w:rsid w:val="005C5DC4"/>
    <w:rsid w:val="005D3E46"/>
    <w:rsid w:val="005F0F33"/>
    <w:rsid w:val="005F7A32"/>
    <w:rsid w:val="00600DEB"/>
    <w:rsid w:val="00601CA0"/>
    <w:rsid w:val="0060394E"/>
    <w:rsid w:val="006062E2"/>
    <w:rsid w:val="00613027"/>
    <w:rsid w:val="00620A5A"/>
    <w:rsid w:val="00627C9F"/>
    <w:rsid w:val="006311DA"/>
    <w:rsid w:val="006311E9"/>
    <w:rsid w:val="00632354"/>
    <w:rsid w:val="0063271B"/>
    <w:rsid w:val="0063287B"/>
    <w:rsid w:val="006414FE"/>
    <w:rsid w:val="00641AE6"/>
    <w:rsid w:val="00642741"/>
    <w:rsid w:val="00642810"/>
    <w:rsid w:val="00642F52"/>
    <w:rsid w:val="00644FA2"/>
    <w:rsid w:val="00652333"/>
    <w:rsid w:val="00653728"/>
    <w:rsid w:val="006603B6"/>
    <w:rsid w:val="00662C6C"/>
    <w:rsid w:val="00667A30"/>
    <w:rsid w:val="0067167F"/>
    <w:rsid w:val="0067396F"/>
    <w:rsid w:val="00677803"/>
    <w:rsid w:val="00677DDA"/>
    <w:rsid w:val="00680075"/>
    <w:rsid w:val="0068009E"/>
    <w:rsid w:val="00680ADD"/>
    <w:rsid w:val="00683B8E"/>
    <w:rsid w:val="00690BF0"/>
    <w:rsid w:val="00693F74"/>
    <w:rsid w:val="0069549F"/>
    <w:rsid w:val="006A17D2"/>
    <w:rsid w:val="006A3396"/>
    <w:rsid w:val="006A41C6"/>
    <w:rsid w:val="006A73E6"/>
    <w:rsid w:val="006A75DB"/>
    <w:rsid w:val="006B2D5C"/>
    <w:rsid w:val="006B313B"/>
    <w:rsid w:val="006B4589"/>
    <w:rsid w:val="006B561A"/>
    <w:rsid w:val="006B77A3"/>
    <w:rsid w:val="006C1958"/>
    <w:rsid w:val="006C1C35"/>
    <w:rsid w:val="006C4EB1"/>
    <w:rsid w:val="006C75BF"/>
    <w:rsid w:val="006D15AE"/>
    <w:rsid w:val="006D64A8"/>
    <w:rsid w:val="006D75BA"/>
    <w:rsid w:val="006E0166"/>
    <w:rsid w:val="006E5E93"/>
    <w:rsid w:val="006E7B34"/>
    <w:rsid w:val="006F23C3"/>
    <w:rsid w:val="006F2E9F"/>
    <w:rsid w:val="00701423"/>
    <w:rsid w:val="00701B24"/>
    <w:rsid w:val="00702730"/>
    <w:rsid w:val="00703017"/>
    <w:rsid w:val="007058D5"/>
    <w:rsid w:val="00706D3C"/>
    <w:rsid w:val="00711BEB"/>
    <w:rsid w:val="00716830"/>
    <w:rsid w:val="00722975"/>
    <w:rsid w:val="00726434"/>
    <w:rsid w:val="0073345D"/>
    <w:rsid w:val="00734833"/>
    <w:rsid w:val="00745899"/>
    <w:rsid w:val="00745B47"/>
    <w:rsid w:val="0075116B"/>
    <w:rsid w:val="007607C4"/>
    <w:rsid w:val="0076428E"/>
    <w:rsid w:val="0076643F"/>
    <w:rsid w:val="00767F7B"/>
    <w:rsid w:val="00770D6F"/>
    <w:rsid w:val="00772907"/>
    <w:rsid w:val="00775267"/>
    <w:rsid w:val="0078426B"/>
    <w:rsid w:val="0078504B"/>
    <w:rsid w:val="007876C6"/>
    <w:rsid w:val="007903F9"/>
    <w:rsid w:val="00793431"/>
    <w:rsid w:val="00795333"/>
    <w:rsid w:val="007A2F70"/>
    <w:rsid w:val="007A71A2"/>
    <w:rsid w:val="007B1E2B"/>
    <w:rsid w:val="007B77C1"/>
    <w:rsid w:val="007C1F46"/>
    <w:rsid w:val="007C239C"/>
    <w:rsid w:val="007C3334"/>
    <w:rsid w:val="007C3590"/>
    <w:rsid w:val="007C39FB"/>
    <w:rsid w:val="007C52BB"/>
    <w:rsid w:val="007C6531"/>
    <w:rsid w:val="007D2961"/>
    <w:rsid w:val="007D2B98"/>
    <w:rsid w:val="007D352B"/>
    <w:rsid w:val="007E7A30"/>
    <w:rsid w:val="007F0368"/>
    <w:rsid w:val="007F0CCC"/>
    <w:rsid w:val="007F5118"/>
    <w:rsid w:val="007F64F4"/>
    <w:rsid w:val="00803F1C"/>
    <w:rsid w:val="0080600E"/>
    <w:rsid w:val="008106A1"/>
    <w:rsid w:val="008116A6"/>
    <w:rsid w:val="00817612"/>
    <w:rsid w:val="00826241"/>
    <w:rsid w:val="0083271E"/>
    <w:rsid w:val="00833637"/>
    <w:rsid w:val="00835803"/>
    <w:rsid w:val="00837C45"/>
    <w:rsid w:val="00850DF2"/>
    <w:rsid w:val="00851A5D"/>
    <w:rsid w:val="00853419"/>
    <w:rsid w:val="00862B4A"/>
    <w:rsid w:val="00867762"/>
    <w:rsid w:val="00871B21"/>
    <w:rsid w:val="00875E28"/>
    <w:rsid w:val="0088712D"/>
    <w:rsid w:val="0088763F"/>
    <w:rsid w:val="008910A8"/>
    <w:rsid w:val="0089177E"/>
    <w:rsid w:val="00894356"/>
    <w:rsid w:val="00897E12"/>
    <w:rsid w:val="008A2240"/>
    <w:rsid w:val="008A55FA"/>
    <w:rsid w:val="008A7065"/>
    <w:rsid w:val="008A75D5"/>
    <w:rsid w:val="008B67EB"/>
    <w:rsid w:val="008B6EE7"/>
    <w:rsid w:val="008B708B"/>
    <w:rsid w:val="008B7A6C"/>
    <w:rsid w:val="008C0452"/>
    <w:rsid w:val="008C0937"/>
    <w:rsid w:val="008C11B1"/>
    <w:rsid w:val="008C78F9"/>
    <w:rsid w:val="008D2638"/>
    <w:rsid w:val="008D43BA"/>
    <w:rsid w:val="008D4C29"/>
    <w:rsid w:val="008D53E6"/>
    <w:rsid w:val="008D5A44"/>
    <w:rsid w:val="008E3759"/>
    <w:rsid w:val="008E63C2"/>
    <w:rsid w:val="008F51CC"/>
    <w:rsid w:val="008F52E8"/>
    <w:rsid w:val="008F7357"/>
    <w:rsid w:val="00901126"/>
    <w:rsid w:val="009041DC"/>
    <w:rsid w:val="009104B4"/>
    <w:rsid w:val="00913733"/>
    <w:rsid w:val="00925FCD"/>
    <w:rsid w:val="0093441A"/>
    <w:rsid w:val="00942322"/>
    <w:rsid w:val="00943436"/>
    <w:rsid w:val="009446C7"/>
    <w:rsid w:val="00952725"/>
    <w:rsid w:val="00954BF7"/>
    <w:rsid w:val="00961383"/>
    <w:rsid w:val="009613E3"/>
    <w:rsid w:val="009647C7"/>
    <w:rsid w:val="00965F70"/>
    <w:rsid w:val="0096706E"/>
    <w:rsid w:val="00967D21"/>
    <w:rsid w:val="009700A8"/>
    <w:rsid w:val="00970347"/>
    <w:rsid w:val="00976E7A"/>
    <w:rsid w:val="00981FBA"/>
    <w:rsid w:val="0098549D"/>
    <w:rsid w:val="009877E0"/>
    <w:rsid w:val="00995E5E"/>
    <w:rsid w:val="009A3CCB"/>
    <w:rsid w:val="009A5CA6"/>
    <w:rsid w:val="009A6496"/>
    <w:rsid w:val="009B1458"/>
    <w:rsid w:val="009B381B"/>
    <w:rsid w:val="009B6EB0"/>
    <w:rsid w:val="009C1533"/>
    <w:rsid w:val="009C2508"/>
    <w:rsid w:val="009C52C3"/>
    <w:rsid w:val="009D19CC"/>
    <w:rsid w:val="009D2EEF"/>
    <w:rsid w:val="009D2EFB"/>
    <w:rsid w:val="009D4424"/>
    <w:rsid w:val="009D7611"/>
    <w:rsid w:val="009E53DE"/>
    <w:rsid w:val="009F2DCB"/>
    <w:rsid w:val="009F304D"/>
    <w:rsid w:val="009F66DC"/>
    <w:rsid w:val="00A040C6"/>
    <w:rsid w:val="00A119AE"/>
    <w:rsid w:val="00A13203"/>
    <w:rsid w:val="00A152E7"/>
    <w:rsid w:val="00A16C0A"/>
    <w:rsid w:val="00A229F3"/>
    <w:rsid w:val="00A27AFC"/>
    <w:rsid w:val="00A3257C"/>
    <w:rsid w:val="00A4140C"/>
    <w:rsid w:val="00A41A66"/>
    <w:rsid w:val="00A43458"/>
    <w:rsid w:val="00A50F55"/>
    <w:rsid w:val="00A528D1"/>
    <w:rsid w:val="00A61256"/>
    <w:rsid w:val="00A65E15"/>
    <w:rsid w:val="00A66BE5"/>
    <w:rsid w:val="00A72B93"/>
    <w:rsid w:val="00A72E8D"/>
    <w:rsid w:val="00A77CA7"/>
    <w:rsid w:val="00A93341"/>
    <w:rsid w:val="00A960F6"/>
    <w:rsid w:val="00AA430F"/>
    <w:rsid w:val="00AB0DCF"/>
    <w:rsid w:val="00AC46B3"/>
    <w:rsid w:val="00AC7F56"/>
    <w:rsid w:val="00AD37C1"/>
    <w:rsid w:val="00AD70AE"/>
    <w:rsid w:val="00AE1D12"/>
    <w:rsid w:val="00AE392A"/>
    <w:rsid w:val="00AE480B"/>
    <w:rsid w:val="00AE66EC"/>
    <w:rsid w:val="00AE6F91"/>
    <w:rsid w:val="00AF250D"/>
    <w:rsid w:val="00AF3B66"/>
    <w:rsid w:val="00AF45EC"/>
    <w:rsid w:val="00AF5571"/>
    <w:rsid w:val="00AF6793"/>
    <w:rsid w:val="00B00045"/>
    <w:rsid w:val="00B05D4C"/>
    <w:rsid w:val="00B13777"/>
    <w:rsid w:val="00B141AD"/>
    <w:rsid w:val="00B15A63"/>
    <w:rsid w:val="00B167E9"/>
    <w:rsid w:val="00B20DFC"/>
    <w:rsid w:val="00B237A2"/>
    <w:rsid w:val="00B308C7"/>
    <w:rsid w:val="00B314DB"/>
    <w:rsid w:val="00B31EBE"/>
    <w:rsid w:val="00B3718B"/>
    <w:rsid w:val="00B42DC5"/>
    <w:rsid w:val="00B4632A"/>
    <w:rsid w:val="00B47934"/>
    <w:rsid w:val="00B53CB5"/>
    <w:rsid w:val="00B63986"/>
    <w:rsid w:val="00B665A0"/>
    <w:rsid w:val="00B66F2F"/>
    <w:rsid w:val="00B75CCC"/>
    <w:rsid w:val="00B76B4B"/>
    <w:rsid w:val="00B80842"/>
    <w:rsid w:val="00B809B6"/>
    <w:rsid w:val="00B835EC"/>
    <w:rsid w:val="00B87F91"/>
    <w:rsid w:val="00BA15EA"/>
    <w:rsid w:val="00BA276C"/>
    <w:rsid w:val="00BA38E0"/>
    <w:rsid w:val="00BB306F"/>
    <w:rsid w:val="00BB4717"/>
    <w:rsid w:val="00BB68CB"/>
    <w:rsid w:val="00BD232B"/>
    <w:rsid w:val="00BD3EA6"/>
    <w:rsid w:val="00BD4B89"/>
    <w:rsid w:val="00BE62C8"/>
    <w:rsid w:val="00BF57D9"/>
    <w:rsid w:val="00BF6897"/>
    <w:rsid w:val="00BF7839"/>
    <w:rsid w:val="00C06055"/>
    <w:rsid w:val="00C06A93"/>
    <w:rsid w:val="00C07EA7"/>
    <w:rsid w:val="00C134FE"/>
    <w:rsid w:val="00C14E2E"/>
    <w:rsid w:val="00C20D40"/>
    <w:rsid w:val="00C21762"/>
    <w:rsid w:val="00C24543"/>
    <w:rsid w:val="00C256A2"/>
    <w:rsid w:val="00C259D2"/>
    <w:rsid w:val="00C27582"/>
    <w:rsid w:val="00C3179E"/>
    <w:rsid w:val="00C3492D"/>
    <w:rsid w:val="00C3663C"/>
    <w:rsid w:val="00C36D56"/>
    <w:rsid w:val="00C403EA"/>
    <w:rsid w:val="00C417AC"/>
    <w:rsid w:val="00C43E69"/>
    <w:rsid w:val="00C55560"/>
    <w:rsid w:val="00C63FD5"/>
    <w:rsid w:val="00C64EFA"/>
    <w:rsid w:val="00C66B72"/>
    <w:rsid w:val="00C674E9"/>
    <w:rsid w:val="00C706F3"/>
    <w:rsid w:val="00C83EE2"/>
    <w:rsid w:val="00C8672F"/>
    <w:rsid w:val="00C91757"/>
    <w:rsid w:val="00C92E09"/>
    <w:rsid w:val="00C9567A"/>
    <w:rsid w:val="00CA0805"/>
    <w:rsid w:val="00CA2034"/>
    <w:rsid w:val="00CA2751"/>
    <w:rsid w:val="00CA2D18"/>
    <w:rsid w:val="00CB2660"/>
    <w:rsid w:val="00CB31B6"/>
    <w:rsid w:val="00CB4243"/>
    <w:rsid w:val="00CC1F0C"/>
    <w:rsid w:val="00CC57EB"/>
    <w:rsid w:val="00CC5E90"/>
    <w:rsid w:val="00CC760B"/>
    <w:rsid w:val="00CD046C"/>
    <w:rsid w:val="00CD40C7"/>
    <w:rsid w:val="00CD5B03"/>
    <w:rsid w:val="00CE5199"/>
    <w:rsid w:val="00CE66D5"/>
    <w:rsid w:val="00CE71EC"/>
    <w:rsid w:val="00CF048D"/>
    <w:rsid w:val="00CF2B13"/>
    <w:rsid w:val="00D01A65"/>
    <w:rsid w:val="00D0256D"/>
    <w:rsid w:val="00D06177"/>
    <w:rsid w:val="00D20195"/>
    <w:rsid w:val="00D21476"/>
    <w:rsid w:val="00D2680D"/>
    <w:rsid w:val="00D34786"/>
    <w:rsid w:val="00D40A1E"/>
    <w:rsid w:val="00D42E97"/>
    <w:rsid w:val="00D47799"/>
    <w:rsid w:val="00D544CD"/>
    <w:rsid w:val="00D56118"/>
    <w:rsid w:val="00D65604"/>
    <w:rsid w:val="00D712D3"/>
    <w:rsid w:val="00D71422"/>
    <w:rsid w:val="00D7145E"/>
    <w:rsid w:val="00D7558D"/>
    <w:rsid w:val="00D808BF"/>
    <w:rsid w:val="00D8121E"/>
    <w:rsid w:val="00D81D92"/>
    <w:rsid w:val="00D93446"/>
    <w:rsid w:val="00D97DC1"/>
    <w:rsid w:val="00DA25B1"/>
    <w:rsid w:val="00DA454B"/>
    <w:rsid w:val="00DA52BC"/>
    <w:rsid w:val="00DA53E6"/>
    <w:rsid w:val="00DA7B5F"/>
    <w:rsid w:val="00DB0BC6"/>
    <w:rsid w:val="00DB4E6C"/>
    <w:rsid w:val="00DC05A2"/>
    <w:rsid w:val="00DD0069"/>
    <w:rsid w:val="00DD241D"/>
    <w:rsid w:val="00DE17B3"/>
    <w:rsid w:val="00DE28D7"/>
    <w:rsid w:val="00DE39B4"/>
    <w:rsid w:val="00DE3D38"/>
    <w:rsid w:val="00DE54AF"/>
    <w:rsid w:val="00DE5D89"/>
    <w:rsid w:val="00DF0361"/>
    <w:rsid w:val="00DF122F"/>
    <w:rsid w:val="00DF40EB"/>
    <w:rsid w:val="00DF5791"/>
    <w:rsid w:val="00E00BD2"/>
    <w:rsid w:val="00E02A50"/>
    <w:rsid w:val="00E077D0"/>
    <w:rsid w:val="00E1063E"/>
    <w:rsid w:val="00E1380A"/>
    <w:rsid w:val="00E25481"/>
    <w:rsid w:val="00E25E59"/>
    <w:rsid w:val="00E3323F"/>
    <w:rsid w:val="00E41425"/>
    <w:rsid w:val="00E42FD1"/>
    <w:rsid w:val="00E43157"/>
    <w:rsid w:val="00E44D23"/>
    <w:rsid w:val="00E52636"/>
    <w:rsid w:val="00E533FF"/>
    <w:rsid w:val="00E67AAA"/>
    <w:rsid w:val="00E709B3"/>
    <w:rsid w:val="00E74A6F"/>
    <w:rsid w:val="00E806BB"/>
    <w:rsid w:val="00E808F0"/>
    <w:rsid w:val="00E81323"/>
    <w:rsid w:val="00E86FBF"/>
    <w:rsid w:val="00E8789F"/>
    <w:rsid w:val="00E90354"/>
    <w:rsid w:val="00E92CC0"/>
    <w:rsid w:val="00E97B71"/>
    <w:rsid w:val="00EA1977"/>
    <w:rsid w:val="00EA3468"/>
    <w:rsid w:val="00EA373D"/>
    <w:rsid w:val="00EA4BE9"/>
    <w:rsid w:val="00EB3EB4"/>
    <w:rsid w:val="00EB454D"/>
    <w:rsid w:val="00EC7282"/>
    <w:rsid w:val="00EC7E5D"/>
    <w:rsid w:val="00ED04C2"/>
    <w:rsid w:val="00ED2054"/>
    <w:rsid w:val="00ED2426"/>
    <w:rsid w:val="00ED5C11"/>
    <w:rsid w:val="00ED5DBA"/>
    <w:rsid w:val="00EE13B2"/>
    <w:rsid w:val="00EE24A9"/>
    <w:rsid w:val="00EE3522"/>
    <w:rsid w:val="00EE68EF"/>
    <w:rsid w:val="00EF4A4D"/>
    <w:rsid w:val="00EF619B"/>
    <w:rsid w:val="00F00B55"/>
    <w:rsid w:val="00F02B92"/>
    <w:rsid w:val="00F03D78"/>
    <w:rsid w:val="00F07B4B"/>
    <w:rsid w:val="00F10318"/>
    <w:rsid w:val="00F10AA1"/>
    <w:rsid w:val="00F12632"/>
    <w:rsid w:val="00F1380F"/>
    <w:rsid w:val="00F14F0E"/>
    <w:rsid w:val="00F247D0"/>
    <w:rsid w:val="00F24C29"/>
    <w:rsid w:val="00F253CC"/>
    <w:rsid w:val="00F27E59"/>
    <w:rsid w:val="00F36A21"/>
    <w:rsid w:val="00F4425E"/>
    <w:rsid w:val="00F4507A"/>
    <w:rsid w:val="00F5151B"/>
    <w:rsid w:val="00F52DBA"/>
    <w:rsid w:val="00F56BA5"/>
    <w:rsid w:val="00F64154"/>
    <w:rsid w:val="00F644E6"/>
    <w:rsid w:val="00F737D4"/>
    <w:rsid w:val="00F85413"/>
    <w:rsid w:val="00F90717"/>
    <w:rsid w:val="00F9653B"/>
    <w:rsid w:val="00FA3A1A"/>
    <w:rsid w:val="00FB389F"/>
    <w:rsid w:val="00FB62CF"/>
    <w:rsid w:val="00FC162C"/>
    <w:rsid w:val="00FC3EB4"/>
    <w:rsid w:val="00FC6C58"/>
    <w:rsid w:val="00FC6D9A"/>
    <w:rsid w:val="00FD0B18"/>
    <w:rsid w:val="00FD40C3"/>
    <w:rsid w:val="00FE0674"/>
    <w:rsid w:val="00FE4635"/>
    <w:rsid w:val="00FE5B0A"/>
    <w:rsid w:val="00FE6B45"/>
    <w:rsid w:val="00FF5851"/>
    <w:rsid w:val="00FF5B00"/>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06D3C"/>
    <w:pPr>
      <w:keepNext/>
      <w:keepLines/>
      <w:numPr>
        <w:numId w:val="96"/>
      </w:numPr>
      <w:ind w:left="1440" w:hanging="720"/>
      <w:jc w:val="both"/>
      <w:outlineLvl w:val="0"/>
    </w:pPr>
    <w:rPr>
      <w:rFonts w:asciiTheme="majorHAnsi" w:eastAsiaTheme="majorEastAsia" w:hAnsiTheme="majorHAnsi" w:cstheme="majorBidi"/>
      <w:b/>
      <w:bCs/>
      <w:sz w:val="20"/>
      <w:szCs w:val="20"/>
      <w:lang w:val="es-ES"/>
    </w:rPr>
  </w:style>
  <w:style w:type="paragraph" w:styleId="Heading2">
    <w:name w:val="heading 2"/>
    <w:basedOn w:val="Normal"/>
    <w:next w:val="Normal"/>
    <w:link w:val="Heading2Char"/>
    <w:uiPriority w:val="9"/>
    <w:semiHidden/>
    <w:unhideWhenUsed/>
    <w:qFormat/>
    <w:rsid w:val="00706D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6D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706D3C"/>
    <w:rPr>
      <w:rFonts w:asciiTheme="majorHAnsi" w:eastAsiaTheme="majorEastAsia" w:hAnsiTheme="majorHAnsi" w:cstheme="majorBidi"/>
      <w:b/>
      <w:bCs/>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706D3C"/>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706D3C"/>
    <w:rPr>
      <w:rFonts w:asciiTheme="majorHAnsi" w:eastAsiaTheme="majorEastAsia" w:hAnsiTheme="majorHAnsi" w:cstheme="majorBidi"/>
      <w:b/>
      <w:bCs/>
      <w:color w:val="4F81BD" w:themeColor="accent1"/>
      <w:sz w:val="24"/>
      <w:szCs w:val="24"/>
      <w:lang w:val="en-US" w:eastAsia="en-US"/>
    </w:rPr>
  </w:style>
  <w:style w:type="paragraph" w:styleId="NoSpacing">
    <w:name w:val="No Spacing"/>
    <w:basedOn w:val="ListParagraph"/>
    <w:uiPriority w:val="1"/>
    <w:qFormat/>
    <w:rsid w:val="00706D3C"/>
    <w:pPr>
      <w:numPr>
        <w:numId w:val="10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outlineLvl w:val="1"/>
    </w:pPr>
    <w:rPr>
      <w:rFonts w:asciiTheme="majorHAnsi" w:eastAsia="Times New Roman" w:hAnsiTheme="majorHAnsi"/>
      <w:b/>
      <w:bCs/>
      <w:color w:val="auto"/>
      <w:sz w:val="20"/>
      <w:szCs w:val="20"/>
      <w:bdr w:val="none" w:sz="0" w:space="0" w:color="auto"/>
      <w:lang w:val="es-U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06D3C"/>
    <w:pPr>
      <w:keepNext/>
      <w:keepLines/>
      <w:numPr>
        <w:numId w:val="96"/>
      </w:numPr>
      <w:ind w:left="1440" w:hanging="720"/>
      <w:jc w:val="both"/>
      <w:outlineLvl w:val="0"/>
    </w:pPr>
    <w:rPr>
      <w:rFonts w:asciiTheme="majorHAnsi" w:eastAsiaTheme="majorEastAsia" w:hAnsiTheme="majorHAnsi" w:cstheme="majorBidi"/>
      <w:b/>
      <w:bCs/>
      <w:sz w:val="20"/>
      <w:szCs w:val="20"/>
      <w:lang w:val="es-ES"/>
    </w:rPr>
  </w:style>
  <w:style w:type="paragraph" w:styleId="Heading2">
    <w:name w:val="heading 2"/>
    <w:basedOn w:val="Normal"/>
    <w:next w:val="Normal"/>
    <w:link w:val="Heading2Char"/>
    <w:uiPriority w:val="9"/>
    <w:semiHidden/>
    <w:unhideWhenUsed/>
    <w:qFormat/>
    <w:rsid w:val="00706D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6D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706D3C"/>
    <w:rPr>
      <w:rFonts w:asciiTheme="majorHAnsi" w:eastAsiaTheme="majorEastAsia" w:hAnsiTheme="majorHAnsi" w:cstheme="majorBidi"/>
      <w:b/>
      <w:bCs/>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706D3C"/>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706D3C"/>
    <w:rPr>
      <w:rFonts w:asciiTheme="majorHAnsi" w:eastAsiaTheme="majorEastAsia" w:hAnsiTheme="majorHAnsi" w:cstheme="majorBidi"/>
      <w:b/>
      <w:bCs/>
      <w:color w:val="4F81BD" w:themeColor="accent1"/>
      <w:sz w:val="24"/>
      <w:szCs w:val="24"/>
      <w:lang w:val="en-US" w:eastAsia="en-US"/>
    </w:rPr>
  </w:style>
  <w:style w:type="paragraph" w:styleId="NoSpacing">
    <w:name w:val="No Spacing"/>
    <w:basedOn w:val="ListParagraph"/>
    <w:uiPriority w:val="1"/>
    <w:qFormat/>
    <w:rsid w:val="00706D3C"/>
    <w:pPr>
      <w:numPr>
        <w:numId w:val="10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outlineLvl w:val="1"/>
    </w:pPr>
    <w:rPr>
      <w:rFonts w:asciiTheme="majorHAnsi" w:eastAsia="Times New Roman" w:hAnsiTheme="majorHAnsi"/>
      <w:b/>
      <w:bCs/>
      <w:color w:val="auto"/>
      <w:sz w:val="20"/>
      <w:szCs w:val="20"/>
      <w:bdr w:val="none" w:sz="0" w:space="0" w:color="auto"/>
      <w:lang w:val="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07622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CCF74-E04A-48EF-9E4E-986F0BC2B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3957</Words>
  <Characters>22555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26460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62/16</dc:title>
  <dc:creator/>
  <cp:lastModifiedBy/>
  <cp:revision>1</cp:revision>
  <dcterms:created xsi:type="dcterms:W3CDTF">2016-12-13T15:53:00Z</dcterms:created>
  <dcterms:modified xsi:type="dcterms:W3CDTF">2017-02-02T20:24:00Z</dcterms:modified>
</cp:coreProperties>
</file>