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A25F5C">
                              <w:rPr>
                                <w:rFonts w:asciiTheme="majorHAnsi" w:hAnsiTheme="majorHAnsi" w:cs="Arial"/>
                                <w:b/>
                                <w:bCs/>
                                <w:color w:val="0D0D0D" w:themeColor="text1" w:themeTint="F2"/>
                                <w:sz w:val="36"/>
                                <w:szCs w:val="40"/>
                              </w:rPr>
                              <w:t>16</w:t>
                            </w:r>
                            <w:r w:rsidRPr="004B7EB6">
                              <w:rPr>
                                <w:rFonts w:asciiTheme="majorHAnsi" w:hAnsiTheme="majorHAnsi" w:cs="Arial"/>
                                <w:b/>
                                <w:bCs/>
                                <w:color w:val="0D0D0D" w:themeColor="text1" w:themeTint="F2"/>
                                <w:sz w:val="36"/>
                                <w:szCs w:val="40"/>
                              </w:rPr>
                              <w:t>/1</w:t>
                            </w:r>
                            <w:r w:rsidR="003E3B8D">
                              <w:rPr>
                                <w:rFonts w:asciiTheme="majorHAnsi" w:hAnsiTheme="majorHAnsi" w:cs="Arial"/>
                                <w:b/>
                                <w:bCs/>
                                <w:color w:val="0D0D0D" w:themeColor="text1" w:themeTint="F2"/>
                                <w:sz w:val="36"/>
                                <w:szCs w:val="40"/>
                              </w:rPr>
                              <w:t>6</w:t>
                            </w:r>
                          </w:p>
                          <w:p w:rsidR="00322450" w:rsidRPr="004B7EB6" w:rsidRDefault="003E3B8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12.847</w:t>
                            </w:r>
                          </w:p>
                          <w:p w:rsidR="00450A4A"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rsidR="00A25F5C" w:rsidRDefault="00A25F5C" w:rsidP="004B7EB6">
                            <w:pPr>
                              <w:spacing w:line="276" w:lineRule="auto"/>
                              <w:rPr>
                                <w:rFonts w:asciiTheme="majorHAnsi" w:hAnsiTheme="majorHAnsi" w:cs="Arial"/>
                                <w:color w:val="0D0D0D" w:themeColor="text1" w:themeTint="F2"/>
                                <w:szCs w:val="22"/>
                              </w:rPr>
                            </w:pPr>
                          </w:p>
                          <w:p w:rsidR="00322450" w:rsidRPr="003E3B8D" w:rsidRDefault="003E3B8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VICENTA SANCHEZ VALDIVIESO</w:t>
                            </w:r>
                          </w:p>
                          <w:p w:rsidR="005B52B0" w:rsidRPr="003E3B8D" w:rsidRDefault="003E3B8D"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A25F5C">
                        <w:rPr>
                          <w:rFonts w:asciiTheme="majorHAnsi" w:hAnsiTheme="majorHAnsi" w:cs="Arial"/>
                          <w:b/>
                          <w:bCs/>
                          <w:color w:val="0D0D0D" w:themeColor="text1" w:themeTint="F2"/>
                          <w:sz w:val="36"/>
                          <w:szCs w:val="40"/>
                        </w:rPr>
                        <w:t>16</w:t>
                      </w:r>
                      <w:r w:rsidRPr="004B7EB6">
                        <w:rPr>
                          <w:rFonts w:asciiTheme="majorHAnsi" w:hAnsiTheme="majorHAnsi" w:cs="Arial"/>
                          <w:b/>
                          <w:bCs/>
                          <w:color w:val="0D0D0D" w:themeColor="text1" w:themeTint="F2"/>
                          <w:sz w:val="36"/>
                          <w:szCs w:val="40"/>
                        </w:rPr>
                        <w:t>/1</w:t>
                      </w:r>
                      <w:r w:rsidR="003E3B8D">
                        <w:rPr>
                          <w:rFonts w:asciiTheme="majorHAnsi" w:hAnsiTheme="majorHAnsi" w:cs="Arial"/>
                          <w:b/>
                          <w:bCs/>
                          <w:color w:val="0D0D0D" w:themeColor="text1" w:themeTint="F2"/>
                          <w:sz w:val="36"/>
                          <w:szCs w:val="40"/>
                        </w:rPr>
                        <w:t>6</w:t>
                      </w:r>
                    </w:p>
                    <w:p w:rsidR="00322450" w:rsidRPr="004B7EB6" w:rsidRDefault="003E3B8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12.847</w:t>
                      </w:r>
                    </w:p>
                    <w:p w:rsidR="00450A4A"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rsidR="00A25F5C" w:rsidRDefault="00A25F5C" w:rsidP="004B7EB6">
                      <w:pPr>
                        <w:spacing w:line="276" w:lineRule="auto"/>
                        <w:rPr>
                          <w:rFonts w:asciiTheme="majorHAnsi" w:hAnsiTheme="majorHAnsi" w:cs="Arial"/>
                          <w:color w:val="0D0D0D" w:themeColor="text1" w:themeTint="F2"/>
                          <w:szCs w:val="22"/>
                        </w:rPr>
                      </w:pPr>
                    </w:p>
                    <w:p w:rsidR="00322450" w:rsidRPr="003E3B8D" w:rsidRDefault="003E3B8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VICENTA SANCHEZ VALDIVIESO</w:t>
                      </w:r>
                    </w:p>
                    <w:p w:rsidR="005B52B0" w:rsidRPr="003E3B8D" w:rsidRDefault="003E3B8D"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MEXICO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A25F5C"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OEA/Ser.L/V/II.157</w:t>
                            </w:r>
                          </w:p>
                          <w:p w:rsidR="00627C9F" w:rsidRPr="004B7EB6" w:rsidRDefault="00A25F5C"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20</w:t>
                            </w:r>
                          </w:p>
                          <w:p w:rsidR="00627C9F" w:rsidRPr="004B7EB6" w:rsidRDefault="00A25F5C" w:rsidP="002C1641">
                            <w:pPr>
                              <w:jc w:val="right"/>
                              <w:rPr>
                                <w:rFonts w:asciiTheme="minorHAnsi" w:hAnsiTheme="minorHAnsi"/>
                                <w:color w:val="FFFFFF" w:themeColor="background1"/>
                                <w:sz w:val="22"/>
                              </w:rPr>
                            </w:pPr>
                            <w:r>
                              <w:rPr>
                                <w:rFonts w:asciiTheme="minorHAnsi" w:hAnsiTheme="minorHAnsi"/>
                                <w:color w:val="FFFFFF" w:themeColor="background1"/>
                                <w:sz w:val="22"/>
                              </w:rPr>
                              <w:t>14</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627C9F" w:rsidRPr="004B7EB6">
                              <w:rPr>
                                <w:rFonts w:asciiTheme="minorHAnsi" w:hAnsiTheme="minorHAnsi"/>
                                <w:color w:val="FFFFFF" w:themeColor="background1"/>
                                <w:sz w:val="22"/>
                              </w:rPr>
                              <w:t xml:space="preserve"> 201</w:t>
                            </w:r>
                            <w:r w:rsidR="003E3B8D">
                              <w:rPr>
                                <w:rFonts w:asciiTheme="minorHAnsi" w:hAnsiTheme="minorHAnsi"/>
                                <w:color w:val="FFFFFF" w:themeColor="background1"/>
                                <w:sz w:val="22"/>
                              </w:rPr>
                              <w:t>6</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A25F5C"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OEA/Ser.L/V/II.157</w:t>
                      </w:r>
                    </w:p>
                    <w:p w:rsidR="00627C9F" w:rsidRPr="004B7EB6" w:rsidRDefault="00A25F5C"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20</w:t>
                      </w:r>
                    </w:p>
                    <w:p w:rsidR="00627C9F" w:rsidRPr="004B7EB6" w:rsidRDefault="00A25F5C" w:rsidP="002C1641">
                      <w:pPr>
                        <w:jc w:val="right"/>
                        <w:rPr>
                          <w:rFonts w:asciiTheme="minorHAnsi" w:hAnsiTheme="minorHAnsi"/>
                          <w:color w:val="FFFFFF" w:themeColor="background1"/>
                          <w:sz w:val="22"/>
                        </w:rPr>
                      </w:pPr>
                      <w:r>
                        <w:rPr>
                          <w:rFonts w:asciiTheme="minorHAnsi" w:hAnsiTheme="minorHAnsi"/>
                          <w:color w:val="FFFFFF" w:themeColor="background1"/>
                          <w:sz w:val="22"/>
                        </w:rPr>
                        <w:t>14</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627C9F" w:rsidRPr="004B7EB6">
                        <w:rPr>
                          <w:rFonts w:asciiTheme="minorHAnsi" w:hAnsiTheme="minorHAnsi"/>
                          <w:color w:val="FFFFFF" w:themeColor="background1"/>
                          <w:sz w:val="22"/>
                        </w:rPr>
                        <w:t xml:space="preserve"> 201</w:t>
                      </w:r>
                      <w:r w:rsidR="003E3B8D">
                        <w:rPr>
                          <w:rFonts w:asciiTheme="minorHAnsi" w:hAnsiTheme="minorHAnsi"/>
                          <w:color w:val="FFFFFF" w:themeColor="background1"/>
                          <w:sz w:val="22"/>
                        </w:rPr>
                        <w:t>6</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E43E57">
                              <w:rPr>
                                <w:rFonts w:asciiTheme="majorHAnsi" w:hAnsiTheme="majorHAnsi"/>
                                <w:color w:val="0D0D0D" w:themeColor="text1" w:themeTint="F2"/>
                                <w:sz w:val="18"/>
                                <w:szCs w:val="20"/>
                              </w:rPr>
                              <w:t>2063</w:t>
                            </w:r>
                            <w:r w:rsidR="00E43E5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070F3A" w:rsidRPr="003C32BC">
                              <w:rPr>
                                <w:rFonts w:asciiTheme="majorHAnsi" w:hAnsiTheme="majorHAnsi"/>
                                <w:color w:val="0D0D0D" w:themeColor="text1" w:themeTint="F2"/>
                                <w:sz w:val="18"/>
                                <w:szCs w:val="20"/>
                              </w:rPr>
                              <w:t xml:space="preserve">April </w:t>
                            </w:r>
                            <w:r w:rsidR="00A25F5C">
                              <w:rPr>
                                <w:rFonts w:asciiTheme="majorHAnsi" w:hAnsiTheme="majorHAnsi"/>
                                <w:color w:val="0D0D0D" w:themeColor="text1" w:themeTint="F2"/>
                                <w:sz w:val="18"/>
                                <w:szCs w:val="20"/>
                              </w:rPr>
                              <w:t>14</w:t>
                            </w:r>
                            <w:r w:rsidRPr="003C32BC">
                              <w:rPr>
                                <w:rFonts w:asciiTheme="majorHAnsi" w:hAnsiTheme="majorHAnsi"/>
                                <w:color w:val="0D0D0D" w:themeColor="text1" w:themeTint="F2"/>
                                <w:sz w:val="18"/>
                                <w:szCs w:val="20"/>
                              </w:rPr>
                              <w:t>, 201</w:t>
                            </w:r>
                            <w:r w:rsidR="003E3B8D">
                              <w:rPr>
                                <w:rFonts w:asciiTheme="majorHAnsi" w:hAnsiTheme="majorHAnsi"/>
                                <w:color w:val="0D0D0D" w:themeColor="text1" w:themeTint="F2"/>
                                <w:sz w:val="18"/>
                                <w:szCs w:val="20"/>
                              </w:rPr>
                              <w:t>6</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3E3B8D">
                              <w:rPr>
                                <w:rFonts w:asciiTheme="majorHAnsi" w:hAnsiTheme="majorHAnsi" w:cs="Univers"/>
                                <w:color w:val="0D0D0D" w:themeColor="text1" w:themeTint="F2"/>
                                <w:sz w:val="18"/>
                                <w:szCs w:val="20"/>
                              </w:rPr>
                              <w:t>7</w:t>
                            </w:r>
                            <w:r w:rsidR="00092F32"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E43E57">
                        <w:rPr>
                          <w:rFonts w:asciiTheme="majorHAnsi" w:hAnsiTheme="majorHAnsi"/>
                          <w:color w:val="0D0D0D" w:themeColor="text1" w:themeTint="F2"/>
                          <w:sz w:val="18"/>
                          <w:szCs w:val="20"/>
                        </w:rPr>
                        <w:t>2063</w:t>
                      </w:r>
                      <w:r w:rsidR="00E43E5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070F3A" w:rsidRPr="003C32BC">
                        <w:rPr>
                          <w:rFonts w:asciiTheme="majorHAnsi" w:hAnsiTheme="majorHAnsi"/>
                          <w:color w:val="0D0D0D" w:themeColor="text1" w:themeTint="F2"/>
                          <w:sz w:val="18"/>
                          <w:szCs w:val="20"/>
                        </w:rPr>
                        <w:t xml:space="preserve">April </w:t>
                      </w:r>
                      <w:r w:rsidR="00A25F5C">
                        <w:rPr>
                          <w:rFonts w:asciiTheme="majorHAnsi" w:hAnsiTheme="majorHAnsi"/>
                          <w:color w:val="0D0D0D" w:themeColor="text1" w:themeTint="F2"/>
                          <w:sz w:val="18"/>
                          <w:szCs w:val="20"/>
                        </w:rPr>
                        <w:t>14</w:t>
                      </w:r>
                      <w:r w:rsidRPr="003C32BC">
                        <w:rPr>
                          <w:rFonts w:asciiTheme="majorHAnsi" w:hAnsiTheme="majorHAnsi"/>
                          <w:color w:val="0D0D0D" w:themeColor="text1" w:themeTint="F2"/>
                          <w:sz w:val="18"/>
                          <w:szCs w:val="20"/>
                        </w:rPr>
                        <w:t>, 201</w:t>
                      </w:r>
                      <w:r w:rsidR="003E3B8D">
                        <w:rPr>
                          <w:rFonts w:asciiTheme="majorHAnsi" w:hAnsiTheme="majorHAnsi"/>
                          <w:color w:val="0D0D0D" w:themeColor="text1" w:themeTint="F2"/>
                          <w:sz w:val="18"/>
                          <w:szCs w:val="20"/>
                        </w:rPr>
                        <w:t>6</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3E3B8D">
                        <w:rPr>
                          <w:rFonts w:asciiTheme="majorHAnsi" w:hAnsiTheme="majorHAnsi" w:cs="Univers"/>
                          <w:color w:val="0D0D0D" w:themeColor="text1" w:themeTint="F2"/>
                          <w:sz w:val="18"/>
                          <w:szCs w:val="20"/>
                        </w:rPr>
                        <w:t>7</w:t>
                      </w:r>
                      <w:r w:rsidR="00092F32"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25F5C">
                              <w:rPr>
                                <w:rFonts w:asciiTheme="majorHAnsi" w:hAnsiTheme="majorHAnsi"/>
                                <w:color w:val="595959" w:themeColor="text1" w:themeTint="A6"/>
                                <w:sz w:val="18"/>
                              </w:rPr>
                              <w:t>16/16</w:t>
                            </w:r>
                            <w:r w:rsidRPr="003C32BC">
                              <w:rPr>
                                <w:rFonts w:asciiTheme="majorHAnsi" w:hAnsiTheme="majorHAnsi"/>
                                <w:color w:val="595959" w:themeColor="text1" w:themeTint="A6"/>
                                <w:sz w:val="18"/>
                              </w:rPr>
                              <w:t xml:space="preserve">, Case </w:t>
                            </w:r>
                            <w:r w:rsidR="00A25F5C">
                              <w:rPr>
                                <w:rFonts w:asciiTheme="majorHAnsi" w:hAnsiTheme="majorHAnsi"/>
                                <w:color w:val="595959" w:themeColor="text1" w:themeTint="A6"/>
                                <w:sz w:val="18"/>
                              </w:rPr>
                              <w:t>12.847</w:t>
                            </w:r>
                            <w:r w:rsidRPr="003C32BC">
                              <w:rPr>
                                <w:rFonts w:asciiTheme="majorHAnsi" w:hAnsiTheme="majorHAnsi"/>
                                <w:color w:val="595959" w:themeColor="text1" w:themeTint="A6"/>
                                <w:sz w:val="18"/>
                              </w:rPr>
                              <w:t xml:space="preserve">. Friendly Settlement. </w:t>
                            </w:r>
                            <w:r w:rsidR="00A25F5C">
                              <w:rPr>
                                <w:rFonts w:asciiTheme="majorHAnsi" w:hAnsiTheme="majorHAnsi"/>
                                <w:color w:val="595959" w:themeColor="text1" w:themeTint="A6"/>
                                <w:sz w:val="18"/>
                              </w:rPr>
                              <w:t>Vicenta Sanchez Valdivieso</w:t>
                            </w:r>
                            <w:r w:rsidRPr="003C32BC">
                              <w:rPr>
                                <w:rFonts w:asciiTheme="majorHAnsi" w:hAnsiTheme="majorHAnsi"/>
                                <w:color w:val="595959" w:themeColor="text1" w:themeTint="A6"/>
                                <w:sz w:val="18"/>
                              </w:rPr>
                              <w:t xml:space="preserve">. </w:t>
                            </w:r>
                            <w:r w:rsidR="00A25F5C">
                              <w:rPr>
                                <w:rFonts w:asciiTheme="majorHAnsi" w:hAnsiTheme="majorHAnsi"/>
                                <w:color w:val="595959" w:themeColor="text1" w:themeTint="A6"/>
                                <w:sz w:val="18"/>
                              </w:rPr>
                              <w:t>Mexico</w:t>
                            </w:r>
                            <w:r w:rsidRPr="007607C4">
                              <w:rPr>
                                <w:rFonts w:asciiTheme="majorHAnsi" w:hAnsiTheme="majorHAnsi"/>
                                <w:color w:val="595959" w:themeColor="text1" w:themeTint="A6"/>
                                <w:sz w:val="18"/>
                              </w:rPr>
                              <w:t xml:space="preserve">. </w:t>
                            </w:r>
                            <w:r w:rsidR="00A25F5C">
                              <w:rPr>
                                <w:rFonts w:asciiTheme="majorHAnsi" w:hAnsiTheme="majorHAnsi"/>
                                <w:color w:val="595959" w:themeColor="text1" w:themeTint="A6"/>
                                <w:sz w:val="18"/>
                              </w:rPr>
                              <w:t>April 14, 2016</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25F5C">
                        <w:rPr>
                          <w:rFonts w:asciiTheme="majorHAnsi" w:hAnsiTheme="majorHAnsi"/>
                          <w:color w:val="595959" w:themeColor="text1" w:themeTint="A6"/>
                          <w:sz w:val="18"/>
                        </w:rPr>
                        <w:t>16/16</w:t>
                      </w:r>
                      <w:r w:rsidRPr="003C32BC">
                        <w:rPr>
                          <w:rFonts w:asciiTheme="majorHAnsi" w:hAnsiTheme="majorHAnsi"/>
                          <w:color w:val="595959" w:themeColor="text1" w:themeTint="A6"/>
                          <w:sz w:val="18"/>
                        </w:rPr>
                        <w:t xml:space="preserve">, Case </w:t>
                      </w:r>
                      <w:r w:rsidR="00A25F5C">
                        <w:rPr>
                          <w:rFonts w:asciiTheme="majorHAnsi" w:hAnsiTheme="majorHAnsi"/>
                          <w:color w:val="595959" w:themeColor="text1" w:themeTint="A6"/>
                          <w:sz w:val="18"/>
                        </w:rPr>
                        <w:t>12.847</w:t>
                      </w:r>
                      <w:r w:rsidRPr="003C32BC">
                        <w:rPr>
                          <w:rFonts w:asciiTheme="majorHAnsi" w:hAnsiTheme="majorHAnsi"/>
                          <w:color w:val="595959" w:themeColor="text1" w:themeTint="A6"/>
                          <w:sz w:val="18"/>
                        </w:rPr>
                        <w:t xml:space="preserve">. Friendly Settlement. </w:t>
                      </w:r>
                      <w:r w:rsidR="00A25F5C">
                        <w:rPr>
                          <w:rFonts w:asciiTheme="majorHAnsi" w:hAnsiTheme="majorHAnsi"/>
                          <w:color w:val="595959" w:themeColor="text1" w:themeTint="A6"/>
                          <w:sz w:val="18"/>
                        </w:rPr>
                        <w:t>Vicenta Sanchez Valdivieso</w:t>
                      </w:r>
                      <w:r w:rsidRPr="003C32BC">
                        <w:rPr>
                          <w:rFonts w:asciiTheme="majorHAnsi" w:hAnsiTheme="majorHAnsi"/>
                          <w:color w:val="595959" w:themeColor="text1" w:themeTint="A6"/>
                          <w:sz w:val="18"/>
                        </w:rPr>
                        <w:t xml:space="preserve">. </w:t>
                      </w:r>
                      <w:r w:rsidR="00A25F5C">
                        <w:rPr>
                          <w:rFonts w:asciiTheme="majorHAnsi" w:hAnsiTheme="majorHAnsi"/>
                          <w:color w:val="595959" w:themeColor="text1" w:themeTint="A6"/>
                          <w:sz w:val="18"/>
                        </w:rPr>
                        <w:t>Mexico</w:t>
                      </w:r>
                      <w:r w:rsidRPr="007607C4">
                        <w:rPr>
                          <w:rFonts w:asciiTheme="majorHAnsi" w:hAnsiTheme="majorHAnsi"/>
                          <w:color w:val="595959" w:themeColor="text1" w:themeTint="A6"/>
                          <w:sz w:val="18"/>
                        </w:rPr>
                        <w:t xml:space="preserve">. </w:t>
                      </w:r>
                      <w:r w:rsidR="00A25F5C">
                        <w:rPr>
                          <w:rFonts w:asciiTheme="majorHAnsi" w:hAnsiTheme="majorHAnsi"/>
                          <w:color w:val="595959" w:themeColor="text1" w:themeTint="A6"/>
                          <w:sz w:val="18"/>
                        </w:rPr>
                        <w:t>April 14, 2016</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3E3B8D" w:rsidRPr="00D52F17" w:rsidRDefault="003E3B8D" w:rsidP="003E3B8D">
      <w:pPr>
        <w:tabs>
          <w:tab w:val="center" w:pos="5400"/>
        </w:tabs>
        <w:suppressAutoHyphens/>
        <w:spacing w:line="276" w:lineRule="auto"/>
        <w:ind w:left="5400" w:hanging="5400"/>
        <w:jc w:val="center"/>
        <w:rPr>
          <w:rFonts w:asciiTheme="majorHAnsi" w:hAnsiTheme="majorHAnsi"/>
          <w:b/>
          <w:sz w:val="18"/>
          <w:szCs w:val="20"/>
        </w:rPr>
      </w:pPr>
      <w:r w:rsidRPr="00D52F17">
        <w:rPr>
          <w:rFonts w:asciiTheme="majorHAnsi" w:hAnsiTheme="majorHAnsi"/>
          <w:b/>
          <w:sz w:val="18"/>
          <w:szCs w:val="20"/>
        </w:rPr>
        <w:lastRenderedPageBreak/>
        <w:t xml:space="preserve">REPORT No. </w:t>
      </w:r>
      <w:r w:rsidR="00E43E57">
        <w:rPr>
          <w:rFonts w:asciiTheme="majorHAnsi" w:hAnsiTheme="majorHAnsi"/>
          <w:b/>
          <w:sz w:val="18"/>
          <w:szCs w:val="20"/>
        </w:rPr>
        <w:t>16</w:t>
      </w:r>
      <w:r w:rsidRPr="00D52F17">
        <w:rPr>
          <w:rFonts w:asciiTheme="majorHAnsi" w:hAnsiTheme="majorHAnsi"/>
          <w:b/>
          <w:sz w:val="18"/>
          <w:szCs w:val="20"/>
        </w:rPr>
        <w:t>/16</w:t>
      </w:r>
    </w:p>
    <w:p w:rsidR="003E3B8D" w:rsidRPr="00D52F17" w:rsidRDefault="003E3B8D" w:rsidP="003E3B8D">
      <w:pPr>
        <w:tabs>
          <w:tab w:val="center" w:pos="5400"/>
        </w:tabs>
        <w:suppressAutoHyphens/>
        <w:spacing w:line="276" w:lineRule="auto"/>
        <w:jc w:val="center"/>
        <w:rPr>
          <w:rFonts w:asciiTheme="majorHAnsi" w:hAnsiTheme="majorHAnsi"/>
          <w:b/>
          <w:sz w:val="18"/>
          <w:szCs w:val="20"/>
        </w:rPr>
      </w:pPr>
      <w:r w:rsidRPr="00D52F17">
        <w:rPr>
          <w:rFonts w:asciiTheme="majorHAnsi" w:hAnsiTheme="majorHAnsi"/>
          <w:b/>
          <w:sz w:val="18"/>
          <w:szCs w:val="20"/>
        </w:rPr>
        <w:t>CASE 12.847</w:t>
      </w:r>
    </w:p>
    <w:p w:rsidR="003E3B8D" w:rsidRPr="00D52F17" w:rsidRDefault="003E3B8D" w:rsidP="003E3B8D">
      <w:pPr>
        <w:tabs>
          <w:tab w:val="center" w:pos="5400"/>
        </w:tabs>
        <w:suppressAutoHyphens/>
        <w:spacing w:line="276" w:lineRule="auto"/>
        <w:jc w:val="center"/>
        <w:rPr>
          <w:rFonts w:asciiTheme="majorHAnsi" w:hAnsiTheme="majorHAnsi"/>
          <w:sz w:val="18"/>
          <w:szCs w:val="20"/>
        </w:rPr>
      </w:pPr>
      <w:r w:rsidRPr="00D52F17">
        <w:rPr>
          <w:rFonts w:asciiTheme="majorHAnsi" w:hAnsiTheme="majorHAnsi"/>
          <w:sz w:val="18"/>
          <w:szCs w:val="20"/>
        </w:rPr>
        <w:t xml:space="preserve">FRIENDLY SETTLEMENT  </w:t>
      </w:r>
    </w:p>
    <w:p w:rsidR="003E3B8D" w:rsidRPr="00D52F17" w:rsidRDefault="003E3B8D" w:rsidP="003E3B8D">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VICENTA SÁ</w:t>
      </w:r>
      <w:r w:rsidRPr="00D52F17">
        <w:rPr>
          <w:rFonts w:asciiTheme="majorHAnsi" w:hAnsiTheme="majorHAnsi"/>
          <w:sz w:val="18"/>
          <w:szCs w:val="20"/>
        </w:rPr>
        <w:t>NCHEZ VALDIVIESO</w:t>
      </w:r>
    </w:p>
    <w:p w:rsidR="003E3B8D" w:rsidRPr="00D52F17" w:rsidRDefault="003E3B8D" w:rsidP="003E3B8D">
      <w:pPr>
        <w:tabs>
          <w:tab w:val="center" w:pos="5400"/>
        </w:tabs>
        <w:suppressAutoHyphens/>
        <w:spacing w:line="276" w:lineRule="auto"/>
        <w:jc w:val="center"/>
        <w:rPr>
          <w:rFonts w:asciiTheme="majorHAnsi" w:hAnsiTheme="majorHAnsi"/>
          <w:sz w:val="18"/>
          <w:szCs w:val="20"/>
        </w:rPr>
      </w:pPr>
      <w:r w:rsidRPr="00D52F17">
        <w:rPr>
          <w:rFonts w:asciiTheme="majorHAnsi" w:hAnsiTheme="majorHAnsi"/>
          <w:sz w:val="18"/>
          <w:szCs w:val="20"/>
        </w:rPr>
        <w:t>MEXICO</w:t>
      </w:r>
    </w:p>
    <w:p w:rsidR="003E3B8D" w:rsidRPr="00D52F17" w:rsidRDefault="0005776D" w:rsidP="003E3B8D">
      <w:pPr>
        <w:tabs>
          <w:tab w:val="center" w:pos="5400"/>
        </w:tabs>
        <w:suppressAutoHyphens/>
        <w:spacing w:line="276" w:lineRule="auto"/>
        <w:jc w:val="center"/>
        <w:rPr>
          <w:rFonts w:asciiTheme="majorHAnsi" w:hAnsiTheme="majorHAnsi"/>
          <w:sz w:val="18"/>
          <w:szCs w:val="20"/>
        </w:rPr>
      </w:pPr>
      <w:r w:rsidRPr="00D52F17">
        <w:rPr>
          <w:rFonts w:asciiTheme="majorHAnsi" w:hAnsiTheme="majorHAnsi"/>
          <w:sz w:val="18"/>
          <w:szCs w:val="20"/>
        </w:rPr>
        <w:t xml:space="preserve">APRIL </w:t>
      </w:r>
      <w:r>
        <w:rPr>
          <w:rFonts w:asciiTheme="majorHAnsi" w:hAnsiTheme="majorHAnsi"/>
          <w:sz w:val="18"/>
          <w:szCs w:val="20"/>
        </w:rPr>
        <w:t>14</w:t>
      </w:r>
      <w:r w:rsidRPr="00D52F17">
        <w:rPr>
          <w:rFonts w:asciiTheme="majorHAnsi" w:hAnsiTheme="majorHAnsi"/>
          <w:sz w:val="18"/>
          <w:szCs w:val="20"/>
        </w:rPr>
        <w:t>, 2016</w:t>
      </w:r>
      <w:r w:rsidR="003E3B8D" w:rsidRPr="00D52F17">
        <w:rPr>
          <w:rStyle w:val="FootnoteReference"/>
          <w:rFonts w:asciiTheme="majorHAnsi" w:hAnsiTheme="majorHAnsi"/>
          <w:sz w:val="18"/>
          <w:szCs w:val="20"/>
        </w:rPr>
        <w:footnoteReference w:id="2"/>
      </w:r>
    </w:p>
    <w:p w:rsidR="003E3B8D" w:rsidRDefault="003E3B8D" w:rsidP="003E3B8D">
      <w:pPr>
        <w:tabs>
          <w:tab w:val="center" w:pos="4680"/>
          <w:tab w:val="left" w:pos="6511"/>
        </w:tabs>
        <w:jc w:val="center"/>
        <w:rPr>
          <w:rFonts w:ascii="Cambria" w:hAnsi="Cambria" w:cs="Calibri"/>
          <w:sz w:val="20"/>
          <w:szCs w:val="20"/>
        </w:rPr>
      </w:pPr>
    </w:p>
    <w:p w:rsidR="0005776D" w:rsidRPr="00D52F17" w:rsidRDefault="0005776D" w:rsidP="003E3B8D">
      <w:pPr>
        <w:tabs>
          <w:tab w:val="center" w:pos="4680"/>
          <w:tab w:val="left" w:pos="6511"/>
        </w:tabs>
        <w:jc w:val="center"/>
        <w:rPr>
          <w:rFonts w:ascii="Cambria" w:hAnsi="Cambria" w:cs="Calibri"/>
          <w:sz w:val="20"/>
          <w:szCs w:val="20"/>
        </w:rPr>
      </w:pPr>
    </w:p>
    <w:p w:rsidR="003E3B8D" w:rsidRPr="00D52F17" w:rsidRDefault="003E3B8D" w:rsidP="003E3B8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rPr>
      </w:pPr>
      <w:r w:rsidRPr="00D52F17">
        <w:rPr>
          <w:rFonts w:asciiTheme="majorHAnsi" w:eastAsia="MS Mincho" w:hAnsiTheme="majorHAnsi"/>
          <w:b/>
          <w:sz w:val="20"/>
          <w:szCs w:val="20"/>
        </w:rPr>
        <w:t>SUMMARY</w:t>
      </w:r>
    </w:p>
    <w:p w:rsidR="003E3B8D" w:rsidRPr="00D52F17" w:rsidRDefault="003E3B8D" w:rsidP="003E3B8D">
      <w:pPr>
        <w:jc w:val="both"/>
        <w:rPr>
          <w:rFonts w:asciiTheme="majorHAnsi" w:eastAsia="MS Mincho" w:hAnsiTheme="majorHAnsi"/>
          <w:sz w:val="20"/>
          <w:szCs w:val="20"/>
        </w:rPr>
      </w:pPr>
    </w:p>
    <w:p w:rsidR="003E3B8D" w:rsidRPr="00D52F17" w:rsidRDefault="003E3B8D" w:rsidP="003E3B8D">
      <w:pPr>
        <w:pStyle w:val="Heading2"/>
        <w:keepNext w:val="0"/>
        <w:keepLines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spacing w:before="0"/>
        <w:ind w:left="0" w:firstLine="720"/>
        <w:jc w:val="both"/>
        <w:rPr>
          <w:rFonts w:cs="Cambria"/>
          <w:b w:val="0"/>
          <w:bCs w:val="0"/>
          <w:i/>
          <w:iCs/>
          <w:color w:val="000000"/>
          <w:sz w:val="20"/>
          <w:szCs w:val="20"/>
          <w:u w:color="000000"/>
          <w:bdr w:val="none" w:sz="0" w:space="0" w:color="auto" w:frame="1"/>
          <w:lang w:eastAsia="es-ES"/>
        </w:rPr>
      </w:pPr>
      <w:r w:rsidRPr="00D52F17">
        <w:rPr>
          <w:rFonts w:cs="Cambria"/>
          <w:b w:val="0"/>
          <w:bCs w:val="0"/>
          <w:color w:val="000000"/>
          <w:sz w:val="20"/>
          <w:szCs w:val="20"/>
          <w:u w:color="000000"/>
          <w:bdr w:val="none" w:sz="0" w:space="0" w:color="auto" w:frame="1"/>
          <w:lang w:eastAsia="es-ES"/>
        </w:rPr>
        <w:t>On September 12, 2003, the Inter-American Commission on Human Rights (hereinafter</w:t>
      </w:r>
      <w:r>
        <w:rPr>
          <w:rFonts w:cs="Cambria"/>
          <w:b w:val="0"/>
          <w:bCs w:val="0"/>
          <w:color w:val="000000"/>
          <w:sz w:val="20"/>
          <w:szCs w:val="20"/>
          <w:u w:color="000000"/>
          <w:bdr w:val="none" w:sz="0" w:space="0" w:color="auto" w:frame="1"/>
          <w:lang w:eastAsia="es-ES"/>
        </w:rPr>
        <w:t>,</w:t>
      </w:r>
      <w:r w:rsidRPr="00D52F17">
        <w:rPr>
          <w:rFonts w:cs="Cambria"/>
          <w:b w:val="0"/>
          <w:bCs w:val="0"/>
          <w:color w:val="000000"/>
          <w:sz w:val="20"/>
          <w:szCs w:val="20"/>
          <w:u w:color="000000"/>
          <w:bdr w:val="none" w:sz="0" w:space="0" w:color="auto" w:frame="1"/>
          <w:lang w:eastAsia="es-ES"/>
        </w:rPr>
        <w:t xml:space="preserve"> “the Commission” or “IACHR”) received a petition submitted by Isidoro Santiago Sánchez (hereinafter, “the petitioner”), which alleged the international responsibility of the United Mexican States (hereinafter</w:t>
      </w:r>
      <w:r>
        <w:rPr>
          <w:rFonts w:cs="Cambria"/>
          <w:b w:val="0"/>
          <w:bCs w:val="0"/>
          <w:color w:val="000000"/>
          <w:sz w:val="20"/>
          <w:szCs w:val="20"/>
          <w:u w:color="000000"/>
          <w:bdr w:val="none" w:sz="0" w:space="0" w:color="auto" w:frame="1"/>
          <w:lang w:eastAsia="es-ES"/>
        </w:rPr>
        <w:t>,</w:t>
      </w:r>
      <w:r w:rsidRPr="00D52F17">
        <w:rPr>
          <w:rFonts w:cs="Cambria"/>
          <w:b w:val="0"/>
          <w:bCs w:val="0"/>
          <w:color w:val="000000"/>
          <w:sz w:val="20"/>
          <w:szCs w:val="20"/>
          <w:u w:color="000000"/>
          <w:bdr w:val="none" w:sz="0" w:space="0" w:color="auto" w:frame="1"/>
          <w:lang w:eastAsia="es-ES"/>
        </w:rPr>
        <w:t xml:space="preserve"> “the State,” “the Mexican State,” or “Mexico”), for </w:t>
      </w:r>
      <w:r>
        <w:rPr>
          <w:rFonts w:cs="Cambria"/>
          <w:b w:val="0"/>
          <w:bCs w:val="0"/>
          <w:color w:val="000000"/>
          <w:sz w:val="20"/>
          <w:szCs w:val="20"/>
          <w:u w:color="000000"/>
          <w:bdr w:val="none" w:sz="0" w:space="0" w:color="auto" w:frame="1"/>
          <w:lang w:eastAsia="es-ES"/>
        </w:rPr>
        <w:t>having violated</w:t>
      </w:r>
      <w:r w:rsidRPr="00D52F17">
        <w:rPr>
          <w:rFonts w:cs="Cambria"/>
          <w:b w:val="0"/>
          <w:bCs w:val="0"/>
          <w:color w:val="000000"/>
          <w:sz w:val="20"/>
          <w:szCs w:val="20"/>
          <w:u w:color="000000"/>
          <w:bdr w:val="none" w:sz="0" w:space="0" w:color="auto" w:frame="1"/>
          <w:lang w:eastAsia="es-ES"/>
        </w:rPr>
        <w:t xml:space="preserve"> the human rights of his mother, Vicenta Sánchez Valdivieso, a widowed Zapotec indigenous woman (hereinafter</w:t>
      </w:r>
      <w:r>
        <w:rPr>
          <w:rFonts w:cs="Cambria"/>
          <w:b w:val="0"/>
          <w:bCs w:val="0"/>
          <w:color w:val="000000"/>
          <w:sz w:val="20"/>
          <w:szCs w:val="20"/>
          <w:u w:color="000000"/>
          <w:bdr w:val="none" w:sz="0" w:space="0" w:color="auto" w:frame="1"/>
          <w:lang w:eastAsia="es-ES"/>
        </w:rPr>
        <w:t>,</w:t>
      </w:r>
      <w:r w:rsidRPr="00D52F17">
        <w:rPr>
          <w:rFonts w:cs="Cambria"/>
          <w:b w:val="0"/>
          <w:bCs w:val="0"/>
          <w:color w:val="000000"/>
          <w:sz w:val="20"/>
          <w:szCs w:val="20"/>
          <w:u w:color="000000"/>
          <w:bdr w:val="none" w:sz="0" w:space="0" w:color="auto" w:frame="1"/>
          <w:lang w:eastAsia="es-ES"/>
        </w:rPr>
        <w:t xml:space="preserve"> “the alleged victim”), stemming from the failure to enforce a </w:t>
      </w:r>
      <w:r w:rsidRPr="00CB73FB">
        <w:rPr>
          <w:rFonts w:cs="Cambria"/>
          <w:b w:val="0"/>
          <w:bCs w:val="0"/>
          <w:color w:val="000000"/>
          <w:sz w:val="20"/>
          <w:szCs w:val="20"/>
          <w:u w:color="000000"/>
          <w:bdr w:val="none" w:sz="0" w:space="0" w:color="auto" w:frame="1"/>
          <w:lang w:eastAsia="es-ES"/>
        </w:rPr>
        <w:t xml:space="preserve">labor </w:t>
      </w:r>
      <w:r>
        <w:rPr>
          <w:rFonts w:cs="Cambria"/>
          <w:b w:val="0"/>
          <w:bCs w:val="0"/>
          <w:color w:val="000000"/>
          <w:sz w:val="20"/>
          <w:szCs w:val="20"/>
          <w:u w:color="000000"/>
          <w:bdr w:val="none" w:sz="0" w:space="0" w:color="auto" w:frame="1"/>
          <w:lang w:eastAsia="es-ES"/>
        </w:rPr>
        <w:t>action</w:t>
      </w:r>
      <w:r w:rsidRPr="00CB73FB">
        <w:rPr>
          <w:rFonts w:cs="Cambria"/>
          <w:b w:val="0"/>
          <w:bCs w:val="0"/>
          <w:color w:val="000000"/>
          <w:sz w:val="20"/>
          <w:szCs w:val="20"/>
          <w:u w:color="000000"/>
          <w:bdr w:val="none" w:sz="0" w:space="0" w:color="auto" w:frame="1"/>
          <w:lang w:eastAsia="es-ES"/>
        </w:rPr>
        <w:t xml:space="preserve"> </w:t>
      </w:r>
      <w:r w:rsidR="00AE16A3">
        <w:rPr>
          <w:rFonts w:cs="Cambria"/>
          <w:b w:val="0"/>
          <w:bCs w:val="0"/>
          <w:color w:val="000000"/>
          <w:sz w:val="20"/>
          <w:szCs w:val="20"/>
          <w:u w:color="000000"/>
          <w:bdr w:val="none" w:sz="0" w:space="0" w:color="auto" w:frame="1"/>
          <w:lang w:eastAsia="es-ES"/>
        </w:rPr>
        <w:t xml:space="preserve">decision </w:t>
      </w:r>
      <w:r w:rsidRPr="00D52F17">
        <w:rPr>
          <w:rFonts w:cs="Cambria"/>
          <w:b w:val="0"/>
          <w:bCs w:val="0"/>
          <w:color w:val="000000"/>
          <w:sz w:val="20"/>
          <w:szCs w:val="20"/>
          <w:u w:color="000000"/>
          <w:bdr w:val="none" w:sz="0" w:space="0" w:color="auto" w:frame="1"/>
          <w:lang w:eastAsia="es-ES"/>
        </w:rPr>
        <w:t>issued in her favor</w:t>
      </w:r>
      <w:r w:rsidR="00AE16A3">
        <w:rPr>
          <w:rFonts w:cs="Cambria"/>
          <w:b w:val="0"/>
          <w:bCs w:val="0"/>
          <w:color w:val="000000"/>
          <w:sz w:val="20"/>
          <w:szCs w:val="20"/>
          <w:u w:color="000000"/>
          <w:bdr w:val="none" w:sz="0" w:space="0" w:color="auto" w:frame="1"/>
          <w:lang w:eastAsia="es-ES"/>
        </w:rPr>
        <w:t xml:space="preserve"> on august 13 of 1999</w:t>
      </w:r>
      <w:r w:rsidRPr="00D52F17">
        <w:rPr>
          <w:rFonts w:cs="Cambria"/>
          <w:b w:val="0"/>
          <w:bCs w:val="0"/>
          <w:color w:val="000000"/>
          <w:sz w:val="20"/>
          <w:szCs w:val="20"/>
          <w:u w:color="000000"/>
          <w:bdr w:val="none" w:sz="0" w:space="0" w:color="auto" w:frame="1"/>
          <w:lang w:eastAsia="es-ES"/>
        </w:rPr>
        <w:t xml:space="preserve">. </w:t>
      </w:r>
    </w:p>
    <w:p w:rsidR="003E3B8D" w:rsidRPr="00D52F17" w:rsidRDefault="003E3B8D" w:rsidP="003E3B8D">
      <w:pPr>
        <w:tabs>
          <w:tab w:val="left" w:pos="90"/>
        </w:tabs>
        <w:ind w:firstLine="720"/>
        <w:rPr>
          <w:rFonts w:asciiTheme="majorHAnsi" w:eastAsia="Times New Roman" w:hAnsiTheme="majorHAnsi" w:cs="Cambria"/>
          <w:color w:val="000000"/>
          <w:sz w:val="20"/>
          <w:szCs w:val="20"/>
          <w:u w:color="000000"/>
          <w:bdr w:val="none" w:sz="0" w:space="0" w:color="auto" w:frame="1"/>
          <w:lang w:eastAsia="es-ES"/>
        </w:rPr>
      </w:pPr>
    </w:p>
    <w:p w:rsidR="003E3B8D" w:rsidRPr="00D52F17" w:rsidRDefault="003E3B8D" w:rsidP="003E3B8D">
      <w:pPr>
        <w:pStyle w:val="Heading2"/>
        <w:keepNext w:val="0"/>
        <w:keepLines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spacing w:before="0"/>
        <w:ind w:left="0" w:firstLine="720"/>
        <w:jc w:val="both"/>
        <w:rPr>
          <w:rFonts w:cs="Cambria"/>
          <w:b w:val="0"/>
          <w:bCs w:val="0"/>
          <w:i/>
          <w:iCs/>
          <w:color w:val="000000"/>
          <w:sz w:val="20"/>
          <w:szCs w:val="20"/>
          <w:u w:color="000000"/>
          <w:bdr w:val="none" w:sz="0" w:space="0" w:color="auto" w:frame="1"/>
          <w:lang w:eastAsia="es-ES"/>
        </w:rPr>
      </w:pPr>
      <w:r w:rsidRPr="00D52F17">
        <w:rPr>
          <w:rFonts w:cs="Cambria"/>
          <w:b w:val="0"/>
          <w:bCs w:val="0"/>
          <w:color w:val="000000"/>
          <w:sz w:val="20"/>
          <w:szCs w:val="20"/>
          <w:u w:color="000000"/>
          <w:bdr w:val="none" w:sz="0" w:space="0" w:color="auto" w:frame="1"/>
          <w:lang w:eastAsia="es-ES"/>
        </w:rPr>
        <w:t xml:space="preserve">On November 2, 2011, the IACHR ruled that the petition was admissible for purposes of </w:t>
      </w:r>
      <w:r>
        <w:rPr>
          <w:rFonts w:cs="Cambria"/>
          <w:b w:val="0"/>
          <w:bCs w:val="0"/>
          <w:color w:val="000000"/>
          <w:sz w:val="20"/>
          <w:szCs w:val="20"/>
          <w:u w:color="000000"/>
          <w:bdr w:val="none" w:sz="0" w:space="0" w:color="auto" w:frame="1"/>
          <w:lang w:eastAsia="es-ES"/>
        </w:rPr>
        <w:t>examining</w:t>
      </w:r>
      <w:r w:rsidRPr="00D52F17">
        <w:rPr>
          <w:rFonts w:cs="Cambria"/>
          <w:b w:val="0"/>
          <w:bCs w:val="0"/>
          <w:color w:val="000000"/>
          <w:sz w:val="20"/>
          <w:szCs w:val="20"/>
          <w:u w:color="000000"/>
          <w:bdr w:val="none" w:sz="0" w:space="0" w:color="auto" w:frame="1"/>
          <w:lang w:eastAsia="es-ES"/>
        </w:rPr>
        <w:t xml:space="preserve"> the alleged violation of </w:t>
      </w:r>
      <w:r>
        <w:rPr>
          <w:rFonts w:cs="Cambria"/>
          <w:b w:val="0"/>
          <w:bCs w:val="0"/>
          <w:color w:val="000000"/>
          <w:sz w:val="20"/>
          <w:szCs w:val="20"/>
          <w:u w:color="000000"/>
          <w:bdr w:val="none" w:sz="0" w:space="0" w:color="auto" w:frame="1"/>
          <w:lang w:eastAsia="es-ES"/>
        </w:rPr>
        <w:t xml:space="preserve">the </w:t>
      </w:r>
      <w:r w:rsidRPr="00D52F17">
        <w:rPr>
          <w:rFonts w:cs="Cambria"/>
          <w:b w:val="0"/>
          <w:bCs w:val="0"/>
          <w:color w:val="000000"/>
          <w:sz w:val="20"/>
          <w:szCs w:val="20"/>
          <w:u w:color="000000"/>
          <w:bdr w:val="none" w:sz="0" w:space="0" w:color="auto" w:frame="1"/>
          <w:lang w:eastAsia="es-ES"/>
        </w:rPr>
        <w:t xml:space="preserve">rights enshrined in Articles 5(1) (humane treatment), 8(1) (fair trial), and 25 (judicial protection) of the American Convention on Human Rights, </w:t>
      </w:r>
      <w:r>
        <w:rPr>
          <w:rFonts w:cs="Cambria"/>
          <w:b w:val="0"/>
          <w:bCs w:val="0"/>
          <w:color w:val="000000"/>
          <w:sz w:val="20"/>
          <w:szCs w:val="20"/>
          <w:u w:color="000000"/>
          <w:bdr w:val="none" w:sz="0" w:space="0" w:color="auto" w:frame="1"/>
          <w:lang w:eastAsia="es-ES"/>
        </w:rPr>
        <w:t>in connection with Article </w:t>
      </w:r>
      <w:r w:rsidRPr="00D52F17">
        <w:rPr>
          <w:rFonts w:cs="Cambria"/>
          <w:b w:val="0"/>
          <w:bCs w:val="0"/>
          <w:color w:val="000000"/>
          <w:sz w:val="20"/>
          <w:szCs w:val="20"/>
          <w:u w:color="000000"/>
          <w:bdr w:val="none" w:sz="0" w:space="0" w:color="auto" w:frame="1"/>
          <w:lang w:eastAsia="es-ES"/>
        </w:rPr>
        <w:t xml:space="preserve">1 (the obligation to respect rights) </w:t>
      </w:r>
      <w:r>
        <w:rPr>
          <w:rFonts w:cs="Cambria"/>
          <w:b w:val="0"/>
          <w:bCs w:val="0"/>
          <w:color w:val="000000"/>
          <w:sz w:val="20"/>
          <w:szCs w:val="20"/>
          <w:u w:color="000000"/>
          <w:bdr w:val="none" w:sz="0" w:space="0" w:color="auto" w:frame="1"/>
          <w:lang w:eastAsia="es-ES"/>
        </w:rPr>
        <w:t>thereof</w:t>
      </w:r>
      <w:r w:rsidRPr="00D52F17">
        <w:rPr>
          <w:rFonts w:cs="Cambria"/>
          <w:b w:val="0"/>
          <w:bCs w:val="0"/>
          <w:color w:val="000000"/>
          <w:sz w:val="20"/>
          <w:szCs w:val="20"/>
          <w:u w:color="000000"/>
          <w:bdr w:val="none" w:sz="0" w:space="0" w:color="auto" w:frame="1"/>
          <w:lang w:eastAsia="es-ES"/>
        </w:rPr>
        <w:t xml:space="preserve">. Furthermore, the Commission decided to notify the parties of this ruling, as well as publish and include it in its Annual Report </w:t>
      </w:r>
      <w:r>
        <w:rPr>
          <w:rFonts w:cs="Cambria"/>
          <w:b w:val="0"/>
          <w:bCs w:val="0"/>
          <w:color w:val="000000"/>
          <w:sz w:val="20"/>
          <w:szCs w:val="20"/>
          <w:u w:color="000000"/>
          <w:bdr w:val="none" w:sz="0" w:space="0" w:color="auto" w:frame="1"/>
          <w:lang w:eastAsia="es-ES"/>
        </w:rPr>
        <w:t>to</w:t>
      </w:r>
      <w:r w:rsidRPr="00D52F17">
        <w:rPr>
          <w:rFonts w:cs="Cambria"/>
          <w:b w:val="0"/>
          <w:bCs w:val="0"/>
          <w:color w:val="000000"/>
          <w:sz w:val="20"/>
          <w:szCs w:val="20"/>
          <w:u w:color="000000"/>
          <w:bdr w:val="none" w:sz="0" w:space="0" w:color="auto" w:frame="1"/>
          <w:lang w:eastAsia="es-ES"/>
        </w:rPr>
        <w:t xml:space="preserve"> the General Assembly of the Organization of American States.</w:t>
      </w:r>
    </w:p>
    <w:p w:rsidR="003E3B8D" w:rsidRPr="00D52F17" w:rsidRDefault="003E3B8D" w:rsidP="003E3B8D">
      <w:pPr>
        <w:pStyle w:val="ListParagraph"/>
        <w:ind w:left="0" w:firstLine="720"/>
        <w:rPr>
          <w:rFonts w:asciiTheme="majorHAnsi" w:eastAsia="Times New Roman" w:hAnsiTheme="majorHAnsi"/>
          <w:sz w:val="20"/>
          <w:szCs w:val="20"/>
          <w:bdr w:val="none" w:sz="0" w:space="0" w:color="auto" w:frame="1"/>
        </w:rPr>
      </w:pPr>
    </w:p>
    <w:p w:rsidR="003E3B8D" w:rsidRPr="00D52F17" w:rsidRDefault="003E3B8D" w:rsidP="003E3B8D">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frame="1"/>
        </w:rPr>
      </w:pPr>
      <w:r>
        <w:rPr>
          <w:rFonts w:asciiTheme="majorHAnsi" w:eastAsia="Times New Roman" w:hAnsiTheme="majorHAnsi"/>
          <w:sz w:val="20"/>
          <w:szCs w:val="20"/>
          <w:bdr w:val="none" w:sz="0" w:space="0" w:color="auto" w:frame="1"/>
        </w:rPr>
        <w:t>In February 2012,</w:t>
      </w:r>
      <w:r w:rsidRPr="00D52F17">
        <w:rPr>
          <w:rFonts w:asciiTheme="majorHAnsi" w:eastAsia="Times New Roman" w:hAnsiTheme="majorHAnsi"/>
          <w:sz w:val="20"/>
          <w:szCs w:val="20"/>
          <w:bdr w:val="none" w:sz="0" w:space="0" w:color="auto" w:frame="1"/>
        </w:rPr>
        <w:t xml:space="preserve"> </w:t>
      </w:r>
      <w:r>
        <w:rPr>
          <w:rFonts w:asciiTheme="majorHAnsi" w:eastAsia="Times New Roman" w:hAnsiTheme="majorHAnsi"/>
          <w:sz w:val="20"/>
          <w:szCs w:val="20"/>
          <w:bdr w:val="none" w:sz="0" w:space="0" w:color="auto" w:frame="1"/>
        </w:rPr>
        <w:t xml:space="preserve">the </w:t>
      </w:r>
      <w:r w:rsidRPr="00D52F17">
        <w:rPr>
          <w:rFonts w:asciiTheme="majorHAnsi" w:eastAsia="Times New Roman" w:hAnsiTheme="majorHAnsi"/>
          <w:sz w:val="20"/>
          <w:szCs w:val="20"/>
          <w:bdr w:val="none" w:sz="0" w:space="0" w:color="auto" w:frame="1"/>
        </w:rPr>
        <w:t xml:space="preserve">parties initiated negotiation </w:t>
      </w:r>
      <w:r>
        <w:rPr>
          <w:rFonts w:asciiTheme="majorHAnsi" w:eastAsia="Times New Roman" w:hAnsiTheme="majorHAnsi"/>
          <w:sz w:val="20"/>
          <w:szCs w:val="20"/>
          <w:bdr w:val="none" w:sz="0" w:space="0" w:color="auto" w:frame="1"/>
        </w:rPr>
        <w:t xml:space="preserve">proceedings </w:t>
      </w:r>
      <w:r w:rsidRPr="00D52F17">
        <w:rPr>
          <w:rFonts w:asciiTheme="majorHAnsi" w:eastAsia="Times New Roman" w:hAnsiTheme="majorHAnsi"/>
          <w:sz w:val="20"/>
          <w:szCs w:val="20"/>
          <w:bdr w:val="none" w:sz="0" w:space="0" w:color="auto" w:frame="1"/>
        </w:rPr>
        <w:t>in which the Co</w:t>
      </w:r>
      <w:r>
        <w:rPr>
          <w:rFonts w:asciiTheme="majorHAnsi" w:eastAsia="Times New Roman" w:hAnsiTheme="majorHAnsi"/>
          <w:sz w:val="20"/>
          <w:szCs w:val="20"/>
          <w:bdr w:val="none" w:sz="0" w:space="0" w:color="auto" w:frame="1"/>
        </w:rPr>
        <w:t xml:space="preserve">mmission acted as facilitator. </w:t>
      </w:r>
      <w:r w:rsidRPr="00D52F17">
        <w:rPr>
          <w:rFonts w:asciiTheme="majorHAnsi" w:eastAsia="Times New Roman" w:hAnsiTheme="majorHAnsi"/>
          <w:sz w:val="20"/>
          <w:szCs w:val="20"/>
          <w:bdr w:val="none" w:sz="0" w:space="0" w:color="auto" w:frame="1"/>
        </w:rPr>
        <w:t>The parties signed a friendly settlement agreement on September 25, 2012.</w:t>
      </w:r>
    </w:p>
    <w:p w:rsidR="003E3B8D" w:rsidRPr="00D52F17" w:rsidRDefault="003E3B8D" w:rsidP="003E3B8D">
      <w:pPr>
        <w:ind w:firstLine="720"/>
        <w:jc w:val="both"/>
        <w:rPr>
          <w:rFonts w:asciiTheme="majorHAnsi" w:hAnsiTheme="majorHAnsi"/>
          <w:sz w:val="20"/>
          <w:szCs w:val="20"/>
          <w:bdr w:val="none" w:sz="0" w:space="0" w:color="auto"/>
        </w:rPr>
      </w:pPr>
    </w:p>
    <w:p w:rsidR="003E3B8D" w:rsidRPr="003E3B8D" w:rsidRDefault="003E3B8D" w:rsidP="003E3B8D">
      <w:pPr>
        <w:pStyle w:val="BodyTextInden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n-US"/>
        </w:rPr>
      </w:pPr>
      <w:r w:rsidRPr="00D34E4F">
        <w:rPr>
          <w:rFonts w:ascii="Cambria" w:hAnsi="Cambria"/>
          <w:color w:val="auto"/>
          <w:sz w:val="20"/>
          <w:szCs w:val="20"/>
          <w:lang w:val="en-US"/>
        </w:rPr>
        <w:t xml:space="preserve">Pursuant to Articles 49 of the Convention and 40(5) of the Commission’s Rules of Procedure, this friendly settlement report includes a summary of the petitioners’ allegations, transcribes the friendly settlement agreement signed </w:t>
      </w:r>
      <w:r w:rsidRPr="00D34E4F">
        <w:rPr>
          <w:rFonts w:asciiTheme="majorHAnsi" w:hAnsiTheme="majorHAnsi"/>
          <w:sz w:val="20"/>
          <w:szCs w:val="20"/>
          <w:lang w:val="en-US"/>
        </w:rPr>
        <w:t>on September 25, 2012 by the petitioner and representatives of the Mexican State</w:t>
      </w:r>
      <w:r w:rsidRPr="00D34E4F">
        <w:rPr>
          <w:rFonts w:ascii="Cambria" w:hAnsi="Cambria"/>
          <w:color w:val="auto"/>
          <w:sz w:val="20"/>
          <w:szCs w:val="20"/>
          <w:lang w:val="en-US"/>
        </w:rPr>
        <w:t>, analyzes the agreement's compatibility with the ACHR, and assesses its implementation. Finally, the Commission has decided to publish this report in its Annual Report to the General Assembly of the Organization of American States.</w:t>
      </w:r>
    </w:p>
    <w:p w:rsidR="003E3B8D" w:rsidRPr="00D52F17" w:rsidRDefault="003E3B8D" w:rsidP="003E3B8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rPr>
      </w:pPr>
      <w:r>
        <w:rPr>
          <w:rFonts w:asciiTheme="majorHAnsi" w:eastAsia="MS Mincho" w:hAnsiTheme="majorHAnsi"/>
          <w:b/>
          <w:sz w:val="20"/>
          <w:szCs w:val="20"/>
        </w:rPr>
        <w:t>PROCEEDINGS</w:t>
      </w:r>
      <w:r w:rsidRPr="00D52F17">
        <w:rPr>
          <w:rFonts w:asciiTheme="majorHAnsi" w:eastAsia="MS Mincho" w:hAnsiTheme="majorHAnsi"/>
          <w:b/>
          <w:sz w:val="20"/>
          <w:szCs w:val="20"/>
        </w:rPr>
        <w:t xml:space="preserve"> BEFORE THE COMMISSION</w:t>
      </w:r>
    </w:p>
    <w:p w:rsidR="003E3B8D" w:rsidRPr="00D52F17" w:rsidRDefault="003E3B8D" w:rsidP="003E3B8D">
      <w:pPr>
        <w:ind w:left="720"/>
        <w:jc w:val="both"/>
        <w:rPr>
          <w:rFonts w:asciiTheme="majorHAnsi" w:eastAsia="Times New Roman" w:hAnsiTheme="majorHAnsi"/>
          <w:sz w:val="20"/>
          <w:szCs w:val="20"/>
        </w:rPr>
      </w:pPr>
    </w:p>
    <w:p w:rsidR="003E3B8D" w:rsidRPr="00D52F17" w:rsidRDefault="003E3B8D" w:rsidP="003E3B8D">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frame="1"/>
        </w:rPr>
      </w:pPr>
      <w:r w:rsidRPr="00D52F17">
        <w:rPr>
          <w:rFonts w:asciiTheme="majorHAnsi" w:eastAsia="Times New Roman" w:hAnsiTheme="majorHAnsi"/>
          <w:sz w:val="20"/>
          <w:szCs w:val="20"/>
          <w:bdr w:val="none" w:sz="0" w:space="0" w:color="auto" w:frame="1"/>
        </w:rPr>
        <w:t xml:space="preserve">On November 2, 2011, </w:t>
      </w:r>
      <w:r>
        <w:rPr>
          <w:rFonts w:asciiTheme="majorHAnsi" w:eastAsia="Times New Roman" w:hAnsiTheme="majorHAnsi"/>
          <w:sz w:val="20"/>
          <w:szCs w:val="20"/>
          <w:bdr w:val="none" w:sz="0" w:space="0" w:color="auto" w:frame="1"/>
        </w:rPr>
        <w:t xml:space="preserve">the IACHR issued </w:t>
      </w:r>
      <w:r w:rsidRPr="00D52F17">
        <w:rPr>
          <w:rFonts w:asciiTheme="majorHAnsi" w:eastAsia="Times New Roman" w:hAnsiTheme="majorHAnsi"/>
          <w:sz w:val="20"/>
          <w:szCs w:val="20"/>
          <w:bdr w:val="none" w:sz="0" w:space="0" w:color="auto" w:frame="1"/>
        </w:rPr>
        <w:t xml:space="preserve">Admissibility Report No. 159/11, ruling the petition was admissible for purposes of </w:t>
      </w:r>
      <w:r>
        <w:rPr>
          <w:rFonts w:asciiTheme="majorHAnsi" w:eastAsia="Times New Roman" w:hAnsiTheme="majorHAnsi"/>
          <w:sz w:val="20"/>
          <w:szCs w:val="20"/>
          <w:bdr w:val="none" w:sz="0" w:space="0" w:color="auto" w:frame="1"/>
        </w:rPr>
        <w:t>examining</w:t>
      </w:r>
      <w:r w:rsidRPr="00D52F17">
        <w:rPr>
          <w:rFonts w:asciiTheme="majorHAnsi" w:eastAsia="Times New Roman" w:hAnsiTheme="majorHAnsi"/>
          <w:sz w:val="20"/>
          <w:szCs w:val="20"/>
          <w:bdr w:val="none" w:sz="0" w:space="0" w:color="auto" w:frame="1"/>
        </w:rPr>
        <w:t xml:space="preserve"> the alleged violation of </w:t>
      </w:r>
      <w:r w:rsidRPr="00D52F17">
        <w:rPr>
          <w:rFonts w:asciiTheme="majorHAnsi" w:hAnsiTheme="majorHAnsi"/>
          <w:bCs/>
          <w:iCs/>
          <w:sz w:val="20"/>
          <w:szCs w:val="20"/>
          <w:bdr w:val="none" w:sz="0" w:space="0" w:color="auto" w:frame="1"/>
        </w:rPr>
        <w:t xml:space="preserve">rights enshrined in Articles 5(1) (humane treatment), 8(1) (fair trial), and 25 (judicial protection) of the American Convention on Human Rights, in </w:t>
      </w:r>
      <w:r>
        <w:rPr>
          <w:rFonts w:asciiTheme="majorHAnsi" w:hAnsiTheme="majorHAnsi"/>
          <w:bCs/>
          <w:iCs/>
          <w:sz w:val="20"/>
          <w:szCs w:val="20"/>
          <w:bdr w:val="none" w:sz="0" w:space="0" w:color="auto" w:frame="1"/>
        </w:rPr>
        <w:t>connection with</w:t>
      </w:r>
      <w:r w:rsidRPr="00D52F17">
        <w:rPr>
          <w:rFonts w:asciiTheme="majorHAnsi" w:hAnsiTheme="majorHAnsi"/>
          <w:bCs/>
          <w:iCs/>
          <w:sz w:val="20"/>
          <w:szCs w:val="20"/>
          <w:bdr w:val="none" w:sz="0" w:space="0" w:color="auto" w:frame="1"/>
        </w:rPr>
        <w:t xml:space="preserve"> Article 1(1) </w:t>
      </w:r>
      <w:r w:rsidRPr="00D52F17">
        <w:rPr>
          <w:rFonts w:asciiTheme="majorHAnsi" w:hAnsiTheme="majorHAnsi"/>
          <w:sz w:val="20"/>
          <w:szCs w:val="20"/>
          <w:bdr w:val="none" w:sz="0" w:space="0" w:color="auto" w:frame="1"/>
        </w:rPr>
        <w:t xml:space="preserve">(the </w:t>
      </w:r>
      <w:r w:rsidRPr="00D52F17">
        <w:rPr>
          <w:rFonts w:asciiTheme="majorHAnsi" w:hAnsiTheme="majorHAnsi"/>
          <w:bCs/>
          <w:iCs/>
          <w:sz w:val="20"/>
          <w:szCs w:val="20"/>
          <w:bdr w:val="none" w:sz="0" w:space="0" w:color="auto" w:frame="1"/>
        </w:rPr>
        <w:t>obligation to respect rights</w:t>
      </w:r>
      <w:r w:rsidRPr="00D52F17">
        <w:rPr>
          <w:rFonts w:asciiTheme="majorHAnsi" w:hAnsiTheme="majorHAnsi"/>
          <w:sz w:val="20"/>
          <w:szCs w:val="20"/>
          <w:bdr w:val="none" w:sz="0" w:space="0" w:color="auto" w:frame="1"/>
        </w:rPr>
        <w:t xml:space="preserve">) </w:t>
      </w:r>
      <w:r>
        <w:rPr>
          <w:rFonts w:asciiTheme="majorHAnsi" w:hAnsiTheme="majorHAnsi"/>
          <w:bCs/>
          <w:iCs/>
          <w:sz w:val="20"/>
          <w:szCs w:val="20"/>
          <w:bdr w:val="none" w:sz="0" w:space="0" w:color="auto" w:frame="1"/>
        </w:rPr>
        <w:t>thereof</w:t>
      </w:r>
      <w:r w:rsidRPr="00D52F17">
        <w:rPr>
          <w:rFonts w:asciiTheme="majorHAnsi" w:eastAsia="Times New Roman" w:hAnsiTheme="majorHAnsi"/>
          <w:sz w:val="20"/>
          <w:szCs w:val="20"/>
          <w:bdr w:val="none" w:sz="0" w:space="0" w:color="auto" w:frame="1"/>
        </w:rPr>
        <w:t xml:space="preserve">. </w:t>
      </w:r>
    </w:p>
    <w:p w:rsidR="003E3B8D" w:rsidRPr="00D52F17" w:rsidRDefault="003E3B8D" w:rsidP="003E3B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frame="1"/>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rPr>
      </w:pPr>
      <w:r w:rsidRPr="00D52F17">
        <w:rPr>
          <w:rFonts w:asciiTheme="majorHAnsi" w:eastAsia="Times New Roman" w:hAnsiTheme="majorHAnsi"/>
          <w:sz w:val="20"/>
          <w:szCs w:val="20"/>
        </w:rPr>
        <w:t>In September 2012, the parties initiated negotiations in Mexico</w:t>
      </w:r>
      <w:r>
        <w:rPr>
          <w:rFonts w:asciiTheme="majorHAnsi" w:eastAsia="Times New Roman" w:hAnsiTheme="majorHAnsi"/>
          <w:sz w:val="20"/>
          <w:szCs w:val="20"/>
        </w:rPr>
        <w:t xml:space="preserve"> in pursuit of</w:t>
      </w:r>
      <w:r w:rsidRPr="00D52F17">
        <w:rPr>
          <w:rFonts w:asciiTheme="majorHAnsi" w:eastAsia="Times New Roman" w:hAnsiTheme="majorHAnsi"/>
          <w:sz w:val="20"/>
          <w:szCs w:val="20"/>
        </w:rPr>
        <w:t xml:space="preserve"> a friendly settlement agreement, which was signed on September 25, 2012.</w:t>
      </w:r>
    </w:p>
    <w:p w:rsidR="003E3B8D" w:rsidRPr="00D52F17" w:rsidRDefault="003E3B8D" w:rsidP="003E3B8D">
      <w:pPr>
        <w:ind w:firstLine="720"/>
        <w:rPr>
          <w:rFonts w:asciiTheme="majorHAnsi" w:eastAsia="Times New Roman"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rPr>
      </w:pPr>
      <w:r w:rsidRPr="00D52F17">
        <w:rPr>
          <w:rFonts w:asciiTheme="majorHAnsi" w:eastAsia="Times New Roman" w:hAnsiTheme="majorHAnsi"/>
          <w:sz w:val="20"/>
          <w:szCs w:val="20"/>
        </w:rPr>
        <w:t xml:space="preserve">On July 23, 2015, the State submitted </w:t>
      </w:r>
      <w:r>
        <w:rPr>
          <w:rFonts w:asciiTheme="majorHAnsi" w:eastAsia="Times New Roman" w:hAnsiTheme="majorHAnsi"/>
          <w:sz w:val="20"/>
          <w:szCs w:val="20"/>
        </w:rPr>
        <w:t>up-to-date</w:t>
      </w:r>
      <w:r w:rsidRPr="00D52F17">
        <w:rPr>
          <w:rFonts w:asciiTheme="majorHAnsi" w:eastAsia="Times New Roman" w:hAnsiTheme="majorHAnsi"/>
          <w:sz w:val="20"/>
          <w:szCs w:val="20"/>
        </w:rPr>
        <w:t xml:space="preserve"> information on compliance with the agreement and requested </w:t>
      </w:r>
      <w:r w:rsidRPr="007A43F2">
        <w:rPr>
          <w:rFonts w:asciiTheme="majorHAnsi" w:eastAsia="Times New Roman" w:hAnsiTheme="majorHAnsi"/>
          <w:sz w:val="20"/>
          <w:szCs w:val="20"/>
        </w:rPr>
        <w:t>approval</w:t>
      </w:r>
      <w:r>
        <w:rPr>
          <w:rFonts w:asciiTheme="majorHAnsi" w:eastAsia="Times New Roman" w:hAnsiTheme="majorHAnsi"/>
          <w:sz w:val="20"/>
          <w:szCs w:val="20"/>
        </w:rPr>
        <w:t xml:space="preserve"> thereof; such information</w:t>
      </w:r>
      <w:r w:rsidRPr="00D52F17">
        <w:rPr>
          <w:rFonts w:asciiTheme="majorHAnsi" w:eastAsia="Times New Roman" w:hAnsiTheme="majorHAnsi"/>
          <w:sz w:val="20"/>
          <w:szCs w:val="20"/>
        </w:rPr>
        <w:t xml:space="preserve"> was forwarded to the petitioner. </w:t>
      </w:r>
    </w:p>
    <w:p w:rsidR="003E3B8D" w:rsidRPr="00D52F17" w:rsidRDefault="003E3B8D" w:rsidP="003E3B8D">
      <w:pPr>
        <w:pStyle w:val="ListParagraph"/>
        <w:ind w:left="0" w:firstLine="720"/>
        <w:rPr>
          <w:rFonts w:asciiTheme="majorHAnsi" w:eastAsia="Times New Roman"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rPr>
      </w:pPr>
      <w:r w:rsidRPr="00D52F17">
        <w:rPr>
          <w:rFonts w:asciiTheme="majorHAnsi" w:eastAsia="Times New Roman" w:hAnsiTheme="majorHAnsi"/>
          <w:sz w:val="20"/>
          <w:szCs w:val="20"/>
        </w:rPr>
        <w:t xml:space="preserve">On September 24, 2015, the parties held a working meeting in Mexico, with the support of Commissioner James Cavallaro, in his capacity as </w:t>
      </w:r>
      <w:r>
        <w:rPr>
          <w:rFonts w:asciiTheme="majorHAnsi" w:eastAsia="Times New Roman" w:hAnsiTheme="majorHAnsi"/>
          <w:sz w:val="20"/>
          <w:szCs w:val="20"/>
        </w:rPr>
        <w:t>country r</w:t>
      </w:r>
      <w:r w:rsidRPr="00D52F17">
        <w:rPr>
          <w:rFonts w:asciiTheme="majorHAnsi" w:eastAsia="Times New Roman" w:hAnsiTheme="majorHAnsi"/>
          <w:sz w:val="20"/>
          <w:szCs w:val="20"/>
        </w:rPr>
        <w:t xml:space="preserve">apporteur. </w:t>
      </w:r>
    </w:p>
    <w:p w:rsidR="003E3B8D" w:rsidRPr="00D52F17" w:rsidRDefault="003E3B8D" w:rsidP="003E3B8D">
      <w:pPr>
        <w:rPr>
          <w:rFonts w:asciiTheme="majorHAnsi" w:eastAsia="MS Mincho" w:hAnsiTheme="majorHAnsi"/>
          <w:b/>
          <w:sz w:val="20"/>
          <w:szCs w:val="20"/>
        </w:rPr>
      </w:pPr>
      <w:r w:rsidRPr="00D52F17">
        <w:rPr>
          <w:rFonts w:asciiTheme="majorHAnsi" w:eastAsia="MS Mincho" w:hAnsiTheme="majorHAnsi"/>
          <w:b/>
          <w:sz w:val="20"/>
          <w:szCs w:val="20"/>
        </w:rPr>
        <w:br w:type="page"/>
      </w:r>
    </w:p>
    <w:p w:rsidR="003E3B8D" w:rsidRPr="00D52F17" w:rsidRDefault="003E3B8D" w:rsidP="003E3B8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rPr>
      </w:pPr>
      <w:r w:rsidRPr="00D52F17">
        <w:rPr>
          <w:rFonts w:asciiTheme="majorHAnsi" w:eastAsia="MS Mincho" w:hAnsiTheme="majorHAnsi"/>
          <w:b/>
          <w:sz w:val="20"/>
          <w:szCs w:val="20"/>
        </w:rPr>
        <w:lastRenderedPageBreak/>
        <w:t xml:space="preserve">THE FACTS ALLEGED </w:t>
      </w:r>
    </w:p>
    <w:p w:rsidR="003E3B8D" w:rsidRPr="00D52F17" w:rsidRDefault="003E3B8D" w:rsidP="003E3B8D">
      <w:pPr>
        <w:tabs>
          <w:tab w:val="num" w:pos="1440"/>
        </w:tabs>
        <w:jc w:val="both"/>
        <w:rPr>
          <w:rFonts w:asciiTheme="majorHAnsi" w:eastAsia="MS Mincho"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 w:val="left" w:pos="1440"/>
        </w:tabs>
        <w:ind w:left="0" w:firstLine="720"/>
        <w:jc w:val="both"/>
        <w:rPr>
          <w:rFonts w:asciiTheme="majorHAnsi" w:eastAsia="Times New Roman" w:hAnsiTheme="majorHAnsi"/>
          <w:sz w:val="20"/>
          <w:szCs w:val="20"/>
        </w:rPr>
      </w:pPr>
      <w:r w:rsidRPr="00D52F17">
        <w:rPr>
          <w:rFonts w:asciiTheme="majorHAnsi" w:eastAsia="Times New Roman" w:hAnsiTheme="majorHAnsi"/>
          <w:sz w:val="20"/>
          <w:szCs w:val="20"/>
        </w:rPr>
        <w:tab/>
        <w:t xml:space="preserve">The petitioner alleged that the human rights of Vicenta Sánchez Valdivieso, a widowed Zapotec indigenous woman, had been violated due to the Mexican State’s failure to provide judicial protection. According to the allegations, the victim filed a labor </w:t>
      </w:r>
      <w:r>
        <w:rPr>
          <w:rFonts w:asciiTheme="majorHAnsi" w:eastAsia="Times New Roman" w:hAnsiTheme="majorHAnsi"/>
          <w:sz w:val="20"/>
          <w:szCs w:val="20"/>
        </w:rPr>
        <w:t>action</w:t>
      </w:r>
      <w:r w:rsidRPr="00D52F17">
        <w:rPr>
          <w:rFonts w:asciiTheme="majorHAnsi" w:eastAsia="Times New Roman" w:hAnsiTheme="majorHAnsi"/>
          <w:sz w:val="20"/>
          <w:szCs w:val="20"/>
        </w:rPr>
        <w:t xml:space="preserve"> with the Local Conciliatio</w:t>
      </w:r>
      <w:r>
        <w:rPr>
          <w:rFonts w:asciiTheme="majorHAnsi" w:eastAsia="Times New Roman" w:hAnsiTheme="majorHAnsi"/>
          <w:sz w:val="20"/>
          <w:szCs w:val="20"/>
        </w:rPr>
        <w:t>n and Arbitration Board of the m</w:t>
      </w:r>
      <w:r w:rsidRPr="00D52F17">
        <w:rPr>
          <w:rFonts w:asciiTheme="majorHAnsi" w:eastAsia="Times New Roman" w:hAnsiTheme="majorHAnsi"/>
          <w:sz w:val="20"/>
          <w:szCs w:val="20"/>
        </w:rPr>
        <w:t xml:space="preserve">unicipality of Tehuatepec, State of Oaxaca, against Mr. Mariano Santana López Santiago, in his capacity as the employer of her deceased husband, Luciano Santiago Guerra. </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tabs>
          <w:tab w:val="left" w:pos="1350"/>
          <w:tab w:val="left" w:pos="1440"/>
        </w:tabs>
        <w:ind w:firstLine="720"/>
        <w:jc w:val="both"/>
        <w:rPr>
          <w:rFonts w:asciiTheme="majorHAnsi" w:eastAsia="Times New Roman"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 w:val="left" w:pos="1440"/>
        </w:tabs>
        <w:ind w:left="0" w:firstLine="720"/>
        <w:jc w:val="both"/>
        <w:rPr>
          <w:rFonts w:asciiTheme="majorHAnsi" w:eastAsia="Times New Roman" w:hAnsiTheme="majorHAnsi"/>
          <w:sz w:val="20"/>
          <w:szCs w:val="20"/>
        </w:rPr>
      </w:pPr>
      <w:r w:rsidRPr="00D52F17">
        <w:rPr>
          <w:rFonts w:asciiTheme="majorHAnsi" w:eastAsia="Times New Roman" w:hAnsiTheme="majorHAnsi"/>
          <w:sz w:val="20"/>
          <w:szCs w:val="20"/>
        </w:rPr>
        <w:t xml:space="preserve">The petitioner indicated that </w:t>
      </w:r>
      <w:r w:rsidRPr="006B2CD3">
        <w:rPr>
          <w:rFonts w:asciiTheme="majorHAnsi" w:eastAsia="Times New Roman" w:hAnsiTheme="majorHAnsi"/>
          <w:sz w:val="20"/>
          <w:szCs w:val="20"/>
        </w:rPr>
        <w:t>claim</w:t>
      </w:r>
      <w:r w:rsidRPr="00D52F17">
        <w:rPr>
          <w:rFonts w:asciiTheme="majorHAnsi" w:eastAsia="Times New Roman" w:hAnsiTheme="majorHAnsi"/>
          <w:sz w:val="20"/>
          <w:szCs w:val="20"/>
        </w:rPr>
        <w:t xml:space="preserve"> </w:t>
      </w:r>
      <w:r>
        <w:rPr>
          <w:rFonts w:asciiTheme="majorHAnsi" w:eastAsia="Times New Roman" w:hAnsiTheme="majorHAnsi"/>
          <w:sz w:val="20"/>
          <w:szCs w:val="20"/>
        </w:rPr>
        <w:t>no. </w:t>
      </w:r>
      <w:r w:rsidRPr="00D52F17">
        <w:rPr>
          <w:rFonts w:asciiTheme="majorHAnsi" w:eastAsia="Times New Roman" w:hAnsiTheme="majorHAnsi"/>
          <w:sz w:val="20"/>
          <w:szCs w:val="20"/>
        </w:rPr>
        <w:t>165/98 concluded with a decision in favor of the victim</w:t>
      </w:r>
      <w:r w:rsidR="00AE16A3">
        <w:rPr>
          <w:rFonts w:asciiTheme="majorHAnsi" w:eastAsia="Times New Roman" w:hAnsiTheme="majorHAnsi"/>
          <w:sz w:val="20"/>
          <w:szCs w:val="20"/>
        </w:rPr>
        <w:t xml:space="preserve"> on August 13, 1999</w:t>
      </w:r>
      <w:r w:rsidRPr="00D52F17">
        <w:rPr>
          <w:rFonts w:asciiTheme="majorHAnsi" w:eastAsia="Times New Roman" w:hAnsiTheme="majorHAnsi"/>
          <w:sz w:val="20"/>
          <w:szCs w:val="20"/>
        </w:rPr>
        <w:t xml:space="preserve">, </w:t>
      </w:r>
      <w:r>
        <w:rPr>
          <w:rFonts w:asciiTheme="majorHAnsi" w:eastAsia="Times New Roman" w:hAnsiTheme="majorHAnsi"/>
          <w:sz w:val="20"/>
          <w:szCs w:val="20"/>
        </w:rPr>
        <w:t>wherein</w:t>
      </w:r>
      <w:r w:rsidRPr="00D52F17">
        <w:rPr>
          <w:rFonts w:asciiTheme="majorHAnsi" w:eastAsia="Times New Roman" w:hAnsiTheme="majorHAnsi"/>
          <w:sz w:val="20"/>
          <w:szCs w:val="20"/>
        </w:rPr>
        <w:t xml:space="preserve"> the employer was ordered to pay </w:t>
      </w:r>
      <w:r>
        <w:rPr>
          <w:rFonts w:asciiTheme="majorHAnsi" w:eastAsia="Times New Roman" w:hAnsiTheme="majorHAnsi"/>
          <w:sz w:val="20"/>
          <w:szCs w:val="20"/>
        </w:rPr>
        <w:t>$97,827.60 Mexican pesos.</w:t>
      </w:r>
      <w:r w:rsidRPr="00D52F17">
        <w:rPr>
          <w:rFonts w:asciiTheme="majorHAnsi" w:eastAsia="Times New Roman" w:hAnsiTheme="majorHAnsi"/>
          <w:sz w:val="20"/>
          <w:szCs w:val="20"/>
        </w:rPr>
        <w:t xml:space="preserve"> According to the petitioner, said payment was </w:t>
      </w:r>
      <w:r>
        <w:rPr>
          <w:rFonts w:asciiTheme="majorHAnsi" w:eastAsia="Times New Roman" w:hAnsiTheme="majorHAnsi"/>
          <w:sz w:val="20"/>
          <w:szCs w:val="20"/>
        </w:rPr>
        <w:t>reportedly ordered</w:t>
      </w:r>
      <w:r w:rsidRPr="00D52F17">
        <w:rPr>
          <w:rFonts w:asciiTheme="majorHAnsi" w:eastAsia="Times New Roman" w:hAnsiTheme="majorHAnsi"/>
          <w:sz w:val="20"/>
          <w:szCs w:val="20"/>
        </w:rPr>
        <w:t xml:space="preserve"> by the Board on March 2, 2000, and </w:t>
      </w:r>
      <w:r>
        <w:rPr>
          <w:rFonts w:asciiTheme="majorHAnsi" w:eastAsia="Times New Roman" w:hAnsiTheme="majorHAnsi"/>
          <w:sz w:val="20"/>
          <w:szCs w:val="20"/>
        </w:rPr>
        <w:t>when it was not made,</w:t>
      </w:r>
      <w:r w:rsidRPr="00D52F17">
        <w:rPr>
          <w:rFonts w:asciiTheme="majorHAnsi" w:eastAsia="Times New Roman" w:hAnsiTheme="majorHAnsi"/>
          <w:sz w:val="20"/>
          <w:szCs w:val="20"/>
        </w:rPr>
        <w:t xml:space="preserve"> the debtor’s automobile</w:t>
      </w:r>
      <w:r>
        <w:rPr>
          <w:rFonts w:asciiTheme="majorHAnsi" w:eastAsia="Times New Roman" w:hAnsiTheme="majorHAnsi"/>
          <w:sz w:val="20"/>
          <w:szCs w:val="20"/>
        </w:rPr>
        <w:t xml:space="preserve"> was attached and M</w:t>
      </w:r>
      <w:r w:rsidRPr="00D52F17">
        <w:rPr>
          <w:rFonts w:asciiTheme="majorHAnsi" w:eastAsia="Times New Roman" w:hAnsiTheme="majorHAnsi"/>
          <w:sz w:val="20"/>
          <w:szCs w:val="20"/>
        </w:rPr>
        <w:t xml:space="preserve">s. Esther Jiménez Guerra </w:t>
      </w:r>
      <w:r>
        <w:rPr>
          <w:rFonts w:asciiTheme="majorHAnsi" w:eastAsia="Times New Roman" w:hAnsiTheme="majorHAnsi"/>
          <w:sz w:val="20"/>
          <w:szCs w:val="20"/>
        </w:rPr>
        <w:t>was named depositary of that asset</w:t>
      </w:r>
      <w:r w:rsidRPr="00D52F17">
        <w:rPr>
          <w:rFonts w:asciiTheme="majorHAnsi" w:eastAsia="Times New Roman" w:hAnsiTheme="majorHAnsi"/>
          <w:sz w:val="20"/>
          <w:szCs w:val="20"/>
        </w:rPr>
        <w:t>.</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tabs>
          <w:tab w:val="left" w:pos="1350"/>
          <w:tab w:val="left" w:pos="1440"/>
        </w:tabs>
        <w:ind w:firstLine="720"/>
        <w:jc w:val="both"/>
        <w:rPr>
          <w:rFonts w:asciiTheme="majorHAnsi" w:eastAsia="Times New Roman"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350"/>
          <w:tab w:val="left" w:pos="1440"/>
        </w:tabs>
        <w:ind w:left="0" w:firstLine="720"/>
        <w:jc w:val="both"/>
        <w:rPr>
          <w:rFonts w:asciiTheme="majorHAnsi" w:eastAsia="Times New Roman" w:hAnsiTheme="majorHAnsi"/>
          <w:sz w:val="20"/>
          <w:szCs w:val="20"/>
        </w:rPr>
      </w:pPr>
      <w:r w:rsidRPr="00D52F17">
        <w:rPr>
          <w:rFonts w:asciiTheme="majorHAnsi" w:eastAsia="Times New Roman" w:hAnsiTheme="majorHAnsi"/>
          <w:sz w:val="20"/>
          <w:szCs w:val="20"/>
        </w:rPr>
        <w:t xml:space="preserve">According to the petitioner, on March 2, 2000, Mariano Santana López Santiago </w:t>
      </w:r>
      <w:r>
        <w:rPr>
          <w:rFonts w:asciiTheme="majorHAnsi" w:eastAsia="Times New Roman" w:hAnsiTheme="majorHAnsi"/>
          <w:sz w:val="20"/>
          <w:szCs w:val="20"/>
        </w:rPr>
        <w:t>arrived in the company of several persons at</w:t>
      </w:r>
      <w:r w:rsidRPr="00D52F17">
        <w:rPr>
          <w:rFonts w:asciiTheme="majorHAnsi" w:eastAsia="Times New Roman" w:hAnsiTheme="majorHAnsi"/>
          <w:sz w:val="20"/>
          <w:szCs w:val="20"/>
        </w:rPr>
        <w:t xml:space="preserve"> the domicile of the </w:t>
      </w:r>
      <w:r>
        <w:rPr>
          <w:rFonts w:asciiTheme="majorHAnsi" w:eastAsia="Times New Roman" w:hAnsiTheme="majorHAnsi"/>
          <w:sz w:val="20"/>
          <w:szCs w:val="20"/>
        </w:rPr>
        <w:t>depositary</w:t>
      </w:r>
      <w:r w:rsidRPr="00D52F17">
        <w:rPr>
          <w:rFonts w:asciiTheme="majorHAnsi" w:eastAsia="Times New Roman" w:hAnsiTheme="majorHAnsi"/>
          <w:sz w:val="20"/>
          <w:szCs w:val="20"/>
        </w:rPr>
        <w:t xml:space="preserve"> of the attached </w:t>
      </w:r>
      <w:r>
        <w:rPr>
          <w:rFonts w:asciiTheme="majorHAnsi" w:eastAsia="Times New Roman" w:hAnsiTheme="majorHAnsi"/>
          <w:sz w:val="20"/>
          <w:szCs w:val="20"/>
        </w:rPr>
        <w:t>asset</w:t>
      </w:r>
      <w:r w:rsidRPr="00D52F17">
        <w:rPr>
          <w:rFonts w:asciiTheme="majorHAnsi" w:eastAsia="Times New Roman" w:hAnsiTheme="majorHAnsi"/>
          <w:sz w:val="20"/>
          <w:szCs w:val="20"/>
        </w:rPr>
        <w:t xml:space="preserve"> and </w:t>
      </w:r>
      <w:r>
        <w:rPr>
          <w:rFonts w:asciiTheme="majorHAnsi" w:eastAsia="Times New Roman" w:hAnsiTheme="majorHAnsi"/>
          <w:sz w:val="20"/>
          <w:szCs w:val="20"/>
        </w:rPr>
        <w:t xml:space="preserve">allegedly </w:t>
      </w:r>
      <w:r w:rsidRPr="00D52F17">
        <w:rPr>
          <w:rFonts w:asciiTheme="majorHAnsi" w:eastAsia="Times New Roman" w:hAnsiTheme="majorHAnsi"/>
          <w:sz w:val="20"/>
          <w:szCs w:val="20"/>
        </w:rPr>
        <w:t xml:space="preserve">used violence to take the vehicle. </w:t>
      </w:r>
      <w:r>
        <w:rPr>
          <w:rFonts w:asciiTheme="majorHAnsi" w:eastAsia="Times New Roman" w:hAnsiTheme="majorHAnsi"/>
          <w:sz w:val="20"/>
          <w:szCs w:val="20"/>
        </w:rPr>
        <w:t>Once</w:t>
      </w:r>
      <w:r w:rsidRPr="00D52F17">
        <w:rPr>
          <w:rFonts w:asciiTheme="majorHAnsi" w:eastAsia="Times New Roman" w:hAnsiTheme="majorHAnsi"/>
          <w:sz w:val="20"/>
          <w:szCs w:val="20"/>
        </w:rPr>
        <w:t xml:space="preserve"> learning of this</w:t>
      </w:r>
      <w:r>
        <w:rPr>
          <w:rFonts w:asciiTheme="majorHAnsi" w:eastAsia="Times New Roman" w:hAnsiTheme="majorHAnsi"/>
          <w:sz w:val="20"/>
          <w:szCs w:val="20"/>
        </w:rPr>
        <w:t xml:space="preserve"> incident</w:t>
      </w:r>
      <w:r w:rsidRPr="00D52F17">
        <w:rPr>
          <w:rFonts w:asciiTheme="majorHAnsi" w:eastAsia="Times New Roman" w:hAnsiTheme="majorHAnsi"/>
          <w:sz w:val="20"/>
          <w:szCs w:val="20"/>
        </w:rPr>
        <w:t xml:space="preserve">, the victim and the </w:t>
      </w:r>
      <w:r>
        <w:rPr>
          <w:rFonts w:asciiTheme="majorHAnsi" w:eastAsia="Times New Roman" w:hAnsiTheme="majorHAnsi"/>
          <w:sz w:val="20"/>
          <w:szCs w:val="20"/>
        </w:rPr>
        <w:t>depositary</w:t>
      </w:r>
      <w:r w:rsidRPr="00D52F17">
        <w:rPr>
          <w:rFonts w:asciiTheme="majorHAnsi" w:eastAsia="Times New Roman" w:hAnsiTheme="majorHAnsi"/>
          <w:sz w:val="20"/>
          <w:szCs w:val="20"/>
        </w:rPr>
        <w:t xml:space="preserve"> </w:t>
      </w:r>
      <w:r>
        <w:rPr>
          <w:rFonts w:asciiTheme="majorHAnsi" w:eastAsia="Times New Roman" w:hAnsiTheme="majorHAnsi"/>
          <w:sz w:val="20"/>
          <w:szCs w:val="20"/>
        </w:rPr>
        <w:t xml:space="preserve">reportedly </w:t>
      </w:r>
      <w:r w:rsidRPr="00D52F17">
        <w:rPr>
          <w:rFonts w:asciiTheme="majorHAnsi" w:eastAsia="Times New Roman" w:hAnsiTheme="majorHAnsi"/>
          <w:sz w:val="20"/>
          <w:szCs w:val="20"/>
        </w:rPr>
        <w:t xml:space="preserve">filed a criminal </w:t>
      </w:r>
      <w:r w:rsidRPr="005D7623">
        <w:rPr>
          <w:rFonts w:asciiTheme="majorHAnsi" w:eastAsia="Times New Roman" w:hAnsiTheme="majorHAnsi"/>
          <w:sz w:val="20"/>
          <w:szCs w:val="20"/>
        </w:rPr>
        <w:t>complaint</w:t>
      </w:r>
      <w:r w:rsidRPr="00D52F17">
        <w:rPr>
          <w:rFonts w:asciiTheme="majorHAnsi" w:eastAsia="Times New Roman" w:hAnsiTheme="majorHAnsi"/>
          <w:sz w:val="20"/>
          <w:szCs w:val="20"/>
        </w:rPr>
        <w:t xml:space="preserve"> for l</w:t>
      </w:r>
      <w:r>
        <w:rPr>
          <w:rFonts w:asciiTheme="majorHAnsi" w:eastAsia="Times New Roman" w:hAnsiTheme="majorHAnsi"/>
          <w:sz w:val="20"/>
          <w:szCs w:val="20"/>
        </w:rPr>
        <w:t>arceny on March 3, 2000 with the</w:t>
      </w:r>
      <w:r w:rsidRPr="00D52F17">
        <w:rPr>
          <w:rFonts w:asciiTheme="majorHAnsi" w:eastAsia="Times New Roman" w:hAnsiTheme="majorHAnsi"/>
          <w:sz w:val="20"/>
          <w:szCs w:val="20"/>
        </w:rPr>
        <w:t xml:space="preserve"> Office of the Public Prosecution Ministry </w:t>
      </w:r>
      <w:r>
        <w:rPr>
          <w:rFonts w:asciiTheme="majorHAnsi" w:eastAsia="Times New Roman" w:hAnsiTheme="majorHAnsi"/>
          <w:sz w:val="20"/>
          <w:szCs w:val="20"/>
        </w:rPr>
        <w:t>in</w:t>
      </w:r>
      <w:r w:rsidRPr="00D52F17">
        <w:rPr>
          <w:rFonts w:asciiTheme="majorHAnsi" w:eastAsia="Times New Roman" w:hAnsiTheme="majorHAnsi"/>
          <w:sz w:val="20"/>
          <w:szCs w:val="20"/>
        </w:rPr>
        <w:t xml:space="preserve"> Juchitan. The </w:t>
      </w:r>
      <w:r>
        <w:rPr>
          <w:rFonts w:asciiTheme="majorHAnsi" w:eastAsia="Times New Roman" w:hAnsiTheme="majorHAnsi"/>
          <w:sz w:val="20"/>
          <w:szCs w:val="20"/>
        </w:rPr>
        <w:t>action</w:t>
      </w:r>
      <w:r w:rsidRPr="00D52F17">
        <w:rPr>
          <w:rFonts w:asciiTheme="majorHAnsi" w:eastAsia="Times New Roman" w:hAnsiTheme="majorHAnsi"/>
          <w:sz w:val="20"/>
          <w:szCs w:val="20"/>
        </w:rPr>
        <w:t xml:space="preserve"> was filed as case number 104/2000, </w:t>
      </w:r>
      <w:r w:rsidRPr="000E0372">
        <w:rPr>
          <w:rFonts w:asciiTheme="majorHAnsi" w:eastAsia="Times New Roman" w:hAnsiTheme="majorHAnsi"/>
          <w:sz w:val="20"/>
          <w:szCs w:val="20"/>
        </w:rPr>
        <w:t>under</w:t>
      </w:r>
      <w:r w:rsidRPr="00D52F17">
        <w:rPr>
          <w:rFonts w:asciiTheme="majorHAnsi" w:eastAsia="Times New Roman" w:hAnsiTheme="majorHAnsi"/>
          <w:sz w:val="20"/>
          <w:szCs w:val="20"/>
        </w:rPr>
        <w:t xml:space="preserve"> which an arrest warrant was issued for Mariano Santana López Santiago. Nevertheless, according to what the petitioner alleged, the authorities did not enforce the arrest warrant</w:t>
      </w:r>
      <w:r>
        <w:rPr>
          <w:rFonts w:asciiTheme="majorHAnsi" w:eastAsia="Times New Roman" w:hAnsiTheme="majorHAnsi"/>
          <w:sz w:val="20"/>
          <w:szCs w:val="20"/>
        </w:rPr>
        <w:t>,</w:t>
      </w:r>
      <w:r w:rsidRPr="00D52F17">
        <w:rPr>
          <w:rFonts w:asciiTheme="majorHAnsi" w:eastAsia="Times New Roman" w:hAnsiTheme="majorHAnsi"/>
          <w:sz w:val="20"/>
          <w:szCs w:val="20"/>
        </w:rPr>
        <w:t xml:space="preserve"> claiming that Mr. López Santiago’s whereabouts were unknown. The petitioner held that the authorities had not enforced the arrest warrant despite the fact that Mr. Santana Lopez was a district candidate in the federal elections—i.e., that he was a person publically known </w:t>
      </w:r>
      <w:r>
        <w:rPr>
          <w:rFonts w:asciiTheme="majorHAnsi" w:eastAsia="Times New Roman" w:hAnsiTheme="majorHAnsi"/>
          <w:sz w:val="20"/>
          <w:szCs w:val="20"/>
        </w:rPr>
        <w:t>as a political leader</w:t>
      </w:r>
      <w:r w:rsidRPr="00D52F17">
        <w:rPr>
          <w:rFonts w:asciiTheme="majorHAnsi" w:eastAsia="Times New Roman" w:hAnsiTheme="majorHAnsi"/>
          <w:sz w:val="20"/>
          <w:szCs w:val="20"/>
        </w:rPr>
        <w:t>. Due to the foregoing, the petitioner alleged that the State had not provided</w:t>
      </w:r>
      <w:r>
        <w:rPr>
          <w:rFonts w:asciiTheme="majorHAnsi" w:eastAsia="Times New Roman" w:hAnsiTheme="majorHAnsi"/>
          <w:sz w:val="20"/>
          <w:szCs w:val="20"/>
        </w:rPr>
        <w:t xml:space="preserve"> judicial protection to</w:t>
      </w:r>
      <w:r w:rsidRPr="00D52F17">
        <w:rPr>
          <w:rFonts w:asciiTheme="majorHAnsi" w:eastAsia="Times New Roman" w:hAnsiTheme="majorHAnsi"/>
          <w:sz w:val="20"/>
          <w:szCs w:val="20"/>
        </w:rPr>
        <w:t xml:space="preserve"> Vicenta Sánchez Valdivieso.  </w:t>
      </w:r>
    </w:p>
    <w:p w:rsidR="003E3B8D" w:rsidRPr="00D52F17" w:rsidRDefault="003E3B8D" w:rsidP="003E3B8D">
      <w:pPr>
        <w:ind w:left="720"/>
        <w:jc w:val="both"/>
        <w:rPr>
          <w:rFonts w:asciiTheme="majorHAnsi" w:eastAsia="Times New Roman" w:hAnsiTheme="majorHAnsi"/>
          <w:sz w:val="20"/>
          <w:szCs w:val="20"/>
        </w:rPr>
      </w:pPr>
    </w:p>
    <w:p w:rsidR="003E3B8D" w:rsidRPr="00D52F17" w:rsidRDefault="003E3B8D" w:rsidP="003E3B8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rPr>
      </w:pPr>
      <w:r w:rsidRPr="00D52F17">
        <w:rPr>
          <w:rFonts w:asciiTheme="majorHAnsi" w:eastAsia="Times New Roman" w:hAnsiTheme="majorHAnsi"/>
          <w:sz w:val="20"/>
          <w:szCs w:val="20"/>
        </w:rPr>
        <w:t xml:space="preserve"> </w:t>
      </w:r>
      <w:r w:rsidRPr="00D52F17">
        <w:rPr>
          <w:rFonts w:asciiTheme="majorHAnsi" w:eastAsia="MS Mincho" w:hAnsiTheme="majorHAnsi"/>
          <w:b/>
          <w:sz w:val="20"/>
          <w:szCs w:val="20"/>
        </w:rPr>
        <w:t>FRIENDLY SETTLEMENT</w:t>
      </w:r>
    </w:p>
    <w:p w:rsidR="003E3B8D" w:rsidRPr="00D52F17" w:rsidRDefault="003E3B8D" w:rsidP="003E3B8D">
      <w:pPr>
        <w:pStyle w:val="ListParagraph"/>
        <w:jc w:val="both"/>
        <w:rPr>
          <w:rFonts w:asciiTheme="majorHAnsi" w:eastAsia="Times New Roman" w:hAnsiTheme="majorHAnsi"/>
          <w:sz w:val="20"/>
          <w:szCs w:val="20"/>
          <w:bdr w:val="none" w:sz="0" w:space="0" w:color="auto" w:frame="1"/>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rPr>
      </w:pPr>
      <w:r w:rsidRPr="00D52F17">
        <w:rPr>
          <w:rFonts w:asciiTheme="majorHAnsi" w:eastAsia="Times New Roman" w:hAnsiTheme="majorHAnsi"/>
          <w:sz w:val="20"/>
          <w:szCs w:val="20"/>
        </w:rPr>
        <w:t xml:space="preserve">On September 25, 2012, the petitioning party, represented by Isidoro Santiago Sánchez and Vicenta Sánchez Valdivieso, and the Mexican State, represented by Ambassador Alejandro Negrín, Director General of Human Rights and Democracy of the Secretariat of Foreign Relations; Max Alberto Diener Sala, Undersecretary </w:t>
      </w:r>
      <w:r>
        <w:rPr>
          <w:rFonts w:asciiTheme="majorHAnsi" w:eastAsia="Times New Roman" w:hAnsiTheme="majorHAnsi"/>
          <w:sz w:val="20"/>
          <w:szCs w:val="20"/>
        </w:rPr>
        <w:t>for</w:t>
      </w:r>
      <w:r w:rsidRPr="00D52F17">
        <w:rPr>
          <w:rFonts w:asciiTheme="majorHAnsi" w:eastAsia="Times New Roman" w:hAnsiTheme="majorHAnsi"/>
          <w:sz w:val="20"/>
          <w:szCs w:val="20"/>
        </w:rPr>
        <w:t xml:space="preserve"> Legal Affairs and Human Rights of the Secretariat of </w:t>
      </w:r>
      <w:r>
        <w:rPr>
          <w:rFonts w:asciiTheme="majorHAnsi" w:eastAsia="Times New Roman" w:hAnsiTheme="majorHAnsi"/>
          <w:sz w:val="20"/>
          <w:szCs w:val="20"/>
        </w:rPr>
        <w:t>the Interior</w:t>
      </w:r>
      <w:r w:rsidRPr="00D52F17">
        <w:rPr>
          <w:rFonts w:asciiTheme="majorHAnsi" w:eastAsia="Times New Roman" w:hAnsiTheme="majorHAnsi"/>
          <w:sz w:val="20"/>
          <w:szCs w:val="20"/>
        </w:rPr>
        <w:t xml:space="preserve">; Omeheira Lopez Reyna, Head of the Unit for the Promotion and Defense of Human Rights of the Secretariat of the Interior; and Eréndira Cruz-Villegas, Coordinator for Human Rights </w:t>
      </w:r>
      <w:r w:rsidRPr="00072800">
        <w:rPr>
          <w:rFonts w:asciiTheme="majorHAnsi" w:eastAsia="Times New Roman" w:hAnsiTheme="majorHAnsi"/>
          <w:sz w:val="20"/>
          <w:szCs w:val="20"/>
        </w:rPr>
        <w:t>Assistance</w:t>
      </w:r>
      <w:r w:rsidRPr="00D52F17">
        <w:rPr>
          <w:rFonts w:asciiTheme="majorHAnsi" w:eastAsia="Times New Roman" w:hAnsiTheme="majorHAnsi"/>
          <w:sz w:val="20"/>
          <w:szCs w:val="20"/>
        </w:rPr>
        <w:t xml:space="preserve"> of the Government of the State of Oaxaca, signed a friendly settlement agreement, </w:t>
      </w:r>
      <w:r w:rsidRPr="00072800">
        <w:rPr>
          <w:rFonts w:asciiTheme="majorHAnsi" w:eastAsia="Times New Roman" w:hAnsiTheme="majorHAnsi"/>
          <w:sz w:val="20"/>
          <w:szCs w:val="20"/>
        </w:rPr>
        <w:t>which reads as follows</w:t>
      </w:r>
      <w:r w:rsidRPr="00D52F17">
        <w:rPr>
          <w:rFonts w:asciiTheme="majorHAnsi" w:eastAsia="Times New Roman" w:hAnsiTheme="majorHAnsi"/>
          <w:sz w:val="20"/>
          <w:szCs w:val="20"/>
        </w:rPr>
        <w:t>:</w:t>
      </w:r>
    </w:p>
    <w:p w:rsidR="003E3B8D" w:rsidRPr="00D52F17" w:rsidRDefault="003E3B8D" w:rsidP="003E3B8D">
      <w:pPr>
        <w:ind w:left="720"/>
        <w:jc w:val="both"/>
        <w:rPr>
          <w:rFonts w:asciiTheme="majorHAnsi" w:eastAsia="Times New Roman" w:hAnsiTheme="majorHAnsi"/>
          <w:sz w:val="20"/>
          <w:szCs w:val="20"/>
        </w:rPr>
      </w:pPr>
    </w:p>
    <w:p w:rsidR="003E3B8D" w:rsidRPr="00D52F17" w:rsidRDefault="003E3B8D" w:rsidP="003E3B8D">
      <w:pPr>
        <w:autoSpaceDE w:val="0"/>
        <w:autoSpaceDN w:val="0"/>
        <w:adjustRightInd w:val="0"/>
        <w:ind w:left="540" w:right="1080"/>
        <w:jc w:val="center"/>
        <w:rPr>
          <w:rFonts w:asciiTheme="majorHAnsi" w:hAnsiTheme="majorHAnsi"/>
          <w:b/>
          <w:iCs/>
          <w:sz w:val="20"/>
          <w:szCs w:val="20"/>
        </w:rPr>
      </w:pPr>
      <w:r w:rsidRPr="00D52F17">
        <w:rPr>
          <w:rFonts w:asciiTheme="majorHAnsi" w:hAnsiTheme="majorHAnsi"/>
          <w:b/>
          <w:iCs/>
          <w:sz w:val="20"/>
          <w:szCs w:val="20"/>
        </w:rPr>
        <w:t>FRIENDLY SETTLEMENT AGREEMENT</w:t>
      </w:r>
    </w:p>
    <w:p w:rsidR="003E3B8D" w:rsidRPr="00D52F17" w:rsidRDefault="003E3B8D" w:rsidP="003E3B8D">
      <w:pPr>
        <w:autoSpaceDE w:val="0"/>
        <w:autoSpaceDN w:val="0"/>
        <w:adjustRightInd w:val="0"/>
        <w:ind w:left="540" w:right="1080"/>
        <w:jc w:val="center"/>
        <w:rPr>
          <w:rFonts w:asciiTheme="majorHAnsi" w:hAnsiTheme="majorHAnsi"/>
          <w:b/>
          <w:iCs/>
          <w:sz w:val="20"/>
          <w:szCs w:val="20"/>
        </w:rPr>
      </w:pPr>
      <w:r w:rsidRPr="00D52F17">
        <w:rPr>
          <w:rFonts w:asciiTheme="majorHAnsi" w:hAnsiTheme="majorHAnsi"/>
          <w:b/>
          <w:iCs/>
          <w:sz w:val="20"/>
          <w:szCs w:val="20"/>
        </w:rPr>
        <w:t xml:space="preserve">CASE 12.847 VICENTA SÁNCHEZ VALDIVIESO </w:t>
      </w:r>
    </w:p>
    <w:p w:rsidR="003E3B8D" w:rsidRPr="00D52F17" w:rsidRDefault="003E3B8D" w:rsidP="003E3B8D">
      <w:pPr>
        <w:autoSpaceDE w:val="0"/>
        <w:autoSpaceDN w:val="0"/>
        <w:adjustRightInd w:val="0"/>
        <w:ind w:left="540" w:right="1080"/>
        <w:jc w:val="center"/>
        <w:rPr>
          <w:rFonts w:asciiTheme="majorHAnsi" w:hAnsiTheme="majorHAnsi"/>
          <w:b/>
          <w:iCs/>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D52F17">
        <w:rPr>
          <w:rFonts w:asciiTheme="majorHAnsi" w:eastAsia="MS Mincho" w:hAnsiTheme="majorHAnsi"/>
          <w:sz w:val="20"/>
          <w:szCs w:val="20"/>
        </w:rPr>
        <w:t xml:space="preserve">Friendly settlement agreement </w:t>
      </w:r>
      <w:r>
        <w:rPr>
          <w:rFonts w:asciiTheme="majorHAnsi" w:eastAsia="MS Mincho" w:hAnsiTheme="majorHAnsi"/>
          <w:sz w:val="20"/>
          <w:szCs w:val="20"/>
        </w:rPr>
        <w:t>for</w:t>
      </w:r>
      <w:r w:rsidRPr="00D52F17">
        <w:rPr>
          <w:rFonts w:asciiTheme="majorHAnsi" w:eastAsia="MS Mincho" w:hAnsiTheme="majorHAnsi"/>
          <w:sz w:val="20"/>
          <w:szCs w:val="20"/>
        </w:rPr>
        <w:t xml:space="preserve"> case no. 12.847 Vicenta Sánchez Valdivieso, entered into by and between, on the one hand, the Mexican State, represented herein by Mr. </w:t>
      </w:r>
      <w:r w:rsidRPr="00D52F17">
        <w:rPr>
          <w:rFonts w:asciiTheme="majorHAnsi" w:eastAsia="Times New Roman" w:hAnsiTheme="majorHAnsi"/>
          <w:sz w:val="20"/>
          <w:szCs w:val="20"/>
        </w:rPr>
        <w:t xml:space="preserve">Max Alberto Diener Sala, Undersecretary </w:t>
      </w:r>
      <w:r>
        <w:rPr>
          <w:rFonts w:asciiTheme="majorHAnsi" w:eastAsia="Times New Roman" w:hAnsiTheme="majorHAnsi"/>
          <w:sz w:val="20"/>
          <w:szCs w:val="20"/>
        </w:rPr>
        <w:t>for</w:t>
      </w:r>
      <w:r w:rsidRPr="00D52F17">
        <w:rPr>
          <w:rFonts w:asciiTheme="majorHAnsi" w:eastAsia="Times New Roman" w:hAnsiTheme="majorHAnsi"/>
          <w:sz w:val="20"/>
          <w:szCs w:val="20"/>
        </w:rPr>
        <w:t xml:space="preserve"> Legal Affairs and Human Rights, and </w:t>
      </w:r>
      <w:r>
        <w:rPr>
          <w:rFonts w:asciiTheme="majorHAnsi" w:eastAsia="Times New Roman" w:hAnsiTheme="majorHAnsi"/>
          <w:sz w:val="20"/>
          <w:szCs w:val="20"/>
        </w:rPr>
        <w:t>M</w:t>
      </w:r>
      <w:r w:rsidRPr="00D52F17">
        <w:rPr>
          <w:rFonts w:asciiTheme="majorHAnsi" w:eastAsia="Times New Roman" w:hAnsiTheme="majorHAnsi"/>
          <w:sz w:val="20"/>
          <w:szCs w:val="20"/>
        </w:rPr>
        <w:t xml:space="preserve">s. Omeheira Lopez Reyna, Head of the Unit for the Promotion and Defense of Human Rights, both of the Secretariat of the Interior, Ambassador Alejandro Negrín Muñoz, Director General of Human Rights and Democracy of the Secretariat of Foreign Relations, and </w:t>
      </w:r>
      <w:r>
        <w:rPr>
          <w:rFonts w:asciiTheme="majorHAnsi" w:eastAsia="Times New Roman" w:hAnsiTheme="majorHAnsi"/>
          <w:sz w:val="20"/>
          <w:szCs w:val="20"/>
        </w:rPr>
        <w:t>M</w:t>
      </w:r>
      <w:r w:rsidRPr="00D52F17">
        <w:rPr>
          <w:rFonts w:asciiTheme="majorHAnsi" w:eastAsia="Times New Roman" w:hAnsiTheme="majorHAnsi"/>
          <w:sz w:val="20"/>
          <w:szCs w:val="20"/>
        </w:rPr>
        <w:t xml:space="preserve">s. Eréndira Cruz-Villegas, Coordinator for Human Rights </w:t>
      </w:r>
      <w:r w:rsidRPr="007B2691">
        <w:rPr>
          <w:rFonts w:asciiTheme="majorHAnsi" w:eastAsia="Times New Roman" w:hAnsiTheme="majorHAnsi"/>
          <w:sz w:val="20"/>
          <w:szCs w:val="20"/>
        </w:rPr>
        <w:t>Assistance</w:t>
      </w:r>
      <w:r w:rsidRPr="00D52F17">
        <w:rPr>
          <w:rFonts w:asciiTheme="majorHAnsi" w:eastAsia="Times New Roman" w:hAnsiTheme="majorHAnsi"/>
          <w:sz w:val="20"/>
          <w:szCs w:val="20"/>
        </w:rPr>
        <w:t xml:space="preserve"> of the Government of the State of Oa</w:t>
      </w:r>
      <w:r>
        <w:rPr>
          <w:rFonts w:asciiTheme="majorHAnsi" w:eastAsia="Times New Roman" w:hAnsiTheme="majorHAnsi"/>
          <w:sz w:val="20"/>
          <w:szCs w:val="20"/>
        </w:rPr>
        <w:t>xaca, and, on the other hand, M</w:t>
      </w:r>
      <w:r w:rsidRPr="00D52F17">
        <w:rPr>
          <w:rFonts w:asciiTheme="majorHAnsi" w:eastAsia="Times New Roman" w:hAnsiTheme="majorHAnsi"/>
          <w:sz w:val="20"/>
          <w:szCs w:val="20"/>
        </w:rPr>
        <w:t>s. Vicenta Sánchez Valdivieso</w:t>
      </w:r>
      <w:r w:rsidRPr="00D52F17">
        <w:rPr>
          <w:rFonts w:asciiTheme="majorHAnsi" w:eastAsia="MS Mincho" w:hAnsiTheme="majorHAnsi"/>
          <w:sz w:val="20"/>
          <w:szCs w:val="20"/>
        </w:rPr>
        <w:t xml:space="preserve"> and Isidro Santiago </w:t>
      </w:r>
      <w:r w:rsidRPr="00D52F17">
        <w:rPr>
          <w:rFonts w:asciiTheme="majorHAnsi" w:eastAsia="Times New Roman" w:hAnsiTheme="majorHAnsi"/>
          <w:sz w:val="20"/>
          <w:szCs w:val="20"/>
        </w:rPr>
        <w:t>Sánchez</w:t>
      </w:r>
      <w:r w:rsidRPr="00D52F17">
        <w:rPr>
          <w:rFonts w:asciiTheme="majorHAnsi" w:eastAsia="MS Mincho" w:hAnsiTheme="majorHAnsi"/>
          <w:sz w:val="20"/>
          <w:szCs w:val="20"/>
        </w:rPr>
        <w:t xml:space="preserve"> (hereinafter, the petitioners), pursuant to the following facts, statements, and clauses:</w:t>
      </w:r>
    </w:p>
    <w:p w:rsidR="003E3B8D" w:rsidRPr="00D52F17" w:rsidRDefault="003E3B8D" w:rsidP="003E3B8D">
      <w:pPr>
        <w:rPr>
          <w:rFonts w:asciiTheme="majorHAnsi" w:eastAsia="MS Mincho" w:hAnsiTheme="majorHAnsi"/>
          <w:b/>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Theme="majorHAnsi" w:eastAsia="MS Mincho" w:hAnsiTheme="majorHAnsi"/>
          <w:b/>
          <w:sz w:val="20"/>
          <w:szCs w:val="20"/>
        </w:rPr>
      </w:pPr>
      <w:r w:rsidRPr="00D52F17">
        <w:rPr>
          <w:rFonts w:asciiTheme="majorHAnsi" w:eastAsia="MS Mincho" w:hAnsiTheme="majorHAnsi"/>
          <w:b/>
          <w:sz w:val="20"/>
          <w:szCs w:val="20"/>
        </w:rPr>
        <w:t>FACTS</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540" w:right="540"/>
        <w:jc w:val="both"/>
        <w:rPr>
          <w:rFonts w:asciiTheme="majorHAnsi" w:eastAsia="MS Mincho" w:hAnsiTheme="majorHAnsi"/>
          <w:sz w:val="20"/>
          <w:szCs w:val="20"/>
        </w:rPr>
      </w:pPr>
    </w:p>
    <w:p w:rsidR="003E3B8D" w:rsidRPr="00D52F17" w:rsidRDefault="003E3B8D" w:rsidP="003E3B8D">
      <w:pPr>
        <w:pStyle w:val="ListParagraph"/>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sidRPr="00D52F17">
        <w:rPr>
          <w:rFonts w:asciiTheme="majorHAnsi" w:eastAsia="MS Mincho" w:hAnsiTheme="majorHAnsi"/>
          <w:sz w:val="20"/>
          <w:szCs w:val="20"/>
        </w:rPr>
        <w:t xml:space="preserve">Mexico has been a State party to the American Convention on Human Rights (hereinafter, “the Convention”) since March 24, 1981. Furthermore, the Mexican State recognized the </w:t>
      </w:r>
      <w:r>
        <w:rPr>
          <w:rFonts w:asciiTheme="majorHAnsi" w:eastAsia="MS Mincho" w:hAnsiTheme="majorHAnsi"/>
          <w:sz w:val="20"/>
          <w:szCs w:val="20"/>
        </w:rPr>
        <w:t>contentious</w:t>
      </w:r>
      <w:r w:rsidRPr="00D52F17">
        <w:rPr>
          <w:rFonts w:asciiTheme="majorHAnsi" w:eastAsia="MS Mincho" w:hAnsiTheme="majorHAnsi"/>
          <w:sz w:val="20"/>
          <w:szCs w:val="20"/>
        </w:rPr>
        <w:t xml:space="preserve"> jurisdiction of the Inter-American Court of Human Rights on December 16, 1998.</w:t>
      </w:r>
    </w:p>
    <w:p w:rsidR="003E3B8D" w:rsidRPr="00D52F17" w:rsidRDefault="003E3B8D" w:rsidP="003E3B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rPr>
      </w:pPr>
    </w:p>
    <w:p w:rsidR="003E3B8D" w:rsidRPr="00D52F17" w:rsidRDefault="003E3B8D" w:rsidP="003E3B8D">
      <w:pPr>
        <w:pStyle w:val="ListParagraph"/>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sidRPr="00D52F17">
        <w:rPr>
          <w:rFonts w:asciiTheme="majorHAnsi" w:eastAsia="MS Mincho" w:hAnsiTheme="majorHAnsi"/>
          <w:sz w:val="20"/>
          <w:szCs w:val="20"/>
        </w:rPr>
        <w:t>On September 12, 2003, the Inter-American Commission on Human Rights (hereinafter, “</w:t>
      </w:r>
      <w:r>
        <w:rPr>
          <w:rFonts w:asciiTheme="majorHAnsi" w:eastAsia="MS Mincho" w:hAnsiTheme="majorHAnsi"/>
          <w:sz w:val="20"/>
          <w:szCs w:val="20"/>
        </w:rPr>
        <w:t>the IACHR”) received a petition</w:t>
      </w:r>
      <w:r w:rsidRPr="00D52F17">
        <w:rPr>
          <w:rFonts w:asciiTheme="majorHAnsi" w:eastAsia="MS Mincho" w:hAnsiTheme="majorHAnsi"/>
          <w:sz w:val="20"/>
          <w:szCs w:val="20"/>
        </w:rPr>
        <w:t xml:space="preserve"> submitted by Isidro Santiago Sánchez claiming the State’s international responsibility for violating th</w:t>
      </w:r>
      <w:r>
        <w:rPr>
          <w:rFonts w:asciiTheme="majorHAnsi" w:eastAsia="MS Mincho" w:hAnsiTheme="majorHAnsi"/>
          <w:sz w:val="20"/>
          <w:szCs w:val="20"/>
        </w:rPr>
        <w:t>e human rights of his mother, M</w:t>
      </w:r>
      <w:r w:rsidRPr="00D52F17">
        <w:rPr>
          <w:rFonts w:asciiTheme="majorHAnsi" w:eastAsia="MS Mincho" w:hAnsiTheme="majorHAnsi"/>
          <w:sz w:val="20"/>
          <w:szCs w:val="20"/>
        </w:rPr>
        <w:t xml:space="preserve">s. Vicenta Sánchez Valdivieso, a Zapotec indigenous woman, for having denied her effective judicial protection. </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Style w:val="ListParagraph"/>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sidRPr="00D52F17">
        <w:rPr>
          <w:rFonts w:asciiTheme="majorHAnsi" w:eastAsia="MS Mincho" w:hAnsiTheme="majorHAnsi"/>
          <w:sz w:val="20"/>
          <w:szCs w:val="20"/>
        </w:rPr>
        <w:t xml:space="preserve">On November 2, 2011, </w:t>
      </w:r>
      <w:r>
        <w:rPr>
          <w:rFonts w:asciiTheme="majorHAnsi" w:eastAsia="MS Mincho" w:hAnsiTheme="majorHAnsi"/>
          <w:sz w:val="20"/>
          <w:szCs w:val="20"/>
        </w:rPr>
        <w:t>via</w:t>
      </w:r>
      <w:r w:rsidRPr="00D52F17">
        <w:rPr>
          <w:rFonts w:asciiTheme="majorHAnsi" w:eastAsia="MS Mincho" w:hAnsiTheme="majorHAnsi"/>
          <w:sz w:val="20"/>
          <w:szCs w:val="20"/>
        </w:rPr>
        <w:t xml:space="preserve"> Report No. 159/11, the IACHR ruled the case was admissible, an</w:t>
      </w:r>
      <w:r>
        <w:rPr>
          <w:rFonts w:asciiTheme="majorHAnsi" w:eastAsia="MS Mincho" w:hAnsiTheme="majorHAnsi"/>
          <w:sz w:val="20"/>
          <w:szCs w:val="20"/>
        </w:rPr>
        <w:t>d it was registered under case N</w:t>
      </w:r>
      <w:r w:rsidRPr="00D52F17">
        <w:rPr>
          <w:rFonts w:asciiTheme="majorHAnsi" w:eastAsia="MS Mincho" w:hAnsiTheme="majorHAnsi"/>
          <w:sz w:val="20"/>
          <w:szCs w:val="20"/>
        </w:rPr>
        <w:t xml:space="preserve">o. 12.847. Without prejudging the merits, the IACHR ruled the case was admissible for purposes of </w:t>
      </w:r>
      <w:r>
        <w:rPr>
          <w:rFonts w:asciiTheme="majorHAnsi" w:eastAsia="MS Mincho" w:hAnsiTheme="majorHAnsi"/>
          <w:sz w:val="20"/>
          <w:szCs w:val="20"/>
        </w:rPr>
        <w:t>examining</w:t>
      </w:r>
      <w:r w:rsidRPr="00D52F17">
        <w:rPr>
          <w:rFonts w:asciiTheme="majorHAnsi" w:eastAsia="MS Mincho" w:hAnsiTheme="majorHAnsi"/>
          <w:sz w:val="20"/>
          <w:szCs w:val="20"/>
        </w:rPr>
        <w:t xml:space="preserve"> the alleged violation of the rights enshrined in Articles 5(1), 8(1</w:t>
      </w:r>
      <w:r>
        <w:rPr>
          <w:rFonts w:asciiTheme="majorHAnsi" w:eastAsia="MS Mincho" w:hAnsiTheme="majorHAnsi"/>
          <w:sz w:val="20"/>
          <w:szCs w:val="20"/>
        </w:rPr>
        <w:t>)</w:t>
      </w:r>
      <w:r w:rsidRPr="00D52F17">
        <w:rPr>
          <w:rFonts w:asciiTheme="majorHAnsi" w:eastAsia="MS Mincho" w:hAnsiTheme="majorHAnsi"/>
          <w:sz w:val="20"/>
          <w:szCs w:val="20"/>
        </w:rPr>
        <w:t xml:space="preserve">, and 25, in </w:t>
      </w:r>
      <w:r>
        <w:rPr>
          <w:rFonts w:asciiTheme="majorHAnsi" w:eastAsia="MS Mincho" w:hAnsiTheme="majorHAnsi"/>
          <w:sz w:val="20"/>
          <w:szCs w:val="20"/>
        </w:rPr>
        <w:t>connection with Article </w:t>
      </w:r>
      <w:r w:rsidRPr="00D52F17">
        <w:rPr>
          <w:rFonts w:asciiTheme="majorHAnsi" w:eastAsia="MS Mincho" w:hAnsiTheme="majorHAnsi"/>
          <w:sz w:val="20"/>
          <w:szCs w:val="20"/>
        </w:rPr>
        <w:t>1(1) of the Convention.</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Style w:val="ListParagraph"/>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sidRPr="00D52F17">
        <w:rPr>
          <w:rFonts w:asciiTheme="majorHAnsi" w:eastAsia="MS Mincho" w:hAnsiTheme="majorHAnsi"/>
          <w:sz w:val="20"/>
          <w:szCs w:val="20"/>
        </w:rPr>
        <w:t>In keeping with the provisions of Article 48(1)(f) of the Convention and Article 41 of the Rules of Procedure of the Inter-American Commission on Human Rights, the Mexican State and the petitioners agreed to enter into this friendly settlement agreement.</w:t>
      </w:r>
    </w:p>
    <w:p w:rsidR="003E3B8D" w:rsidRPr="00D52F17" w:rsidRDefault="003E3B8D" w:rsidP="003E3B8D">
      <w:pPr>
        <w:pStyle w:val="ListParagraph"/>
        <w:ind w:left="540" w:right="540"/>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540" w:right="540"/>
        <w:jc w:val="center"/>
        <w:rPr>
          <w:rFonts w:asciiTheme="majorHAnsi" w:eastAsia="MS Mincho" w:hAnsiTheme="majorHAnsi"/>
          <w:b/>
          <w:sz w:val="20"/>
          <w:szCs w:val="20"/>
        </w:rPr>
      </w:pPr>
      <w:r w:rsidRPr="00D52F17">
        <w:rPr>
          <w:rFonts w:asciiTheme="majorHAnsi" w:eastAsia="MS Mincho" w:hAnsiTheme="majorHAnsi"/>
          <w:b/>
          <w:sz w:val="20"/>
          <w:szCs w:val="20"/>
        </w:rPr>
        <w:t>THE PARTIES’ STATEMENTS</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540" w:right="540"/>
        <w:jc w:val="both"/>
        <w:rPr>
          <w:rFonts w:asciiTheme="majorHAnsi" w:eastAsia="MS Mincho" w:hAnsiTheme="majorHAnsi"/>
          <w:sz w:val="20"/>
          <w:szCs w:val="20"/>
        </w:rPr>
      </w:pPr>
    </w:p>
    <w:p w:rsidR="003E3B8D" w:rsidRPr="00D52F17" w:rsidRDefault="003E3B8D" w:rsidP="003E3B8D">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sidRPr="00D52F17">
        <w:rPr>
          <w:rFonts w:asciiTheme="majorHAnsi" w:eastAsia="MS Mincho" w:hAnsiTheme="majorHAnsi"/>
          <w:sz w:val="20"/>
          <w:szCs w:val="20"/>
        </w:rPr>
        <w:t>By the Secretariat of the Interior (SEGOB)</w:t>
      </w:r>
      <w:r>
        <w:rPr>
          <w:rFonts w:asciiTheme="majorHAnsi" w:eastAsia="MS Mincho" w:hAnsiTheme="majorHAnsi"/>
          <w:sz w:val="20"/>
          <w:szCs w:val="20"/>
        </w:rPr>
        <w:t>:</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hanging="720"/>
        <w:jc w:val="both"/>
        <w:rPr>
          <w:rFonts w:asciiTheme="majorHAnsi" w:eastAsia="MS Mincho" w:hAnsiTheme="majorHAnsi"/>
          <w:sz w:val="20"/>
          <w:szCs w:val="20"/>
        </w:rPr>
      </w:pPr>
      <w:r w:rsidRPr="00D52F17">
        <w:rPr>
          <w:rFonts w:asciiTheme="majorHAnsi" w:eastAsia="MS Mincho" w:hAnsiTheme="majorHAnsi"/>
          <w:sz w:val="20"/>
          <w:szCs w:val="20"/>
        </w:rPr>
        <w:t>a)</w:t>
      </w:r>
      <w:r w:rsidRPr="00D52F17">
        <w:rPr>
          <w:rFonts w:asciiTheme="majorHAnsi" w:eastAsia="MS Mincho" w:hAnsiTheme="majorHAnsi"/>
          <w:sz w:val="20"/>
          <w:szCs w:val="20"/>
        </w:rPr>
        <w:tab/>
        <w:t>Its representatives state that in keeping with Article</w:t>
      </w:r>
      <w:r>
        <w:rPr>
          <w:rFonts w:asciiTheme="majorHAnsi" w:eastAsia="MS Mincho" w:hAnsiTheme="majorHAnsi"/>
          <w:sz w:val="20"/>
          <w:szCs w:val="20"/>
        </w:rPr>
        <w:t>s</w:t>
      </w:r>
      <w:r w:rsidRPr="00D52F17">
        <w:rPr>
          <w:rFonts w:asciiTheme="majorHAnsi" w:eastAsia="MS Mincho" w:hAnsiTheme="majorHAnsi"/>
          <w:sz w:val="20"/>
          <w:szCs w:val="20"/>
        </w:rPr>
        <w:t xml:space="preserve"> 26 and 27, Paragraphs XII and XIII of the Federal Public Administration Act (</w:t>
      </w:r>
      <w:r w:rsidRPr="00D52F17">
        <w:rPr>
          <w:rFonts w:asciiTheme="majorHAnsi" w:eastAsia="MS Mincho" w:hAnsiTheme="majorHAnsi"/>
          <w:i/>
          <w:sz w:val="20"/>
          <w:szCs w:val="20"/>
        </w:rPr>
        <w:t>Ley Orgánica de la Administración Pública Federal</w:t>
      </w:r>
      <w:r w:rsidRPr="00D52F17">
        <w:rPr>
          <w:rFonts w:asciiTheme="majorHAnsi" w:eastAsia="MS Mincho" w:hAnsiTheme="majorHAnsi"/>
          <w:sz w:val="20"/>
          <w:szCs w:val="20"/>
        </w:rPr>
        <w:t xml:space="preserve">), the Secretariat of the Interior (SEGOB), is an agency of the executive branch of the Union, </w:t>
      </w:r>
      <w:r>
        <w:rPr>
          <w:rFonts w:asciiTheme="majorHAnsi" w:eastAsia="MS Mincho" w:hAnsiTheme="majorHAnsi"/>
          <w:sz w:val="20"/>
          <w:szCs w:val="20"/>
        </w:rPr>
        <w:t>that</w:t>
      </w:r>
      <w:r w:rsidRPr="00D52F17">
        <w:rPr>
          <w:rFonts w:asciiTheme="majorHAnsi" w:eastAsia="MS Mincho" w:hAnsiTheme="majorHAnsi"/>
          <w:sz w:val="20"/>
          <w:szCs w:val="20"/>
        </w:rPr>
        <w:t xml:space="preserve"> is responsible, </w:t>
      </w:r>
      <w:r w:rsidRPr="00D52F17">
        <w:rPr>
          <w:rFonts w:asciiTheme="majorHAnsi" w:eastAsia="MS Mincho" w:hAnsiTheme="majorHAnsi"/>
          <w:i/>
          <w:sz w:val="20"/>
          <w:szCs w:val="20"/>
        </w:rPr>
        <w:t>inter alia</w:t>
      </w:r>
      <w:r w:rsidRPr="00D52F17">
        <w:rPr>
          <w:rFonts w:asciiTheme="majorHAnsi" w:eastAsia="MS Mincho" w:hAnsiTheme="majorHAnsi"/>
          <w:sz w:val="20"/>
          <w:szCs w:val="20"/>
        </w:rPr>
        <w:t xml:space="preserve">, for directing </w:t>
      </w:r>
      <w:r>
        <w:rPr>
          <w:rFonts w:asciiTheme="majorHAnsi" w:eastAsia="MS Mincho" w:hAnsiTheme="majorHAnsi"/>
          <w:sz w:val="20"/>
          <w:szCs w:val="20"/>
        </w:rPr>
        <w:t>all of</w:t>
      </w:r>
      <w:r w:rsidRPr="00D52F17">
        <w:rPr>
          <w:rFonts w:asciiTheme="majorHAnsi" w:eastAsia="MS Mincho" w:hAnsiTheme="majorHAnsi"/>
          <w:sz w:val="20"/>
          <w:szCs w:val="20"/>
        </w:rPr>
        <w:t xml:space="preserve"> federal executive branch’s </w:t>
      </w:r>
      <w:r w:rsidRPr="00E0099E">
        <w:rPr>
          <w:rFonts w:asciiTheme="majorHAnsi" w:eastAsia="MS Mincho" w:hAnsiTheme="majorHAnsi"/>
          <w:sz w:val="20"/>
          <w:szCs w:val="20"/>
        </w:rPr>
        <w:t>domestic security policy</w:t>
      </w:r>
      <w:r w:rsidRPr="00D52F17">
        <w:rPr>
          <w:rFonts w:asciiTheme="majorHAnsi" w:eastAsia="MS Mincho" w:hAnsiTheme="majorHAnsi"/>
          <w:sz w:val="20"/>
          <w:szCs w:val="20"/>
        </w:rPr>
        <w:t xml:space="preserve"> that is not expressly granted to other agencies, as well as to oversee Mexican authorities’ compliance with constitutional precepts, especially with regard to individual guarantees and issuance of administrative measures necessary for such purpose.</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hanging="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hanging="720"/>
        <w:jc w:val="both"/>
        <w:rPr>
          <w:rFonts w:asciiTheme="majorHAnsi" w:eastAsia="MS Mincho" w:hAnsiTheme="majorHAnsi"/>
          <w:sz w:val="20"/>
          <w:szCs w:val="20"/>
        </w:rPr>
      </w:pPr>
      <w:r w:rsidRPr="00D52F17">
        <w:rPr>
          <w:rFonts w:asciiTheme="majorHAnsi" w:eastAsia="MS Mincho" w:hAnsiTheme="majorHAnsi"/>
          <w:sz w:val="20"/>
          <w:szCs w:val="20"/>
        </w:rPr>
        <w:t>b)</w:t>
      </w:r>
      <w:r w:rsidRPr="00D52F17">
        <w:rPr>
          <w:rFonts w:asciiTheme="majorHAnsi" w:eastAsia="MS Mincho" w:hAnsiTheme="majorHAnsi"/>
          <w:sz w:val="20"/>
          <w:szCs w:val="20"/>
        </w:rPr>
        <w:tab/>
        <w:t xml:space="preserve">That the Undersecretary for Legal Affairs and Human Rights, Mr. Max Alberto Diener Sala, in accordance with Articles 2(A)(111) and 6(XII) of the Internal Regulations of the Secretariat of the Interior, has, </w:t>
      </w:r>
      <w:r w:rsidRPr="00D52F17">
        <w:rPr>
          <w:rFonts w:asciiTheme="majorHAnsi" w:eastAsia="MS Mincho" w:hAnsiTheme="majorHAnsi"/>
          <w:i/>
          <w:sz w:val="20"/>
          <w:szCs w:val="20"/>
        </w:rPr>
        <w:t>inter alia</w:t>
      </w:r>
      <w:r w:rsidRPr="00D52F17">
        <w:rPr>
          <w:rFonts w:asciiTheme="majorHAnsi" w:eastAsia="MS Mincho" w:hAnsiTheme="majorHAnsi"/>
          <w:sz w:val="20"/>
          <w:szCs w:val="20"/>
        </w:rPr>
        <w:t>, the authority to sign documents related to the exercise of his duties.</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hanging="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hanging="720"/>
        <w:jc w:val="both"/>
        <w:rPr>
          <w:rFonts w:asciiTheme="majorHAnsi" w:eastAsia="MS Mincho" w:hAnsiTheme="majorHAnsi"/>
          <w:sz w:val="20"/>
          <w:szCs w:val="20"/>
        </w:rPr>
      </w:pPr>
      <w:r w:rsidRPr="00D52F17">
        <w:rPr>
          <w:rFonts w:asciiTheme="majorHAnsi" w:eastAsia="MS Mincho" w:hAnsiTheme="majorHAnsi"/>
          <w:sz w:val="20"/>
          <w:szCs w:val="20"/>
        </w:rPr>
        <w:t xml:space="preserve">c) </w:t>
      </w:r>
      <w:r w:rsidRPr="00D52F17">
        <w:rPr>
          <w:rFonts w:asciiTheme="majorHAnsi" w:eastAsia="MS Mincho" w:hAnsiTheme="majorHAnsi"/>
          <w:sz w:val="20"/>
          <w:szCs w:val="20"/>
        </w:rPr>
        <w:tab/>
        <w:t>That the Head of the Unit for the Promoti</w:t>
      </w:r>
      <w:r>
        <w:rPr>
          <w:rFonts w:asciiTheme="majorHAnsi" w:eastAsia="MS Mincho" w:hAnsiTheme="majorHAnsi"/>
          <w:sz w:val="20"/>
          <w:szCs w:val="20"/>
        </w:rPr>
        <w:t>on and Defense of Human Rights, Ms.</w:t>
      </w:r>
      <w:r w:rsidRPr="00D52F17">
        <w:rPr>
          <w:rFonts w:asciiTheme="majorHAnsi" w:eastAsia="MS Mincho" w:hAnsiTheme="majorHAnsi"/>
          <w:sz w:val="20"/>
          <w:szCs w:val="20"/>
        </w:rPr>
        <w:t xml:space="preserve"> Omeheira López Reyna, in keeping with Article 2(B)(XIII) and 21(VI) of the Internal Regulations of the Secretariat of the Interior, has the authority to follow recommendations regarding human rights issued by international organizations whose jurisdiction, proceedings, and rulings are recognized by the Mexican State.</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hanging="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hanging="720"/>
        <w:jc w:val="both"/>
        <w:rPr>
          <w:rFonts w:asciiTheme="majorHAnsi" w:eastAsia="MS Mincho" w:hAnsiTheme="majorHAnsi"/>
          <w:sz w:val="20"/>
          <w:szCs w:val="20"/>
        </w:rPr>
      </w:pPr>
      <w:r w:rsidRPr="00D52F17">
        <w:rPr>
          <w:rFonts w:asciiTheme="majorHAnsi" w:eastAsia="MS Mincho" w:hAnsiTheme="majorHAnsi"/>
          <w:sz w:val="20"/>
          <w:szCs w:val="20"/>
        </w:rPr>
        <w:t>d)</w:t>
      </w:r>
      <w:r w:rsidRPr="00D52F17">
        <w:rPr>
          <w:rFonts w:asciiTheme="majorHAnsi" w:eastAsia="MS Mincho" w:hAnsiTheme="majorHAnsi"/>
          <w:sz w:val="20"/>
          <w:szCs w:val="20"/>
        </w:rPr>
        <w:tab/>
        <w:t>That the Unit for the Promotion and Defense of Human Rights has sufficient resources to meet the obligations stemming from this Agreement.</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hanging="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hanging="720"/>
        <w:jc w:val="both"/>
        <w:rPr>
          <w:rFonts w:asciiTheme="majorHAnsi" w:eastAsia="MS Mincho" w:hAnsiTheme="majorHAnsi"/>
          <w:sz w:val="20"/>
          <w:szCs w:val="20"/>
        </w:rPr>
      </w:pPr>
      <w:r w:rsidRPr="00D52F17">
        <w:rPr>
          <w:rFonts w:asciiTheme="majorHAnsi" w:eastAsia="MS Mincho" w:hAnsiTheme="majorHAnsi"/>
          <w:sz w:val="20"/>
          <w:szCs w:val="20"/>
        </w:rPr>
        <w:t>e)</w:t>
      </w:r>
      <w:r w:rsidRPr="00D52F17">
        <w:rPr>
          <w:rFonts w:asciiTheme="majorHAnsi" w:eastAsia="MS Mincho" w:hAnsiTheme="majorHAnsi"/>
          <w:sz w:val="20"/>
          <w:szCs w:val="20"/>
        </w:rPr>
        <w:tab/>
        <w:t xml:space="preserve">That the domicile it provides </w:t>
      </w:r>
      <w:r>
        <w:rPr>
          <w:rFonts w:asciiTheme="majorHAnsi" w:eastAsia="MS Mincho" w:hAnsiTheme="majorHAnsi"/>
          <w:sz w:val="20"/>
          <w:szCs w:val="20"/>
        </w:rPr>
        <w:t>for all legal purposes of this A</w:t>
      </w:r>
      <w:r w:rsidRPr="00D52F17">
        <w:rPr>
          <w:rFonts w:asciiTheme="majorHAnsi" w:eastAsia="MS Mincho" w:hAnsiTheme="majorHAnsi"/>
          <w:sz w:val="20"/>
          <w:szCs w:val="20"/>
        </w:rPr>
        <w:t xml:space="preserve">greement is located at Bucareli No. 99, Colonia Juárez, Delegación Cuauhtémoc, </w:t>
      </w:r>
      <w:r>
        <w:rPr>
          <w:rFonts w:asciiTheme="majorHAnsi" w:eastAsia="MS Mincho" w:hAnsiTheme="majorHAnsi"/>
          <w:sz w:val="20"/>
          <w:szCs w:val="20"/>
        </w:rPr>
        <w:t>Postal C</w:t>
      </w:r>
      <w:r w:rsidRPr="00D52F17">
        <w:rPr>
          <w:rFonts w:asciiTheme="majorHAnsi" w:eastAsia="MS Mincho" w:hAnsiTheme="majorHAnsi"/>
          <w:sz w:val="20"/>
          <w:szCs w:val="20"/>
        </w:rPr>
        <w:t>ode</w:t>
      </w:r>
      <w:r>
        <w:rPr>
          <w:rFonts w:asciiTheme="majorHAnsi" w:eastAsia="MS Mincho" w:hAnsiTheme="majorHAnsi"/>
          <w:sz w:val="20"/>
          <w:szCs w:val="20"/>
        </w:rPr>
        <w:t xml:space="preserve"> 06600, Me</w:t>
      </w:r>
      <w:r w:rsidRPr="00D52F17">
        <w:rPr>
          <w:rFonts w:asciiTheme="majorHAnsi" w:eastAsia="MS Mincho" w:hAnsiTheme="majorHAnsi"/>
          <w:sz w:val="20"/>
          <w:szCs w:val="20"/>
        </w:rPr>
        <w:t>xico, Distrito Federal.</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sidRPr="00D52F17">
        <w:rPr>
          <w:rFonts w:asciiTheme="majorHAnsi" w:eastAsia="MS Mincho" w:hAnsiTheme="majorHAnsi"/>
          <w:sz w:val="20"/>
          <w:szCs w:val="20"/>
        </w:rPr>
        <w:t>By the Secretariat of Foreign Relations</w:t>
      </w:r>
      <w:r>
        <w:rPr>
          <w:rFonts w:asciiTheme="majorHAnsi" w:eastAsia="MS Mincho" w:hAnsiTheme="majorHAnsi"/>
          <w:sz w:val="20"/>
          <w:szCs w:val="20"/>
        </w:rPr>
        <w:t>:</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720" w:hanging="720"/>
        <w:jc w:val="both"/>
        <w:rPr>
          <w:rFonts w:asciiTheme="majorHAnsi" w:eastAsia="MS Mincho" w:hAnsiTheme="majorHAnsi"/>
          <w:sz w:val="20"/>
          <w:szCs w:val="20"/>
        </w:rPr>
      </w:pPr>
      <w:r w:rsidRPr="00D52F17">
        <w:rPr>
          <w:rFonts w:asciiTheme="majorHAnsi" w:eastAsia="MS Mincho" w:hAnsiTheme="majorHAnsi"/>
          <w:sz w:val="20"/>
          <w:szCs w:val="20"/>
        </w:rPr>
        <w:t>a)</w:t>
      </w:r>
      <w:r w:rsidRPr="00D52F17">
        <w:rPr>
          <w:rFonts w:asciiTheme="majorHAnsi" w:eastAsia="MS Mincho" w:hAnsiTheme="majorHAnsi"/>
          <w:sz w:val="20"/>
          <w:szCs w:val="20"/>
        </w:rPr>
        <w:tab/>
        <w:t xml:space="preserve">That, in accordance with Article 29(XI) of the Internal Regulations of the Secretariat of Foreign Relations, the Directorate General of Human Rights and Democracy has the authority to </w:t>
      </w:r>
      <w:r w:rsidRPr="001347BF">
        <w:rPr>
          <w:rFonts w:asciiTheme="majorHAnsi" w:eastAsia="MS Mincho" w:hAnsiTheme="majorHAnsi"/>
          <w:sz w:val="20"/>
          <w:szCs w:val="20"/>
        </w:rPr>
        <w:t>accept</w:t>
      </w:r>
      <w:r w:rsidRPr="00D52F17">
        <w:rPr>
          <w:rFonts w:asciiTheme="majorHAnsi" w:eastAsia="MS Mincho" w:hAnsiTheme="majorHAnsi"/>
          <w:sz w:val="20"/>
          <w:szCs w:val="20"/>
        </w:rPr>
        <w:t xml:space="preserve"> and process complaints and reports filed with international human rights organizations against the Mexican State and to represent the government of Mexico in litigation or proceedings stemming therefrom, in </w:t>
      </w:r>
      <w:r w:rsidRPr="00D52F17">
        <w:rPr>
          <w:rFonts w:asciiTheme="majorHAnsi" w:eastAsia="MS Mincho" w:hAnsiTheme="majorHAnsi"/>
          <w:sz w:val="20"/>
          <w:szCs w:val="20"/>
        </w:rPr>
        <w:lastRenderedPageBreak/>
        <w:t>coordination with the Office of the General Counsel, and to promote adoption of the measures</w:t>
      </w:r>
      <w:r>
        <w:rPr>
          <w:rFonts w:asciiTheme="majorHAnsi" w:eastAsia="MS Mincho" w:hAnsiTheme="majorHAnsi"/>
          <w:sz w:val="20"/>
          <w:szCs w:val="20"/>
        </w:rPr>
        <w:t xml:space="preserve"> necessary</w:t>
      </w:r>
      <w:r w:rsidRPr="00D52F17">
        <w:rPr>
          <w:rFonts w:asciiTheme="majorHAnsi" w:eastAsia="MS Mincho" w:hAnsiTheme="majorHAnsi"/>
          <w:sz w:val="20"/>
          <w:szCs w:val="20"/>
        </w:rPr>
        <w:t xml:space="preserve"> to resolve said complaints or reports in keeping with the law.</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Theme="majorHAnsi" w:eastAsia="MS Mincho" w:hAnsiTheme="majorHAnsi"/>
          <w:sz w:val="20"/>
          <w:szCs w:val="20"/>
        </w:rPr>
      </w:pPr>
      <w:r w:rsidRPr="003E3B8D">
        <w:rPr>
          <w:rFonts w:asciiTheme="majorHAnsi" w:eastAsia="MS Mincho" w:hAnsiTheme="majorHAnsi"/>
          <w:sz w:val="20"/>
          <w:szCs w:val="20"/>
        </w:rPr>
        <w:t>b)</w:t>
      </w:r>
      <w:r w:rsidRPr="003E3B8D">
        <w:rPr>
          <w:rFonts w:asciiTheme="majorHAnsi" w:eastAsia="MS Mincho" w:hAnsiTheme="majorHAnsi"/>
          <w:sz w:val="20"/>
          <w:szCs w:val="20"/>
        </w:rPr>
        <w:tab/>
        <w:t>That the domicile it provides for all legal purposes of this Agreement is located at Avenida Juárez #20, Col. Centro, Postal Code 06010, Delegación Cuauhtémoc, Mexico, Distrito Federal.</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sidRPr="00D52F17">
        <w:rPr>
          <w:rFonts w:asciiTheme="majorHAnsi" w:eastAsia="MS Mincho" w:hAnsiTheme="majorHAnsi"/>
          <w:sz w:val="20"/>
          <w:szCs w:val="20"/>
        </w:rPr>
        <w:t>By the State of Oaxaca:</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Theme="majorHAnsi" w:eastAsia="MS Mincho" w:hAnsiTheme="majorHAnsi"/>
          <w:sz w:val="20"/>
          <w:szCs w:val="20"/>
        </w:rPr>
      </w:pPr>
      <w:r w:rsidRPr="00D52F17">
        <w:rPr>
          <w:rFonts w:asciiTheme="majorHAnsi" w:eastAsia="MS Mincho" w:hAnsiTheme="majorHAnsi"/>
          <w:sz w:val="20"/>
          <w:szCs w:val="20"/>
        </w:rPr>
        <w:t xml:space="preserve">That it is an integral part of the Mexican State, in keeping with the </w:t>
      </w:r>
      <w:r>
        <w:rPr>
          <w:rFonts w:asciiTheme="majorHAnsi" w:eastAsia="MS Mincho" w:hAnsiTheme="majorHAnsi"/>
          <w:sz w:val="20"/>
          <w:szCs w:val="20"/>
        </w:rPr>
        <w:t>provisions of Article </w:t>
      </w:r>
      <w:r w:rsidRPr="00D52F17">
        <w:rPr>
          <w:rFonts w:asciiTheme="majorHAnsi" w:eastAsia="MS Mincho" w:hAnsiTheme="majorHAnsi"/>
          <w:sz w:val="20"/>
          <w:szCs w:val="20"/>
        </w:rPr>
        <w:t>43 of the Constitution of the Un</w:t>
      </w:r>
      <w:r>
        <w:rPr>
          <w:rFonts w:asciiTheme="majorHAnsi" w:eastAsia="MS Mincho" w:hAnsiTheme="majorHAnsi"/>
          <w:sz w:val="20"/>
          <w:szCs w:val="20"/>
        </w:rPr>
        <w:t>ited Mexican States and Article </w:t>
      </w:r>
      <w:r w:rsidRPr="00D52F17">
        <w:rPr>
          <w:rFonts w:asciiTheme="majorHAnsi" w:eastAsia="MS Mincho" w:hAnsiTheme="majorHAnsi"/>
          <w:sz w:val="20"/>
          <w:szCs w:val="20"/>
        </w:rPr>
        <w:t>1 of the Constitution of the Sovereign and Free State of Oaxaca.</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Theme="majorHAnsi" w:eastAsia="MS Mincho" w:hAnsiTheme="majorHAnsi"/>
          <w:sz w:val="20"/>
          <w:szCs w:val="20"/>
        </w:rPr>
      </w:pPr>
      <w:r w:rsidRPr="00D52F17">
        <w:rPr>
          <w:rFonts w:asciiTheme="majorHAnsi" w:eastAsia="MS Mincho" w:hAnsiTheme="majorHAnsi"/>
          <w:sz w:val="20"/>
          <w:szCs w:val="20"/>
        </w:rPr>
        <w:t>b)</w:t>
      </w:r>
      <w:r w:rsidRPr="00D52F17">
        <w:rPr>
          <w:rFonts w:asciiTheme="majorHAnsi" w:eastAsia="MS Mincho" w:hAnsiTheme="majorHAnsi"/>
          <w:sz w:val="20"/>
          <w:szCs w:val="20"/>
        </w:rPr>
        <w:tab/>
        <w:t>That</w:t>
      </w:r>
      <w:r>
        <w:rPr>
          <w:rFonts w:asciiTheme="majorHAnsi" w:eastAsia="MS Mincho" w:hAnsiTheme="majorHAnsi"/>
          <w:sz w:val="20"/>
          <w:szCs w:val="20"/>
        </w:rPr>
        <w:t>,</w:t>
      </w:r>
      <w:r w:rsidRPr="00D52F17">
        <w:rPr>
          <w:rFonts w:asciiTheme="majorHAnsi" w:eastAsia="MS Mincho" w:hAnsiTheme="majorHAnsi"/>
          <w:sz w:val="20"/>
          <w:szCs w:val="20"/>
        </w:rPr>
        <w:t xml:space="preserve"> for purposes of this Agreement and its implementation, the responsibility falls to the </w:t>
      </w:r>
      <w:r>
        <w:rPr>
          <w:rFonts w:asciiTheme="majorHAnsi" w:eastAsia="MS Mincho" w:hAnsiTheme="majorHAnsi"/>
          <w:sz w:val="20"/>
          <w:szCs w:val="20"/>
        </w:rPr>
        <w:t>Office for Human Rights</w:t>
      </w:r>
      <w:r w:rsidRPr="001E5FB3">
        <w:rPr>
          <w:rFonts w:asciiTheme="majorHAnsi" w:eastAsia="MS Mincho" w:hAnsiTheme="majorHAnsi"/>
          <w:sz w:val="20"/>
          <w:szCs w:val="20"/>
        </w:rPr>
        <w:t xml:space="preserve"> Assistance</w:t>
      </w:r>
      <w:r w:rsidRPr="00D52F17">
        <w:rPr>
          <w:rFonts w:asciiTheme="majorHAnsi" w:eastAsia="MS Mincho" w:hAnsiTheme="majorHAnsi"/>
          <w:sz w:val="20"/>
          <w:szCs w:val="20"/>
        </w:rPr>
        <w:t xml:space="preserve"> of the Government of Oaxaca, in accordance with the powers set forth in the Article 52(II) and (VIII) of the Executive Branch Act of the State of Oaxaca</w:t>
      </w:r>
      <w:r>
        <w:rPr>
          <w:rFonts w:asciiTheme="majorHAnsi" w:eastAsia="MS Mincho" w:hAnsiTheme="majorHAnsi"/>
          <w:sz w:val="20"/>
          <w:szCs w:val="20"/>
        </w:rPr>
        <w:t xml:space="preserve"> </w:t>
      </w:r>
      <w:r w:rsidRPr="00D52F17">
        <w:rPr>
          <w:rFonts w:asciiTheme="majorHAnsi" w:eastAsia="MS Mincho" w:hAnsiTheme="majorHAnsi"/>
          <w:sz w:val="20"/>
          <w:szCs w:val="20"/>
        </w:rPr>
        <w:t>(</w:t>
      </w:r>
      <w:r w:rsidRPr="00D52F17">
        <w:rPr>
          <w:rFonts w:asciiTheme="majorHAnsi" w:eastAsia="MS Mincho" w:hAnsiTheme="majorHAnsi"/>
          <w:i/>
          <w:sz w:val="20"/>
          <w:szCs w:val="20"/>
        </w:rPr>
        <w:t>Ley Orgánica del Poder Ejecutivo del estado de Oaxaca</w:t>
      </w:r>
      <w:r w:rsidRPr="00D52F17">
        <w:rPr>
          <w:rFonts w:asciiTheme="majorHAnsi" w:eastAsia="MS Mincho" w:hAnsiTheme="majorHAnsi"/>
          <w:sz w:val="20"/>
          <w:szCs w:val="20"/>
        </w:rPr>
        <w:t>).</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Theme="majorHAnsi" w:eastAsia="MS Mincho" w:hAnsiTheme="majorHAnsi"/>
          <w:sz w:val="20"/>
          <w:szCs w:val="20"/>
        </w:rPr>
      </w:pPr>
      <w:r w:rsidRPr="00D52F17">
        <w:rPr>
          <w:rFonts w:asciiTheme="majorHAnsi" w:eastAsia="MS Mincho" w:hAnsiTheme="majorHAnsi"/>
          <w:sz w:val="20"/>
          <w:szCs w:val="20"/>
        </w:rPr>
        <w:t>c)</w:t>
      </w:r>
      <w:r w:rsidRPr="00D52F17">
        <w:rPr>
          <w:rFonts w:asciiTheme="majorHAnsi" w:eastAsia="MS Mincho" w:hAnsiTheme="majorHAnsi"/>
          <w:sz w:val="20"/>
          <w:szCs w:val="20"/>
        </w:rPr>
        <w:tab/>
        <w:t>That the domicile it provides for all legal purposes of this Agreement is located at Bustamante, esquina Flores Magón, Colonia Centro, Postal Code 6800, Oaxaca de Juárez, Oaxaca.</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sidRPr="00D52F17">
        <w:rPr>
          <w:rFonts w:asciiTheme="majorHAnsi" w:eastAsia="MS Mincho" w:hAnsiTheme="majorHAnsi"/>
          <w:sz w:val="20"/>
          <w:szCs w:val="20"/>
        </w:rPr>
        <w:t>By the petitioners:</w:t>
      </w:r>
    </w:p>
    <w:p w:rsidR="003E3B8D" w:rsidRPr="00D52F17" w:rsidRDefault="003E3B8D" w:rsidP="003E3B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Theme="majorHAnsi" w:eastAsia="MS Mincho" w:hAnsiTheme="majorHAnsi"/>
          <w:sz w:val="20"/>
          <w:szCs w:val="20"/>
        </w:rPr>
      </w:pPr>
      <w:r w:rsidRPr="00D52F17">
        <w:rPr>
          <w:rFonts w:asciiTheme="majorHAnsi" w:eastAsia="MS Mincho" w:hAnsiTheme="majorHAnsi"/>
          <w:sz w:val="20"/>
          <w:szCs w:val="20"/>
        </w:rPr>
        <w:t xml:space="preserve">a) </w:t>
      </w:r>
      <w:r w:rsidRPr="00D52F17">
        <w:rPr>
          <w:rFonts w:asciiTheme="majorHAnsi" w:eastAsia="MS Mincho" w:hAnsiTheme="majorHAnsi"/>
          <w:sz w:val="20"/>
          <w:szCs w:val="20"/>
        </w:rPr>
        <w:tab/>
        <w:t>That they are Mexican citizens of legal age as shown by the following voting IDs issued by the Federal Electoral Institute:</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D52F17">
        <w:rPr>
          <w:rFonts w:asciiTheme="majorHAnsi" w:eastAsia="MS Mincho" w:hAnsiTheme="majorHAnsi"/>
          <w:sz w:val="20"/>
          <w:szCs w:val="20"/>
        </w:rPr>
        <w:t xml:space="preserve"> </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D52F17">
        <w:rPr>
          <w:rFonts w:asciiTheme="majorHAnsi" w:eastAsia="MS Mincho" w:hAnsiTheme="majorHAnsi"/>
          <w:sz w:val="20"/>
          <w:szCs w:val="20"/>
        </w:rPr>
        <w:t>1.</w:t>
      </w:r>
      <w:r w:rsidRPr="00D52F17">
        <w:rPr>
          <w:rFonts w:asciiTheme="majorHAnsi" w:eastAsia="MS Mincho" w:hAnsiTheme="majorHAnsi"/>
          <w:sz w:val="20"/>
          <w:szCs w:val="20"/>
        </w:rPr>
        <w:tab/>
        <w:t>ID number […].</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D52F17">
        <w:rPr>
          <w:rFonts w:asciiTheme="majorHAnsi" w:eastAsia="MS Mincho" w:hAnsiTheme="majorHAnsi"/>
          <w:sz w:val="20"/>
          <w:szCs w:val="20"/>
        </w:rPr>
        <w:t>2.</w:t>
      </w:r>
      <w:r w:rsidRPr="00D52F17">
        <w:rPr>
          <w:rFonts w:asciiTheme="majorHAnsi" w:eastAsia="MS Mincho" w:hAnsiTheme="majorHAnsi"/>
          <w:sz w:val="20"/>
          <w:szCs w:val="20"/>
        </w:rPr>
        <w:tab/>
        <w:t>ID number […].</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1440" w:right="720" w:hanging="720"/>
        <w:jc w:val="both"/>
        <w:rPr>
          <w:rFonts w:asciiTheme="majorHAnsi" w:eastAsia="MS Mincho" w:hAnsiTheme="majorHAnsi"/>
          <w:sz w:val="20"/>
          <w:szCs w:val="20"/>
        </w:rPr>
      </w:pPr>
      <w:r w:rsidRPr="00D52F17">
        <w:rPr>
          <w:rFonts w:asciiTheme="majorHAnsi" w:eastAsia="MS Mincho" w:hAnsiTheme="majorHAnsi"/>
          <w:sz w:val="20"/>
          <w:szCs w:val="20"/>
        </w:rPr>
        <w:t xml:space="preserve">b) </w:t>
      </w:r>
      <w:r w:rsidRPr="00D52F17">
        <w:rPr>
          <w:rFonts w:asciiTheme="majorHAnsi" w:eastAsia="MS Mincho" w:hAnsiTheme="majorHAnsi"/>
          <w:sz w:val="20"/>
          <w:szCs w:val="20"/>
        </w:rPr>
        <w:tab/>
        <w:t>That the domicile they provide for all legal purposes of this Agreement is located at […].</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Theme="majorHAnsi" w:eastAsia="MS Mincho" w:hAnsiTheme="majorHAnsi"/>
          <w:sz w:val="20"/>
          <w:szCs w:val="20"/>
        </w:rPr>
      </w:pPr>
      <w:r w:rsidRPr="00D52F17">
        <w:rPr>
          <w:rFonts w:asciiTheme="majorHAnsi" w:eastAsia="MS Mincho" w:hAnsiTheme="majorHAnsi"/>
          <w:sz w:val="20"/>
          <w:szCs w:val="20"/>
        </w:rPr>
        <w:t xml:space="preserve">Having set forth the foregoing facts and statements, the parties express their desire </w:t>
      </w:r>
      <w:r w:rsidRPr="0096733A">
        <w:rPr>
          <w:rFonts w:asciiTheme="majorHAnsi" w:eastAsia="MS Mincho" w:hAnsiTheme="majorHAnsi"/>
          <w:sz w:val="20"/>
          <w:szCs w:val="20"/>
        </w:rPr>
        <w:t>to be bound in the manner and under the terms provided for below:</w:t>
      </w:r>
      <w:r w:rsidRPr="00D52F17">
        <w:rPr>
          <w:rFonts w:asciiTheme="majorHAnsi" w:eastAsia="MS Mincho" w:hAnsiTheme="majorHAnsi"/>
          <w:sz w:val="20"/>
          <w:szCs w:val="20"/>
        </w:rPr>
        <w:t xml:space="preserve">  </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
          <w:sz w:val="20"/>
          <w:szCs w:val="20"/>
        </w:rPr>
      </w:pPr>
      <w:r w:rsidRPr="00D52F17">
        <w:rPr>
          <w:rFonts w:asciiTheme="majorHAnsi" w:eastAsia="MS Mincho" w:hAnsiTheme="majorHAnsi"/>
          <w:b/>
          <w:sz w:val="20"/>
          <w:szCs w:val="20"/>
        </w:rPr>
        <w:t>CLAUSES</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D52F17">
        <w:rPr>
          <w:rFonts w:asciiTheme="majorHAnsi" w:eastAsia="MS Mincho" w:hAnsiTheme="majorHAnsi"/>
          <w:b/>
          <w:sz w:val="20"/>
          <w:szCs w:val="20"/>
        </w:rPr>
        <w:t>FIRST</w:t>
      </w:r>
      <w:r w:rsidRPr="0096733A">
        <w:rPr>
          <w:rFonts w:asciiTheme="majorHAnsi" w:eastAsia="MS Mincho" w:hAnsiTheme="majorHAnsi"/>
          <w:sz w:val="20"/>
          <w:szCs w:val="20"/>
        </w:rPr>
        <w:t>.</w:t>
      </w:r>
      <w:r w:rsidRPr="00D52F17">
        <w:rPr>
          <w:rFonts w:asciiTheme="majorHAnsi" w:eastAsia="MS Mincho" w:hAnsiTheme="majorHAnsi"/>
          <w:sz w:val="20"/>
          <w:szCs w:val="20"/>
        </w:rPr>
        <w:t xml:space="preserve"> The State and </w:t>
      </w:r>
      <w:r>
        <w:rPr>
          <w:rFonts w:asciiTheme="majorHAnsi" w:eastAsia="MS Mincho" w:hAnsiTheme="majorHAnsi"/>
          <w:sz w:val="20"/>
          <w:szCs w:val="20"/>
        </w:rPr>
        <w:t xml:space="preserve">the petitioners agree to </w:t>
      </w:r>
      <w:r w:rsidRPr="00D52F17">
        <w:rPr>
          <w:rFonts w:asciiTheme="majorHAnsi" w:eastAsia="MS Mincho" w:hAnsiTheme="majorHAnsi"/>
          <w:sz w:val="20"/>
          <w:szCs w:val="20"/>
        </w:rPr>
        <w:t>comprehensive redress</w:t>
      </w:r>
      <w:r>
        <w:rPr>
          <w:rFonts w:asciiTheme="majorHAnsi" w:eastAsia="MS Mincho" w:hAnsiTheme="majorHAnsi"/>
          <w:sz w:val="20"/>
          <w:szCs w:val="20"/>
        </w:rPr>
        <w:t xml:space="preserve"> for the victim</w:t>
      </w:r>
      <w:r w:rsidRPr="00D52F17">
        <w:rPr>
          <w:rFonts w:asciiTheme="majorHAnsi" w:eastAsia="MS Mincho" w:hAnsiTheme="majorHAnsi"/>
          <w:sz w:val="20"/>
          <w:szCs w:val="20"/>
        </w:rPr>
        <w:t xml:space="preserve">, taking into consideration the case </w:t>
      </w:r>
      <w:r w:rsidRPr="0096733A">
        <w:rPr>
          <w:rFonts w:asciiTheme="majorHAnsi" w:eastAsia="MS Mincho" w:hAnsiTheme="majorHAnsi"/>
          <w:i/>
          <w:sz w:val="20"/>
          <w:szCs w:val="20"/>
        </w:rPr>
        <w:t>Cabrera García and Montiel Flores v. Mexico</w:t>
      </w:r>
      <w:r w:rsidRPr="00D52F17">
        <w:rPr>
          <w:rFonts w:asciiTheme="majorHAnsi" w:eastAsia="MS Mincho" w:hAnsiTheme="majorHAnsi"/>
          <w:sz w:val="20"/>
          <w:szCs w:val="20"/>
        </w:rPr>
        <w:t xml:space="preserve">, </w:t>
      </w:r>
      <w:r>
        <w:rPr>
          <w:rFonts w:asciiTheme="majorHAnsi" w:eastAsia="MS Mincho" w:hAnsiTheme="majorHAnsi"/>
          <w:sz w:val="20"/>
          <w:szCs w:val="20"/>
        </w:rPr>
        <w:t>as well as</w:t>
      </w:r>
      <w:r w:rsidRPr="00D52F17">
        <w:rPr>
          <w:rFonts w:asciiTheme="majorHAnsi" w:eastAsia="MS Mincho" w:hAnsiTheme="majorHAnsi"/>
          <w:sz w:val="20"/>
          <w:szCs w:val="20"/>
        </w:rPr>
        <w:t xml:space="preserve"> other case law of the Inter-American Court of Human Rights. </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D52F17">
        <w:rPr>
          <w:rFonts w:asciiTheme="majorHAnsi" w:eastAsia="MS Mincho" w:hAnsiTheme="majorHAnsi"/>
          <w:b/>
          <w:sz w:val="20"/>
          <w:szCs w:val="20"/>
        </w:rPr>
        <w:t>SECOND.</w:t>
      </w:r>
      <w:r w:rsidRPr="00D52F17">
        <w:rPr>
          <w:rFonts w:asciiTheme="majorHAnsi" w:eastAsia="MS Mincho" w:hAnsiTheme="majorHAnsi"/>
          <w:sz w:val="20"/>
          <w:szCs w:val="20"/>
        </w:rPr>
        <w:t xml:space="preserve"> The State commits to providing, in accordance with the Inter-American Court of Human Right’s case law, as comprehensive redress for harm </w:t>
      </w:r>
      <w:r w:rsidRPr="00B660FE">
        <w:rPr>
          <w:rFonts w:asciiTheme="majorHAnsi" w:eastAsia="MS Mincho" w:hAnsiTheme="majorHAnsi"/>
          <w:sz w:val="20"/>
          <w:szCs w:val="20"/>
        </w:rPr>
        <w:t>caused</w:t>
      </w:r>
      <w:r w:rsidRPr="00D52F17">
        <w:rPr>
          <w:rFonts w:asciiTheme="majorHAnsi" w:eastAsia="MS Mincho" w:hAnsiTheme="majorHAnsi"/>
          <w:sz w:val="20"/>
          <w:szCs w:val="20"/>
        </w:rPr>
        <w:t>, a total of $498,927.00</w:t>
      </w:r>
      <w:r>
        <w:rPr>
          <w:rFonts w:asciiTheme="majorHAnsi" w:eastAsia="MS Mincho" w:hAnsiTheme="majorHAnsi"/>
          <w:sz w:val="20"/>
          <w:szCs w:val="20"/>
        </w:rPr>
        <w:t xml:space="preserve"> Mexican pesos </w:t>
      </w:r>
      <w:r w:rsidRPr="00D52F17">
        <w:rPr>
          <w:rFonts w:asciiTheme="majorHAnsi" w:eastAsia="MS Mincho" w:hAnsiTheme="majorHAnsi"/>
          <w:sz w:val="20"/>
          <w:szCs w:val="20"/>
        </w:rPr>
        <w:t>(</w:t>
      </w:r>
      <w:r w:rsidRPr="008761E9">
        <w:rPr>
          <w:rFonts w:asciiTheme="majorHAnsi" w:eastAsia="MS Mincho" w:hAnsiTheme="majorHAnsi"/>
          <w:sz w:val="20"/>
          <w:szCs w:val="20"/>
        </w:rPr>
        <w:t>four hundred and ninety-eight thousand, nine hundred and twenty-seven and 00/100).</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D52F17">
        <w:rPr>
          <w:rFonts w:asciiTheme="majorHAnsi" w:eastAsia="MS Mincho" w:hAnsiTheme="majorHAnsi"/>
          <w:sz w:val="20"/>
          <w:szCs w:val="20"/>
        </w:rPr>
        <w:t>The amount of $378,927.00</w:t>
      </w:r>
      <w:r>
        <w:rPr>
          <w:rFonts w:asciiTheme="majorHAnsi" w:eastAsia="MS Mincho" w:hAnsiTheme="majorHAnsi"/>
          <w:sz w:val="20"/>
          <w:szCs w:val="20"/>
        </w:rPr>
        <w:t xml:space="preserve"> Mexican pesos</w:t>
      </w:r>
      <w:r w:rsidRPr="00D52F17">
        <w:rPr>
          <w:rFonts w:asciiTheme="majorHAnsi" w:eastAsia="MS Mincho" w:hAnsiTheme="majorHAnsi"/>
          <w:sz w:val="20"/>
          <w:szCs w:val="20"/>
        </w:rPr>
        <w:t xml:space="preserve"> (</w:t>
      </w:r>
      <w:r w:rsidRPr="008761E9">
        <w:rPr>
          <w:rFonts w:asciiTheme="majorHAnsi" w:eastAsia="MS Mincho" w:hAnsiTheme="majorHAnsi"/>
          <w:sz w:val="20"/>
          <w:szCs w:val="20"/>
        </w:rPr>
        <w:t>three hundred and seventy-eight thousand</w:t>
      </w:r>
      <w:r>
        <w:rPr>
          <w:rFonts w:asciiTheme="majorHAnsi" w:eastAsia="MS Mincho" w:hAnsiTheme="majorHAnsi"/>
          <w:sz w:val="20"/>
          <w:szCs w:val="20"/>
        </w:rPr>
        <w:t>, nine hundred and twenty-</w:t>
      </w:r>
      <w:r w:rsidRPr="008761E9">
        <w:rPr>
          <w:rFonts w:asciiTheme="majorHAnsi" w:eastAsia="MS Mincho" w:hAnsiTheme="majorHAnsi"/>
          <w:sz w:val="20"/>
          <w:szCs w:val="20"/>
        </w:rPr>
        <w:t>seven and 00/100)</w:t>
      </w:r>
      <w:r w:rsidRPr="00D52F17">
        <w:rPr>
          <w:rFonts w:asciiTheme="majorHAnsi" w:eastAsia="MS Mincho" w:hAnsiTheme="majorHAnsi"/>
          <w:sz w:val="20"/>
          <w:szCs w:val="20"/>
        </w:rPr>
        <w:t xml:space="preserve"> will be paid by the Secretariat of the Interior, </w:t>
      </w:r>
      <w:r>
        <w:rPr>
          <w:rFonts w:asciiTheme="majorHAnsi" w:eastAsia="MS Mincho" w:hAnsiTheme="majorHAnsi"/>
          <w:sz w:val="20"/>
          <w:szCs w:val="20"/>
        </w:rPr>
        <w:t>via</w:t>
      </w:r>
      <w:r w:rsidRPr="00D52F17">
        <w:rPr>
          <w:rFonts w:asciiTheme="majorHAnsi" w:eastAsia="MS Mincho" w:hAnsiTheme="majorHAnsi"/>
          <w:sz w:val="20"/>
          <w:szCs w:val="20"/>
        </w:rPr>
        <w:t xml:space="preserve"> the Unit for the Promotion and Defense of Human Rights, </w:t>
      </w:r>
      <w:r>
        <w:rPr>
          <w:rFonts w:asciiTheme="majorHAnsi" w:eastAsia="MS Mincho" w:hAnsiTheme="majorHAnsi"/>
          <w:sz w:val="20"/>
          <w:szCs w:val="20"/>
        </w:rPr>
        <w:t>by means of</w:t>
      </w:r>
      <w:r w:rsidRPr="00D52F17">
        <w:rPr>
          <w:rFonts w:asciiTheme="majorHAnsi" w:eastAsia="MS Mincho" w:hAnsiTheme="majorHAnsi"/>
          <w:sz w:val="20"/>
          <w:szCs w:val="20"/>
        </w:rPr>
        <w:t xml:space="preserve"> delivery of the pertinent commercial documents within 30 </w:t>
      </w:r>
      <w:r>
        <w:rPr>
          <w:rFonts w:asciiTheme="majorHAnsi" w:eastAsia="MS Mincho" w:hAnsiTheme="majorHAnsi"/>
          <w:sz w:val="20"/>
          <w:szCs w:val="20"/>
        </w:rPr>
        <w:t>business</w:t>
      </w:r>
      <w:r w:rsidRPr="00D52F17">
        <w:rPr>
          <w:rFonts w:asciiTheme="majorHAnsi" w:eastAsia="MS Mincho" w:hAnsiTheme="majorHAnsi"/>
          <w:sz w:val="20"/>
          <w:szCs w:val="20"/>
        </w:rPr>
        <w:t xml:space="preserve"> days as from the signature of this friendly settlement agreement.</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D52F17">
        <w:rPr>
          <w:rFonts w:asciiTheme="majorHAnsi" w:eastAsia="MS Mincho" w:hAnsiTheme="majorHAnsi"/>
          <w:sz w:val="20"/>
          <w:szCs w:val="20"/>
        </w:rPr>
        <w:lastRenderedPageBreak/>
        <w:t>The amount of $120,000.00</w:t>
      </w:r>
      <w:r>
        <w:rPr>
          <w:rFonts w:asciiTheme="majorHAnsi" w:eastAsia="MS Mincho" w:hAnsiTheme="majorHAnsi"/>
          <w:sz w:val="20"/>
          <w:szCs w:val="20"/>
        </w:rPr>
        <w:t xml:space="preserve"> Mexican pesos</w:t>
      </w:r>
      <w:r w:rsidRPr="00D52F17">
        <w:rPr>
          <w:rFonts w:asciiTheme="majorHAnsi" w:eastAsia="MS Mincho" w:hAnsiTheme="majorHAnsi"/>
          <w:sz w:val="20"/>
          <w:szCs w:val="20"/>
        </w:rPr>
        <w:t xml:space="preserve"> (</w:t>
      </w:r>
      <w:r w:rsidRPr="00252B45">
        <w:rPr>
          <w:rFonts w:asciiTheme="majorHAnsi" w:eastAsia="MS Mincho" w:hAnsiTheme="majorHAnsi"/>
          <w:sz w:val="20"/>
          <w:szCs w:val="20"/>
        </w:rPr>
        <w:t>one hundred and twenty thousand and 00/100</w:t>
      </w:r>
      <w:r w:rsidRPr="00D52F17">
        <w:rPr>
          <w:rFonts w:asciiTheme="majorHAnsi" w:eastAsia="MS Mincho" w:hAnsiTheme="majorHAnsi"/>
          <w:sz w:val="20"/>
          <w:szCs w:val="20"/>
        </w:rPr>
        <w:t xml:space="preserve">) will be paid by the Government of the State of Oaxaca, </w:t>
      </w:r>
      <w:r>
        <w:rPr>
          <w:rFonts w:asciiTheme="majorHAnsi" w:eastAsia="MS Mincho" w:hAnsiTheme="majorHAnsi"/>
          <w:sz w:val="20"/>
          <w:szCs w:val="20"/>
        </w:rPr>
        <w:t>via</w:t>
      </w:r>
      <w:r w:rsidRPr="00D52F17">
        <w:rPr>
          <w:rFonts w:asciiTheme="majorHAnsi" w:eastAsia="MS Mincho" w:hAnsiTheme="majorHAnsi"/>
          <w:sz w:val="20"/>
          <w:szCs w:val="20"/>
        </w:rPr>
        <w:t xml:space="preserve"> the </w:t>
      </w:r>
      <w:r>
        <w:rPr>
          <w:rFonts w:asciiTheme="majorHAnsi" w:eastAsia="MS Mincho" w:hAnsiTheme="majorHAnsi"/>
          <w:sz w:val="20"/>
          <w:szCs w:val="20"/>
        </w:rPr>
        <w:t>Office for Human Rights</w:t>
      </w:r>
      <w:r w:rsidRPr="00A77F4A">
        <w:rPr>
          <w:rFonts w:asciiTheme="majorHAnsi" w:eastAsia="MS Mincho" w:hAnsiTheme="majorHAnsi"/>
          <w:sz w:val="20"/>
          <w:szCs w:val="20"/>
        </w:rPr>
        <w:t xml:space="preserve"> Assistance</w:t>
      </w:r>
      <w:r w:rsidRPr="00D52F17">
        <w:rPr>
          <w:rFonts w:asciiTheme="majorHAnsi" w:eastAsia="MS Mincho" w:hAnsiTheme="majorHAnsi"/>
          <w:sz w:val="20"/>
          <w:szCs w:val="20"/>
        </w:rPr>
        <w:t xml:space="preserve">, </w:t>
      </w:r>
      <w:r>
        <w:rPr>
          <w:rFonts w:asciiTheme="majorHAnsi" w:eastAsia="MS Mincho" w:hAnsiTheme="majorHAnsi"/>
          <w:sz w:val="20"/>
          <w:szCs w:val="20"/>
        </w:rPr>
        <w:t>by means of</w:t>
      </w:r>
      <w:r w:rsidRPr="00D52F17">
        <w:rPr>
          <w:rFonts w:asciiTheme="majorHAnsi" w:eastAsia="MS Mincho" w:hAnsiTheme="majorHAnsi"/>
          <w:sz w:val="20"/>
          <w:szCs w:val="20"/>
        </w:rPr>
        <w:t xml:space="preserve"> delivery of the pertinent commercial documents within 30 </w:t>
      </w:r>
      <w:r>
        <w:rPr>
          <w:rFonts w:asciiTheme="majorHAnsi" w:eastAsia="MS Mincho" w:hAnsiTheme="majorHAnsi"/>
          <w:sz w:val="20"/>
          <w:szCs w:val="20"/>
        </w:rPr>
        <w:t>business</w:t>
      </w:r>
      <w:r w:rsidRPr="00D52F17">
        <w:rPr>
          <w:rFonts w:asciiTheme="majorHAnsi" w:eastAsia="MS Mincho" w:hAnsiTheme="majorHAnsi"/>
          <w:sz w:val="20"/>
          <w:szCs w:val="20"/>
        </w:rPr>
        <w:t xml:space="preserve"> days as from the signature of this friendly settlement agreement.</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D52F17">
        <w:rPr>
          <w:rFonts w:asciiTheme="majorHAnsi" w:eastAsia="MS Mincho" w:hAnsiTheme="majorHAnsi"/>
          <w:b/>
          <w:sz w:val="20"/>
          <w:szCs w:val="20"/>
        </w:rPr>
        <w:t>THIRD.</w:t>
      </w:r>
      <w:r w:rsidRPr="00D52F17">
        <w:rPr>
          <w:rFonts w:asciiTheme="majorHAnsi" w:eastAsia="MS Mincho" w:hAnsiTheme="majorHAnsi"/>
          <w:sz w:val="20"/>
          <w:szCs w:val="20"/>
        </w:rPr>
        <w:t xml:space="preserve"> The Mexican State commits to including </w:t>
      </w:r>
      <w:r>
        <w:rPr>
          <w:rFonts w:asciiTheme="majorHAnsi" w:eastAsia="MS Mincho" w:hAnsiTheme="majorHAnsi"/>
          <w:sz w:val="20"/>
          <w:szCs w:val="20"/>
        </w:rPr>
        <w:t>Ms.</w:t>
      </w:r>
      <w:r w:rsidRPr="00D52F17">
        <w:rPr>
          <w:rFonts w:asciiTheme="majorHAnsi" w:eastAsia="MS Mincho" w:hAnsiTheme="majorHAnsi"/>
          <w:sz w:val="20"/>
          <w:szCs w:val="20"/>
        </w:rPr>
        <w:t xml:space="preserve"> Vicenta Sánchez Valdivieso in the following programs </w:t>
      </w:r>
      <w:r>
        <w:rPr>
          <w:rFonts w:asciiTheme="majorHAnsi" w:eastAsia="MS Mincho" w:hAnsiTheme="majorHAnsi"/>
          <w:sz w:val="20"/>
          <w:szCs w:val="20"/>
        </w:rPr>
        <w:t>offered by</w:t>
      </w:r>
      <w:r w:rsidRPr="00D52F17">
        <w:rPr>
          <w:rFonts w:asciiTheme="majorHAnsi" w:eastAsia="MS Mincho" w:hAnsiTheme="majorHAnsi"/>
          <w:sz w:val="20"/>
          <w:szCs w:val="20"/>
        </w:rPr>
        <w:t xml:space="preserve"> the government of the State of Oaxaca:</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Pr>
          <w:rFonts w:asciiTheme="majorHAnsi" w:eastAsia="MS Mincho" w:hAnsiTheme="majorHAnsi"/>
          <w:sz w:val="20"/>
          <w:szCs w:val="20"/>
        </w:rPr>
        <w:t>“</w:t>
      </w:r>
      <w:r w:rsidRPr="00E46A6B">
        <w:rPr>
          <w:rFonts w:asciiTheme="majorHAnsi" w:eastAsia="MS Mincho" w:hAnsiTheme="majorHAnsi"/>
          <w:sz w:val="20"/>
          <w:szCs w:val="20"/>
        </w:rPr>
        <w:t>Productive</w:t>
      </w:r>
      <w:r w:rsidRPr="00D52F17">
        <w:rPr>
          <w:rFonts w:asciiTheme="majorHAnsi" w:eastAsia="MS Mincho" w:hAnsiTheme="majorHAnsi"/>
          <w:sz w:val="20"/>
          <w:szCs w:val="20"/>
        </w:rPr>
        <w:t xml:space="preserve"> program</w:t>
      </w:r>
      <w:r>
        <w:rPr>
          <w:rFonts w:asciiTheme="majorHAnsi" w:eastAsia="MS Mincho" w:hAnsiTheme="majorHAnsi"/>
          <w:sz w:val="20"/>
          <w:szCs w:val="20"/>
        </w:rPr>
        <w:t>”</w:t>
      </w:r>
      <w:r w:rsidRPr="00D52F17">
        <w:rPr>
          <w:rFonts w:asciiTheme="majorHAnsi" w:eastAsia="MS Mincho" w:hAnsiTheme="majorHAnsi"/>
          <w:sz w:val="20"/>
          <w:szCs w:val="20"/>
        </w:rPr>
        <w:t xml:space="preserve"> under the Institute for Employment Training and Productivity of the State of </w:t>
      </w:r>
      <w:r>
        <w:rPr>
          <w:rFonts w:asciiTheme="majorHAnsi" w:eastAsia="MS Mincho" w:hAnsiTheme="majorHAnsi"/>
          <w:sz w:val="20"/>
          <w:szCs w:val="20"/>
        </w:rPr>
        <w:t>Oaxaca;</w:t>
      </w:r>
    </w:p>
    <w:p w:rsidR="003E3B8D" w:rsidRPr="00D52F17" w:rsidRDefault="003E3B8D" w:rsidP="003E3B8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Pr>
          <w:rFonts w:asciiTheme="majorHAnsi" w:eastAsia="MS Mincho" w:hAnsiTheme="majorHAnsi"/>
          <w:sz w:val="20"/>
          <w:szCs w:val="20"/>
        </w:rPr>
        <w:t>Seed p</w:t>
      </w:r>
      <w:r w:rsidRPr="00D52F17">
        <w:rPr>
          <w:rFonts w:asciiTheme="majorHAnsi" w:eastAsia="MS Mincho" w:hAnsiTheme="majorHAnsi"/>
          <w:sz w:val="20"/>
          <w:szCs w:val="20"/>
        </w:rPr>
        <w:t>rogram</w:t>
      </w:r>
      <w:r>
        <w:rPr>
          <w:rFonts w:asciiTheme="majorHAnsi" w:eastAsia="MS Mincho" w:hAnsiTheme="majorHAnsi"/>
          <w:sz w:val="20"/>
          <w:szCs w:val="20"/>
        </w:rPr>
        <w:t xml:space="preserve"> and job training stipend;</w:t>
      </w:r>
    </w:p>
    <w:p w:rsidR="003E3B8D" w:rsidRPr="00E46A6B" w:rsidRDefault="003E3B8D" w:rsidP="003E3B8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sidRPr="00D52F17">
        <w:rPr>
          <w:rFonts w:asciiTheme="majorHAnsi" w:eastAsia="MS Mincho" w:hAnsiTheme="majorHAnsi"/>
          <w:sz w:val="20"/>
          <w:szCs w:val="20"/>
        </w:rPr>
        <w:t xml:space="preserve">Medical insurance through the </w:t>
      </w:r>
      <w:r w:rsidRPr="00E46A6B">
        <w:rPr>
          <w:rFonts w:asciiTheme="majorHAnsi" w:eastAsia="MS Mincho" w:hAnsiTheme="majorHAnsi"/>
          <w:sz w:val="20"/>
          <w:szCs w:val="20"/>
        </w:rPr>
        <w:t>State of Oaxaca’s public insurance program</w:t>
      </w:r>
      <w:r>
        <w:rPr>
          <w:rFonts w:asciiTheme="majorHAnsi" w:eastAsia="MS Mincho" w:hAnsiTheme="majorHAnsi"/>
          <w:sz w:val="20"/>
          <w:szCs w:val="20"/>
        </w:rPr>
        <w:t>;</w:t>
      </w:r>
    </w:p>
    <w:p w:rsidR="003E3B8D" w:rsidRPr="00D52F17" w:rsidRDefault="003E3B8D" w:rsidP="003E3B8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Pr>
          <w:rFonts w:asciiTheme="majorHAnsi" w:eastAsia="MS Mincho" w:hAnsiTheme="majorHAnsi"/>
          <w:sz w:val="20"/>
          <w:szCs w:val="20"/>
        </w:rPr>
        <w:t>H</w:t>
      </w:r>
      <w:r w:rsidRPr="00D52F17">
        <w:rPr>
          <w:rFonts w:asciiTheme="majorHAnsi" w:eastAsia="MS Mincho" w:hAnsiTheme="majorHAnsi"/>
          <w:sz w:val="20"/>
          <w:szCs w:val="20"/>
        </w:rPr>
        <w:t>ousing improvement</w:t>
      </w:r>
      <w:r>
        <w:rPr>
          <w:rFonts w:asciiTheme="majorHAnsi" w:eastAsia="MS Mincho" w:hAnsiTheme="majorHAnsi"/>
          <w:sz w:val="20"/>
          <w:szCs w:val="20"/>
        </w:rPr>
        <w:t xml:space="preserve"> support;</w:t>
      </w:r>
    </w:p>
    <w:p w:rsidR="003E3B8D" w:rsidRPr="00E46A6B" w:rsidRDefault="003E3B8D" w:rsidP="003E3B8D">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MS Mincho" w:hAnsiTheme="majorHAnsi"/>
          <w:sz w:val="20"/>
          <w:szCs w:val="20"/>
        </w:rPr>
      </w:pPr>
      <w:r w:rsidRPr="00E46A6B">
        <w:rPr>
          <w:rFonts w:asciiTheme="majorHAnsi" w:eastAsia="MS Mincho" w:hAnsiTheme="majorHAnsi"/>
          <w:sz w:val="20"/>
          <w:szCs w:val="20"/>
        </w:rPr>
        <w:t>Educational stipends for children between the ages of 4 and 14.</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D52F17">
        <w:rPr>
          <w:rFonts w:asciiTheme="majorHAnsi" w:eastAsia="MS Mincho" w:hAnsiTheme="majorHAnsi"/>
          <w:sz w:val="20"/>
          <w:szCs w:val="20"/>
        </w:rPr>
        <w:t>The Government of Oaxaca commits to presenting in writing</w:t>
      </w:r>
      <w:r>
        <w:rPr>
          <w:rFonts w:asciiTheme="majorHAnsi" w:eastAsia="MS Mincho" w:hAnsiTheme="majorHAnsi"/>
          <w:sz w:val="20"/>
          <w:szCs w:val="20"/>
        </w:rPr>
        <w:t>,</w:t>
      </w:r>
      <w:r w:rsidRPr="00D52F17">
        <w:rPr>
          <w:rFonts w:asciiTheme="majorHAnsi" w:eastAsia="MS Mincho" w:hAnsiTheme="majorHAnsi"/>
          <w:sz w:val="20"/>
          <w:szCs w:val="20"/>
        </w:rPr>
        <w:t xml:space="preserve"> within 10 days of the signing of this agreement</w:t>
      </w:r>
      <w:r>
        <w:rPr>
          <w:rFonts w:asciiTheme="majorHAnsi" w:eastAsia="MS Mincho" w:hAnsiTheme="majorHAnsi"/>
          <w:sz w:val="20"/>
          <w:szCs w:val="20"/>
        </w:rPr>
        <w:t>,</w:t>
      </w:r>
      <w:r w:rsidRPr="00D52F17">
        <w:rPr>
          <w:rFonts w:asciiTheme="majorHAnsi" w:eastAsia="MS Mincho" w:hAnsiTheme="majorHAnsi"/>
          <w:sz w:val="20"/>
          <w:szCs w:val="20"/>
        </w:rPr>
        <w:t xml:space="preserve"> a list of the programs in which the victim is to be included, as well as</w:t>
      </w:r>
      <w:r>
        <w:rPr>
          <w:rFonts w:asciiTheme="majorHAnsi" w:eastAsia="MS Mincho" w:hAnsiTheme="majorHAnsi"/>
          <w:sz w:val="20"/>
          <w:szCs w:val="20"/>
        </w:rPr>
        <w:t xml:space="preserve"> of</w:t>
      </w:r>
      <w:r w:rsidRPr="00D52F17">
        <w:rPr>
          <w:rFonts w:asciiTheme="majorHAnsi" w:eastAsia="MS Mincho" w:hAnsiTheme="majorHAnsi"/>
          <w:sz w:val="20"/>
          <w:szCs w:val="20"/>
        </w:rPr>
        <w:t xml:space="preserve"> those responsible for </w:t>
      </w:r>
      <w:r>
        <w:rPr>
          <w:rFonts w:asciiTheme="majorHAnsi" w:eastAsia="MS Mincho" w:hAnsiTheme="majorHAnsi"/>
          <w:sz w:val="20"/>
          <w:szCs w:val="20"/>
        </w:rPr>
        <w:t>assisting and following up with her</w:t>
      </w:r>
      <w:r w:rsidRPr="00D52F17">
        <w:rPr>
          <w:rFonts w:asciiTheme="majorHAnsi" w:eastAsia="MS Mincho" w:hAnsiTheme="majorHAnsi"/>
          <w:sz w:val="20"/>
          <w:szCs w:val="20"/>
        </w:rPr>
        <w:t xml:space="preserve">. Said list </w:t>
      </w:r>
      <w:r>
        <w:rPr>
          <w:rFonts w:asciiTheme="majorHAnsi" w:eastAsia="MS Mincho" w:hAnsiTheme="majorHAnsi"/>
          <w:sz w:val="20"/>
          <w:szCs w:val="20"/>
        </w:rPr>
        <w:t>shall</w:t>
      </w:r>
      <w:r w:rsidRPr="00D52F17">
        <w:rPr>
          <w:rFonts w:asciiTheme="majorHAnsi" w:eastAsia="MS Mincho" w:hAnsiTheme="majorHAnsi"/>
          <w:sz w:val="20"/>
          <w:szCs w:val="20"/>
        </w:rPr>
        <w:t xml:space="preserve"> be signed by </w:t>
      </w:r>
      <w:r>
        <w:rPr>
          <w:rFonts w:asciiTheme="majorHAnsi" w:eastAsia="MS Mincho" w:hAnsiTheme="majorHAnsi"/>
          <w:sz w:val="20"/>
          <w:szCs w:val="20"/>
        </w:rPr>
        <w:t>Ms.</w:t>
      </w:r>
      <w:r w:rsidRPr="00D52F17">
        <w:rPr>
          <w:rFonts w:asciiTheme="majorHAnsi" w:eastAsia="MS Mincho" w:hAnsiTheme="majorHAnsi"/>
          <w:sz w:val="20"/>
          <w:szCs w:val="20"/>
        </w:rPr>
        <w:t xml:space="preserve"> Eréndira Cruz-Villegas and will be an integral part of this agreement</w:t>
      </w:r>
      <w:r>
        <w:rPr>
          <w:rFonts w:asciiTheme="majorHAnsi" w:eastAsia="MS Mincho" w:hAnsiTheme="majorHAnsi"/>
          <w:sz w:val="20"/>
          <w:szCs w:val="20"/>
        </w:rPr>
        <w:t>,</w:t>
      </w:r>
      <w:r w:rsidRPr="00D52F17">
        <w:rPr>
          <w:rFonts w:asciiTheme="majorHAnsi" w:eastAsia="MS Mincho" w:hAnsiTheme="majorHAnsi"/>
          <w:sz w:val="20"/>
          <w:szCs w:val="20"/>
        </w:rPr>
        <w:t xml:space="preserve"> as if it were </w:t>
      </w:r>
      <w:r w:rsidRPr="00751C6D">
        <w:rPr>
          <w:rFonts w:asciiTheme="majorHAnsi" w:eastAsia="MS Mincho" w:hAnsiTheme="majorHAnsi"/>
          <w:sz w:val="20"/>
          <w:szCs w:val="20"/>
        </w:rPr>
        <w:t>literally</w:t>
      </w:r>
      <w:r w:rsidRPr="00D52F17">
        <w:rPr>
          <w:rFonts w:asciiTheme="majorHAnsi" w:eastAsia="MS Mincho" w:hAnsiTheme="majorHAnsi"/>
          <w:sz w:val="20"/>
          <w:szCs w:val="20"/>
        </w:rPr>
        <w:t xml:space="preserve"> inserted herein. </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D52F17">
        <w:rPr>
          <w:rFonts w:asciiTheme="majorHAnsi" w:eastAsia="MS Mincho" w:hAnsiTheme="majorHAnsi"/>
          <w:b/>
          <w:sz w:val="20"/>
          <w:szCs w:val="20"/>
        </w:rPr>
        <w:t>FOURTH.</w:t>
      </w:r>
      <w:r w:rsidRPr="00D52F17">
        <w:rPr>
          <w:rFonts w:asciiTheme="majorHAnsi" w:eastAsia="MS Mincho" w:hAnsiTheme="majorHAnsi"/>
          <w:sz w:val="20"/>
          <w:szCs w:val="20"/>
        </w:rPr>
        <w:t xml:space="preserve"> </w:t>
      </w:r>
      <w:r>
        <w:rPr>
          <w:rFonts w:asciiTheme="majorHAnsi" w:eastAsia="MS Mincho" w:hAnsiTheme="majorHAnsi"/>
          <w:sz w:val="20"/>
          <w:szCs w:val="20"/>
        </w:rPr>
        <w:t>In keeping with</w:t>
      </w:r>
      <w:r w:rsidRPr="00D52F17">
        <w:rPr>
          <w:rFonts w:asciiTheme="majorHAnsi" w:eastAsia="MS Mincho" w:hAnsiTheme="majorHAnsi"/>
          <w:sz w:val="20"/>
          <w:szCs w:val="20"/>
        </w:rPr>
        <w:t xml:space="preserve"> Article 49(1)(f) of the American Convention on Human Rights, the Inter-American Commission on Human Rights will </w:t>
      </w:r>
      <w:r>
        <w:rPr>
          <w:rFonts w:asciiTheme="majorHAnsi" w:eastAsia="MS Mincho" w:hAnsiTheme="majorHAnsi"/>
          <w:sz w:val="20"/>
          <w:szCs w:val="20"/>
        </w:rPr>
        <w:t>monitor</w:t>
      </w:r>
      <w:r w:rsidRPr="00D52F17">
        <w:rPr>
          <w:rFonts w:asciiTheme="majorHAnsi" w:eastAsia="MS Mincho" w:hAnsiTheme="majorHAnsi"/>
          <w:sz w:val="20"/>
          <w:szCs w:val="20"/>
        </w:rPr>
        <w:t xml:space="preserve"> the definitive compliance </w:t>
      </w:r>
      <w:r>
        <w:rPr>
          <w:rFonts w:asciiTheme="majorHAnsi" w:eastAsia="MS Mincho" w:hAnsiTheme="majorHAnsi"/>
          <w:sz w:val="20"/>
          <w:szCs w:val="20"/>
        </w:rPr>
        <w:t>with</w:t>
      </w:r>
      <w:r w:rsidRPr="00D52F17">
        <w:rPr>
          <w:rFonts w:asciiTheme="majorHAnsi" w:eastAsia="MS Mincho" w:hAnsiTheme="majorHAnsi"/>
          <w:sz w:val="20"/>
          <w:szCs w:val="20"/>
        </w:rPr>
        <w:t xml:space="preserve"> the </w:t>
      </w:r>
      <w:r>
        <w:rPr>
          <w:rFonts w:asciiTheme="majorHAnsi" w:eastAsia="MS Mincho" w:hAnsiTheme="majorHAnsi"/>
          <w:sz w:val="20"/>
          <w:szCs w:val="20"/>
        </w:rPr>
        <w:t>items</w:t>
      </w:r>
      <w:r w:rsidRPr="00D52F17">
        <w:rPr>
          <w:rFonts w:asciiTheme="majorHAnsi" w:eastAsia="MS Mincho" w:hAnsiTheme="majorHAnsi"/>
          <w:sz w:val="20"/>
          <w:szCs w:val="20"/>
        </w:rPr>
        <w:t xml:space="preserve"> that </w:t>
      </w:r>
      <w:r>
        <w:rPr>
          <w:rFonts w:asciiTheme="majorHAnsi" w:eastAsia="MS Mincho" w:hAnsiTheme="majorHAnsi"/>
          <w:sz w:val="20"/>
          <w:szCs w:val="20"/>
        </w:rPr>
        <w:t>comprise</w:t>
      </w:r>
      <w:r w:rsidRPr="00D52F17">
        <w:rPr>
          <w:rFonts w:asciiTheme="majorHAnsi" w:eastAsia="MS Mincho" w:hAnsiTheme="majorHAnsi"/>
          <w:sz w:val="20"/>
          <w:szCs w:val="20"/>
        </w:rPr>
        <w:t xml:space="preserve"> this agreement.</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b/>
          <w:sz w:val="20"/>
          <w:szCs w:val="20"/>
        </w:rPr>
      </w:pPr>
      <w:r w:rsidRPr="00D52F17">
        <w:rPr>
          <w:rFonts w:asciiTheme="majorHAnsi" w:eastAsia="MS Mincho" w:hAnsiTheme="majorHAnsi"/>
          <w:b/>
          <w:sz w:val="20"/>
          <w:szCs w:val="20"/>
        </w:rPr>
        <w:t>SIGNATORIES:</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MS Mincho" w:hAnsiTheme="majorHAnsi"/>
          <w:sz w:val="20"/>
          <w:szCs w:val="20"/>
        </w:rPr>
      </w:pPr>
      <w:r w:rsidRPr="00D52F17">
        <w:rPr>
          <w:rFonts w:asciiTheme="majorHAnsi" w:eastAsia="MS Mincho" w:hAnsiTheme="majorHAnsi"/>
          <w:sz w:val="20"/>
          <w:szCs w:val="20"/>
        </w:rPr>
        <w:t>The parties express their full agreement and satisfaction with the agreements reached and provided for in this document, in witness whereof they hereby sign at the bottom and in the margin as effective proof of th</w:t>
      </w:r>
      <w:r>
        <w:rPr>
          <w:rFonts w:asciiTheme="majorHAnsi" w:eastAsia="MS Mincho" w:hAnsiTheme="majorHAnsi"/>
          <w:sz w:val="20"/>
          <w:szCs w:val="20"/>
        </w:rPr>
        <w:t>eir full and complete consent, in</w:t>
      </w:r>
      <w:r w:rsidRPr="00D52F17">
        <w:rPr>
          <w:rFonts w:asciiTheme="majorHAnsi" w:eastAsia="MS Mincho" w:hAnsiTheme="majorHAnsi"/>
          <w:sz w:val="20"/>
          <w:szCs w:val="20"/>
        </w:rPr>
        <w:t xml:space="preserve"> the city of Oaxaca, Oaxaca, September 25, 2012.</w:t>
      </w:r>
    </w:p>
    <w:p w:rsidR="003E3B8D" w:rsidRPr="00D52F17" w:rsidRDefault="003E3B8D" w:rsidP="003E3B8D">
      <w:pPr>
        <w:tabs>
          <w:tab w:val="center" w:pos="5400"/>
        </w:tabs>
        <w:suppressAutoHyphens/>
        <w:spacing w:line="276" w:lineRule="auto"/>
        <w:rPr>
          <w:rFonts w:asciiTheme="majorHAnsi" w:eastAsia="Times New Roman" w:hAnsiTheme="majorHAnsi" w:cs="Cambria"/>
          <w:color w:val="000000"/>
          <w:sz w:val="20"/>
          <w:szCs w:val="20"/>
          <w:u w:color="000000"/>
          <w:bdr w:val="none" w:sz="0" w:space="0" w:color="auto" w:frame="1"/>
          <w:lang w:eastAsia="es-ES"/>
        </w:rPr>
      </w:pPr>
    </w:p>
    <w:p w:rsidR="003E3B8D" w:rsidRPr="00D52F17" w:rsidRDefault="003E3B8D" w:rsidP="003E3B8D">
      <w:pPr>
        <w:tabs>
          <w:tab w:val="num" w:pos="1440"/>
        </w:tabs>
        <w:ind w:left="1440" w:hanging="720"/>
        <w:jc w:val="both"/>
        <w:rPr>
          <w:rFonts w:asciiTheme="majorHAnsi" w:eastAsia="MS Mincho" w:hAnsiTheme="majorHAnsi"/>
          <w:b/>
          <w:sz w:val="20"/>
          <w:szCs w:val="20"/>
        </w:rPr>
      </w:pPr>
      <w:r w:rsidRPr="00D52F17">
        <w:rPr>
          <w:rFonts w:asciiTheme="majorHAnsi" w:eastAsia="MS Mincho" w:hAnsiTheme="majorHAnsi"/>
          <w:b/>
          <w:sz w:val="20"/>
          <w:szCs w:val="20"/>
        </w:rPr>
        <w:t xml:space="preserve">V. </w:t>
      </w:r>
      <w:r w:rsidRPr="00D52F17">
        <w:rPr>
          <w:rFonts w:asciiTheme="majorHAnsi" w:eastAsia="MS Mincho" w:hAnsiTheme="majorHAnsi"/>
          <w:b/>
          <w:sz w:val="20"/>
          <w:szCs w:val="20"/>
        </w:rPr>
        <w:tab/>
        <w:t>DETERMINATION OF COMPATIBILITY AND COMPLIANCE</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MS Mincho"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D52F17">
        <w:rPr>
          <w:rFonts w:asciiTheme="majorHAnsi" w:eastAsia="MS Mincho" w:hAnsiTheme="majorHAnsi"/>
          <w:color w:val="000000"/>
          <w:sz w:val="20"/>
          <w:szCs w:val="20"/>
          <w:bdr w:val="none" w:sz="0" w:space="0" w:color="auto" w:frame="1"/>
        </w:rPr>
        <w:t xml:space="preserve">The IACHR reiterates that in keeping with Articles 48(1)(f) and 49 of the American Convention, the purpose of these proceedings is to “reach a friendly settlement of the matter based on respect for the human rights recognized in the Convention.” </w:t>
      </w:r>
      <w:r>
        <w:rPr>
          <w:rFonts w:asciiTheme="majorHAnsi" w:eastAsia="MS Mincho" w:hAnsiTheme="majorHAnsi"/>
          <w:color w:val="000000"/>
          <w:sz w:val="20"/>
          <w:szCs w:val="20"/>
          <w:bdr w:val="none" w:sz="0" w:space="0" w:color="auto" w:frame="1"/>
        </w:rPr>
        <w:t>Agreement</w:t>
      </w:r>
      <w:r w:rsidRPr="00D52F17">
        <w:rPr>
          <w:rFonts w:asciiTheme="majorHAnsi" w:eastAsia="MS Mincho" w:hAnsiTheme="majorHAnsi"/>
          <w:color w:val="000000"/>
          <w:sz w:val="20"/>
          <w:szCs w:val="20"/>
          <w:bdr w:val="none" w:sz="0" w:space="0" w:color="auto" w:frame="1"/>
        </w:rPr>
        <w:t xml:space="preserve"> to </w:t>
      </w:r>
      <w:r>
        <w:rPr>
          <w:rFonts w:asciiTheme="majorHAnsi" w:eastAsia="MS Mincho" w:hAnsiTheme="majorHAnsi"/>
          <w:color w:val="000000"/>
          <w:sz w:val="20"/>
          <w:szCs w:val="20"/>
          <w:bdr w:val="none" w:sz="0" w:space="0" w:color="auto" w:frame="1"/>
        </w:rPr>
        <w:t>engage in</w:t>
      </w:r>
      <w:r w:rsidRPr="00D52F17">
        <w:rPr>
          <w:rFonts w:asciiTheme="majorHAnsi" w:eastAsia="MS Mincho" w:hAnsiTheme="majorHAnsi"/>
          <w:color w:val="000000"/>
          <w:sz w:val="20"/>
          <w:szCs w:val="20"/>
          <w:bdr w:val="none" w:sz="0" w:space="0" w:color="auto" w:frame="1"/>
        </w:rPr>
        <w:t xml:space="preserve"> this process </w:t>
      </w:r>
      <w:r>
        <w:rPr>
          <w:rFonts w:asciiTheme="majorHAnsi" w:eastAsia="MS Mincho" w:hAnsiTheme="majorHAnsi"/>
          <w:color w:val="000000"/>
          <w:sz w:val="20"/>
          <w:szCs w:val="20"/>
          <w:bdr w:val="none" w:sz="0" w:space="0" w:color="auto" w:frame="1"/>
        </w:rPr>
        <w:t>is an expression of</w:t>
      </w:r>
      <w:r w:rsidRPr="00D52F17">
        <w:rPr>
          <w:rFonts w:asciiTheme="majorHAnsi" w:eastAsia="MS Mincho" w:hAnsiTheme="majorHAnsi"/>
          <w:color w:val="000000"/>
          <w:sz w:val="20"/>
          <w:szCs w:val="20"/>
          <w:bdr w:val="none" w:sz="0" w:space="0" w:color="auto" w:frame="1"/>
        </w:rPr>
        <w:t xml:space="preserve"> the State’s good faith to comply with the </w:t>
      </w:r>
      <w:r>
        <w:rPr>
          <w:rFonts w:asciiTheme="majorHAnsi" w:eastAsia="MS Mincho" w:hAnsiTheme="majorHAnsi"/>
          <w:color w:val="000000"/>
          <w:sz w:val="20"/>
          <w:szCs w:val="20"/>
          <w:bdr w:val="none" w:sz="0" w:space="0" w:color="auto" w:frame="1"/>
        </w:rPr>
        <w:t>intent</w:t>
      </w:r>
      <w:r w:rsidRPr="00D52F17">
        <w:rPr>
          <w:rFonts w:asciiTheme="majorHAnsi" w:eastAsia="MS Mincho" w:hAnsiTheme="majorHAnsi"/>
          <w:color w:val="000000"/>
          <w:sz w:val="20"/>
          <w:szCs w:val="20"/>
          <w:bdr w:val="none" w:sz="0" w:space="0" w:color="auto" w:frame="1"/>
        </w:rPr>
        <w:t xml:space="preserve"> and </w:t>
      </w:r>
      <w:r>
        <w:rPr>
          <w:rFonts w:asciiTheme="majorHAnsi" w:eastAsia="MS Mincho" w:hAnsiTheme="majorHAnsi"/>
          <w:color w:val="000000"/>
          <w:sz w:val="20"/>
          <w:szCs w:val="20"/>
          <w:bdr w:val="none" w:sz="0" w:space="0" w:color="auto" w:frame="1"/>
        </w:rPr>
        <w:t>purpose</w:t>
      </w:r>
      <w:r w:rsidRPr="00D52F17">
        <w:rPr>
          <w:rFonts w:asciiTheme="majorHAnsi" w:eastAsia="MS Mincho" w:hAnsiTheme="majorHAnsi"/>
          <w:color w:val="000000"/>
          <w:sz w:val="20"/>
          <w:szCs w:val="20"/>
          <w:bdr w:val="none" w:sz="0" w:space="0" w:color="auto" w:frame="1"/>
        </w:rPr>
        <w:t xml:space="preserve"> of the Convention pursuant to the principle of </w:t>
      </w:r>
      <w:r w:rsidRPr="00D52F17">
        <w:rPr>
          <w:rFonts w:asciiTheme="majorHAnsi" w:eastAsia="MS Mincho" w:hAnsiTheme="majorHAnsi"/>
          <w:i/>
          <w:color w:val="000000"/>
          <w:sz w:val="20"/>
          <w:szCs w:val="20"/>
          <w:bdr w:val="none" w:sz="0" w:space="0" w:color="auto" w:frame="1"/>
        </w:rPr>
        <w:t>pacta sunt servanda</w:t>
      </w:r>
      <w:r w:rsidRPr="00D52F17">
        <w:rPr>
          <w:rFonts w:asciiTheme="majorHAnsi" w:eastAsia="MS Mincho" w:hAnsiTheme="majorHAnsi"/>
          <w:color w:val="000000"/>
          <w:sz w:val="20"/>
          <w:szCs w:val="20"/>
          <w:bdr w:val="none" w:sz="0" w:space="0" w:color="auto" w:frame="1"/>
        </w:rPr>
        <w:t>, by which States must comply in good faith with the obligations undertaken in treaties.</w:t>
      </w:r>
      <w:r w:rsidRPr="00D52F17">
        <w:rPr>
          <w:rFonts w:asciiTheme="majorHAnsi" w:eastAsia="MS Mincho" w:hAnsiTheme="majorHAnsi"/>
          <w:color w:val="000000"/>
          <w:sz w:val="20"/>
          <w:szCs w:val="20"/>
          <w:bdr w:val="none" w:sz="0" w:space="0" w:color="auto" w:frame="1"/>
          <w:vertAlign w:val="superscript"/>
        </w:rPr>
        <w:footnoteReference w:id="3"/>
      </w:r>
      <w:r w:rsidRPr="00D52F17">
        <w:rPr>
          <w:rFonts w:asciiTheme="majorHAnsi" w:eastAsia="MS Mincho" w:hAnsiTheme="majorHAnsi"/>
          <w:color w:val="000000"/>
          <w:sz w:val="20"/>
          <w:szCs w:val="20"/>
          <w:bdr w:val="none" w:sz="0" w:space="0" w:color="auto" w:frame="1"/>
        </w:rPr>
        <w:t xml:space="preserve"> The IACHR </w:t>
      </w:r>
      <w:r>
        <w:rPr>
          <w:rFonts w:asciiTheme="majorHAnsi" w:eastAsia="MS Mincho" w:hAnsiTheme="majorHAnsi"/>
          <w:color w:val="000000"/>
          <w:sz w:val="20"/>
          <w:szCs w:val="20"/>
          <w:bdr w:val="none" w:sz="0" w:space="0" w:color="auto" w:frame="1"/>
        </w:rPr>
        <w:t>further</w:t>
      </w:r>
      <w:r w:rsidRPr="00D52F17">
        <w:rPr>
          <w:rFonts w:asciiTheme="majorHAnsi" w:eastAsia="MS Mincho" w:hAnsiTheme="majorHAnsi"/>
          <w:color w:val="000000"/>
          <w:sz w:val="20"/>
          <w:szCs w:val="20"/>
          <w:bdr w:val="none" w:sz="0" w:space="0" w:color="auto" w:frame="1"/>
        </w:rPr>
        <w:t xml:space="preserve"> </w:t>
      </w:r>
      <w:r>
        <w:rPr>
          <w:rFonts w:asciiTheme="majorHAnsi" w:eastAsia="MS Mincho" w:hAnsiTheme="majorHAnsi"/>
          <w:color w:val="000000"/>
          <w:sz w:val="20"/>
          <w:szCs w:val="20"/>
          <w:bdr w:val="none" w:sz="0" w:space="0" w:color="auto" w:frame="1"/>
        </w:rPr>
        <w:t>wishes</w:t>
      </w:r>
      <w:r w:rsidRPr="00D52F17">
        <w:rPr>
          <w:rFonts w:asciiTheme="majorHAnsi" w:eastAsia="MS Mincho" w:hAnsiTheme="majorHAnsi"/>
          <w:color w:val="000000"/>
          <w:sz w:val="20"/>
          <w:szCs w:val="20"/>
          <w:bdr w:val="none" w:sz="0" w:space="0" w:color="auto" w:frame="1"/>
        </w:rPr>
        <w:t xml:space="preserve"> </w:t>
      </w:r>
      <w:r>
        <w:rPr>
          <w:rFonts w:asciiTheme="majorHAnsi" w:eastAsia="MS Mincho" w:hAnsiTheme="majorHAnsi"/>
          <w:color w:val="000000"/>
          <w:sz w:val="20"/>
          <w:szCs w:val="20"/>
          <w:bdr w:val="none" w:sz="0" w:space="0" w:color="auto" w:frame="1"/>
        </w:rPr>
        <w:t>to</w:t>
      </w:r>
      <w:r w:rsidRPr="00D52F17">
        <w:rPr>
          <w:rFonts w:asciiTheme="majorHAnsi" w:eastAsia="MS Mincho" w:hAnsiTheme="majorHAnsi"/>
          <w:color w:val="000000"/>
          <w:sz w:val="20"/>
          <w:szCs w:val="20"/>
          <w:bdr w:val="none" w:sz="0" w:space="0" w:color="auto" w:frame="1"/>
        </w:rPr>
        <w:t xml:space="preserve"> reiterate that the friendly settlement </w:t>
      </w:r>
      <w:r>
        <w:rPr>
          <w:rFonts w:asciiTheme="majorHAnsi" w:eastAsia="MS Mincho" w:hAnsiTheme="majorHAnsi"/>
          <w:color w:val="000000"/>
          <w:sz w:val="20"/>
          <w:szCs w:val="20"/>
          <w:bdr w:val="none" w:sz="0" w:space="0" w:color="auto" w:frame="1"/>
        </w:rPr>
        <w:t>procedure</w:t>
      </w:r>
      <w:r w:rsidRPr="00D52F17">
        <w:rPr>
          <w:rFonts w:asciiTheme="majorHAnsi" w:eastAsia="MS Mincho" w:hAnsiTheme="majorHAnsi"/>
          <w:color w:val="000000"/>
          <w:sz w:val="20"/>
          <w:szCs w:val="20"/>
          <w:bdr w:val="none" w:sz="0" w:space="0" w:color="auto" w:frame="1"/>
        </w:rPr>
        <w:t xml:space="preserve"> provided for in the C</w:t>
      </w:r>
      <w:r>
        <w:rPr>
          <w:rFonts w:asciiTheme="majorHAnsi" w:eastAsia="MS Mincho" w:hAnsiTheme="majorHAnsi"/>
          <w:color w:val="000000"/>
          <w:sz w:val="20"/>
          <w:szCs w:val="20"/>
          <w:bdr w:val="none" w:sz="0" w:space="0" w:color="auto" w:frame="1"/>
        </w:rPr>
        <w:t xml:space="preserve">onvention allows </w:t>
      </w:r>
      <w:r w:rsidRPr="00D52F17">
        <w:rPr>
          <w:rFonts w:asciiTheme="majorHAnsi" w:eastAsia="MS Mincho" w:hAnsiTheme="majorHAnsi"/>
          <w:color w:val="000000"/>
          <w:sz w:val="20"/>
          <w:szCs w:val="20"/>
          <w:bdr w:val="none" w:sz="0" w:space="0" w:color="auto" w:frame="1"/>
        </w:rPr>
        <w:t xml:space="preserve">individual cases </w:t>
      </w:r>
      <w:r>
        <w:rPr>
          <w:rFonts w:asciiTheme="majorHAnsi" w:eastAsia="MS Mincho" w:hAnsiTheme="majorHAnsi"/>
          <w:color w:val="000000"/>
          <w:sz w:val="20"/>
          <w:szCs w:val="20"/>
          <w:bdr w:val="none" w:sz="0" w:space="0" w:color="auto" w:frame="1"/>
        </w:rPr>
        <w:t xml:space="preserve">to be settled </w:t>
      </w:r>
      <w:r w:rsidRPr="00D52F17">
        <w:rPr>
          <w:rFonts w:asciiTheme="majorHAnsi" w:eastAsia="MS Mincho" w:hAnsiTheme="majorHAnsi"/>
          <w:color w:val="000000"/>
          <w:sz w:val="20"/>
          <w:szCs w:val="20"/>
          <w:bdr w:val="none" w:sz="0" w:space="0" w:color="auto" w:frame="1"/>
        </w:rPr>
        <w:t xml:space="preserve">in a </w:t>
      </w:r>
      <w:r w:rsidRPr="0019291E">
        <w:rPr>
          <w:rFonts w:asciiTheme="majorHAnsi" w:eastAsia="MS Mincho" w:hAnsiTheme="majorHAnsi"/>
          <w:color w:val="000000"/>
          <w:sz w:val="20"/>
          <w:szCs w:val="20"/>
          <w:bdr w:val="none" w:sz="0" w:space="0" w:color="auto" w:frame="1"/>
        </w:rPr>
        <w:t>non-adversarial manner</w:t>
      </w:r>
      <w:r w:rsidRPr="00D52F17">
        <w:rPr>
          <w:rFonts w:asciiTheme="majorHAnsi" w:eastAsia="MS Mincho" w:hAnsiTheme="majorHAnsi"/>
          <w:color w:val="000000"/>
          <w:sz w:val="20"/>
          <w:szCs w:val="20"/>
          <w:bdr w:val="none" w:sz="0" w:space="0" w:color="auto" w:frame="1"/>
        </w:rPr>
        <w:t xml:space="preserve">, and </w:t>
      </w:r>
      <w:r>
        <w:rPr>
          <w:rFonts w:asciiTheme="majorHAnsi" w:eastAsia="MS Mincho" w:hAnsiTheme="majorHAnsi"/>
          <w:color w:val="000000"/>
          <w:sz w:val="20"/>
          <w:szCs w:val="20"/>
          <w:bdr w:val="none" w:sz="0" w:space="0" w:color="auto" w:frame="1"/>
        </w:rPr>
        <w:t>has</w:t>
      </w:r>
      <w:r w:rsidRPr="00D52F17">
        <w:rPr>
          <w:rFonts w:asciiTheme="majorHAnsi" w:eastAsia="MS Mincho" w:hAnsiTheme="majorHAnsi"/>
          <w:color w:val="000000"/>
          <w:sz w:val="20"/>
          <w:szCs w:val="20"/>
          <w:bdr w:val="none" w:sz="0" w:space="0" w:color="auto" w:frame="1"/>
        </w:rPr>
        <w:t xml:space="preserve"> </w:t>
      </w:r>
      <w:r>
        <w:rPr>
          <w:rFonts w:asciiTheme="majorHAnsi" w:eastAsia="MS Mincho" w:hAnsiTheme="majorHAnsi"/>
          <w:color w:val="000000"/>
          <w:sz w:val="20"/>
          <w:szCs w:val="20"/>
          <w:bdr w:val="none" w:sz="0" w:space="0" w:color="auto" w:frame="1"/>
        </w:rPr>
        <w:t>proven</w:t>
      </w:r>
      <w:r w:rsidRPr="00D52F17">
        <w:rPr>
          <w:rFonts w:asciiTheme="majorHAnsi" w:eastAsia="MS Mincho" w:hAnsiTheme="majorHAnsi"/>
          <w:color w:val="000000"/>
          <w:sz w:val="20"/>
          <w:szCs w:val="20"/>
          <w:bdr w:val="none" w:sz="0" w:space="0" w:color="auto" w:frame="1"/>
        </w:rPr>
        <w:t xml:space="preserve"> to be, in cases in different countries, an important vehicle that can be used by both parties for settlements.</w:t>
      </w:r>
    </w:p>
    <w:p w:rsidR="003E3B8D" w:rsidRPr="00D52F17" w:rsidRDefault="003E3B8D" w:rsidP="003E3B8D">
      <w:pPr>
        <w:ind w:firstLine="720"/>
        <w:jc w:val="both"/>
        <w:rPr>
          <w:rFonts w:asciiTheme="majorHAnsi" w:eastAsia="MS Mincho" w:hAnsiTheme="majorHAnsi"/>
          <w:color w:val="000000"/>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D52F17">
        <w:rPr>
          <w:rFonts w:asciiTheme="majorHAnsi" w:eastAsia="MS Mincho" w:hAnsiTheme="majorHAnsi"/>
          <w:sz w:val="20"/>
          <w:szCs w:val="20"/>
        </w:rPr>
        <w:t xml:space="preserve">The Inter-American Commission has closely followed the </w:t>
      </w:r>
      <w:r>
        <w:rPr>
          <w:rFonts w:asciiTheme="majorHAnsi" w:eastAsia="MS Mincho" w:hAnsiTheme="majorHAnsi"/>
          <w:sz w:val="20"/>
          <w:szCs w:val="20"/>
        </w:rPr>
        <w:t xml:space="preserve">process </w:t>
      </w:r>
      <w:r w:rsidRPr="00D52F17">
        <w:rPr>
          <w:rFonts w:asciiTheme="majorHAnsi" w:eastAsia="MS Mincho" w:hAnsiTheme="majorHAnsi"/>
          <w:sz w:val="20"/>
          <w:szCs w:val="20"/>
        </w:rPr>
        <w:t xml:space="preserve">of the friendly settlement reached in the instant case and highly values the efforts undertaken by both parties during the negotiation of the agreement to reach </w:t>
      </w:r>
      <w:r>
        <w:rPr>
          <w:rFonts w:asciiTheme="majorHAnsi" w:eastAsia="MS Mincho" w:hAnsiTheme="majorHAnsi"/>
          <w:sz w:val="20"/>
          <w:szCs w:val="20"/>
        </w:rPr>
        <w:t>a</w:t>
      </w:r>
      <w:r w:rsidRPr="00D52F17">
        <w:rPr>
          <w:rFonts w:asciiTheme="majorHAnsi" w:eastAsia="MS Mincho" w:hAnsiTheme="majorHAnsi"/>
          <w:sz w:val="20"/>
          <w:szCs w:val="20"/>
        </w:rPr>
        <w:t xml:space="preserve"> friendly settlement that is </w:t>
      </w:r>
      <w:r>
        <w:rPr>
          <w:rFonts w:asciiTheme="majorHAnsi" w:eastAsia="MS Mincho" w:hAnsiTheme="majorHAnsi"/>
          <w:sz w:val="20"/>
          <w:szCs w:val="20"/>
        </w:rPr>
        <w:t>consistent</w:t>
      </w:r>
      <w:r w:rsidRPr="00D52F17">
        <w:rPr>
          <w:rFonts w:asciiTheme="majorHAnsi" w:eastAsia="MS Mincho" w:hAnsiTheme="majorHAnsi"/>
          <w:sz w:val="20"/>
          <w:szCs w:val="20"/>
        </w:rPr>
        <w:t xml:space="preserve"> with the </w:t>
      </w:r>
      <w:r>
        <w:rPr>
          <w:rFonts w:asciiTheme="majorHAnsi" w:eastAsia="MS Mincho" w:hAnsiTheme="majorHAnsi"/>
          <w:sz w:val="20"/>
          <w:szCs w:val="20"/>
        </w:rPr>
        <w:t>intent</w:t>
      </w:r>
      <w:r w:rsidRPr="00D52F17">
        <w:rPr>
          <w:rFonts w:asciiTheme="majorHAnsi" w:eastAsia="MS Mincho" w:hAnsiTheme="majorHAnsi"/>
          <w:sz w:val="20"/>
          <w:szCs w:val="20"/>
        </w:rPr>
        <w:t xml:space="preserve"> and purpose of the Convention. </w:t>
      </w:r>
    </w:p>
    <w:p w:rsidR="003E3B8D" w:rsidRPr="00D52F17" w:rsidRDefault="003E3B8D" w:rsidP="003E3B8D">
      <w:pPr>
        <w:pStyle w:val="ListParagraph"/>
        <w:ind w:left="0" w:firstLine="720"/>
        <w:rPr>
          <w:rFonts w:asciiTheme="majorHAnsi" w:eastAsia="MS Mincho"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D52F17">
        <w:rPr>
          <w:rFonts w:asciiTheme="majorHAnsi" w:eastAsia="MS Mincho" w:hAnsiTheme="majorHAnsi"/>
          <w:sz w:val="20"/>
          <w:szCs w:val="20"/>
        </w:rPr>
        <w:t xml:space="preserve">With regard to </w:t>
      </w:r>
      <w:r>
        <w:rPr>
          <w:rFonts w:asciiTheme="majorHAnsi" w:eastAsia="MS Mincho" w:hAnsiTheme="majorHAnsi"/>
          <w:sz w:val="20"/>
          <w:szCs w:val="20"/>
        </w:rPr>
        <w:t>implementation</w:t>
      </w:r>
      <w:r w:rsidRPr="00D52F17">
        <w:rPr>
          <w:rFonts w:asciiTheme="majorHAnsi" w:eastAsia="MS Mincho" w:hAnsiTheme="majorHAnsi"/>
          <w:sz w:val="20"/>
          <w:szCs w:val="20"/>
        </w:rPr>
        <w:t xml:space="preserve"> of the friendly settlement agreement </w:t>
      </w:r>
      <w:r w:rsidRPr="00520B6E">
        <w:rPr>
          <w:rFonts w:asciiTheme="majorHAnsi" w:eastAsia="MS Mincho" w:hAnsiTheme="majorHAnsi"/>
          <w:sz w:val="20"/>
          <w:szCs w:val="20"/>
        </w:rPr>
        <w:t>contained herein</w:t>
      </w:r>
      <w:r w:rsidRPr="00D52F17">
        <w:rPr>
          <w:rFonts w:asciiTheme="majorHAnsi" w:eastAsia="MS Mincho" w:hAnsiTheme="majorHAnsi"/>
          <w:sz w:val="20"/>
          <w:szCs w:val="20"/>
        </w:rPr>
        <w:t xml:space="preserve">, the IACHR will proceed to conduct the </w:t>
      </w:r>
      <w:r>
        <w:rPr>
          <w:rFonts w:asciiTheme="majorHAnsi" w:eastAsia="MS Mincho" w:hAnsiTheme="majorHAnsi"/>
          <w:sz w:val="20"/>
          <w:szCs w:val="20"/>
        </w:rPr>
        <w:t>relevant</w:t>
      </w:r>
      <w:r w:rsidRPr="00D52F17">
        <w:rPr>
          <w:rFonts w:asciiTheme="majorHAnsi" w:eastAsia="MS Mincho" w:hAnsiTheme="majorHAnsi"/>
          <w:sz w:val="20"/>
          <w:szCs w:val="20"/>
        </w:rPr>
        <w:t xml:space="preserve"> assessment based on the information </w:t>
      </w:r>
      <w:r>
        <w:rPr>
          <w:rFonts w:asciiTheme="majorHAnsi" w:eastAsia="MS Mincho" w:hAnsiTheme="majorHAnsi"/>
          <w:sz w:val="20"/>
          <w:szCs w:val="20"/>
        </w:rPr>
        <w:t>furnished</w:t>
      </w:r>
      <w:r w:rsidRPr="00D52F17">
        <w:rPr>
          <w:rFonts w:asciiTheme="majorHAnsi" w:eastAsia="MS Mincho" w:hAnsiTheme="majorHAnsi"/>
          <w:sz w:val="20"/>
          <w:szCs w:val="20"/>
        </w:rPr>
        <w:t xml:space="preserve"> by the parties.  </w:t>
      </w:r>
    </w:p>
    <w:p w:rsidR="003E3B8D" w:rsidRPr="00D52F17" w:rsidRDefault="003E3B8D" w:rsidP="003E3B8D">
      <w:pPr>
        <w:pStyle w:val="ListParagraph"/>
        <w:ind w:left="0" w:firstLine="720"/>
        <w:rPr>
          <w:rFonts w:asciiTheme="majorHAnsi" w:eastAsia="MS Mincho"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Pr>
          <w:rFonts w:asciiTheme="majorHAnsi" w:eastAsia="MS Mincho" w:hAnsiTheme="majorHAnsi"/>
          <w:sz w:val="20"/>
          <w:szCs w:val="20"/>
        </w:rPr>
        <w:lastRenderedPageBreak/>
        <w:t>Regarding</w:t>
      </w:r>
      <w:r w:rsidRPr="00D52F17">
        <w:rPr>
          <w:rFonts w:asciiTheme="majorHAnsi" w:eastAsia="MS Mincho" w:hAnsiTheme="majorHAnsi"/>
          <w:sz w:val="20"/>
          <w:szCs w:val="20"/>
        </w:rPr>
        <w:t xml:space="preserve"> the second clause of the friendly settlement agreement, in the State’s July 23, 2015</w:t>
      </w:r>
      <w:r>
        <w:rPr>
          <w:rFonts w:asciiTheme="majorHAnsi" w:eastAsia="MS Mincho" w:hAnsiTheme="majorHAnsi"/>
          <w:sz w:val="20"/>
          <w:szCs w:val="20"/>
        </w:rPr>
        <w:t xml:space="preserve"> report</w:t>
      </w:r>
      <w:r w:rsidRPr="00D52F17">
        <w:rPr>
          <w:rFonts w:asciiTheme="majorHAnsi" w:eastAsia="MS Mincho" w:hAnsiTheme="majorHAnsi"/>
          <w:sz w:val="20"/>
          <w:szCs w:val="20"/>
        </w:rPr>
        <w:t xml:space="preserve">, it indicated that it had delivered two checks payable to </w:t>
      </w:r>
      <w:r>
        <w:rPr>
          <w:rFonts w:asciiTheme="majorHAnsi" w:eastAsia="MS Mincho" w:hAnsiTheme="majorHAnsi"/>
          <w:sz w:val="20"/>
          <w:szCs w:val="20"/>
        </w:rPr>
        <w:t>Ms.</w:t>
      </w:r>
      <w:r w:rsidRPr="00D52F17">
        <w:rPr>
          <w:rFonts w:asciiTheme="majorHAnsi" w:eastAsia="MS Mincho" w:hAnsiTheme="majorHAnsi"/>
          <w:sz w:val="20"/>
          <w:szCs w:val="20"/>
        </w:rPr>
        <w:t xml:space="preserve"> Sanchez Valdivieso: one check issued by the government of Oaxaca in the amount of one hundred and twenty thousand Mexican pesos (MX$120,000.00)</w:t>
      </w:r>
      <w:r>
        <w:rPr>
          <w:rFonts w:asciiTheme="majorHAnsi" w:eastAsia="MS Mincho" w:hAnsiTheme="majorHAnsi"/>
          <w:sz w:val="20"/>
          <w:szCs w:val="20"/>
        </w:rPr>
        <w:t>,</w:t>
      </w:r>
      <w:r w:rsidRPr="00D52F17">
        <w:rPr>
          <w:rFonts w:asciiTheme="majorHAnsi" w:eastAsia="MS Mincho" w:hAnsiTheme="majorHAnsi"/>
          <w:sz w:val="20"/>
          <w:szCs w:val="20"/>
        </w:rPr>
        <w:t xml:space="preserve"> </w:t>
      </w:r>
      <w:r>
        <w:rPr>
          <w:rFonts w:asciiTheme="majorHAnsi" w:eastAsia="MS Mincho" w:hAnsiTheme="majorHAnsi"/>
          <w:sz w:val="20"/>
          <w:szCs w:val="20"/>
        </w:rPr>
        <w:t>as well as</w:t>
      </w:r>
      <w:r w:rsidRPr="00D52F17">
        <w:rPr>
          <w:rFonts w:asciiTheme="majorHAnsi" w:eastAsia="MS Mincho" w:hAnsiTheme="majorHAnsi"/>
          <w:sz w:val="20"/>
          <w:szCs w:val="20"/>
        </w:rPr>
        <w:t xml:space="preserve"> a check issued by the Secretariat of the Interior in the amount of three hundred and seventy-eight thousand nine hundred and twenty-seven Mexican pesos (MX$378,927.00). The State provided the IACHR with </w:t>
      </w:r>
      <w:r>
        <w:rPr>
          <w:rFonts w:asciiTheme="majorHAnsi" w:eastAsia="MS Mincho" w:hAnsiTheme="majorHAnsi"/>
          <w:sz w:val="20"/>
          <w:szCs w:val="20"/>
        </w:rPr>
        <w:t>a</w:t>
      </w:r>
      <w:r w:rsidRPr="00D52F17">
        <w:rPr>
          <w:rFonts w:asciiTheme="majorHAnsi" w:eastAsia="MS Mincho" w:hAnsiTheme="majorHAnsi"/>
          <w:sz w:val="20"/>
          <w:szCs w:val="20"/>
        </w:rPr>
        <w:t xml:space="preserve"> record of check delivery, dated October 24, 2012, signed by the parties, together with a </w:t>
      </w:r>
      <w:r>
        <w:rPr>
          <w:rFonts w:asciiTheme="majorHAnsi" w:eastAsia="MS Mincho" w:hAnsiTheme="majorHAnsi"/>
          <w:sz w:val="20"/>
          <w:szCs w:val="20"/>
        </w:rPr>
        <w:t>uncertified</w:t>
      </w:r>
      <w:r w:rsidRPr="00D52F17">
        <w:rPr>
          <w:rFonts w:asciiTheme="majorHAnsi" w:eastAsia="MS Mincho" w:hAnsiTheme="majorHAnsi"/>
          <w:sz w:val="20"/>
          <w:szCs w:val="20"/>
        </w:rPr>
        <w:t xml:space="preserve"> copy of one of the checks.</w:t>
      </w:r>
      <w:r>
        <w:rPr>
          <w:rFonts w:asciiTheme="majorHAnsi" w:eastAsia="MS Mincho" w:hAnsiTheme="majorHAnsi"/>
          <w:sz w:val="20"/>
          <w:szCs w:val="20"/>
        </w:rPr>
        <w:t xml:space="preserve"> T</w:t>
      </w:r>
      <w:r w:rsidRPr="00D52F17">
        <w:rPr>
          <w:rFonts w:asciiTheme="majorHAnsi" w:eastAsia="MS Mincho" w:hAnsiTheme="majorHAnsi"/>
          <w:sz w:val="20"/>
          <w:szCs w:val="20"/>
        </w:rPr>
        <w:t xml:space="preserve">he Commission </w:t>
      </w:r>
      <w:r>
        <w:rPr>
          <w:rFonts w:asciiTheme="majorHAnsi" w:eastAsia="MS Mincho" w:hAnsiTheme="majorHAnsi"/>
          <w:sz w:val="20"/>
          <w:szCs w:val="20"/>
        </w:rPr>
        <w:t xml:space="preserve">therefore </w:t>
      </w:r>
      <w:r w:rsidRPr="00D52F17">
        <w:rPr>
          <w:rFonts w:asciiTheme="majorHAnsi" w:eastAsia="MS Mincho" w:hAnsiTheme="majorHAnsi"/>
          <w:sz w:val="20"/>
          <w:szCs w:val="20"/>
        </w:rPr>
        <w:t xml:space="preserve">deems that this </w:t>
      </w:r>
      <w:r>
        <w:rPr>
          <w:rFonts w:asciiTheme="majorHAnsi" w:eastAsia="MS Mincho" w:hAnsiTheme="majorHAnsi"/>
          <w:sz w:val="20"/>
          <w:szCs w:val="20"/>
        </w:rPr>
        <w:t>item</w:t>
      </w:r>
      <w:r w:rsidRPr="00D52F17">
        <w:rPr>
          <w:rFonts w:asciiTheme="majorHAnsi" w:eastAsia="MS Mincho" w:hAnsiTheme="majorHAnsi"/>
          <w:sz w:val="20"/>
          <w:szCs w:val="20"/>
        </w:rPr>
        <w:t xml:space="preserve"> of the agreement has been duly </w:t>
      </w:r>
      <w:r>
        <w:rPr>
          <w:rFonts w:asciiTheme="majorHAnsi" w:eastAsia="MS Mincho" w:hAnsiTheme="majorHAnsi"/>
          <w:sz w:val="20"/>
          <w:szCs w:val="20"/>
        </w:rPr>
        <w:t>completed</w:t>
      </w:r>
      <w:r w:rsidRPr="00D52F17">
        <w:rPr>
          <w:rFonts w:asciiTheme="majorHAnsi" w:eastAsia="MS Mincho" w:hAnsiTheme="majorHAnsi"/>
          <w:sz w:val="20"/>
          <w:szCs w:val="20"/>
        </w:rPr>
        <w:t>.</w:t>
      </w:r>
    </w:p>
    <w:p w:rsidR="003E3B8D" w:rsidRPr="00D52F17" w:rsidRDefault="003E3B8D" w:rsidP="003E3B8D">
      <w:pPr>
        <w:pStyle w:val="ListParagraph"/>
        <w:ind w:left="0" w:firstLine="720"/>
        <w:rPr>
          <w:rFonts w:asciiTheme="majorHAnsi" w:eastAsia="MS Mincho"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Pr>
          <w:rFonts w:asciiTheme="majorHAnsi" w:eastAsia="MS Mincho" w:hAnsiTheme="majorHAnsi"/>
          <w:sz w:val="20"/>
          <w:szCs w:val="20"/>
        </w:rPr>
        <w:t>With respect</w:t>
      </w:r>
      <w:r w:rsidRPr="00D52F17">
        <w:rPr>
          <w:rFonts w:asciiTheme="majorHAnsi" w:eastAsia="MS Mincho" w:hAnsiTheme="majorHAnsi"/>
          <w:sz w:val="20"/>
          <w:szCs w:val="20"/>
        </w:rPr>
        <w:t xml:space="preserve"> to the third clause, the State </w:t>
      </w:r>
      <w:r>
        <w:rPr>
          <w:rFonts w:asciiTheme="majorHAnsi" w:eastAsia="MS Mincho" w:hAnsiTheme="majorHAnsi"/>
          <w:sz w:val="20"/>
          <w:szCs w:val="20"/>
        </w:rPr>
        <w:t>provided</w:t>
      </w:r>
      <w:r w:rsidRPr="00D52F17">
        <w:rPr>
          <w:rFonts w:asciiTheme="majorHAnsi" w:eastAsia="MS Mincho" w:hAnsiTheme="majorHAnsi"/>
          <w:sz w:val="20"/>
          <w:szCs w:val="20"/>
        </w:rPr>
        <w:t xml:space="preserve"> information on </w:t>
      </w:r>
      <w:r>
        <w:rPr>
          <w:rFonts w:asciiTheme="majorHAnsi" w:eastAsia="MS Mincho" w:hAnsiTheme="majorHAnsi"/>
          <w:sz w:val="20"/>
          <w:szCs w:val="20"/>
        </w:rPr>
        <w:t>actions taken to satisfy</w:t>
      </w:r>
      <w:r w:rsidRPr="00D52F17">
        <w:rPr>
          <w:rFonts w:asciiTheme="majorHAnsi" w:eastAsia="MS Mincho" w:hAnsiTheme="majorHAnsi"/>
          <w:sz w:val="20"/>
          <w:szCs w:val="20"/>
        </w:rPr>
        <w:t xml:space="preserve"> the </w:t>
      </w:r>
      <w:r>
        <w:rPr>
          <w:rFonts w:asciiTheme="majorHAnsi" w:eastAsia="MS Mincho" w:hAnsiTheme="majorHAnsi"/>
          <w:sz w:val="20"/>
          <w:szCs w:val="20"/>
        </w:rPr>
        <w:t>items</w:t>
      </w:r>
      <w:r w:rsidRPr="00D52F17">
        <w:rPr>
          <w:rFonts w:asciiTheme="majorHAnsi" w:eastAsia="MS Mincho" w:hAnsiTheme="majorHAnsi"/>
          <w:sz w:val="20"/>
          <w:szCs w:val="20"/>
        </w:rPr>
        <w:t xml:space="preserve"> that comprise it. As regards the </w:t>
      </w:r>
      <w:r w:rsidRPr="008A5BEC">
        <w:rPr>
          <w:rFonts w:asciiTheme="majorHAnsi" w:eastAsia="MS Mincho" w:hAnsiTheme="majorHAnsi"/>
          <w:sz w:val="20"/>
          <w:szCs w:val="20"/>
        </w:rPr>
        <w:t>productive</w:t>
      </w:r>
      <w:r w:rsidRPr="00D52F17">
        <w:rPr>
          <w:rFonts w:asciiTheme="majorHAnsi" w:eastAsia="MS Mincho" w:hAnsiTheme="majorHAnsi"/>
          <w:sz w:val="20"/>
          <w:szCs w:val="20"/>
        </w:rPr>
        <w:t xml:space="preserve"> program, the Stated reported that o</w:t>
      </w:r>
      <w:r>
        <w:rPr>
          <w:rFonts w:asciiTheme="majorHAnsi" w:eastAsia="MS Mincho" w:hAnsiTheme="majorHAnsi"/>
          <w:sz w:val="20"/>
          <w:szCs w:val="20"/>
        </w:rPr>
        <w:t>n December </w:t>
      </w:r>
      <w:r w:rsidRPr="00D52F17">
        <w:rPr>
          <w:rFonts w:asciiTheme="majorHAnsi" w:eastAsia="MS Mincho" w:hAnsiTheme="majorHAnsi"/>
          <w:sz w:val="20"/>
          <w:szCs w:val="20"/>
        </w:rPr>
        <w:t xml:space="preserve">10, 2012, the government of Oaxaca furnished property to the victim and her family under the </w:t>
      </w:r>
      <w:r w:rsidRPr="007A7E82">
        <w:rPr>
          <w:rFonts w:asciiTheme="majorHAnsi" w:eastAsia="MS Mincho" w:hAnsiTheme="majorHAnsi"/>
          <w:sz w:val="20"/>
          <w:szCs w:val="20"/>
        </w:rPr>
        <w:t>“Self-Employed Occupational Initiative” that included a chicken rotisserie machine for Ms. Vicenta Sánchez Valdivieso and equipment to start her own business</w:t>
      </w:r>
      <w:r>
        <w:rPr>
          <w:rFonts w:asciiTheme="majorHAnsi" w:eastAsia="MS Mincho" w:hAnsiTheme="majorHAnsi"/>
          <w:sz w:val="20"/>
          <w:szCs w:val="20"/>
        </w:rPr>
        <w:t>,</w:t>
      </w:r>
      <w:r w:rsidRPr="007A7E82">
        <w:rPr>
          <w:rFonts w:asciiTheme="majorHAnsi" w:eastAsia="MS Mincho" w:hAnsiTheme="majorHAnsi"/>
          <w:sz w:val="20"/>
          <w:szCs w:val="20"/>
        </w:rPr>
        <w:t xml:space="preserve"> “Rosticería Ña Vicenta</w:t>
      </w:r>
      <w:r>
        <w:rPr>
          <w:rFonts w:asciiTheme="majorHAnsi" w:eastAsia="MS Mincho" w:hAnsiTheme="majorHAnsi"/>
          <w:sz w:val="20"/>
          <w:szCs w:val="20"/>
        </w:rPr>
        <w:t>.”</w:t>
      </w:r>
      <w:r w:rsidRPr="007A7E82">
        <w:rPr>
          <w:rFonts w:asciiTheme="majorHAnsi" w:eastAsia="MS Mincho" w:hAnsiTheme="majorHAnsi"/>
          <w:sz w:val="20"/>
          <w:szCs w:val="20"/>
        </w:rPr>
        <w:t xml:space="preserve"> The State indicated</w:t>
      </w:r>
      <w:r>
        <w:rPr>
          <w:rFonts w:asciiTheme="majorHAnsi" w:eastAsia="MS Mincho" w:hAnsiTheme="majorHAnsi"/>
          <w:sz w:val="20"/>
          <w:szCs w:val="20"/>
        </w:rPr>
        <w:t xml:space="preserve"> that</w:t>
      </w:r>
      <w:r w:rsidRPr="007A7E82">
        <w:rPr>
          <w:rFonts w:asciiTheme="majorHAnsi" w:eastAsia="MS Mincho" w:hAnsiTheme="majorHAnsi"/>
          <w:sz w:val="20"/>
          <w:szCs w:val="20"/>
        </w:rPr>
        <w:t xml:space="preserve"> it had conducted</w:t>
      </w:r>
      <w:r w:rsidRPr="00D52F17">
        <w:rPr>
          <w:rFonts w:asciiTheme="majorHAnsi" w:eastAsia="MS Mincho" w:hAnsiTheme="majorHAnsi"/>
          <w:sz w:val="20"/>
          <w:szCs w:val="20"/>
        </w:rPr>
        <w:t xml:space="preserve"> several follow-up visits to verify the functioning of the assets furnished </w:t>
      </w:r>
      <w:r>
        <w:rPr>
          <w:rFonts w:asciiTheme="majorHAnsi" w:eastAsia="MS Mincho" w:hAnsiTheme="majorHAnsi"/>
          <w:sz w:val="20"/>
          <w:szCs w:val="20"/>
        </w:rPr>
        <w:t>as well as</w:t>
      </w:r>
      <w:r w:rsidRPr="00D52F17">
        <w:rPr>
          <w:rFonts w:asciiTheme="majorHAnsi" w:eastAsia="MS Mincho" w:hAnsiTheme="majorHAnsi"/>
          <w:sz w:val="20"/>
          <w:szCs w:val="20"/>
        </w:rPr>
        <w:t xml:space="preserve"> </w:t>
      </w:r>
      <w:r>
        <w:rPr>
          <w:rFonts w:asciiTheme="majorHAnsi" w:eastAsia="MS Mincho" w:hAnsiTheme="majorHAnsi"/>
          <w:sz w:val="20"/>
          <w:szCs w:val="20"/>
        </w:rPr>
        <w:t>the</w:t>
      </w:r>
      <w:r w:rsidRPr="00D52F17">
        <w:rPr>
          <w:rFonts w:asciiTheme="majorHAnsi" w:eastAsia="MS Mincho" w:hAnsiTheme="majorHAnsi"/>
          <w:sz w:val="20"/>
          <w:szCs w:val="20"/>
        </w:rPr>
        <w:t xml:space="preserve"> proper implementation</w:t>
      </w:r>
      <w:r>
        <w:rPr>
          <w:rFonts w:asciiTheme="majorHAnsi" w:eastAsia="MS Mincho" w:hAnsiTheme="majorHAnsi"/>
          <w:sz w:val="20"/>
          <w:szCs w:val="20"/>
        </w:rPr>
        <w:t xml:space="preserve"> thereof</w:t>
      </w:r>
      <w:r w:rsidRPr="00D52F17">
        <w:rPr>
          <w:rFonts w:asciiTheme="majorHAnsi" w:eastAsia="MS Mincho" w:hAnsiTheme="majorHAnsi"/>
          <w:sz w:val="20"/>
          <w:szCs w:val="20"/>
        </w:rPr>
        <w:t xml:space="preserve">. The State furnished photographic records of the business’ equipment, as well as a document with a list of assets </w:t>
      </w:r>
      <w:r>
        <w:rPr>
          <w:rFonts w:asciiTheme="majorHAnsi" w:eastAsia="MS Mincho" w:hAnsiTheme="majorHAnsi"/>
          <w:sz w:val="20"/>
          <w:szCs w:val="20"/>
        </w:rPr>
        <w:t>provided</w:t>
      </w:r>
      <w:r w:rsidRPr="00D52F17">
        <w:rPr>
          <w:rFonts w:asciiTheme="majorHAnsi" w:eastAsia="MS Mincho" w:hAnsiTheme="majorHAnsi"/>
          <w:sz w:val="20"/>
          <w:szCs w:val="20"/>
        </w:rPr>
        <w:t xml:space="preserve">, signed by the petitioner and a representative of the Office of the National Employment Service of Oaxaca. The list consisted of “a freezer with heavy duty copper pipes, a lock, removable baskets, and a drainage system with handles, and </w:t>
      </w:r>
      <w:r>
        <w:rPr>
          <w:rFonts w:asciiTheme="majorHAnsi" w:eastAsia="MS Mincho" w:hAnsiTheme="majorHAnsi"/>
          <w:sz w:val="20"/>
          <w:szCs w:val="20"/>
        </w:rPr>
        <w:t xml:space="preserve">a </w:t>
      </w:r>
      <w:r w:rsidRPr="005B7DD5">
        <w:rPr>
          <w:rFonts w:asciiTheme="majorHAnsi" w:eastAsia="MS Mincho" w:hAnsiTheme="majorHAnsi"/>
          <w:sz w:val="20"/>
          <w:szCs w:val="20"/>
        </w:rPr>
        <w:t>21-27 chicken</w:t>
      </w:r>
      <w:r w:rsidRPr="00D52F17">
        <w:rPr>
          <w:rFonts w:asciiTheme="majorHAnsi" w:eastAsia="MS Mincho" w:hAnsiTheme="majorHAnsi"/>
          <w:sz w:val="20"/>
          <w:szCs w:val="20"/>
        </w:rPr>
        <w:t xml:space="preserve"> rotisserie machine, which has a stainless steel </w:t>
      </w:r>
      <w:r w:rsidRPr="005B7DD5">
        <w:rPr>
          <w:rFonts w:asciiTheme="majorHAnsi" w:eastAsia="MS Mincho" w:hAnsiTheme="majorHAnsi"/>
          <w:sz w:val="20"/>
          <w:szCs w:val="20"/>
        </w:rPr>
        <w:t>interior</w:t>
      </w:r>
      <w:r w:rsidRPr="00D52F17">
        <w:rPr>
          <w:rFonts w:asciiTheme="majorHAnsi" w:eastAsia="MS Mincho" w:hAnsiTheme="majorHAnsi"/>
          <w:sz w:val="20"/>
          <w:szCs w:val="20"/>
        </w:rPr>
        <w:t xml:space="preserve"> with 3 spits, interior lighting, and a tempered-glass door.”</w:t>
      </w:r>
    </w:p>
    <w:p w:rsidR="003E3B8D" w:rsidRPr="00D52F17" w:rsidRDefault="003E3B8D" w:rsidP="003E3B8D">
      <w:pPr>
        <w:pStyle w:val="ListParagraph"/>
        <w:ind w:left="0" w:firstLine="720"/>
        <w:rPr>
          <w:rFonts w:asciiTheme="majorHAnsi" w:eastAsia="MS Mincho"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5731DC">
        <w:rPr>
          <w:rFonts w:asciiTheme="majorHAnsi" w:eastAsia="MS Mincho" w:hAnsiTheme="majorHAnsi"/>
          <w:sz w:val="20"/>
          <w:szCs w:val="20"/>
        </w:rPr>
        <w:t>Regarding</w:t>
      </w:r>
      <w:r>
        <w:rPr>
          <w:rFonts w:asciiTheme="majorHAnsi" w:eastAsia="MS Mincho" w:hAnsiTheme="majorHAnsi"/>
          <w:sz w:val="20"/>
          <w:szCs w:val="20"/>
        </w:rPr>
        <w:t xml:space="preserve"> the seed program and job training stipend, the State indicated that the petitioners had received training on the use and operation of the chicken rotisserie, </w:t>
      </w:r>
      <w:r w:rsidRPr="0003148E">
        <w:rPr>
          <w:rFonts w:asciiTheme="majorHAnsi" w:eastAsia="MS Mincho" w:hAnsiTheme="majorHAnsi"/>
          <w:sz w:val="20"/>
          <w:szCs w:val="20"/>
        </w:rPr>
        <w:t>in keeping with the plan for self-employment. The State specified that the seed program focuses on business project development through</w:t>
      </w:r>
      <w:r>
        <w:rPr>
          <w:rFonts w:asciiTheme="majorHAnsi" w:eastAsia="MS Mincho" w:hAnsiTheme="majorHAnsi"/>
          <w:sz w:val="20"/>
          <w:szCs w:val="20"/>
        </w:rPr>
        <w:t xml:space="preserve"> the financing of activities to help launch entrepreneurial endeavors</w:t>
      </w:r>
      <w:r w:rsidRPr="00D52F17">
        <w:rPr>
          <w:rFonts w:asciiTheme="majorHAnsi" w:eastAsia="MS Mincho" w:hAnsiTheme="majorHAnsi"/>
          <w:sz w:val="20"/>
          <w:szCs w:val="20"/>
        </w:rPr>
        <w:t xml:space="preserve">. </w:t>
      </w:r>
    </w:p>
    <w:p w:rsidR="003E3B8D" w:rsidRPr="00D52F17" w:rsidRDefault="003E3B8D" w:rsidP="003E3B8D">
      <w:pPr>
        <w:pStyle w:val="ListParagraph"/>
        <w:ind w:left="0" w:firstLine="720"/>
        <w:rPr>
          <w:rFonts w:asciiTheme="majorHAnsi" w:eastAsia="MS Mincho"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Pr>
          <w:rFonts w:asciiTheme="majorHAnsi" w:eastAsia="MS Mincho" w:hAnsiTheme="majorHAnsi"/>
          <w:sz w:val="20"/>
          <w:szCs w:val="20"/>
        </w:rPr>
        <w:t>With respect to health insurance, the State reported that the victim had indicated she did not need the public health insurance coverage since she had insurance provided by the Secretariat of Health of the State of O</w:t>
      </w:r>
      <w:r w:rsidRPr="005731DC">
        <w:rPr>
          <w:rFonts w:asciiTheme="majorHAnsi" w:eastAsia="MS Mincho" w:hAnsiTheme="majorHAnsi"/>
          <w:sz w:val="20"/>
          <w:szCs w:val="20"/>
        </w:rPr>
        <w:t>axaca</w:t>
      </w:r>
      <w:r>
        <w:rPr>
          <w:rFonts w:asciiTheme="majorHAnsi" w:eastAsia="MS Mincho" w:hAnsiTheme="majorHAnsi"/>
          <w:sz w:val="20"/>
          <w:szCs w:val="20"/>
        </w:rPr>
        <w:t xml:space="preserve"> because her son works there</w:t>
      </w:r>
      <w:r w:rsidRPr="005731DC">
        <w:rPr>
          <w:rFonts w:asciiTheme="majorHAnsi" w:eastAsia="MS Mincho" w:hAnsiTheme="majorHAnsi"/>
          <w:sz w:val="20"/>
          <w:szCs w:val="20"/>
        </w:rPr>
        <w:t xml:space="preserve">. </w:t>
      </w:r>
      <w:r>
        <w:rPr>
          <w:rFonts w:asciiTheme="majorHAnsi" w:eastAsia="MS Mincho" w:hAnsiTheme="majorHAnsi"/>
          <w:sz w:val="20"/>
          <w:szCs w:val="20"/>
        </w:rPr>
        <w:t xml:space="preserve">Nevertheless, according </w:t>
      </w:r>
      <w:r w:rsidRPr="00766D4B">
        <w:rPr>
          <w:rFonts w:asciiTheme="majorHAnsi" w:eastAsia="MS Mincho" w:hAnsiTheme="majorHAnsi"/>
          <w:sz w:val="20"/>
          <w:szCs w:val="20"/>
        </w:rPr>
        <w:t>to minutes</w:t>
      </w:r>
      <w:r>
        <w:rPr>
          <w:rFonts w:asciiTheme="majorHAnsi" w:eastAsia="MS Mincho" w:hAnsiTheme="majorHAnsi"/>
          <w:sz w:val="20"/>
          <w:szCs w:val="20"/>
        </w:rPr>
        <w:t xml:space="preserve"> provided by the State</w:t>
      </w:r>
      <w:r w:rsidRPr="005731DC">
        <w:rPr>
          <w:rFonts w:asciiTheme="majorHAnsi" w:eastAsia="MS Mincho" w:hAnsiTheme="majorHAnsi"/>
          <w:sz w:val="20"/>
          <w:szCs w:val="20"/>
        </w:rPr>
        <w:t xml:space="preserve">, </w:t>
      </w:r>
      <w:r>
        <w:rPr>
          <w:rFonts w:asciiTheme="majorHAnsi" w:eastAsia="MS Mincho" w:hAnsiTheme="majorHAnsi"/>
          <w:sz w:val="20"/>
          <w:szCs w:val="20"/>
        </w:rPr>
        <w:t>the parties agreed to the following during a working meeting held on February 13, 2015</w:t>
      </w:r>
      <w:r w:rsidRPr="00D52F17">
        <w:rPr>
          <w:rFonts w:asciiTheme="majorHAnsi" w:eastAsia="MS Mincho" w:hAnsiTheme="majorHAnsi"/>
          <w:sz w:val="20"/>
          <w:szCs w:val="20"/>
        </w:rPr>
        <w:t>:</w:t>
      </w:r>
    </w:p>
    <w:p w:rsidR="003E3B8D" w:rsidRPr="00D52F17" w:rsidRDefault="003E3B8D" w:rsidP="003E3B8D">
      <w:pPr>
        <w:pStyle w:val="ListParagraph"/>
        <w:rPr>
          <w:rFonts w:asciiTheme="majorHAnsi" w:eastAsia="MS Mincho" w:hAnsiTheme="majorHAnsi"/>
          <w:sz w:val="20"/>
          <w:szCs w:val="20"/>
        </w:rPr>
      </w:pP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MS Mincho" w:hAnsiTheme="majorHAnsi"/>
          <w:sz w:val="20"/>
          <w:szCs w:val="20"/>
        </w:rPr>
      </w:pPr>
      <w:r>
        <w:rPr>
          <w:rFonts w:asciiTheme="majorHAnsi" w:eastAsia="MS Mincho" w:hAnsiTheme="majorHAnsi"/>
          <w:b/>
          <w:sz w:val="20"/>
          <w:szCs w:val="20"/>
        </w:rPr>
        <w:t>First</w:t>
      </w:r>
      <w:r w:rsidRPr="002C24E4">
        <w:rPr>
          <w:rFonts w:asciiTheme="majorHAnsi" w:eastAsia="MS Mincho" w:hAnsiTheme="majorHAnsi"/>
          <w:sz w:val="20"/>
          <w:szCs w:val="20"/>
        </w:rPr>
        <w:t>:</w:t>
      </w:r>
      <w:r w:rsidRPr="005731DC">
        <w:rPr>
          <w:rFonts w:asciiTheme="majorHAnsi" w:eastAsia="MS Mincho" w:hAnsiTheme="majorHAnsi"/>
          <w:b/>
          <w:sz w:val="20"/>
          <w:szCs w:val="20"/>
        </w:rPr>
        <w:t xml:space="preserve"> </w:t>
      </w:r>
      <w:r>
        <w:rPr>
          <w:rFonts w:asciiTheme="majorHAnsi" w:eastAsia="MS Mincho" w:hAnsiTheme="majorHAnsi"/>
          <w:sz w:val="20"/>
          <w:szCs w:val="20"/>
        </w:rPr>
        <w:t xml:space="preserve">The representative of the Secretariat of Health </w:t>
      </w:r>
      <w:r w:rsidRPr="00A51C89">
        <w:rPr>
          <w:rFonts w:asciiTheme="majorHAnsi" w:eastAsia="MS Mincho" w:hAnsiTheme="majorHAnsi"/>
          <w:sz w:val="20"/>
          <w:szCs w:val="20"/>
        </w:rPr>
        <w:t>shall see to having the beneficiary, C. Vicenta Sanchez Valdivieso, treated at the Aurelio Valdivieso General Hospital in Oaxaca. To this end, the Secretariat of the Interior will be asked to</w:t>
      </w:r>
      <w:r>
        <w:rPr>
          <w:rFonts w:asciiTheme="majorHAnsi" w:eastAsia="MS Mincho" w:hAnsiTheme="majorHAnsi"/>
          <w:sz w:val="20"/>
          <w:szCs w:val="20"/>
        </w:rPr>
        <w:t xml:space="preserve"> intervene to determine whether or not it is possible to absorb the </w:t>
      </w:r>
      <w:r w:rsidRPr="00321777">
        <w:rPr>
          <w:rFonts w:asciiTheme="majorHAnsi" w:eastAsia="MS Mincho" w:hAnsiTheme="majorHAnsi"/>
          <w:sz w:val="20"/>
          <w:szCs w:val="20"/>
        </w:rPr>
        <w:t>costs such that</w:t>
      </w:r>
      <w:r>
        <w:rPr>
          <w:rFonts w:asciiTheme="majorHAnsi" w:eastAsia="MS Mincho" w:hAnsiTheme="majorHAnsi"/>
          <w:sz w:val="20"/>
          <w:szCs w:val="20"/>
        </w:rPr>
        <w:t xml:space="preserve"> the knee surgery needed by [the beneficiary] may be performed, </w:t>
      </w:r>
      <w:r w:rsidRPr="00321777">
        <w:rPr>
          <w:rFonts w:asciiTheme="majorHAnsi" w:eastAsia="MS Mincho" w:hAnsiTheme="majorHAnsi"/>
          <w:sz w:val="20"/>
          <w:szCs w:val="20"/>
        </w:rPr>
        <w:t>where appropriate</w:t>
      </w:r>
      <w:r w:rsidRPr="00D52F17">
        <w:rPr>
          <w:rFonts w:asciiTheme="majorHAnsi" w:eastAsia="MS Mincho" w:hAnsiTheme="majorHAnsi"/>
          <w:sz w:val="20"/>
          <w:szCs w:val="20"/>
        </w:rPr>
        <w:t>. […]</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p>
    <w:p w:rsidR="003E3B8D" w:rsidRPr="00D52F17" w:rsidRDefault="003E3B8D" w:rsidP="003E3B8D">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1D7A49">
        <w:rPr>
          <w:rFonts w:asciiTheme="majorHAnsi" w:eastAsia="MS Mincho" w:hAnsiTheme="majorHAnsi"/>
          <w:sz w:val="20"/>
          <w:szCs w:val="20"/>
        </w:rPr>
        <w:t>As to housing support, the State reported that the State Housing Commission had paid a visit to the victim’s home on November 7, 2012 in order to conduct a technical assessment of the damage that needed to be repaired; however, Ms. Sanchez Valdivieso indicated that she what she needed was a new house, not repairs. The State furnished a copy of the State Housing Commission’s Official Memo 2543 on its technical assessment, which included a record of the petitioner’s request and as well as an invitation for her to join the landowner building assistance program. In this regard, during a work</w:t>
      </w:r>
      <w:r>
        <w:rPr>
          <w:rFonts w:asciiTheme="majorHAnsi" w:eastAsia="MS Mincho" w:hAnsiTheme="majorHAnsi"/>
          <w:sz w:val="20"/>
          <w:szCs w:val="20"/>
        </w:rPr>
        <w:t>ing</w:t>
      </w:r>
      <w:r w:rsidRPr="001D7A49">
        <w:rPr>
          <w:rFonts w:asciiTheme="majorHAnsi" w:eastAsia="MS Mincho" w:hAnsiTheme="majorHAnsi"/>
          <w:sz w:val="20"/>
          <w:szCs w:val="20"/>
        </w:rPr>
        <w:t xml:space="preserve"> meeting held in Mexico City on September 24, 2015 at the behest of the IACHR, the State indicated that it remained willing to make improvements to the house if the petitioner and the victim so desired, but also stated that it would be impossible to provide a new house as that went beyond the stipulations of the agreement</w:t>
      </w:r>
      <w:r w:rsidRPr="00D52F17">
        <w:rPr>
          <w:rFonts w:asciiTheme="majorHAnsi" w:eastAsia="MS Mincho" w:hAnsiTheme="majorHAnsi"/>
          <w:sz w:val="20"/>
          <w:szCs w:val="20"/>
        </w:rPr>
        <w:t xml:space="preserve">. </w:t>
      </w:r>
    </w:p>
    <w:p w:rsidR="003E3B8D" w:rsidRPr="00D52F17" w:rsidRDefault="003E3B8D" w:rsidP="003E3B8D">
      <w:pPr>
        <w:ind w:firstLine="720"/>
        <w:rPr>
          <w:rFonts w:asciiTheme="majorHAnsi" w:eastAsia="MS Mincho"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110359">
        <w:rPr>
          <w:rFonts w:asciiTheme="majorHAnsi" w:eastAsia="MS Mincho" w:hAnsiTheme="majorHAnsi"/>
          <w:sz w:val="20"/>
          <w:szCs w:val="20"/>
        </w:rPr>
        <w:t>Regarding educational stipends for children between the ages of 4 and 14, the State indicated that stipend checks had been issued for the petitioner’s next of kin. The State provided, for the Commission to see, uncertified copies of both the canceled checks and of each child’s birth certificate</w:t>
      </w:r>
      <w:r w:rsidRPr="00D52F17">
        <w:rPr>
          <w:rFonts w:asciiTheme="majorHAnsi" w:eastAsia="MS Mincho" w:hAnsiTheme="majorHAnsi"/>
          <w:sz w:val="20"/>
          <w:szCs w:val="20"/>
        </w:rPr>
        <w:t xml:space="preserve">. </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110359">
        <w:rPr>
          <w:rFonts w:asciiTheme="majorHAnsi" w:eastAsia="MS Mincho" w:hAnsiTheme="majorHAnsi"/>
          <w:sz w:val="20"/>
          <w:szCs w:val="20"/>
        </w:rPr>
        <w:t>For their part, the petitioners indicated in a brief read out during the September 24, 2015 work</w:t>
      </w:r>
      <w:r>
        <w:rPr>
          <w:rFonts w:asciiTheme="majorHAnsi" w:eastAsia="MS Mincho" w:hAnsiTheme="majorHAnsi"/>
          <w:sz w:val="20"/>
          <w:szCs w:val="20"/>
        </w:rPr>
        <w:t>ing</w:t>
      </w:r>
      <w:r w:rsidRPr="00110359">
        <w:rPr>
          <w:rFonts w:asciiTheme="majorHAnsi" w:eastAsia="MS Mincho" w:hAnsiTheme="majorHAnsi"/>
          <w:sz w:val="20"/>
          <w:szCs w:val="20"/>
        </w:rPr>
        <w:t xml:space="preserve"> meeting that from their standpoint, the provisions of the second clause had all been met, but that clause three had not been satisfied in its entirety. They likewise asked the IACHR to assess whether the agreement was consistent with international provisions as far as redress for the harm caused to Ms. Vicenta </w:t>
      </w:r>
      <w:r w:rsidRPr="00110359">
        <w:rPr>
          <w:rFonts w:asciiTheme="majorHAnsi" w:eastAsia="MS Mincho" w:hAnsiTheme="majorHAnsi"/>
          <w:sz w:val="20"/>
          <w:szCs w:val="20"/>
        </w:rPr>
        <w:lastRenderedPageBreak/>
        <w:t>Sanchez Valdivieso was concerned, and if not, that the friendly settlement agreement be reconsidered. The petitioners indicated at that time that the agreement should be published by the IACHR</w:t>
      </w:r>
      <w:r w:rsidRPr="00D52F17">
        <w:rPr>
          <w:rFonts w:asciiTheme="majorHAnsi" w:eastAsia="MS Mincho" w:hAnsiTheme="majorHAnsi"/>
          <w:sz w:val="20"/>
          <w:szCs w:val="20"/>
        </w:rPr>
        <w:t xml:space="preserve">. </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Pr>
          <w:rFonts w:asciiTheme="majorHAnsi" w:eastAsia="MS Mincho" w:hAnsiTheme="majorHAnsi"/>
          <w:sz w:val="20"/>
          <w:szCs w:val="20"/>
        </w:rPr>
        <w:t>The IACHR</w:t>
      </w:r>
      <w:r w:rsidRPr="005731DC">
        <w:rPr>
          <w:rFonts w:asciiTheme="majorHAnsi" w:eastAsia="MS Mincho" w:hAnsiTheme="majorHAnsi"/>
          <w:sz w:val="20"/>
          <w:szCs w:val="20"/>
        </w:rPr>
        <w:t xml:space="preserve"> </w:t>
      </w:r>
      <w:r>
        <w:rPr>
          <w:rFonts w:asciiTheme="majorHAnsi" w:eastAsia="MS Mincho" w:hAnsiTheme="majorHAnsi"/>
          <w:sz w:val="20"/>
          <w:szCs w:val="20"/>
        </w:rPr>
        <w:t>takes note of the petitioners’ request and in such regard observes that the clauses of the friendly settlement agreement reached between the parties are consistent with the medical and social rehabilitation measures</w:t>
      </w:r>
      <w:r w:rsidRPr="00D52F17">
        <w:rPr>
          <w:rStyle w:val="FootnoteReference"/>
          <w:rFonts w:asciiTheme="majorHAnsi" w:eastAsia="MS Mincho" w:hAnsiTheme="majorHAnsi"/>
          <w:sz w:val="20"/>
          <w:szCs w:val="20"/>
        </w:rPr>
        <w:footnoteReference w:id="4"/>
      </w:r>
      <w:r w:rsidRPr="00D52F17">
        <w:rPr>
          <w:rFonts w:asciiTheme="majorHAnsi" w:eastAsia="MS Mincho" w:hAnsiTheme="majorHAnsi"/>
          <w:sz w:val="20"/>
          <w:szCs w:val="20"/>
        </w:rPr>
        <w:t xml:space="preserve"> </w:t>
      </w:r>
      <w:r>
        <w:rPr>
          <w:rFonts w:asciiTheme="majorHAnsi" w:eastAsia="MS Mincho" w:hAnsiTheme="majorHAnsi"/>
          <w:sz w:val="20"/>
          <w:szCs w:val="20"/>
        </w:rPr>
        <w:t>as well as the economic compensation measures</w:t>
      </w:r>
      <w:r w:rsidRPr="00D52F17">
        <w:rPr>
          <w:rStyle w:val="FootnoteReference"/>
          <w:rFonts w:asciiTheme="majorHAnsi" w:eastAsia="MS Mincho" w:hAnsiTheme="majorHAnsi"/>
          <w:sz w:val="20"/>
          <w:szCs w:val="20"/>
        </w:rPr>
        <w:t xml:space="preserve"> </w:t>
      </w:r>
      <w:r w:rsidRPr="00D52F17">
        <w:rPr>
          <w:rStyle w:val="FootnoteReference"/>
          <w:rFonts w:asciiTheme="majorHAnsi" w:eastAsia="MS Mincho" w:hAnsiTheme="majorHAnsi"/>
          <w:sz w:val="20"/>
          <w:szCs w:val="20"/>
        </w:rPr>
        <w:footnoteReference w:id="5"/>
      </w:r>
      <w:r w:rsidRPr="00D52F17">
        <w:rPr>
          <w:rFonts w:asciiTheme="majorHAnsi" w:eastAsia="MS Mincho" w:hAnsiTheme="majorHAnsi"/>
          <w:sz w:val="20"/>
          <w:szCs w:val="20"/>
        </w:rPr>
        <w:t xml:space="preserve"> </w:t>
      </w:r>
      <w:r w:rsidRPr="00110359">
        <w:rPr>
          <w:rFonts w:asciiTheme="majorHAnsi" w:eastAsia="MS Mincho" w:hAnsiTheme="majorHAnsi"/>
          <w:sz w:val="20"/>
          <w:szCs w:val="20"/>
        </w:rPr>
        <w:t>provided for in international human rights law. In this respect, the IACHR has determined that</w:t>
      </w:r>
      <w:r w:rsidRPr="00D52F17">
        <w:rPr>
          <w:rFonts w:asciiTheme="majorHAnsi" w:eastAsia="MS Mincho" w:hAnsiTheme="majorHAnsi"/>
          <w:sz w:val="20"/>
          <w:szCs w:val="20"/>
        </w:rPr>
        <w:t xml:space="preserve">: </w:t>
      </w:r>
    </w:p>
    <w:p w:rsidR="003E3B8D" w:rsidRPr="00D52F17" w:rsidRDefault="003E3B8D" w:rsidP="003E3B8D">
      <w:pPr>
        <w:pStyle w:val="ListParagraph"/>
        <w:rPr>
          <w:rFonts w:asciiTheme="majorHAnsi" w:eastAsia="MS Mincho" w:hAnsiTheme="majorHAnsi"/>
          <w:sz w:val="20"/>
          <w:szCs w:val="20"/>
        </w:rPr>
      </w:pPr>
    </w:p>
    <w:p w:rsidR="003E3B8D" w:rsidRPr="00D52F17" w:rsidRDefault="003E3B8D" w:rsidP="003E3B8D">
      <w:pPr>
        <w:pStyle w:val="ListParagraph"/>
        <w:ind w:right="720"/>
        <w:jc w:val="both"/>
        <w:rPr>
          <w:rFonts w:asciiTheme="majorHAnsi" w:eastAsia="MS Mincho" w:hAnsiTheme="majorHAnsi"/>
          <w:sz w:val="20"/>
          <w:szCs w:val="20"/>
        </w:rPr>
      </w:pPr>
      <w:r>
        <w:rPr>
          <w:rFonts w:asciiTheme="majorHAnsi" w:eastAsia="MS Mincho" w:hAnsiTheme="majorHAnsi"/>
          <w:sz w:val="20"/>
          <w:szCs w:val="20"/>
        </w:rPr>
        <w:t>[T]he</w:t>
      </w:r>
      <w:r w:rsidRPr="005731DC">
        <w:rPr>
          <w:rFonts w:asciiTheme="majorHAnsi" w:eastAsia="MS Mincho" w:hAnsiTheme="majorHAnsi"/>
          <w:sz w:val="20"/>
          <w:szCs w:val="20"/>
        </w:rPr>
        <w:t xml:space="preserve"> </w:t>
      </w:r>
      <w:r>
        <w:rPr>
          <w:rFonts w:asciiTheme="majorHAnsi" w:eastAsia="MS Mincho" w:hAnsiTheme="majorHAnsi"/>
          <w:sz w:val="20"/>
          <w:szCs w:val="20"/>
        </w:rPr>
        <w:t>purpose of rehabilitation measures is to assist victims of human rights violations in their recovery from the physical and psychological harm, and from the living conditions caused by those violations</w:t>
      </w:r>
      <w:r w:rsidRPr="005731DC">
        <w:rPr>
          <w:rFonts w:asciiTheme="majorHAnsi" w:eastAsia="MS Mincho" w:hAnsiTheme="majorHAnsi"/>
          <w:sz w:val="20"/>
          <w:szCs w:val="20"/>
        </w:rPr>
        <w:t xml:space="preserve">. </w:t>
      </w:r>
      <w:r>
        <w:rPr>
          <w:rFonts w:asciiTheme="majorHAnsi" w:eastAsia="MS Mincho" w:hAnsiTheme="majorHAnsi"/>
          <w:sz w:val="20"/>
          <w:szCs w:val="20"/>
        </w:rPr>
        <w:t>The inclusion of rehabilitation measures in friendly settlements has served to relieve persons who have appealed to the Commission as victims and to mitigate the effects of the events that led to their petitions</w:t>
      </w:r>
      <w:r w:rsidRPr="00D52F17">
        <w:rPr>
          <w:rStyle w:val="FootnoteReference"/>
          <w:rFonts w:asciiTheme="majorHAnsi" w:eastAsia="MS Mincho" w:hAnsiTheme="majorHAnsi"/>
          <w:sz w:val="20"/>
          <w:szCs w:val="20"/>
        </w:rPr>
        <w:t xml:space="preserve"> </w:t>
      </w:r>
      <w:r>
        <w:rPr>
          <w:rFonts w:asciiTheme="majorHAnsi" w:eastAsia="MS Mincho" w:hAnsiTheme="majorHAnsi"/>
          <w:sz w:val="20"/>
          <w:szCs w:val="20"/>
        </w:rPr>
        <w:t>.</w:t>
      </w:r>
      <w:r w:rsidRPr="00D52F17">
        <w:rPr>
          <w:rStyle w:val="FootnoteReference"/>
          <w:rFonts w:asciiTheme="majorHAnsi" w:eastAsia="MS Mincho" w:hAnsiTheme="majorHAnsi"/>
          <w:sz w:val="20"/>
          <w:szCs w:val="20"/>
        </w:rPr>
        <w:footnoteReference w:id="6"/>
      </w:r>
    </w:p>
    <w:p w:rsidR="003E3B8D" w:rsidRPr="00D52F17" w:rsidRDefault="003E3B8D" w:rsidP="003E3B8D">
      <w:pPr>
        <w:pStyle w:val="ListParagraph"/>
        <w:ind w:right="720"/>
        <w:jc w:val="both"/>
        <w:rPr>
          <w:rFonts w:asciiTheme="majorHAnsi" w:eastAsia="MS Mincho" w:hAnsiTheme="majorHAnsi"/>
          <w:sz w:val="20"/>
          <w:szCs w:val="20"/>
        </w:rPr>
      </w:pPr>
    </w:p>
    <w:p w:rsidR="003E3B8D" w:rsidRPr="00D52F17" w:rsidRDefault="003E3B8D" w:rsidP="003E3B8D">
      <w:pPr>
        <w:pStyle w:val="ListParagraph"/>
        <w:ind w:right="720"/>
        <w:jc w:val="both"/>
        <w:rPr>
          <w:rFonts w:asciiTheme="majorHAnsi" w:eastAsia="MS Mincho" w:hAnsiTheme="majorHAnsi"/>
          <w:sz w:val="20"/>
          <w:szCs w:val="20"/>
        </w:rPr>
      </w:pPr>
      <w:r w:rsidRPr="00110359">
        <w:rPr>
          <w:rFonts w:asciiTheme="majorHAnsi" w:eastAsia="MS Mincho" w:hAnsiTheme="majorHAnsi"/>
          <w:sz w:val="20"/>
          <w:szCs w:val="20"/>
        </w:rPr>
        <w:t>[And</w:t>
      </w:r>
      <w:r>
        <w:rPr>
          <w:rFonts w:asciiTheme="majorHAnsi" w:eastAsia="MS Mincho" w:hAnsiTheme="majorHAnsi"/>
          <w:sz w:val="20"/>
          <w:szCs w:val="20"/>
        </w:rPr>
        <w:t xml:space="preserve">] </w:t>
      </w:r>
      <w:r w:rsidRPr="00110359">
        <w:rPr>
          <w:rFonts w:asciiTheme="majorHAnsi" w:eastAsia="MS Mincho" w:hAnsiTheme="majorHAnsi"/>
          <w:sz w:val="20"/>
          <w:szCs w:val="20"/>
        </w:rPr>
        <w:t>[b]y signing friendly settlement agreements, victims of human rights violations and their heirs have received monetary payments as reparation for the harm caused by the violations. The payment of monetary compensation as a reparation measure has in some cases allowed the next of kin of victims of human rights violations to have a decent life</w:t>
      </w:r>
      <w:r>
        <w:rPr>
          <w:rFonts w:asciiTheme="majorHAnsi" w:eastAsia="MS Mincho" w:hAnsiTheme="majorHAnsi"/>
          <w:sz w:val="20"/>
          <w:szCs w:val="20"/>
        </w:rPr>
        <w:t>.</w:t>
      </w:r>
      <w:r w:rsidRPr="00D52F17">
        <w:rPr>
          <w:rStyle w:val="FootnoteReference"/>
          <w:rFonts w:asciiTheme="majorHAnsi" w:eastAsia="MS Mincho" w:hAnsiTheme="majorHAnsi"/>
          <w:sz w:val="20"/>
          <w:szCs w:val="20"/>
        </w:rPr>
        <w:footnoteReference w:id="7"/>
      </w:r>
    </w:p>
    <w:p w:rsidR="003E3B8D" w:rsidRPr="00D52F17" w:rsidRDefault="003E3B8D" w:rsidP="003E3B8D">
      <w:pPr>
        <w:rPr>
          <w:rFonts w:asciiTheme="majorHAnsi" w:eastAsia="MS Mincho"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FC1A39">
        <w:rPr>
          <w:rFonts w:asciiTheme="majorHAnsi" w:eastAsia="MS Mincho" w:hAnsiTheme="majorHAnsi"/>
          <w:sz w:val="20"/>
          <w:szCs w:val="20"/>
        </w:rPr>
        <w:t>With respect to the second clause of the friendly settlement agreement reached between the parties, the IACHR likewise observes that no contradiction exists in connection with the fulfillment thereof, and it should therefore be declared completed in its entirety</w:t>
      </w:r>
      <w:r w:rsidRPr="00D52F17">
        <w:rPr>
          <w:rFonts w:asciiTheme="majorHAnsi" w:eastAsia="MS Mincho" w:hAnsiTheme="majorHAnsi"/>
          <w:sz w:val="20"/>
          <w:szCs w:val="20"/>
        </w:rPr>
        <w:t xml:space="preserve">. </w:t>
      </w:r>
    </w:p>
    <w:p w:rsidR="003E3B8D" w:rsidRPr="00D52F17" w:rsidRDefault="003E3B8D" w:rsidP="003E3B8D">
      <w:pPr>
        <w:pStyle w:val="ListParagraph"/>
        <w:ind w:left="0" w:firstLine="720"/>
        <w:rPr>
          <w:rFonts w:asciiTheme="majorHAnsi" w:eastAsia="MS Mincho"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FC1A39">
        <w:rPr>
          <w:rFonts w:asciiTheme="majorHAnsi" w:eastAsia="MS Mincho" w:hAnsiTheme="majorHAnsi"/>
          <w:sz w:val="20"/>
          <w:szCs w:val="20"/>
        </w:rPr>
        <w:t>Regarding the third clause of the agreement, the IACHR observes that it consists of five items that must be evaluated in light of the information furnished by the parties. In such regard, the IACHR takes note of the evidence presented by the State in the form of photographic records and proof that the rotisserie equipment had been provided, as well as the cancelled checks for the student stipends, and thus considers that items 1, 2, and 5 of clause three of the friendly settlement agreement have been satisfied in their entirety</w:t>
      </w:r>
      <w:r w:rsidRPr="00D52F17">
        <w:rPr>
          <w:rFonts w:asciiTheme="majorHAnsi" w:eastAsia="MS Mincho" w:hAnsiTheme="majorHAnsi"/>
          <w:sz w:val="20"/>
          <w:szCs w:val="20"/>
        </w:rPr>
        <w:t xml:space="preserve">. </w:t>
      </w:r>
    </w:p>
    <w:p w:rsidR="003E3B8D" w:rsidRPr="00D52F17" w:rsidRDefault="003E3B8D" w:rsidP="003E3B8D">
      <w:pPr>
        <w:pStyle w:val="ListParagraph"/>
        <w:ind w:left="0" w:firstLine="720"/>
        <w:rPr>
          <w:rFonts w:asciiTheme="majorHAnsi" w:eastAsia="MS Mincho"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FC1A39">
        <w:rPr>
          <w:rFonts w:asciiTheme="majorHAnsi" w:eastAsia="MS Mincho" w:hAnsiTheme="majorHAnsi"/>
          <w:sz w:val="20"/>
          <w:szCs w:val="20"/>
        </w:rPr>
        <w:t>The IACHR also takes note of the victim’s medical coverage through the Secretariat of Health of the State of Oaxaca’s health insurance policy; it nonetheless observes that, pursuant to the minutes of the February 13, 2015 work meeting, there is still an unfulfilled commitment in connection with a knee operation. The victim reiterated her interest therein during the September 2015 work</w:t>
      </w:r>
      <w:r>
        <w:rPr>
          <w:rFonts w:asciiTheme="majorHAnsi" w:eastAsia="MS Mincho" w:hAnsiTheme="majorHAnsi"/>
          <w:sz w:val="20"/>
          <w:szCs w:val="20"/>
        </w:rPr>
        <w:t>ing</w:t>
      </w:r>
      <w:r w:rsidRPr="00FC1A39">
        <w:rPr>
          <w:rFonts w:asciiTheme="majorHAnsi" w:eastAsia="MS Mincho" w:hAnsiTheme="majorHAnsi"/>
          <w:sz w:val="20"/>
          <w:szCs w:val="20"/>
        </w:rPr>
        <w:t xml:space="preserve"> meeting presided by the country rapporteur, Commissioner James Cavallaro. Based on the foregoing, the IACHR believes that item 3 has been fulfilled in part and encourages the State to take all necessary steps to ensure that the victim receives treatment for her knees</w:t>
      </w:r>
      <w:r w:rsidRPr="00D52F17">
        <w:rPr>
          <w:rFonts w:asciiTheme="majorHAnsi" w:eastAsia="MS Mincho" w:hAnsiTheme="majorHAnsi"/>
          <w:sz w:val="20"/>
          <w:szCs w:val="20"/>
        </w:rPr>
        <w:t xml:space="preserve">. </w:t>
      </w:r>
    </w:p>
    <w:p w:rsidR="003E3B8D" w:rsidRPr="00D52F17" w:rsidRDefault="003E3B8D" w:rsidP="003E3B8D">
      <w:pPr>
        <w:pStyle w:val="ListParagraph"/>
        <w:ind w:left="0" w:firstLine="720"/>
        <w:rPr>
          <w:rFonts w:asciiTheme="majorHAnsi" w:eastAsia="MS Mincho"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FC1A39">
        <w:rPr>
          <w:rFonts w:asciiTheme="majorHAnsi" w:eastAsia="MS Mincho" w:hAnsiTheme="majorHAnsi"/>
          <w:sz w:val="20"/>
          <w:szCs w:val="20"/>
        </w:rPr>
        <w:t>As to the matter of housing, the IACHR lacks sufficient information to make a determination as to whether this item has been taken care of. However, given the victim’s advanced age and her health, as well as the fact that it would be impossible for her to make the improvements to her home herself, the IACHR encourages the State to explore all feasible options to ensure that Ms. Vicenta Sanchez Valdivieso is able to access other programs that help to improve her home and, as a result, enhance her quality of life in an environment that is safe, healthy, accessible, and adaptable to her needs as an older person</w:t>
      </w:r>
      <w:r w:rsidRPr="00D52F17">
        <w:rPr>
          <w:rFonts w:asciiTheme="majorHAnsi" w:eastAsia="MS Mincho" w:hAnsiTheme="majorHAnsi"/>
          <w:sz w:val="20"/>
          <w:szCs w:val="20"/>
        </w:rPr>
        <w:t xml:space="preserve">. </w:t>
      </w:r>
    </w:p>
    <w:p w:rsidR="003E3B8D" w:rsidRPr="00D52F17" w:rsidRDefault="003E3B8D" w:rsidP="003E3B8D">
      <w:pPr>
        <w:rPr>
          <w:rFonts w:asciiTheme="majorHAnsi" w:eastAsia="MS Mincho" w:hAnsiTheme="majorHAnsi" w:cs="Cambria"/>
          <w:color w:val="000000"/>
          <w:sz w:val="20"/>
          <w:szCs w:val="20"/>
          <w:lang w:eastAsia="es-ES"/>
        </w:rPr>
      </w:pPr>
    </w:p>
    <w:p w:rsidR="0005776D" w:rsidRDefault="0005776D">
      <w:pPr>
        <w:rPr>
          <w:rFonts w:asciiTheme="majorHAnsi" w:eastAsia="MS Mincho" w:hAnsiTheme="majorHAnsi"/>
          <w:b/>
          <w:sz w:val="20"/>
          <w:szCs w:val="20"/>
        </w:rPr>
      </w:pPr>
      <w:r>
        <w:rPr>
          <w:rFonts w:asciiTheme="majorHAnsi" w:eastAsia="MS Mincho" w:hAnsiTheme="majorHAnsi"/>
          <w:b/>
          <w:sz w:val="20"/>
          <w:szCs w:val="20"/>
        </w:rPr>
        <w:br w:type="page"/>
      </w:r>
    </w:p>
    <w:p w:rsidR="003E3B8D" w:rsidRPr="00D52F17" w:rsidRDefault="003E3B8D" w:rsidP="003E3B8D">
      <w:pPr>
        <w:ind w:left="720" w:right="720"/>
        <w:rPr>
          <w:rFonts w:asciiTheme="majorHAnsi" w:eastAsia="MS Mincho" w:hAnsiTheme="majorHAnsi"/>
          <w:b/>
          <w:sz w:val="20"/>
          <w:szCs w:val="20"/>
        </w:rPr>
      </w:pPr>
      <w:r>
        <w:rPr>
          <w:rFonts w:asciiTheme="majorHAnsi" w:eastAsia="MS Mincho" w:hAnsiTheme="majorHAnsi"/>
          <w:b/>
          <w:sz w:val="20"/>
          <w:szCs w:val="20"/>
        </w:rPr>
        <w:lastRenderedPageBreak/>
        <w:t xml:space="preserve">VI. </w:t>
      </w:r>
      <w:r>
        <w:rPr>
          <w:rFonts w:asciiTheme="majorHAnsi" w:eastAsia="MS Mincho" w:hAnsiTheme="majorHAnsi"/>
          <w:b/>
          <w:sz w:val="20"/>
          <w:szCs w:val="20"/>
        </w:rPr>
        <w:tab/>
        <w:t>CONCLUSION</w:t>
      </w:r>
      <w:r w:rsidRPr="00D52F17">
        <w:rPr>
          <w:rFonts w:asciiTheme="majorHAnsi" w:eastAsia="MS Mincho" w:hAnsiTheme="majorHAnsi"/>
          <w:b/>
          <w:sz w:val="20"/>
          <w:szCs w:val="20"/>
        </w:rPr>
        <w:t>S</w:t>
      </w:r>
    </w:p>
    <w:p w:rsidR="003E3B8D" w:rsidRPr="00D52F17" w:rsidRDefault="003E3B8D" w:rsidP="003E3B8D">
      <w:pPr>
        <w:pStyle w:val="ListParagraph"/>
        <w:rPr>
          <w:rFonts w:asciiTheme="majorHAnsi" w:eastAsia="MS Mincho"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D8719F">
        <w:rPr>
          <w:rFonts w:asciiTheme="majorHAnsi" w:eastAsia="MS Mincho" w:hAnsiTheme="majorHAnsi"/>
          <w:sz w:val="20"/>
          <w:szCs w:val="20"/>
        </w:rPr>
        <w:t xml:space="preserve">In view of the above, the IACHR declares that clause two, and </w:t>
      </w:r>
      <w:r w:rsidR="00792E68" w:rsidRPr="00D8719F">
        <w:rPr>
          <w:rFonts w:asciiTheme="majorHAnsi" w:eastAsia="MS Mincho" w:hAnsiTheme="majorHAnsi"/>
          <w:sz w:val="20"/>
          <w:szCs w:val="20"/>
        </w:rPr>
        <w:t>items 1, 2, and 5 of clause three of the agreement have been satisfied in their entirety, and believe</w:t>
      </w:r>
      <w:r w:rsidRPr="00D8719F">
        <w:rPr>
          <w:rFonts w:asciiTheme="majorHAnsi" w:eastAsia="MS Mincho" w:hAnsiTheme="majorHAnsi"/>
          <w:sz w:val="20"/>
          <w:szCs w:val="20"/>
        </w:rPr>
        <w:t xml:space="preserve"> that the remaining items are currently being addressed. The Commission will thus continue to monitor compliance with items 3 and 4 of the third clause—having to do with health and housing—in its Annual Report to the OAS General Assembly</w:t>
      </w:r>
      <w:r w:rsidRPr="00D52F17">
        <w:rPr>
          <w:rFonts w:asciiTheme="majorHAnsi" w:eastAsia="MS Mincho" w:hAnsiTheme="majorHAnsi"/>
          <w:sz w:val="20"/>
          <w:szCs w:val="20"/>
        </w:rPr>
        <w:t>.</w:t>
      </w:r>
    </w:p>
    <w:p w:rsidR="003E3B8D" w:rsidRPr="00D52F17" w:rsidRDefault="003E3B8D" w:rsidP="003E3B8D">
      <w:pPr>
        <w:ind w:firstLine="720"/>
        <w:jc w:val="both"/>
        <w:rPr>
          <w:rFonts w:asciiTheme="majorHAnsi" w:eastAsia="MS Mincho"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ind w:left="0" w:firstLine="720"/>
        <w:jc w:val="both"/>
        <w:rPr>
          <w:rFonts w:asciiTheme="majorHAnsi" w:eastAsia="MS Mincho" w:hAnsiTheme="majorHAnsi"/>
          <w:sz w:val="20"/>
          <w:szCs w:val="20"/>
        </w:rPr>
      </w:pPr>
      <w:r w:rsidRPr="00D8719F">
        <w:rPr>
          <w:rFonts w:asciiTheme="majorHAnsi" w:eastAsia="MS Mincho" w:hAnsiTheme="majorHAnsi"/>
          <w:sz w:val="20"/>
          <w:szCs w:val="20"/>
        </w:rPr>
        <w:t>Based on the foregoing considerations, and by virtue of the procedure set forth in Articles 48(1)(f) and 49 of the American Convention, the Commission wishes to reiterate its profound appreciation for the efforts made by the parties, as well as its satisfaction that a friendly settlement was reached in this case—a settlement founded on respect for human rights and consistent with the intent and purpose of the American Convention</w:t>
      </w:r>
      <w:r w:rsidRPr="00D52F17">
        <w:rPr>
          <w:rFonts w:asciiTheme="majorHAnsi" w:eastAsia="MS Mincho" w:hAnsiTheme="majorHAnsi"/>
          <w:sz w:val="20"/>
          <w:szCs w:val="20"/>
        </w:rPr>
        <w:t xml:space="preserve">.  </w:t>
      </w:r>
    </w:p>
    <w:p w:rsidR="003E3B8D" w:rsidRPr="00D52F17" w:rsidRDefault="003E3B8D" w:rsidP="003E3B8D">
      <w:pPr>
        <w:tabs>
          <w:tab w:val="left" w:pos="1260"/>
          <w:tab w:val="left" w:pos="1440"/>
        </w:tabs>
        <w:ind w:firstLine="720"/>
        <w:jc w:val="both"/>
        <w:rPr>
          <w:rFonts w:asciiTheme="majorHAnsi" w:eastAsia="MS Mincho" w:hAnsiTheme="majorHAnsi"/>
          <w:sz w:val="20"/>
          <w:szCs w:val="20"/>
        </w:rPr>
      </w:pPr>
    </w:p>
    <w:p w:rsidR="003E3B8D" w:rsidRPr="00D52F17" w:rsidRDefault="003E3B8D" w:rsidP="003E3B8D">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ind w:left="0" w:firstLine="720"/>
        <w:jc w:val="both"/>
        <w:rPr>
          <w:rFonts w:asciiTheme="majorHAnsi" w:eastAsia="MS Mincho" w:hAnsiTheme="majorHAnsi"/>
          <w:sz w:val="20"/>
          <w:szCs w:val="20"/>
        </w:rPr>
      </w:pPr>
      <w:r w:rsidRPr="00D8719F">
        <w:rPr>
          <w:rFonts w:asciiTheme="majorHAnsi" w:eastAsia="MS Mincho" w:hAnsiTheme="majorHAnsi"/>
          <w:sz w:val="20"/>
          <w:szCs w:val="20"/>
        </w:rPr>
        <w:t>By virtue of the considerations and conclusions set forth in this report</w:t>
      </w:r>
      <w:r w:rsidRPr="00D52F17">
        <w:rPr>
          <w:rFonts w:asciiTheme="majorHAnsi" w:eastAsia="MS Mincho" w:hAnsiTheme="majorHAnsi"/>
          <w:sz w:val="20"/>
          <w:szCs w:val="20"/>
        </w:rPr>
        <w:t xml:space="preserve">, </w:t>
      </w:r>
    </w:p>
    <w:p w:rsidR="003E3B8D" w:rsidRPr="00D52F17" w:rsidRDefault="003E3B8D" w:rsidP="003E3B8D">
      <w:pPr>
        <w:jc w:val="both"/>
        <w:rPr>
          <w:rFonts w:asciiTheme="majorHAnsi" w:eastAsia="MS Mincho" w:hAnsiTheme="majorHAnsi"/>
          <w:sz w:val="20"/>
          <w:szCs w:val="20"/>
        </w:rPr>
      </w:pPr>
    </w:p>
    <w:p w:rsidR="003E3B8D" w:rsidRPr="00D52F17" w:rsidRDefault="003E3B8D" w:rsidP="003E3B8D">
      <w:pPr>
        <w:jc w:val="center"/>
        <w:rPr>
          <w:rFonts w:asciiTheme="majorHAnsi" w:eastAsia="MS Mincho" w:hAnsiTheme="majorHAnsi"/>
          <w:b/>
          <w:bCs/>
          <w:sz w:val="20"/>
          <w:szCs w:val="20"/>
        </w:rPr>
      </w:pPr>
      <w:r w:rsidRPr="00D8719F">
        <w:rPr>
          <w:rFonts w:asciiTheme="majorHAnsi" w:eastAsia="MS Mincho" w:hAnsiTheme="majorHAnsi"/>
          <w:b/>
          <w:bCs/>
          <w:sz w:val="20"/>
          <w:szCs w:val="20"/>
        </w:rPr>
        <w:t>THE INTER-AMERICAN COMMISSION ON HUMAN RIGHTS</w:t>
      </w:r>
    </w:p>
    <w:p w:rsidR="003E3B8D" w:rsidRPr="00D52F17" w:rsidRDefault="003E3B8D" w:rsidP="003E3B8D">
      <w:pPr>
        <w:jc w:val="both"/>
        <w:rPr>
          <w:rFonts w:asciiTheme="majorHAnsi" w:eastAsia="MS Mincho" w:hAnsiTheme="majorHAnsi"/>
          <w:sz w:val="20"/>
          <w:szCs w:val="20"/>
        </w:rPr>
      </w:pPr>
      <w:r w:rsidRPr="00D52F17">
        <w:rPr>
          <w:rFonts w:asciiTheme="majorHAnsi" w:eastAsia="MS Mincho" w:hAnsiTheme="majorHAnsi"/>
          <w:b/>
          <w:bCs/>
          <w:sz w:val="20"/>
          <w:szCs w:val="20"/>
        </w:rPr>
        <w:t>DECIDE</w:t>
      </w:r>
      <w:r>
        <w:rPr>
          <w:rFonts w:asciiTheme="majorHAnsi" w:eastAsia="MS Mincho" w:hAnsiTheme="majorHAnsi"/>
          <w:b/>
          <w:bCs/>
          <w:sz w:val="20"/>
          <w:szCs w:val="20"/>
        </w:rPr>
        <w:t>S</w:t>
      </w:r>
      <w:r w:rsidRPr="00D52F17">
        <w:rPr>
          <w:rFonts w:asciiTheme="majorHAnsi" w:eastAsia="MS Mincho" w:hAnsiTheme="majorHAnsi"/>
          <w:b/>
          <w:bCs/>
          <w:sz w:val="20"/>
          <w:szCs w:val="20"/>
        </w:rPr>
        <w:t>:</w:t>
      </w:r>
    </w:p>
    <w:p w:rsidR="003E3B8D" w:rsidRPr="00D52F17" w:rsidRDefault="003E3B8D" w:rsidP="003E3B8D">
      <w:pPr>
        <w:tabs>
          <w:tab w:val="left" w:pos="1260"/>
        </w:tabs>
        <w:ind w:firstLine="720"/>
        <w:jc w:val="both"/>
        <w:rPr>
          <w:rFonts w:asciiTheme="majorHAnsi" w:eastAsia="MS Mincho" w:hAnsiTheme="majorHAnsi"/>
          <w:sz w:val="20"/>
          <w:szCs w:val="20"/>
        </w:rPr>
      </w:pPr>
    </w:p>
    <w:p w:rsidR="003E3B8D" w:rsidRPr="00D52F17" w:rsidRDefault="003E3B8D" w:rsidP="003E3B8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r w:rsidRPr="00D8719F">
        <w:rPr>
          <w:rFonts w:asciiTheme="majorHAnsi" w:eastAsia="MS Mincho" w:hAnsiTheme="majorHAnsi"/>
          <w:sz w:val="20"/>
          <w:szCs w:val="20"/>
        </w:rPr>
        <w:t>To approve the terms of the agreement signed by the parties on September 25, 2012</w:t>
      </w:r>
      <w:r>
        <w:rPr>
          <w:rFonts w:asciiTheme="majorHAnsi" w:eastAsia="MS Mincho" w:hAnsiTheme="majorHAnsi"/>
          <w:sz w:val="20"/>
          <w:szCs w:val="20"/>
        </w:rPr>
        <w:t>;</w:t>
      </w:r>
    </w:p>
    <w:p w:rsidR="003E3B8D" w:rsidRPr="00D52F17" w:rsidRDefault="003E3B8D" w:rsidP="003E3B8D">
      <w:pPr>
        <w:tabs>
          <w:tab w:val="left" w:pos="1440"/>
          <w:tab w:val="num" w:pos="3240"/>
        </w:tabs>
        <w:ind w:firstLine="720"/>
        <w:jc w:val="both"/>
        <w:rPr>
          <w:rFonts w:asciiTheme="majorHAnsi" w:eastAsia="MS Mincho" w:hAnsiTheme="majorHAnsi"/>
          <w:sz w:val="20"/>
          <w:szCs w:val="20"/>
        </w:rPr>
      </w:pPr>
    </w:p>
    <w:p w:rsidR="003E3B8D" w:rsidRPr="00D52F17" w:rsidRDefault="003E3B8D" w:rsidP="003E3B8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eastAsia="MS Mincho" w:hAnsiTheme="majorHAnsi"/>
          <w:sz w:val="20"/>
          <w:szCs w:val="20"/>
        </w:rPr>
      </w:pPr>
      <w:r w:rsidRPr="00D8719F">
        <w:rPr>
          <w:rFonts w:asciiTheme="majorHAnsi" w:eastAsia="MS Mincho" w:hAnsiTheme="majorHAnsi"/>
          <w:sz w:val="20"/>
          <w:szCs w:val="20"/>
        </w:rPr>
        <w:t>To continue to monitor the commitments still pending fulfillment by the Mexican State. And to that end, to remind the parties of their commitment to periodically inform the IACHR about the fulfillment thereof</w:t>
      </w:r>
      <w:r>
        <w:rPr>
          <w:rFonts w:asciiTheme="majorHAnsi" w:eastAsia="MS Mincho" w:hAnsiTheme="majorHAnsi"/>
          <w:sz w:val="20"/>
          <w:szCs w:val="20"/>
        </w:rPr>
        <w:t>;</w:t>
      </w:r>
    </w:p>
    <w:p w:rsidR="003E3B8D" w:rsidRPr="00D52F17" w:rsidRDefault="003E3B8D" w:rsidP="003E3B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sz w:val="20"/>
          <w:szCs w:val="20"/>
        </w:rPr>
      </w:pPr>
    </w:p>
    <w:p w:rsidR="003E3B8D" w:rsidRDefault="003E3B8D" w:rsidP="003E3B8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eastAsia="MS Mincho" w:hAnsiTheme="majorHAnsi"/>
          <w:sz w:val="20"/>
          <w:szCs w:val="20"/>
        </w:rPr>
      </w:pPr>
      <w:r w:rsidRPr="00D8719F">
        <w:rPr>
          <w:rFonts w:asciiTheme="majorHAnsi" w:eastAsia="MS Mincho" w:hAnsiTheme="majorHAnsi"/>
          <w:sz w:val="20"/>
          <w:szCs w:val="20"/>
        </w:rPr>
        <w:t>To make this report public and include it in its Annual Report to the OAS General Assembly</w:t>
      </w:r>
      <w:r w:rsidRPr="00D52F17">
        <w:rPr>
          <w:rFonts w:asciiTheme="majorHAnsi" w:eastAsia="MS Mincho" w:hAnsiTheme="majorHAnsi"/>
          <w:sz w:val="20"/>
          <w:szCs w:val="20"/>
        </w:rPr>
        <w:t>.</w:t>
      </w:r>
    </w:p>
    <w:p w:rsidR="0005776D" w:rsidRDefault="0005776D" w:rsidP="0005776D">
      <w:pPr>
        <w:pStyle w:val="ListParagraph"/>
        <w:rPr>
          <w:rFonts w:asciiTheme="majorHAnsi" w:eastAsia="MS Mincho" w:hAnsiTheme="majorHAnsi"/>
          <w:sz w:val="20"/>
          <w:szCs w:val="20"/>
        </w:rPr>
      </w:pPr>
    </w:p>
    <w:p w:rsidR="00E513A5" w:rsidRPr="00ED69DE" w:rsidRDefault="00E513A5" w:rsidP="00E513A5">
      <w:pPr>
        <w:ind w:firstLine="720"/>
        <w:jc w:val="both"/>
        <w:rPr>
          <w:rFonts w:asciiTheme="majorHAnsi" w:hAnsiTheme="majorHAnsi" w:cs="Arial"/>
          <w:noProof/>
          <w:spacing w:val="-2"/>
          <w:sz w:val="20"/>
          <w:szCs w:val="20"/>
        </w:rPr>
      </w:pPr>
      <w:r w:rsidRPr="00365F2F">
        <w:rPr>
          <w:rFonts w:ascii="Cambria" w:hAnsi="Cambria"/>
          <w:spacing w:val="-2"/>
          <w:sz w:val="20"/>
        </w:rPr>
        <w:t>Done and signed in the cit</w:t>
      </w:r>
      <w:r>
        <w:rPr>
          <w:rFonts w:ascii="Cambria" w:hAnsi="Cambria"/>
          <w:spacing w:val="-2"/>
          <w:sz w:val="20"/>
        </w:rPr>
        <w:t>y of Washington, D.C., on the 14</w:t>
      </w:r>
      <w:r w:rsidRPr="002F19D0">
        <w:rPr>
          <w:rFonts w:ascii="Cambria" w:hAnsi="Cambria"/>
          <w:spacing w:val="-2"/>
          <w:sz w:val="20"/>
          <w:vertAlign w:val="superscript"/>
        </w:rPr>
        <w:t>th</w:t>
      </w:r>
      <w:r w:rsidRPr="00365F2F">
        <w:rPr>
          <w:rFonts w:ascii="Cambria" w:hAnsi="Cambria"/>
          <w:spacing w:val="-2"/>
          <w:sz w:val="20"/>
        </w:rPr>
        <w:t xml:space="preserve"> day of the month of </w:t>
      </w:r>
      <w:r>
        <w:rPr>
          <w:rFonts w:asciiTheme="majorHAnsi" w:hAnsiTheme="majorHAnsi" w:cs="Arial"/>
          <w:noProof/>
          <w:spacing w:val="-2"/>
          <w:sz w:val="20"/>
          <w:szCs w:val="20"/>
        </w:rPr>
        <w:t>April of</w:t>
      </w:r>
      <w:r w:rsidRPr="00ED69DE">
        <w:rPr>
          <w:rFonts w:asciiTheme="majorHAnsi" w:hAnsiTheme="majorHAnsi" w:cs="Arial"/>
          <w:noProof/>
          <w:spacing w:val="-2"/>
          <w:sz w:val="20"/>
          <w:szCs w:val="20"/>
        </w:rPr>
        <w:t xml:space="preserve"> 2016.  (Signed): James L. Cavallaro, President; Francisco José Eguiguren, F</w:t>
      </w:r>
      <w:r>
        <w:rPr>
          <w:rFonts w:asciiTheme="majorHAnsi" w:hAnsiTheme="majorHAnsi" w:cs="Arial"/>
          <w:noProof/>
          <w:spacing w:val="-2"/>
          <w:sz w:val="20"/>
          <w:szCs w:val="20"/>
        </w:rPr>
        <w:t>irst Vice President</w:t>
      </w:r>
      <w:r w:rsidRPr="00ED69DE">
        <w:rPr>
          <w:rFonts w:asciiTheme="majorHAnsi" w:hAnsiTheme="majorHAnsi" w:cs="Arial"/>
          <w:noProof/>
          <w:spacing w:val="-2"/>
          <w:sz w:val="20"/>
          <w:szCs w:val="20"/>
        </w:rPr>
        <w:t>; Margarette May Macaulay, Second V</w:t>
      </w:r>
      <w:r>
        <w:rPr>
          <w:rFonts w:asciiTheme="majorHAnsi" w:hAnsiTheme="majorHAnsi" w:cs="Arial"/>
          <w:noProof/>
          <w:spacing w:val="-2"/>
          <w:sz w:val="20"/>
          <w:szCs w:val="20"/>
        </w:rPr>
        <w:t>ice President</w:t>
      </w:r>
      <w:r w:rsidRPr="00ED69DE">
        <w:rPr>
          <w:rFonts w:asciiTheme="majorHAnsi" w:hAnsiTheme="majorHAnsi" w:cs="Arial"/>
          <w:noProof/>
          <w:spacing w:val="-2"/>
          <w:sz w:val="20"/>
          <w:szCs w:val="20"/>
        </w:rPr>
        <w:t>; Paulo Vannuchi, Esmeralda E. Arosema Bernal de Troitiño</w:t>
      </w:r>
      <w:r>
        <w:rPr>
          <w:rFonts w:asciiTheme="majorHAnsi" w:hAnsiTheme="majorHAnsi" w:cs="Arial"/>
          <w:noProof/>
          <w:spacing w:val="-2"/>
          <w:sz w:val="20"/>
          <w:szCs w:val="20"/>
        </w:rPr>
        <w:t>, and</w:t>
      </w:r>
      <w:r w:rsidRPr="00ED69DE">
        <w:rPr>
          <w:rFonts w:asciiTheme="majorHAnsi" w:hAnsiTheme="majorHAnsi" w:cs="Arial"/>
          <w:noProof/>
          <w:spacing w:val="-2"/>
          <w:sz w:val="20"/>
          <w:szCs w:val="20"/>
        </w:rPr>
        <w:t xml:space="preserve"> Enrique Gil Botero, Commissioners.</w:t>
      </w:r>
    </w:p>
    <w:p w:rsidR="003E3B8D" w:rsidRPr="00E513A5" w:rsidRDefault="003E3B8D" w:rsidP="003E3B8D">
      <w:pPr>
        <w:tabs>
          <w:tab w:val="center" w:pos="4680"/>
          <w:tab w:val="left" w:pos="6511"/>
        </w:tabs>
        <w:rPr>
          <w:rFonts w:ascii="Cambria" w:hAnsi="Cambria" w:cs="Calibri"/>
          <w:color w:val="808080" w:themeColor="background1" w:themeShade="80"/>
          <w:sz w:val="20"/>
          <w:szCs w:val="20"/>
        </w:rPr>
      </w:pPr>
    </w:p>
    <w:sectPr w:rsidR="003E3B8D" w:rsidRPr="00E513A5" w:rsidSect="003E3B8D">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2D6" w:rsidRDefault="002F62D6" w:rsidP="00036A8A">
      <w:r>
        <w:separator/>
      </w:r>
    </w:p>
  </w:endnote>
  <w:endnote w:type="continuationSeparator" w:id="0">
    <w:p w:rsidR="002F62D6" w:rsidRDefault="002F62D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55C" w:rsidRDefault="00C465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4655C">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2D6" w:rsidRPr="00036A8A" w:rsidRDefault="002F62D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2F62D6" w:rsidRPr="00036A8A" w:rsidRDefault="002F62D6" w:rsidP="00036A8A">
      <w:pPr>
        <w:rPr>
          <w:rFonts w:asciiTheme="majorHAnsi" w:hAnsiTheme="majorHAnsi"/>
          <w:sz w:val="16"/>
          <w:szCs w:val="16"/>
        </w:rPr>
      </w:pPr>
      <w:r w:rsidRPr="00036A8A">
        <w:rPr>
          <w:rFonts w:asciiTheme="majorHAnsi" w:hAnsiTheme="majorHAnsi"/>
          <w:sz w:val="16"/>
          <w:szCs w:val="16"/>
        </w:rPr>
        <w:separator/>
      </w:r>
    </w:p>
    <w:p w:rsidR="002F62D6" w:rsidRPr="00036A8A" w:rsidRDefault="002F62D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2F62D6" w:rsidRPr="0093441A" w:rsidRDefault="002F62D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3E3B8D" w:rsidRPr="004A536E" w:rsidRDefault="003E3B8D" w:rsidP="00585C92">
      <w:pPr>
        <w:pStyle w:val="FootnoteText"/>
        <w:spacing w:after="120"/>
        <w:ind w:firstLine="720"/>
      </w:pPr>
      <w:r w:rsidRPr="004A536E">
        <w:rPr>
          <w:rStyle w:val="FootnoteReference"/>
        </w:rPr>
        <w:footnoteRef/>
      </w:r>
      <w:r w:rsidRPr="004A536E">
        <w:t xml:space="preserve"> </w:t>
      </w:r>
      <w:r w:rsidRPr="004A536E">
        <w:rPr>
          <w:rFonts w:ascii="Cambria" w:hAnsi="Cambria"/>
          <w:sz w:val="18"/>
          <w:szCs w:val="18"/>
        </w:rPr>
        <w:t xml:space="preserve">Commissioner José de Jesús Orozco, a Mexican national, </w:t>
      </w:r>
      <w:r>
        <w:rPr>
          <w:rFonts w:ascii="Cambria" w:hAnsi="Cambria"/>
          <w:sz w:val="18"/>
          <w:szCs w:val="18"/>
        </w:rPr>
        <w:t>did not take part</w:t>
      </w:r>
      <w:r w:rsidRPr="004A536E">
        <w:rPr>
          <w:rFonts w:ascii="Cambria" w:hAnsi="Cambria"/>
          <w:sz w:val="18"/>
          <w:szCs w:val="18"/>
        </w:rPr>
        <w:t xml:space="preserve"> in the discussion or decision </w:t>
      </w:r>
      <w:r>
        <w:rPr>
          <w:rFonts w:ascii="Cambria" w:hAnsi="Cambria"/>
          <w:sz w:val="18"/>
          <w:szCs w:val="18"/>
        </w:rPr>
        <w:t>in</w:t>
      </w:r>
      <w:r w:rsidRPr="004A536E">
        <w:rPr>
          <w:rFonts w:ascii="Cambria" w:hAnsi="Cambria"/>
          <w:sz w:val="18"/>
          <w:szCs w:val="18"/>
        </w:rPr>
        <w:t xml:space="preserve"> this case, in keeping with Article 17(2)(a) of the IACHR’s Rules of Procedure. </w:t>
      </w:r>
    </w:p>
  </w:footnote>
  <w:footnote w:id="3">
    <w:p w:rsidR="003E3B8D" w:rsidRPr="004A536E" w:rsidRDefault="003E3B8D" w:rsidP="00585C92">
      <w:pPr>
        <w:pStyle w:val="FootnoteText"/>
        <w:spacing w:after="120"/>
        <w:ind w:firstLine="720"/>
        <w:jc w:val="both"/>
        <w:rPr>
          <w:rFonts w:asciiTheme="majorHAnsi" w:hAnsiTheme="majorHAnsi"/>
          <w:sz w:val="16"/>
          <w:szCs w:val="16"/>
          <w:bdr w:val="none" w:sz="0" w:space="0" w:color="auto" w:frame="1"/>
        </w:rPr>
      </w:pPr>
      <w:r w:rsidRPr="004A536E">
        <w:rPr>
          <w:rStyle w:val="FootnoteReference"/>
          <w:rFonts w:asciiTheme="majorHAnsi" w:hAnsiTheme="majorHAnsi"/>
          <w:sz w:val="16"/>
          <w:szCs w:val="16"/>
        </w:rPr>
        <w:footnoteRef/>
      </w:r>
      <w:r w:rsidRPr="004A536E">
        <w:rPr>
          <w:rFonts w:asciiTheme="majorHAnsi" w:hAnsiTheme="majorHAnsi"/>
          <w:sz w:val="16"/>
          <w:szCs w:val="16"/>
        </w:rPr>
        <w:t xml:space="preserve"> </w:t>
      </w:r>
      <w:r>
        <w:rPr>
          <w:rFonts w:asciiTheme="majorHAnsi" w:hAnsiTheme="majorHAnsi"/>
          <w:sz w:val="16"/>
          <w:szCs w:val="16"/>
        </w:rPr>
        <w:t>Vienna Convention on the Law of Treaties</w:t>
      </w:r>
      <w:r w:rsidRPr="004A536E">
        <w:rPr>
          <w:rFonts w:asciiTheme="majorHAnsi" w:hAnsiTheme="majorHAnsi"/>
          <w:sz w:val="16"/>
          <w:szCs w:val="16"/>
        </w:rPr>
        <w:t>, U.N. Doc A/CONF.39/27 (1969), Art</w:t>
      </w:r>
      <w:r>
        <w:rPr>
          <w:rFonts w:asciiTheme="majorHAnsi" w:hAnsiTheme="majorHAnsi"/>
          <w:sz w:val="16"/>
          <w:szCs w:val="16"/>
        </w:rPr>
        <w:t>icle</w:t>
      </w:r>
      <w:r w:rsidRPr="004A536E">
        <w:rPr>
          <w:rFonts w:asciiTheme="majorHAnsi" w:hAnsiTheme="majorHAnsi"/>
          <w:sz w:val="16"/>
          <w:szCs w:val="16"/>
        </w:rPr>
        <w:t xml:space="preserve"> 26: </w:t>
      </w:r>
      <w:r w:rsidRPr="004A536E">
        <w:rPr>
          <w:rFonts w:asciiTheme="majorHAnsi" w:hAnsiTheme="majorHAnsi"/>
          <w:b/>
          <w:bCs/>
          <w:sz w:val="16"/>
          <w:szCs w:val="16"/>
        </w:rPr>
        <w:t>"Pacta sunt servanda</w:t>
      </w:r>
      <w:r>
        <w:rPr>
          <w:rFonts w:asciiTheme="majorHAnsi" w:hAnsiTheme="majorHAnsi"/>
          <w:b/>
          <w:bCs/>
          <w:sz w:val="16"/>
          <w:szCs w:val="16"/>
        </w:rPr>
        <w:t>.</w:t>
      </w:r>
      <w:r w:rsidRPr="004A536E">
        <w:rPr>
          <w:rFonts w:asciiTheme="majorHAnsi" w:hAnsiTheme="majorHAnsi"/>
          <w:b/>
          <w:bCs/>
          <w:sz w:val="16"/>
          <w:szCs w:val="16"/>
        </w:rPr>
        <w:t>"</w:t>
      </w:r>
      <w:r w:rsidRPr="004A536E">
        <w:rPr>
          <w:rFonts w:asciiTheme="majorHAnsi" w:hAnsiTheme="majorHAnsi"/>
          <w:sz w:val="16"/>
          <w:szCs w:val="16"/>
        </w:rPr>
        <w:t xml:space="preserve"> </w:t>
      </w:r>
      <w:r w:rsidRPr="000644EB">
        <w:rPr>
          <w:rFonts w:asciiTheme="majorHAnsi" w:hAnsiTheme="majorHAnsi"/>
          <w:i/>
          <w:sz w:val="16"/>
          <w:szCs w:val="16"/>
        </w:rPr>
        <w:t>Every treaty in force is binding upon the parties to it and must be performed by them in good faith.</w:t>
      </w:r>
    </w:p>
  </w:footnote>
  <w:footnote w:id="4">
    <w:p w:rsidR="003E3B8D" w:rsidRPr="004A536E" w:rsidRDefault="003E3B8D" w:rsidP="00585C92">
      <w:pPr>
        <w:pStyle w:val="FootnoteText"/>
        <w:spacing w:after="120"/>
        <w:ind w:firstLine="720"/>
        <w:rPr>
          <w:rFonts w:ascii="Cambria" w:hAnsi="Cambria"/>
          <w:sz w:val="18"/>
          <w:szCs w:val="18"/>
        </w:rPr>
      </w:pPr>
      <w:r w:rsidRPr="004A536E">
        <w:rPr>
          <w:rStyle w:val="FootnoteReference"/>
          <w:rFonts w:ascii="Cambria" w:hAnsi="Cambria"/>
          <w:sz w:val="18"/>
          <w:szCs w:val="18"/>
        </w:rPr>
        <w:footnoteRef/>
      </w:r>
      <w:r w:rsidRPr="004A536E">
        <w:rPr>
          <w:rFonts w:ascii="Cambria" w:hAnsi="Cambria"/>
          <w:sz w:val="18"/>
          <w:szCs w:val="18"/>
        </w:rPr>
        <w:t xml:space="preserve"> </w:t>
      </w:r>
      <w:r w:rsidRPr="00FC1A39">
        <w:rPr>
          <w:rFonts w:ascii="Cambria" w:hAnsi="Cambria"/>
          <w:sz w:val="18"/>
          <w:szCs w:val="18"/>
        </w:rPr>
        <w:t>See, IACHR, Impact of the Friendly Settlement Procedure, OEA/Ser.L/V/II. Doc. 45/13, December 18, 2013. Original: Spanish, paragraphs 91-104</w:t>
      </w:r>
      <w:r w:rsidRPr="004A536E">
        <w:rPr>
          <w:rFonts w:ascii="Cambria" w:hAnsi="Cambria"/>
          <w:sz w:val="18"/>
          <w:szCs w:val="18"/>
        </w:rPr>
        <w:t>.</w:t>
      </w:r>
    </w:p>
  </w:footnote>
  <w:footnote w:id="5">
    <w:p w:rsidR="003E3B8D" w:rsidRPr="004A536E" w:rsidRDefault="003E3B8D" w:rsidP="00585C92">
      <w:pPr>
        <w:pStyle w:val="FootnoteText"/>
        <w:spacing w:after="120"/>
        <w:ind w:firstLine="720"/>
        <w:rPr>
          <w:rFonts w:ascii="Cambria" w:hAnsi="Cambria"/>
          <w:sz w:val="18"/>
          <w:szCs w:val="18"/>
        </w:rPr>
      </w:pPr>
      <w:r w:rsidRPr="004A536E">
        <w:rPr>
          <w:rStyle w:val="FootnoteReference"/>
        </w:rPr>
        <w:footnoteRef/>
      </w:r>
      <w:r w:rsidRPr="004A536E">
        <w:t xml:space="preserve"> </w:t>
      </w:r>
      <w:r w:rsidRPr="00FC1A39">
        <w:rPr>
          <w:rFonts w:ascii="Cambria" w:hAnsi="Cambria"/>
          <w:sz w:val="18"/>
          <w:szCs w:val="18"/>
        </w:rPr>
        <w:t xml:space="preserve">IACHR, Impact of the Friendly Settlement Procedure, </w:t>
      </w:r>
      <w:r w:rsidRPr="00FC1A39">
        <w:rPr>
          <w:rFonts w:ascii="Cambria" w:hAnsi="Cambria"/>
          <w:i/>
          <w:sz w:val="18"/>
          <w:szCs w:val="18"/>
        </w:rPr>
        <w:t>supra</w:t>
      </w:r>
      <w:r w:rsidRPr="00FC1A39">
        <w:rPr>
          <w:rFonts w:ascii="Cambria" w:hAnsi="Cambria"/>
          <w:sz w:val="18"/>
          <w:szCs w:val="18"/>
        </w:rPr>
        <w:t>, paragraphs 146-157</w:t>
      </w:r>
      <w:r w:rsidRPr="004A536E">
        <w:rPr>
          <w:rFonts w:ascii="Cambria" w:hAnsi="Cambria"/>
          <w:sz w:val="18"/>
          <w:szCs w:val="18"/>
        </w:rPr>
        <w:t>.</w:t>
      </w:r>
    </w:p>
  </w:footnote>
  <w:footnote w:id="6">
    <w:p w:rsidR="003E3B8D" w:rsidRPr="004A536E" w:rsidRDefault="003E3B8D" w:rsidP="00585C92">
      <w:pPr>
        <w:pStyle w:val="FootnoteText"/>
        <w:spacing w:after="120"/>
        <w:ind w:firstLine="720"/>
      </w:pPr>
      <w:r w:rsidRPr="004A536E">
        <w:rPr>
          <w:rStyle w:val="FootnoteReference"/>
        </w:rPr>
        <w:footnoteRef/>
      </w:r>
      <w:r w:rsidRPr="004A536E">
        <w:t xml:space="preserve"> </w:t>
      </w:r>
      <w:r w:rsidRPr="00FC1A39">
        <w:rPr>
          <w:rFonts w:ascii="Cambria" w:hAnsi="Cambria"/>
          <w:sz w:val="18"/>
          <w:szCs w:val="18"/>
        </w:rPr>
        <w:t xml:space="preserve">IACHR, Impact of the Friendly Settlement Procedure, </w:t>
      </w:r>
      <w:r w:rsidRPr="00FC1A39">
        <w:rPr>
          <w:rFonts w:ascii="Cambria" w:hAnsi="Cambria"/>
          <w:i/>
          <w:sz w:val="18"/>
          <w:szCs w:val="18"/>
        </w:rPr>
        <w:t>supra</w:t>
      </w:r>
      <w:r w:rsidRPr="00FC1A39">
        <w:rPr>
          <w:rFonts w:ascii="Cambria" w:hAnsi="Cambria"/>
          <w:sz w:val="18"/>
          <w:szCs w:val="18"/>
        </w:rPr>
        <w:t>, paragraph 91</w:t>
      </w:r>
      <w:r w:rsidRPr="004A536E">
        <w:rPr>
          <w:rFonts w:ascii="Cambria" w:hAnsi="Cambria"/>
          <w:sz w:val="18"/>
          <w:szCs w:val="18"/>
        </w:rPr>
        <w:t>.</w:t>
      </w:r>
    </w:p>
  </w:footnote>
  <w:footnote w:id="7">
    <w:p w:rsidR="003E3B8D" w:rsidRPr="004A536E" w:rsidRDefault="003E3B8D" w:rsidP="00585C92">
      <w:pPr>
        <w:pStyle w:val="FootnoteText"/>
        <w:spacing w:after="120"/>
        <w:ind w:firstLine="720"/>
      </w:pPr>
      <w:r w:rsidRPr="004A536E">
        <w:rPr>
          <w:rStyle w:val="FootnoteReference"/>
        </w:rPr>
        <w:footnoteRef/>
      </w:r>
      <w:r w:rsidRPr="004A536E">
        <w:t xml:space="preserve"> </w:t>
      </w:r>
      <w:r w:rsidRPr="00FC1A39">
        <w:rPr>
          <w:rFonts w:ascii="Cambria" w:hAnsi="Cambria"/>
          <w:sz w:val="18"/>
          <w:szCs w:val="18"/>
        </w:rPr>
        <w:t xml:space="preserve">IACHR, Impact of the Friendly Settlement Procedure, </w:t>
      </w:r>
      <w:r w:rsidRPr="00FC1A39">
        <w:rPr>
          <w:rFonts w:ascii="Cambria" w:hAnsi="Cambria"/>
          <w:i/>
          <w:sz w:val="18"/>
          <w:szCs w:val="18"/>
        </w:rPr>
        <w:t>supra</w:t>
      </w:r>
      <w:r w:rsidRPr="00FC1A39">
        <w:rPr>
          <w:rFonts w:ascii="Cambria" w:hAnsi="Cambria"/>
          <w:sz w:val="18"/>
          <w:szCs w:val="18"/>
        </w:rPr>
        <w:t>, paragraph 148</w:t>
      </w:r>
      <w:r w:rsidRPr="004A536E">
        <w:rPr>
          <w:rFonts w:ascii="Cambria" w:hAnsi="Cambria"/>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2F62D6"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55C" w:rsidRDefault="00C46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84099"/>
    <w:multiLevelType w:val="hybridMultilevel"/>
    <w:tmpl w:val="06D219EE"/>
    <w:lvl w:ilvl="0" w:tplc="B4A2237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0AD25E8"/>
    <w:multiLevelType w:val="hybridMultilevel"/>
    <w:tmpl w:val="FEF0C4AC"/>
    <w:lvl w:ilvl="0" w:tplc="BE868BA4">
      <w:start w:val="1"/>
      <w:numFmt w:val="upperRoman"/>
      <w:lvlText w:val="%1."/>
      <w:lvlJc w:val="left"/>
      <w:pPr>
        <w:tabs>
          <w:tab w:val="num" w:pos="-1080"/>
        </w:tabs>
        <w:ind w:left="-1080" w:hanging="720"/>
      </w:pPr>
    </w:lvl>
    <w:lvl w:ilvl="1" w:tplc="F16078F8">
      <w:start w:val="1"/>
      <w:numFmt w:val="lowerRoman"/>
      <w:lvlText w:val="%2."/>
      <w:lvlJc w:val="left"/>
      <w:pPr>
        <w:tabs>
          <w:tab w:val="num" w:pos="-360"/>
        </w:tabs>
        <w:ind w:left="-360" w:hanging="720"/>
      </w:pPr>
    </w:lvl>
    <w:lvl w:ilvl="2" w:tplc="B76AF580">
      <w:start w:val="1"/>
      <w:numFmt w:val="decimal"/>
      <w:lvlText w:val="%3."/>
      <w:lvlJc w:val="left"/>
      <w:pPr>
        <w:tabs>
          <w:tab w:val="num" w:pos="180"/>
        </w:tabs>
        <w:ind w:left="180" w:hanging="360"/>
      </w:pPr>
      <w:rPr>
        <w:lang w:val="es-ES"/>
      </w:rPr>
    </w:lvl>
    <w:lvl w:ilvl="3" w:tplc="4A4258C4">
      <w:start w:val="2"/>
      <w:numFmt w:val="decimal"/>
      <w:lvlText w:val="%4."/>
      <w:lvlJc w:val="left"/>
      <w:pPr>
        <w:tabs>
          <w:tab w:val="num" w:pos="720"/>
        </w:tabs>
        <w:ind w:left="720" w:hanging="360"/>
      </w:pPr>
    </w:lvl>
    <w:lvl w:ilvl="4" w:tplc="9886FC1E">
      <w:numFmt w:val="bullet"/>
      <w:lvlText w:val="•"/>
      <w:lvlJc w:val="left"/>
      <w:pPr>
        <w:ind w:left="1440" w:hanging="360"/>
      </w:pPr>
      <w:rPr>
        <w:rFonts w:ascii="Cambria" w:eastAsia="Calibri" w:hAnsi="Cambria" w:cs="Times New Roman" w:hint="default"/>
      </w:rPr>
    </w:lvl>
    <w:lvl w:ilvl="5" w:tplc="0409001B">
      <w:start w:val="1"/>
      <w:numFmt w:val="lowerRoman"/>
      <w:lvlText w:val="%6."/>
      <w:lvlJc w:val="right"/>
      <w:pPr>
        <w:tabs>
          <w:tab w:val="num" w:pos="2160"/>
        </w:tabs>
        <w:ind w:left="2160" w:hanging="180"/>
      </w:pPr>
    </w:lvl>
    <w:lvl w:ilvl="6" w:tplc="0409000F">
      <w:start w:val="1"/>
      <w:numFmt w:val="decimal"/>
      <w:lvlText w:val="%7."/>
      <w:lvlJc w:val="left"/>
      <w:pPr>
        <w:tabs>
          <w:tab w:val="num" w:pos="2880"/>
        </w:tabs>
        <w:ind w:left="2880" w:hanging="360"/>
      </w:pPr>
    </w:lvl>
    <w:lvl w:ilvl="7" w:tplc="04090019">
      <w:start w:val="1"/>
      <w:numFmt w:val="lowerLetter"/>
      <w:lvlText w:val="%8."/>
      <w:lvlJc w:val="left"/>
      <w:pPr>
        <w:tabs>
          <w:tab w:val="num" w:pos="3600"/>
        </w:tabs>
        <w:ind w:left="3600" w:hanging="360"/>
      </w:pPr>
    </w:lvl>
    <w:lvl w:ilvl="8" w:tplc="0409001B">
      <w:start w:val="1"/>
      <w:numFmt w:val="lowerRoman"/>
      <w:lvlText w:val="%9."/>
      <w:lvlJc w:val="right"/>
      <w:pPr>
        <w:tabs>
          <w:tab w:val="num" w:pos="4320"/>
        </w:tabs>
        <w:ind w:left="4320" w:hanging="180"/>
      </w:p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6CB37E4"/>
    <w:multiLevelType w:val="hybridMultilevel"/>
    <w:tmpl w:val="A9629FAA"/>
    <w:lvl w:ilvl="0" w:tplc="045C8CEC">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67E437C"/>
    <w:multiLevelType w:val="hybridMultilevel"/>
    <w:tmpl w:val="752A6AA4"/>
    <w:lvl w:ilvl="0" w:tplc="04090011">
      <w:start w:val="1"/>
      <w:numFmt w:val="decimal"/>
      <w:lvlText w:val="%1)"/>
      <w:lvlJc w:val="left"/>
      <w:pPr>
        <w:ind w:left="1260" w:hanging="360"/>
      </w:pPr>
      <w:rPr>
        <w:rFonts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2462963"/>
    <w:multiLevelType w:val="hybridMultilevel"/>
    <w:tmpl w:val="E662C506"/>
    <w:lvl w:ilvl="0" w:tplc="E91C80DC">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BB3632D"/>
    <w:multiLevelType w:val="hybridMultilevel"/>
    <w:tmpl w:val="7B84EC4E"/>
    <w:lvl w:ilvl="0" w:tplc="8D92BE90">
      <w:start w:val="1"/>
      <w:numFmt w:val="decimal"/>
      <w:lvlText w:val="%1."/>
      <w:lvlJc w:val="left"/>
      <w:pPr>
        <w:tabs>
          <w:tab w:val="num" w:pos="72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5"/>
  </w:num>
  <w:num w:numId="66">
    <w:abstractNumId w:val="16"/>
  </w:num>
  <w:num w:numId="67">
    <w:abstractNumId w:val="17"/>
  </w:num>
  <w:num w:numId="68">
    <w:abstractNumId w:val="20"/>
  </w:num>
  <w:num w:numId="69">
    <w:abstractNumId w:val="21"/>
  </w:num>
  <w:num w:numId="70">
    <w:abstractNumId w:val="25"/>
  </w:num>
  <w:num w:numId="71">
    <w:abstractNumId w:val="26"/>
  </w:num>
  <w:num w:numId="72">
    <w:abstractNumId w:val="27"/>
  </w:num>
  <w:num w:numId="73">
    <w:abstractNumId w:val="30"/>
  </w:num>
  <w:num w:numId="74">
    <w:abstractNumId w:val="32"/>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49"/>
  </w:num>
  <w:num w:numId="85">
    <w:abstractNumId w:val="53"/>
  </w:num>
  <w:num w:numId="86">
    <w:abstractNumId w:val="55"/>
  </w:num>
  <w:num w:numId="87">
    <w:abstractNumId w:val="58"/>
  </w:num>
  <w:num w:numId="88">
    <w:abstractNumId w:val="60"/>
  </w:num>
  <w:num w:numId="89">
    <w:abstractNumId w:val="62"/>
  </w:num>
  <w:num w:numId="90">
    <w:abstractNumId w:val="64"/>
  </w:num>
  <w:num w:numId="91">
    <w:abstractNumId w:val="65"/>
  </w:num>
  <w:num w:numId="92">
    <w:abstractNumId w:val="66"/>
  </w:num>
  <w:num w:numId="93">
    <w:abstractNumId w:val="67"/>
  </w:num>
  <w:num w:numId="94">
    <w:abstractNumId w:val="23"/>
  </w:num>
  <w:num w:numId="95">
    <w:abstractNumId w:val="45"/>
  </w:num>
  <w:num w:numId="96">
    <w:abstractNumId w:val="56"/>
  </w:num>
  <w:num w:numId="97">
    <w:abstractNumId w:val="54"/>
  </w:num>
  <w:num w:numId="98">
    <w:abstractNumId w:val="48"/>
  </w:num>
  <w:num w:numId="99">
    <w:abstractNumId w:val="40"/>
  </w:num>
  <w:num w:numId="100">
    <w:abstractNumId w:val="3"/>
  </w:num>
  <w:num w:numId="101">
    <w:abstractNumId w:val="28"/>
  </w:num>
  <w:num w:numId="102">
    <w:abstractNumId w:val="50"/>
  </w:num>
  <w:num w:numId="103">
    <w:abstractNumId w:val="5"/>
  </w:num>
  <w:num w:numId="104">
    <w:abstractNumId w:val="22"/>
    <w:lvlOverride w:ilvl="0">
      <w:startOverride w:val="1"/>
    </w:lvlOverride>
    <w:lvlOverride w:ilvl="1">
      <w:startOverride w:val="1"/>
    </w:lvlOverride>
    <w:lvlOverride w:ilvl="2">
      <w:startOverride w:val="1"/>
    </w:lvlOverride>
    <w:lvlOverride w:ilvl="3">
      <w:startOverride w:val="2"/>
    </w:lvlOverride>
    <w:lvlOverride w:ilvl="4"/>
    <w:lvlOverride w:ilvl="5">
      <w:startOverride w:val="1"/>
    </w:lvlOverride>
    <w:lvlOverride w:ilvl="6">
      <w:startOverride w:val="1"/>
    </w:lvlOverride>
    <w:lvlOverride w:ilvl="7">
      <w:startOverride w:val="1"/>
    </w:lvlOverride>
    <w:lvlOverride w:ilvl="8">
      <w:startOverride w:val="1"/>
    </w:lvlOverride>
  </w:num>
  <w:num w:numId="1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7"/>
  </w:num>
  <w:num w:numId="107">
    <w:abstractNumId w:val="52"/>
  </w:num>
  <w:num w:numId="108">
    <w:abstractNumId w:val="29"/>
  </w:num>
  <w:num w:numId="109">
    <w:abstractNumId w:val="14"/>
  </w:num>
  <w:num w:numId="110">
    <w:abstractNumId w:val="6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5776D"/>
    <w:rsid w:val="000639C0"/>
    <w:rsid w:val="00070F3A"/>
    <w:rsid w:val="000716C5"/>
    <w:rsid w:val="00075E23"/>
    <w:rsid w:val="00092F32"/>
    <w:rsid w:val="0009344A"/>
    <w:rsid w:val="000A575F"/>
    <w:rsid w:val="000D10DB"/>
    <w:rsid w:val="0013104F"/>
    <w:rsid w:val="00137EBA"/>
    <w:rsid w:val="00145EDC"/>
    <w:rsid w:val="00167A34"/>
    <w:rsid w:val="0018037F"/>
    <w:rsid w:val="00197393"/>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2F62D6"/>
    <w:rsid w:val="00301075"/>
    <w:rsid w:val="00302733"/>
    <w:rsid w:val="00311A4F"/>
    <w:rsid w:val="00314078"/>
    <w:rsid w:val="00322450"/>
    <w:rsid w:val="003246B5"/>
    <w:rsid w:val="0033169F"/>
    <w:rsid w:val="003414AC"/>
    <w:rsid w:val="00356185"/>
    <w:rsid w:val="00360380"/>
    <w:rsid w:val="00386CF0"/>
    <w:rsid w:val="003C32BC"/>
    <w:rsid w:val="003E3B8D"/>
    <w:rsid w:val="003F0151"/>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365E4"/>
    <w:rsid w:val="00544C49"/>
    <w:rsid w:val="0057402A"/>
    <w:rsid w:val="005771D0"/>
    <w:rsid w:val="00585C92"/>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848CE"/>
    <w:rsid w:val="00792E68"/>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25F5C"/>
    <w:rsid w:val="00A43458"/>
    <w:rsid w:val="00A528D1"/>
    <w:rsid w:val="00A66BE5"/>
    <w:rsid w:val="00AC6A5A"/>
    <w:rsid w:val="00AD37C1"/>
    <w:rsid w:val="00AE16A3"/>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4655C"/>
    <w:rsid w:val="00C50663"/>
    <w:rsid w:val="00C55560"/>
    <w:rsid w:val="00C66B72"/>
    <w:rsid w:val="00C9567A"/>
    <w:rsid w:val="00CB2660"/>
    <w:rsid w:val="00CC5E90"/>
    <w:rsid w:val="00CD046C"/>
    <w:rsid w:val="00CE5199"/>
    <w:rsid w:val="00CE66D5"/>
    <w:rsid w:val="00D34786"/>
    <w:rsid w:val="00D40A1E"/>
    <w:rsid w:val="00D712D3"/>
    <w:rsid w:val="00D71422"/>
    <w:rsid w:val="00D7145E"/>
    <w:rsid w:val="00D738C5"/>
    <w:rsid w:val="00D7558D"/>
    <w:rsid w:val="00D81D92"/>
    <w:rsid w:val="00D93446"/>
    <w:rsid w:val="00DA7B5F"/>
    <w:rsid w:val="00E43157"/>
    <w:rsid w:val="00E43E57"/>
    <w:rsid w:val="00E445AB"/>
    <w:rsid w:val="00E513A5"/>
    <w:rsid w:val="00E533FF"/>
    <w:rsid w:val="00E709B3"/>
    <w:rsid w:val="00E8789F"/>
    <w:rsid w:val="00E97B71"/>
    <w:rsid w:val="00EB454D"/>
    <w:rsid w:val="00EB789A"/>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3B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3E3B8D"/>
    <w:rPr>
      <w:rFonts w:asciiTheme="majorHAnsi" w:eastAsiaTheme="majorEastAsia" w:hAnsiTheme="majorHAnsi" w:cstheme="majorBidi"/>
      <w:b/>
      <w:bCs/>
      <w:color w:val="4F81BD" w:themeColor="accent1"/>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3B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3E3B8D"/>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F8534-00D3-4232-AF10-0B9A34B2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4045</Words>
  <Characters>21279</Characters>
  <Application>Microsoft Office Word</Application>
  <DocSecurity>0</DocSecurity>
  <Lines>354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16/16</dc:title>
  <dc:creator/>
  <cp:lastModifiedBy/>
  <cp:revision>1</cp:revision>
  <dcterms:created xsi:type="dcterms:W3CDTF">2016-05-13T18:39:00Z</dcterms:created>
  <dcterms:modified xsi:type="dcterms:W3CDTF">2016-05-13T18:39:00Z</dcterms:modified>
</cp:coreProperties>
</file>