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09E" w:rsidRPr="00D83798" w:rsidRDefault="00905B1A" w:rsidP="00321C2B">
      <w:pPr>
        <w:jc w:val="both"/>
        <w:rPr>
          <w:rFonts w:ascii="Cambria" w:hAnsi="Cambria" w:cs="Cambria"/>
          <w:b/>
          <w:bCs/>
          <w:sz w:val="22"/>
          <w:szCs w:val="22"/>
        </w:rPr>
      </w:pPr>
      <w:bookmarkStart w:id="0" w:name="_GoBack"/>
      <w:bookmarkEnd w:id="0"/>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-356870</wp:posOffset>
                </wp:positionV>
                <wp:extent cx="1409700" cy="8977630"/>
                <wp:effectExtent l="3175" t="0" r="0" b="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977630"/>
                        </a:xfrm>
                        <a:prstGeom prst="rect">
                          <a:avLst/>
                        </a:prstGeom>
                        <a:solidFill>
                          <a:srgbClr val="67AE3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0209E" w:rsidRPr="00321C2B" w:rsidRDefault="00D0209E" w:rsidP="00321C2B">
                            <w:pPr>
                              <w:jc w:val="center"/>
                              <w:rPr>
                                <w:noProof/>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2.75pt;margin-top:-28.1pt;width:111pt;height:70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" fillcolor="#67ae3c" stroked="f" strokeweight="2pt">
                <v:textbox>
                  <w:txbxContent>
                    <w:p w:rsidR="00D0209E" w:rsidRPr="00321C2B" w:rsidRDefault="00D0209E" w:rsidP="00321C2B">
                      <w:pPr>
                        <w:jc w:val="center"/>
                        <w:rPr>
                          <w:noProof/>
                        </w:rPr>
                      </w:pP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0209E" w:rsidRPr="00321C2B" w:rsidRDefault="00905B1A" w:rsidP="00321C2B">
                            <w:pPr>
                              <w:rPr>
                                <w:noProof/>
                              </w:rPr>
                            </w:pPr>
                            <w:r>
                              <w:rPr>
                                <w:noProof/>
                              </w:rPr>
                              <w:drawing>
                                <wp:inline distT="0" distB="0" distL="0" distR="0">
                                  <wp:extent cx="2514600" cy="48260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482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" filled="f" stroked="f" strokeweight=".5pt">
                <v:textbox>
                  <w:txbxContent>
                    <w:p w:rsidR="00D0209E" w:rsidRPr="00321C2B" w:rsidRDefault="00905B1A" w:rsidP="00321C2B">
                      <w:pPr>
                        <w:rPr>
                          <w:noProof/>
                        </w:rPr>
                      </w:pPr>
                      <w:r>
                        <w:rPr>
                          <w:noProof/>
                        </w:rPr>
                        <w:drawing>
                          <wp:inline distT="0" distB="0" distL="0" distR="0">
                            <wp:extent cx="2514600" cy="48260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482600"/>
                                    </a:xfrm>
                                    <a:prstGeom prst="rect">
                                      <a:avLst/>
                                    </a:prstGeom>
                                    <a:noFill/>
                                    <a:ln>
                                      <a:noFill/>
                                    </a:ln>
                                  </pic:spPr>
                                </pic:pic>
                              </a:graphicData>
                            </a:graphic>
                          </wp:inline>
                        </w:drawing>
                      </w:r>
                    </w:p>
                  </w:txbxContent>
                </v:textbox>
              </v:shape>
            </w:pict>
          </mc:Fallback>
        </mc:AlternateContent>
      </w:r>
    </w:p>
    <w:p w:rsidR="00D0209E" w:rsidRPr="00D83798" w:rsidRDefault="00D0209E" w:rsidP="00321C2B">
      <w:pPr>
        <w:tabs>
          <w:tab w:val="center" w:pos="5400"/>
        </w:tabs>
        <w:suppressAutoHyphens/>
        <w:jc w:val="both"/>
        <w:rPr>
          <w:rFonts w:ascii="Cambria" w:hAnsi="Cambria" w:cs="Cambria"/>
          <w:sz w:val="22"/>
          <w:szCs w:val="22"/>
        </w:rPr>
      </w:pPr>
    </w:p>
    <w:p w:rsidR="00D0209E" w:rsidRPr="00D83798" w:rsidRDefault="00D0209E" w:rsidP="00321C2B">
      <w:pPr>
        <w:tabs>
          <w:tab w:val="center" w:pos="5400"/>
        </w:tabs>
        <w:suppressAutoHyphens/>
        <w:jc w:val="both"/>
        <w:rPr>
          <w:rFonts w:ascii="Cambria" w:hAnsi="Cambria" w:cs="Cambria"/>
          <w:sz w:val="22"/>
          <w:szCs w:val="22"/>
        </w:rPr>
      </w:pPr>
    </w:p>
    <w:p w:rsidR="00D0209E" w:rsidRPr="00D83798" w:rsidRDefault="00D0209E" w:rsidP="00321C2B">
      <w:pPr>
        <w:tabs>
          <w:tab w:val="center" w:pos="5400"/>
        </w:tabs>
        <w:suppressAutoHyphens/>
        <w:rPr>
          <w:rFonts w:ascii="Cambria" w:hAnsi="Cambria" w:cs="Cambria"/>
          <w:sz w:val="22"/>
          <w:szCs w:val="22"/>
        </w:rPr>
      </w:pPr>
    </w:p>
    <w:p w:rsidR="00D0209E" w:rsidRPr="00D83798" w:rsidRDefault="00D0209E" w:rsidP="00321C2B">
      <w:pPr>
        <w:tabs>
          <w:tab w:val="center" w:pos="5400"/>
        </w:tabs>
        <w:suppressAutoHyphens/>
        <w:rPr>
          <w:rFonts w:ascii="Cambria" w:hAnsi="Cambria" w:cs="Cambria"/>
          <w:sz w:val="22"/>
          <w:szCs w:val="22"/>
        </w:rPr>
      </w:pPr>
    </w:p>
    <w:p w:rsidR="00D0209E" w:rsidRPr="00D83798" w:rsidRDefault="00D0209E" w:rsidP="00321C2B">
      <w:pPr>
        <w:tabs>
          <w:tab w:val="center" w:pos="5400"/>
        </w:tabs>
        <w:suppressAutoHyphens/>
        <w:rPr>
          <w:rFonts w:ascii="Cambria" w:hAnsi="Cambria" w:cs="Cambria"/>
          <w:sz w:val="22"/>
          <w:szCs w:val="22"/>
        </w:rPr>
      </w:pPr>
    </w:p>
    <w:p w:rsidR="00D0209E" w:rsidRPr="00D83798" w:rsidRDefault="00D0209E" w:rsidP="00321C2B">
      <w:pPr>
        <w:tabs>
          <w:tab w:val="center" w:pos="5400"/>
        </w:tabs>
        <w:suppressAutoHyphens/>
        <w:jc w:val="center"/>
        <w:rPr>
          <w:rFonts w:ascii="Cambria" w:hAnsi="Cambria" w:cs="Cambria"/>
          <w:sz w:val="22"/>
          <w:szCs w:val="22"/>
        </w:rPr>
      </w:pPr>
    </w:p>
    <w:p w:rsidR="00EB37E1" w:rsidRPr="00ED612B" w:rsidRDefault="00EB37E1" w:rsidP="00EB37E1">
      <w:pPr>
        <w:tabs>
          <w:tab w:val="center" w:pos="5400"/>
        </w:tabs>
        <w:suppressAutoHyphens/>
        <w:jc w:val="right"/>
        <w:rPr>
          <w:rFonts w:asciiTheme="majorHAnsi" w:hAnsiTheme="majorHAnsi"/>
          <w:b/>
          <w:sz w:val="52"/>
          <w:szCs w:val="20"/>
        </w:rPr>
      </w:pPr>
    </w:p>
    <w:p w:rsidR="00D0209E" w:rsidRPr="00D83798" w:rsidRDefault="00D0209E" w:rsidP="00321C2B">
      <w:pPr>
        <w:tabs>
          <w:tab w:val="center" w:pos="5400"/>
        </w:tabs>
        <w:suppressAutoHyphens/>
        <w:jc w:val="center"/>
        <w:rPr>
          <w:rFonts w:ascii="Cambria" w:hAnsi="Cambria" w:cs="Cambria"/>
          <w:sz w:val="22"/>
          <w:szCs w:val="22"/>
        </w:rPr>
      </w:pPr>
    </w:p>
    <w:p w:rsidR="00D0209E" w:rsidRPr="00D83798" w:rsidRDefault="00D0209E" w:rsidP="00321C2B">
      <w:pPr>
        <w:tabs>
          <w:tab w:val="center" w:pos="5400"/>
        </w:tabs>
        <w:suppressAutoHyphens/>
        <w:jc w:val="center"/>
        <w:rPr>
          <w:rFonts w:ascii="Cambria" w:hAnsi="Cambria" w:cs="Cambria"/>
          <w:sz w:val="22"/>
          <w:szCs w:val="22"/>
        </w:rPr>
      </w:pPr>
    </w:p>
    <w:p w:rsidR="00D0209E" w:rsidRPr="00D83798" w:rsidRDefault="00D0209E" w:rsidP="00321C2B">
      <w:pPr>
        <w:tabs>
          <w:tab w:val="center" w:pos="5400"/>
        </w:tabs>
        <w:suppressAutoHyphens/>
        <w:jc w:val="center"/>
        <w:rPr>
          <w:rFonts w:ascii="Cambria" w:hAnsi="Cambria" w:cs="Cambria"/>
          <w:sz w:val="22"/>
          <w:szCs w:val="22"/>
        </w:rPr>
      </w:pPr>
    </w:p>
    <w:p w:rsidR="00D0209E" w:rsidRPr="00D83798" w:rsidRDefault="00905B1A" w:rsidP="00321C2B">
      <w:pPr>
        <w:tabs>
          <w:tab w:val="center" w:pos="5400"/>
        </w:tabs>
        <w:suppressAutoHyphens/>
        <w:jc w:val="center"/>
        <w:rPr>
          <w:rFonts w:ascii="Cambria" w:hAnsi="Cambria" w:cs="Cambria"/>
          <w:sz w:val="22"/>
          <w:szCs w:val="22"/>
        </w:rPr>
      </w:pPr>
      <w:r>
        <w:rPr>
          <w:noProof/>
        </w:rPr>
        <mc:AlternateContent>
          <mc:Choice Requires="wps">
            <w:drawing>
              <wp:anchor distT="0" distB="0" distL="114300" distR="114300" simplePos="0" relativeHeight="251655168" behindDoc="0" locked="0" layoutInCell="1" allowOverlap="1">
                <wp:simplePos x="0" y="0"/>
                <wp:positionH relativeFrom="column">
                  <wp:posOffset>1209675</wp:posOffset>
                </wp:positionH>
                <wp:positionV relativeFrom="paragraph">
                  <wp:posOffset>79375</wp:posOffset>
                </wp:positionV>
                <wp:extent cx="4333875" cy="2350770"/>
                <wp:effectExtent l="0" t="3175"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35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0209E" w:rsidRPr="00F04627" w:rsidRDefault="00D0209E" w:rsidP="00321C2B">
                            <w:pPr>
                              <w:spacing w:line="276" w:lineRule="auto"/>
                              <w:rPr>
                                <w:rFonts w:ascii="Cambria" w:hAnsi="Cambria" w:cs="Cambria"/>
                                <w:b/>
                                <w:bCs/>
                                <w:noProof/>
                                <w:color w:val="0D0D0D"/>
                                <w:sz w:val="36"/>
                                <w:szCs w:val="36"/>
                              </w:rPr>
                            </w:pPr>
                            <w:r w:rsidRPr="00F04627">
                              <w:rPr>
                                <w:rFonts w:ascii="Cambria" w:hAnsi="Cambria" w:cs="Cambria"/>
                                <w:b/>
                                <w:bCs/>
                                <w:noProof/>
                                <w:color w:val="0D0D0D"/>
                                <w:sz w:val="36"/>
                                <w:szCs w:val="36"/>
                              </w:rPr>
                              <w:t xml:space="preserve">REPORT No. </w:t>
                            </w:r>
                            <w:r w:rsidR="005D389B">
                              <w:rPr>
                                <w:rFonts w:ascii="Cambria" w:hAnsi="Cambria" w:cs="Cambria"/>
                                <w:b/>
                                <w:bCs/>
                                <w:noProof/>
                                <w:color w:val="0D0D0D"/>
                                <w:sz w:val="36"/>
                                <w:szCs w:val="36"/>
                              </w:rPr>
                              <w:t>69</w:t>
                            </w:r>
                            <w:r w:rsidRPr="00F04627">
                              <w:rPr>
                                <w:rFonts w:ascii="Cambria" w:hAnsi="Cambria" w:cs="Cambria"/>
                                <w:b/>
                                <w:bCs/>
                                <w:noProof/>
                                <w:color w:val="0D0D0D"/>
                                <w:sz w:val="36"/>
                                <w:szCs w:val="36"/>
                              </w:rPr>
                              <w:t>/16</w:t>
                            </w:r>
                          </w:p>
                          <w:p w:rsidR="00D0209E" w:rsidRPr="00F04627" w:rsidRDefault="00D0209E" w:rsidP="00321C2B">
                            <w:pPr>
                              <w:spacing w:line="276" w:lineRule="auto"/>
                              <w:rPr>
                                <w:rFonts w:ascii="Cambria" w:hAnsi="Cambria" w:cs="Cambria"/>
                                <w:b/>
                                <w:bCs/>
                                <w:noProof/>
                                <w:color w:val="0D0D0D"/>
                                <w:sz w:val="36"/>
                                <w:szCs w:val="36"/>
                              </w:rPr>
                            </w:pPr>
                            <w:r w:rsidRPr="00F04627">
                              <w:rPr>
                                <w:rFonts w:ascii="Cambria" w:hAnsi="Cambria" w:cs="Cambria"/>
                                <w:b/>
                                <w:bCs/>
                                <w:noProof/>
                                <w:color w:val="0D0D0D"/>
                                <w:sz w:val="36"/>
                                <w:szCs w:val="36"/>
                              </w:rPr>
                              <w:t>PETITION 288-08</w:t>
                            </w:r>
                          </w:p>
                          <w:p w:rsidR="00D0209E" w:rsidRPr="00F04627" w:rsidRDefault="00D0209E" w:rsidP="00321C2B">
                            <w:pPr>
                              <w:spacing w:line="276" w:lineRule="auto"/>
                              <w:rPr>
                                <w:rFonts w:ascii="Cambria" w:hAnsi="Cambria" w:cs="Cambria"/>
                                <w:noProof/>
                                <w:color w:val="0D0D0D"/>
                              </w:rPr>
                            </w:pPr>
                            <w:r w:rsidRPr="00F04627">
                              <w:rPr>
                                <w:rFonts w:ascii="Cambria" w:hAnsi="Cambria" w:cs="Cambria"/>
                                <w:noProof/>
                                <w:color w:val="0D0D0D"/>
                              </w:rPr>
                              <w:t xml:space="preserve">REPORT ON FRIENDLY SETTLEMENT </w:t>
                            </w:r>
                          </w:p>
                          <w:p w:rsidR="00D0209E" w:rsidRPr="00F04627" w:rsidRDefault="00D0209E" w:rsidP="00321C2B">
                            <w:pPr>
                              <w:spacing w:line="276" w:lineRule="auto"/>
                              <w:rPr>
                                <w:rFonts w:ascii="Cambria" w:hAnsi="Cambria" w:cs="Cambria"/>
                                <w:noProof/>
                                <w:color w:val="0D0D0D"/>
                              </w:rPr>
                            </w:pPr>
                          </w:p>
                          <w:p w:rsidR="00D0209E" w:rsidRPr="00F04627" w:rsidRDefault="005358EF" w:rsidP="00321C2B">
                            <w:pPr>
                              <w:spacing w:line="276" w:lineRule="auto"/>
                              <w:rPr>
                                <w:rFonts w:ascii="Cambria" w:hAnsi="Cambria" w:cs="Cambria"/>
                                <w:noProof/>
                                <w:color w:val="0D0D0D"/>
                              </w:rPr>
                            </w:pPr>
                            <w:r>
                              <w:rPr>
                                <w:rFonts w:ascii="Cambria" w:hAnsi="Cambria" w:cs="Cambria"/>
                                <w:noProof/>
                                <w:color w:val="0D0D0D"/>
                              </w:rPr>
                              <w:t>JESUS</w:t>
                            </w:r>
                            <w:r w:rsidR="00D0209E" w:rsidRPr="00F04627">
                              <w:rPr>
                                <w:rFonts w:ascii="Cambria" w:hAnsi="Cambria" w:cs="Cambria"/>
                                <w:noProof/>
                                <w:color w:val="0D0D0D"/>
                              </w:rPr>
                              <w:t xml:space="preserve"> SALVADOR FERREYRA GONZ</w:t>
                            </w:r>
                            <w:r w:rsidR="00D0209E">
                              <w:rPr>
                                <w:rFonts w:ascii="Cambria" w:hAnsi="Cambria" w:cs="Cambria"/>
                                <w:noProof/>
                                <w:color w:val="0D0D0D"/>
                              </w:rPr>
                              <w:t>A</w:t>
                            </w:r>
                            <w:r w:rsidR="00D0209E" w:rsidRPr="00F04627">
                              <w:rPr>
                                <w:rFonts w:ascii="Cambria" w:hAnsi="Cambria" w:cs="Cambria"/>
                                <w:noProof/>
                                <w:color w:val="0D0D0D"/>
                              </w:rPr>
                              <w:t>LEZ</w:t>
                            </w:r>
                          </w:p>
                          <w:p w:rsidR="00D0209E" w:rsidRPr="00F04627" w:rsidRDefault="00D0209E" w:rsidP="00321C2B">
                            <w:pPr>
                              <w:spacing w:line="276" w:lineRule="auto"/>
                              <w:rPr>
                                <w:rFonts w:ascii="Cambria" w:hAnsi="Cambria" w:cs="Cambria"/>
                                <w:noProof/>
                                <w:color w:val="0D0D0D"/>
                              </w:rPr>
                            </w:pPr>
                            <w:r w:rsidRPr="00F04627">
                              <w:rPr>
                                <w:rFonts w:ascii="Cambria" w:hAnsi="Cambria" w:cs="Cambria"/>
                                <w:noProof/>
                                <w:color w:val="0D0D0D"/>
                              </w:rPr>
                              <w:t>PERU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95.25pt;margin-top:6.2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FmvAIAAME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" filled="f" stroked="f" strokeweight=".5pt">
                <v:textbox>
                  <w:txbxContent>
                    <w:p w:rsidR="00D0209E" w:rsidRPr="00F04627" w:rsidRDefault="00D0209E" w:rsidP="00321C2B">
                      <w:pPr>
                        <w:spacing w:line="276" w:lineRule="auto"/>
                        <w:rPr>
                          <w:rFonts w:ascii="Cambria" w:hAnsi="Cambria" w:cs="Cambria"/>
                          <w:b/>
                          <w:bCs/>
                          <w:noProof/>
                          <w:color w:val="0D0D0D"/>
                          <w:sz w:val="36"/>
                          <w:szCs w:val="36"/>
                        </w:rPr>
                      </w:pPr>
                      <w:r w:rsidRPr="00F04627">
                        <w:rPr>
                          <w:rFonts w:ascii="Cambria" w:hAnsi="Cambria" w:cs="Cambria"/>
                          <w:b/>
                          <w:bCs/>
                          <w:noProof/>
                          <w:color w:val="0D0D0D"/>
                          <w:sz w:val="36"/>
                          <w:szCs w:val="36"/>
                        </w:rPr>
                        <w:t xml:space="preserve">REPORT No. </w:t>
                      </w:r>
                      <w:r w:rsidR="005D389B">
                        <w:rPr>
                          <w:rFonts w:ascii="Cambria" w:hAnsi="Cambria" w:cs="Cambria"/>
                          <w:b/>
                          <w:bCs/>
                          <w:noProof/>
                          <w:color w:val="0D0D0D"/>
                          <w:sz w:val="36"/>
                          <w:szCs w:val="36"/>
                        </w:rPr>
                        <w:t>69</w:t>
                      </w:r>
                      <w:r w:rsidRPr="00F04627">
                        <w:rPr>
                          <w:rFonts w:ascii="Cambria" w:hAnsi="Cambria" w:cs="Cambria"/>
                          <w:b/>
                          <w:bCs/>
                          <w:noProof/>
                          <w:color w:val="0D0D0D"/>
                          <w:sz w:val="36"/>
                          <w:szCs w:val="36"/>
                        </w:rPr>
                        <w:t>/16</w:t>
                      </w:r>
                    </w:p>
                    <w:p w:rsidR="00D0209E" w:rsidRPr="00F04627" w:rsidRDefault="00D0209E" w:rsidP="00321C2B">
                      <w:pPr>
                        <w:spacing w:line="276" w:lineRule="auto"/>
                        <w:rPr>
                          <w:rFonts w:ascii="Cambria" w:hAnsi="Cambria" w:cs="Cambria"/>
                          <w:b/>
                          <w:bCs/>
                          <w:noProof/>
                          <w:color w:val="0D0D0D"/>
                          <w:sz w:val="36"/>
                          <w:szCs w:val="36"/>
                        </w:rPr>
                      </w:pPr>
                      <w:r w:rsidRPr="00F04627">
                        <w:rPr>
                          <w:rFonts w:ascii="Cambria" w:hAnsi="Cambria" w:cs="Cambria"/>
                          <w:b/>
                          <w:bCs/>
                          <w:noProof/>
                          <w:color w:val="0D0D0D"/>
                          <w:sz w:val="36"/>
                          <w:szCs w:val="36"/>
                        </w:rPr>
                        <w:t>PETITION 288-08</w:t>
                      </w:r>
                    </w:p>
                    <w:p w:rsidR="00D0209E" w:rsidRPr="00F04627" w:rsidRDefault="00D0209E" w:rsidP="00321C2B">
                      <w:pPr>
                        <w:spacing w:line="276" w:lineRule="auto"/>
                        <w:rPr>
                          <w:rFonts w:ascii="Cambria" w:hAnsi="Cambria" w:cs="Cambria"/>
                          <w:noProof/>
                          <w:color w:val="0D0D0D"/>
                        </w:rPr>
                      </w:pPr>
                      <w:r w:rsidRPr="00F04627">
                        <w:rPr>
                          <w:rFonts w:ascii="Cambria" w:hAnsi="Cambria" w:cs="Cambria"/>
                          <w:noProof/>
                          <w:color w:val="0D0D0D"/>
                        </w:rPr>
                        <w:t xml:space="preserve">REPORT ON FRIENDLY SETTLEMENT </w:t>
                      </w:r>
                    </w:p>
                    <w:p w:rsidR="00D0209E" w:rsidRPr="00F04627" w:rsidRDefault="00D0209E" w:rsidP="00321C2B">
                      <w:pPr>
                        <w:spacing w:line="276" w:lineRule="auto"/>
                        <w:rPr>
                          <w:rFonts w:ascii="Cambria" w:hAnsi="Cambria" w:cs="Cambria"/>
                          <w:noProof/>
                          <w:color w:val="0D0D0D"/>
                        </w:rPr>
                      </w:pPr>
                    </w:p>
                    <w:p w:rsidR="00D0209E" w:rsidRPr="00F04627" w:rsidRDefault="005358EF" w:rsidP="00321C2B">
                      <w:pPr>
                        <w:spacing w:line="276" w:lineRule="auto"/>
                        <w:rPr>
                          <w:rFonts w:ascii="Cambria" w:hAnsi="Cambria" w:cs="Cambria"/>
                          <w:noProof/>
                          <w:color w:val="0D0D0D"/>
                        </w:rPr>
                      </w:pPr>
                      <w:r>
                        <w:rPr>
                          <w:rFonts w:ascii="Cambria" w:hAnsi="Cambria" w:cs="Cambria"/>
                          <w:noProof/>
                          <w:color w:val="0D0D0D"/>
                        </w:rPr>
                        <w:t>JESUS</w:t>
                      </w:r>
                      <w:r w:rsidR="00D0209E" w:rsidRPr="00F04627">
                        <w:rPr>
                          <w:rFonts w:ascii="Cambria" w:hAnsi="Cambria" w:cs="Cambria"/>
                          <w:noProof/>
                          <w:color w:val="0D0D0D"/>
                        </w:rPr>
                        <w:t xml:space="preserve"> SALVADOR FERREYRA GONZ</w:t>
                      </w:r>
                      <w:r w:rsidR="00D0209E">
                        <w:rPr>
                          <w:rFonts w:ascii="Cambria" w:hAnsi="Cambria" w:cs="Cambria"/>
                          <w:noProof/>
                          <w:color w:val="0D0D0D"/>
                        </w:rPr>
                        <w:t>A</w:t>
                      </w:r>
                      <w:r w:rsidR="00D0209E" w:rsidRPr="00F04627">
                        <w:rPr>
                          <w:rFonts w:ascii="Cambria" w:hAnsi="Cambria" w:cs="Cambria"/>
                          <w:noProof/>
                          <w:color w:val="0D0D0D"/>
                        </w:rPr>
                        <w:t>LEZ</w:t>
                      </w:r>
                    </w:p>
                    <w:p w:rsidR="00D0209E" w:rsidRPr="00F04627" w:rsidRDefault="00D0209E" w:rsidP="00321C2B">
                      <w:pPr>
                        <w:spacing w:line="276" w:lineRule="auto"/>
                        <w:rPr>
                          <w:rFonts w:ascii="Cambria" w:hAnsi="Cambria" w:cs="Cambria"/>
                          <w:noProof/>
                          <w:color w:val="0D0D0D"/>
                        </w:rPr>
                      </w:pPr>
                      <w:r w:rsidRPr="00F04627">
                        <w:rPr>
                          <w:rFonts w:ascii="Cambria" w:hAnsi="Cambria" w:cs="Cambria"/>
                          <w:noProof/>
                          <w:color w:val="0D0D0D"/>
                        </w:rPr>
                        <w:t>PERU</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-371475</wp:posOffset>
                </wp:positionH>
                <wp:positionV relativeFrom="paragraph">
                  <wp:posOffset>127000</wp:posOffset>
                </wp:positionV>
                <wp:extent cx="1334135" cy="1377315"/>
                <wp:effectExtent l="0" t="3175" r="0" b="63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0209E" w:rsidRPr="002F7697" w:rsidRDefault="00D0209E" w:rsidP="00ED612B">
                            <w:pPr>
                              <w:spacing w:line="360" w:lineRule="auto"/>
                              <w:jc w:val="right"/>
                              <w:rPr>
                                <w:rFonts w:ascii="Calibri" w:hAnsi="Calibri" w:cs="Calibri"/>
                                <w:noProof/>
                                <w:color w:val="FFFFFF"/>
                                <w:sz w:val="22"/>
                                <w:szCs w:val="22"/>
                                <w:lang w:val="pt-BR"/>
                              </w:rPr>
                            </w:pPr>
                            <w:r w:rsidRPr="002F7697">
                              <w:rPr>
                                <w:rFonts w:ascii="Calibri" w:hAnsi="Calibri" w:cs="Calibri"/>
                                <w:noProof/>
                                <w:color w:val="FFFFFF"/>
                                <w:sz w:val="22"/>
                                <w:szCs w:val="22"/>
                                <w:lang w:val="pt-BR"/>
                              </w:rPr>
                              <w:t>OEA/Ser.L/V/II.159</w:t>
                            </w:r>
                          </w:p>
                          <w:p w:rsidR="00D0209E" w:rsidRPr="002F7697" w:rsidRDefault="00D0209E" w:rsidP="00ED612B">
                            <w:pPr>
                              <w:spacing w:line="360" w:lineRule="auto"/>
                              <w:jc w:val="right"/>
                              <w:rPr>
                                <w:rFonts w:ascii="Calibri" w:hAnsi="Calibri" w:cs="Calibri"/>
                                <w:noProof/>
                                <w:color w:val="FFFFFF"/>
                                <w:sz w:val="22"/>
                                <w:szCs w:val="22"/>
                                <w:lang w:val="pt-BR"/>
                              </w:rPr>
                            </w:pPr>
                            <w:r w:rsidRPr="002F7697">
                              <w:rPr>
                                <w:rFonts w:ascii="Calibri" w:hAnsi="Calibri" w:cs="Calibri"/>
                                <w:noProof/>
                                <w:color w:val="FFFFFF"/>
                                <w:sz w:val="22"/>
                                <w:szCs w:val="22"/>
                                <w:lang w:val="pt-BR"/>
                              </w:rPr>
                              <w:t xml:space="preserve">Doc. </w:t>
                            </w:r>
                            <w:r w:rsidR="005D389B">
                              <w:rPr>
                                <w:rFonts w:ascii="Calibri" w:hAnsi="Calibri" w:cs="Calibri"/>
                                <w:noProof/>
                                <w:color w:val="FFFFFF"/>
                                <w:sz w:val="22"/>
                                <w:szCs w:val="22"/>
                                <w:lang w:val="pt-BR"/>
                              </w:rPr>
                              <w:t>78</w:t>
                            </w:r>
                          </w:p>
                          <w:p w:rsidR="00D0209E" w:rsidRPr="00F04627" w:rsidRDefault="005D389B" w:rsidP="00ED612B">
                            <w:pPr>
                              <w:spacing w:line="360" w:lineRule="auto"/>
                              <w:jc w:val="right"/>
                              <w:rPr>
                                <w:rFonts w:ascii="Calibri" w:hAnsi="Calibri" w:cs="Calibri"/>
                                <w:noProof/>
                                <w:color w:val="FFFFFF"/>
                                <w:sz w:val="22"/>
                                <w:szCs w:val="22"/>
                              </w:rPr>
                            </w:pPr>
                            <w:r>
                              <w:rPr>
                                <w:rFonts w:ascii="Calibri" w:hAnsi="Calibri" w:cs="Calibri"/>
                                <w:noProof/>
                                <w:color w:val="FFFFFF"/>
                                <w:sz w:val="22"/>
                                <w:szCs w:val="22"/>
                              </w:rPr>
                              <w:t>30</w:t>
                            </w:r>
                            <w:r w:rsidR="00D0209E" w:rsidRPr="00F04627">
                              <w:rPr>
                                <w:rFonts w:ascii="Calibri" w:hAnsi="Calibri" w:cs="Calibri"/>
                                <w:noProof/>
                                <w:color w:val="FFFFFF"/>
                                <w:sz w:val="22"/>
                                <w:szCs w:val="22"/>
                              </w:rPr>
                              <w:t xml:space="preserve"> </w:t>
                            </w:r>
                            <w:r w:rsidR="00D73FA6">
                              <w:rPr>
                                <w:rFonts w:ascii="Calibri" w:hAnsi="Calibri" w:cs="Calibri"/>
                                <w:noProof/>
                                <w:color w:val="FFFFFF"/>
                                <w:sz w:val="22"/>
                                <w:szCs w:val="22"/>
                              </w:rPr>
                              <w:t>November</w:t>
                            </w:r>
                            <w:r w:rsidR="00D73FA6" w:rsidRPr="00F04627">
                              <w:rPr>
                                <w:rFonts w:ascii="Calibri" w:hAnsi="Calibri" w:cs="Calibri"/>
                                <w:noProof/>
                                <w:color w:val="FFFFFF"/>
                                <w:sz w:val="22"/>
                                <w:szCs w:val="22"/>
                              </w:rPr>
                              <w:t xml:space="preserve"> </w:t>
                            </w:r>
                            <w:r w:rsidR="00D0209E" w:rsidRPr="00F04627">
                              <w:rPr>
                                <w:rFonts w:ascii="Calibri" w:hAnsi="Calibri" w:cs="Calibri"/>
                                <w:noProof/>
                                <w:color w:val="FFFFFF"/>
                                <w:sz w:val="22"/>
                                <w:szCs w:val="22"/>
                              </w:rPr>
                              <w:t>2016</w:t>
                            </w:r>
                          </w:p>
                          <w:p w:rsidR="00D0209E" w:rsidRPr="00F04627" w:rsidRDefault="00D0209E" w:rsidP="00ED612B">
                            <w:pPr>
                              <w:spacing w:line="360" w:lineRule="auto"/>
                              <w:jc w:val="right"/>
                              <w:rPr>
                                <w:rFonts w:ascii="Calibri" w:hAnsi="Calibri" w:cs="Calibri"/>
                                <w:noProof/>
                                <w:color w:val="FFFFFF"/>
                                <w:sz w:val="22"/>
                                <w:szCs w:val="22"/>
                              </w:rPr>
                            </w:pPr>
                            <w:r w:rsidRPr="00F04627">
                              <w:rPr>
                                <w:rFonts w:ascii="Calibri" w:hAnsi="Calibri" w:cs="Calibri"/>
                                <w:noProof/>
                                <w:color w:val="FFFFFF"/>
                                <w:sz w:val="22"/>
                                <w:szCs w:val="22"/>
                              </w:rPr>
                              <w:t xml:space="preserve">Original: </w:t>
                            </w:r>
                            <w:r w:rsidR="0012384C">
                              <w:rPr>
                                <w:rFonts w:ascii="Calibri" w:hAnsi="Calibri" w:cs="Calibri"/>
                                <w:noProof/>
                                <w:color w:val="FFFFFF"/>
                                <w:sz w:val="22"/>
                                <w:szCs w:val="22"/>
                              </w:rPr>
                              <w:t>Spanish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" filled="f" stroked="f" strokeweight=".5pt">
                <v:textbox>
                  <w:txbxContent>
                    <w:p w:rsidR="00D0209E" w:rsidRPr="002F7697" w:rsidRDefault="00D0209E" w:rsidP="00ED612B">
                      <w:pPr>
                        <w:spacing w:line="360" w:lineRule="auto"/>
                        <w:jc w:val="right"/>
                        <w:rPr>
                          <w:rFonts w:ascii="Calibri" w:hAnsi="Calibri" w:cs="Calibri"/>
                          <w:noProof/>
                          <w:color w:val="FFFFFF"/>
                          <w:sz w:val="22"/>
                          <w:szCs w:val="22"/>
                          <w:lang w:val="pt-BR"/>
                        </w:rPr>
                      </w:pPr>
                      <w:r w:rsidRPr="002F7697">
                        <w:rPr>
                          <w:rFonts w:ascii="Calibri" w:hAnsi="Calibri" w:cs="Calibri"/>
                          <w:noProof/>
                          <w:color w:val="FFFFFF"/>
                          <w:sz w:val="22"/>
                          <w:szCs w:val="22"/>
                          <w:lang w:val="pt-BR"/>
                        </w:rPr>
                        <w:t>OEA/Ser.L/V/II.159</w:t>
                      </w:r>
                    </w:p>
                    <w:p w:rsidR="00D0209E" w:rsidRPr="002F7697" w:rsidRDefault="00D0209E" w:rsidP="00ED612B">
                      <w:pPr>
                        <w:spacing w:line="360" w:lineRule="auto"/>
                        <w:jc w:val="right"/>
                        <w:rPr>
                          <w:rFonts w:ascii="Calibri" w:hAnsi="Calibri" w:cs="Calibri"/>
                          <w:noProof/>
                          <w:color w:val="FFFFFF"/>
                          <w:sz w:val="22"/>
                          <w:szCs w:val="22"/>
                          <w:lang w:val="pt-BR"/>
                        </w:rPr>
                      </w:pPr>
                      <w:r w:rsidRPr="002F7697">
                        <w:rPr>
                          <w:rFonts w:ascii="Calibri" w:hAnsi="Calibri" w:cs="Calibri"/>
                          <w:noProof/>
                          <w:color w:val="FFFFFF"/>
                          <w:sz w:val="22"/>
                          <w:szCs w:val="22"/>
                          <w:lang w:val="pt-BR"/>
                        </w:rPr>
                        <w:t xml:space="preserve">Doc. </w:t>
                      </w:r>
                      <w:r w:rsidR="005D389B">
                        <w:rPr>
                          <w:rFonts w:ascii="Calibri" w:hAnsi="Calibri" w:cs="Calibri"/>
                          <w:noProof/>
                          <w:color w:val="FFFFFF"/>
                          <w:sz w:val="22"/>
                          <w:szCs w:val="22"/>
                          <w:lang w:val="pt-BR"/>
                        </w:rPr>
                        <w:t>78</w:t>
                      </w:r>
                    </w:p>
                    <w:p w:rsidR="00D0209E" w:rsidRPr="00F04627" w:rsidRDefault="005D389B" w:rsidP="00ED612B">
                      <w:pPr>
                        <w:spacing w:line="360" w:lineRule="auto"/>
                        <w:jc w:val="right"/>
                        <w:rPr>
                          <w:rFonts w:ascii="Calibri" w:hAnsi="Calibri" w:cs="Calibri"/>
                          <w:noProof/>
                          <w:color w:val="FFFFFF"/>
                          <w:sz w:val="22"/>
                          <w:szCs w:val="22"/>
                        </w:rPr>
                      </w:pPr>
                      <w:r>
                        <w:rPr>
                          <w:rFonts w:ascii="Calibri" w:hAnsi="Calibri" w:cs="Calibri"/>
                          <w:noProof/>
                          <w:color w:val="FFFFFF"/>
                          <w:sz w:val="22"/>
                          <w:szCs w:val="22"/>
                        </w:rPr>
                        <w:t>30</w:t>
                      </w:r>
                      <w:r w:rsidR="00D0209E" w:rsidRPr="00F04627">
                        <w:rPr>
                          <w:rFonts w:ascii="Calibri" w:hAnsi="Calibri" w:cs="Calibri"/>
                          <w:noProof/>
                          <w:color w:val="FFFFFF"/>
                          <w:sz w:val="22"/>
                          <w:szCs w:val="22"/>
                        </w:rPr>
                        <w:t xml:space="preserve"> </w:t>
                      </w:r>
                      <w:r w:rsidR="00D73FA6">
                        <w:rPr>
                          <w:rFonts w:ascii="Calibri" w:hAnsi="Calibri" w:cs="Calibri"/>
                          <w:noProof/>
                          <w:color w:val="FFFFFF"/>
                          <w:sz w:val="22"/>
                          <w:szCs w:val="22"/>
                        </w:rPr>
                        <w:t>November</w:t>
                      </w:r>
                      <w:r w:rsidR="00D73FA6" w:rsidRPr="00F04627">
                        <w:rPr>
                          <w:rFonts w:ascii="Calibri" w:hAnsi="Calibri" w:cs="Calibri"/>
                          <w:noProof/>
                          <w:color w:val="FFFFFF"/>
                          <w:sz w:val="22"/>
                          <w:szCs w:val="22"/>
                        </w:rPr>
                        <w:t xml:space="preserve"> </w:t>
                      </w:r>
                      <w:r w:rsidR="00D0209E" w:rsidRPr="00F04627">
                        <w:rPr>
                          <w:rFonts w:ascii="Calibri" w:hAnsi="Calibri" w:cs="Calibri"/>
                          <w:noProof/>
                          <w:color w:val="FFFFFF"/>
                          <w:sz w:val="22"/>
                          <w:szCs w:val="22"/>
                        </w:rPr>
                        <w:t>2016</w:t>
                      </w:r>
                    </w:p>
                    <w:p w:rsidR="00D0209E" w:rsidRPr="00F04627" w:rsidRDefault="00D0209E" w:rsidP="00ED612B">
                      <w:pPr>
                        <w:spacing w:line="360" w:lineRule="auto"/>
                        <w:jc w:val="right"/>
                        <w:rPr>
                          <w:rFonts w:ascii="Calibri" w:hAnsi="Calibri" w:cs="Calibri"/>
                          <w:noProof/>
                          <w:color w:val="FFFFFF"/>
                          <w:sz w:val="22"/>
                          <w:szCs w:val="22"/>
                        </w:rPr>
                      </w:pPr>
                      <w:r w:rsidRPr="00F04627">
                        <w:rPr>
                          <w:rFonts w:ascii="Calibri" w:hAnsi="Calibri" w:cs="Calibri"/>
                          <w:noProof/>
                          <w:color w:val="FFFFFF"/>
                          <w:sz w:val="22"/>
                          <w:szCs w:val="22"/>
                        </w:rPr>
                        <w:t xml:space="preserve">Original: </w:t>
                      </w:r>
                      <w:r w:rsidR="0012384C">
                        <w:rPr>
                          <w:rFonts w:ascii="Calibri" w:hAnsi="Calibri" w:cs="Calibri"/>
                          <w:noProof/>
                          <w:color w:val="FFFFFF"/>
                          <w:sz w:val="22"/>
                          <w:szCs w:val="22"/>
                        </w:rPr>
                        <w:t>Spanish</w:t>
                      </w:r>
                    </w:p>
                  </w:txbxContent>
                </v:textbox>
              </v:shape>
            </w:pict>
          </mc:Fallback>
        </mc:AlternateContent>
      </w:r>
    </w:p>
    <w:p w:rsidR="00D0209E" w:rsidRPr="00D83798" w:rsidRDefault="00D0209E" w:rsidP="00321C2B">
      <w:pPr>
        <w:tabs>
          <w:tab w:val="center" w:pos="5400"/>
        </w:tabs>
        <w:suppressAutoHyphens/>
        <w:jc w:val="center"/>
        <w:rPr>
          <w:rFonts w:ascii="Cambria" w:hAnsi="Cambria" w:cs="Cambria"/>
          <w:sz w:val="22"/>
          <w:szCs w:val="22"/>
        </w:rPr>
      </w:pPr>
    </w:p>
    <w:p w:rsidR="00D0209E" w:rsidRPr="00D83798" w:rsidRDefault="00D0209E" w:rsidP="00321C2B">
      <w:pPr>
        <w:tabs>
          <w:tab w:val="center" w:pos="5400"/>
        </w:tabs>
        <w:suppressAutoHyphens/>
        <w:jc w:val="center"/>
        <w:rPr>
          <w:rFonts w:ascii="Cambria" w:hAnsi="Cambria" w:cs="Cambria"/>
          <w:sz w:val="22"/>
          <w:szCs w:val="22"/>
        </w:rPr>
      </w:pPr>
    </w:p>
    <w:p w:rsidR="00D0209E" w:rsidRPr="00D83798" w:rsidRDefault="00D0209E" w:rsidP="00321C2B">
      <w:pPr>
        <w:tabs>
          <w:tab w:val="center" w:pos="5400"/>
        </w:tabs>
        <w:suppressAutoHyphens/>
        <w:jc w:val="center"/>
        <w:rPr>
          <w:rFonts w:ascii="Cambria" w:hAnsi="Cambria" w:cs="Cambria"/>
          <w:sz w:val="22"/>
          <w:szCs w:val="22"/>
        </w:rPr>
      </w:pPr>
    </w:p>
    <w:p w:rsidR="00D0209E" w:rsidRPr="00D83798" w:rsidRDefault="00D0209E" w:rsidP="00321C2B">
      <w:pPr>
        <w:tabs>
          <w:tab w:val="center" w:pos="5400"/>
        </w:tabs>
        <w:suppressAutoHyphens/>
        <w:jc w:val="center"/>
        <w:rPr>
          <w:rFonts w:ascii="Cambria" w:hAnsi="Cambria" w:cs="Cambria"/>
          <w:sz w:val="22"/>
          <w:szCs w:val="22"/>
        </w:rPr>
      </w:pPr>
    </w:p>
    <w:p w:rsidR="00D0209E" w:rsidRPr="00D83798" w:rsidRDefault="00D0209E" w:rsidP="00321C2B">
      <w:pPr>
        <w:tabs>
          <w:tab w:val="center" w:pos="5400"/>
        </w:tabs>
        <w:suppressAutoHyphens/>
        <w:jc w:val="center"/>
        <w:rPr>
          <w:rFonts w:ascii="Cambria" w:hAnsi="Cambria" w:cs="Cambria"/>
          <w:sz w:val="22"/>
          <w:szCs w:val="22"/>
        </w:rPr>
      </w:pPr>
    </w:p>
    <w:p w:rsidR="00D0209E" w:rsidRPr="00D83798" w:rsidRDefault="00D0209E" w:rsidP="00321C2B">
      <w:pPr>
        <w:tabs>
          <w:tab w:val="center" w:pos="5400"/>
        </w:tabs>
        <w:suppressAutoHyphens/>
        <w:jc w:val="center"/>
        <w:rPr>
          <w:rFonts w:ascii="Cambria" w:hAnsi="Cambria" w:cs="Cambria"/>
          <w:sz w:val="22"/>
          <w:szCs w:val="22"/>
        </w:rPr>
      </w:pPr>
    </w:p>
    <w:p w:rsidR="00D0209E" w:rsidRPr="00D83798" w:rsidRDefault="00D0209E" w:rsidP="00321C2B">
      <w:pPr>
        <w:tabs>
          <w:tab w:val="center" w:pos="5400"/>
        </w:tabs>
        <w:suppressAutoHyphens/>
        <w:jc w:val="center"/>
        <w:rPr>
          <w:rFonts w:ascii="Cambria" w:hAnsi="Cambria" w:cs="Cambria"/>
          <w:sz w:val="22"/>
          <w:szCs w:val="22"/>
        </w:rPr>
      </w:pPr>
    </w:p>
    <w:p w:rsidR="00D0209E" w:rsidRPr="00D83798" w:rsidRDefault="00D0209E" w:rsidP="00321C2B">
      <w:pPr>
        <w:tabs>
          <w:tab w:val="center" w:pos="5400"/>
        </w:tabs>
        <w:suppressAutoHyphens/>
        <w:jc w:val="center"/>
        <w:rPr>
          <w:rFonts w:ascii="Cambria" w:hAnsi="Cambria" w:cs="Cambria"/>
          <w:sz w:val="22"/>
          <w:szCs w:val="22"/>
        </w:rPr>
      </w:pPr>
    </w:p>
    <w:p w:rsidR="00D0209E" w:rsidRPr="00D83798" w:rsidRDefault="00D0209E" w:rsidP="00321C2B">
      <w:pPr>
        <w:tabs>
          <w:tab w:val="center" w:pos="5400"/>
        </w:tabs>
        <w:suppressAutoHyphens/>
        <w:jc w:val="center"/>
        <w:rPr>
          <w:rFonts w:ascii="Cambria" w:hAnsi="Cambria" w:cs="Cambria"/>
          <w:sz w:val="22"/>
          <w:szCs w:val="22"/>
        </w:rPr>
      </w:pPr>
    </w:p>
    <w:p w:rsidR="00D0209E" w:rsidRPr="00D83798" w:rsidRDefault="00D0209E" w:rsidP="00321C2B">
      <w:pPr>
        <w:tabs>
          <w:tab w:val="center" w:pos="5400"/>
        </w:tabs>
        <w:suppressAutoHyphens/>
        <w:jc w:val="center"/>
        <w:rPr>
          <w:rFonts w:ascii="Cambria" w:hAnsi="Cambria" w:cs="Cambria"/>
          <w:sz w:val="22"/>
          <w:szCs w:val="22"/>
        </w:rPr>
      </w:pPr>
    </w:p>
    <w:p w:rsidR="00D0209E" w:rsidRPr="00D83798" w:rsidRDefault="00D0209E" w:rsidP="00321C2B">
      <w:pPr>
        <w:tabs>
          <w:tab w:val="center" w:pos="5400"/>
        </w:tabs>
        <w:suppressAutoHyphens/>
        <w:jc w:val="center"/>
        <w:rPr>
          <w:rFonts w:ascii="Cambria" w:hAnsi="Cambria" w:cs="Cambria"/>
          <w:sz w:val="22"/>
          <w:szCs w:val="22"/>
        </w:rPr>
      </w:pPr>
    </w:p>
    <w:p w:rsidR="00D0209E" w:rsidRPr="00D83798" w:rsidRDefault="00D0209E" w:rsidP="00321C2B">
      <w:pPr>
        <w:tabs>
          <w:tab w:val="center" w:pos="5400"/>
        </w:tabs>
        <w:suppressAutoHyphens/>
        <w:jc w:val="center"/>
        <w:rPr>
          <w:rFonts w:ascii="Cambria" w:hAnsi="Cambria" w:cs="Cambria"/>
          <w:sz w:val="22"/>
          <w:szCs w:val="22"/>
        </w:rPr>
      </w:pPr>
    </w:p>
    <w:p w:rsidR="00D0209E" w:rsidRPr="00D83798" w:rsidRDefault="00D0209E" w:rsidP="00321C2B">
      <w:pPr>
        <w:tabs>
          <w:tab w:val="center" w:pos="5400"/>
        </w:tabs>
        <w:suppressAutoHyphens/>
        <w:jc w:val="center"/>
        <w:rPr>
          <w:rFonts w:ascii="Cambria" w:hAnsi="Cambria" w:cs="Cambria"/>
          <w:sz w:val="22"/>
          <w:szCs w:val="22"/>
        </w:rPr>
      </w:pPr>
    </w:p>
    <w:p w:rsidR="00D0209E" w:rsidRPr="00D83798" w:rsidRDefault="00D0209E" w:rsidP="00321C2B">
      <w:pPr>
        <w:tabs>
          <w:tab w:val="center" w:pos="5400"/>
        </w:tabs>
        <w:suppressAutoHyphens/>
        <w:jc w:val="center"/>
        <w:rPr>
          <w:rFonts w:ascii="Cambria" w:hAnsi="Cambria" w:cs="Cambria"/>
          <w:sz w:val="18"/>
          <w:szCs w:val="18"/>
        </w:rPr>
      </w:pPr>
    </w:p>
    <w:p w:rsidR="00D0209E" w:rsidRPr="00D83798" w:rsidRDefault="00D0209E" w:rsidP="00321C2B">
      <w:pPr>
        <w:tabs>
          <w:tab w:val="center" w:pos="5400"/>
        </w:tabs>
        <w:suppressAutoHyphens/>
        <w:jc w:val="center"/>
        <w:rPr>
          <w:rFonts w:ascii="Cambria" w:hAnsi="Cambria" w:cs="Cambria"/>
          <w:sz w:val="18"/>
          <w:szCs w:val="18"/>
        </w:rPr>
      </w:pPr>
    </w:p>
    <w:p w:rsidR="00D0209E" w:rsidRPr="00D83798" w:rsidRDefault="00D0209E" w:rsidP="00321C2B">
      <w:pPr>
        <w:tabs>
          <w:tab w:val="center" w:pos="5400"/>
        </w:tabs>
        <w:suppressAutoHyphens/>
        <w:jc w:val="center"/>
        <w:rPr>
          <w:rFonts w:ascii="Cambria" w:hAnsi="Cambria" w:cs="Cambria"/>
          <w:sz w:val="18"/>
          <w:szCs w:val="18"/>
        </w:rPr>
      </w:pPr>
    </w:p>
    <w:p w:rsidR="00D0209E" w:rsidRPr="00D83798" w:rsidRDefault="00D0209E" w:rsidP="00321C2B">
      <w:pPr>
        <w:tabs>
          <w:tab w:val="center" w:pos="5400"/>
        </w:tabs>
        <w:suppressAutoHyphens/>
        <w:jc w:val="center"/>
        <w:rPr>
          <w:rFonts w:ascii="Cambria" w:hAnsi="Cambria" w:cs="Cambria"/>
          <w:sz w:val="18"/>
          <w:szCs w:val="18"/>
        </w:rPr>
      </w:pPr>
    </w:p>
    <w:p w:rsidR="00D0209E" w:rsidRPr="00D83798" w:rsidRDefault="00D0209E" w:rsidP="00321C2B">
      <w:pPr>
        <w:tabs>
          <w:tab w:val="center" w:pos="5400"/>
        </w:tabs>
        <w:suppressAutoHyphens/>
        <w:jc w:val="center"/>
        <w:rPr>
          <w:rFonts w:ascii="Cambria" w:hAnsi="Cambria" w:cs="Cambria"/>
          <w:sz w:val="18"/>
          <w:szCs w:val="18"/>
        </w:rPr>
      </w:pPr>
    </w:p>
    <w:p w:rsidR="00D0209E" w:rsidRPr="00D83798" w:rsidRDefault="00D0209E" w:rsidP="00321C2B">
      <w:pPr>
        <w:tabs>
          <w:tab w:val="center" w:pos="5400"/>
        </w:tabs>
        <w:suppressAutoHyphens/>
        <w:jc w:val="center"/>
        <w:rPr>
          <w:rFonts w:ascii="Cambria" w:hAnsi="Cambria" w:cs="Cambria"/>
          <w:sz w:val="18"/>
          <w:szCs w:val="18"/>
        </w:rPr>
      </w:pPr>
    </w:p>
    <w:p w:rsidR="00D0209E" w:rsidRPr="00D83798" w:rsidRDefault="00D0209E" w:rsidP="00321C2B">
      <w:pPr>
        <w:tabs>
          <w:tab w:val="center" w:pos="5400"/>
        </w:tabs>
        <w:suppressAutoHyphens/>
        <w:jc w:val="center"/>
        <w:rPr>
          <w:rFonts w:ascii="Cambria" w:hAnsi="Cambria" w:cs="Cambria"/>
          <w:sz w:val="18"/>
          <w:szCs w:val="18"/>
        </w:rPr>
      </w:pPr>
    </w:p>
    <w:p w:rsidR="00D0209E" w:rsidRPr="00D83798" w:rsidRDefault="00D0209E" w:rsidP="00321C2B">
      <w:pPr>
        <w:tabs>
          <w:tab w:val="center" w:pos="5400"/>
        </w:tabs>
        <w:suppressAutoHyphens/>
        <w:jc w:val="center"/>
        <w:rPr>
          <w:rFonts w:ascii="Cambria" w:hAnsi="Cambria" w:cs="Cambria"/>
          <w:sz w:val="18"/>
          <w:szCs w:val="18"/>
        </w:rPr>
      </w:pPr>
    </w:p>
    <w:p w:rsidR="00D0209E" w:rsidRPr="00D83798" w:rsidRDefault="00D0209E" w:rsidP="00321C2B">
      <w:pPr>
        <w:tabs>
          <w:tab w:val="center" w:pos="5400"/>
        </w:tabs>
        <w:suppressAutoHyphens/>
        <w:jc w:val="center"/>
        <w:rPr>
          <w:rFonts w:ascii="Cambria" w:hAnsi="Cambria" w:cs="Cambria"/>
          <w:sz w:val="18"/>
          <w:szCs w:val="18"/>
        </w:rPr>
      </w:pPr>
    </w:p>
    <w:p w:rsidR="00D0209E" w:rsidRPr="00D83798" w:rsidRDefault="00D0209E" w:rsidP="00321C2B">
      <w:pPr>
        <w:tabs>
          <w:tab w:val="center" w:pos="5400"/>
        </w:tabs>
        <w:suppressAutoHyphens/>
        <w:jc w:val="center"/>
        <w:rPr>
          <w:rFonts w:ascii="Cambria" w:hAnsi="Cambria" w:cs="Cambria"/>
          <w:sz w:val="18"/>
          <w:szCs w:val="18"/>
        </w:rPr>
      </w:pPr>
    </w:p>
    <w:p w:rsidR="00D0209E" w:rsidRPr="00D83798" w:rsidRDefault="00D0209E" w:rsidP="00321C2B">
      <w:pPr>
        <w:tabs>
          <w:tab w:val="center" w:pos="5400"/>
        </w:tabs>
        <w:suppressAutoHyphens/>
        <w:jc w:val="center"/>
        <w:rPr>
          <w:rFonts w:ascii="Cambria" w:hAnsi="Cambria" w:cs="Cambria"/>
          <w:sz w:val="18"/>
          <w:szCs w:val="18"/>
        </w:rPr>
      </w:pPr>
    </w:p>
    <w:p w:rsidR="00D0209E" w:rsidRPr="00D83798" w:rsidRDefault="00D0209E" w:rsidP="00321C2B">
      <w:pPr>
        <w:tabs>
          <w:tab w:val="center" w:pos="5400"/>
        </w:tabs>
        <w:suppressAutoHyphens/>
        <w:jc w:val="center"/>
        <w:rPr>
          <w:rFonts w:ascii="Cambria" w:hAnsi="Cambria" w:cs="Cambria"/>
          <w:sz w:val="18"/>
          <w:szCs w:val="18"/>
        </w:rPr>
      </w:pPr>
    </w:p>
    <w:p w:rsidR="00D0209E" w:rsidRPr="00D83798" w:rsidRDefault="00905B1A" w:rsidP="00321C2B">
      <w:pPr>
        <w:tabs>
          <w:tab w:val="center" w:pos="5400"/>
        </w:tabs>
        <w:suppressAutoHyphens/>
        <w:jc w:val="center"/>
        <w:rPr>
          <w:rFonts w:ascii="Cambria" w:hAnsi="Cambria" w:cs="Cambria"/>
          <w:sz w:val="18"/>
          <w:szCs w:val="18"/>
        </w:rPr>
      </w:pPr>
      <w:r>
        <w:rPr>
          <w:noProof/>
        </w:rPr>
        <mc:AlternateContent>
          <mc:Choice Requires="wps">
            <w:drawing>
              <wp:anchor distT="0" distB="0" distL="114300" distR="114300" simplePos="0" relativeHeight="251656192" behindDoc="0" locked="0" layoutInCell="1" allowOverlap="1">
                <wp:simplePos x="0" y="0"/>
                <wp:positionH relativeFrom="column">
                  <wp:posOffset>1209675</wp:posOffset>
                </wp:positionH>
                <wp:positionV relativeFrom="paragraph">
                  <wp:posOffset>71120</wp:posOffset>
                </wp:positionV>
                <wp:extent cx="4595495" cy="695325"/>
                <wp:effectExtent l="0" t="4445"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0209E" w:rsidRPr="00F04627" w:rsidRDefault="00D0209E" w:rsidP="00321C2B">
                            <w:pPr>
                              <w:tabs>
                                <w:tab w:val="center" w:pos="5400"/>
                              </w:tabs>
                              <w:suppressAutoHyphens/>
                              <w:spacing w:before="60"/>
                              <w:rPr>
                                <w:rFonts w:ascii="Cambria" w:hAnsi="Cambria" w:cs="Cambria"/>
                                <w:noProof/>
                                <w:color w:val="0D0D0D"/>
                                <w:sz w:val="18"/>
                                <w:szCs w:val="18"/>
                              </w:rPr>
                            </w:pPr>
                            <w:r w:rsidRPr="00F04627">
                              <w:rPr>
                                <w:rFonts w:ascii="Cambria" w:hAnsi="Cambria" w:cs="Cambria"/>
                                <w:noProof/>
                                <w:color w:val="0D0D0D"/>
                                <w:sz w:val="18"/>
                                <w:szCs w:val="18"/>
                              </w:rPr>
                              <w:t xml:space="preserve">Approved by the Commission at its session No. </w:t>
                            </w:r>
                            <w:r w:rsidR="00E1721A">
                              <w:rPr>
                                <w:rFonts w:ascii="Cambria" w:hAnsi="Cambria" w:cs="Cambria"/>
                                <w:noProof/>
                                <w:color w:val="0D0D0D"/>
                                <w:sz w:val="18"/>
                                <w:szCs w:val="18"/>
                              </w:rPr>
                              <w:t>2069</w:t>
                            </w:r>
                            <w:r w:rsidRPr="00F04627">
                              <w:rPr>
                                <w:rFonts w:ascii="Cambria" w:hAnsi="Cambria" w:cs="Cambria"/>
                                <w:noProof/>
                                <w:color w:val="0D0D0D"/>
                                <w:sz w:val="18"/>
                                <w:szCs w:val="18"/>
                              </w:rPr>
                              <w:t xml:space="preserve"> held on November </w:t>
                            </w:r>
                            <w:r w:rsidR="005D389B">
                              <w:rPr>
                                <w:rFonts w:ascii="Cambria" w:hAnsi="Cambria" w:cs="Cambria"/>
                                <w:noProof/>
                                <w:color w:val="0D0D0D"/>
                                <w:sz w:val="18"/>
                                <w:szCs w:val="18"/>
                              </w:rPr>
                              <w:t>30</w:t>
                            </w:r>
                            <w:r w:rsidRPr="00F04627">
                              <w:rPr>
                                <w:rFonts w:ascii="Cambria" w:hAnsi="Cambria" w:cs="Cambria"/>
                                <w:noProof/>
                                <w:color w:val="0D0D0D"/>
                                <w:sz w:val="18"/>
                                <w:szCs w:val="18"/>
                              </w:rPr>
                              <w:t>, 2016</w:t>
                            </w:r>
                            <w:r w:rsidR="00E1721A">
                              <w:rPr>
                                <w:rFonts w:ascii="Cambria" w:hAnsi="Cambria" w:cs="Cambria"/>
                                <w:noProof/>
                                <w:color w:val="0D0D0D"/>
                                <w:sz w:val="18"/>
                                <w:szCs w:val="18"/>
                              </w:rPr>
                              <w:t>.</w:t>
                            </w:r>
                            <w:r w:rsidRPr="00F04627">
                              <w:rPr>
                                <w:rFonts w:ascii="Cambria" w:hAnsi="Cambria" w:cs="Cambria"/>
                                <w:noProof/>
                                <w:color w:val="0D0D0D"/>
                                <w:sz w:val="18"/>
                                <w:szCs w:val="18"/>
                              </w:rPr>
                              <w:br/>
                              <w:t>159</w:t>
                            </w:r>
                            <w:r w:rsidR="00E1721A">
                              <w:rPr>
                                <w:rFonts w:ascii="Cambria" w:hAnsi="Cambria" w:cs="Cambria"/>
                                <w:noProof/>
                                <w:color w:val="0D0D0D"/>
                                <w:sz w:val="18"/>
                                <w:szCs w:val="18"/>
                              </w:rPr>
                              <w:t>th</w:t>
                            </w:r>
                            <w:r w:rsidRPr="00F04627">
                              <w:rPr>
                                <w:rFonts w:ascii="Cambria" w:hAnsi="Cambria" w:cs="Cambria"/>
                                <w:noProof/>
                                <w:color w:val="0D0D0D"/>
                                <w:sz w:val="18"/>
                                <w:szCs w:val="18"/>
                              </w:rPr>
                              <w:t xml:space="preserve"> Regular Period of Sessions</w:t>
                            </w:r>
                            <w:r w:rsidR="00E1721A">
                              <w:rPr>
                                <w:rFonts w:ascii="Cambria" w:hAnsi="Cambria" w:cs="Cambria"/>
                                <w:noProof/>
                                <w:color w:val="0D0D0D"/>
                                <w:sz w:val="18"/>
                                <w:szCs w:val="18"/>
                              </w:rPr>
                              <w:t>.</w:t>
                            </w:r>
                          </w:p>
                          <w:p w:rsidR="00D0209E" w:rsidRPr="00F04627" w:rsidRDefault="00D0209E" w:rsidP="00321C2B">
                            <w:pPr>
                              <w:tabs>
                                <w:tab w:val="center" w:pos="5400"/>
                              </w:tabs>
                              <w:suppressAutoHyphens/>
                              <w:spacing w:before="60"/>
                              <w:rPr>
                                <w:rFonts w:ascii="Cambria" w:hAnsi="Cambria" w:cs="Cambria"/>
                                <w:noProof/>
                                <w:color w:val="0D0D0D"/>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95.25pt;margin-top:5.6pt;width:361.8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EOtwIAAMA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" filled="f" stroked="f" strokeweight=".5pt">
                <v:textbox>
                  <w:txbxContent>
                    <w:p w:rsidR="00D0209E" w:rsidRPr="00F04627" w:rsidRDefault="00D0209E" w:rsidP="00321C2B">
                      <w:pPr>
                        <w:tabs>
                          <w:tab w:val="center" w:pos="5400"/>
                        </w:tabs>
                        <w:suppressAutoHyphens/>
                        <w:spacing w:before="60"/>
                        <w:rPr>
                          <w:rFonts w:ascii="Cambria" w:hAnsi="Cambria" w:cs="Cambria"/>
                          <w:noProof/>
                          <w:color w:val="0D0D0D"/>
                          <w:sz w:val="18"/>
                          <w:szCs w:val="18"/>
                        </w:rPr>
                      </w:pPr>
                      <w:r w:rsidRPr="00F04627">
                        <w:rPr>
                          <w:rFonts w:ascii="Cambria" w:hAnsi="Cambria" w:cs="Cambria"/>
                          <w:noProof/>
                          <w:color w:val="0D0D0D"/>
                          <w:sz w:val="18"/>
                          <w:szCs w:val="18"/>
                        </w:rPr>
                        <w:t xml:space="preserve">Approved by the Commission at its session No. </w:t>
                      </w:r>
                      <w:r w:rsidR="00E1721A">
                        <w:rPr>
                          <w:rFonts w:ascii="Cambria" w:hAnsi="Cambria" w:cs="Cambria"/>
                          <w:noProof/>
                          <w:color w:val="0D0D0D"/>
                          <w:sz w:val="18"/>
                          <w:szCs w:val="18"/>
                        </w:rPr>
                        <w:t>2069</w:t>
                      </w:r>
                      <w:r w:rsidRPr="00F04627">
                        <w:rPr>
                          <w:rFonts w:ascii="Cambria" w:hAnsi="Cambria" w:cs="Cambria"/>
                          <w:noProof/>
                          <w:color w:val="0D0D0D"/>
                          <w:sz w:val="18"/>
                          <w:szCs w:val="18"/>
                        </w:rPr>
                        <w:t xml:space="preserve"> held on November </w:t>
                      </w:r>
                      <w:r w:rsidR="005D389B">
                        <w:rPr>
                          <w:rFonts w:ascii="Cambria" w:hAnsi="Cambria" w:cs="Cambria"/>
                          <w:noProof/>
                          <w:color w:val="0D0D0D"/>
                          <w:sz w:val="18"/>
                          <w:szCs w:val="18"/>
                        </w:rPr>
                        <w:t>30</w:t>
                      </w:r>
                      <w:r w:rsidRPr="00F04627">
                        <w:rPr>
                          <w:rFonts w:ascii="Cambria" w:hAnsi="Cambria" w:cs="Cambria"/>
                          <w:noProof/>
                          <w:color w:val="0D0D0D"/>
                          <w:sz w:val="18"/>
                          <w:szCs w:val="18"/>
                        </w:rPr>
                        <w:t>, 2016</w:t>
                      </w:r>
                      <w:r w:rsidR="00E1721A">
                        <w:rPr>
                          <w:rFonts w:ascii="Cambria" w:hAnsi="Cambria" w:cs="Cambria"/>
                          <w:noProof/>
                          <w:color w:val="0D0D0D"/>
                          <w:sz w:val="18"/>
                          <w:szCs w:val="18"/>
                        </w:rPr>
                        <w:t>.</w:t>
                      </w:r>
                      <w:r w:rsidRPr="00F04627">
                        <w:rPr>
                          <w:rFonts w:ascii="Cambria" w:hAnsi="Cambria" w:cs="Cambria"/>
                          <w:noProof/>
                          <w:color w:val="0D0D0D"/>
                          <w:sz w:val="18"/>
                          <w:szCs w:val="18"/>
                        </w:rPr>
                        <w:br/>
                        <w:t>159</w:t>
                      </w:r>
                      <w:r w:rsidR="00E1721A">
                        <w:rPr>
                          <w:rFonts w:ascii="Cambria" w:hAnsi="Cambria" w:cs="Cambria"/>
                          <w:noProof/>
                          <w:color w:val="0D0D0D"/>
                          <w:sz w:val="18"/>
                          <w:szCs w:val="18"/>
                        </w:rPr>
                        <w:t>th</w:t>
                      </w:r>
                      <w:r w:rsidRPr="00F04627">
                        <w:rPr>
                          <w:rFonts w:ascii="Cambria" w:hAnsi="Cambria" w:cs="Cambria"/>
                          <w:noProof/>
                          <w:color w:val="0D0D0D"/>
                          <w:sz w:val="18"/>
                          <w:szCs w:val="18"/>
                        </w:rPr>
                        <w:t xml:space="preserve"> Regular Period of Sessions</w:t>
                      </w:r>
                      <w:r w:rsidR="00E1721A">
                        <w:rPr>
                          <w:rFonts w:ascii="Cambria" w:hAnsi="Cambria" w:cs="Cambria"/>
                          <w:noProof/>
                          <w:color w:val="0D0D0D"/>
                          <w:sz w:val="18"/>
                          <w:szCs w:val="18"/>
                        </w:rPr>
                        <w:t>.</w:t>
                      </w:r>
                    </w:p>
                    <w:p w:rsidR="00D0209E" w:rsidRPr="00F04627" w:rsidRDefault="00D0209E" w:rsidP="00321C2B">
                      <w:pPr>
                        <w:tabs>
                          <w:tab w:val="center" w:pos="5400"/>
                        </w:tabs>
                        <w:suppressAutoHyphens/>
                        <w:spacing w:before="60"/>
                        <w:rPr>
                          <w:rFonts w:ascii="Cambria" w:hAnsi="Cambria" w:cs="Cambria"/>
                          <w:noProof/>
                          <w:color w:val="0D0D0D"/>
                          <w:sz w:val="18"/>
                          <w:szCs w:val="18"/>
                        </w:rPr>
                      </w:pPr>
                    </w:p>
                  </w:txbxContent>
                </v:textbox>
              </v:shape>
            </w:pict>
          </mc:Fallback>
        </mc:AlternateContent>
      </w:r>
    </w:p>
    <w:p w:rsidR="00D0209E" w:rsidRPr="00D83798" w:rsidRDefault="00D0209E" w:rsidP="00321C2B">
      <w:pPr>
        <w:tabs>
          <w:tab w:val="center" w:pos="5400"/>
        </w:tabs>
        <w:suppressAutoHyphens/>
        <w:jc w:val="center"/>
        <w:rPr>
          <w:rFonts w:ascii="Cambria" w:hAnsi="Cambria" w:cs="Cambria"/>
          <w:sz w:val="18"/>
          <w:szCs w:val="18"/>
        </w:rPr>
      </w:pPr>
    </w:p>
    <w:p w:rsidR="00D0209E" w:rsidRPr="00D83798" w:rsidRDefault="00D0209E" w:rsidP="00321C2B">
      <w:pPr>
        <w:tabs>
          <w:tab w:val="center" w:pos="5400"/>
        </w:tabs>
        <w:suppressAutoHyphens/>
        <w:jc w:val="center"/>
        <w:rPr>
          <w:rFonts w:ascii="Cambria" w:hAnsi="Cambria" w:cs="Cambria"/>
          <w:sz w:val="18"/>
          <w:szCs w:val="18"/>
        </w:rPr>
      </w:pPr>
    </w:p>
    <w:p w:rsidR="00D0209E" w:rsidRPr="00D83798" w:rsidRDefault="00D0209E" w:rsidP="00321C2B">
      <w:pPr>
        <w:tabs>
          <w:tab w:val="center" w:pos="5400"/>
        </w:tabs>
        <w:suppressAutoHyphens/>
        <w:jc w:val="center"/>
        <w:rPr>
          <w:rFonts w:ascii="Cambria" w:hAnsi="Cambria" w:cs="Cambria"/>
          <w:sz w:val="18"/>
          <w:szCs w:val="18"/>
        </w:rPr>
      </w:pPr>
    </w:p>
    <w:p w:rsidR="00D0209E" w:rsidRPr="00D83798" w:rsidRDefault="00D0209E" w:rsidP="00321C2B">
      <w:pPr>
        <w:tabs>
          <w:tab w:val="center" w:pos="5400"/>
        </w:tabs>
        <w:suppressAutoHyphens/>
        <w:jc w:val="center"/>
        <w:rPr>
          <w:rFonts w:ascii="Cambria" w:hAnsi="Cambria" w:cs="Cambria"/>
          <w:sz w:val="18"/>
          <w:szCs w:val="18"/>
        </w:rPr>
      </w:pPr>
    </w:p>
    <w:p w:rsidR="00D0209E" w:rsidRPr="00D83798" w:rsidRDefault="00905B1A" w:rsidP="00321C2B">
      <w:pPr>
        <w:tabs>
          <w:tab w:val="center" w:pos="5400"/>
        </w:tabs>
        <w:suppressAutoHyphens/>
        <w:jc w:val="center"/>
        <w:rPr>
          <w:rFonts w:ascii="Cambria" w:hAnsi="Cambria" w:cs="Cambria"/>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1209675</wp:posOffset>
                </wp:positionH>
                <wp:positionV relativeFrom="paragraph">
                  <wp:posOffset>92075</wp:posOffset>
                </wp:positionV>
                <wp:extent cx="4824095" cy="609600"/>
                <wp:effectExtent l="0" t="0" r="0" b="317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0209E" w:rsidRPr="002F7697" w:rsidRDefault="00D0209E" w:rsidP="00321C2B">
                            <w:pPr>
                              <w:spacing w:line="276" w:lineRule="auto"/>
                              <w:rPr>
                                <w:rFonts w:ascii="Cambria" w:hAnsi="Cambria" w:cs="Cambria"/>
                                <w:noProof/>
                                <w:color w:val="595959"/>
                                <w:sz w:val="18"/>
                                <w:szCs w:val="18"/>
                                <w:lang w:val="pt-BR"/>
                              </w:rPr>
                            </w:pPr>
                            <w:r w:rsidRPr="00F04627">
                              <w:rPr>
                                <w:rFonts w:ascii="Cambria" w:hAnsi="Cambria" w:cs="Cambria"/>
                                <w:b/>
                                <w:bCs/>
                                <w:noProof/>
                                <w:color w:val="595959"/>
                                <w:sz w:val="18"/>
                                <w:szCs w:val="18"/>
                              </w:rPr>
                              <w:t xml:space="preserve">Cite as: </w:t>
                            </w:r>
                            <w:r w:rsidRPr="00F04627">
                              <w:rPr>
                                <w:rFonts w:ascii="Cambria" w:hAnsi="Cambria" w:cs="Cambria"/>
                                <w:noProof/>
                                <w:color w:val="595959"/>
                                <w:sz w:val="18"/>
                                <w:szCs w:val="18"/>
                              </w:rPr>
                              <w:t xml:space="preserve">IACHR, Report No. </w:t>
                            </w:r>
                            <w:r w:rsidR="00C06C7B">
                              <w:rPr>
                                <w:rFonts w:ascii="Cambria" w:hAnsi="Cambria" w:cs="Cambria"/>
                                <w:noProof/>
                                <w:color w:val="595959"/>
                                <w:sz w:val="18"/>
                                <w:szCs w:val="18"/>
                              </w:rPr>
                              <w:t>69/16</w:t>
                            </w:r>
                            <w:r w:rsidRPr="00F04627">
                              <w:rPr>
                                <w:rFonts w:ascii="Cambria" w:hAnsi="Cambria" w:cs="Cambria"/>
                                <w:noProof/>
                                <w:color w:val="595959"/>
                                <w:sz w:val="18"/>
                                <w:szCs w:val="18"/>
                              </w:rPr>
                              <w:t xml:space="preserve">. </w:t>
                            </w:r>
                            <w:r w:rsidRPr="002F7697">
                              <w:rPr>
                                <w:rFonts w:ascii="Cambria" w:hAnsi="Cambria" w:cs="Cambria"/>
                                <w:noProof/>
                                <w:color w:val="595959"/>
                                <w:sz w:val="18"/>
                                <w:szCs w:val="18"/>
                              </w:rPr>
                              <w:t xml:space="preserve">Friendly Settlement. </w:t>
                            </w:r>
                            <w:r w:rsidR="005358EF" w:rsidRPr="00ED612B">
                              <w:rPr>
                                <w:rFonts w:ascii="Cambria" w:hAnsi="Cambria" w:cs="Cambria"/>
                                <w:noProof/>
                                <w:color w:val="595959"/>
                                <w:sz w:val="18"/>
                                <w:szCs w:val="18"/>
                                <w:lang w:val="es-ES"/>
                              </w:rPr>
                              <w:t>Jesus</w:t>
                            </w:r>
                            <w:r w:rsidRPr="00ED612B">
                              <w:rPr>
                                <w:rFonts w:ascii="Cambria" w:hAnsi="Cambria" w:cs="Cambria"/>
                                <w:noProof/>
                                <w:color w:val="595959"/>
                                <w:sz w:val="18"/>
                                <w:szCs w:val="18"/>
                                <w:lang w:val="es-ES"/>
                              </w:rPr>
                              <w:t xml:space="preserve"> Salvador Ferreyra Gonz</w:t>
                            </w:r>
                            <w:r w:rsidR="005D389B" w:rsidRPr="00ED612B">
                              <w:rPr>
                                <w:rFonts w:ascii="Cambria" w:hAnsi="Cambria" w:cs="Cambria"/>
                                <w:noProof/>
                                <w:color w:val="595959"/>
                                <w:sz w:val="18"/>
                                <w:szCs w:val="18"/>
                                <w:lang w:val="es-ES"/>
                              </w:rPr>
                              <w:t>á</w:t>
                            </w:r>
                            <w:r w:rsidRPr="00ED612B">
                              <w:rPr>
                                <w:rFonts w:ascii="Cambria" w:hAnsi="Cambria" w:cs="Cambria"/>
                                <w:noProof/>
                                <w:color w:val="595959"/>
                                <w:sz w:val="18"/>
                                <w:szCs w:val="18"/>
                                <w:lang w:val="es-ES"/>
                              </w:rPr>
                              <w:t xml:space="preserve">lez. Peru. </w:t>
                            </w:r>
                            <w:r w:rsidRPr="002F7697">
                              <w:rPr>
                                <w:rFonts w:ascii="Cambria" w:hAnsi="Cambria" w:cs="Cambria"/>
                                <w:noProof/>
                                <w:color w:val="595959"/>
                                <w:sz w:val="18"/>
                                <w:szCs w:val="18"/>
                                <w:lang w:val="pt-BR"/>
                              </w:rPr>
                              <w:t xml:space="preserve">November </w:t>
                            </w:r>
                            <w:r w:rsidR="005D389B">
                              <w:rPr>
                                <w:rFonts w:ascii="Cambria" w:hAnsi="Cambria" w:cs="Cambria"/>
                                <w:noProof/>
                                <w:color w:val="595959"/>
                                <w:sz w:val="18"/>
                                <w:szCs w:val="18"/>
                                <w:lang w:val="pt-BR"/>
                              </w:rPr>
                              <w:t>30</w:t>
                            </w:r>
                            <w:r w:rsidRPr="002F7697">
                              <w:rPr>
                                <w:rFonts w:ascii="Cambria" w:hAnsi="Cambria" w:cs="Cambria"/>
                                <w:noProof/>
                                <w:color w:val="595959"/>
                                <w:sz w:val="18"/>
                                <w:szCs w:val="18"/>
                                <w:lang w:val="pt-BR"/>
                              </w:rPr>
                              <w:t>,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95.25pt;margin-top:7.25pt;width:379.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" filled="f" stroked="f" strokeweight=".5pt">
                <v:textbox>
                  <w:txbxContent>
                    <w:p w:rsidR="00D0209E" w:rsidRPr="002F7697" w:rsidRDefault="00D0209E" w:rsidP="00321C2B">
                      <w:pPr>
                        <w:spacing w:line="276" w:lineRule="auto"/>
                        <w:rPr>
                          <w:rFonts w:ascii="Cambria" w:hAnsi="Cambria" w:cs="Cambria"/>
                          <w:noProof/>
                          <w:color w:val="595959"/>
                          <w:sz w:val="18"/>
                          <w:szCs w:val="18"/>
                          <w:lang w:val="pt-BR"/>
                        </w:rPr>
                      </w:pPr>
                      <w:r w:rsidRPr="00F04627">
                        <w:rPr>
                          <w:rFonts w:ascii="Cambria" w:hAnsi="Cambria" w:cs="Cambria"/>
                          <w:b/>
                          <w:bCs/>
                          <w:noProof/>
                          <w:color w:val="595959"/>
                          <w:sz w:val="18"/>
                          <w:szCs w:val="18"/>
                        </w:rPr>
                        <w:t xml:space="preserve">Cite as: </w:t>
                      </w:r>
                      <w:r w:rsidRPr="00F04627">
                        <w:rPr>
                          <w:rFonts w:ascii="Cambria" w:hAnsi="Cambria" w:cs="Cambria"/>
                          <w:noProof/>
                          <w:color w:val="595959"/>
                          <w:sz w:val="18"/>
                          <w:szCs w:val="18"/>
                        </w:rPr>
                        <w:t xml:space="preserve">IACHR, Report No. </w:t>
                      </w:r>
                      <w:r w:rsidR="00C06C7B">
                        <w:rPr>
                          <w:rFonts w:ascii="Cambria" w:hAnsi="Cambria" w:cs="Cambria"/>
                          <w:noProof/>
                          <w:color w:val="595959"/>
                          <w:sz w:val="18"/>
                          <w:szCs w:val="18"/>
                        </w:rPr>
                        <w:t>69/16</w:t>
                      </w:r>
                      <w:r w:rsidRPr="00F04627">
                        <w:rPr>
                          <w:rFonts w:ascii="Cambria" w:hAnsi="Cambria" w:cs="Cambria"/>
                          <w:noProof/>
                          <w:color w:val="595959"/>
                          <w:sz w:val="18"/>
                          <w:szCs w:val="18"/>
                        </w:rPr>
                        <w:t xml:space="preserve">. </w:t>
                      </w:r>
                      <w:r w:rsidRPr="002F7697">
                        <w:rPr>
                          <w:rFonts w:ascii="Cambria" w:hAnsi="Cambria" w:cs="Cambria"/>
                          <w:noProof/>
                          <w:color w:val="595959"/>
                          <w:sz w:val="18"/>
                          <w:szCs w:val="18"/>
                        </w:rPr>
                        <w:t xml:space="preserve">Friendly Settlement. </w:t>
                      </w:r>
                      <w:r w:rsidR="005358EF" w:rsidRPr="00ED612B">
                        <w:rPr>
                          <w:rFonts w:ascii="Cambria" w:hAnsi="Cambria" w:cs="Cambria"/>
                          <w:noProof/>
                          <w:color w:val="595959"/>
                          <w:sz w:val="18"/>
                          <w:szCs w:val="18"/>
                          <w:lang w:val="es-ES"/>
                        </w:rPr>
                        <w:t>Jesus</w:t>
                      </w:r>
                      <w:r w:rsidRPr="00ED612B">
                        <w:rPr>
                          <w:rFonts w:ascii="Cambria" w:hAnsi="Cambria" w:cs="Cambria"/>
                          <w:noProof/>
                          <w:color w:val="595959"/>
                          <w:sz w:val="18"/>
                          <w:szCs w:val="18"/>
                          <w:lang w:val="es-ES"/>
                        </w:rPr>
                        <w:t xml:space="preserve"> Salvador Ferreyra Gonz</w:t>
                      </w:r>
                      <w:r w:rsidR="005D389B" w:rsidRPr="00ED612B">
                        <w:rPr>
                          <w:rFonts w:ascii="Cambria" w:hAnsi="Cambria" w:cs="Cambria"/>
                          <w:noProof/>
                          <w:color w:val="595959"/>
                          <w:sz w:val="18"/>
                          <w:szCs w:val="18"/>
                          <w:lang w:val="es-ES"/>
                        </w:rPr>
                        <w:t>á</w:t>
                      </w:r>
                      <w:r w:rsidRPr="00ED612B">
                        <w:rPr>
                          <w:rFonts w:ascii="Cambria" w:hAnsi="Cambria" w:cs="Cambria"/>
                          <w:noProof/>
                          <w:color w:val="595959"/>
                          <w:sz w:val="18"/>
                          <w:szCs w:val="18"/>
                          <w:lang w:val="es-ES"/>
                        </w:rPr>
                        <w:t xml:space="preserve">lez. Peru. </w:t>
                      </w:r>
                      <w:r w:rsidRPr="002F7697">
                        <w:rPr>
                          <w:rFonts w:ascii="Cambria" w:hAnsi="Cambria" w:cs="Cambria"/>
                          <w:noProof/>
                          <w:color w:val="595959"/>
                          <w:sz w:val="18"/>
                          <w:szCs w:val="18"/>
                          <w:lang w:val="pt-BR"/>
                        </w:rPr>
                        <w:t xml:space="preserve">November </w:t>
                      </w:r>
                      <w:r w:rsidR="005D389B">
                        <w:rPr>
                          <w:rFonts w:ascii="Cambria" w:hAnsi="Cambria" w:cs="Cambria"/>
                          <w:noProof/>
                          <w:color w:val="595959"/>
                          <w:sz w:val="18"/>
                          <w:szCs w:val="18"/>
                          <w:lang w:val="pt-BR"/>
                        </w:rPr>
                        <w:t>30</w:t>
                      </w:r>
                      <w:r w:rsidRPr="002F7697">
                        <w:rPr>
                          <w:rFonts w:ascii="Cambria" w:hAnsi="Cambria" w:cs="Cambria"/>
                          <w:noProof/>
                          <w:color w:val="595959"/>
                          <w:sz w:val="18"/>
                          <w:szCs w:val="18"/>
                          <w:lang w:val="pt-BR"/>
                        </w:rPr>
                        <w:t>, 2016.</w:t>
                      </w:r>
                    </w:p>
                  </w:txbxContent>
                </v:textbox>
              </v:shape>
            </w:pict>
          </mc:Fallback>
        </mc:AlternateContent>
      </w:r>
    </w:p>
    <w:p w:rsidR="00D0209E" w:rsidRPr="00D83798" w:rsidRDefault="00D0209E" w:rsidP="00321C2B">
      <w:pPr>
        <w:tabs>
          <w:tab w:val="center" w:pos="5400"/>
        </w:tabs>
        <w:suppressAutoHyphens/>
        <w:jc w:val="center"/>
        <w:rPr>
          <w:rFonts w:ascii="Cambria" w:hAnsi="Cambria" w:cs="Cambria"/>
          <w:sz w:val="18"/>
          <w:szCs w:val="18"/>
        </w:rPr>
      </w:pPr>
    </w:p>
    <w:p w:rsidR="00D0209E" w:rsidRPr="00D83798" w:rsidRDefault="00D0209E" w:rsidP="00321C2B">
      <w:pPr>
        <w:tabs>
          <w:tab w:val="center" w:pos="5400"/>
        </w:tabs>
        <w:suppressAutoHyphens/>
        <w:jc w:val="center"/>
        <w:rPr>
          <w:rFonts w:ascii="Cambria" w:hAnsi="Cambria" w:cs="Cambria"/>
          <w:sz w:val="18"/>
          <w:szCs w:val="18"/>
        </w:rPr>
      </w:pPr>
    </w:p>
    <w:p w:rsidR="00D0209E" w:rsidRPr="00D83798" w:rsidRDefault="00D0209E" w:rsidP="00321C2B">
      <w:pPr>
        <w:tabs>
          <w:tab w:val="center" w:pos="5400"/>
        </w:tabs>
        <w:suppressAutoHyphens/>
        <w:jc w:val="center"/>
        <w:rPr>
          <w:rFonts w:ascii="Cambria" w:hAnsi="Cambria" w:cs="Cambria"/>
          <w:sz w:val="18"/>
          <w:szCs w:val="18"/>
        </w:rPr>
      </w:pPr>
    </w:p>
    <w:p w:rsidR="00D0209E" w:rsidRPr="00D83798" w:rsidRDefault="00905B1A" w:rsidP="00321C2B">
      <w:pPr>
        <w:tabs>
          <w:tab w:val="center" w:pos="5400"/>
        </w:tabs>
        <w:suppressAutoHyphens/>
        <w:jc w:val="center"/>
        <w:rPr>
          <w:rFonts w:ascii="Cambria" w:hAnsi="Cambria" w:cs="Cambria"/>
          <w:sz w:val="18"/>
          <w:szCs w:val="18"/>
        </w:rPr>
      </w:pPr>
      <w:r>
        <w:rPr>
          <w:noProof/>
        </w:rPr>
        <w:drawing>
          <wp:anchor distT="0" distB="0" distL="114300" distR="114300" simplePos="0" relativeHeight="251661312" behindDoc="0" locked="0" layoutInCell="1" allowOverlap="1">
            <wp:simplePos x="0" y="0"/>
            <wp:positionH relativeFrom="column">
              <wp:posOffset>1257300</wp:posOffset>
            </wp:positionH>
            <wp:positionV relativeFrom="paragraph">
              <wp:posOffset>829945</wp:posOffset>
            </wp:positionV>
            <wp:extent cx="1098550" cy="368300"/>
            <wp:effectExtent l="0" t="0" r="635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368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-299085</wp:posOffset>
                </wp:positionH>
                <wp:positionV relativeFrom="paragraph">
                  <wp:posOffset>859155</wp:posOffset>
                </wp:positionV>
                <wp:extent cx="1181100" cy="332740"/>
                <wp:effectExtent l="0" t="190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0209E" w:rsidRPr="00321C2B" w:rsidRDefault="00D0209E" w:rsidP="00321C2B">
                            <w:pPr>
                              <w:jc w:val="center"/>
                              <w:rPr>
                                <w:rFonts w:ascii="Calibri" w:hAnsi="Calibri" w:cs="Calibri"/>
                                <w:b/>
                                <w:bCs/>
                                <w:noProof/>
                                <w:color w:val="FFFFFF"/>
                              </w:rPr>
                            </w:pPr>
                            <w:r w:rsidRPr="00321C2B">
                              <w:rPr>
                                <w:rFonts w:ascii="Calibri" w:hAnsi="Calibri" w:cs="Calibri"/>
                                <w:b/>
                                <w:bCs/>
                                <w:noProof/>
                                <w:color w:val="FFFFFF"/>
                              </w:rPr>
                              <w:t>www.cidh.org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23.55pt;margin-top:67.65pt;width:93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2luQIAAMA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" filled="f" stroked="f" strokeweight=".5pt">
                <v:textbox>
                  <w:txbxContent>
                    <w:p w:rsidR="00D0209E" w:rsidRPr="00321C2B" w:rsidRDefault="00D0209E" w:rsidP="00321C2B">
                      <w:pPr>
                        <w:jc w:val="center"/>
                        <w:rPr>
                          <w:rFonts w:ascii="Calibri" w:hAnsi="Calibri" w:cs="Calibri"/>
                          <w:b/>
                          <w:bCs/>
                          <w:noProof/>
                          <w:color w:val="FFFFFF"/>
                        </w:rPr>
                      </w:pPr>
                      <w:r w:rsidRPr="00321C2B">
                        <w:rPr>
                          <w:rFonts w:ascii="Calibri" w:hAnsi="Calibri" w:cs="Calibri"/>
                          <w:b/>
                          <w:bCs/>
                          <w:noProof/>
                          <w:color w:val="FFFFFF"/>
                        </w:rPr>
                        <w:t>www.cidh.org</w:t>
                      </w:r>
                    </w:p>
                  </w:txbxContent>
                </v:textbox>
              </v:shape>
            </w:pict>
          </mc:Fallback>
        </mc:AlternateContent>
      </w:r>
    </w:p>
    <w:p w:rsidR="00D0209E" w:rsidRPr="00D83798" w:rsidRDefault="00D0209E" w:rsidP="00321C2B">
      <w:pPr>
        <w:tabs>
          <w:tab w:val="center" w:pos="5400"/>
        </w:tabs>
        <w:suppressAutoHyphens/>
        <w:jc w:val="center"/>
        <w:rPr>
          <w:rFonts w:ascii="Cambria" w:hAnsi="Cambria" w:cs="Cambria"/>
          <w:sz w:val="18"/>
          <w:szCs w:val="18"/>
        </w:rPr>
        <w:sectPr w:rsidR="00D0209E" w:rsidRPr="00D83798" w:rsidSect="0014127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26"/>
        </w:sectPr>
      </w:pPr>
    </w:p>
    <w:p w:rsidR="00D0209E" w:rsidRPr="00D83798" w:rsidRDefault="00D0209E" w:rsidP="00321C2B">
      <w:pPr>
        <w:tabs>
          <w:tab w:val="center" w:pos="5400"/>
        </w:tabs>
        <w:suppressAutoHyphens/>
        <w:jc w:val="center"/>
        <w:rPr>
          <w:rFonts w:ascii="Cambria" w:hAnsi="Cambria" w:cs="Cambria"/>
          <w:b/>
          <w:bCs/>
          <w:sz w:val="18"/>
          <w:szCs w:val="18"/>
        </w:rPr>
      </w:pPr>
      <w:r w:rsidRPr="00D83798">
        <w:rPr>
          <w:rFonts w:ascii="Cambria" w:hAnsi="Cambria" w:cs="Cambria"/>
          <w:b/>
          <w:bCs/>
          <w:sz w:val="18"/>
          <w:szCs w:val="18"/>
        </w:rPr>
        <w:lastRenderedPageBreak/>
        <w:t xml:space="preserve">REPORT No. </w:t>
      </w:r>
      <w:r w:rsidR="005D389B">
        <w:rPr>
          <w:rFonts w:ascii="Cambria" w:hAnsi="Cambria" w:cs="Cambria"/>
          <w:b/>
          <w:bCs/>
          <w:sz w:val="18"/>
          <w:szCs w:val="18"/>
        </w:rPr>
        <w:t>69</w:t>
      </w:r>
      <w:r w:rsidRPr="00D83798">
        <w:rPr>
          <w:rFonts w:ascii="Cambria" w:hAnsi="Cambria" w:cs="Cambria"/>
          <w:b/>
          <w:bCs/>
          <w:sz w:val="18"/>
          <w:szCs w:val="18"/>
        </w:rPr>
        <w:t>/16</w:t>
      </w:r>
    </w:p>
    <w:p w:rsidR="00D0209E" w:rsidRPr="00D83798" w:rsidRDefault="00D0209E" w:rsidP="00321C2B">
      <w:pPr>
        <w:tabs>
          <w:tab w:val="center" w:pos="5400"/>
        </w:tabs>
        <w:suppressAutoHyphens/>
        <w:jc w:val="center"/>
        <w:rPr>
          <w:rFonts w:ascii="Cambria" w:hAnsi="Cambria" w:cs="Cambria"/>
          <w:b/>
          <w:bCs/>
          <w:sz w:val="18"/>
          <w:szCs w:val="18"/>
        </w:rPr>
      </w:pPr>
      <w:r w:rsidRPr="00D83798">
        <w:rPr>
          <w:rFonts w:ascii="Cambria" w:hAnsi="Cambria" w:cs="Cambria"/>
          <w:b/>
          <w:bCs/>
          <w:sz w:val="18"/>
          <w:szCs w:val="18"/>
        </w:rPr>
        <w:t>PETITION 288-08</w:t>
      </w:r>
    </w:p>
    <w:p w:rsidR="00D0209E" w:rsidRPr="00D83798" w:rsidRDefault="00D0209E" w:rsidP="00321C2B">
      <w:pPr>
        <w:tabs>
          <w:tab w:val="center" w:pos="5400"/>
        </w:tabs>
        <w:suppressAutoHyphens/>
        <w:jc w:val="center"/>
        <w:rPr>
          <w:rFonts w:ascii="Cambria" w:hAnsi="Cambria" w:cs="Cambria"/>
          <w:sz w:val="18"/>
          <w:szCs w:val="18"/>
        </w:rPr>
      </w:pPr>
      <w:r w:rsidRPr="00D83798">
        <w:rPr>
          <w:rFonts w:ascii="Cambria" w:hAnsi="Cambria" w:cs="Cambria"/>
          <w:sz w:val="18"/>
          <w:szCs w:val="18"/>
        </w:rPr>
        <w:t xml:space="preserve">FRIENDLY SETTLEMENT </w:t>
      </w:r>
    </w:p>
    <w:p w:rsidR="00D0209E" w:rsidRPr="002F7697" w:rsidRDefault="005358EF" w:rsidP="00321C2B">
      <w:pPr>
        <w:tabs>
          <w:tab w:val="center" w:pos="5400"/>
        </w:tabs>
        <w:suppressAutoHyphens/>
        <w:jc w:val="center"/>
        <w:rPr>
          <w:rFonts w:ascii="Cambria" w:hAnsi="Cambria" w:cs="Cambria"/>
          <w:sz w:val="18"/>
          <w:szCs w:val="18"/>
          <w:lang w:val="pt-BR"/>
        </w:rPr>
      </w:pPr>
      <w:r>
        <w:rPr>
          <w:rFonts w:ascii="Cambria" w:hAnsi="Cambria" w:cs="Cambria"/>
          <w:sz w:val="18"/>
          <w:szCs w:val="18"/>
          <w:lang w:val="pt-BR"/>
        </w:rPr>
        <w:t>JESUS</w:t>
      </w:r>
      <w:r w:rsidR="00D0209E" w:rsidRPr="002F7697">
        <w:rPr>
          <w:rFonts w:ascii="Cambria" w:hAnsi="Cambria" w:cs="Cambria"/>
          <w:sz w:val="18"/>
          <w:szCs w:val="18"/>
          <w:lang w:val="pt-BR"/>
        </w:rPr>
        <w:t xml:space="preserve"> SALVADOR FERREYRA GONZALEZ </w:t>
      </w:r>
    </w:p>
    <w:p w:rsidR="00D0209E" w:rsidRPr="002F7697" w:rsidRDefault="00D0209E" w:rsidP="00321C2B">
      <w:pPr>
        <w:jc w:val="center"/>
        <w:rPr>
          <w:rFonts w:ascii="Cambria" w:hAnsi="Cambria" w:cs="Cambria"/>
          <w:sz w:val="18"/>
          <w:szCs w:val="18"/>
          <w:lang w:val="pt-BR"/>
        </w:rPr>
      </w:pPr>
      <w:r w:rsidRPr="002F7697">
        <w:rPr>
          <w:rFonts w:ascii="Cambria" w:hAnsi="Cambria" w:cs="Cambria"/>
          <w:sz w:val="18"/>
          <w:szCs w:val="18"/>
          <w:lang w:val="pt-BR"/>
        </w:rPr>
        <w:t>PERU</w:t>
      </w:r>
    </w:p>
    <w:p w:rsidR="00D0209E" w:rsidRPr="002F7697" w:rsidRDefault="00D0209E" w:rsidP="00321C2B">
      <w:pPr>
        <w:tabs>
          <w:tab w:val="center" w:pos="5400"/>
        </w:tabs>
        <w:suppressAutoHyphens/>
        <w:jc w:val="center"/>
        <w:rPr>
          <w:rFonts w:ascii="Cambria" w:hAnsi="Cambria" w:cs="Cambria"/>
          <w:sz w:val="18"/>
          <w:szCs w:val="18"/>
          <w:lang w:val="pt-BR"/>
        </w:rPr>
      </w:pPr>
      <w:r w:rsidRPr="002F7697">
        <w:rPr>
          <w:rFonts w:ascii="Cambria" w:hAnsi="Cambria" w:cs="Cambria"/>
          <w:sz w:val="18"/>
          <w:szCs w:val="18"/>
          <w:lang w:val="pt-BR"/>
        </w:rPr>
        <w:t xml:space="preserve">NOVEMBER </w:t>
      </w:r>
      <w:r w:rsidR="005D389B">
        <w:rPr>
          <w:rFonts w:ascii="Cambria" w:hAnsi="Cambria" w:cs="Cambria"/>
          <w:sz w:val="18"/>
          <w:szCs w:val="18"/>
          <w:lang w:val="pt-BR"/>
        </w:rPr>
        <w:t>30</w:t>
      </w:r>
      <w:r w:rsidRPr="002F7697">
        <w:rPr>
          <w:rFonts w:ascii="Cambria" w:hAnsi="Cambria" w:cs="Cambria"/>
          <w:sz w:val="18"/>
          <w:szCs w:val="18"/>
          <w:lang w:val="pt-BR"/>
        </w:rPr>
        <w:t>, 2016</w:t>
      </w:r>
      <w:r w:rsidRPr="00D83798">
        <w:rPr>
          <w:rFonts w:ascii="Cambria" w:hAnsi="Cambria" w:cs="Cambria"/>
          <w:sz w:val="18"/>
          <w:szCs w:val="18"/>
          <w:vertAlign w:val="superscript"/>
        </w:rPr>
        <w:footnoteReference w:id="1"/>
      </w:r>
    </w:p>
    <w:p w:rsidR="00D0209E" w:rsidRPr="002F7697" w:rsidRDefault="00D0209E" w:rsidP="00321C2B">
      <w:pPr>
        <w:tabs>
          <w:tab w:val="center" w:pos="5400"/>
        </w:tabs>
        <w:suppressAutoHyphens/>
        <w:jc w:val="center"/>
        <w:rPr>
          <w:rFonts w:ascii="Cambria" w:hAnsi="Cambria" w:cs="Cambria"/>
          <w:sz w:val="20"/>
          <w:szCs w:val="20"/>
          <w:lang w:val="pt-BR"/>
        </w:rPr>
      </w:pPr>
    </w:p>
    <w:p w:rsidR="00D0209E" w:rsidRPr="002F7697" w:rsidRDefault="00D0209E" w:rsidP="00321C2B">
      <w:pPr>
        <w:tabs>
          <w:tab w:val="center" w:pos="5400"/>
        </w:tabs>
        <w:suppressAutoHyphens/>
        <w:jc w:val="center"/>
        <w:rPr>
          <w:rFonts w:ascii="Cambria" w:hAnsi="Cambria" w:cs="Cambria"/>
          <w:sz w:val="20"/>
          <w:szCs w:val="20"/>
          <w:lang w:val="pt-BR"/>
        </w:rPr>
      </w:pPr>
    </w:p>
    <w:p w:rsidR="00D0209E" w:rsidRPr="00D83798" w:rsidRDefault="00D0209E" w:rsidP="00321C2B">
      <w:pPr>
        <w:numPr>
          <w:ilvl w:val="0"/>
          <w:numId w:val="51"/>
        </w:numPr>
        <w:tabs>
          <w:tab w:val="num" w:pos="1440"/>
        </w:tabs>
        <w:ind w:left="0" w:firstLine="720"/>
        <w:jc w:val="both"/>
        <w:rPr>
          <w:rFonts w:ascii="Cambria" w:eastAsia="MS Mincho" w:hAnsi="Cambria" w:cs="Cambria"/>
          <w:b/>
          <w:bCs/>
          <w:sz w:val="20"/>
          <w:szCs w:val="20"/>
        </w:rPr>
      </w:pPr>
      <w:r w:rsidRPr="00D83798">
        <w:rPr>
          <w:rFonts w:ascii="Cambria" w:eastAsia="MS Mincho" w:hAnsi="Cambria" w:cs="Cambria"/>
          <w:b/>
          <w:bCs/>
          <w:sz w:val="20"/>
          <w:szCs w:val="20"/>
        </w:rPr>
        <w:t>SUMMARY</w:t>
      </w:r>
    </w:p>
    <w:p w:rsidR="00D0209E" w:rsidRPr="00D83798" w:rsidRDefault="00D0209E" w:rsidP="00321C2B">
      <w:pPr>
        <w:jc w:val="both"/>
        <w:rPr>
          <w:rFonts w:ascii="Cambria" w:eastAsia="MS Mincho" w:hAnsi="Cambria"/>
          <w:sz w:val="20"/>
          <w:szCs w:val="20"/>
        </w:rPr>
      </w:pPr>
    </w:p>
    <w:p w:rsidR="00D0209E" w:rsidRPr="00D83798" w:rsidRDefault="00D0209E" w:rsidP="00321C2B">
      <w:pPr>
        <w:pStyle w:val="ListParagraph"/>
        <w:numPr>
          <w:ilvl w:val="0"/>
          <w:numId w:val="52"/>
        </w:numPr>
        <w:ind w:left="0"/>
        <w:jc w:val="both"/>
        <w:rPr>
          <w:sz w:val="20"/>
          <w:szCs w:val="20"/>
        </w:rPr>
      </w:pPr>
      <w:r w:rsidRPr="00D83798">
        <w:rPr>
          <w:sz w:val="20"/>
          <w:szCs w:val="20"/>
        </w:rPr>
        <w:t xml:space="preserve">On March 18, 2008, the Inter-American Commission on Human Rights (hereinafter, “the Commission” or “IACHR”) received a petition lodged by </w:t>
      </w:r>
      <w:r w:rsidR="005358EF">
        <w:rPr>
          <w:sz w:val="20"/>
          <w:szCs w:val="20"/>
        </w:rPr>
        <w:t>Jesus</w:t>
      </w:r>
      <w:r w:rsidRPr="00D83798">
        <w:rPr>
          <w:sz w:val="20"/>
          <w:szCs w:val="20"/>
        </w:rPr>
        <w:t xml:space="preserve"> Salvador Ferreyra Gonz</w:t>
      </w:r>
      <w:r w:rsidR="005D389B">
        <w:rPr>
          <w:sz w:val="20"/>
          <w:szCs w:val="20"/>
        </w:rPr>
        <w:t>á</w:t>
      </w:r>
      <w:r w:rsidRPr="00D83798">
        <w:rPr>
          <w:sz w:val="20"/>
          <w:szCs w:val="20"/>
        </w:rPr>
        <w:t xml:space="preserve">lez (hereinafter, “the petitioner”) alleging the international responsibility of the Republic of Peru (hereinafter, “the State” or “the Peruvian State”) for alleged violations of the rights enshrined in Articles 8 (right to a fair trial) and 25 (judicial protection) of the American Convention on Human Rights, in </w:t>
      </w:r>
      <w:r w:rsidRPr="00D83798">
        <w:rPr>
          <w:color w:val="auto"/>
          <w:sz w:val="20"/>
          <w:szCs w:val="20"/>
        </w:rPr>
        <w:t>conjunction with</w:t>
      </w:r>
      <w:r w:rsidRPr="00D83798">
        <w:rPr>
          <w:sz w:val="20"/>
          <w:szCs w:val="20"/>
        </w:rPr>
        <w:t xml:space="preserve"> Articles 1.1 (obligation to respect rights) and 2 (domestic legal effects) thereof. The petitioner claimed that after more th</w:t>
      </w:r>
      <w:r w:rsidR="002F7697">
        <w:rPr>
          <w:sz w:val="20"/>
          <w:szCs w:val="20"/>
        </w:rPr>
        <w:t>a</w:t>
      </w:r>
      <w:r w:rsidRPr="00D83798">
        <w:rPr>
          <w:sz w:val="20"/>
          <w:szCs w:val="20"/>
        </w:rPr>
        <w:t>n 22 years</w:t>
      </w:r>
      <w:r w:rsidR="002F7697">
        <w:rPr>
          <w:sz w:val="20"/>
          <w:szCs w:val="20"/>
        </w:rPr>
        <w:t xml:space="preserve"> of </w:t>
      </w:r>
      <w:r w:rsidRPr="00D83798">
        <w:rPr>
          <w:sz w:val="20"/>
          <w:szCs w:val="20"/>
        </w:rPr>
        <w:t xml:space="preserve">service in the judiciary he was subjected to a process of evaluation and ratification in which his rights were violated and whereby it was arbitrarily and groundlessly decided not to ratify him in his position as Judge of the Superior Court of Justice of Ica, with the result that he was irrevocably dismissed from that position. </w:t>
      </w:r>
    </w:p>
    <w:p w:rsidR="00D0209E" w:rsidRPr="00D83798" w:rsidRDefault="00D0209E" w:rsidP="00321C2B">
      <w:pPr>
        <w:rPr>
          <w:rFonts w:ascii="Cambria" w:hAnsi="Cambria" w:cs="Cambria"/>
          <w:sz w:val="20"/>
          <w:szCs w:val="20"/>
        </w:rPr>
      </w:pPr>
    </w:p>
    <w:p w:rsidR="00D0209E" w:rsidRPr="00D83798" w:rsidRDefault="00D0209E" w:rsidP="00321C2B">
      <w:pPr>
        <w:pStyle w:val="ListParagraph"/>
        <w:numPr>
          <w:ilvl w:val="0"/>
          <w:numId w:val="52"/>
        </w:numPr>
        <w:ind w:left="0"/>
        <w:jc w:val="both"/>
        <w:rPr>
          <w:sz w:val="20"/>
          <w:szCs w:val="20"/>
        </w:rPr>
      </w:pPr>
      <w:r w:rsidRPr="00D83798">
        <w:rPr>
          <w:sz w:val="20"/>
          <w:szCs w:val="20"/>
        </w:rPr>
        <w:t>In 2012, with the assistance of the IACHR, the parties began friendly settlement proceedings. The parties signed a friendly settlement agreement on October 31, 2016, in which they requested that the Commission ratif</w:t>
      </w:r>
      <w:r w:rsidR="002F7697">
        <w:rPr>
          <w:sz w:val="20"/>
          <w:szCs w:val="20"/>
        </w:rPr>
        <w:t>ied</w:t>
      </w:r>
      <w:r w:rsidRPr="00D83798">
        <w:rPr>
          <w:sz w:val="20"/>
          <w:szCs w:val="20"/>
        </w:rPr>
        <w:t xml:space="preserve"> said agreement. </w:t>
      </w:r>
    </w:p>
    <w:p w:rsidR="00D0209E" w:rsidRPr="00D83798" w:rsidRDefault="00D0209E" w:rsidP="00321C2B">
      <w:pPr>
        <w:pStyle w:val="ListParagraph"/>
        <w:rPr>
          <w:sz w:val="20"/>
          <w:szCs w:val="20"/>
        </w:rPr>
      </w:pPr>
    </w:p>
    <w:p w:rsidR="00D0209E" w:rsidRPr="00D83798" w:rsidRDefault="00D0209E" w:rsidP="00321C2B">
      <w:pPr>
        <w:pStyle w:val="ListParagraph"/>
        <w:numPr>
          <w:ilvl w:val="0"/>
          <w:numId w:val="52"/>
        </w:numPr>
        <w:ind w:left="0"/>
        <w:jc w:val="both"/>
        <w:rPr>
          <w:sz w:val="20"/>
          <w:szCs w:val="20"/>
        </w:rPr>
      </w:pPr>
      <w:r w:rsidRPr="00D83798">
        <w:rPr>
          <w:sz w:val="20"/>
          <w:szCs w:val="20"/>
        </w:rPr>
        <w:t>This friendly settlement report, pursuant to the terms of Article 49 of the Convention and Article 40.5 of the Commission’s Rules of Procedure, provides an overview of the facts alleged by the petitioner and a transcription of the friendly settlement agreement signed by the petitioner and the representative of the Peruvian State on October 31, 2016. It also approves the agreement signed by the parties and agrees on the publication of this report in the IACHR’s Annual Report to the General Assembly of the Organization of American States.</w:t>
      </w:r>
    </w:p>
    <w:p w:rsidR="00D0209E" w:rsidRPr="00D83798" w:rsidRDefault="00D0209E" w:rsidP="00321C2B">
      <w:pPr>
        <w:tabs>
          <w:tab w:val="center" w:pos="5400"/>
        </w:tabs>
        <w:suppressAutoHyphens/>
        <w:rPr>
          <w:rFonts w:ascii="Cambria" w:hAnsi="Cambria" w:cs="Cambria"/>
          <w:b/>
          <w:bCs/>
          <w:sz w:val="20"/>
          <w:szCs w:val="20"/>
        </w:rPr>
      </w:pPr>
    </w:p>
    <w:p w:rsidR="00D0209E" w:rsidRPr="00D83798" w:rsidRDefault="00D0209E" w:rsidP="00321C2B">
      <w:pPr>
        <w:numPr>
          <w:ilvl w:val="0"/>
          <w:numId w:val="51"/>
        </w:numPr>
        <w:tabs>
          <w:tab w:val="num" w:pos="1440"/>
        </w:tabs>
        <w:ind w:left="0" w:firstLine="720"/>
        <w:jc w:val="both"/>
        <w:rPr>
          <w:rFonts w:ascii="Cambria" w:eastAsia="MS Mincho" w:hAnsi="Cambria" w:cs="Cambria"/>
          <w:b/>
          <w:bCs/>
          <w:sz w:val="20"/>
          <w:szCs w:val="20"/>
        </w:rPr>
      </w:pPr>
      <w:r w:rsidRPr="00D83798">
        <w:rPr>
          <w:rFonts w:ascii="Cambria" w:eastAsia="MS Mincho" w:hAnsi="Cambria" w:cs="Cambria"/>
          <w:b/>
          <w:bCs/>
          <w:sz w:val="20"/>
          <w:szCs w:val="20"/>
        </w:rPr>
        <w:t>PROCEEDINGS BEFORE THE COMMISSION</w:t>
      </w:r>
    </w:p>
    <w:p w:rsidR="00D0209E" w:rsidRPr="00D83798" w:rsidRDefault="00D0209E" w:rsidP="00321C2B">
      <w:pPr>
        <w:tabs>
          <w:tab w:val="center" w:pos="5400"/>
        </w:tabs>
        <w:suppressAutoHyphens/>
        <w:rPr>
          <w:rFonts w:ascii="Cambria" w:hAnsi="Cambria" w:cs="Cambria"/>
          <w:b/>
          <w:bCs/>
          <w:sz w:val="20"/>
          <w:szCs w:val="20"/>
        </w:rPr>
      </w:pPr>
    </w:p>
    <w:p w:rsidR="00D0209E" w:rsidRPr="00D83798" w:rsidRDefault="002F7697" w:rsidP="00321C2B">
      <w:pPr>
        <w:pStyle w:val="ListParagraph"/>
        <w:numPr>
          <w:ilvl w:val="0"/>
          <w:numId w:val="52"/>
        </w:numPr>
        <w:ind w:left="0"/>
        <w:jc w:val="both"/>
        <w:rPr>
          <w:sz w:val="20"/>
          <w:szCs w:val="20"/>
        </w:rPr>
      </w:pPr>
      <w:r>
        <w:rPr>
          <w:sz w:val="20"/>
          <w:szCs w:val="20"/>
        </w:rPr>
        <w:t xml:space="preserve">On March 18, 2008, </w:t>
      </w:r>
      <w:r w:rsidR="00F83F76">
        <w:rPr>
          <w:sz w:val="20"/>
          <w:szCs w:val="20"/>
        </w:rPr>
        <w:t>t</w:t>
      </w:r>
      <w:r w:rsidR="00D0209E" w:rsidRPr="00D83798">
        <w:rPr>
          <w:sz w:val="20"/>
          <w:szCs w:val="20"/>
        </w:rPr>
        <w:t>he IACHR received the petition</w:t>
      </w:r>
      <w:r>
        <w:rPr>
          <w:sz w:val="20"/>
          <w:szCs w:val="20"/>
        </w:rPr>
        <w:t xml:space="preserve"> which was </w:t>
      </w:r>
      <w:r w:rsidR="00D0209E" w:rsidRPr="00D83798">
        <w:rPr>
          <w:sz w:val="20"/>
          <w:szCs w:val="20"/>
        </w:rPr>
        <w:t xml:space="preserve">forwarded to the State on May 30, 2012. </w:t>
      </w:r>
    </w:p>
    <w:p w:rsidR="00D0209E" w:rsidRPr="00D83798" w:rsidRDefault="00D0209E" w:rsidP="00321C2B">
      <w:pPr>
        <w:pStyle w:val="ListParagraph"/>
        <w:jc w:val="both"/>
        <w:rPr>
          <w:sz w:val="20"/>
          <w:szCs w:val="20"/>
        </w:rPr>
      </w:pPr>
    </w:p>
    <w:p w:rsidR="00D0209E" w:rsidRPr="00D83798" w:rsidRDefault="002F7697" w:rsidP="00321C2B">
      <w:pPr>
        <w:pStyle w:val="ListParagraph"/>
        <w:numPr>
          <w:ilvl w:val="0"/>
          <w:numId w:val="52"/>
        </w:numPr>
        <w:ind w:left="0"/>
        <w:jc w:val="both"/>
        <w:rPr>
          <w:sz w:val="20"/>
          <w:szCs w:val="20"/>
        </w:rPr>
      </w:pPr>
      <w:r>
        <w:rPr>
          <w:sz w:val="20"/>
          <w:szCs w:val="20"/>
        </w:rPr>
        <w:t>O</w:t>
      </w:r>
      <w:r w:rsidR="00D0209E" w:rsidRPr="00D83798">
        <w:rPr>
          <w:sz w:val="20"/>
          <w:szCs w:val="20"/>
        </w:rPr>
        <w:t xml:space="preserve">n March 11, 2013, </w:t>
      </w:r>
      <w:r>
        <w:rPr>
          <w:sz w:val="20"/>
          <w:szCs w:val="20"/>
        </w:rPr>
        <w:t>t</w:t>
      </w:r>
      <w:r w:rsidRPr="00D83798">
        <w:rPr>
          <w:sz w:val="20"/>
          <w:szCs w:val="20"/>
        </w:rPr>
        <w:t>he petitioner submitted additional information</w:t>
      </w:r>
      <w:r>
        <w:rPr>
          <w:sz w:val="20"/>
          <w:szCs w:val="20"/>
        </w:rPr>
        <w:t>,</w:t>
      </w:r>
      <w:r w:rsidRPr="00D83798">
        <w:rPr>
          <w:sz w:val="20"/>
          <w:szCs w:val="20"/>
        </w:rPr>
        <w:t xml:space="preserve"> </w:t>
      </w:r>
      <w:r w:rsidR="00D0209E" w:rsidRPr="00D83798">
        <w:rPr>
          <w:sz w:val="20"/>
          <w:szCs w:val="20"/>
        </w:rPr>
        <w:t xml:space="preserve">which was conveyed to the State. </w:t>
      </w:r>
    </w:p>
    <w:p w:rsidR="00D0209E" w:rsidRPr="00D83798" w:rsidRDefault="00D0209E" w:rsidP="00321C2B">
      <w:pPr>
        <w:pStyle w:val="ListParagraph"/>
        <w:rPr>
          <w:sz w:val="20"/>
          <w:szCs w:val="20"/>
        </w:rPr>
      </w:pPr>
    </w:p>
    <w:p w:rsidR="00D0209E" w:rsidRPr="00D83798" w:rsidRDefault="002F7697" w:rsidP="00321C2B">
      <w:pPr>
        <w:pStyle w:val="ListParagraph"/>
        <w:numPr>
          <w:ilvl w:val="0"/>
          <w:numId w:val="52"/>
        </w:numPr>
        <w:ind w:left="0"/>
        <w:jc w:val="both"/>
        <w:rPr>
          <w:sz w:val="20"/>
          <w:szCs w:val="20"/>
        </w:rPr>
      </w:pPr>
      <w:r>
        <w:rPr>
          <w:sz w:val="20"/>
          <w:szCs w:val="20"/>
        </w:rPr>
        <w:t>O</w:t>
      </w:r>
      <w:r w:rsidRPr="00D83798">
        <w:rPr>
          <w:sz w:val="20"/>
          <w:szCs w:val="20"/>
        </w:rPr>
        <w:t>n December 11, 2012, August 26, 2013, and November 1, 2016</w:t>
      </w:r>
      <w:r>
        <w:rPr>
          <w:sz w:val="20"/>
          <w:szCs w:val="20"/>
        </w:rPr>
        <w:t>, t</w:t>
      </w:r>
      <w:r w:rsidR="00D0209E" w:rsidRPr="00D83798">
        <w:rPr>
          <w:sz w:val="20"/>
          <w:szCs w:val="20"/>
        </w:rPr>
        <w:t xml:space="preserve">he State presented additional information, which was duly forwarded to the petitioner. </w:t>
      </w:r>
    </w:p>
    <w:p w:rsidR="00D0209E" w:rsidRPr="00D83798" w:rsidRDefault="00D0209E" w:rsidP="00321C2B">
      <w:pPr>
        <w:pStyle w:val="ListParagraph"/>
        <w:jc w:val="both"/>
        <w:rPr>
          <w:sz w:val="20"/>
          <w:szCs w:val="20"/>
        </w:rPr>
      </w:pPr>
    </w:p>
    <w:p w:rsidR="00D0209E" w:rsidRPr="00D83798" w:rsidRDefault="00D0209E" w:rsidP="00321C2B">
      <w:pPr>
        <w:pStyle w:val="ListParagraph"/>
        <w:numPr>
          <w:ilvl w:val="0"/>
          <w:numId w:val="52"/>
        </w:numPr>
        <w:ind w:left="0"/>
        <w:jc w:val="both"/>
        <w:rPr>
          <w:sz w:val="20"/>
          <w:szCs w:val="20"/>
        </w:rPr>
      </w:pPr>
      <w:r w:rsidRPr="00D83798">
        <w:rPr>
          <w:sz w:val="20"/>
          <w:szCs w:val="20"/>
        </w:rPr>
        <w:t xml:space="preserve">On November 1, 2016, the State reported that a friendly settlement agreement had been signed with the petitioner, and that information was forwarded </w:t>
      </w:r>
      <w:r w:rsidR="005358EF">
        <w:rPr>
          <w:sz w:val="20"/>
          <w:szCs w:val="20"/>
        </w:rPr>
        <w:t>to</w:t>
      </w:r>
      <w:r w:rsidR="005358EF" w:rsidRPr="00D83798">
        <w:rPr>
          <w:sz w:val="20"/>
          <w:szCs w:val="20"/>
        </w:rPr>
        <w:t xml:space="preserve"> </w:t>
      </w:r>
      <w:r w:rsidRPr="00D83798">
        <w:rPr>
          <w:sz w:val="20"/>
          <w:szCs w:val="20"/>
        </w:rPr>
        <w:t>the petitioner for information purposes. On November 10, 2016, the petitioner confirmed the information regarding the signing of the friendly settlement agreement and requested that the IACHR ratif</w:t>
      </w:r>
      <w:r w:rsidR="005358EF">
        <w:rPr>
          <w:sz w:val="20"/>
          <w:szCs w:val="20"/>
        </w:rPr>
        <w:t>ied</w:t>
      </w:r>
      <w:r w:rsidRPr="00D83798">
        <w:rPr>
          <w:sz w:val="20"/>
          <w:szCs w:val="20"/>
        </w:rPr>
        <w:t xml:space="preserve"> it. </w:t>
      </w:r>
    </w:p>
    <w:p w:rsidR="00D0209E" w:rsidRPr="00D83798" w:rsidRDefault="00D0209E" w:rsidP="00321C2B">
      <w:pPr>
        <w:jc w:val="both"/>
        <w:rPr>
          <w:rFonts w:ascii="Cambria" w:hAnsi="Cambria" w:cs="Cambria"/>
          <w:sz w:val="20"/>
          <w:szCs w:val="20"/>
        </w:rPr>
      </w:pPr>
    </w:p>
    <w:p w:rsidR="00D0209E" w:rsidRPr="00D83798" w:rsidRDefault="00D0209E" w:rsidP="00321C2B">
      <w:pPr>
        <w:rPr>
          <w:rFonts w:ascii="Cambria" w:eastAsia="MS Mincho" w:hAnsi="Cambria"/>
          <w:b/>
          <w:bCs/>
          <w:sz w:val="20"/>
          <w:szCs w:val="20"/>
        </w:rPr>
      </w:pPr>
      <w:r w:rsidRPr="00D83798">
        <w:rPr>
          <w:rFonts w:ascii="Cambria" w:eastAsia="MS Mincho" w:hAnsi="Cambria"/>
          <w:b/>
          <w:bCs/>
          <w:sz w:val="20"/>
          <w:szCs w:val="20"/>
        </w:rPr>
        <w:br w:type="page"/>
      </w:r>
    </w:p>
    <w:p w:rsidR="00D0209E" w:rsidRPr="00D83798" w:rsidRDefault="00D0209E" w:rsidP="00321C2B">
      <w:pPr>
        <w:numPr>
          <w:ilvl w:val="0"/>
          <w:numId w:val="51"/>
        </w:numPr>
        <w:tabs>
          <w:tab w:val="num" w:pos="1440"/>
        </w:tabs>
        <w:ind w:left="0" w:firstLine="720"/>
        <w:jc w:val="both"/>
        <w:rPr>
          <w:rFonts w:ascii="Cambria" w:eastAsia="MS Mincho" w:hAnsi="Cambria" w:cs="Cambria"/>
          <w:b/>
          <w:bCs/>
          <w:sz w:val="20"/>
          <w:szCs w:val="20"/>
        </w:rPr>
      </w:pPr>
      <w:r w:rsidRPr="00D83798">
        <w:rPr>
          <w:rFonts w:ascii="Cambria" w:eastAsia="MS Mincho" w:hAnsi="Cambria" w:cs="Cambria"/>
          <w:b/>
          <w:bCs/>
          <w:sz w:val="20"/>
          <w:szCs w:val="20"/>
        </w:rPr>
        <w:lastRenderedPageBreak/>
        <w:t>ALLEGED FACTS</w:t>
      </w:r>
    </w:p>
    <w:p w:rsidR="00D0209E" w:rsidRPr="00D83798" w:rsidRDefault="00D0209E" w:rsidP="00321C2B">
      <w:pPr>
        <w:tabs>
          <w:tab w:val="center" w:pos="5400"/>
        </w:tabs>
        <w:suppressAutoHyphens/>
        <w:rPr>
          <w:rFonts w:ascii="Cambria" w:hAnsi="Cambria" w:cs="Cambria"/>
          <w:color w:val="000000"/>
          <w:sz w:val="20"/>
          <w:szCs w:val="20"/>
          <w:u w:color="000000"/>
          <w:lang w:eastAsia="es-ES"/>
        </w:rPr>
      </w:pPr>
    </w:p>
    <w:p w:rsidR="00D0209E" w:rsidRPr="00D83798" w:rsidRDefault="00D0209E" w:rsidP="00321C2B">
      <w:pPr>
        <w:pStyle w:val="ListParagraph"/>
        <w:numPr>
          <w:ilvl w:val="0"/>
          <w:numId w:val="52"/>
        </w:numPr>
        <w:ind w:left="0"/>
        <w:jc w:val="both"/>
        <w:rPr>
          <w:sz w:val="20"/>
          <w:szCs w:val="20"/>
        </w:rPr>
      </w:pPr>
      <w:r w:rsidRPr="00D83798">
        <w:rPr>
          <w:sz w:val="20"/>
          <w:szCs w:val="20"/>
        </w:rPr>
        <w:t xml:space="preserve">The petitioner claimed that he began his professional career in the judiciary on February 2, 1990, when he was appointed to serve as Judge of the Nazca Labor Court. Subsequently, on February 15, 1996, he was appointed Judge of the Superior Court of Justice of Ica, a position of which he took possession on February 22, 1996, and where he remained until August 28, 2002, the date of his arbitrary removal. </w:t>
      </w:r>
    </w:p>
    <w:p w:rsidR="00D0209E" w:rsidRPr="00D83798" w:rsidRDefault="00D0209E" w:rsidP="00321C2B">
      <w:pPr>
        <w:pStyle w:val="ListParagraph"/>
        <w:jc w:val="both"/>
        <w:rPr>
          <w:sz w:val="20"/>
          <w:szCs w:val="20"/>
        </w:rPr>
      </w:pPr>
    </w:p>
    <w:p w:rsidR="00D0209E" w:rsidRPr="00D83798" w:rsidRDefault="00D0209E" w:rsidP="00321C2B">
      <w:pPr>
        <w:pStyle w:val="ListParagraph"/>
        <w:numPr>
          <w:ilvl w:val="0"/>
          <w:numId w:val="52"/>
        </w:numPr>
        <w:ind w:left="0"/>
        <w:jc w:val="both"/>
        <w:rPr>
          <w:sz w:val="20"/>
          <w:szCs w:val="20"/>
        </w:rPr>
      </w:pPr>
      <w:r w:rsidRPr="00D83798">
        <w:rPr>
          <w:sz w:val="20"/>
          <w:szCs w:val="20"/>
        </w:rPr>
        <w:t>The petitioner claimed that he was dismissed from the judiciary by a process of evaluation and ratification conducted by the National Council of the Magistrature</w:t>
      </w:r>
      <w:r w:rsidR="005358EF">
        <w:rPr>
          <w:sz w:val="20"/>
          <w:szCs w:val="20"/>
        </w:rPr>
        <w:t xml:space="preserve"> [</w:t>
      </w:r>
      <w:r w:rsidR="005358EF" w:rsidRPr="00F83F76">
        <w:rPr>
          <w:rFonts w:eastAsia="Times New Roman"/>
          <w:i/>
          <w:sz w:val="20"/>
          <w:szCs w:val="20"/>
          <w:bdr w:val="none" w:sz="0" w:space="0" w:color="auto" w:frame="1"/>
        </w:rPr>
        <w:t>Consejo Nacional de la Magistratura</w:t>
      </w:r>
      <w:r w:rsidR="005358EF">
        <w:rPr>
          <w:rFonts w:eastAsia="Times New Roman"/>
          <w:sz w:val="20"/>
          <w:szCs w:val="20"/>
          <w:bdr w:val="none" w:sz="0" w:space="0" w:color="auto" w:frame="1"/>
        </w:rPr>
        <w:t>]</w:t>
      </w:r>
      <w:r w:rsidRPr="00D83798">
        <w:rPr>
          <w:sz w:val="20"/>
          <w:szCs w:val="20"/>
        </w:rPr>
        <w:t>. He contended that during that process his rights were violated</w:t>
      </w:r>
      <w:r w:rsidR="005358EF">
        <w:rPr>
          <w:sz w:val="20"/>
          <w:szCs w:val="20"/>
        </w:rPr>
        <w:t xml:space="preserve"> because</w:t>
      </w:r>
      <w:r w:rsidRPr="00D83798">
        <w:rPr>
          <w:sz w:val="20"/>
          <w:szCs w:val="20"/>
        </w:rPr>
        <w:t xml:space="preserve"> he was not informed of the reasons </w:t>
      </w:r>
      <w:r w:rsidR="005358EF">
        <w:rPr>
          <w:sz w:val="20"/>
          <w:szCs w:val="20"/>
        </w:rPr>
        <w:t xml:space="preserve">for which </w:t>
      </w:r>
      <w:r w:rsidRPr="00D83798">
        <w:rPr>
          <w:sz w:val="20"/>
          <w:szCs w:val="20"/>
        </w:rPr>
        <w:t xml:space="preserve">the decision not to ratify him in his position was </w:t>
      </w:r>
      <w:r w:rsidR="005358EF">
        <w:rPr>
          <w:sz w:val="20"/>
          <w:szCs w:val="20"/>
        </w:rPr>
        <w:t>adopted</w:t>
      </w:r>
      <w:r w:rsidRPr="00D83798">
        <w:rPr>
          <w:sz w:val="20"/>
          <w:szCs w:val="20"/>
        </w:rPr>
        <w:t xml:space="preserve">; he was summoned to the evaluation process outside the legally established deadlines; and he was subjected to the evaluation and ratification process on two occasions. </w:t>
      </w:r>
    </w:p>
    <w:p w:rsidR="00D0209E" w:rsidRPr="00D83798" w:rsidRDefault="00D0209E" w:rsidP="00321C2B">
      <w:pPr>
        <w:pStyle w:val="ListParagraph"/>
        <w:jc w:val="both"/>
        <w:rPr>
          <w:sz w:val="20"/>
          <w:szCs w:val="20"/>
        </w:rPr>
      </w:pPr>
    </w:p>
    <w:p w:rsidR="00D0209E" w:rsidRPr="00D83798" w:rsidRDefault="00D0209E" w:rsidP="00321C2B">
      <w:pPr>
        <w:pStyle w:val="ListParagraph"/>
        <w:numPr>
          <w:ilvl w:val="0"/>
          <w:numId w:val="52"/>
        </w:numPr>
        <w:ind w:left="0"/>
        <w:jc w:val="both"/>
        <w:rPr>
          <w:sz w:val="20"/>
          <w:szCs w:val="20"/>
        </w:rPr>
      </w:pPr>
      <w:r w:rsidRPr="00D83798">
        <w:rPr>
          <w:sz w:val="20"/>
          <w:szCs w:val="20"/>
        </w:rPr>
        <w:t xml:space="preserve">The petitioner stated that he filed for </w:t>
      </w:r>
      <w:r w:rsidRPr="00D83798">
        <w:rPr>
          <w:i/>
          <w:iCs/>
          <w:sz w:val="20"/>
          <w:szCs w:val="20"/>
        </w:rPr>
        <w:t>amparo</w:t>
      </w:r>
      <w:r w:rsidRPr="00D83798">
        <w:rPr>
          <w:sz w:val="20"/>
          <w:szCs w:val="20"/>
        </w:rPr>
        <w:t xml:space="preserve"> relief on November 26, 2002, which was resolved at the final instance by the Constitutional Court after a period of five years in a judgment dated November 15, 2007, whereby the filing was ruled inadmissible. </w:t>
      </w:r>
    </w:p>
    <w:p w:rsidR="00D0209E" w:rsidRPr="00D83798" w:rsidRDefault="00D0209E" w:rsidP="00321C2B">
      <w:pPr>
        <w:jc w:val="both"/>
        <w:rPr>
          <w:rFonts w:ascii="Cambria" w:hAnsi="Cambria" w:cs="Cambria"/>
          <w:sz w:val="20"/>
          <w:szCs w:val="20"/>
          <w:u w:color="000000"/>
        </w:rPr>
      </w:pPr>
    </w:p>
    <w:p w:rsidR="00D0209E" w:rsidRPr="00D83798" w:rsidRDefault="00D0209E" w:rsidP="00321C2B">
      <w:pPr>
        <w:numPr>
          <w:ilvl w:val="0"/>
          <w:numId w:val="51"/>
        </w:numPr>
        <w:tabs>
          <w:tab w:val="num" w:pos="1440"/>
        </w:tabs>
        <w:ind w:left="0" w:firstLine="720"/>
        <w:jc w:val="both"/>
        <w:rPr>
          <w:rFonts w:ascii="Cambria" w:eastAsia="MS Mincho" w:hAnsi="Cambria" w:cs="Cambria"/>
          <w:b/>
          <w:bCs/>
          <w:sz w:val="20"/>
          <w:szCs w:val="20"/>
        </w:rPr>
      </w:pPr>
      <w:r w:rsidRPr="00D83798">
        <w:rPr>
          <w:rFonts w:ascii="Cambria" w:eastAsia="MS Mincho" w:hAnsi="Cambria" w:cs="Cambria"/>
          <w:b/>
          <w:bCs/>
          <w:sz w:val="20"/>
          <w:szCs w:val="20"/>
        </w:rPr>
        <w:t>FRIENDLY SETTLEMENT</w:t>
      </w:r>
    </w:p>
    <w:p w:rsidR="00D0209E" w:rsidRPr="00D83798" w:rsidRDefault="00D0209E" w:rsidP="00321C2B">
      <w:pPr>
        <w:tabs>
          <w:tab w:val="center" w:pos="5400"/>
        </w:tabs>
        <w:suppressAutoHyphens/>
        <w:rPr>
          <w:rFonts w:ascii="Cambria" w:hAnsi="Cambria" w:cs="Cambria"/>
          <w:color w:val="000000"/>
          <w:sz w:val="20"/>
          <w:szCs w:val="20"/>
          <w:u w:color="000000"/>
          <w:lang w:eastAsia="es-ES"/>
        </w:rPr>
      </w:pPr>
    </w:p>
    <w:p w:rsidR="00D0209E" w:rsidRPr="00D83798" w:rsidRDefault="00D0209E" w:rsidP="00321C2B">
      <w:pPr>
        <w:pStyle w:val="ListParagraph"/>
        <w:numPr>
          <w:ilvl w:val="0"/>
          <w:numId w:val="52"/>
        </w:numPr>
        <w:tabs>
          <w:tab w:val="clear" w:pos="720"/>
        </w:tabs>
        <w:ind w:left="0"/>
        <w:jc w:val="both"/>
        <w:rPr>
          <w:sz w:val="20"/>
          <w:szCs w:val="20"/>
        </w:rPr>
      </w:pPr>
      <w:r w:rsidRPr="00D83798">
        <w:rPr>
          <w:sz w:val="20"/>
          <w:szCs w:val="20"/>
        </w:rPr>
        <w:t>On October 31, 2016, the State of Peru, represented by Luis Alberto Huerta Guerrero, the Specialized Public Prosecutor for Supranational Affairs</w:t>
      </w:r>
      <w:r w:rsidR="005358EF">
        <w:rPr>
          <w:sz w:val="20"/>
          <w:szCs w:val="20"/>
        </w:rPr>
        <w:t xml:space="preserve"> [</w:t>
      </w:r>
      <w:r w:rsidR="005358EF" w:rsidRPr="00F83F76">
        <w:rPr>
          <w:rFonts w:eastAsia="Times New Roman"/>
          <w:i/>
          <w:sz w:val="20"/>
          <w:szCs w:val="20"/>
          <w:bdr w:val="none" w:sz="0" w:space="0" w:color="auto" w:frame="1"/>
        </w:rPr>
        <w:t>Procurador Público Especializado Supranacional</w:t>
      </w:r>
      <w:r w:rsidR="005358EF">
        <w:rPr>
          <w:rFonts w:eastAsia="Times New Roman"/>
          <w:sz w:val="20"/>
          <w:szCs w:val="20"/>
          <w:bdr w:val="none" w:sz="0" w:space="0" w:color="auto" w:frame="1"/>
        </w:rPr>
        <w:t>]</w:t>
      </w:r>
      <w:r w:rsidRPr="00D83798">
        <w:rPr>
          <w:sz w:val="20"/>
          <w:szCs w:val="20"/>
        </w:rPr>
        <w:t xml:space="preserve">, and </w:t>
      </w:r>
      <w:r w:rsidR="005358EF">
        <w:rPr>
          <w:sz w:val="20"/>
          <w:szCs w:val="20"/>
        </w:rPr>
        <w:t>Jesus</w:t>
      </w:r>
      <w:r w:rsidRPr="00D83798">
        <w:rPr>
          <w:sz w:val="20"/>
          <w:szCs w:val="20"/>
        </w:rPr>
        <w:t xml:space="preserve"> Salvador Ferreyra</w:t>
      </w:r>
      <w:r w:rsidRPr="00D83798">
        <w:t xml:space="preserve"> </w:t>
      </w:r>
      <w:r w:rsidRPr="00D83798">
        <w:rPr>
          <w:sz w:val="20"/>
          <w:szCs w:val="20"/>
        </w:rPr>
        <w:t>Gonz</w:t>
      </w:r>
      <w:r w:rsidR="008D375A">
        <w:rPr>
          <w:sz w:val="20"/>
          <w:szCs w:val="20"/>
        </w:rPr>
        <w:t>á</w:t>
      </w:r>
      <w:r w:rsidRPr="00D83798">
        <w:rPr>
          <w:sz w:val="20"/>
          <w:szCs w:val="20"/>
        </w:rPr>
        <w:t xml:space="preserve">lez, in his capacity as the petitioner and alleged victim in this case, signed a friendly settlement agreement containing the following provisions: </w:t>
      </w:r>
    </w:p>
    <w:p w:rsidR="00D0209E" w:rsidRPr="00D83798" w:rsidRDefault="00D0209E" w:rsidP="00321C2B">
      <w:pPr>
        <w:jc w:val="both"/>
        <w:rPr>
          <w:rFonts w:ascii="Cambria" w:hAnsi="Cambria" w:cs="Cambria"/>
          <w:sz w:val="20"/>
          <w:szCs w:val="20"/>
        </w:rPr>
      </w:pPr>
    </w:p>
    <w:p w:rsidR="00D0209E" w:rsidRPr="00D83798" w:rsidRDefault="00D0209E" w:rsidP="00321C2B">
      <w:pPr>
        <w:autoSpaceDE w:val="0"/>
        <w:autoSpaceDN w:val="0"/>
        <w:adjustRightInd w:val="0"/>
        <w:ind w:left="720" w:right="720"/>
        <w:jc w:val="center"/>
        <w:rPr>
          <w:rFonts w:ascii="Cambria" w:hAnsi="Cambria" w:cs="Cambria"/>
          <w:b/>
          <w:bCs/>
          <w:sz w:val="20"/>
          <w:szCs w:val="20"/>
        </w:rPr>
      </w:pPr>
      <w:r w:rsidRPr="00D83798">
        <w:rPr>
          <w:rFonts w:ascii="Cambria" w:hAnsi="Cambria" w:cs="Cambria"/>
          <w:b/>
          <w:bCs/>
          <w:sz w:val="20"/>
          <w:szCs w:val="20"/>
        </w:rPr>
        <w:t>FRIENDLY SETTLEMENT AGREEMENT</w:t>
      </w:r>
    </w:p>
    <w:p w:rsidR="00D0209E" w:rsidRPr="00D83798" w:rsidRDefault="00D0209E" w:rsidP="00321C2B">
      <w:pPr>
        <w:ind w:left="720" w:right="720"/>
        <w:jc w:val="both"/>
        <w:rPr>
          <w:rFonts w:ascii="Cambria" w:hAnsi="Cambria" w:cs="Cambria"/>
          <w:sz w:val="20"/>
          <w:szCs w:val="20"/>
        </w:rPr>
      </w:pP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Know by these presents the Friendly Settlement Agreement in connection with petition P-288-08 before the Inter-American Commission on Human Rights (hereinafter, “the IACHR”), entered into by and between:</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The Peruvian State:</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Duly represented by Luis Alberto Huerta Guerrero, Specialized Public Prosecutor for Supranational Affairs</w:t>
      </w:r>
      <w:r w:rsidR="005358EF">
        <w:rPr>
          <w:rFonts w:ascii="Cambria" w:hAnsi="Cambria" w:cs="Cambria"/>
          <w:color w:val="000000"/>
          <w:sz w:val="20"/>
          <w:szCs w:val="20"/>
          <w:u w:color="000000"/>
          <w:lang w:eastAsia="es-ES"/>
        </w:rPr>
        <w:t xml:space="preserve"> [</w:t>
      </w:r>
      <w:r w:rsidR="005358EF" w:rsidRPr="00F83F76">
        <w:rPr>
          <w:rFonts w:ascii="Cambria" w:eastAsia="Times New Roman" w:hAnsi="Cambria"/>
          <w:i/>
          <w:sz w:val="20"/>
          <w:szCs w:val="20"/>
          <w:bdr w:val="none" w:sz="0" w:space="0" w:color="auto" w:frame="1"/>
        </w:rPr>
        <w:t>Procurador Público Especializado Supranacional</w:t>
      </w:r>
      <w:r w:rsidR="005358EF">
        <w:rPr>
          <w:rFonts w:ascii="Cambria" w:eastAsia="Times New Roman" w:hAnsi="Cambria"/>
          <w:sz w:val="20"/>
          <w:szCs w:val="20"/>
          <w:bdr w:val="none" w:sz="0" w:space="0" w:color="auto" w:frame="1"/>
        </w:rPr>
        <w:t>]</w:t>
      </w:r>
      <w:r w:rsidRPr="00D83798">
        <w:rPr>
          <w:rFonts w:ascii="Cambria" w:hAnsi="Cambria" w:cs="Cambria"/>
          <w:color w:val="000000"/>
          <w:sz w:val="20"/>
          <w:szCs w:val="20"/>
          <w:u w:color="000000"/>
          <w:lang w:eastAsia="es-ES"/>
        </w:rPr>
        <w:t xml:space="preserve">, appointed by means of Supreme Resolution No. 143-2012-JUS, and authorized to enter into this agreement by means of Supreme Resolution No. 193-2016-JUS, published on October 21, 2016, in the official journal </w:t>
      </w:r>
      <w:r w:rsidRPr="00D83798">
        <w:rPr>
          <w:rFonts w:ascii="Cambria" w:hAnsi="Cambria" w:cs="Cambria"/>
          <w:i/>
          <w:iCs/>
          <w:color w:val="000000"/>
          <w:sz w:val="20"/>
          <w:szCs w:val="20"/>
          <w:u w:color="000000"/>
          <w:lang w:eastAsia="es-ES"/>
        </w:rPr>
        <w:t>El Peruano</w:t>
      </w:r>
      <w:r w:rsidRPr="00D83798">
        <w:rPr>
          <w:rFonts w:ascii="Cambria" w:hAnsi="Cambria" w:cs="Cambria"/>
          <w:color w:val="000000"/>
          <w:sz w:val="20"/>
          <w:szCs w:val="20"/>
          <w:u w:color="000000"/>
          <w:lang w:eastAsia="es-ES"/>
        </w:rPr>
        <w:t>;</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5358EF"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And</w:t>
      </w:r>
      <w:r w:rsidR="00D0209E" w:rsidRPr="00D83798">
        <w:rPr>
          <w:rFonts w:ascii="Cambria" w:hAnsi="Cambria" w:cs="Cambria"/>
          <w:color w:val="000000"/>
          <w:sz w:val="20"/>
          <w:szCs w:val="20"/>
          <w:u w:color="000000"/>
          <w:lang w:eastAsia="es-ES"/>
        </w:rPr>
        <w:t>,</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The petitioner before the Inter-American Commission on Human Rights:</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Jes</w:t>
      </w:r>
      <w:r w:rsidR="005358EF">
        <w:rPr>
          <w:rFonts w:ascii="Cambria" w:hAnsi="Cambria" w:cs="Cambria"/>
          <w:color w:val="000000"/>
          <w:sz w:val="20"/>
          <w:szCs w:val="20"/>
          <w:u w:color="000000"/>
          <w:lang w:eastAsia="es-ES"/>
        </w:rPr>
        <w:t>u</w:t>
      </w:r>
      <w:r w:rsidRPr="00D83798">
        <w:rPr>
          <w:rFonts w:ascii="Cambria" w:hAnsi="Cambria" w:cs="Cambria"/>
          <w:color w:val="000000"/>
          <w:sz w:val="20"/>
          <w:szCs w:val="20"/>
          <w:u w:color="000000"/>
          <w:lang w:eastAsia="es-ES"/>
        </w:rPr>
        <w:t>s Salvador Ferreyra Gonz</w:t>
      </w:r>
      <w:r w:rsidR="008D375A">
        <w:rPr>
          <w:rFonts w:ascii="Cambria" w:hAnsi="Cambria" w:cs="Cambria"/>
          <w:color w:val="000000"/>
          <w:sz w:val="20"/>
          <w:szCs w:val="20"/>
          <w:u w:color="000000"/>
          <w:lang w:eastAsia="es-ES"/>
        </w:rPr>
        <w:t>á</w:t>
      </w:r>
      <w:r w:rsidRPr="00D83798">
        <w:rPr>
          <w:rFonts w:ascii="Cambria" w:hAnsi="Cambria" w:cs="Cambria"/>
          <w:color w:val="000000"/>
          <w:sz w:val="20"/>
          <w:szCs w:val="20"/>
          <w:u w:color="000000"/>
          <w:lang w:eastAsia="es-ES"/>
        </w:rPr>
        <w:t xml:space="preserve">lez (P-288-08), identified by National Identity Document No. […] and legally residing at […], who personally signs this agreement in his own right and who is hereinafter referred to as “the petitioner.” </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b/>
          <w:bCs/>
          <w:color w:val="000000"/>
          <w:sz w:val="20"/>
          <w:szCs w:val="20"/>
          <w:u w:color="000000"/>
          <w:lang w:eastAsia="es-ES"/>
        </w:rPr>
      </w:pPr>
      <w:r w:rsidRPr="00D83798">
        <w:rPr>
          <w:rFonts w:ascii="Cambria" w:hAnsi="Cambria" w:cs="Cambria"/>
          <w:b/>
          <w:bCs/>
          <w:color w:val="000000"/>
          <w:sz w:val="20"/>
          <w:szCs w:val="20"/>
          <w:u w:color="000000"/>
          <w:lang w:eastAsia="es-ES"/>
        </w:rPr>
        <w:t>CLAUSE ONE: ACKNOWLEDGMENT OF RESPONSIBILITY BY THE PERUVIAN STATE</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 xml:space="preserve">The State acknowledges that the process of ratifying judges and prosecutors, as it was carried out prior to the entry into force of the Constitutional Procedural Code (Law No. 28237) on December 1, 2004, while it was in keeping with the interpretation of the applicable provisions made by the competent agencies, did not include certain guarantees of effective procedural protection, particularly the requirement of grounded resolutions that </w:t>
      </w:r>
      <w:r w:rsidRPr="00D83798">
        <w:rPr>
          <w:rFonts w:ascii="Cambria" w:hAnsi="Cambria" w:cs="Cambria"/>
          <w:color w:val="000000"/>
          <w:sz w:val="20"/>
          <w:szCs w:val="20"/>
          <w:u w:color="000000"/>
          <w:lang w:eastAsia="es-ES"/>
        </w:rPr>
        <w:lastRenderedPageBreak/>
        <w:t>must be observed in proceedings of all kinds. This is in accordance with the terms of the Constitution of Peru, the human rights treaties by which the Peruvian State is bound, and the binding jurisprudence in this matter from the Inter-American Court of Human Rights and the Constitutional Court.</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b/>
          <w:bCs/>
          <w:color w:val="000000"/>
          <w:sz w:val="20"/>
          <w:szCs w:val="20"/>
          <w:u w:color="000000"/>
          <w:lang w:eastAsia="es-ES"/>
        </w:rPr>
      </w:pPr>
      <w:r w:rsidRPr="00D83798">
        <w:rPr>
          <w:rFonts w:ascii="Cambria" w:hAnsi="Cambria" w:cs="Cambria"/>
          <w:b/>
          <w:bCs/>
          <w:color w:val="000000"/>
          <w:sz w:val="20"/>
          <w:szCs w:val="20"/>
          <w:u w:color="000000"/>
          <w:lang w:eastAsia="es-ES"/>
        </w:rPr>
        <w:t>CLAUSE TWO: EFFECTS OF THE ACKNOWLEDGMENT OF RESPONSIBILITY</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In accordance with the terms of Clause One of this agreement, both parties believe that it is in keeping with law that, pursuant to the international human rights provisions binding on the Peruvian State and to the terms of the Constitution of Peru, the National Council of the Magistrature shall render without effect the resolutions whereby the judge covered by this friendly settlement was not ratified. Consequently, the judge shall recover his status as such for the following effects:</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 xml:space="preserve"> </w:t>
      </w:r>
    </w:p>
    <w:p w:rsidR="00D0209E" w:rsidRPr="00D83798" w:rsidRDefault="00D0209E" w:rsidP="00321C2B">
      <w:pPr>
        <w:tabs>
          <w:tab w:val="center" w:pos="5400"/>
        </w:tabs>
        <w:suppressAutoHyphens/>
        <w:ind w:left="720" w:right="720"/>
        <w:jc w:val="both"/>
        <w:rPr>
          <w:rFonts w:ascii="Cambria" w:hAnsi="Cambria" w:cs="Cambria"/>
          <w:b/>
          <w:bCs/>
          <w:color w:val="000000"/>
          <w:sz w:val="20"/>
          <w:szCs w:val="20"/>
          <w:u w:color="000000"/>
          <w:lang w:eastAsia="es-ES"/>
        </w:rPr>
      </w:pPr>
      <w:r w:rsidRPr="00D83798">
        <w:rPr>
          <w:rFonts w:ascii="Cambria" w:hAnsi="Cambria" w:cs="Cambria"/>
          <w:b/>
          <w:bCs/>
          <w:color w:val="000000"/>
          <w:sz w:val="20"/>
          <w:szCs w:val="20"/>
          <w:u w:color="000000"/>
          <w:lang w:eastAsia="es-ES"/>
        </w:rPr>
        <w:t>2.1 Restoration of titles by the National Council of the Magistrature</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The National Council of the Magistrature shall reinstate the corresponding title within fifteen working days following the ratification of this friendly settlement agreement by the Inter-American Commission on Human Rights.</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b/>
          <w:bCs/>
          <w:color w:val="000000"/>
          <w:sz w:val="20"/>
          <w:szCs w:val="20"/>
          <w:u w:color="000000"/>
          <w:lang w:eastAsia="es-ES"/>
        </w:rPr>
      </w:pPr>
      <w:r w:rsidRPr="00D83798">
        <w:rPr>
          <w:rFonts w:ascii="Cambria" w:hAnsi="Cambria" w:cs="Cambria"/>
          <w:b/>
          <w:bCs/>
          <w:color w:val="000000"/>
          <w:sz w:val="20"/>
          <w:szCs w:val="20"/>
          <w:u w:color="000000"/>
          <w:lang w:eastAsia="es-ES"/>
        </w:rPr>
        <w:t>2.2 Reincorporation into the judiciary</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 xml:space="preserve">The judiciary shall arrange for the reincorporation of the judge signing this agreement into his original position within fifteen (15) days following the restoration of his title. If the original position is not available, at the judge’s request, he shall be reincorporated into a vacant position of the same level in the same judicial district or in another district. </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 xml:space="preserve">In that case, the judge shall have the right of first refusal to return to his original position as soon as it falls vacant. </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 xml:space="preserve">His reincorporation shall take place provided there are no legal impediments, the verification of which shall be carried out by the judiciary. </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b/>
          <w:bCs/>
          <w:color w:val="000000"/>
          <w:sz w:val="20"/>
          <w:szCs w:val="20"/>
          <w:u w:color="000000"/>
          <w:lang w:eastAsia="es-ES"/>
        </w:rPr>
      </w:pPr>
      <w:r w:rsidRPr="00D83798">
        <w:rPr>
          <w:rFonts w:ascii="Cambria" w:hAnsi="Cambria" w:cs="Cambria"/>
          <w:b/>
          <w:bCs/>
          <w:color w:val="000000"/>
          <w:sz w:val="20"/>
          <w:szCs w:val="20"/>
          <w:u w:color="000000"/>
          <w:lang w:eastAsia="es-ES"/>
        </w:rPr>
        <w:t xml:space="preserve">2.3 Other rights of the reincorporated judge </w:t>
      </w:r>
    </w:p>
    <w:p w:rsidR="00D0209E" w:rsidRPr="00D83798" w:rsidRDefault="00D0209E" w:rsidP="00321C2B">
      <w:pPr>
        <w:tabs>
          <w:tab w:val="center" w:pos="5400"/>
        </w:tabs>
        <w:suppressAutoHyphens/>
        <w:ind w:left="720" w:right="720"/>
        <w:jc w:val="both"/>
        <w:rPr>
          <w:rFonts w:ascii="Cambria" w:hAnsi="Cambria" w:cs="Cambria"/>
          <w:b/>
          <w:bCs/>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b/>
          <w:bCs/>
          <w:color w:val="000000"/>
          <w:sz w:val="20"/>
          <w:szCs w:val="20"/>
          <w:u w:color="000000"/>
          <w:lang w:eastAsia="es-ES"/>
        </w:rPr>
      </w:pPr>
      <w:r w:rsidRPr="00D83798">
        <w:rPr>
          <w:rFonts w:ascii="Cambria" w:hAnsi="Cambria" w:cs="Cambria"/>
          <w:b/>
          <w:bCs/>
          <w:color w:val="000000"/>
          <w:sz w:val="20"/>
          <w:szCs w:val="20"/>
          <w:u w:color="000000"/>
          <w:lang w:eastAsia="es-ES"/>
        </w:rPr>
        <w:t xml:space="preserve">2.3.1. Recognition of years of service </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The Peruvian State, through the judiciary, shall recognize the judge’s years of service not worked—as of the date of the decision not to ratify him in his position—for the purposes of calculating seniority and retirement benefits in accordance with Peruvian law. Should compliance with this friendly settlement agreement require the judge to be transferred to another judicial district, his years of service shall be recognized for all effects at the new posting.</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b/>
          <w:bCs/>
          <w:color w:val="000000"/>
          <w:sz w:val="20"/>
          <w:szCs w:val="20"/>
          <w:u w:color="000000"/>
          <w:lang w:eastAsia="es-ES"/>
        </w:rPr>
      </w:pPr>
      <w:r w:rsidRPr="00D83798">
        <w:rPr>
          <w:rFonts w:ascii="Cambria" w:hAnsi="Cambria" w:cs="Cambria"/>
          <w:b/>
          <w:bCs/>
          <w:color w:val="000000"/>
          <w:sz w:val="20"/>
          <w:szCs w:val="20"/>
          <w:u w:color="000000"/>
          <w:lang w:eastAsia="es-ES"/>
        </w:rPr>
        <w:t xml:space="preserve">2.3.2. Welfare contributions </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 xml:space="preserve">Welfare contributions, according to domestic regulations (Decree Law No. 19990, Decree Law No. 20530, and Law 25897), are the responsibility of the worker; therefore, in the case at hand, the petitioner signing this agreement shall assume the payment of his welfare contributions for the recognized years of service. </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rPr>
          <w:rFonts w:ascii="Cambria" w:hAnsi="Cambria" w:cs="Cambria"/>
          <w:b/>
          <w:bCs/>
          <w:color w:val="000000"/>
          <w:sz w:val="20"/>
          <w:szCs w:val="20"/>
          <w:u w:color="000000"/>
          <w:lang w:eastAsia="es-ES"/>
        </w:rPr>
      </w:pPr>
      <w:r w:rsidRPr="00D83798">
        <w:rPr>
          <w:rFonts w:ascii="Cambria" w:hAnsi="Cambria" w:cs="Cambria"/>
          <w:b/>
          <w:bCs/>
          <w:color w:val="000000"/>
          <w:sz w:val="20"/>
          <w:szCs w:val="20"/>
          <w:u w:color="000000"/>
          <w:lang w:eastAsia="es-ES"/>
        </w:rPr>
        <w:br w:type="page"/>
      </w:r>
    </w:p>
    <w:p w:rsidR="00D0209E" w:rsidRPr="00D83798" w:rsidRDefault="00D0209E" w:rsidP="00321C2B">
      <w:pPr>
        <w:tabs>
          <w:tab w:val="center" w:pos="5400"/>
        </w:tabs>
        <w:suppressAutoHyphens/>
        <w:ind w:left="720" w:right="720"/>
        <w:jc w:val="both"/>
        <w:rPr>
          <w:rFonts w:ascii="Cambria" w:hAnsi="Cambria" w:cs="Cambria"/>
          <w:b/>
          <w:bCs/>
          <w:color w:val="000000"/>
          <w:sz w:val="20"/>
          <w:szCs w:val="20"/>
          <w:u w:color="000000"/>
          <w:lang w:eastAsia="es-ES"/>
        </w:rPr>
      </w:pPr>
      <w:r w:rsidRPr="00D83798">
        <w:rPr>
          <w:rFonts w:ascii="Cambria" w:hAnsi="Cambria" w:cs="Cambria"/>
          <w:b/>
          <w:bCs/>
          <w:color w:val="000000"/>
          <w:sz w:val="20"/>
          <w:szCs w:val="20"/>
          <w:u w:color="000000"/>
          <w:lang w:eastAsia="es-ES"/>
        </w:rPr>
        <w:lastRenderedPageBreak/>
        <w:t>2.4. New evaluation and ratification process</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 xml:space="preserve">Once the judge covered by this agreement has been reincorporated into the judiciary, the National Council of the Magistrature shall proceed to carry out a new comprehensive process of evaluation and ratification. This new process shall be carried out in accordance with the guarantees of due process enshrined in the provisions and principles of the Peruvian Constitution (Articles 139 and 154), the American Convention on Human Rights, and the binding jurisprudence of the Inter-American Court of Human Rights and the Constitutional Court. </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For that purpose, the National Council of the Magistrature has adapted its Regulations to the corresponding regulatory provisions that guarantee due process, in accordance with national and international standards and the principles of the Constitution.</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b/>
          <w:bCs/>
          <w:color w:val="000000"/>
          <w:sz w:val="20"/>
          <w:szCs w:val="20"/>
          <w:u w:color="000000"/>
          <w:lang w:eastAsia="es-ES"/>
        </w:rPr>
      </w:pPr>
      <w:r w:rsidRPr="00D83798">
        <w:rPr>
          <w:rFonts w:ascii="Cambria" w:hAnsi="Cambria" w:cs="Cambria"/>
          <w:b/>
          <w:bCs/>
          <w:color w:val="000000"/>
          <w:sz w:val="20"/>
          <w:szCs w:val="20"/>
          <w:u w:color="000000"/>
          <w:lang w:eastAsia="es-ES"/>
        </w:rPr>
        <w:t xml:space="preserve">CLAUSE THREE: LEGAL BASIS </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This Agreement is signed in accordance with the terms of Articles 2 (basic rights of people), 44 (essential duties of the State), 55 (validity of treaties), and 205 (supranational jurisdiction) of the Peruvian Constitution, together with the Fourth Transitory and Final Provision (interpretation of fundamental rights) thereof; Articles 1 (obligation to respect rights), 2 (domestic legal effects), 8 (right to a fair trial), and 48.1.f (friendly settlement) of the American Convention on Human Rights; and Article 40 of the Rules of Procedure of the Inter-American Commission on Human Rights.</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b/>
          <w:bCs/>
          <w:color w:val="000000"/>
          <w:sz w:val="20"/>
          <w:szCs w:val="20"/>
          <w:u w:color="000000"/>
          <w:lang w:eastAsia="es-ES"/>
        </w:rPr>
      </w:pPr>
      <w:r w:rsidRPr="00D83798">
        <w:rPr>
          <w:rFonts w:ascii="Cambria" w:hAnsi="Cambria" w:cs="Cambria"/>
          <w:b/>
          <w:bCs/>
          <w:color w:val="000000"/>
          <w:sz w:val="20"/>
          <w:szCs w:val="20"/>
          <w:u w:color="000000"/>
          <w:lang w:eastAsia="es-ES"/>
        </w:rPr>
        <w:t>CLAUSE FOUR: INTERPRETATION</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The content and scope of this agreement shall be interpreted in light of Articles 29 and 30 of the American Convention on Human Rights, as applicable, and in accordance with the principle of good faith. Should there be any doubt or disagreement between the parties regarding the content of this agreement, it shall fall to the Inter-American Commission on Human Rights to decide on its interpretation. The Commission shall also be responsible for overseeing its implementation, and the parties shall be obliged to report on its status and compliance.</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 xml:space="preserve"> </w:t>
      </w:r>
    </w:p>
    <w:p w:rsidR="00D0209E" w:rsidRPr="00D83798" w:rsidRDefault="00D0209E" w:rsidP="00321C2B">
      <w:pPr>
        <w:tabs>
          <w:tab w:val="center" w:pos="5400"/>
        </w:tabs>
        <w:suppressAutoHyphens/>
        <w:ind w:left="720" w:right="720"/>
        <w:jc w:val="both"/>
        <w:rPr>
          <w:rFonts w:ascii="Cambria" w:hAnsi="Cambria" w:cs="Cambria"/>
          <w:b/>
          <w:bCs/>
          <w:color w:val="000000"/>
          <w:sz w:val="20"/>
          <w:szCs w:val="20"/>
          <w:u w:color="000000"/>
          <w:lang w:eastAsia="es-ES"/>
        </w:rPr>
      </w:pPr>
      <w:r w:rsidRPr="00D83798">
        <w:rPr>
          <w:rFonts w:ascii="Cambria" w:hAnsi="Cambria" w:cs="Cambria"/>
          <w:b/>
          <w:bCs/>
          <w:color w:val="000000"/>
          <w:sz w:val="20"/>
          <w:szCs w:val="20"/>
          <w:u w:color="000000"/>
          <w:lang w:eastAsia="es-ES"/>
        </w:rPr>
        <w:t>CLAUSE FIVE: RATIFICATION BY THE INTER-AMERICAN COMMISSION ON HUMAN RIGHTS (IACHR)</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 xml:space="preserve">This friendly settlement agreement is subject to ratification by the Inter-American Commission on Human Rights. The Peruvian State shall request said ratification as promptly as possible and, once it is obtained, inform the National Council of the Magistrature (CNM) thereof for it to proceed with the restoration of the titles of appointment pursuant to Clause Two. </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b/>
          <w:bCs/>
          <w:color w:val="000000"/>
          <w:sz w:val="20"/>
          <w:szCs w:val="20"/>
          <w:u w:color="000000"/>
          <w:lang w:eastAsia="es-ES"/>
        </w:rPr>
      </w:pPr>
      <w:r w:rsidRPr="00D83798">
        <w:rPr>
          <w:rFonts w:ascii="Cambria" w:hAnsi="Cambria" w:cs="Cambria"/>
          <w:b/>
          <w:bCs/>
          <w:color w:val="000000"/>
          <w:sz w:val="20"/>
          <w:szCs w:val="20"/>
          <w:u w:color="000000"/>
          <w:lang w:eastAsia="es-ES"/>
        </w:rPr>
        <w:t xml:space="preserve">CLAUSE SIX: ACCEPTANCE </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 xml:space="preserve">The parties signing this friendly settlement agreement express their free and voluntary agreement with and acceptance of the contents of each and all of its clauses and they attest that it concludes the dispute and all claims against the Peruvian State at national and/or international venues in connection with the facts acknowledged by the State. This declaration of conclusion covers any and all claims for indemnification or responsibility against the Peruvian State which, with the signing of this friendly settlement agreement, have been satisfied in full. </w:t>
      </w: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p>
    <w:p w:rsidR="00D0209E" w:rsidRPr="00D83798" w:rsidRDefault="00D0209E" w:rsidP="00321C2B">
      <w:pPr>
        <w:tabs>
          <w:tab w:val="center" w:pos="5400"/>
        </w:tabs>
        <w:suppressAutoHyphens/>
        <w:ind w:left="720" w:right="720"/>
        <w:jc w:val="both"/>
        <w:rPr>
          <w:rFonts w:ascii="Cambria" w:hAnsi="Cambria" w:cs="Cambria"/>
          <w:color w:val="000000"/>
          <w:sz w:val="20"/>
          <w:szCs w:val="20"/>
          <w:u w:color="000000"/>
          <w:lang w:eastAsia="es-ES"/>
        </w:rPr>
      </w:pPr>
      <w:r w:rsidRPr="00D83798">
        <w:rPr>
          <w:rFonts w:ascii="Cambria" w:hAnsi="Cambria" w:cs="Cambria"/>
          <w:color w:val="000000"/>
          <w:sz w:val="20"/>
          <w:szCs w:val="20"/>
          <w:u w:color="000000"/>
          <w:lang w:eastAsia="es-ES"/>
        </w:rPr>
        <w:t>Lima, October 31, 2016</w:t>
      </w:r>
    </w:p>
    <w:p w:rsidR="00D0209E" w:rsidRPr="00D83798" w:rsidRDefault="00D0209E" w:rsidP="00321C2B">
      <w:pPr>
        <w:tabs>
          <w:tab w:val="center" w:pos="5400"/>
        </w:tabs>
        <w:suppressAutoHyphens/>
        <w:ind w:right="540"/>
        <w:jc w:val="both"/>
        <w:rPr>
          <w:rFonts w:ascii="Cambria" w:hAnsi="Cambria" w:cs="Cambria"/>
          <w:color w:val="000000"/>
          <w:sz w:val="20"/>
          <w:szCs w:val="20"/>
          <w:u w:color="000000"/>
          <w:lang w:eastAsia="es-ES"/>
        </w:rPr>
      </w:pPr>
    </w:p>
    <w:p w:rsidR="00D0209E" w:rsidRPr="00D83798" w:rsidRDefault="00D0209E" w:rsidP="00321C2B">
      <w:pPr>
        <w:ind w:left="1440" w:hanging="720"/>
        <w:jc w:val="both"/>
        <w:rPr>
          <w:rFonts w:ascii="Cambria" w:eastAsia="MS Mincho" w:hAnsi="Cambria" w:cs="Cambria"/>
          <w:b/>
          <w:bCs/>
          <w:sz w:val="20"/>
          <w:szCs w:val="20"/>
        </w:rPr>
      </w:pPr>
      <w:r w:rsidRPr="00D83798">
        <w:rPr>
          <w:rFonts w:ascii="Cambria" w:eastAsia="MS Mincho" w:hAnsi="Cambria" w:cs="Cambria"/>
          <w:b/>
          <w:bCs/>
          <w:sz w:val="20"/>
          <w:szCs w:val="20"/>
        </w:rPr>
        <w:lastRenderedPageBreak/>
        <w:t>V.</w:t>
      </w:r>
      <w:r w:rsidRPr="00D83798">
        <w:rPr>
          <w:rFonts w:ascii="Cambria" w:eastAsia="MS Mincho" w:hAnsi="Cambria" w:cs="Cambria"/>
          <w:b/>
          <w:bCs/>
          <w:sz w:val="20"/>
          <w:szCs w:val="20"/>
        </w:rPr>
        <w:tab/>
        <w:t>DETERMINATION OF COMPATIBILITY AND COMPLIANCE</w:t>
      </w:r>
    </w:p>
    <w:p w:rsidR="00D0209E" w:rsidRPr="00D83798" w:rsidRDefault="00D0209E" w:rsidP="00321C2B">
      <w:pPr>
        <w:tabs>
          <w:tab w:val="center" w:pos="5400"/>
        </w:tabs>
        <w:suppressAutoHyphens/>
        <w:rPr>
          <w:rFonts w:ascii="Cambria" w:hAnsi="Cambria" w:cs="Cambria"/>
          <w:sz w:val="20"/>
          <w:szCs w:val="20"/>
        </w:rPr>
      </w:pPr>
    </w:p>
    <w:p w:rsidR="00D0209E" w:rsidRPr="00D83798" w:rsidRDefault="00D0209E" w:rsidP="00321C2B">
      <w:pPr>
        <w:numPr>
          <w:ilvl w:val="0"/>
          <w:numId w:val="52"/>
        </w:numPr>
        <w:jc w:val="both"/>
        <w:rPr>
          <w:rFonts w:ascii="Cambria" w:eastAsia="MS Mincho" w:hAnsi="Cambria" w:cs="Cambria"/>
          <w:color w:val="000000"/>
          <w:sz w:val="20"/>
          <w:szCs w:val="20"/>
        </w:rPr>
      </w:pPr>
      <w:r w:rsidRPr="00D83798">
        <w:rPr>
          <w:rFonts w:ascii="Cambria" w:eastAsia="MS Mincho" w:hAnsi="Cambria" w:cs="Cambria"/>
          <w:color w:val="000000"/>
          <w:sz w:val="20"/>
          <w:szCs w:val="20"/>
        </w:rPr>
        <w:t xml:space="preserve">The IACHR again notes that pursuant to Articles 48.1.f and 49 of the American Convention, the purpose of this procedure is to reach “a friendly settlement of the matter on the basis of respect for the human rights recognized in this Convention.” Accepting this procedure demonstrates the State’s good faith in pursuit of the Convention’s purposes and goals under the principle of </w:t>
      </w:r>
      <w:r w:rsidRPr="00D83798">
        <w:rPr>
          <w:rFonts w:ascii="Cambria" w:eastAsia="MS Mincho" w:hAnsi="Cambria" w:cs="Cambria"/>
          <w:i/>
          <w:iCs/>
          <w:color w:val="000000"/>
          <w:sz w:val="20"/>
          <w:szCs w:val="20"/>
        </w:rPr>
        <w:t>pacta sunt servanda</w:t>
      </w:r>
      <w:r w:rsidRPr="00D83798">
        <w:rPr>
          <w:rFonts w:ascii="Cambria" w:eastAsia="MS Mincho" w:hAnsi="Cambria" w:cs="Cambria"/>
          <w:color w:val="000000"/>
          <w:sz w:val="20"/>
          <w:szCs w:val="20"/>
        </w:rPr>
        <w:t>, whereby states are required to comply in good faith with the treaty obligations they assume.</w:t>
      </w:r>
      <w:r w:rsidRPr="00D83798">
        <w:rPr>
          <w:rFonts w:ascii="Cambria" w:eastAsia="MS Mincho" w:hAnsi="Cambria"/>
          <w:color w:val="000000"/>
          <w:sz w:val="20"/>
          <w:szCs w:val="20"/>
          <w:vertAlign w:val="superscript"/>
        </w:rPr>
        <w:footnoteReference w:id="2"/>
      </w:r>
      <w:r w:rsidRPr="00D83798">
        <w:rPr>
          <w:rFonts w:ascii="Cambria" w:eastAsia="MS Mincho" w:hAnsi="Cambria" w:cs="Cambria"/>
          <w:color w:val="000000"/>
          <w:sz w:val="20"/>
          <w:szCs w:val="20"/>
        </w:rPr>
        <w:t xml:space="preserve"> It also notes that the friendly settlement procedure provided for in the Convention allows individual cases to be concluded in a non</w:t>
      </w:r>
      <w:r w:rsidR="00F83F76">
        <w:rPr>
          <w:rFonts w:ascii="Cambria" w:eastAsia="MS Mincho" w:hAnsi="Cambria" w:cs="Cambria"/>
          <w:color w:val="000000"/>
          <w:sz w:val="20"/>
          <w:szCs w:val="20"/>
        </w:rPr>
        <w:t>-</w:t>
      </w:r>
      <w:r w:rsidRPr="00D83798">
        <w:rPr>
          <w:rFonts w:ascii="Cambria" w:eastAsia="MS Mincho" w:hAnsi="Cambria" w:cs="Cambria"/>
          <w:color w:val="000000"/>
          <w:sz w:val="20"/>
          <w:szCs w:val="20"/>
        </w:rPr>
        <w:t>contentious fashion and that in cases from several different countries, it has served as an important vehicle for resolving disputes that is available to either party.</w:t>
      </w:r>
    </w:p>
    <w:p w:rsidR="00D0209E" w:rsidRPr="00D83798" w:rsidRDefault="00D0209E" w:rsidP="00321C2B">
      <w:pPr>
        <w:ind w:firstLine="720"/>
        <w:jc w:val="both"/>
        <w:rPr>
          <w:rFonts w:ascii="Cambria" w:eastAsia="MS Mincho" w:hAnsi="Cambria"/>
          <w:color w:val="000000"/>
          <w:sz w:val="20"/>
          <w:szCs w:val="20"/>
        </w:rPr>
      </w:pPr>
    </w:p>
    <w:p w:rsidR="00D0209E" w:rsidRPr="00D83798" w:rsidRDefault="00D0209E" w:rsidP="00321C2B">
      <w:pPr>
        <w:numPr>
          <w:ilvl w:val="0"/>
          <w:numId w:val="52"/>
        </w:numPr>
        <w:tabs>
          <w:tab w:val="left" w:pos="1440"/>
        </w:tabs>
        <w:jc w:val="both"/>
        <w:rPr>
          <w:rFonts w:ascii="Cambria" w:eastAsia="MS Mincho" w:hAnsi="Cambria" w:cs="Cambria"/>
          <w:sz w:val="20"/>
          <w:szCs w:val="20"/>
        </w:rPr>
      </w:pPr>
      <w:r w:rsidRPr="00D83798">
        <w:rPr>
          <w:rFonts w:ascii="Cambria" w:eastAsia="MS Mincho" w:hAnsi="Cambria" w:cs="Cambria"/>
          <w:sz w:val="20"/>
          <w:szCs w:val="20"/>
        </w:rPr>
        <w:t>The Inter-American Commission has closely followed the development of the friendly settlement reached in this case, and it applauds the efforts made by both parties during the negotiations to reach this friendly settlement, which is compatible with the purposes and goals of the Convention.</w:t>
      </w:r>
    </w:p>
    <w:p w:rsidR="00D0209E" w:rsidRPr="00D83798" w:rsidRDefault="00D0209E" w:rsidP="00321C2B">
      <w:pPr>
        <w:pStyle w:val="ListParagraph"/>
        <w:ind w:left="0" w:firstLine="720"/>
        <w:rPr>
          <w:rFonts w:eastAsia="MS Mincho"/>
          <w:sz w:val="20"/>
          <w:szCs w:val="20"/>
        </w:rPr>
      </w:pPr>
    </w:p>
    <w:p w:rsidR="00D0209E" w:rsidRPr="00D83798" w:rsidRDefault="00D0209E" w:rsidP="00321C2B">
      <w:pPr>
        <w:pStyle w:val="ListParagraph"/>
        <w:numPr>
          <w:ilvl w:val="0"/>
          <w:numId w:val="52"/>
        </w:numPr>
        <w:ind w:left="0"/>
        <w:jc w:val="both"/>
        <w:rPr>
          <w:rFonts w:eastAsia="MS Mincho"/>
          <w:sz w:val="20"/>
          <w:szCs w:val="20"/>
        </w:rPr>
      </w:pPr>
      <w:r w:rsidRPr="00D83798">
        <w:rPr>
          <w:rFonts w:eastAsia="MS Mincho"/>
          <w:sz w:val="20"/>
          <w:szCs w:val="20"/>
        </w:rPr>
        <w:t>The IACHR notes that pursuant to the terms of the friendly settlement agreement, the parties have jointly requested that the Commission adopt</w:t>
      </w:r>
      <w:r w:rsidR="00905B1A">
        <w:rPr>
          <w:rFonts w:eastAsia="MS Mincho"/>
          <w:sz w:val="20"/>
          <w:szCs w:val="20"/>
        </w:rPr>
        <w:t>s</w:t>
      </w:r>
      <w:r w:rsidRPr="00D83798">
        <w:rPr>
          <w:rFonts w:eastAsia="MS Mincho"/>
          <w:sz w:val="20"/>
          <w:szCs w:val="20"/>
        </w:rPr>
        <w:t xml:space="preserve"> the report referred to in Article 49 of the American Convention, in order to begin the formalities related to the restoration of Mr. </w:t>
      </w:r>
      <w:r w:rsidR="005358EF">
        <w:rPr>
          <w:rFonts w:eastAsia="MS Mincho"/>
          <w:sz w:val="20"/>
          <w:szCs w:val="20"/>
        </w:rPr>
        <w:t>Jesus</w:t>
      </w:r>
      <w:r w:rsidRPr="00D83798">
        <w:rPr>
          <w:rFonts w:eastAsia="MS Mincho"/>
          <w:sz w:val="20"/>
          <w:szCs w:val="20"/>
        </w:rPr>
        <w:t xml:space="preserve"> Salvador Ferreyra </w:t>
      </w:r>
      <w:r w:rsidRPr="00D83798">
        <w:rPr>
          <w:sz w:val="20"/>
          <w:szCs w:val="20"/>
        </w:rPr>
        <w:t>Gonz</w:t>
      </w:r>
      <w:r w:rsidR="008D375A">
        <w:rPr>
          <w:sz w:val="20"/>
          <w:szCs w:val="20"/>
        </w:rPr>
        <w:t>á</w:t>
      </w:r>
      <w:r w:rsidRPr="00D83798">
        <w:rPr>
          <w:sz w:val="20"/>
          <w:szCs w:val="20"/>
        </w:rPr>
        <w:t>lez</w:t>
      </w:r>
      <w:r w:rsidRPr="00D83798">
        <w:rPr>
          <w:rFonts w:eastAsia="MS Mincho"/>
          <w:sz w:val="20"/>
          <w:szCs w:val="20"/>
        </w:rPr>
        <w:t xml:space="preserve">’s title and his reincorporation into the judiciary by the State. </w:t>
      </w:r>
    </w:p>
    <w:p w:rsidR="00D0209E" w:rsidRPr="00D83798" w:rsidRDefault="00D0209E" w:rsidP="00321C2B">
      <w:pPr>
        <w:pStyle w:val="ListParagraph"/>
        <w:ind w:left="0" w:firstLine="720"/>
        <w:rPr>
          <w:rFonts w:eastAsia="MS Mincho"/>
          <w:sz w:val="20"/>
          <w:szCs w:val="20"/>
        </w:rPr>
      </w:pPr>
    </w:p>
    <w:p w:rsidR="00D0209E" w:rsidRPr="00D83798" w:rsidRDefault="00D0209E" w:rsidP="00321C2B">
      <w:pPr>
        <w:pStyle w:val="ListParagraph"/>
        <w:numPr>
          <w:ilvl w:val="0"/>
          <w:numId w:val="52"/>
        </w:numPr>
        <w:ind w:left="0"/>
        <w:jc w:val="both"/>
        <w:rPr>
          <w:rFonts w:eastAsia="MS Mincho"/>
          <w:sz w:val="20"/>
          <w:szCs w:val="20"/>
        </w:rPr>
      </w:pPr>
      <w:r w:rsidRPr="00D83798">
        <w:rPr>
          <w:rFonts w:eastAsia="MS Mincho"/>
          <w:sz w:val="20"/>
          <w:szCs w:val="20"/>
        </w:rPr>
        <w:t xml:space="preserve">The IACHR applauds the Peruvian State’s recognition of its international responsibility for violating the guarantees of effective judicial protection as contained in the friendly settlement agreement in accordance with the national and regional standards and the jurisprudence of the </w:t>
      </w:r>
      <w:r w:rsidR="00905B1A">
        <w:rPr>
          <w:rFonts w:eastAsia="MS Mincho"/>
          <w:sz w:val="20"/>
          <w:szCs w:val="20"/>
        </w:rPr>
        <w:t>I</w:t>
      </w:r>
      <w:r w:rsidRPr="00D83798">
        <w:rPr>
          <w:rFonts w:eastAsia="MS Mincho"/>
          <w:sz w:val="20"/>
          <w:szCs w:val="20"/>
        </w:rPr>
        <w:t xml:space="preserve">nter-American human rights system. In addition, the IACHR takes note of the commitments assumed by the Peruvian State to provide Mr. </w:t>
      </w:r>
      <w:r w:rsidR="005358EF">
        <w:rPr>
          <w:rFonts w:eastAsia="MS Mincho"/>
          <w:sz w:val="20"/>
          <w:szCs w:val="20"/>
        </w:rPr>
        <w:t>Jesus</w:t>
      </w:r>
      <w:r w:rsidRPr="00D83798">
        <w:rPr>
          <w:rFonts w:eastAsia="MS Mincho"/>
          <w:sz w:val="20"/>
          <w:szCs w:val="20"/>
        </w:rPr>
        <w:t xml:space="preserve"> Salvador Ferreyra Gonz</w:t>
      </w:r>
      <w:r w:rsidR="008D375A">
        <w:rPr>
          <w:rFonts w:eastAsia="MS Mincho"/>
          <w:sz w:val="20"/>
          <w:szCs w:val="20"/>
        </w:rPr>
        <w:t>á</w:t>
      </w:r>
      <w:r w:rsidRPr="00D83798">
        <w:rPr>
          <w:rFonts w:eastAsia="MS Mincho"/>
          <w:sz w:val="20"/>
          <w:szCs w:val="20"/>
        </w:rPr>
        <w:t>lez with comprehensive amends through the restoration of his position as it was prior to the events whereby his rights were allegedly violated</w:t>
      </w:r>
      <w:r w:rsidR="00905B1A">
        <w:rPr>
          <w:rFonts w:eastAsia="MS Mincho"/>
          <w:sz w:val="20"/>
          <w:szCs w:val="20"/>
        </w:rPr>
        <w:t>,</w:t>
      </w:r>
      <w:r w:rsidRPr="00D83798">
        <w:rPr>
          <w:rFonts w:eastAsia="MS Mincho"/>
          <w:sz w:val="20"/>
          <w:szCs w:val="20"/>
        </w:rPr>
        <w:t xml:space="preserve"> that is, by restoring his title and reinstating him in the personnel of the judiciary. In addition, the IACHR takes note of the measure of satisfaction consisting of the recognition of years of service not worked—from the date of the decision not to ratify the position held by the agreement’s beneficiary—for the purposes of calculating seniority and retirement benefits.</w:t>
      </w:r>
    </w:p>
    <w:p w:rsidR="00D0209E" w:rsidRPr="00D83798" w:rsidRDefault="00D0209E" w:rsidP="00321C2B">
      <w:pPr>
        <w:pStyle w:val="ListParagraph"/>
        <w:ind w:left="0" w:firstLine="720"/>
        <w:rPr>
          <w:rFonts w:eastAsia="MS Mincho"/>
          <w:sz w:val="20"/>
          <w:szCs w:val="20"/>
        </w:rPr>
      </w:pPr>
    </w:p>
    <w:p w:rsidR="00D0209E" w:rsidRPr="00D83798" w:rsidRDefault="00D0209E" w:rsidP="00321C2B">
      <w:pPr>
        <w:pStyle w:val="ListParagraph"/>
        <w:numPr>
          <w:ilvl w:val="0"/>
          <w:numId w:val="52"/>
        </w:numPr>
        <w:ind w:left="0"/>
        <w:jc w:val="both"/>
        <w:rPr>
          <w:rFonts w:eastAsia="MS Mincho"/>
          <w:sz w:val="20"/>
          <w:szCs w:val="20"/>
        </w:rPr>
      </w:pPr>
      <w:r w:rsidRPr="00D83798">
        <w:rPr>
          <w:rFonts w:eastAsia="MS Mincho"/>
          <w:sz w:val="20"/>
          <w:szCs w:val="20"/>
        </w:rPr>
        <w:t xml:space="preserve">In light of the foregoing, and taking into particular consideration the parties’ joint request regarding the approval of the friendly settlement agreement, the IACHR resolves, following the adoption of this report, to monitor all the commitments assumed in the agreement until they are fully implemented. </w:t>
      </w:r>
    </w:p>
    <w:p w:rsidR="00D0209E" w:rsidRPr="00D83798" w:rsidRDefault="00D0209E" w:rsidP="00321C2B">
      <w:pPr>
        <w:pStyle w:val="ListParagraph"/>
        <w:jc w:val="both"/>
        <w:rPr>
          <w:rFonts w:eastAsia="MS Mincho"/>
          <w:sz w:val="20"/>
          <w:szCs w:val="20"/>
        </w:rPr>
      </w:pPr>
    </w:p>
    <w:p w:rsidR="00D0209E" w:rsidRPr="00D83798" w:rsidRDefault="00D0209E" w:rsidP="00321C2B">
      <w:pPr>
        <w:ind w:left="720" w:right="720"/>
        <w:rPr>
          <w:rFonts w:ascii="Cambria" w:eastAsia="MS Mincho" w:hAnsi="Cambria" w:cs="Cambria"/>
          <w:b/>
          <w:bCs/>
          <w:sz w:val="20"/>
          <w:szCs w:val="20"/>
        </w:rPr>
      </w:pPr>
      <w:r w:rsidRPr="00D83798">
        <w:rPr>
          <w:rFonts w:ascii="Cambria" w:eastAsia="MS Mincho" w:hAnsi="Cambria" w:cs="Cambria"/>
          <w:b/>
          <w:bCs/>
          <w:sz w:val="20"/>
          <w:szCs w:val="20"/>
        </w:rPr>
        <w:t>VI.</w:t>
      </w:r>
      <w:r w:rsidRPr="00D83798">
        <w:rPr>
          <w:rFonts w:ascii="Cambria" w:eastAsia="MS Mincho" w:hAnsi="Cambria" w:cs="Cambria"/>
          <w:b/>
          <w:bCs/>
          <w:sz w:val="20"/>
          <w:szCs w:val="20"/>
        </w:rPr>
        <w:tab/>
        <w:t>CONCLUSIONS</w:t>
      </w:r>
    </w:p>
    <w:p w:rsidR="00D0209E" w:rsidRPr="00D83798" w:rsidRDefault="00D0209E" w:rsidP="00321C2B">
      <w:pPr>
        <w:tabs>
          <w:tab w:val="center" w:pos="5400"/>
        </w:tabs>
        <w:suppressAutoHyphens/>
        <w:rPr>
          <w:rFonts w:ascii="Cambria" w:hAnsi="Cambria" w:cs="Cambria"/>
          <w:b/>
          <w:bCs/>
          <w:sz w:val="20"/>
          <w:szCs w:val="20"/>
        </w:rPr>
      </w:pPr>
    </w:p>
    <w:p w:rsidR="00D0209E" w:rsidRPr="00D83798" w:rsidRDefault="00D0209E" w:rsidP="00ED612B">
      <w:pPr>
        <w:ind w:firstLine="720"/>
        <w:jc w:val="center"/>
        <w:rPr>
          <w:rFonts w:ascii="Cambria" w:eastAsia="MS Mincho" w:hAnsi="Cambria" w:cs="Cambria"/>
          <w:b/>
          <w:bCs/>
          <w:sz w:val="20"/>
          <w:szCs w:val="20"/>
        </w:rPr>
      </w:pPr>
      <w:r w:rsidRPr="00D83798">
        <w:rPr>
          <w:rFonts w:ascii="Cambria" w:eastAsia="MS Mincho" w:hAnsi="Cambria" w:cs="Cambria"/>
          <w:b/>
          <w:bCs/>
          <w:sz w:val="20"/>
          <w:szCs w:val="20"/>
        </w:rPr>
        <w:t>THE INTER-AMERICAN COMMISSION ON HUMAN RIGHTS</w:t>
      </w:r>
    </w:p>
    <w:p w:rsidR="00D0209E" w:rsidRPr="00D83798" w:rsidRDefault="00D0209E" w:rsidP="00ED612B">
      <w:pPr>
        <w:jc w:val="both"/>
        <w:rPr>
          <w:rFonts w:ascii="Cambria" w:eastAsia="MS Mincho" w:hAnsi="Cambria" w:cs="Cambria"/>
          <w:b/>
          <w:bCs/>
          <w:sz w:val="20"/>
          <w:szCs w:val="20"/>
        </w:rPr>
      </w:pPr>
      <w:r w:rsidRPr="00D83798">
        <w:rPr>
          <w:rFonts w:ascii="Cambria" w:eastAsia="MS Mincho" w:hAnsi="Cambria" w:cs="Cambria"/>
          <w:b/>
          <w:bCs/>
          <w:sz w:val="20"/>
          <w:szCs w:val="20"/>
        </w:rPr>
        <w:t>DECIDES:</w:t>
      </w:r>
    </w:p>
    <w:p w:rsidR="00D0209E" w:rsidRPr="00D83798" w:rsidRDefault="00D0209E" w:rsidP="00321C2B">
      <w:pPr>
        <w:tabs>
          <w:tab w:val="left" w:pos="1260"/>
        </w:tabs>
        <w:ind w:firstLine="720"/>
        <w:jc w:val="both"/>
        <w:rPr>
          <w:rFonts w:ascii="Cambria" w:eastAsia="MS Mincho" w:hAnsi="Cambria"/>
          <w:sz w:val="20"/>
          <w:szCs w:val="20"/>
        </w:rPr>
      </w:pPr>
    </w:p>
    <w:p w:rsidR="00D0209E" w:rsidRPr="00D83798" w:rsidRDefault="00D0209E" w:rsidP="00321C2B">
      <w:pPr>
        <w:numPr>
          <w:ilvl w:val="0"/>
          <w:numId w:val="53"/>
        </w:numPr>
        <w:tabs>
          <w:tab w:val="left" w:pos="1260"/>
        </w:tabs>
        <w:jc w:val="both"/>
        <w:rPr>
          <w:rFonts w:ascii="Cambria" w:eastAsia="MS Mincho" w:hAnsi="Cambria" w:cs="Cambria"/>
          <w:sz w:val="20"/>
          <w:szCs w:val="20"/>
        </w:rPr>
      </w:pPr>
      <w:r w:rsidRPr="00D83798">
        <w:rPr>
          <w:rFonts w:ascii="Cambria" w:eastAsia="MS Mincho" w:hAnsi="Cambria" w:cs="Cambria"/>
          <w:sz w:val="20"/>
          <w:szCs w:val="20"/>
        </w:rPr>
        <w:t xml:space="preserve">To approve the terms of the agreement signed by the parties on October 31, 2016. </w:t>
      </w:r>
    </w:p>
    <w:p w:rsidR="00D0209E" w:rsidRPr="00D83798" w:rsidRDefault="00D0209E" w:rsidP="00321C2B">
      <w:pPr>
        <w:tabs>
          <w:tab w:val="left" w:pos="1260"/>
        </w:tabs>
        <w:ind w:left="720"/>
        <w:jc w:val="both"/>
        <w:rPr>
          <w:rFonts w:ascii="Cambria" w:eastAsia="MS Mincho" w:hAnsi="Cambria"/>
          <w:sz w:val="20"/>
          <w:szCs w:val="20"/>
        </w:rPr>
      </w:pPr>
    </w:p>
    <w:p w:rsidR="00D0209E" w:rsidRPr="00D83798" w:rsidRDefault="00D0209E" w:rsidP="00321C2B">
      <w:pPr>
        <w:numPr>
          <w:ilvl w:val="0"/>
          <w:numId w:val="53"/>
        </w:numPr>
        <w:tabs>
          <w:tab w:val="left" w:pos="1260"/>
        </w:tabs>
        <w:jc w:val="both"/>
        <w:rPr>
          <w:rFonts w:ascii="Cambria" w:eastAsia="MS Mincho" w:hAnsi="Cambria" w:cs="Cambria"/>
          <w:sz w:val="20"/>
          <w:szCs w:val="20"/>
        </w:rPr>
      </w:pPr>
      <w:r w:rsidRPr="00D83798">
        <w:rPr>
          <w:rFonts w:ascii="Cambria" w:eastAsia="MS Mincho" w:hAnsi="Cambria" w:cs="Cambria"/>
          <w:sz w:val="20"/>
          <w:szCs w:val="20"/>
        </w:rPr>
        <w:t>To declare that compliance with Clause Two of the friendly settlement agreement signed by the parties remains pending.</w:t>
      </w:r>
    </w:p>
    <w:p w:rsidR="00D0209E" w:rsidRPr="00D83798" w:rsidRDefault="00D0209E" w:rsidP="00321C2B">
      <w:pPr>
        <w:tabs>
          <w:tab w:val="left" w:pos="1260"/>
        </w:tabs>
        <w:jc w:val="both"/>
        <w:rPr>
          <w:rFonts w:ascii="Cambria" w:eastAsia="MS Mincho" w:hAnsi="Cambria"/>
          <w:sz w:val="20"/>
          <w:szCs w:val="20"/>
        </w:rPr>
      </w:pPr>
    </w:p>
    <w:p w:rsidR="00D0209E" w:rsidRPr="00D83798" w:rsidRDefault="00D0209E" w:rsidP="00321C2B">
      <w:pPr>
        <w:pStyle w:val="ListParagraph"/>
        <w:numPr>
          <w:ilvl w:val="0"/>
          <w:numId w:val="53"/>
        </w:numPr>
        <w:tabs>
          <w:tab w:val="left" w:pos="1260"/>
        </w:tabs>
        <w:ind w:left="0"/>
        <w:jc w:val="both"/>
        <w:rPr>
          <w:rFonts w:eastAsia="MS Mincho"/>
          <w:color w:val="auto"/>
          <w:sz w:val="20"/>
          <w:szCs w:val="20"/>
          <w:lang w:eastAsia="en-US"/>
        </w:rPr>
      </w:pPr>
      <w:r w:rsidRPr="00D83798">
        <w:rPr>
          <w:rFonts w:eastAsia="MS Mincho"/>
          <w:color w:val="auto"/>
          <w:sz w:val="20"/>
          <w:szCs w:val="20"/>
          <w:lang w:eastAsia="en-US"/>
        </w:rPr>
        <w:t>To continue to monitor all the State’s commitments that are still pending compliance. To that end, to remind the parties of their commitment to report to the IACHR on a regular basis regarding the implementation thereof.</w:t>
      </w:r>
    </w:p>
    <w:p w:rsidR="00D0209E" w:rsidRPr="00D83798" w:rsidRDefault="00D0209E" w:rsidP="00321C2B">
      <w:pPr>
        <w:tabs>
          <w:tab w:val="left" w:pos="1260"/>
        </w:tabs>
        <w:jc w:val="both"/>
        <w:rPr>
          <w:rFonts w:ascii="Cambria" w:eastAsia="MS Mincho" w:hAnsi="Cambria"/>
          <w:sz w:val="20"/>
          <w:szCs w:val="20"/>
        </w:rPr>
      </w:pPr>
    </w:p>
    <w:p w:rsidR="00D0209E" w:rsidRDefault="00D0209E" w:rsidP="00321C2B">
      <w:pPr>
        <w:numPr>
          <w:ilvl w:val="0"/>
          <w:numId w:val="53"/>
        </w:numPr>
        <w:tabs>
          <w:tab w:val="left" w:pos="1260"/>
          <w:tab w:val="left" w:pos="1440"/>
          <w:tab w:val="num" w:pos="3240"/>
        </w:tabs>
        <w:jc w:val="both"/>
        <w:rPr>
          <w:rFonts w:ascii="Cambria" w:eastAsia="MS Mincho" w:hAnsi="Cambria" w:cs="Cambria"/>
          <w:sz w:val="20"/>
          <w:szCs w:val="20"/>
        </w:rPr>
      </w:pPr>
      <w:r w:rsidRPr="00D83798">
        <w:rPr>
          <w:rFonts w:ascii="Cambria" w:eastAsia="MS Mincho" w:hAnsi="Cambria" w:cs="Cambria"/>
          <w:sz w:val="20"/>
          <w:szCs w:val="20"/>
        </w:rPr>
        <w:t>To publish this report and to include it in its Annual Report to the OAS General Assembly.</w:t>
      </w:r>
    </w:p>
    <w:p w:rsidR="008D375A" w:rsidRDefault="008D375A" w:rsidP="00ED612B">
      <w:pPr>
        <w:pStyle w:val="ListParagraph"/>
        <w:rPr>
          <w:rFonts w:eastAsia="MS Mincho"/>
          <w:sz w:val="20"/>
          <w:szCs w:val="20"/>
        </w:rPr>
      </w:pPr>
    </w:p>
    <w:p w:rsidR="008D375A" w:rsidRPr="00ED612B" w:rsidRDefault="008D375A" w:rsidP="008D375A">
      <w:pPr>
        <w:suppressAutoHyphens/>
        <w:ind w:firstLine="720"/>
        <w:jc w:val="both"/>
        <w:rPr>
          <w:rFonts w:ascii="Cambria" w:hAnsi="Cambria" w:cs="Cambria"/>
          <w:color w:val="000000"/>
          <w:sz w:val="20"/>
          <w:szCs w:val="20"/>
          <w:u w:color="000000"/>
          <w:lang w:eastAsia="es-ES"/>
        </w:rPr>
      </w:pPr>
      <w:r w:rsidRPr="00ED612B">
        <w:rPr>
          <w:rFonts w:ascii="Cambria" w:hAnsi="Cambria" w:cs="Cambria"/>
          <w:color w:val="000000"/>
          <w:sz w:val="20"/>
          <w:szCs w:val="20"/>
          <w:u w:color="000000"/>
          <w:lang w:eastAsia="es-ES"/>
        </w:rPr>
        <w:lastRenderedPageBreak/>
        <w:t>Done and signed</w:t>
      </w:r>
      <w:r w:rsidR="005679D0" w:rsidRPr="00ED612B">
        <w:rPr>
          <w:rFonts w:ascii="Cambria" w:hAnsi="Cambria" w:cs="Cambria"/>
          <w:color w:val="000000"/>
          <w:sz w:val="20"/>
          <w:szCs w:val="20"/>
          <w:u w:color="000000"/>
          <w:lang w:eastAsia="es-ES"/>
        </w:rPr>
        <w:t xml:space="preserve"> in the city of Panamá, on the 30</w:t>
      </w:r>
      <w:r w:rsidRPr="00ED612B">
        <w:rPr>
          <w:rFonts w:ascii="Cambria" w:hAnsi="Cambria" w:cs="Cambria"/>
          <w:color w:val="000000"/>
          <w:sz w:val="20"/>
          <w:szCs w:val="20"/>
          <w:u w:color="000000"/>
          <w:lang w:eastAsia="es-ES"/>
        </w:rPr>
        <w:t xml:space="preserve"> day</w:t>
      </w:r>
      <w:r w:rsidR="005679D0" w:rsidRPr="00ED612B">
        <w:rPr>
          <w:rFonts w:ascii="Cambria" w:hAnsi="Cambria" w:cs="Cambria"/>
          <w:color w:val="000000"/>
          <w:sz w:val="20"/>
          <w:szCs w:val="20"/>
          <w:u w:color="000000"/>
          <w:lang w:eastAsia="es-ES"/>
        </w:rPr>
        <w:t>s</w:t>
      </w:r>
      <w:r w:rsidRPr="00ED612B">
        <w:rPr>
          <w:rFonts w:ascii="Cambria" w:hAnsi="Cambria" w:cs="Cambria"/>
          <w:color w:val="000000"/>
          <w:sz w:val="20"/>
          <w:szCs w:val="20"/>
          <w:u w:color="000000"/>
          <w:lang w:eastAsia="es-ES"/>
        </w:rPr>
        <w:t xml:space="preserve"> of the month of </w:t>
      </w:r>
      <w:r w:rsidR="005679D0" w:rsidRPr="00ED612B">
        <w:rPr>
          <w:rFonts w:ascii="Cambria" w:hAnsi="Cambria" w:cs="Cambria"/>
          <w:color w:val="000000"/>
          <w:sz w:val="20"/>
          <w:szCs w:val="20"/>
          <w:u w:color="000000"/>
          <w:lang w:eastAsia="es-ES"/>
        </w:rPr>
        <w:t>November</w:t>
      </w:r>
      <w:r w:rsidRPr="00ED612B">
        <w:rPr>
          <w:rFonts w:ascii="Cambria" w:hAnsi="Cambria" w:cs="Cambria"/>
          <w:color w:val="000000"/>
          <w:sz w:val="20"/>
          <w:szCs w:val="20"/>
          <w:u w:color="000000"/>
          <w:lang w:eastAsia="es-ES"/>
        </w:rPr>
        <w:t>, 2016.</w:t>
      </w:r>
      <w:r w:rsidR="005679D0" w:rsidRPr="00ED612B">
        <w:rPr>
          <w:rFonts w:ascii="Cambria" w:hAnsi="Cambria" w:cs="Cambria"/>
          <w:color w:val="000000"/>
          <w:sz w:val="20"/>
          <w:szCs w:val="20"/>
          <w:u w:color="000000"/>
          <w:lang w:eastAsia="es-ES"/>
        </w:rPr>
        <w:t xml:space="preserve"> (Signed): </w:t>
      </w:r>
      <w:r w:rsidRPr="00ED612B">
        <w:rPr>
          <w:rFonts w:ascii="Cambria" w:hAnsi="Cambria" w:cs="Cambria"/>
          <w:color w:val="000000"/>
          <w:sz w:val="20"/>
          <w:szCs w:val="20"/>
          <w:u w:color="000000"/>
          <w:lang w:eastAsia="es-ES"/>
        </w:rPr>
        <w:t xml:space="preserve">James L. Cavallaro, President; Margarette May Macaulay, Second Vice President; José de Jesús Orozco Henríquez, Paulo </w:t>
      </w:r>
      <w:r w:rsidR="005679D0" w:rsidRPr="00ED612B">
        <w:rPr>
          <w:rFonts w:ascii="Cambria" w:hAnsi="Cambria" w:cs="Cambria"/>
          <w:color w:val="000000"/>
          <w:sz w:val="20"/>
          <w:szCs w:val="20"/>
          <w:u w:color="000000"/>
          <w:lang w:eastAsia="es-ES"/>
        </w:rPr>
        <w:t>Vannuchi,</w:t>
      </w:r>
      <w:r w:rsidRPr="00ED612B">
        <w:rPr>
          <w:rFonts w:ascii="Cambria" w:hAnsi="Cambria" w:cs="Cambria"/>
          <w:color w:val="000000"/>
          <w:sz w:val="20"/>
          <w:szCs w:val="20"/>
          <w:u w:color="000000"/>
          <w:lang w:eastAsia="es-ES"/>
        </w:rPr>
        <w:t xml:space="preserve"> Esmeralda E. Arosema Bernal de Troitiño</w:t>
      </w:r>
      <w:r w:rsidR="005679D0" w:rsidRPr="00ED612B">
        <w:rPr>
          <w:rFonts w:ascii="Cambria" w:hAnsi="Cambria" w:cs="Cambria"/>
          <w:color w:val="000000"/>
          <w:sz w:val="20"/>
          <w:szCs w:val="20"/>
          <w:u w:color="000000"/>
          <w:lang w:eastAsia="es-ES"/>
        </w:rPr>
        <w:t xml:space="preserve"> and Enrique Gil Botero, </w:t>
      </w:r>
      <w:r w:rsidRPr="00ED612B">
        <w:rPr>
          <w:rFonts w:ascii="Cambria" w:hAnsi="Cambria" w:cs="Cambria"/>
          <w:color w:val="000000"/>
          <w:sz w:val="20"/>
          <w:szCs w:val="20"/>
          <w:u w:color="000000"/>
          <w:lang w:eastAsia="es-ES"/>
        </w:rPr>
        <w:t>Commissioners.</w:t>
      </w:r>
    </w:p>
    <w:p w:rsidR="008D375A" w:rsidRPr="00ED612B" w:rsidRDefault="008D375A" w:rsidP="008D375A">
      <w:pPr>
        <w:tabs>
          <w:tab w:val="left" w:pos="2820"/>
        </w:tabs>
        <w:suppressAutoHyphens/>
        <w:ind w:firstLine="720"/>
        <w:jc w:val="both"/>
        <w:rPr>
          <w:rFonts w:ascii="Cambria" w:hAnsi="Cambria" w:cs="Cambria"/>
          <w:color w:val="000000"/>
          <w:sz w:val="20"/>
          <w:szCs w:val="20"/>
          <w:u w:color="000000"/>
          <w:lang w:eastAsia="es-ES"/>
        </w:rPr>
      </w:pPr>
    </w:p>
    <w:p w:rsidR="00D0209E" w:rsidRPr="00D43E5E" w:rsidRDefault="00D0209E" w:rsidP="00E1721A">
      <w:pPr>
        <w:ind w:firstLine="720"/>
        <w:jc w:val="both"/>
        <w:rPr>
          <w:rFonts w:ascii="Cambria" w:hAnsi="Cambria" w:cs="Cambria"/>
          <w:sz w:val="20"/>
          <w:szCs w:val="20"/>
          <w:lang w:val="pt-BR"/>
          <w:rPrChange w:id="1" w:author="Author" w:date="2016-12-19T16:17:00Z">
            <w:rPr>
              <w:rFonts w:ascii="Cambria" w:hAnsi="Cambria" w:cs="Cambria"/>
              <w:sz w:val="20"/>
              <w:szCs w:val="20"/>
            </w:rPr>
          </w:rPrChange>
        </w:rPr>
        <w:pPrChange w:id="2" w:author="Author" w:date="2016-12-21T09:11:00Z">
          <w:pPr>
            <w:tabs>
              <w:tab w:val="center" w:pos="5400"/>
            </w:tabs>
            <w:suppressAutoHyphens/>
            <w:spacing w:line="276" w:lineRule="auto"/>
            <w:jc w:val="center"/>
          </w:pPr>
        </w:pPrChange>
      </w:pPr>
    </w:p>
    <w:sectPr w:rsidR="00D0209E" w:rsidRPr="00D43E5E" w:rsidSect="001C070E">
      <w:headerReference w:type="default" r:id="rId16"/>
      <w:footerReference w:type="defaul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792" w:rsidRDefault="005F0792" w:rsidP="00654FAA">
      <w:r>
        <w:separator/>
      </w:r>
    </w:p>
  </w:endnote>
  <w:endnote w:type="continuationSeparator" w:id="0">
    <w:p w:rsidR="005F0792" w:rsidRDefault="005F0792" w:rsidP="0065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12B" w:rsidRDefault="00ED61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09E" w:rsidRPr="00321C2B" w:rsidRDefault="00D0209E">
    <w:pPr>
      <w:pStyle w:val="Footer"/>
      <w:jc w:val="center"/>
      <w:rPr>
        <w:noProof/>
        <w:sz w:val="16"/>
        <w:szCs w:val="16"/>
      </w:rPr>
    </w:pPr>
    <w:r w:rsidRPr="00321C2B">
      <w:rPr>
        <w:noProof/>
        <w:sz w:val="16"/>
        <w:szCs w:val="16"/>
      </w:rPr>
      <w:fldChar w:fldCharType="begin"/>
    </w:r>
    <w:r w:rsidRPr="00321C2B">
      <w:rPr>
        <w:noProof/>
        <w:sz w:val="16"/>
        <w:szCs w:val="16"/>
      </w:rPr>
      <w:instrText xml:space="preserve"> PAGE   \* MERGEFORMAT </w:instrText>
    </w:r>
    <w:r w:rsidRPr="00321C2B">
      <w:rPr>
        <w:noProof/>
        <w:sz w:val="16"/>
        <w:szCs w:val="16"/>
      </w:rPr>
      <w:fldChar w:fldCharType="separate"/>
    </w:r>
    <w:r w:rsidR="00ED612B">
      <w:rPr>
        <w:noProof/>
        <w:sz w:val="16"/>
        <w:szCs w:val="16"/>
      </w:rPr>
      <w:t>1</w:t>
    </w:r>
    <w:r w:rsidRPr="00321C2B">
      <w:rPr>
        <w:noProof/>
        <w:sz w:val="16"/>
        <w:szCs w:val="16"/>
      </w:rPr>
      <w:fldChar w:fldCharType="end"/>
    </w:r>
  </w:p>
  <w:p w:rsidR="00D0209E" w:rsidRPr="00321C2B" w:rsidRDefault="00D0209E">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09E" w:rsidRPr="00321C2B" w:rsidRDefault="00D0209E">
    <w:pPr>
      <w:pStyle w:val="Footer"/>
      <w:jc w:val="center"/>
      <w:rPr>
        <w:noProof/>
      </w:rPr>
    </w:pPr>
  </w:p>
  <w:p w:rsidR="00D0209E" w:rsidRPr="00321C2B" w:rsidRDefault="00D0209E">
    <w:pPr>
      <w:pStyle w:val="Footer"/>
      <w:rPr>
        <w:noProo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09E" w:rsidRPr="00321C2B" w:rsidRDefault="00D0209E">
    <w:pPr>
      <w:pStyle w:val="Footer"/>
      <w:jc w:val="center"/>
      <w:rPr>
        <w:noProof/>
        <w:sz w:val="16"/>
        <w:szCs w:val="16"/>
      </w:rPr>
    </w:pPr>
    <w:r w:rsidRPr="00321C2B">
      <w:rPr>
        <w:noProof/>
        <w:sz w:val="16"/>
        <w:szCs w:val="16"/>
      </w:rPr>
      <w:fldChar w:fldCharType="begin"/>
    </w:r>
    <w:r w:rsidRPr="00321C2B">
      <w:rPr>
        <w:noProof/>
        <w:sz w:val="16"/>
        <w:szCs w:val="16"/>
      </w:rPr>
      <w:instrText xml:space="preserve"> PAGE   \* MERGEFORMAT </w:instrText>
    </w:r>
    <w:r w:rsidRPr="00321C2B">
      <w:rPr>
        <w:noProof/>
        <w:sz w:val="16"/>
        <w:szCs w:val="16"/>
      </w:rPr>
      <w:fldChar w:fldCharType="separate"/>
    </w:r>
    <w:r w:rsidR="00ED612B">
      <w:rPr>
        <w:noProof/>
        <w:sz w:val="16"/>
        <w:szCs w:val="16"/>
      </w:rPr>
      <w:t>6</w:t>
    </w:r>
    <w:r w:rsidRPr="00321C2B">
      <w:rPr>
        <w:noProof/>
        <w:sz w:val="16"/>
        <w:szCs w:val="16"/>
      </w:rPr>
      <w:fldChar w:fldCharType="end"/>
    </w:r>
  </w:p>
  <w:p w:rsidR="00D0209E" w:rsidRPr="00321C2B" w:rsidRDefault="00D0209E">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792" w:rsidRPr="00321C2B" w:rsidRDefault="005F0792" w:rsidP="00036A8A">
      <w:pPr>
        <w:rPr>
          <w:rFonts w:ascii="Cambria" w:hAnsi="Cambria" w:cs="Cambria"/>
          <w:noProof/>
          <w:sz w:val="16"/>
          <w:szCs w:val="16"/>
        </w:rPr>
      </w:pPr>
      <w:r w:rsidRPr="00321C2B">
        <w:rPr>
          <w:rFonts w:ascii="Cambria" w:hAnsi="Cambria" w:cs="Cambria"/>
          <w:noProof/>
          <w:sz w:val="16"/>
          <w:szCs w:val="16"/>
        </w:rPr>
        <w:separator/>
      </w:r>
    </w:p>
  </w:footnote>
  <w:footnote w:type="continuationSeparator" w:id="0">
    <w:p w:rsidR="005F0792" w:rsidRPr="00321C2B" w:rsidRDefault="005F0792" w:rsidP="00036A8A">
      <w:pPr>
        <w:rPr>
          <w:rFonts w:ascii="Cambria" w:hAnsi="Cambria" w:cs="Cambria"/>
          <w:noProof/>
          <w:sz w:val="16"/>
          <w:szCs w:val="16"/>
        </w:rPr>
      </w:pPr>
      <w:r w:rsidRPr="00321C2B">
        <w:rPr>
          <w:rFonts w:ascii="Cambria" w:hAnsi="Cambria" w:cs="Cambria"/>
          <w:noProof/>
          <w:sz w:val="16"/>
          <w:szCs w:val="16"/>
        </w:rPr>
        <w:separator/>
      </w:r>
    </w:p>
    <w:p w:rsidR="005F0792" w:rsidRPr="00321C2B" w:rsidRDefault="005F0792" w:rsidP="00036A8A">
      <w:pPr>
        <w:pStyle w:val="Footer"/>
        <w:rPr>
          <w:noProof/>
          <w:sz w:val="16"/>
          <w:szCs w:val="16"/>
        </w:rPr>
      </w:pPr>
      <w:r w:rsidRPr="00321C2B">
        <w:rPr>
          <w:noProof/>
          <w:sz w:val="16"/>
          <w:szCs w:val="16"/>
        </w:rPr>
        <w:t>[… continuation]</w:t>
      </w:r>
    </w:p>
  </w:footnote>
  <w:footnote w:id="1">
    <w:p w:rsidR="00D0209E" w:rsidRDefault="00D0209E" w:rsidP="00321C2B">
      <w:pPr>
        <w:pStyle w:val="FootnoteText"/>
        <w:tabs>
          <w:tab w:val="left" w:pos="720"/>
        </w:tabs>
        <w:spacing w:after="120"/>
        <w:ind w:firstLine="360"/>
      </w:pPr>
      <w:r w:rsidRPr="00B70599">
        <w:rPr>
          <w:rStyle w:val="FootnoteReference"/>
          <w:sz w:val="16"/>
          <w:szCs w:val="16"/>
        </w:rPr>
        <w:footnoteRef/>
      </w:r>
      <w:r w:rsidRPr="00B70599">
        <w:rPr>
          <w:sz w:val="16"/>
          <w:szCs w:val="16"/>
        </w:rPr>
        <w:t xml:space="preserve"> </w:t>
      </w:r>
      <w:r w:rsidRPr="00B70599">
        <w:rPr>
          <w:sz w:val="16"/>
          <w:szCs w:val="16"/>
        </w:rPr>
        <w:tab/>
      </w:r>
      <w:r w:rsidRPr="00B70599">
        <w:rPr>
          <w:rFonts w:ascii="Cambria" w:hAnsi="Cambria" w:cs="Cambria"/>
          <w:sz w:val="16"/>
          <w:szCs w:val="16"/>
        </w:rPr>
        <w:t>Commissioner Francisco José Eguiguren Praeli, a Peruvian national, did not participate in the discussion and decision of this case in compliance with Article 17.2.a of the IACHR</w:t>
      </w:r>
      <w:r>
        <w:rPr>
          <w:rFonts w:ascii="Cambria" w:hAnsi="Cambria" w:cs="Cambria"/>
          <w:sz w:val="16"/>
          <w:szCs w:val="16"/>
        </w:rPr>
        <w:t>’</w:t>
      </w:r>
      <w:r w:rsidRPr="00B70599">
        <w:rPr>
          <w:rFonts w:ascii="Cambria" w:hAnsi="Cambria" w:cs="Cambria"/>
          <w:sz w:val="16"/>
          <w:szCs w:val="16"/>
        </w:rPr>
        <w:t>s Rules of Procedure.</w:t>
      </w:r>
    </w:p>
  </w:footnote>
  <w:footnote w:id="2">
    <w:p w:rsidR="00D0209E" w:rsidRDefault="00D0209E" w:rsidP="00321C2B">
      <w:pPr>
        <w:pStyle w:val="FootnoteText"/>
        <w:tabs>
          <w:tab w:val="left" w:pos="720"/>
        </w:tabs>
        <w:spacing w:after="120"/>
        <w:ind w:firstLine="360"/>
        <w:jc w:val="both"/>
      </w:pPr>
      <w:r w:rsidRPr="00B70599">
        <w:rPr>
          <w:rStyle w:val="FootnoteReference"/>
          <w:rFonts w:ascii="Cambria" w:hAnsi="Cambria" w:cs="Cambria"/>
          <w:sz w:val="16"/>
          <w:szCs w:val="16"/>
        </w:rPr>
        <w:footnoteRef/>
      </w:r>
      <w:r w:rsidRPr="00B70599">
        <w:rPr>
          <w:rFonts w:ascii="Cambria" w:hAnsi="Cambria" w:cs="Cambria"/>
          <w:sz w:val="16"/>
          <w:szCs w:val="16"/>
        </w:rPr>
        <w:t xml:space="preserve"> </w:t>
      </w:r>
      <w:r w:rsidRPr="00B70599">
        <w:rPr>
          <w:rFonts w:ascii="Cambria" w:hAnsi="Cambria" w:cs="Cambria"/>
          <w:sz w:val="16"/>
          <w:szCs w:val="16"/>
        </w:rPr>
        <w:tab/>
        <w:t xml:space="preserve">Vienna Convention on the Law of Treaties, U.N. Doc A/CONF.39/27 (1969), Article 26: </w:t>
      </w:r>
      <w:r w:rsidRPr="004A3E2B">
        <w:rPr>
          <w:rFonts w:ascii="Cambria" w:hAnsi="Cambria" w:cs="Cambria"/>
          <w:sz w:val="16"/>
          <w:szCs w:val="16"/>
        </w:rPr>
        <w:t>“</w:t>
      </w:r>
      <w:r w:rsidRPr="00B70599">
        <w:rPr>
          <w:rFonts w:ascii="Cambria" w:hAnsi="Cambria" w:cs="Cambria"/>
          <w:b/>
          <w:bCs/>
          <w:sz w:val="16"/>
          <w:szCs w:val="16"/>
        </w:rPr>
        <w:t>Pacta sunt servanda.</w:t>
      </w:r>
      <w:r w:rsidRPr="00B70599">
        <w:rPr>
          <w:rFonts w:ascii="Cambria" w:hAnsi="Cambria" w:cs="Cambria"/>
          <w:sz w:val="16"/>
          <w:szCs w:val="16"/>
        </w:rPr>
        <w:t xml:space="preserve"> </w:t>
      </w:r>
      <w:r w:rsidRPr="00B70599">
        <w:rPr>
          <w:rFonts w:ascii="Cambria" w:hAnsi="Cambria" w:cs="Cambria"/>
          <w:i/>
          <w:iCs/>
          <w:sz w:val="16"/>
          <w:szCs w:val="16"/>
        </w:rPr>
        <w:t>Every treaty in force is binding upon the parties to it and must be performed by them in good faith</w:t>
      </w:r>
      <w:r w:rsidRPr="00B70599">
        <w:rPr>
          <w:rFonts w:ascii="Cambria" w:hAnsi="Cambria" w:cs="Cambria"/>
          <w:sz w:val="16"/>
          <w:szCs w:val="16"/>
        </w:rPr>
        <w:t>.</w:t>
      </w:r>
      <w:r>
        <w:rPr>
          <w:rFonts w:ascii="Cambria" w:hAnsi="Cambria" w:cs="Cambri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12B" w:rsidRDefault="00ED6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09E" w:rsidRPr="00321C2B" w:rsidRDefault="00905B1A" w:rsidP="002C1641">
    <w:pPr>
      <w:pStyle w:val="Header"/>
      <w:tabs>
        <w:tab w:val="clear" w:pos="4320"/>
        <w:tab w:val="clear" w:pos="8640"/>
      </w:tabs>
      <w:jc w:val="center"/>
      <w:rPr>
        <w:rFonts w:cs="Times New Roman"/>
        <w:noProof/>
        <w:sz w:val="22"/>
        <w:szCs w:val="22"/>
      </w:rPr>
    </w:pPr>
    <w:r>
      <w:rPr>
        <w:rFonts w:cs="Times New Roman"/>
        <w:noProof/>
        <w:sz w:val="22"/>
        <w:szCs w:val="22"/>
      </w:rPr>
      <w:drawing>
        <wp:inline distT="0" distB="0" distL="0" distR="0">
          <wp:extent cx="2133600" cy="114300"/>
          <wp:effectExtent l="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14300"/>
                  </a:xfrm>
                  <a:prstGeom prst="rect">
                    <a:avLst/>
                  </a:prstGeom>
                  <a:noFill/>
                  <a:ln>
                    <a:noFill/>
                  </a:ln>
                </pic:spPr>
              </pic:pic>
            </a:graphicData>
          </a:graphic>
        </wp:inline>
      </w:drawing>
    </w:r>
  </w:p>
  <w:p w:rsidR="00D0209E" w:rsidRPr="00321C2B" w:rsidRDefault="005F0792" w:rsidP="002C1641">
    <w:pPr>
      <w:pStyle w:val="Header"/>
      <w:tabs>
        <w:tab w:val="clear" w:pos="4320"/>
        <w:tab w:val="clear" w:pos="8640"/>
      </w:tabs>
      <w:jc w:val="center"/>
      <w:rPr>
        <w:rFonts w:cs="Times New Roman"/>
        <w:noProof/>
        <w:sz w:val="22"/>
        <w:szCs w:val="22"/>
      </w:rPr>
    </w:pPr>
    <w:r>
      <w:rPr>
        <w:rFonts w:cs="Times New Roman"/>
        <w:noProof/>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12B" w:rsidRDefault="00ED61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09E" w:rsidRPr="00321C2B" w:rsidRDefault="00905B1A" w:rsidP="002C1641">
    <w:pPr>
      <w:pStyle w:val="Header"/>
      <w:tabs>
        <w:tab w:val="clear" w:pos="4320"/>
        <w:tab w:val="clear" w:pos="8640"/>
      </w:tabs>
      <w:jc w:val="center"/>
      <w:rPr>
        <w:rFonts w:cs="Times New Roman"/>
        <w:noProof/>
        <w:sz w:val="22"/>
        <w:szCs w:val="22"/>
      </w:rPr>
    </w:pPr>
    <w:r>
      <w:rPr>
        <w:rFonts w:cs="Times New Roman"/>
        <w:noProof/>
        <w:sz w:val="22"/>
        <w:szCs w:val="22"/>
      </w:rPr>
      <w:drawing>
        <wp:inline distT="0" distB="0" distL="0" distR="0">
          <wp:extent cx="21336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14300"/>
                  </a:xfrm>
                  <a:prstGeom prst="rect">
                    <a:avLst/>
                  </a:prstGeom>
                  <a:noFill/>
                  <a:ln>
                    <a:noFill/>
                  </a:ln>
                </pic:spPr>
              </pic:pic>
            </a:graphicData>
          </a:graphic>
        </wp:inline>
      </w:drawing>
    </w:r>
  </w:p>
  <w:p w:rsidR="00D0209E" w:rsidRPr="00321C2B" w:rsidRDefault="005F0792" w:rsidP="002C1641">
    <w:pPr>
      <w:pStyle w:val="Header"/>
      <w:tabs>
        <w:tab w:val="clear" w:pos="4320"/>
        <w:tab w:val="clear" w:pos="8640"/>
      </w:tabs>
      <w:jc w:val="center"/>
      <w:rPr>
        <w:rFonts w:cs="Times New Roman"/>
        <w:noProof/>
        <w:sz w:val="22"/>
        <w:szCs w:val="22"/>
      </w:rPr>
    </w:pPr>
    <w:r>
      <w:rPr>
        <w:rFonts w:cs="Times New Roman"/>
        <w:noProof/>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4">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decimal"/>
      <w:lvlText w:val="%1.%2."/>
      <w:lvlJc w:val="left"/>
      <w:pPr>
        <w:tabs>
          <w:tab w:val="num" w:pos="690"/>
        </w:tabs>
        <w:ind w:left="690" w:hanging="330"/>
      </w:pPr>
      <w:rPr>
        <w:rFonts w:ascii="Calibri" w:eastAsia="Times New Roman" w:hAnsi="Calibri"/>
        <w:b/>
        <w:bCs/>
        <w:color w:val="000000"/>
        <w:position w:val="0"/>
        <w:sz w:val="22"/>
        <w:szCs w:val="22"/>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rPr>
    </w:lvl>
  </w:abstractNum>
  <w:abstractNum w:abstractNumId="6">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7">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8">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9">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1">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2">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3">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4">
    <w:nsid w:val="29B9563A"/>
    <w:multiLevelType w:val="hybridMultilevel"/>
    <w:tmpl w:val="574A3BDE"/>
    <w:lvl w:ilvl="0" w:tplc="13DE9D7C">
      <w:start w:val="1"/>
      <w:numFmt w:val="decimal"/>
      <w:lvlText w:val="%1."/>
      <w:lvlJc w:val="left"/>
      <w:pPr>
        <w:tabs>
          <w:tab w:val="num" w:pos="720"/>
        </w:tabs>
        <w:ind w:firstLine="720"/>
      </w:pPr>
      <w:rPr>
        <w:vanish w:val="0"/>
        <w:color w:val="auto"/>
      </w:rPr>
    </w:lvl>
    <w:lvl w:ilvl="1" w:tplc="59768696">
      <w:start w:val="1"/>
      <w:numFmt w:val="lowerLetter"/>
      <w:lvlText w:val="%2."/>
      <w:lvlJc w:val="left"/>
      <w:pPr>
        <w:tabs>
          <w:tab w:val="num" w:pos="1440"/>
        </w:tabs>
        <w:ind w:left="1440" w:hanging="360"/>
      </w:pPr>
    </w:lvl>
    <w:lvl w:ilvl="2" w:tplc="A0126312">
      <w:start w:val="1"/>
      <w:numFmt w:val="lowerRoman"/>
      <w:lvlText w:val="%3."/>
      <w:lvlJc w:val="right"/>
      <w:pPr>
        <w:tabs>
          <w:tab w:val="num" w:pos="2160"/>
        </w:tabs>
        <w:ind w:left="2160" w:hanging="180"/>
      </w:pPr>
    </w:lvl>
    <w:lvl w:ilvl="3" w:tplc="2D42C726">
      <w:start w:val="1"/>
      <w:numFmt w:val="decimal"/>
      <w:lvlText w:val="%4."/>
      <w:lvlJc w:val="left"/>
      <w:pPr>
        <w:tabs>
          <w:tab w:val="num" w:pos="2880"/>
        </w:tabs>
        <w:ind w:left="2880" w:hanging="360"/>
      </w:pPr>
    </w:lvl>
    <w:lvl w:ilvl="4" w:tplc="B5F06962">
      <w:start w:val="1"/>
      <w:numFmt w:val="lowerLetter"/>
      <w:lvlText w:val="%5."/>
      <w:lvlJc w:val="left"/>
      <w:pPr>
        <w:tabs>
          <w:tab w:val="num" w:pos="3600"/>
        </w:tabs>
        <w:ind w:left="3600" w:hanging="360"/>
      </w:pPr>
    </w:lvl>
    <w:lvl w:ilvl="5" w:tplc="539AD5FA">
      <w:start w:val="1"/>
      <w:numFmt w:val="lowerRoman"/>
      <w:lvlText w:val="%6."/>
      <w:lvlJc w:val="right"/>
      <w:pPr>
        <w:tabs>
          <w:tab w:val="num" w:pos="4320"/>
        </w:tabs>
        <w:ind w:left="4320" w:hanging="180"/>
      </w:pPr>
    </w:lvl>
    <w:lvl w:ilvl="6" w:tplc="73F4DEFC">
      <w:start w:val="1"/>
      <w:numFmt w:val="decimal"/>
      <w:lvlText w:val="%7."/>
      <w:lvlJc w:val="left"/>
      <w:pPr>
        <w:tabs>
          <w:tab w:val="num" w:pos="5040"/>
        </w:tabs>
        <w:ind w:left="5040" w:hanging="360"/>
      </w:pPr>
    </w:lvl>
    <w:lvl w:ilvl="7" w:tplc="025CCE00">
      <w:start w:val="1"/>
      <w:numFmt w:val="lowerLetter"/>
      <w:lvlText w:val="%8."/>
      <w:lvlJc w:val="left"/>
      <w:pPr>
        <w:tabs>
          <w:tab w:val="num" w:pos="5760"/>
        </w:tabs>
        <w:ind w:left="5760" w:hanging="360"/>
      </w:pPr>
    </w:lvl>
    <w:lvl w:ilvl="8" w:tplc="71E6E02C">
      <w:start w:val="1"/>
      <w:numFmt w:val="lowerRoman"/>
      <w:lvlText w:val="%9."/>
      <w:lvlJc w:val="right"/>
      <w:pPr>
        <w:tabs>
          <w:tab w:val="num" w:pos="6480"/>
        </w:tabs>
        <w:ind w:left="6480" w:hanging="180"/>
      </w:pPr>
    </w:lvl>
  </w:abstractNum>
  <w:abstractNum w:abstractNumId="15">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6">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7">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8">
    <w:nsid w:val="30AD25E8"/>
    <w:multiLevelType w:val="hybridMultilevel"/>
    <w:tmpl w:val="0E8C663C"/>
    <w:lvl w:ilvl="0" w:tplc="87623E9A">
      <w:start w:val="1"/>
      <w:numFmt w:val="upperRoman"/>
      <w:lvlText w:val="%1."/>
      <w:lvlJc w:val="left"/>
      <w:pPr>
        <w:tabs>
          <w:tab w:val="num" w:pos="-1080"/>
        </w:tabs>
        <w:ind w:left="-1080" w:hanging="720"/>
      </w:pPr>
      <w:rPr>
        <w:vanish w:val="0"/>
      </w:rPr>
    </w:lvl>
    <w:lvl w:ilvl="1" w:tplc="DB54B858">
      <w:start w:val="1"/>
      <w:numFmt w:val="lowerRoman"/>
      <w:lvlText w:val="%2."/>
      <w:lvlJc w:val="left"/>
      <w:pPr>
        <w:tabs>
          <w:tab w:val="num" w:pos="-360"/>
        </w:tabs>
        <w:ind w:left="-360" w:hanging="720"/>
      </w:pPr>
    </w:lvl>
    <w:lvl w:ilvl="2" w:tplc="91E69EDA">
      <w:start w:val="1"/>
      <w:numFmt w:val="decimal"/>
      <w:lvlText w:val="%3."/>
      <w:lvlJc w:val="left"/>
      <w:pPr>
        <w:tabs>
          <w:tab w:val="num" w:pos="180"/>
        </w:tabs>
        <w:ind w:left="180" w:hanging="360"/>
      </w:pPr>
    </w:lvl>
    <w:lvl w:ilvl="3" w:tplc="79149622">
      <w:start w:val="2"/>
      <w:numFmt w:val="decimal"/>
      <w:lvlText w:val="%4."/>
      <w:lvlJc w:val="left"/>
      <w:pPr>
        <w:tabs>
          <w:tab w:val="num" w:pos="720"/>
        </w:tabs>
        <w:ind w:left="720" w:hanging="360"/>
      </w:pPr>
    </w:lvl>
    <w:lvl w:ilvl="4" w:tplc="37949474">
      <w:numFmt w:val="bullet"/>
      <w:lvlText w:val="•"/>
      <w:lvlJc w:val="left"/>
      <w:pPr>
        <w:ind w:left="1440" w:hanging="360"/>
      </w:pPr>
      <w:rPr>
        <w:rFonts w:ascii="Cambria" w:eastAsia="Times New Roman" w:hAnsi="Cambria" w:hint="default"/>
      </w:rPr>
    </w:lvl>
    <w:lvl w:ilvl="5" w:tplc="D3E203AA">
      <w:start w:val="1"/>
      <w:numFmt w:val="lowerRoman"/>
      <w:lvlText w:val="%6."/>
      <w:lvlJc w:val="right"/>
      <w:pPr>
        <w:tabs>
          <w:tab w:val="num" w:pos="2160"/>
        </w:tabs>
        <w:ind w:left="2160" w:hanging="180"/>
      </w:pPr>
    </w:lvl>
    <w:lvl w:ilvl="6" w:tplc="0756EBBE">
      <w:start w:val="1"/>
      <w:numFmt w:val="decimal"/>
      <w:lvlText w:val="%7."/>
      <w:lvlJc w:val="left"/>
      <w:pPr>
        <w:tabs>
          <w:tab w:val="num" w:pos="2880"/>
        </w:tabs>
        <w:ind w:left="2880" w:hanging="360"/>
      </w:pPr>
    </w:lvl>
    <w:lvl w:ilvl="7" w:tplc="9D60DA48">
      <w:start w:val="1"/>
      <w:numFmt w:val="lowerLetter"/>
      <w:lvlText w:val="%8."/>
      <w:lvlJc w:val="left"/>
      <w:pPr>
        <w:tabs>
          <w:tab w:val="num" w:pos="3600"/>
        </w:tabs>
        <w:ind w:left="3600" w:hanging="360"/>
      </w:pPr>
    </w:lvl>
    <w:lvl w:ilvl="8" w:tplc="7FE85FF4">
      <w:start w:val="1"/>
      <w:numFmt w:val="lowerRoman"/>
      <w:lvlText w:val="%9."/>
      <w:lvlJc w:val="right"/>
      <w:pPr>
        <w:tabs>
          <w:tab w:val="num" w:pos="4320"/>
        </w:tabs>
        <w:ind w:left="4320" w:hanging="180"/>
      </w:pPr>
    </w:lvl>
  </w:abstractNum>
  <w:abstractNum w:abstractNumId="19">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2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1">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2">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3">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4">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25">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26">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7">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8">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bullet"/>
      <w:lvlText w:val="•"/>
      <w:lvlJc w:val="left"/>
      <w:pPr>
        <w:tabs>
          <w:tab w:val="num" w:pos="1740"/>
        </w:tabs>
        <w:ind w:left="1740" w:hanging="66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9">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770"/>
        </w:tabs>
        <w:ind w:left="177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495"/>
        </w:tabs>
        <w:ind w:left="2495" w:hanging="271"/>
      </w:pPr>
      <w:rPr>
        <w:rFonts w:ascii="Calibri" w:eastAsia="Times New Roman" w:hAnsi="Calibri"/>
        <w:b/>
        <w:bCs/>
        <w:color w:val="000000"/>
        <w:position w:val="0"/>
        <w:sz w:val="22"/>
        <w:szCs w:val="22"/>
        <w:u w:val="single"/>
      </w:rPr>
    </w:lvl>
    <w:lvl w:ilvl="3">
      <w:start w:val="1"/>
      <w:numFmt w:val="decimal"/>
      <w:lvlText w:val="%4."/>
      <w:lvlJc w:val="left"/>
      <w:pPr>
        <w:tabs>
          <w:tab w:val="num" w:pos="3210"/>
        </w:tabs>
        <w:ind w:left="321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930"/>
        </w:tabs>
        <w:ind w:left="393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655"/>
        </w:tabs>
        <w:ind w:left="465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370"/>
        </w:tabs>
        <w:ind w:left="537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6090"/>
        </w:tabs>
        <w:ind w:left="609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815"/>
        </w:tabs>
        <w:ind w:left="6815" w:hanging="271"/>
      </w:pPr>
      <w:rPr>
        <w:rFonts w:ascii="Calibri" w:eastAsia="Times New Roman" w:hAnsi="Calibri"/>
        <w:b/>
        <w:bCs/>
        <w:color w:val="000000"/>
        <w:position w:val="0"/>
        <w:sz w:val="22"/>
        <w:szCs w:val="22"/>
        <w:u w:val="single"/>
      </w:rPr>
    </w:lvl>
  </w:abstractNum>
  <w:abstractNum w:abstractNumId="32">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720"/>
        </w:tabs>
        <w:ind w:left="720" w:hanging="360"/>
      </w:pPr>
      <w:rPr>
        <w:rFonts w:ascii="Trebuchet MS" w:eastAsia="Times New Roman" w:hAnsi="Trebuchet MS"/>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3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5">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38">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1">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b/>
        <w:bCs/>
        <w:color w:val="000000"/>
        <w:position w:val="0"/>
        <w:sz w:val="22"/>
        <w:szCs w:val="22"/>
        <w:u w:val="single"/>
      </w:rPr>
    </w:lvl>
    <w:lvl w:ilvl="1">
      <w:start w:val="2"/>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4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3">
    <w:nsid w:val="70786ED7"/>
    <w:multiLevelType w:val="hybridMultilevel"/>
    <w:tmpl w:val="0004DB54"/>
    <w:lvl w:ilvl="0" w:tplc="AF3883AA">
      <w:start w:val="1"/>
      <w:numFmt w:val="upperRoman"/>
      <w:pStyle w:val="Heading1"/>
      <w:lvlText w:val="%1."/>
      <w:lvlJc w:val="left"/>
      <w:pPr>
        <w:ind w:left="720" w:hanging="360"/>
      </w:pPr>
      <w:rPr>
        <w:rFonts w:hint="default"/>
      </w:rPr>
    </w:lvl>
    <w:lvl w:ilvl="1" w:tplc="AE0C81E4">
      <w:start w:val="1"/>
      <w:numFmt w:val="lowerLetter"/>
      <w:lvlText w:val="%2."/>
      <w:lvlJc w:val="left"/>
      <w:pPr>
        <w:ind w:left="1440" w:hanging="360"/>
      </w:pPr>
    </w:lvl>
    <w:lvl w:ilvl="2" w:tplc="A88C8C26">
      <w:start w:val="1"/>
      <w:numFmt w:val="lowerRoman"/>
      <w:lvlText w:val="%3."/>
      <w:lvlJc w:val="right"/>
      <w:pPr>
        <w:ind w:left="2160" w:hanging="180"/>
      </w:pPr>
    </w:lvl>
    <w:lvl w:ilvl="3" w:tplc="209C53DE">
      <w:start w:val="1"/>
      <w:numFmt w:val="decimal"/>
      <w:lvlText w:val="%4."/>
      <w:lvlJc w:val="left"/>
      <w:pPr>
        <w:ind w:left="2880" w:hanging="360"/>
      </w:pPr>
    </w:lvl>
    <w:lvl w:ilvl="4" w:tplc="FBB89004">
      <w:start w:val="1"/>
      <w:numFmt w:val="lowerLetter"/>
      <w:lvlText w:val="%5."/>
      <w:lvlJc w:val="left"/>
      <w:pPr>
        <w:ind w:left="3600" w:hanging="360"/>
      </w:pPr>
    </w:lvl>
    <w:lvl w:ilvl="5" w:tplc="7FD206FE">
      <w:start w:val="1"/>
      <w:numFmt w:val="lowerRoman"/>
      <w:lvlText w:val="%6."/>
      <w:lvlJc w:val="right"/>
      <w:pPr>
        <w:ind w:left="4320" w:hanging="180"/>
      </w:pPr>
    </w:lvl>
    <w:lvl w:ilvl="6" w:tplc="BCB26CAE">
      <w:start w:val="1"/>
      <w:numFmt w:val="decimal"/>
      <w:lvlText w:val="%7."/>
      <w:lvlJc w:val="left"/>
      <w:pPr>
        <w:ind w:left="5040" w:hanging="360"/>
      </w:pPr>
    </w:lvl>
    <w:lvl w:ilvl="7" w:tplc="B9940FB6">
      <w:start w:val="1"/>
      <w:numFmt w:val="lowerLetter"/>
      <w:lvlText w:val="%8."/>
      <w:lvlJc w:val="left"/>
      <w:pPr>
        <w:ind w:left="5760" w:hanging="360"/>
      </w:pPr>
    </w:lvl>
    <w:lvl w:ilvl="8" w:tplc="2B1C44A0">
      <w:start w:val="1"/>
      <w:numFmt w:val="lowerRoman"/>
      <w:lvlText w:val="%9."/>
      <w:lvlJc w:val="right"/>
      <w:pPr>
        <w:ind w:left="6480" w:hanging="180"/>
      </w:pPr>
    </w:lvl>
  </w:abstractNum>
  <w:abstractNum w:abstractNumId="44">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5">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6">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bC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b/>
        <w:bCs/>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b/>
        <w:bCs/>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b/>
        <w:bCs/>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b/>
        <w:bCs/>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b/>
        <w:bCs/>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b/>
        <w:bCs/>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b/>
        <w:bCs/>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b/>
        <w:bCs/>
        <w:color w:val="000000"/>
        <w:position w:val="0"/>
        <w:sz w:val="22"/>
        <w:szCs w:val="22"/>
      </w:rPr>
    </w:lvl>
  </w:abstractNum>
  <w:abstractNum w:abstractNumId="4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8">
    <w:nsid w:val="7BB3632D"/>
    <w:multiLevelType w:val="hybridMultilevel"/>
    <w:tmpl w:val="08306AEC"/>
    <w:lvl w:ilvl="0" w:tplc="6D7216A4">
      <w:start w:val="1"/>
      <w:numFmt w:val="decimal"/>
      <w:lvlText w:val="%1."/>
      <w:lvlJc w:val="left"/>
      <w:pPr>
        <w:tabs>
          <w:tab w:val="num" w:pos="720"/>
        </w:tabs>
        <w:ind w:firstLine="720"/>
      </w:pPr>
      <w:rPr>
        <w:vanish w:val="0"/>
      </w:rPr>
    </w:lvl>
    <w:lvl w:ilvl="1" w:tplc="D332E1C4">
      <w:start w:val="1"/>
      <w:numFmt w:val="lowerLetter"/>
      <w:lvlText w:val="%2."/>
      <w:lvlJc w:val="left"/>
      <w:pPr>
        <w:tabs>
          <w:tab w:val="num" w:pos="1440"/>
        </w:tabs>
        <w:ind w:left="1440" w:hanging="360"/>
      </w:pPr>
    </w:lvl>
    <w:lvl w:ilvl="2" w:tplc="D1CE7F4E">
      <w:start w:val="1"/>
      <w:numFmt w:val="lowerRoman"/>
      <w:lvlText w:val="%3."/>
      <w:lvlJc w:val="right"/>
      <w:pPr>
        <w:tabs>
          <w:tab w:val="num" w:pos="2160"/>
        </w:tabs>
        <w:ind w:left="2160" w:hanging="180"/>
      </w:pPr>
    </w:lvl>
    <w:lvl w:ilvl="3" w:tplc="6D1E7A02">
      <w:start w:val="1"/>
      <w:numFmt w:val="decimal"/>
      <w:lvlText w:val="%4."/>
      <w:lvlJc w:val="left"/>
      <w:pPr>
        <w:tabs>
          <w:tab w:val="num" w:pos="2880"/>
        </w:tabs>
        <w:ind w:left="2880" w:hanging="360"/>
      </w:pPr>
    </w:lvl>
    <w:lvl w:ilvl="4" w:tplc="FCFE2CB8">
      <w:start w:val="1"/>
      <w:numFmt w:val="lowerLetter"/>
      <w:lvlText w:val="%5."/>
      <w:lvlJc w:val="left"/>
      <w:pPr>
        <w:tabs>
          <w:tab w:val="num" w:pos="3600"/>
        </w:tabs>
        <w:ind w:left="3600" w:hanging="360"/>
      </w:pPr>
    </w:lvl>
    <w:lvl w:ilvl="5" w:tplc="073262C8">
      <w:start w:val="1"/>
      <w:numFmt w:val="lowerRoman"/>
      <w:lvlText w:val="%6."/>
      <w:lvlJc w:val="right"/>
      <w:pPr>
        <w:tabs>
          <w:tab w:val="num" w:pos="4320"/>
        </w:tabs>
        <w:ind w:left="4320" w:hanging="180"/>
      </w:pPr>
    </w:lvl>
    <w:lvl w:ilvl="6" w:tplc="F89864E0">
      <w:start w:val="1"/>
      <w:numFmt w:val="decimal"/>
      <w:lvlText w:val="%7."/>
      <w:lvlJc w:val="left"/>
      <w:pPr>
        <w:tabs>
          <w:tab w:val="num" w:pos="5040"/>
        </w:tabs>
        <w:ind w:left="5040" w:hanging="360"/>
      </w:pPr>
    </w:lvl>
    <w:lvl w:ilvl="7" w:tplc="45F8956C">
      <w:start w:val="1"/>
      <w:numFmt w:val="lowerLetter"/>
      <w:lvlText w:val="%8."/>
      <w:lvlJc w:val="left"/>
      <w:pPr>
        <w:tabs>
          <w:tab w:val="num" w:pos="5760"/>
        </w:tabs>
        <w:ind w:left="5760" w:hanging="360"/>
      </w:pPr>
    </w:lvl>
    <w:lvl w:ilvl="8" w:tplc="B51455F4">
      <w:start w:val="1"/>
      <w:numFmt w:val="lowerRoman"/>
      <w:lvlText w:val="%9."/>
      <w:lvlJc w:val="right"/>
      <w:pPr>
        <w:tabs>
          <w:tab w:val="num" w:pos="6480"/>
        </w:tabs>
        <w:ind w:left="6480" w:hanging="180"/>
      </w:pPr>
    </w:lvl>
  </w:abstractNum>
  <w:abstractNum w:abstractNumId="4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num w:numId="1">
    <w:abstractNumId w:val="3"/>
  </w:num>
  <w:num w:numId="2">
    <w:abstractNumId w:val="46"/>
  </w:num>
  <w:num w:numId="3">
    <w:abstractNumId w:val="19"/>
  </w:num>
  <w:num w:numId="4">
    <w:abstractNumId w:val="40"/>
  </w:num>
  <w:num w:numId="5">
    <w:abstractNumId w:val="24"/>
  </w:num>
  <w:num w:numId="6">
    <w:abstractNumId w:val="4"/>
  </w:num>
  <w:num w:numId="7">
    <w:abstractNumId w:val="15"/>
  </w:num>
  <w:num w:numId="8">
    <w:abstractNumId w:val="36"/>
  </w:num>
  <w:num w:numId="9">
    <w:abstractNumId w:val="0"/>
  </w:num>
  <w:num w:numId="10">
    <w:abstractNumId w:val="31"/>
  </w:num>
  <w:num w:numId="11">
    <w:abstractNumId w:val="32"/>
  </w:num>
  <w:num w:numId="12">
    <w:abstractNumId w:val="37"/>
  </w:num>
  <w:num w:numId="13">
    <w:abstractNumId w:val="1"/>
  </w:num>
  <w:num w:numId="14">
    <w:abstractNumId w:val="2"/>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6"/>
  </w:num>
  <w:num w:numId="25">
    <w:abstractNumId w:val="17"/>
  </w:num>
  <w:num w:numId="26">
    <w:abstractNumId w:val="20"/>
  </w:num>
  <w:num w:numId="27">
    <w:abstractNumId w:val="21"/>
  </w:num>
  <w:num w:numId="28">
    <w:abstractNumId w:val="22"/>
  </w:num>
  <w:num w:numId="29">
    <w:abstractNumId w:val="23"/>
  </w:num>
  <w:num w:numId="30">
    <w:abstractNumId w:val="25"/>
  </w:num>
  <w:num w:numId="31">
    <w:abstractNumId w:val="26"/>
  </w:num>
  <w:num w:numId="32">
    <w:abstractNumId w:val="27"/>
  </w:num>
  <w:num w:numId="33">
    <w:abstractNumId w:val="28"/>
  </w:num>
  <w:num w:numId="34">
    <w:abstractNumId w:val="29"/>
  </w:num>
  <w:num w:numId="35">
    <w:abstractNumId w:val="30"/>
  </w:num>
  <w:num w:numId="36">
    <w:abstractNumId w:val="33"/>
  </w:num>
  <w:num w:numId="37">
    <w:abstractNumId w:val="34"/>
  </w:num>
  <w:num w:numId="38">
    <w:abstractNumId w:val="39"/>
  </w:num>
  <w:num w:numId="39">
    <w:abstractNumId w:val="41"/>
  </w:num>
  <w:num w:numId="40">
    <w:abstractNumId w:val="42"/>
  </w:num>
  <w:num w:numId="41">
    <w:abstractNumId w:val="44"/>
  </w:num>
  <w:num w:numId="42">
    <w:abstractNumId w:val="45"/>
  </w:num>
  <w:num w:numId="43">
    <w:abstractNumId w:val="47"/>
  </w:num>
  <w:num w:numId="44">
    <w:abstractNumId w:val="49"/>
  </w:num>
  <w:num w:numId="45">
    <w:abstractNumId w:val="50"/>
  </w:num>
  <w:num w:numId="46">
    <w:abstractNumId w:val="51"/>
  </w:num>
  <w:num w:numId="47">
    <w:abstractNumId w:val="52"/>
  </w:num>
  <w:num w:numId="48">
    <w:abstractNumId w:val="35"/>
  </w:num>
  <w:num w:numId="49">
    <w:abstractNumId w:val="43"/>
  </w:num>
  <w:num w:numId="50">
    <w:abstractNumId w:val="38"/>
  </w:num>
  <w:num w:numId="51">
    <w:abstractNumId w:val="18"/>
    <w:lvlOverride w:ilvl="0">
      <w:startOverride w:val="1"/>
    </w:lvlOverride>
    <w:lvlOverride w:ilvl="1">
      <w:startOverride w:val="1"/>
    </w:lvlOverride>
    <w:lvlOverride w:ilvl="2">
      <w:startOverride w:val="1"/>
    </w:lvlOverride>
    <w:lvlOverride w:ilvl="3">
      <w:startOverride w:val="2"/>
    </w:lvlOverride>
    <w:lvlOverride w:ilvl="4"/>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FAA"/>
    <w:rsid w:val="00036A8A"/>
    <w:rsid w:val="0012384C"/>
    <w:rsid w:val="00141272"/>
    <w:rsid w:val="001804C6"/>
    <w:rsid w:val="001C070E"/>
    <w:rsid w:val="002638D7"/>
    <w:rsid w:val="002949DD"/>
    <w:rsid w:val="002B6B76"/>
    <w:rsid w:val="002C1641"/>
    <w:rsid w:val="002F7697"/>
    <w:rsid w:val="00321C2B"/>
    <w:rsid w:val="0032482C"/>
    <w:rsid w:val="003A4BA0"/>
    <w:rsid w:val="003D6520"/>
    <w:rsid w:val="0047380E"/>
    <w:rsid w:val="00477264"/>
    <w:rsid w:val="004A3E2B"/>
    <w:rsid w:val="004B44B8"/>
    <w:rsid w:val="004D42EE"/>
    <w:rsid w:val="005358EF"/>
    <w:rsid w:val="00546EC3"/>
    <w:rsid w:val="00561A9E"/>
    <w:rsid w:val="005679D0"/>
    <w:rsid w:val="00587510"/>
    <w:rsid w:val="00596F37"/>
    <w:rsid w:val="005D0112"/>
    <w:rsid w:val="005D389B"/>
    <w:rsid w:val="005F0792"/>
    <w:rsid w:val="00654FAA"/>
    <w:rsid w:val="00672FA3"/>
    <w:rsid w:val="00673C88"/>
    <w:rsid w:val="00793A6F"/>
    <w:rsid w:val="00877A07"/>
    <w:rsid w:val="008A77BE"/>
    <w:rsid w:val="008D30D7"/>
    <w:rsid w:val="008D375A"/>
    <w:rsid w:val="00905B1A"/>
    <w:rsid w:val="00973B9D"/>
    <w:rsid w:val="009C057C"/>
    <w:rsid w:val="00A2079E"/>
    <w:rsid w:val="00A30D49"/>
    <w:rsid w:val="00A86B6A"/>
    <w:rsid w:val="00B138EA"/>
    <w:rsid w:val="00B52ADE"/>
    <w:rsid w:val="00B70599"/>
    <w:rsid w:val="00C06C7B"/>
    <w:rsid w:val="00C1278C"/>
    <w:rsid w:val="00C17922"/>
    <w:rsid w:val="00C34E68"/>
    <w:rsid w:val="00CA048E"/>
    <w:rsid w:val="00CC5C48"/>
    <w:rsid w:val="00CE108B"/>
    <w:rsid w:val="00CE4E53"/>
    <w:rsid w:val="00CF31F9"/>
    <w:rsid w:val="00D0209E"/>
    <w:rsid w:val="00D43E5E"/>
    <w:rsid w:val="00D570E8"/>
    <w:rsid w:val="00D73FA6"/>
    <w:rsid w:val="00D83798"/>
    <w:rsid w:val="00DF57B6"/>
    <w:rsid w:val="00E1721A"/>
    <w:rsid w:val="00EA75E4"/>
    <w:rsid w:val="00EB37E1"/>
    <w:rsid w:val="00ED612B"/>
    <w:rsid w:val="00F04627"/>
    <w:rsid w:val="00F17EA0"/>
    <w:rsid w:val="00F806A8"/>
    <w:rsid w:val="00F83F76"/>
    <w:rsid w:val="00F9658C"/>
    <w:rsid w:val="00FA5198"/>
    <w:rsid w:val="00FB515E"/>
    <w:rsid w:val="00FC55E5"/>
    <w:rsid w:val="00FE0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8D7"/>
    <w:rPr>
      <w:sz w:val="24"/>
      <w:szCs w:val="24"/>
    </w:rPr>
  </w:style>
  <w:style w:type="paragraph" w:styleId="Heading1">
    <w:name w:val="heading 1"/>
    <w:basedOn w:val="Normal"/>
    <w:next w:val="Normal"/>
    <w:link w:val="Heading1Char"/>
    <w:uiPriority w:val="99"/>
    <w:qFormat/>
    <w:rsid w:val="002638D7"/>
    <w:pPr>
      <w:keepNext/>
      <w:keepLines/>
      <w:numPr>
        <w:numId w:val="49"/>
      </w:numPr>
      <w:spacing w:before="48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8D7"/>
    <w:rPr>
      <w:rFonts w:ascii="Cambria" w:hAnsi="Cambria" w:cs="Cambria"/>
      <w:b/>
      <w:bCs/>
      <w:color w:val="365F91"/>
      <w:sz w:val="28"/>
      <w:szCs w:val="28"/>
      <w:lang w:val="en-US" w:eastAsia="en-US"/>
    </w:rPr>
  </w:style>
  <w:style w:type="character" w:styleId="Hyperlink">
    <w:name w:val="Hyperlink"/>
    <w:basedOn w:val="DefaultParagraphFont"/>
    <w:uiPriority w:val="99"/>
    <w:rsid w:val="002638D7"/>
    <w:rPr>
      <w:u w:val="single"/>
    </w:rPr>
  </w:style>
  <w:style w:type="paragraph" w:customStyle="1" w:styleId="Cabeceraypie">
    <w:name w:val="Cabecera y pie"/>
    <w:uiPriority w:val="99"/>
    <w:rsid w:val="002638D7"/>
    <w:pPr>
      <w:tabs>
        <w:tab w:val="right" w:pos="9020"/>
      </w:tabs>
    </w:pPr>
    <w:rPr>
      <w:rFonts w:ascii="Helvetica" w:eastAsia="Times New Roman" w:hAnsi="Arial Unicode MS" w:cs="Helvetica"/>
      <w:color w:val="000000"/>
      <w:sz w:val="24"/>
      <w:szCs w:val="24"/>
      <w:lang w:val="es-ES" w:eastAsia="es-ES"/>
    </w:rPr>
  </w:style>
  <w:style w:type="paragraph" w:styleId="Footer">
    <w:name w:val="footer"/>
    <w:basedOn w:val="Normal"/>
    <w:link w:val="FooterChar"/>
    <w:uiPriority w:val="99"/>
    <w:rsid w:val="002638D7"/>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2638D7"/>
    <w:rPr>
      <w:rFonts w:ascii="Cambria" w:hAnsi="Cambria" w:cs="Cambria"/>
      <w:color w:val="000000"/>
      <w:sz w:val="24"/>
      <w:szCs w:val="24"/>
      <w:u w:color="000000"/>
      <w:lang w:val="en-US" w:eastAsia="es-ES"/>
    </w:rPr>
  </w:style>
  <w:style w:type="paragraph" w:customStyle="1" w:styleId="Cuerpo">
    <w:name w:val="Cuerpo"/>
    <w:uiPriority w:val="99"/>
    <w:rsid w:val="002638D7"/>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2638D7"/>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2638D7"/>
    <w:rPr>
      <w:sz w:val="24"/>
      <w:szCs w:val="24"/>
    </w:rPr>
  </w:style>
  <w:style w:type="paragraph" w:styleId="ListParagraph">
    <w:name w:val="List Paragraph"/>
    <w:basedOn w:val="Normal"/>
    <w:uiPriority w:val="99"/>
    <w:qFormat/>
    <w:rsid w:val="002638D7"/>
    <w:pPr>
      <w:ind w:left="720"/>
    </w:pPr>
    <w:rPr>
      <w:rFonts w:ascii="Cambria" w:hAnsi="Cambria" w:cs="Cambria"/>
      <w:color w:val="000000"/>
      <w:u w:color="000000"/>
      <w:lang w:eastAsia="es-ES"/>
    </w:rPr>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
    <w:basedOn w:val="Normal"/>
    <w:link w:val="FootnoteTextChar1"/>
    <w:uiPriority w:val="99"/>
    <w:semiHidden/>
    <w:rsid w:val="002638D7"/>
    <w:rPr>
      <w:rFonts w:ascii="Calibri" w:hAnsi="Calibri" w:cs="Calibri"/>
      <w:color w:val="000000"/>
      <w:sz w:val="20"/>
      <w:szCs w:val="20"/>
      <w:u w:color="000000"/>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basedOn w:val="DefaultParagraphFont"/>
    <w:uiPriority w:val="99"/>
    <w:semiHidden/>
    <w:locked/>
    <w:rsid w:val="008A77BE"/>
    <w:rPr>
      <w:sz w:val="20"/>
      <w:szCs w:val="20"/>
    </w:rPr>
  </w:style>
  <w:style w:type="character" w:customStyle="1" w:styleId="FootnoteTextChar2">
    <w:name w:val="Footnote Text Char2"/>
    <w:aliases w:val="Ca Char2,FA Fu Char2,FA Fußnotentext Char2,FA Fuﬂnotentext Char2,Footnote Text Cha Char2,Footnote Text Char Char Char Char Char Char1,Footnote Text Char Char Char Char Char11,Footnote Text Char Char Char Char11,f Char"/>
    <w:basedOn w:val="DefaultParagraphFont"/>
    <w:uiPriority w:val="99"/>
    <w:semiHidden/>
    <w:locked/>
    <w:rsid w:val="002638D7"/>
    <w:rPr>
      <w:sz w:val="20"/>
      <w:szCs w:val="20"/>
    </w:rPr>
  </w:style>
  <w:style w:type="paragraph" w:styleId="BalloonText">
    <w:name w:val="Balloon Text"/>
    <w:basedOn w:val="Normal"/>
    <w:link w:val="BalloonTextChar"/>
    <w:uiPriority w:val="99"/>
    <w:semiHidden/>
    <w:rsid w:val="002638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8D7"/>
    <w:rPr>
      <w:rFonts w:ascii="Tahoma" w:hAnsi="Tahoma" w:cs="Tahoma"/>
      <w:sz w:val="16"/>
      <w:szCs w:val="16"/>
      <w:lang w:val="en-US" w:eastAsia="en-US"/>
    </w:rPr>
  </w:style>
  <w:style w:type="paragraph" w:styleId="Header">
    <w:name w:val="header"/>
    <w:aliases w:val="encabezado"/>
    <w:basedOn w:val="Normal"/>
    <w:link w:val="HeaderChar"/>
    <w:uiPriority w:val="99"/>
    <w:rsid w:val="002638D7"/>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2638D7"/>
    <w:rPr>
      <w:rFonts w:ascii="Univers" w:hAnsi="Univers" w:cs="Univers"/>
      <w:sz w:val="24"/>
      <w:szCs w:val="24"/>
      <w:lang w:val="en-US" w:eastAsia="en-US"/>
    </w:rPr>
  </w:style>
  <w:style w:type="table" w:styleId="MediumShading1-Accent1">
    <w:name w:val="Medium Shading 1 Accent 1"/>
    <w:basedOn w:val="TableNormal"/>
    <w:uiPriority w:val="99"/>
    <w:rsid w:val="002638D7"/>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99"/>
    <w:semiHidden/>
    <w:rsid w:val="002638D7"/>
    <w:pPr>
      <w:tabs>
        <w:tab w:val="left" w:pos="1440"/>
        <w:tab w:val="right" w:leader="dot" w:pos="9350"/>
      </w:tabs>
      <w:spacing w:after="100"/>
      <w:ind w:left="1440" w:hanging="720"/>
    </w:pPr>
  </w:style>
  <w:style w:type="paragraph" w:styleId="TOC1">
    <w:name w:val="toc 1"/>
    <w:basedOn w:val="Normal"/>
    <w:next w:val="Normal"/>
    <w:autoRedefine/>
    <w:uiPriority w:val="99"/>
    <w:semiHidden/>
    <w:rsid w:val="002638D7"/>
    <w:pPr>
      <w:spacing w:after="100"/>
    </w:pPr>
    <w:rPr>
      <w:rFonts w:ascii="Calibri" w:hAnsi="Calibri" w:cs="Calibri"/>
      <w:sz w:val="22"/>
      <w:szCs w:val="22"/>
    </w:rPr>
  </w:style>
  <w:style w:type="paragraph" w:styleId="TOC3">
    <w:name w:val="toc 3"/>
    <w:basedOn w:val="Normal"/>
    <w:next w:val="Normal"/>
    <w:autoRedefine/>
    <w:uiPriority w:val="99"/>
    <w:semiHidden/>
    <w:rsid w:val="002638D7"/>
    <w:pPr>
      <w:tabs>
        <w:tab w:val="left" w:pos="880"/>
        <w:tab w:val="right" w:leader="dot" w:pos="9350"/>
      </w:tabs>
      <w:spacing w:after="100"/>
      <w:ind w:left="2160" w:hanging="720"/>
    </w:pPr>
  </w:style>
  <w:style w:type="paragraph" w:styleId="TOC4">
    <w:name w:val="toc 4"/>
    <w:basedOn w:val="Normal"/>
    <w:next w:val="Normal"/>
    <w:autoRedefine/>
    <w:uiPriority w:val="99"/>
    <w:semiHidden/>
    <w:rsid w:val="002638D7"/>
    <w:pPr>
      <w:spacing w:after="100"/>
      <w:ind w:left="720"/>
    </w:pPr>
  </w:style>
  <w:style w:type="character" w:styleId="PageNumber">
    <w:name w:val="page number"/>
    <w:basedOn w:val="DefaultParagraphFont"/>
    <w:uiPriority w:val="99"/>
    <w:rsid w:val="002638D7"/>
  </w:style>
  <w:style w:type="paragraph" w:styleId="BodyText">
    <w:name w:val="Body Text"/>
    <w:basedOn w:val="Normal"/>
    <w:link w:val="BodyTextChar"/>
    <w:uiPriority w:val="99"/>
    <w:semiHidden/>
    <w:rsid w:val="002638D7"/>
    <w:pPr>
      <w:spacing w:after="120"/>
    </w:pPr>
  </w:style>
  <w:style w:type="character" w:customStyle="1" w:styleId="BodyTextChar">
    <w:name w:val="Body Text Char"/>
    <w:basedOn w:val="DefaultParagraphFont"/>
    <w:link w:val="BodyText"/>
    <w:uiPriority w:val="99"/>
    <w:semiHidden/>
    <w:locked/>
    <w:rsid w:val="002638D7"/>
    <w:rPr>
      <w:sz w:val="24"/>
      <w:szCs w:val="24"/>
      <w:lang w:val="en-US" w:eastAsia="en-US"/>
    </w:rPr>
  </w:style>
  <w:style w:type="character" w:styleId="FootnoteReference">
    <w:name w:val="footnote reference"/>
    <w:aliases w:val="Appel note de bas de page,BVI fnr,Footnote number,Footnotes refss,Ref. de nota al pie.,Texto de nota al pie,f1,referencia nota al pie"/>
    <w:basedOn w:val="DefaultParagraphFont"/>
    <w:uiPriority w:val="99"/>
    <w:semiHidden/>
    <w:rsid w:val="002638D7"/>
    <w:rPr>
      <w:vertAlign w:val="superscript"/>
    </w:rPr>
  </w:style>
  <w:style w:type="character" w:customStyle="1" w:styleId="FootnoteTextChar1">
    <w:name w:val="Footnote Text Char1"/>
    <w:aliases w:val="Ca Char1,FA Fu Char1,FA Fußnotentext Char1,FA Fuﬂnotentext Char1,Footnote Text Cha Char1,Footnote Text Char Char Char2,Footnote Text Char Char Char Char2,Footnote Text Char Char Char Char Char2,Footnote reference Char,f Char1"/>
    <w:link w:val="FootnoteText"/>
    <w:uiPriority w:val="99"/>
    <w:locked/>
    <w:rsid w:val="002638D7"/>
    <w:rPr>
      <w:rFonts w:ascii="Calibri" w:hAnsi="Calibri" w:cs="Calibri"/>
      <w:color w:val="000000"/>
      <w:u w:color="000000"/>
      <w:lang w:val="en-US"/>
    </w:rPr>
  </w:style>
  <w:style w:type="numbering" w:customStyle="1" w:styleId="List16">
    <w:name w:val="List 16"/>
    <w:rsid w:val="00D66C63"/>
    <w:pPr>
      <w:numPr>
        <w:numId w:val="9"/>
      </w:numPr>
    </w:pPr>
  </w:style>
  <w:style w:type="numbering" w:customStyle="1" w:styleId="List36">
    <w:name w:val="List 36"/>
    <w:rsid w:val="00D66C63"/>
    <w:pPr>
      <w:numPr>
        <w:numId w:val="13"/>
      </w:numPr>
    </w:pPr>
  </w:style>
  <w:style w:type="numbering" w:customStyle="1" w:styleId="List25">
    <w:name w:val="List 25"/>
    <w:rsid w:val="00D66C63"/>
    <w:pPr>
      <w:numPr>
        <w:numId w:val="14"/>
      </w:numPr>
    </w:pPr>
  </w:style>
  <w:style w:type="numbering" w:customStyle="1" w:styleId="List1">
    <w:name w:val="List 1"/>
    <w:rsid w:val="00D66C63"/>
    <w:pPr>
      <w:numPr>
        <w:numId w:val="1"/>
      </w:numPr>
    </w:pPr>
  </w:style>
  <w:style w:type="numbering" w:customStyle="1" w:styleId="List11">
    <w:name w:val="List 11"/>
    <w:rsid w:val="00D66C63"/>
    <w:pPr>
      <w:numPr>
        <w:numId w:val="6"/>
      </w:numPr>
    </w:pPr>
  </w:style>
  <w:style w:type="numbering" w:customStyle="1" w:styleId="List15">
    <w:name w:val="List 15"/>
    <w:rsid w:val="00D66C63"/>
    <w:pPr>
      <w:numPr>
        <w:numId w:val="15"/>
      </w:numPr>
    </w:pPr>
  </w:style>
  <w:style w:type="numbering" w:customStyle="1" w:styleId="List14">
    <w:name w:val="List 14"/>
    <w:rsid w:val="00D66C63"/>
    <w:pPr>
      <w:numPr>
        <w:numId w:val="16"/>
      </w:numPr>
    </w:pPr>
  </w:style>
  <w:style w:type="numbering" w:customStyle="1" w:styleId="List23">
    <w:name w:val="List 23"/>
    <w:rsid w:val="00D66C63"/>
    <w:pPr>
      <w:numPr>
        <w:numId w:val="17"/>
      </w:numPr>
    </w:pPr>
  </w:style>
  <w:style w:type="numbering" w:customStyle="1" w:styleId="List19">
    <w:name w:val="List 19"/>
    <w:rsid w:val="00D66C63"/>
    <w:pPr>
      <w:numPr>
        <w:numId w:val="18"/>
      </w:numPr>
    </w:pPr>
  </w:style>
  <w:style w:type="numbering" w:customStyle="1" w:styleId="List45">
    <w:name w:val="List 45"/>
    <w:rsid w:val="00D66C63"/>
    <w:pPr>
      <w:numPr>
        <w:numId w:val="19"/>
      </w:numPr>
    </w:pPr>
  </w:style>
  <w:style w:type="numbering" w:customStyle="1" w:styleId="List40">
    <w:name w:val="List 40"/>
    <w:rsid w:val="00D66C63"/>
    <w:pPr>
      <w:numPr>
        <w:numId w:val="20"/>
      </w:numPr>
    </w:pPr>
  </w:style>
  <w:style w:type="numbering" w:customStyle="1" w:styleId="List9">
    <w:name w:val="List 9"/>
    <w:rsid w:val="00D66C63"/>
    <w:pPr>
      <w:numPr>
        <w:numId w:val="21"/>
      </w:numPr>
    </w:pPr>
  </w:style>
  <w:style w:type="numbering" w:customStyle="1" w:styleId="List43">
    <w:name w:val="List 43"/>
    <w:rsid w:val="00D66C63"/>
    <w:pPr>
      <w:numPr>
        <w:numId w:val="22"/>
      </w:numPr>
    </w:pPr>
  </w:style>
  <w:style w:type="numbering" w:customStyle="1" w:styleId="List46">
    <w:name w:val="List 46"/>
    <w:rsid w:val="00D66C63"/>
    <w:pPr>
      <w:numPr>
        <w:numId w:val="23"/>
      </w:numPr>
    </w:pPr>
  </w:style>
  <w:style w:type="numbering" w:customStyle="1" w:styleId="List35">
    <w:name w:val="List 35"/>
    <w:rsid w:val="00D66C63"/>
    <w:pPr>
      <w:numPr>
        <w:numId w:val="7"/>
      </w:numPr>
    </w:pPr>
  </w:style>
  <w:style w:type="numbering" w:customStyle="1" w:styleId="List17">
    <w:name w:val="List 17"/>
    <w:rsid w:val="00D66C63"/>
    <w:pPr>
      <w:numPr>
        <w:numId w:val="24"/>
      </w:numPr>
    </w:pPr>
  </w:style>
  <w:style w:type="numbering" w:customStyle="1" w:styleId="List33">
    <w:name w:val="List 33"/>
    <w:rsid w:val="00D66C63"/>
    <w:pPr>
      <w:numPr>
        <w:numId w:val="25"/>
      </w:numPr>
    </w:pPr>
  </w:style>
  <w:style w:type="numbering" w:customStyle="1" w:styleId="List7">
    <w:name w:val="List 7"/>
    <w:rsid w:val="00D66C63"/>
    <w:pPr>
      <w:numPr>
        <w:numId w:val="3"/>
      </w:numPr>
    </w:pPr>
  </w:style>
  <w:style w:type="numbering" w:customStyle="1" w:styleId="List18">
    <w:name w:val="List 18"/>
    <w:rsid w:val="00D66C63"/>
    <w:pPr>
      <w:numPr>
        <w:numId w:val="26"/>
      </w:numPr>
    </w:pPr>
  </w:style>
  <w:style w:type="numbering" w:customStyle="1" w:styleId="List22">
    <w:name w:val="List 22"/>
    <w:rsid w:val="00D66C63"/>
    <w:pPr>
      <w:numPr>
        <w:numId w:val="27"/>
      </w:numPr>
    </w:pPr>
  </w:style>
  <w:style w:type="numbering" w:customStyle="1" w:styleId="List47">
    <w:name w:val="List 47"/>
    <w:rsid w:val="00D66C63"/>
    <w:pPr>
      <w:numPr>
        <w:numId w:val="28"/>
      </w:numPr>
    </w:pPr>
  </w:style>
  <w:style w:type="numbering" w:customStyle="1" w:styleId="List28">
    <w:name w:val="List 28"/>
    <w:rsid w:val="00D66C63"/>
    <w:pPr>
      <w:numPr>
        <w:numId w:val="29"/>
      </w:numPr>
    </w:pPr>
  </w:style>
  <w:style w:type="numbering" w:customStyle="1" w:styleId="List10">
    <w:name w:val="List 10"/>
    <w:rsid w:val="00D66C63"/>
    <w:pPr>
      <w:numPr>
        <w:numId w:val="5"/>
      </w:numPr>
    </w:pPr>
  </w:style>
  <w:style w:type="numbering" w:customStyle="1" w:styleId="List0">
    <w:name w:val="List 0"/>
    <w:rsid w:val="00D66C63"/>
    <w:pPr>
      <w:numPr>
        <w:numId w:val="30"/>
      </w:numPr>
    </w:pPr>
  </w:style>
  <w:style w:type="numbering" w:customStyle="1" w:styleId="List30">
    <w:name w:val="List 30"/>
    <w:rsid w:val="00D66C63"/>
    <w:pPr>
      <w:numPr>
        <w:numId w:val="31"/>
      </w:numPr>
    </w:pPr>
  </w:style>
  <w:style w:type="numbering" w:customStyle="1" w:styleId="List29">
    <w:name w:val="List 29"/>
    <w:rsid w:val="00D66C63"/>
    <w:pPr>
      <w:numPr>
        <w:numId w:val="32"/>
      </w:numPr>
    </w:pPr>
  </w:style>
  <w:style w:type="numbering" w:customStyle="1" w:styleId="List38">
    <w:name w:val="List 38"/>
    <w:rsid w:val="00D66C63"/>
    <w:pPr>
      <w:numPr>
        <w:numId w:val="33"/>
      </w:numPr>
    </w:pPr>
  </w:style>
  <w:style w:type="numbering" w:customStyle="1" w:styleId="List12">
    <w:name w:val="List 12"/>
    <w:rsid w:val="00D66C63"/>
    <w:pPr>
      <w:numPr>
        <w:numId w:val="34"/>
      </w:numPr>
    </w:pPr>
  </w:style>
  <w:style w:type="numbering" w:customStyle="1" w:styleId="List50">
    <w:name w:val="List 50"/>
    <w:rsid w:val="00D66C63"/>
    <w:pPr>
      <w:numPr>
        <w:numId w:val="35"/>
      </w:numPr>
    </w:pPr>
  </w:style>
  <w:style w:type="numbering" w:customStyle="1" w:styleId="List34">
    <w:name w:val="List 34"/>
    <w:rsid w:val="00D66C63"/>
    <w:pPr>
      <w:numPr>
        <w:numId w:val="10"/>
      </w:numPr>
    </w:pPr>
  </w:style>
  <w:style w:type="numbering" w:customStyle="1" w:styleId="List42">
    <w:name w:val="List 42"/>
    <w:rsid w:val="00D66C63"/>
    <w:pPr>
      <w:numPr>
        <w:numId w:val="11"/>
      </w:numPr>
    </w:pPr>
  </w:style>
  <w:style w:type="numbering" w:customStyle="1" w:styleId="List49">
    <w:name w:val="List 49"/>
    <w:rsid w:val="00D66C63"/>
    <w:pPr>
      <w:numPr>
        <w:numId w:val="36"/>
      </w:numPr>
    </w:pPr>
  </w:style>
  <w:style w:type="numbering" w:customStyle="1" w:styleId="List44">
    <w:name w:val="List 44"/>
    <w:rsid w:val="00D66C63"/>
    <w:pPr>
      <w:numPr>
        <w:numId w:val="37"/>
      </w:numPr>
    </w:pPr>
  </w:style>
  <w:style w:type="numbering" w:customStyle="1" w:styleId="List21">
    <w:name w:val="List 21"/>
    <w:rsid w:val="00D66C63"/>
    <w:pPr>
      <w:numPr>
        <w:numId w:val="48"/>
      </w:numPr>
    </w:pPr>
  </w:style>
  <w:style w:type="numbering" w:customStyle="1" w:styleId="List52">
    <w:name w:val="List 52"/>
    <w:rsid w:val="00D66C63"/>
    <w:pPr>
      <w:numPr>
        <w:numId w:val="8"/>
      </w:numPr>
    </w:pPr>
  </w:style>
  <w:style w:type="numbering" w:customStyle="1" w:styleId="List24">
    <w:name w:val="List 24"/>
    <w:rsid w:val="00D66C63"/>
    <w:pPr>
      <w:numPr>
        <w:numId w:val="12"/>
      </w:numPr>
    </w:pPr>
  </w:style>
  <w:style w:type="numbering" w:customStyle="1" w:styleId="List51">
    <w:name w:val="List 51"/>
    <w:rsid w:val="00D66C63"/>
    <w:pPr>
      <w:numPr>
        <w:numId w:val="50"/>
      </w:numPr>
    </w:pPr>
  </w:style>
  <w:style w:type="numbering" w:customStyle="1" w:styleId="List27">
    <w:name w:val="List 27"/>
    <w:rsid w:val="00D66C63"/>
    <w:pPr>
      <w:numPr>
        <w:numId w:val="38"/>
      </w:numPr>
    </w:pPr>
  </w:style>
  <w:style w:type="numbering" w:customStyle="1" w:styleId="List8">
    <w:name w:val="List 8"/>
    <w:rsid w:val="00D66C63"/>
    <w:pPr>
      <w:numPr>
        <w:numId w:val="4"/>
      </w:numPr>
    </w:pPr>
  </w:style>
  <w:style w:type="numbering" w:customStyle="1" w:styleId="List13">
    <w:name w:val="List 13"/>
    <w:rsid w:val="00D66C63"/>
    <w:pPr>
      <w:numPr>
        <w:numId w:val="39"/>
      </w:numPr>
    </w:pPr>
  </w:style>
  <w:style w:type="numbering" w:customStyle="1" w:styleId="List20">
    <w:name w:val="List 20"/>
    <w:rsid w:val="00D66C63"/>
    <w:pPr>
      <w:numPr>
        <w:numId w:val="40"/>
      </w:numPr>
    </w:pPr>
  </w:style>
  <w:style w:type="numbering" w:customStyle="1" w:styleId="List41">
    <w:name w:val="List 41"/>
    <w:rsid w:val="00D66C63"/>
    <w:pPr>
      <w:numPr>
        <w:numId w:val="41"/>
      </w:numPr>
    </w:pPr>
  </w:style>
  <w:style w:type="numbering" w:customStyle="1" w:styleId="List31">
    <w:name w:val="List 31"/>
    <w:rsid w:val="00D66C63"/>
    <w:pPr>
      <w:numPr>
        <w:numId w:val="42"/>
      </w:numPr>
    </w:pPr>
  </w:style>
  <w:style w:type="numbering" w:customStyle="1" w:styleId="List6">
    <w:name w:val="List 6"/>
    <w:rsid w:val="00D66C63"/>
    <w:pPr>
      <w:numPr>
        <w:numId w:val="2"/>
      </w:numPr>
    </w:pPr>
  </w:style>
  <w:style w:type="numbering" w:customStyle="1" w:styleId="List39">
    <w:name w:val="List 39"/>
    <w:rsid w:val="00D66C63"/>
    <w:pPr>
      <w:numPr>
        <w:numId w:val="43"/>
      </w:numPr>
    </w:pPr>
  </w:style>
  <w:style w:type="numbering" w:customStyle="1" w:styleId="List37">
    <w:name w:val="List 37"/>
    <w:rsid w:val="00D66C63"/>
    <w:pPr>
      <w:numPr>
        <w:numId w:val="44"/>
      </w:numPr>
    </w:pPr>
  </w:style>
  <w:style w:type="numbering" w:customStyle="1" w:styleId="List32">
    <w:name w:val="List 32"/>
    <w:rsid w:val="00D66C63"/>
    <w:pPr>
      <w:numPr>
        <w:numId w:val="45"/>
      </w:numPr>
    </w:pPr>
  </w:style>
  <w:style w:type="numbering" w:customStyle="1" w:styleId="List26">
    <w:name w:val="List 26"/>
    <w:rsid w:val="00D66C63"/>
    <w:pPr>
      <w:numPr>
        <w:numId w:val="46"/>
      </w:numPr>
    </w:pPr>
  </w:style>
  <w:style w:type="numbering" w:customStyle="1" w:styleId="List48">
    <w:name w:val="List 48"/>
    <w:rsid w:val="00D66C63"/>
    <w:pPr>
      <w:numPr>
        <w:numId w:val="47"/>
      </w:numPr>
    </w:pPr>
  </w:style>
  <w:style w:type="character" w:styleId="Emphasis">
    <w:name w:val="Emphasis"/>
    <w:basedOn w:val="DefaultParagraphFont"/>
    <w:qFormat/>
    <w:locked/>
    <w:rsid w:val="00C179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8D7"/>
    <w:rPr>
      <w:sz w:val="24"/>
      <w:szCs w:val="24"/>
    </w:rPr>
  </w:style>
  <w:style w:type="paragraph" w:styleId="Heading1">
    <w:name w:val="heading 1"/>
    <w:basedOn w:val="Normal"/>
    <w:next w:val="Normal"/>
    <w:link w:val="Heading1Char"/>
    <w:uiPriority w:val="99"/>
    <w:qFormat/>
    <w:rsid w:val="002638D7"/>
    <w:pPr>
      <w:keepNext/>
      <w:keepLines/>
      <w:numPr>
        <w:numId w:val="49"/>
      </w:numPr>
      <w:spacing w:before="48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8D7"/>
    <w:rPr>
      <w:rFonts w:ascii="Cambria" w:hAnsi="Cambria" w:cs="Cambria"/>
      <w:b/>
      <w:bCs/>
      <w:color w:val="365F91"/>
      <w:sz w:val="28"/>
      <w:szCs w:val="28"/>
      <w:lang w:val="en-US" w:eastAsia="en-US"/>
    </w:rPr>
  </w:style>
  <w:style w:type="character" w:styleId="Hyperlink">
    <w:name w:val="Hyperlink"/>
    <w:basedOn w:val="DefaultParagraphFont"/>
    <w:uiPriority w:val="99"/>
    <w:rsid w:val="002638D7"/>
    <w:rPr>
      <w:u w:val="single"/>
    </w:rPr>
  </w:style>
  <w:style w:type="paragraph" w:customStyle="1" w:styleId="Cabeceraypie">
    <w:name w:val="Cabecera y pie"/>
    <w:uiPriority w:val="99"/>
    <w:rsid w:val="002638D7"/>
    <w:pPr>
      <w:tabs>
        <w:tab w:val="right" w:pos="9020"/>
      </w:tabs>
    </w:pPr>
    <w:rPr>
      <w:rFonts w:ascii="Helvetica" w:eastAsia="Times New Roman" w:hAnsi="Arial Unicode MS" w:cs="Helvetica"/>
      <w:color w:val="000000"/>
      <w:sz w:val="24"/>
      <w:szCs w:val="24"/>
      <w:lang w:val="es-ES" w:eastAsia="es-ES"/>
    </w:rPr>
  </w:style>
  <w:style w:type="paragraph" w:styleId="Footer">
    <w:name w:val="footer"/>
    <w:basedOn w:val="Normal"/>
    <w:link w:val="FooterChar"/>
    <w:uiPriority w:val="99"/>
    <w:rsid w:val="002638D7"/>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2638D7"/>
    <w:rPr>
      <w:rFonts w:ascii="Cambria" w:hAnsi="Cambria" w:cs="Cambria"/>
      <w:color w:val="000000"/>
      <w:sz w:val="24"/>
      <w:szCs w:val="24"/>
      <w:u w:color="000000"/>
      <w:lang w:val="en-US" w:eastAsia="es-ES"/>
    </w:rPr>
  </w:style>
  <w:style w:type="paragraph" w:customStyle="1" w:styleId="Cuerpo">
    <w:name w:val="Cuerpo"/>
    <w:uiPriority w:val="99"/>
    <w:rsid w:val="002638D7"/>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2638D7"/>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2638D7"/>
    <w:rPr>
      <w:sz w:val="24"/>
      <w:szCs w:val="24"/>
    </w:rPr>
  </w:style>
  <w:style w:type="paragraph" w:styleId="ListParagraph">
    <w:name w:val="List Paragraph"/>
    <w:basedOn w:val="Normal"/>
    <w:uiPriority w:val="99"/>
    <w:qFormat/>
    <w:rsid w:val="002638D7"/>
    <w:pPr>
      <w:ind w:left="720"/>
    </w:pPr>
    <w:rPr>
      <w:rFonts w:ascii="Cambria" w:hAnsi="Cambria" w:cs="Cambria"/>
      <w:color w:val="000000"/>
      <w:u w:color="000000"/>
      <w:lang w:eastAsia="es-ES"/>
    </w:rPr>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
    <w:basedOn w:val="Normal"/>
    <w:link w:val="FootnoteTextChar1"/>
    <w:uiPriority w:val="99"/>
    <w:semiHidden/>
    <w:rsid w:val="002638D7"/>
    <w:rPr>
      <w:rFonts w:ascii="Calibri" w:hAnsi="Calibri" w:cs="Calibri"/>
      <w:color w:val="000000"/>
      <w:sz w:val="20"/>
      <w:szCs w:val="20"/>
      <w:u w:color="000000"/>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basedOn w:val="DefaultParagraphFont"/>
    <w:uiPriority w:val="99"/>
    <w:semiHidden/>
    <w:locked/>
    <w:rsid w:val="008A77BE"/>
    <w:rPr>
      <w:sz w:val="20"/>
      <w:szCs w:val="20"/>
    </w:rPr>
  </w:style>
  <w:style w:type="character" w:customStyle="1" w:styleId="FootnoteTextChar2">
    <w:name w:val="Footnote Text Char2"/>
    <w:aliases w:val="Ca Char2,FA Fu Char2,FA Fußnotentext Char2,FA Fuﬂnotentext Char2,Footnote Text Cha Char2,Footnote Text Char Char Char Char Char Char1,Footnote Text Char Char Char Char Char11,Footnote Text Char Char Char Char11,f Char"/>
    <w:basedOn w:val="DefaultParagraphFont"/>
    <w:uiPriority w:val="99"/>
    <w:semiHidden/>
    <w:locked/>
    <w:rsid w:val="002638D7"/>
    <w:rPr>
      <w:sz w:val="20"/>
      <w:szCs w:val="20"/>
    </w:rPr>
  </w:style>
  <w:style w:type="paragraph" w:styleId="BalloonText">
    <w:name w:val="Balloon Text"/>
    <w:basedOn w:val="Normal"/>
    <w:link w:val="BalloonTextChar"/>
    <w:uiPriority w:val="99"/>
    <w:semiHidden/>
    <w:rsid w:val="002638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8D7"/>
    <w:rPr>
      <w:rFonts w:ascii="Tahoma" w:hAnsi="Tahoma" w:cs="Tahoma"/>
      <w:sz w:val="16"/>
      <w:szCs w:val="16"/>
      <w:lang w:val="en-US" w:eastAsia="en-US"/>
    </w:rPr>
  </w:style>
  <w:style w:type="paragraph" w:styleId="Header">
    <w:name w:val="header"/>
    <w:aliases w:val="encabezado"/>
    <w:basedOn w:val="Normal"/>
    <w:link w:val="HeaderChar"/>
    <w:uiPriority w:val="99"/>
    <w:rsid w:val="002638D7"/>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2638D7"/>
    <w:rPr>
      <w:rFonts w:ascii="Univers" w:hAnsi="Univers" w:cs="Univers"/>
      <w:sz w:val="24"/>
      <w:szCs w:val="24"/>
      <w:lang w:val="en-US" w:eastAsia="en-US"/>
    </w:rPr>
  </w:style>
  <w:style w:type="table" w:styleId="MediumShading1-Accent1">
    <w:name w:val="Medium Shading 1 Accent 1"/>
    <w:basedOn w:val="TableNormal"/>
    <w:uiPriority w:val="99"/>
    <w:rsid w:val="002638D7"/>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99"/>
    <w:semiHidden/>
    <w:rsid w:val="002638D7"/>
    <w:pPr>
      <w:tabs>
        <w:tab w:val="left" w:pos="1440"/>
        <w:tab w:val="right" w:leader="dot" w:pos="9350"/>
      </w:tabs>
      <w:spacing w:after="100"/>
      <w:ind w:left="1440" w:hanging="720"/>
    </w:pPr>
  </w:style>
  <w:style w:type="paragraph" w:styleId="TOC1">
    <w:name w:val="toc 1"/>
    <w:basedOn w:val="Normal"/>
    <w:next w:val="Normal"/>
    <w:autoRedefine/>
    <w:uiPriority w:val="99"/>
    <w:semiHidden/>
    <w:rsid w:val="002638D7"/>
    <w:pPr>
      <w:spacing w:after="100"/>
    </w:pPr>
    <w:rPr>
      <w:rFonts w:ascii="Calibri" w:hAnsi="Calibri" w:cs="Calibri"/>
      <w:sz w:val="22"/>
      <w:szCs w:val="22"/>
    </w:rPr>
  </w:style>
  <w:style w:type="paragraph" w:styleId="TOC3">
    <w:name w:val="toc 3"/>
    <w:basedOn w:val="Normal"/>
    <w:next w:val="Normal"/>
    <w:autoRedefine/>
    <w:uiPriority w:val="99"/>
    <w:semiHidden/>
    <w:rsid w:val="002638D7"/>
    <w:pPr>
      <w:tabs>
        <w:tab w:val="left" w:pos="880"/>
        <w:tab w:val="right" w:leader="dot" w:pos="9350"/>
      </w:tabs>
      <w:spacing w:after="100"/>
      <w:ind w:left="2160" w:hanging="720"/>
    </w:pPr>
  </w:style>
  <w:style w:type="paragraph" w:styleId="TOC4">
    <w:name w:val="toc 4"/>
    <w:basedOn w:val="Normal"/>
    <w:next w:val="Normal"/>
    <w:autoRedefine/>
    <w:uiPriority w:val="99"/>
    <w:semiHidden/>
    <w:rsid w:val="002638D7"/>
    <w:pPr>
      <w:spacing w:after="100"/>
      <w:ind w:left="720"/>
    </w:pPr>
  </w:style>
  <w:style w:type="character" w:styleId="PageNumber">
    <w:name w:val="page number"/>
    <w:basedOn w:val="DefaultParagraphFont"/>
    <w:uiPriority w:val="99"/>
    <w:rsid w:val="002638D7"/>
  </w:style>
  <w:style w:type="paragraph" w:styleId="BodyText">
    <w:name w:val="Body Text"/>
    <w:basedOn w:val="Normal"/>
    <w:link w:val="BodyTextChar"/>
    <w:uiPriority w:val="99"/>
    <w:semiHidden/>
    <w:rsid w:val="002638D7"/>
    <w:pPr>
      <w:spacing w:after="120"/>
    </w:pPr>
  </w:style>
  <w:style w:type="character" w:customStyle="1" w:styleId="BodyTextChar">
    <w:name w:val="Body Text Char"/>
    <w:basedOn w:val="DefaultParagraphFont"/>
    <w:link w:val="BodyText"/>
    <w:uiPriority w:val="99"/>
    <w:semiHidden/>
    <w:locked/>
    <w:rsid w:val="002638D7"/>
    <w:rPr>
      <w:sz w:val="24"/>
      <w:szCs w:val="24"/>
      <w:lang w:val="en-US" w:eastAsia="en-US"/>
    </w:rPr>
  </w:style>
  <w:style w:type="character" w:styleId="FootnoteReference">
    <w:name w:val="footnote reference"/>
    <w:aliases w:val="Appel note de bas de page,BVI fnr,Footnote number,Footnotes refss,Ref. de nota al pie.,Texto de nota al pie,f1,referencia nota al pie"/>
    <w:basedOn w:val="DefaultParagraphFont"/>
    <w:uiPriority w:val="99"/>
    <w:semiHidden/>
    <w:rsid w:val="002638D7"/>
    <w:rPr>
      <w:vertAlign w:val="superscript"/>
    </w:rPr>
  </w:style>
  <w:style w:type="character" w:customStyle="1" w:styleId="FootnoteTextChar1">
    <w:name w:val="Footnote Text Char1"/>
    <w:aliases w:val="Ca Char1,FA Fu Char1,FA Fußnotentext Char1,FA Fuﬂnotentext Char1,Footnote Text Cha Char1,Footnote Text Char Char Char2,Footnote Text Char Char Char Char2,Footnote Text Char Char Char Char Char2,Footnote reference Char,f Char1"/>
    <w:link w:val="FootnoteText"/>
    <w:uiPriority w:val="99"/>
    <w:locked/>
    <w:rsid w:val="002638D7"/>
    <w:rPr>
      <w:rFonts w:ascii="Calibri" w:hAnsi="Calibri" w:cs="Calibri"/>
      <w:color w:val="000000"/>
      <w:u w:color="000000"/>
      <w:lang w:val="en-US"/>
    </w:rPr>
  </w:style>
  <w:style w:type="numbering" w:customStyle="1" w:styleId="List16">
    <w:name w:val="List 16"/>
    <w:rsid w:val="00D66C63"/>
    <w:pPr>
      <w:numPr>
        <w:numId w:val="9"/>
      </w:numPr>
    </w:pPr>
  </w:style>
  <w:style w:type="numbering" w:customStyle="1" w:styleId="List36">
    <w:name w:val="List 36"/>
    <w:rsid w:val="00D66C63"/>
    <w:pPr>
      <w:numPr>
        <w:numId w:val="13"/>
      </w:numPr>
    </w:pPr>
  </w:style>
  <w:style w:type="numbering" w:customStyle="1" w:styleId="List25">
    <w:name w:val="List 25"/>
    <w:rsid w:val="00D66C63"/>
    <w:pPr>
      <w:numPr>
        <w:numId w:val="14"/>
      </w:numPr>
    </w:pPr>
  </w:style>
  <w:style w:type="numbering" w:customStyle="1" w:styleId="List1">
    <w:name w:val="List 1"/>
    <w:rsid w:val="00D66C63"/>
    <w:pPr>
      <w:numPr>
        <w:numId w:val="1"/>
      </w:numPr>
    </w:pPr>
  </w:style>
  <w:style w:type="numbering" w:customStyle="1" w:styleId="List11">
    <w:name w:val="List 11"/>
    <w:rsid w:val="00D66C63"/>
    <w:pPr>
      <w:numPr>
        <w:numId w:val="6"/>
      </w:numPr>
    </w:pPr>
  </w:style>
  <w:style w:type="numbering" w:customStyle="1" w:styleId="List15">
    <w:name w:val="List 15"/>
    <w:rsid w:val="00D66C63"/>
    <w:pPr>
      <w:numPr>
        <w:numId w:val="15"/>
      </w:numPr>
    </w:pPr>
  </w:style>
  <w:style w:type="numbering" w:customStyle="1" w:styleId="List14">
    <w:name w:val="List 14"/>
    <w:rsid w:val="00D66C63"/>
    <w:pPr>
      <w:numPr>
        <w:numId w:val="16"/>
      </w:numPr>
    </w:pPr>
  </w:style>
  <w:style w:type="numbering" w:customStyle="1" w:styleId="List23">
    <w:name w:val="List 23"/>
    <w:rsid w:val="00D66C63"/>
    <w:pPr>
      <w:numPr>
        <w:numId w:val="17"/>
      </w:numPr>
    </w:pPr>
  </w:style>
  <w:style w:type="numbering" w:customStyle="1" w:styleId="List19">
    <w:name w:val="List 19"/>
    <w:rsid w:val="00D66C63"/>
    <w:pPr>
      <w:numPr>
        <w:numId w:val="18"/>
      </w:numPr>
    </w:pPr>
  </w:style>
  <w:style w:type="numbering" w:customStyle="1" w:styleId="List45">
    <w:name w:val="List 45"/>
    <w:rsid w:val="00D66C63"/>
    <w:pPr>
      <w:numPr>
        <w:numId w:val="19"/>
      </w:numPr>
    </w:pPr>
  </w:style>
  <w:style w:type="numbering" w:customStyle="1" w:styleId="List40">
    <w:name w:val="List 40"/>
    <w:rsid w:val="00D66C63"/>
    <w:pPr>
      <w:numPr>
        <w:numId w:val="20"/>
      </w:numPr>
    </w:pPr>
  </w:style>
  <w:style w:type="numbering" w:customStyle="1" w:styleId="List9">
    <w:name w:val="List 9"/>
    <w:rsid w:val="00D66C63"/>
    <w:pPr>
      <w:numPr>
        <w:numId w:val="21"/>
      </w:numPr>
    </w:pPr>
  </w:style>
  <w:style w:type="numbering" w:customStyle="1" w:styleId="List43">
    <w:name w:val="List 43"/>
    <w:rsid w:val="00D66C63"/>
    <w:pPr>
      <w:numPr>
        <w:numId w:val="22"/>
      </w:numPr>
    </w:pPr>
  </w:style>
  <w:style w:type="numbering" w:customStyle="1" w:styleId="List46">
    <w:name w:val="List 46"/>
    <w:rsid w:val="00D66C63"/>
    <w:pPr>
      <w:numPr>
        <w:numId w:val="23"/>
      </w:numPr>
    </w:pPr>
  </w:style>
  <w:style w:type="numbering" w:customStyle="1" w:styleId="List35">
    <w:name w:val="List 35"/>
    <w:rsid w:val="00D66C63"/>
    <w:pPr>
      <w:numPr>
        <w:numId w:val="7"/>
      </w:numPr>
    </w:pPr>
  </w:style>
  <w:style w:type="numbering" w:customStyle="1" w:styleId="List17">
    <w:name w:val="List 17"/>
    <w:rsid w:val="00D66C63"/>
    <w:pPr>
      <w:numPr>
        <w:numId w:val="24"/>
      </w:numPr>
    </w:pPr>
  </w:style>
  <w:style w:type="numbering" w:customStyle="1" w:styleId="List33">
    <w:name w:val="List 33"/>
    <w:rsid w:val="00D66C63"/>
    <w:pPr>
      <w:numPr>
        <w:numId w:val="25"/>
      </w:numPr>
    </w:pPr>
  </w:style>
  <w:style w:type="numbering" w:customStyle="1" w:styleId="List7">
    <w:name w:val="List 7"/>
    <w:rsid w:val="00D66C63"/>
    <w:pPr>
      <w:numPr>
        <w:numId w:val="3"/>
      </w:numPr>
    </w:pPr>
  </w:style>
  <w:style w:type="numbering" w:customStyle="1" w:styleId="List18">
    <w:name w:val="List 18"/>
    <w:rsid w:val="00D66C63"/>
    <w:pPr>
      <w:numPr>
        <w:numId w:val="26"/>
      </w:numPr>
    </w:pPr>
  </w:style>
  <w:style w:type="numbering" w:customStyle="1" w:styleId="List22">
    <w:name w:val="List 22"/>
    <w:rsid w:val="00D66C63"/>
    <w:pPr>
      <w:numPr>
        <w:numId w:val="27"/>
      </w:numPr>
    </w:pPr>
  </w:style>
  <w:style w:type="numbering" w:customStyle="1" w:styleId="List47">
    <w:name w:val="List 47"/>
    <w:rsid w:val="00D66C63"/>
    <w:pPr>
      <w:numPr>
        <w:numId w:val="28"/>
      </w:numPr>
    </w:pPr>
  </w:style>
  <w:style w:type="numbering" w:customStyle="1" w:styleId="List28">
    <w:name w:val="List 28"/>
    <w:rsid w:val="00D66C63"/>
    <w:pPr>
      <w:numPr>
        <w:numId w:val="29"/>
      </w:numPr>
    </w:pPr>
  </w:style>
  <w:style w:type="numbering" w:customStyle="1" w:styleId="List10">
    <w:name w:val="List 10"/>
    <w:rsid w:val="00D66C63"/>
    <w:pPr>
      <w:numPr>
        <w:numId w:val="5"/>
      </w:numPr>
    </w:pPr>
  </w:style>
  <w:style w:type="numbering" w:customStyle="1" w:styleId="List0">
    <w:name w:val="List 0"/>
    <w:rsid w:val="00D66C63"/>
    <w:pPr>
      <w:numPr>
        <w:numId w:val="30"/>
      </w:numPr>
    </w:pPr>
  </w:style>
  <w:style w:type="numbering" w:customStyle="1" w:styleId="List30">
    <w:name w:val="List 30"/>
    <w:rsid w:val="00D66C63"/>
    <w:pPr>
      <w:numPr>
        <w:numId w:val="31"/>
      </w:numPr>
    </w:pPr>
  </w:style>
  <w:style w:type="numbering" w:customStyle="1" w:styleId="List29">
    <w:name w:val="List 29"/>
    <w:rsid w:val="00D66C63"/>
    <w:pPr>
      <w:numPr>
        <w:numId w:val="32"/>
      </w:numPr>
    </w:pPr>
  </w:style>
  <w:style w:type="numbering" w:customStyle="1" w:styleId="List38">
    <w:name w:val="List 38"/>
    <w:rsid w:val="00D66C63"/>
    <w:pPr>
      <w:numPr>
        <w:numId w:val="33"/>
      </w:numPr>
    </w:pPr>
  </w:style>
  <w:style w:type="numbering" w:customStyle="1" w:styleId="List12">
    <w:name w:val="List 12"/>
    <w:rsid w:val="00D66C63"/>
    <w:pPr>
      <w:numPr>
        <w:numId w:val="34"/>
      </w:numPr>
    </w:pPr>
  </w:style>
  <w:style w:type="numbering" w:customStyle="1" w:styleId="List50">
    <w:name w:val="List 50"/>
    <w:rsid w:val="00D66C63"/>
    <w:pPr>
      <w:numPr>
        <w:numId w:val="35"/>
      </w:numPr>
    </w:pPr>
  </w:style>
  <w:style w:type="numbering" w:customStyle="1" w:styleId="List34">
    <w:name w:val="List 34"/>
    <w:rsid w:val="00D66C63"/>
    <w:pPr>
      <w:numPr>
        <w:numId w:val="10"/>
      </w:numPr>
    </w:pPr>
  </w:style>
  <w:style w:type="numbering" w:customStyle="1" w:styleId="List42">
    <w:name w:val="List 42"/>
    <w:rsid w:val="00D66C63"/>
    <w:pPr>
      <w:numPr>
        <w:numId w:val="11"/>
      </w:numPr>
    </w:pPr>
  </w:style>
  <w:style w:type="numbering" w:customStyle="1" w:styleId="List49">
    <w:name w:val="List 49"/>
    <w:rsid w:val="00D66C63"/>
    <w:pPr>
      <w:numPr>
        <w:numId w:val="36"/>
      </w:numPr>
    </w:pPr>
  </w:style>
  <w:style w:type="numbering" w:customStyle="1" w:styleId="List44">
    <w:name w:val="List 44"/>
    <w:rsid w:val="00D66C63"/>
    <w:pPr>
      <w:numPr>
        <w:numId w:val="37"/>
      </w:numPr>
    </w:pPr>
  </w:style>
  <w:style w:type="numbering" w:customStyle="1" w:styleId="List21">
    <w:name w:val="List 21"/>
    <w:rsid w:val="00D66C63"/>
    <w:pPr>
      <w:numPr>
        <w:numId w:val="48"/>
      </w:numPr>
    </w:pPr>
  </w:style>
  <w:style w:type="numbering" w:customStyle="1" w:styleId="List52">
    <w:name w:val="List 52"/>
    <w:rsid w:val="00D66C63"/>
    <w:pPr>
      <w:numPr>
        <w:numId w:val="8"/>
      </w:numPr>
    </w:pPr>
  </w:style>
  <w:style w:type="numbering" w:customStyle="1" w:styleId="List24">
    <w:name w:val="List 24"/>
    <w:rsid w:val="00D66C63"/>
    <w:pPr>
      <w:numPr>
        <w:numId w:val="12"/>
      </w:numPr>
    </w:pPr>
  </w:style>
  <w:style w:type="numbering" w:customStyle="1" w:styleId="List51">
    <w:name w:val="List 51"/>
    <w:rsid w:val="00D66C63"/>
    <w:pPr>
      <w:numPr>
        <w:numId w:val="50"/>
      </w:numPr>
    </w:pPr>
  </w:style>
  <w:style w:type="numbering" w:customStyle="1" w:styleId="List27">
    <w:name w:val="List 27"/>
    <w:rsid w:val="00D66C63"/>
    <w:pPr>
      <w:numPr>
        <w:numId w:val="38"/>
      </w:numPr>
    </w:pPr>
  </w:style>
  <w:style w:type="numbering" w:customStyle="1" w:styleId="List8">
    <w:name w:val="List 8"/>
    <w:rsid w:val="00D66C63"/>
    <w:pPr>
      <w:numPr>
        <w:numId w:val="4"/>
      </w:numPr>
    </w:pPr>
  </w:style>
  <w:style w:type="numbering" w:customStyle="1" w:styleId="List13">
    <w:name w:val="List 13"/>
    <w:rsid w:val="00D66C63"/>
    <w:pPr>
      <w:numPr>
        <w:numId w:val="39"/>
      </w:numPr>
    </w:pPr>
  </w:style>
  <w:style w:type="numbering" w:customStyle="1" w:styleId="List20">
    <w:name w:val="List 20"/>
    <w:rsid w:val="00D66C63"/>
    <w:pPr>
      <w:numPr>
        <w:numId w:val="40"/>
      </w:numPr>
    </w:pPr>
  </w:style>
  <w:style w:type="numbering" w:customStyle="1" w:styleId="List41">
    <w:name w:val="List 41"/>
    <w:rsid w:val="00D66C63"/>
    <w:pPr>
      <w:numPr>
        <w:numId w:val="41"/>
      </w:numPr>
    </w:pPr>
  </w:style>
  <w:style w:type="numbering" w:customStyle="1" w:styleId="List31">
    <w:name w:val="List 31"/>
    <w:rsid w:val="00D66C63"/>
    <w:pPr>
      <w:numPr>
        <w:numId w:val="42"/>
      </w:numPr>
    </w:pPr>
  </w:style>
  <w:style w:type="numbering" w:customStyle="1" w:styleId="List6">
    <w:name w:val="List 6"/>
    <w:rsid w:val="00D66C63"/>
    <w:pPr>
      <w:numPr>
        <w:numId w:val="2"/>
      </w:numPr>
    </w:pPr>
  </w:style>
  <w:style w:type="numbering" w:customStyle="1" w:styleId="List39">
    <w:name w:val="List 39"/>
    <w:rsid w:val="00D66C63"/>
    <w:pPr>
      <w:numPr>
        <w:numId w:val="43"/>
      </w:numPr>
    </w:pPr>
  </w:style>
  <w:style w:type="numbering" w:customStyle="1" w:styleId="List37">
    <w:name w:val="List 37"/>
    <w:rsid w:val="00D66C63"/>
    <w:pPr>
      <w:numPr>
        <w:numId w:val="44"/>
      </w:numPr>
    </w:pPr>
  </w:style>
  <w:style w:type="numbering" w:customStyle="1" w:styleId="List32">
    <w:name w:val="List 32"/>
    <w:rsid w:val="00D66C63"/>
    <w:pPr>
      <w:numPr>
        <w:numId w:val="45"/>
      </w:numPr>
    </w:pPr>
  </w:style>
  <w:style w:type="numbering" w:customStyle="1" w:styleId="List26">
    <w:name w:val="List 26"/>
    <w:rsid w:val="00D66C63"/>
    <w:pPr>
      <w:numPr>
        <w:numId w:val="46"/>
      </w:numPr>
    </w:pPr>
  </w:style>
  <w:style w:type="numbering" w:customStyle="1" w:styleId="List48">
    <w:name w:val="List 48"/>
    <w:rsid w:val="00D66C63"/>
    <w:pPr>
      <w:numPr>
        <w:numId w:val="47"/>
      </w:numPr>
    </w:pPr>
  </w:style>
  <w:style w:type="character" w:styleId="Emphasis">
    <w:name w:val="Emphasis"/>
    <w:basedOn w:val="DefaultParagraphFont"/>
    <w:qFormat/>
    <w:locked/>
    <w:rsid w:val="00C179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2401</Words>
  <Characters>12895</Characters>
  <Application>Microsoft Office Word</Application>
  <DocSecurity>0</DocSecurity>
  <Lines>314</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69/16</dc:title>
  <dc:creator/>
  <cp:lastModifiedBy/>
  <cp:revision>1</cp:revision>
  <dcterms:created xsi:type="dcterms:W3CDTF">2016-12-21T14:11:00Z</dcterms:created>
  <dcterms:modified xsi:type="dcterms:W3CDTF">2016-12-21T14:11:00Z</dcterms:modified>
</cp:coreProperties>
</file>