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30DB" w:rsidRPr="00302885" w:rsidRDefault="002530DB" w:rsidP="002530DB">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302885">
                              <w:rPr>
                                <w:rFonts w:asciiTheme="majorHAnsi" w:hAnsiTheme="majorHAnsi" w:cs="Arial"/>
                                <w:b/>
                                <w:bCs/>
                                <w:color w:val="0D0D0D" w:themeColor="text1" w:themeTint="F2"/>
                                <w:sz w:val="36"/>
                                <w:szCs w:val="40"/>
                              </w:rPr>
                              <w:t>No.</w:t>
                            </w:r>
                            <w:r w:rsidRPr="00302885">
                              <w:rPr>
                                <w:rFonts w:asciiTheme="majorHAnsi" w:hAnsiTheme="majorHAnsi" w:cs="Arial"/>
                                <w:b/>
                                <w:bCs/>
                                <w:color w:val="0D0D0D" w:themeColor="text1" w:themeTint="F2"/>
                                <w:sz w:val="36"/>
                                <w:szCs w:val="22"/>
                              </w:rPr>
                              <w:t xml:space="preserve"> </w:t>
                            </w:r>
                            <w:r w:rsidR="00BF0C45">
                              <w:rPr>
                                <w:rFonts w:asciiTheme="majorHAnsi" w:hAnsiTheme="majorHAnsi" w:cs="Arial"/>
                                <w:b/>
                                <w:bCs/>
                                <w:color w:val="0D0D0D" w:themeColor="text1" w:themeTint="F2"/>
                                <w:sz w:val="36"/>
                                <w:szCs w:val="22"/>
                              </w:rPr>
                              <w:t>138</w:t>
                            </w:r>
                            <w:r w:rsidRPr="00302885">
                              <w:rPr>
                                <w:rFonts w:asciiTheme="majorHAnsi" w:hAnsiTheme="majorHAnsi" w:cs="Arial"/>
                                <w:b/>
                                <w:bCs/>
                                <w:color w:val="0D0D0D" w:themeColor="text1" w:themeTint="F2"/>
                                <w:sz w:val="36"/>
                                <w:szCs w:val="22"/>
                              </w:rPr>
                              <w:t>/17</w:t>
                            </w:r>
                          </w:p>
                          <w:p w:rsidR="002530DB" w:rsidRPr="00302885" w:rsidRDefault="002530DB" w:rsidP="002530DB">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w:t>
                            </w:r>
                            <w:r w:rsidRPr="00302885">
                              <w:rPr>
                                <w:rFonts w:asciiTheme="majorHAnsi" w:hAnsiTheme="majorHAnsi" w:cs="Arial"/>
                                <w:b/>
                                <w:color w:val="0D0D0D" w:themeColor="text1" w:themeTint="F2"/>
                                <w:sz w:val="36"/>
                                <w:szCs w:val="22"/>
                              </w:rPr>
                              <w:t>N 642-08</w:t>
                            </w:r>
                          </w:p>
                          <w:p w:rsidR="002530DB" w:rsidRPr="00302885" w:rsidRDefault="002530DB" w:rsidP="002530DB">
                            <w:pPr>
                              <w:spacing w:line="276" w:lineRule="auto"/>
                              <w:rPr>
                                <w:rFonts w:asciiTheme="majorHAnsi" w:hAnsiTheme="majorHAnsi" w:cs="Arial"/>
                                <w:szCs w:val="22"/>
                              </w:rPr>
                            </w:pPr>
                            <w:r>
                              <w:rPr>
                                <w:rFonts w:asciiTheme="majorHAnsi" w:hAnsiTheme="majorHAnsi" w:cs="Arial"/>
                                <w:szCs w:val="22"/>
                              </w:rPr>
                              <w:t xml:space="preserve">REPORT ON </w:t>
                            </w:r>
                            <w:r w:rsidRPr="00302885">
                              <w:rPr>
                                <w:rFonts w:asciiTheme="majorHAnsi" w:hAnsiTheme="majorHAnsi" w:cs="Arial"/>
                                <w:szCs w:val="22"/>
                              </w:rPr>
                              <w:t>ADMI</w:t>
                            </w:r>
                            <w:r>
                              <w:rPr>
                                <w:rFonts w:asciiTheme="majorHAnsi" w:hAnsiTheme="majorHAnsi" w:cs="Arial"/>
                                <w:szCs w:val="22"/>
                              </w:rPr>
                              <w:t>S</w:t>
                            </w:r>
                            <w:r w:rsidRPr="00302885">
                              <w:rPr>
                                <w:rFonts w:asciiTheme="majorHAnsi" w:hAnsiTheme="majorHAnsi" w:cs="Arial"/>
                                <w:szCs w:val="22"/>
                              </w:rPr>
                              <w:t>SIBILI</w:t>
                            </w:r>
                            <w:r>
                              <w:rPr>
                                <w:rFonts w:asciiTheme="majorHAnsi" w:hAnsiTheme="majorHAnsi" w:cs="Arial"/>
                                <w:szCs w:val="22"/>
                              </w:rPr>
                              <w:t>TY</w:t>
                            </w:r>
                            <w:r w:rsidRPr="00302885">
                              <w:rPr>
                                <w:rFonts w:asciiTheme="majorHAnsi" w:hAnsiTheme="majorHAnsi" w:cs="Arial"/>
                                <w:szCs w:val="22"/>
                              </w:rPr>
                              <w:t xml:space="preserve"> </w:t>
                            </w:r>
                          </w:p>
                          <w:p w:rsidR="002530DB" w:rsidRPr="00302885" w:rsidRDefault="002530DB" w:rsidP="002530DB">
                            <w:pPr>
                              <w:spacing w:line="276" w:lineRule="auto"/>
                              <w:rPr>
                                <w:rFonts w:asciiTheme="majorHAnsi" w:hAnsiTheme="majorHAnsi" w:cs="Arial"/>
                                <w:color w:val="FF0000"/>
                                <w:szCs w:val="22"/>
                              </w:rPr>
                            </w:pPr>
                            <w:bookmarkStart w:id="1" w:name="_ftnref1"/>
                          </w:p>
                          <w:p w:rsidR="002530DB" w:rsidRPr="00302885" w:rsidRDefault="002530DB" w:rsidP="002530DB">
                            <w:pPr>
                              <w:spacing w:line="276" w:lineRule="auto"/>
                              <w:rPr>
                                <w:rFonts w:asciiTheme="majorHAnsi" w:hAnsiTheme="majorHAnsi" w:cs="Arial"/>
                                <w:szCs w:val="22"/>
                              </w:rPr>
                            </w:pPr>
                            <w:r>
                              <w:rPr>
                                <w:rFonts w:asciiTheme="majorHAnsi" w:hAnsiTheme="majorHAnsi" w:cs="Arial"/>
                                <w:szCs w:val="22"/>
                              </w:rPr>
                              <w:t>JULIO CÉSAR ROTELA AND</w:t>
                            </w:r>
                            <w:r w:rsidRPr="00302885">
                              <w:rPr>
                                <w:rFonts w:asciiTheme="majorHAnsi" w:hAnsiTheme="majorHAnsi" w:cs="Arial"/>
                                <w:szCs w:val="22"/>
                              </w:rPr>
                              <w:t xml:space="preserve"> ALBERTO ENRIQUE BAEZ</w:t>
                            </w:r>
                          </w:p>
                          <w:bookmarkEnd w:id="1"/>
                          <w:p w:rsidR="002530DB" w:rsidRPr="00302885" w:rsidRDefault="002530DB" w:rsidP="002530DB">
                            <w:pPr>
                              <w:spacing w:line="276" w:lineRule="auto"/>
                              <w:rPr>
                                <w:rFonts w:asciiTheme="majorHAnsi" w:hAnsiTheme="majorHAnsi" w:cs="Arial"/>
                                <w:szCs w:val="22"/>
                              </w:rPr>
                            </w:pPr>
                            <w:r w:rsidRPr="00302885">
                              <w:rPr>
                                <w:rFonts w:asciiTheme="majorHAnsi" w:hAnsiTheme="majorHAnsi" w:cs="Arial"/>
                                <w:szCs w:val="22"/>
                              </w:rPr>
                              <w:t>ARGENTINA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2530DB" w:rsidRPr="00302885" w:rsidRDefault="002530DB" w:rsidP="002530DB">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302885">
                        <w:rPr>
                          <w:rFonts w:asciiTheme="majorHAnsi" w:hAnsiTheme="majorHAnsi" w:cs="Arial"/>
                          <w:b/>
                          <w:bCs/>
                          <w:color w:val="0D0D0D" w:themeColor="text1" w:themeTint="F2"/>
                          <w:sz w:val="36"/>
                          <w:szCs w:val="40"/>
                        </w:rPr>
                        <w:t>No.</w:t>
                      </w:r>
                      <w:r w:rsidRPr="00302885">
                        <w:rPr>
                          <w:rFonts w:asciiTheme="majorHAnsi" w:hAnsiTheme="majorHAnsi" w:cs="Arial"/>
                          <w:b/>
                          <w:bCs/>
                          <w:color w:val="0D0D0D" w:themeColor="text1" w:themeTint="F2"/>
                          <w:sz w:val="36"/>
                          <w:szCs w:val="22"/>
                        </w:rPr>
                        <w:t xml:space="preserve"> </w:t>
                      </w:r>
                      <w:r w:rsidR="00BF0C45">
                        <w:rPr>
                          <w:rFonts w:asciiTheme="majorHAnsi" w:hAnsiTheme="majorHAnsi" w:cs="Arial"/>
                          <w:b/>
                          <w:bCs/>
                          <w:color w:val="0D0D0D" w:themeColor="text1" w:themeTint="F2"/>
                          <w:sz w:val="36"/>
                          <w:szCs w:val="22"/>
                        </w:rPr>
                        <w:t>138</w:t>
                      </w:r>
                      <w:r w:rsidRPr="00302885">
                        <w:rPr>
                          <w:rFonts w:asciiTheme="majorHAnsi" w:hAnsiTheme="majorHAnsi" w:cs="Arial"/>
                          <w:b/>
                          <w:bCs/>
                          <w:color w:val="0D0D0D" w:themeColor="text1" w:themeTint="F2"/>
                          <w:sz w:val="36"/>
                          <w:szCs w:val="22"/>
                        </w:rPr>
                        <w:t>/17</w:t>
                      </w:r>
                    </w:p>
                    <w:p w:rsidR="002530DB" w:rsidRPr="00302885" w:rsidRDefault="002530DB" w:rsidP="002530DB">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w:t>
                      </w:r>
                      <w:r w:rsidRPr="00302885">
                        <w:rPr>
                          <w:rFonts w:asciiTheme="majorHAnsi" w:hAnsiTheme="majorHAnsi" w:cs="Arial"/>
                          <w:b/>
                          <w:color w:val="0D0D0D" w:themeColor="text1" w:themeTint="F2"/>
                          <w:sz w:val="36"/>
                          <w:szCs w:val="22"/>
                        </w:rPr>
                        <w:t>N 642-08</w:t>
                      </w:r>
                    </w:p>
                    <w:p w:rsidR="002530DB" w:rsidRPr="00302885" w:rsidRDefault="002530DB" w:rsidP="002530DB">
                      <w:pPr>
                        <w:spacing w:line="276" w:lineRule="auto"/>
                        <w:rPr>
                          <w:rFonts w:asciiTheme="majorHAnsi" w:hAnsiTheme="majorHAnsi" w:cs="Arial"/>
                          <w:szCs w:val="22"/>
                        </w:rPr>
                      </w:pPr>
                      <w:r>
                        <w:rPr>
                          <w:rFonts w:asciiTheme="majorHAnsi" w:hAnsiTheme="majorHAnsi" w:cs="Arial"/>
                          <w:szCs w:val="22"/>
                        </w:rPr>
                        <w:t xml:space="preserve">REPORT ON </w:t>
                      </w:r>
                      <w:r w:rsidRPr="00302885">
                        <w:rPr>
                          <w:rFonts w:asciiTheme="majorHAnsi" w:hAnsiTheme="majorHAnsi" w:cs="Arial"/>
                          <w:szCs w:val="22"/>
                        </w:rPr>
                        <w:t>ADMI</w:t>
                      </w:r>
                      <w:r>
                        <w:rPr>
                          <w:rFonts w:asciiTheme="majorHAnsi" w:hAnsiTheme="majorHAnsi" w:cs="Arial"/>
                          <w:szCs w:val="22"/>
                        </w:rPr>
                        <w:t>S</w:t>
                      </w:r>
                      <w:r w:rsidRPr="00302885">
                        <w:rPr>
                          <w:rFonts w:asciiTheme="majorHAnsi" w:hAnsiTheme="majorHAnsi" w:cs="Arial"/>
                          <w:szCs w:val="22"/>
                        </w:rPr>
                        <w:t>SIBILI</w:t>
                      </w:r>
                      <w:r>
                        <w:rPr>
                          <w:rFonts w:asciiTheme="majorHAnsi" w:hAnsiTheme="majorHAnsi" w:cs="Arial"/>
                          <w:szCs w:val="22"/>
                        </w:rPr>
                        <w:t>TY</w:t>
                      </w:r>
                      <w:r w:rsidRPr="00302885">
                        <w:rPr>
                          <w:rFonts w:asciiTheme="majorHAnsi" w:hAnsiTheme="majorHAnsi" w:cs="Arial"/>
                          <w:szCs w:val="22"/>
                        </w:rPr>
                        <w:t xml:space="preserve"> </w:t>
                      </w:r>
                    </w:p>
                    <w:p w:rsidR="002530DB" w:rsidRPr="00302885" w:rsidRDefault="002530DB" w:rsidP="002530DB">
                      <w:pPr>
                        <w:spacing w:line="276" w:lineRule="auto"/>
                        <w:rPr>
                          <w:rFonts w:asciiTheme="majorHAnsi" w:hAnsiTheme="majorHAnsi" w:cs="Arial"/>
                          <w:color w:val="FF0000"/>
                          <w:szCs w:val="22"/>
                        </w:rPr>
                      </w:pPr>
                      <w:bookmarkStart w:id="2" w:name="_ftnref1"/>
                    </w:p>
                    <w:p w:rsidR="002530DB" w:rsidRPr="00302885" w:rsidRDefault="002530DB" w:rsidP="002530DB">
                      <w:pPr>
                        <w:spacing w:line="276" w:lineRule="auto"/>
                        <w:rPr>
                          <w:rFonts w:asciiTheme="majorHAnsi" w:hAnsiTheme="majorHAnsi" w:cs="Arial"/>
                          <w:szCs w:val="22"/>
                        </w:rPr>
                      </w:pPr>
                      <w:r>
                        <w:rPr>
                          <w:rFonts w:asciiTheme="majorHAnsi" w:hAnsiTheme="majorHAnsi" w:cs="Arial"/>
                          <w:szCs w:val="22"/>
                        </w:rPr>
                        <w:t>JULIO CÉSAR ROTELA AND</w:t>
                      </w:r>
                      <w:r w:rsidRPr="00302885">
                        <w:rPr>
                          <w:rFonts w:asciiTheme="majorHAnsi" w:hAnsiTheme="majorHAnsi" w:cs="Arial"/>
                          <w:szCs w:val="22"/>
                        </w:rPr>
                        <w:t xml:space="preserve"> ALBERTO ENRIQUE BAEZ</w:t>
                      </w:r>
                    </w:p>
                    <w:bookmarkEnd w:id="2"/>
                    <w:p w:rsidR="002530DB" w:rsidRPr="00302885" w:rsidRDefault="002530DB" w:rsidP="002530DB">
                      <w:pPr>
                        <w:spacing w:line="276" w:lineRule="auto"/>
                        <w:rPr>
                          <w:rFonts w:asciiTheme="majorHAnsi" w:hAnsiTheme="majorHAnsi" w:cs="Arial"/>
                          <w:szCs w:val="22"/>
                        </w:rPr>
                      </w:pPr>
                      <w:r w:rsidRPr="00302885">
                        <w:rPr>
                          <w:rFonts w:asciiTheme="majorHAnsi" w:hAnsiTheme="majorHAnsi" w:cs="Arial"/>
                          <w:szCs w:val="22"/>
                        </w:rPr>
                        <w:t>ARGENTINA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153C0" w:rsidRDefault="00627C9F" w:rsidP="002C1641">
                            <w:pPr>
                              <w:jc w:val="right"/>
                              <w:rPr>
                                <w:rFonts w:asciiTheme="minorHAnsi" w:hAnsiTheme="minorHAnsi"/>
                                <w:color w:val="FFFFFF" w:themeColor="background1"/>
                                <w:sz w:val="22"/>
                                <w:lang w:val="pt-BR"/>
                              </w:rPr>
                            </w:pPr>
                            <w:r w:rsidRPr="005153C0">
                              <w:rPr>
                                <w:rFonts w:asciiTheme="minorHAnsi" w:hAnsiTheme="minorHAnsi"/>
                                <w:color w:val="FFFFFF" w:themeColor="background1"/>
                                <w:sz w:val="22"/>
                                <w:lang w:val="pt-BR"/>
                              </w:rPr>
                              <w:t>OEA/Ser.L/V/II.</w:t>
                            </w:r>
                            <w:r w:rsidR="003F3DDC" w:rsidRPr="005153C0">
                              <w:rPr>
                                <w:rFonts w:asciiTheme="minorHAnsi" w:hAnsiTheme="minorHAnsi"/>
                                <w:color w:val="FFFFFF" w:themeColor="background1"/>
                                <w:sz w:val="22"/>
                                <w:lang w:val="pt-BR"/>
                              </w:rPr>
                              <w:t>165</w:t>
                            </w:r>
                          </w:p>
                          <w:p w:rsidR="00627C9F" w:rsidRPr="005153C0" w:rsidRDefault="00627C9F" w:rsidP="002C1641">
                            <w:pPr>
                              <w:jc w:val="right"/>
                              <w:rPr>
                                <w:rFonts w:asciiTheme="minorHAnsi" w:hAnsiTheme="minorHAnsi"/>
                                <w:color w:val="FFFFFF" w:themeColor="background1"/>
                                <w:sz w:val="22"/>
                                <w:lang w:val="pt-BR"/>
                              </w:rPr>
                            </w:pPr>
                            <w:r w:rsidRPr="005153C0">
                              <w:rPr>
                                <w:rFonts w:asciiTheme="minorHAnsi" w:hAnsiTheme="minorHAnsi"/>
                                <w:color w:val="FFFFFF" w:themeColor="background1"/>
                                <w:sz w:val="22"/>
                                <w:lang w:val="pt-BR"/>
                              </w:rPr>
                              <w:t xml:space="preserve">Doc. </w:t>
                            </w:r>
                            <w:r w:rsidR="003F3DDC" w:rsidRPr="005153C0">
                              <w:rPr>
                                <w:rFonts w:asciiTheme="minorHAnsi" w:hAnsiTheme="minorHAnsi"/>
                                <w:color w:val="FFFFFF" w:themeColor="background1"/>
                                <w:sz w:val="22"/>
                                <w:lang w:val="pt-BR"/>
                              </w:rPr>
                              <w:t>164</w:t>
                            </w:r>
                          </w:p>
                          <w:p w:rsidR="00627C9F" w:rsidRPr="004B7EB6" w:rsidRDefault="003863F1"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863F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F3DDC" w:rsidRDefault="00627C9F" w:rsidP="002C1641">
                      <w:pPr>
                        <w:jc w:val="right"/>
                        <w:rPr>
                          <w:rFonts w:asciiTheme="minorHAnsi" w:hAnsiTheme="minorHAnsi"/>
                          <w:color w:val="FFFFFF" w:themeColor="background1"/>
                          <w:sz w:val="22"/>
                        </w:rPr>
                      </w:pPr>
                      <w:r w:rsidRPr="003F3DDC">
                        <w:rPr>
                          <w:rFonts w:asciiTheme="minorHAnsi" w:hAnsiTheme="minorHAnsi"/>
                          <w:color w:val="FFFFFF" w:themeColor="background1"/>
                          <w:sz w:val="22"/>
                        </w:rPr>
                        <w:t>OEA/Ser.L/V/II.</w:t>
                      </w:r>
                      <w:r w:rsidR="003F3DDC">
                        <w:rPr>
                          <w:rFonts w:asciiTheme="minorHAnsi" w:hAnsiTheme="minorHAnsi"/>
                          <w:color w:val="FFFFFF" w:themeColor="background1"/>
                          <w:sz w:val="22"/>
                        </w:rPr>
                        <w:t>165</w:t>
                      </w:r>
                    </w:p>
                    <w:p w:rsidR="00627C9F" w:rsidRPr="003F3DDC" w:rsidRDefault="00627C9F" w:rsidP="002C1641">
                      <w:pPr>
                        <w:jc w:val="right"/>
                        <w:rPr>
                          <w:rFonts w:asciiTheme="minorHAnsi" w:hAnsiTheme="minorHAnsi"/>
                          <w:color w:val="FFFFFF" w:themeColor="background1"/>
                          <w:sz w:val="22"/>
                        </w:rPr>
                      </w:pPr>
                      <w:r w:rsidRPr="003F3DDC">
                        <w:rPr>
                          <w:rFonts w:asciiTheme="minorHAnsi" w:hAnsiTheme="minorHAnsi"/>
                          <w:color w:val="FFFFFF" w:themeColor="background1"/>
                          <w:sz w:val="22"/>
                        </w:rPr>
                        <w:t xml:space="preserve">Doc. </w:t>
                      </w:r>
                      <w:r w:rsidR="003F3DDC" w:rsidRPr="003F3DDC">
                        <w:rPr>
                          <w:rFonts w:asciiTheme="minorHAnsi" w:hAnsiTheme="minorHAnsi"/>
                          <w:color w:val="FFFFFF" w:themeColor="background1"/>
                          <w:sz w:val="22"/>
                        </w:rPr>
                        <w:t>1</w:t>
                      </w:r>
                      <w:r w:rsidR="003F3DDC">
                        <w:rPr>
                          <w:rFonts w:asciiTheme="minorHAnsi" w:hAnsiTheme="minorHAnsi"/>
                          <w:color w:val="FFFFFF" w:themeColor="background1"/>
                          <w:sz w:val="22"/>
                        </w:rPr>
                        <w:t>64</w:t>
                      </w:r>
                    </w:p>
                    <w:p w:rsidR="00627C9F" w:rsidRPr="004B7EB6" w:rsidRDefault="003863F1"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863F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BF0C45">
                              <w:rPr>
                                <w:rFonts w:asciiTheme="majorHAnsi" w:hAnsiTheme="majorHAnsi"/>
                                <w:color w:val="0D0D0D" w:themeColor="text1" w:themeTint="F2"/>
                                <w:sz w:val="18"/>
                                <w:szCs w:val="20"/>
                              </w:rPr>
                              <w:t>2104</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BF0C45">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BF0C45">
                              <w:rPr>
                                <w:rFonts w:asciiTheme="majorHAnsi" w:hAnsiTheme="majorHAnsi"/>
                                <w:color w:val="0D0D0D" w:themeColor="text1" w:themeTint="F2"/>
                                <w:sz w:val="18"/>
                                <w:szCs w:val="20"/>
                              </w:rPr>
                              <w:t xml:space="preserve"> 26, 2017.</w:t>
                            </w:r>
                            <w:r w:rsidR="004B7EB6" w:rsidRPr="003C32BC">
                              <w:rPr>
                                <w:rFonts w:asciiTheme="majorHAnsi" w:hAnsiTheme="majorHAnsi"/>
                                <w:color w:val="0D0D0D" w:themeColor="text1" w:themeTint="F2"/>
                                <w:sz w:val="18"/>
                                <w:szCs w:val="20"/>
                              </w:rPr>
                              <w:br/>
                            </w:r>
                            <w:r w:rsidR="00BF0C45">
                              <w:rPr>
                                <w:rFonts w:asciiTheme="majorHAnsi" w:hAnsiTheme="majorHAnsi" w:cs="Univers"/>
                                <w:color w:val="0D0D0D" w:themeColor="text1" w:themeTint="F2"/>
                                <w:sz w:val="18"/>
                                <w:szCs w:val="20"/>
                              </w:rPr>
                              <w:t>165</w:t>
                            </w:r>
                            <w:r w:rsidR="003863F1" w:rsidRPr="003863F1">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3863F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3863F1">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BF0C45">
                        <w:rPr>
                          <w:rFonts w:asciiTheme="majorHAnsi" w:hAnsiTheme="majorHAnsi"/>
                          <w:color w:val="0D0D0D" w:themeColor="text1" w:themeTint="F2"/>
                          <w:sz w:val="18"/>
                          <w:szCs w:val="20"/>
                        </w:rPr>
                        <w:t>2104</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BF0C45">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BF0C45">
                        <w:rPr>
                          <w:rFonts w:asciiTheme="majorHAnsi" w:hAnsiTheme="majorHAnsi"/>
                          <w:color w:val="0D0D0D" w:themeColor="text1" w:themeTint="F2"/>
                          <w:sz w:val="18"/>
                          <w:szCs w:val="20"/>
                        </w:rPr>
                        <w:t xml:space="preserve"> 26, 2017.</w:t>
                      </w:r>
                      <w:r w:rsidR="004B7EB6" w:rsidRPr="003C32BC">
                        <w:rPr>
                          <w:rFonts w:asciiTheme="majorHAnsi" w:hAnsiTheme="majorHAnsi"/>
                          <w:color w:val="0D0D0D" w:themeColor="text1" w:themeTint="F2"/>
                          <w:sz w:val="18"/>
                          <w:szCs w:val="20"/>
                        </w:rPr>
                        <w:br/>
                      </w:r>
                      <w:r w:rsidR="00BF0C45">
                        <w:rPr>
                          <w:rFonts w:asciiTheme="majorHAnsi" w:hAnsiTheme="majorHAnsi" w:cs="Univers"/>
                          <w:color w:val="0D0D0D" w:themeColor="text1" w:themeTint="F2"/>
                          <w:sz w:val="18"/>
                          <w:szCs w:val="20"/>
                        </w:rPr>
                        <w:t>165</w:t>
                      </w:r>
                      <w:r w:rsidR="003863F1" w:rsidRPr="003863F1">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3863F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3863F1">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863F1">
                              <w:rPr>
                                <w:rFonts w:asciiTheme="majorHAnsi" w:hAnsiTheme="majorHAnsi"/>
                                <w:color w:val="595959" w:themeColor="text1" w:themeTint="A6"/>
                                <w:sz w:val="18"/>
                              </w:rPr>
                              <w:t>138/17</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Petition 642-08</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3863F1">
                              <w:rPr>
                                <w:rFonts w:asciiTheme="majorHAnsi" w:hAnsiTheme="majorHAnsi"/>
                                <w:color w:val="595959" w:themeColor="text1" w:themeTint="A6"/>
                                <w:sz w:val="18"/>
                              </w:rPr>
                              <w:t>. Julio Cesar Rotela and Alberto Enrique Baez</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Argentina. October 26,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863F1">
                        <w:rPr>
                          <w:rFonts w:asciiTheme="majorHAnsi" w:hAnsiTheme="majorHAnsi"/>
                          <w:color w:val="595959" w:themeColor="text1" w:themeTint="A6"/>
                          <w:sz w:val="18"/>
                        </w:rPr>
                        <w:t>138/17</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Petition 642-08</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3863F1">
                        <w:rPr>
                          <w:rFonts w:asciiTheme="majorHAnsi" w:hAnsiTheme="majorHAnsi"/>
                          <w:color w:val="595959" w:themeColor="text1" w:themeTint="A6"/>
                          <w:sz w:val="18"/>
                        </w:rPr>
                        <w:t>. Julio Cesar Rotela and Alberto Enrique Baez</w:t>
                      </w:r>
                      <w:r w:rsidRPr="003C32BC">
                        <w:rPr>
                          <w:rFonts w:asciiTheme="majorHAnsi" w:hAnsiTheme="majorHAnsi"/>
                          <w:color w:val="595959" w:themeColor="text1" w:themeTint="A6"/>
                          <w:sz w:val="18"/>
                        </w:rPr>
                        <w:t xml:space="preserve">. </w:t>
                      </w:r>
                      <w:r w:rsidR="003863F1">
                        <w:rPr>
                          <w:rFonts w:asciiTheme="majorHAnsi" w:hAnsiTheme="majorHAnsi"/>
                          <w:color w:val="595959" w:themeColor="text1" w:themeTint="A6"/>
                          <w:sz w:val="18"/>
                        </w:rPr>
                        <w:t>Argentina. October 26, 2017</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2530DB" w:rsidRPr="003863F1" w:rsidRDefault="002530DB" w:rsidP="002530DB">
      <w:pPr>
        <w:tabs>
          <w:tab w:val="center" w:pos="5400"/>
        </w:tabs>
        <w:suppressAutoHyphens/>
        <w:spacing w:line="276" w:lineRule="auto"/>
        <w:jc w:val="center"/>
        <w:rPr>
          <w:rFonts w:asciiTheme="majorHAnsi" w:hAnsiTheme="majorHAnsi"/>
          <w:b/>
          <w:sz w:val="18"/>
          <w:szCs w:val="20"/>
        </w:rPr>
      </w:pPr>
      <w:r w:rsidRPr="003863F1">
        <w:rPr>
          <w:rFonts w:asciiTheme="majorHAnsi" w:hAnsiTheme="majorHAnsi"/>
          <w:b/>
          <w:sz w:val="18"/>
          <w:szCs w:val="20"/>
        </w:rPr>
        <w:lastRenderedPageBreak/>
        <w:t xml:space="preserve">REPORT No. </w:t>
      </w:r>
      <w:r w:rsidR="003863F1" w:rsidRPr="003863F1">
        <w:rPr>
          <w:rFonts w:asciiTheme="majorHAnsi" w:hAnsiTheme="majorHAnsi"/>
          <w:b/>
          <w:sz w:val="18"/>
          <w:szCs w:val="20"/>
        </w:rPr>
        <w:t>138</w:t>
      </w:r>
      <w:r w:rsidRPr="003863F1">
        <w:rPr>
          <w:rFonts w:asciiTheme="majorHAnsi" w:hAnsiTheme="majorHAnsi"/>
          <w:b/>
          <w:sz w:val="18"/>
          <w:szCs w:val="20"/>
        </w:rPr>
        <w:t>/17</w:t>
      </w:r>
    </w:p>
    <w:p w:rsidR="002530DB" w:rsidRPr="003863F1" w:rsidRDefault="002530DB" w:rsidP="002530DB">
      <w:pPr>
        <w:tabs>
          <w:tab w:val="center" w:pos="5400"/>
        </w:tabs>
        <w:suppressAutoHyphens/>
        <w:spacing w:line="276" w:lineRule="auto"/>
        <w:jc w:val="center"/>
        <w:rPr>
          <w:rFonts w:asciiTheme="majorHAnsi" w:hAnsiTheme="majorHAnsi"/>
          <w:b/>
          <w:sz w:val="18"/>
          <w:szCs w:val="20"/>
        </w:rPr>
      </w:pPr>
      <w:r w:rsidRPr="003863F1">
        <w:rPr>
          <w:rFonts w:asciiTheme="majorHAnsi" w:hAnsiTheme="majorHAnsi"/>
          <w:b/>
          <w:sz w:val="18"/>
          <w:szCs w:val="20"/>
        </w:rPr>
        <w:t xml:space="preserve">PETITION 642-08 </w:t>
      </w:r>
    </w:p>
    <w:p w:rsidR="002530DB" w:rsidRPr="003863F1" w:rsidRDefault="002530DB" w:rsidP="002530DB">
      <w:pPr>
        <w:tabs>
          <w:tab w:val="center" w:pos="5400"/>
        </w:tabs>
        <w:suppressAutoHyphens/>
        <w:spacing w:line="276" w:lineRule="auto"/>
        <w:jc w:val="center"/>
        <w:rPr>
          <w:rFonts w:asciiTheme="majorHAnsi" w:hAnsiTheme="majorHAnsi"/>
          <w:sz w:val="18"/>
          <w:szCs w:val="20"/>
        </w:rPr>
      </w:pPr>
      <w:r w:rsidRPr="003863F1">
        <w:rPr>
          <w:rFonts w:asciiTheme="majorHAnsi" w:hAnsiTheme="majorHAnsi"/>
          <w:sz w:val="18"/>
          <w:szCs w:val="20"/>
        </w:rPr>
        <w:t xml:space="preserve">REPORT ON ADMISSIBILITY </w:t>
      </w:r>
    </w:p>
    <w:p w:rsidR="002530DB" w:rsidRPr="003863F1" w:rsidRDefault="002530DB" w:rsidP="002530DB">
      <w:pPr>
        <w:spacing w:line="276" w:lineRule="auto"/>
        <w:jc w:val="center"/>
        <w:rPr>
          <w:rFonts w:asciiTheme="majorHAnsi" w:hAnsiTheme="majorHAnsi" w:cs="Arial"/>
          <w:sz w:val="18"/>
          <w:szCs w:val="18"/>
        </w:rPr>
      </w:pPr>
      <w:r w:rsidRPr="003863F1">
        <w:rPr>
          <w:rFonts w:asciiTheme="majorHAnsi" w:hAnsiTheme="majorHAnsi" w:cs="Arial"/>
          <w:sz w:val="18"/>
          <w:szCs w:val="18"/>
        </w:rPr>
        <w:t>JULIO</w:t>
      </w:r>
      <w:r w:rsidRPr="003863F1">
        <w:rPr>
          <w:rFonts w:asciiTheme="majorHAnsi" w:hAnsiTheme="majorHAnsi" w:cs="Arial"/>
          <w:szCs w:val="22"/>
        </w:rPr>
        <w:t xml:space="preserve"> </w:t>
      </w:r>
      <w:r w:rsidRPr="003863F1">
        <w:rPr>
          <w:rFonts w:asciiTheme="majorHAnsi" w:hAnsiTheme="majorHAnsi" w:cs="Arial"/>
          <w:sz w:val="18"/>
          <w:szCs w:val="18"/>
        </w:rPr>
        <w:t>CÉSAR ROTELA AND ALBERTO ENRIQUE BAEZ</w:t>
      </w:r>
    </w:p>
    <w:p w:rsidR="002530DB" w:rsidRPr="003863F1" w:rsidRDefault="002530DB" w:rsidP="002530DB">
      <w:pPr>
        <w:tabs>
          <w:tab w:val="center" w:pos="5400"/>
        </w:tabs>
        <w:suppressAutoHyphens/>
        <w:spacing w:line="276" w:lineRule="auto"/>
        <w:jc w:val="center"/>
        <w:rPr>
          <w:rFonts w:asciiTheme="majorHAnsi" w:hAnsiTheme="majorHAnsi"/>
          <w:sz w:val="18"/>
          <w:szCs w:val="18"/>
        </w:rPr>
      </w:pPr>
      <w:r w:rsidRPr="003863F1">
        <w:rPr>
          <w:rFonts w:asciiTheme="majorHAnsi" w:hAnsiTheme="majorHAnsi"/>
          <w:sz w:val="18"/>
          <w:szCs w:val="18"/>
        </w:rPr>
        <w:t>ARGENTINA</w:t>
      </w:r>
    </w:p>
    <w:p w:rsidR="002530DB" w:rsidRPr="003863F1" w:rsidRDefault="003863F1" w:rsidP="002530DB">
      <w:pPr>
        <w:tabs>
          <w:tab w:val="center" w:pos="5400"/>
        </w:tabs>
        <w:suppressAutoHyphens/>
        <w:spacing w:line="276" w:lineRule="auto"/>
        <w:jc w:val="center"/>
        <w:rPr>
          <w:rFonts w:asciiTheme="majorHAnsi" w:hAnsiTheme="majorHAnsi"/>
          <w:sz w:val="18"/>
          <w:szCs w:val="20"/>
        </w:rPr>
      </w:pPr>
      <w:r w:rsidRPr="003863F1">
        <w:rPr>
          <w:rFonts w:asciiTheme="majorHAnsi" w:hAnsiTheme="majorHAnsi"/>
          <w:sz w:val="18"/>
          <w:szCs w:val="20"/>
        </w:rPr>
        <w:t>OCTOBER 26, 2017</w:t>
      </w:r>
    </w:p>
    <w:p w:rsidR="002530DB" w:rsidRPr="00822B9C" w:rsidRDefault="002530DB" w:rsidP="002530DB">
      <w:pPr>
        <w:tabs>
          <w:tab w:val="center" w:pos="5400"/>
        </w:tabs>
        <w:suppressAutoHyphens/>
        <w:spacing w:line="276" w:lineRule="auto"/>
        <w:rPr>
          <w:rFonts w:asciiTheme="majorHAnsi" w:hAnsiTheme="majorHAnsi"/>
          <w:sz w:val="20"/>
          <w:szCs w:val="20"/>
        </w:rPr>
      </w:pPr>
    </w:p>
    <w:p w:rsidR="002530DB" w:rsidRPr="00822B9C" w:rsidRDefault="002530DB" w:rsidP="002530DB">
      <w:pPr>
        <w:spacing w:after="240"/>
        <w:ind w:firstLine="720"/>
        <w:jc w:val="both"/>
        <w:rPr>
          <w:rFonts w:asciiTheme="majorHAnsi" w:hAnsiTheme="majorHAnsi"/>
          <w:b/>
          <w:bCs/>
          <w:sz w:val="20"/>
          <w:szCs w:val="20"/>
        </w:rPr>
      </w:pPr>
      <w:r>
        <w:rPr>
          <w:rFonts w:asciiTheme="majorHAnsi" w:hAnsiTheme="majorHAnsi"/>
          <w:b/>
          <w:bCs/>
          <w:sz w:val="20"/>
          <w:szCs w:val="20"/>
        </w:rPr>
        <w:t>I.</w:t>
      </w:r>
      <w:r>
        <w:rPr>
          <w:rFonts w:asciiTheme="majorHAnsi" w:hAnsiTheme="majorHAnsi"/>
          <w:b/>
          <w:bCs/>
          <w:sz w:val="20"/>
          <w:szCs w:val="20"/>
        </w:rPr>
        <w:tab/>
        <w:t xml:space="preserve">INFORMATION ON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530DB" w:rsidRPr="00822B9C" w:rsidTr="005153C0">
        <w:tc>
          <w:tcPr>
            <w:tcW w:w="4680" w:type="dxa"/>
            <w:tcBorders>
              <w:top w:val="single" w:sz="4" w:space="0" w:color="auto"/>
              <w:bottom w:val="single" w:sz="4"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Petitioner</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 xml:space="preserve">Federal Office of Public Defender </w:t>
            </w:r>
          </w:p>
        </w:tc>
      </w:tr>
      <w:tr w:rsidR="002530DB" w:rsidRPr="00822B9C" w:rsidTr="005153C0">
        <w:tc>
          <w:tcPr>
            <w:tcW w:w="4680" w:type="dxa"/>
            <w:tcBorders>
              <w:top w:val="single" w:sz="4" w:space="0" w:color="auto"/>
              <w:bottom w:val="single" w:sz="6" w:space="0" w:color="auto"/>
              <w:right w:val="single" w:sz="4" w:space="0" w:color="auto"/>
            </w:tcBorders>
            <w:shd w:val="clear" w:color="auto" w:fill="67AE3C"/>
            <w:vAlign w:val="center"/>
          </w:tcPr>
          <w:p w:rsidR="002530DB" w:rsidRPr="00822B9C" w:rsidRDefault="00B02BAE" w:rsidP="00B23DC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9202EFC1EF34480DB5BCA1CC43785AC8"/>
                </w:placeholder>
                <w:dropDownList>
                  <w:listItem w:value="Choose an item."/>
                  <w:listItem w:displayText="Presunta víctima" w:value="Presunta víctima"/>
                  <w:listItem w:displayText="Presuntas víctimas" w:value="Presuntas víctimas"/>
                </w:dropDownList>
              </w:sdtPr>
              <w:sdtEndPr/>
              <w:sdtContent>
                <w:r w:rsidR="002530DB" w:rsidRPr="00822B9C">
                  <w:rPr>
                    <w:rFonts w:asciiTheme="majorHAnsi" w:hAnsiTheme="majorHAnsi"/>
                    <w:b/>
                    <w:bCs/>
                    <w:color w:val="FFFFFF" w:themeColor="background1"/>
                    <w:sz w:val="20"/>
                    <w:szCs w:val="20"/>
                  </w:rPr>
                  <w:t>Presunta víctima</w:t>
                </w:r>
              </w:sdtContent>
            </w:sdt>
            <w:r w:rsidR="002530DB" w:rsidRPr="00822B9C">
              <w:rPr>
                <w:rFonts w:asciiTheme="majorHAnsi" w:hAnsiTheme="majorHAnsi"/>
                <w:b/>
                <w:bCs/>
                <w:color w:val="FFFFFF" w:themeColor="background1"/>
                <w:sz w:val="20"/>
                <w:szCs w:val="20"/>
              </w:rPr>
              <w:t>:</w:t>
            </w:r>
            <w:r w:rsidR="002530DB">
              <w:rPr>
                <w:rFonts w:asciiTheme="majorHAnsi" w:hAnsiTheme="majorHAnsi"/>
                <w:b/>
                <w:bCs/>
                <w:color w:val="FFFFFF" w:themeColor="background1"/>
                <w:sz w:val="20"/>
                <w:szCs w:val="20"/>
              </w:rPr>
              <w:t xml:space="preserve"> </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Julio César Rotela and</w:t>
            </w:r>
            <w:r w:rsidRPr="00822B9C">
              <w:rPr>
                <w:rFonts w:asciiTheme="majorHAnsi" w:hAnsiTheme="majorHAnsi"/>
                <w:bCs/>
                <w:sz w:val="20"/>
                <w:szCs w:val="20"/>
              </w:rPr>
              <w:t xml:space="preserve"> Alberto Enrique Baez</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Respondent State</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sidRPr="00822B9C">
              <w:rPr>
                <w:rFonts w:asciiTheme="majorHAnsi" w:hAnsiTheme="majorHAnsi"/>
                <w:bCs/>
                <w:sz w:val="20"/>
                <w:szCs w:val="20"/>
              </w:rPr>
              <w:t>Argentina</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Rights invoked</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sidRPr="00822B9C">
              <w:rPr>
                <w:rFonts w:asciiTheme="majorHAnsi" w:hAnsiTheme="majorHAnsi"/>
                <w:bCs/>
                <w:sz w:val="20"/>
                <w:szCs w:val="20"/>
              </w:rPr>
              <w:t>Art</w:t>
            </w:r>
            <w:r>
              <w:rPr>
                <w:rFonts w:asciiTheme="majorHAnsi" w:hAnsiTheme="majorHAnsi"/>
                <w:bCs/>
                <w:sz w:val="20"/>
                <w:szCs w:val="20"/>
              </w:rPr>
              <w:t xml:space="preserve">icles </w:t>
            </w:r>
            <w:r w:rsidRPr="00822B9C">
              <w:rPr>
                <w:rFonts w:asciiTheme="majorHAnsi" w:hAnsiTheme="majorHAnsi"/>
                <w:sz w:val="20"/>
                <w:szCs w:val="20"/>
              </w:rPr>
              <w:t>7 (personal</w:t>
            </w:r>
            <w:r>
              <w:rPr>
                <w:rFonts w:asciiTheme="majorHAnsi" w:hAnsiTheme="majorHAnsi"/>
                <w:sz w:val="20"/>
                <w:szCs w:val="20"/>
              </w:rPr>
              <w:t xml:space="preserve"> liberty</w:t>
            </w:r>
            <w:r w:rsidRPr="00822B9C">
              <w:rPr>
                <w:rFonts w:asciiTheme="majorHAnsi" w:hAnsiTheme="majorHAnsi"/>
                <w:sz w:val="20"/>
                <w:szCs w:val="20"/>
              </w:rPr>
              <w:t xml:space="preserve">) </w:t>
            </w:r>
            <w:r>
              <w:rPr>
                <w:rFonts w:asciiTheme="majorHAnsi" w:hAnsiTheme="majorHAnsi"/>
                <w:sz w:val="20"/>
                <w:szCs w:val="20"/>
              </w:rPr>
              <w:t xml:space="preserve">and </w:t>
            </w:r>
            <w:r w:rsidRPr="00822B9C">
              <w:rPr>
                <w:rFonts w:asciiTheme="majorHAnsi" w:hAnsiTheme="majorHAnsi"/>
                <w:sz w:val="20"/>
                <w:szCs w:val="20"/>
              </w:rPr>
              <w:t>8 (</w:t>
            </w:r>
            <w:r>
              <w:rPr>
                <w:rFonts w:asciiTheme="majorHAnsi" w:hAnsiTheme="majorHAnsi"/>
                <w:sz w:val="20"/>
                <w:szCs w:val="20"/>
              </w:rPr>
              <w:t>judicial guarantees) of the American Convention on Human Rights</w:t>
            </w:r>
            <w:r w:rsidRPr="00822B9C">
              <w:rPr>
                <w:rStyle w:val="FootnoteReference"/>
                <w:rFonts w:asciiTheme="majorHAnsi" w:hAnsiTheme="majorHAnsi"/>
                <w:sz w:val="20"/>
                <w:szCs w:val="20"/>
              </w:rPr>
              <w:footnoteReference w:id="2"/>
            </w:r>
            <w:r w:rsidRPr="00822B9C">
              <w:rPr>
                <w:rFonts w:asciiTheme="majorHAnsi" w:hAnsiTheme="majorHAnsi"/>
                <w:sz w:val="20"/>
                <w:szCs w:val="20"/>
              </w:rPr>
              <w:t xml:space="preserve">; </w:t>
            </w:r>
            <w:r>
              <w:rPr>
                <w:rFonts w:asciiTheme="majorHAnsi" w:hAnsiTheme="majorHAnsi"/>
                <w:sz w:val="20"/>
                <w:szCs w:val="20"/>
              </w:rPr>
              <w:t xml:space="preserve">Article </w:t>
            </w:r>
            <w:r w:rsidRPr="00822B9C">
              <w:rPr>
                <w:rFonts w:asciiTheme="majorHAnsi" w:hAnsiTheme="majorHAnsi"/>
                <w:sz w:val="20"/>
                <w:szCs w:val="20"/>
              </w:rPr>
              <w:t>XXV (</w:t>
            </w:r>
            <w:r>
              <w:rPr>
                <w:rFonts w:asciiTheme="majorHAnsi" w:hAnsiTheme="majorHAnsi"/>
                <w:sz w:val="20"/>
                <w:szCs w:val="20"/>
              </w:rPr>
              <w:t>protection from arbitrary arrest</w:t>
            </w:r>
            <w:r w:rsidRPr="00822B9C">
              <w:rPr>
                <w:rFonts w:asciiTheme="majorHAnsi" w:hAnsiTheme="majorHAnsi"/>
                <w:sz w:val="20"/>
                <w:szCs w:val="20"/>
              </w:rPr>
              <w:t xml:space="preserve">) </w:t>
            </w:r>
            <w:r>
              <w:rPr>
                <w:rFonts w:asciiTheme="majorHAnsi" w:hAnsiTheme="majorHAnsi"/>
                <w:sz w:val="20"/>
                <w:szCs w:val="20"/>
              </w:rPr>
              <w:t>of the American Declaration of the Rights and Duties of Man</w:t>
            </w:r>
            <w:r w:rsidRPr="00822B9C">
              <w:rPr>
                <w:rStyle w:val="FootnoteReference"/>
                <w:rFonts w:asciiTheme="majorHAnsi" w:hAnsiTheme="majorHAnsi"/>
                <w:sz w:val="20"/>
                <w:szCs w:val="20"/>
              </w:rPr>
              <w:footnoteReference w:id="3"/>
            </w:r>
            <w:r w:rsidRPr="00822B9C">
              <w:rPr>
                <w:rFonts w:asciiTheme="majorHAnsi" w:hAnsiTheme="majorHAnsi"/>
                <w:sz w:val="20"/>
                <w:szCs w:val="20"/>
              </w:rPr>
              <w:t>;</w:t>
            </w:r>
            <w:r>
              <w:rPr>
                <w:rFonts w:asciiTheme="majorHAnsi" w:hAnsiTheme="majorHAnsi"/>
                <w:sz w:val="20"/>
                <w:szCs w:val="20"/>
              </w:rPr>
              <w:t xml:space="preserve"> and other international treaty.</w:t>
            </w:r>
            <w:r w:rsidRPr="00822B9C">
              <w:rPr>
                <w:rStyle w:val="FootnoteReference"/>
                <w:rFonts w:asciiTheme="majorHAnsi" w:hAnsiTheme="majorHAnsi"/>
                <w:sz w:val="20"/>
                <w:szCs w:val="20"/>
              </w:rPr>
              <w:footnoteReference w:id="4"/>
            </w:r>
          </w:p>
        </w:tc>
      </w:tr>
    </w:tbl>
    <w:p w:rsidR="002530DB" w:rsidRPr="00822B9C" w:rsidRDefault="002530DB" w:rsidP="002530DB">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t>PROCESSING BEFORE THE IACHR</w:t>
      </w:r>
      <w:r w:rsidRPr="00822B9C">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530DB" w:rsidRPr="00822B9C" w:rsidTr="005153C0">
        <w:tc>
          <w:tcPr>
            <w:tcW w:w="4680" w:type="dxa"/>
            <w:tcBorders>
              <w:top w:val="single" w:sz="4"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Date petition filed</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 xml:space="preserve">May </w:t>
            </w:r>
            <w:r w:rsidRPr="00822B9C">
              <w:rPr>
                <w:rFonts w:asciiTheme="majorHAnsi" w:hAnsiTheme="majorHAnsi"/>
                <w:bCs/>
                <w:sz w:val="20"/>
                <w:szCs w:val="20"/>
              </w:rPr>
              <w:t>28</w:t>
            </w:r>
            <w:r>
              <w:rPr>
                <w:rFonts w:asciiTheme="majorHAnsi" w:hAnsiTheme="majorHAnsi"/>
                <w:bCs/>
                <w:sz w:val="20"/>
                <w:szCs w:val="20"/>
              </w:rPr>
              <w:t>,</w:t>
            </w:r>
            <w:r w:rsidRPr="00822B9C">
              <w:rPr>
                <w:rFonts w:asciiTheme="majorHAnsi" w:hAnsiTheme="majorHAnsi"/>
                <w:bCs/>
                <w:sz w:val="20"/>
                <w:szCs w:val="20"/>
              </w:rPr>
              <w:t xml:space="preserve"> 2008  </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Additional information received during the initial study stage</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rPr>
                <w:rFonts w:asciiTheme="majorHAnsi" w:hAnsiTheme="majorHAnsi"/>
                <w:bCs/>
                <w:sz w:val="20"/>
                <w:szCs w:val="20"/>
              </w:rPr>
            </w:pPr>
            <w:r>
              <w:rPr>
                <w:rFonts w:asciiTheme="majorHAnsi" w:hAnsiTheme="majorHAnsi"/>
                <w:bCs/>
                <w:sz w:val="20"/>
                <w:szCs w:val="20"/>
              </w:rPr>
              <w:t xml:space="preserve">June </w:t>
            </w:r>
            <w:r w:rsidRPr="00822B9C">
              <w:rPr>
                <w:rFonts w:asciiTheme="majorHAnsi" w:hAnsiTheme="majorHAnsi"/>
                <w:bCs/>
                <w:sz w:val="20"/>
                <w:szCs w:val="20"/>
              </w:rPr>
              <w:t>9</w:t>
            </w:r>
            <w:r>
              <w:rPr>
                <w:rFonts w:asciiTheme="majorHAnsi" w:hAnsiTheme="majorHAnsi"/>
                <w:bCs/>
                <w:sz w:val="20"/>
                <w:szCs w:val="20"/>
              </w:rPr>
              <w:t>,</w:t>
            </w:r>
            <w:r w:rsidRPr="00822B9C">
              <w:rPr>
                <w:rFonts w:asciiTheme="majorHAnsi" w:hAnsiTheme="majorHAnsi"/>
                <w:bCs/>
                <w:sz w:val="20"/>
                <w:szCs w:val="20"/>
              </w:rPr>
              <w:t xml:space="preserve"> 2008 </w:t>
            </w:r>
            <w:r>
              <w:rPr>
                <w:rFonts w:asciiTheme="majorHAnsi" w:hAnsiTheme="majorHAnsi"/>
                <w:bCs/>
                <w:sz w:val="20"/>
                <w:szCs w:val="20"/>
              </w:rPr>
              <w:t xml:space="preserve">and June </w:t>
            </w:r>
            <w:r w:rsidRPr="00822B9C">
              <w:rPr>
                <w:rFonts w:asciiTheme="majorHAnsi" w:hAnsiTheme="majorHAnsi"/>
                <w:bCs/>
                <w:sz w:val="20"/>
                <w:szCs w:val="20"/>
              </w:rPr>
              <w:t>16</w:t>
            </w:r>
            <w:r>
              <w:rPr>
                <w:rFonts w:asciiTheme="majorHAnsi" w:hAnsiTheme="majorHAnsi"/>
                <w:bCs/>
                <w:sz w:val="20"/>
                <w:szCs w:val="20"/>
              </w:rPr>
              <w:t>,</w:t>
            </w:r>
            <w:r w:rsidRPr="00822B9C">
              <w:rPr>
                <w:rFonts w:asciiTheme="majorHAnsi" w:hAnsiTheme="majorHAnsi"/>
                <w:bCs/>
                <w:sz w:val="20"/>
                <w:szCs w:val="20"/>
              </w:rPr>
              <w:t xml:space="preserve"> 2008</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color w:val="FFFFFF" w:themeColor="background1"/>
                <w:sz w:val="20"/>
                <w:szCs w:val="20"/>
              </w:rPr>
              <w:t>Date of notice of the petition to the State</w:t>
            </w:r>
            <w:r w:rsidRPr="00822B9C">
              <w:rPr>
                <w:rFonts w:asciiTheme="majorHAnsi" w:hAnsiTheme="majorHAnsi"/>
                <w:b/>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 xml:space="preserve">June </w:t>
            </w:r>
            <w:r w:rsidRPr="00822B9C">
              <w:rPr>
                <w:rFonts w:asciiTheme="majorHAnsi" w:hAnsiTheme="majorHAnsi"/>
                <w:bCs/>
                <w:sz w:val="20"/>
                <w:szCs w:val="20"/>
              </w:rPr>
              <w:t>1</w:t>
            </w:r>
            <w:r>
              <w:rPr>
                <w:rFonts w:asciiTheme="majorHAnsi" w:hAnsiTheme="majorHAnsi"/>
                <w:bCs/>
                <w:sz w:val="20"/>
                <w:szCs w:val="20"/>
              </w:rPr>
              <w:t>,</w:t>
            </w:r>
            <w:r w:rsidRPr="00822B9C">
              <w:rPr>
                <w:rFonts w:asciiTheme="majorHAnsi" w:hAnsiTheme="majorHAnsi"/>
                <w:bCs/>
                <w:sz w:val="20"/>
                <w:szCs w:val="20"/>
              </w:rPr>
              <w:t xml:space="preserve"> 2012</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color w:val="FFFFFF" w:themeColor="background1"/>
                <w:sz w:val="20"/>
                <w:szCs w:val="20"/>
              </w:rPr>
              <w:t>Date of first response from the State</w:t>
            </w:r>
            <w:r w:rsidRPr="00822B9C">
              <w:rPr>
                <w:rFonts w:asciiTheme="majorHAnsi" w:hAnsiTheme="majorHAnsi"/>
                <w:b/>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 xml:space="preserve">April 28, </w:t>
            </w:r>
            <w:r w:rsidRPr="00822B9C">
              <w:rPr>
                <w:rFonts w:asciiTheme="majorHAnsi" w:hAnsiTheme="majorHAnsi"/>
                <w:bCs/>
                <w:sz w:val="20"/>
                <w:szCs w:val="20"/>
              </w:rPr>
              <w:t>2016</w:t>
            </w:r>
          </w:p>
        </w:tc>
      </w:tr>
      <w:tr w:rsidR="002530DB" w:rsidRPr="00822B9C" w:rsidTr="005153C0">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Additional observations by the petitioner</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 xml:space="preserve">November </w:t>
            </w:r>
            <w:r w:rsidRPr="00822B9C">
              <w:rPr>
                <w:rFonts w:asciiTheme="majorHAnsi" w:hAnsiTheme="majorHAnsi"/>
                <w:bCs/>
                <w:sz w:val="20"/>
                <w:szCs w:val="20"/>
              </w:rPr>
              <w:t>19</w:t>
            </w:r>
            <w:r>
              <w:rPr>
                <w:rFonts w:asciiTheme="majorHAnsi" w:hAnsiTheme="majorHAnsi"/>
                <w:bCs/>
                <w:sz w:val="20"/>
                <w:szCs w:val="20"/>
              </w:rPr>
              <w:t>,</w:t>
            </w:r>
            <w:r w:rsidRPr="00822B9C">
              <w:rPr>
                <w:rFonts w:asciiTheme="majorHAnsi" w:hAnsiTheme="majorHAnsi"/>
                <w:bCs/>
                <w:sz w:val="20"/>
                <w:szCs w:val="20"/>
              </w:rPr>
              <w:t xml:space="preserve"> 2012</w:t>
            </w:r>
            <w:r>
              <w:rPr>
                <w:rFonts w:asciiTheme="majorHAnsi" w:hAnsiTheme="majorHAnsi"/>
                <w:bCs/>
                <w:sz w:val="20"/>
                <w:szCs w:val="20"/>
              </w:rPr>
              <w:t xml:space="preserve"> and May </w:t>
            </w:r>
            <w:r w:rsidRPr="00822B9C">
              <w:rPr>
                <w:rFonts w:asciiTheme="majorHAnsi" w:hAnsiTheme="majorHAnsi"/>
                <w:bCs/>
                <w:sz w:val="20"/>
                <w:szCs w:val="20"/>
              </w:rPr>
              <w:t>23</w:t>
            </w:r>
            <w:r>
              <w:rPr>
                <w:rFonts w:asciiTheme="majorHAnsi" w:hAnsiTheme="majorHAnsi"/>
                <w:bCs/>
                <w:sz w:val="20"/>
                <w:szCs w:val="20"/>
              </w:rPr>
              <w:t>,</w:t>
            </w:r>
            <w:r w:rsidRPr="00822B9C">
              <w:rPr>
                <w:rFonts w:asciiTheme="majorHAnsi" w:hAnsiTheme="majorHAnsi"/>
                <w:bCs/>
                <w:sz w:val="20"/>
                <w:szCs w:val="20"/>
              </w:rPr>
              <w:t xml:space="preserve"> 2017</w:t>
            </w:r>
          </w:p>
        </w:tc>
      </w:tr>
    </w:tbl>
    <w:p w:rsidR="002530DB" w:rsidRPr="00822B9C" w:rsidRDefault="002530DB" w:rsidP="002530DB">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r w:rsidRPr="00822B9C">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530DB" w:rsidRPr="00822B9C" w:rsidTr="005153C0">
        <w:trPr>
          <w:cantSplit/>
        </w:trPr>
        <w:tc>
          <w:tcPr>
            <w:tcW w:w="4680" w:type="dxa"/>
            <w:tcBorders>
              <w:top w:val="single" w:sz="4"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w:t>
            </w:r>
            <w:r w:rsidRPr="00822B9C">
              <w:rPr>
                <w:rFonts w:asciiTheme="majorHAnsi" w:hAnsiTheme="majorHAnsi"/>
                <w:b/>
                <w:bCs/>
                <w:i/>
                <w:color w:val="FFFFFF" w:themeColor="background1"/>
                <w:sz w:val="20"/>
                <w:szCs w:val="20"/>
              </w:rPr>
              <w:t>atione personae:</w:t>
            </w:r>
          </w:p>
        </w:tc>
        <w:tc>
          <w:tcPr>
            <w:tcW w:w="4680" w:type="dxa"/>
            <w:tcBorders>
              <w:left w:val="single" w:sz="4" w:space="0" w:color="auto"/>
            </w:tcBorders>
            <w:vAlign w:val="center"/>
          </w:tcPr>
          <w:p w:rsidR="002530DB" w:rsidRPr="00822B9C" w:rsidRDefault="002530DB" w:rsidP="00B23DC9">
            <w:pPr>
              <w:rPr>
                <w:rFonts w:asciiTheme="majorHAnsi" w:hAnsiTheme="majorHAnsi"/>
                <w:bCs/>
                <w:sz w:val="20"/>
                <w:szCs w:val="20"/>
              </w:rPr>
            </w:pPr>
            <w:r>
              <w:rPr>
                <w:rFonts w:asciiTheme="majorHAnsi" w:hAnsiTheme="majorHAnsi"/>
                <w:bCs/>
                <w:sz w:val="20"/>
                <w:szCs w:val="20"/>
              </w:rPr>
              <w:t>Yes</w:t>
            </w:r>
          </w:p>
        </w:tc>
      </w:tr>
      <w:tr w:rsidR="002530DB" w:rsidRPr="00822B9C" w:rsidTr="005153C0">
        <w:trPr>
          <w:cantSplit/>
        </w:trPr>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w:t>
            </w:r>
            <w:r w:rsidRPr="00822B9C">
              <w:rPr>
                <w:rFonts w:asciiTheme="majorHAnsi" w:hAnsiTheme="majorHAnsi"/>
                <w:b/>
                <w:bCs/>
                <w:i/>
                <w:color w:val="FFFFFF" w:themeColor="background1"/>
                <w:sz w:val="20"/>
                <w:szCs w:val="20"/>
              </w:rPr>
              <w:t>atione loci</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rPr>
                <w:rFonts w:asciiTheme="majorHAnsi" w:hAnsiTheme="majorHAnsi"/>
                <w:bCs/>
                <w:sz w:val="20"/>
                <w:szCs w:val="20"/>
              </w:rPr>
            </w:pPr>
            <w:r>
              <w:rPr>
                <w:rFonts w:asciiTheme="majorHAnsi" w:hAnsiTheme="majorHAnsi"/>
                <w:bCs/>
                <w:sz w:val="20"/>
                <w:szCs w:val="20"/>
              </w:rPr>
              <w:t>Yes</w:t>
            </w:r>
          </w:p>
        </w:tc>
      </w:tr>
      <w:tr w:rsidR="002530DB" w:rsidRPr="00822B9C" w:rsidTr="005153C0">
        <w:trPr>
          <w:cantSplit/>
        </w:trPr>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Competence </w:t>
            </w:r>
            <w:r>
              <w:rPr>
                <w:rFonts w:asciiTheme="majorHAnsi" w:hAnsiTheme="majorHAnsi"/>
                <w:b/>
                <w:bCs/>
                <w:i/>
                <w:color w:val="FFFFFF" w:themeColor="background1"/>
                <w:sz w:val="20"/>
                <w:szCs w:val="20"/>
              </w:rPr>
              <w:t>r</w:t>
            </w:r>
            <w:r w:rsidRPr="00822B9C">
              <w:rPr>
                <w:rFonts w:asciiTheme="majorHAnsi" w:hAnsiTheme="majorHAnsi"/>
                <w:b/>
                <w:bCs/>
                <w:i/>
                <w:color w:val="FFFFFF" w:themeColor="background1"/>
                <w:sz w:val="20"/>
                <w:szCs w:val="20"/>
              </w:rPr>
              <w:t>atione temporis</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rPr>
                <w:rFonts w:asciiTheme="majorHAnsi" w:hAnsiTheme="majorHAnsi"/>
                <w:bCs/>
                <w:sz w:val="20"/>
                <w:szCs w:val="20"/>
              </w:rPr>
            </w:pPr>
            <w:r>
              <w:rPr>
                <w:rFonts w:asciiTheme="majorHAnsi" w:hAnsiTheme="majorHAnsi"/>
                <w:bCs/>
                <w:sz w:val="20"/>
                <w:szCs w:val="20"/>
              </w:rPr>
              <w:t>Yes</w:t>
            </w:r>
          </w:p>
        </w:tc>
      </w:tr>
      <w:tr w:rsidR="002530DB" w:rsidRPr="00822B9C" w:rsidTr="005153C0">
        <w:trPr>
          <w:cantSplit/>
        </w:trPr>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w:t>
            </w:r>
            <w:r w:rsidRPr="00822B9C">
              <w:rPr>
                <w:rFonts w:asciiTheme="majorHAnsi" w:hAnsiTheme="majorHAnsi"/>
                <w:b/>
                <w:bCs/>
                <w:i/>
                <w:color w:val="FFFFFF" w:themeColor="background1"/>
                <w:sz w:val="20"/>
                <w:szCs w:val="20"/>
              </w:rPr>
              <w:t>atione materiae</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Pr>
                <w:rFonts w:asciiTheme="majorHAnsi" w:hAnsiTheme="majorHAnsi"/>
                <w:bCs/>
                <w:sz w:val="20"/>
                <w:szCs w:val="20"/>
              </w:rPr>
              <w:t>Yes</w:t>
            </w:r>
            <w:r w:rsidRPr="00822B9C">
              <w:rPr>
                <w:rFonts w:asciiTheme="majorHAnsi" w:hAnsiTheme="majorHAnsi"/>
                <w:bCs/>
                <w:sz w:val="20"/>
                <w:szCs w:val="20"/>
              </w:rPr>
              <w:t xml:space="preserve">, </w:t>
            </w:r>
            <w:r w:rsidRPr="00822B9C">
              <w:rPr>
                <w:rFonts w:asciiTheme="majorHAnsi" w:hAnsiTheme="majorHAnsi"/>
                <w:sz w:val="20"/>
                <w:szCs w:val="20"/>
              </w:rPr>
              <w:t xml:space="preserve">Americana </w:t>
            </w:r>
            <w:r>
              <w:rPr>
                <w:rFonts w:asciiTheme="majorHAnsi" w:hAnsiTheme="majorHAnsi"/>
                <w:sz w:val="20"/>
                <w:szCs w:val="20"/>
              </w:rPr>
              <w:t xml:space="preserve">Convention </w:t>
            </w:r>
            <w:r w:rsidRPr="00822B9C">
              <w:rPr>
                <w:rFonts w:asciiTheme="majorHAnsi" w:hAnsiTheme="majorHAnsi"/>
                <w:sz w:val="20"/>
                <w:szCs w:val="20"/>
              </w:rPr>
              <w:t>(dep</w:t>
            </w:r>
            <w:r>
              <w:rPr>
                <w:rFonts w:asciiTheme="majorHAnsi" w:hAnsiTheme="majorHAnsi"/>
                <w:sz w:val="20"/>
                <w:szCs w:val="20"/>
              </w:rPr>
              <w:t xml:space="preserve">osit of instrument of ratification September </w:t>
            </w:r>
            <w:r w:rsidRPr="00822B9C">
              <w:rPr>
                <w:rFonts w:asciiTheme="majorHAnsi" w:hAnsiTheme="majorHAnsi"/>
                <w:sz w:val="20"/>
                <w:szCs w:val="20"/>
              </w:rPr>
              <w:t>5</w:t>
            </w:r>
            <w:r>
              <w:rPr>
                <w:rFonts w:asciiTheme="majorHAnsi" w:hAnsiTheme="majorHAnsi"/>
                <w:sz w:val="20"/>
                <w:szCs w:val="20"/>
              </w:rPr>
              <w:t>,</w:t>
            </w:r>
            <w:r w:rsidRPr="00822B9C">
              <w:rPr>
                <w:rFonts w:asciiTheme="majorHAnsi" w:hAnsiTheme="majorHAnsi"/>
                <w:sz w:val="20"/>
                <w:szCs w:val="20"/>
              </w:rPr>
              <w:t xml:space="preserve"> 1984)</w:t>
            </w:r>
          </w:p>
        </w:tc>
      </w:tr>
    </w:tbl>
    <w:p w:rsidR="002530DB" w:rsidRPr="00822B9C" w:rsidRDefault="002530DB" w:rsidP="002530DB">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t>ANALY</w:t>
      </w:r>
      <w:r w:rsidRPr="00822B9C">
        <w:rPr>
          <w:rFonts w:asciiTheme="majorHAnsi" w:hAnsiTheme="majorHAnsi"/>
          <w:b/>
          <w:bCs/>
          <w:sz w:val="20"/>
          <w:szCs w:val="20"/>
        </w:rPr>
        <w:t xml:space="preserve">SIS </w:t>
      </w:r>
      <w:r>
        <w:rPr>
          <w:rFonts w:asciiTheme="majorHAnsi" w:hAnsiTheme="majorHAnsi"/>
          <w:b/>
          <w:bCs/>
          <w:sz w:val="20"/>
          <w:szCs w:val="20"/>
        </w:rPr>
        <w:t xml:space="preserve">OF DUPLICATION OF PROCEDURES AND INTERNATIONAL </w:t>
      </w:r>
      <w:r w:rsidRPr="0011352E">
        <w:rPr>
          <w:rFonts w:asciiTheme="majorHAnsi" w:hAnsiTheme="majorHAnsi"/>
          <w:b/>
          <w:bCs/>
          <w:i/>
          <w:sz w:val="20"/>
          <w:szCs w:val="20"/>
        </w:rPr>
        <w:t>RES JUDICATA</w:t>
      </w:r>
      <w:r>
        <w:rPr>
          <w:rFonts w:asciiTheme="majorHAnsi" w:hAnsiTheme="majorHAnsi"/>
          <w:b/>
          <w:bCs/>
          <w:sz w:val="20"/>
          <w:szCs w:val="20"/>
        </w:rPr>
        <w:t xml:space="preserve">, COLORABLE CLAIM, EXHAUSTION OF DOMESTIC REMDIES, AND TIME FOR FILING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530DB" w:rsidRPr="00822B9C" w:rsidTr="005153C0">
        <w:trPr>
          <w:cantSplit/>
        </w:trPr>
        <w:tc>
          <w:tcPr>
            <w:tcW w:w="4680" w:type="dxa"/>
            <w:tcBorders>
              <w:top w:val="single" w:sz="4"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Duplication of procedures and international </w:t>
            </w:r>
            <w:r w:rsidRPr="0011352E">
              <w:rPr>
                <w:rFonts w:asciiTheme="majorHAnsi" w:hAnsiTheme="majorHAnsi"/>
                <w:b/>
                <w:bCs/>
                <w:i/>
                <w:color w:val="FFFFFF" w:themeColor="background1"/>
                <w:sz w:val="20"/>
                <w:szCs w:val="20"/>
              </w:rPr>
              <w:t>res judicata</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sidRPr="00822B9C">
              <w:rPr>
                <w:rFonts w:asciiTheme="majorHAnsi" w:hAnsiTheme="majorHAnsi"/>
                <w:bCs/>
                <w:sz w:val="20"/>
                <w:szCs w:val="20"/>
              </w:rPr>
              <w:t>No</w:t>
            </w:r>
          </w:p>
        </w:tc>
      </w:tr>
      <w:tr w:rsidR="002530DB" w:rsidRPr="00822B9C" w:rsidTr="005153C0">
        <w:trPr>
          <w:cantSplit/>
        </w:trPr>
        <w:tc>
          <w:tcPr>
            <w:tcW w:w="4680" w:type="dxa"/>
            <w:tcBorders>
              <w:top w:val="single" w:sz="6"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rPr>
              <w:t xml:space="preserve">Rights declared </w:t>
            </w:r>
            <w:r w:rsidRPr="00822B9C">
              <w:rPr>
                <w:rFonts w:asciiTheme="majorHAnsi" w:hAnsiTheme="majorHAnsi"/>
                <w:b/>
                <w:bCs/>
                <w:color w:val="FFFFFF" w:themeColor="background1"/>
                <w:sz w:val="20"/>
                <w:szCs w:val="20"/>
              </w:rPr>
              <w:t>admis</w:t>
            </w:r>
            <w:r>
              <w:rPr>
                <w:rFonts w:asciiTheme="majorHAnsi" w:hAnsiTheme="majorHAnsi"/>
                <w:b/>
                <w:bCs/>
                <w:color w:val="FFFFFF" w:themeColor="background1"/>
                <w:sz w:val="20"/>
                <w:szCs w:val="20"/>
              </w:rPr>
              <w:t>sible</w:t>
            </w:r>
            <w:r w:rsidRPr="00822B9C">
              <w:rPr>
                <w:rFonts w:asciiTheme="majorHAnsi" w:hAnsiTheme="majorHAnsi"/>
                <w:b/>
                <w:bCs/>
                <w:i/>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jc w:val="both"/>
              <w:rPr>
                <w:rFonts w:asciiTheme="majorHAnsi" w:hAnsiTheme="majorHAnsi"/>
                <w:bCs/>
                <w:sz w:val="20"/>
                <w:szCs w:val="20"/>
              </w:rPr>
            </w:pPr>
            <w:r w:rsidRPr="00822B9C">
              <w:rPr>
                <w:rFonts w:asciiTheme="majorHAnsi" w:hAnsiTheme="majorHAnsi"/>
                <w:bCs/>
                <w:sz w:val="20"/>
                <w:szCs w:val="20"/>
              </w:rPr>
              <w:t>Art</w:t>
            </w:r>
            <w:r>
              <w:rPr>
                <w:rFonts w:asciiTheme="majorHAnsi" w:hAnsiTheme="majorHAnsi"/>
                <w:bCs/>
                <w:sz w:val="20"/>
                <w:szCs w:val="20"/>
              </w:rPr>
              <w:t xml:space="preserve">icles </w:t>
            </w:r>
            <w:r w:rsidRPr="00822B9C">
              <w:rPr>
                <w:rFonts w:asciiTheme="majorHAnsi" w:hAnsiTheme="majorHAnsi"/>
                <w:sz w:val="20"/>
                <w:szCs w:val="20"/>
              </w:rPr>
              <w:t>7 (personal</w:t>
            </w:r>
            <w:r>
              <w:rPr>
                <w:rFonts w:asciiTheme="majorHAnsi" w:hAnsiTheme="majorHAnsi"/>
                <w:sz w:val="20"/>
                <w:szCs w:val="20"/>
              </w:rPr>
              <w:t xml:space="preserve"> liberty</w:t>
            </w:r>
            <w:r w:rsidRPr="00822B9C">
              <w:rPr>
                <w:rFonts w:asciiTheme="majorHAnsi" w:hAnsiTheme="majorHAnsi"/>
                <w:sz w:val="20"/>
                <w:szCs w:val="20"/>
              </w:rPr>
              <w:t>), 8 (</w:t>
            </w:r>
            <w:r>
              <w:rPr>
                <w:rFonts w:asciiTheme="majorHAnsi" w:hAnsiTheme="majorHAnsi"/>
                <w:sz w:val="20"/>
                <w:szCs w:val="20"/>
              </w:rPr>
              <w:t>judicial guarantees</w:t>
            </w:r>
            <w:r w:rsidRPr="00822B9C">
              <w:rPr>
                <w:rFonts w:asciiTheme="majorHAnsi" w:hAnsiTheme="majorHAnsi"/>
                <w:sz w:val="20"/>
                <w:szCs w:val="20"/>
              </w:rPr>
              <w:t>)</w:t>
            </w:r>
            <w:r>
              <w:rPr>
                <w:rFonts w:asciiTheme="majorHAnsi" w:hAnsiTheme="majorHAnsi"/>
                <w:sz w:val="20"/>
                <w:szCs w:val="20"/>
              </w:rPr>
              <w:t xml:space="preserve">, and </w:t>
            </w:r>
            <w:r w:rsidRPr="00822B9C">
              <w:rPr>
                <w:rFonts w:asciiTheme="majorHAnsi" w:hAnsiTheme="majorHAnsi"/>
                <w:sz w:val="20"/>
                <w:szCs w:val="20"/>
              </w:rPr>
              <w:t>25 (judicial</w:t>
            </w:r>
            <w:r>
              <w:rPr>
                <w:rFonts w:asciiTheme="majorHAnsi" w:hAnsiTheme="majorHAnsi"/>
                <w:sz w:val="20"/>
                <w:szCs w:val="20"/>
              </w:rPr>
              <w:t xml:space="preserve"> protection</w:t>
            </w:r>
            <w:r w:rsidRPr="00822B9C">
              <w:rPr>
                <w:rFonts w:asciiTheme="majorHAnsi" w:hAnsiTheme="majorHAnsi"/>
                <w:sz w:val="20"/>
                <w:szCs w:val="20"/>
              </w:rPr>
              <w:t xml:space="preserve">) </w:t>
            </w:r>
            <w:r>
              <w:rPr>
                <w:rFonts w:asciiTheme="majorHAnsi" w:hAnsiTheme="majorHAnsi"/>
                <w:sz w:val="20"/>
                <w:szCs w:val="20"/>
              </w:rPr>
              <w:t>of the Convention, in relation to Article 1(</w:t>
            </w:r>
            <w:r w:rsidRPr="00822B9C">
              <w:rPr>
                <w:rFonts w:asciiTheme="majorHAnsi" w:hAnsiTheme="majorHAnsi"/>
                <w:sz w:val="20"/>
                <w:szCs w:val="20"/>
              </w:rPr>
              <w:t>1</w:t>
            </w:r>
            <w:r>
              <w:rPr>
                <w:rFonts w:asciiTheme="majorHAnsi" w:hAnsiTheme="majorHAnsi"/>
                <w:sz w:val="20"/>
                <w:szCs w:val="20"/>
              </w:rPr>
              <w:t>)</w:t>
            </w:r>
            <w:r w:rsidRPr="00822B9C">
              <w:rPr>
                <w:rFonts w:asciiTheme="majorHAnsi" w:hAnsiTheme="majorHAnsi"/>
                <w:sz w:val="20"/>
                <w:szCs w:val="20"/>
              </w:rPr>
              <w:t xml:space="preserve"> (obliga</w:t>
            </w:r>
            <w:r>
              <w:rPr>
                <w:rFonts w:asciiTheme="majorHAnsi" w:hAnsiTheme="majorHAnsi"/>
                <w:sz w:val="20"/>
                <w:szCs w:val="20"/>
              </w:rPr>
              <w:t>tion to respect rights</w:t>
            </w:r>
            <w:r w:rsidRPr="00822B9C">
              <w:rPr>
                <w:rFonts w:asciiTheme="majorHAnsi" w:hAnsiTheme="majorHAnsi"/>
                <w:sz w:val="20"/>
                <w:szCs w:val="20"/>
              </w:rPr>
              <w:t xml:space="preserve">) </w:t>
            </w:r>
            <w:r>
              <w:rPr>
                <w:rFonts w:asciiTheme="majorHAnsi" w:hAnsiTheme="majorHAnsi"/>
                <w:sz w:val="20"/>
                <w:szCs w:val="20"/>
              </w:rPr>
              <w:t xml:space="preserve">of the same instrument </w:t>
            </w:r>
          </w:p>
        </w:tc>
      </w:tr>
      <w:tr w:rsidR="002530DB" w:rsidRPr="00822B9C" w:rsidTr="005153C0">
        <w:trPr>
          <w:cantSplit/>
        </w:trPr>
        <w:tc>
          <w:tcPr>
            <w:tcW w:w="4680" w:type="dxa"/>
            <w:tcBorders>
              <w:top w:val="single" w:sz="6" w:space="0" w:color="auto"/>
              <w:bottom w:val="single" w:sz="4"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Exhaustion of domestic remedies or application of an exception</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pStyle w:val="Default"/>
              <w:rPr>
                <w:rFonts w:asciiTheme="majorHAnsi" w:hAnsiTheme="majorHAnsi"/>
                <w:sz w:val="20"/>
                <w:szCs w:val="20"/>
              </w:rPr>
            </w:pPr>
            <w:r>
              <w:rPr>
                <w:rFonts w:asciiTheme="majorHAnsi" w:hAnsiTheme="majorHAnsi"/>
                <w:sz w:val="20"/>
                <w:szCs w:val="20"/>
              </w:rPr>
              <w:t>Yes</w:t>
            </w:r>
            <w:r w:rsidRPr="00822B9C">
              <w:rPr>
                <w:rFonts w:asciiTheme="majorHAnsi" w:hAnsiTheme="majorHAnsi"/>
                <w:sz w:val="20"/>
                <w:szCs w:val="20"/>
              </w:rPr>
              <w:t xml:space="preserve">, </w:t>
            </w:r>
            <w:r>
              <w:rPr>
                <w:rFonts w:asciiTheme="majorHAnsi" w:hAnsiTheme="majorHAnsi"/>
                <w:sz w:val="20"/>
                <w:szCs w:val="20"/>
              </w:rPr>
              <w:t xml:space="preserve">on November </w:t>
            </w:r>
            <w:r w:rsidRPr="00822B9C">
              <w:rPr>
                <w:rFonts w:asciiTheme="majorHAnsi" w:hAnsiTheme="majorHAnsi"/>
                <w:sz w:val="20"/>
                <w:szCs w:val="20"/>
              </w:rPr>
              <w:t>30</w:t>
            </w:r>
            <w:r>
              <w:rPr>
                <w:rFonts w:asciiTheme="majorHAnsi" w:hAnsiTheme="majorHAnsi"/>
                <w:sz w:val="20"/>
                <w:szCs w:val="20"/>
              </w:rPr>
              <w:t>,</w:t>
            </w:r>
            <w:r w:rsidRPr="00822B9C">
              <w:rPr>
                <w:rFonts w:asciiTheme="majorHAnsi" w:hAnsiTheme="majorHAnsi"/>
                <w:sz w:val="20"/>
                <w:szCs w:val="20"/>
              </w:rPr>
              <w:t xml:space="preserve"> 2007 </w:t>
            </w:r>
            <w:r>
              <w:rPr>
                <w:rFonts w:asciiTheme="majorHAnsi" w:hAnsiTheme="majorHAnsi"/>
                <w:sz w:val="20"/>
                <w:szCs w:val="20"/>
              </w:rPr>
              <w:t xml:space="preserve">and February </w:t>
            </w:r>
            <w:r w:rsidRPr="00822B9C">
              <w:rPr>
                <w:rFonts w:asciiTheme="majorHAnsi" w:hAnsiTheme="majorHAnsi"/>
                <w:sz w:val="20"/>
                <w:szCs w:val="20"/>
              </w:rPr>
              <w:t>10</w:t>
            </w:r>
            <w:r>
              <w:rPr>
                <w:rFonts w:asciiTheme="majorHAnsi" w:hAnsiTheme="majorHAnsi"/>
                <w:sz w:val="20"/>
                <w:szCs w:val="20"/>
              </w:rPr>
              <w:t>,</w:t>
            </w:r>
            <w:r w:rsidRPr="00822B9C">
              <w:rPr>
                <w:rFonts w:asciiTheme="majorHAnsi" w:hAnsiTheme="majorHAnsi"/>
                <w:sz w:val="20"/>
                <w:szCs w:val="20"/>
              </w:rPr>
              <w:t xml:space="preserve"> 2011</w:t>
            </w:r>
          </w:p>
        </w:tc>
      </w:tr>
      <w:tr w:rsidR="002530DB" w:rsidRPr="00822B9C" w:rsidTr="005153C0">
        <w:trPr>
          <w:cantSplit/>
        </w:trPr>
        <w:tc>
          <w:tcPr>
            <w:tcW w:w="4680" w:type="dxa"/>
            <w:tcBorders>
              <w:top w:val="single" w:sz="4" w:space="0" w:color="auto"/>
              <w:bottom w:val="single" w:sz="6" w:space="0" w:color="auto"/>
              <w:right w:val="single" w:sz="4" w:space="0" w:color="auto"/>
            </w:tcBorders>
            <w:shd w:val="clear" w:color="auto" w:fill="67AE3C"/>
            <w:vAlign w:val="center"/>
          </w:tcPr>
          <w:p w:rsidR="002530DB" w:rsidRPr="00822B9C" w:rsidRDefault="002530DB" w:rsidP="00B23DC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lastRenderedPageBreak/>
              <w:t>Timely filing</w:t>
            </w:r>
            <w:r w:rsidRPr="00822B9C">
              <w:rPr>
                <w:rFonts w:asciiTheme="majorHAnsi" w:hAnsiTheme="majorHAnsi"/>
                <w:b/>
                <w:bCs/>
                <w:color w:val="FFFFFF" w:themeColor="background1"/>
                <w:sz w:val="20"/>
                <w:szCs w:val="20"/>
              </w:rPr>
              <w:t>:</w:t>
            </w:r>
          </w:p>
        </w:tc>
        <w:tc>
          <w:tcPr>
            <w:tcW w:w="4680" w:type="dxa"/>
            <w:tcBorders>
              <w:left w:val="single" w:sz="4" w:space="0" w:color="auto"/>
            </w:tcBorders>
            <w:vAlign w:val="center"/>
          </w:tcPr>
          <w:p w:rsidR="002530DB" w:rsidRPr="00822B9C" w:rsidRDefault="002530DB" w:rsidP="00B23DC9">
            <w:pPr>
              <w:pStyle w:val="Default"/>
              <w:rPr>
                <w:rFonts w:asciiTheme="majorHAnsi" w:hAnsiTheme="majorHAnsi"/>
                <w:sz w:val="20"/>
                <w:szCs w:val="20"/>
              </w:rPr>
            </w:pPr>
            <w:r>
              <w:rPr>
                <w:rFonts w:asciiTheme="majorHAnsi" w:hAnsiTheme="majorHAnsi"/>
                <w:sz w:val="20"/>
                <w:szCs w:val="20"/>
              </w:rPr>
              <w:t>Yes</w:t>
            </w:r>
            <w:r w:rsidRPr="00822B9C">
              <w:rPr>
                <w:rFonts w:asciiTheme="majorHAnsi" w:hAnsiTheme="majorHAnsi"/>
                <w:sz w:val="20"/>
                <w:szCs w:val="20"/>
              </w:rPr>
              <w:t xml:space="preserve">, </w:t>
            </w:r>
            <w:r>
              <w:rPr>
                <w:rFonts w:asciiTheme="majorHAnsi" w:hAnsiTheme="majorHAnsi"/>
                <w:sz w:val="20"/>
                <w:szCs w:val="20"/>
              </w:rPr>
              <w:t xml:space="preserve">May </w:t>
            </w:r>
            <w:r w:rsidRPr="00822B9C">
              <w:rPr>
                <w:rFonts w:asciiTheme="majorHAnsi" w:hAnsiTheme="majorHAnsi"/>
                <w:sz w:val="20"/>
                <w:szCs w:val="20"/>
              </w:rPr>
              <w:t>28</w:t>
            </w:r>
            <w:r>
              <w:rPr>
                <w:rFonts w:asciiTheme="majorHAnsi" w:hAnsiTheme="majorHAnsi"/>
                <w:sz w:val="20"/>
                <w:szCs w:val="20"/>
              </w:rPr>
              <w:t>,</w:t>
            </w:r>
            <w:r w:rsidRPr="00822B9C">
              <w:rPr>
                <w:rFonts w:asciiTheme="majorHAnsi" w:hAnsiTheme="majorHAnsi"/>
                <w:sz w:val="20"/>
                <w:szCs w:val="20"/>
              </w:rPr>
              <w:t xml:space="preserve"> 2008 </w:t>
            </w:r>
          </w:p>
        </w:tc>
      </w:tr>
    </w:tbl>
    <w:p w:rsidR="002530DB" w:rsidRPr="00822B9C" w:rsidRDefault="002530DB" w:rsidP="002530DB">
      <w:pPr>
        <w:spacing w:after="240"/>
        <w:jc w:val="both"/>
        <w:rPr>
          <w:rFonts w:asciiTheme="majorHAnsi" w:hAnsiTheme="majorHAnsi"/>
          <w:b/>
          <w:sz w:val="20"/>
          <w:szCs w:val="20"/>
        </w:rPr>
      </w:pPr>
    </w:p>
    <w:p w:rsidR="002530DB" w:rsidRPr="00822B9C" w:rsidRDefault="002530DB" w:rsidP="002530DB">
      <w:pPr>
        <w:spacing w:after="240"/>
        <w:ind w:firstLine="720"/>
        <w:jc w:val="both"/>
        <w:rPr>
          <w:rFonts w:asciiTheme="majorHAnsi" w:hAnsiTheme="majorHAnsi"/>
          <w:b/>
          <w:sz w:val="20"/>
          <w:szCs w:val="20"/>
        </w:rPr>
      </w:pPr>
      <w:r w:rsidRPr="00822B9C">
        <w:rPr>
          <w:rFonts w:asciiTheme="majorHAnsi" w:hAnsiTheme="majorHAnsi"/>
          <w:b/>
          <w:sz w:val="20"/>
          <w:szCs w:val="20"/>
        </w:rPr>
        <w:t xml:space="preserve">V. </w:t>
      </w:r>
      <w:r w:rsidRPr="00822B9C">
        <w:rPr>
          <w:rFonts w:asciiTheme="majorHAnsi" w:hAnsiTheme="majorHAnsi"/>
          <w:b/>
          <w:sz w:val="20"/>
          <w:szCs w:val="20"/>
        </w:rPr>
        <w:tab/>
      </w:r>
      <w:r>
        <w:rPr>
          <w:rFonts w:asciiTheme="majorHAnsi" w:hAnsiTheme="majorHAnsi"/>
          <w:b/>
          <w:sz w:val="20"/>
          <w:szCs w:val="20"/>
        </w:rPr>
        <w:t xml:space="preserve">FACTS ALLEGED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 xml:space="preserve">The petitioner indicates that Messrs. </w:t>
      </w:r>
      <w:r w:rsidRPr="00822B9C">
        <w:rPr>
          <w:rFonts w:asciiTheme="majorHAnsi" w:hAnsiTheme="majorHAnsi"/>
          <w:bCs/>
          <w:color w:val="auto"/>
          <w:sz w:val="20"/>
          <w:szCs w:val="20"/>
        </w:rPr>
        <w:t xml:space="preserve">Julio César Rotela </w:t>
      </w:r>
      <w:r>
        <w:rPr>
          <w:rFonts w:asciiTheme="majorHAnsi" w:hAnsiTheme="majorHAnsi"/>
          <w:bCs/>
          <w:color w:val="auto"/>
          <w:sz w:val="20"/>
          <w:szCs w:val="20"/>
        </w:rPr>
        <w:t>and</w:t>
      </w:r>
      <w:r w:rsidRPr="00822B9C">
        <w:rPr>
          <w:rFonts w:asciiTheme="majorHAnsi" w:hAnsiTheme="majorHAnsi"/>
          <w:bCs/>
          <w:color w:val="auto"/>
          <w:sz w:val="20"/>
          <w:szCs w:val="20"/>
        </w:rPr>
        <w:t xml:space="preserve"> Alberto Enrique Baez (</w:t>
      </w:r>
      <w:r>
        <w:rPr>
          <w:rFonts w:asciiTheme="majorHAnsi" w:hAnsiTheme="majorHAnsi"/>
          <w:bCs/>
          <w:color w:val="auto"/>
          <w:sz w:val="20"/>
          <w:szCs w:val="20"/>
        </w:rPr>
        <w:t>hereinafter “the alleged victims”</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were subjected to pretrial detention as of August 31, 2002, by order of the Federal Court of </w:t>
      </w:r>
      <w:r w:rsidRPr="00822B9C">
        <w:rPr>
          <w:rFonts w:asciiTheme="majorHAnsi" w:hAnsiTheme="majorHAnsi"/>
          <w:color w:val="auto"/>
          <w:sz w:val="20"/>
          <w:szCs w:val="20"/>
        </w:rPr>
        <w:t xml:space="preserve">Lomas de Zamora </w:t>
      </w:r>
      <w:r>
        <w:rPr>
          <w:rFonts w:asciiTheme="majorHAnsi" w:hAnsiTheme="majorHAnsi"/>
          <w:color w:val="auto"/>
          <w:sz w:val="20"/>
          <w:szCs w:val="20"/>
        </w:rPr>
        <w:t xml:space="preserve">in the case under number </w:t>
      </w:r>
      <w:r w:rsidRPr="00822B9C">
        <w:rPr>
          <w:rFonts w:asciiTheme="majorHAnsi" w:hAnsiTheme="majorHAnsi"/>
          <w:color w:val="auto"/>
          <w:sz w:val="20"/>
          <w:szCs w:val="20"/>
        </w:rPr>
        <w:t xml:space="preserve">2557/8, </w:t>
      </w:r>
      <w:r>
        <w:rPr>
          <w:rFonts w:asciiTheme="majorHAnsi" w:hAnsiTheme="majorHAnsi"/>
          <w:color w:val="auto"/>
          <w:sz w:val="20"/>
          <w:szCs w:val="20"/>
        </w:rPr>
        <w:t xml:space="preserve">for kidnapping for extortion and aggravated homicide; and that subsequently, on September </w:t>
      </w:r>
      <w:r w:rsidRPr="00822B9C">
        <w:rPr>
          <w:rFonts w:asciiTheme="majorHAnsi" w:hAnsiTheme="majorHAnsi"/>
          <w:bCs/>
          <w:color w:val="auto"/>
          <w:sz w:val="20"/>
          <w:szCs w:val="20"/>
        </w:rPr>
        <w:t>16</w:t>
      </w:r>
      <w:r>
        <w:rPr>
          <w:rFonts w:asciiTheme="majorHAnsi" w:hAnsiTheme="majorHAnsi"/>
          <w:bCs/>
          <w:color w:val="auto"/>
          <w:sz w:val="20"/>
          <w:szCs w:val="20"/>
        </w:rPr>
        <w:t>,</w:t>
      </w:r>
      <w:r w:rsidRPr="00822B9C">
        <w:rPr>
          <w:rFonts w:asciiTheme="majorHAnsi" w:hAnsiTheme="majorHAnsi"/>
          <w:bCs/>
          <w:color w:val="auto"/>
          <w:sz w:val="20"/>
          <w:szCs w:val="20"/>
        </w:rPr>
        <w:t xml:space="preserve"> 2004</w:t>
      </w:r>
      <w:r>
        <w:rPr>
          <w:rFonts w:asciiTheme="majorHAnsi" w:hAnsiTheme="majorHAnsi"/>
          <w:bCs/>
          <w:color w:val="auto"/>
          <w:sz w:val="20"/>
          <w:szCs w:val="20"/>
        </w:rPr>
        <w:t>, that court ordered that the detention be extended for one more year</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This decision was appealed by the defense of the alleged victims; nonetheless, the Federal Court of Appeals of </w:t>
      </w:r>
      <w:r w:rsidRPr="00822B9C">
        <w:rPr>
          <w:rFonts w:asciiTheme="majorHAnsi" w:hAnsiTheme="majorHAnsi"/>
          <w:bCs/>
          <w:color w:val="auto"/>
          <w:sz w:val="20"/>
          <w:szCs w:val="20"/>
        </w:rPr>
        <w:t xml:space="preserve">La Plata </w:t>
      </w:r>
      <w:r>
        <w:rPr>
          <w:rFonts w:asciiTheme="majorHAnsi" w:hAnsiTheme="majorHAnsi"/>
          <w:bCs/>
          <w:color w:val="auto"/>
          <w:sz w:val="20"/>
          <w:szCs w:val="20"/>
        </w:rPr>
        <w:t xml:space="preserve">upheld it on February </w:t>
      </w:r>
      <w:r w:rsidRPr="00822B9C">
        <w:rPr>
          <w:rFonts w:asciiTheme="majorHAnsi" w:hAnsiTheme="majorHAnsi"/>
          <w:bCs/>
          <w:color w:val="auto"/>
          <w:sz w:val="20"/>
          <w:szCs w:val="20"/>
        </w:rPr>
        <w:t>17</w:t>
      </w:r>
      <w:r>
        <w:rPr>
          <w:rFonts w:asciiTheme="majorHAnsi" w:hAnsiTheme="majorHAnsi"/>
          <w:bCs/>
          <w:color w:val="auto"/>
          <w:sz w:val="20"/>
          <w:szCs w:val="20"/>
        </w:rPr>
        <w:t>,</w:t>
      </w:r>
      <w:r w:rsidRPr="00822B9C">
        <w:rPr>
          <w:rFonts w:asciiTheme="majorHAnsi" w:hAnsiTheme="majorHAnsi"/>
          <w:bCs/>
          <w:color w:val="auto"/>
          <w:sz w:val="20"/>
          <w:szCs w:val="20"/>
        </w:rPr>
        <w:t xml:space="preserve"> 2005.</w:t>
      </w:r>
    </w:p>
    <w:p w:rsidR="002530DB" w:rsidRPr="002530DB"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Strong"/>
          <w:rFonts w:asciiTheme="majorHAnsi" w:hAnsiTheme="majorHAnsi" w:cstheme="minorBidi"/>
          <w:b w:val="0"/>
          <w:color w:val="548DD4" w:themeColor="text2" w:themeTint="99"/>
          <w:sz w:val="20"/>
          <w:szCs w:val="20"/>
        </w:rPr>
      </w:pPr>
      <w:r>
        <w:rPr>
          <w:rFonts w:asciiTheme="majorHAnsi" w:hAnsiTheme="majorHAnsi"/>
          <w:bCs/>
          <w:color w:val="auto"/>
          <w:sz w:val="20"/>
          <w:szCs w:val="20"/>
        </w:rPr>
        <w:t xml:space="preserve">The petitioner alleges that on August </w:t>
      </w:r>
      <w:r w:rsidRPr="00822B9C">
        <w:rPr>
          <w:rFonts w:asciiTheme="majorHAnsi" w:hAnsiTheme="majorHAnsi"/>
          <w:bCs/>
          <w:color w:val="auto"/>
          <w:sz w:val="20"/>
          <w:szCs w:val="20"/>
        </w:rPr>
        <w:t>31</w:t>
      </w:r>
      <w:r>
        <w:rPr>
          <w:rFonts w:asciiTheme="majorHAnsi" w:hAnsiTheme="majorHAnsi"/>
          <w:bCs/>
          <w:color w:val="auto"/>
          <w:sz w:val="20"/>
          <w:szCs w:val="20"/>
        </w:rPr>
        <w:t>,</w:t>
      </w:r>
      <w:r w:rsidRPr="00822B9C">
        <w:rPr>
          <w:rFonts w:asciiTheme="majorHAnsi" w:hAnsiTheme="majorHAnsi"/>
          <w:bCs/>
          <w:color w:val="auto"/>
          <w:sz w:val="20"/>
          <w:szCs w:val="20"/>
        </w:rPr>
        <w:t xml:space="preserve"> 2005</w:t>
      </w:r>
      <w:r>
        <w:rPr>
          <w:rFonts w:asciiTheme="majorHAnsi" w:hAnsiTheme="majorHAnsi"/>
          <w:bCs/>
          <w:color w:val="auto"/>
          <w:sz w:val="20"/>
          <w:szCs w:val="20"/>
        </w:rPr>
        <w:t xml:space="preserve">, the legal term expired for holding the alleged victims in pretrial detention. At this point their detention was prolonged beyond a reasonable time, in view of which it sought the release of the alleged victims. This request was rejected by the Federal Court of </w:t>
      </w:r>
      <w:r w:rsidRPr="00822B9C">
        <w:rPr>
          <w:rFonts w:asciiTheme="majorHAnsi" w:hAnsiTheme="majorHAnsi"/>
          <w:bCs/>
          <w:color w:val="auto"/>
          <w:sz w:val="20"/>
          <w:szCs w:val="20"/>
        </w:rPr>
        <w:t xml:space="preserve">Lomas de Zamora, </w:t>
      </w:r>
      <w:r>
        <w:rPr>
          <w:rFonts w:asciiTheme="majorHAnsi" w:hAnsiTheme="majorHAnsi"/>
          <w:bCs/>
          <w:color w:val="auto"/>
          <w:sz w:val="20"/>
          <w:szCs w:val="20"/>
        </w:rPr>
        <w:t>which held that two years of detention and the extension of one year do not authorize the release of the alleged victi</w:t>
      </w:r>
      <w:r w:rsidRPr="002530DB">
        <w:rPr>
          <w:rFonts w:asciiTheme="majorHAnsi" w:hAnsiTheme="majorHAnsi"/>
          <w:bCs/>
          <w:color w:val="auto"/>
          <w:sz w:val="20"/>
          <w:szCs w:val="20"/>
        </w:rPr>
        <w:t xml:space="preserve">ms. </w:t>
      </w:r>
      <w:r w:rsidRPr="002530DB">
        <w:rPr>
          <w:rStyle w:val="Strong"/>
          <w:rFonts w:asciiTheme="majorHAnsi" w:hAnsiTheme="majorHAnsi" w:cs="Arial"/>
          <w:b w:val="0"/>
          <w:color w:val="auto"/>
          <w:sz w:val="20"/>
          <w:szCs w:val="20"/>
        </w:rPr>
        <w:t xml:space="preserve">This decision was appealed; however, on March 27, 2006, the Federal Court of Appeals for Criminal Cassation rejected the appeal based on the same reasons put forth by the court of first instance: the crime was very violent in nature and the victim was an adolescent, and the weight of the evidence made it preferable for the alleged victims not to be released before trial. </w:t>
      </w:r>
    </w:p>
    <w:p w:rsidR="002530DB" w:rsidRPr="002530DB"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Strong"/>
          <w:rFonts w:asciiTheme="majorHAnsi" w:hAnsiTheme="majorHAnsi"/>
          <w:b w:val="0"/>
          <w:color w:val="auto"/>
          <w:sz w:val="20"/>
          <w:szCs w:val="20"/>
        </w:rPr>
      </w:pPr>
      <w:r w:rsidRPr="002530DB">
        <w:rPr>
          <w:rStyle w:val="Strong"/>
          <w:rFonts w:asciiTheme="majorHAnsi" w:hAnsiTheme="majorHAnsi"/>
          <w:b w:val="0"/>
          <w:color w:val="auto"/>
          <w:sz w:val="20"/>
          <w:szCs w:val="20"/>
        </w:rPr>
        <w:t>Subsequently, extraordinary appeals were filed in favor of both alleged victims for the federal Supreme Court of Justice to review the decisions to reject the application for release, yet those appeals were rejected. Accordingly, the alleged victims filed complaint appeals (</w:t>
      </w:r>
      <w:r w:rsidRPr="002530DB">
        <w:rPr>
          <w:rStyle w:val="Strong"/>
          <w:rFonts w:asciiTheme="majorHAnsi" w:hAnsiTheme="majorHAnsi"/>
          <w:b w:val="0"/>
          <w:i/>
          <w:color w:val="auto"/>
          <w:sz w:val="20"/>
          <w:szCs w:val="20"/>
        </w:rPr>
        <w:t>recursos de queja</w:t>
      </w:r>
      <w:r w:rsidRPr="002530DB">
        <w:rPr>
          <w:rStyle w:val="Strong"/>
          <w:rFonts w:asciiTheme="majorHAnsi" w:hAnsiTheme="majorHAnsi"/>
          <w:b w:val="0"/>
          <w:color w:val="auto"/>
          <w:sz w:val="20"/>
          <w:szCs w:val="20"/>
        </w:rPr>
        <w:t xml:space="preserve">) directly before the federal Supreme Court, which were found inadmissible on November 27, 2007, and notice of these decisions was given to the alleged victims on November 30, 2007. The petitioner argues that with these latest decisions domestic judicial remedies were exhausted with respect to the pretrial detention.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With respect to the progress in the principal proceeding, the petitioner indicates that the First Federal Criminal Court for Oral Proceedings (</w:t>
      </w:r>
      <w:r w:rsidRPr="00822B9C">
        <w:rPr>
          <w:rFonts w:asciiTheme="majorHAnsi" w:hAnsiTheme="majorHAnsi"/>
          <w:bCs/>
          <w:color w:val="auto"/>
          <w:sz w:val="20"/>
          <w:szCs w:val="20"/>
        </w:rPr>
        <w:t>Tribunal Oral en lo Criminal Federal No. I</w:t>
      </w:r>
      <w:r>
        <w:rPr>
          <w:rFonts w:asciiTheme="majorHAnsi" w:hAnsiTheme="majorHAnsi"/>
          <w:bCs/>
          <w:color w:val="auto"/>
          <w:sz w:val="20"/>
          <w:szCs w:val="20"/>
        </w:rPr>
        <w:t>)</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of La Plata convicted the alleged victims and sentenced them to life in prison on December </w:t>
      </w:r>
      <w:r w:rsidRPr="00822B9C">
        <w:rPr>
          <w:rFonts w:asciiTheme="majorHAnsi" w:hAnsiTheme="majorHAnsi"/>
          <w:bCs/>
          <w:color w:val="auto"/>
          <w:sz w:val="20"/>
          <w:szCs w:val="20"/>
        </w:rPr>
        <w:t>27</w:t>
      </w:r>
      <w:r>
        <w:rPr>
          <w:rFonts w:asciiTheme="majorHAnsi" w:hAnsiTheme="majorHAnsi"/>
          <w:bCs/>
          <w:color w:val="auto"/>
          <w:sz w:val="20"/>
          <w:szCs w:val="20"/>
        </w:rPr>
        <w:t>,</w:t>
      </w:r>
      <w:r w:rsidRPr="00822B9C">
        <w:rPr>
          <w:rFonts w:asciiTheme="majorHAnsi" w:hAnsiTheme="majorHAnsi"/>
          <w:bCs/>
          <w:color w:val="auto"/>
          <w:sz w:val="20"/>
          <w:szCs w:val="20"/>
        </w:rPr>
        <w:t xml:space="preserve"> 2007, </w:t>
      </w:r>
      <w:r>
        <w:rPr>
          <w:rFonts w:asciiTheme="majorHAnsi" w:hAnsiTheme="majorHAnsi"/>
          <w:bCs/>
          <w:color w:val="auto"/>
          <w:sz w:val="20"/>
          <w:szCs w:val="20"/>
        </w:rPr>
        <w:t>for the crime of kidnapping for extortion and aggravated homicide. Against this decision a motion for cassation was filed that was partially granted</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and a complaint appeal on March </w:t>
      </w:r>
      <w:r w:rsidRPr="00822B9C">
        <w:rPr>
          <w:rFonts w:asciiTheme="majorHAnsi" w:hAnsiTheme="majorHAnsi"/>
          <w:bCs/>
          <w:color w:val="auto"/>
          <w:sz w:val="20"/>
          <w:szCs w:val="20"/>
        </w:rPr>
        <w:t>10</w:t>
      </w:r>
      <w:r>
        <w:rPr>
          <w:rFonts w:asciiTheme="majorHAnsi" w:hAnsiTheme="majorHAnsi"/>
          <w:bCs/>
          <w:color w:val="auto"/>
          <w:sz w:val="20"/>
          <w:szCs w:val="20"/>
        </w:rPr>
        <w:t>,</w:t>
      </w:r>
      <w:r w:rsidRPr="00822B9C">
        <w:rPr>
          <w:rFonts w:asciiTheme="majorHAnsi" w:hAnsiTheme="majorHAnsi"/>
          <w:bCs/>
          <w:color w:val="auto"/>
          <w:sz w:val="20"/>
          <w:szCs w:val="20"/>
        </w:rPr>
        <w:t xml:space="preserve"> 2008</w:t>
      </w:r>
      <w:r>
        <w:rPr>
          <w:rFonts w:asciiTheme="majorHAnsi" w:hAnsiTheme="majorHAnsi"/>
          <w:bCs/>
          <w:color w:val="auto"/>
          <w:sz w:val="20"/>
          <w:szCs w:val="20"/>
        </w:rPr>
        <w:t xml:space="preserve">, due to the fact that the grievances set forth in that motion for appeal were not admitted. The judgment of the court of first instance was appealed, and on February </w:t>
      </w:r>
      <w:r w:rsidRPr="00822B9C">
        <w:rPr>
          <w:rFonts w:asciiTheme="majorHAnsi" w:hAnsiTheme="majorHAnsi"/>
          <w:bCs/>
          <w:color w:val="auto"/>
          <w:sz w:val="20"/>
          <w:szCs w:val="20"/>
        </w:rPr>
        <w:t>10</w:t>
      </w:r>
      <w:r>
        <w:rPr>
          <w:rFonts w:asciiTheme="majorHAnsi" w:hAnsiTheme="majorHAnsi"/>
          <w:bCs/>
          <w:color w:val="auto"/>
          <w:sz w:val="20"/>
          <w:szCs w:val="20"/>
        </w:rPr>
        <w:t>,</w:t>
      </w:r>
      <w:r w:rsidRPr="00822B9C">
        <w:rPr>
          <w:rFonts w:asciiTheme="majorHAnsi" w:hAnsiTheme="majorHAnsi"/>
          <w:bCs/>
          <w:color w:val="auto"/>
          <w:sz w:val="20"/>
          <w:szCs w:val="20"/>
        </w:rPr>
        <w:t xml:space="preserve"> 2011</w:t>
      </w:r>
      <w:r>
        <w:rPr>
          <w:rFonts w:asciiTheme="majorHAnsi" w:hAnsiTheme="majorHAnsi"/>
          <w:bCs/>
          <w:color w:val="auto"/>
          <w:sz w:val="20"/>
          <w:szCs w:val="20"/>
        </w:rPr>
        <w:t xml:space="preserve"> the Second Chamber of the Federal Court for Criminal Cassation dismissed both appeals, both the motion for cassation and the complaint appeal, upholding the judgment of first instance</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With that decision, the judgment became final.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bCs/>
          <w:color w:val="auto"/>
          <w:sz w:val="20"/>
          <w:szCs w:val="20"/>
        </w:rPr>
        <w:t xml:space="preserve">In addition, the petitioner notes that on May </w:t>
      </w:r>
      <w:r w:rsidRPr="00822B9C">
        <w:rPr>
          <w:bCs/>
          <w:color w:val="auto"/>
          <w:sz w:val="20"/>
          <w:szCs w:val="20"/>
        </w:rPr>
        <w:t>29</w:t>
      </w:r>
      <w:r>
        <w:rPr>
          <w:bCs/>
          <w:color w:val="auto"/>
          <w:sz w:val="20"/>
          <w:szCs w:val="20"/>
        </w:rPr>
        <w:t>,</w:t>
      </w:r>
      <w:r w:rsidRPr="00822B9C">
        <w:rPr>
          <w:bCs/>
          <w:color w:val="auto"/>
          <w:sz w:val="20"/>
          <w:szCs w:val="20"/>
        </w:rPr>
        <w:t xml:space="preserve"> 2008</w:t>
      </w:r>
      <w:r>
        <w:rPr>
          <w:bCs/>
          <w:color w:val="auto"/>
          <w:sz w:val="20"/>
          <w:szCs w:val="20"/>
        </w:rPr>
        <w:t xml:space="preserve"> it brought an action challenging the constitutionality of Article </w:t>
      </w:r>
      <w:r w:rsidRPr="00822B9C">
        <w:rPr>
          <w:bCs/>
          <w:color w:val="auto"/>
          <w:sz w:val="20"/>
          <w:szCs w:val="20"/>
        </w:rPr>
        <w:t xml:space="preserve">2 </w:t>
      </w:r>
      <w:r>
        <w:rPr>
          <w:bCs/>
          <w:color w:val="auto"/>
          <w:sz w:val="20"/>
          <w:szCs w:val="20"/>
        </w:rPr>
        <w:t xml:space="preserve">of Law </w:t>
      </w:r>
      <w:r w:rsidRPr="00822B9C">
        <w:rPr>
          <w:bCs/>
          <w:color w:val="auto"/>
          <w:sz w:val="20"/>
          <w:szCs w:val="20"/>
        </w:rPr>
        <w:t>24</w:t>
      </w:r>
      <w:r>
        <w:rPr>
          <w:bCs/>
          <w:color w:val="auto"/>
          <w:sz w:val="20"/>
          <w:szCs w:val="20"/>
        </w:rPr>
        <w:t>,</w:t>
      </w:r>
      <w:r w:rsidRPr="00822B9C">
        <w:rPr>
          <w:bCs/>
          <w:color w:val="auto"/>
          <w:sz w:val="20"/>
          <w:szCs w:val="20"/>
        </w:rPr>
        <w:t>390 (</w:t>
      </w:r>
      <w:r>
        <w:rPr>
          <w:bCs/>
          <w:color w:val="auto"/>
          <w:sz w:val="20"/>
          <w:szCs w:val="20"/>
        </w:rPr>
        <w:t xml:space="preserve">amended by Law </w:t>
      </w:r>
      <w:r w:rsidRPr="00822B9C">
        <w:rPr>
          <w:bCs/>
          <w:color w:val="auto"/>
          <w:sz w:val="20"/>
          <w:szCs w:val="20"/>
        </w:rPr>
        <w:t>25</w:t>
      </w:r>
      <w:r>
        <w:rPr>
          <w:bCs/>
          <w:color w:val="auto"/>
          <w:sz w:val="20"/>
          <w:szCs w:val="20"/>
        </w:rPr>
        <w:t>,</w:t>
      </w:r>
      <w:r w:rsidRPr="00822B9C">
        <w:rPr>
          <w:bCs/>
          <w:color w:val="auto"/>
          <w:sz w:val="20"/>
          <w:szCs w:val="20"/>
        </w:rPr>
        <w:t>430)</w:t>
      </w:r>
      <w:r w:rsidRPr="00822B9C">
        <w:rPr>
          <w:rStyle w:val="FootnoteReference"/>
          <w:bCs/>
          <w:color w:val="auto"/>
          <w:sz w:val="20"/>
          <w:szCs w:val="20"/>
        </w:rPr>
        <w:footnoteReference w:id="6"/>
      </w:r>
      <w:r w:rsidRPr="00822B9C">
        <w:rPr>
          <w:bCs/>
          <w:color w:val="auto"/>
          <w:sz w:val="20"/>
          <w:szCs w:val="20"/>
        </w:rPr>
        <w:t xml:space="preserve"> –</w:t>
      </w:r>
      <w:r>
        <w:rPr>
          <w:bCs/>
          <w:color w:val="auto"/>
          <w:sz w:val="20"/>
          <w:szCs w:val="20"/>
        </w:rPr>
        <w:t xml:space="preserve"> the provision used as a legal basis for prolonging the pretrial detention of the alleged victims – before the </w:t>
      </w:r>
      <w:r>
        <w:rPr>
          <w:rFonts w:asciiTheme="majorHAnsi" w:hAnsiTheme="majorHAnsi"/>
          <w:bCs/>
          <w:color w:val="auto"/>
          <w:sz w:val="20"/>
          <w:szCs w:val="20"/>
        </w:rPr>
        <w:t>First Federal Criminal Court for Oral Proceedings</w:t>
      </w:r>
      <w:r>
        <w:rPr>
          <w:bCs/>
          <w:color w:val="auto"/>
          <w:sz w:val="20"/>
          <w:szCs w:val="20"/>
        </w:rPr>
        <w:t xml:space="preserve">) of the city of </w:t>
      </w:r>
      <w:r w:rsidRPr="00822B9C">
        <w:rPr>
          <w:bCs/>
          <w:color w:val="auto"/>
          <w:sz w:val="20"/>
          <w:szCs w:val="20"/>
        </w:rPr>
        <w:t>La Plata</w:t>
      </w:r>
      <w:r>
        <w:rPr>
          <w:bCs/>
          <w:color w:val="auto"/>
          <w:sz w:val="20"/>
          <w:szCs w:val="20"/>
        </w:rPr>
        <w:t>. According to its argument, this provision violates the rights to due process, defense at trial, liberty, the principle of the presumption of innocence, equality before the law, and the rank that the Constitution of Argentina accords international human rights instruments, since it allows for increasing the time of pretrial detention, in violation of international standards on the use of pretrial detention within a reasonable time</w:t>
      </w:r>
      <w:r w:rsidRPr="00822B9C">
        <w:rPr>
          <w:bCs/>
          <w:color w:val="auto"/>
          <w:sz w:val="20"/>
          <w:szCs w:val="20"/>
        </w:rPr>
        <w:t>.</w:t>
      </w:r>
      <w:r>
        <w:rPr>
          <w:bCs/>
          <w:color w:val="auto"/>
          <w:sz w:val="20"/>
          <w:szCs w:val="20"/>
        </w:rPr>
        <w:t xml:space="preserve">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bCs/>
          <w:color w:val="auto"/>
          <w:sz w:val="20"/>
          <w:szCs w:val="20"/>
        </w:rPr>
        <w:lastRenderedPageBreak/>
        <w:t xml:space="preserve">On July </w:t>
      </w:r>
      <w:r w:rsidRPr="00822B9C">
        <w:rPr>
          <w:bCs/>
          <w:color w:val="auto"/>
          <w:sz w:val="20"/>
          <w:szCs w:val="20"/>
        </w:rPr>
        <w:t>10</w:t>
      </w:r>
      <w:r>
        <w:rPr>
          <w:bCs/>
          <w:color w:val="auto"/>
          <w:sz w:val="20"/>
          <w:szCs w:val="20"/>
        </w:rPr>
        <w:t>,</w:t>
      </w:r>
      <w:r w:rsidRPr="00822B9C">
        <w:rPr>
          <w:bCs/>
          <w:color w:val="auto"/>
          <w:sz w:val="20"/>
          <w:szCs w:val="20"/>
        </w:rPr>
        <w:t xml:space="preserve"> 2008 </w:t>
      </w:r>
      <w:r>
        <w:rPr>
          <w:bCs/>
          <w:color w:val="auto"/>
          <w:sz w:val="20"/>
          <w:szCs w:val="20"/>
        </w:rPr>
        <w:t>the court rejected the appeal based on the time of confinement of the convicts not being in conflict with the Constitutio</w:t>
      </w:r>
      <w:r w:rsidRPr="00822B9C">
        <w:rPr>
          <w:bCs/>
          <w:color w:val="auto"/>
          <w:sz w:val="20"/>
          <w:szCs w:val="20"/>
        </w:rPr>
        <w:t xml:space="preserve">n, </w:t>
      </w:r>
      <w:r>
        <w:rPr>
          <w:bCs/>
          <w:color w:val="auto"/>
          <w:sz w:val="20"/>
          <w:szCs w:val="20"/>
        </w:rPr>
        <w:t>or with international treaties</w:t>
      </w:r>
      <w:r w:rsidRPr="00822B9C">
        <w:rPr>
          <w:bCs/>
          <w:color w:val="auto"/>
          <w:sz w:val="20"/>
          <w:szCs w:val="20"/>
        </w:rPr>
        <w:t xml:space="preserve">; </w:t>
      </w:r>
      <w:r>
        <w:rPr>
          <w:bCs/>
          <w:color w:val="auto"/>
          <w:sz w:val="20"/>
          <w:szCs w:val="20"/>
        </w:rPr>
        <w:t>and that the reasonable time for being tried was respected in the specific case of the alleged victims. This resolution was challenged before the Federal Court of Appeals for Criminal Cassation</w:t>
      </w:r>
      <w:r w:rsidRPr="00822B9C">
        <w:rPr>
          <w:bCs/>
          <w:color w:val="auto"/>
          <w:sz w:val="20"/>
          <w:szCs w:val="20"/>
        </w:rPr>
        <w:t xml:space="preserve">, </w:t>
      </w:r>
      <w:r>
        <w:rPr>
          <w:bCs/>
          <w:color w:val="auto"/>
          <w:sz w:val="20"/>
          <w:szCs w:val="20"/>
        </w:rPr>
        <w:t xml:space="preserve">which on May </w:t>
      </w:r>
      <w:r w:rsidRPr="00822B9C">
        <w:rPr>
          <w:bCs/>
          <w:color w:val="auto"/>
          <w:sz w:val="20"/>
          <w:szCs w:val="20"/>
        </w:rPr>
        <w:t>4</w:t>
      </w:r>
      <w:r>
        <w:rPr>
          <w:bCs/>
          <w:color w:val="auto"/>
          <w:sz w:val="20"/>
          <w:szCs w:val="20"/>
        </w:rPr>
        <w:t>,</w:t>
      </w:r>
      <w:r w:rsidRPr="00822B9C">
        <w:rPr>
          <w:bCs/>
          <w:color w:val="auto"/>
          <w:sz w:val="20"/>
          <w:szCs w:val="20"/>
        </w:rPr>
        <w:t xml:space="preserve"> 2010</w:t>
      </w:r>
      <w:r>
        <w:rPr>
          <w:bCs/>
          <w:color w:val="auto"/>
          <w:sz w:val="20"/>
          <w:szCs w:val="20"/>
        </w:rPr>
        <w:t>, upheld the decision based on the argument that the alleged victims were heard and tried by competent courts at the time of the debate and the issuance of the judgment</w:t>
      </w:r>
      <w:r w:rsidRPr="00822B9C">
        <w:rPr>
          <w:bCs/>
          <w:color w:val="auto"/>
          <w:sz w:val="20"/>
          <w:szCs w:val="20"/>
        </w:rPr>
        <w:t xml:space="preserve">; </w:t>
      </w:r>
      <w:r>
        <w:rPr>
          <w:bCs/>
          <w:color w:val="auto"/>
          <w:sz w:val="20"/>
          <w:szCs w:val="20"/>
        </w:rPr>
        <w:t>and as they had been convicted, their presumptions of innocence were weakened</w:t>
      </w:r>
      <w:r w:rsidRPr="00822B9C">
        <w:rPr>
          <w:bCs/>
          <w:color w:val="auto"/>
          <w:sz w:val="20"/>
          <w:szCs w:val="20"/>
        </w:rPr>
        <w:t xml:space="preserve">. </w:t>
      </w:r>
      <w:r>
        <w:rPr>
          <w:bCs/>
          <w:color w:val="auto"/>
          <w:sz w:val="20"/>
          <w:szCs w:val="20"/>
        </w:rPr>
        <w:t xml:space="preserve">Against this decision Mr. </w:t>
      </w:r>
      <w:r w:rsidRPr="00822B9C">
        <w:rPr>
          <w:bCs/>
          <w:color w:val="auto"/>
          <w:sz w:val="20"/>
          <w:szCs w:val="20"/>
        </w:rPr>
        <w:t xml:space="preserve">Rotela </w:t>
      </w:r>
      <w:r>
        <w:rPr>
          <w:bCs/>
          <w:color w:val="auto"/>
          <w:sz w:val="20"/>
          <w:szCs w:val="20"/>
        </w:rPr>
        <w:t>filed an extraordinary appeal</w:t>
      </w:r>
      <w:r w:rsidRPr="00822B9C">
        <w:rPr>
          <w:bCs/>
          <w:color w:val="auto"/>
          <w:sz w:val="20"/>
          <w:szCs w:val="20"/>
        </w:rPr>
        <w:t xml:space="preserve">, </w:t>
      </w:r>
      <w:r>
        <w:rPr>
          <w:bCs/>
          <w:color w:val="auto"/>
          <w:sz w:val="20"/>
          <w:szCs w:val="20"/>
        </w:rPr>
        <w:t>which was rejected</w:t>
      </w:r>
      <w:r w:rsidRPr="00822B9C">
        <w:rPr>
          <w:bCs/>
          <w:color w:val="auto"/>
          <w:sz w:val="20"/>
          <w:szCs w:val="20"/>
        </w:rPr>
        <w:t xml:space="preserve">; </w:t>
      </w:r>
      <w:r>
        <w:rPr>
          <w:bCs/>
          <w:color w:val="auto"/>
          <w:sz w:val="20"/>
          <w:szCs w:val="20"/>
        </w:rPr>
        <w:t>and then a complaint appeal before the federal Supreme Court</w:t>
      </w:r>
      <w:r w:rsidRPr="00822B9C">
        <w:rPr>
          <w:bCs/>
          <w:color w:val="auto"/>
          <w:sz w:val="20"/>
          <w:szCs w:val="20"/>
        </w:rPr>
        <w:t xml:space="preserve">, </w:t>
      </w:r>
      <w:r>
        <w:rPr>
          <w:bCs/>
          <w:color w:val="auto"/>
          <w:sz w:val="20"/>
          <w:szCs w:val="20"/>
        </w:rPr>
        <w:t xml:space="preserve">which was also dismissed.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 xml:space="preserve">In summary, the petitioner argues that the alleged victims remained in pretrial detention for five years and four months – from August 31, </w:t>
      </w:r>
      <w:r w:rsidRPr="00822B9C">
        <w:rPr>
          <w:rFonts w:asciiTheme="majorHAnsi" w:hAnsiTheme="majorHAnsi"/>
          <w:bCs/>
          <w:color w:val="auto"/>
          <w:sz w:val="20"/>
          <w:szCs w:val="20"/>
        </w:rPr>
        <w:t>2002</w:t>
      </w:r>
      <w:r>
        <w:rPr>
          <w:rFonts w:asciiTheme="majorHAnsi" w:hAnsiTheme="majorHAnsi"/>
          <w:bCs/>
          <w:color w:val="auto"/>
          <w:sz w:val="20"/>
          <w:szCs w:val="20"/>
        </w:rPr>
        <w:t xml:space="preserve">, until December </w:t>
      </w:r>
      <w:r w:rsidRPr="00822B9C">
        <w:rPr>
          <w:rFonts w:asciiTheme="majorHAnsi" w:hAnsiTheme="majorHAnsi"/>
          <w:bCs/>
          <w:color w:val="auto"/>
          <w:sz w:val="20"/>
          <w:szCs w:val="20"/>
        </w:rPr>
        <w:t>27</w:t>
      </w:r>
      <w:r>
        <w:rPr>
          <w:rFonts w:asciiTheme="majorHAnsi" w:hAnsiTheme="majorHAnsi"/>
          <w:bCs/>
          <w:color w:val="auto"/>
          <w:sz w:val="20"/>
          <w:szCs w:val="20"/>
        </w:rPr>
        <w:t>,</w:t>
      </w:r>
      <w:r w:rsidRPr="00822B9C">
        <w:rPr>
          <w:rFonts w:asciiTheme="majorHAnsi" w:hAnsiTheme="majorHAnsi"/>
          <w:bCs/>
          <w:color w:val="auto"/>
          <w:sz w:val="20"/>
          <w:szCs w:val="20"/>
        </w:rPr>
        <w:t xml:space="preserve"> 2007</w:t>
      </w:r>
      <w:r>
        <w:rPr>
          <w:rFonts w:asciiTheme="majorHAnsi" w:hAnsiTheme="majorHAnsi"/>
          <w:bCs/>
          <w:color w:val="auto"/>
          <w:sz w:val="20"/>
          <w:szCs w:val="20"/>
        </w:rPr>
        <w:t xml:space="preserve"> </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just to get to the trial court judgment; and that the very prolongation of the process, which extended for more than nine years, violates both the right to personal liberty and the right to be tried in a reasonable time.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The Argentine State first argues that the petition was forwarded to it by the Inter-American Commission late, for it states that it was notified more than four years after it was submitted to the IACHR. The State further adduces that it is inadmissible because it lacks sufficient elements or grounds of evidence to establish Argentina’s international responsibility for a violation of the rights enshrined in the American Convention</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In this regard, it argues that the deprivation of liberty of the alleged victims was not prolonged beyond a reasonable time; and that the alleged victims had access, at all times, to independent and impartial courts, and at every moment had their judicial guarantees respected.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 xml:space="preserve">In addition, as regards to the substantiation of the proceeding, it argues that it occurred within a reasonable time, since the circumstances of both the case and the investigation were complex. Accordingly, the State asks the Commission to find the petition inadmissible, since the petitioner seeks to have the Commission review rulings by domestic judicial bodies that acted within their jurisdiction, in which case it would be sitting as a “fourth instance.” </w:t>
      </w:r>
    </w:p>
    <w:p w:rsidR="002530DB" w:rsidRPr="00822B9C" w:rsidRDefault="002530DB" w:rsidP="002530DB">
      <w:pPr>
        <w:spacing w:after="240"/>
        <w:ind w:firstLine="720"/>
        <w:jc w:val="both"/>
        <w:rPr>
          <w:rFonts w:asciiTheme="majorHAnsi" w:hAnsiTheme="majorHAnsi"/>
          <w:sz w:val="20"/>
          <w:szCs w:val="20"/>
        </w:rPr>
      </w:pPr>
      <w:r w:rsidRPr="00822B9C">
        <w:rPr>
          <w:rFonts w:asciiTheme="majorHAnsi" w:eastAsia="Cambria" w:hAnsiTheme="majorHAnsi" w:cs="Cambria"/>
          <w:b/>
          <w:bCs/>
          <w:sz w:val="20"/>
          <w:szCs w:val="20"/>
          <w:u w:color="000000"/>
          <w:lang w:eastAsia="es-ES"/>
        </w:rPr>
        <w:t>VI.</w:t>
      </w:r>
      <w:r w:rsidRPr="00822B9C">
        <w:rPr>
          <w:rFonts w:asciiTheme="majorHAnsi" w:eastAsia="Cambria" w:hAnsiTheme="majorHAnsi" w:cs="Cambria"/>
          <w:b/>
          <w:bCs/>
          <w:sz w:val="20"/>
          <w:szCs w:val="20"/>
          <w:u w:color="000000"/>
          <w:lang w:eastAsia="es-ES"/>
        </w:rPr>
        <w:tab/>
      </w:r>
      <w:r>
        <w:rPr>
          <w:rFonts w:asciiTheme="majorHAnsi" w:eastAsia="Cambria" w:hAnsiTheme="majorHAnsi" w:cs="Cambria"/>
          <w:b/>
          <w:bCs/>
          <w:sz w:val="20"/>
          <w:szCs w:val="20"/>
          <w:u w:color="000000"/>
          <w:lang w:eastAsia="es-ES"/>
        </w:rPr>
        <w:t xml:space="preserve">EXHAUSTION OF DOMESTIC REMEDIES AND TIME FOR FILING </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 xml:space="preserve">The petitioner argues that with respect to the arguments on the excessive prolongation of the alleged victims’ pretrial detention, domestic judicial remedies were exhausted with the decisions of the federal Supreme Court of November </w:t>
      </w:r>
      <w:r w:rsidRPr="00822B9C">
        <w:rPr>
          <w:rFonts w:asciiTheme="majorHAnsi" w:hAnsiTheme="majorHAnsi"/>
          <w:bCs/>
          <w:color w:val="auto"/>
          <w:sz w:val="20"/>
          <w:szCs w:val="20"/>
        </w:rPr>
        <w:t>27</w:t>
      </w:r>
      <w:r>
        <w:rPr>
          <w:rFonts w:asciiTheme="majorHAnsi" w:hAnsiTheme="majorHAnsi"/>
          <w:bCs/>
          <w:color w:val="auto"/>
          <w:sz w:val="20"/>
          <w:szCs w:val="20"/>
        </w:rPr>
        <w:t>,</w:t>
      </w:r>
      <w:r w:rsidRPr="00822B9C">
        <w:rPr>
          <w:rFonts w:asciiTheme="majorHAnsi" w:hAnsiTheme="majorHAnsi"/>
          <w:bCs/>
          <w:color w:val="auto"/>
          <w:sz w:val="20"/>
          <w:szCs w:val="20"/>
        </w:rPr>
        <w:t xml:space="preserve"> 2007. </w:t>
      </w:r>
      <w:r>
        <w:rPr>
          <w:rFonts w:asciiTheme="majorHAnsi" w:hAnsiTheme="majorHAnsi"/>
          <w:bCs/>
          <w:color w:val="auto"/>
          <w:sz w:val="20"/>
          <w:szCs w:val="20"/>
        </w:rPr>
        <w:t xml:space="preserve">The Commission also observes, with respect to the principal criminal proceeding, considered as a whole and based on the information provided by the parties, that judicial remedies were exhausted with the decision of the Federal Court of Appeals for Criminal Cassation of February </w:t>
      </w:r>
      <w:r w:rsidRPr="00822B9C">
        <w:rPr>
          <w:rFonts w:asciiTheme="majorHAnsi" w:hAnsiTheme="majorHAnsi"/>
          <w:bCs/>
          <w:color w:val="auto"/>
          <w:sz w:val="20"/>
          <w:szCs w:val="20"/>
        </w:rPr>
        <w:t>10</w:t>
      </w:r>
      <w:r>
        <w:rPr>
          <w:rFonts w:asciiTheme="majorHAnsi" w:hAnsiTheme="majorHAnsi"/>
          <w:bCs/>
          <w:color w:val="auto"/>
          <w:sz w:val="20"/>
          <w:szCs w:val="20"/>
        </w:rPr>
        <w:t>,</w:t>
      </w:r>
      <w:r w:rsidRPr="00822B9C">
        <w:rPr>
          <w:rFonts w:asciiTheme="majorHAnsi" w:hAnsiTheme="majorHAnsi"/>
          <w:bCs/>
          <w:color w:val="auto"/>
          <w:sz w:val="20"/>
          <w:szCs w:val="20"/>
        </w:rPr>
        <w:t xml:space="preserve"> 2011, </w:t>
      </w:r>
      <w:r>
        <w:rPr>
          <w:rFonts w:asciiTheme="majorHAnsi" w:hAnsiTheme="majorHAnsi"/>
          <w:bCs/>
          <w:color w:val="auto"/>
          <w:sz w:val="20"/>
          <w:szCs w:val="20"/>
        </w:rPr>
        <w:t>by means of which it upheld the conviction in the trial court. The State, for its part, did not controvert the exhaustion of domestic remedies. Mindful of these considerations, and after analyzing the information available in the record, the Commission concludes that domestic remedies were definitively exhausted with said judicial resolutions as described in this paragraph; therefore, this petition meets the requirement established in Article 46(</w:t>
      </w:r>
      <w:r w:rsidRPr="00822B9C">
        <w:rPr>
          <w:rFonts w:asciiTheme="majorHAnsi" w:hAnsiTheme="majorHAnsi"/>
          <w:bCs/>
          <w:color w:val="auto"/>
          <w:sz w:val="20"/>
          <w:szCs w:val="20"/>
        </w:rPr>
        <w:t>1</w:t>
      </w:r>
      <w:r>
        <w:rPr>
          <w:rFonts w:asciiTheme="majorHAnsi" w:hAnsiTheme="majorHAnsi"/>
          <w:bCs/>
          <w:color w:val="auto"/>
          <w:sz w:val="20"/>
          <w:szCs w:val="20"/>
        </w:rPr>
        <w:t>)(</w:t>
      </w:r>
      <w:r w:rsidRPr="00822B9C">
        <w:rPr>
          <w:rFonts w:asciiTheme="majorHAnsi" w:hAnsiTheme="majorHAnsi"/>
          <w:bCs/>
          <w:color w:val="auto"/>
          <w:sz w:val="20"/>
          <w:szCs w:val="20"/>
        </w:rPr>
        <w:t>a</w:t>
      </w:r>
      <w:r>
        <w:rPr>
          <w:rFonts w:asciiTheme="majorHAnsi" w:hAnsiTheme="majorHAnsi"/>
          <w:bCs/>
          <w:color w:val="auto"/>
          <w:sz w:val="20"/>
          <w:szCs w:val="20"/>
        </w:rPr>
        <w:t>)</w:t>
      </w:r>
      <w:r w:rsidRPr="00822B9C">
        <w:rPr>
          <w:rFonts w:asciiTheme="majorHAnsi" w:hAnsiTheme="majorHAnsi"/>
          <w:bCs/>
          <w:color w:val="auto"/>
          <w:sz w:val="20"/>
          <w:szCs w:val="20"/>
        </w:rPr>
        <w:t xml:space="preserve"> </w:t>
      </w:r>
      <w:r>
        <w:rPr>
          <w:rFonts w:asciiTheme="majorHAnsi" w:hAnsiTheme="majorHAnsi"/>
          <w:bCs/>
          <w:color w:val="auto"/>
          <w:sz w:val="20"/>
          <w:szCs w:val="20"/>
        </w:rPr>
        <w:t>of the Conventio</w:t>
      </w:r>
      <w:r w:rsidRPr="00822B9C">
        <w:rPr>
          <w:rFonts w:asciiTheme="majorHAnsi" w:hAnsiTheme="majorHAnsi"/>
          <w:bCs/>
          <w:color w:val="auto"/>
          <w:sz w:val="20"/>
          <w:szCs w:val="20"/>
        </w:rPr>
        <w:t>n.</w:t>
      </w:r>
    </w:p>
    <w:p w:rsidR="002530DB" w:rsidRPr="00822B9C" w:rsidRDefault="002530DB" w:rsidP="002530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rPr>
      </w:pPr>
      <w:r>
        <w:rPr>
          <w:rFonts w:asciiTheme="majorHAnsi" w:hAnsiTheme="majorHAnsi"/>
          <w:bCs/>
          <w:color w:val="auto"/>
          <w:sz w:val="20"/>
          <w:szCs w:val="20"/>
        </w:rPr>
        <w:t xml:space="preserve">In addition, the Commission observes that the notice of the decisions of the Supreme Court of Justice that put an end to the procedural path followed by the alleged victims for calling into question the prolongation of their pretrial detention was given to them on November </w:t>
      </w:r>
      <w:r w:rsidRPr="00822B9C">
        <w:rPr>
          <w:rFonts w:asciiTheme="majorHAnsi" w:hAnsiTheme="majorHAnsi"/>
          <w:bCs/>
          <w:color w:val="auto"/>
          <w:sz w:val="20"/>
          <w:szCs w:val="20"/>
        </w:rPr>
        <w:t>30</w:t>
      </w:r>
      <w:r>
        <w:rPr>
          <w:rFonts w:asciiTheme="majorHAnsi" w:hAnsiTheme="majorHAnsi"/>
          <w:bCs/>
          <w:color w:val="auto"/>
          <w:sz w:val="20"/>
          <w:szCs w:val="20"/>
        </w:rPr>
        <w:t>,</w:t>
      </w:r>
      <w:r w:rsidRPr="00822B9C">
        <w:rPr>
          <w:rFonts w:asciiTheme="majorHAnsi" w:hAnsiTheme="majorHAnsi"/>
          <w:bCs/>
          <w:color w:val="auto"/>
          <w:sz w:val="20"/>
          <w:szCs w:val="20"/>
        </w:rPr>
        <w:t xml:space="preserve"> 2007, </w:t>
      </w:r>
      <w:r>
        <w:rPr>
          <w:rFonts w:asciiTheme="majorHAnsi" w:hAnsiTheme="majorHAnsi"/>
          <w:bCs/>
          <w:color w:val="auto"/>
          <w:sz w:val="20"/>
          <w:szCs w:val="20"/>
        </w:rPr>
        <w:t xml:space="preserve">and this petition was received at the IACHR on May 28, 2008, accordingly, within the six months established in the American Convention. Moreover, with respect to the alleged excessive prolongation of the criminal proceeding as a whole, the Commission considers that domestic remedies were exhausted with the decision issued by the Federal Court of Appeals for Criminal Cassation on February </w:t>
      </w:r>
      <w:r w:rsidRPr="00822B9C">
        <w:rPr>
          <w:rFonts w:asciiTheme="majorHAnsi" w:hAnsiTheme="majorHAnsi"/>
          <w:bCs/>
          <w:color w:val="auto"/>
          <w:sz w:val="20"/>
          <w:szCs w:val="20"/>
        </w:rPr>
        <w:t>10</w:t>
      </w:r>
      <w:r>
        <w:rPr>
          <w:rFonts w:asciiTheme="majorHAnsi" w:hAnsiTheme="majorHAnsi"/>
          <w:bCs/>
          <w:color w:val="auto"/>
          <w:sz w:val="20"/>
          <w:szCs w:val="20"/>
        </w:rPr>
        <w:t>,</w:t>
      </w:r>
      <w:r w:rsidRPr="00822B9C">
        <w:rPr>
          <w:rFonts w:asciiTheme="majorHAnsi" w:hAnsiTheme="majorHAnsi"/>
          <w:bCs/>
          <w:color w:val="auto"/>
          <w:sz w:val="20"/>
          <w:szCs w:val="20"/>
        </w:rPr>
        <w:t xml:space="preserve"> 2011. </w:t>
      </w:r>
      <w:r>
        <w:rPr>
          <w:rFonts w:asciiTheme="majorHAnsi" w:hAnsiTheme="majorHAnsi"/>
          <w:bCs/>
          <w:color w:val="auto"/>
          <w:sz w:val="20"/>
          <w:szCs w:val="20"/>
        </w:rPr>
        <w:t>In respect</w:t>
      </w:r>
      <w:r w:rsidRPr="00822B9C">
        <w:rPr>
          <w:rFonts w:asciiTheme="majorHAnsi" w:hAnsiTheme="majorHAnsi"/>
          <w:bCs/>
          <w:color w:val="auto"/>
          <w:sz w:val="20"/>
          <w:szCs w:val="20"/>
        </w:rPr>
        <w:t xml:space="preserve"> </w:t>
      </w:r>
      <w:r>
        <w:rPr>
          <w:rFonts w:asciiTheme="majorHAnsi" w:hAnsiTheme="majorHAnsi"/>
          <w:bCs/>
          <w:color w:val="auto"/>
          <w:sz w:val="20"/>
          <w:szCs w:val="20"/>
        </w:rPr>
        <w:t>to having received the petition on a date prior to that ruling, the Commission concludes that this petition meets the requirement established in Article 46(</w:t>
      </w:r>
      <w:r w:rsidRPr="00822B9C">
        <w:rPr>
          <w:rFonts w:asciiTheme="majorHAnsi" w:hAnsiTheme="majorHAnsi"/>
          <w:bCs/>
          <w:color w:val="auto"/>
          <w:sz w:val="20"/>
          <w:szCs w:val="20"/>
        </w:rPr>
        <w:t>1</w:t>
      </w:r>
      <w:r>
        <w:rPr>
          <w:rFonts w:asciiTheme="majorHAnsi" w:hAnsiTheme="majorHAnsi"/>
          <w:bCs/>
          <w:color w:val="auto"/>
          <w:sz w:val="20"/>
          <w:szCs w:val="20"/>
        </w:rPr>
        <w:t>)(</w:t>
      </w:r>
      <w:r w:rsidRPr="00822B9C">
        <w:rPr>
          <w:rFonts w:asciiTheme="majorHAnsi" w:hAnsiTheme="majorHAnsi"/>
          <w:bCs/>
          <w:color w:val="auto"/>
          <w:sz w:val="20"/>
          <w:szCs w:val="20"/>
        </w:rPr>
        <w:t>b</w:t>
      </w:r>
      <w:r>
        <w:rPr>
          <w:rFonts w:asciiTheme="majorHAnsi" w:hAnsiTheme="majorHAnsi"/>
          <w:bCs/>
          <w:color w:val="auto"/>
          <w:sz w:val="20"/>
          <w:szCs w:val="20"/>
        </w:rPr>
        <w:t>) of the American Convention</w:t>
      </w:r>
      <w:r w:rsidRPr="00822B9C">
        <w:rPr>
          <w:rFonts w:asciiTheme="majorHAnsi" w:hAnsiTheme="majorHAnsi"/>
          <w:bCs/>
          <w:color w:val="auto"/>
          <w:sz w:val="20"/>
          <w:szCs w:val="20"/>
        </w:rPr>
        <w:t xml:space="preserve">. </w:t>
      </w:r>
    </w:p>
    <w:p w:rsidR="002530DB" w:rsidRPr="00822B9C" w:rsidRDefault="002530DB" w:rsidP="002530DB">
      <w:pPr>
        <w:pStyle w:val="ListParagraph"/>
        <w:numPr>
          <w:ilvl w:val="0"/>
          <w:numId w:val="103"/>
        </w:numPr>
        <w:spacing w:after="240"/>
        <w:jc w:val="both"/>
        <w:rPr>
          <w:rFonts w:asciiTheme="majorHAnsi" w:hAnsiTheme="majorHAnsi"/>
          <w:bCs/>
          <w:color w:val="auto"/>
          <w:sz w:val="20"/>
          <w:szCs w:val="20"/>
        </w:rPr>
      </w:pPr>
      <w:r>
        <w:rPr>
          <w:rFonts w:asciiTheme="majorHAnsi" w:hAnsiTheme="majorHAnsi"/>
          <w:bCs/>
          <w:color w:val="auto"/>
          <w:sz w:val="20"/>
          <w:szCs w:val="20"/>
        </w:rPr>
        <w:t xml:space="preserve">The Commission also takes note of the State’s claim regarding the late forwarding of the petition and notes in this respect that neither the Convention nor the Rules of Procedure establish a deadline </w:t>
      </w:r>
      <w:r>
        <w:rPr>
          <w:rFonts w:asciiTheme="majorHAnsi" w:hAnsiTheme="majorHAnsi"/>
          <w:bCs/>
          <w:color w:val="auto"/>
          <w:sz w:val="20"/>
          <w:szCs w:val="20"/>
        </w:rPr>
        <w:lastRenderedPageBreak/>
        <w:t>for forwarding a petitio</w:t>
      </w:r>
      <w:r w:rsidRPr="00822B9C">
        <w:rPr>
          <w:rFonts w:asciiTheme="majorHAnsi" w:hAnsiTheme="majorHAnsi"/>
          <w:bCs/>
          <w:color w:val="auto"/>
          <w:sz w:val="20"/>
          <w:szCs w:val="20"/>
        </w:rPr>
        <w:t xml:space="preserve">n </w:t>
      </w:r>
      <w:r>
        <w:rPr>
          <w:rFonts w:asciiTheme="majorHAnsi" w:hAnsiTheme="majorHAnsi"/>
          <w:bCs/>
          <w:color w:val="auto"/>
          <w:sz w:val="20"/>
          <w:szCs w:val="20"/>
        </w:rPr>
        <w:t>to the State as of its receipt and that the deadlines established in the Rules of Procedure and the Convention for other stages are not applicable by analogy.</w:t>
      </w:r>
      <w:r w:rsidRPr="00822B9C">
        <w:rPr>
          <w:rFonts w:asciiTheme="majorHAnsi" w:hAnsiTheme="majorHAnsi"/>
          <w:color w:val="auto"/>
          <w:sz w:val="20"/>
          <w:szCs w:val="20"/>
          <w:vertAlign w:val="superscript"/>
        </w:rPr>
        <w:footnoteReference w:id="7"/>
      </w:r>
    </w:p>
    <w:p w:rsidR="002530DB" w:rsidRPr="00822B9C" w:rsidRDefault="002530DB" w:rsidP="002530DB">
      <w:pPr>
        <w:pStyle w:val="ListParagraph"/>
        <w:spacing w:after="240"/>
        <w:ind w:left="0" w:firstLine="720"/>
        <w:jc w:val="both"/>
        <w:rPr>
          <w:rFonts w:asciiTheme="majorHAnsi" w:hAnsiTheme="majorHAnsi"/>
          <w:b/>
          <w:color w:val="auto"/>
          <w:sz w:val="20"/>
          <w:szCs w:val="20"/>
        </w:rPr>
      </w:pPr>
      <w:r w:rsidRPr="00822B9C">
        <w:rPr>
          <w:rFonts w:asciiTheme="majorHAnsi" w:hAnsiTheme="majorHAnsi"/>
          <w:b/>
          <w:bCs/>
          <w:color w:val="auto"/>
          <w:sz w:val="20"/>
          <w:szCs w:val="20"/>
        </w:rPr>
        <w:t>VII.</w:t>
      </w:r>
      <w:r w:rsidRPr="00822B9C">
        <w:rPr>
          <w:rFonts w:asciiTheme="majorHAnsi" w:hAnsiTheme="majorHAnsi"/>
          <w:b/>
          <w:bCs/>
          <w:color w:val="auto"/>
          <w:sz w:val="20"/>
          <w:szCs w:val="20"/>
        </w:rPr>
        <w:tab/>
      </w:r>
      <w:r>
        <w:rPr>
          <w:rFonts w:asciiTheme="majorHAnsi" w:hAnsiTheme="majorHAnsi"/>
          <w:b/>
          <w:bCs/>
          <w:color w:val="auto"/>
          <w:sz w:val="20"/>
          <w:szCs w:val="20"/>
        </w:rPr>
        <w:t xml:space="preserve">COLORABLE CLAIM </w:t>
      </w:r>
    </w:p>
    <w:p w:rsidR="002530DB" w:rsidRPr="00822B9C" w:rsidRDefault="002530DB" w:rsidP="002530DB">
      <w:pPr>
        <w:pStyle w:val="ListParagraph"/>
        <w:numPr>
          <w:ilvl w:val="0"/>
          <w:numId w:val="103"/>
        </w:numPr>
        <w:suppressAutoHyphens/>
        <w:spacing w:after="240"/>
        <w:jc w:val="both"/>
        <w:rPr>
          <w:rFonts w:asciiTheme="majorHAnsi" w:hAnsiTheme="majorHAnsi"/>
          <w:bCs/>
          <w:color w:val="auto"/>
          <w:sz w:val="20"/>
          <w:szCs w:val="20"/>
        </w:rPr>
      </w:pPr>
      <w:r>
        <w:rPr>
          <w:rFonts w:asciiTheme="majorHAnsi" w:hAnsiTheme="majorHAnsi"/>
          <w:bCs/>
          <w:color w:val="auto"/>
          <w:sz w:val="20"/>
          <w:szCs w:val="20"/>
        </w:rPr>
        <w:t>In view of the elements of fact and law set forth by the parties and the nature of the matter placed before it, the Commission considers that the arguments regarding the excessive prolongation of the pretrial detention of Julio César Rotela and</w:t>
      </w:r>
      <w:r w:rsidRPr="00822B9C">
        <w:rPr>
          <w:rFonts w:asciiTheme="majorHAnsi" w:hAnsiTheme="majorHAnsi"/>
          <w:bCs/>
          <w:color w:val="auto"/>
          <w:sz w:val="20"/>
          <w:szCs w:val="20"/>
        </w:rPr>
        <w:t xml:space="preserve"> Alberto Enrique Baez, </w:t>
      </w:r>
      <w:r>
        <w:rPr>
          <w:rFonts w:asciiTheme="majorHAnsi" w:hAnsiTheme="majorHAnsi"/>
          <w:bCs/>
          <w:color w:val="auto"/>
          <w:sz w:val="20"/>
          <w:szCs w:val="20"/>
        </w:rPr>
        <w:t xml:space="preserve">and the duration of the criminal proceedings, tend to establish violations of the rights established at Articles </w:t>
      </w:r>
      <w:r w:rsidRPr="00822B9C">
        <w:rPr>
          <w:rFonts w:asciiTheme="majorHAnsi" w:hAnsiTheme="majorHAnsi"/>
          <w:bCs/>
          <w:color w:val="auto"/>
          <w:sz w:val="20"/>
          <w:szCs w:val="20"/>
        </w:rPr>
        <w:t>7 (personal</w:t>
      </w:r>
      <w:r>
        <w:rPr>
          <w:rFonts w:asciiTheme="majorHAnsi" w:hAnsiTheme="majorHAnsi"/>
          <w:bCs/>
          <w:color w:val="auto"/>
          <w:sz w:val="20"/>
          <w:szCs w:val="20"/>
        </w:rPr>
        <w:t xml:space="preserve"> liberty</w:t>
      </w:r>
      <w:r w:rsidRPr="00822B9C">
        <w:rPr>
          <w:rFonts w:asciiTheme="majorHAnsi" w:hAnsiTheme="majorHAnsi"/>
          <w:bCs/>
          <w:color w:val="auto"/>
          <w:sz w:val="20"/>
          <w:szCs w:val="20"/>
        </w:rPr>
        <w:t>), 8 (</w:t>
      </w:r>
      <w:r>
        <w:rPr>
          <w:rFonts w:asciiTheme="majorHAnsi" w:hAnsiTheme="majorHAnsi"/>
          <w:bCs/>
          <w:color w:val="auto"/>
          <w:sz w:val="20"/>
          <w:szCs w:val="20"/>
        </w:rPr>
        <w:t>judicial guarantees</w:t>
      </w:r>
      <w:r w:rsidRPr="00822B9C">
        <w:rPr>
          <w:rFonts w:asciiTheme="majorHAnsi" w:hAnsiTheme="majorHAnsi"/>
          <w:bCs/>
          <w:color w:val="auto"/>
          <w:sz w:val="20"/>
          <w:szCs w:val="20"/>
        </w:rPr>
        <w:t>)</w:t>
      </w:r>
      <w:r>
        <w:rPr>
          <w:rFonts w:asciiTheme="majorHAnsi" w:hAnsiTheme="majorHAnsi"/>
          <w:bCs/>
          <w:color w:val="auto"/>
          <w:sz w:val="20"/>
          <w:szCs w:val="20"/>
        </w:rPr>
        <w:t xml:space="preserve">, and </w:t>
      </w:r>
      <w:r w:rsidRPr="00822B9C">
        <w:rPr>
          <w:rFonts w:asciiTheme="majorHAnsi" w:hAnsiTheme="majorHAnsi"/>
          <w:bCs/>
          <w:color w:val="auto"/>
          <w:sz w:val="20"/>
          <w:szCs w:val="20"/>
        </w:rPr>
        <w:t>25 (judicial</w:t>
      </w:r>
      <w:r>
        <w:rPr>
          <w:rFonts w:asciiTheme="majorHAnsi" w:hAnsiTheme="majorHAnsi"/>
          <w:bCs/>
          <w:color w:val="auto"/>
          <w:sz w:val="20"/>
          <w:szCs w:val="20"/>
        </w:rPr>
        <w:t xml:space="preserve"> protection</w:t>
      </w:r>
      <w:r w:rsidRPr="00822B9C">
        <w:rPr>
          <w:rFonts w:asciiTheme="majorHAnsi" w:hAnsiTheme="majorHAnsi"/>
          <w:bCs/>
          <w:color w:val="auto"/>
          <w:sz w:val="20"/>
          <w:szCs w:val="20"/>
        </w:rPr>
        <w:t xml:space="preserve">) </w:t>
      </w:r>
      <w:r>
        <w:rPr>
          <w:rFonts w:asciiTheme="majorHAnsi" w:hAnsiTheme="majorHAnsi"/>
          <w:bCs/>
          <w:color w:val="auto"/>
          <w:sz w:val="20"/>
          <w:szCs w:val="20"/>
        </w:rPr>
        <w:t>of the American Convention</w:t>
      </w:r>
      <w:r w:rsidRPr="00822B9C">
        <w:rPr>
          <w:rFonts w:asciiTheme="majorHAnsi" w:hAnsiTheme="majorHAnsi"/>
          <w:bCs/>
          <w:color w:val="auto"/>
          <w:sz w:val="20"/>
          <w:szCs w:val="20"/>
        </w:rPr>
        <w:t xml:space="preserve">, </w:t>
      </w:r>
      <w:r>
        <w:rPr>
          <w:rFonts w:asciiTheme="majorHAnsi" w:hAnsiTheme="majorHAnsi"/>
          <w:bCs/>
          <w:color w:val="auto"/>
          <w:sz w:val="20"/>
          <w:szCs w:val="20"/>
        </w:rPr>
        <w:t xml:space="preserve">in relation to the general obligations to respect and ensure the rights established at Article 1(1) to their detriment. </w:t>
      </w:r>
    </w:p>
    <w:p w:rsidR="002530DB" w:rsidRPr="00822B9C" w:rsidRDefault="002530DB" w:rsidP="002530DB">
      <w:pPr>
        <w:pStyle w:val="ListParagraph"/>
        <w:numPr>
          <w:ilvl w:val="0"/>
          <w:numId w:val="103"/>
        </w:numPr>
        <w:spacing w:after="240"/>
        <w:jc w:val="both"/>
        <w:rPr>
          <w:color w:val="auto"/>
          <w:sz w:val="20"/>
          <w:szCs w:val="20"/>
        </w:rPr>
      </w:pPr>
      <w:r>
        <w:rPr>
          <w:color w:val="auto"/>
          <w:sz w:val="20"/>
          <w:szCs w:val="20"/>
        </w:rPr>
        <w:t xml:space="preserve">As regards to the International Covenant on Civil and Political Rights, the Commission is not competent to establish violations of the provisions of said treaty, without prejudice to which it may take it into account as part of its exercise of interpreting the provisions of the American Convention in the merits stage in the instant case, in the terms of Article </w:t>
      </w:r>
      <w:r w:rsidRPr="00822B9C">
        <w:rPr>
          <w:color w:val="auto"/>
          <w:sz w:val="20"/>
          <w:szCs w:val="20"/>
        </w:rPr>
        <w:t xml:space="preserve">29 </w:t>
      </w:r>
      <w:r>
        <w:rPr>
          <w:color w:val="auto"/>
          <w:sz w:val="20"/>
          <w:szCs w:val="20"/>
        </w:rPr>
        <w:t>of the Conventio</w:t>
      </w:r>
      <w:r w:rsidRPr="00822B9C">
        <w:rPr>
          <w:color w:val="auto"/>
          <w:sz w:val="20"/>
          <w:szCs w:val="20"/>
        </w:rPr>
        <w:t xml:space="preserve">n. </w:t>
      </w:r>
      <w:r>
        <w:rPr>
          <w:color w:val="auto"/>
          <w:sz w:val="20"/>
          <w:szCs w:val="20"/>
        </w:rPr>
        <w:t xml:space="preserve">In addition, the Commission has established that when a state ratifies the American Convention it is the main source of human rights obligations, and not the American Declaration, when both are potentially applicable. </w:t>
      </w:r>
    </w:p>
    <w:p w:rsidR="002530DB" w:rsidRPr="00822B9C" w:rsidRDefault="002530DB" w:rsidP="002530DB">
      <w:pPr>
        <w:pStyle w:val="ListParagraph"/>
        <w:numPr>
          <w:ilvl w:val="0"/>
          <w:numId w:val="103"/>
        </w:numPr>
        <w:spacing w:after="240"/>
        <w:jc w:val="both"/>
        <w:rPr>
          <w:rFonts w:asciiTheme="majorHAnsi" w:hAnsiTheme="majorHAnsi"/>
          <w:color w:val="auto"/>
          <w:sz w:val="20"/>
          <w:szCs w:val="20"/>
        </w:rPr>
      </w:pPr>
      <w:r>
        <w:rPr>
          <w:rFonts w:asciiTheme="majorHAnsi" w:hAnsiTheme="majorHAnsi"/>
          <w:color w:val="auto"/>
          <w:sz w:val="20"/>
          <w:szCs w:val="20"/>
        </w:rPr>
        <w:t>Finally, with respect to the State’s fourth instance argument, the Commission observes that on admitting this petition it does not seek or claim to take the place of the jurisdiction of the domestic judicial authorities; rather, it will analyze, in the merits phase of the instant petition, whether the domestic judicial proceedings were conducted with the guarantees of due process and judicial protection, and whether the due guarantees of access to justice were offered the alleged victims in the terms of the American Convention</w:t>
      </w:r>
      <w:r w:rsidRPr="00822B9C">
        <w:rPr>
          <w:rFonts w:asciiTheme="majorHAnsi" w:hAnsiTheme="majorHAnsi"/>
          <w:color w:val="auto"/>
          <w:sz w:val="20"/>
          <w:szCs w:val="20"/>
        </w:rPr>
        <w:t>.</w:t>
      </w:r>
    </w:p>
    <w:p w:rsidR="002530DB" w:rsidRPr="00822B9C" w:rsidRDefault="002530DB" w:rsidP="002530DB">
      <w:pPr>
        <w:pStyle w:val="ListParagraph"/>
        <w:spacing w:after="240"/>
        <w:ind w:left="0" w:firstLine="720"/>
        <w:jc w:val="both"/>
        <w:rPr>
          <w:rFonts w:asciiTheme="majorHAnsi" w:hAnsiTheme="majorHAnsi"/>
          <w:b/>
          <w:bCs/>
          <w:color w:val="auto"/>
          <w:sz w:val="20"/>
          <w:szCs w:val="20"/>
        </w:rPr>
      </w:pPr>
      <w:r>
        <w:rPr>
          <w:rFonts w:asciiTheme="majorHAnsi" w:hAnsiTheme="majorHAnsi"/>
          <w:b/>
          <w:bCs/>
          <w:color w:val="auto"/>
          <w:sz w:val="20"/>
          <w:szCs w:val="20"/>
        </w:rPr>
        <w:t xml:space="preserve">VIII. </w:t>
      </w:r>
      <w:r>
        <w:rPr>
          <w:rFonts w:asciiTheme="majorHAnsi" w:hAnsiTheme="majorHAnsi"/>
          <w:b/>
          <w:bCs/>
          <w:color w:val="auto"/>
          <w:sz w:val="20"/>
          <w:szCs w:val="20"/>
        </w:rPr>
        <w:tab/>
        <w:t>DECISIO</w:t>
      </w:r>
      <w:r w:rsidRPr="00822B9C">
        <w:rPr>
          <w:rFonts w:asciiTheme="majorHAnsi" w:hAnsiTheme="majorHAnsi"/>
          <w:b/>
          <w:bCs/>
          <w:color w:val="auto"/>
          <w:sz w:val="20"/>
          <w:szCs w:val="20"/>
        </w:rPr>
        <w:t>N</w:t>
      </w:r>
    </w:p>
    <w:p w:rsidR="002530DB" w:rsidRPr="00822B9C" w:rsidRDefault="002530DB" w:rsidP="002530D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find the instant petition admissible in relation to Articles </w:t>
      </w:r>
      <w:r w:rsidRPr="00822B9C">
        <w:rPr>
          <w:rFonts w:asciiTheme="majorHAnsi" w:hAnsiTheme="majorHAnsi"/>
          <w:sz w:val="20"/>
          <w:szCs w:val="20"/>
        </w:rPr>
        <w:t>7, 8</w:t>
      </w:r>
      <w:r>
        <w:rPr>
          <w:rFonts w:asciiTheme="majorHAnsi" w:hAnsiTheme="majorHAnsi"/>
          <w:sz w:val="20"/>
          <w:szCs w:val="20"/>
        </w:rPr>
        <w:t xml:space="preserve">, and </w:t>
      </w:r>
      <w:r w:rsidRPr="00822B9C">
        <w:rPr>
          <w:rFonts w:asciiTheme="majorHAnsi" w:hAnsiTheme="majorHAnsi"/>
          <w:sz w:val="20"/>
          <w:szCs w:val="20"/>
        </w:rPr>
        <w:t xml:space="preserve">25 </w:t>
      </w:r>
      <w:r>
        <w:rPr>
          <w:rFonts w:asciiTheme="majorHAnsi" w:hAnsiTheme="majorHAnsi"/>
          <w:sz w:val="20"/>
          <w:szCs w:val="20"/>
        </w:rPr>
        <w:t>of the American Convention</w:t>
      </w:r>
      <w:r w:rsidRPr="00822B9C">
        <w:rPr>
          <w:rFonts w:asciiTheme="majorHAnsi" w:hAnsiTheme="majorHAnsi"/>
          <w:sz w:val="20"/>
          <w:szCs w:val="20"/>
        </w:rPr>
        <w:t xml:space="preserve">, </w:t>
      </w:r>
      <w:r>
        <w:rPr>
          <w:rFonts w:asciiTheme="majorHAnsi" w:hAnsiTheme="majorHAnsi"/>
          <w:sz w:val="20"/>
          <w:szCs w:val="20"/>
        </w:rPr>
        <w:t>and also in relation to the obligations contained in Article 1(1) of said instrument</w:t>
      </w:r>
      <w:r w:rsidRPr="00822B9C">
        <w:rPr>
          <w:rFonts w:asciiTheme="majorHAnsi" w:hAnsiTheme="majorHAnsi"/>
          <w:sz w:val="20"/>
          <w:szCs w:val="20"/>
        </w:rPr>
        <w:t>;</w:t>
      </w:r>
    </w:p>
    <w:p w:rsidR="002530DB" w:rsidRPr="00822B9C" w:rsidRDefault="002530DB" w:rsidP="002530D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w:t>
      </w:r>
      <w:r w:rsidRPr="00822B9C">
        <w:rPr>
          <w:rFonts w:asciiTheme="majorHAnsi" w:hAnsiTheme="majorHAnsi"/>
          <w:sz w:val="20"/>
          <w:szCs w:val="20"/>
        </w:rPr>
        <w:t>;</w:t>
      </w:r>
    </w:p>
    <w:p w:rsidR="002530DB" w:rsidRPr="00822B9C" w:rsidRDefault="002530DB" w:rsidP="002530D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continue analyzing the merits issues; and </w:t>
      </w:r>
    </w:p>
    <w:p w:rsidR="002530DB" w:rsidRPr="00DF39D1" w:rsidRDefault="002530DB" w:rsidP="002530D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publish this decision and include it in its </w:t>
      </w:r>
      <w:r w:rsidRPr="00822B9C">
        <w:rPr>
          <w:rFonts w:asciiTheme="majorHAnsi" w:hAnsiTheme="majorHAnsi"/>
          <w:sz w:val="20"/>
          <w:szCs w:val="20"/>
        </w:rPr>
        <w:t>An</w:t>
      </w:r>
      <w:r>
        <w:rPr>
          <w:rFonts w:asciiTheme="majorHAnsi" w:hAnsiTheme="majorHAnsi"/>
          <w:sz w:val="20"/>
          <w:szCs w:val="20"/>
        </w:rPr>
        <w:t>n</w:t>
      </w:r>
      <w:r w:rsidRPr="00822B9C">
        <w:rPr>
          <w:rFonts w:asciiTheme="majorHAnsi" w:hAnsiTheme="majorHAnsi"/>
          <w:sz w:val="20"/>
          <w:szCs w:val="20"/>
        </w:rPr>
        <w:t xml:space="preserve">ual </w:t>
      </w:r>
      <w:r>
        <w:rPr>
          <w:rFonts w:asciiTheme="majorHAnsi" w:hAnsiTheme="majorHAnsi"/>
          <w:sz w:val="20"/>
          <w:szCs w:val="20"/>
        </w:rPr>
        <w:t xml:space="preserve">Report to the </w:t>
      </w:r>
      <w:r w:rsidRPr="00822B9C">
        <w:rPr>
          <w:rFonts w:asciiTheme="majorHAnsi" w:hAnsiTheme="majorHAnsi"/>
          <w:sz w:val="20"/>
          <w:szCs w:val="20"/>
        </w:rPr>
        <w:t xml:space="preserve">General </w:t>
      </w:r>
      <w:r>
        <w:rPr>
          <w:rFonts w:asciiTheme="majorHAnsi" w:hAnsiTheme="majorHAnsi"/>
          <w:sz w:val="20"/>
          <w:szCs w:val="20"/>
        </w:rPr>
        <w:t>Assembly of the Organization of American States</w:t>
      </w:r>
      <w:r w:rsidRPr="00822B9C">
        <w:rPr>
          <w:rFonts w:asciiTheme="majorHAnsi" w:hAnsiTheme="majorHAnsi"/>
          <w:sz w:val="20"/>
          <w:szCs w:val="20"/>
        </w:rPr>
        <w:t>.</w:t>
      </w:r>
    </w:p>
    <w:p w:rsidR="00C77DD5" w:rsidRPr="00C77DD5" w:rsidRDefault="00C77DD5" w:rsidP="00C77DD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eastAsia="Times New Roman"/>
          <w:snapToGrid w:val="0"/>
          <w:spacing w:val="-2"/>
          <w:sz w:val="20"/>
          <w:szCs w:val="20"/>
          <w:bdr w:val="none" w:sz="0" w:space="0" w:color="auto"/>
        </w:rPr>
      </w:pPr>
      <w:r>
        <w:rPr>
          <w:rFonts w:eastAsia="Times New Roman"/>
          <w:snapToGrid w:val="0"/>
          <w:spacing w:val="-2"/>
          <w:sz w:val="20"/>
          <w:szCs w:val="20"/>
          <w:bdr w:val="none" w:sz="0" w:space="0" w:color="auto"/>
        </w:rPr>
        <w:t>Approved by the Inter-American Commissio on Human Rights</w:t>
      </w:r>
      <w:r w:rsidRPr="00C77DD5">
        <w:rPr>
          <w:rFonts w:eastAsia="Times New Roman"/>
          <w:snapToGrid w:val="0"/>
          <w:spacing w:val="-2"/>
          <w:sz w:val="20"/>
          <w:szCs w:val="20"/>
          <w:bdr w:val="none" w:sz="0" w:space="0" w:color="auto"/>
        </w:rPr>
        <w:t xml:space="preserve"> in the city of </w:t>
      </w:r>
      <w:r>
        <w:rPr>
          <w:rFonts w:eastAsia="Times New Roman"/>
          <w:snapToGrid w:val="0"/>
          <w:spacing w:val="-2"/>
          <w:sz w:val="20"/>
          <w:szCs w:val="20"/>
          <w:bdr w:val="none" w:sz="0" w:space="0" w:color="auto"/>
        </w:rPr>
        <w:t>Montevideo, Uruguay</w:t>
      </w:r>
      <w:r w:rsidRPr="00C77DD5">
        <w:rPr>
          <w:rFonts w:eastAsia="Times New Roman"/>
          <w:snapToGrid w:val="0"/>
          <w:spacing w:val="-2"/>
          <w:sz w:val="20"/>
          <w:szCs w:val="20"/>
          <w:bdr w:val="none" w:sz="0" w:space="0" w:color="auto"/>
        </w:rPr>
        <w:t xml:space="preserve">, on the </w:t>
      </w:r>
      <w:r>
        <w:rPr>
          <w:rFonts w:eastAsia="Times New Roman"/>
          <w:snapToGrid w:val="0"/>
          <w:spacing w:val="-2"/>
          <w:sz w:val="20"/>
          <w:szCs w:val="20"/>
          <w:bdr w:val="none" w:sz="0" w:space="0" w:color="auto"/>
        </w:rPr>
        <w:t>26</w:t>
      </w:r>
      <w:r w:rsidRPr="00C77DD5">
        <w:rPr>
          <w:rFonts w:eastAsia="Times New Roman"/>
          <w:snapToGrid w:val="0"/>
          <w:spacing w:val="-2"/>
          <w:sz w:val="20"/>
          <w:szCs w:val="20"/>
          <w:bdr w:val="none" w:sz="0" w:space="0" w:color="auto"/>
        </w:rPr>
        <w:t xml:space="preserve"> day of the month of </w:t>
      </w:r>
      <w:r>
        <w:rPr>
          <w:rFonts w:eastAsia="Times New Roman"/>
          <w:snapToGrid w:val="0"/>
          <w:spacing w:val="-2"/>
          <w:sz w:val="20"/>
          <w:szCs w:val="20"/>
          <w:bdr w:val="none" w:sz="0" w:space="0" w:color="auto"/>
        </w:rPr>
        <w:t>October</w:t>
      </w:r>
      <w:r w:rsidRPr="00C77DD5">
        <w:rPr>
          <w:rFonts w:eastAsia="Times New Roman"/>
          <w:snapToGrid w:val="0"/>
          <w:spacing w:val="-2"/>
          <w:sz w:val="20"/>
          <w:szCs w:val="20"/>
          <w:bdr w:val="none" w:sz="0" w:space="0" w:color="auto"/>
        </w:rPr>
        <w:t xml:space="preserve">, 2017. (Signed):  </w:t>
      </w:r>
      <w:r w:rsidRPr="00C77DD5">
        <w:rPr>
          <w:rFonts w:eastAsia="Times New Roman" w:cs="Arial"/>
          <w:noProof/>
          <w:snapToGrid w:val="0"/>
          <w:spacing w:val="-2"/>
          <w:sz w:val="20"/>
          <w:szCs w:val="20"/>
          <w:bdr w:val="none" w:sz="0" w:space="0" w:color="auto"/>
        </w:rPr>
        <w:t xml:space="preserve">Francisco José Eguiguren, </w:t>
      </w:r>
      <w:r w:rsidRPr="00C77DD5">
        <w:rPr>
          <w:rFonts w:eastAsia="Times New Roman"/>
          <w:snapToGrid w:val="0"/>
          <w:sz w:val="20"/>
          <w:szCs w:val="20"/>
          <w:bdr w:val="none" w:sz="0" w:space="0" w:color="auto"/>
        </w:rPr>
        <w:t>President;</w:t>
      </w:r>
      <w:r w:rsidRPr="00C77DD5">
        <w:rPr>
          <w:rFonts w:eastAsia="Times New Roman"/>
          <w:snapToGrid w:val="0"/>
          <w:spacing w:val="-2"/>
          <w:sz w:val="20"/>
          <w:szCs w:val="20"/>
          <w:bdr w:val="none" w:sz="0" w:space="0" w:color="auto"/>
        </w:rPr>
        <w:t xml:space="preserve"> </w:t>
      </w:r>
      <w:r w:rsidRPr="00C77DD5">
        <w:rPr>
          <w:rFonts w:eastAsia="Times New Roman" w:cs="Arial"/>
          <w:noProof/>
          <w:snapToGrid w:val="0"/>
          <w:spacing w:val="-2"/>
          <w:sz w:val="20"/>
          <w:szCs w:val="20"/>
          <w:bdr w:val="none" w:sz="0" w:space="0" w:color="auto"/>
        </w:rPr>
        <w:t>Margarette May Macaulay</w:t>
      </w:r>
      <w:r w:rsidR="005578D4">
        <w:rPr>
          <w:rFonts w:eastAsia="Times New Roman" w:cs="Arial"/>
          <w:noProof/>
          <w:snapToGrid w:val="0"/>
          <w:spacing w:val="-2"/>
          <w:sz w:val="20"/>
          <w:szCs w:val="20"/>
          <w:bdr w:val="none" w:sz="0" w:space="0" w:color="auto"/>
        </w:rPr>
        <w:t>,</w:t>
      </w:r>
      <w:r w:rsidRPr="00C77DD5">
        <w:rPr>
          <w:rFonts w:eastAsia="Times New Roman"/>
          <w:snapToGrid w:val="0"/>
          <w:spacing w:val="-2"/>
          <w:sz w:val="20"/>
          <w:szCs w:val="20"/>
          <w:bdr w:val="none" w:sz="0" w:space="0" w:color="auto"/>
        </w:rPr>
        <w:t xml:space="preserve"> First Vice President;</w:t>
      </w:r>
      <w:r w:rsidRPr="00C77DD5">
        <w:rPr>
          <w:rFonts w:eastAsia="Times New Roman" w:cs="Arial"/>
          <w:noProof/>
          <w:snapToGrid w:val="0"/>
          <w:spacing w:val="-2"/>
          <w:sz w:val="20"/>
          <w:szCs w:val="20"/>
          <w:bdr w:val="none" w:sz="0" w:space="0" w:color="auto"/>
        </w:rPr>
        <w:t xml:space="preserve"> </w:t>
      </w:r>
      <w:r w:rsidR="005578D4" w:rsidRPr="00C77DD5">
        <w:rPr>
          <w:rFonts w:eastAsia="Times New Roman" w:cs="Arial"/>
          <w:noProof/>
          <w:snapToGrid w:val="0"/>
          <w:spacing w:val="-2"/>
          <w:sz w:val="20"/>
          <w:szCs w:val="20"/>
          <w:bdr w:val="none" w:sz="0" w:space="0" w:color="auto"/>
        </w:rPr>
        <w:t>Esmeralda E. Arosemena Bernal de Troitiño</w:t>
      </w:r>
      <w:r w:rsidR="005578D4">
        <w:rPr>
          <w:rFonts w:eastAsia="Times New Roman" w:cs="Arial"/>
          <w:noProof/>
          <w:snapToGrid w:val="0"/>
          <w:spacing w:val="-2"/>
          <w:sz w:val="20"/>
          <w:szCs w:val="20"/>
          <w:bdr w:val="none" w:sz="0" w:space="0" w:color="auto"/>
        </w:rPr>
        <w:t>,</w:t>
      </w:r>
      <w:r w:rsidRPr="00C77DD5">
        <w:rPr>
          <w:rFonts w:eastAsia="Times New Roman" w:cs="Arial"/>
          <w:noProof/>
          <w:snapToGrid w:val="0"/>
          <w:spacing w:val="-2"/>
          <w:sz w:val="20"/>
          <w:szCs w:val="20"/>
          <w:bdr w:val="none" w:sz="0" w:space="0" w:color="auto"/>
        </w:rPr>
        <w:t>Second Vice President;</w:t>
      </w:r>
      <w:r w:rsidRPr="00C77DD5">
        <w:rPr>
          <w:rFonts w:eastAsia="Times New Roman"/>
          <w:snapToGrid w:val="0"/>
          <w:sz w:val="20"/>
          <w:szCs w:val="20"/>
          <w:bdr w:val="none" w:sz="0" w:space="0" w:color="auto"/>
        </w:rPr>
        <w:t xml:space="preserve"> </w:t>
      </w:r>
      <w:r w:rsidRPr="00C77DD5">
        <w:rPr>
          <w:rFonts w:eastAsia="Times New Roman" w:cs="Arial"/>
          <w:noProof/>
          <w:snapToGrid w:val="0"/>
          <w:spacing w:val="-2"/>
          <w:sz w:val="20"/>
          <w:szCs w:val="20"/>
          <w:bdr w:val="none" w:sz="0" w:space="0" w:color="auto"/>
        </w:rPr>
        <w:t xml:space="preserve">José de Jesús Orozco Henríquez, James L. Cavallaro and </w:t>
      </w:r>
      <w:r w:rsidR="005578D4">
        <w:rPr>
          <w:rFonts w:eastAsia="Times New Roman" w:cs="Arial"/>
          <w:noProof/>
          <w:snapToGrid w:val="0"/>
          <w:spacing w:val="-2"/>
          <w:sz w:val="20"/>
          <w:szCs w:val="20"/>
          <w:bdr w:val="none" w:sz="0" w:space="0" w:color="auto"/>
        </w:rPr>
        <w:t>Luis ernesto Vargas  Silva</w:t>
      </w:r>
      <w:r w:rsidRPr="00C77DD5">
        <w:rPr>
          <w:rFonts w:eastAsia="Times New Roman" w:cs="Arial"/>
          <w:noProof/>
          <w:snapToGrid w:val="0"/>
          <w:spacing w:val="-2"/>
          <w:sz w:val="20"/>
          <w:szCs w:val="20"/>
          <w:bdr w:val="none" w:sz="0" w:space="0" w:color="auto"/>
        </w:rPr>
        <w:t xml:space="preserve">, </w:t>
      </w:r>
      <w:r w:rsidRPr="00C77DD5">
        <w:rPr>
          <w:rFonts w:eastAsia="Times New Roman"/>
          <w:snapToGrid w:val="0"/>
          <w:spacing w:val="-2"/>
          <w:sz w:val="20"/>
          <w:szCs w:val="20"/>
          <w:bdr w:val="none" w:sz="0" w:space="0" w:color="auto"/>
        </w:rPr>
        <w:t>Commissioners.</w:t>
      </w:r>
    </w:p>
    <w:p w:rsidR="00C55560" w:rsidRPr="00145EDC" w:rsidRDefault="00C55560" w:rsidP="003863F1">
      <w:pPr>
        <w:tabs>
          <w:tab w:val="center" w:pos="5400"/>
        </w:tabs>
        <w:suppressAutoHyphens/>
        <w:spacing w:line="276" w:lineRule="auto"/>
        <w:jc w:val="both"/>
        <w:rPr>
          <w:rFonts w:asciiTheme="majorHAnsi" w:hAnsiTheme="majorHAnsi"/>
          <w:sz w:val="20"/>
          <w:szCs w:val="20"/>
        </w:rPr>
      </w:pPr>
    </w:p>
    <w:sectPr w:rsidR="00C55560" w:rsidRPr="00145EDC" w:rsidSect="002530D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AE" w:rsidRDefault="00B02BAE" w:rsidP="00036A8A">
      <w:r>
        <w:separator/>
      </w:r>
    </w:p>
  </w:endnote>
  <w:endnote w:type="continuationSeparator" w:id="0">
    <w:p w:rsidR="00B02BAE" w:rsidRDefault="00B02BA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99" w:rsidRDefault="004A1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153C0">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AE" w:rsidRPr="00036A8A" w:rsidRDefault="00B02BA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02BAE" w:rsidRPr="00036A8A" w:rsidRDefault="00B02BAE" w:rsidP="00036A8A">
      <w:pPr>
        <w:rPr>
          <w:rFonts w:asciiTheme="majorHAnsi" w:hAnsiTheme="majorHAnsi"/>
          <w:sz w:val="16"/>
          <w:szCs w:val="16"/>
        </w:rPr>
      </w:pPr>
      <w:r w:rsidRPr="00036A8A">
        <w:rPr>
          <w:rFonts w:asciiTheme="majorHAnsi" w:hAnsiTheme="majorHAnsi"/>
          <w:sz w:val="16"/>
          <w:szCs w:val="16"/>
        </w:rPr>
        <w:separator/>
      </w:r>
    </w:p>
    <w:p w:rsidR="00B02BAE" w:rsidRPr="00036A8A" w:rsidRDefault="00B02BA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B02BAE" w:rsidRPr="0093441A" w:rsidRDefault="00B02BA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530DB" w:rsidRPr="0011352E" w:rsidRDefault="002530DB" w:rsidP="002530DB">
      <w:pPr>
        <w:pStyle w:val="FootnoteText"/>
        <w:spacing w:after="120"/>
        <w:ind w:firstLine="720"/>
        <w:rPr>
          <w:rFonts w:asciiTheme="majorHAnsi" w:hAnsiTheme="majorHAnsi"/>
          <w:sz w:val="16"/>
          <w:szCs w:val="16"/>
        </w:rPr>
      </w:pPr>
      <w:r w:rsidRPr="0011352E">
        <w:rPr>
          <w:rStyle w:val="FootnoteReference"/>
          <w:rFonts w:asciiTheme="majorHAnsi" w:hAnsiTheme="majorHAnsi"/>
          <w:sz w:val="16"/>
          <w:szCs w:val="16"/>
        </w:rPr>
        <w:footnoteRef/>
      </w:r>
      <w:r>
        <w:rPr>
          <w:rFonts w:asciiTheme="majorHAnsi" w:hAnsiTheme="majorHAnsi"/>
          <w:sz w:val="16"/>
          <w:szCs w:val="16"/>
        </w:rPr>
        <w:t xml:space="preserve"> Hereinafter “Conventio</w:t>
      </w:r>
      <w:r w:rsidRPr="0011352E">
        <w:rPr>
          <w:rFonts w:asciiTheme="majorHAnsi" w:hAnsiTheme="majorHAnsi"/>
          <w:sz w:val="16"/>
          <w:szCs w:val="16"/>
        </w:rPr>
        <w:t>n” o</w:t>
      </w:r>
      <w:r>
        <w:rPr>
          <w:rFonts w:asciiTheme="majorHAnsi" w:hAnsiTheme="majorHAnsi"/>
          <w:sz w:val="16"/>
          <w:szCs w:val="16"/>
        </w:rPr>
        <w:t>r “American Convention.</w:t>
      </w:r>
      <w:r w:rsidRPr="0011352E">
        <w:rPr>
          <w:rFonts w:asciiTheme="majorHAnsi" w:hAnsiTheme="majorHAnsi"/>
          <w:sz w:val="16"/>
          <w:szCs w:val="16"/>
        </w:rPr>
        <w:t xml:space="preserve">”  </w:t>
      </w:r>
    </w:p>
  </w:footnote>
  <w:footnote w:id="3">
    <w:p w:rsidR="002530DB" w:rsidRPr="0011352E" w:rsidRDefault="002530DB" w:rsidP="002530DB">
      <w:pPr>
        <w:pStyle w:val="FootnoteText"/>
        <w:suppressAutoHyphens/>
        <w:spacing w:after="120"/>
        <w:ind w:firstLine="720"/>
        <w:rPr>
          <w:rFonts w:asciiTheme="majorHAnsi" w:hAnsiTheme="majorHAnsi"/>
          <w:sz w:val="16"/>
          <w:szCs w:val="16"/>
        </w:rPr>
      </w:pPr>
      <w:r w:rsidRPr="0011352E">
        <w:rPr>
          <w:rStyle w:val="FootnoteReference"/>
          <w:rFonts w:asciiTheme="majorHAnsi" w:hAnsiTheme="majorHAnsi"/>
          <w:sz w:val="16"/>
          <w:szCs w:val="16"/>
        </w:rPr>
        <w:footnoteRef/>
      </w:r>
      <w:r w:rsidRPr="0011352E">
        <w:rPr>
          <w:rFonts w:asciiTheme="majorHAnsi" w:hAnsiTheme="majorHAnsi"/>
          <w:sz w:val="16"/>
          <w:szCs w:val="16"/>
        </w:rPr>
        <w:t xml:space="preserve"> </w:t>
      </w:r>
      <w:r>
        <w:rPr>
          <w:rFonts w:asciiTheme="majorHAnsi" w:hAnsiTheme="majorHAnsi"/>
          <w:sz w:val="16"/>
          <w:szCs w:val="16"/>
        </w:rPr>
        <w:t>Hereinafter “American Declaration.</w:t>
      </w:r>
      <w:r w:rsidRPr="0011352E">
        <w:rPr>
          <w:rFonts w:asciiTheme="majorHAnsi" w:hAnsiTheme="majorHAnsi"/>
          <w:sz w:val="16"/>
          <w:szCs w:val="16"/>
        </w:rPr>
        <w:t xml:space="preserve">” </w:t>
      </w:r>
    </w:p>
  </w:footnote>
  <w:footnote w:id="4">
    <w:p w:rsidR="002530DB" w:rsidRPr="0011352E" w:rsidRDefault="002530DB" w:rsidP="002530DB">
      <w:pPr>
        <w:pStyle w:val="FootnoteText"/>
        <w:suppressAutoHyphens/>
        <w:spacing w:after="120"/>
        <w:ind w:firstLine="720"/>
        <w:rPr>
          <w:rFonts w:asciiTheme="majorHAnsi" w:hAnsiTheme="majorHAnsi"/>
          <w:sz w:val="16"/>
          <w:szCs w:val="16"/>
        </w:rPr>
      </w:pPr>
      <w:r w:rsidRPr="0011352E">
        <w:rPr>
          <w:rStyle w:val="FootnoteReference"/>
          <w:rFonts w:asciiTheme="majorHAnsi" w:hAnsiTheme="majorHAnsi"/>
          <w:sz w:val="16"/>
          <w:szCs w:val="16"/>
        </w:rPr>
        <w:footnoteRef/>
      </w:r>
      <w:r w:rsidRPr="0011352E">
        <w:rPr>
          <w:rFonts w:asciiTheme="majorHAnsi" w:hAnsiTheme="majorHAnsi"/>
          <w:sz w:val="16"/>
          <w:szCs w:val="16"/>
        </w:rPr>
        <w:t xml:space="preserve"> Art</w:t>
      </w:r>
      <w:r>
        <w:rPr>
          <w:rFonts w:asciiTheme="majorHAnsi" w:hAnsiTheme="majorHAnsi"/>
          <w:sz w:val="16"/>
          <w:szCs w:val="16"/>
        </w:rPr>
        <w:t xml:space="preserve">icles </w:t>
      </w:r>
      <w:r w:rsidRPr="0011352E">
        <w:rPr>
          <w:rFonts w:asciiTheme="majorHAnsi" w:hAnsiTheme="majorHAnsi"/>
          <w:sz w:val="16"/>
          <w:szCs w:val="16"/>
        </w:rPr>
        <w:t xml:space="preserve">9 </w:t>
      </w:r>
      <w:r>
        <w:rPr>
          <w:rFonts w:asciiTheme="majorHAnsi" w:hAnsiTheme="majorHAnsi"/>
          <w:sz w:val="16"/>
          <w:szCs w:val="16"/>
        </w:rPr>
        <w:t xml:space="preserve">and </w:t>
      </w:r>
      <w:r w:rsidRPr="0011352E">
        <w:rPr>
          <w:rFonts w:asciiTheme="majorHAnsi" w:hAnsiTheme="majorHAnsi"/>
          <w:sz w:val="16"/>
          <w:szCs w:val="16"/>
        </w:rPr>
        <w:t xml:space="preserve">14 </w:t>
      </w:r>
      <w:r>
        <w:rPr>
          <w:rFonts w:asciiTheme="majorHAnsi" w:hAnsiTheme="majorHAnsi"/>
          <w:sz w:val="16"/>
          <w:szCs w:val="16"/>
        </w:rPr>
        <w:t>of International Covenant on Civil and Political Rights.</w:t>
      </w:r>
    </w:p>
  </w:footnote>
  <w:footnote w:id="5">
    <w:p w:rsidR="002530DB" w:rsidRPr="0011352E" w:rsidRDefault="002530DB" w:rsidP="002530DB">
      <w:pPr>
        <w:pStyle w:val="FootnoteText"/>
        <w:spacing w:after="120"/>
        <w:ind w:firstLine="720"/>
        <w:jc w:val="both"/>
        <w:rPr>
          <w:rFonts w:asciiTheme="majorHAnsi" w:hAnsiTheme="majorHAnsi"/>
          <w:sz w:val="16"/>
          <w:szCs w:val="16"/>
        </w:rPr>
      </w:pPr>
      <w:r w:rsidRPr="0011352E">
        <w:rPr>
          <w:rStyle w:val="FootnoteReference"/>
          <w:rFonts w:asciiTheme="majorHAnsi" w:hAnsiTheme="majorHAnsi"/>
          <w:sz w:val="16"/>
          <w:szCs w:val="16"/>
        </w:rPr>
        <w:footnoteRef/>
      </w:r>
      <w:r w:rsidRPr="0011352E">
        <w:rPr>
          <w:rFonts w:asciiTheme="majorHAnsi" w:hAnsiTheme="majorHAnsi"/>
          <w:sz w:val="16"/>
          <w:szCs w:val="16"/>
        </w:rPr>
        <w:t xml:space="preserve"> </w:t>
      </w:r>
      <w:r>
        <w:rPr>
          <w:rFonts w:asciiTheme="majorHAnsi" w:hAnsiTheme="majorHAnsi"/>
          <w:sz w:val="16"/>
          <w:szCs w:val="16"/>
        </w:rPr>
        <w:t xml:space="preserve">The observations of each party were duly forwarded to the other party. </w:t>
      </w:r>
    </w:p>
  </w:footnote>
  <w:footnote w:id="6">
    <w:p w:rsidR="002530DB" w:rsidRPr="0011352E" w:rsidRDefault="002530DB" w:rsidP="002530DB">
      <w:pPr>
        <w:pStyle w:val="FootnoteText"/>
        <w:spacing w:after="120"/>
        <w:ind w:firstLine="720"/>
        <w:jc w:val="both"/>
        <w:rPr>
          <w:rFonts w:asciiTheme="majorHAnsi" w:hAnsiTheme="majorHAnsi"/>
          <w:color w:val="auto"/>
          <w:sz w:val="16"/>
          <w:szCs w:val="16"/>
        </w:rPr>
      </w:pPr>
      <w:r w:rsidRPr="0011352E">
        <w:rPr>
          <w:rStyle w:val="FootnoteReference"/>
          <w:rFonts w:asciiTheme="majorHAnsi" w:hAnsiTheme="majorHAnsi"/>
          <w:color w:val="auto"/>
          <w:sz w:val="16"/>
          <w:szCs w:val="16"/>
        </w:rPr>
        <w:footnoteRef/>
      </w:r>
      <w:r>
        <w:rPr>
          <w:rFonts w:asciiTheme="majorHAnsi" w:hAnsiTheme="majorHAnsi"/>
          <w:color w:val="auto"/>
          <w:sz w:val="16"/>
          <w:szCs w:val="16"/>
        </w:rPr>
        <w:t xml:space="preserve"> According to the information provided by the petitioner, Articles </w:t>
      </w:r>
      <w:r w:rsidRPr="0011352E">
        <w:rPr>
          <w:rFonts w:asciiTheme="majorHAnsi" w:hAnsiTheme="majorHAnsi"/>
          <w:color w:val="auto"/>
          <w:sz w:val="16"/>
          <w:szCs w:val="16"/>
        </w:rPr>
        <w:t xml:space="preserve">1 </w:t>
      </w:r>
      <w:r>
        <w:rPr>
          <w:rFonts w:asciiTheme="majorHAnsi" w:hAnsiTheme="majorHAnsi"/>
          <w:color w:val="auto"/>
          <w:sz w:val="16"/>
          <w:szCs w:val="16"/>
        </w:rPr>
        <w:t xml:space="preserve">and </w:t>
      </w:r>
      <w:r w:rsidRPr="0011352E">
        <w:rPr>
          <w:rFonts w:asciiTheme="majorHAnsi" w:hAnsiTheme="majorHAnsi"/>
          <w:color w:val="auto"/>
          <w:sz w:val="16"/>
          <w:szCs w:val="16"/>
        </w:rPr>
        <w:t xml:space="preserve">2 </w:t>
      </w:r>
      <w:r>
        <w:rPr>
          <w:rFonts w:asciiTheme="majorHAnsi" w:hAnsiTheme="majorHAnsi"/>
          <w:color w:val="auto"/>
          <w:sz w:val="16"/>
          <w:szCs w:val="16"/>
        </w:rPr>
        <w:t xml:space="preserve">of Law </w:t>
      </w:r>
      <w:r w:rsidRPr="0011352E">
        <w:rPr>
          <w:rFonts w:asciiTheme="majorHAnsi" w:hAnsiTheme="majorHAnsi"/>
          <w:color w:val="auto"/>
          <w:sz w:val="16"/>
          <w:szCs w:val="16"/>
        </w:rPr>
        <w:t>25</w:t>
      </w:r>
      <w:r>
        <w:rPr>
          <w:rFonts w:asciiTheme="majorHAnsi" w:hAnsiTheme="majorHAnsi"/>
          <w:color w:val="auto"/>
          <w:sz w:val="16"/>
          <w:szCs w:val="16"/>
        </w:rPr>
        <w:t>,430 establish</w:t>
      </w:r>
      <w:r w:rsidRPr="0011352E">
        <w:rPr>
          <w:rFonts w:asciiTheme="majorHAnsi" w:hAnsiTheme="majorHAnsi"/>
          <w:color w:val="auto"/>
          <w:sz w:val="16"/>
          <w:szCs w:val="16"/>
        </w:rPr>
        <w:t xml:space="preserve">: </w:t>
      </w:r>
    </w:p>
    <w:p w:rsidR="002530DB" w:rsidRPr="0011352E" w:rsidRDefault="002530DB" w:rsidP="002530DB">
      <w:pPr>
        <w:pStyle w:val="FootnoteText"/>
        <w:spacing w:after="120"/>
        <w:ind w:firstLine="720"/>
        <w:jc w:val="both"/>
        <w:rPr>
          <w:rFonts w:asciiTheme="majorHAnsi" w:hAnsiTheme="majorHAnsi"/>
          <w:color w:val="auto"/>
          <w:sz w:val="16"/>
          <w:szCs w:val="16"/>
        </w:rPr>
      </w:pPr>
      <w:r w:rsidRPr="0011352E">
        <w:rPr>
          <w:rFonts w:asciiTheme="majorHAnsi" w:hAnsiTheme="majorHAnsi"/>
          <w:color w:val="auto"/>
          <w:sz w:val="16"/>
          <w:szCs w:val="16"/>
        </w:rPr>
        <w:t>Art</w:t>
      </w:r>
      <w:r>
        <w:rPr>
          <w:rFonts w:asciiTheme="majorHAnsi" w:hAnsiTheme="majorHAnsi"/>
          <w:color w:val="auto"/>
          <w:sz w:val="16"/>
          <w:szCs w:val="16"/>
        </w:rPr>
        <w:t xml:space="preserve">icle </w:t>
      </w:r>
      <w:r w:rsidRPr="0011352E">
        <w:rPr>
          <w:rFonts w:asciiTheme="majorHAnsi" w:hAnsiTheme="majorHAnsi"/>
          <w:color w:val="auto"/>
          <w:sz w:val="16"/>
          <w:szCs w:val="16"/>
        </w:rPr>
        <w:t>1</w:t>
      </w:r>
      <w:r>
        <w:rPr>
          <w:rFonts w:asciiTheme="majorHAnsi" w:hAnsiTheme="majorHAnsi"/>
          <w:color w:val="auto"/>
          <w:sz w:val="16"/>
          <w:szCs w:val="16"/>
        </w:rPr>
        <w:t xml:space="preserve"> – Pretrial detention may not last for more than two years without a judgment having issued. Nonetheless, when the number of offenses attributed to the accused or the evident complexity of the case has impeded its issuance within that time, it may be extended for one more year, by well-motivated resolution, which must be communicated immediately to the corresponding higher court for its proper oversight. </w:t>
      </w:r>
    </w:p>
    <w:p w:rsidR="002530DB" w:rsidRPr="0011352E" w:rsidRDefault="002530DB" w:rsidP="002530DB">
      <w:pPr>
        <w:pStyle w:val="FootnoteText"/>
        <w:spacing w:after="120"/>
        <w:ind w:firstLine="720"/>
        <w:jc w:val="both"/>
        <w:rPr>
          <w:rFonts w:asciiTheme="majorHAnsi" w:hAnsiTheme="majorHAnsi"/>
          <w:color w:val="auto"/>
          <w:sz w:val="16"/>
          <w:szCs w:val="16"/>
        </w:rPr>
      </w:pPr>
      <w:r>
        <w:rPr>
          <w:rFonts w:asciiTheme="majorHAnsi" w:hAnsiTheme="majorHAnsi"/>
          <w:color w:val="auto"/>
          <w:sz w:val="16"/>
          <w:szCs w:val="16"/>
        </w:rPr>
        <w:t xml:space="preserve">Article 2 – The times provided for in the preceding article shall not be counted for the purposes of this law when they are met after the issuance of a conviction, even if it is not a firm judgment. </w:t>
      </w:r>
    </w:p>
  </w:footnote>
  <w:footnote w:id="7">
    <w:p w:rsidR="002530DB" w:rsidRPr="0011352E" w:rsidRDefault="002530DB" w:rsidP="002530DB">
      <w:pPr>
        <w:pStyle w:val="FootnoteText"/>
        <w:spacing w:after="120"/>
        <w:ind w:firstLine="720"/>
        <w:jc w:val="both"/>
        <w:rPr>
          <w:rFonts w:asciiTheme="majorHAnsi" w:hAnsiTheme="majorHAnsi"/>
          <w:sz w:val="16"/>
          <w:szCs w:val="16"/>
        </w:rPr>
      </w:pPr>
      <w:r w:rsidRPr="0011352E">
        <w:rPr>
          <w:rStyle w:val="FootnoteReference"/>
          <w:rFonts w:asciiTheme="majorHAnsi" w:hAnsiTheme="majorHAnsi"/>
          <w:sz w:val="16"/>
          <w:szCs w:val="16"/>
        </w:rPr>
        <w:footnoteRef/>
      </w:r>
      <w:r w:rsidRPr="0011352E">
        <w:rPr>
          <w:rFonts w:asciiTheme="majorHAnsi" w:hAnsiTheme="majorHAnsi"/>
          <w:sz w:val="16"/>
          <w:szCs w:val="16"/>
        </w:rPr>
        <w:t xml:space="preserve"> </w:t>
      </w:r>
      <w:r>
        <w:rPr>
          <w:rFonts w:asciiTheme="majorHAnsi" w:hAnsiTheme="majorHAnsi"/>
          <w:sz w:val="16"/>
          <w:szCs w:val="16"/>
        </w:rPr>
        <w:t xml:space="preserve">See IACHR, Report </w:t>
      </w:r>
      <w:r w:rsidRPr="0011352E">
        <w:rPr>
          <w:rFonts w:asciiTheme="majorHAnsi" w:hAnsiTheme="majorHAnsi"/>
          <w:sz w:val="16"/>
          <w:szCs w:val="16"/>
        </w:rPr>
        <w:t xml:space="preserve">No. 56/16. </w:t>
      </w:r>
      <w:r>
        <w:rPr>
          <w:rFonts w:asciiTheme="majorHAnsi" w:hAnsiTheme="majorHAnsi"/>
          <w:sz w:val="16"/>
          <w:szCs w:val="16"/>
        </w:rPr>
        <w:t>Petitio</w:t>
      </w:r>
      <w:r w:rsidRPr="0011352E">
        <w:rPr>
          <w:rFonts w:asciiTheme="majorHAnsi" w:hAnsiTheme="majorHAnsi"/>
          <w:sz w:val="16"/>
          <w:szCs w:val="16"/>
        </w:rPr>
        <w:t xml:space="preserve">n 666-03. </w:t>
      </w:r>
      <w:r w:rsidRPr="003F3DDC">
        <w:rPr>
          <w:rFonts w:asciiTheme="majorHAnsi" w:hAnsiTheme="majorHAnsi"/>
          <w:sz w:val="16"/>
          <w:szCs w:val="16"/>
          <w:lang w:val="pt-BR"/>
        </w:rPr>
        <w:t xml:space="preserve">Admissibility. Luis Alberto Leiva. Argentina. </w:t>
      </w:r>
      <w:r>
        <w:rPr>
          <w:rFonts w:asciiTheme="majorHAnsi" w:hAnsiTheme="majorHAnsi"/>
          <w:sz w:val="16"/>
          <w:szCs w:val="16"/>
        </w:rPr>
        <w:t xml:space="preserve">December </w:t>
      </w:r>
      <w:r w:rsidRPr="0011352E">
        <w:rPr>
          <w:rFonts w:asciiTheme="majorHAnsi" w:hAnsiTheme="majorHAnsi"/>
          <w:sz w:val="16"/>
          <w:szCs w:val="16"/>
        </w:rPr>
        <w:t>6</w:t>
      </w:r>
      <w:r>
        <w:rPr>
          <w:rFonts w:asciiTheme="majorHAnsi" w:hAnsiTheme="majorHAnsi"/>
          <w:sz w:val="16"/>
          <w:szCs w:val="16"/>
        </w:rPr>
        <w:t>,</w:t>
      </w:r>
      <w:r w:rsidRPr="0011352E">
        <w:rPr>
          <w:rFonts w:asciiTheme="majorHAnsi" w:hAnsiTheme="majorHAnsi"/>
          <w:sz w:val="16"/>
          <w:szCs w:val="16"/>
        </w:rPr>
        <w:t xml:space="preserve"> 2016. </w:t>
      </w:r>
      <w:r>
        <w:rPr>
          <w:rFonts w:asciiTheme="majorHAnsi" w:hAnsiTheme="majorHAnsi"/>
          <w:sz w:val="16"/>
          <w:szCs w:val="16"/>
        </w:rPr>
        <w:t xml:space="preserve">See also I/A Court HR, </w:t>
      </w:r>
      <w:r>
        <w:rPr>
          <w:rFonts w:asciiTheme="majorHAnsi" w:hAnsiTheme="majorHAnsi"/>
          <w:i/>
          <w:sz w:val="16"/>
          <w:szCs w:val="16"/>
        </w:rPr>
        <w:t>Case of</w:t>
      </w:r>
      <w:r w:rsidRPr="0011352E">
        <w:rPr>
          <w:rFonts w:asciiTheme="majorHAnsi" w:hAnsiTheme="majorHAnsi"/>
          <w:i/>
          <w:sz w:val="16"/>
          <w:szCs w:val="16"/>
        </w:rPr>
        <w:t xml:space="preserve"> Mémoli v. Argentina. </w:t>
      </w:r>
      <w:r>
        <w:rPr>
          <w:rFonts w:asciiTheme="majorHAnsi" w:hAnsiTheme="majorHAnsi"/>
          <w:sz w:val="16"/>
          <w:szCs w:val="16"/>
        </w:rPr>
        <w:t xml:space="preserve">Preliminary Objections, Merits, Reparations and Costs. Judgment of August 22, </w:t>
      </w:r>
      <w:r w:rsidRPr="0011352E">
        <w:rPr>
          <w:rFonts w:asciiTheme="majorHAnsi" w:hAnsiTheme="majorHAnsi"/>
          <w:sz w:val="16"/>
          <w:szCs w:val="16"/>
        </w:rPr>
        <w:t>2013. Serie</w:t>
      </w:r>
      <w:r>
        <w:rPr>
          <w:rFonts w:asciiTheme="majorHAnsi" w:hAnsiTheme="majorHAnsi"/>
          <w:sz w:val="16"/>
          <w:szCs w:val="16"/>
        </w:rPr>
        <w:t>s</w:t>
      </w:r>
      <w:r w:rsidRPr="0011352E">
        <w:rPr>
          <w:rFonts w:asciiTheme="majorHAnsi" w:hAnsiTheme="majorHAnsi"/>
          <w:sz w:val="16"/>
          <w:szCs w:val="16"/>
        </w:rPr>
        <w:t xml:space="preserve"> C No. 295, p</w:t>
      </w:r>
      <w:r>
        <w:rPr>
          <w:rFonts w:asciiTheme="majorHAnsi" w:hAnsiTheme="majorHAnsi"/>
          <w:sz w:val="16"/>
          <w:szCs w:val="16"/>
        </w:rPr>
        <w:t>aras</w:t>
      </w:r>
      <w:r w:rsidRPr="0011352E">
        <w:rPr>
          <w:rFonts w:asciiTheme="majorHAnsi" w:hAnsiTheme="majorHAnsi"/>
          <w:sz w:val="16"/>
          <w:szCs w:val="16"/>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02BA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99" w:rsidRDefault="004A1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30DB"/>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3F1"/>
    <w:rsid w:val="00386CF0"/>
    <w:rsid w:val="003C32BC"/>
    <w:rsid w:val="003E3499"/>
    <w:rsid w:val="003F1BBF"/>
    <w:rsid w:val="003F3DDC"/>
    <w:rsid w:val="004165C2"/>
    <w:rsid w:val="00450A4A"/>
    <w:rsid w:val="004666FB"/>
    <w:rsid w:val="00467B7E"/>
    <w:rsid w:val="0049419D"/>
    <w:rsid w:val="004A1399"/>
    <w:rsid w:val="004B2762"/>
    <w:rsid w:val="004B7EB6"/>
    <w:rsid w:val="004C4B62"/>
    <w:rsid w:val="004D6025"/>
    <w:rsid w:val="004D72BC"/>
    <w:rsid w:val="00501399"/>
    <w:rsid w:val="00507BC4"/>
    <w:rsid w:val="005128E4"/>
    <w:rsid w:val="005153C0"/>
    <w:rsid w:val="00525560"/>
    <w:rsid w:val="005357A6"/>
    <w:rsid w:val="00544C49"/>
    <w:rsid w:val="005578D4"/>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02BAE"/>
    <w:rsid w:val="00B167E9"/>
    <w:rsid w:val="00B314DB"/>
    <w:rsid w:val="00B31EBE"/>
    <w:rsid w:val="00B3718B"/>
    <w:rsid w:val="00B4632A"/>
    <w:rsid w:val="00BA276C"/>
    <w:rsid w:val="00BB306F"/>
    <w:rsid w:val="00BD232B"/>
    <w:rsid w:val="00BD4B89"/>
    <w:rsid w:val="00BF0C45"/>
    <w:rsid w:val="00C21762"/>
    <w:rsid w:val="00C24543"/>
    <w:rsid w:val="00C256A2"/>
    <w:rsid w:val="00C3492D"/>
    <w:rsid w:val="00C55560"/>
    <w:rsid w:val="00C66B72"/>
    <w:rsid w:val="00C77DD5"/>
    <w:rsid w:val="00C9567A"/>
    <w:rsid w:val="00CB2660"/>
    <w:rsid w:val="00CC221A"/>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Default">
    <w:name w:val="Default"/>
    <w:link w:val="DefaultChar"/>
    <w:rsid w:val="002530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2530DB"/>
    <w:rPr>
      <w:rFonts w:eastAsia="Times New Roman"/>
      <w:color w:val="000000"/>
      <w:sz w:val="24"/>
      <w:szCs w:val="24"/>
      <w:bdr w:val="none" w:sz="0" w:space="0" w:color="auto"/>
      <w:lang w:val="en-US" w:eastAsia="en-US"/>
    </w:rPr>
  </w:style>
  <w:style w:type="table" w:styleId="TableGrid">
    <w:name w:val="Table Grid"/>
    <w:basedOn w:val="TableNormal"/>
    <w:uiPriority w:val="59"/>
    <w:rsid w:val="0025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Default">
    <w:name w:val="Default"/>
    <w:link w:val="DefaultChar"/>
    <w:rsid w:val="002530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2530DB"/>
    <w:rPr>
      <w:rFonts w:eastAsia="Times New Roman"/>
      <w:color w:val="000000"/>
      <w:sz w:val="24"/>
      <w:szCs w:val="24"/>
      <w:bdr w:val="none" w:sz="0" w:space="0" w:color="auto"/>
      <w:lang w:val="en-US" w:eastAsia="en-US"/>
    </w:rPr>
  </w:style>
  <w:style w:type="table" w:styleId="TableGrid">
    <w:name w:val="Table Grid"/>
    <w:basedOn w:val="TableNormal"/>
    <w:uiPriority w:val="59"/>
    <w:rsid w:val="0025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02EFC1EF34480DB5BCA1CC43785AC8"/>
        <w:category>
          <w:name w:val="General"/>
          <w:gallery w:val="placeholder"/>
        </w:category>
        <w:types>
          <w:type w:val="bbPlcHdr"/>
        </w:types>
        <w:behaviors>
          <w:behavior w:val="content"/>
        </w:behaviors>
        <w:guid w:val="{2032E2A4-6EE1-4983-8CD8-95E11B53EE0D}"/>
      </w:docPartPr>
      <w:docPartBody>
        <w:p w:rsidR="00AC1D24" w:rsidRDefault="00477267" w:rsidP="00477267">
          <w:pPr>
            <w:pStyle w:val="9202EFC1EF34480DB5BCA1CC43785AC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67"/>
    <w:rsid w:val="00477267"/>
    <w:rsid w:val="00592389"/>
    <w:rsid w:val="00AC1D24"/>
    <w:rsid w:val="00B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267"/>
    <w:rPr>
      <w:color w:val="808080"/>
    </w:rPr>
  </w:style>
  <w:style w:type="paragraph" w:customStyle="1" w:styleId="9202EFC1EF34480DB5BCA1CC43785AC8">
    <w:name w:val="9202EFC1EF34480DB5BCA1CC43785AC8"/>
    <w:rsid w:val="00477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267"/>
    <w:rPr>
      <w:color w:val="808080"/>
    </w:rPr>
  </w:style>
  <w:style w:type="paragraph" w:customStyle="1" w:styleId="9202EFC1EF34480DB5BCA1CC43785AC8">
    <w:name w:val="9202EFC1EF34480DB5BCA1CC43785AC8"/>
    <w:rsid w:val="0047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F73A-EBE0-4507-BD25-1BF64588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10733</Characters>
  <Application>Microsoft Office Word</Application>
  <DocSecurity>0</DocSecurity>
  <Lines>219</Lines>
  <Paragraphs>69</Paragraphs>
  <ScaleCrop>false</ScaleCrop>
  <HeadingPairs>
    <vt:vector size="2" baseType="variant">
      <vt:variant>
        <vt:lpstr>Title</vt:lpstr>
      </vt:variant>
      <vt:variant>
        <vt:i4>1</vt:i4>
      </vt:variant>
    </vt:vector>
  </HeadingPairs>
  <TitlesOfParts>
    <vt:vector size="1" baseType="lpstr">
      <vt:lpstr>Report No. 138/17</vt:lpstr>
    </vt:vector>
  </TitlesOfParts>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138/17</dc:title>
  <dc:creator/>
  <cp:lastModifiedBy/>
  <cp:revision>1</cp:revision>
  <dcterms:created xsi:type="dcterms:W3CDTF">2018-01-17T21:06:00Z</dcterms:created>
  <dcterms:modified xsi:type="dcterms:W3CDTF">2018-01-17T22:24:00Z</dcterms:modified>
</cp:coreProperties>
</file>