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0661D" w:rsidRPr="009F1210" w:rsidRDefault="0025166E" w:rsidP="00485E99">
      <w:pPr>
        <w:pBdr>
          <w:top w:val="none" w:sz="0" w:space="0" w:color="auto"/>
          <w:left w:val="none" w:sz="0" w:space="0" w:color="auto"/>
          <w:bottom w:val="none" w:sz="0" w:space="0" w:color="auto"/>
          <w:right w:val="none" w:sz="0" w:space="0" w:color="auto"/>
          <w:bar w:val="none" w:sz="0" w:color="auto"/>
        </w:pBdr>
        <w:jc w:val="both"/>
        <w:rPr>
          <w:rFonts w:ascii="Cambria" w:hAnsi="Cambria" w:cs="Univers"/>
          <w:b/>
          <w:bCs/>
          <w:sz w:val="22"/>
          <w:szCs w:val="22"/>
        </w:rPr>
      </w:pPr>
      <w:r w:rsidRPr="009F1210">
        <w:rPr>
          <w:noProof/>
        </w:rPr>
        <mc:AlternateContent>
          <mc:Choice Requires="wps">
            <w:drawing>
              <wp:anchor distT="0" distB="0" distL="114300" distR="114300" simplePos="0" relativeHeight="251654144" behindDoc="0" locked="0" layoutInCell="1" allowOverlap="1" wp14:anchorId="6D390EAD" wp14:editId="40F4E6F4">
                <wp:simplePos x="0" y="0"/>
                <wp:positionH relativeFrom="column">
                  <wp:posOffset>-415925</wp:posOffset>
                </wp:positionH>
                <wp:positionV relativeFrom="paragraph">
                  <wp:posOffset>-439420</wp:posOffset>
                </wp:positionV>
                <wp:extent cx="1543050" cy="9096375"/>
                <wp:effectExtent l="0" t="0" r="0" b="9525"/>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2.75pt;margin-top:-34.6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" fillcolor="#92d050" stroked="f" strokeweight="2pt">
                <v:path arrowok="t"/>
              </v:rect>
            </w:pict>
          </mc:Fallback>
        </mc:AlternateContent>
      </w:r>
      <w:r w:rsidRPr="009F1210">
        <w:rPr>
          <w:noProof/>
        </w:rPr>
        <mc:AlternateContent>
          <mc:Choice Requires="wps">
            <w:drawing>
              <wp:anchor distT="0" distB="0" distL="114300" distR="114300" simplePos="0" relativeHeight="251658240" behindDoc="0" locked="0" layoutInCell="1" allowOverlap="1" wp14:anchorId="0E4CEBE5" wp14:editId="38026E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214F" w:rsidRDefault="00FB1EAF"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14:anchorId="69FA9BFB" wp14:editId="4E3EC8B9">
                                  <wp:extent cx="2522763" cy="485775"/>
                                  <wp:effectExtent l="0" t="0" r="0" b="0"/>
                                  <wp:docPr id="2"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10214F">
                              <w:tab/>
                            </w:r>
                            <w:r w:rsidR="005E1626">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" filled="f" stroked="f" strokeweight=".5pt">
                <v:path arrowok="t"/>
                <v:textbox>
                  <w:txbxContent>
                    <w:p w:rsidR="0010214F" w:rsidRDefault="00FB1EAF"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14:anchorId="69FA9BFB" wp14:editId="4E3EC8B9">
                            <wp:extent cx="2522763" cy="485775"/>
                            <wp:effectExtent l="0" t="0" r="0" b="0"/>
                            <wp:docPr id="2"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10214F">
                        <w:tab/>
                      </w:r>
                      <w:r w:rsidR="005E1626">
                        <w:t xml:space="preserve"> </w:t>
                      </w:r>
                    </w:p>
                  </w:txbxContent>
                </v:textbox>
              </v:shape>
            </w:pict>
          </mc:Fallback>
        </mc:AlternateContent>
      </w: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rPr>
      </w:pP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rPr>
      </w:pP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rPr>
      </w:pP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rPr>
      </w:pP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rPr>
      </w:pP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A0661D" w:rsidRPr="009F1210" w:rsidRDefault="0025166E"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r w:rsidRPr="009F1210">
        <w:rPr>
          <w:noProof/>
        </w:rPr>
        <mc:AlternateContent>
          <mc:Choice Requires="wps">
            <w:drawing>
              <wp:anchor distT="0" distB="0" distL="114300" distR="114300" simplePos="0" relativeHeight="251655168" behindDoc="0" locked="0" layoutInCell="1" allowOverlap="1" wp14:anchorId="5045F6D1" wp14:editId="271A8BF1">
                <wp:simplePos x="0" y="0"/>
                <wp:positionH relativeFrom="column">
                  <wp:posOffset>1352550</wp:posOffset>
                </wp:positionH>
                <wp:positionV relativeFrom="paragraph">
                  <wp:posOffset>107315</wp:posOffset>
                </wp:positionV>
                <wp:extent cx="4441190" cy="218122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214F" w:rsidRPr="005B6CE3" w:rsidRDefault="00F03FA8"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n-GB"/>
                              </w:rPr>
                            </w:pPr>
                            <w:r>
                              <w:rPr>
                                <w:rFonts w:ascii="Cambria" w:hAnsi="Cambria" w:cs="Arial"/>
                                <w:b/>
                                <w:bCs/>
                                <w:color w:val="0D0D0D"/>
                                <w:sz w:val="36"/>
                                <w:szCs w:val="22"/>
                                <w:lang w:val="en-GB"/>
                              </w:rPr>
                              <w:t>REPORT No. 53</w:t>
                            </w:r>
                            <w:r w:rsidR="0010214F" w:rsidRPr="005B6CE3">
                              <w:rPr>
                                <w:rFonts w:ascii="Cambria" w:hAnsi="Cambria" w:cs="Arial"/>
                                <w:b/>
                                <w:bCs/>
                                <w:color w:val="0D0D0D"/>
                                <w:sz w:val="36"/>
                                <w:szCs w:val="22"/>
                                <w:lang w:val="en-GB"/>
                              </w:rPr>
                              <w:t>/</w:t>
                            </w:r>
                            <w:r>
                              <w:rPr>
                                <w:rFonts w:ascii="Cambria" w:hAnsi="Cambria" w:cs="Arial"/>
                                <w:b/>
                                <w:bCs/>
                                <w:color w:val="0D0D0D"/>
                                <w:sz w:val="36"/>
                                <w:szCs w:val="22"/>
                                <w:lang w:val="en-GB"/>
                              </w:rPr>
                              <w:t>17</w:t>
                            </w:r>
                          </w:p>
                          <w:p w:rsidR="0010214F" w:rsidRPr="00FB1EAF" w:rsidRDefault="0010214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n-GB"/>
                              </w:rPr>
                            </w:pPr>
                            <w:r w:rsidRPr="00FB1EAF">
                              <w:rPr>
                                <w:rFonts w:ascii="Cambria" w:hAnsi="Cambria" w:cs="Arial"/>
                                <w:b/>
                                <w:color w:val="0D0D0D"/>
                                <w:sz w:val="36"/>
                                <w:szCs w:val="22"/>
                                <w:lang w:val="en-GB"/>
                              </w:rPr>
                              <w:t xml:space="preserve">PETITION 1285-04 </w:t>
                            </w:r>
                          </w:p>
                          <w:p w:rsidR="0010214F" w:rsidRPr="00FB1EAF" w:rsidRDefault="0010214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n-GB"/>
                              </w:rPr>
                            </w:pPr>
                            <w:r w:rsidRPr="00FB1EAF">
                              <w:rPr>
                                <w:rFonts w:ascii="Cambria" w:hAnsi="Cambria" w:cs="Arial"/>
                                <w:color w:val="0D0D0D"/>
                                <w:szCs w:val="22"/>
                                <w:lang w:val="en-GB"/>
                              </w:rPr>
                              <w:t xml:space="preserve">REPORT ON ADMISSIBILITY </w:t>
                            </w:r>
                          </w:p>
                          <w:p w:rsidR="0010214F" w:rsidRPr="00FB1EAF" w:rsidRDefault="0010214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n-GB"/>
                              </w:rPr>
                            </w:pPr>
                            <w:bookmarkStart w:id="1" w:name="_ftnref1"/>
                          </w:p>
                          <w:p w:rsidR="0010214F" w:rsidRPr="00FB1EAF" w:rsidRDefault="0010214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n-GB"/>
                              </w:rPr>
                            </w:pPr>
                            <w:r w:rsidRPr="00FB1EAF">
                              <w:rPr>
                                <w:rFonts w:ascii="Cambria" w:hAnsi="Cambria" w:cs="Arial"/>
                                <w:color w:val="0D0D0D"/>
                                <w:szCs w:val="22"/>
                                <w:lang w:val="en-GB"/>
                              </w:rPr>
                              <w:t>DORA INÉS MENESES GÓMEZ AND OTHERS</w:t>
                            </w:r>
                          </w:p>
                          <w:bookmarkEnd w:id="1"/>
                          <w:p w:rsidR="0010214F" w:rsidRPr="00B7530A" w:rsidRDefault="0010214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COLOMBIA</w:t>
                            </w:r>
                          </w:p>
                          <w:p w:rsidR="0010214F" w:rsidRPr="00B7530A" w:rsidRDefault="0010214F" w:rsidP="007A5817">
                            <w:pPr>
                              <w:pBdr>
                                <w:top w:val="none" w:sz="0" w:space="0" w:color="auto"/>
                                <w:left w:val="none" w:sz="0" w:space="0" w:color="auto"/>
                                <w:bottom w:val="none" w:sz="0" w:space="0" w:color="auto"/>
                                <w:right w:val="none" w:sz="0" w:space="0" w:color="auto"/>
                                <w:bar w:val="none" w:sz="0" w:color="auto"/>
                              </w:pBd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" filled="f" stroked="f" strokeweight=".5pt">
                <v:path arrowok="t"/>
                <v:textbox>
                  <w:txbxContent>
                    <w:p w:rsidR="0010214F" w:rsidRPr="005B6CE3" w:rsidRDefault="00F03FA8"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n-GB"/>
                        </w:rPr>
                      </w:pPr>
                      <w:r>
                        <w:rPr>
                          <w:rFonts w:ascii="Cambria" w:hAnsi="Cambria" w:cs="Arial"/>
                          <w:b/>
                          <w:bCs/>
                          <w:color w:val="0D0D0D"/>
                          <w:sz w:val="36"/>
                          <w:szCs w:val="22"/>
                          <w:lang w:val="en-GB"/>
                        </w:rPr>
                        <w:t>REPORT No. 53</w:t>
                      </w:r>
                      <w:r w:rsidR="0010214F" w:rsidRPr="005B6CE3">
                        <w:rPr>
                          <w:rFonts w:ascii="Cambria" w:hAnsi="Cambria" w:cs="Arial"/>
                          <w:b/>
                          <w:bCs/>
                          <w:color w:val="0D0D0D"/>
                          <w:sz w:val="36"/>
                          <w:szCs w:val="22"/>
                          <w:lang w:val="en-GB"/>
                        </w:rPr>
                        <w:t>/</w:t>
                      </w:r>
                      <w:r>
                        <w:rPr>
                          <w:rFonts w:ascii="Cambria" w:hAnsi="Cambria" w:cs="Arial"/>
                          <w:b/>
                          <w:bCs/>
                          <w:color w:val="0D0D0D"/>
                          <w:sz w:val="36"/>
                          <w:szCs w:val="22"/>
                          <w:lang w:val="en-GB"/>
                        </w:rPr>
                        <w:t>17</w:t>
                      </w:r>
                    </w:p>
                    <w:p w:rsidR="0010214F" w:rsidRPr="00FB1EAF" w:rsidRDefault="0010214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n-GB"/>
                        </w:rPr>
                      </w:pPr>
                      <w:r w:rsidRPr="00FB1EAF">
                        <w:rPr>
                          <w:rFonts w:ascii="Cambria" w:hAnsi="Cambria" w:cs="Arial"/>
                          <w:b/>
                          <w:color w:val="0D0D0D"/>
                          <w:sz w:val="36"/>
                          <w:szCs w:val="22"/>
                          <w:lang w:val="en-GB"/>
                        </w:rPr>
                        <w:t xml:space="preserve">PETITION 1285-04 </w:t>
                      </w:r>
                    </w:p>
                    <w:p w:rsidR="0010214F" w:rsidRPr="00FB1EAF" w:rsidRDefault="0010214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n-GB"/>
                        </w:rPr>
                      </w:pPr>
                      <w:r w:rsidRPr="00FB1EAF">
                        <w:rPr>
                          <w:rFonts w:ascii="Cambria" w:hAnsi="Cambria" w:cs="Arial"/>
                          <w:color w:val="0D0D0D"/>
                          <w:szCs w:val="22"/>
                          <w:lang w:val="en-GB"/>
                        </w:rPr>
                        <w:t xml:space="preserve">REPORT ON ADMISSIBILITY </w:t>
                      </w:r>
                    </w:p>
                    <w:p w:rsidR="0010214F" w:rsidRPr="00FB1EAF" w:rsidRDefault="0010214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n-GB"/>
                        </w:rPr>
                      </w:pPr>
                      <w:bookmarkStart w:id="1" w:name="_ftnref1"/>
                    </w:p>
                    <w:p w:rsidR="0010214F" w:rsidRPr="00FB1EAF" w:rsidRDefault="0010214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n-GB"/>
                        </w:rPr>
                      </w:pPr>
                      <w:r w:rsidRPr="00FB1EAF">
                        <w:rPr>
                          <w:rFonts w:ascii="Cambria" w:hAnsi="Cambria" w:cs="Arial"/>
                          <w:color w:val="0D0D0D"/>
                          <w:szCs w:val="22"/>
                          <w:lang w:val="en-GB"/>
                        </w:rPr>
                        <w:t>DORA INÉS MENESES GÓMEZ AND OTHERS</w:t>
                      </w:r>
                    </w:p>
                    <w:bookmarkEnd w:id="1"/>
                    <w:p w:rsidR="0010214F" w:rsidRPr="00B7530A" w:rsidRDefault="0010214F"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COLOMBIA</w:t>
                      </w:r>
                    </w:p>
                    <w:p w:rsidR="0010214F" w:rsidRPr="00B7530A" w:rsidRDefault="0010214F" w:rsidP="007A5817">
                      <w:pPr>
                        <w:pBdr>
                          <w:top w:val="none" w:sz="0" w:space="0" w:color="auto"/>
                          <w:left w:val="none" w:sz="0" w:space="0" w:color="auto"/>
                          <w:bottom w:val="none" w:sz="0" w:space="0" w:color="auto"/>
                          <w:right w:val="none" w:sz="0" w:space="0" w:color="auto"/>
                          <w:bar w:val="none" w:sz="0" w:color="auto"/>
                        </w:pBdr>
                        <w:rPr>
                          <w:color w:val="0D0D0D"/>
                          <w:lang w:val="es-ES_tradnl"/>
                        </w:rPr>
                      </w:pPr>
                    </w:p>
                  </w:txbxContent>
                </v:textbox>
              </v:shape>
            </w:pict>
          </mc:Fallback>
        </mc:AlternateContent>
      </w:r>
      <w:r w:rsidRPr="009F1210">
        <w:rPr>
          <w:noProof/>
        </w:rPr>
        <mc:AlternateContent>
          <mc:Choice Requires="wps">
            <w:drawing>
              <wp:anchor distT="0" distB="0" distL="114300" distR="114300" simplePos="0" relativeHeight="251657216" behindDoc="0" locked="0" layoutInCell="1" allowOverlap="1" wp14:anchorId="40775220" wp14:editId="3C966A9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214F" w:rsidRPr="00453B56" w:rsidRDefault="0010214F"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sidRPr="00453B56">
                              <w:rPr>
                                <w:rFonts w:ascii="Calibri" w:hAnsi="Calibri"/>
                                <w:color w:val="FFFFFF"/>
                                <w:sz w:val="22"/>
                                <w:lang w:val="pt-BR"/>
                              </w:rPr>
                              <w:t>OEA/Ser.L/V/II.</w:t>
                            </w:r>
                            <w:r w:rsidR="00F03FA8">
                              <w:rPr>
                                <w:rFonts w:ascii="Calibri" w:hAnsi="Calibri"/>
                                <w:color w:val="FFFFFF"/>
                                <w:sz w:val="22"/>
                                <w:lang w:val="pt-BR"/>
                              </w:rPr>
                              <w:t>162</w:t>
                            </w:r>
                          </w:p>
                          <w:p w:rsidR="0010214F" w:rsidRPr="00453B56" w:rsidRDefault="00F03FA8"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Pr>
                                <w:rFonts w:ascii="Calibri" w:hAnsi="Calibri"/>
                                <w:color w:val="FFFFFF"/>
                                <w:sz w:val="22"/>
                                <w:lang w:val="pt-BR"/>
                              </w:rPr>
                              <w:t>Doc. 65</w:t>
                            </w:r>
                          </w:p>
                          <w:p w:rsidR="0010214F" w:rsidRPr="00453B56" w:rsidRDefault="00F03FA8"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CL"/>
                              </w:rPr>
                            </w:pPr>
                            <w:r>
                              <w:rPr>
                                <w:rFonts w:ascii="Calibri" w:hAnsi="Calibri"/>
                                <w:color w:val="FFFFFF"/>
                                <w:sz w:val="22"/>
                                <w:lang w:val="es-CL"/>
                              </w:rPr>
                              <w:t xml:space="preserve">25 May </w:t>
                            </w:r>
                            <w:r w:rsidR="0010214F" w:rsidRPr="00453B56">
                              <w:rPr>
                                <w:rFonts w:ascii="Calibri" w:hAnsi="Calibri"/>
                                <w:color w:val="FFFFFF"/>
                                <w:sz w:val="22"/>
                                <w:lang w:val="es-CL"/>
                              </w:rPr>
                              <w:t>2017</w:t>
                            </w:r>
                          </w:p>
                          <w:p w:rsidR="0010214F" w:rsidRPr="00453B56" w:rsidRDefault="0010214F"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CL"/>
                              </w:rPr>
                            </w:pPr>
                            <w:r w:rsidRPr="00453B56">
                              <w:rPr>
                                <w:rFonts w:ascii="Calibri" w:hAnsi="Calibri"/>
                                <w:color w:val="FFFFFF"/>
                                <w:sz w:val="22"/>
                                <w:lang w:val="es-CL"/>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DMuYo6jAIAAIMFAAAOAAAAAAAAAAAAAAAAAC4CAABkcnMvZTJvRG9jLnhtbFBLAQIt&#10;ABQABgAIAAAAIQDcgcxX4AAAAAoBAAAPAAAAAAAAAAAAAAAAAOYEAABkcnMvZG93bnJldi54bWxQ&#10;SwUGAAAAAAQABADzAAAA8wUAAAAA&#10;" filled="f" stroked="f" strokeweight=".5pt">
                <v:path arrowok="t"/>
                <v:textbox>
                  <w:txbxContent>
                    <w:p w:rsidR="0010214F" w:rsidRPr="00453B56" w:rsidRDefault="0010214F"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sidRPr="00453B56">
                        <w:rPr>
                          <w:rFonts w:ascii="Calibri" w:hAnsi="Calibri"/>
                          <w:color w:val="FFFFFF"/>
                          <w:sz w:val="22"/>
                          <w:lang w:val="pt-BR"/>
                        </w:rPr>
                        <w:t>OEA/Ser.L/V/II.</w:t>
                      </w:r>
                      <w:r w:rsidR="00F03FA8">
                        <w:rPr>
                          <w:rFonts w:ascii="Calibri" w:hAnsi="Calibri"/>
                          <w:color w:val="FFFFFF"/>
                          <w:sz w:val="22"/>
                          <w:lang w:val="pt-BR"/>
                        </w:rPr>
                        <w:t>162</w:t>
                      </w:r>
                    </w:p>
                    <w:p w:rsidR="0010214F" w:rsidRPr="00453B56" w:rsidRDefault="00F03FA8"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Pr>
                          <w:rFonts w:ascii="Calibri" w:hAnsi="Calibri"/>
                          <w:color w:val="FFFFFF"/>
                          <w:sz w:val="22"/>
                          <w:lang w:val="pt-BR"/>
                        </w:rPr>
                        <w:t>Doc. 65</w:t>
                      </w:r>
                    </w:p>
                    <w:p w:rsidR="0010214F" w:rsidRPr="00453B56" w:rsidRDefault="00F03FA8"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CL"/>
                        </w:rPr>
                      </w:pPr>
                      <w:r>
                        <w:rPr>
                          <w:rFonts w:ascii="Calibri" w:hAnsi="Calibri"/>
                          <w:color w:val="FFFFFF"/>
                          <w:sz w:val="22"/>
                          <w:lang w:val="es-CL"/>
                        </w:rPr>
                        <w:t xml:space="preserve">25 </w:t>
                      </w:r>
                      <w:proofErr w:type="spellStart"/>
                      <w:r>
                        <w:rPr>
                          <w:rFonts w:ascii="Calibri" w:hAnsi="Calibri"/>
                          <w:color w:val="FFFFFF"/>
                          <w:sz w:val="22"/>
                          <w:lang w:val="es-CL"/>
                        </w:rPr>
                        <w:t>May</w:t>
                      </w:r>
                      <w:proofErr w:type="spellEnd"/>
                      <w:r>
                        <w:rPr>
                          <w:rFonts w:ascii="Calibri" w:hAnsi="Calibri"/>
                          <w:color w:val="FFFFFF"/>
                          <w:sz w:val="22"/>
                          <w:lang w:val="es-CL"/>
                        </w:rPr>
                        <w:t xml:space="preserve"> </w:t>
                      </w:r>
                      <w:r w:rsidR="0010214F" w:rsidRPr="00453B56">
                        <w:rPr>
                          <w:rFonts w:ascii="Calibri" w:hAnsi="Calibri"/>
                          <w:color w:val="FFFFFF"/>
                          <w:sz w:val="22"/>
                          <w:lang w:val="es-CL"/>
                        </w:rPr>
                        <w:t>2017</w:t>
                      </w:r>
                    </w:p>
                    <w:p w:rsidR="0010214F" w:rsidRPr="00453B56" w:rsidRDefault="0010214F"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CL"/>
                        </w:rPr>
                      </w:pPr>
                      <w:r w:rsidRPr="00453B56">
                        <w:rPr>
                          <w:rFonts w:ascii="Calibri" w:hAnsi="Calibri"/>
                          <w:color w:val="FFFFFF"/>
                          <w:sz w:val="22"/>
                          <w:lang w:val="es-CL"/>
                        </w:rPr>
                        <w:t xml:space="preserve">Original: </w:t>
                      </w:r>
                      <w:proofErr w:type="spellStart"/>
                      <w:r w:rsidRPr="00453B56">
                        <w:rPr>
                          <w:rFonts w:ascii="Calibri" w:hAnsi="Calibri"/>
                          <w:color w:val="FFFFFF"/>
                          <w:sz w:val="22"/>
                          <w:lang w:val="es-CL"/>
                        </w:rPr>
                        <w:t>Spanish</w:t>
                      </w:r>
                      <w:proofErr w:type="spellEnd"/>
                    </w:p>
                  </w:txbxContent>
                </v:textbox>
              </v:shape>
            </w:pict>
          </mc:Fallback>
        </mc:AlternateContent>
      </w: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cs="Arial"/>
          <w:sz w:val="22"/>
          <w:szCs w:val="22"/>
        </w:rPr>
      </w:pP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A0661D" w:rsidRPr="009F1210" w:rsidRDefault="0025166E"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r w:rsidRPr="009F1210">
        <w:rPr>
          <w:noProof/>
        </w:rPr>
        <mc:AlternateContent>
          <mc:Choice Requires="wps">
            <w:drawing>
              <wp:anchor distT="0" distB="0" distL="114300" distR="114300" simplePos="0" relativeHeight="251656192" behindDoc="0" locked="0" layoutInCell="1" allowOverlap="1" wp14:anchorId="7184224E" wp14:editId="7525096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2517" w:rsidRPr="00382517" w:rsidRDefault="00382517" w:rsidP="00382517">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0"/>
                                <w:lang w:val="en-GB"/>
                              </w:rPr>
                            </w:pPr>
                            <w:r w:rsidRPr="00382517">
                              <w:rPr>
                                <w:rFonts w:ascii="Cambria" w:hAnsi="Cambria"/>
                                <w:color w:val="0D0D0D"/>
                                <w:sz w:val="18"/>
                                <w:szCs w:val="20"/>
                                <w:lang w:val="en-GB"/>
                              </w:rPr>
                              <w:t>Approved by the Commission at its session No. 2085 held on May 25, 2017</w:t>
                            </w:r>
                            <w:r w:rsidRPr="00382517">
                              <w:rPr>
                                <w:rFonts w:ascii="Cambria" w:hAnsi="Cambria"/>
                                <w:color w:val="0D0D0D"/>
                                <w:sz w:val="18"/>
                                <w:szCs w:val="20"/>
                                <w:lang w:val="en-GB"/>
                              </w:rPr>
                              <w:br/>
                              <w:t>162</w:t>
                            </w:r>
                            <w:r w:rsidRPr="00382517">
                              <w:rPr>
                                <w:rFonts w:ascii="Cambria" w:hAnsi="Cambria"/>
                                <w:color w:val="0D0D0D"/>
                                <w:sz w:val="18"/>
                                <w:szCs w:val="20"/>
                                <w:vertAlign w:val="superscript"/>
                                <w:lang w:val="en-GB"/>
                              </w:rPr>
                              <w:t xml:space="preserve">nd </w:t>
                            </w:r>
                            <w:r w:rsidRPr="00382517">
                              <w:rPr>
                                <w:rFonts w:ascii="Cambria" w:hAnsi="Cambria"/>
                                <w:color w:val="0D0D0D"/>
                                <w:sz w:val="18"/>
                                <w:szCs w:val="20"/>
                                <w:lang w:val="en-GB"/>
                              </w:rPr>
                              <w:t>Extraordinary Period of Sessions</w:t>
                            </w:r>
                          </w:p>
                          <w:p w:rsidR="0010214F" w:rsidRPr="00FB1EAF" w:rsidRDefault="0010214F"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n-GB"/>
                              </w:rPr>
                            </w:pPr>
                          </w:p>
                          <w:p w:rsidR="0010214F" w:rsidRPr="00FB1EAF" w:rsidRDefault="0010214F"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rsidR="00382517" w:rsidRPr="00382517" w:rsidRDefault="00382517" w:rsidP="00382517">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0"/>
                          <w:lang w:val="en-GB"/>
                        </w:rPr>
                      </w:pPr>
                      <w:r w:rsidRPr="00382517">
                        <w:rPr>
                          <w:rFonts w:ascii="Cambria" w:hAnsi="Cambria"/>
                          <w:color w:val="0D0D0D"/>
                          <w:sz w:val="18"/>
                          <w:szCs w:val="20"/>
                          <w:lang w:val="en-GB"/>
                        </w:rPr>
                        <w:t>Approved by the Commission at its session No. 2085 held on May 25, 2017</w:t>
                      </w:r>
                      <w:r w:rsidRPr="00382517">
                        <w:rPr>
                          <w:rFonts w:ascii="Cambria" w:hAnsi="Cambria"/>
                          <w:color w:val="0D0D0D"/>
                          <w:sz w:val="18"/>
                          <w:szCs w:val="20"/>
                          <w:lang w:val="en-GB"/>
                        </w:rPr>
                        <w:br/>
                        <w:t>162</w:t>
                      </w:r>
                      <w:r w:rsidRPr="00382517">
                        <w:rPr>
                          <w:rFonts w:ascii="Cambria" w:hAnsi="Cambria"/>
                          <w:color w:val="0D0D0D"/>
                          <w:sz w:val="18"/>
                          <w:szCs w:val="20"/>
                          <w:vertAlign w:val="superscript"/>
                          <w:lang w:val="en-GB"/>
                        </w:rPr>
                        <w:t xml:space="preserve">nd </w:t>
                      </w:r>
                      <w:r w:rsidRPr="00382517">
                        <w:rPr>
                          <w:rFonts w:ascii="Cambria" w:hAnsi="Cambria"/>
                          <w:color w:val="0D0D0D"/>
                          <w:sz w:val="18"/>
                          <w:szCs w:val="20"/>
                          <w:lang w:val="en-GB"/>
                        </w:rPr>
                        <w:t>Extraordinary Period of Sessions</w:t>
                      </w:r>
                    </w:p>
                    <w:p w:rsidR="0010214F" w:rsidRPr="00FB1EAF" w:rsidRDefault="0010214F"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n-GB"/>
                        </w:rPr>
                      </w:pPr>
                      <w:bookmarkStart w:id="2" w:name="_GoBack"/>
                      <w:bookmarkEnd w:id="2"/>
                    </w:p>
                    <w:p w:rsidR="0010214F" w:rsidRPr="00FB1EAF" w:rsidRDefault="0010214F"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n-GB"/>
                        </w:rPr>
                      </w:pPr>
                    </w:p>
                  </w:txbxContent>
                </v:textbox>
              </v:shape>
            </w:pict>
          </mc:Fallback>
        </mc:AlternateContent>
      </w: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A0661D" w:rsidRPr="009F1210" w:rsidRDefault="0025166E"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r w:rsidRPr="009F1210">
        <w:rPr>
          <w:noProof/>
        </w:rPr>
        <mc:AlternateContent>
          <mc:Choice Requires="wps">
            <w:drawing>
              <wp:anchor distT="0" distB="0" distL="114300" distR="114300" simplePos="0" relativeHeight="251659264" behindDoc="0" locked="0" layoutInCell="1" allowOverlap="1" wp14:anchorId="28E703BF" wp14:editId="418780F1">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214F" w:rsidRPr="00F03FA8" w:rsidRDefault="0010214F" w:rsidP="00F03FA8">
                            <w:pPr>
                              <w:pBdr>
                                <w:top w:val="none" w:sz="0" w:space="0" w:color="auto"/>
                                <w:left w:val="none" w:sz="0" w:space="0" w:color="auto"/>
                                <w:bottom w:val="none" w:sz="0" w:space="0" w:color="auto"/>
                                <w:right w:val="none" w:sz="0" w:space="0" w:color="auto"/>
                                <w:bar w:val="none" w:sz="0" w:color="auto"/>
                              </w:pBdr>
                              <w:spacing w:line="276" w:lineRule="auto"/>
                              <w:jc w:val="both"/>
                              <w:rPr>
                                <w:rFonts w:ascii="Cambria" w:hAnsi="Cambria"/>
                                <w:color w:val="595959"/>
                                <w:sz w:val="18"/>
                                <w:szCs w:val="18"/>
                                <w:lang w:val="en-GB"/>
                              </w:rPr>
                            </w:pPr>
                            <w:r w:rsidRPr="00FB1EAF">
                              <w:rPr>
                                <w:rFonts w:ascii="Cambria" w:hAnsi="Cambria"/>
                                <w:b/>
                                <w:color w:val="595959"/>
                                <w:sz w:val="18"/>
                                <w:szCs w:val="18"/>
                                <w:lang w:val="en-GB"/>
                              </w:rPr>
                              <w:t>Cite as:</w:t>
                            </w:r>
                            <w:r w:rsidRPr="00FB1EAF">
                              <w:rPr>
                                <w:rFonts w:ascii="Cambria" w:hAnsi="Cambria"/>
                                <w:color w:val="595959"/>
                                <w:sz w:val="18"/>
                                <w:szCs w:val="18"/>
                                <w:lang w:val="en-GB"/>
                              </w:rPr>
                              <w:t xml:space="preserve"> IACHR, Report No. </w:t>
                            </w:r>
                            <w:r w:rsidR="00F03FA8">
                              <w:rPr>
                                <w:rFonts w:ascii="Cambria" w:hAnsi="Cambria"/>
                                <w:color w:val="595959"/>
                                <w:sz w:val="18"/>
                                <w:szCs w:val="18"/>
                                <w:lang w:val="en-GB"/>
                              </w:rPr>
                              <w:t xml:space="preserve">53/17. Petition 1285-04. Admissibility. </w:t>
                            </w:r>
                            <w:r w:rsidR="00F03FA8" w:rsidRPr="00F03FA8">
                              <w:rPr>
                                <w:rFonts w:ascii="Cambria" w:hAnsi="Cambria"/>
                                <w:color w:val="595959"/>
                                <w:sz w:val="18"/>
                                <w:szCs w:val="18"/>
                                <w:lang w:val="en-GB"/>
                              </w:rPr>
                              <w:t>Dor</w:t>
                            </w:r>
                            <w:r w:rsidR="00636FA1">
                              <w:rPr>
                                <w:rFonts w:ascii="Cambria" w:hAnsi="Cambria"/>
                                <w:color w:val="595959"/>
                                <w:sz w:val="18"/>
                                <w:szCs w:val="18"/>
                                <w:lang w:val="en-GB"/>
                              </w:rPr>
                              <w:t>a Inés Meneses Gómez and o</w:t>
                            </w:r>
                            <w:r w:rsidR="00F03FA8">
                              <w:rPr>
                                <w:rFonts w:ascii="Cambria" w:hAnsi="Cambria"/>
                                <w:color w:val="595959"/>
                                <w:sz w:val="18"/>
                                <w:szCs w:val="18"/>
                                <w:lang w:val="en-GB"/>
                              </w:rPr>
                              <w:t xml:space="preserve">thers. </w:t>
                            </w:r>
                            <w:r w:rsidR="00F03FA8" w:rsidRPr="00F03FA8">
                              <w:rPr>
                                <w:rFonts w:ascii="Cambria" w:hAnsi="Cambria"/>
                                <w:color w:val="595959"/>
                                <w:sz w:val="18"/>
                                <w:szCs w:val="18"/>
                                <w:lang w:val="en-GB"/>
                              </w:rPr>
                              <w:t>Colombia</w:t>
                            </w:r>
                            <w:r w:rsidR="00F03FA8">
                              <w:rPr>
                                <w:rFonts w:ascii="Cambria" w:hAnsi="Cambria"/>
                                <w:color w:val="595959"/>
                                <w:sz w:val="18"/>
                                <w:szCs w:val="18"/>
                                <w:lang w:val="en-GB"/>
                              </w:rPr>
                              <w:t>. May 25,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rsidR="0010214F" w:rsidRPr="00F03FA8" w:rsidRDefault="0010214F" w:rsidP="00F03FA8">
                      <w:pPr>
                        <w:pBdr>
                          <w:top w:val="none" w:sz="0" w:space="0" w:color="auto"/>
                          <w:left w:val="none" w:sz="0" w:space="0" w:color="auto"/>
                          <w:bottom w:val="none" w:sz="0" w:space="0" w:color="auto"/>
                          <w:right w:val="none" w:sz="0" w:space="0" w:color="auto"/>
                          <w:bar w:val="none" w:sz="0" w:color="auto"/>
                        </w:pBdr>
                        <w:spacing w:line="276" w:lineRule="auto"/>
                        <w:jc w:val="both"/>
                        <w:rPr>
                          <w:rFonts w:ascii="Cambria" w:hAnsi="Cambria"/>
                          <w:color w:val="595959"/>
                          <w:sz w:val="18"/>
                          <w:szCs w:val="18"/>
                          <w:lang w:val="en-GB"/>
                        </w:rPr>
                      </w:pPr>
                      <w:r w:rsidRPr="00FB1EAF">
                        <w:rPr>
                          <w:rFonts w:ascii="Cambria" w:hAnsi="Cambria"/>
                          <w:b/>
                          <w:color w:val="595959"/>
                          <w:sz w:val="18"/>
                          <w:szCs w:val="18"/>
                          <w:lang w:val="en-GB"/>
                        </w:rPr>
                        <w:t>Cite as:</w:t>
                      </w:r>
                      <w:r w:rsidRPr="00FB1EAF">
                        <w:rPr>
                          <w:rFonts w:ascii="Cambria" w:hAnsi="Cambria"/>
                          <w:color w:val="595959"/>
                          <w:sz w:val="18"/>
                          <w:szCs w:val="18"/>
                          <w:lang w:val="en-GB"/>
                        </w:rPr>
                        <w:t xml:space="preserve"> IACHR, Report No. </w:t>
                      </w:r>
                      <w:r w:rsidR="00F03FA8">
                        <w:rPr>
                          <w:rFonts w:ascii="Cambria" w:hAnsi="Cambria"/>
                          <w:color w:val="595959"/>
                          <w:sz w:val="18"/>
                          <w:szCs w:val="18"/>
                          <w:lang w:val="en-GB"/>
                        </w:rPr>
                        <w:t xml:space="preserve">53/17. </w:t>
                      </w:r>
                      <w:proofErr w:type="gramStart"/>
                      <w:r w:rsidR="00F03FA8">
                        <w:rPr>
                          <w:rFonts w:ascii="Cambria" w:hAnsi="Cambria"/>
                          <w:color w:val="595959"/>
                          <w:sz w:val="18"/>
                          <w:szCs w:val="18"/>
                          <w:lang w:val="en-GB"/>
                        </w:rPr>
                        <w:t>Petition 1285-04.</w:t>
                      </w:r>
                      <w:proofErr w:type="gramEnd"/>
                      <w:r w:rsidR="00F03FA8">
                        <w:rPr>
                          <w:rFonts w:ascii="Cambria" w:hAnsi="Cambria"/>
                          <w:color w:val="595959"/>
                          <w:sz w:val="18"/>
                          <w:szCs w:val="18"/>
                          <w:lang w:val="en-GB"/>
                        </w:rPr>
                        <w:t xml:space="preserve"> </w:t>
                      </w:r>
                      <w:proofErr w:type="gramStart"/>
                      <w:r w:rsidR="00F03FA8">
                        <w:rPr>
                          <w:rFonts w:ascii="Cambria" w:hAnsi="Cambria"/>
                          <w:color w:val="595959"/>
                          <w:sz w:val="18"/>
                          <w:szCs w:val="18"/>
                          <w:lang w:val="en-GB"/>
                        </w:rPr>
                        <w:t>Admissibility.</w:t>
                      </w:r>
                      <w:proofErr w:type="gramEnd"/>
                      <w:r w:rsidR="00F03FA8">
                        <w:rPr>
                          <w:rFonts w:ascii="Cambria" w:hAnsi="Cambria"/>
                          <w:color w:val="595959"/>
                          <w:sz w:val="18"/>
                          <w:szCs w:val="18"/>
                          <w:lang w:val="en-GB"/>
                        </w:rPr>
                        <w:t xml:space="preserve"> </w:t>
                      </w:r>
                      <w:r w:rsidR="00F03FA8" w:rsidRPr="00F03FA8">
                        <w:rPr>
                          <w:rFonts w:ascii="Cambria" w:hAnsi="Cambria"/>
                          <w:color w:val="595959"/>
                          <w:sz w:val="18"/>
                          <w:szCs w:val="18"/>
                          <w:lang w:val="en-GB"/>
                        </w:rPr>
                        <w:t>Dor</w:t>
                      </w:r>
                      <w:r w:rsidR="00636FA1">
                        <w:rPr>
                          <w:rFonts w:ascii="Cambria" w:hAnsi="Cambria"/>
                          <w:color w:val="595959"/>
                          <w:sz w:val="18"/>
                          <w:szCs w:val="18"/>
                          <w:lang w:val="en-GB"/>
                        </w:rPr>
                        <w:t xml:space="preserve">a Inés </w:t>
                      </w:r>
                      <w:proofErr w:type="spellStart"/>
                      <w:r w:rsidR="00636FA1">
                        <w:rPr>
                          <w:rFonts w:ascii="Cambria" w:hAnsi="Cambria"/>
                          <w:color w:val="595959"/>
                          <w:sz w:val="18"/>
                          <w:szCs w:val="18"/>
                          <w:lang w:val="en-GB"/>
                        </w:rPr>
                        <w:t>Meneses</w:t>
                      </w:r>
                      <w:proofErr w:type="spellEnd"/>
                      <w:r w:rsidR="00636FA1">
                        <w:rPr>
                          <w:rFonts w:ascii="Cambria" w:hAnsi="Cambria"/>
                          <w:color w:val="595959"/>
                          <w:sz w:val="18"/>
                          <w:szCs w:val="18"/>
                          <w:lang w:val="en-GB"/>
                        </w:rPr>
                        <w:t xml:space="preserve"> Gómez and o</w:t>
                      </w:r>
                      <w:bookmarkStart w:id="3" w:name="_GoBack"/>
                      <w:bookmarkEnd w:id="3"/>
                      <w:r w:rsidR="00F03FA8">
                        <w:rPr>
                          <w:rFonts w:ascii="Cambria" w:hAnsi="Cambria"/>
                          <w:color w:val="595959"/>
                          <w:sz w:val="18"/>
                          <w:szCs w:val="18"/>
                          <w:lang w:val="en-GB"/>
                        </w:rPr>
                        <w:t xml:space="preserve">thers. </w:t>
                      </w:r>
                      <w:r w:rsidR="00F03FA8" w:rsidRPr="00F03FA8">
                        <w:rPr>
                          <w:rFonts w:ascii="Cambria" w:hAnsi="Cambria"/>
                          <w:color w:val="595959"/>
                          <w:sz w:val="18"/>
                          <w:szCs w:val="18"/>
                          <w:lang w:val="en-GB"/>
                        </w:rPr>
                        <w:t>Colombia</w:t>
                      </w:r>
                      <w:r w:rsidR="00F03FA8">
                        <w:rPr>
                          <w:rFonts w:ascii="Cambria" w:hAnsi="Cambria"/>
                          <w:color w:val="595959"/>
                          <w:sz w:val="18"/>
                          <w:szCs w:val="18"/>
                          <w:lang w:val="en-GB"/>
                        </w:rPr>
                        <w:t>. May 25, 2017.</w:t>
                      </w:r>
                    </w:p>
                  </w:txbxContent>
                </v:textbox>
              </v:shape>
            </w:pict>
          </mc:Fallback>
        </mc:AlternateContent>
      </w: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A0661D" w:rsidRPr="009F1210" w:rsidRDefault="0025166E"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rPr>
      </w:pPr>
      <w:r w:rsidRPr="009F1210">
        <w:rPr>
          <w:noProof/>
        </w:rPr>
        <mc:AlternateContent>
          <mc:Choice Requires="wps">
            <w:drawing>
              <wp:anchor distT="0" distB="0" distL="114300" distR="114300" simplePos="0" relativeHeight="251660288" behindDoc="0" locked="0" layoutInCell="1" allowOverlap="1" wp14:anchorId="066A6D21" wp14:editId="3BE93AB8">
                <wp:simplePos x="0" y="0"/>
                <wp:positionH relativeFrom="column">
                  <wp:posOffset>1329690</wp:posOffset>
                </wp:positionH>
                <wp:positionV relativeFrom="paragraph">
                  <wp:posOffset>638810</wp:posOffset>
                </wp:positionV>
                <wp:extent cx="4096385" cy="567055"/>
                <wp:effectExtent l="0" t="635" r="3175" b="381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6385" cy="5670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0214F" w:rsidRPr="00B7530A" w:rsidRDefault="00FB1EAF" w:rsidP="00F02AD1">
                            <w:pPr>
                              <w:pBdr>
                                <w:top w:val="none" w:sz="0" w:space="0" w:color="auto"/>
                                <w:left w:val="none" w:sz="0" w:space="0" w:color="auto"/>
                                <w:bottom w:val="none" w:sz="0" w:space="0" w:color="auto"/>
                                <w:right w:val="none" w:sz="0" w:space="0" w:color="auto"/>
                                <w:bar w:val="none" w:sz="0" w:color="auto"/>
                              </w:pBdr>
                              <w:rPr>
                                <w:color w:val="FFFFFF"/>
                              </w:rPr>
                            </w:pPr>
                            <w:r>
                              <w:rPr>
                                <w:noProof/>
                              </w:rPr>
                              <w:drawing>
                                <wp:inline distT="0" distB="0" distL="0" distR="0" wp14:anchorId="3F22DEC8" wp14:editId="37C97C2B">
                                  <wp:extent cx="1123950" cy="378416"/>
                                  <wp:effectExtent l="0" t="0" r="0" b="3175"/>
                                  <wp:docPr id="12"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104.7pt;margin-top:50.3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" stroked="f" strokeweight=".5pt">
                <v:textbox>
                  <w:txbxContent>
                    <w:p w:rsidR="0010214F" w:rsidRPr="00B7530A" w:rsidRDefault="00FB1EAF" w:rsidP="00F02AD1">
                      <w:pPr>
                        <w:pBdr>
                          <w:top w:val="none" w:sz="0" w:space="0" w:color="auto"/>
                          <w:left w:val="none" w:sz="0" w:space="0" w:color="auto"/>
                          <w:bottom w:val="none" w:sz="0" w:space="0" w:color="auto"/>
                          <w:right w:val="none" w:sz="0" w:space="0" w:color="auto"/>
                          <w:bar w:val="none" w:sz="0" w:color="auto"/>
                        </w:pBdr>
                        <w:rPr>
                          <w:color w:val="FFFFFF"/>
                        </w:rPr>
                      </w:pPr>
                      <w:r>
                        <w:rPr>
                          <w:noProof/>
                        </w:rPr>
                        <w:drawing>
                          <wp:inline distT="0" distB="0" distL="0" distR="0" wp14:anchorId="3F22DEC8" wp14:editId="37C97C2B">
                            <wp:extent cx="1123950" cy="378416"/>
                            <wp:effectExtent l="0" t="0" r="0" b="3175"/>
                            <wp:docPr id="12"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r w:rsidRPr="009F1210">
        <w:rPr>
          <w:noProof/>
        </w:rPr>
        <mc:AlternateContent>
          <mc:Choice Requires="wps">
            <w:drawing>
              <wp:anchor distT="0" distB="0" distL="114300" distR="114300" simplePos="0" relativeHeight="251661312" behindDoc="0" locked="0" layoutInCell="1" allowOverlap="1" wp14:anchorId="7D7E735D" wp14:editId="771CC4C5">
                <wp:simplePos x="0" y="0"/>
                <wp:positionH relativeFrom="column">
                  <wp:posOffset>-272415</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214F" w:rsidRPr="00B7530A" w:rsidRDefault="0010214F"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B7530A">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left:0;text-align:left;margin-left:-21.45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dDjA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" filled="f" stroked="f" strokeweight=".5pt">
                <v:path arrowok="t"/>
                <v:textbox>
                  <w:txbxContent>
                    <w:p w:rsidR="0010214F" w:rsidRPr="00B7530A" w:rsidRDefault="0010214F"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B7530A">
                        <w:rPr>
                          <w:rFonts w:ascii="Calibri" w:hAnsi="Calibri"/>
                          <w:b/>
                          <w:color w:val="FFFFFF"/>
                          <w:lang w:val="pt-BR"/>
                        </w:rPr>
                        <w:t>www.cidh.org</w:t>
                      </w:r>
                    </w:p>
                  </w:txbxContent>
                </v:textbox>
              </v:shape>
            </w:pict>
          </mc:Fallback>
        </mc:AlternateContent>
      </w: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rPr>
        <w:sectPr w:rsidR="00A0661D" w:rsidRPr="009F1210"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rtlGutter/>
          <w:docGrid w:linePitch="326"/>
        </w:sectPr>
      </w:pPr>
    </w:p>
    <w:p w:rsidR="00A0661D" w:rsidRPr="00196D23" w:rsidRDefault="00F03FA8"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b/>
          <w:sz w:val="18"/>
          <w:szCs w:val="20"/>
          <w:u w:val="single"/>
        </w:rPr>
      </w:pPr>
      <w:r>
        <w:rPr>
          <w:rFonts w:ascii="Cambria" w:hAnsi="Cambria"/>
          <w:b/>
          <w:sz w:val="18"/>
          <w:szCs w:val="20"/>
        </w:rPr>
        <w:lastRenderedPageBreak/>
        <w:t>REPORT No. 53</w:t>
      </w:r>
      <w:r w:rsidR="00A0661D" w:rsidRPr="009F1210">
        <w:rPr>
          <w:rFonts w:ascii="Cambria" w:hAnsi="Cambria"/>
          <w:b/>
          <w:sz w:val="18"/>
          <w:szCs w:val="20"/>
        </w:rPr>
        <w:t>/1</w:t>
      </w:r>
      <w:r w:rsidR="00196D23">
        <w:rPr>
          <w:rFonts w:ascii="Cambria" w:hAnsi="Cambria"/>
          <w:b/>
          <w:sz w:val="18"/>
          <w:szCs w:val="20"/>
        </w:rPr>
        <w:t>7</w:t>
      </w: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b/>
          <w:sz w:val="18"/>
          <w:szCs w:val="20"/>
        </w:rPr>
      </w:pPr>
      <w:r w:rsidRPr="009F1210">
        <w:rPr>
          <w:rFonts w:ascii="Cambria" w:hAnsi="Cambria"/>
          <w:b/>
          <w:sz w:val="18"/>
          <w:szCs w:val="20"/>
        </w:rPr>
        <w:t>PETITION 1285-04</w:t>
      </w: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rPr>
      </w:pPr>
      <w:r w:rsidRPr="009F1210">
        <w:rPr>
          <w:rFonts w:ascii="Cambria" w:hAnsi="Cambria"/>
          <w:sz w:val="18"/>
          <w:szCs w:val="20"/>
        </w:rPr>
        <w:t>REPORT ON ADMISSIBILITY</w:t>
      </w: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rPr>
      </w:pPr>
      <w:r w:rsidRPr="009F1210">
        <w:rPr>
          <w:rFonts w:ascii="Cambria" w:hAnsi="Cambria"/>
          <w:sz w:val="18"/>
          <w:szCs w:val="20"/>
        </w:rPr>
        <w:t>DORA INÉS MENESES GÓMEZ AND OTHERS</w:t>
      </w: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rPr>
      </w:pPr>
      <w:r w:rsidRPr="009F1210">
        <w:rPr>
          <w:rFonts w:ascii="Cambria" w:hAnsi="Cambria"/>
          <w:sz w:val="18"/>
          <w:szCs w:val="20"/>
        </w:rPr>
        <w:t>COLOMBIA</w:t>
      </w:r>
    </w:p>
    <w:p w:rsidR="00A0661D" w:rsidRPr="009F1210" w:rsidRDefault="006019E5"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rPr>
      </w:pPr>
      <w:r>
        <w:rPr>
          <w:rFonts w:ascii="Cambria" w:hAnsi="Cambria"/>
          <w:sz w:val="18"/>
          <w:szCs w:val="20"/>
        </w:rPr>
        <w:t>MAY 25, 2017</w:t>
      </w: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20"/>
          <w:szCs w:val="20"/>
        </w:rPr>
      </w:pP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rPr>
      </w:pPr>
      <w:r w:rsidRPr="009F1210">
        <w:rPr>
          <w:rFonts w:ascii="Cambria" w:hAnsi="Cambria"/>
          <w:b/>
          <w:bCs/>
          <w:sz w:val="20"/>
          <w:szCs w:val="20"/>
        </w:rPr>
        <w:t>I.</w:t>
      </w:r>
      <w:r w:rsidRPr="009F1210">
        <w:rPr>
          <w:rFonts w:ascii="Cambria" w:hAnsi="Cambria"/>
          <w:b/>
          <w:bCs/>
          <w:sz w:val="20"/>
          <w:szCs w:val="20"/>
        </w:rPr>
        <w:tab/>
        <w:t>SUMMARY</w:t>
      </w:r>
    </w:p>
    <w:p w:rsidR="00A0661D" w:rsidRPr="009F1210" w:rsidRDefault="00A0661D" w:rsidP="00485E99">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color w:val="000000"/>
          <w:sz w:val="20"/>
          <w:szCs w:val="20"/>
        </w:rPr>
      </w:pPr>
      <w:r w:rsidRPr="009F1210">
        <w:rPr>
          <w:rFonts w:ascii="Cambria" w:hAnsi="Cambria"/>
          <w:color w:val="000000"/>
          <w:sz w:val="20"/>
          <w:szCs w:val="20"/>
        </w:rPr>
        <w:t>On November 29, 2004</w:t>
      </w:r>
      <w:r w:rsidR="00535A4E">
        <w:rPr>
          <w:rFonts w:ascii="Cambria" w:hAnsi="Cambria"/>
          <w:color w:val="000000"/>
          <w:sz w:val="20"/>
          <w:szCs w:val="20"/>
        </w:rPr>
        <w:t>,</w:t>
      </w:r>
      <w:r w:rsidRPr="009F1210">
        <w:rPr>
          <w:rFonts w:ascii="Cambria" w:hAnsi="Cambria"/>
          <w:color w:val="000000"/>
          <w:sz w:val="20"/>
          <w:szCs w:val="20"/>
        </w:rPr>
        <w:t xml:space="preserve"> the Inter-American Commission on Human Rights (hereinafter “the Inter-American Commission,” “the Commission” or “the IACHR”) received a petition lodged by Mr. Ángel Emiro Meneses Gómez, who was later represented by the </w:t>
      </w:r>
      <w:r w:rsidRPr="00535A4E">
        <w:rPr>
          <w:rFonts w:ascii="Cambria" w:hAnsi="Cambria"/>
          <w:i/>
          <w:color w:val="000000"/>
          <w:sz w:val="20"/>
          <w:szCs w:val="20"/>
        </w:rPr>
        <w:t>Corporación para el Manejo de Conflictos del Norte del Cauca</w:t>
      </w:r>
      <w:r w:rsidR="009E503D">
        <w:rPr>
          <w:rFonts w:ascii="Cambria" w:hAnsi="Cambria"/>
          <w:i/>
          <w:color w:val="000000"/>
          <w:sz w:val="20"/>
          <w:szCs w:val="20"/>
        </w:rPr>
        <w:t xml:space="preserve"> </w:t>
      </w:r>
      <w:r w:rsidRPr="009F1210">
        <w:rPr>
          <w:rFonts w:ascii="Cambria" w:hAnsi="Cambria"/>
          <w:color w:val="000000"/>
          <w:sz w:val="20"/>
          <w:szCs w:val="20"/>
        </w:rPr>
        <w:t>(hereinafter "the petitioners"), against the Republic of Colombia (hereinafter "Colombia" or "the State"). The petition was filed on behalf of Dora Inés Meneses, Luz Mélida Ocampo, Gonzalo Ocampo Meneses, Floresmiro Guasaquillo, Faber Gil Buitrago, Héctor Fabián Ocampo Meneses and José Duván Gil Vásquez (hereinafter "the alleged victims") and their family members,</w:t>
      </w:r>
      <w:r w:rsidR="001C52CA" w:rsidRPr="001C52CA">
        <w:rPr>
          <w:rStyle w:val="FootnoteReference"/>
          <w:rFonts w:ascii="Cambria" w:hAnsi="Cambria"/>
          <w:color w:val="000000"/>
          <w:sz w:val="20"/>
          <w:szCs w:val="20"/>
        </w:rPr>
        <w:t xml:space="preserve"> </w:t>
      </w:r>
      <w:r w:rsidR="001C52CA" w:rsidRPr="009F1210">
        <w:rPr>
          <w:rStyle w:val="FootnoteReference"/>
          <w:rFonts w:ascii="Cambria" w:hAnsi="Cambria"/>
          <w:color w:val="000000"/>
          <w:sz w:val="20"/>
          <w:szCs w:val="20"/>
        </w:rPr>
        <w:footnoteReference w:id="2"/>
      </w:r>
      <w:r w:rsidRPr="009F1210">
        <w:rPr>
          <w:rFonts w:ascii="Cambria" w:hAnsi="Cambria"/>
          <w:color w:val="000000"/>
          <w:sz w:val="20"/>
          <w:szCs w:val="20"/>
        </w:rPr>
        <w:t xml:space="preserve"> for the purported killing of the alleged victims</w:t>
      </w:r>
      <w:r w:rsidR="00851283">
        <w:rPr>
          <w:rFonts w:ascii="Cambria" w:hAnsi="Cambria"/>
          <w:color w:val="000000"/>
          <w:sz w:val="20"/>
          <w:szCs w:val="20"/>
        </w:rPr>
        <w:t>;</w:t>
      </w:r>
      <w:r w:rsidRPr="009F1210">
        <w:rPr>
          <w:rFonts w:ascii="Cambria" w:hAnsi="Cambria"/>
          <w:color w:val="000000"/>
          <w:sz w:val="20"/>
          <w:szCs w:val="20"/>
        </w:rPr>
        <w:t xml:space="preserve"> the alleged denial to hand over the victims</w:t>
      </w:r>
      <w:r w:rsidR="005B6CE3">
        <w:rPr>
          <w:rFonts w:ascii="Cambria" w:hAnsi="Cambria"/>
          <w:color w:val="000000"/>
          <w:sz w:val="20"/>
          <w:szCs w:val="20"/>
        </w:rPr>
        <w:t>’</w:t>
      </w:r>
      <w:r w:rsidRPr="009F1210">
        <w:rPr>
          <w:rFonts w:ascii="Cambria" w:hAnsi="Cambria"/>
          <w:color w:val="000000"/>
          <w:sz w:val="20"/>
          <w:szCs w:val="20"/>
        </w:rPr>
        <w:t xml:space="preserve"> remains</w:t>
      </w:r>
      <w:r w:rsidR="00851283">
        <w:rPr>
          <w:rFonts w:ascii="Cambria" w:hAnsi="Cambria"/>
          <w:color w:val="000000"/>
          <w:sz w:val="20"/>
          <w:szCs w:val="20"/>
        </w:rPr>
        <w:t>;</w:t>
      </w:r>
      <w:r w:rsidRPr="009F1210">
        <w:rPr>
          <w:rFonts w:ascii="Cambria" w:hAnsi="Cambria"/>
          <w:color w:val="000000"/>
          <w:sz w:val="20"/>
          <w:szCs w:val="20"/>
        </w:rPr>
        <w:t xml:space="preserve"> the </w:t>
      </w:r>
      <w:r w:rsidR="001C52CA">
        <w:rPr>
          <w:rFonts w:ascii="Cambria" w:hAnsi="Cambria"/>
          <w:color w:val="000000"/>
          <w:sz w:val="20"/>
          <w:szCs w:val="20"/>
        </w:rPr>
        <w:t>wounds</w:t>
      </w:r>
      <w:r w:rsidRPr="009F1210">
        <w:rPr>
          <w:rFonts w:ascii="Cambria" w:hAnsi="Cambria"/>
          <w:color w:val="000000"/>
          <w:sz w:val="20"/>
          <w:szCs w:val="20"/>
        </w:rPr>
        <w:t xml:space="preserve"> caused to Héctor Fabián Ocampo Meneses</w:t>
      </w:r>
      <w:r w:rsidR="00851283">
        <w:rPr>
          <w:rFonts w:ascii="Cambria" w:hAnsi="Cambria"/>
          <w:color w:val="000000"/>
          <w:sz w:val="20"/>
          <w:szCs w:val="20"/>
        </w:rPr>
        <w:t>;</w:t>
      </w:r>
      <w:r w:rsidRPr="009F1210">
        <w:rPr>
          <w:rFonts w:ascii="Cambria" w:hAnsi="Cambria"/>
          <w:color w:val="000000"/>
          <w:sz w:val="20"/>
          <w:szCs w:val="20"/>
        </w:rPr>
        <w:t xml:space="preserve"> José Duván Gil Vásquez</w:t>
      </w:r>
      <w:r w:rsidR="005B6CE3">
        <w:rPr>
          <w:rFonts w:ascii="Cambria" w:hAnsi="Cambria"/>
          <w:color w:val="000000"/>
          <w:sz w:val="20"/>
          <w:szCs w:val="20"/>
        </w:rPr>
        <w:t>’</w:t>
      </w:r>
      <w:r w:rsidRPr="009F1210">
        <w:rPr>
          <w:rFonts w:ascii="Cambria" w:hAnsi="Cambria"/>
          <w:color w:val="000000"/>
          <w:sz w:val="20"/>
          <w:szCs w:val="20"/>
        </w:rPr>
        <w:t>s arbitrary detention</w:t>
      </w:r>
      <w:r w:rsidR="001C42D4">
        <w:rPr>
          <w:rFonts w:ascii="Cambria" w:hAnsi="Cambria"/>
          <w:color w:val="000000"/>
          <w:sz w:val="20"/>
          <w:szCs w:val="20"/>
        </w:rPr>
        <w:t xml:space="preserve">; </w:t>
      </w:r>
      <w:r w:rsidRPr="009F1210">
        <w:rPr>
          <w:rFonts w:ascii="Cambria" w:hAnsi="Cambria"/>
          <w:color w:val="000000"/>
          <w:sz w:val="20"/>
          <w:szCs w:val="20"/>
        </w:rPr>
        <w:t>the alleged failure to investig</w:t>
      </w:r>
      <w:r w:rsidR="001C52CA">
        <w:rPr>
          <w:rFonts w:ascii="Cambria" w:hAnsi="Cambria"/>
          <w:color w:val="000000"/>
          <w:sz w:val="20"/>
          <w:szCs w:val="20"/>
        </w:rPr>
        <w:t>ate</w:t>
      </w:r>
      <w:r w:rsidRPr="009F1210">
        <w:rPr>
          <w:rFonts w:ascii="Cambria" w:hAnsi="Cambria"/>
          <w:color w:val="000000"/>
          <w:sz w:val="20"/>
          <w:szCs w:val="20"/>
        </w:rPr>
        <w:t xml:space="preserve"> and punish the facts denounced, and the lack of </w:t>
      </w:r>
      <w:r w:rsidR="001C52CA">
        <w:rPr>
          <w:rFonts w:ascii="Cambria" w:hAnsi="Cambria"/>
          <w:color w:val="000000"/>
          <w:sz w:val="20"/>
          <w:szCs w:val="20"/>
        </w:rPr>
        <w:t>redress for said</w:t>
      </w:r>
      <w:r w:rsidRPr="009F1210">
        <w:rPr>
          <w:rFonts w:ascii="Cambria" w:hAnsi="Cambria"/>
          <w:color w:val="000000"/>
          <w:sz w:val="20"/>
          <w:szCs w:val="20"/>
        </w:rPr>
        <w:t xml:space="preserve"> damages.</w:t>
      </w:r>
    </w:p>
    <w:p w:rsidR="00A0661D" w:rsidRPr="009F1210" w:rsidRDefault="00A0661D" w:rsidP="00485E99">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eastAsia="SimSun" w:hAnsi="Cambria"/>
          <w:sz w:val="20"/>
          <w:szCs w:val="20"/>
        </w:rPr>
      </w:pPr>
      <w:r w:rsidRPr="009F1210">
        <w:rPr>
          <w:rFonts w:ascii="Cambria" w:eastAsia="SimSun" w:hAnsi="Cambria"/>
          <w:sz w:val="20"/>
          <w:szCs w:val="20"/>
        </w:rPr>
        <w:t>The petitione</w:t>
      </w:r>
      <w:r w:rsidR="001C52CA">
        <w:rPr>
          <w:rFonts w:ascii="Cambria" w:eastAsia="SimSun" w:hAnsi="Cambria"/>
          <w:sz w:val="20"/>
          <w:szCs w:val="20"/>
        </w:rPr>
        <w:t>r</w:t>
      </w:r>
      <w:r w:rsidRPr="009F1210">
        <w:rPr>
          <w:rFonts w:ascii="Cambria" w:eastAsia="SimSun" w:hAnsi="Cambria"/>
          <w:sz w:val="20"/>
          <w:szCs w:val="20"/>
        </w:rPr>
        <w:t>s claim that on November 29, 2003 Dora Inés Meneses, Luz Mélida Ocampo, Gonzalo Ocampo Meneses (a minor), Floresmiro Guasaquillo and Faber Gil Buitrago were killed by the National Army in Caquetá Department. They assert that the alleged victims (except for child Gonzalo Ocampo Meneses) were presented as members of the FARC</w:t>
      </w:r>
      <w:r w:rsidR="005B6CE3">
        <w:rPr>
          <w:rFonts w:ascii="Cambria" w:eastAsia="SimSun" w:hAnsi="Cambria"/>
          <w:sz w:val="20"/>
          <w:szCs w:val="20"/>
        </w:rPr>
        <w:t>’</w:t>
      </w:r>
      <w:r w:rsidRPr="009F1210">
        <w:rPr>
          <w:rFonts w:ascii="Cambria" w:eastAsia="SimSun" w:hAnsi="Cambria"/>
          <w:sz w:val="20"/>
          <w:szCs w:val="20"/>
        </w:rPr>
        <w:t xml:space="preserve">s 49th Front, and that Floresmiro Guasaquillo and Faber Gil Buitrago were tortured before being killed. Likewise, they claim that Héctor Fabián Ocampo Meneses (a minor) was </w:t>
      </w:r>
      <w:r w:rsidR="001C52CA">
        <w:rPr>
          <w:rFonts w:ascii="Cambria" w:eastAsia="SimSun" w:hAnsi="Cambria"/>
          <w:sz w:val="20"/>
          <w:szCs w:val="20"/>
        </w:rPr>
        <w:t>wound</w:t>
      </w:r>
      <w:r w:rsidRPr="009F1210">
        <w:rPr>
          <w:rFonts w:ascii="Cambria" w:eastAsia="SimSun" w:hAnsi="Cambria"/>
          <w:sz w:val="20"/>
          <w:szCs w:val="20"/>
        </w:rPr>
        <w:t>ed as a result of the facts, and that José Duván Gil Vásquez was detained and prosecuted for insurgency. They assert that the State failed to comply with its obligation to investigate and punish the persons responsible, and that the criminal proceedings are not yet finished.</w:t>
      </w:r>
    </w:p>
    <w:p w:rsidR="00A0661D" w:rsidRPr="009F1210" w:rsidRDefault="00A0661D" w:rsidP="00485E99">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eastAsia="SimSun" w:hAnsi="Cambria"/>
          <w:sz w:val="20"/>
          <w:szCs w:val="20"/>
        </w:rPr>
      </w:pPr>
      <w:r w:rsidRPr="009F1210">
        <w:rPr>
          <w:rFonts w:ascii="Cambria" w:eastAsia="SimSun" w:hAnsi="Cambria"/>
          <w:sz w:val="20"/>
          <w:szCs w:val="20"/>
        </w:rPr>
        <w:t>On the other hand, the State indicates that the petition is inadmissible since domestic remedies have not been exhausted</w:t>
      </w:r>
      <w:r w:rsidR="00FE7D6E">
        <w:rPr>
          <w:rFonts w:ascii="Cambria" w:eastAsia="SimSun" w:hAnsi="Cambria"/>
          <w:sz w:val="20"/>
          <w:szCs w:val="20"/>
        </w:rPr>
        <w:t>,</w:t>
      </w:r>
      <w:r w:rsidRPr="009F1210">
        <w:rPr>
          <w:rFonts w:ascii="Cambria" w:eastAsia="SimSun" w:hAnsi="Cambria"/>
          <w:sz w:val="20"/>
          <w:szCs w:val="20"/>
        </w:rPr>
        <w:t xml:space="preserve"> inasmuch as criminal proceedings and </w:t>
      </w:r>
      <w:r w:rsidR="00FE7D6E" w:rsidRPr="009F1210">
        <w:rPr>
          <w:rFonts w:ascii="Cambria" w:eastAsia="SimSun" w:hAnsi="Cambria"/>
          <w:sz w:val="20"/>
          <w:szCs w:val="20"/>
        </w:rPr>
        <w:t>administrative</w:t>
      </w:r>
      <w:r w:rsidRPr="009F1210">
        <w:rPr>
          <w:rFonts w:ascii="Cambria" w:eastAsia="SimSun" w:hAnsi="Cambria"/>
          <w:sz w:val="20"/>
          <w:szCs w:val="20"/>
        </w:rPr>
        <w:t xml:space="preserve"> proceedings are pending resolution. Moreover, it claims that the petition is inadmissible with regards to the alleged violation of the Belém do Pará Convention, because the facts denounced do not tend to establish a violation thereof nor fall </w:t>
      </w:r>
      <w:r w:rsidR="00FE7D6E">
        <w:rPr>
          <w:rFonts w:ascii="Cambria" w:eastAsia="SimSun" w:hAnsi="Cambria"/>
          <w:sz w:val="20"/>
          <w:szCs w:val="20"/>
        </w:rPr>
        <w:t>under its scope of application.</w:t>
      </w:r>
    </w:p>
    <w:p w:rsidR="00A0661D" w:rsidRPr="009F1210" w:rsidRDefault="00A0661D" w:rsidP="00485E99">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9F1210">
        <w:rPr>
          <w:rFonts w:ascii="Cambria" w:hAnsi="Cambria"/>
          <w:sz w:val="20"/>
          <w:szCs w:val="20"/>
        </w:rPr>
        <w:t>Without prejudging the merits of the complaint, after analyzing the position of the parties and in accordance with the requirements established in Articles 31 to 34 of the IACHR</w:t>
      </w:r>
      <w:r w:rsidR="005B6CE3">
        <w:rPr>
          <w:rFonts w:ascii="Cambria" w:hAnsi="Cambria"/>
          <w:sz w:val="20"/>
          <w:szCs w:val="20"/>
        </w:rPr>
        <w:t>’</w:t>
      </w:r>
      <w:r w:rsidRPr="009F1210">
        <w:rPr>
          <w:rFonts w:ascii="Cambria" w:hAnsi="Cambria"/>
          <w:sz w:val="20"/>
          <w:szCs w:val="20"/>
        </w:rPr>
        <w:t>s Rules of Procedure (hereinafter “the Rules”) and in Articles 46 and 47 of the American Convention on Human Rights (hereinafter “the American Convention” or “the Convention”), the Commission decides to declare this petition admissible to assess the facts concerning the alleged violation of the rights enshrined in Articles 3 (Juridical Personality), 4 (Life), 5 (Humane Treatment), 7 (Personal Liberty), 8 (Fair Trial), 11 (Privacy), 19 (Rights of the Child), 22 (Freedom of Movement and Residence) and 25 (Judicial Protection) of the American Convention in relation to Article 1.1 of thereof, and Articles 1, 6 and 8 of the Inter-American Convention to Prevent and Punish Torture. The Commission moreover decides to notify the parties of its decision, to publish this report and include it in its Annual Report to t</w:t>
      </w:r>
      <w:r w:rsidR="00F84A35">
        <w:rPr>
          <w:rFonts w:ascii="Cambria" w:hAnsi="Cambria"/>
          <w:sz w:val="20"/>
          <w:szCs w:val="20"/>
        </w:rPr>
        <w:t>he General Assembly of the OAS.</w:t>
      </w:r>
    </w:p>
    <w:p w:rsidR="00A0661D" w:rsidRPr="009F1210" w:rsidRDefault="00213E2E" w:rsidP="002357F1">
      <w:pPr>
        <w:pBdr>
          <w:top w:val="none" w:sz="0" w:space="0" w:color="auto"/>
          <w:left w:val="none" w:sz="0" w:space="0" w:color="auto"/>
          <w:bottom w:val="none" w:sz="0" w:space="0" w:color="auto"/>
          <w:right w:val="none" w:sz="0" w:space="0" w:color="auto"/>
          <w:bar w:val="none" w:sz="0" w:color="auto"/>
        </w:pBdr>
        <w:spacing w:after="240"/>
        <w:ind w:firstLine="709"/>
        <w:jc w:val="both"/>
        <w:rPr>
          <w:rFonts w:ascii="Cambria" w:hAnsi="Cambria"/>
          <w:b/>
          <w:bCs/>
          <w:sz w:val="20"/>
          <w:szCs w:val="20"/>
        </w:rPr>
      </w:pPr>
      <w:r w:rsidRPr="009F1210">
        <w:rPr>
          <w:rFonts w:ascii="Cambria" w:hAnsi="Cambria"/>
          <w:b/>
          <w:bCs/>
          <w:sz w:val="20"/>
          <w:szCs w:val="20"/>
        </w:rPr>
        <w:br w:type="page"/>
      </w:r>
      <w:r w:rsidR="00A0661D" w:rsidRPr="009F1210">
        <w:rPr>
          <w:rFonts w:ascii="Cambria" w:hAnsi="Cambria"/>
          <w:b/>
          <w:bCs/>
          <w:sz w:val="20"/>
          <w:szCs w:val="20"/>
        </w:rPr>
        <w:lastRenderedPageBreak/>
        <w:t>II.</w:t>
      </w:r>
      <w:r w:rsidR="00A0661D" w:rsidRPr="009F1210">
        <w:rPr>
          <w:rFonts w:ascii="Cambria" w:hAnsi="Cambria"/>
          <w:b/>
          <w:bCs/>
          <w:sz w:val="20"/>
          <w:szCs w:val="20"/>
        </w:rPr>
        <w:tab/>
        <w:t>PROCEEDINGS BEFORE THE IACHR</w:t>
      </w:r>
    </w:p>
    <w:p w:rsidR="00A0661D" w:rsidRPr="009F1210" w:rsidRDefault="00A0661D" w:rsidP="00485E99">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color w:val="FF0000"/>
          <w:sz w:val="20"/>
          <w:szCs w:val="20"/>
        </w:rPr>
      </w:pPr>
      <w:r w:rsidRPr="009F1210">
        <w:rPr>
          <w:rFonts w:ascii="Cambria" w:hAnsi="Cambria"/>
          <w:sz w:val="20"/>
          <w:szCs w:val="20"/>
        </w:rPr>
        <w:t>The IACHR received the petition on November 29, 2004 and transmitted a copy of the pertinent parts to the State on April 18, 2006</w:t>
      </w:r>
      <w:r w:rsidR="00227811">
        <w:rPr>
          <w:rFonts w:ascii="Cambria" w:hAnsi="Cambria"/>
          <w:sz w:val="20"/>
          <w:szCs w:val="20"/>
        </w:rPr>
        <w:t>, establishing</w:t>
      </w:r>
      <w:r w:rsidRPr="009F1210">
        <w:rPr>
          <w:rFonts w:ascii="Cambria" w:hAnsi="Cambria"/>
          <w:sz w:val="20"/>
          <w:szCs w:val="20"/>
        </w:rPr>
        <w:t xml:space="preserve"> a two-month deadline for it to submit observations, pursuant to Article 30.2 of the Rules then in force. The State</w:t>
      </w:r>
      <w:r w:rsidR="005B6CE3">
        <w:rPr>
          <w:rFonts w:ascii="Cambria" w:hAnsi="Cambria"/>
          <w:sz w:val="20"/>
          <w:szCs w:val="20"/>
        </w:rPr>
        <w:t>’</w:t>
      </w:r>
      <w:r w:rsidRPr="009F1210">
        <w:rPr>
          <w:rFonts w:ascii="Cambria" w:hAnsi="Cambria"/>
          <w:sz w:val="20"/>
          <w:szCs w:val="20"/>
        </w:rPr>
        <w:t>s response was received on December 21, 2006 and was transmitted to th</w:t>
      </w:r>
      <w:r w:rsidR="00227811">
        <w:rPr>
          <w:rFonts w:ascii="Cambria" w:hAnsi="Cambria"/>
          <w:sz w:val="20"/>
          <w:szCs w:val="20"/>
        </w:rPr>
        <w:t>e petitioner on January 5, 2007.</w:t>
      </w:r>
    </w:p>
    <w:p w:rsidR="00A0661D" w:rsidRPr="009F1210" w:rsidRDefault="004745A4" w:rsidP="00485E99">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9F1210">
        <w:rPr>
          <w:rFonts w:ascii="Cambria" w:hAnsi="Cambria"/>
          <w:sz w:val="20"/>
          <w:szCs w:val="20"/>
        </w:rPr>
        <w:t>The petitioners filed additional observations on February 2 and 26, 2007</w:t>
      </w:r>
      <w:r w:rsidR="00B412A0">
        <w:rPr>
          <w:rFonts w:ascii="Cambria" w:hAnsi="Cambria"/>
          <w:sz w:val="20"/>
          <w:szCs w:val="20"/>
        </w:rPr>
        <w:t>,</w:t>
      </w:r>
      <w:r w:rsidRPr="009F1210">
        <w:rPr>
          <w:rFonts w:ascii="Cambria" w:hAnsi="Cambria"/>
          <w:sz w:val="20"/>
          <w:szCs w:val="20"/>
        </w:rPr>
        <w:t xml:space="preserve"> December 8, 2008</w:t>
      </w:r>
      <w:r w:rsidR="00B412A0">
        <w:rPr>
          <w:rFonts w:ascii="Cambria" w:hAnsi="Cambria"/>
          <w:sz w:val="20"/>
          <w:szCs w:val="20"/>
        </w:rPr>
        <w:t>,</w:t>
      </w:r>
      <w:r w:rsidRPr="009F1210">
        <w:rPr>
          <w:rFonts w:ascii="Cambria" w:hAnsi="Cambria"/>
          <w:sz w:val="20"/>
          <w:szCs w:val="20"/>
        </w:rPr>
        <w:t xml:space="preserve"> February 4 and April 14, 2009</w:t>
      </w:r>
      <w:r w:rsidR="00B412A0">
        <w:rPr>
          <w:rFonts w:ascii="Cambria" w:hAnsi="Cambria"/>
          <w:sz w:val="20"/>
          <w:szCs w:val="20"/>
        </w:rPr>
        <w:t>,</w:t>
      </w:r>
      <w:r w:rsidRPr="009F1210">
        <w:rPr>
          <w:rFonts w:ascii="Cambria" w:hAnsi="Cambria"/>
          <w:sz w:val="20"/>
          <w:szCs w:val="20"/>
        </w:rPr>
        <w:t xml:space="preserve"> and March 13, 2013. The State submitted additional observations on December 1, 2008</w:t>
      </w:r>
      <w:r w:rsidR="00B412A0">
        <w:rPr>
          <w:rFonts w:ascii="Cambria" w:hAnsi="Cambria"/>
          <w:sz w:val="20"/>
          <w:szCs w:val="20"/>
        </w:rPr>
        <w:t>,</w:t>
      </w:r>
      <w:r w:rsidRPr="009F1210">
        <w:rPr>
          <w:rFonts w:ascii="Cambria" w:hAnsi="Cambria"/>
          <w:sz w:val="20"/>
          <w:szCs w:val="20"/>
        </w:rPr>
        <w:t xml:space="preserve"> January 9, 2009 and May 28, 2014. The observations presented by each party were duly transmitted to the opposing party.</w:t>
      </w: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rPr>
      </w:pPr>
      <w:r w:rsidRPr="009F1210">
        <w:rPr>
          <w:rFonts w:ascii="Cambria" w:hAnsi="Cambria"/>
          <w:b/>
          <w:bCs/>
          <w:sz w:val="20"/>
          <w:szCs w:val="20"/>
        </w:rPr>
        <w:t>III.</w:t>
      </w:r>
      <w:r w:rsidRPr="009F1210">
        <w:rPr>
          <w:rFonts w:ascii="Cambria" w:hAnsi="Cambria"/>
          <w:b/>
          <w:bCs/>
          <w:sz w:val="20"/>
          <w:szCs w:val="20"/>
        </w:rPr>
        <w:tab/>
        <w:t>POSITION OF THE PARTIES</w:t>
      </w: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suppressAutoHyphens/>
        <w:spacing w:after="240"/>
        <w:ind w:firstLine="720"/>
        <w:jc w:val="both"/>
        <w:rPr>
          <w:rFonts w:ascii="Cambria" w:hAnsi="Cambria"/>
          <w:b/>
          <w:bCs/>
          <w:color w:val="FF0000"/>
          <w:sz w:val="20"/>
          <w:szCs w:val="20"/>
        </w:rPr>
      </w:pPr>
      <w:r w:rsidRPr="009F1210">
        <w:rPr>
          <w:rFonts w:ascii="Cambria" w:hAnsi="Cambria"/>
          <w:b/>
          <w:bCs/>
          <w:sz w:val="20"/>
          <w:szCs w:val="20"/>
        </w:rPr>
        <w:t>A.</w:t>
      </w:r>
      <w:r w:rsidRPr="009F1210">
        <w:rPr>
          <w:rFonts w:ascii="Cambria" w:hAnsi="Cambria"/>
          <w:b/>
          <w:bCs/>
          <w:sz w:val="20"/>
          <w:szCs w:val="20"/>
        </w:rPr>
        <w:tab/>
        <w:t>Position of the petitioners</w:t>
      </w:r>
      <w:r w:rsidRPr="009F1210">
        <w:rPr>
          <w:rFonts w:ascii="Cambria" w:hAnsi="Cambria"/>
          <w:b/>
          <w:bCs/>
          <w:color w:val="FF0000"/>
          <w:sz w:val="20"/>
          <w:szCs w:val="20"/>
        </w:rPr>
        <w:t xml:space="preserve"> </w:t>
      </w:r>
    </w:p>
    <w:p w:rsidR="00A0661D" w:rsidRPr="009F1210" w:rsidRDefault="00A0661D" w:rsidP="00485E99">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color w:val="3366FF"/>
          <w:sz w:val="20"/>
          <w:szCs w:val="20"/>
        </w:rPr>
      </w:pPr>
      <w:r w:rsidRPr="009F1210">
        <w:rPr>
          <w:rFonts w:ascii="Cambria" w:hAnsi="Cambria"/>
          <w:sz w:val="20"/>
          <w:szCs w:val="20"/>
        </w:rPr>
        <w:t xml:space="preserve">The petitioners indicate that on November 29, 2003, the troops of the 12th "Juananbú" Infantry Battalion of the Colombian Army, which belongs to the Twelfth Brigade, ordered the operation called </w:t>
      </w:r>
      <w:r w:rsidR="00BC0838">
        <w:rPr>
          <w:rFonts w:ascii="Cambria" w:hAnsi="Cambria"/>
          <w:sz w:val="20"/>
          <w:szCs w:val="20"/>
        </w:rPr>
        <w:t>“</w:t>
      </w:r>
      <w:r w:rsidRPr="00BC0838">
        <w:rPr>
          <w:rFonts w:ascii="Cambria" w:hAnsi="Cambria"/>
          <w:i/>
          <w:sz w:val="20"/>
          <w:szCs w:val="20"/>
        </w:rPr>
        <w:t>Normand</w:t>
      </w:r>
      <w:r w:rsidR="00BC0838" w:rsidRPr="00BC0838">
        <w:rPr>
          <w:rFonts w:ascii="Cambria" w:hAnsi="Cambria"/>
          <w:i/>
          <w:sz w:val="20"/>
          <w:szCs w:val="20"/>
        </w:rPr>
        <w:t>í</w:t>
      </w:r>
      <w:r w:rsidRPr="00BC0838">
        <w:rPr>
          <w:rFonts w:ascii="Cambria" w:hAnsi="Cambria"/>
          <w:i/>
          <w:sz w:val="20"/>
          <w:szCs w:val="20"/>
        </w:rPr>
        <w:t>a</w:t>
      </w:r>
      <w:r w:rsidR="00BC0838">
        <w:rPr>
          <w:rFonts w:ascii="Cambria" w:hAnsi="Cambria"/>
          <w:sz w:val="20"/>
          <w:szCs w:val="20"/>
        </w:rPr>
        <w:t xml:space="preserve">” </w:t>
      </w:r>
      <w:r w:rsidRPr="009F1210">
        <w:rPr>
          <w:rFonts w:ascii="Cambria" w:hAnsi="Cambria"/>
          <w:sz w:val="20"/>
          <w:szCs w:val="20"/>
        </w:rPr>
        <w:t xml:space="preserve">against </w:t>
      </w:r>
      <w:r w:rsidR="00BC0838">
        <w:rPr>
          <w:rFonts w:ascii="Cambria" w:hAnsi="Cambria"/>
          <w:sz w:val="20"/>
          <w:szCs w:val="20"/>
        </w:rPr>
        <w:t xml:space="preserve">the </w:t>
      </w:r>
      <w:r w:rsidRPr="009F1210">
        <w:rPr>
          <w:rFonts w:ascii="Cambria" w:hAnsi="Cambria"/>
          <w:sz w:val="20"/>
          <w:szCs w:val="20"/>
        </w:rPr>
        <w:t>rebels of the FARC</w:t>
      </w:r>
      <w:r w:rsidR="005B6CE3">
        <w:rPr>
          <w:rFonts w:ascii="Cambria" w:hAnsi="Cambria"/>
          <w:sz w:val="20"/>
          <w:szCs w:val="20"/>
        </w:rPr>
        <w:t>’</w:t>
      </w:r>
      <w:r w:rsidRPr="009F1210">
        <w:rPr>
          <w:rFonts w:ascii="Cambria" w:hAnsi="Cambria"/>
          <w:sz w:val="20"/>
          <w:szCs w:val="20"/>
        </w:rPr>
        <w:t xml:space="preserve">s 49th Front. </w:t>
      </w:r>
    </w:p>
    <w:p w:rsidR="00A0661D" w:rsidRPr="009F1210" w:rsidRDefault="00A0661D" w:rsidP="00485E99">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sz w:val="20"/>
          <w:szCs w:val="20"/>
        </w:rPr>
      </w:pPr>
      <w:r w:rsidRPr="009F1210">
        <w:rPr>
          <w:rFonts w:ascii="Cambria" w:hAnsi="Cambria"/>
          <w:sz w:val="20"/>
          <w:szCs w:val="20"/>
        </w:rPr>
        <w:t xml:space="preserve">They assert that on November 30, 2003 the troops headed to </w:t>
      </w:r>
      <w:r w:rsidR="007B3FE2">
        <w:rPr>
          <w:rFonts w:ascii="Cambria" w:hAnsi="Cambria"/>
          <w:sz w:val="20"/>
          <w:szCs w:val="20"/>
        </w:rPr>
        <w:t xml:space="preserve">the </w:t>
      </w:r>
      <w:r w:rsidR="00E77CC3" w:rsidRPr="00E3047F">
        <w:rPr>
          <w:rFonts w:ascii="Cambria" w:hAnsi="Cambria"/>
          <w:i/>
          <w:sz w:val="20"/>
          <w:szCs w:val="20"/>
        </w:rPr>
        <w:t>vereda</w:t>
      </w:r>
      <w:r w:rsidR="00E77CC3" w:rsidRPr="009F1210">
        <w:rPr>
          <w:rFonts w:ascii="Cambria" w:hAnsi="Cambria"/>
          <w:sz w:val="20"/>
          <w:szCs w:val="20"/>
        </w:rPr>
        <w:t xml:space="preserve"> </w:t>
      </w:r>
      <w:r w:rsidR="007B3FE2">
        <w:rPr>
          <w:rFonts w:ascii="Cambria" w:hAnsi="Cambria"/>
          <w:sz w:val="20"/>
          <w:szCs w:val="20"/>
        </w:rPr>
        <w:t xml:space="preserve">of </w:t>
      </w:r>
      <w:r w:rsidRPr="009F1210">
        <w:rPr>
          <w:rFonts w:ascii="Cambria" w:hAnsi="Cambria"/>
          <w:sz w:val="20"/>
          <w:szCs w:val="20"/>
        </w:rPr>
        <w:t xml:space="preserve">El Cedro, </w:t>
      </w:r>
      <w:r w:rsidR="00C3509B" w:rsidRPr="00C3509B">
        <w:rPr>
          <w:rFonts w:ascii="Cambria" w:hAnsi="Cambria"/>
          <w:i/>
          <w:sz w:val="20"/>
          <w:szCs w:val="20"/>
        </w:rPr>
        <w:t>corregimiento</w:t>
      </w:r>
      <w:r w:rsidR="00C3509B" w:rsidRPr="009F1210">
        <w:rPr>
          <w:rFonts w:ascii="Cambria" w:hAnsi="Cambria"/>
          <w:sz w:val="20"/>
          <w:szCs w:val="20"/>
        </w:rPr>
        <w:t xml:space="preserve"> </w:t>
      </w:r>
      <w:r w:rsidRPr="009F1210">
        <w:rPr>
          <w:rFonts w:ascii="Cambria" w:hAnsi="Cambria"/>
          <w:sz w:val="20"/>
          <w:szCs w:val="20"/>
        </w:rPr>
        <w:t xml:space="preserve">Zabaleta in San José de la Fragua </w:t>
      </w:r>
      <w:r w:rsidR="00C3509B">
        <w:rPr>
          <w:rFonts w:ascii="Cambria" w:hAnsi="Cambria"/>
          <w:sz w:val="20"/>
          <w:szCs w:val="20"/>
        </w:rPr>
        <w:t>M</w:t>
      </w:r>
      <w:r w:rsidRPr="009F1210">
        <w:rPr>
          <w:rFonts w:ascii="Cambria" w:hAnsi="Cambria"/>
          <w:sz w:val="20"/>
          <w:szCs w:val="20"/>
        </w:rPr>
        <w:t xml:space="preserve">unicipality, Caquetá </w:t>
      </w:r>
      <w:r w:rsidR="00BC1DB9">
        <w:rPr>
          <w:rFonts w:ascii="Cambria" w:hAnsi="Cambria"/>
          <w:sz w:val="20"/>
          <w:szCs w:val="20"/>
        </w:rPr>
        <w:t>D</w:t>
      </w:r>
      <w:r w:rsidRPr="009F1210">
        <w:rPr>
          <w:rFonts w:ascii="Cambria" w:hAnsi="Cambria"/>
          <w:sz w:val="20"/>
          <w:szCs w:val="20"/>
        </w:rPr>
        <w:t>epartment, in order to destroy a rebels</w:t>
      </w:r>
      <w:r w:rsidR="005B6CE3">
        <w:rPr>
          <w:rFonts w:ascii="Cambria" w:hAnsi="Cambria"/>
          <w:sz w:val="20"/>
          <w:szCs w:val="20"/>
        </w:rPr>
        <w:t>’</w:t>
      </w:r>
      <w:r w:rsidRPr="009F1210">
        <w:rPr>
          <w:rFonts w:ascii="Cambria" w:hAnsi="Cambria"/>
          <w:sz w:val="20"/>
          <w:szCs w:val="20"/>
        </w:rPr>
        <w:t xml:space="preserve"> radio base station. They indicate that on their way to said vereda, the military group detained Floresmiro Guasaquillo and Faber Gil Buitrago so that these would show t</w:t>
      </w:r>
      <w:r w:rsidR="00C3509B">
        <w:rPr>
          <w:rFonts w:ascii="Cambria" w:hAnsi="Cambria"/>
          <w:sz w:val="20"/>
          <w:szCs w:val="20"/>
        </w:rPr>
        <w:t>hem where the base station was.</w:t>
      </w:r>
    </w:p>
    <w:p w:rsidR="00A0661D" w:rsidRPr="009F1210" w:rsidRDefault="00A0661D" w:rsidP="00485E99">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sz w:val="20"/>
          <w:szCs w:val="20"/>
        </w:rPr>
      </w:pPr>
      <w:r w:rsidRPr="009F1210">
        <w:rPr>
          <w:rFonts w:ascii="Cambria" w:hAnsi="Cambria"/>
          <w:sz w:val="20"/>
          <w:szCs w:val="20"/>
        </w:rPr>
        <w:t xml:space="preserve">They assert that on that day, early in the morning, a group of armed individuals, seemingly belonging to the FARC, arrived in </w:t>
      </w:r>
      <w:r w:rsidR="007B3FE2">
        <w:rPr>
          <w:rFonts w:ascii="Cambria" w:hAnsi="Cambria"/>
          <w:sz w:val="20"/>
          <w:szCs w:val="20"/>
        </w:rPr>
        <w:t xml:space="preserve">the </w:t>
      </w:r>
      <w:r w:rsidR="00E77CC3" w:rsidRPr="009F1210">
        <w:rPr>
          <w:rFonts w:ascii="Cambria" w:hAnsi="Cambria"/>
          <w:sz w:val="20"/>
          <w:szCs w:val="20"/>
        </w:rPr>
        <w:t xml:space="preserve">vereda </w:t>
      </w:r>
      <w:r w:rsidR="003A01BC">
        <w:rPr>
          <w:rFonts w:ascii="Cambria" w:hAnsi="Cambria"/>
          <w:sz w:val="20"/>
          <w:szCs w:val="20"/>
        </w:rPr>
        <w:t xml:space="preserve">of </w:t>
      </w:r>
      <w:r w:rsidRPr="009F1210">
        <w:rPr>
          <w:rFonts w:ascii="Cambria" w:hAnsi="Cambria"/>
          <w:sz w:val="20"/>
          <w:szCs w:val="20"/>
        </w:rPr>
        <w:t>El Cedro and forced Dora Inés Meneses and her sons Gonzalo (aged 9 months) and Héctor Fabián Ocampo Meneses (aged 4 years), and Luz Mélida Ocampo to leave their house and go to the place where the antenna was. The petitioners indicate that on its way to the station, the armed group detained José Duván Gil Vásquez and forced him to go with the women</w:t>
      </w:r>
      <w:r w:rsidR="003A01BC">
        <w:rPr>
          <w:rFonts w:ascii="Cambria" w:hAnsi="Cambria"/>
          <w:sz w:val="20"/>
          <w:szCs w:val="20"/>
        </w:rPr>
        <w:t xml:space="preserve"> and carry one of the children.</w:t>
      </w:r>
    </w:p>
    <w:p w:rsidR="00A0661D" w:rsidRPr="009F1210" w:rsidRDefault="00A0661D" w:rsidP="00485E99">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color w:val="0070C0"/>
          <w:sz w:val="20"/>
          <w:szCs w:val="20"/>
        </w:rPr>
      </w:pPr>
      <w:r w:rsidRPr="009F1210">
        <w:rPr>
          <w:rFonts w:ascii="Cambria" w:hAnsi="Cambria"/>
          <w:sz w:val="20"/>
          <w:szCs w:val="20"/>
        </w:rPr>
        <w:t>The petitioners assert that when these got to the base station, the women were forced to move some of the communications equipment, and that right at that moment the officers of the National Army arrived and opened fire on everyone there. They claim that as a result of the gunfire, Dora Inés Meneses, Luz Mélida Ocampo and child Gonzalo Ocampo Meneses died, while child Héctor Fabián Ocampo Meneses was wounded with two gunshots. They assert that Faber Gil Buitrago identified the body his wife among the victims and so rebuked the members of the Army, and</w:t>
      </w:r>
      <w:r w:rsidR="00EA135C">
        <w:rPr>
          <w:rFonts w:ascii="Cambria" w:hAnsi="Cambria"/>
          <w:sz w:val="20"/>
          <w:szCs w:val="20"/>
        </w:rPr>
        <w:t xml:space="preserve"> that</w:t>
      </w:r>
      <w:r w:rsidRPr="009F1210">
        <w:rPr>
          <w:rFonts w:ascii="Cambria" w:hAnsi="Cambria"/>
          <w:sz w:val="20"/>
          <w:szCs w:val="20"/>
        </w:rPr>
        <w:t xml:space="preserve"> consequently h</w:t>
      </w:r>
      <w:r w:rsidR="00EA135C">
        <w:rPr>
          <w:rFonts w:ascii="Cambria" w:hAnsi="Cambria"/>
          <w:sz w:val="20"/>
          <w:szCs w:val="20"/>
        </w:rPr>
        <w:t>e</w:t>
      </w:r>
      <w:r w:rsidRPr="009F1210">
        <w:rPr>
          <w:rFonts w:ascii="Cambria" w:hAnsi="Cambria"/>
          <w:sz w:val="20"/>
          <w:szCs w:val="20"/>
        </w:rPr>
        <w:t xml:space="preserve"> and Floresmiro Guasaquillo</w:t>
      </w:r>
      <w:r w:rsidR="00EA135C">
        <w:rPr>
          <w:rFonts w:ascii="Cambria" w:hAnsi="Cambria"/>
          <w:sz w:val="20"/>
          <w:szCs w:val="20"/>
        </w:rPr>
        <w:t xml:space="preserve"> were</w:t>
      </w:r>
      <w:r w:rsidR="00EA135C" w:rsidRPr="009F1210">
        <w:rPr>
          <w:rFonts w:ascii="Cambria" w:hAnsi="Cambria"/>
          <w:sz w:val="20"/>
          <w:szCs w:val="20"/>
        </w:rPr>
        <w:t xml:space="preserve"> tortured and killed</w:t>
      </w:r>
      <w:r w:rsidRPr="009F1210">
        <w:rPr>
          <w:rFonts w:ascii="Cambria" w:hAnsi="Cambria"/>
          <w:sz w:val="20"/>
          <w:szCs w:val="20"/>
        </w:rPr>
        <w:t>. They indicate that José Duván Gil Vásquez was able to escape from the gunshots but was soon arrested by another group of military officers, and that then he was taken to court for insurgency.</w:t>
      </w:r>
    </w:p>
    <w:p w:rsidR="00A0661D" w:rsidRPr="009F1210" w:rsidRDefault="00A0661D" w:rsidP="00485E99">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sz w:val="20"/>
          <w:szCs w:val="20"/>
        </w:rPr>
      </w:pPr>
      <w:r w:rsidRPr="009F1210">
        <w:rPr>
          <w:rFonts w:ascii="Cambria" w:hAnsi="Cambria"/>
          <w:sz w:val="20"/>
          <w:szCs w:val="20"/>
        </w:rPr>
        <w:t xml:space="preserve">The petitioners assert that after the massacre, the Army officers buried the 9-month-old child as an unidentified person at the place where the facts </w:t>
      </w:r>
      <w:r w:rsidR="00D97561">
        <w:rPr>
          <w:rFonts w:ascii="Cambria" w:hAnsi="Cambria"/>
          <w:sz w:val="20"/>
          <w:szCs w:val="20"/>
        </w:rPr>
        <w:t xml:space="preserve">had </w:t>
      </w:r>
      <w:r w:rsidRPr="009F1210">
        <w:rPr>
          <w:rFonts w:ascii="Cambria" w:hAnsi="Cambria"/>
          <w:sz w:val="20"/>
          <w:szCs w:val="20"/>
        </w:rPr>
        <w:t>t</w:t>
      </w:r>
      <w:r w:rsidR="00D97561">
        <w:rPr>
          <w:rFonts w:ascii="Cambria" w:hAnsi="Cambria"/>
          <w:sz w:val="20"/>
          <w:szCs w:val="20"/>
        </w:rPr>
        <w:t>aken</w:t>
      </w:r>
      <w:r w:rsidRPr="009F1210">
        <w:rPr>
          <w:rFonts w:ascii="Cambria" w:hAnsi="Cambria"/>
          <w:sz w:val="20"/>
          <w:szCs w:val="20"/>
        </w:rPr>
        <w:t xml:space="preserve"> place. In addition, the petitioners indicate that Héctor Fabián Ocampo Meneses was taken to the Hospital of </w:t>
      </w:r>
      <w:r w:rsidR="00C30DA1">
        <w:rPr>
          <w:rFonts w:ascii="Cambria" w:hAnsi="Cambria"/>
          <w:sz w:val="20"/>
          <w:szCs w:val="20"/>
        </w:rPr>
        <w:t xml:space="preserve">the city of </w:t>
      </w:r>
      <w:r w:rsidRPr="009F1210">
        <w:rPr>
          <w:rFonts w:ascii="Cambria" w:hAnsi="Cambria"/>
          <w:sz w:val="20"/>
          <w:szCs w:val="20"/>
        </w:rPr>
        <w:t>Florencia and then handed over to the Family Welfare Institute</w:t>
      </w:r>
      <w:r w:rsidR="00DF137F">
        <w:rPr>
          <w:rFonts w:ascii="Cambria" w:hAnsi="Cambria"/>
          <w:sz w:val="20"/>
          <w:szCs w:val="20"/>
        </w:rPr>
        <w:t>,</w:t>
      </w:r>
      <w:r w:rsidRPr="009F1210">
        <w:rPr>
          <w:rFonts w:ascii="Cambria" w:hAnsi="Cambria"/>
          <w:sz w:val="20"/>
          <w:szCs w:val="20"/>
        </w:rPr>
        <w:t xml:space="preserve"> with a report stating that his parents had died in a clash with the Army; and that as a result, the Institute awarded the paternal grandparents guardianship over the child. Likewise, they indicate</w:t>
      </w:r>
      <w:r w:rsidR="00FD3A1B">
        <w:rPr>
          <w:rFonts w:ascii="Cambria" w:hAnsi="Cambria"/>
          <w:sz w:val="20"/>
          <w:szCs w:val="20"/>
        </w:rPr>
        <w:t xml:space="preserve"> that the other alleged victims</w:t>
      </w:r>
      <w:r w:rsidR="005B6CE3">
        <w:rPr>
          <w:rFonts w:ascii="Cambria" w:hAnsi="Cambria"/>
          <w:sz w:val="20"/>
          <w:szCs w:val="20"/>
        </w:rPr>
        <w:t>’</w:t>
      </w:r>
      <w:r w:rsidRPr="009F1210">
        <w:rPr>
          <w:rFonts w:ascii="Cambria" w:hAnsi="Cambria"/>
          <w:sz w:val="20"/>
          <w:szCs w:val="20"/>
        </w:rPr>
        <w:t xml:space="preserve"> remains were taken to </w:t>
      </w:r>
      <w:r w:rsidR="00C30DA1">
        <w:rPr>
          <w:rFonts w:ascii="Cambria" w:hAnsi="Cambria"/>
          <w:sz w:val="20"/>
          <w:szCs w:val="20"/>
        </w:rPr>
        <w:t xml:space="preserve">the city of </w:t>
      </w:r>
      <w:r w:rsidRPr="009F1210">
        <w:rPr>
          <w:rFonts w:ascii="Cambria" w:hAnsi="Cambria"/>
          <w:sz w:val="20"/>
          <w:szCs w:val="20"/>
        </w:rPr>
        <w:t xml:space="preserve">Florencia and presented to the media as the bodies of FARC members. They explain that the remains of Dora Inés Meneses, Luz Mélida Ocampo and Faber Gil Buitrago were labeled as unidentified, and buried by officers of the Army in a mass grave at the main cemetery in Florencia, the capital city of the </w:t>
      </w:r>
      <w:r w:rsidR="00BC1DB9">
        <w:rPr>
          <w:rFonts w:ascii="Cambria" w:hAnsi="Cambria"/>
          <w:sz w:val="20"/>
          <w:szCs w:val="20"/>
        </w:rPr>
        <w:t>d</w:t>
      </w:r>
      <w:r w:rsidRPr="009F1210">
        <w:rPr>
          <w:rFonts w:ascii="Cambria" w:hAnsi="Cambria"/>
          <w:sz w:val="20"/>
          <w:szCs w:val="20"/>
        </w:rPr>
        <w:t>epartment of Caquetá. The p</w:t>
      </w:r>
      <w:r w:rsidR="00B607F2">
        <w:rPr>
          <w:rFonts w:ascii="Cambria" w:hAnsi="Cambria"/>
          <w:sz w:val="20"/>
          <w:szCs w:val="20"/>
        </w:rPr>
        <w:t>etitioners claim that after some time</w:t>
      </w:r>
      <w:r w:rsidRPr="009F1210">
        <w:rPr>
          <w:rFonts w:ascii="Cambria" w:hAnsi="Cambria"/>
          <w:sz w:val="20"/>
          <w:szCs w:val="20"/>
        </w:rPr>
        <w:t xml:space="preserve">, in response to the </w:t>
      </w:r>
      <w:r w:rsidR="002054AF" w:rsidRPr="009F1210">
        <w:rPr>
          <w:rFonts w:ascii="Cambria" w:hAnsi="Cambria"/>
          <w:sz w:val="20"/>
          <w:szCs w:val="20"/>
        </w:rPr>
        <w:t>family members</w:t>
      </w:r>
      <w:r w:rsidR="005B6CE3">
        <w:rPr>
          <w:rFonts w:ascii="Cambria" w:hAnsi="Cambria"/>
          <w:sz w:val="20"/>
          <w:szCs w:val="20"/>
        </w:rPr>
        <w:t>’</w:t>
      </w:r>
      <w:r w:rsidR="002054AF" w:rsidRPr="009F1210">
        <w:rPr>
          <w:rFonts w:ascii="Cambria" w:hAnsi="Cambria"/>
          <w:sz w:val="20"/>
          <w:szCs w:val="20"/>
        </w:rPr>
        <w:t xml:space="preserve"> </w:t>
      </w:r>
      <w:r w:rsidR="002054AF">
        <w:rPr>
          <w:rFonts w:ascii="Cambria" w:hAnsi="Cambria"/>
          <w:sz w:val="20"/>
          <w:szCs w:val="20"/>
        </w:rPr>
        <w:t>request</w:t>
      </w:r>
      <w:r w:rsidRPr="009F1210">
        <w:rPr>
          <w:rFonts w:ascii="Cambria" w:hAnsi="Cambria"/>
          <w:sz w:val="20"/>
          <w:szCs w:val="20"/>
        </w:rPr>
        <w:t>, the court ordered the exhumation of the bodies, and that DNA tests were conducted on the family members. They allege that although 10 years have passed since the exhumation of the bodies and the</w:t>
      </w:r>
      <w:r w:rsidR="004F1FD6">
        <w:rPr>
          <w:rFonts w:ascii="Cambria" w:hAnsi="Cambria"/>
          <w:sz w:val="20"/>
          <w:szCs w:val="20"/>
        </w:rPr>
        <w:t xml:space="preserve"> DNA tests, the alleged victims</w:t>
      </w:r>
      <w:r w:rsidR="005B6CE3">
        <w:rPr>
          <w:rFonts w:ascii="Cambria" w:hAnsi="Cambria"/>
          <w:sz w:val="20"/>
          <w:szCs w:val="20"/>
        </w:rPr>
        <w:t>’</w:t>
      </w:r>
      <w:r w:rsidRPr="009F1210">
        <w:rPr>
          <w:rFonts w:ascii="Cambria" w:hAnsi="Cambria"/>
          <w:sz w:val="20"/>
          <w:szCs w:val="20"/>
        </w:rPr>
        <w:t xml:space="preserve"> remains have not yet been handed over to the family members, and consequently it has been impossible to register their death. </w:t>
      </w:r>
      <w:r w:rsidRPr="009F1210">
        <w:rPr>
          <w:rFonts w:ascii="Cambria" w:hAnsi="Cambria"/>
          <w:sz w:val="20"/>
          <w:szCs w:val="20"/>
        </w:rPr>
        <w:lastRenderedPageBreak/>
        <w:t xml:space="preserve">They claim that the place where the </w:t>
      </w:r>
      <w:r w:rsidR="00E87CE5" w:rsidRPr="009F1210">
        <w:rPr>
          <w:rFonts w:ascii="Cambria" w:hAnsi="Cambria"/>
          <w:sz w:val="20"/>
          <w:szCs w:val="20"/>
        </w:rPr>
        <w:t>alleged victims</w:t>
      </w:r>
      <w:r w:rsidR="005B6CE3">
        <w:rPr>
          <w:rFonts w:ascii="Cambria" w:hAnsi="Cambria"/>
          <w:sz w:val="20"/>
          <w:szCs w:val="20"/>
        </w:rPr>
        <w:t>’</w:t>
      </w:r>
      <w:r w:rsidR="00E87CE5" w:rsidRPr="009F1210">
        <w:rPr>
          <w:rFonts w:ascii="Cambria" w:hAnsi="Cambria"/>
          <w:sz w:val="20"/>
          <w:szCs w:val="20"/>
        </w:rPr>
        <w:t xml:space="preserve"> </w:t>
      </w:r>
      <w:r w:rsidRPr="009F1210">
        <w:rPr>
          <w:rFonts w:ascii="Cambria" w:hAnsi="Cambria"/>
          <w:sz w:val="20"/>
          <w:szCs w:val="20"/>
        </w:rPr>
        <w:t xml:space="preserve">bodies lie nowadays is unknown to the family members, and that this </w:t>
      </w:r>
      <w:r w:rsidR="00E87CE5">
        <w:rPr>
          <w:rFonts w:ascii="Cambria" w:hAnsi="Cambria"/>
          <w:sz w:val="20"/>
          <w:szCs w:val="20"/>
        </w:rPr>
        <w:t>constitut</w:t>
      </w:r>
      <w:r w:rsidRPr="009F1210">
        <w:rPr>
          <w:rFonts w:ascii="Cambria" w:hAnsi="Cambria"/>
          <w:sz w:val="20"/>
          <w:szCs w:val="20"/>
        </w:rPr>
        <w:t xml:space="preserve">es </w:t>
      </w:r>
      <w:r w:rsidR="00E87CE5">
        <w:rPr>
          <w:rFonts w:ascii="Cambria" w:hAnsi="Cambria"/>
          <w:sz w:val="20"/>
          <w:szCs w:val="20"/>
        </w:rPr>
        <w:t>a</w:t>
      </w:r>
      <w:r w:rsidRPr="009F1210">
        <w:rPr>
          <w:rFonts w:ascii="Cambria" w:hAnsi="Cambria"/>
          <w:sz w:val="20"/>
          <w:szCs w:val="20"/>
        </w:rPr>
        <w:t xml:space="preserve"> crime of f</w:t>
      </w:r>
      <w:r w:rsidR="007C7A89">
        <w:rPr>
          <w:rFonts w:ascii="Cambria" w:hAnsi="Cambria"/>
          <w:sz w:val="20"/>
          <w:szCs w:val="20"/>
        </w:rPr>
        <w:t>orced disappearance of persons.</w:t>
      </w:r>
    </w:p>
    <w:p w:rsidR="00A0661D" w:rsidRPr="009F1210" w:rsidRDefault="00EB5608" w:rsidP="00485E99">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color w:val="0070C0"/>
          <w:sz w:val="20"/>
          <w:szCs w:val="20"/>
        </w:rPr>
      </w:pPr>
      <w:r w:rsidRPr="009F1210">
        <w:rPr>
          <w:rFonts w:ascii="Cambria" w:hAnsi="Cambria"/>
          <w:sz w:val="20"/>
          <w:szCs w:val="20"/>
        </w:rPr>
        <w:t>They assert that due to the complaints filed by Ángel Emiro Meneses, Dora Inés Meneses</w:t>
      </w:r>
      <w:r w:rsidR="005B6CE3">
        <w:rPr>
          <w:rFonts w:ascii="Cambria" w:hAnsi="Cambria"/>
          <w:sz w:val="20"/>
          <w:szCs w:val="20"/>
        </w:rPr>
        <w:t>’</w:t>
      </w:r>
      <w:r w:rsidRPr="009F1210">
        <w:rPr>
          <w:rFonts w:ascii="Cambria" w:hAnsi="Cambria"/>
          <w:sz w:val="20"/>
          <w:szCs w:val="20"/>
        </w:rPr>
        <w:t xml:space="preserve"> brother, he and his family have been threatened and forced to move to the city of Popayán, Cauca. They claim that said family is still displaced.</w:t>
      </w:r>
    </w:p>
    <w:p w:rsidR="00A0661D" w:rsidRPr="009F1210" w:rsidRDefault="00A0661D" w:rsidP="00485E99">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sz w:val="20"/>
          <w:szCs w:val="20"/>
        </w:rPr>
      </w:pPr>
      <w:r w:rsidRPr="009F1210">
        <w:rPr>
          <w:rFonts w:ascii="Cambria" w:hAnsi="Cambria"/>
          <w:sz w:val="20"/>
          <w:szCs w:val="20"/>
        </w:rPr>
        <w:t>The petitioners indicate that as a result of the facts described above, criminal proceedings have been filed before the 14th Prosecutor</w:t>
      </w:r>
      <w:r w:rsidR="005B6CE3">
        <w:rPr>
          <w:rFonts w:ascii="Cambria" w:hAnsi="Cambria"/>
          <w:sz w:val="20"/>
          <w:szCs w:val="20"/>
        </w:rPr>
        <w:t>’</w:t>
      </w:r>
      <w:r w:rsidRPr="009F1210">
        <w:rPr>
          <w:rFonts w:ascii="Cambria" w:hAnsi="Cambria"/>
          <w:sz w:val="20"/>
          <w:szCs w:val="20"/>
        </w:rPr>
        <w:t xml:space="preserve">s Office of Florencia </w:t>
      </w:r>
      <w:r w:rsidR="00C30DA1">
        <w:rPr>
          <w:rFonts w:ascii="Cambria" w:hAnsi="Cambria"/>
          <w:sz w:val="20"/>
          <w:szCs w:val="20"/>
        </w:rPr>
        <w:t>C</w:t>
      </w:r>
      <w:r w:rsidRPr="009F1210">
        <w:rPr>
          <w:rFonts w:ascii="Cambria" w:hAnsi="Cambria"/>
          <w:sz w:val="20"/>
          <w:szCs w:val="20"/>
        </w:rPr>
        <w:t>ity</w:t>
      </w:r>
      <w:r w:rsidR="005B6CE3">
        <w:rPr>
          <w:rFonts w:ascii="Cambria" w:hAnsi="Cambria"/>
          <w:sz w:val="20"/>
          <w:szCs w:val="20"/>
        </w:rPr>
        <w:t>’</w:t>
      </w:r>
      <w:r w:rsidRPr="009F1210">
        <w:rPr>
          <w:rFonts w:ascii="Cambria" w:hAnsi="Cambria"/>
          <w:sz w:val="20"/>
          <w:szCs w:val="20"/>
        </w:rPr>
        <w:t>s Sectional Office, for aggravated murder. They claim that by the resolution of May 18, 2004 the investigation was referred to the Military Criminal Court, and that the criminal proceedings were assigned to the 45th Special Prosecutor for Human Rights</w:t>
      </w:r>
      <w:r w:rsidR="005B6CE3">
        <w:rPr>
          <w:rFonts w:ascii="Cambria" w:hAnsi="Cambria"/>
          <w:sz w:val="20"/>
          <w:szCs w:val="20"/>
        </w:rPr>
        <w:t>’</w:t>
      </w:r>
      <w:r w:rsidRPr="009F1210">
        <w:rPr>
          <w:rFonts w:ascii="Cambria" w:hAnsi="Cambria"/>
          <w:sz w:val="20"/>
          <w:szCs w:val="20"/>
        </w:rPr>
        <w:t xml:space="preserve"> Office of </w:t>
      </w:r>
      <w:r w:rsidR="00C30DA1">
        <w:rPr>
          <w:rFonts w:ascii="Cambria" w:hAnsi="Cambria"/>
          <w:sz w:val="20"/>
          <w:szCs w:val="20"/>
        </w:rPr>
        <w:t xml:space="preserve">the city of </w:t>
      </w:r>
      <w:r w:rsidRPr="009F1210">
        <w:rPr>
          <w:rFonts w:ascii="Cambria" w:hAnsi="Cambria"/>
          <w:sz w:val="20"/>
          <w:szCs w:val="20"/>
        </w:rPr>
        <w:t xml:space="preserve">Neiva, Huila </w:t>
      </w:r>
      <w:r w:rsidR="00BC1DB9">
        <w:rPr>
          <w:rFonts w:ascii="Cambria" w:hAnsi="Cambria"/>
          <w:sz w:val="20"/>
          <w:szCs w:val="20"/>
        </w:rPr>
        <w:t>D</w:t>
      </w:r>
      <w:r w:rsidRPr="009F1210">
        <w:rPr>
          <w:rFonts w:ascii="Cambria" w:hAnsi="Cambria"/>
          <w:sz w:val="20"/>
          <w:szCs w:val="20"/>
        </w:rPr>
        <w:t>epartment, once the Higher Council of the Judiciary settled a dispute over competence. The petitioners indicate that the criminal proceedings are in the stage of preliminary investigation.</w:t>
      </w:r>
    </w:p>
    <w:p w:rsidR="00A0661D" w:rsidRPr="009F1210" w:rsidRDefault="00160C92" w:rsidP="00485E99">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color w:val="0070C0"/>
          <w:sz w:val="20"/>
          <w:szCs w:val="20"/>
        </w:rPr>
      </w:pPr>
      <w:r>
        <w:rPr>
          <w:rFonts w:ascii="Cambria" w:hAnsi="Cambria"/>
          <w:sz w:val="20"/>
          <w:szCs w:val="20"/>
        </w:rPr>
        <w:t>Furthermore</w:t>
      </w:r>
      <w:r w:rsidR="00A0661D" w:rsidRPr="009F1210">
        <w:rPr>
          <w:rFonts w:ascii="Cambria" w:hAnsi="Cambria"/>
          <w:sz w:val="20"/>
          <w:szCs w:val="20"/>
        </w:rPr>
        <w:t xml:space="preserve">, they indicate that the family members of Dora Inés Meneses Gómez, Gonzalo Ocampo Meneses and Héctor Fabián Ocampo Meneses filed a claim for direct reparations before the Administrative Law Court of Caquetá. In this regard, they assert that on June 29, 2012 the Second </w:t>
      </w:r>
      <w:r w:rsidR="00D2382C" w:rsidRPr="009F1210">
        <w:rPr>
          <w:rFonts w:ascii="Cambria" w:hAnsi="Cambria"/>
          <w:sz w:val="20"/>
          <w:szCs w:val="20"/>
        </w:rPr>
        <w:t xml:space="preserve">Decongestion </w:t>
      </w:r>
      <w:r w:rsidR="00A0661D" w:rsidRPr="009F1210">
        <w:rPr>
          <w:rFonts w:ascii="Cambria" w:hAnsi="Cambria"/>
          <w:sz w:val="20"/>
          <w:szCs w:val="20"/>
        </w:rPr>
        <w:t xml:space="preserve">Administrative Court of Florencia, Caquetá, announced its </w:t>
      </w:r>
      <w:r w:rsidR="00D2382C">
        <w:rPr>
          <w:rFonts w:ascii="Cambria" w:hAnsi="Cambria"/>
          <w:sz w:val="20"/>
          <w:szCs w:val="20"/>
        </w:rPr>
        <w:t>judgment and declared the State</w:t>
      </w:r>
      <w:r w:rsidR="005B6CE3">
        <w:rPr>
          <w:rFonts w:ascii="Cambria" w:hAnsi="Cambria"/>
          <w:sz w:val="20"/>
          <w:szCs w:val="20"/>
        </w:rPr>
        <w:t>’</w:t>
      </w:r>
      <w:r w:rsidR="00A0661D" w:rsidRPr="009F1210">
        <w:rPr>
          <w:rFonts w:ascii="Cambria" w:hAnsi="Cambria"/>
          <w:sz w:val="20"/>
          <w:szCs w:val="20"/>
        </w:rPr>
        <w:t>s administrative responsibility. They assert that the denounced party lodged an appeal against the judgment, which is pending resolution at the Admin</w:t>
      </w:r>
      <w:r w:rsidR="00D2382C">
        <w:rPr>
          <w:rFonts w:ascii="Cambria" w:hAnsi="Cambria"/>
          <w:sz w:val="20"/>
          <w:szCs w:val="20"/>
        </w:rPr>
        <w:t>istrative Law Court of Caquetá.</w:t>
      </w:r>
    </w:p>
    <w:p w:rsidR="00A0661D" w:rsidRPr="009F1210" w:rsidRDefault="00A0661D" w:rsidP="00485E99">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color w:val="0070C0"/>
          <w:sz w:val="20"/>
          <w:szCs w:val="20"/>
        </w:rPr>
      </w:pPr>
      <w:r w:rsidRPr="009F1210">
        <w:rPr>
          <w:rFonts w:ascii="Cambria" w:hAnsi="Cambria"/>
          <w:sz w:val="20"/>
          <w:szCs w:val="20"/>
        </w:rPr>
        <w:t xml:space="preserve">In addition, they </w:t>
      </w:r>
      <w:r w:rsidR="00D2382C">
        <w:rPr>
          <w:rFonts w:ascii="Cambria" w:hAnsi="Cambria"/>
          <w:sz w:val="20"/>
          <w:szCs w:val="20"/>
        </w:rPr>
        <w:t>claim</w:t>
      </w:r>
      <w:r w:rsidRPr="009F1210">
        <w:rPr>
          <w:rFonts w:ascii="Cambria" w:hAnsi="Cambria"/>
          <w:sz w:val="20"/>
          <w:szCs w:val="20"/>
        </w:rPr>
        <w:t xml:space="preserve"> that on December 11, 2003 t</w:t>
      </w:r>
      <w:r w:rsidR="00021BFF">
        <w:rPr>
          <w:rFonts w:ascii="Cambria" w:hAnsi="Cambria"/>
          <w:sz w:val="20"/>
          <w:szCs w:val="20"/>
        </w:rPr>
        <w:t>he Command of the National Army</w:t>
      </w:r>
      <w:r w:rsidR="005B6CE3">
        <w:rPr>
          <w:rFonts w:ascii="Cambria" w:hAnsi="Cambria"/>
          <w:sz w:val="20"/>
          <w:szCs w:val="20"/>
        </w:rPr>
        <w:t>’</w:t>
      </w:r>
      <w:r w:rsidRPr="009F1210">
        <w:rPr>
          <w:rFonts w:ascii="Cambria" w:hAnsi="Cambria"/>
          <w:sz w:val="20"/>
          <w:szCs w:val="20"/>
        </w:rPr>
        <w:t xml:space="preserve">s Twelfth Brigade filed a disciplinary investigation, and that it was closed through the decision of March 16, 2004, </w:t>
      </w:r>
      <w:r w:rsidR="00E93FF3">
        <w:rPr>
          <w:rFonts w:ascii="Cambria" w:hAnsi="Cambria"/>
          <w:sz w:val="20"/>
          <w:szCs w:val="20"/>
        </w:rPr>
        <w:t>under</w:t>
      </w:r>
      <w:r w:rsidRPr="009F1210">
        <w:rPr>
          <w:rFonts w:ascii="Cambria" w:hAnsi="Cambria"/>
          <w:sz w:val="20"/>
          <w:szCs w:val="20"/>
        </w:rPr>
        <w:t xml:space="preserve"> which the proceedings had to be permanently archived inasmuch as the facts did not es</w:t>
      </w:r>
      <w:r w:rsidR="00D2382C">
        <w:rPr>
          <w:rFonts w:ascii="Cambria" w:hAnsi="Cambria"/>
          <w:sz w:val="20"/>
          <w:szCs w:val="20"/>
        </w:rPr>
        <w:t>tablish a disciplinary offense.</w:t>
      </w:r>
    </w:p>
    <w:p w:rsidR="00A0661D" w:rsidRPr="009F1210" w:rsidRDefault="00A0661D" w:rsidP="00485E99">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color w:val="0070C0"/>
          <w:sz w:val="20"/>
          <w:szCs w:val="20"/>
        </w:rPr>
      </w:pPr>
      <w:r w:rsidRPr="009F1210">
        <w:rPr>
          <w:rFonts w:ascii="Cambria" w:hAnsi="Cambria"/>
          <w:sz w:val="20"/>
          <w:szCs w:val="20"/>
        </w:rPr>
        <w:t xml:space="preserve">The petitioners </w:t>
      </w:r>
      <w:r w:rsidR="00C91E69">
        <w:rPr>
          <w:rFonts w:ascii="Cambria" w:hAnsi="Cambria"/>
          <w:sz w:val="20"/>
          <w:szCs w:val="20"/>
        </w:rPr>
        <w:t>claim</w:t>
      </w:r>
      <w:r w:rsidRPr="009F1210">
        <w:rPr>
          <w:rFonts w:ascii="Cambria" w:hAnsi="Cambria"/>
          <w:sz w:val="20"/>
          <w:szCs w:val="20"/>
        </w:rPr>
        <w:t xml:space="preserve"> that José Duván Gil Vásquez was subjected to arbitrary de</w:t>
      </w:r>
      <w:r w:rsidR="000A6BBD">
        <w:rPr>
          <w:rFonts w:ascii="Cambria" w:hAnsi="Cambria"/>
          <w:sz w:val="20"/>
          <w:szCs w:val="20"/>
        </w:rPr>
        <w:t>privation of liberty,</w:t>
      </w:r>
      <w:r w:rsidRPr="009F1210">
        <w:rPr>
          <w:rFonts w:ascii="Cambria" w:hAnsi="Cambria"/>
          <w:sz w:val="20"/>
          <w:szCs w:val="20"/>
        </w:rPr>
        <w:t xml:space="preserve"> and convicted by a First Instance Court for insurgency. They assert that his statements were influenced by</w:t>
      </w:r>
      <w:r w:rsidR="000A6BBD">
        <w:rPr>
          <w:rFonts w:ascii="Cambria" w:hAnsi="Cambria"/>
          <w:sz w:val="20"/>
          <w:szCs w:val="20"/>
        </w:rPr>
        <w:t xml:space="preserve"> the fear of being killed by</w:t>
      </w:r>
      <w:r w:rsidRPr="009F1210">
        <w:rPr>
          <w:rFonts w:ascii="Cambria" w:hAnsi="Cambria"/>
          <w:sz w:val="20"/>
          <w:szCs w:val="20"/>
        </w:rPr>
        <w:t xml:space="preserve"> military officers, since at the time he was detained, he heard them discuss whether they should kill him or not. The petitioners indicate that while he was in jail, he was threatened several times by the Army so that he would change his account of the facts. Furthermore, they claim that in the criminal proceedings against him, there were several violations of the right to due process of law, </w:t>
      </w:r>
      <w:r w:rsidR="00680404">
        <w:rPr>
          <w:rFonts w:ascii="Cambria" w:hAnsi="Cambria"/>
          <w:sz w:val="20"/>
          <w:szCs w:val="20"/>
        </w:rPr>
        <w:t>such as</w:t>
      </w:r>
      <w:r w:rsidRPr="009F1210">
        <w:rPr>
          <w:rFonts w:ascii="Cambria" w:hAnsi="Cambria"/>
          <w:sz w:val="20"/>
          <w:szCs w:val="20"/>
        </w:rPr>
        <w:t xml:space="preserve"> the lack of a technical defense. They assert that the Supreme Court of Justice confirmed this through its judgement of February 19, 2009 inasmuch as it annulled the decisions in the proceedings made as of the end of the investigation, in order to allow the accused to have a proper technical defense.</w:t>
      </w:r>
    </w:p>
    <w:p w:rsidR="00A0661D" w:rsidRPr="009F1210" w:rsidRDefault="00A0661D" w:rsidP="00485E99">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color w:val="0070C0"/>
          <w:sz w:val="20"/>
          <w:szCs w:val="20"/>
        </w:rPr>
      </w:pPr>
      <w:r w:rsidRPr="009F1210">
        <w:rPr>
          <w:rFonts w:ascii="Cambria" w:hAnsi="Cambria"/>
          <w:sz w:val="20"/>
          <w:szCs w:val="20"/>
        </w:rPr>
        <w:t xml:space="preserve">As regards the exhaustion of domestic remedies, the petitioners request the application of the exceptions set forth in Article 46.2(a), (b) and (c) of the ACHR. Concerning the first of these exceptions, they argue that some of the domestic remedies are either inadequate or ineffective to guarantee reparations for the victims and their families, since on December 2, 2012 a domestic legislation was passed to broaden the criminal military </w:t>
      </w:r>
      <w:r w:rsidR="00ED3522" w:rsidRPr="009F1210">
        <w:rPr>
          <w:rFonts w:ascii="Cambria" w:hAnsi="Cambria"/>
          <w:sz w:val="20"/>
          <w:szCs w:val="20"/>
        </w:rPr>
        <w:t>jurisdiction;</w:t>
      </w:r>
      <w:r w:rsidRPr="009F1210">
        <w:rPr>
          <w:rFonts w:ascii="Cambria" w:hAnsi="Cambria"/>
          <w:sz w:val="20"/>
          <w:szCs w:val="20"/>
        </w:rPr>
        <w:t xml:space="preserve"> hence it is likely that the case will be heard </w:t>
      </w:r>
      <w:r w:rsidR="00ED3522" w:rsidRPr="009F1210">
        <w:rPr>
          <w:rFonts w:ascii="Cambria" w:hAnsi="Cambria"/>
          <w:sz w:val="20"/>
          <w:szCs w:val="20"/>
        </w:rPr>
        <w:t xml:space="preserve">again </w:t>
      </w:r>
      <w:r w:rsidRPr="009F1210">
        <w:rPr>
          <w:rFonts w:ascii="Cambria" w:hAnsi="Cambria"/>
          <w:sz w:val="20"/>
          <w:szCs w:val="20"/>
        </w:rPr>
        <w:t xml:space="preserve">by the same court. As to the exception set forth in Article 46.2(b), they </w:t>
      </w:r>
      <w:r w:rsidR="00ED3522">
        <w:rPr>
          <w:rFonts w:ascii="Cambria" w:hAnsi="Cambria"/>
          <w:sz w:val="20"/>
          <w:szCs w:val="20"/>
        </w:rPr>
        <w:t>assert</w:t>
      </w:r>
      <w:r w:rsidRPr="009F1210">
        <w:rPr>
          <w:rFonts w:ascii="Cambria" w:hAnsi="Cambria"/>
          <w:sz w:val="20"/>
          <w:szCs w:val="20"/>
        </w:rPr>
        <w:t xml:space="preserve"> that the family members have been unable to exhaust all the remedies due to the threats and the displacement</w:t>
      </w:r>
      <w:r w:rsidR="00ED3522">
        <w:rPr>
          <w:rFonts w:ascii="Cambria" w:hAnsi="Cambria"/>
          <w:sz w:val="20"/>
          <w:szCs w:val="20"/>
        </w:rPr>
        <w:t xml:space="preserve"> that</w:t>
      </w:r>
      <w:r w:rsidRPr="009F1210">
        <w:rPr>
          <w:rFonts w:ascii="Cambria" w:hAnsi="Cambria"/>
          <w:sz w:val="20"/>
          <w:szCs w:val="20"/>
        </w:rPr>
        <w:t xml:space="preserve"> they have been subjected to</w:t>
      </w:r>
      <w:r w:rsidR="00B23C95" w:rsidRPr="00B23C95">
        <w:rPr>
          <w:rFonts w:ascii="Cambria" w:hAnsi="Cambria"/>
          <w:sz w:val="20"/>
          <w:szCs w:val="20"/>
        </w:rPr>
        <w:t xml:space="preserve"> </w:t>
      </w:r>
      <w:r w:rsidR="00B23C95" w:rsidRPr="009F1210">
        <w:rPr>
          <w:rFonts w:ascii="Cambria" w:hAnsi="Cambria"/>
          <w:sz w:val="20"/>
          <w:szCs w:val="20"/>
        </w:rPr>
        <w:t>so far</w:t>
      </w:r>
      <w:r w:rsidRPr="009F1210">
        <w:rPr>
          <w:rFonts w:ascii="Cambria" w:hAnsi="Cambria"/>
          <w:sz w:val="20"/>
          <w:szCs w:val="20"/>
        </w:rPr>
        <w:t>. Moreover, they assert that there is an alleged association between the 45th Prosecutor</w:t>
      </w:r>
      <w:r w:rsidR="005B6CE3">
        <w:rPr>
          <w:rFonts w:ascii="Cambria" w:hAnsi="Cambria"/>
          <w:sz w:val="20"/>
          <w:szCs w:val="20"/>
        </w:rPr>
        <w:t>’</w:t>
      </w:r>
      <w:r w:rsidRPr="009F1210">
        <w:rPr>
          <w:rFonts w:ascii="Cambria" w:hAnsi="Cambria"/>
          <w:sz w:val="20"/>
          <w:szCs w:val="20"/>
        </w:rPr>
        <w:t>s Office of the Human Rights Unit and the paramilitary groups,</w:t>
      </w:r>
      <w:r w:rsidR="00CD60D9" w:rsidRPr="009F1210">
        <w:rPr>
          <w:rStyle w:val="FootnoteReference"/>
          <w:rFonts w:ascii="Cambria" w:hAnsi="Cambria"/>
          <w:sz w:val="20"/>
          <w:szCs w:val="20"/>
        </w:rPr>
        <w:footnoteReference w:id="3"/>
      </w:r>
      <w:r w:rsidRPr="009F1210">
        <w:rPr>
          <w:rFonts w:ascii="Cambria" w:hAnsi="Cambria"/>
          <w:sz w:val="20"/>
          <w:szCs w:val="20"/>
        </w:rPr>
        <w:t xml:space="preserve"> and </w:t>
      </w:r>
      <w:r w:rsidR="00B23C95">
        <w:rPr>
          <w:rFonts w:ascii="Cambria" w:hAnsi="Cambria"/>
          <w:sz w:val="20"/>
          <w:szCs w:val="20"/>
        </w:rPr>
        <w:t xml:space="preserve">that </w:t>
      </w:r>
      <w:r w:rsidRPr="009F1210">
        <w:rPr>
          <w:rFonts w:ascii="Cambria" w:hAnsi="Cambria"/>
          <w:sz w:val="20"/>
          <w:szCs w:val="20"/>
        </w:rPr>
        <w:t>therefore it is da</w:t>
      </w:r>
      <w:r w:rsidR="00B23C95">
        <w:rPr>
          <w:rFonts w:ascii="Cambria" w:hAnsi="Cambria"/>
          <w:sz w:val="20"/>
          <w:szCs w:val="20"/>
        </w:rPr>
        <w:t>ngerous for the alleged victims</w:t>
      </w:r>
      <w:r w:rsidR="005B6CE3">
        <w:rPr>
          <w:rFonts w:ascii="Cambria" w:hAnsi="Cambria"/>
          <w:sz w:val="20"/>
          <w:szCs w:val="20"/>
        </w:rPr>
        <w:t>’</w:t>
      </w:r>
      <w:r w:rsidRPr="009F1210">
        <w:rPr>
          <w:rFonts w:ascii="Cambria" w:hAnsi="Cambria"/>
          <w:sz w:val="20"/>
          <w:szCs w:val="20"/>
        </w:rPr>
        <w:t xml:space="preserve"> families to actively participate in the criminal proceedings. Concerning the exception set forth in Article 46.2(c), they assert that under Article 352 of Law 600 of year 2000, a preliminary investigation must be conducted within a six-month period, after which preliminary hearings will take place. They argue that despite the time elapsed, the </w:t>
      </w:r>
      <w:r w:rsidRPr="009F1210">
        <w:rPr>
          <w:rFonts w:ascii="Cambria" w:hAnsi="Cambria"/>
          <w:sz w:val="20"/>
          <w:szCs w:val="20"/>
        </w:rPr>
        <w:lastRenderedPageBreak/>
        <w:t xml:space="preserve">criminal proceedings </w:t>
      </w:r>
      <w:r w:rsidR="007E090B">
        <w:rPr>
          <w:rFonts w:ascii="Cambria" w:hAnsi="Cambria"/>
          <w:sz w:val="20"/>
          <w:szCs w:val="20"/>
        </w:rPr>
        <w:t>are still</w:t>
      </w:r>
      <w:r w:rsidRPr="009F1210">
        <w:rPr>
          <w:rFonts w:ascii="Cambria" w:hAnsi="Cambria"/>
          <w:sz w:val="20"/>
          <w:szCs w:val="20"/>
        </w:rPr>
        <w:t xml:space="preserve"> in the stage of preliminary investigation and no decisions have been made to repair the damages caused to the victims and the family members.</w:t>
      </w:r>
    </w:p>
    <w:p w:rsidR="00A0661D" w:rsidRPr="009F1210" w:rsidRDefault="00A0661D" w:rsidP="00485E99">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color w:val="0070C0"/>
          <w:sz w:val="20"/>
          <w:szCs w:val="20"/>
        </w:rPr>
      </w:pPr>
      <w:r w:rsidRPr="009F1210">
        <w:rPr>
          <w:rFonts w:ascii="Cambria" w:hAnsi="Cambria"/>
          <w:sz w:val="20"/>
          <w:szCs w:val="20"/>
        </w:rPr>
        <w:t xml:space="preserve">Based on the foregoing, the petitioners </w:t>
      </w:r>
      <w:r w:rsidR="0067169B">
        <w:rPr>
          <w:rFonts w:ascii="Cambria" w:hAnsi="Cambria"/>
          <w:sz w:val="20"/>
          <w:szCs w:val="20"/>
        </w:rPr>
        <w:t>claim</w:t>
      </w:r>
      <w:r w:rsidRPr="009F1210">
        <w:rPr>
          <w:rFonts w:ascii="Cambria" w:hAnsi="Cambria"/>
          <w:sz w:val="20"/>
          <w:szCs w:val="20"/>
        </w:rPr>
        <w:t xml:space="preserve"> that the State violated the rights enshrined in Articles 1.1, 4.1, 5.1, 7, 8, 19, 22 and 25 of the American Convention, to the d</w:t>
      </w:r>
      <w:r w:rsidR="0067169B">
        <w:rPr>
          <w:rFonts w:ascii="Cambria" w:hAnsi="Cambria"/>
          <w:sz w:val="20"/>
          <w:szCs w:val="20"/>
        </w:rPr>
        <w:t xml:space="preserve">etriment of the alleged victims </w:t>
      </w:r>
      <w:r w:rsidRPr="009F1210">
        <w:rPr>
          <w:rFonts w:ascii="Cambria" w:hAnsi="Cambria"/>
          <w:sz w:val="20"/>
          <w:szCs w:val="20"/>
        </w:rPr>
        <w:t xml:space="preserve">and their family members; and the rights set forth in Articles 3 and 4 of the Belém do Pará Convention, in relation to Dora Inés Meneses Gómez and Luz Mélida Ocampo. </w:t>
      </w: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rPr>
      </w:pPr>
      <w:r w:rsidRPr="009F1210">
        <w:rPr>
          <w:rFonts w:ascii="Cambria" w:hAnsi="Cambria"/>
          <w:b/>
          <w:bCs/>
          <w:sz w:val="20"/>
          <w:szCs w:val="20"/>
        </w:rPr>
        <w:t>B.</w:t>
      </w:r>
      <w:r w:rsidRPr="009F1210">
        <w:rPr>
          <w:rFonts w:ascii="Cambria" w:hAnsi="Cambria"/>
          <w:b/>
          <w:bCs/>
          <w:sz w:val="20"/>
          <w:szCs w:val="20"/>
        </w:rPr>
        <w:tab/>
        <w:t xml:space="preserve">Position of the State </w:t>
      </w:r>
    </w:p>
    <w:p w:rsidR="00A0661D" w:rsidRPr="009F1210" w:rsidRDefault="00A0661D" w:rsidP="00485E99">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olor w:val="0070C0"/>
          <w:sz w:val="20"/>
          <w:szCs w:val="20"/>
        </w:rPr>
      </w:pPr>
      <w:r w:rsidRPr="009F1210">
        <w:rPr>
          <w:rFonts w:ascii="Cambria" w:hAnsi="Cambria"/>
          <w:sz w:val="20"/>
          <w:szCs w:val="20"/>
        </w:rPr>
        <w:t>The State indicates that the department of Caquetá is of strategic relevance inasmuch as it is an important source of economic resources both for the FARC and the illegal self-defense groups, since there are vast crops of coca leaf. It asserts that, therefore, the Eastern Cordillera,</w:t>
      </w:r>
      <w:r w:rsidR="00381F0B">
        <w:rPr>
          <w:rFonts w:ascii="Cambria" w:hAnsi="Cambria"/>
          <w:sz w:val="20"/>
          <w:szCs w:val="20"/>
        </w:rPr>
        <w:t xml:space="preserve"> on the west of Caquetá, is key </w:t>
      </w:r>
      <w:r w:rsidRPr="009F1210">
        <w:rPr>
          <w:rFonts w:ascii="Cambria" w:hAnsi="Cambria"/>
          <w:sz w:val="20"/>
          <w:szCs w:val="20"/>
        </w:rPr>
        <w:t>to the FARC</w:t>
      </w:r>
      <w:r w:rsidR="005B6CE3">
        <w:rPr>
          <w:rFonts w:ascii="Cambria" w:hAnsi="Cambria"/>
          <w:sz w:val="20"/>
          <w:szCs w:val="20"/>
        </w:rPr>
        <w:t>’</w:t>
      </w:r>
      <w:r w:rsidRPr="009F1210">
        <w:rPr>
          <w:rFonts w:ascii="Cambria" w:hAnsi="Cambria"/>
          <w:sz w:val="20"/>
          <w:szCs w:val="20"/>
        </w:rPr>
        <w:t>s war strategy.</w:t>
      </w:r>
    </w:p>
    <w:p w:rsidR="00A0661D" w:rsidRPr="009F1210" w:rsidRDefault="00A0661D" w:rsidP="00485E99">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olor w:val="0070C0"/>
          <w:sz w:val="20"/>
          <w:szCs w:val="20"/>
        </w:rPr>
      </w:pPr>
      <w:r w:rsidRPr="009F1210">
        <w:rPr>
          <w:rFonts w:ascii="Cambria" w:hAnsi="Cambria"/>
          <w:sz w:val="20"/>
          <w:szCs w:val="20"/>
        </w:rPr>
        <w:t xml:space="preserve">The State indicates that in order to recover control over the south of Colombia, on November 29, 2003, the 12th </w:t>
      </w:r>
      <w:r w:rsidR="00381F0B">
        <w:rPr>
          <w:rFonts w:ascii="Cambria" w:hAnsi="Cambria"/>
          <w:sz w:val="20"/>
          <w:szCs w:val="20"/>
        </w:rPr>
        <w:t>“</w:t>
      </w:r>
      <w:r w:rsidRPr="009F1210">
        <w:rPr>
          <w:rFonts w:ascii="Cambria" w:hAnsi="Cambria"/>
          <w:sz w:val="20"/>
          <w:szCs w:val="20"/>
        </w:rPr>
        <w:t>Juananbú</w:t>
      </w:r>
      <w:r w:rsidR="00381F0B">
        <w:rPr>
          <w:rFonts w:ascii="Cambria" w:hAnsi="Cambria"/>
          <w:sz w:val="20"/>
          <w:szCs w:val="20"/>
        </w:rPr>
        <w:t>”</w:t>
      </w:r>
      <w:r w:rsidRPr="009F1210">
        <w:rPr>
          <w:rFonts w:ascii="Cambria" w:hAnsi="Cambria"/>
          <w:sz w:val="20"/>
          <w:szCs w:val="20"/>
        </w:rPr>
        <w:t xml:space="preserve"> Infantry Battalion conducted the </w:t>
      </w:r>
      <w:r w:rsidR="004574C1">
        <w:rPr>
          <w:rFonts w:ascii="Cambria" w:hAnsi="Cambria"/>
          <w:sz w:val="20"/>
          <w:szCs w:val="20"/>
        </w:rPr>
        <w:t>“</w:t>
      </w:r>
      <w:r w:rsidRPr="009F1210">
        <w:rPr>
          <w:rFonts w:ascii="Cambria" w:hAnsi="Cambria"/>
          <w:sz w:val="20"/>
          <w:szCs w:val="20"/>
        </w:rPr>
        <w:t>Normadía</w:t>
      </w:r>
      <w:r w:rsidR="004574C1">
        <w:rPr>
          <w:rFonts w:ascii="Cambria" w:hAnsi="Cambria"/>
          <w:sz w:val="20"/>
          <w:szCs w:val="20"/>
        </w:rPr>
        <w:t>”</w:t>
      </w:r>
      <w:r w:rsidRPr="009F1210">
        <w:rPr>
          <w:rFonts w:ascii="Cambria" w:hAnsi="Cambria"/>
          <w:sz w:val="20"/>
          <w:szCs w:val="20"/>
        </w:rPr>
        <w:t xml:space="preserve"> operation. It asserts that on November 30, 2009 the troops of the Army headed to </w:t>
      </w:r>
      <w:r w:rsidR="004574C1">
        <w:rPr>
          <w:rFonts w:ascii="Cambria" w:hAnsi="Cambria"/>
          <w:sz w:val="20"/>
          <w:szCs w:val="20"/>
        </w:rPr>
        <w:t xml:space="preserve">the vereda of </w:t>
      </w:r>
      <w:r w:rsidRPr="009F1210">
        <w:rPr>
          <w:rFonts w:ascii="Cambria" w:hAnsi="Cambria"/>
          <w:sz w:val="20"/>
          <w:szCs w:val="20"/>
        </w:rPr>
        <w:t>El Cedro, where there was an antenna of the 49th Front of the FA</w:t>
      </w:r>
      <w:r w:rsidR="00AF11F3">
        <w:rPr>
          <w:rFonts w:ascii="Cambria" w:hAnsi="Cambria"/>
          <w:sz w:val="20"/>
          <w:szCs w:val="20"/>
        </w:rPr>
        <w:t>RC. It asserts that when the troops</w:t>
      </w:r>
      <w:r w:rsidR="004574C1">
        <w:rPr>
          <w:rFonts w:ascii="Cambria" w:hAnsi="Cambria"/>
          <w:sz w:val="20"/>
          <w:szCs w:val="20"/>
        </w:rPr>
        <w:t xml:space="preserve"> arrived</w:t>
      </w:r>
      <w:r w:rsidR="00AF11F3">
        <w:rPr>
          <w:rFonts w:ascii="Cambria" w:hAnsi="Cambria"/>
          <w:sz w:val="20"/>
          <w:szCs w:val="20"/>
        </w:rPr>
        <w:t>,</w:t>
      </w:r>
      <w:r w:rsidRPr="009F1210">
        <w:rPr>
          <w:rFonts w:ascii="Cambria" w:hAnsi="Cambria"/>
          <w:sz w:val="20"/>
          <w:szCs w:val="20"/>
        </w:rPr>
        <w:t xml:space="preserve"> the rebels opened fire on the National Army, </w:t>
      </w:r>
      <w:r w:rsidR="00AF11F3">
        <w:rPr>
          <w:rFonts w:ascii="Cambria" w:hAnsi="Cambria"/>
          <w:sz w:val="20"/>
          <w:szCs w:val="20"/>
        </w:rPr>
        <w:t>causing</w:t>
      </w:r>
      <w:r w:rsidRPr="009F1210">
        <w:rPr>
          <w:rFonts w:ascii="Cambria" w:hAnsi="Cambria"/>
          <w:sz w:val="20"/>
          <w:szCs w:val="20"/>
        </w:rPr>
        <w:t xml:space="preserve"> an exchange of fire. It claims that after a search of the building, the bodies of Dora Inés Meneses Gómez, Luz Mélida Ocampo Álvarez, Faber Gil Buitrago and Floresmiro Huesaquillo were found as well as a wounded child, Héctor Fabián Ocampo Meneses. Concerning the latter, it asserts that military staff provided him with the necessary medical assistance at the place of the facts, and that then he was taken to the Hospital María Inmaculada for further assistance. Likewise, it indicates that José Duván Gil Vásquez was </w:t>
      </w:r>
      <w:r w:rsidR="00847153">
        <w:rPr>
          <w:rFonts w:ascii="Cambria" w:hAnsi="Cambria"/>
          <w:sz w:val="20"/>
          <w:szCs w:val="20"/>
        </w:rPr>
        <w:t>arrested</w:t>
      </w:r>
      <w:r w:rsidRPr="009F1210">
        <w:rPr>
          <w:rFonts w:ascii="Cambria" w:hAnsi="Cambria"/>
          <w:sz w:val="20"/>
          <w:szCs w:val="20"/>
        </w:rPr>
        <w:t xml:space="preserve"> an</w:t>
      </w:r>
      <w:r w:rsidR="00EC2390">
        <w:rPr>
          <w:rFonts w:ascii="Cambria" w:hAnsi="Cambria"/>
          <w:sz w:val="20"/>
          <w:szCs w:val="20"/>
        </w:rPr>
        <w:t>d war elements were seized.</w:t>
      </w:r>
    </w:p>
    <w:p w:rsidR="00A0661D" w:rsidRPr="009F1210" w:rsidRDefault="00A0661D" w:rsidP="00485E99">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olor w:val="0070C0"/>
          <w:sz w:val="20"/>
          <w:szCs w:val="20"/>
        </w:rPr>
      </w:pPr>
      <w:r w:rsidRPr="009F1210">
        <w:rPr>
          <w:rFonts w:ascii="Cambria" w:hAnsi="Cambria"/>
          <w:sz w:val="20"/>
          <w:szCs w:val="20"/>
        </w:rPr>
        <w:t>It asserts that the National Army has the duty to eradicate illegal armed groups</w:t>
      </w:r>
      <w:r w:rsidR="005274BB">
        <w:rPr>
          <w:rFonts w:ascii="Cambria" w:hAnsi="Cambria"/>
          <w:sz w:val="20"/>
          <w:szCs w:val="20"/>
        </w:rPr>
        <w:t>;</w:t>
      </w:r>
      <w:r w:rsidRPr="009F1210">
        <w:rPr>
          <w:rFonts w:ascii="Cambria" w:hAnsi="Cambria"/>
          <w:sz w:val="20"/>
          <w:szCs w:val="20"/>
        </w:rPr>
        <w:t xml:space="preserve"> therefore the </w:t>
      </w:r>
      <w:r w:rsidR="005274BB">
        <w:rPr>
          <w:rFonts w:ascii="Cambria" w:hAnsi="Cambria"/>
          <w:sz w:val="20"/>
          <w:szCs w:val="20"/>
        </w:rPr>
        <w:t>“Normandía”</w:t>
      </w:r>
      <w:r w:rsidRPr="009F1210">
        <w:rPr>
          <w:rFonts w:ascii="Cambria" w:hAnsi="Cambria"/>
          <w:sz w:val="20"/>
          <w:szCs w:val="20"/>
        </w:rPr>
        <w:t xml:space="preserve"> military operation, in which 4 FARC members died, is part of the lawful actions of the State.</w:t>
      </w:r>
    </w:p>
    <w:p w:rsidR="00A0661D" w:rsidRPr="009F1210" w:rsidRDefault="00A0661D" w:rsidP="00485E99">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olor w:val="0070C0"/>
          <w:sz w:val="20"/>
          <w:szCs w:val="20"/>
        </w:rPr>
      </w:pPr>
      <w:r w:rsidRPr="009F1210">
        <w:rPr>
          <w:rFonts w:ascii="Cambria" w:hAnsi="Cambria"/>
          <w:sz w:val="20"/>
          <w:szCs w:val="20"/>
        </w:rPr>
        <w:t>Concerning the investigations made so far, the State indi</w:t>
      </w:r>
      <w:r w:rsidR="005274BB">
        <w:rPr>
          <w:rFonts w:ascii="Cambria" w:hAnsi="Cambria"/>
          <w:sz w:val="20"/>
          <w:szCs w:val="20"/>
        </w:rPr>
        <w:t>cates that the Attorney General</w:t>
      </w:r>
      <w:r w:rsidR="005B6CE3">
        <w:rPr>
          <w:rFonts w:ascii="Cambria" w:hAnsi="Cambria"/>
          <w:sz w:val="20"/>
          <w:szCs w:val="20"/>
        </w:rPr>
        <w:t>’</w:t>
      </w:r>
      <w:r w:rsidRPr="009F1210">
        <w:rPr>
          <w:rFonts w:ascii="Cambria" w:hAnsi="Cambria"/>
          <w:sz w:val="20"/>
          <w:szCs w:val="20"/>
        </w:rPr>
        <w:t>s Office filed a criminal investigation for aggravated murder in connection with Dora Inés Meneses Gómez, Luz Mélida Ocampo Álvarez, Faber Gil Buitrago and Floresmiro Huesaquillo. It asserts that the investigation was referred to the military court in</w:t>
      </w:r>
      <w:r w:rsidR="005274BB">
        <w:rPr>
          <w:rFonts w:ascii="Cambria" w:hAnsi="Cambria"/>
          <w:sz w:val="20"/>
          <w:szCs w:val="20"/>
        </w:rPr>
        <w:t xml:space="preserve"> May 2004, and that in May 2007</w:t>
      </w:r>
      <w:r w:rsidRPr="009F1210">
        <w:rPr>
          <w:rFonts w:ascii="Cambria" w:hAnsi="Cambria"/>
          <w:sz w:val="20"/>
          <w:szCs w:val="20"/>
        </w:rPr>
        <w:t xml:space="preserve"> there was a dispute over competence</w:t>
      </w:r>
      <w:r w:rsidR="005274BB">
        <w:rPr>
          <w:rFonts w:ascii="Cambria" w:hAnsi="Cambria"/>
          <w:sz w:val="20"/>
          <w:szCs w:val="20"/>
        </w:rPr>
        <w:t>,</w:t>
      </w:r>
      <w:r w:rsidRPr="009F1210">
        <w:rPr>
          <w:rFonts w:ascii="Cambria" w:hAnsi="Cambria"/>
          <w:sz w:val="20"/>
          <w:szCs w:val="20"/>
        </w:rPr>
        <w:t xml:space="preserve"> which the Higher Council of the Judiciary then settled by the judgment of July 5, 2007. It further indicates that the judgment favored the ordinary court and ordered that the investigation w</w:t>
      </w:r>
      <w:r w:rsidR="005274BB">
        <w:rPr>
          <w:rFonts w:ascii="Cambria" w:hAnsi="Cambria"/>
          <w:sz w:val="20"/>
          <w:szCs w:val="20"/>
        </w:rPr>
        <w:t>as heard by the 45th Prosecutor</w:t>
      </w:r>
      <w:r w:rsidR="005B6CE3">
        <w:rPr>
          <w:rFonts w:ascii="Cambria" w:hAnsi="Cambria"/>
          <w:sz w:val="20"/>
          <w:szCs w:val="20"/>
        </w:rPr>
        <w:t>’</w:t>
      </w:r>
      <w:r w:rsidRPr="009F1210">
        <w:rPr>
          <w:rFonts w:ascii="Cambria" w:hAnsi="Cambria"/>
          <w:sz w:val="20"/>
          <w:szCs w:val="20"/>
        </w:rPr>
        <w:t xml:space="preserve">s Office of the Human Rights and International Humanitarian Law Unit, which heard the investigation in August 2007. The State asserts that there is an ongoing investigation </w:t>
      </w:r>
      <w:r w:rsidR="00356498" w:rsidRPr="009F1210">
        <w:rPr>
          <w:rFonts w:ascii="Cambria" w:hAnsi="Cambria"/>
          <w:sz w:val="20"/>
          <w:szCs w:val="20"/>
        </w:rPr>
        <w:t xml:space="preserve">by the National Unit for Human Rights and International Humanitarian </w:t>
      </w:r>
      <w:r w:rsidR="00D93192">
        <w:rPr>
          <w:rFonts w:ascii="Cambria" w:hAnsi="Cambria"/>
          <w:sz w:val="20"/>
          <w:szCs w:val="20"/>
        </w:rPr>
        <w:t>Law, 45th Special Prosecutor</w:t>
      </w:r>
      <w:r w:rsidR="005B6CE3">
        <w:rPr>
          <w:rFonts w:ascii="Cambria" w:hAnsi="Cambria"/>
          <w:sz w:val="20"/>
          <w:szCs w:val="20"/>
        </w:rPr>
        <w:t>’</w:t>
      </w:r>
      <w:r w:rsidR="00356498" w:rsidRPr="009F1210">
        <w:rPr>
          <w:rFonts w:ascii="Cambria" w:hAnsi="Cambria"/>
          <w:sz w:val="20"/>
          <w:szCs w:val="20"/>
        </w:rPr>
        <w:t>s Office of Neiva Huila</w:t>
      </w:r>
      <w:r w:rsidR="00356498">
        <w:rPr>
          <w:rFonts w:ascii="Cambria" w:hAnsi="Cambria"/>
          <w:sz w:val="20"/>
          <w:szCs w:val="20"/>
        </w:rPr>
        <w:t>,</w:t>
      </w:r>
      <w:r w:rsidR="00356498" w:rsidRPr="009F1210">
        <w:rPr>
          <w:rFonts w:ascii="Cambria" w:hAnsi="Cambria"/>
          <w:sz w:val="20"/>
          <w:szCs w:val="20"/>
        </w:rPr>
        <w:t xml:space="preserve"> </w:t>
      </w:r>
      <w:r w:rsidRPr="009F1210">
        <w:rPr>
          <w:rFonts w:ascii="Cambria" w:hAnsi="Cambria"/>
          <w:sz w:val="20"/>
          <w:szCs w:val="20"/>
        </w:rPr>
        <w:t xml:space="preserve">in relation to the </w:t>
      </w:r>
      <w:r w:rsidR="005274BB">
        <w:rPr>
          <w:rFonts w:ascii="Cambria" w:hAnsi="Cambria"/>
          <w:sz w:val="20"/>
          <w:szCs w:val="20"/>
        </w:rPr>
        <w:t xml:space="preserve">criminal </w:t>
      </w:r>
      <w:r w:rsidRPr="009F1210">
        <w:rPr>
          <w:rFonts w:ascii="Cambria" w:hAnsi="Cambria"/>
          <w:sz w:val="20"/>
          <w:szCs w:val="20"/>
        </w:rPr>
        <w:t>offenses of aggravated murder of a protected individual, attempted murder of a protected indiv</w:t>
      </w:r>
      <w:r w:rsidR="005274BB">
        <w:rPr>
          <w:rFonts w:ascii="Cambria" w:hAnsi="Cambria"/>
          <w:sz w:val="20"/>
          <w:szCs w:val="20"/>
        </w:rPr>
        <w:t>i</w:t>
      </w:r>
      <w:r w:rsidRPr="009F1210">
        <w:rPr>
          <w:rFonts w:ascii="Cambria" w:hAnsi="Cambria"/>
          <w:sz w:val="20"/>
          <w:szCs w:val="20"/>
        </w:rPr>
        <w:t xml:space="preserve">dual, personal </w:t>
      </w:r>
      <w:r w:rsidR="00356498">
        <w:rPr>
          <w:rFonts w:ascii="Cambria" w:hAnsi="Cambria"/>
          <w:sz w:val="20"/>
          <w:szCs w:val="20"/>
        </w:rPr>
        <w:t>injury and forced disappearance</w:t>
      </w:r>
      <w:r w:rsidRPr="009F1210">
        <w:rPr>
          <w:rFonts w:ascii="Cambria" w:hAnsi="Cambria"/>
          <w:sz w:val="20"/>
          <w:szCs w:val="20"/>
        </w:rPr>
        <w:t>. It indicates that a series of investigation procedures have been conducted and that 7 members of the National Army have been inquired in th</w:t>
      </w:r>
      <w:r w:rsidR="00D93192">
        <w:rPr>
          <w:rFonts w:ascii="Cambria" w:hAnsi="Cambria"/>
          <w:sz w:val="20"/>
          <w:szCs w:val="20"/>
        </w:rPr>
        <w:t>e framework of the proceedings.</w:t>
      </w:r>
    </w:p>
    <w:p w:rsidR="00A0661D" w:rsidRPr="009F1210" w:rsidRDefault="00A0661D" w:rsidP="00485E99">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olor w:val="0070C0"/>
          <w:sz w:val="20"/>
          <w:szCs w:val="20"/>
        </w:rPr>
      </w:pPr>
      <w:r w:rsidRPr="009F1210">
        <w:rPr>
          <w:rFonts w:ascii="Cambria" w:hAnsi="Cambria"/>
          <w:sz w:val="20"/>
          <w:szCs w:val="20"/>
        </w:rPr>
        <w:t>In its written statement of May 23, 2014, the State indicates that the alleged victims</w:t>
      </w:r>
      <w:r w:rsidR="005B6CE3">
        <w:rPr>
          <w:rFonts w:ascii="Cambria" w:hAnsi="Cambria"/>
          <w:sz w:val="20"/>
          <w:szCs w:val="20"/>
        </w:rPr>
        <w:t>’</w:t>
      </w:r>
      <w:r w:rsidRPr="009F1210">
        <w:rPr>
          <w:rFonts w:ascii="Cambria" w:hAnsi="Cambria"/>
          <w:sz w:val="20"/>
          <w:szCs w:val="20"/>
        </w:rPr>
        <w:t xml:space="preserve"> bodies were exhumed and that to that date, these were at the Institute of Forensic Medicine for the matching of DNA samples taken from their relatives. As regards child Gonzalo Ocampo Meneses, the State initially alleged that there was no proof that he had died in the clash or that he had been one of the alleged victims. Nonetheless, in its written statement of May 23, 2014, the State indicates that his body was found and taken to the Institute of Forensic Medicine for a DNA matching, after which the remains would b</w:t>
      </w:r>
      <w:r w:rsidR="0029221D">
        <w:rPr>
          <w:rFonts w:ascii="Cambria" w:hAnsi="Cambria"/>
          <w:sz w:val="20"/>
          <w:szCs w:val="20"/>
        </w:rPr>
        <w:t>e handed over to his relatives.</w:t>
      </w:r>
    </w:p>
    <w:p w:rsidR="00A0661D" w:rsidRPr="009F1210" w:rsidRDefault="00A0661D" w:rsidP="00485E99">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olor w:val="0070C0"/>
          <w:sz w:val="20"/>
          <w:szCs w:val="20"/>
        </w:rPr>
      </w:pPr>
      <w:r w:rsidRPr="009F1210">
        <w:rPr>
          <w:rFonts w:ascii="Cambria" w:hAnsi="Cambria"/>
          <w:sz w:val="20"/>
          <w:szCs w:val="20"/>
        </w:rPr>
        <w:t xml:space="preserve">As to the administrative proceedings, the State asserts that Ángel Emiro Meneses Muñoz and others filed a claim for direct reparations as family members of Dora Inés Meneses Gómez and children Gonzalo and Fabián Ocampo Meneses. It indicates that the Second </w:t>
      </w:r>
      <w:r w:rsidR="0029221D" w:rsidRPr="009F1210">
        <w:rPr>
          <w:rFonts w:ascii="Cambria" w:hAnsi="Cambria"/>
          <w:sz w:val="20"/>
          <w:szCs w:val="20"/>
        </w:rPr>
        <w:t xml:space="preserve">Decongestion </w:t>
      </w:r>
      <w:r w:rsidRPr="009F1210">
        <w:rPr>
          <w:rFonts w:ascii="Cambria" w:hAnsi="Cambria"/>
          <w:sz w:val="20"/>
          <w:szCs w:val="20"/>
        </w:rPr>
        <w:t>Administrative Court of Caquetá declared, by its judgment of June 29, 2012, the administrative responsibility of the State–the Ministry of Defense, the National Army. It asserts that the denounced party lodged an appeal against the first-instance judgment, which is pending resolution at the Admi</w:t>
      </w:r>
      <w:r w:rsidR="008C4BA0">
        <w:rPr>
          <w:rFonts w:ascii="Cambria" w:hAnsi="Cambria"/>
          <w:sz w:val="20"/>
          <w:szCs w:val="20"/>
        </w:rPr>
        <w:t>nistrative Law Court of Caquetá.</w:t>
      </w:r>
    </w:p>
    <w:p w:rsidR="00A0661D" w:rsidRPr="009F1210" w:rsidRDefault="00A0661D" w:rsidP="00485E99">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olor w:val="0070C0"/>
          <w:sz w:val="20"/>
          <w:szCs w:val="20"/>
        </w:rPr>
      </w:pPr>
      <w:r w:rsidRPr="009F1210">
        <w:rPr>
          <w:rFonts w:ascii="Cambria" w:hAnsi="Cambria"/>
          <w:sz w:val="20"/>
          <w:szCs w:val="20"/>
        </w:rPr>
        <w:lastRenderedPageBreak/>
        <w:t>The State indicates that the Command of the National Army</w:t>
      </w:r>
      <w:r w:rsidR="005B6CE3">
        <w:rPr>
          <w:rFonts w:ascii="Cambria" w:hAnsi="Cambria"/>
          <w:sz w:val="20"/>
          <w:szCs w:val="20"/>
        </w:rPr>
        <w:t>’</w:t>
      </w:r>
      <w:r w:rsidRPr="009F1210">
        <w:rPr>
          <w:rFonts w:ascii="Cambria" w:hAnsi="Cambria"/>
          <w:sz w:val="20"/>
          <w:szCs w:val="20"/>
        </w:rPr>
        <w:t>s Twelfth Brigade filed a disciplinary investigation into the facts, which was definitely closed by the decision of March 16, 2004 on the grounds that the facts did not establish a disciplinary offense.</w:t>
      </w:r>
    </w:p>
    <w:p w:rsidR="00A0661D" w:rsidRPr="009F1210" w:rsidRDefault="00A0661D" w:rsidP="00485E99">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olor w:val="0070C0"/>
          <w:sz w:val="20"/>
          <w:szCs w:val="20"/>
        </w:rPr>
      </w:pPr>
      <w:r w:rsidRPr="009F1210">
        <w:rPr>
          <w:rFonts w:ascii="Cambria" w:hAnsi="Cambria"/>
          <w:sz w:val="20"/>
          <w:szCs w:val="20"/>
        </w:rPr>
        <w:t xml:space="preserve">The State claims that this petition is inadmissible inasmuch as it does not meet the requirement of prior exhaustion of domestic remedies that is set forth in Article 46.1(a) of the Convention. As to the criminal investigation, it indicates that it is being conducted by an ordinary court and that a series of investigative measures have been adopted to </w:t>
      </w:r>
      <w:r w:rsidR="00AB2F5A">
        <w:rPr>
          <w:rFonts w:ascii="Cambria" w:hAnsi="Cambria"/>
          <w:sz w:val="20"/>
          <w:szCs w:val="20"/>
        </w:rPr>
        <w:t>determine</w:t>
      </w:r>
      <w:r w:rsidRPr="009F1210">
        <w:rPr>
          <w:rFonts w:ascii="Cambria" w:hAnsi="Cambria"/>
          <w:sz w:val="20"/>
          <w:szCs w:val="20"/>
        </w:rPr>
        <w:t xml:space="preserve"> the facts. It claims, therefore, that the domestic remedies have not been exhausted and that the exception set forth in Article 46.2(a) of th</w:t>
      </w:r>
      <w:r w:rsidR="002C5EA7">
        <w:rPr>
          <w:rFonts w:ascii="Cambria" w:hAnsi="Cambria"/>
          <w:sz w:val="20"/>
          <w:szCs w:val="20"/>
        </w:rPr>
        <w:t>e Convention is not applicable.</w:t>
      </w:r>
    </w:p>
    <w:p w:rsidR="00A0661D" w:rsidRPr="009F1210" w:rsidRDefault="002C5EA7" w:rsidP="00485E99">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olor w:val="0070C0"/>
          <w:sz w:val="20"/>
          <w:szCs w:val="20"/>
        </w:rPr>
      </w:pPr>
      <w:r>
        <w:rPr>
          <w:rFonts w:ascii="Cambria" w:hAnsi="Cambria"/>
          <w:sz w:val="20"/>
          <w:szCs w:val="20"/>
        </w:rPr>
        <w:t>Concerning</w:t>
      </w:r>
      <w:r w:rsidR="00A0661D" w:rsidRPr="009F1210">
        <w:rPr>
          <w:rFonts w:ascii="Cambria" w:hAnsi="Cambria"/>
          <w:sz w:val="20"/>
          <w:szCs w:val="20"/>
        </w:rPr>
        <w:t xml:space="preserve"> the exception established in Article 46.2(b) of the Convention, the State indicates that the petitioners</w:t>
      </w:r>
      <w:r w:rsidR="005B6CE3">
        <w:rPr>
          <w:rFonts w:ascii="Cambria" w:hAnsi="Cambria"/>
          <w:sz w:val="20"/>
          <w:szCs w:val="20"/>
        </w:rPr>
        <w:t>’</w:t>
      </w:r>
      <w:r w:rsidR="00A0661D" w:rsidRPr="009F1210">
        <w:rPr>
          <w:rFonts w:ascii="Cambria" w:hAnsi="Cambria"/>
          <w:sz w:val="20"/>
          <w:szCs w:val="20"/>
        </w:rPr>
        <w:t xml:space="preserve"> </w:t>
      </w:r>
      <w:r>
        <w:rPr>
          <w:rFonts w:ascii="Cambria" w:hAnsi="Cambria"/>
          <w:sz w:val="20"/>
          <w:szCs w:val="20"/>
        </w:rPr>
        <w:t>claims</w:t>
      </w:r>
      <w:r w:rsidR="00A0661D" w:rsidRPr="009F1210">
        <w:rPr>
          <w:rFonts w:ascii="Cambria" w:hAnsi="Cambria"/>
          <w:sz w:val="20"/>
          <w:szCs w:val="20"/>
        </w:rPr>
        <w:t xml:space="preserve"> </w:t>
      </w:r>
      <w:r>
        <w:rPr>
          <w:rFonts w:ascii="Cambria" w:hAnsi="Cambria"/>
          <w:sz w:val="20"/>
          <w:szCs w:val="20"/>
        </w:rPr>
        <w:t>in relation to</w:t>
      </w:r>
      <w:r w:rsidR="00A0661D" w:rsidRPr="009F1210">
        <w:rPr>
          <w:rFonts w:ascii="Cambria" w:hAnsi="Cambria"/>
          <w:sz w:val="20"/>
          <w:szCs w:val="20"/>
        </w:rPr>
        <w:t xml:space="preserve"> the threats and the displacement suffered by the alleged victims</w:t>
      </w:r>
      <w:r w:rsidR="005B6CE3">
        <w:rPr>
          <w:rFonts w:ascii="Cambria" w:hAnsi="Cambria"/>
          <w:sz w:val="20"/>
          <w:szCs w:val="20"/>
        </w:rPr>
        <w:t>’</w:t>
      </w:r>
      <w:r w:rsidR="00A0661D" w:rsidRPr="009F1210">
        <w:rPr>
          <w:rFonts w:ascii="Cambria" w:hAnsi="Cambria"/>
          <w:sz w:val="20"/>
          <w:szCs w:val="20"/>
        </w:rPr>
        <w:t xml:space="preserve"> family members are generic </w:t>
      </w:r>
      <w:r w:rsidR="009D2FCB">
        <w:rPr>
          <w:rFonts w:ascii="Cambria" w:hAnsi="Cambria"/>
          <w:sz w:val="20"/>
          <w:szCs w:val="20"/>
        </w:rPr>
        <w:t xml:space="preserve">claims </w:t>
      </w:r>
      <w:r w:rsidR="00A0661D" w:rsidRPr="009F1210">
        <w:rPr>
          <w:rFonts w:ascii="Cambria" w:hAnsi="Cambria"/>
          <w:sz w:val="20"/>
          <w:szCs w:val="20"/>
        </w:rPr>
        <w:t>and have not been proved or reported to the competent domestic authorities.</w:t>
      </w:r>
    </w:p>
    <w:p w:rsidR="00A0661D" w:rsidRPr="009F1210" w:rsidRDefault="00374642" w:rsidP="00485E99">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olor w:val="0070C0"/>
          <w:sz w:val="20"/>
          <w:szCs w:val="20"/>
        </w:rPr>
      </w:pPr>
      <w:r w:rsidRPr="009F1210">
        <w:rPr>
          <w:rFonts w:ascii="Cambria" w:hAnsi="Cambria"/>
          <w:sz w:val="20"/>
          <w:szCs w:val="20"/>
        </w:rPr>
        <w:t>The State claims that the exception set forth in Article 46.2(c) of the Convention does not apply and that in order to assess the reasonableness of the time limit, i</w:t>
      </w:r>
      <w:r w:rsidR="009D2FCB">
        <w:rPr>
          <w:rFonts w:ascii="Cambria" w:hAnsi="Cambria"/>
          <w:sz w:val="20"/>
          <w:szCs w:val="20"/>
        </w:rPr>
        <w:t xml:space="preserve">t does not suffice to consider </w:t>
      </w:r>
      <w:r w:rsidRPr="009F1210">
        <w:rPr>
          <w:rFonts w:ascii="Cambria" w:hAnsi="Cambria"/>
          <w:sz w:val="20"/>
          <w:szCs w:val="20"/>
        </w:rPr>
        <w:t xml:space="preserve">only the passing of time. It asserts that it is necessary to consider </w:t>
      </w:r>
      <w:r w:rsidR="009D2FCB" w:rsidRPr="009F1210">
        <w:rPr>
          <w:rFonts w:ascii="Cambria" w:hAnsi="Cambria"/>
          <w:sz w:val="20"/>
          <w:szCs w:val="20"/>
        </w:rPr>
        <w:t xml:space="preserve">also </w:t>
      </w:r>
      <w:r w:rsidRPr="009F1210">
        <w:rPr>
          <w:rFonts w:ascii="Cambria" w:hAnsi="Cambria"/>
          <w:sz w:val="20"/>
          <w:szCs w:val="20"/>
        </w:rPr>
        <w:t xml:space="preserve">the circumstances of the case, the complexity of the matter, the geographical context, </w:t>
      </w:r>
      <w:r w:rsidR="00A709CB" w:rsidRPr="009F1210">
        <w:rPr>
          <w:rFonts w:ascii="Cambria" w:hAnsi="Cambria"/>
          <w:sz w:val="20"/>
          <w:szCs w:val="20"/>
        </w:rPr>
        <w:t>and the</w:t>
      </w:r>
      <w:r w:rsidRPr="009F1210">
        <w:rPr>
          <w:rFonts w:ascii="Cambria" w:hAnsi="Cambria"/>
          <w:sz w:val="20"/>
          <w:szCs w:val="20"/>
        </w:rPr>
        <w:t xml:space="preserve"> actions of the judicial authorities and the petitioners. In this regard, it claims that the authorities acted in a diligent way and </w:t>
      </w:r>
      <w:r w:rsidR="00A709CB">
        <w:rPr>
          <w:rFonts w:ascii="Cambria" w:hAnsi="Cambria"/>
          <w:sz w:val="20"/>
          <w:szCs w:val="20"/>
        </w:rPr>
        <w:t>adopted</w:t>
      </w:r>
      <w:r w:rsidRPr="009F1210">
        <w:rPr>
          <w:rFonts w:ascii="Cambria" w:hAnsi="Cambria"/>
          <w:sz w:val="20"/>
          <w:szCs w:val="20"/>
        </w:rPr>
        <w:t xml:space="preserve"> several evidentiary and procedural </w:t>
      </w:r>
      <w:r w:rsidR="00A709CB">
        <w:rPr>
          <w:rFonts w:ascii="Cambria" w:hAnsi="Cambria"/>
          <w:sz w:val="20"/>
          <w:szCs w:val="20"/>
        </w:rPr>
        <w:t>measures</w:t>
      </w:r>
      <w:r w:rsidRPr="009F1210">
        <w:rPr>
          <w:rFonts w:ascii="Cambria" w:hAnsi="Cambria"/>
          <w:sz w:val="20"/>
          <w:szCs w:val="20"/>
        </w:rPr>
        <w:t xml:space="preserve"> aimed at </w:t>
      </w:r>
      <w:r w:rsidR="00B7494B">
        <w:rPr>
          <w:rFonts w:ascii="Cambria" w:hAnsi="Cambria"/>
          <w:sz w:val="20"/>
          <w:szCs w:val="20"/>
        </w:rPr>
        <w:t>determining</w:t>
      </w:r>
      <w:r w:rsidRPr="009F1210">
        <w:rPr>
          <w:rFonts w:ascii="Cambria" w:hAnsi="Cambria"/>
          <w:sz w:val="20"/>
          <w:szCs w:val="20"/>
        </w:rPr>
        <w:t xml:space="preserve"> the facts denounced in the petition; and that the petitioners were not diligent enough in relation to the proceedings inasmuch as they have not appeared as the plaintiff in the criminal proceedings.</w:t>
      </w:r>
    </w:p>
    <w:p w:rsidR="00A0661D" w:rsidRPr="009F1210" w:rsidRDefault="00A0661D" w:rsidP="00485E99">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olor w:val="0070C0"/>
          <w:sz w:val="20"/>
          <w:szCs w:val="20"/>
        </w:rPr>
      </w:pPr>
      <w:r w:rsidRPr="009F1210">
        <w:rPr>
          <w:rFonts w:ascii="Cambria" w:hAnsi="Cambria"/>
          <w:sz w:val="20"/>
          <w:szCs w:val="20"/>
        </w:rPr>
        <w:t xml:space="preserve">In addition, the State considers that when State responsibility is alleged, in order to </w:t>
      </w:r>
      <w:r w:rsidR="001071CD">
        <w:rPr>
          <w:rFonts w:ascii="Cambria" w:hAnsi="Cambria"/>
          <w:sz w:val="20"/>
          <w:szCs w:val="20"/>
        </w:rPr>
        <w:t>seek</w:t>
      </w:r>
      <w:r w:rsidRPr="009F1210">
        <w:rPr>
          <w:rFonts w:ascii="Cambria" w:hAnsi="Cambria"/>
          <w:sz w:val="20"/>
          <w:szCs w:val="20"/>
        </w:rPr>
        <w:t xml:space="preserve"> redress, a claim for direct reparations must be pursued and exhausted before an administrative law court. It adds that based on the latest decisions by the Council of State, this remedy is useful to obtain compensation but also full redress; therefore, it claims, under the principle of subsidiarity, it is </w:t>
      </w:r>
      <w:r w:rsidR="00702398">
        <w:rPr>
          <w:rFonts w:ascii="Cambria" w:hAnsi="Cambria"/>
          <w:sz w:val="20"/>
          <w:szCs w:val="20"/>
        </w:rPr>
        <w:t>not appropriate</w:t>
      </w:r>
      <w:r w:rsidRPr="009F1210">
        <w:rPr>
          <w:rFonts w:ascii="Cambria" w:hAnsi="Cambria"/>
          <w:sz w:val="20"/>
          <w:szCs w:val="20"/>
        </w:rPr>
        <w:t xml:space="preserve"> that the petitioners resort to the Commission </w:t>
      </w:r>
      <w:r w:rsidR="00702398">
        <w:rPr>
          <w:rFonts w:ascii="Cambria" w:hAnsi="Cambria"/>
          <w:sz w:val="20"/>
          <w:szCs w:val="20"/>
        </w:rPr>
        <w:t>if</w:t>
      </w:r>
      <w:r w:rsidRPr="009F1210">
        <w:rPr>
          <w:rFonts w:ascii="Cambria" w:hAnsi="Cambria"/>
          <w:sz w:val="20"/>
          <w:szCs w:val="20"/>
        </w:rPr>
        <w:t xml:space="preserve"> the alleged State responsibility is yet to be decided through </w:t>
      </w:r>
      <w:r w:rsidR="00EB23A7">
        <w:rPr>
          <w:rFonts w:ascii="Cambria" w:hAnsi="Cambria"/>
          <w:sz w:val="20"/>
          <w:szCs w:val="20"/>
        </w:rPr>
        <w:t xml:space="preserve">the ongoing domestic </w:t>
      </w:r>
      <w:r w:rsidRPr="009F1210">
        <w:rPr>
          <w:rFonts w:ascii="Cambria" w:hAnsi="Cambria"/>
          <w:sz w:val="20"/>
          <w:szCs w:val="20"/>
        </w:rPr>
        <w:t>proceedings. As to the alleged victims</w:t>
      </w:r>
      <w:r w:rsidR="005B6CE3">
        <w:rPr>
          <w:rFonts w:ascii="Cambria" w:hAnsi="Cambria"/>
          <w:sz w:val="20"/>
          <w:szCs w:val="20"/>
        </w:rPr>
        <w:t>’</w:t>
      </w:r>
      <w:r w:rsidRPr="009F1210">
        <w:rPr>
          <w:rFonts w:ascii="Cambria" w:hAnsi="Cambria"/>
          <w:sz w:val="20"/>
          <w:szCs w:val="20"/>
        </w:rPr>
        <w:t xml:space="preserve"> family members who did not file a claim for direct reparations, the State declares that the competent authorities were unable to rule on the possible State responsibility inasmuch as no claim was filed; hence</w:t>
      </w:r>
      <w:r w:rsidR="00C24A2F">
        <w:rPr>
          <w:rFonts w:ascii="Cambria" w:hAnsi="Cambria"/>
          <w:sz w:val="20"/>
          <w:szCs w:val="20"/>
        </w:rPr>
        <w:t>,</w:t>
      </w:r>
      <w:r w:rsidRPr="009F1210">
        <w:rPr>
          <w:rFonts w:ascii="Cambria" w:hAnsi="Cambria"/>
          <w:sz w:val="20"/>
          <w:szCs w:val="20"/>
        </w:rPr>
        <w:t xml:space="preserve"> it claims that </w:t>
      </w:r>
      <w:r w:rsidR="00C24A2F">
        <w:rPr>
          <w:rFonts w:ascii="Cambria" w:hAnsi="Cambria"/>
          <w:sz w:val="20"/>
          <w:szCs w:val="20"/>
        </w:rPr>
        <w:t>said</w:t>
      </w:r>
      <w:r w:rsidRPr="009F1210">
        <w:rPr>
          <w:rFonts w:ascii="Cambria" w:hAnsi="Cambria"/>
          <w:sz w:val="20"/>
          <w:szCs w:val="20"/>
        </w:rPr>
        <w:t xml:space="preserve"> petitioners did</w:t>
      </w:r>
      <w:r w:rsidR="00C24A2F">
        <w:rPr>
          <w:rFonts w:ascii="Cambria" w:hAnsi="Cambria"/>
          <w:sz w:val="20"/>
          <w:szCs w:val="20"/>
        </w:rPr>
        <w:t xml:space="preserve"> not exhaust domestic remedies.</w:t>
      </w:r>
    </w:p>
    <w:p w:rsidR="00A0661D" w:rsidRPr="009F1210" w:rsidRDefault="00A0661D" w:rsidP="00485E99">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olor w:val="0070C0"/>
          <w:sz w:val="20"/>
          <w:szCs w:val="20"/>
        </w:rPr>
      </w:pPr>
      <w:r w:rsidRPr="009F1210">
        <w:rPr>
          <w:rFonts w:ascii="Cambria" w:hAnsi="Cambria"/>
          <w:sz w:val="20"/>
          <w:szCs w:val="20"/>
        </w:rPr>
        <w:t xml:space="preserve">Concerning </w:t>
      </w:r>
      <w:r w:rsidR="00C0580E" w:rsidRPr="009F1210">
        <w:rPr>
          <w:rFonts w:ascii="Cambria" w:hAnsi="Cambria"/>
          <w:sz w:val="20"/>
          <w:szCs w:val="20"/>
        </w:rPr>
        <w:t>José Duván Gil Vá</w:t>
      </w:r>
      <w:r w:rsidR="00C0580E">
        <w:rPr>
          <w:rFonts w:ascii="Cambria" w:hAnsi="Cambria"/>
          <w:sz w:val="20"/>
          <w:szCs w:val="20"/>
        </w:rPr>
        <w:t>squez</w:t>
      </w:r>
      <w:r w:rsidR="005B6CE3">
        <w:rPr>
          <w:rFonts w:ascii="Cambria" w:hAnsi="Cambria"/>
          <w:sz w:val="20"/>
          <w:szCs w:val="20"/>
        </w:rPr>
        <w:t>’</w:t>
      </w:r>
      <w:r w:rsidR="00C0580E">
        <w:rPr>
          <w:rFonts w:ascii="Cambria" w:hAnsi="Cambria"/>
          <w:sz w:val="20"/>
          <w:szCs w:val="20"/>
        </w:rPr>
        <w:t>s</w:t>
      </w:r>
      <w:r w:rsidRPr="009F1210">
        <w:rPr>
          <w:rFonts w:ascii="Cambria" w:hAnsi="Cambria"/>
          <w:sz w:val="20"/>
          <w:szCs w:val="20"/>
        </w:rPr>
        <w:t xml:space="preserve"> detention and prosecution</w:t>
      </w:r>
      <w:r w:rsidR="00134548">
        <w:rPr>
          <w:rFonts w:ascii="Cambria" w:hAnsi="Cambria"/>
          <w:sz w:val="20"/>
          <w:szCs w:val="20"/>
        </w:rPr>
        <w:t xml:space="preserve">, the State indicates that </w:t>
      </w:r>
      <w:r w:rsidRPr="009F1210">
        <w:rPr>
          <w:rFonts w:ascii="Cambria" w:hAnsi="Cambria"/>
          <w:sz w:val="20"/>
          <w:szCs w:val="20"/>
        </w:rPr>
        <w:t xml:space="preserve">on November 24, 2004 he was </w:t>
      </w:r>
      <w:r w:rsidR="00134548">
        <w:rPr>
          <w:rFonts w:ascii="Cambria" w:hAnsi="Cambria"/>
          <w:sz w:val="20"/>
          <w:szCs w:val="20"/>
        </w:rPr>
        <w:t>convicted</w:t>
      </w:r>
      <w:r w:rsidRPr="009F1210">
        <w:rPr>
          <w:rFonts w:ascii="Cambria" w:hAnsi="Cambria"/>
          <w:sz w:val="20"/>
          <w:szCs w:val="20"/>
        </w:rPr>
        <w:t xml:space="preserve"> by a first-instance judgment to 76-month term in prison for insurgency, and that on September 19, 2006 he was released on parole. It asserts that whether his deprivation of liberty was unjust must be first analyzed in the domestic venue through a claim for direct reparations, which the victim has not filed</w:t>
      </w:r>
      <w:r w:rsidR="00134548">
        <w:rPr>
          <w:rFonts w:ascii="Cambria" w:hAnsi="Cambria"/>
          <w:sz w:val="20"/>
          <w:szCs w:val="20"/>
        </w:rPr>
        <w:t xml:space="preserve"> </w:t>
      </w:r>
      <w:r w:rsidR="00134548" w:rsidRPr="009F1210">
        <w:rPr>
          <w:rFonts w:ascii="Cambria" w:hAnsi="Cambria"/>
          <w:sz w:val="20"/>
          <w:szCs w:val="20"/>
        </w:rPr>
        <w:t>yet</w:t>
      </w:r>
      <w:r w:rsidR="007C2EF9">
        <w:rPr>
          <w:rFonts w:ascii="Cambria" w:hAnsi="Cambria"/>
          <w:sz w:val="20"/>
          <w:szCs w:val="20"/>
        </w:rPr>
        <w:t>. In view of this</w:t>
      </w:r>
      <w:r w:rsidRPr="009F1210">
        <w:rPr>
          <w:rFonts w:ascii="Cambria" w:hAnsi="Cambria"/>
          <w:sz w:val="20"/>
          <w:szCs w:val="20"/>
        </w:rPr>
        <w:t>, the State asserts that the petition is inadmissible inasmuch as the domestic re</w:t>
      </w:r>
      <w:r w:rsidR="00134548">
        <w:rPr>
          <w:rFonts w:ascii="Cambria" w:hAnsi="Cambria"/>
          <w:sz w:val="20"/>
          <w:szCs w:val="20"/>
        </w:rPr>
        <w:t>medies have not been exhausted.</w:t>
      </w:r>
    </w:p>
    <w:p w:rsidR="00A0661D" w:rsidRPr="009F1210" w:rsidRDefault="00A0661D" w:rsidP="00485E99">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olor w:val="0070C0"/>
          <w:sz w:val="20"/>
          <w:szCs w:val="20"/>
        </w:rPr>
      </w:pPr>
      <w:r w:rsidRPr="009F1210">
        <w:rPr>
          <w:rFonts w:ascii="Cambria" w:hAnsi="Cambria"/>
          <w:sz w:val="20"/>
          <w:szCs w:val="20"/>
        </w:rPr>
        <w:t xml:space="preserve">Finally, the State indicates that the arguments concerning the violation of Articles 3 and 4 of the Belém do Pará Convention to the detriment of Dora Inés Meneses and Luz Mélida Ocampo are inadmissible on the grounds that the facts do not establish a violation thereof, since there is nothing to prove the violation of the specific legal content of </w:t>
      </w:r>
      <w:r w:rsidR="0066386F">
        <w:rPr>
          <w:rFonts w:ascii="Cambria" w:hAnsi="Cambria"/>
          <w:sz w:val="20"/>
          <w:szCs w:val="20"/>
        </w:rPr>
        <w:t>said</w:t>
      </w:r>
      <w:r w:rsidRPr="009F1210">
        <w:rPr>
          <w:rFonts w:ascii="Cambria" w:hAnsi="Cambria"/>
          <w:sz w:val="20"/>
          <w:szCs w:val="20"/>
        </w:rPr>
        <w:t xml:space="preserve"> Convention. It also claims that the facts allegedly establishing violations were perpetrated regardless of the fact that the alleged victims were women, </w:t>
      </w:r>
      <w:r w:rsidR="00596AF8">
        <w:rPr>
          <w:rFonts w:ascii="Cambria" w:hAnsi="Cambria"/>
          <w:sz w:val="20"/>
          <w:szCs w:val="20"/>
        </w:rPr>
        <w:t>as they took place</w:t>
      </w:r>
      <w:r w:rsidRPr="009F1210">
        <w:rPr>
          <w:rFonts w:ascii="Cambria" w:hAnsi="Cambria"/>
          <w:sz w:val="20"/>
          <w:szCs w:val="20"/>
        </w:rPr>
        <w:t xml:space="preserve"> in </w:t>
      </w:r>
      <w:r w:rsidR="00596AF8">
        <w:rPr>
          <w:rFonts w:ascii="Cambria" w:hAnsi="Cambria"/>
          <w:sz w:val="20"/>
          <w:szCs w:val="20"/>
        </w:rPr>
        <w:t>the</w:t>
      </w:r>
      <w:r w:rsidRPr="009F1210">
        <w:rPr>
          <w:rFonts w:ascii="Cambria" w:hAnsi="Cambria"/>
          <w:sz w:val="20"/>
          <w:szCs w:val="20"/>
        </w:rPr>
        <w:t xml:space="preserve"> context of a military operation in which also men died. The State also claims that the Commission is not competent to hear alleged violations other than those established in Article 7 of the Belém do Pará Convention, and that, hence, the petitioners</w:t>
      </w:r>
      <w:r w:rsidR="005B6CE3">
        <w:rPr>
          <w:rFonts w:ascii="Cambria" w:hAnsi="Cambria"/>
          <w:sz w:val="20"/>
          <w:szCs w:val="20"/>
        </w:rPr>
        <w:t>’</w:t>
      </w:r>
      <w:r w:rsidRPr="009F1210">
        <w:rPr>
          <w:rFonts w:ascii="Cambria" w:hAnsi="Cambria"/>
          <w:sz w:val="20"/>
          <w:szCs w:val="20"/>
        </w:rPr>
        <w:t xml:space="preserve"> request to have this petition declared admissible in relation to Articles 3 and 4 of said Convention must be declared inadmissible.</w:t>
      </w:r>
    </w:p>
    <w:p w:rsidR="00DE37B0" w:rsidRDefault="00DE37B0" w:rsidP="00485E99">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rPr>
      </w:pPr>
    </w:p>
    <w:p w:rsidR="00DE37B0" w:rsidRDefault="00DE37B0" w:rsidP="00485E99">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rPr>
      </w:pP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rPr>
      </w:pPr>
      <w:r w:rsidRPr="009F1210">
        <w:rPr>
          <w:rFonts w:ascii="Cambria" w:hAnsi="Cambria"/>
          <w:b/>
          <w:bCs/>
          <w:sz w:val="20"/>
          <w:szCs w:val="20"/>
        </w:rPr>
        <w:lastRenderedPageBreak/>
        <w:t>IV.</w:t>
      </w:r>
      <w:r w:rsidRPr="009F1210">
        <w:rPr>
          <w:rFonts w:ascii="Cambria" w:hAnsi="Cambria"/>
          <w:b/>
          <w:bCs/>
          <w:sz w:val="20"/>
          <w:szCs w:val="20"/>
        </w:rPr>
        <w:tab/>
        <w:t>ANALYSIS ON COMPETENCE AND ADMISSIBILITY</w:t>
      </w: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sz w:val="20"/>
          <w:szCs w:val="20"/>
        </w:rPr>
      </w:pPr>
      <w:r w:rsidRPr="009F1210">
        <w:rPr>
          <w:rFonts w:ascii="Cambria" w:hAnsi="Cambria"/>
          <w:b/>
          <w:bCs/>
          <w:sz w:val="20"/>
          <w:szCs w:val="20"/>
        </w:rPr>
        <w:t>A.</w:t>
      </w:r>
      <w:r w:rsidRPr="009F1210">
        <w:rPr>
          <w:rFonts w:ascii="Cambria" w:hAnsi="Cambria"/>
          <w:b/>
          <w:bCs/>
          <w:sz w:val="20"/>
          <w:szCs w:val="20"/>
        </w:rPr>
        <w:tab/>
        <w:t xml:space="preserve">Competence </w:t>
      </w:r>
    </w:p>
    <w:p w:rsidR="00A0661D" w:rsidRPr="009F1210" w:rsidRDefault="00A0661D" w:rsidP="00485E99">
      <w:pPr>
        <w:pStyle w:val="BodyText"/>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eastAsia="SimSun" w:hAnsi="Cambria"/>
          <w:sz w:val="20"/>
          <w:szCs w:val="20"/>
        </w:rPr>
      </w:pPr>
      <w:r w:rsidRPr="009F1210">
        <w:rPr>
          <w:rFonts w:ascii="Cambria" w:eastAsia="SimSun" w:hAnsi="Cambria"/>
          <w:sz w:val="20"/>
          <w:szCs w:val="20"/>
        </w:rPr>
        <w:t>In principle, under Article 23 of the Rules</w:t>
      </w:r>
      <w:r w:rsidR="00A34D12">
        <w:rPr>
          <w:rFonts w:ascii="Cambria" w:eastAsia="SimSun" w:hAnsi="Cambria"/>
          <w:sz w:val="20"/>
          <w:szCs w:val="20"/>
        </w:rPr>
        <w:t xml:space="preserve"> and </w:t>
      </w:r>
      <w:r w:rsidR="00A34D12" w:rsidRPr="009F1210">
        <w:rPr>
          <w:rFonts w:ascii="Cambria" w:eastAsia="SimSun" w:hAnsi="Cambria"/>
          <w:sz w:val="20"/>
          <w:szCs w:val="20"/>
        </w:rPr>
        <w:t>Article 44 of the American Convention</w:t>
      </w:r>
      <w:r w:rsidRPr="009F1210">
        <w:rPr>
          <w:rFonts w:ascii="Cambria" w:eastAsia="SimSun" w:hAnsi="Cambria"/>
          <w:sz w:val="20"/>
          <w:szCs w:val="20"/>
        </w:rPr>
        <w:t xml:space="preserve">, the petitioners are entitled to lodge complaints with the Commission. According to the petition, an alleged violation of rights enshrined in the American Convention and the Belém do Pará Convention has been committed to the detriment of individual persons. The State of Colombia is obliged to respect and ensure the rights protected by American Convention, in relation to these persons. As regards the State, the Commission notes that Colombia is a State Party to the American Convention since July 31, 1973, </w:t>
      </w:r>
      <w:r w:rsidR="001B6AE7">
        <w:rPr>
          <w:rFonts w:ascii="Cambria" w:eastAsia="SimSun" w:hAnsi="Cambria"/>
          <w:sz w:val="20"/>
          <w:szCs w:val="20"/>
        </w:rPr>
        <w:t>when</w:t>
      </w:r>
      <w:r w:rsidRPr="009F1210">
        <w:rPr>
          <w:rFonts w:ascii="Cambria" w:eastAsia="SimSun" w:hAnsi="Cambria"/>
          <w:sz w:val="20"/>
          <w:szCs w:val="20"/>
        </w:rPr>
        <w:t xml:space="preserve"> Colombia deposited its instrument of ratification; to the Belém do Pará Convention since November 15, 1996, </w:t>
      </w:r>
      <w:r w:rsidR="006D6687">
        <w:rPr>
          <w:rFonts w:ascii="Cambria" w:eastAsia="SimSun" w:hAnsi="Cambria"/>
          <w:sz w:val="20"/>
          <w:szCs w:val="20"/>
        </w:rPr>
        <w:t>when</w:t>
      </w:r>
      <w:r w:rsidRPr="009F1210">
        <w:rPr>
          <w:rFonts w:ascii="Cambria" w:eastAsia="SimSun" w:hAnsi="Cambria"/>
          <w:sz w:val="20"/>
          <w:szCs w:val="20"/>
        </w:rPr>
        <w:t xml:space="preserve"> it deposited its ratification; and to the Inter-American Convention to Prevent and Punish Torture since January 19, 1999, when </w:t>
      </w:r>
      <w:r w:rsidR="001B6AE7">
        <w:rPr>
          <w:rFonts w:ascii="Cambria" w:eastAsia="SimSun" w:hAnsi="Cambria"/>
          <w:sz w:val="20"/>
          <w:szCs w:val="20"/>
        </w:rPr>
        <w:t>Colombia</w:t>
      </w:r>
      <w:r w:rsidRPr="009F1210">
        <w:rPr>
          <w:rFonts w:ascii="Cambria" w:eastAsia="SimSun" w:hAnsi="Cambria"/>
          <w:sz w:val="20"/>
          <w:szCs w:val="20"/>
        </w:rPr>
        <w:t xml:space="preserve"> deposited its ratification. Therefore, the Commission is competent </w:t>
      </w:r>
      <w:r w:rsidRPr="00C223DF">
        <w:rPr>
          <w:rFonts w:ascii="Cambria" w:eastAsia="SimSun" w:hAnsi="Cambria"/>
          <w:i/>
          <w:sz w:val="20"/>
          <w:szCs w:val="20"/>
        </w:rPr>
        <w:t>ratione personae</w:t>
      </w:r>
      <w:r w:rsidRPr="009F1210">
        <w:rPr>
          <w:rFonts w:ascii="Cambria" w:eastAsia="SimSun" w:hAnsi="Cambria"/>
          <w:sz w:val="20"/>
          <w:szCs w:val="20"/>
        </w:rPr>
        <w:t xml:space="preserve"> to assess the petition. The Commission is also competent </w:t>
      </w:r>
      <w:r w:rsidRPr="00C223DF">
        <w:rPr>
          <w:rFonts w:ascii="Cambria" w:eastAsia="SimSun" w:hAnsi="Cambria"/>
          <w:i/>
          <w:sz w:val="20"/>
          <w:szCs w:val="20"/>
        </w:rPr>
        <w:t>ratione loci</w:t>
      </w:r>
      <w:r w:rsidRPr="009F1210">
        <w:rPr>
          <w:rFonts w:ascii="Cambria" w:eastAsia="SimSun" w:hAnsi="Cambria"/>
          <w:sz w:val="20"/>
          <w:szCs w:val="20"/>
        </w:rPr>
        <w:t xml:space="preserve"> to hear the petition inasmuch as it refers to alleged violations of rights protected by the American Convention and the Belém do Pará Convention that allegedly took place inside the territory of Colombia, which is a State Party to said treaty.</w:t>
      </w:r>
    </w:p>
    <w:p w:rsidR="00A0661D" w:rsidRPr="009F1210" w:rsidRDefault="00A0661D" w:rsidP="00485E99">
      <w:pPr>
        <w:pStyle w:val="BodyText"/>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eastAsia="SimSun" w:hAnsi="Cambria"/>
          <w:sz w:val="20"/>
          <w:szCs w:val="20"/>
        </w:rPr>
      </w:pPr>
      <w:r w:rsidRPr="009F1210">
        <w:rPr>
          <w:rFonts w:ascii="Cambria" w:hAnsi="Cambria"/>
          <w:sz w:val="20"/>
          <w:szCs w:val="20"/>
        </w:rPr>
        <w:t xml:space="preserve">The Commission is competent </w:t>
      </w:r>
      <w:r w:rsidRPr="00C223DF">
        <w:rPr>
          <w:rFonts w:ascii="Cambria" w:hAnsi="Cambria"/>
          <w:i/>
          <w:sz w:val="20"/>
          <w:szCs w:val="20"/>
        </w:rPr>
        <w:t>ratione temporis</w:t>
      </w:r>
      <w:r w:rsidRPr="009F1210">
        <w:rPr>
          <w:rFonts w:ascii="Cambria" w:hAnsi="Cambria"/>
          <w:sz w:val="20"/>
          <w:szCs w:val="20"/>
        </w:rPr>
        <w:t xml:space="preserve"> since the obligation to respect and ensure the rights protected by the American Convention, the Belém do Pará Convention and the Inter-American Convention to Prevent and Punish Torture were already in force for the State by the time that the facts alleged in the petition took place. Lastly, the Commission is competent </w:t>
      </w:r>
      <w:r w:rsidRPr="00C223DF">
        <w:rPr>
          <w:rFonts w:ascii="Cambria" w:hAnsi="Cambria"/>
          <w:i/>
          <w:sz w:val="20"/>
          <w:szCs w:val="20"/>
        </w:rPr>
        <w:t>ratione materiae</w:t>
      </w:r>
      <w:r w:rsidRPr="009F1210">
        <w:rPr>
          <w:rFonts w:ascii="Cambria" w:hAnsi="Cambria"/>
          <w:sz w:val="20"/>
          <w:szCs w:val="20"/>
        </w:rPr>
        <w:t xml:space="preserve"> given that the petitioners denounce possible violations of human rights protected by the American Convention, the Belém do Pará Convention and the Inter-American Convention to Prevent and Punish Torture.</w:t>
      </w:r>
    </w:p>
    <w:p w:rsidR="00A0661D" w:rsidRPr="009F1210" w:rsidRDefault="00A0661D" w:rsidP="00485E99">
      <w:pPr>
        <w:numPr>
          <w:ilvl w:val="0"/>
          <w:numId w:val="57"/>
        </w:numPr>
        <w:pBdr>
          <w:top w:val="none" w:sz="0" w:space="0" w:color="auto"/>
          <w:left w:val="none" w:sz="0" w:space="0" w:color="auto"/>
          <w:bottom w:val="none" w:sz="0" w:space="0" w:color="auto"/>
          <w:right w:val="none" w:sz="0" w:space="0" w:color="auto"/>
          <w:bar w:val="none" w:sz="0" w:color="auto"/>
        </w:pBdr>
        <w:spacing w:after="240"/>
        <w:ind w:left="0" w:firstLine="720"/>
        <w:jc w:val="both"/>
        <w:rPr>
          <w:rFonts w:ascii="Cambria" w:hAnsi="Cambria"/>
          <w:b/>
          <w:sz w:val="20"/>
          <w:szCs w:val="20"/>
        </w:rPr>
      </w:pPr>
      <w:r w:rsidRPr="009F1210">
        <w:rPr>
          <w:rFonts w:ascii="Cambria" w:hAnsi="Cambria"/>
          <w:b/>
          <w:bCs/>
          <w:sz w:val="20"/>
          <w:szCs w:val="20"/>
        </w:rPr>
        <w:t>Admissibility requirements</w:t>
      </w: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sz w:val="20"/>
          <w:szCs w:val="20"/>
        </w:rPr>
      </w:pPr>
      <w:r w:rsidRPr="009F1210">
        <w:rPr>
          <w:rFonts w:ascii="Cambria" w:hAnsi="Cambria"/>
          <w:b/>
          <w:sz w:val="20"/>
          <w:szCs w:val="20"/>
        </w:rPr>
        <w:t>1.</w:t>
      </w:r>
      <w:r w:rsidRPr="009F1210">
        <w:rPr>
          <w:rFonts w:ascii="Cambria" w:hAnsi="Cambria"/>
          <w:b/>
          <w:sz w:val="20"/>
          <w:szCs w:val="20"/>
        </w:rPr>
        <w:tab/>
        <w:t>Exhaustion of domestic remedies</w:t>
      </w:r>
    </w:p>
    <w:p w:rsidR="00A0661D" w:rsidRPr="009F1210" w:rsidRDefault="00A0661D" w:rsidP="00485E99">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i/>
          <w:sz w:val="20"/>
          <w:szCs w:val="20"/>
        </w:rPr>
      </w:pPr>
      <w:r w:rsidRPr="009F1210">
        <w:rPr>
          <w:rFonts w:ascii="Cambria" w:hAnsi="Cambria" w:cs="Arial"/>
          <w:sz w:val="20"/>
          <w:szCs w:val="20"/>
        </w:rPr>
        <w:t>Under Article 31.1 of the Rules and Article 46.1(a) of the American Convention, for a petition to be declared admissible in relation to the alleged violation of the American Convention and the Convention of Belém do Pará, remedies available in the domestic venue must have been previously exhausted, in accordance with the generally recognized principles of international law. The purpose of this requirement is to allow the national authorities to hear the alleged violation of a protected right and, if appropriate, resolve the situation before it is heard by an international court. In turn, Article 31.2 of the Rules and 46.2 of the Convention establish that the requirement of prior exhaustion of domestic remedies shall not</w:t>
      </w:r>
      <w:r w:rsidR="00214E53">
        <w:rPr>
          <w:rFonts w:ascii="Cambria" w:hAnsi="Cambria" w:cs="Arial"/>
          <w:sz w:val="20"/>
          <w:szCs w:val="20"/>
        </w:rPr>
        <w:t xml:space="preserve"> </w:t>
      </w:r>
      <w:r w:rsidRPr="009F1210">
        <w:rPr>
          <w:rFonts w:ascii="Cambria" w:hAnsi="Cambria" w:cs="Arial"/>
          <w:sz w:val="20"/>
          <w:szCs w:val="20"/>
        </w:rPr>
        <w:t>apply</w:t>
      </w:r>
      <w:r w:rsidR="00214E53">
        <w:rPr>
          <w:rFonts w:ascii="Cambria" w:hAnsi="Cambria" w:cs="Arial"/>
          <w:sz w:val="20"/>
          <w:szCs w:val="20"/>
        </w:rPr>
        <w:t xml:space="preserve"> </w:t>
      </w:r>
      <w:r w:rsidRPr="009F1210">
        <w:rPr>
          <w:rFonts w:ascii="Cambria" w:hAnsi="Cambria" w:cs="Arial"/>
          <w:sz w:val="20"/>
          <w:szCs w:val="20"/>
        </w:rPr>
        <w:t>when:</w:t>
      </w:r>
      <w:r w:rsidR="00214E53">
        <w:rPr>
          <w:rFonts w:ascii="Cambria" w:hAnsi="Cambria" w:cs="Arial"/>
          <w:sz w:val="20"/>
          <w:szCs w:val="20"/>
        </w:rPr>
        <w:t xml:space="preserve"> </w:t>
      </w:r>
      <w:r w:rsidRPr="009F1210">
        <w:rPr>
          <w:rFonts w:ascii="Cambria" w:hAnsi="Cambria" w:cs="Arial"/>
          <w:sz w:val="20"/>
          <w:szCs w:val="20"/>
        </w:rPr>
        <w:t>a) the</w:t>
      </w:r>
      <w:r w:rsidR="00214E53">
        <w:rPr>
          <w:rFonts w:ascii="Cambria" w:hAnsi="Cambria" w:cs="Arial"/>
          <w:sz w:val="20"/>
          <w:szCs w:val="20"/>
        </w:rPr>
        <w:t xml:space="preserve"> </w:t>
      </w:r>
      <w:r w:rsidRPr="009F1210">
        <w:rPr>
          <w:rFonts w:ascii="Cambria" w:hAnsi="Cambria" w:cs="Arial"/>
          <w:sz w:val="20"/>
          <w:szCs w:val="20"/>
        </w:rPr>
        <w:t>domestic</w:t>
      </w:r>
      <w:r w:rsidR="00214E53">
        <w:rPr>
          <w:rFonts w:ascii="Cambria" w:hAnsi="Cambria" w:cs="Arial"/>
          <w:sz w:val="20"/>
          <w:szCs w:val="20"/>
        </w:rPr>
        <w:t xml:space="preserve"> </w:t>
      </w:r>
      <w:r w:rsidRPr="009F1210">
        <w:rPr>
          <w:rFonts w:ascii="Cambria" w:hAnsi="Cambria" w:cs="Arial"/>
          <w:sz w:val="20"/>
          <w:szCs w:val="20"/>
        </w:rPr>
        <w:t>legislation</w:t>
      </w:r>
      <w:r w:rsidR="00214E53">
        <w:rPr>
          <w:rFonts w:ascii="Cambria" w:hAnsi="Cambria" w:cs="Arial"/>
          <w:sz w:val="20"/>
          <w:szCs w:val="20"/>
        </w:rPr>
        <w:t xml:space="preserve"> </w:t>
      </w:r>
      <w:r w:rsidRPr="009F1210">
        <w:rPr>
          <w:rFonts w:ascii="Cambria" w:hAnsi="Cambria" w:cs="Arial"/>
          <w:sz w:val="20"/>
          <w:szCs w:val="20"/>
        </w:rPr>
        <w:t>of</w:t>
      </w:r>
      <w:r w:rsidR="00214E53">
        <w:rPr>
          <w:rFonts w:ascii="Cambria" w:hAnsi="Cambria" w:cs="Arial"/>
          <w:sz w:val="20"/>
          <w:szCs w:val="20"/>
        </w:rPr>
        <w:t xml:space="preserve"> </w:t>
      </w:r>
      <w:r w:rsidRPr="009F1210">
        <w:rPr>
          <w:rFonts w:ascii="Cambria" w:hAnsi="Cambria" w:cs="Arial"/>
          <w:sz w:val="20"/>
          <w:szCs w:val="20"/>
        </w:rPr>
        <w:t>the</w:t>
      </w:r>
      <w:r w:rsidR="00214E53">
        <w:rPr>
          <w:rFonts w:ascii="Cambria" w:hAnsi="Cambria" w:cs="Arial"/>
          <w:sz w:val="20"/>
          <w:szCs w:val="20"/>
        </w:rPr>
        <w:t xml:space="preserve"> </w:t>
      </w:r>
      <w:r w:rsidRPr="009F1210">
        <w:rPr>
          <w:rFonts w:ascii="Cambria" w:hAnsi="Cambria" w:cs="Arial"/>
          <w:sz w:val="20"/>
          <w:szCs w:val="20"/>
        </w:rPr>
        <w:t>State</w:t>
      </w:r>
      <w:r w:rsidR="00214E53">
        <w:rPr>
          <w:rFonts w:ascii="Cambria" w:hAnsi="Cambria" w:cs="Arial"/>
          <w:sz w:val="20"/>
          <w:szCs w:val="20"/>
        </w:rPr>
        <w:t xml:space="preserve"> </w:t>
      </w:r>
      <w:r w:rsidRPr="009F1210">
        <w:rPr>
          <w:rFonts w:ascii="Cambria" w:hAnsi="Cambria" w:cs="Arial"/>
          <w:sz w:val="20"/>
          <w:szCs w:val="20"/>
        </w:rPr>
        <w:t>concerned</w:t>
      </w:r>
      <w:r w:rsidR="00214E53">
        <w:rPr>
          <w:rFonts w:ascii="Cambria" w:hAnsi="Cambria" w:cs="Arial"/>
          <w:sz w:val="20"/>
          <w:szCs w:val="20"/>
        </w:rPr>
        <w:t xml:space="preserve"> </w:t>
      </w:r>
      <w:r w:rsidRPr="009F1210">
        <w:rPr>
          <w:rFonts w:ascii="Cambria" w:hAnsi="Cambria" w:cs="Arial"/>
          <w:sz w:val="20"/>
          <w:szCs w:val="20"/>
        </w:rPr>
        <w:t>does</w:t>
      </w:r>
      <w:r w:rsidR="00214E53">
        <w:rPr>
          <w:rFonts w:ascii="Cambria" w:hAnsi="Cambria" w:cs="Arial"/>
          <w:sz w:val="20"/>
          <w:szCs w:val="20"/>
        </w:rPr>
        <w:t xml:space="preserve"> </w:t>
      </w:r>
      <w:r w:rsidRPr="009F1210">
        <w:rPr>
          <w:rFonts w:ascii="Cambria" w:hAnsi="Cambria" w:cs="Arial"/>
          <w:sz w:val="20"/>
          <w:szCs w:val="20"/>
        </w:rPr>
        <w:t>not</w:t>
      </w:r>
      <w:r w:rsidR="00214E53">
        <w:rPr>
          <w:rFonts w:ascii="Cambria" w:hAnsi="Cambria" w:cs="Arial"/>
          <w:sz w:val="20"/>
          <w:szCs w:val="20"/>
        </w:rPr>
        <w:t xml:space="preserve"> </w:t>
      </w:r>
      <w:r w:rsidRPr="009F1210">
        <w:rPr>
          <w:rFonts w:ascii="Cambria" w:hAnsi="Cambria" w:cs="Arial"/>
          <w:sz w:val="20"/>
          <w:szCs w:val="20"/>
        </w:rPr>
        <w:t>afford</w:t>
      </w:r>
      <w:r w:rsidR="00214E53">
        <w:rPr>
          <w:rFonts w:ascii="Cambria" w:hAnsi="Cambria" w:cs="Arial"/>
          <w:sz w:val="20"/>
          <w:szCs w:val="20"/>
        </w:rPr>
        <w:t xml:space="preserve"> </w:t>
      </w:r>
      <w:r w:rsidRPr="009F1210">
        <w:rPr>
          <w:rFonts w:ascii="Cambria" w:hAnsi="Cambria" w:cs="Arial"/>
          <w:sz w:val="20"/>
          <w:szCs w:val="20"/>
        </w:rPr>
        <w:t>du</w:t>
      </w:r>
      <w:r w:rsidR="00214E53">
        <w:rPr>
          <w:rFonts w:ascii="Cambria" w:hAnsi="Cambria" w:cs="Arial"/>
          <w:sz w:val="20"/>
          <w:szCs w:val="20"/>
        </w:rPr>
        <w:t xml:space="preserve">e process of law for protection </w:t>
      </w:r>
      <w:r w:rsidRPr="009F1210">
        <w:rPr>
          <w:rFonts w:ascii="Cambria" w:hAnsi="Cambria" w:cs="Arial"/>
          <w:sz w:val="20"/>
          <w:szCs w:val="20"/>
        </w:rPr>
        <w:t>of</w:t>
      </w:r>
      <w:r w:rsidR="00214E53">
        <w:rPr>
          <w:rFonts w:ascii="Cambria" w:hAnsi="Cambria" w:cs="Arial"/>
          <w:sz w:val="20"/>
          <w:szCs w:val="20"/>
        </w:rPr>
        <w:t xml:space="preserve"> </w:t>
      </w:r>
      <w:r w:rsidRPr="009F1210">
        <w:rPr>
          <w:rFonts w:ascii="Cambria" w:hAnsi="Cambria" w:cs="Arial"/>
          <w:sz w:val="20"/>
          <w:szCs w:val="20"/>
        </w:rPr>
        <w:t>the</w:t>
      </w:r>
      <w:r w:rsidR="00214E53">
        <w:rPr>
          <w:rFonts w:ascii="Cambria" w:hAnsi="Cambria" w:cs="Arial"/>
          <w:sz w:val="20"/>
          <w:szCs w:val="20"/>
        </w:rPr>
        <w:t xml:space="preserve"> </w:t>
      </w:r>
      <w:r w:rsidRPr="009F1210">
        <w:rPr>
          <w:rFonts w:ascii="Cambria" w:hAnsi="Cambria" w:cs="Arial"/>
          <w:sz w:val="20"/>
          <w:szCs w:val="20"/>
        </w:rPr>
        <w:t>right</w:t>
      </w:r>
      <w:r w:rsidR="00214E53">
        <w:rPr>
          <w:rFonts w:ascii="Cambria" w:hAnsi="Cambria" w:cs="Arial"/>
          <w:sz w:val="20"/>
          <w:szCs w:val="20"/>
        </w:rPr>
        <w:t xml:space="preserve"> </w:t>
      </w:r>
      <w:r w:rsidRPr="009F1210">
        <w:rPr>
          <w:rFonts w:ascii="Cambria" w:hAnsi="Cambria" w:cs="Arial"/>
          <w:sz w:val="20"/>
          <w:szCs w:val="20"/>
        </w:rPr>
        <w:t>or</w:t>
      </w:r>
      <w:r w:rsidR="00214E53">
        <w:rPr>
          <w:rFonts w:ascii="Cambria" w:hAnsi="Cambria" w:cs="Arial"/>
          <w:sz w:val="20"/>
          <w:szCs w:val="20"/>
        </w:rPr>
        <w:t xml:space="preserve"> </w:t>
      </w:r>
      <w:r w:rsidRPr="009F1210">
        <w:rPr>
          <w:rFonts w:ascii="Cambria" w:hAnsi="Cambria" w:cs="Arial"/>
          <w:sz w:val="20"/>
          <w:szCs w:val="20"/>
        </w:rPr>
        <w:t>rights</w:t>
      </w:r>
      <w:r w:rsidR="00214E53">
        <w:rPr>
          <w:rFonts w:ascii="Cambria" w:hAnsi="Cambria" w:cs="Arial"/>
          <w:sz w:val="20"/>
          <w:szCs w:val="20"/>
        </w:rPr>
        <w:t xml:space="preserve"> </w:t>
      </w:r>
      <w:r w:rsidRPr="009F1210">
        <w:rPr>
          <w:rFonts w:ascii="Cambria" w:hAnsi="Cambria" w:cs="Arial"/>
          <w:sz w:val="20"/>
          <w:szCs w:val="20"/>
        </w:rPr>
        <w:t>that</w:t>
      </w:r>
      <w:r w:rsidR="00214E53">
        <w:rPr>
          <w:rFonts w:ascii="Cambria" w:hAnsi="Cambria" w:cs="Arial"/>
          <w:sz w:val="20"/>
          <w:szCs w:val="20"/>
        </w:rPr>
        <w:t xml:space="preserve"> </w:t>
      </w:r>
      <w:r w:rsidRPr="009F1210">
        <w:rPr>
          <w:rFonts w:ascii="Cambria" w:hAnsi="Cambria" w:cs="Arial"/>
          <w:sz w:val="20"/>
          <w:szCs w:val="20"/>
        </w:rPr>
        <w:t>h</w:t>
      </w:r>
      <w:r w:rsidR="00214E53">
        <w:rPr>
          <w:rFonts w:ascii="Cambria" w:hAnsi="Cambria" w:cs="Arial"/>
          <w:sz w:val="20"/>
          <w:szCs w:val="20"/>
        </w:rPr>
        <w:t>ave allegedly been violated; b) t</w:t>
      </w:r>
      <w:r w:rsidRPr="009F1210">
        <w:rPr>
          <w:rFonts w:ascii="Cambria" w:hAnsi="Cambria" w:cs="Arial"/>
          <w:sz w:val="20"/>
          <w:szCs w:val="20"/>
        </w:rPr>
        <w:t>he</w:t>
      </w:r>
      <w:r w:rsidR="00214E53">
        <w:rPr>
          <w:rFonts w:ascii="Cambria" w:hAnsi="Cambria" w:cs="Arial"/>
          <w:sz w:val="20"/>
          <w:szCs w:val="20"/>
        </w:rPr>
        <w:t xml:space="preserve"> </w:t>
      </w:r>
      <w:r w:rsidRPr="009F1210">
        <w:rPr>
          <w:rFonts w:ascii="Cambria" w:hAnsi="Cambria" w:cs="Arial"/>
          <w:sz w:val="20"/>
          <w:szCs w:val="20"/>
        </w:rPr>
        <w:t>party</w:t>
      </w:r>
      <w:r w:rsidR="00214E53">
        <w:rPr>
          <w:rFonts w:ascii="Cambria" w:hAnsi="Cambria" w:cs="Arial"/>
          <w:sz w:val="20"/>
          <w:szCs w:val="20"/>
        </w:rPr>
        <w:t xml:space="preserve"> </w:t>
      </w:r>
      <w:r w:rsidRPr="009F1210">
        <w:rPr>
          <w:rFonts w:ascii="Cambria" w:hAnsi="Cambria" w:cs="Arial"/>
          <w:sz w:val="20"/>
          <w:szCs w:val="20"/>
        </w:rPr>
        <w:t>alleging</w:t>
      </w:r>
      <w:r w:rsidR="00214E53">
        <w:rPr>
          <w:rFonts w:ascii="Cambria" w:hAnsi="Cambria" w:cs="Arial"/>
          <w:sz w:val="20"/>
          <w:szCs w:val="20"/>
        </w:rPr>
        <w:t xml:space="preserve"> </w:t>
      </w:r>
      <w:r w:rsidRPr="009F1210">
        <w:rPr>
          <w:rFonts w:ascii="Cambria" w:hAnsi="Cambria" w:cs="Arial"/>
          <w:sz w:val="20"/>
          <w:szCs w:val="20"/>
        </w:rPr>
        <w:t>violation</w:t>
      </w:r>
      <w:r w:rsidR="00214E53">
        <w:rPr>
          <w:rFonts w:ascii="Cambria" w:hAnsi="Cambria" w:cs="Arial"/>
          <w:sz w:val="20"/>
          <w:szCs w:val="20"/>
        </w:rPr>
        <w:t xml:space="preserve"> </w:t>
      </w:r>
      <w:r w:rsidRPr="009F1210">
        <w:rPr>
          <w:rFonts w:ascii="Cambria" w:hAnsi="Cambria" w:cs="Arial"/>
          <w:sz w:val="20"/>
          <w:szCs w:val="20"/>
        </w:rPr>
        <w:t>of</w:t>
      </w:r>
      <w:r w:rsidR="00214E53">
        <w:rPr>
          <w:rFonts w:ascii="Cambria" w:hAnsi="Cambria" w:cs="Arial"/>
          <w:sz w:val="20"/>
          <w:szCs w:val="20"/>
        </w:rPr>
        <w:t xml:space="preserve"> </w:t>
      </w:r>
      <w:r w:rsidRPr="009F1210">
        <w:rPr>
          <w:rFonts w:ascii="Cambria" w:hAnsi="Cambria" w:cs="Arial"/>
          <w:sz w:val="20"/>
          <w:szCs w:val="20"/>
        </w:rPr>
        <w:t>his</w:t>
      </w:r>
      <w:r w:rsidR="00214E53">
        <w:rPr>
          <w:rFonts w:ascii="Cambria" w:hAnsi="Cambria" w:cs="Arial"/>
          <w:sz w:val="20"/>
          <w:szCs w:val="20"/>
        </w:rPr>
        <w:t xml:space="preserve"> </w:t>
      </w:r>
      <w:r w:rsidRPr="009F1210">
        <w:rPr>
          <w:rFonts w:ascii="Cambria" w:hAnsi="Cambria" w:cs="Arial"/>
          <w:sz w:val="20"/>
          <w:szCs w:val="20"/>
        </w:rPr>
        <w:t>or</w:t>
      </w:r>
      <w:r w:rsidR="00214E53">
        <w:rPr>
          <w:rFonts w:ascii="Cambria" w:hAnsi="Cambria" w:cs="Arial"/>
          <w:sz w:val="20"/>
          <w:szCs w:val="20"/>
        </w:rPr>
        <w:t xml:space="preserve"> </w:t>
      </w:r>
      <w:r w:rsidRPr="009F1210">
        <w:rPr>
          <w:rFonts w:ascii="Cambria" w:hAnsi="Cambria" w:cs="Arial"/>
          <w:sz w:val="20"/>
          <w:szCs w:val="20"/>
        </w:rPr>
        <w:t>her</w:t>
      </w:r>
      <w:r w:rsidR="00214E53">
        <w:rPr>
          <w:rFonts w:ascii="Cambria" w:hAnsi="Cambria" w:cs="Arial"/>
          <w:sz w:val="20"/>
          <w:szCs w:val="20"/>
        </w:rPr>
        <w:t xml:space="preserve"> </w:t>
      </w:r>
      <w:r w:rsidRPr="009F1210">
        <w:rPr>
          <w:rFonts w:ascii="Cambria" w:hAnsi="Cambria" w:cs="Arial"/>
          <w:sz w:val="20"/>
          <w:szCs w:val="20"/>
        </w:rPr>
        <w:t>rights</w:t>
      </w:r>
      <w:r w:rsidR="00214E53">
        <w:rPr>
          <w:rFonts w:ascii="Cambria" w:hAnsi="Cambria" w:cs="Arial"/>
          <w:sz w:val="20"/>
          <w:szCs w:val="20"/>
        </w:rPr>
        <w:t xml:space="preserve"> </w:t>
      </w:r>
      <w:r w:rsidRPr="009F1210">
        <w:rPr>
          <w:rFonts w:ascii="Cambria" w:hAnsi="Cambria" w:cs="Arial"/>
          <w:sz w:val="20"/>
          <w:szCs w:val="20"/>
        </w:rPr>
        <w:t>has</w:t>
      </w:r>
      <w:r w:rsidR="00214E53">
        <w:rPr>
          <w:rFonts w:ascii="Cambria" w:hAnsi="Cambria" w:cs="Arial"/>
          <w:sz w:val="20"/>
          <w:szCs w:val="20"/>
        </w:rPr>
        <w:t xml:space="preserve"> </w:t>
      </w:r>
      <w:r w:rsidRPr="009F1210">
        <w:rPr>
          <w:rFonts w:ascii="Cambria" w:hAnsi="Cambria" w:cs="Arial"/>
          <w:sz w:val="20"/>
          <w:szCs w:val="20"/>
        </w:rPr>
        <w:t>been</w:t>
      </w:r>
      <w:r w:rsidR="00214E53">
        <w:rPr>
          <w:rFonts w:ascii="Cambria" w:hAnsi="Cambria" w:cs="Arial"/>
          <w:sz w:val="20"/>
          <w:szCs w:val="20"/>
        </w:rPr>
        <w:t xml:space="preserve"> </w:t>
      </w:r>
      <w:r w:rsidRPr="009F1210">
        <w:rPr>
          <w:rFonts w:ascii="Cambria" w:hAnsi="Cambria" w:cs="Arial"/>
          <w:sz w:val="20"/>
          <w:szCs w:val="20"/>
        </w:rPr>
        <w:t>denied</w:t>
      </w:r>
      <w:r w:rsidR="00214E53">
        <w:rPr>
          <w:rFonts w:ascii="Cambria" w:hAnsi="Cambria" w:cs="Arial"/>
          <w:sz w:val="20"/>
          <w:szCs w:val="20"/>
        </w:rPr>
        <w:t xml:space="preserve"> </w:t>
      </w:r>
      <w:r w:rsidRPr="009F1210">
        <w:rPr>
          <w:rFonts w:ascii="Cambria" w:hAnsi="Cambria" w:cs="Arial"/>
          <w:sz w:val="20"/>
          <w:szCs w:val="20"/>
        </w:rPr>
        <w:t>access</w:t>
      </w:r>
      <w:r w:rsidR="00214E53">
        <w:rPr>
          <w:rFonts w:ascii="Cambria" w:hAnsi="Cambria" w:cs="Arial"/>
          <w:sz w:val="20"/>
          <w:szCs w:val="20"/>
        </w:rPr>
        <w:t xml:space="preserve"> </w:t>
      </w:r>
      <w:r w:rsidRPr="009F1210">
        <w:rPr>
          <w:rFonts w:ascii="Cambria" w:hAnsi="Cambria" w:cs="Arial"/>
          <w:sz w:val="20"/>
          <w:szCs w:val="20"/>
        </w:rPr>
        <w:t>to</w:t>
      </w:r>
      <w:r w:rsidR="00214E53">
        <w:rPr>
          <w:rFonts w:ascii="Cambria" w:hAnsi="Cambria" w:cs="Arial"/>
          <w:sz w:val="20"/>
          <w:szCs w:val="20"/>
        </w:rPr>
        <w:t xml:space="preserve"> </w:t>
      </w:r>
      <w:r w:rsidRPr="009F1210">
        <w:rPr>
          <w:rFonts w:ascii="Cambria" w:hAnsi="Cambria" w:cs="Arial"/>
          <w:sz w:val="20"/>
          <w:szCs w:val="20"/>
        </w:rPr>
        <w:t>the</w:t>
      </w:r>
      <w:r w:rsidR="00214E53">
        <w:rPr>
          <w:rFonts w:ascii="Cambria" w:hAnsi="Cambria" w:cs="Arial"/>
          <w:sz w:val="20"/>
          <w:szCs w:val="20"/>
        </w:rPr>
        <w:t xml:space="preserve"> </w:t>
      </w:r>
      <w:r w:rsidRPr="009F1210">
        <w:rPr>
          <w:rFonts w:ascii="Cambria" w:hAnsi="Cambria" w:cs="Arial"/>
          <w:sz w:val="20"/>
          <w:szCs w:val="20"/>
        </w:rPr>
        <w:t>remedies</w:t>
      </w:r>
      <w:r w:rsidR="00214E53">
        <w:rPr>
          <w:rFonts w:ascii="Cambria" w:hAnsi="Cambria" w:cs="Arial"/>
          <w:sz w:val="20"/>
          <w:szCs w:val="20"/>
        </w:rPr>
        <w:t xml:space="preserve"> </w:t>
      </w:r>
      <w:r w:rsidRPr="009F1210">
        <w:rPr>
          <w:rFonts w:ascii="Cambria" w:hAnsi="Cambria" w:cs="Arial"/>
          <w:sz w:val="20"/>
          <w:szCs w:val="20"/>
        </w:rPr>
        <w:t>under</w:t>
      </w:r>
      <w:r w:rsidR="00214E53">
        <w:rPr>
          <w:rFonts w:ascii="Cambria" w:hAnsi="Cambria" w:cs="Arial"/>
          <w:sz w:val="20"/>
          <w:szCs w:val="20"/>
        </w:rPr>
        <w:t xml:space="preserve"> </w:t>
      </w:r>
      <w:r w:rsidRPr="009F1210">
        <w:rPr>
          <w:rFonts w:ascii="Cambria" w:hAnsi="Cambria" w:cs="Arial"/>
          <w:sz w:val="20"/>
          <w:szCs w:val="20"/>
        </w:rPr>
        <w:t>domestic</w:t>
      </w:r>
      <w:r w:rsidR="00214E53">
        <w:rPr>
          <w:rFonts w:ascii="Cambria" w:hAnsi="Cambria" w:cs="Arial"/>
          <w:sz w:val="20"/>
          <w:szCs w:val="20"/>
        </w:rPr>
        <w:t xml:space="preserve"> </w:t>
      </w:r>
      <w:r w:rsidRPr="009F1210">
        <w:rPr>
          <w:rFonts w:ascii="Cambria" w:hAnsi="Cambria" w:cs="Arial"/>
          <w:sz w:val="20"/>
          <w:szCs w:val="20"/>
        </w:rPr>
        <w:t>law</w:t>
      </w:r>
      <w:r w:rsidR="00214E53">
        <w:rPr>
          <w:rFonts w:ascii="Cambria" w:hAnsi="Cambria" w:cs="Arial"/>
          <w:sz w:val="20"/>
          <w:szCs w:val="20"/>
        </w:rPr>
        <w:t xml:space="preserve"> </w:t>
      </w:r>
      <w:r w:rsidRPr="009F1210">
        <w:rPr>
          <w:rFonts w:ascii="Cambria" w:hAnsi="Cambria" w:cs="Arial"/>
          <w:sz w:val="20"/>
          <w:szCs w:val="20"/>
        </w:rPr>
        <w:t>or</w:t>
      </w:r>
      <w:r w:rsidR="00214E53">
        <w:rPr>
          <w:rFonts w:ascii="Cambria" w:hAnsi="Cambria" w:cs="Arial"/>
          <w:sz w:val="20"/>
          <w:szCs w:val="20"/>
        </w:rPr>
        <w:t xml:space="preserve"> </w:t>
      </w:r>
      <w:r w:rsidRPr="009F1210">
        <w:rPr>
          <w:rFonts w:ascii="Cambria" w:hAnsi="Cambria" w:cs="Arial"/>
          <w:sz w:val="20"/>
          <w:szCs w:val="20"/>
        </w:rPr>
        <w:t>has</w:t>
      </w:r>
      <w:r w:rsidR="00214E53">
        <w:rPr>
          <w:rFonts w:ascii="Cambria" w:hAnsi="Cambria" w:cs="Arial"/>
          <w:sz w:val="20"/>
          <w:szCs w:val="20"/>
        </w:rPr>
        <w:t xml:space="preserve"> </w:t>
      </w:r>
      <w:r w:rsidRPr="009F1210">
        <w:rPr>
          <w:rFonts w:ascii="Cambria" w:hAnsi="Cambria" w:cs="Arial"/>
          <w:sz w:val="20"/>
          <w:szCs w:val="20"/>
        </w:rPr>
        <w:t>been</w:t>
      </w:r>
      <w:r w:rsidR="00214E53">
        <w:rPr>
          <w:rFonts w:ascii="Cambria" w:hAnsi="Cambria" w:cs="Arial"/>
          <w:sz w:val="20"/>
          <w:szCs w:val="20"/>
        </w:rPr>
        <w:t xml:space="preserve"> </w:t>
      </w:r>
      <w:r w:rsidRPr="009F1210">
        <w:rPr>
          <w:rFonts w:ascii="Cambria" w:hAnsi="Cambria" w:cs="Arial"/>
          <w:sz w:val="20"/>
          <w:szCs w:val="20"/>
        </w:rPr>
        <w:t>prevented</w:t>
      </w:r>
      <w:r w:rsidR="00214E53">
        <w:rPr>
          <w:rFonts w:ascii="Cambria" w:hAnsi="Cambria" w:cs="Arial"/>
          <w:sz w:val="20"/>
          <w:szCs w:val="20"/>
        </w:rPr>
        <w:t xml:space="preserve"> </w:t>
      </w:r>
      <w:r w:rsidRPr="009F1210">
        <w:rPr>
          <w:rFonts w:ascii="Cambria" w:hAnsi="Cambria" w:cs="Arial"/>
          <w:sz w:val="20"/>
          <w:szCs w:val="20"/>
        </w:rPr>
        <w:t>from</w:t>
      </w:r>
      <w:r w:rsidR="00214E53">
        <w:rPr>
          <w:rFonts w:ascii="Cambria" w:hAnsi="Cambria" w:cs="Arial"/>
          <w:sz w:val="20"/>
          <w:szCs w:val="20"/>
        </w:rPr>
        <w:t xml:space="preserve"> </w:t>
      </w:r>
      <w:r w:rsidRPr="009F1210">
        <w:rPr>
          <w:rFonts w:ascii="Cambria" w:hAnsi="Cambria" w:cs="Arial"/>
          <w:sz w:val="20"/>
          <w:szCs w:val="20"/>
        </w:rPr>
        <w:t>exhausting</w:t>
      </w:r>
      <w:r w:rsidR="00214E53">
        <w:rPr>
          <w:rFonts w:ascii="Cambria" w:hAnsi="Cambria" w:cs="Arial"/>
          <w:sz w:val="20"/>
          <w:szCs w:val="20"/>
        </w:rPr>
        <w:t xml:space="preserve"> </w:t>
      </w:r>
      <w:r w:rsidRPr="009F1210">
        <w:rPr>
          <w:rFonts w:ascii="Cambria" w:hAnsi="Cambria" w:cs="Arial"/>
          <w:sz w:val="20"/>
          <w:szCs w:val="20"/>
        </w:rPr>
        <w:t>them;</w:t>
      </w:r>
      <w:r w:rsidR="00214E53">
        <w:rPr>
          <w:rFonts w:ascii="Cambria" w:hAnsi="Cambria" w:cs="Arial"/>
          <w:sz w:val="20"/>
          <w:szCs w:val="20"/>
        </w:rPr>
        <w:t xml:space="preserve"> </w:t>
      </w:r>
      <w:r w:rsidRPr="009F1210">
        <w:rPr>
          <w:rFonts w:ascii="Cambria" w:hAnsi="Cambria" w:cs="Arial"/>
          <w:sz w:val="20"/>
          <w:szCs w:val="20"/>
        </w:rPr>
        <w:t>or c) there has</w:t>
      </w:r>
      <w:r w:rsidR="00214E53">
        <w:rPr>
          <w:rFonts w:ascii="Cambria" w:hAnsi="Cambria" w:cs="Arial"/>
          <w:sz w:val="20"/>
          <w:szCs w:val="20"/>
        </w:rPr>
        <w:t xml:space="preserve"> </w:t>
      </w:r>
      <w:r w:rsidRPr="009F1210">
        <w:rPr>
          <w:rFonts w:ascii="Cambria" w:hAnsi="Cambria" w:cs="Arial"/>
          <w:sz w:val="20"/>
          <w:szCs w:val="20"/>
        </w:rPr>
        <w:t>been</w:t>
      </w:r>
      <w:r w:rsidR="00214E53">
        <w:rPr>
          <w:rFonts w:ascii="Cambria" w:hAnsi="Cambria" w:cs="Arial"/>
          <w:sz w:val="20"/>
          <w:szCs w:val="20"/>
        </w:rPr>
        <w:t xml:space="preserve"> </w:t>
      </w:r>
      <w:r w:rsidRPr="009F1210">
        <w:rPr>
          <w:rFonts w:ascii="Cambria" w:hAnsi="Cambria" w:cs="Arial"/>
          <w:sz w:val="20"/>
          <w:szCs w:val="20"/>
        </w:rPr>
        <w:t>unwarranted delay</w:t>
      </w:r>
      <w:r w:rsidR="00214E53">
        <w:rPr>
          <w:rFonts w:ascii="Cambria" w:hAnsi="Cambria" w:cs="Arial"/>
          <w:sz w:val="20"/>
          <w:szCs w:val="20"/>
        </w:rPr>
        <w:t xml:space="preserve"> </w:t>
      </w:r>
      <w:r w:rsidRPr="009F1210">
        <w:rPr>
          <w:rFonts w:ascii="Cambria" w:hAnsi="Cambria" w:cs="Arial"/>
          <w:sz w:val="20"/>
          <w:szCs w:val="20"/>
        </w:rPr>
        <w:t>in rendering</w:t>
      </w:r>
      <w:r w:rsidR="00214E53">
        <w:rPr>
          <w:rFonts w:ascii="Cambria" w:hAnsi="Cambria" w:cs="Arial"/>
          <w:sz w:val="20"/>
          <w:szCs w:val="20"/>
        </w:rPr>
        <w:t xml:space="preserve"> </w:t>
      </w:r>
      <w:r w:rsidRPr="009F1210">
        <w:rPr>
          <w:rFonts w:ascii="Cambria" w:hAnsi="Cambria" w:cs="Arial"/>
          <w:sz w:val="20"/>
          <w:szCs w:val="20"/>
        </w:rPr>
        <w:t>a final</w:t>
      </w:r>
      <w:r w:rsidR="00214E53">
        <w:rPr>
          <w:rFonts w:ascii="Cambria" w:hAnsi="Cambria" w:cs="Arial"/>
          <w:sz w:val="20"/>
          <w:szCs w:val="20"/>
        </w:rPr>
        <w:t xml:space="preserve"> </w:t>
      </w:r>
      <w:r w:rsidRPr="009F1210">
        <w:rPr>
          <w:rFonts w:ascii="Cambria" w:hAnsi="Cambria" w:cs="Arial"/>
          <w:sz w:val="20"/>
          <w:szCs w:val="20"/>
        </w:rPr>
        <w:t>judgment under the aforementioned</w:t>
      </w:r>
      <w:r w:rsidR="00214E53">
        <w:rPr>
          <w:rFonts w:ascii="Cambria" w:hAnsi="Cambria" w:cs="Arial"/>
          <w:sz w:val="20"/>
          <w:szCs w:val="20"/>
        </w:rPr>
        <w:t xml:space="preserve"> </w:t>
      </w:r>
      <w:r w:rsidRPr="009F1210">
        <w:rPr>
          <w:rFonts w:ascii="Cambria" w:hAnsi="Cambria" w:cs="Arial"/>
          <w:sz w:val="20"/>
          <w:szCs w:val="20"/>
        </w:rPr>
        <w:t>remedies.</w:t>
      </w:r>
    </w:p>
    <w:p w:rsidR="00A0661D" w:rsidRPr="009F1210" w:rsidRDefault="00A0661D" w:rsidP="00485E99">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9F1210">
        <w:rPr>
          <w:rFonts w:ascii="Cambria" w:hAnsi="Cambria"/>
          <w:sz w:val="20"/>
          <w:szCs w:val="20"/>
        </w:rPr>
        <w:t xml:space="preserve">The petitioners </w:t>
      </w:r>
      <w:r w:rsidR="00A408AA">
        <w:rPr>
          <w:rFonts w:ascii="Cambria" w:hAnsi="Cambria"/>
          <w:sz w:val="20"/>
          <w:szCs w:val="20"/>
        </w:rPr>
        <w:t>claim</w:t>
      </w:r>
      <w:r w:rsidRPr="009F1210">
        <w:rPr>
          <w:rFonts w:ascii="Cambria" w:hAnsi="Cambria"/>
          <w:sz w:val="20"/>
          <w:szCs w:val="20"/>
        </w:rPr>
        <w:t xml:space="preserve"> that the exceptions to the prior exhaustion of domestic remedies set forth in Article 46.2(a), (b) and (c) of the Convention are applicable in view that the matter was initially heard by the military crim</w:t>
      </w:r>
      <w:r w:rsidR="00A408AA">
        <w:rPr>
          <w:rFonts w:ascii="Cambria" w:hAnsi="Cambria"/>
          <w:sz w:val="20"/>
          <w:szCs w:val="20"/>
        </w:rPr>
        <w:t>inal court, the alleged victims</w:t>
      </w:r>
      <w:r w:rsidR="005B6CE3">
        <w:rPr>
          <w:rFonts w:ascii="Cambria" w:hAnsi="Cambria"/>
          <w:sz w:val="20"/>
          <w:szCs w:val="20"/>
        </w:rPr>
        <w:t>’</w:t>
      </w:r>
      <w:r w:rsidRPr="009F1210">
        <w:rPr>
          <w:rFonts w:ascii="Cambria" w:hAnsi="Cambria"/>
          <w:sz w:val="20"/>
          <w:szCs w:val="20"/>
        </w:rPr>
        <w:t xml:space="preserve"> family members were subjected to threats and displace</w:t>
      </w:r>
      <w:r w:rsidR="00014DEB">
        <w:rPr>
          <w:rFonts w:ascii="Cambria" w:hAnsi="Cambria"/>
          <w:sz w:val="20"/>
          <w:szCs w:val="20"/>
        </w:rPr>
        <w:t>ment</w:t>
      </w:r>
      <w:r w:rsidRPr="009F1210">
        <w:rPr>
          <w:rFonts w:ascii="Cambria" w:hAnsi="Cambria"/>
          <w:sz w:val="20"/>
          <w:szCs w:val="20"/>
        </w:rPr>
        <w:t>, and there has been alleged unwarranted delay in the crimi</w:t>
      </w:r>
      <w:r w:rsidR="00A408AA">
        <w:rPr>
          <w:rFonts w:ascii="Cambria" w:hAnsi="Cambria"/>
          <w:sz w:val="20"/>
          <w:szCs w:val="20"/>
        </w:rPr>
        <w:t>nal proceedings</w:t>
      </w:r>
      <w:r w:rsidRPr="009F1210">
        <w:rPr>
          <w:rFonts w:ascii="Cambria" w:hAnsi="Cambria"/>
          <w:sz w:val="20"/>
          <w:szCs w:val="20"/>
        </w:rPr>
        <w:t xml:space="preserve"> given that it has been over 9 years that the proceedings started at the ordinary venue but no final judgment has been rendered. </w:t>
      </w:r>
    </w:p>
    <w:p w:rsidR="00A0661D" w:rsidRPr="009F1210" w:rsidRDefault="00A0661D" w:rsidP="00485E99">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9F1210">
        <w:rPr>
          <w:rFonts w:ascii="Cambria" w:hAnsi="Cambria"/>
          <w:sz w:val="20"/>
          <w:szCs w:val="20"/>
        </w:rPr>
        <w:t>In turn, the State claims that the domestic remedies have not been exhausted, that the exceptions mentioned do not apply due to the ongoing criminal proceedings before the ordinary court, and that the petitioners</w:t>
      </w:r>
      <w:r w:rsidR="005B6CE3">
        <w:rPr>
          <w:rFonts w:ascii="Cambria" w:hAnsi="Cambria"/>
          <w:sz w:val="20"/>
          <w:szCs w:val="20"/>
        </w:rPr>
        <w:t>’</w:t>
      </w:r>
      <w:r w:rsidRPr="009F1210">
        <w:rPr>
          <w:rFonts w:ascii="Cambria" w:hAnsi="Cambria"/>
          <w:sz w:val="20"/>
          <w:szCs w:val="20"/>
        </w:rPr>
        <w:t xml:space="preserve"> pleadings in relation to the threats and displacement suffered are generic and have been</w:t>
      </w:r>
      <w:r w:rsidR="00210BAF">
        <w:rPr>
          <w:rFonts w:ascii="Cambria" w:hAnsi="Cambria"/>
          <w:sz w:val="20"/>
          <w:szCs w:val="20"/>
        </w:rPr>
        <w:t xml:space="preserve"> not been</w:t>
      </w:r>
      <w:r w:rsidRPr="009F1210">
        <w:rPr>
          <w:rFonts w:ascii="Cambria" w:hAnsi="Cambria"/>
          <w:sz w:val="20"/>
          <w:szCs w:val="20"/>
        </w:rPr>
        <w:t xml:space="preserve"> reported to the authorities. Moreover, it asserts that exception in Article 46.2(c) is inapplicable since in the framework of the criminal proceedings several decisions have been made to establish the facts, and that therefore</w:t>
      </w:r>
      <w:r w:rsidR="00210BAF">
        <w:rPr>
          <w:rFonts w:ascii="Cambria" w:hAnsi="Cambria"/>
          <w:sz w:val="20"/>
          <w:szCs w:val="20"/>
        </w:rPr>
        <w:t xml:space="preserve"> there is no unwarranted delay.</w:t>
      </w:r>
    </w:p>
    <w:p w:rsidR="00A0661D" w:rsidRPr="009F1210" w:rsidRDefault="00A0661D" w:rsidP="00485E99">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b/>
          <w:i/>
          <w:color w:val="0070C0"/>
          <w:sz w:val="20"/>
          <w:szCs w:val="20"/>
        </w:rPr>
      </w:pPr>
      <w:r w:rsidRPr="009F1210">
        <w:rPr>
          <w:rFonts w:ascii="Cambria" w:hAnsi="Cambria"/>
          <w:sz w:val="20"/>
          <w:szCs w:val="20"/>
        </w:rPr>
        <w:lastRenderedPageBreak/>
        <w:t>According to the precedents set by Commission, whenever an offense liable to prosecution ex officio is committed, the State is obliged to promote and further the criminal proceedings; th</w:t>
      </w:r>
      <w:r w:rsidR="00CD41E1" w:rsidRPr="009F1210">
        <w:rPr>
          <w:rFonts w:ascii="Cambria" w:hAnsi="Cambria"/>
          <w:sz w:val="20"/>
          <w:szCs w:val="20"/>
        </w:rPr>
        <w:t>is is the appropriate remedy to determine</w:t>
      </w:r>
      <w:r w:rsidRPr="009F1210">
        <w:rPr>
          <w:rFonts w:ascii="Cambria" w:hAnsi="Cambria"/>
          <w:sz w:val="20"/>
          <w:szCs w:val="20"/>
        </w:rPr>
        <w:t xml:space="preserve"> the facts, try the responsible and establish the</w:t>
      </w:r>
      <w:r w:rsidR="00CD41E1" w:rsidRPr="009F1210">
        <w:rPr>
          <w:rFonts w:ascii="Cambria" w:hAnsi="Cambria"/>
          <w:sz w:val="20"/>
          <w:szCs w:val="20"/>
        </w:rPr>
        <w:t xml:space="preserve"> appropriate</w:t>
      </w:r>
      <w:r w:rsidRPr="009F1210">
        <w:rPr>
          <w:rFonts w:ascii="Cambria" w:hAnsi="Cambria"/>
          <w:sz w:val="20"/>
          <w:szCs w:val="20"/>
        </w:rPr>
        <w:t xml:space="preserve"> criminal </w:t>
      </w:r>
      <w:r w:rsidR="00577A54">
        <w:rPr>
          <w:rFonts w:ascii="Cambria" w:hAnsi="Cambria"/>
          <w:sz w:val="20"/>
          <w:szCs w:val="20"/>
        </w:rPr>
        <w:t xml:space="preserve">punishment </w:t>
      </w:r>
      <w:r w:rsidRPr="009F1210">
        <w:rPr>
          <w:rFonts w:ascii="Cambria" w:hAnsi="Cambria"/>
          <w:sz w:val="20"/>
          <w:szCs w:val="20"/>
        </w:rPr>
        <w:t>as well as enable other forms of pecuniary redress.</w:t>
      </w:r>
      <w:r w:rsidR="00CD41E1" w:rsidRPr="009F1210">
        <w:rPr>
          <w:rStyle w:val="FootnoteReference"/>
          <w:rFonts w:ascii="Cambria" w:hAnsi="Cambria"/>
          <w:sz w:val="20"/>
          <w:szCs w:val="20"/>
        </w:rPr>
        <w:footnoteReference w:id="4"/>
      </w:r>
      <w:r w:rsidRPr="009F1210">
        <w:rPr>
          <w:rFonts w:ascii="Cambria" w:hAnsi="Cambria"/>
          <w:sz w:val="20"/>
          <w:szCs w:val="20"/>
        </w:rPr>
        <w:t xml:space="preserve"> Therefore, in view that the facts denounced by the petitioners are offenses liable to prosecution ex officio, </w:t>
      </w:r>
      <w:r w:rsidR="00577A54" w:rsidRPr="009F1210">
        <w:rPr>
          <w:rFonts w:ascii="Cambria" w:hAnsi="Cambria"/>
          <w:sz w:val="20"/>
          <w:szCs w:val="20"/>
        </w:rPr>
        <w:t xml:space="preserve">in this case </w:t>
      </w:r>
      <w:r w:rsidRPr="009F1210">
        <w:rPr>
          <w:rFonts w:ascii="Cambria" w:hAnsi="Cambria"/>
          <w:sz w:val="20"/>
          <w:szCs w:val="20"/>
        </w:rPr>
        <w:t>the domestic remedy that must be exhausted is the investigation in the criminal venue, which must be conducted and furthered by the State.</w:t>
      </w:r>
    </w:p>
    <w:p w:rsidR="00A0661D" w:rsidRPr="009F1210" w:rsidRDefault="00A0661D" w:rsidP="00485E99">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b/>
          <w:i/>
          <w:color w:val="0070C0"/>
          <w:sz w:val="20"/>
          <w:szCs w:val="20"/>
        </w:rPr>
      </w:pPr>
      <w:r w:rsidRPr="009F1210">
        <w:rPr>
          <w:rFonts w:ascii="Cambria" w:hAnsi="Cambria"/>
          <w:color w:val="000000"/>
          <w:sz w:val="20"/>
          <w:szCs w:val="20"/>
        </w:rPr>
        <w:t xml:space="preserve">As to the </w:t>
      </w:r>
      <w:r w:rsidR="0083172E">
        <w:rPr>
          <w:rFonts w:ascii="Cambria" w:hAnsi="Cambria"/>
          <w:color w:val="000000"/>
          <w:sz w:val="20"/>
          <w:szCs w:val="20"/>
        </w:rPr>
        <w:t>arguments</w:t>
      </w:r>
      <w:r w:rsidRPr="009F1210">
        <w:rPr>
          <w:rFonts w:ascii="Cambria" w:hAnsi="Cambria"/>
          <w:color w:val="000000"/>
          <w:sz w:val="20"/>
          <w:szCs w:val="20"/>
        </w:rPr>
        <w:t xml:space="preserve"> </w:t>
      </w:r>
      <w:r w:rsidR="0083172E">
        <w:rPr>
          <w:rFonts w:ascii="Cambria" w:hAnsi="Cambria"/>
          <w:color w:val="000000"/>
          <w:sz w:val="20"/>
          <w:szCs w:val="20"/>
        </w:rPr>
        <w:t>concerning</w:t>
      </w:r>
      <w:r w:rsidRPr="009F1210">
        <w:rPr>
          <w:rFonts w:ascii="Cambria" w:hAnsi="Cambria"/>
          <w:color w:val="000000"/>
          <w:sz w:val="20"/>
          <w:szCs w:val="20"/>
        </w:rPr>
        <w:t xml:space="preserve"> the petitioners</w:t>
      </w:r>
      <w:r w:rsidR="005B6CE3">
        <w:rPr>
          <w:rFonts w:ascii="Cambria" w:hAnsi="Cambria"/>
          <w:color w:val="000000"/>
          <w:sz w:val="20"/>
          <w:szCs w:val="20"/>
        </w:rPr>
        <w:t>’</w:t>
      </w:r>
      <w:r w:rsidRPr="009F1210">
        <w:rPr>
          <w:rFonts w:ascii="Cambria" w:hAnsi="Cambria"/>
          <w:color w:val="000000"/>
          <w:sz w:val="20"/>
          <w:szCs w:val="20"/>
        </w:rPr>
        <w:t xml:space="preserve"> alleged </w:t>
      </w:r>
      <w:r w:rsidR="0083172E">
        <w:rPr>
          <w:rFonts w:ascii="Cambria" w:hAnsi="Cambria"/>
          <w:color w:val="000000"/>
          <w:sz w:val="20"/>
          <w:szCs w:val="20"/>
        </w:rPr>
        <w:t>“</w:t>
      </w:r>
      <w:r w:rsidRPr="009F1210">
        <w:rPr>
          <w:rFonts w:ascii="Cambria" w:hAnsi="Cambria"/>
          <w:color w:val="000000"/>
          <w:sz w:val="20"/>
          <w:szCs w:val="20"/>
        </w:rPr>
        <w:t>lack of diligence</w:t>
      </w:r>
      <w:r w:rsidR="0083172E">
        <w:rPr>
          <w:rFonts w:ascii="Cambria" w:hAnsi="Cambria"/>
          <w:color w:val="000000"/>
          <w:sz w:val="20"/>
          <w:szCs w:val="20"/>
        </w:rPr>
        <w:t>”</w:t>
      </w:r>
      <w:r w:rsidRPr="009F1210">
        <w:rPr>
          <w:rFonts w:ascii="Cambria" w:hAnsi="Cambria"/>
          <w:color w:val="000000"/>
          <w:sz w:val="20"/>
          <w:szCs w:val="20"/>
        </w:rPr>
        <w:t xml:space="preserve"> for failing to appear as the plaintiff in the criminal proceedings, the IACHR recalls that in procedural systems where victims or their relatives are entitled to participate in criminal proceedings, said participation is not an obligation but an option </w:t>
      </w:r>
      <w:r w:rsidR="00B61CCD">
        <w:rPr>
          <w:rFonts w:ascii="Cambria" w:hAnsi="Cambria"/>
          <w:color w:val="000000"/>
          <w:sz w:val="20"/>
          <w:szCs w:val="20"/>
        </w:rPr>
        <w:t>which</w:t>
      </w:r>
      <w:r w:rsidR="0083172E">
        <w:rPr>
          <w:rFonts w:ascii="Cambria" w:hAnsi="Cambria"/>
          <w:color w:val="000000"/>
          <w:sz w:val="20"/>
          <w:szCs w:val="20"/>
        </w:rPr>
        <w:t xml:space="preserve"> </w:t>
      </w:r>
      <w:r w:rsidRPr="009F1210">
        <w:rPr>
          <w:rFonts w:ascii="Cambria" w:hAnsi="Cambria"/>
          <w:color w:val="000000"/>
          <w:sz w:val="20"/>
          <w:szCs w:val="20"/>
        </w:rPr>
        <w:t>under no circumstance</w:t>
      </w:r>
      <w:r w:rsidR="0083172E">
        <w:rPr>
          <w:rFonts w:ascii="Cambria" w:hAnsi="Cambria"/>
          <w:color w:val="000000"/>
          <w:sz w:val="20"/>
          <w:szCs w:val="20"/>
        </w:rPr>
        <w:t>s</w:t>
      </w:r>
      <w:r w:rsidRPr="009F1210">
        <w:rPr>
          <w:rFonts w:ascii="Cambria" w:hAnsi="Cambria"/>
          <w:color w:val="000000"/>
          <w:sz w:val="20"/>
          <w:szCs w:val="20"/>
        </w:rPr>
        <w:t xml:space="preserve"> substitute</w:t>
      </w:r>
      <w:r w:rsidR="00B61CCD">
        <w:rPr>
          <w:rFonts w:ascii="Cambria" w:hAnsi="Cambria"/>
          <w:color w:val="000000"/>
          <w:sz w:val="20"/>
          <w:szCs w:val="20"/>
        </w:rPr>
        <w:t>s</w:t>
      </w:r>
      <w:r w:rsidRPr="009F1210">
        <w:rPr>
          <w:rFonts w:ascii="Cambria" w:hAnsi="Cambria"/>
          <w:color w:val="000000"/>
          <w:sz w:val="20"/>
          <w:szCs w:val="20"/>
        </w:rPr>
        <w:t xml:space="preserve"> actions by the State. In other words, the fact that said procedural concepts, with complementary or contributing functions, were not used in the criminal proceedings that the State must further, does not affect the analysis of the requirement of prior exhaustion of domestic remedies.</w:t>
      </w:r>
      <w:r w:rsidRPr="009F1210">
        <w:rPr>
          <w:rStyle w:val="FootnoteReference"/>
          <w:rFonts w:ascii="Cambria" w:hAnsi="Cambria"/>
          <w:color w:val="000000"/>
          <w:sz w:val="20"/>
          <w:szCs w:val="20"/>
        </w:rPr>
        <w:footnoteReference w:id="5"/>
      </w:r>
    </w:p>
    <w:p w:rsidR="00A0661D" w:rsidRPr="009F1210" w:rsidRDefault="00A0661D" w:rsidP="00485E99">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b/>
          <w:i/>
          <w:color w:val="0070C0"/>
          <w:sz w:val="20"/>
          <w:szCs w:val="20"/>
        </w:rPr>
      </w:pPr>
      <w:r w:rsidRPr="009F1210">
        <w:rPr>
          <w:rFonts w:ascii="Cambria" w:hAnsi="Cambria"/>
          <w:sz w:val="20"/>
          <w:szCs w:val="20"/>
        </w:rPr>
        <w:t>In relation to the administrative proceedings, the jurisprudence of the Commission and the Inter-American Court on Human Rights has consistently established that said proceedings are not an effective remedy to analyze the admissibility of a complaint o</w:t>
      </w:r>
      <w:r w:rsidR="005D2848">
        <w:rPr>
          <w:rFonts w:ascii="Cambria" w:hAnsi="Cambria"/>
          <w:sz w:val="20"/>
          <w:szCs w:val="20"/>
        </w:rPr>
        <w:t xml:space="preserve">f such nature inasmuch as it </w:t>
      </w:r>
      <w:r w:rsidRPr="009F1210">
        <w:rPr>
          <w:rFonts w:ascii="Cambria" w:hAnsi="Cambria"/>
          <w:sz w:val="20"/>
          <w:szCs w:val="20"/>
        </w:rPr>
        <w:t xml:space="preserve">does not contribute to eradicate impunity, ensure the non-repetition of wrongful acts or ensure the full </w:t>
      </w:r>
      <w:r w:rsidR="00AB4377" w:rsidRPr="009F1210">
        <w:rPr>
          <w:rFonts w:ascii="Cambria" w:hAnsi="Cambria"/>
          <w:sz w:val="20"/>
          <w:szCs w:val="20"/>
        </w:rPr>
        <w:t>exercise</w:t>
      </w:r>
      <w:r w:rsidRPr="009F1210">
        <w:rPr>
          <w:rFonts w:ascii="Cambria" w:hAnsi="Cambria"/>
          <w:sz w:val="20"/>
          <w:szCs w:val="20"/>
        </w:rPr>
        <w:t xml:space="preserve"> of the rights protected by the Convention.</w:t>
      </w:r>
      <w:r w:rsidR="00AB4377" w:rsidRPr="009F1210">
        <w:rPr>
          <w:rStyle w:val="FootnoteReference"/>
          <w:rFonts w:ascii="Cambria" w:hAnsi="Cambria"/>
          <w:sz w:val="20"/>
          <w:szCs w:val="20"/>
        </w:rPr>
        <w:footnoteReference w:id="6"/>
      </w:r>
      <w:r w:rsidRPr="009F1210">
        <w:rPr>
          <w:rFonts w:ascii="Cambria" w:hAnsi="Cambria"/>
          <w:sz w:val="20"/>
          <w:szCs w:val="20"/>
        </w:rPr>
        <w:t xml:space="preserve"> Therefore, said proceedings are not the appropriate remedy to be exhausted by the petitioners as a requirement to file their petiti</w:t>
      </w:r>
      <w:r w:rsidR="00914508">
        <w:rPr>
          <w:rFonts w:ascii="Cambria" w:hAnsi="Cambria"/>
          <w:sz w:val="20"/>
          <w:szCs w:val="20"/>
        </w:rPr>
        <w:t>on to the Inter-American System.</w:t>
      </w:r>
    </w:p>
    <w:p w:rsidR="00A0661D" w:rsidRPr="009F1210" w:rsidRDefault="00A0661D" w:rsidP="00485E99">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b/>
          <w:i/>
          <w:color w:val="0070C0"/>
          <w:sz w:val="20"/>
          <w:szCs w:val="20"/>
        </w:rPr>
      </w:pPr>
      <w:r w:rsidRPr="009F1210">
        <w:rPr>
          <w:rFonts w:ascii="Cambria" w:hAnsi="Cambria"/>
          <w:sz w:val="20"/>
          <w:szCs w:val="20"/>
        </w:rPr>
        <w:t>The Commission notes that the case was initially heard by the military court and that on July 5, 2007 the dispute over competence was settled in favor of the ordinary court</w:t>
      </w:r>
      <w:r w:rsidR="00914508">
        <w:rPr>
          <w:rFonts w:ascii="Cambria" w:hAnsi="Cambria"/>
          <w:sz w:val="20"/>
          <w:szCs w:val="20"/>
        </w:rPr>
        <w:t>.</w:t>
      </w:r>
      <w:r w:rsidRPr="009F1210">
        <w:rPr>
          <w:rFonts w:ascii="Cambria" w:hAnsi="Cambria"/>
          <w:sz w:val="20"/>
          <w:szCs w:val="20"/>
        </w:rPr>
        <w:t xml:space="preserve"> </w:t>
      </w:r>
      <w:r w:rsidR="00914508">
        <w:rPr>
          <w:rFonts w:ascii="Cambria" w:hAnsi="Cambria"/>
          <w:sz w:val="20"/>
          <w:szCs w:val="20"/>
        </w:rPr>
        <w:t>I</w:t>
      </w:r>
      <w:r w:rsidRPr="009F1210">
        <w:rPr>
          <w:rFonts w:ascii="Cambria" w:hAnsi="Cambria"/>
          <w:sz w:val="20"/>
          <w:szCs w:val="20"/>
        </w:rPr>
        <w:t>t also notes the petitioners</w:t>
      </w:r>
      <w:r w:rsidR="005B6CE3">
        <w:rPr>
          <w:rFonts w:ascii="Cambria" w:hAnsi="Cambria"/>
          <w:sz w:val="20"/>
          <w:szCs w:val="20"/>
        </w:rPr>
        <w:t>’</w:t>
      </w:r>
      <w:r w:rsidRPr="009F1210">
        <w:rPr>
          <w:rFonts w:ascii="Cambria" w:hAnsi="Cambria"/>
          <w:sz w:val="20"/>
          <w:szCs w:val="20"/>
        </w:rPr>
        <w:t xml:space="preserve"> </w:t>
      </w:r>
      <w:r w:rsidR="00914508">
        <w:rPr>
          <w:rFonts w:ascii="Cambria" w:hAnsi="Cambria"/>
          <w:sz w:val="20"/>
          <w:szCs w:val="20"/>
        </w:rPr>
        <w:t>arguments</w:t>
      </w:r>
      <w:r w:rsidRPr="009F1210">
        <w:rPr>
          <w:rFonts w:ascii="Cambria" w:hAnsi="Cambria"/>
          <w:sz w:val="20"/>
          <w:szCs w:val="20"/>
        </w:rPr>
        <w:t xml:space="preserve"> concerning the fact that the threats and the displacement suffered by the alleged victims</w:t>
      </w:r>
      <w:r w:rsidR="005B6CE3">
        <w:rPr>
          <w:rFonts w:ascii="Cambria" w:hAnsi="Cambria"/>
          <w:sz w:val="20"/>
          <w:szCs w:val="20"/>
        </w:rPr>
        <w:t>’</w:t>
      </w:r>
      <w:r w:rsidRPr="009F1210">
        <w:rPr>
          <w:rFonts w:ascii="Cambria" w:hAnsi="Cambria"/>
          <w:sz w:val="20"/>
          <w:szCs w:val="20"/>
        </w:rPr>
        <w:t xml:space="preserve"> family members prevented their access to justice. In this regard, the Commission recalls that the State is bound to conduct an investigation ex officio into the facts denounced. Likewise, as to the duration of the crimi</w:t>
      </w:r>
      <w:r w:rsidR="00914508">
        <w:rPr>
          <w:rFonts w:ascii="Cambria" w:hAnsi="Cambria"/>
          <w:sz w:val="20"/>
          <w:szCs w:val="20"/>
        </w:rPr>
        <w:t>nal proceedings, the Commission</w:t>
      </w:r>
      <w:r w:rsidR="005B6CE3">
        <w:rPr>
          <w:rFonts w:ascii="Cambria" w:hAnsi="Cambria"/>
          <w:sz w:val="20"/>
          <w:szCs w:val="20"/>
        </w:rPr>
        <w:t>’</w:t>
      </w:r>
      <w:r w:rsidRPr="009F1210">
        <w:rPr>
          <w:rFonts w:ascii="Cambria" w:hAnsi="Cambria"/>
          <w:sz w:val="20"/>
          <w:szCs w:val="20"/>
        </w:rPr>
        <w:t>s jurisprudence regarding similar matters</w:t>
      </w:r>
      <w:r w:rsidR="00B628A8" w:rsidRPr="009F1210">
        <w:rPr>
          <w:rStyle w:val="FootnoteReference"/>
          <w:rFonts w:ascii="Cambria" w:hAnsi="Cambria"/>
          <w:sz w:val="20"/>
          <w:szCs w:val="20"/>
        </w:rPr>
        <w:footnoteReference w:id="7"/>
      </w:r>
      <w:r w:rsidRPr="009F1210">
        <w:rPr>
          <w:rFonts w:ascii="Cambria" w:hAnsi="Cambria"/>
          <w:sz w:val="20"/>
          <w:szCs w:val="20"/>
        </w:rPr>
        <w:t xml:space="preserve"> establishes that the exception set forth in Article 46.2(c) of the Convention is applicable due to the time elapsed from the date of the facts denounced, the lack of even a first-instance judgment, and the fact that no one has yet been </w:t>
      </w:r>
      <w:r w:rsidR="00283875">
        <w:rPr>
          <w:rFonts w:ascii="Cambria" w:hAnsi="Cambria"/>
          <w:sz w:val="20"/>
          <w:szCs w:val="20"/>
        </w:rPr>
        <w:t>found</w:t>
      </w:r>
      <w:r w:rsidRPr="009F1210">
        <w:rPr>
          <w:rFonts w:ascii="Cambria" w:hAnsi="Cambria"/>
          <w:sz w:val="20"/>
          <w:szCs w:val="20"/>
        </w:rPr>
        <w:t xml:space="preserve"> responsible. In this case, 13 years have passed since the alleged facts took place and, according to the most recent information available, the criminal proceedings are still in the preliminary stage. As a result, considering the delay in the criminal proceedings of this case, the requirement of exhaustion of domestic remedies is not obligatory.</w:t>
      </w:r>
    </w:p>
    <w:p w:rsidR="00995659" w:rsidRPr="009F1210" w:rsidRDefault="00A0661D" w:rsidP="00485E99">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9F1210">
        <w:rPr>
          <w:rFonts w:ascii="Cambria" w:hAnsi="Cambria"/>
          <w:sz w:val="20"/>
          <w:szCs w:val="20"/>
        </w:rPr>
        <w:t>As regards the petitioners</w:t>
      </w:r>
      <w:r w:rsidR="005B6CE3">
        <w:rPr>
          <w:rFonts w:ascii="Cambria" w:hAnsi="Cambria"/>
          <w:sz w:val="20"/>
          <w:szCs w:val="20"/>
        </w:rPr>
        <w:t>’</w:t>
      </w:r>
      <w:r w:rsidRPr="009F1210">
        <w:rPr>
          <w:rFonts w:ascii="Cambria" w:hAnsi="Cambria"/>
          <w:sz w:val="20"/>
          <w:szCs w:val="20"/>
        </w:rPr>
        <w:t xml:space="preserve"> claim about José Duván Gil Vásquez</w:t>
      </w:r>
      <w:r w:rsidR="005B6CE3">
        <w:rPr>
          <w:rFonts w:ascii="Cambria" w:hAnsi="Cambria"/>
          <w:sz w:val="20"/>
          <w:szCs w:val="20"/>
        </w:rPr>
        <w:t>’</w:t>
      </w:r>
      <w:r w:rsidRPr="009F1210">
        <w:rPr>
          <w:rFonts w:ascii="Cambria" w:hAnsi="Cambria"/>
          <w:sz w:val="20"/>
          <w:szCs w:val="20"/>
        </w:rPr>
        <w:t>s detention, prosecution and conviction for insurgency, they assert that the alleged victim was prosecuted in 2003. They add that on February 19, 2009 the Criminal Chamber of Appeals of the Supreme Court of Justice annul</w:t>
      </w:r>
      <w:r w:rsidR="00B84F53">
        <w:rPr>
          <w:rFonts w:ascii="Cambria" w:hAnsi="Cambria"/>
          <w:sz w:val="20"/>
          <w:szCs w:val="20"/>
        </w:rPr>
        <w:t>led</w:t>
      </w:r>
      <w:r w:rsidRPr="009F1210">
        <w:rPr>
          <w:rFonts w:ascii="Cambria" w:hAnsi="Cambria"/>
          <w:sz w:val="20"/>
          <w:szCs w:val="20"/>
        </w:rPr>
        <w:t xml:space="preserve"> </w:t>
      </w:r>
      <w:r w:rsidR="00B84F53">
        <w:rPr>
          <w:rFonts w:ascii="Cambria" w:hAnsi="Cambria"/>
          <w:sz w:val="20"/>
          <w:szCs w:val="20"/>
        </w:rPr>
        <w:t xml:space="preserve">the judicial proceedings for the </w:t>
      </w:r>
      <w:r w:rsidRPr="009F1210">
        <w:rPr>
          <w:rFonts w:ascii="Cambria" w:hAnsi="Cambria"/>
          <w:sz w:val="20"/>
          <w:szCs w:val="20"/>
        </w:rPr>
        <w:t xml:space="preserve">violation of the right to technical defense, as of the date that the investigation was closed, in order to allow the alleged victim to have a proper technical defense. The State claims that the petition is inadmissible in that regard inasmuch as the alleged victim has not lodged a claim for direct reparations before the administrative law court, and consequently has not exhausted the domestic remedies. The Commission notes that based </w:t>
      </w:r>
      <w:r w:rsidR="00960FA5">
        <w:rPr>
          <w:rFonts w:ascii="Cambria" w:hAnsi="Cambria"/>
          <w:sz w:val="20"/>
          <w:szCs w:val="20"/>
        </w:rPr>
        <w:t xml:space="preserve">on </w:t>
      </w:r>
      <w:r w:rsidRPr="009F1210">
        <w:rPr>
          <w:rFonts w:ascii="Cambria" w:hAnsi="Cambria"/>
          <w:sz w:val="20"/>
          <w:szCs w:val="20"/>
        </w:rPr>
        <w:t xml:space="preserve">the </w:t>
      </w:r>
      <w:r w:rsidR="00960FA5">
        <w:rPr>
          <w:rFonts w:ascii="Cambria" w:hAnsi="Cambria"/>
          <w:sz w:val="20"/>
          <w:szCs w:val="20"/>
        </w:rPr>
        <w:t>information</w:t>
      </w:r>
      <w:r w:rsidRPr="009F1210">
        <w:rPr>
          <w:rFonts w:ascii="Cambria" w:hAnsi="Cambria"/>
          <w:sz w:val="20"/>
          <w:szCs w:val="20"/>
        </w:rPr>
        <w:t xml:space="preserve"> submitted by the parties, </w:t>
      </w:r>
      <w:r w:rsidR="00960FA5">
        <w:rPr>
          <w:rFonts w:ascii="Cambria" w:hAnsi="Cambria"/>
          <w:sz w:val="20"/>
          <w:szCs w:val="20"/>
        </w:rPr>
        <w:t>it</w:t>
      </w:r>
      <w:r w:rsidRPr="009F1210">
        <w:rPr>
          <w:rFonts w:ascii="Cambria" w:hAnsi="Cambria"/>
          <w:sz w:val="20"/>
          <w:szCs w:val="20"/>
        </w:rPr>
        <w:t xml:space="preserve"> </w:t>
      </w:r>
      <w:r w:rsidR="00960FA5" w:rsidRPr="009F1210">
        <w:rPr>
          <w:rFonts w:ascii="Cambria" w:hAnsi="Cambria"/>
          <w:sz w:val="20"/>
          <w:szCs w:val="20"/>
        </w:rPr>
        <w:t>appear</w:t>
      </w:r>
      <w:r w:rsidR="00960FA5">
        <w:rPr>
          <w:rFonts w:ascii="Cambria" w:hAnsi="Cambria"/>
          <w:sz w:val="20"/>
          <w:szCs w:val="20"/>
        </w:rPr>
        <w:t>s</w:t>
      </w:r>
      <w:r w:rsidRPr="009F1210">
        <w:rPr>
          <w:rFonts w:ascii="Cambria" w:hAnsi="Cambria"/>
          <w:sz w:val="20"/>
          <w:szCs w:val="20"/>
        </w:rPr>
        <w:t xml:space="preserve"> that </w:t>
      </w:r>
      <w:r w:rsidR="007C0CE1">
        <w:rPr>
          <w:rFonts w:ascii="Cambria" w:hAnsi="Cambria"/>
          <w:sz w:val="20"/>
          <w:szCs w:val="20"/>
        </w:rPr>
        <w:t xml:space="preserve">the proceedings filed </w:t>
      </w:r>
      <w:r w:rsidR="007C0CE1" w:rsidRPr="00FF12D3">
        <w:rPr>
          <w:rFonts w:ascii="Cambria" w:hAnsi="Cambria"/>
          <w:sz w:val="20"/>
          <w:szCs w:val="20"/>
        </w:rPr>
        <w:t>against</w:t>
      </w:r>
      <w:r w:rsidR="007C0CE1">
        <w:rPr>
          <w:rFonts w:ascii="Cambria" w:hAnsi="Cambria"/>
          <w:sz w:val="20"/>
          <w:szCs w:val="20"/>
        </w:rPr>
        <w:t xml:space="preserve"> </w:t>
      </w:r>
      <w:r w:rsidR="00FF12D3">
        <w:rPr>
          <w:rFonts w:ascii="Cambria" w:hAnsi="Cambria"/>
          <w:sz w:val="20"/>
          <w:szCs w:val="20"/>
        </w:rPr>
        <w:t>him</w:t>
      </w:r>
      <w:r w:rsidRPr="009F1210">
        <w:rPr>
          <w:rFonts w:ascii="Cambria" w:hAnsi="Cambria"/>
          <w:sz w:val="20"/>
          <w:szCs w:val="20"/>
        </w:rPr>
        <w:t xml:space="preserve"> are in progress; therefore, the exception to the prior exhaustion of domestic remedies applies, in accordance with Article 46.2(c) of the American Convention.</w:t>
      </w:r>
      <w:r w:rsidR="001E2DEA" w:rsidRPr="009F1210">
        <w:rPr>
          <w:rFonts w:ascii="Cambria" w:hAnsi="Cambria"/>
          <w:sz w:val="20"/>
          <w:szCs w:val="20"/>
        </w:rPr>
        <w:t xml:space="preserve"> </w:t>
      </w:r>
    </w:p>
    <w:p w:rsidR="00A0661D" w:rsidRPr="009F1210" w:rsidRDefault="00A0661D" w:rsidP="00485E99">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b/>
          <w:i/>
          <w:sz w:val="20"/>
          <w:szCs w:val="20"/>
        </w:rPr>
      </w:pPr>
      <w:r w:rsidRPr="009F1210">
        <w:rPr>
          <w:rFonts w:ascii="Cambria" w:hAnsi="Cambria"/>
          <w:sz w:val="20"/>
          <w:szCs w:val="20"/>
        </w:rPr>
        <w:lastRenderedPageBreak/>
        <w:t>As a result, the Commission concludes that the exceptions to the requirement of exhaustion of domestic remedies set forth in Article 46.2(c) of the Convention and in Article 31.2(c) of the IACHR</w:t>
      </w:r>
      <w:r w:rsidR="005B6CE3">
        <w:rPr>
          <w:rFonts w:ascii="Cambria" w:hAnsi="Cambria"/>
          <w:sz w:val="20"/>
          <w:szCs w:val="20"/>
        </w:rPr>
        <w:t>’</w:t>
      </w:r>
      <w:r w:rsidRPr="009F1210">
        <w:rPr>
          <w:rFonts w:ascii="Cambria" w:hAnsi="Cambria"/>
          <w:sz w:val="20"/>
          <w:szCs w:val="20"/>
        </w:rPr>
        <w:t xml:space="preserve">s Rules are applicable in this case. </w:t>
      </w: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sz w:val="20"/>
          <w:szCs w:val="20"/>
        </w:rPr>
      </w:pPr>
      <w:r w:rsidRPr="009F1210">
        <w:rPr>
          <w:rFonts w:ascii="Cambria" w:hAnsi="Cambria"/>
          <w:b/>
          <w:sz w:val="20"/>
          <w:szCs w:val="20"/>
        </w:rPr>
        <w:t>2.</w:t>
      </w:r>
      <w:r w:rsidRPr="009F1210">
        <w:rPr>
          <w:rFonts w:ascii="Cambria" w:hAnsi="Cambria"/>
          <w:b/>
          <w:sz w:val="20"/>
          <w:szCs w:val="20"/>
        </w:rPr>
        <w:tab/>
        <w:t>Timeliness of the petition</w:t>
      </w:r>
    </w:p>
    <w:p w:rsidR="00A0661D" w:rsidRPr="009F1210" w:rsidRDefault="00A0661D" w:rsidP="00485E99">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9F1210">
        <w:rPr>
          <w:rFonts w:ascii="Cambria" w:hAnsi="Cambria" w:cs="Arial"/>
          <w:sz w:val="20"/>
          <w:szCs w:val="20"/>
        </w:rPr>
        <w:t>Under Article 46.1(b) of the American Convention and Article 32.1 of the Rules, for a petition to be declared admissible by the Commission, it must be lodged within a six-month period following the date on which the alleged victim was notified of the final judgment. As to the petition under assessment, the IACHR has established the applicability of the exception to the requirement of exhaustion of domestic remedies set forth in Article 46.2(c) of the American Convention and in Article 31.2(c) of the Rules. In this regard, Article 32.2 of the Rules of the Commission establishes that in those cases in which the exceptions to the requirement of prior exhaustion of domestic remedies are applicable, the petition shall be presented within a reasonable period of time, as determined by the Commission. For this purpose, the Commission shall consider the date on which the alleged violation of rights occurred and the circumstances of each case.</w:t>
      </w:r>
    </w:p>
    <w:p w:rsidR="00A0661D" w:rsidRPr="009F1210" w:rsidRDefault="00A0661D" w:rsidP="00485E99">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9F1210">
        <w:rPr>
          <w:rFonts w:ascii="Cambria" w:hAnsi="Cambria" w:cs="Cambria"/>
          <w:b/>
          <w:color w:val="0070C0"/>
          <w:sz w:val="20"/>
          <w:szCs w:val="20"/>
          <w:lang w:eastAsia="es-ES"/>
        </w:rPr>
        <w:t xml:space="preserve"> </w:t>
      </w:r>
      <w:r w:rsidRPr="009F1210">
        <w:rPr>
          <w:rFonts w:ascii="Cambria" w:hAnsi="Cambria"/>
          <w:sz w:val="20"/>
          <w:szCs w:val="20"/>
        </w:rPr>
        <w:t>Concerning the case under assessment, the Commission received the petition</w:t>
      </w:r>
      <w:r w:rsidR="0064018B">
        <w:rPr>
          <w:rFonts w:ascii="Cambria" w:hAnsi="Cambria"/>
          <w:sz w:val="20"/>
          <w:szCs w:val="20"/>
        </w:rPr>
        <w:t xml:space="preserve"> on November 29, 2004</w:t>
      </w:r>
      <w:r w:rsidRPr="009F1210">
        <w:rPr>
          <w:rFonts w:ascii="Cambria" w:hAnsi="Cambria"/>
          <w:sz w:val="20"/>
          <w:szCs w:val="20"/>
        </w:rPr>
        <w:t xml:space="preserve"> and the alleged facts matter of this complaint allegedly took place on November 30, 2003 and its effects allegedly persist. Therefore, in view of the context and the characteristics of this case, the Commission considers that the petition was presented within a reasonable term, and that the admissibility requirement of timeliness of the petition has been met.</w:t>
      </w: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rPr>
      </w:pPr>
      <w:r w:rsidRPr="009F1210">
        <w:rPr>
          <w:rFonts w:ascii="Cambria" w:hAnsi="Cambria"/>
          <w:b/>
          <w:bCs/>
          <w:sz w:val="20"/>
          <w:szCs w:val="20"/>
        </w:rPr>
        <w:t>3.</w:t>
      </w:r>
      <w:r w:rsidRPr="009F1210">
        <w:rPr>
          <w:rFonts w:ascii="Cambria" w:hAnsi="Cambria"/>
          <w:b/>
          <w:bCs/>
          <w:sz w:val="20"/>
          <w:szCs w:val="20"/>
        </w:rPr>
        <w:tab/>
        <w:t>Duplication of procedures and international res judicata</w:t>
      </w:r>
    </w:p>
    <w:p w:rsidR="00A0661D" w:rsidRPr="009F1210" w:rsidRDefault="00A0661D" w:rsidP="00485E99">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9F1210">
        <w:rPr>
          <w:rFonts w:ascii="Cambria" w:hAnsi="Cambria"/>
          <w:sz w:val="20"/>
          <w:szCs w:val="20"/>
        </w:rPr>
        <w:t xml:space="preserve">From the case file, there is nothing that indicates that the subject matter of the petition is pending in another international proceeding or that it duplicates a petition already examined by this or another international body. Therefore, the inadmissibility conditions set forth in Articles 46.1(c) and 47(d) of the Convention, and in Articles 33.1(a) and 33.1(b) of the Rules do not apply. </w:t>
      </w: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rPr>
      </w:pPr>
      <w:r w:rsidRPr="009F1210">
        <w:rPr>
          <w:rFonts w:ascii="Cambria" w:hAnsi="Cambria"/>
          <w:b/>
          <w:bCs/>
          <w:sz w:val="20"/>
          <w:szCs w:val="20"/>
        </w:rPr>
        <w:t>4.</w:t>
      </w:r>
      <w:r w:rsidRPr="009F1210">
        <w:rPr>
          <w:rFonts w:ascii="Cambria" w:hAnsi="Cambria"/>
          <w:b/>
          <w:bCs/>
          <w:sz w:val="20"/>
          <w:szCs w:val="20"/>
        </w:rPr>
        <w:tab/>
        <w:t>Colorable claim</w:t>
      </w:r>
    </w:p>
    <w:p w:rsidR="00A0661D" w:rsidRPr="009F1210" w:rsidRDefault="00A0661D" w:rsidP="00485E99">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9F1210">
        <w:rPr>
          <w:rFonts w:ascii="Cambria" w:hAnsi="Cambria"/>
          <w:sz w:val="20"/>
          <w:szCs w:val="20"/>
        </w:rPr>
        <w:t xml:space="preserve">For admissibility purposes, the Commission must decide if the facts denounced tend to establish a violation of rights, in accordance with Article 47(b) of the American Convention and Article 34(a) of the Rules, or if the petition is </w:t>
      </w:r>
      <w:r w:rsidR="005B6CE3">
        <w:rPr>
          <w:rFonts w:ascii="Cambria" w:hAnsi="Cambria"/>
          <w:sz w:val="20"/>
          <w:szCs w:val="20"/>
        </w:rPr>
        <w:t>‘</w:t>
      </w:r>
      <w:r w:rsidRPr="009F1210">
        <w:rPr>
          <w:rFonts w:ascii="Cambria" w:hAnsi="Cambria"/>
          <w:sz w:val="20"/>
          <w:szCs w:val="20"/>
        </w:rPr>
        <w:t>manifestly groundless</w:t>
      </w:r>
      <w:r w:rsidR="005B6CE3">
        <w:rPr>
          <w:rFonts w:ascii="Cambria" w:hAnsi="Cambria"/>
          <w:sz w:val="20"/>
          <w:szCs w:val="20"/>
        </w:rPr>
        <w:t>’</w:t>
      </w:r>
      <w:r w:rsidRPr="009F1210">
        <w:rPr>
          <w:rFonts w:ascii="Cambria" w:hAnsi="Cambria"/>
          <w:sz w:val="20"/>
          <w:szCs w:val="20"/>
        </w:rPr>
        <w:t xml:space="preserve"> or </w:t>
      </w:r>
      <w:r w:rsidR="005B6CE3">
        <w:rPr>
          <w:rFonts w:ascii="Cambria" w:hAnsi="Cambria"/>
          <w:sz w:val="20"/>
          <w:szCs w:val="20"/>
        </w:rPr>
        <w:t>‘</w:t>
      </w:r>
      <w:r w:rsidRPr="009F1210">
        <w:rPr>
          <w:rFonts w:ascii="Cambria" w:hAnsi="Cambria"/>
          <w:sz w:val="20"/>
          <w:szCs w:val="20"/>
        </w:rPr>
        <w:t>obviously out of order,</w:t>
      </w:r>
      <w:r w:rsidR="005B6CE3">
        <w:rPr>
          <w:rFonts w:ascii="Cambria" w:hAnsi="Cambria"/>
          <w:sz w:val="20"/>
          <w:szCs w:val="20"/>
        </w:rPr>
        <w:t>’</w:t>
      </w:r>
      <w:r w:rsidRPr="009F1210">
        <w:rPr>
          <w:rFonts w:ascii="Cambria" w:hAnsi="Cambria"/>
          <w:sz w:val="20"/>
          <w:szCs w:val="20"/>
        </w:rPr>
        <w:t xml:space="preserve"> in accordance with Article 47(c) of the American Convention and Article 34(b) of the Rules. The admissibility assessment criterion differs from the merits assessment criterion, since the Commission only undertakes a </w:t>
      </w:r>
      <w:r w:rsidRPr="001A0D46">
        <w:rPr>
          <w:rFonts w:ascii="Cambria" w:hAnsi="Cambria"/>
          <w:i/>
          <w:sz w:val="20"/>
          <w:szCs w:val="20"/>
        </w:rPr>
        <w:t>prima facie</w:t>
      </w:r>
      <w:r w:rsidRPr="009F1210">
        <w:rPr>
          <w:rFonts w:ascii="Cambria" w:hAnsi="Cambria"/>
          <w:sz w:val="20"/>
          <w:szCs w:val="20"/>
        </w:rPr>
        <w:t xml:space="preserve"> assessment to determine whether the petitioners have established the apparent or possible violation of a right protected by the Convention. It is a general analysis not involving a prejudgment of, or issuance of a preliminary opini</w:t>
      </w:r>
      <w:r w:rsidR="001A0D46">
        <w:rPr>
          <w:rFonts w:ascii="Cambria" w:hAnsi="Cambria"/>
          <w:sz w:val="20"/>
          <w:szCs w:val="20"/>
        </w:rPr>
        <w:t>on on the merits of the matter.</w:t>
      </w:r>
    </w:p>
    <w:p w:rsidR="00A0661D" w:rsidRPr="009F1210" w:rsidRDefault="00A0661D" w:rsidP="00485E99">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9F1210">
        <w:rPr>
          <w:rFonts w:ascii="Cambria" w:hAnsi="Cambria"/>
          <w:sz w:val="20"/>
          <w:szCs w:val="20"/>
        </w:rPr>
        <w:t>Moreover, neither the American Convention nor the IACHR</w:t>
      </w:r>
      <w:r w:rsidR="005B6CE3">
        <w:rPr>
          <w:rFonts w:ascii="Cambria" w:hAnsi="Cambria"/>
          <w:sz w:val="20"/>
          <w:szCs w:val="20"/>
        </w:rPr>
        <w:t>’</w:t>
      </w:r>
      <w:r w:rsidRPr="009F1210">
        <w:rPr>
          <w:rFonts w:ascii="Cambria" w:hAnsi="Cambria"/>
          <w:sz w:val="20"/>
          <w:szCs w:val="20"/>
        </w:rPr>
        <w:t>s Rules require a petitioner to identify the specific rights allegedly violated by the State in the matter brought before the Commission, although petitioners</w:t>
      </w:r>
      <w:r w:rsidR="00231B95">
        <w:rPr>
          <w:rFonts w:ascii="Cambria" w:hAnsi="Cambria"/>
          <w:sz w:val="20"/>
          <w:szCs w:val="20"/>
        </w:rPr>
        <w:t xml:space="preserve"> may do so. Based on the system</w:t>
      </w:r>
      <w:r w:rsidR="005B6CE3">
        <w:rPr>
          <w:rFonts w:ascii="Cambria" w:hAnsi="Cambria"/>
          <w:sz w:val="20"/>
          <w:szCs w:val="20"/>
        </w:rPr>
        <w:t>’</w:t>
      </w:r>
      <w:r w:rsidRPr="009F1210">
        <w:rPr>
          <w:rFonts w:ascii="Cambria" w:hAnsi="Cambria"/>
          <w:sz w:val="20"/>
          <w:szCs w:val="20"/>
        </w:rPr>
        <w:t>s jurisprudence, it is for the Commission to determine in its admissibility report which provisions of the relevant Inter-American instruments apply and could be found to have been violated if the alleged facts are proven by sufficient elements.</w:t>
      </w:r>
    </w:p>
    <w:p w:rsidR="00A0661D" w:rsidRPr="009F1210" w:rsidRDefault="00A0661D" w:rsidP="00485E99">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9F1210">
        <w:rPr>
          <w:rFonts w:ascii="Cambria" w:hAnsi="Cambria" w:cs="Arial"/>
          <w:sz w:val="20"/>
          <w:szCs w:val="20"/>
        </w:rPr>
        <w:t>The petitioners assert that five of the alleged victims were killed and presented as members of the FARC, an</w:t>
      </w:r>
      <w:r w:rsidR="00231B95">
        <w:rPr>
          <w:rFonts w:ascii="Cambria" w:hAnsi="Cambria" w:cs="Arial"/>
          <w:sz w:val="20"/>
          <w:szCs w:val="20"/>
        </w:rPr>
        <w:t>d that their bodies were buried:</w:t>
      </w:r>
      <w:r w:rsidRPr="009F1210">
        <w:rPr>
          <w:rFonts w:ascii="Cambria" w:hAnsi="Cambria" w:cs="Arial"/>
          <w:sz w:val="20"/>
          <w:szCs w:val="20"/>
        </w:rPr>
        <w:t xml:space="preserve"> one at the place of the facts and the other four in a mass grave. They assert that the remains are still to be handed over. They </w:t>
      </w:r>
      <w:r w:rsidR="00525D34">
        <w:rPr>
          <w:rFonts w:ascii="Cambria" w:hAnsi="Cambria" w:cs="Arial"/>
          <w:sz w:val="20"/>
          <w:szCs w:val="20"/>
        </w:rPr>
        <w:t>claim</w:t>
      </w:r>
      <w:r w:rsidRPr="009F1210">
        <w:rPr>
          <w:rFonts w:ascii="Cambria" w:hAnsi="Cambria" w:cs="Arial"/>
          <w:sz w:val="20"/>
          <w:szCs w:val="20"/>
        </w:rPr>
        <w:t xml:space="preserve"> that two of </w:t>
      </w:r>
      <w:r w:rsidR="00352F61">
        <w:rPr>
          <w:rFonts w:ascii="Cambria" w:hAnsi="Cambria" w:cs="Arial"/>
          <w:sz w:val="20"/>
          <w:szCs w:val="20"/>
        </w:rPr>
        <w:t>the</w:t>
      </w:r>
      <w:r w:rsidRPr="009F1210">
        <w:rPr>
          <w:rFonts w:ascii="Cambria" w:hAnsi="Cambria" w:cs="Arial"/>
          <w:sz w:val="20"/>
          <w:szCs w:val="20"/>
        </w:rPr>
        <w:t xml:space="preserve"> alleged victims were also tortured before being killed. </w:t>
      </w:r>
      <w:r w:rsidR="00151ED9">
        <w:rPr>
          <w:rFonts w:ascii="Cambria" w:hAnsi="Cambria" w:cs="Arial"/>
          <w:sz w:val="20"/>
          <w:szCs w:val="20"/>
        </w:rPr>
        <w:t>A</w:t>
      </w:r>
      <w:r w:rsidR="00151ED9" w:rsidRPr="009F1210">
        <w:rPr>
          <w:rFonts w:ascii="Cambria" w:hAnsi="Cambria" w:cs="Arial"/>
          <w:sz w:val="20"/>
          <w:szCs w:val="20"/>
        </w:rPr>
        <w:t xml:space="preserve">lso </w:t>
      </w:r>
      <w:r w:rsidR="00151ED9">
        <w:rPr>
          <w:rFonts w:ascii="Cambria" w:hAnsi="Cambria" w:cs="Arial"/>
          <w:sz w:val="20"/>
          <w:szCs w:val="20"/>
        </w:rPr>
        <w:t>t</w:t>
      </w:r>
      <w:r w:rsidRPr="009F1210">
        <w:rPr>
          <w:rFonts w:ascii="Cambria" w:hAnsi="Cambria" w:cs="Arial"/>
          <w:sz w:val="20"/>
          <w:szCs w:val="20"/>
        </w:rPr>
        <w:t>hey assert that one of the alleged victims was injured and another was subjected to arbitrary detention and prosecuted for insurgency. Likewise, they affirm that the alleged v</w:t>
      </w:r>
      <w:r w:rsidR="00151ED9">
        <w:rPr>
          <w:rFonts w:ascii="Cambria" w:hAnsi="Cambria" w:cs="Arial"/>
          <w:sz w:val="20"/>
          <w:szCs w:val="20"/>
        </w:rPr>
        <w:t>ictims</w:t>
      </w:r>
      <w:r w:rsidR="005B6CE3">
        <w:rPr>
          <w:rFonts w:ascii="Cambria" w:hAnsi="Cambria" w:cs="Arial"/>
          <w:sz w:val="20"/>
          <w:szCs w:val="20"/>
        </w:rPr>
        <w:t>’</w:t>
      </w:r>
      <w:r w:rsidRPr="009F1210">
        <w:rPr>
          <w:rFonts w:ascii="Cambria" w:hAnsi="Cambria" w:cs="Arial"/>
          <w:sz w:val="20"/>
          <w:szCs w:val="20"/>
        </w:rPr>
        <w:t xml:space="preserve"> family members were subjected to threats and forced displacement, and that in the cr</w:t>
      </w:r>
      <w:r w:rsidR="00095445">
        <w:rPr>
          <w:rFonts w:ascii="Cambria" w:hAnsi="Cambria" w:cs="Arial"/>
          <w:sz w:val="20"/>
          <w:szCs w:val="20"/>
        </w:rPr>
        <w:t>iminal proceedings, no decision has</w:t>
      </w:r>
      <w:r w:rsidRPr="009F1210">
        <w:rPr>
          <w:rFonts w:ascii="Cambria" w:hAnsi="Cambria" w:cs="Arial"/>
          <w:sz w:val="20"/>
          <w:szCs w:val="20"/>
        </w:rPr>
        <w:t xml:space="preserve"> been made to determine the facts denounced. They indicate that the foregoing facts establish a violation of Articles 1.1, 4.1, 5.1, 7, 8, 19, 22 and 25 of the American Convention, to the detriment of the </w:t>
      </w:r>
      <w:r w:rsidRPr="009F1210">
        <w:rPr>
          <w:rFonts w:ascii="Cambria" w:hAnsi="Cambria" w:cs="Arial"/>
          <w:sz w:val="20"/>
          <w:szCs w:val="20"/>
        </w:rPr>
        <w:lastRenderedPageBreak/>
        <w:t>alleged victims and their family members; and of Articles 3 and 4 of the Belém do Pará Convention, in relation to Dora Inés Meneses Gómez and Luz Mélida Ocampo.</w:t>
      </w:r>
    </w:p>
    <w:p w:rsidR="00A0661D" w:rsidRPr="009F1210" w:rsidRDefault="00A0661D" w:rsidP="00485E99">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9F1210">
        <w:rPr>
          <w:rFonts w:ascii="Cambria" w:hAnsi="Cambria"/>
          <w:sz w:val="20"/>
          <w:szCs w:val="20"/>
        </w:rPr>
        <w:t xml:space="preserve">In turn, the State claims that the military operation in the framework of which the facts took place is part of the lawful actions of the State. It further asserts that the domestic </w:t>
      </w:r>
      <w:r w:rsidR="007B3722">
        <w:rPr>
          <w:rFonts w:ascii="Cambria" w:hAnsi="Cambria"/>
          <w:sz w:val="20"/>
          <w:szCs w:val="20"/>
        </w:rPr>
        <w:t>remedies have been duly applied</w:t>
      </w:r>
      <w:r w:rsidRPr="009F1210">
        <w:rPr>
          <w:rFonts w:ascii="Cambria" w:hAnsi="Cambria"/>
          <w:sz w:val="20"/>
          <w:szCs w:val="20"/>
        </w:rPr>
        <w:t xml:space="preserve"> and that several decisions have been made in the criminal proceedings in order to investigate into the facts denounced. The State indicates that the pleadings about the alleged violation of the Belém do Pará Convention are inadmissible since the facts that allegedly establish possible violations were perpetrated regardless of the fact that the alleged victims were women.</w:t>
      </w:r>
    </w:p>
    <w:p w:rsidR="00D35D74" w:rsidRPr="009F1210" w:rsidRDefault="00A0661D" w:rsidP="00485E99">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9F1210">
        <w:rPr>
          <w:rFonts w:ascii="Cambria" w:hAnsi="Cambria"/>
          <w:sz w:val="20"/>
          <w:szCs w:val="20"/>
        </w:rPr>
        <w:t xml:space="preserve">The Commission believes that the alleged detention and subsequent extrajudicial killing of the 5 alleged victims, the fact that they were allegedly presented to the media as FARC members, and the </w:t>
      </w:r>
      <w:r w:rsidR="00F064C7">
        <w:rPr>
          <w:rFonts w:ascii="Cambria" w:hAnsi="Cambria"/>
          <w:sz w:val="20"/>
          <w:szCs w:val="20"/>
        </w:rPr>
        <w:t>purported</w:t>
      </w:r>
      <w:r w:rsidRPr="009F1210">
        <w:rPr>
          <w:rFonts w:ascii="Cambria" w:hAnsi="Cambria"/>
          <w:sz w:val="20"/>
          <w:szCs w:val="20"/>
        </w:rPr>
        <w:t xml:space="preserve"> situation </w:t>
      </w:r>
      <w:r w:rsidR="00F064C7">
        <w:rPr>
          <w:rFonts w:ascii="Cambria" w:hAnsi="Cambria"/>
          <w:sz w:val="20"/>
          <w:szCs w:val="20"/>
        </w:rPr>
        <w:t xml:space="preserve">of </w:t>
      </w:r>
      <w:r w:rsidR="00F064C7" w:rsidRPr="009F1210">
        <w:rPr>
          <w:rFonts w:ascii="Cambria" w:hAnsi="Cambria"/>
          <w:sz w:val="20"/>
          <w:szCs w:val="20"/>
        </w:rPr>
        <w:t xml:space="preserve">risk </w:t>
      </w:r>
      <w:r w:rsidRPr="009F1210">
        <w:rPr>
          <w:rFonts w:ascii="Cambria" w:hAnsi="Cambria"/>
          <w:sz w:val="20"/>
          <w:szCs w:val="20"/>
        </w:rPr>
        <w:t>during detention by State officers are a possible violation of the rights embodied in Articles 4 (Life), 5 (Humane Treatment), 7 (Personal Liberty) and 11 (Privacy) of the American Convention, in relation to Article 1.1 thereof. Likewise, as to the alleged lack of identi</w:t>
      </w:r>
      <w:r w:rsidR="00F064C7">
        <w:rPr>
          <w:rFonts w:ascii="Cambria" w:hAnsi="Cambria"/>
          <w:sz w:val="20"/>
          <w:szCs w:val="20"/>
        </w:rPr>
        <w:t>fication of the alleged victims</w:t>
      </w:r>
      <w:r w:rsidR="005B6CE3">
        <w:rPr>
          <w:rFonts w:ascii="Cambria" w:hAnsi="Cambria"/>
          <w:sz w:val="20"/>
          <w:szCs w:val="20"/>
        </w:rPr>
        <w:t>’</w:t>
      </w:r>
      <w:r w:rsidRPr="009F1210">
        <w:rPr>
          <w:rFonts w:ascii="Cambria" w:hAnsi="Cambria"/>
          <w:sz w:val="20"/>
          <w:szCs w:val="20"/>
        </w:rPr>
        <w:t xml:space="preserve"> remains and the alleged lack </w:t>
      </w:r>
      <w:r w:rsidR="00F064C7">
        <w:rPr>
          <w:rFonts w:ascii="Cambria" w:hAnsi="Cambria"/>
          <w:sz w:val="20"/>
          <w:szCs w:val="20"/>
        </w:rPr>
        <w:t>of return of the bodies to the</w:t>
      </w:r>
      <w:r w:rsidRPr="009F1210">
        <w:rPr>
          <w:rFonts w:ascii="Cambria" w:hAnsi="Cambria"/>
          <w:sz w:val="20"/>
          <w:szCs w:val="20"/>
        </w:rPr>
        <w:t xml:space="preserve"> relatives, together with its possible legal effects, the Commission must analyze in the merits stage the possible violation of Article 3 (Juridical Personality) of the Convention. At the same time, as to the alleged detention and torture of Floresmiro Guasaquilllo and Faber Gil Buitrago, prior to their murder, said facts constitute a possible violation of the rights embodied in Articles 5 (Humane Treatment) and 7 (Personal Liberty) of the American Convention, in relation to Article 1.1 thereof; and a violation of Articles 1, 6 and 8 of the Inter-American Convention to Prevent and Punish Torture. Finally, the purported lack of investigation, punishment and redress in relation to the facts denounced could establish a possible violation of Articles 8 (Fair Trial) and 25 (Judicial Protection) of the American Convention, in connection with Article 1.1 thereof.</w:t>
      </w:r>
    </w:p>
    <w:p w:rsidR="00B867A1" w:rsidRPr="009F1210" w:rsidRDefault="00A0661D" w:rsidP="008A74EF">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9F1210">
        <w:rPr>
          <w:rFonts w:ascii="Cambria" w:hAnsi="Cambria" w:cs="Arial"/>
          <w:sz w:val="20"/>
          <w:szCs w:val="20"/>
        </w:rPr>
        <w:t xml:space="preserve">As regards Héctor Fabián Ocampo Meneses, the petitioners assert that the child received two gunshots that </w:t>
      </w:r>
      <w:r w:rsidR="00196D23">
        <w:rPr>
          <w:rFonts w:ascii="Cambria" w:hAnsi="Cambria" w:cs="Arial"/>
          <w:sz w:val="20"/>
          <w:szCs w:val="20"/>
        </w:rPr>
        <w:t>caused him</w:t>
      </w:r>
      <w:r w:rsidRPr="009F1210">
        <w:rPr>
          <w:rFonts w:ascii="Cambria" w:hAnsi="Cambria" w:cs="Arial"/>
          <w:sz w:val="20"/>
          <w:szCs w:val="20"/>
        </w:rPr>
        <w:t xml:space="preserve"> permanent damage. The Commission finds that the facts constitute a possible violation of the rights set forth in Article 4 (Life)</w:t>
      </w:r>
      <w:r w:rsidR="008C2BF9" w:rsidRPr="009F1210">
        <w:rPr>
          <w:rStyle w:val="FootnoteReference"/>
          <w:rFonts w:ascii="Cambria" w:hAnsi="Cambria"/>
          <w:sz w:val="20"/>
          <w:szCs w:val="20"/>
        </w:rPr>
        <w:footnoteReference w:id="8"/>
      </w:r>
      <w:r w:rsidRPr="009F1210">
        <w:rPr>
          <w:rFonts w:ascii="Cambria" w:hAnsi="Cambria" w:cs="Arial"/>
          <w:sz w:val="20"/>
          <w:szCs w:val="20"/>
        </w:rPr>
        <w:t xml:space="preserve"> inasmuch as his life was endangered, and in Article 5 (personal integrity), in connection with Article 1.1 of the Convention. Furthermore, the Commission notes that the facts denounced in connection with children Gonzalo Ocampo Meneses and Héctor Fabián Ocampo Meneses are a possible violation of the rights enshrined in Article 19 (Rights of the Child) of the American Convention, which will be interpreted in </w:t>
      </w:r>
      <w:r w:rsidR="00014DEB">
        <w:rPr>
          <w:rFonts w:ascii="Cambria" w:hAnsi="Cambria" w:cs="Arial"/>
          <w:sz w:val="20"/>
          <w:szCs w:val="20"/>
        </w:rPr>
        <w:t>the light of the United Nations</w:t>
      </w:r>
      <w:r w:rsidR="005B6CE3">
        <w:rPr>
          <w:rFonts w:ascii="Cambria" w:hAnsi="Cambria" w:cs="Arial"/>
          <w:sz w:val="20"/>
          <w:szCs w:val="20"/>
        </w:rPr>
        <w:t>’</w:t>
      </w:r>
      <w:r w:rsidRPr="009F1210">
        <w:rPr>
          <w:rFonts w:ascii="Cambria" w:hAnsi="Cambria" w:cs="Arial"/>
          <w:sz w:val="20"/>
          <w:szCs w:val="20"/>
        </w:rPr>
        <w:t xml:space="preserve"> Convention on the Rights of the Child.</w:t>
      </w:r>
      <w:r w:rsidR="008C2BF9" w:rsidRPr="009F1210">
        <w:rPr>
          <w:rStyle w:val="FootnoteReference"/>
          <w:rFonts w:ascii="Cambria" w:hAnsi="Cambria"/>
          <w:sz w:val="20"/>
          <w:szCs w:val="20"/>
        </w:rPr>
        <w:footnoteReference w:id="9"/>
      </w:r>
      <w:r w:rsidRPr="009F1210">
        <w:rPr>
          <w:rFonts w:ascii="Cambria" w:hAnsi="Cambria" w:cs="Arial"/>
          <w:sz w:val="20"/>
          <w:szCs w:val="20"/>
        </w:rPr>
        <w:t xml:space="preserve"> As to the family members of the alleged victims, the arguments in relation to the suffering caused by the facts denounced herein, the displacement and the threats could establish a violation of the rights set forth in Articles 5 (Humane Treatment), 8, (Fair Trial), 22 (Movement and Residence) and 25 (Judicial Protection), in relation to Article 1.1 of the Convention.</w:t>
      </w:r>
    </w:p>
    <w:p w:rsidR="00A0661D" w:rsidRPr="009F1210" w:rsidRDefault="002A3023" w:rsidP="00485E99">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color w:val="00CCFF"/>
          <w:sz w:val="20"/>
          <w:szCs w:val="20"/>
        </w:rPr>
      </w:pPr>
      <w:r w:rsidRPr="009F1210">
        <w:rPr>
          <w:rFonts w:ascii="Cambria" w:hAnsi="Cambria" w:cs="Arial"/>
          <w:sz w:val="20"/>
          <w:szCs w:val="20"/>
        </w:rPr>
        <w:t>As regards the allegations that José Duván Gil Vásqu</w:t>
      </w:r>
      <w:r w:rsidR="00014DEB">
        <w:rPr>
          <w:rFonts w:ascii="Cambria" w:hAnsi="Cambria" w:cs="Arial"/>
          <w:sz w:val="20"/>
          <w:szCs w:val="20"/>
        </w:rPr>
        <w:t xml:space="preserve">ez was detained, prosecuted and </w:t>
      </w:r>
      <w:r w:rsidRPr="009F1210">
        <w:rPr>
          <w:rFonts w:ascii="Cambria" w:hAnsi="Cambria" w:cs="Arial"/>
          <w:sz w:val="20"/>
          <w:szCs w:val="20"/>
        </w:rPr>
        <w:t xml:space="preserve">convicted for insurgency, the information provided by the parties indicates that the alleged victim was criminally prosecuted in 2003, and that the proceedings were </w:t>
      </w:r>
      <w:r w:rsidR="004438CF" w:rsidRPr="009F1210">
        <w:rPr>
          <w:rFonts w:ascii="Cambria" w:hAnsi="Cambria" w:cs="Arial"/>
          <w:sz w:val="20"/>
          <w:szCs w:val="20"/>
        </w:rPr>
        <w:t>annulled</w:t>
      </w:r>
      <w:r w:rsidRPr="009F1210">
        <w:rPr>
          <w:rFonts w:ascii="Cambria" w:hAnsi="Cambria" w:cs="Arial"/>
          <w:sz w:val="20"/>
          <w:szCs w:val="20"/>
        </w:rPr>
        <w:t xml:space="preserve"> in 2009 by the Supreme Court inasmuch as it ruled the annulment of the proceedings as of the date that the investigation </w:t>
      </w:r>
      <w:r w:rsidR="004438CF">
        <w:rPr>
          <w:rFonts w:ascii="Cambria" w:hAnsi="Cambria" w:cs="Arial"/>
          <w:sz w:val="20"/>
          <w:szCs w:val="20"/>
        </w:rPr>
        <w:t>was closed</w:t>
      </w:r>
      <w:r w:rsidRPr="009F1210">
        <w:rPr>
          <w:rFonts w:ascii="Cambria" w:hAnsi="Cambria" w:cs="Arial"/>
          <w:sz w:val="20"/>
          <w:szCs w:val="20"/>
        </w:rPr>
        <w:t>, in order to allow him to have a proper technical defense. Considering that to this date there appears to be no final ju</w:t>
      </w:r>
      <w:r w:rsidR="004438CF">
        <w:rPr>
          <w:rFonts w:ascii="Cambria" w:hAnsi="Cambria" w:cs="Arial"/>
          <w:sz w:val="20"/>
          <w:szCs w:val="20"/>
        </w:rPr>
        <w:t>dgment as to the alleged victim</w:t>
      </w:r>
      <w:r w:rsidR="005B6CE3">
        <w:rPr>
          <w:rFonts w:ascii="Cambria" w:hAnsi="Cambria" w:cs="Arial"/>
          <w:sz w:val="20"/>
          <w:szCs w:val="20"/>
        </w:rPr>
        <w:t>’</w:t>
      </w:r>
      <w:r w:rsidRPr="009F1210">
        <w:rPr>
          <w:rFonts w:ascii="Cambria" w:hAnsi="Cambria" w:cs="Arial"/>
          <w:sz w:val="20"/>
          <w:szCs w:val="20"/>
        </w:rPr>
        <w:t xml:space="preserve">s judicial situation, the Commission notes that the </w:t>
      </w:r>
      <w:r w:rsidR="00FD60DE">
        <w:rPr>
          <w:rFonts w:ascii="Cambria" w:hAnsi="Cambria" w:cs="Arial"/>
          <w:sz w:val="20"/>
          <w:szCs w:val="20"/>
        </w:rPr>
        <w:t>facts</w:t>
      </w:r>
      <w:r w:rsidRPr="009F1210">
        <w:rPr>
          <w:rFonts w:ascii="Cambria" w:hAnsi="Cambria" w:cs="Arial"/>
          <w:sz w:val="20"/>
          <w:szCs w:val="20"/>
        </w:rPr>
        <w:t xml:space="preserve"> </w:t>
      </w:r>
      <w:r w:rsidR="00FD60DE">
        <w:rPr>
          <w:rFonts w:ascii="Cambria" w:hAnsi="Cambria" w:cs="Arial"/>
          <w:sz w:val="20"/>
          <w:szCs w:val="20"/>
        </w:rPr>
        <w:t xml:space="preserve">denounced </w:t>
      </w:r>
      <w:r w:rsidRPr="009F1210">
        <w:rPr>
          <w:rFonts w:ascii="Cambria" w:hAnsi="Cambria" w:cs="Arial"/>
          <w:sz w:val="20"/>
          <w:szCs w:val="20"/>
        </w:rPr>
        <w:t>could establish a possible violation of the rights embodied in Articles 7 (Personal Liberty), 8 and 25 of the American Convention, in connection with Article 1.1 thereof.</w:t>
      </w:r>
    </w:p>
    <w:p w:rsidR="00A0661D" w:rsidRPr="009F1210" w:rsidRDefault="00A0661D" w:rsidP="00485E99">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9F1210">
        <w:rPr>
          <w:rFonts w:ascii="Cambria" w:hAnsi="Cambria" w:cs="Arial"/>
          <w:sz w:val="20"/>
          <w:szCs w:val="20"/>
        </w:rPr>
        <w:t>As to the alleged violation of the Belém do Pará Convention, the Commission notes that from the case file there is no suff</w:t>
      </w:r>
      <w:r w:rsidR="00FD60DE">
        <w:rPr>
          <w:rFonts w:ascii="Cambria" w:hAnsi="Cambria" w:cs="Arial"/>
          <w:sz w:val="20"/>
          <w:szCs w:val="20"/>
        </w:rPr>
        <w:t xml:space="preserve">icient information to determine </w:t>
      </w:r>
      <w:r w:rsidRPr="009F1210">
        <w:rPr>
          <w:rFonts w:ascii="Cambria" w:hAnsi="Cambria" w:cs="Arial"/>
          <w:sz w:val="20"/>
          <w:szCs w:val="20"/>
        </w:rPr>
        <w:t>possible human rights violations to the detriment of Dora Iné</w:t>
      </w:r>
      <w:r w:rsidR="00FD60DE">
        <w:rPr>
          <w:rFonts w:ascii="Cambria" w:hAnsi="Cambria" w:cs="Arial"/>
          <w:sz w:val="20"/>
          <w:szCs w:val="20"/>
        </w:rPr>
        <w:t xml:space="preserve">s Meneses and Luz Mélida Ocampo, </w:t>
      </w:r>
      <w:r w:rsidR="00FD60DE" w:rsidRPr="009F1210">
        <w:rPr>
          <w:rFonts w:ascii="Cambria" w:hAnsi="Cambria" w:cs="Arial"/>
          <w:sz w:val="20"/>
          <w:szCs w:val="20"/>
        </w:rPr>
        <w:t>in the light o</w:t>
      </w:r>
      <w:r w:rsidR="00FD60DE">
        <w:rPr>
          <w:rFonts w:ascii="Cambria" w:hAnsi="Cambria" w:cs="Arial"/>
          <w:sz w:val="20"/>
          <w:szCs w:val="20"/>
        </w:rPr>
        <w:t>f said treaty.</w:t>
      </w:r>
    </w:p>
    <w:p w:rsidR="00A0661D" w:rsidRPr="009F1210" w:rsidRDefault="00FF5AE5" w:rsidP="00485E99">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rPr>
      </w:pPr>
      <w:r>
        <w:rPr>
          <w:rFonts w:ascii="Cambria" w:hAnsi="Cambria"/>
          <w:b/>
          <w:bCs/>
          <w:sz w:val="20"/>
          <w:szCs w:val="20"/>
        </w:rPr>
        <w:lastRenderedPageBreak/>
        <w:t>V.</w:t>
      </w:r>
      <w:r>
        <w:rPr>
          <w:rFonts w:ascii="Cambria" w:hAnsi="Cambria"/>
          <w:b/>
          <w:bCs/>
          <w:sz w:val="20"/>
          <w:szCs w:val="20"/>
        </w:rPr>
        <w:tab/>
      </w:r>
      <w:r w:rsidR="003625B9">
        <w:rPr>
          <w:rFonts w:ascii="Cambria" w:hAnsi="Cambria"/>
          <w:b/>
          <w:bCs/>
          <w:sz w:val="20"/>
          <w:szCs w:val="20"/>
        </w:rPr>
        <w:t>CONCLUSIONS</w:t>
      </w:r>
    </w:p>
    <w:p w:rsidR="00A0661D" w:rsidRPr="009F1210" w:rsidRDefault="00A0661D" w:rsidP="00485E99">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sidRPr="009F1210">
        <w:rPr>
          <w:rFonts w:ascii="Cambria" w:hAnsi="Cambria"/>
          <w:sz w:val="20"/>
          <w:szCs w:val="20"/>
        </w:rPr>
        <w:t>Considering the abovementioned elements of fact and law and without prejudgment on the merits of the matter, the Inter-American Commission concludes that this petition meets the admissibility requirements established in Articles 31 to 34 of the Rules and Articles 46 and 47 of the American Convention; therefore,</w:t>
      </w:r>
    </w:p>
    <w:p w:rsidR="00A0661D" w:rsidRPr="009F1210" w:rsidRDefault="00A0661D" w:rsidP="00485E99">
      <w:pPr>
        <w:pBdr>
          <w:top w:val="none" w:sz="0" w:space="0" w:color="auto"/>
          <w:left w:val="none" w:sz="0" w:space="0" w:color="auto"/>
          <w:bottom w:val="none" w:sz="0" w:space="0" w:color="auto"/>
          <w:right w:val="none" w:sz="0" w:space="0" w:color="auto"/>
          <w:bar w:val="none" w:sz="0" w:color="auto"/>
        </w:pBdr>
        <w:spacing w:after="240"/>
        <w:ind w:firstLine="720"/>
        <w:jc w:val="center"/>
        <w:rPr>
          <w:rFonts w:ascii="Cambria" w:hAnsi="Cambria"/>
          <w:b/>
          <w:bCs/>
          <w:sz w:val="20"/>
          <w:szCs w:val="20"/>
        </w:rPr>
      </w:pPr>
      <w:r w:rsidRPr="009F1210">
        <w:rPr>
          <w:rFonts w:ascii="Cambria" w:hAnsi="Cambria"/>
          <w:b/>
          <w:bCs/>
          <w:sz w:val="20"/>
          <w:szCs w:val="20"/>
        </w:rPr>
        <w:t>THE INTER-AMERICAN COMMISSION ON HUMAN RIGHTS</w:t>
      </w:r>
    </w:p>
    <w:p w:rsidR="00A0661D" w:rsidRPr="009F1210" w:rsidRDefault="00A0661D" w:rsidP="00213E2E">
      <w:pPr>
        <w:pBdr>
          <w:top w:val="none" w:sz="0" w:space="0" w:color="auto"/>
          <w:left w:val="none" w:sz="0" w:space="0" w:color="auto"/>
          <w:bottom w:val="none" w:sz="0" w:space="0" w:color="auto"/>
          <w:right w:val="none" w:sz="0" w:space="0" w:color="auto"/>
          <w:bar w:val="none" w:sz="0" w:color="auto"/>
        </w:pBdr>
        <w:spacing w:after="240"/>
        <w:jc w:val="both"/>
        <w:rPr>
          <w:rFonts w:ascii="Cambria" w:hAnsi="Cambria"/>
          <w:b/>
          <w:bCs/>
          <w:sz w:val="20"/>
          <w:szCs w:val="20"/>
        </w:rPr>
      </w:pPr>
      <w:r w:rsidRPr="009F1210">
        <w:rPr>
          <w:rFonts w:ascii="Cambria" w:hAnsi="Cambria"/>
          <w:b/>
          <w:bCs/>
          <w:sz w:val="20"/>
          <w:szCs w:val="20"/>
        </w:rPr>
        <w:t>DECIDES:</w:t>
      </w:r>
    </w:p>
    <w:p w:rsidR="00A0661D" w:rsidRPr="009F1210" w:rsidRDefault="00A0661D" w:rsidP="00485E99">
      <w:pPr>
        <w:pStyle w:val="ListParagraph1"/>
        <w:numPr>
          <w:ilvl w:val="1"/>
          <w:numId w:val="57"/>
        </w:numPr>
        <w:pBdr>
          <w:top w:val="none" w:sz="0" w:space="0" w:color="auto"/>
          <w:left w:val="none" w:sz="0" w:space="0" w:color="auto"/>
          <w:bottom w:val="none" w:sz="0" w:space="0" w:color="auto"/>
          <w:right w:val="none" w:sz="0" w:space="0" w:color="auto"/>
          <w:bar w:val="none" w:sz="0" w:color="auto"/>
        </w:pBdr>
        <w:tabs>
          <w:tab w:val="clear" w:pos="1800"/>
          <w:tab w:val="num" w:pos="0"/>
        </w:tabs>
        <w:suppressAutoHyphens/>
        <w:spacing w:after="240"/>
        <w:ind w:left="0" w:firstLine="720"/>
        <w:jc w:val="both"/>
        <w:rPr>
          <w:color w:val="auto"/>
          <w:sz w:val="20"/>
          <w:szCs w:val="20"/>
        </w:rPr>
      </w:pPr>
      <w:r w:rsidRPr="009F1210">
        <w:rPr>
          <w:color w:val="auto"/>
          <w:sz w:val="20"/>
          <w:szCs w:val="20"/>
        </w:rPr>
        <w:t>To find the instant petition admissible in relation to Articles 3, 4, 5, 7, 8, 11, 19, 22 and 25 of the American Convention on Human Rights, in connection with the obligation set forth in Article 1.1 thereof and with Articles 1, 6 and 8 of the Inter-American Convention to Prevent and Punish Torture;</w:t>
      </w:r>
    </w:p>
    <w:p w:rsidR="007741F4" w:rsidRPr="009F1210" w:rsidRDefault="007741F4" w:rsidP="00485E99">
      <w:pPr>
        <w:pStyle w:val="ListParagraph1"/>
        <w:numPr>
          <w:ilvl w:val="1"/>
          <w:numId w:val="57"/>
        </w:numPr>
        <w:pBdr>
          <w:top w:val="none" w:sz="0" w:space="0" w:color="auto"/>
          <w:left w:val="none" w:sz="0" w:space="0" w:color="auto"/>
          <w:bottom w:val="none" w:sz="0" w:space="0" w:color="auto"/>
          <w:right w:val="none" w:sz="0" w:space="0" w:color="auto"/>
          <w:bar w:val="none" w:sz="0" w:color="auto"/>
        </w:pBdr>
        <w:tabs>
          <w:tab w:val="clear" w:pos="1800"/>
          <w:tab w:val="num" w:pos="0"/>
        </w:tabs>
        <w:suppressAutoHyphens/>
        <w:spacing w:after="240"/>
        <w:ind w:left="0" w:firstLine="720"/>
        <w:jc w:val="both"/>
        <w:rPr>
          <w:sz w:val="20"/>
          <w:szCs w:val="20"/>
        </w:rPr>
      </w:pPr>
      <w:r w:rsidRPr="009F1210">
        <w:rPr>
          <w:sz w:val="20"/>
          <w:szCs w:val="20"/>
        </w:rPr>
        <w:t>To find the instant petition inadmissible in relation to the alleged violations of the Belém do Pará Convention;</w:t>
      </w:r>
    </w:p>
    <w:p w:rsidR="00A0661D" w:rsidRPr="009F1210" w:rsidRDefault="00A0661D" w:rsidP="00485E99">
      <w:pPr>
        <w:pStyle w:val="ListParagraph1"/>
        <w:numPr>
          <w:ilvl w:val="1"/>
          <w:numId w:val="57"/>
        </w:numPr>
        <w:pBdr>
          <w:top w:val="none" w:sz="0" w:space="0" w:color="auto"/>
          <w:left w:val="none" w:sz="0" w:space="0" w:color="auto"/>
          <w:bottom w:val="none" w:sz="0" w:space="0" w:color="auto"/>
          <w:right w:val="none" w:sz="0" w:space="0" w:color="auto"/>
          <w:bar w:val="none" w:sz="0" w:color="auto"/>
        </w:pBdr>
        <w:tabs>
          <w:tab w:val="clear" w:pos="1800"/>
          <w:tab w:val="num" w:pos="0"/>
        </w:tabs>
        <w:suppressAutoHyphens/>
        <w:spacing w:after="240"/>
        <w:ind w:left="0" w:firstLine="720"/>
        <w:jc w:val="both"/>
        <w:rPr>
          <w:sz w:val="20"/>
          <w:szCs w:val="20"/>
        </w:rPr>
      </w:pPr>
      <w:r w:rsidRPr="009F1210">
        <w:rPr>
          <w:sz w:val="20"/>
          <w:szCs w:val="20"/>
        </w:rPr>
        <w:t>To notify the parties of this decision;</w:t>
      </w:r>
    </w:p>
    <w:p w:rsidR="00A0661D" w:rsidRPr="009F1210" w:rsidRDefault="00A0661D" w:rsidP="00485E99">
      <w:pPr>
        <w:pStyle w:val="ListParagraph1"/>
        <w:numPr>
          <w:ilvl w:val="1"/>
          <w:numId w:val="57"/>
        </w:numPr>
        <w:pBdr>
          <w:top w:val="none" w:sz="0" w:space="0" w:color="auto"/>
          <w:left w:val="none" w:sz="0" w:space="0" w:color="auto"/>
          <w:bottom w:val="none" w:sz="0" w:space="0" w:color="auto"/>
          <w:right w:val="none" w:sz="0" w:space="0" w:color="auto"/>
          <w:bar w:val="none" w:sz="0" w:color="auto"/>
        </w:pBdr>
        <w:tabs>
          <w:tab w:val="clear" w:pos="1800"/>
          <w:tab w:val="num" w:pos="0"/>
        </w:tabs>
        <w:suppressAutoHyphens/>
        <w:spacing w:after="240"/>
        <w:ind w:left="0" w:firstLine="720"/>
        <w:jc w:val="both"/>
        <w:rPr>
          <w:sz w:val="20"/>
          <w:szCs w:val="20"/>
        </w:rPr>
      </w:pPr>
      <w:r w:rsidRPr="009F1210">
        <w:rPr>
          <w:sz w:val="20"/>
          <w:szCs w:val="20"/>
        </w:rPr>
        <w:t>To continue with the analysis on the merits; and</w:t>
      </w:r>
    </w:p>
    <w:p w:rsidR="00A0661D" w:rsidRDefault="00A0661D" w:rsidP="00485E99">
      <w:pPr>
        <w:pStyle w:val="ListParagraph1"/>
        <w:numPr>
          <w:ilvl w:val="1"/>
          <w:numId w:val="57"/>
        </w:numPr>
        <w:pBdr>
          <w:top w:val="none" w:sz="0" w:space="0" w:color="auto"/>
          <w:left w:val="none" w:sz="0" w:space="0" w:color="auto"/>
          <w:bottom w:val="none" w:sz="0" w:space="0" w:color="auto"/>
          <w:right w:val="none" w:sz="0" w:space="0" w:color="auto"/>
          <w:bar w:val="none" w:sz="0" w:color="auto"/>
        </w:pBdr>
        <w:tabs>
          <w:tab w:val="clear" w:pos="1800"/>
          <w:tab w:val="num" w:pos="0"/>
        </w:tabs>
        <w:suppressAutoHyphens/>
        <w:spacing w:after="240"/>
        <w:ind w:left="0" w:firstLine="720"/>
        <w:jc w:val="both"/>
        <w:rPr>
          <w:sz w:val="20"/>
          <w:szCs w:val="20"/>
        </w:rPr>
      </w:pPr>
      <w:r w:rsidRPr="009F1210">
        <w:rPr>
          <w:sz w:val="20"/>
          <w:szCs w:val="20"/>
        </w:rPr>
        <w:t>To publish this decision and include it in its Annual Report to the General Assembly of the Organization of American States.</w:t>
      </w:r>
    </w:p>
    <w:p w:rsidR="006019E5" w:rsidRPr="009F1210" w:rsidRDefault="006019E5" w:rsidP="006019E5">
      <w:pPr>
        <w:pStyle w:val="ListParagraph1"/>
        <w:pBdr>
          <w:top w:val="none" w:sz="0" w:space="0" w:color="auto"/>
          <w:left w:val="none" w:sz="0" w:space="0" w:color="auto"/>
          <w:bottom w:val="none" w:sz="0" w:space="0" w:color="auto"/>
          <w:right w:val="none" w:sz="0" w:space="0" w:color="auto"/>
          <w:bar w:val="none" w:sz="0" w:color="auto"/>
        </w:pBdr>
        <w:suppressAutoHyphens/>
        <w:spacing w:after="240"/>
        <w:ind w:left="0" w:firstLine="720"/>
        <w:jc w:val="both"/>
        <w:rPr>
          <w:sz w:val="20"/>
          <w:szCs w:val="20"/>
        </w:rPr>
      </w:pPr>
      <w:r>
        <w:rPr>
          <w:spacing w:val="-2"/>
          <w:sz w:val="20"/>
        </w:rPr>
        <w:t xml:space="preserve">Approved by the Inter-American Commission on Human Rights </w:t>
      </w:r>
      <w:r w:rsidRPr="00365F2F">
        <w:rPr>
          <w:spacing w:val="-2"/>
          <w:sz w:val="20"/>
        </w:rPr>
        <w:t xml:space="preserve">in the city of </w:t>
      </w:r>
      <w:r>
        <w:rPr>
          <w:spacing w:val="-2"/>
          <w:sz w:val="20"/>
        </w:rPr>
        <w:t>Buenos Aires, Argentina</w:t>
      </w:r>
      <w:r w:rsidRPr="00365F2F">
        <w:rPr>
          <w:spacing w:val="-2"/>
          <w:sz w:val="20"/>
        </w:rPr>
        <w:t>, on</w:t>
      </w:r>
      <w:r>
        <w:rPr>
          <w:spacing w:val="-2"/>
          <w:sz w:val="20"/>
        </w:rPr>
        <w:t xml:space="preserve"> the 25</w:t>
      </w:r>
      <w:r w:rsidRPr="00365F2F">
        <w:rPr>
          <w:spacing w:val="-2"/>
          <w:sz w:val="20"/>
        </w:rPr>
        <w:t xml:space="preserve"> day of the month of </w:t>
      </w:r>
      <w:r>
        <w:rPr>
          <w:spacing w:val="-2"/>
          <w:sz w:val="20"/>
        </w:rPr>
        <w:t>May</w:t>
      </w:r>
      <w:r w:rsidRPr="00365F2F">
        <w:rPr>
          <w:spacing w:val="-2"/>
          <w:sz w:val="20"/>
        </w:rPr>
        <w:t xml:space="preserve">, </w:t>
      </w:r>
      <w:r>
        <w:rPr>
          <w:spacing w:val="-2"/>
          <w:sz w:val="20"/>
        </w:rPr>
        <w:t>2017</w:t>
      </w:r>
      <w:r w:rsidRPr="00365F2F">
        <w:rPr>
          <w:spacing w:val="-2"/>
          <w:sz w:val="20"/>
        </w:rPr>
        <w:t xml:space="preserve">. (Signed):  </w:t>
      </w:r>
      <w:r w:rsidRPr="0032569A">
        <w:rPr>
          <w:rFonts w:cs="Arial"/>
          <w:noProof/>
          <w:spacing w:val="-2"/>
          <w:sz w:val="20"/>
        </w:rPr>
        <w:t>Fran</w:t>
      </w:r>
      <w:r>
        <w:rPr>
          <w:rFonts w:cs="Arial"/>
          <w:noProof/>
          <w:spacing w:val="-2"/>
          <w:sz w:val="20"/>
        </w:rPr>
        <w:t>cisco José Eguiguren</w:t>
      </w:r>
      <w:r w:rsidRPr="00365F2F">
        <w:rPr>
          <w:spacing w:val="-2"/>
          <w:sz w:val="20"/>
        </w:rPr>
        <w:t xml:space="preserve">, </w:t>
      </w:r>
      <w:r w:rsidRPr="00365F2F">
        <w:rPr>
          <w:sz w:val="20"/>
        </w:rPr>
        <w:t>President;</w:t>
      </w:r>
      <w:r>
        <w:rPr>
          <w:sz w:val="20"/>
        </w:rPr>
        <w:t xml:space="preserve"> </w:t>
      </w:r>
      <w:r>
        <w:rPr>
          <w:rFonts w:cs="Arial"/>
          <w:noProof/>
          <w:spacing w:val="-2"/>
          <w:sz w:val="20"/>
        </w:rPr>
        <w:t xml:space="preserve">Margarette May Macaulay, </w:t>
      </w:r>
      <w:r w:rsidRPr="00365F2F">
        <w:rPr>
          <w:spacing w:val="-2"/>
          <w:sz w:val="20"/>
        </w:rPr>
        <w:t>First Vice President</w:t>
      </w:r>
      <w:r>
        <w:rPr>
          <w:spacing w:val="-2"/>
          <w:sz w:val="20"/>
        </w:rPr>
        <w:t>;</w:t>
      </w:r>
      <w:r w:rsidRPr="00365F2F">
        <w:rPr>
          <w:rFonts w:cs="Arial"/>
          <w:noProof/>
          <w:spacing w:val="-2"/>
          <w:sz w:val="20"/>
        </w:rPr>
        <w:t xml:space="preserve"> </w:t>
      </w:r>
      <w:r w:rsidRPr="000500D4">
        <w:rPr>
          <w:rFonts w:cs="Arial"/>
          <w:noProof/>
          <w:spacing w:val="-2"/>
          <w:sz w:val="20"/>
        </w:rPr>
        <w:t xml:space="preserve">Esmeralda E. Arosemena Bernal de Troitiño, </w:t>
      </w:r>
      <w:r>
        <w:rPr>
          <w:rFonts w:cs="Arial"/>
          <w:noProof/>
          <w:spacing w:val="-2"/>
          <w:sz w:val="20"/>
        </w:rPr>
        <w:t>Second Vice President;</w:t>
      </w:r>
      <w:r>
        <w:rPr>
          <w:sz w:val="20"/>
        </w:rPr>
        <w:t xml:space="preserve"> </w:t>
      </w:r>
      <w:r>
        <w:rPr>
          <w:rFonts w:cs="Arial"/>
          <w:noProof/>
          <w:spacing w:val="-2"/>
          <w:sz w:val="20"/>
        </w:rPr>
        <w:t xml:space="preserve">José de Jesús Orozco Henríquez, Paulo Vannuchi, and James L. Cavallaro, </w:t>
      </w:r>
      <w:r w:rsidRPr="00365F2F">
        <w:rPr>
          <w:spacing w:val="-2"/>
          <w:sz w:val="20"/>
        </w:rPr>
        <w:t>Commissioners</w:t>
      </w:r>
    </w:p>
    <w:sectPr w:rsidR="006019E5" w:rsidRPr="009F1210" w:rsidSect="00934A2C">
      <w:type w:val="oddPage"/>
      <w:pgSz w:w="12240" w:h="15840"/>
      <w:pgMar w:top="1440" w:right="1440" w:bottom="1440" w:left="1440" w:header="720" w:footer="720" w:gutter="0"/>
      <w:pgNumType w:start="1"/>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2E2" w:rsidRDefault="003902E2">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3902E2" w:rsidRDefault="003902E2">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4FD" w:rsidRDefault="00E774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14F" w:rsidRPr="00934A2C" w:rsidRDefault="0010214F">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r w:rsidRPr="00934A2C">
      <w:rPr>
        <w:sz w:val="16"/>
        <w:szCs w:val="22"/>
      </w:rPr>
      <w:fldChar w:fldCharType="begin"/>
    </w:r>
    <w:r w:rsidRPr="00934A2C">
      <w:rPr>
        <w:sz w:val="16"/>
        <w:szCs w:val="22"/>
      </w:rPr>
      <w:instrText xml:space="preserve"> </w:instrText>
    </w:r>
    <w:r w:rsidR="000E258C">
      <w:rPr>
        <w:sz w:val="16"/>
        <w:szCs w:val="22"/>
      </w:rPr>
      <w:instrText>PAGE</w:instrText>
    </w:r>
    <w:r w:rsidRPr="00934A2C">
      <w:rPr>
        <w:sz w:val="16"/>
        <w:szCs w:val="22"/>
      </w:rPr>
      <w:instrText xml:space="preserve">   \* MERGEFORMAT </w:instrText>
    </w:r>
    <w:r w:rsidRPr="00934A2C">
      <w:rPr>
        <w:sz w:val="16"/>
        <w:szCs w:val="22"/>
      </w:rPr>
      <w:fldChar w:fldCharType="separate"/>
    </w:r>
    <w:r w:rsidR="00E774FD">
      <w:rPr>
        <w:noProof/>
        <w:sz w:val="16"/>
        <w:szCs w:val="22"/>
      </w:rPr>
      <w:t>10</w:t>
    </w:r>
    <w:r w:rsidRPr="00934A2C">
      <w:rPr>
        <w:sz w:val="16"/>
        <w:szCs w:val="22"/>
      </w:rPr>
      <w:fldChar w:fldCharType="end"/>
    </w:r>
  </w:p>
  <w:p w:rsidR="0010214F" w:rsidRDefault="0010214F">
    <w:pPr>
      <w:pStyle w:val="Foote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14F" w:rsidRPr="00934A2C" w:rsidRDefault="0010214F">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p>
  <w:p w:rsidR="0010214F" w:rsidRDefault="0010214F">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2E2" w:rsidRPr="000F35ED" w:rsidRDefault="003902E2">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footnote>
  <w:footnote w:type="continuationSeparator" w:id="0">
    <w:p w:rsidR="003902E2" w:rsidRPr="000F35ED" w:rsidRDefault="003902E2" w:rsidP="000F35ED">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p w:rsidR="003902E2" w:rsidRPr="000F35ED" w:rsidRDefault="003902E2" w:rsidP="000F35ED">
      <w:pPr>
        <w:pStyle w:val="Footer"/>
        <w:pBdr>
          <w:top w:val="none" w:sz="0" w:space="0" w:color="auto"/>
          <w:left w:val="none" w:sz="0" w:space="0" w:color="auto"/>
          <w:bottom w:val="none" w:sz="0" w:space="0" w:color="auto"/>
          <w:right w:val="none" w:sz="0" w:space="0" w:color="auto"/>
          <w:bar w:val="none" w:sz="0" w:color="auto"/>
        </w:pBdr>
        <w:rPr>
          <w:sz w:val="16"/>
          <w:szCs w:val="16"/>
        </w:rPr>
      </w:pPr>
      <w:r>
        <w:rPr>
          <w:sz w:val="16"/>
          <w:szCs w:val="16"/>
        </w:rPr>
        <w:t>[… continuation]</w:t>
      </w:r>
    </w:p>
  </w:footnote>
  <w:footnote w:type="continuationNotice" w:id="1">
    <w:p w:rsidR="003902E2" w:rsidRPr="000F35ED" w:rsidRDefault="003902E2" w:rsidP="000F35ED">
      <w:pPr>
        <w:pBdr>
          <w:top w:val="none" w:sz="0" w:space="0" w:color="auto"/>
          <w:left w:val="none" w:sz="0" w:space="0" w:color="auto"/>
          <w:bottom w:val="none" w:sz="0" w:space="0" w:color="auto"/>
          <w:right w:val="none" w:sz="0" w:space="0" w:color="auto"/>
          <w:bar w:val="none" w:sz="0" w:color="auto"/>
        </w:pBdr>
        <w:jc w:val="right"/>
        <w:rPr>
          <w:rFonts w:ascii="Cambria" w:hAnsi="Cambria"/>
          <w:sz w:val="16"/>
          <w:szCs w:val="16"/>
          <w:lang w:val="es-ES"/>
        </w:rPr>
      </w:pPr>
      <w:r>
        <w:rPr>
          <w:rFonts w:ascii="Cambria" w:hAnsi="Cambria"/>
          <w:sz w:val="16"/>
          <w:szCs w:val="16"/>
          <w:lang w:val="es-ES"/>
        </w:rPr>
        <w:t>[continues …]</w:t>
      </w:r>
    </w:p>
  </w:footnote>
  <w:footnote w:id="2">
    <w:p w:rsidR="001C52CA" w:rsidRPr="00CD60D9" w:rsidRDefault="001C52CA" w:rsidP="001C52CA">
      <w:pPr>
        <w:pStyle w:val="FootnoteText"/>
        <w:spacing w:after="120"/>
        <w:ind w:firstLine="720"/>
        <w:jc w:val="both"/>
        <w:rPr>
          <w:rFonts w:ascii="Cambria" w:hAnsi="Cambria"/>
          <w:sz w:val="16"/>
          <w:szCs w:val="16"/>
        </w:rPr>
      </w:pPr>
      <w:r w:rsidRPr="00CD60D9">
        <w:rPr>
          <w:rStyle w:val="FootnoteReference"/>
          <w:rFonts w:ascii="Cambria" w:hAnsi="Cambria"/>
          <w:sz w:val="16"/>
          <w:szCs w:val="16"/>
        </w:rPr>
        <w:footnoteRef/>
      </w:r>
      <w:r w:rsidRPr="00CD60D9">
        <w:rPr>
          <w:rFonts w:ascii="Cambria" w:hAnsi="Cambria"/>
          <w:sz w:val="16"/>
          <w:szCs w:val="16"/>
          <w:lang w:eastAsia="x-none"/>
        </w:rPr>
        <w:t xml:space="preserve"> The petitioners identify the following as family members: Ángel Emiro Meneses Gómez, Waldina Gómez, Jacobo Meneses, Ana Rosa Álvarez Devia, Rogerio Ocampo Ramada, María Nelly Ocampo Álvarez, Teresa de Jesús Devia de Álvarez, Yon Jair Ocampo Álvarez, Rosa Orfilia Ocampo Álvarez, José Duván Gil Vásquez, Blanca Elvia Iles de Buesaquillo, Nulvial Buesaquillo Iles, and others. </w:t>
      </w:r>
    </w:p>
  </w:footnote>
  <w:footnote w:id="3">
    <w:p w:rsidR="00CD60D9" w:rsidRPr="00CD60D9" w:rsidRDefault="00CD60D9" w:rsidP="00CD60D9">
      <w:pPr>
        <w:pStyle w:val="FootnoteText"/>
        <w:spacing w:after="120"/>
        <w:ind w:firstLine="720"/>
        <w:jc w:val="both"/>
        <w:rPr>
          <w:rFonts w:ascii="Cambria" w:hAnsi="Cambria"/>
          <w:color w:val="auto"/>
          <w:sz w:val="16"/>
          <w:szCs w:val="16"/>
        </w:rPr>
      </w:pPr>
      <w:r w:rsidRPr="00CD60D9">
        <w:rPr>
          <w:rStyle w:val="FootnoteReference"/>
          <w:rFonts w:ascii="Cambria" w:hAnsi="Cambria"/>
          <w:color w:val="auto"/>
          <w:sz w:val="16"/>
          <w:szCs w:val="16"/>
        </w:rPr>
        <w:footnoteRef/>
      </w:r>
      <w:r w:rsidRPr="00CD60D9">
        <w:rPr>
          <w:rFonts w:ascii="Cambria" w:hAnsi="Cambria"/>
          <w:color w:val="auto"/>
          <w:sz w:val="16"/>
          <w:szCs w:val="16"/>
          <w:lang w:eastAsia="x-none"/>
        </w:rPr>
        <w:t xml:space="preserve"> They claim that a member of the 45th Prosecutor's Office of the Human Rights Unit is linked with an investigation because he has connections with paramilitary groups and because of the conspiracies to commit crimes connected with drug-trafficking, willful malfeasance and forgery, among others.</w:t>
      </w:r>
    </w:p>
  </w:footnote>
  <w:footnote w:id="4">
    <w:p w:rsidR="00CD41E1" w:rsidRPr="00CD60D9" w:rsidRDefault="00CD41E1" w:rsidP="00CD41E1">
      <w:pPr>
        <w:pStyle w:val="FootnoteText"/>
        <w:spacing w:after="120"/>
        <w:ind w:firstLine="720"/>
        <w:jc w:val="both"/>
        <w:rPr>
          <w:rFonts w:ascii="Cambria" w:hAnsi="Cambria"/>
          <w:sz w:val="16"/>
          <w:szCs w:val="16"/>
        </w:rPr>
      </w:pPr>
      <w:r w:rsidRPr="00CD60D9">
        <w:rPr>
          <w:rStyle w:val="FootnoteReference"/>
          <w:rFonts w:ascii="Cambria" w:hAnsi="Cambria"/>
          <w:sz w:val="16"/>
          <w:szCs w:val="16"/>
        </w:rPr>
        <w:footnoteRef/>
      </w:r>
      <w:r w:rsidRPr="00CD60D9">
        <w:rPr>
          <w:rFonts w:ascii="Cambria" w:hAnsi="Cambria"/>
          <w:sz w:val="16"/>
          <w:szCs w:val="16"/>
          <w:lang w:eastAsia="x-none"/>
        </w:rPr>
        <w:t xml:space="preserve"> IACHR, Report No. 17/16, Petition 1132-06. Admissibility. Hortencia Neyid Tunja Cuchumbe and Others. Col</w:t>
      </w:r>
      <w:r w:rsidR="007C0CE1">
        <w:rPr>
          <w:rFonts w:ascii="Cambria" w:hAnsi="Cambria"/>
          <w:sz w:val="16"/>
          <w:szCs w:val="16"/>
          <w:lang w:eastAsia="x-none"/>
        </w:rPr>
        <w:t>ombia. April 15, 2016. par. 27.</w:t>
      </w:r>
    </w:p>
  </w:footnote>
  <w:footnote w:id="5">
    <w:p w:rsidR="0010214F" w:rsidRPr="00CD60D9" w:rsidRDefault="0010214F" w:rsidP="00213E2E">
      <w:pPr>
        <w:pStyle w:val="FootnoteText"/>
        <w:spacing w:after="120"/>
        <w:ind w:firstLine="720"/>
        <w:jc w:val="both"/>
        <w:rPr>
          <w:rFonts w:ascii="Cambria" w:hAnsi="Cambria"/>
          <w:sz w:val="16"/>
          <w:szCs w:val="16"/>
        </w:rPr>
      </w:pPr>
      <w:r w:rsidRPr="00CD60D9">
        <w:rPr>
          <w:rStyle w:val="FootnoteReference"/>
          <w:rFonts w:ascii="Cambria" w:hAnsi="Cambria"/>
          <w:sz w:val="16"/>
          <w:szCs w:val="16"/>
        </w:rPr>
        <w:footnoteRef/>
      </w:r>
      <w:r w:rsidRPr="00CD60D9">
        <w:rPr>
          <w:rFonts w:ascii="Cambria" w:hAnsi="Cambria"/>
          <w:sz w:val="16"/>
          <w:szCs w:val="16"/>
          <w:lang w:eastAsia="x-none"/>
        </w:rPr>
        <w:t xml:space="preserve"> IACHR, Report No. 31/15, Case 10.522. Admissibility. Juan Fernando Porras Martínez. Colombia. July 22, 2015; par. 36.</w:t>
      </w:r>
    </w:p>
  </w:footnote>
  <w:footnote w:id="6">
    <w:p w:rsidR="00AB4377" w:rsidRPr="00CD60D9" w:rsidRDefault="00AB4377" w:rsidP="00AB4377">
      <w:pPr>
        <w:pStyle w:val="FootnoteText"/>
        <w:spacing w:after="120"/>
        <w:ind w:firstLine="720"/>
        <w:jc w:val="both"/>
        <w:rPr>
          <w:rFonts w:ascii="Cambria" w:hAnsi="Cambria"/>
          <w:sz w:val="16"/>
          <w:szCs w:val="16"/>
        </w:rPr>
      </w:pPr>
      <w:r w:rsidRPr="00CD60D9">
        <w:rPr>
          <w:rStyle w:val="FootnoteReference"/>
          <w:rFonts w:ascii="Cambria" w:hAnsi="Cambria"/>
          <w:sz w:val="16"/>
          <w:szCs w:val="16"/>
        </w:rPr>
        <w:footnoteRef/>
      </w:r>
      <w:r w:rsidRPr="00CD60D9">
        <w:rPr>
          <w:rFonts w:ascii="Cambria" w:hAnsi="Cambria"/>
          <w:sz w:val="16"/>
          <w:szCs w:val="16"/>
          <w:lang w:eastAsia="x-none"/>
        </w:rPr>
        <w:t xml:space="preserve"> I/A Court H.R. </w:t>
      </w:r>
      <w:r w:rsidRPr="00CD60D9">
        <w:rPr>
          <w:rFonts w:ascii="Cambria" w:hAnsi="Cambria"/>
          <w:i/>
          <w:sz w:val="16"/>
          <w:szCs w:val="16"/>
          <w:lang w:eastAsia="x-none"/>
        </w:rPr>
        <w:t>Case of Manuel Cepeda Vargas v. Colombia</w:t>
      </w:r>
      <w:r w:rsidRPr="00CD60D9">
        <w:rPr>
          <w:rFonts w:ascii="Cambria" w:hAnsi="Cambria"/>
          <w:sz w:val="16"/>
          <w:szCs w:val="16"/>
          <w:lang w:eastAsia="x-none"/>
        </w:rPr>
        <w:t xml:space="preserve">. Preliminary Objections, Merits, Reparations and Costs. Judgment of May 26, 2010. Series C No. 213, par. 139; I/A Court H.R. </w:t>
      </w:r>
      <w:r w:rsidRPr="00CD60D9">
        <w:rPr>
          <w:rFonts w:ascii="Cambria" w:hAnsi="Cambria"/>
          <w:i/>
          <w:sz w:val="16"/>
          <w:szCs w:val="16"/>
          <w:lang w:eastAsia="x-none"/>
        </w:rPr>
        <w:t>Case of the “Massacre of Mapiripán” v. Colombia</w:t>
      </w:r>
      <w:r w:rsidRPr="00CD60D9">
        <w:rPr>
          <w:rFonts w:ascii="Cambria" w:hAnsi="Cambria"/>
          <w:sz w:val="16"/>
          <w:szCs w:val="16"/>
          <w:lang w:eastAsia="x-none"/>
        </w:rPr>
        <w:t xml:space="preserve">. Judgment of September 15, 2005. Series C No. 134, par. 210. </w:t>
      </w:r>
    </w:p>
  </w:footnote>
  <w:footnote w:id="7">
    <w:p w:rsidR="00B628A8" w:rsidRPr="00CD60D9" w:rsidRDefault="00B628A8" w:rsidP="00B628A8">
      <w:pPr>
        <w:pStyle w:val="FootnoteText"/>
        <w:spacing w:after="120"/>
        <w:ind w:firstLine="720"/>
        <w:jc w:val="both"/>
        <w:rPr>
          <w:rFonts w:ascii="Cambria" w:hAnsi="Cambria"/>
          <w:sz w:val="16"/>
          <w:szCs w:val="16"/>
        </w:rPr>
      </w:pPr>
      <w:r w:rsidRPr="00CD60D9">
        <w:rPr>
          <w:rStyle w:val="FootnoteReference"/>
          <w:rFonts w:ascii="Cambria" w:hAnsi="Cambria"/>
          <w:sz w:val="16"/>
          <w:szCs w:val="16"/>
        </w:rPr>
        <w:footnoteRef/>
      </w:r>
      <w:r w:rsidRPr="00CD60D9">
        <w:rPr>
          <w:rFonts w:ascii="Cambria" w:hAnsi="Cambria"/>
          <w:sz w:val="16"/>
          <w:szCs w:val="16"/>
          <w:lang w:eastAsia="x-none"/>
        </w:rPr>
        <w:t xml:space="preserve"> IACHR, Report No. 17/16, Petition 1132-06. Admissibility. Hortencia Neyid Tunja Cuchumbe and Others. Colombia. April 15, 2016. par. 27; IACHR, Report No. 35/15, Petition 191-07. Admissibility. Álvaro Henrique Rodríguez Buitrago and Others. </w:t>
      </w:r>
    </w:p>
  </w:footnote>
  <w:footnote w:id="8">
    <w:p w:rsidR="008C2BF9" w:rsidRPr="005B6CE3" w:rsidRDefault="008C2BF9" w:rsidP="008C2BF9">
      <w:pPr>
        <w:pStyle w:val="FootnoteText"/>
        <w:spacing w:after="120"/>
        <w:ind w:firstLine="720"/>
        <w:rPr>
          <w:rFonts w:ascii="Cambria" w:hAnsi="Cambria"/>
          <w:sz w:val="16"/>
          <w:szCs w:val="16"/>
          <w:lang w:val="es-ES" w:eastAsia="x-none"/>
        </w:rPr>
      </w:pPr>
      <w:r w:rsidRPr="00CD60D9">
        <w:rPr>
          <w:rStyle w:val="FootnoteReference"/>
          <w:rFonts w:ascii="Cambria" w:hAnsi="Cambria"/>
          <w:sz w:val="16"/>
          <w:szCs w:val="16"/>
        </w:rPr>
        <w:footnoteRef/>
      </w:r>
      <w:r w:rsidRPr="00CD60D9">
        <w:rPr>
          <w:rFonts w:ascii="Cambria" w:hAnsi="Cambria"/>
          <w:sz w:val="16"/>
          <w:szCs w:val="16"/>
          <w:lang w:eastAsia="x-none"/>
        </w:rPr>
        <w:t xml:space="preserve"> IACHR, Report No. 49/14, Petition 1196-07. </w:t>
      </w:r>
      <w:r w:rsidRPr="00DE37B0">
        <w:rPr>
          <w:rFonts w:ascii="Cambria" w:hAnsi="Cambria"/>
          <w:sz w:val="16"/>
          <w:szCs w:val="16"/>
          <w:lang w:eastAsia="x-none"/>
        </w:rPr>
        <w:t xml:space="preserve">Admissibility. </w:t>
      </w:r>
      <w:r w:rsidRPr="005B6CE3">
        <w:rPr>
          <w:rFonts w:ascii="Cambria" w:hAnsi="Cambria"/>
          <w:sz w:val="16"/>
          <w:szCs w:val="16"/>
          <w:lang w:val="es-ES" w:eastAsia="x-none"/>
        </w:rPr>
        <w:t xml:space="preserve">Juan Carlos Martínez Gil, Colombia, July 22, 2014; par. 40. </w:t>
      </w:r>
    </w:p>
  </w:footnote>
  <w:footnote w:id="9">
    <w:p w:rsidR="008C2BF9" w:rsidRPr="00CD60D9" w:rsidRDefault="008C2BF9" w:rsidP="008C2BF9">
      <w:pPr>
        <w:pStyle w:val="FootnoteText"/>
        <w:spacing w:after="120"/>
        <w:ind w:firstLine="720"/>
        <w:jc w:val="both"/>
        <w:rPr>
          <w:rFonts w:ascii="Cambria" w:hAnsi="Cambria"/>
          <w:sz w:val="16"/>
          <w:szCs w:val="16"/>
        </w:rPr>
      </w:pPr>
      <w:r w:rsidRPr="00CD60D9">
        <w:rPr>
          <w:rStyle w:val="FootnoteReference"/>
          <w:rFonts w:ascii="Cambria" w:hAnsi="Cambria"/>
          <w:sz w:val="16"/>
          <w:szCs w:val="16"/>
        </w:rPr>
        <w:footnoteRef/>
      </w:r>
      <w:r w:rsidRPr="00CD60D9">
        <w:rPr>
          <w:rFonts w:ascii="Cambria" w:hAnsi="Cambria"/>
          <w:sz w:val="16"/>
          <w:szCs w:val="16"/>
          <w:lang w:eastAsia="x-none"/>
        </w:rPr>
        <w:t xml:space="preserve"> This Convention was adopted on November 20, 1989 and came into force on September 2, 1990. The Colombian State ratified the Convention on the Rights of the Child on January 28, 1991.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14F" w:rsidRDefault="0010214F" w:rsidP="00D57C19">
    <w:pPr>
      <w:pStyle w:val="Header"/>
      <w:framePr w:wrap="around" w:vAnchor="text" w:hAnchor="margin" w:xAlign="center" w:y="1"/>
      <w:rPr>
        <w:rStyle w:val="PageNumber"/>
        <w:rFonts w:cs="Univers"/>
      </w:rPr>
    </w:pPr>
    <w:r>
      <w:rPr>
        <w:rStyle w:val="PageNumber"/>
        <w:rFonts w:cs="Univers"/>
      </w:rPr>
      <w:fldChar w:fldCharType="begin"/>
    </w:r>
    <w:r w:rsidR="000E258C">
      <w:rPr>
        <w:rStyle w:val="PageNumber"/>
        <w:rFonts w:cs="Univers"/>
      </w:rPr>
      <w:instrText>PAGE</w:instrText>
    </w:r>
    <w:r>
      <w:rPr>
        <w:rStyle w:val="PageNumber"/>
        <w:rFonts w:cs="Univers"/>
      </w:rPr>
      <w:instrText xml:space="preserve">  </w:instrText>
    </w:r>
    <w:r>
      <w:rPr>
        <w:rStyle w:val="PageNumber"/>
        <w:rFonts w:cs="Univers"/>
      </w:rPr>
      <w:fldChar w:fldCharType="end"/>
    </w:r>
  </w:p>
  <w:p w:rsidR="0010214F" w:rsidRDefault="001021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14F" w:rsidRDefault="00666AC4" w:rsidP="00A50FCF">
    <w:pPr>
      <w:pStyle w:val="Header"/>
      <w:tabs>
        <w:tab w:val="clear" w:pos="4320"/>
        <w:tab w:val="clear" w:pos="8640"/>
      </w:tabs>
      <w:jc w:val="center"/>
      <w:rPr>
        <w:sz w:val="22"/>
        <w:szCs w:val="22"/>
      </w:rPr>
    </w:pPr>
    <w:r>
      <w:rPr>
        <w:noProof/>
        <w:sz w:val="22"/>
        <w:szCs w:val="22"/>
      </w:rPr>
      <w:drawing>
        <wp:inline distT="0" distB="0" distL="0" distR="0" wp14:anchorId="6016E38F" wp14:editId="6924E107">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10214F" w:rsidRPr="00EC7D62" w:rsidRDefault="003902E2"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v:imagedata r:id="rId2" o:title=""/>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4FD" w:rsidRDefault="00E774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22"/>
    <w:lvl w:ilvl="0">
      <w:start w:val="5"/>
      <w:numFmt w:val="decimal"/>
      <w:lvlText w:val="%1."/>
      <w:lvlJc w:val="left"/>
      <w:pPr>
        <w:tabs>
          <w:tab w:val="num" w:pos="540"/>
        </w:tabs>
        <w:ind w:firstLine="720"/>
      </w:pPr>
      <w:rPr>
        <w:rFonts w:ascii="Calibri" w:hAnsi="Calibri" w:cs="Calibri" w:hint="default"/>
        <w:b w:val="0"/>
        <w:bCs/>
        <w:i w:val="0"/>
        <w:color w:val="auto"/>
        <w:sz w:val="20"/>
        <w:szCs w:val="20"/>
      </w:rPr>
    </w:lvl>
    <w:lvl w:ilvl="1">
      <w:start w:val="2"/>
      <w:numFmt w:val="upperRoman"/>
      <w:lvlText w:val="%2."/>
      <w:lvlJc w:val="left"/>
      <w:pPr>
        <w:tabs>
          <w:tab w:val="num" w:pos="2520"/>
        </w:tabs>
        <w:ind w:left="2520" w:hanging="720"/>
      </w:pPr>
      <w:rPr>
        <w:rFonts w:cs="Times New Roman"/>
        <w:i w:val="0"/>
      </w:rPr>
    </w:lvl>
    <w:lvl w:ilvl="2">
      <w:start w:val="3"/>
      <w:numFmt w:val="decimal"/>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5">
    <w:nsid w:val="0E1D2261"/>
    <w:multiLevelType w:val="hybridMultilevel"/>
    <w:tmpl w:val="47805320"/>
    <w:lvl w:ilvl="0" w:tplc="7D50DE14">
      <w:start w:val="1"/>
      <w:numFmt w:val="decimal"/>
      <w:lvlText w:val="%1."/>
      <w:lvlJc w:val="left"/>
      <w:pPr>
        <w:tabs>
          <w:tab w:val="num" w:pos="720"/>
        </w:tabs>
        <w:ind w:firstLine="720"/>
      </w:pPr>
      <w:rPr>
        <w:rFonts w:cs="Times New Roman" w:hint="default"/>
        <w:b w:val="0"/>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2BA2819"/>
    <w:multiLevelType w:val="multilevel"/>
    <w:tmpl w:val="DE3EA646"/>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decimal"/>
      <w:lvlText w:val="%1.%2."/>
      <w:lvlJc w:val="left"/>
      <w:pPr>
        <w:tabs>
          <w:tab w:val="num" w:pos="690"/>
        </w:tabs>
        <w:ind w:left="690" w:hanging="330"/>
      </w:pPr>
      <w:rPr>
        <w:rFonts w:ascii="Calibri" w:eastAsia="Times New Roman" w:hAnsi="Calibri" w:cs="Calibri"/>
        <w:b/>
        <w:bCs/>
        <w:color w:val="000000"/>
        <w:position w:val="0"/>
        <w:sz w:val="22"/>
        <w:szCs w:val="22"/>
        <w:u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color="000000"/>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1">
    <w:nsid w:val="31CB6708"/>
    <w:multiLevelType w:val="multilevel"/>
    <w:tmpl w:val="B6544A0C"/>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0">
    <w:nsid w:val="42DF19D7"/>
    <w:multiLevelType w:val="multilevel"/>
    <w:tmpl w:val="E7265BB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bullet"/>
      <w:lvlText w:val="•"/>
      <w:lvlJc w:val="left"/>
      <w:pPr>
        <w:tabs>
          <w:tab w:val="num" w:pos="1740"/>
        </w:tabs>
        <w:ind w:left="1740" w:hanging="660"/>
      </w:pPr>
      <w:rPr>
        <w:rFonts w:ascii="Calibri" w:eastAsia="Times New Roman" w:hAnsi="Calibri"/>
        <w:color w:val="000000"/>
        <w:position w:val="0"/>
        <w:sz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5">
    <w:nsid w:val="492723E7"/>
    <w:multiLevelType w:val="multilevel"/>
    <w:tmpl w:val="0CF8CC3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6">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770"/>
        </w:tabs>
        <w:ind w:left="177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495"/>
        </w:tabs>
        <w:ind w:left="249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3210"/>
        </w:tabs>
        <w:ind w:left="321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930"/>
        </w:tabs>
        <w:ind w:left="393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655"/>
        </w:tabs>
        <w:ind w:left="465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370"/>
        </w:tabs>
        <w:ind w:left="537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6090"/>
        </w:tabs>
        <w:ind w:left="609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815"/>
        </w:tabs>
        <w:ind w:left="6815" w:hanging="271"/>
      </w:pPr>
      <w:rPr>
        <w:rFonts w:ascii="Calibri" w:eastAsia="Times New Roman" w:hAnsi="Calibri" w:cs="Calibri"/>
        <w:b/>
        <w:bCs/>
        <w:color w:val="000000"/>
        <w:position w:val="0"/>
        <w:sz w:val="22"/>
        <w:szCs w:val="22"/>
        <w:u w:val="single" w:color="000000"/>
      </w:rPr>
    </w:lvl>
  </w:abstractNum>
  <w:abstractNum w:abstractNumId="37">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38">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9">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1">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2">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3">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4">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5">
    <w:nsid w:val="637E3506"/>
    <w:multiLevelType w:val="hybridMultilevel"/>
    <w:tmpl w:val="38BAC68E"/>
    <w:lvl w:ilvl="0" w:tplc="8C82E214">
      <w:start w:val="1"/>
      <w:numFmt w:val="decimal"/>
      <w:lvlText w:val="%1."/>
      <w:lvlJc w:val="left"/>
      <w:pPr>
        <w:tabs>
          <w:tab w:val="num" w:pos="720"/>
        </w:tabs>
        <w:ind w:firstLine="720"/>
      </w:pPr>
      <w:rPr>
        <w:rFonts w:cs="Times New Roman" w:hint="default"/>
      </w:rPr>
    </w:lvl>
    <w:lvl w:ilvl="1" w:tplc="F2CAD2CA">
      <w:start w:val="34"/>
      <w:numFmt w:val="decimal"/>
      <w:lvlText w:val="%2."/>
      <w:lvlJc w:val="left"/>
      <w:pPr>
        <w:tabs>
          <w:tab w:val="num" w:pos="2520"/>
        </w:tabs>
        <w:ind w:left="2520" w:hanging="144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7">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cs="Calibri"/>
        <w:b/>
        <w:bCs/>
        <w:color w:val="000000"/>
        <w:position w:val="0"/>
        <w:sz w:val="22"/>
        <w:szCs w:val="22"/>
        <w:u w:val="single" w:color="000000"/>
      </w:rPr>
    </w:lvl>
    <w:lvl w:ilvl="1">
      <w:start w:val="2"/>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48">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9">
    <w:nsid w:val="6ED81DD2"/>
    <w:multiLevelType w:val="hybridMultilevel"/>
    <w:tmpl w:val="17209BEA"/>
    <w:lvl w:ilvl="0" w:tplc="0409000F">
      <w:start w:val="1"/>
      <w:numFmt w:val="decimal"/>
      <w:lvlText w:val="%1."/>
      <w:lvlJc w:val="left"/>
      <w:pPr>
        <w:ind w:left="477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70786ED7"/>
    <w:multiLevelType w:val="hybridMultilevel"/>
    <w:tmpl w:val="0004DB54"/>
    <w:lvl w:ilvl="0" w:tplc="69020C3E">
      <w:start w:val="1"/>
      <w:numFmt w:val="upperRoman"/>
      <w:pStyle w:val="Heading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2">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3">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b/>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b/>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b/>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b/>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b/>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b/>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b/>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b/>
        <w:color w:val="000000"/>
        <w:position w:val="0"/>
        <w:sz w:val="22"/>
        <w:u w:color="000000"/>
      </w:rPr>
    </w:lvl>
  </w:abstractNum>
  <w:abstractNum w:abstractNumId="54">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5">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6">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7">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num w:numId="1">
    <w:abstractNumId w:val="4"/>
  </w:num>
  <w:num w:numId="2">
    <w:abstractNumId w:val="6"/>
  </w:num>
  <w:num w:numId="3">
    <w:abstractNumId w:val="53"/>
  </w:num>
  <w:num w:numId="4">
    <w:abstractNumId w:val="22"/>
  </w:num>
  <w:num w:numId="5">
    <w:abstractNumId w:val="46"/>
  </w:num>
  <w:num w:numId="6">
    <w:abstractNumId w:val="27"/>
  </w:num>
  <w:num w:numId="7">
    <w:abstractNumId w:val="7"/>
  </w:num>
  <w:num w:numId="8">
    <w:abstractNumId w:val="18"/>
  </w:num>
  <w:num w:numId="9">
    <w:abstractNumId w:val="41"/>
  </w:num>
  <w:num w:numId="10">
    <w:abstractNumId w:val="1"/>
  </w:num>
  <w:num w:numId="11">
    <w:abstractNumId w:val="36"/>
  </w:num>
  <w:num w:numId="12">
    <w:abstractNumId w:val="37"/>
  </w:num>
  <w:num w:numId="13">
    <w:abstractNumId w:val="42"/>
  </w:num>
  <w:num w:numId="14">
    <w:abstractNumId w:val="2"/>
  </w:num>
  <w:num w:numId="15">
    <w:abstractNumId w:val="3"/>
  </w:num>
  <w:num w:numId="16">
    <w:abstractNumId w:val="8"/>
  </w:num>
  <w:num w:numId="17">
    <w:abstractNumId w:val="9"/>
  </w:num>
  <w:num w:numId="18">
    <w:abstractNumId w:val="10"/>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4"/>
  </w:num>
  <w:num w:numId="42">
    <w:abstractNumId w:val="47"/>
  </w:num>
  <w:num w:numId="43">
    <w:abstractNumId w:val="48"/>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21"/>
  </w:num>
  <w:num w:numId="52">
    <w:abstractNumId w:val="40"/>
  </w:num>
  <w:num w:numId="53">
    <w:abstractNumId w:val="50"/>
  </w:num>
  <w:num w:numId="54">
    <w:abstractNumId w:val="43"/>
  </w:num>
  <w:num w:numId="55">
    <w:abstractNumId w:val="45"/>
  </w:num>
  <w:num w:numId="56">
    <w:abstractNumId w:val="5"/>
  </w:num>
  <w:num w:numId="57">
    <w:abstractNumId w:val="11"/>
  </w:num>
  <w:num w:numId="58">
    <w:abstractNumId w:val="4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049"/>
    <w:rsid w:val="0000036F"/>
    <w:rsid w:val="00000CDA"/>
    <w:rsid w:val="00006E1F"/>
    <w:rsid w:val="000070D7"/>
    <w:rsid w:val="00011DFD"/>
    <w:rsid w:val="000126F2"/>
    <w:rsid w:val="00014DEB"/>
    <w:rsid w:val="0001788C"/>
    <w:rsid w:val="00017CB3"/>
    <w:rsid w:val="00017DF0"/>
    <w:rsid w:val="000218EA"/>
    <w:rsid w:val="00021BFF"/>
    <w:rsid w:val="000225D1"/>
    <w:rsid w:val="00022823"/>
    <w:rsid w:val="00022C2A"/>
    <w:rsid w:val="00024654"/>
    <w:rsid w:val="00027F25"/>
    <w:rsid w:val="000315CC"/>
    <w:rsid w:val="00034793"/>
    <w:rsid w:val="000353ED"/>
    <w:rsid w:val="00040C3A"/>
    <w:rsid w:val="0004135C"/>
    <w:rsid w:val="00045D12"/>
    <w:rsid w:val="00046A71"/>
    <w:rsid w:val="00046F53"/>
    <w:rsid w:val="0004748A"/>
    <w:rsid w:val="000545C1"/>
    <w:rsid w:val="00055050"/>
    <w:rsid w:val="00056B8A"/>
    <w:rsid w:val="00056BC8"/>
    <w:rsid w:val="00057DD7"/>
    <w:rsid w:val="00064A6B"/>
    <w:rsid w:val="00065787"/>
    <w:rsid w:val="0007005F"/>
    <w:rsid w:val="000716C5"/>
    <w:rsid w:val="00072ACA"/>
    <w:rsid w:val="00075790"/>
    <w:rsid w:val="00075E23"/>
    <w:rsid w:val="000766E8"/>
    <w:rsid w:val="00082B42"/>
    <w:rsid w:val="0008347A"/>
    <w:rsid w:val="0008649B"/>
    <w:rsid w:val="000912A5"/>
    <w:rsid w:val="00091568"/>
    <w:rsid w:val="0009344A"/>
    <w:rsid w:val="00095445"/>
    <w:rsid w:val="000A2FAE"/>
    <w:rsid w:val="000A392E"/>
    <w:rsid w:val="000A3987"/>
    <w:rsid w:val="000A575F"/>
    <w:rsid w:val="000A5B0A"/>
    <w:rsid w:val="000A6BBD"/>
    <w:rsid w:val="000B03D5"/>
    <w:rsid w:val="000B36E0"/>
    <w:rsid w:val="000C1A09"/>
    <w:rsid w:val="000D050E"/>
    <w:rsid w:val="000D10DB"/>
    <w:rsid w:val="000D7E9C"/>
    <w:rsid w:val="000E258C"/>
    <w:rsid w:val="000E3026"/>
    <w:rsid w:val="000E5876"/>
    <w:rsid w:val="000E5EB5"/>
    <w:rsid w:val="000F35ED"/>
    <w:rsid w:val="000F61E6"/>
    <w:rsid w:val="00100527"/>
    <w:rsid w:val="0010214F"/>
    <w:rsid w:val="00103DA8"/>
    <w:rsid w:val="00104BFC"/>
    <w:rsid w:val="00107131"/>
    <w:rsid w:val="001071CD"/>
    <w:rsid w:val="0010736F"/>
    <w:rsid w:val="0011101F"/>
    <w:rsid w:val="00112D7A"/>
    <w:rsid w:val="00113F73"/>
    <w:rsid w:val="0011526D"/>
    <w:rsid w:val="001211F9"/>
    <w:rsid w:val="00121CC2"/>
    <w:rsid w:val="00122EE0"/>
    <w:rsid w:val="001303CE"/>
    <w:rsid w:val="001329B3"/>
    <w:rsid w:val="00132C0B"/>
    <w:rsid w:val="00133EE5"/>
    <w:rsid w:val="00134548"/>
    <w:rsid w:val="0013741B"/>
    <w:rsid w:val="00142DDA"/>
    <w:rsid w:val="001448D5"/>
    <w:rsid w:val="00151ED9"/>
    <w:rsid w:val="00157901"/>
    <w:rsid w:val="00160C92"/>
    <w:rsid w:val="00161B63"/>
    <w:rsid w:val="0016231A"/>
    <w:rsid w:val="00167A34"/>
    <w:rsid w:val="00170D93"/>
    <w:rsid w:val="001731B8"/>
    <w:rsid w:val="001736E4"/>
    <w:rsid w:val="00173CC5"/>
    <w:rsid w:val="00177375"/>
    <w:rsid w:val="0018099C"/>
    <w:rsid w:val="00181715"/>
    <w:rsid w:val="00182D70"/>
    <w:rsid w:val="00191254"/>
    <w:rsid w:val="00195811"/>
    <w:rsid w:val="00196C10"/>
    <w:rsid w:val="00196D23"/>
    <w:rsid w:val="001A0D46"/>
    <w:rsid w:val="001A1C0E"/>
    <w:rsid w:val="001A4D21"/>
    <w:rsid w:val="001A5C12"/>
    <w:rsid w:val="001A701C"/>
    <w:rsid w:val="001A7870"/>
    <w:rsid w:val="001B03D8"/>
    <w:rsid w:val="001B416D"/>
    <w:rsid w:val="001B6AE7"/>
    <w:rsid w:val="001C1B41"/>
    <w:rsid w:val="001C1E10"/>
    <w:rsid w:val="001C2E91"/>
    <w:rsid w:val="001C42D4"/>
    <w:rsid w:val="001C52CA"/>
    <w:rsid w:val="001D085B"/>
    <w:rsid w:val="001D27B6"/>
    <w:rsid w:val="001D3D30"/>
    <w:rsid w:val="001D65EF"/>
    <w:rsid w:val="001D7322"/>
    <w:rsid w:val="001E0ED4"/>
    <w:rsid w:val="001E1F36"/>
    <w:rsid w:val="001E29B2"/>
    <w:rsid w:val="001E2DEA"/>
    <w:rsid w:val="00204C95"/>
    <w:rsid w:val="002054AF"/>
    <w:rsid w:val="00206D8B"/>
    <w:rsid w:val="002078FC"/>
    <w:rsid w:val="00210BAF"/>
    <w:rsid w:val="00213E2E"/>
    <w:rsid w:val="00214E53"/>
    <w:rsid w:val="002220D5"/>
    <w:rsid w:val="002250A3"/>
    <w:rsid w:val="00227811"/>
    <w:rsid w:val="00231B95"/>
    <w:rsid w:val="00235217"/>
    <w:rsid w:val="002357F1"/>
    <w:rsid w:val="00245497"/>
    <w:rsid w:val="00246D1F"/>
    <w:rsid w:val="00247403"/>
    <w:rsid w:val="00247542"/>
    <w:rsid w:val="0025166E"/>
    <w:rsid w:val="002532C8"/>
    <w:rsid w:val="002548BD"/>
    <w:rsid w:val="0026525D"/>
    <w:rsid w:val="00266B61"/>
    <w:rsid w:val="0026712A"/>
    <w:rsid w:val="002704DB"/>
    <w:rsid w:val="00273EFC"/>
    <w:rsid w:val="00280DA5"/>
    <w:rsid w:val="00282625"/>
    <w:rsid w:val="00282C9F"/>
    <w:rsid w:val="00283875"/>
    <w:rsid w:val="00287FBC"/>
    <w:rsid w:val="00291071"/>
    <w:rsid w:val="0029221D"/>
    <w:rsid w:val="00294030"/>
    <w:rsid w:val="0029669C"/>
    <w:rsid w:val="002977CF"/>
    <w:rsid w:val="00297B9E"/>
    <w:rsid w:val="002A0AAE"/>
    <w:rsid w:val="002A2261"/>
    <w:rsid w:val="002A3023"/>
    <w:rsid w:val="002A5820"/>
    <w:rsid w:val="002B0097"/>
    <w:rsid w:val="002B0DE7"/>
    <w:rsid w:val="002B61B9"/>
    <w:rsid w:val="002B6D79"/>
    <w:rsid w:val="002B7965"/>
    <w:rsid w:val="002C0071"/>
    <w:rsid w:val="002C5C6C"/>
    <w:rsid w:val="002C5EA7"/>
    <w:rsid w:val="002D0A3B"/>
    <w:rsid w:val="002D0E69"/>
    <w:rsid w:val="002D2B26"/>
    <w:rsid w:val="002D4B54"/>
    <w:rsid w:val="002D7EA2"/>
    <w:rsid w:val="002E0A91"/>
    <w:rsid w:val="002E133B"/>
    <w:rsid w:val="002E187C"/>
    <w:rsid w:val="002E515D"/>
    <w:rsid w:val="002E5A85"/>
    <w:rsid w:val="002E7375"/>
    <w:rsid w:val="002E7939"/>
    <w:rsid w:val="002F01B6"/>
    <w:rsid w:val="002F13CC"/>
    <w:rsid w:val="002F1DA9"/>
    <w:rsid w:val="002F673F"/>
    <w:rsid w:val="002F751C"/>
    <w:rsid w:val="00302733"/>
    <w:rsid w:val="00303272"/>
    <w:rsid w:val="00303E05"/>
    <w:rsid w:val="00303EAE"/>
    <w:rsid w:val="003045D1"/>
    <w:rsid w:val="00304DAA"/>
    <w:rsid w:val="0030530B"/>
    <w:rsid w:val="00312480"/>
    <w:rsid w:val="00313017"/>
    <w:rsid w:val="00314078"/>
    <w:rsid w:val="0031535D"/>
    <w:rsid w:val="0032262E"/>
    <w:rsid w:val="003267FA"/>
    <w:rsid w:val="0033169F"/>
    <w:rsid w:val="0033260A"/>
    <w:rsid w:val="003338EE"/>
    <w:rsid w:val="0033467B"/>
    <w:rsid w:val="003375DE"/>
    <w:rsid w:val="00342B93"/>
    <w:rsid w:val="00346C95"/>
    <w:rsid w:val="00352F61"/>
    <w:rsid w:val="003534C3"/>
    <w:rsid w:val="00354293"/>
    <w:rsid w:val="00356185"/>
    <w:rsid w:val="00356498"/>
    <w:rsid w:val="0035664F"/>
    <w:rsid w:val="00356B91"/>
    <w:rsid w:val="00360380"/>
    <w:rsid w:val="00361B16"/>
    <w:rsid w:val="003625B9"/>
    <w:rsid w:val="00363A43"/>
    <w:rsid w:val="003645B6"/>
    <w:rsid w:val="00365D51"/>
    <w:rsid w:val="003664B3"/>
    <w:rsid w:val="00372571"/>
    <w:rsid w:val="00374642"/>
    <w:rsid w:val="0037519E"/>
    <w:rsid w:val="00381F0B"/>
    <w:rsid w:val="00382517"/>
    <w:rsid w:val="00386594"/>
    <w:rsid w:val="00386CF0"/>
    <w:rsid w:val="003902E2"/>
    <w:rsid w:val="00392324"/>
    <w:rsid w:val="00393540"/>
    <w:rsid w:val="00394C79"/>
    <w:rsid w:val="0039570A"/>
    <w:rsid w:val="0039755F"/>
    <w:rsid w:val="003A01BC"/>
    <w:rsid w:val="003A2524"/>
    <w:rsid w:val="003A275B"/>
    <w:rsid w:val="003B07E8"/>
    <w:rsid w:val="003B744A"/>
    <w:rsid w:val="003B75C0"/>
    <w:rsid w:val="003C676B"/>
    <w:rsid w:val="003D2966"/>
    <w:rsid w:val="003D2C36"/>
    <w:rsid w:val="003D3BC2"/>
    <w:rsid w:val="003D3DAB"/>
    <w:rsid w:val="003D5023"/>
    <w:rsid w:val="003D6804"/>
    <w:rsid w:val="003D6AEE"/>
    <w:rsid w:val="003D7075"/>
    <w:rsid w:val="003E6CA1"/>
    <w:rsid w:val="003F0527"/>
    <w:rsid w:val="003F4E37"/>
    <w:rsid w:val="003F5100"/>
    <w:rsid w:val="003F6612"/>
    <w:rsid w:val="003F7636"/>
    <w:rsid w:val="003F7D67"/>
    <w:rsid w:val="0040149A"/>
    <w:rsid w:val="00406DA6"/>
    <w:rsid w:val="0040771B"/>
    <w:rsid w:val="00412CDA"/>
    <w:rsid w:val="004165C2"/>
    <w:rsid w:val="00421686"/>
    <w:rsid w:val="00422671"/>
    <w:rsid w:val="00422C66"/>
    <w:rsid w:val="00424A11"/>
    <w:rsid w:val="00427B65"/>
    <w:rsid w:val="00427CBB"/>
    <w:rsid w:val="00432614"/>
    <w:rsid w:val="00433C4C"/>
    <w:rsid w:val="00434E0D"/>
    <w:rsid w:val="00440D2C"/>
    <w:rsid w:val="00441DBA"/>
    <w:rsid w:val="00441ECB"/>
    <w:rsid w:val="004438CF"/>
    <w:rsid w:val="00444ED2"/>
    <w:rsid w:val="004469FA"/>
    <w:rsid w:val="00453B56"/>
    <w:rsid w:val="00455DBD"/>
    <w:rsid w:val="004574C1"/>
    <w:rsid w:val="0046638F"/>
    <w:rsid w:val="00467B7E"/>
    <w:rsid w:val="0047005B"/>
    <w:rsid w:val="004700C1"/>
    <w:rsid w:val="004745A4"/>
    <w:rsid w:val="0047513A"/>
    <w:rsid w:val="004772E8"/>
    <w:rsid w:val="00477592"/>
    <w:rsid w:val="00477ADE"/>
    <w:rsid w:val="00480127"/>
    <w:rsid w:val="00481F05"/>
    <w:rsid w:val="00482ED4"/>
    <w:rsid w:val="00485810"/>
    <w:rsid w:val="00485E99"/>
    <w:rsid w:val="00486F1C"/>
    <w:rsid w:val="00487016"/>
    <w:rsid w:val="0049016E"/>
    <w:rsid w:val="00492AE3"/>
    <w:rsid w:val="0049419D"/>
    <w:rsid w:val="004A0D1F"/>
    <w:rsid w:val="004A232F"/>
    <w:rsid w:val="004A3BD8"/>
    <w:rsid w:val="004A7EEB"/>
    <w:rsid w:val="004B15E2"/>
    <w:rsid w:val="004B16F5"/>
    <w:rsid w:val="004B4139"/>
    <w:rsid w:val="004B6929"/>
    <w:rsid w:val="004B7A65"/>
    <w:rsid w:val="004C20D2"/>
    <w:rsid w:val="004C2E69"/>
    <w:rsid w:val="004C44D7"/>
    <w:rsid w:val="004C4B62"/>
    <w:rsid w:val="004C54C9"/>
    <w:rsid w:val="004D077C"/>
    <w:rsid w:val="004D463C"/>
    <w:rsid w:val="004D4CDD"/>
    <w:rsid w:val="004D6025"/>
    <w:rsid w:val="004D7E34"/>
    <w:rsid w:val="004E2649"/>
    <w:rsid w:val="004F1FD6"/>
    <w:rsid w:val="004F31EE"/>
    <w:rsid w:val="004F43ED"/>
    <w:rsid w:val="004F5140"/>
    <w:rsid w:val="004F5388"/>
    <w:rsid w:val="00500BCF"/>
    <w:rsid w:val="00501399"/>
    <w:rsid w:val="00505CA5"/>
    <w:rsid w:val="0050633D"/>
    <w:rsid w:val="005077EE"/>
    <w:rsid w:val="00507BC4"/>
    <w:rsid w:val="005128E4"/>
    <w:rsid w:val="00512E4F"/>
    <w:rsid w:val="005133DB"/>
    <w:rsid w:val="00515960"/>
    <w:rsid w:val="00516129"/>
    <w:rsid w:val="00520B44"/>
    <w:rsid w:val="00522EC8"/>
    <w:rsid w:val="00525560"/>
    <w:rsid w:val="00525D34"/>
    <w:rsid w:val="005274BB"/>
    <w:rsid w:val="00527B68"/>
    <w:rsid w:val="005316A2"/>
    <w:rsid w:val="00531A90"/>
    <w:rsid w:val="00532A81"/>
    <w:rsid w:val="00532EF1"/>
    <w:rsid w:val="00534006"/>
    <w:rsid w:val="005354EC"/>
    <w:rsid w:val="00535A4E"/>
    <w:rsid w:val="00536187"/>
    <w:rsid w:val="00537490"/>
    <w:rsid w:val="00537514"/>
    <w:rsid w:val="0054121E"/>
    <w:rsid w:val="005418B0"/>
    <w:rsid w:val="00541CA3"/>
    <w:rsid w:val="00543D31"/>
    <w:rsid w:val="00544146"/>
    <w:rsid w:val="00544C49"/>
    <w:rsid w:val="00547D7F"/>
    <w:rsid w:val="005516A1"/>
    <w:rsid w:val="00552526"/>
    <w:rsid w:val="005610C9"/>
    <w:rsid w:val="005629BA"/>
    <w:rsid w:val="00564E58"/>
    <w:rsid w:val="00565DA2"/>
    <w:rsid w:val="00565E1D"/>
    <w:rsid w:val="00565EAA"/>
    <w:rsid w:val="00572BE9"/>
    <w:rsid w:val="0057402A"/>
    <w:rsid w:val="00575931"/>
    <w:rsid w:val="005771D0"/>
    <w:rsid w:val="00577A54"/>
    <w:rsid w:val="00580674"/>
    <w:rsid w:val="0059191A"/>
    <w:rsid w:val="005921FF"/>
    <w:rsid w:val="00594F5C"/>
    <w:rsid w:val="00596831"/>
    <w:rsid w:val="00596AF8"/>
    <w:rsid w:val="005A3067"/>
    <w:rsid w:val="005A3D84"/>
    <w:rsid w:val="005A5CFB"/>
    <w:rsid w:val="005A6D0E"/>
    <w:rsid w:val="005B048B"/>
    <w:rsid w:val="005B47D1"/>
    <w:rsid w:val="005B4E91"/>
    <w:rsid w:val="005B52B0"/>
    <w:rsid w:val="005B57E2"/>
    <w:rsid w:val="005B6806"/>
    <w:rsid w:val="005B6CE3"/>
    <w:rsid w:val="005C2EC3"/>
    <w:rsid w:val="005C4225"/>
    <w:rsid w:val="005D2410"/>
    <w:rsid w:val="005D2848"/>
    <w:rsid w:val="005D6865"/>
    <w:rsid w:val="005D781F"/>
    <w:rsid w:val="005E1626"/>
    <w:rsid w:val="005F0DAD"/>
    <w:rsid w:val="005F0F33"/>
    <w:rsid w:val="005F1293"/>
    <w:rsid w:val="005F368D"/>
    <w:rsid w:val="005F7C3D"/>
    <w:rsid w:val="006003F1"/>
    <w:rsid w:val="00600DEB"/>
    <w:rsid w:val="006019E5"/>
    <w:rsid w:val="0060371A"/>
    <w:rsid w:val="00606727"/>
    <w:rsid w:val="00606B5E"/>
    <w:rsid w:val="006110EB"/>
    <w:rsid w:val="00617BC8"/>
    <w:rsid w:val="00621009"/>
    <w:rsid w:val="00627C9F"/>
    <w:rsid w:val="006311E9"/>
    <w:rsid w:val="006320BB"/>
    <w:rsid w:val="00632354"/>
    <w:rsid w:val="006323A7"/>
    <w:rsid w:val="0063685A"/>
    <w:rsid w:val="00636FA1"/>
    <w:rsid w:val="0063724D"/>
    <w:rsid w:val="0064018B"/>
    <w:rsid w:val="00642810"/>
    <w:rsid w:val="00642966"/>
    <w:rsid w:val="00647081"/>
    <w:rsid w:val="00647BB2"/>
    <w:rsid w:val="0065081B"/>
    <w:rsid w:val="00652333"/>
    <w:rsid w:val="0066386F"/>
    <w:rsid w:val="00666AC4"/>
    <w:rsid w:val="00667CE0"/>
    <w:rsid w:val="00670EA2"/>
    <w:rsid w:val="0067169B"/>
    <w:rsid w:val="0068009E"/>
    <w:rsid w:val="00680404"/>
    <w:rsid w:val="0068112A"/>
    <w:rsid w:val="00682697"/>
    <w:rsid w:val="006855BA"/>
    <w:rsid w:val="00690978"/>
    <w:rsid w:val="00690CFB"/>
    <w:rsid w:val="00692219"/>
    <w:rsid w:val="006952FA"/>
    <w:rsid w:val="0069608E"/>
    <w:rsid w:val="00696E4B"/>
    <w:rsid w:val="006A17D2"/>
    <w:rsid w:val="006A5197"/>
    <w:rsid w:val="006A73E6"/>
    <w:rsid w:val="006A7B0A"/>
    <w:rsid w:val="006B2D5C"/>
    <w:rsid w:val="006B49AE"/>
    <w:rsid w:val="006B65C0"/>
    <w:rsid w:val="006B7056"/>
    <w:rsid w:val="006C0BCD"/>
    <w:rsid w:val="006C0BEE"/>
    <w:rsid w:val="006C4B46"/>
    <w:rsid w:val="006C4EB1"/>
    <w:rsid w:val="006C5041"/>
    <w:rsid w:val="006C5ACB"/>
    <w:rsid w:val="006C74D0"/>
    <w:rsid w:val="006D17A0"/>
    <w:rsid w:val="006D194B"/>
    <w:rsid w:val="006D3354"/>
    <w:rsid w:val="006D420C"/>
    <w:rsid w:val="006D4B16"/>
    <w:rsid w:val="006D6687"/>
    <w:rsid w:val="006E0166"/>
    <w:rsid w:val="006E0457"/>
    <w:rsid w:val="006E6AD2"/>
    <w:rsid w:val="006E7948"/>
    <w:rsid w:val="006E7B34"/>
    <w:rsid w:val="006F295D"/>
    <w:rsid w:val="006F2C2F"/>
    <w:rsid w:val="006F529C"/>
    <w:rsid w:val="00702354"/>
    <w:rsid w:val="00702398"/>
    <w:rsid w:val="0070697F"/>
    <w:rsid w:val="00711192"/>
    <w:rsid w:val="0071279A"/>
    <w:rsid w:val="00714884"/>
    <w:rsid w:val="00714E17"/>
    <w:rsid w:val="00715EBA"/>
    <w:rsid w:val="00715F0E"/>
    <w:rsid w:val="007178B7"/>
    <w:rsid w:val="0072199C"/>
    <w:rsid w:val="00721A4E"/>
    <w:rsid w:val="0072215C"/>
    <w:rsid w:val="00722C9F"/>
    <w:rsid w:val="007244C2"/>
    <w:rsid w:val="007253B8"/>
    <w:rsid w:val="0072726E"/>
    <w:rsid w:val="007315DE"/>
    <w:rsid w:val="0073741F"/>
    <w:rsid w:val="00740359"/>
    <w:rsid w:val="00746446"/>
    <w:rsid w:val="0074784F"/>
    <w:rsid w:val="00752B0D"/>
    <w:rsid w:val="007539FB"/>
    <w:rsid w:val="007555E8"/>
    <w:rsid w:val="00757085"/>
    <w:rsid w:val="00757BBC"/>
    <w:rsid w:val="00757FAD"/>
    <w:rsid w:val="007603B9"/>
    <w:rsid w:val="007641A2"/>
    <w:rsid w:val="0076643F"/>
    <w:rsid w:val="007741F4"/>
    <w:rsid w:val="00777F63"/>
    <w:rsid w:val="00782671"/>
    <w:rsid w:val="0078573E"/>
    <w:rsid w:val="00787F1E"/>
    <w:rsid w:val="00792402"/>
    <w:rsid w:val="007938C8"/>
    <w:rsid w:val="007A5817"/>
    <w:rsid w:val="007A6C29"/>
    <w:rsid w:val="007A6CEF"/>
    <w:rsid w:val="007B3722"/>
    <w:rsid w:val="007B3D06"/>
    <w:rsid w:val="007B3FE2"/>
    <w:rsid w:val="007B60E9"/>
    <w:rsid w:val="007B6CC3"/>
    <w:rsid w:val="007C0CE1"/>
    <w:rsid w:val="007C2ACD"/>
    <w:rsid w:val="007C2EF9"/>
    <w:rsid w:val="007C3334"/>
    <w:rsid w:val="007C655E"/>
    <w:rsid w:val="007C7975"/>
    <w:rsid w:val="007C7A89"/>
    <w:rsid w:val="007D286D"/>
    <w:rsid w:val="007D2B98"/>
    <w:rsid w:val="007D2C04"/>
    <w:rsid w:val="007D52EE"/>
    <w:rsid w:val="007E090B"/>
    <w:rsid w:val="007E1669"/>
    <w:rsid w:val="007E21BC"/>
    <w:rsid w:val="007E2F30"/>
    <w:rsid w:val="007E782D"/>
    <w:rsid w:val="007F0E4C"/>
    <w:rsid w:val="007F2398"/>
    <w:rsid w:val="007F48DC"/>
    <w:rsid w:val="008038A8"/>
    <w:rsid w:val="00803F1C"/>
    <w:rsid w:val="00805974"/>
    <w:rsid w:val="00805E8D"/>
    <w:rsid w:val="0080600E"/>
    <w:rsid w:val="00806FAF"/>
    <w:rsid w:val="0081005C"/>
    <w:rsid w:val="008144B3"/>
    <w:rsid w:val="00814987"/>
    <w:rsid w:val="00817612"/>
    <w:rsid w:val="0082599C"/>
    <w:rsid w:val="00830053"/>
    <w:rsid w:val="00831155"/>
    <w:rsid w:val="0083172E"/>
    <w:rsid w:val="008338A4"/>
    <w:rsid w:val="00834885"/>
    <w:rsid w:val="00837C45"/>
    <w:rsid w:val="00840EA6"/>
    <w:rsid w:val="0084110C"/>
    <w:rsid w:val="00844730"/>
    <w:rsid w:val="008457C2"/>
    <w:rsid w:val="00847102"/>
    <w:rsid w:val="00847153"/>
    <w:rsid w:val="00847C37"/>
    <w:rsid w:val="00851283"/>
    <w:rsid w:val="008512D8"/>
    <w:rsid w:val="00856AAF"/>
    <w:rsid w:val="008579F0"/>
    <w:rsid w:val="00857A82"/>
    <w:rsid w:val="008605B1"/>
    <w:rsid w:val="00862AC2"/>
    <w:rsid w:val="008645D0"/>
    <w:rsid w:val="008651FF"/>
    <w:rsid w:val="00870489"/>
    <w:rsid w:val="00870E84"/>
    <w:rsid w:val="00872E3A"/>
    <w:rsid w:val="00873836"/>
    <w:rsid w:val="00875B7F"/>
    <w:rsid w:val="008779A4"/>
    <w:rsid w:val="008817AB"/>
    <w:rsid w:val="008822FF"/>
    <w:rsid w:val="00884E09"/>
    <w:rsid w:val="00885737"/>
    <w:rsid w:val="00890650"/>
    <w:rsid w:val="008912F5"/>
    <w:rsid w:val="008922E9"/>
    <w:rsid w:val="00892D2D"/>
    <w:rsid w:val="00896E0B"/>
    <w:rsid w:val="00897E12"/>
    <w:rsid w:val="008A0C32"/>
    <w:rsid w:val="008A206B"/>
    <w:rsid w:val="008A74EF"/>
    <w:rsid w:val="008A7E0F"/>
    <w:rsid w:val="008B0191"/>
    <w:rsid w:val="008B12F5"/>
    <w:rsid w:val="008B273A"/>
    <w:rsid w:val="008B54C8"/>
    <w:rsid w:val="008B7019"/>
    <w:rsid w:val="008C2BF9"/>
    <w:rsid w:val="008C408C"/>
    <w:rsid w:val="008C4BA0"/>
    <w:rsid w:val="008C7817"/>
    <w:rsid w:val="008D231F"/>
    <w:rsid w:val="008D534E"/>
    <w:rsid w:val="008D6D89"/>
    <w:rsid w:val="008D768D"/>
    <w:rsid w:val="008E3759"/>
    <w:rsid w:val="008E5087"/>
    <w:rsid w:val="008E74D7"/>
    <w:rsid w:val="008F11F3"/>
    <w:rsid w:val="008F1912"/>
    <w:rsid w:val="008F19A3"/>
    <w:rsid w:val="0090270B"/>
    <w:rsid w:val="00903187"/>
    <w:rsid w:val="009041DC"/>
    <w:rsid w:val="00907054"/>
    <w:rsid w:val="00913125"/>
    <w:rsid w:val="00913522"/>
    <w:rsid w:val="00914508"/>
    <w:rsid w:val="00917B5A"/>
    <w:rsid w:val="00920A58"/>
    <w:rsid w:val="00920A8C"/>
    <w:rsid w:val="00920F3B"/>
    <w:rsid w:val="009258CD"/>
    <w:rsid w:val="009309AC"/>
    <w:rsid w:val="00934A2C"/>
    <w:rsid w:val="00934E31"/>
    <w:rsid w:val="00937E84"/>
    <w:rsid w:val="0094270F"/>
    <w:rsid w:val="00946A6F"/>
    <w:rsid w:val="009568DB"/>
    <w:rsid w:val="00956C1B"/>
    <w:rsid w:val="00960FA5"/>
    <w:rsid w:val="00962554"/>
    <w:rsid w:val="009637D6"/>
    <w:rsid w:val="00964D65"/>
    <w:rsid w:val="00965657"/>
    <w:rsid w:val="0096706E"/>
    <w:rsid w:val="009670F3"/>
    <w:rsid w:val="00971E2B"/>
    <w:rsid w:val="0097536E"/>
    <w:rsid w:val="00975C4E"/>
    <w:rsid w:val="00976E8F"/>
    <w:rsid w:val="00980DEC"/>
    <w:rsid w:val="00980EA3"/>
    <w:rsid w:val="00981FBA"/>
    <w:rsid w:val="009913F4"/>
    <w:rsid w:val="00995659"/>
    <w:rsid w:val="00996E8A"/>
    <w:rsid w:val="00997BC5"/>
    <w:rsid w:val="009A200D"/>
    <w:rsid w:val="009A4488"/>
    <w:rsid w:val="009A4F41"/>
    <w:rsid w:val="009A5420"/>
    <w:rsid w:val="009B2E24"/>
    <w:rsid w:val="009B381B"/>
    <w:rsid w:val="009B5B2A"/>
    <w:rsid w:val="009B646B"/>
    <w:rsid w:val="009C58D9"/>
    <w:rsid w:val="009C61A8"/>
    <w:rsid w:val="009C66ED"/>
    <w:rsid w:val="009C6EF0"/>
    <w:rsid w:val="009D13FF"/>
    <w:rsid w:val="009D1753"/>
    <w:rsid w:val="009D1E88"/>
    <w:rsid w:val="009D2FCB"/>
    <w:rsid w:val="009D6618"/>
    <w:rsid w:val="009D7611"/>
    <w:rsid w:val="009E0B61"/>
    <w:rsid w:val="009E503D"/>
    <w:rsid w:val="009E53DE"/>
    <w:rsid w:val="009E61EE"/>
    <w:rsid w:val="009F0583"/>
    <w:rsid w:val="009F0B9A"/>
    <w:rsid w:val="009F1210"/>
    <w:rsid w:val="009F138F"/>
    <w:rsid w:val="009F36F7"/>
    <w:rsid w:val="009F631C"/>
    <w:rsid w:val="009F747B"/>
    <w:rsid w:val="00A00102"/>
    <w:rsid w:val="00A04FA0"/>
    <w:rsid w:val="00A061F3"/>
    <w:rsid w:val="00A0661D"/>
    <w:rsid w:val="00A06896"/>
    <w:rsid w:val="00A13212"/>
    <w:rsid w:val="00A21613"/>
    <w:rsid w:val="00A24E9C"/>
    <w:rsid w:val="00A26C31"/>
    <w:rsid w:val="00A3216B"/>
    <w:rsid w:val="00A328B3"/>
    <w:rsid w:val="00A33875"/>
    <w:rsid w:val="00A34D12"/>
    <w:rsid w:val="00A357C2"/>
    <w:rsid w:val="00A36150"/>
    <w:rsid w:val="00A37902"/>
    <w:rsid w:val="00A408AA"/>
    <w:rsid w:val="00A47F90"/>
    <w:rsid w:val="00A50FCF"/>
    <w:rsid w:val="00A528D1"/>
    <w:rsid w:val="00A60602"/>
    <w:rsid w:val="00A60F16"/>
    <w:rsid w:val="00A610CD"/>
    <w:rsid w:val="00A634C6"/>
    <w:rsid w:val="00A709CB"/>
    <w:rsid w:val="00A72B47"/>
    <w:rsid w:val="00A74EA0"/>
    <w:rsid w:val="00A756EF"/>
    <w:rsid w:val="00A76397"/>
    <w:rsid w:val="00A773D4"/>
    <w:rsid w:val="00A95CF9"/>
    <w:rsid w:val="00A968A1"/>
    <w:rsid w:val="00AA0062"/>
    <w:rsid w:val="00AA09A2"/>
    <w:rsid w:val="00AA4012"/>
    <w:rsid w:val="00AA6562"/>
    <w:rsid w:val="00AA6B69"/>
    <w:rsid w:val="00AA7996"/>
    <w:rsid w:val="00AB152C"/>
    <w:rsid w:val="00AB2F5A"/>
    <w:rsid w:val="00AB4377"/>
    <w:rsid w:val="00AC19CB"/>
    <w:rsid w:val="00AC71A1"/>
    <w:rsid w:val="00AD0D7A"/>
    <w:rsid w:val="00AD2E0C"/>
    <w:rsid w:val="00AD506F"/>
    <w:rsid w:val="00AD7846"/>
    <w:rsid w:val="00AE0543"/>
    <w:rsid w:val="00AE44E8"/>
    <w:rsid w:val="00AE4DA0"/>
    <w:rsid w:val="00AE5488"/>
    <w:rsid w:val="00AE61D2"/>
    <w:rsid w:val="00AE6D89"/>
    <w:rsid w:val="00AE6F91"/>
    <w:rsid w:val="00AF0B4A"/>
    <w:rsid w:val="00AF11F3"/>
    <w:rsid w:val="00AF5571"/>
    <w:rsid w:val="00B01D2E"/>
    <w:rsid w:val="00B0498F"/>
    <w:rsid w:val="00B05658"/>
    <w:rsid w:val="00B056A5"/>
    <w:rsid w:val="00B071E3"/>
    <w:rsid w:val="00B07341"/>
    <w:rsid w:val="00B10C04"/>
    <w:rsid w:val="00B11650"/>
    <w:rsid w:val="00B12AFC"/>
    <w:rsid w:val="00B1414A"/>
    <w:rsid w:val="00B16705"/>
    <w:rsid w:val="00B206D2"/>
    <w:rsid w:val="00B22915"/>
    <w:rsid w:val="00B23C95"/>
    <w:rsid w:val="00B258C3"/>
    <w:rsid w:val="00B26361"/>
    <w:rsid w:val="00B30539"/>
    <w:rsid w:val="00B31439"/>
    <w:rsid w:val="00B314DB"/>
    <w:rsid w:val="00B3170A"/>
    <w:rsid w:val="00B33767"/>
    <w:rsid w:val="00B361F2"/>
    <w:rsid w:val="00B3718B"/>
    <w:rsid w:val="00B376EC"/>
    <w:rsid w:val="00B408A9"/>
    <w:rsid w:val="00B412A0"/>
    <w:rsid w:val="00B435A9"/>
    <w:rsid w:val="00B437F4"/>
    <w:rsid w:val="00B44A2B"/>
    <w:rsid w:val="00B4632A"/>
    <w:rsid w:val="00B530F1"/>
    <w:rsid w:val="00B607F2"/>
    <w:rsid w:val="00B61CCD"/>
    <w:rsid w:val="00B628A8"/>
    <w:rsid w:val="00B63A0A"/>
    <w:rsid w:val="00B63E9B"/>
    <w:rsid w:val="00B65178"/>
    <w:rsid w:val="00B66176"/>
    <w:rsid w:val="00B666CC"/>
    <w:rsid w:val="00B713B6"/>
    <w:rsid w:val="00B7494B"/>
    <w:rsid w:val="00B7530A"/>
    <w:rsid w:val="00B7674D"/>
    <w:rsid w:val="00B76EF6"/>
    <w:rsid w:val="00B77CAF"/>
    <w:rsid w:val="00B809D0"/>
    <w:rsid w:val="00B80AAF"/>
    <w:rsid w:val="00B84121"/>
    <w:rsid w:val="00B84F53"/>
    <w:rsid w:val="00B850F2"/>
    <w:rsid w:val="00B851B0"/>
    <w:rsid w:val="00B867A1"/>
    <w:rsid w:val="00B94A7A"/>
    <w:rsid w:val="00B94B84"/>
    <w:rsid w:val="00B94D21"/>
    <w:rsid w:val="00B95E78"/>
    <w:rsid w:val="00BA120A"/>
    <w:rsid w:val="00BA276C"/>
    <w:rsid w:val="00BA33DA"/>
    <w:rsid w:val="00BA41AB"/>
    <w:rsid w:val="00BB306F"/>
    <w:rsid w:val="00BB3FEE"/>
    <w:rsid w:val="00BB65AC"/>
    <w:rsid w:val="00BC0838"/>
    <w:rsid w:val="00BC1DB9"/>
    <w:rsid w:val="00BC3A1E"/>
    <w:rsid w:val="00BC776E"/>
    <w:rsid w:val="00BD0876"/>
    <w:rsid w:val="00BD0B28"/>
    <w:rsid w:val="00BD4B89"/>
    <w:rsid w:val="00BD56A5"/>
    <w:rsid w:val="00BD5CDB"/>
    <w:rsid w:val="00BE0EAA"/>
    <w:rsid w:val="00BF22EA"/>
    <w:rsid w:val="00BF64F4"/>
    <w:rsid w:val="00BF698E"/>
    <w:rsid w:val="00BF6FD8"/>
    <w:rsid w:val="00C00B36"/>
    <w:rsid w:val="00C01A4D"/>
    <w:rsid w:val="00C03680"/>
    <w:rsid w:val="00C03B5D"/>
    <w:rsid w:val="00C054DF"/>
    <w:rsid w:val="00C0580E"/>
    <w:rsid w:val="00C12D67"/>
    <w:rsid w:val="00C14EC7"/>
    <w:rsid w:val="00C21762"/>
    <w:rsid w:val="00C223DF"/>
    <w:rsid w:val="00C24543"/>
    <w:rsid w:val="00C24A2F"/>
    <w:rsid w:val="00C256A2"/>
    <w:rsid w:val="00C30DA1"/>
    <w:rsid w:val="00C31814"/>
    <w:rsid w:val="00C3509B"/>
    <w:rsid w:val="00C37900"/>
    <w:rsid w:val="00C51515"/>
    <w:rsid w:val="00C5660B"/>
    <w:rsid w:val="00C63C20"/>
    <w:rsid w:val="00C667F9"/>
    <w:rsid w:val="00C66B72"/>
    <w:rsid w:val="00C74334"/>
    <w:rsid w:val="00C76603"/>
    <w:rsid w:val="00C77B4F"/>
    <w:rsid w:val="00C86960"/>
    <w:rsid w:val="00C87E8D"/>
    <w:rsid w:val="00C90627"/>
    <w:rsid w:val="00C91E69"/>
    <w:rsid w:val="00C9343F"/>
    <w:rsid w:val="00C9567A"/>
    <w:rsid w:val="00C973C4"/>
    <w:rsid w:val="00CA1278"/>
    <w:rsid w:val="00CA2D91"/>
    <w:rsid w:val="00CA45DF"/>
    <w:rsid w:val="00CA4B0F"/>
    <w:rsid w:val="00CB16D2"/>
    <w:rsid w:val="00CB212D"/>
    <w:rsid w:val="00CB2660"/>
    <w:rsid w:val="00CB44B4"/>
    <w:rsid w:val="00CB484F"/>
    <w:rsid w:val="00CC4C59"/>
    <w:rsid w:val="00CC5E90"/>
    <w:rsid w:val="00CC6E48"/>
    <w:rsid w:val="00CD046C"/>
    <w:rsid w:val="00CD26A6"/>
    <w:rsid w:val="00CD41E1"/>
    <w:rsid w:val="00CD60D9"/>
    <w:rsid w:val="00CD6624"/>
    <w:rsid w:val="00CD663E"/>
    <w:rsid w:val="00CE076C"/>
    <w:rsid w:val="00CE513A"/>
    <w:rsid w:val="00CE5199"/>
    <w:rsid w:val="00CE6553"/>
    <w:rsid w:val="00CE66D5"/>
    <w:rsid w:val="00CE67B8"/>
    <w:rsid w:val="00CE7AA3"/>
    <w:rsid w:val="00CF637A"/>
    <w:rsid w:val="00D01A42"/>
    <w:rsid w:val="00D04366"/>
    <w:rsid w:val="00D059DE"/>
    <w:rsid w:val="00D077B8"/>
    <w:rsid w:val="00D110D7"/>
    <w:rsid w:val="00D13FCE"/>
    <w:rsid w:val="00D15BFA"/>
    <w:rsid w:val="00D1656C"/>
    <w:rsid w:val="00D217BD"/>
    <w:rsid w:val="00D221BC"/>
    <w:rsid w:val="00D232AD"/>
    <w:rsid w:val="00D234AA"/>
    <w:rsid w:val="00D234DD"/>
    <w:rsid w:val="00D2382C"/>
    <w:rsid w:val="00D244D8"/>
    <w:rsid w:val="00D25D43"/>
    <w:rsid w:val="00D2620D"/>
    <w:rsid w:val="00D306D1"/>
    <w:rsid w:val="00D31E46"/>
    <w:rsid w:val="00D3418E"/>
    <w:rsid w:val="00D34786"/>
    <w:rsid w:val="00D35D74"/>
    <w:rsid w:val="00D35EA7"/>
    <w:rsid w:val="00D377B9"/>
    <w:rsid w:val="00D37BFC"/>
    <w:rsid w:val="00D41E96"/>
    <w:rsid w:val="00D454E9"/>
    <w:rsid w:val="00D47A8E"/>
    <w:rsid w:val="00D50ADB"/>
    <w:rsid w:val="00D5222E"/>
    <w:rsid w:val="00D52D14"/>
    <w:rsid w:val="00D53467"/>
    <w:rsid w:val="00D53C69"/>
    <w:rsid w:val="00D57C19"/>
    <w:rsid w:val="00D6113C"/>
    <w:rsid w:val="00D6180A"/>
    <w:rsid w:val="00D62F47"/>
    <w:rsid w:val="00D712D3"/>
    <w:rsid w:val="00D71422"/>
    <w:rsid w:val="00D71D73"/>
    <w:rsid w:val="00D72DC6"/>
    <w:rsid w:val="00D7462B"/>
    <w:rsid w:val="00D7558D"/>
    <w:rsid w:val="00D76A0F"/>
    <w:rsid w:val="00D771EE"/>
    <w:rsid w:val="00D77BE6"/>
    <w:rsid w:val="00D81D92"/>
    <w:rsid w:val="00D82183"/>
    <w:rsid w:val="00D82502"/>
    <w:rsid w:val="00D873AC"/>
    <w:rsid w:val="00D91341"/>
    <w:rsid w:val="00D91A0D"/>
    <w:rsid w:val="00D93192"/>
    <w:rsid w:val="00D955DB"/>
    <w:rsid w:val="00D97561"/>
    <w:rsid w:val="00DA0A38"/>
    <w:rsid w:val="00DA3DE8"/>
    <w:rsid w:val="00DA70A6"/>
    <w:rsid w:val="00DA7B5F"/>
    <w:rsid w:val="00DB02F2"/>
    <w:rsid w:val="00DB09A2"/>
    <w:rsid w:val="00DB4833"/>
    <w:rsid w:val="00DC0443"/>
    <w:rsid w:val="00DC11E7"/>
    <w:rsid w:val="00DC2F61"/>
    <w:rsid w:val="00DC7023"/>
    <w:rsid w:val="00DC769A"/>
    <w:rsid w:val="00DD3D86"/>
    <w:rsid w:val="00DE3216"/>
    <w:rsid w:val="00DE37B0"/>
    <w:rsid w:val="00DE474A"/>
    <w:rsid w:val="00DE5E1C"/>
    <w:rsid w:val="00DE6808"/>
    <w:rsid w:val="00DE7257"/>
    <w:rsid w:val="00DF137F"/>
    <w:rsid w:val="00DF1A0C"/>
    <w:rsid w:val="00DF1EC4"/>
    <w:rsid w:val="00DF2569"/>
    <w:rsid w:val="00E02FFA"/>
    <w:rsid w:val="00E032E4"/>
    <w:rsid w:val="00E0340B"/>
    <w:rsid w:val="00E03A5E"/>
    <w:rsid w:val="00E04A90"/>
    <w:rsid w:val="00E06702"/>
    <w:rsid w:val="00E13FBF"/>
    <w:rsid w:val="00E14276"/>
    <w:rsid w:val="00E219C7"/>
    <w:rsid w:val="00E23CF7"/>
    <w:rsid w:val="00E256D1"/>
    <w:rsid w:val="00E2593E"/>
    <w:rsid w:val="00E3047F"/>
    <w:rsid w:val="00E34502"/>
    <w:rsid w:val="00E34E34"/>
    <w:rsid w:val="00E43157"/>
    <w:rsid w:val="00E457B3"/>
    <w:rsid w:val="00E461CE"/>
    <w:rsid w:val="00E47D60"/>
    <w:rsid w:val="00E50277"/>
    <w:rsid w:val="00E553E9"/>
    <w:rsid w:val="00E612C6"/>
    <w:rsid w:val="00E62A24"/>
    <w:rsid w:val="00E66E71"/>
    <w:rsid w:val="00E71531"/>
    <w:rsid w:val="00E720A3"/>
    <w:rsid w:val="00E720CA"/>
    <w:rsid w:val="00E73D26"/>
    <w:rsid w:val="00E75F6F"/>
    <w:rsid w:val="00E774FD"/>
    <w:rsid w:val="00E77CC3"/>
    <w:rsid w:val="00E80288"/>
    <w:rsid w:val="00E8241B"/>
    <w:rsid w:val="00E84EB5"/>
    <w:rsid w:val="00E85662"/>
    <w:rsid w:val="00E8789F"/>
    <w:rsid w:val="00E87CE5"/>
    <w:rsid w:val="00E92192"/>
    <w:rsid w:val="00E93FF3"/>
    <w:rsid w:val="00E94DE8"/>
    <w:rsid w:val="00E94F63"/>
    <w:rsid w:val="00E97B71"/>
    <w:rsid w:val="00EA135C"/>
    <w:rsid w:val="00EA181B"/>
    <w:rsid w:val="00EA3D34"/>
    <w:rsid w:val="00EA53E6"/>
    <w:rsid w:val="00EB1200"/>
    <w:rsid w:val="00EB23A7"/>
    <w:rsid w:val="00EB454D"/>
    <w:rsid w:val="00EB5608"/>
    <w:rsid w:val="00EB7168"/>
    <w:rsid w:val="00EC16CC"/>
    <w:rsid w:val="00EC2390"/>
    <w:rsid w:val="00EC6734"/>
    <w:rsid w:val="00EC6C5E"/>
    <w:rsid w:val="00EC6CED"/>
    <w:rsid w:val="00EC7387"/>
    <w:rsid w:val="00EC7D62"/>
    <w:rsid w:val="00ED34B5"/>
    <w:rsid w:val="00ED3522"/>
    <w:rsid w:val="00ED3A83"/>
    <w:rsid w:val="00ED5E55"/>
    <w:rsid w:val="00ED76BE"/>
    <w:rsid w:val="00EE014F"/>
    <w:rsid w:val="00EE2589"/>
    <w:rsid w:val="00EE466D"/>
    <w:rsid w:val="00EF1E7A"/>
    <w:rsid w:val="00EF240D"/>
    <w:rsid w:val="00EF35DB"/>
    <w:rsid w:val="00EF56A1"/>
    <w:rsid w:val="00EF619B"/>
    <w:rsid w:val="00EF629E"/>
    <w:rsid w:val="00EF7881"/>
    <w:rsid w:val="00F00B55"/>
    <w:rsid w:val="00F01097"/>
    <w:rsid w:val="00F02AD1"/>
    <w:rsid w:val="00F03FA8"/>
    <w:rsid w:val="00F0526F"/>
    <w:rsid w:val="00F064C7"/>
    <w:rsid w:val="00F07C67"/>
    <w:rsid w:val="00F12421"/>
    <w:rsid w:val="00F12D2D"/>
    <w:rsid w:val="00F12FC6"/>
    <w:rsid w:val="00F13FBC"/>
    <w:rsid w:val="00F156F5"/>
    <w:rsid w:val="00F15DD3"/>
    <w:rsid w:val="00F17D97"/>
    <w:rsid w:val="00F21C25"/>
    <w:rsid w:val="00F2241E"/>
    <w:rsid w:val="00F253CC"/>
    <w:rsid w:val="00F258BD"/>
    <w:rsid w:val="00F3633D"/>
    <w:rsid w:val="00F36663"/>
    <w:rsid w:val="00F37106"/>
    <w:rsid w:val="00F41610"/>
    <w:rsid w:val="00F42336"/>
    <w:rsid w:val="00F4720E"/>
    <w:rsid w:val="00F519CF"/>
    <w:rsid w:val="00F531A4"/>
    <w:rsid w:val="00F53E17"/>
    <w:rsid w:val="00F56BA5"/>
    <w:rsid w:val="00F60E22"/>
    <w:rsid w:val="00F63814"/>
    <w:rsid w:val="00F64392"/>
    <w:rsid w:val="00F648F6"/>
    <w:rsid w:val="00F67B0A"/>
    <w:rsid w:val="00F75593"/>
    <w:rsid w:val="00F77FB5"/>
    <w:rsid w:val="00F80CA0"/>
    <w:rsid w:val="00F81395"/>
    <w:rsid w:val="00F8242E"/>
    <w:rsid w:val="00F84A35"/>
    <w:rsid w:val="00F86632"/>
    <w:rsid w:val="00F907D4"/>
    <w:rsid w:val="00F917D1"/>
    <w:rsid w:val="00F92926"/>
    <w:rsid w:val="00F9653B"/>
    <w:rsid w:val="00F96D6B"/>
    <w:rsid w:val="00FA14E2"/>
    <w:rsid w:val="00FA3F68"/>
    <w:rsid w:val="00FA5439"/>
    <w:rsid w:val="00FB1EAF"/>
    <w:rsid w:val="00FB62CF"/>
    <w:rsid w:val="00FC2BEC"/>
    <w:rsid w:val="00FC2D3F"/>
    <w:rsid w:val="00FC31EE"/>
    <w:rsid w:val="00FD3A1B"/>
    <w:rsid w:val="00FD3C3B"/>
    <w:rsid w:val="00FD60DE"/>
    <w:rsid w:val="00FD76B0"/>
    <w:rsid w:val="00FD774D"/>
    <w:rsid w:val="00FE04E9"/>
    <w:rsid w:val="00FE6142"/>
    <w:rsid w:val="00FE6B45"/>
    <w:rsid w:val="00FE6B4D"/>
    <w:rsid w:val="00FE7051"/>
    <w:rsid w:val="00FE7D6E"/>
    <w:rsid w:val="00FF12D3"/>
    <w:rsid w:val="00FF1E31"/>
    <w:rsid w:val="00FF231E"/>
    <w:rsid w:val="00FF55F3"/>
    <w:rsid w:val="00FF5851"/>
    <w:rsid w:val="00FF5AE5"/>
    <w:rsid w:val="00FF7B79"/>
  </w:rsids>
  <m:mathPr>
    <m:mathFont m:val="Cambria Math"/>
    <m:brkBin m:val="before"/>
    <m:brkBinSub m:val="--"/>
    <m:smallFrac m:val="0"/>
    <m:dispDef/>
    <m:lMargin m:val="0"/>
    <m:rMargin m:val="0"/>
    <m:defJc m:val="centerGroup"/>
    <m:wrapIndent m:val="1440"/>
    <m:intLim m:val="subSup"/>
    <m:naryLim m:val="undOvr"/>
  </m:mathPr>
  <w:attachedSchema w:val="SmartTagTypeLegixLinks"/>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caption" w:locked="1" w:semiHidden="1" w:unhideWhenUsed="1" w:qFormat="1"/>
    <w:lsdException w:name="footnote reference" w:locked="1"/>
    <w:lsdException w:name="page number" w:locked="1"/>
    <w:lsdException w:name="endnote text" w:locked="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B713B6"/>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Times New Roman"/>
      <w:sz w:val="24"/>
      <w:szCs w:val="24"/>
      <w:lang w:val="en-US" w:eastAsia="en-US"/>
    </w:rPr>
  </w:style>
  <w:style w:type="paragraph" w:styleId="Heading1">
    <w:name w:val="heading 1"/>
    <w:basedOn w:val="Normal"/>
    <w:next w:val="Normal"/>
    <w:link w:val="Heading1Char"/>
    <w:qFormat/>
    <w:rsid w:val="00D81D92"/>
    <w:pPr>
      <w:keepNext/>
      <w:keepLines/>
      <w:numPr>
        <w:numId w:val="53"/>
      </w:numPr>
      <w:spacing w:before="480"/>
      <w:outlineLvl w:val="0"/>
    </w:pPr>
    <w:rPr>
      <w:rFonts w:ascii="Cambria" w:eastAsia="Arial Unicode MS" w:hAnsi="Cambria"/>
      <w:b/>
      <w:bCs/>
      <w:color w:val="365F91"/>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1"/>
    </w:pPr>
    <w:rPr>
      <w:rFonts w:ascii="Arial" w:eastAsia="Arial Unicode MS" w:hAnsi="Arial" w:cs="Arial"/>
      <w:b/>
      <w:bCs/>
      <w:i/>
      <w:iCs/>
      <w:sz w:val="28"/>
      <w:szCs w:val="28"/>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2"/>
    </w:pPr>
    <w:rPr>
      <w:rFonts w:ascii="Arial" w:eastAsia="Arial Unicode MS"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81D92"/>
    <w:rPr>
      <w:rFonts w:ascii="Cambria" w:hAnsi="Cambria" w:cs="Times New Roman"/>
      <w:b/>
      <w:bCs/>
      <w:color w:val="365F91"/>
      <w:sz w:val="28"/>
      <w:szCs w:val="28"/>
      <w:lang w:val="en-US" w:eastAsia="en-US"/>
    </w:rPr>
  </w:style>
  <w:style w:type="character" w:customStyle="1" w:styleId="Heading2Char">
    <w:name w:val="Heading 2 Char"/>
    <w:link w:val="Heading2"/>
    <w:locked/>
    <w:rsid w:val="00DF1EC4"/>
    <w:rPr>
      <w:rFonts w:ascii="Arial" w:hAnsi="Arial" w:cs="Arial"/>
      <w:b/>
      <w:bCs/>
      <w:i/>
      <w:iCs/>
      <w:sz w:val="28"/>
      <w:szCs w:val="28"/>
      <w:lang w:val="en-US" w:eastAsia="en-US"/>
    </w:rPr>
  </w:style>
  <w:style w:type="character" w:customStyle="1" w:styleId="Heading3Char">
    <w:name w:val="Heading 3 Char"/>
    <w:link w:val="Heading3"/>
    <w:locked/>
    <w:rsid w:val="00DF1EC4"/>
    <w:rPr>
      <w:rFonts w:ascii="Arial" w:hAnsi="Arial" w:cs="Arial"/>
      <w:b/>
      <w:bCs/>
      <w:sz w:val="26"/>
      <w:szCs w:val="26"/>
      <w:lang w:val="en-US" w:eastAsia="en-US"/>
    </w:rPr>
  </w:style>
  <w:style w:type="character" w:styleId="Hyperlink">
    <w:name w:val="Hyperlink"/>
    <w:rsid w:val="00B713B6"/>
    <w:rPr>
      <w:rFonts w:cs="Times New Roman"/>
      <w:u w:val="single"/>
    </w:rPr>
  </w:style>
  <w:style w:type="paragraph" w:customStyle="1" w:styleId="Cabeceraypie">
    <w:name w:val="Cabecera y pie"/>
    <w:rsid w:val="00B713B6"/>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s-ES" w:eastAsia="es-ES"/>
    </w:rPr>
  </w:style>
  <w:style w:type="paragraph" w:styleId="Footer">
    <w:name w:val="footer"/>
    <w:basedOn w:val="Normal"/>
    <w:link w:val="FooterChar"/>
    <w:rsid w:val="00B713B6"/>
    <w:pPr>
      <w:tabs>
        <w:tab w:val="center" w:pos="4513"/>
        <w:tab w:val="right" w:pos="9026"/>
      </w:tabs>
    </w:pPr>
    <w:rPr>
      <w:rFonts w:ascii="Cambria" w:hAnsi="Cambria" w:cs="Cambria"/>
      <w:color w:val="000000"/>
      <w:u w:color="000000"/>
      <w:lang w:eastAsia="es-ES"/>
    </w:rPr>
  </w:style>
  <w:style w:type="character" w:customStyle="1" w:styleId="FooterChar">
    <w:name w:val="Footer Char"/>
    <w:link w:val="Footer"/>
    <w:locked/>
    <w:rsid w:val="00A50FCF"/>
    <w:rPr>
      <w:rFonts w:ascii="Cambria" w:hAnsi="Cambria" w:cs="Cambria"/>
      <w:color w:val="000000"/>
      <w:sz w:val="24"/>
      <w:szCs w:val="24"/>
      <w:u w:color="000000"/>
      <w:lang w:val="en-US" w:eastAsia="es-ES" w:bidi="ar-SA"/>
    </w:rPr>
  </w:style>
  <w:style w:type="paragraph" w:customStyle="1" w:styleId="Cuerpo">
    <w:name w:val="Cuerpo"/>
    <w:rsid w:val="00B713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eastAsia="Times New Roman" w:hAnsi="Cambria" w:cs="Cambria"/>
      <w:color w:val="000000"/>
      <w:sz w:val="24"/>
      <w:szCs w:val="24"/>
      <w:u w:color="000000"/>
      <w:lang w:val="es-ES" w:eastAsia="es-ES"/>
    </w:rPr>
  </w:style>
  <w:style w:type="paragraph" w:styleId="BodyTextIndent">
    <w:name w:val="Body Text Indent"/>
    <w:basedOn w:val="Normal"/>
    <w:link w:val="BodyTextIndentChar"/>
    <w:rsid w:val="00B713B6"/>
    <w:pPr>
      <w:ind w:left="2160" w:hanging="720"/>
    </w:pPr>
    <w:rPr>
      <w:rFonts w:eastAsia="Arial Unicode MS"/>
      <w:color w:val="000000"/>
      <w:u w:color="000000"/>
      <w:lang w:val="es-ES_tradnl" w:eastAsia="es-ES"/>
    </w:rPr>
  </w:style>
  <w:style w:type="character" w:customStyle="1" w:styleId="BodyTextIndentChar">
    <w:name w:val="Body Text Indent Char"/>
    <w:link w:val="BodyTextIndent"/>
    <w:semiHidden/>
    <w:locked/>
    <w:rsid w:val="00EA181B"/>
    <w:rPr>
      <w:rFonts w:cs="Times New Roman"/>
      <w:sz w:val="24"/>
      <w:szCs w:val="24"/>
    </w:rPr>
  </w:style>
  <w:style w:type="paragraph" w:customStyle="1" w:styleId="ListParagraph1">
    <w:name w:val="List Paragraph1"/>
    <w:basedOn w:val="Normal"/>
    <w:rsid w:val="00B713B6"/>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
    <w:basedOn w:val="Normal"/>
    <w:link w:val="FootnoteTextChar1"/>
    <w:rsid w:val="00213E2E"/>
    <w:pPr>
      <w:pBdr>
        <w:top w:val="none" w:sz="0" w:space="0" w:color="auto"/>
        <w:left w:val="none" w:sz="0" w:space="0" w:color="auto"/>
        <w:bottom w:val="none" w:sz="0" w:space="0" w:color="auto"/>
        <w:right w:val="none" w:sz="0" w:space="0" w:color="auto"/>
        <w:bar w:val="none" w:sz="0" w:color="auto"/>
      </w:pBdr>
    </w:pPr>
    <w:rPr>
      <w:rFonts w:ascii="Calibri" w:hAnsi="Calibri"/>
      <w:color w:val="000000"/>
      <w:sz w:val="20"/>
      <w:szCs w:val="20"/>
      <w:u w:color="00000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semiHidden/>
    <w:locked/>
    <w:rsid w:val="00EA181B"/>
    <w:rPr>
      <w:rFonts w:cs="Times New Roman"/>
      <w:sz w:val="20"/>
      <w:szCs w:val="20"/>
    </w:rPr>
  </w:style>
  <w:style w:type="paragraph" w:styleId="BalloonText">
    <w:name w:val="Balloon Text"/>
    <w:basedOn w:val="Normal"/>
    <w:link w:val="BalloonTextChar"/>
    <w:semiHidden/>
    <w:rsid w:val="009B381B"/>
    <w:rPr>
      <w:rFonts w:ascii="Tahoma" w:hAnsi="Tahoma" w:cs="Tahoma"/>
      <w:sz w:val="16"/>
      <w:szCs w:val="16"/>
    </w:rPr>
  </w:style>
  <w:style w:type="character" w:customStyle="1" w:styleId="BalloonTextChar">
    <w:name w:val="Balloon Text Char"/>
    <w:link w:val="BalloonText"/>
    <w:semiHidden/>
    <w:locked/>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eastAsia="Arial Unicode MS" w:hAnsi="Univers" w:cs="Univers"/>
    </w:rPr>
  </w:style>
  <w:style w:type="character" w:customStyle="1" w:styleId="HeaderChar">
    <w:name w:val="Header Char"/>
    <w:aliases w:val="encabezado Char"/>
    <w:link w:val="Header"/>
    <w:locked/>
    <w:rsid w:val="00D81D92"/>
    <w:rPr>
      <w:rFonts w:ascii="Univers" w:hAnsi="Univers" w:cs="Univers"/>
      <w:sz w:val="24"/>
      <w:szCs w:val="24"/>
      <w:lang w:val="en-US" w:eastAsia="en-US"/>
    </w:rPr>
  </w:style>
  <w:style w:type="table" w:customStyle="1" w:styleId="Sombreadomedio1-nfasis11">
    <w:name w:val="Sombreado medio 1 - Énfasis 11"/>
    <w:rsid w:val="006A17D2"/>
    <w:rPr>
      <w:rFonts w:eastAsia="Times New Roman"/>
      <w:lang w:val="en-US"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TOC2">
    <w:name w:val="toc 2"/>
    <w:basedOn w:val="Normal"/>
    <w:next w:val="Normal"/>
    <w:autoRedefine/>
    <w:rsid w:val="005C4225"/>
    <w:pPr>
      <w:tabs>
        <w:tab w:val="left" w:pos="1440"/>
        <w:tab w:val="right" w:leader="dot" w:pos="9350"/>
      </w:tabs>
      <w:spacing w:after="100"/>
      <w:ind w:left="1440" w:hanging="720"/>
    </w:pPr>
  </w:style>
  <w:style w:type="paragraph" w:styleId="TOC1">
    <w:name w:val="toc 1"/>
    <w:basedOn w:val="Normal"/>
    <w:next w:val="Normal"/>
    <w:autoRedefine/>
    <w:rsid w:val="005C4225"/>
    <w:pPr>
      <w:spacing w:after="100"/>
    </w:pPr>
    <w:rPr>
      <w:rFonts w:ascii="Calibri" w:hAnsi="Calibri"/>
      <w:sz w:val="22"/>
    </w:rPr>
  </w:style>
  <w:style w:type="paragraph" w:styleId="TOC3">
    <w:name w:val="toc 3"/>
    <w:basedOn w:val="Normal"/>
    <w:next w:val="Normal"/>
    <w:autoRedefine/>
    <w:rsid w:val="005C4225"/>
    <w:pPr>
      <w:tabs>
        <w:tab w:val="left" w:pos="880"/>
        <w:tab w:val="right" w:leader="dot" w:pos="9350"/>
      </w:tabs>
      <w:spacing w:after="100"/>
      <w:ind w:left="2160" w:hanging="720"/>
    </w:pPr>
  </w:style>
  <w:style w:type="paragraph" w:styleId="TOC4">
    <w:name w:val="toc 4"/>
    <w:basedOn w:val="Normal"/>
    <w:next w:val="Normal"/>
    <w:autoRedefine/>
    <w:rsid w:val="005C4225"/>
    <w:pPr>
      <w:spacing w:after="100"/>
      <w:ind w:left="720"/>
    </w:pPr>
  </w:style>
  <w:style w:type="character" w:styleId="PageNumber">
    <w:name w:val="page number"/>
    <w:rsid w:val="00040C3A"/>
    <w:rPr>
      <w:rFonts w:cs="Times New Roman"/>
    </w:rPr>
  </w:style>
  <w:style w:type="character" w:styleId="FootnoteReference">
    <w:name w:val="footnote reference"/>
    <w:aliases w:val="Footnotes refss,Ref. de nota al pie.,Texto de nota al pie,Appel note de bas de page,referencia nota al pie,BVI fnr,Footnote number,f1,Footnote symbol,Footnote,4_G,16 Point,Superscript 6 Point,Texto nota al pie,Ref,de nota al pie,norm"/>
    <w:rsid w:val="000F35ED"/>
    <w:rPr>
      <w:rFonts w:cs="Times New Roman"/>
      <w:vertAlign w:val="superscript"/>
    </w:rPr>
  </w:style>
  <w:style w:type="paragraph" w:styleId="BodyTextIndent2">
    <w:name w:val="Body Text Indent 2"/>
    <w:basedOn w:val="Normal"/>
    <w:link w:val="BodyTextIndent2Char"/>
    <w:semiHidden/>
    <w:rsid w:val="000F35ED"/>
    <w:pPr>
      <w:spacing w:after="120" w:line="480" w:lineRule="auto"/>
      <w:ind w:left="360"/>
    </w:pPr>
  </w:style>
  <w:style w:type="character" w:customStyle="1" w:styleId="BodyTextIndent2Char">
    <w:name w:val="Body Text Indent 2 Char"/>
    <w:link w:val="BodyTextIndent2"/>
    <w:semiHidden/>
    <w:locked/>
    <w:rsid w:val="000F35ED"/>
    <w:rPr>
      <w:rFonts w:cs="Times New Roman"/>
      <w:sz w:val="24"/>
      <w:szCs w:val="24"/>
      <w:lang w:val="en-US" w:eastAsia="en-US"/>
    </w:rPr>
  </w:style>
  <w:style w:type="paragraph" w:styleId="BodyText">
    <w:name w:val="Body Text"/>
    <w:basedOn w:val="Normal"/>
    <w:link w:val="BodyTextChar"/>
    <w:rsid w:val="0031535D"/>
    <w:pPr>
      <w:spacing w:after="120"/>
    </w:pPr>
  </w:style>
  <w:style w:type="character" w:customStyle="1" w:styleId="BodyTextChar">
    <w:name w:val="Body Text Char"/>
    <w:link w:val="BodyText"/>
    <w:locked/>
    <w:rsid w:val="0031535D"/>
    <w:rPr>
      <w:rFonts w:cs="Times New Roman"/>
      <w:sz w:val="24"/>
      <w:szCs w:val="24"/>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ink w:val="FootnoteText"/>
    <w:locked/>
    <w:rsid w:val="00213E2E"/>
    <w:rPr>
      <w:rFonts w:ascii="Calibri" w:eastAsia="Times New Roman" w:hAnsi="Calibri"/>
      <w:color w:val="000000"/>
      <w:u w:color="000000"/>
    </w:rPr>
  </w:style>
  <w:style w:type="paragraph" w:customStyle="1" w:styleId="Default">
    <w:name w:val="Default"/>
    <w:link w:val="DefaultChar"/>
    <w:rsid w:val="00DF1EC4"/>
    <w:pPr>
      <w:pBdr>
        <w:top w:val="none" w:sz="96" w:space="31" w:color="FFFFFF" w:frame="1"/>
        <w:left w:val="none" w:sz="96" w:space="31" w:color="FFFFFF" w:frame="1"/>
        <w:bottom w:val="none" w:sz="96" w:space="31" w:color="FFFFFF" w:frame="1"/>
        <w:right w:val="none" w:sz="96" w:space="31" w:color="FFFFFF" w:frame="1"/>
        <w:bar w:val="none" w:sz="0" w:color="000000"/>
      </w:pBdr>
      <w:autoSpaceDE w:val="0"/>
      <w:autoSpaceDN w:val="0"/>
      <w:adjustRightInd w:val="0"/>
    </w:pPr>
    <w:rPr>
      <w:color w:val="000000"/>
      <w:sz w:val="22"/>
      <w:szCs w:val="22"/>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Arial Unicode MS"/>
    </w:rPr>
  </w:style>
  <w:style w:type="character" w:customStyle="1" w:styleId="EndnoteTextChar">
    <w:name w:val="Endnote Text Char"/>
    <w:link w:val="EndnoteText"/>
    <w:locked/>
    <w:rsid w:val="00DF1EC4"/>
    <w:rPr>
      <w:rFonts w:eastAsia="Times New Roman" w:cs="Times New Roman"/>
      <w:sz w:val="24"/>
      <w:szCs w:val="24"/>
      <w:lang w:val="en-US" w:eastAsia="en-US"/>
    </w:rPr>
  </w:style>
  <w:style w:type="character" w:customStyle="1" w:styleId="DefaultChar">
    <w:name w:val="Default Char"/>
    <w:link w:val="Default"/>
    <w:locked/>
    <w:rsid w:val="00DF1EC4"/>
    <w:rPr>
      <w:rFonts w:eastAsia="Times New Roman"/>
      <w:color w:val="000000"/>
      <w:sz w:val="22"/>
      <w:lang w:val="en-US" w:eastAsia="en-US"/>
    </w:rPr>
  </w:style>
  <w:style w:type="character" w:customStyle="1" w:styleId="apple-converted-space">
    <w:name w:val="apple-converted-space"/>
    <w:rsid w:val="00F01097"/>
    <w:rPr>
      <w:rFonts w:cs="Times New Roman"/>
    </w:rPr>
  </w:style>
  <w:style w:type="character" w:customStyle="1" w:styleId="PlaceholderText1">
    <w:name w:val="Placeholder Text1"/>
    <w:semiHidden/>
    <w:rsid w:val="00E23CF7"/>
    <w:rPr>
      <w:rFonts w:cs="Times New Roman"/>
      <w:color w:val="808080"/>
    </w:rPr>
  </w:style>
  <w:style w:type="character" w:styleId="CommentReference">
    <w:name w:val="annotation reference"/>
    <w:semiHidden/>
    <w:rsid w:val="00406DA6"/>
    <w:rPr>
      <w:rFonts w:cs="Times New Roman"/>
      <w:sz w:val="16"/>
      <w:szCs w:val="16"/>
    </w:rPr>
  </w:style>
  <w:style w:type="paragraph" w:styleId="CommentText">
    <w:name w:val="annotation text"/>
    <w:basedOn w:val="Normal"/>
    <w:link w:val="CommentTextChar"/>
    <w:semiHidden/>
    <w:rsid w:val="00406DA6"/>
    <w:rPr>
      <w:sz w:val="20"/>
      <w:szCs w:val="20"/>
    </w:rPr>
  </w:style>
  <w:style w:type="character" w:customStyle="1" w:styleId="CommentTextChar">
    <w:name w:val="Comment Text Char"/>
    <w:link w:val="CommentText"/>
    <w:semiHidden/>
    <w:locked/>
    <w:rsid w:val="00406DA6"/>
    <w:rPr>
      <w:rFonts w:cs="Times New Roman"/>
      <w:lang w:val="en-US" w:eastAsia="en-US"/>
    </w:rPr>
  </w:style>
  <w:style w:type="paragraph" w:styleId="CommentSubject">
    <w:name w:val="annotation subject"/>
    <w:basedOn w:val="CommentText"/>
    <w:next w:val="CommentText"/>
    <w:link w:val="CommentSubjectChar"/>
    <w:semiHidden/>
    <w:rsid w:val="00406DA6"/>
    <w:rPr>
      <w:b/>
      <w:bCs/>
    </w:rPr>
  </w:style>
  <w:style w:type="character" w:customStyle="1" w:styleId="CommentSubjectChar">
    <w:name w:val="Comment Subject Char"/>
    <w:link w:val="CommentSubject"/>
    <w:semiHidden/>
    <w:locked/>
    <w:rsid w:val="00406DA6"/>
    <w:rPr>
      <w:rFonts w:cs="Times New Roman"/>
      <w:b/>
      <w:bCs/>
      <w:lang w:val="en-US" w:eastAsia="en-US"/>
    </w:rPr>
  </w:style>
  <w:style w:type="character" w:styleId="Strong">
    <w:name w:val="Strong"/>
    <w:qFormat/>
    <w:locked/>
    <w:rsid w:val="00A3216B"/>
    <w:rPr>
      <w:rFonts w:cs="Times New Roman"/>
      <w:b/>
    </w:rPr>
  </w:style>
  <w:style w:type="numbering" w:customStyle="1" w:styleId="List16">
    <w:name w:val="List 16"/>
    <w:rsid w:val="008D525A"/>
    <w:pPr>
      <w:numPr>
        <w:numId w:val="10"/>
      </w:numPr>
    </w:pPr>
  </w:style>
  <w:style w:type="numbering" w:customStyle="1" w:styleId="List36">
    <w:name w:val="List 36"/>
    <w:rsid w:val="008D525A"/>
    <w:pPr>
      <w:numPr>
        <w:numId w:val="14"/>
      </w:numPr>
    </w:pPr>
  </w:style>
  <w:style w:type="numbering" w:customStyle="1" w:styleId="List25">
    <w:name w:val="List 25"/>
    <w:rsid w:val="008D525A"/>
    <w:pPr>
      <w:numPr>
        <w:numId w:val="15"/>
      </w:numPr>
    </w:pPr>
  </w:style>
  <w:style w:type="numbering" w:customStyle="1" w:styleId="List1">
    <w:name w:val="List 1"/>
    <w:rsid w:val="008D525A"/>
    <w:pPr>
      <w:numPr>
        <w:numId w:val="1"/>
      </w:numPr>
    </w:pPr>
  </w:style>
  <w:style w:type="numbering" w:customStyle="1" w:styleId="List11">
    <w:name w:val="List 11"/>
    <w:rsid w:val="008D525A"/>
    <w:pPr>
      <w:numPr>
        <w:numId w:val="7"/>
      </w:numPr>
    </w:pPr>
  </w:style>
  <w:style w:type="numbering" w:customStyle="1" w:styleId="List15">
    <w:name w:val="List 15"/>
    <w:rsid w:val="008D525A"/>
    <w:pPr>
      <w:numPr>
        <w:numId w:val="16"/>
      </w:numPr>
    </w:pPr>
  </w:style>
  <w:style w:type="numbering" w:customStyle="1" w:styleId="List14">
    <w:name w:val="List 14"/>
    <w:rsid w:val="008D525A"/>
    <w:pPr>
      <w:numPr>
        <w:numId w:val="17"/>
      </w:numPr>
    </w:pPr>
  </w:style>
  <w:style w:type="numbering" w:customStyle="1" w:styleId="List23">
    <w:name w:val="List 23"/>
    <w:rsid w:val="008D525A"/>
    <w:pPr>
      <w:numPr>
        <w:numId w:val="18"/>
      </w:numPr>
    </w:pPr>
  </w:style>
  <w:style w:type="numbering" w:customStyle="1" w:styleId="List19">
    <w:name w:val="List 19"/>
    <w:rsid w:val="008D525A"/>
    <w:pPr>
      <w:numPr>
        <w:numId w:val="19"/>
      </w:numPr>
    </w:pPr>
  </w:style>
  <w:style w:type="numbering" w:customStyle="1" w:styleId="List45">
    <w:name w:val="List 45"/>
    <w:rsid w:val="008D525A"/>
    <w:pPr>
      <w:numPr>
        <w:numId w:val="20"/>
      </w:numPr>
    </w:pPr>
  </w:style>
  <w:style w:type="numbering" w:customStyle="1" w:styleId="List40">
    <w:name w:val="List 40"/>
    <w:rsid w:val="008D525A"/>
    <w:pPr>
      <w:numPr>
        <w:numId w:val="21"/>
      </w:numPr>
    </w:pPr>
  </w:style>
  <w:style w:type="numbering" w:customStyle="1" w:styleId="List9">
    <w:name w:val="List 9"/>
    <w:rsid w:val="008D525A"/>
    <w:pPr>
      <w:numPr>
        <w:numId w:val="22"/>
      </w:numPr>
    </w:pPr>
  </w:style>
  <w:style w:type="numbering" w:customStyle="1" w:styleId="List43">
    <w:name w:val="List 43"/>
    <w:rsid w:val="008D525A"/>
    <w:pPr>
      <w:numPr>
        <w:numId w:val="23"/>
      </w:numPr>
    </w:pPr>
  </w:style>
  <w:style w:type="numbering" w:customStyle="1" w:styleId="List46">
    <w:name w:val="List 46"/>
    <w:rsid w:val="008D525A"/>
    <w:pPr>
      <w:numPr>
        <w:numId w:val="24"/>
      </w:numPr>
    </w:pPr>
  </w:style>
  <w:style w:type="numbering" w:customStyle="1" w:styleId="List35">
    <w:name w:val="List 35"/>
    <w:rsid w:val="008D525A"/>
    <w:pPr>
      <w:numPr>
        <w:numId w:val="8"/>
      </w:numPr>
    </w:pPr>
  </w:style>
  <w:style w:type="numbering" w:customStyle="1" w:styleId="List17">
    <w:name w:val="List 17"/>
    <w:rsid w:val="008D525A"/>
    <w:pPr>
      <w:numPr>
        <w:numId w:val="25"/>
      </w:numPr>
    </w:pPr>
  </w:style>
  <w:style w:type="numbering" w:customStyle="1" w:styleId="List33">
    <w:name w:val="List 33"/>
    <w:rsid w:val="008D525A"/>
    <w:pPr>
      <w:numPr>
        <w:numId w:val="26"/>
      </w:numPr>
    </w:pPr>
  </w:style>
  <w:style w:type="numbering" w:customStyle="1" w:styleId="List7">
    <w:name w:val="List 7"/>
    <w:rsid w:val="008D525A"/>
    <w:pPr>
      <w:numPr>
        <w:numId w:val="4"/>
      </w:numPr>
    </w:pPr>
  </w:style>
  <w:style w:type="numbering" w:customStyle="1" w:styleId="List18">
    <w:name w:val="List 18"/>
    <w:rsid w:val="008D525A"/>
    <w:pPr>
      <w:numPr>
        <w:numId w:val="27"/>
      </w:numPr>
    </w:pPr>
  </w:style>
  <w:style w:type="numbering" w:customStyle="1" w:styleId="List22">
    <w:name w:val="List 22"/>
    <w:rsid w:val="008D525A"/>
    <w:pPr>
      <w:numPr>
        <w:numId w:val="28"/>
      </w:numPr>
    </w:pPr>
  </w:style>
  <w:style w:type="numbering" w:customStyle="1" w:styleId="List47">
    <w:name w:val="List 47"/>
    <w:rsid w:val="008D525A"/>
    <w:pPr>
      <w:numPr>
        <w:numId w:val="29"/>
      </w:numPr>
    </w:pPr>
  </w:style>
  <w:style w:type="numbering" w:customStyle="1" w:styleId="List28">
    <w:name w:val="List 28"/>
    <w:rsid w:val="008D525A"/>
    <w:pPr>
      <w:numPr>
        <w:numId w:val="30"/>
      </w:numPr>
    </w:pPr>
  </w:style>
  <w:style w:type="numbering" w:customStyle="1" w:styleId="List10">
    <w:name w:val="List 10"/>
    <w:rsid w:val="008D525A"/>
    <w:pPr>
      <w:numPr>
        <w:numId w:val="6"/>
      </w:numPr>
    </w:pPr>
  </w:style>
  <w:style w:type="numbering" w:customStyle="1" w:styleId="List0">
    <w:name w:val="List 0"/>
    <w:rsid w:val="008D525A"/>
    <w:pPr>
      <w:numPr>
        <w:numId w:val="31"/>
      </w:numPr>
    </w:pPr>
  </w:style>
  <w:style w:type="numbering" w:customStyle="1" w:styleId="List30">
    <w:name w:val="List 30"/>
    <w:rsid w:val="008D525A"/>
    <w:pPr>
      <w:numPr>
        <w:numId w:val="32"/>
      </w:numPr>
    </w:pPr>
  </w:style>
  <w:style w:type="numbering" w:customStyle="1" w:styleId="List29">
    <w:name w:val="List 29"/>
    <w:rsid w:val="008D525A"/>
    <w:pPr>
      <w:numPr>
        <w:numId w:val="34"/>
      </w:numPr>
    </w:pPr>
  </w:style>
  <w:style w:type="numbering" w:customStyle="1" w:styleId="List38">
    <w:name w:val="List 38"/>
    <w:rsid w:val="008D525A"/>
    <w:pPr>
      <w:numPr>
        <w:numId w:val="35"/>
      </w:numPr>
    </w:pPr>
  </w:style>
  <w:style w:type="numbering" w:customStyle="1" w:styleId="List12">
    <w:name w:val="List 12"/>
    <w:rsid w:val="008D525A"/>
    <w:pPr>
      <w:numPr>
        <w:numId w:val="36"/>
      </w:numPr>
    </w:pPr>
  </w:style>
  <w:style w:type="numbering" w:customStyle="1" w:styleId="List50">
    <w:name w:val="List 50"/>
    <w:rsid w:val="008D525A"/>
    <w:pPr>
      <w:numPr>
        <w:numId w:val="37"/>
      </w:numPr>
    </w:pPr>
  </w:style>
  <w:style w:type="numbering" w:customStyle="1" w:styleId="List34">
    <w:name w:val="List 34"/>
    <w:rsid w:val="008D525A"/>
    <w:pPr>
      <w:numPr>
        <w:numId w:val="11"/>
      </w:numPr>
    </w:pPr>
  </w:style>
  <w:style w:type="numbering" w:customStyle="1" w:styleId="List42">
    <w:name w:val="List 42"/>
    <w:rsid w:val="008D525A"/>
    <w:pPr>
      <w:numPr>
        <w:numId w:val="12"/>
      </w:numPr>
    </w:pPr>
  </w:style>
  <w:style w:type="numbering" w:customStyle="1" w:styleId="List49">
    <w:name w:val="List 49"/>
    <w:rsid w:val="008D525A"/>
    <w:pPr>
      <w:numPr>
        <w:numId w:val="39"/>
      </w:numPr>
    </w:pPr>
  </w:style>
  <w:style w:type="numbering" w:customStyle="1" w:styleId="List44">
    <w:name w:val="List 44"/>
    <w:rsid w:val="008D525A"/>
    <w:pPr>
      <w:numPr>
        <w:numId w:val="40"/>
      </w:numPr>
    </w:pPr>
  </w:style>
  <w:style w:type="numbering" w:customStyle="1" w:styleId="List21">
    <w:name w:val="List 21"/>
    <w:rsid w:val="008D525A"/>
    <w:pPr>
      <w:numPr>
        <w:numId w:val="52"/>
      </w:numPr>
    </w:pPr>
  </w:style>
  <w:style w:type="numbering" w:customStyle="1" w:styleId="List52">
    <w:name w:val="List 52"/>
    <w:rsid w:val="008D525A"/>
    <w:pPr>
      <w:numPr>
        <w:numId w:val="9"/>
      </w:numPr>
    </w:pPr>
  </w:style>
  <w:style w:type="numbering" w:customStyle="1" w:styleId="List24">
    <w:name w:val="List 24"/>
    <w:rsid w:val="008D525A"/>
    <w:pPr>
      <w:numPr>
        <w:numId w:val="13"/>
      </w:numPr>
    </w:pPr>
  </w:style>
  <w:style w:type="numbering" w:customStyle="1" w:styleId="List51">
    <w:name w:val="List 51"/>
    <w:rsid w:val="008D525A"/>
    <w:pPr>
      <w:numPr>
        <w:numId w:val="54"/>
      </w:numPr>
    </w:pPr>
  </w:style>
  <w:style w:type="numbering" w:customStyle="1" w:styleId="List27">
    <w:name w:val="List 27"/>
    <w:rsid w:val="008D525A"/>
    <w:pPr>
      <w:numPr>
        <w:numId w:val="41"/>
      </w:numPr>
    </w:pPr>
  </w:style>
  <w:style w:type="numbering" w:customStyle="1" w:styleId="List8">
    <w:name w:val="List 8"/>
    <w:rsid w:val="008D525A"/>
    <w:pPr>
      <w:numPr>
        <w:numId w:val="5"/>
      </w:numPr>
    </w:pPr>
  </w:style>
  <w:style w:type="numbering" w:customStyle="1" w:styleId="List13">
    <w:name w:val="List 13"/>
    <w:rsid w:val="008D525A"/>
    <w:pPr>
      <w:numPr>
        <w:numId w:val="42"/>
      </w:numPr>
    </w:pPr>
  </w:style>
  <w:style w:type="numbering" w:customStyle="1" w:styleId="List20">
    <w:name w:val="List 20"/>
    <w:rsid w:val="008D525A"/>
    <w:pPr>
      <w:numPr>
        <w:numId w:val="43"/>
      </w:numPr>
    </w:pPr>
  </w:style>
  <w:style w:type="numbering" w:customStyle="1" w:styleId="List41">
    <w:name w:val="List 41"/>
    <w:rsid w:val="008D525A"/>
    <w:pPr>
      <w:numPr>
        <w:numId w:val="44"/>
      </w:numPr>
    </w:pPr>
  </w:style>
  <w:style w:type="numbering" w:customStyle="1" w:styleId="List31">
    <w:name w:val="List 31"/>
    <w:rsid w:val="008D525A"/>
    <w:pPr>
      <w:numPr>
        <w:numId w:val="45"/>
      </w:numPr>
    </w:pPr>
  </w:style>
  <w:style w:type="numbering" w:customStyle="1" w:styleId="List6">
    <w:name w:val="List 6"/>
    <w:rsid w:val="008D525A"/>
    <w:pPr>
      <w:numPr>
        <w:numId w:val="3"/>
      </w:numPr>
    </w:pPr>
  </w:style>
  <w:style w:type="numbering" w:customStyle="1" w:styleId="List39">
    <w:name w:val="List 39"/>
    <w:rsid w:val="008D525A"/>
    <w:pPr>
      <w:numPr>
        <w:numId w:val="46"/>
      </w:numPr>
    </w:pPr>
  </w:style>
  <w:style w:type="numbering" w:customStyle="1" w:styleId="List37">
    <w:name w:val="List 37"/>
    <w:rsid w:val="008D525A"/>
    <w:pPr>
      <w:numPr>
        <w:numId w:val="47"/>
      </w:numPr>
    </w:pPr>
  </w:style>
  <w:style w:type="numbering" w:customStyle="1" w:styleId="List32">
    <w:name w:val="List 32"/>
    <w:rsid w:val="008D525A"/>
    <w:pPr>
      <w:numPr>
        <w:numId w:val="48"/>
      </w:numPr>
    </w:pPr>
  </w:style>
  <w:style w:type="numbering" w:customStyle="1" w:styleId="List26">
    <w:name w:val="List 26"/>
    <w:rsid w:val="008D525A"/>
    <w:pPr>
      <w:numPr>
        <w:numId w:val="49"/>
      </w:numPr>
    </w:pPr>
  </w:style>
  <w:style w:type="numbering" w:customStyle="1" w:styleId="List48">
    <w:name w:val="List 48"/>
    <w:rsid w:val="008D525A"/>
    <w:pPr>
      <w:numPr>
        <w:numId w:val="5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caption" w:locked="1" w:semiHidden="1" w:unhideWhenUsed="1" w:qFormat="1"/>
    <w:lsdException w:name="footnote reference" w:locked="1"/>
    <w:lsdException w:name="page number" w:locked="1"/>
    <w:lsdException w:name="endnote text" w:locked="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B713B6"/>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Times New Roman"/>
      <w:sz w:val="24"/>
      <w:szCs w:val="24"/>
      <w:lang w:val="en-US" w:eastAsia="en-US"/>
    </w:rPr>
  </w:style>
  <w:style w:type="paragraph" w:styleId="Heading1">
    <w:name w:val="heading 1"/>
    <w:basedOn w:val="Normal"/>
    <w:next w:val="Normal"/>
    <w:link w:val="Heading1Char"/>
    <w:qFormat/>
    <w:rsid w:val="00D81D92"/>
    <w:pPr>
      <w:keepNext/>
      <w:keepLines/>
      <w:numPr>
        <w:numId w:val="53"/>
      </w:numPr>
      <w:spacing w:before="480"/>
      <w:outlineLvl w:val="0"/>
    </w:pPr>
    <w:rPr>
      <w:rFonts w:ascii="Cambria" w:eastAsia="Arial Unicode MS" w:hAnsi="Cambria"/>
      <w:b/>
      <w:bCs/>
      <w:color w:val="365F91"/>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1"/>
    </w:pPr>
    <w:rPr>
      <w:rFonts w:ascii="Arial" w:eastAsia="Arial Unicode MS" w:hAnsi="Arial" w:cs="Arial"/>
      <w:b/>
      <w:bCs/>
      <w:i/>
      <w:iCs/>
      <w:sz w:val="28"/>
      <w:szCs w:val="28"/>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2"/>
    </w:pPr>
    <w:rPr>
      <w:rFonts w:ascii="Arial" w:eastAsia="Arial Unicode MS"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81D92"/>
    <w:rPr>
      <w:rFonts w:ascii="Cambria" w:hAnsi="Cambria" w:cs="Times New Roman"/>
      <w:b/>
      <w:bCs/>
      <w:color w:val="365F91"/>
      <w:sz w:val="28"/>
      <w:szCs w:val="28"/>
      <w:lang w:val="en-US" w:eastAsia="en-US"/>
    </w:rPr>
  </w:style>
  <w:style w:type="character" w:customStyle="1" w:styleId="Heading2Char">
    <w:name w:val="Heading 2 Char"/>
    <w:link w:val="Heading2"/>
    <w:locked/>
    <w:rsid w:val="00DF1EC4"/>
    <w:rPr>
      <w:rFonts w:ascii="Arial" w:hAnsi="Arial" w:cs="Arial"/>
      <w:b/>
      <w:bCs/>
      <w:i/>
      <w:iCs/>
      <w:sz w:val="28"/>
      <w:szCs w:val="28"/>
      <w:lang w:val="en-US" w:eastAsia="en-US"/>
    </w:rPr>
  </w:style>
  <w:style w:type="character" w:customStyle="1" w:styleId="Heading3Char">
    <w:name w:val="Heading 3 Char"/>
    <w:link w:val="Heading3"/>
    <w:locked/>
    <w:rsid w:val="00DF1EC4"/>
    <w:rPr>
      <w:rFonts w:ascii="Arial" w:hAnsi="Arial" w:cs="Arial"/>
      <w:b/>
      <w:bCs/>
      <w:sz w:val="26"/>
      <w:szCs w:val="26"/>
      <w:lang w:val="en-US" w:eastAsia="en-US"/>
    </w:rPr>
  </w:style>
  <w:style w:type="character" w:styleId="Hyperlink">
    <w:name w:val="Hyperlink"/>
    <w:rsid w:val="00B713B6"/>
    <w:rPr>
      <w:rFonts w:cs="Times New Roman"/>
      <w:u w:val="single"/>
    </w:rPr>
  </w:style>
  <w:style w:type="paragraph" w:customStyle="1" w:styleId="Cabeceraypie">
    <w:name w:val="Cabecera y pie"/>
    <w:rsid w:val="00B713B6"/>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s-ES" w:eastAsia="es-ES"/>
    </w:rPr>
  </w:style>
  <w:style w:type="paragraph" w:styleId="Footer">
    <w:name w:val="footer"/>
    <w:basedOn w:val="Normal"/>
    <w:link w:val="FooterChar"/>
    <w:rsid w:val="00B713B6"/>
    <w:pPr>
      <w:tabs>
        <w:tab w:val="center" w:pos="4513"/>
        <w:tab w:val="right" w:pos="9026"/>
      </w:tabs>
    </w:pPr>
    <w:rPr>
      <w:rFonts w:ascii="Cambria" w:hAnsi="Cambria" w:cs="Cambria"/>
      <w:color w:val="000000"/>
      <w:u w:color="000000"/>
      <w:lang w:eastAsia="es-ES"/>
    </w:rPr>
  </w:style>
  <w:style w:type="character" w:customStyle="1" w:styleId="FooterChar">
    <w:name w:val="Footer Char"/>
    <w:link w:val="Footer"/>
    <w:locked/>
    <w:rsid w:val="00A50FCF"/>
    <w:rPr>
      <w:rFonts w:ascii="Cambria" w:hAnsi="Cambria" w:cs="Cambria"/>
      <w:color w:val="000000"/>
      <w:sz w:val="24"/>
      <w:szCs w:val="24"/>
      <w:u w:color="000000"/>
      <w:lang w:val="en-US" w:eastAsia="es-ES" w:bidi="ar-SA"/>
    </w:rPr>
  </w:style>
  <w:style w:type="paragraph" w:customStyle="1" w:styleId="Cuerpo">
    <w:name w:val="Cuerpo"/>
    <w:rsid w:val="00B713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eastAsia="Times New Roman" w:hAnsi="Cambria" w:cs="Cambria"/>
      <w:color w:val="000000"/>
      <w:sz w:val="24"/>
      <w:szCs w:val="24"/>
      <w:u w:color="000000"/>
      <w:lang w:val="es-ES" w:eastAsia="es-ES"/>
    </w:rPr>
  </w:style>
  <w:style w:type="paragraph" w:styleId="BodyTextIndent">
    <w:name w:val="Body Text Indent"/>
    <w:basedOn w:val="Normal"/>
    <w:link w:val="BodyTextIndentChar"/>
    <w:rsid w:val="00B713B6"/>
    <w:pPr>
      <w:ind w:left="2160" w:hanging="720"/>
    </w:pPr>
    <w:rPr>
      <w:rFonts w:eastAsia="Arial Unicode MS"/>
      <w:color w:val="000000"/>
      <w:u w:color="000000"/>
      <w:lang w:val="es-ES_tradnl" w:eastAsia="es-ES"/>
    </w:rPr>
  </w:style>
  <w:style w:type="character" w:customStyle="1" w:styleId="BodyTextIndentChar">
    <w:name w:val="Body Text Indent Char"/>
    <w:link w:val="BodyTextIndent"/>
    <w:semiHidden/>
    <w:locked/>
    <w:rsid w:val="00EA181B"/>
    <w:rPr>
      <w:rFonts w:cs="Times New Roman"/>
      <w:sz w:val="24"/>
      <w:szCs w:val="24"/>
    </w:rPr>
  </w:style>
  <w:style w:type="paragraph" w:customStyle="1" w:styleId="ListParagraph1">
    <w:name w:val="List Paragraph1"/>
    <w:basedOn w:val="Normal"/>
    <w:rsid w:val="00B713B6"/>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
    <w:basedOn w:val="Normal"/>
    <w:link w:val="FootnoteTextChar1"/>
    <w:rsid w:val="00213E2E"/>
    <w:pPr>
      <w:pBdr>
        <w:top w:val="none" w:sz="0" w:space="0" w:color="auto"/>
        <w:left w:val="none" w:sz="0" w:space="0" w:color="auto"/>
        <w:bottom w:val="none" w:sz="0" w:space="0" w:color="auto"/>
        <w:right w:val="none" w:sz="0" w:space="0" w:color="auto"/>
        <w:bar w:val="none" w:sz="0" w:color="auto"/>
      </w:pBdr>
    </w:pPr>
    <w:rPr>
      <w:rFonts w:ascii="Calibri" w:hAnsi="Calibri"/>
      <w:color w:val="000000"/>
      <w:sz w:val="20"/>
      <w:szCs w:val="20"/>
      <w:u w:color="00000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semiHidden/>
    <w:locked/>
    <w:rsid w:val="00EA181B"/>
    <w:rPr>
      <w:rFonts w:cs="Times New Roman"/>
      <w:sz w:val="20"/>
      <w:szCs w:val="20"/>
    </w:rPr>
  </w:style>
  <w:style w:type="paragraph" w:styleId="BalloonText">
    <w:name w:val="Balloon Text"/>
    <w:basedOn w:val="Normal"/>
    <w:link w:val="BalloonTextChar"/>
    <w:semiHidden/>
    <w:rsid w:val="009B381B"/>
    <w:rPr>
      <w:rFonts w:ascii="Tahoma" w:hAnsi="Tahoma" w:cs="Tahoma"/>
      <w:sz w:val="16"/>
      <w:szCs w:val="16"/>
    </w:rPr>
  </w:style>
  <w:style w:type="character" w:customStyle="1" w:styleId="BalloonTextChar">
    <w:name w:val="Balloon Text Char"/>
    <w:link w:val="BalloonText"/>
    <w:semiHidden/>
    <w:locked/>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eastAsia="Arial Unicode MS" w:hAnsi="Univers" w:cs="Univers"/>
    </w:rPr>
  </w:style>
  <w:style w:type="character" w:customStyle="1" w:styleId="HeaderChar">
    <w:name w:val="Header Char"/>
    <w:aliases w:val="encabezado Char"/>
    <w:link w:val="Header"/>
    <w:locked/>
    <w:rsid w:val="00D81D92"/>
    <w:rPr>
      <w:rFonts w:ascii="Univers" w:hAnsi="Univers" w:cs="Univers"/>
      <w:sz w:val="24"/>
      <w:szCs w:val="24"/>
      <w:lang w:val="en-US" w:eastAsia="en-US"/>
    </w:rPr>
  </w:style>
  <w:style w:type="table" w:customStyle="1" w:styleId="Sombreadomedio1-nfasis11">
    <w:name w:val="Sombreado medio 1 - Énfasis 11"/>
    <w:rsid w:val="006A17D2"/>
    <w:rPr>
      <w:rFonts w:eastAsia="Times New Roman"/>
      <w:lang w:val="en-US"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TOC2">
    <w:name w:val="toc 2"/>
    <w:basedOn w:val="Normal"/>
    <w:next w:val="Normal"/>
    <w:autoRedefine/>
    <w:rsid w:val="005C4225"/>
    <w:pPr>
      <w:tabs>
        <w:tab w:val="left" w:pos="1440"/>
        <w:tab w:val="right" w:leader="dot" w:pos="9350"/>
      </w:tabs>
      <w:spacing w:after="100"/>
      <w:ind w:left="1440" w:hanging="720"/>
    </w:pPr>
  </w:style>
  <w:style w:type="paragraph" w:styleId="TOC1">
    <w:name w:val="toc 1"/>
    <w:basedOn w:val="Normal"/>
    <w:next w:val="Normal"/>
    <w:autoRedefine/>
    <w:rsid w:val="005C4225"/>
    <w:pPr>
      <w:spacing w:after="100"/>
    </w:pPr>
    <w:rPr>
      <w:rFonts w:ascii="Calibri" w:hAnsi="Calibri"/>
      <w:sz w:val="22"/>
    </w:rPr>
  </w:style>
  <w:style w:type="paragraph" w:styleId="TOC3">
    <w:name w:val="toc 3"/>
    <w:basedOn w:val="Normal"/>
    <w:next w:val="Normal"/>
    <w:autoRedefine/>
    <w:rsid w:val="005C4225"/>
    <w:pPr>
      <w:tabs>
        <w:tab w:val="left" w:pos="880"/>
        <w:tab w:val="right" w:leader="dot" w:pos="9350"/>
      </w:tabs>
      <w:spacing w:after="100"/>
      <w:ind w:left="2160" w:hanging="720"/>
    </w:pPr>
  </w:style>
  <w:style w:type="paragraph" w:styleId="TOC4">
    <w:name w:val="toc 4"/>
    <w:basedOn w:val="Normal"/>
    <w:next w:val="Normal"/>
    <w:autoRedefine/>
    <w:rsid w:val="005C4225"/>
    <w:pPr>
      <w:spacing w:after="100"/>
      <w:ind w:left="720"/>
    </w:pPr>
  </w:style>
  <w:style w:type="character" w:styleId="PageNumber">
    <w:name w:val="page number"/>
    <w:rsid w:val="00040C3A"/>
    <w:rPr>
      <w:rFonts w:cs="Times New Roman"/>
    </w:rPr>
  </w:style>
  <w:style w:type="character" w:styleId="FootnoteReference">
    <w:name w:val="footnote reference"/>
    <w:aliases w:val="Footnotes refss,Ref. de nota al pie.,Texto de nota al pie,Appel note de bas de page,referencia nota al pie,BVI fnr,Footnote number,f1,Footnote symbol,Footnote,4_G,16 Point,Superscript 6 Point,Texto nota al pie,Ref,de nota al pie,norm"/>
    <w:rsid w:val="000F35ED"/>
    <w:rPr>
      <w:rFonts w:cs="Times New Roman"/>
      <w:vertAlign w:val="superscript"/>
    </w:rPr>
  </w:style>
  <w:style w:type="paragraph" w:styleId="BodyTextIndent2">
    <w:name w:val="Body Text Indent 2"/>
    <w:basedOn w:val="Normal"/>
    <w:link w:val="BodyTextIndent2Char"/>
    <w:semiHidden/>
    <w:rsid w:val="000F35ED"/>
    <w:pPr>
      <w:spacing w:after="120" w:line="480" w:lineRule="auto"/>
      <w:ind w:left="360"/>
    </w:pPr>
  </w:style>
  <w:style w:type="character" w:customStyle="1" w:styleId="BodyTextIndent2Char">
    <w:name w:val="Body Text Indent 2 Char"/>
    <w:link w:val="BodyTextIndent2"/>
    <w:semiHidden/>
    <w:locked/>
    <w:rsid w:val="000F35ED"/>
    <w:rPr>
      <w:rFonts w:cs="Times New Roman"/>
      <w:sz w:val="24"/>
      <w:szCs w:val="24"/>
      <w:lang w:val="en-US" w:eastAsia="en-US"/>
    </w:rPr>
  </w:style>
  <w:style w:type="paragraph" w:styleId="BodyText">
    <w:name w:val="Body Text"/>
    <w:basedOn w:val="Normal"/>
    <w:link w:val="BodyTextChar"/>
    <w:rsid w:val="0031535D"/>
    <w:pPr>
      <w:spacing w:after="120"/>
    </w:pPr>
  </w:style>
  <w:style w:type="character" w:customStyle="1" w:styleId="BodyTextChar">
    <w:name w:val="Body Text Char"/>
    <w:link w:val="BodyText"/>
    <w:locked/>
    <w:rsid w:val="0031535D"/>
    <w:rPr>
      <w:rFonts w:cs="Times New Roman"/>
      <w:sz w:val="24"/>
      <w:szCs w:val="24"/>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ink w:val="FootnoteText"/>
    <w:locked/>
    <w:rsid w:val="00213E2E"/>
    <w:rPr>
      <w:rFonts w:ascii="Calibri" w:eastAsia="Times New Roman" w:hAnsi="Calibri"/>
      <w:color w:val="000000"/>
      <w:u w:color="000000"/>
    </w:rPr>
  </w:style>
  <w:style w:type="paragraph" w:customStyle="1" w:styleId="Default">
    <w:name w:val="Default"/>
    <w:link w:val="DefaultChar"/>
    <w:rsid w:val="00DF1EC4"/>
    <w:pPr>
      <w:pBdr>
        <w:top w:val="none" w:sz="96" w:space="31" w:color="FFFFFF" w:frame="1"/>
        <w:left w:val="none" w:sz="96" w:space="31" w:color="FFFFFF" w:frame="1"/>
        <w:bottom w:val="none" w:sz="96" w:space="31" w:color="FFFFFF" w:frame="1"/>
        <w:right w:val="none" w:sz="96" w:space="31" w:color="FFFFFF" w:frame="1"/>
        <w:bar w:val="none" w:sz="0" w:color="000000"/>
      </w:pBdr>
      <w:autoSpaceDE w:val="0"/>
      <w:autoSpaceDN w:val="0"/>
      <w:adjustRightInd w:val="0"/>
    </w:pPr>
    <w:rPr>
      <w:color w:val="000000"/>
      <w:sz w:val="22"/>
      <w:szCs w:val="22"/>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Arial Unicode MS"/>
    </w:rPr>
  </w:style>
  <w:style w:type="character" w:customStyle="1" w:styleId="EndnoteTextChar">
    <w:name w:val="Endnote Text Char"/>
    <w:link w:val="EndnoteText"/>
    <w:locked/>
    <w:rsid w:val="00DF1EC4"/>
    <w:rPr>
      <w:rFonts w:eastAsia="Times New Roman" w:cs="Times New Roman"/>
      <w:sz w:val="24"/>
      <w:szCs w:val="24"/>
      <w:lang w:val="en-US" w:eastAsia="en-US"/>
    </w:rPr>
  </w:style>
  <w:style w:type="character" w:customStyle="1" w:styleId="DefaultChar">
    <w:name w:val="Default Char"/>
    <w:link w:val="Default"/>
    <w:locked/>
    <w:rsid w:val="00DF1EC4"/>
    <w:rPr>
      <w:rFonts w:eastAsia="Times New Roman"/>
      <w:color w:val="000000"/>
      <w:sz w:val="22"/>
      <w:lang w:val="en-US" w:eastAsia="en-US"/>
    </w:rPr>
  </w:style>
  <w:style w:type="character" w:customStyle="1" w:styleId="apple-converted-space">
    <w:name w:val="apple-converted-space"/>
    <w:rsid w:val="00F01097"/>
    <w:rPr>
      <w:rFonts w:cs="Times New Roman"/>
    </w:rPr>
  </w:style>
  <w:style w:type="character" w:customStyle="1" w:styleId="PlaceholderText1">
    <w:name w:val="Placeholder Text1"/>
    <w:semiHidden/>
    <w:rsid w:val="00E23CF7"/>
    <w:rPr>
      <w:rFonts w:cs="Times New Roman"/>
      <w:color w:val="808080"/>
    </w:rPr>
  </w:style>
  <w:style w:type="character" w:styleId="CommentReference">
    <w:name w:val="annotation reference"/>
    <w:semiHidden/>
    <w:rsid w:val="00406DA6"/>
    <w:rPr>
      <w:rFonts w:cs="Times New Roman"/>
      <w:sz w:val="16"/>
      <w:szCs w:val="16"/>
    </w:rPr>
  </w:style>
  <w:style w:type="paragraph" w:styleId="CommentText">
    <w:name w:val="annotation text"/>
    <w:basedOn w:val="Normal"/>
    <w:link w:val="CommentTextChar"/>
    <w:semiHidden/>
    <w:rsid w:val="00406DA6"/>
    <w:rPr>
      <w:sz w:val="20"/>
      <w:szCs w:val="20"/>
    </w:rPr>
  </w:style>
  <w:style w:type="character" w:customStyle="1" w:styleId="CommentTextChar">
    <w:name w:val="Comment Text Char"/>
    <w:link w:val="CommentText"/>
    <w:semiHidden/>
    <w:locked/>
    <w:rsid w:val="00406DA6"/>
    <w:rPr>
      <w:rFonts w:cs="Times New Roman"/>
      <w:lang w:val="en-US" w:eastAsia="en-US"/>
    </w:rPr>
  </w:style>
  <w:style w:type="paragraph" w:styleId="CommentSubject">
    <w:name w:val="annotation subject"/>
    <w:basedOn w:val="CommentText"/>
    <w:next w:val="CommentText"/>
    <w:link w:val="CommentSubjectChar"/>
    <w:semiHidden/>
    <w:rsid w:val="00406DA6"/>
    <w:rPr>
      <w:b/>
      <w:bCs/>
    </w:rPr>
  </w:style>
  <w:style w:type="character" w:customStyle="1" w:styleId="CommentSubjectChar">
    <w:name w:val="Comment Subject Char"/>
    <w:link w:val="CommentSubject"/>
    <w:semiHidden/>
    <w:locked/>
    <w:rsid w:val="00406DA6"/>
    <w:rPr>
      <w:rFonts w:cs="Times New Roman"/>
      <w:b/>
      <w:bCs/>
      <w:lang w:val="en-US" w:eastAsia="en-US"/>
    </w:rPr>
  </w:style>
  <w:style w:type="character" w:styleId="Strong">
    <w:name w:val="Strong"/>
    <w:qFormat/>
    <w:locked/>
    <w:rsid w:val="00A3216B"/>
    <w:rPr>
      <w:rFonts w:cs="Times New Roman"/>
      <w:b/>
    </w:rPr>
  </w:style>
  <w:style w:type="numbering" w:customStyle="1" w:styleId="List16">
    <w:name w:val="List 16"/>
    <w:rsid w:val="008D525A"/>
    <w:pPr>
      <w:numPr>
        <w:numId w:val="10"/>
      </w:numPr>
    </w:pPr>
  </w:style>
  <w:style w:type="numbering" w:customStyle="1" w:styleId="List36">
    <w:name w:val="List 36"/>
    <w:rsid w:val="008D525A"/>
    <w:pPr>
      <w:numPr>
        <w:numId w:val="14"/>
      </w:numPr>
    </w:pPr>
  </w:style>
  <w:style w:type="numbering" w:customStyle="1" w:styleId="List25">
    <w:name w:val="List 25"/>
    <w:rsid w:val="008D525A"/>
    <w:pPr>
      <w:numPr>
        <w:numId w:val="15"/>
      </w:numPr>
    </w:pPr>
  </w:style>
  <w:style w:type="numbering" w:customStyle="1" w:styleId="List1">
    <w:name w:val="List 1"/>
    <w:rsid w:val="008D525A"/>
    <w:pPr>
      <w:numPr>
        <w:numId w:val="1"/>
      </w:numPr>
    </w:pPr>
  </w:style>
  <w:style w:type="numbering" w:customStyle="1" w:styleId="List11">
    <w:name w:val="List 11"/>
    <w:rsid w:val="008D525A"/>
    <w:pPr>
      <w:numPr>
        <w:numId w:val="7"/>
      </w:numPr>
    </w:pPr>
  </w:style>
  <w:style w:type="numbering" w:customStyle="1" w:styleId="List15">
    <w:name w:val="List 15"/>
    <w:rsid w:val="008D525A"/>
    <w:pPr>
      <w:numPr>
        <w:numId w:val="16"/>
      </w:numPr>
    </w:pPr>
  </w:style>
  <w:style w:type="numbering" w:customStyle="1" w:styleId="List14">
    <w:name w:val="List 14"/>
    <w:rsid w:val="008D525A"/>
    <w:pPr>
      <w:numPr>
        <w:numId w:val="17"/>
      </w:numPr>
    </w:pPr>
  </w:style>
  <w:style w:type="numbering" w:customStyle="1" w:styleId="List23">
    <w:name w:val="List 23"/>
    <w:rsid w:val="008D525A"/>
    <w:pPr>
      <w:numPr>
        <w:numId w:val="18"/>
      </w:numPr>
    </w:pPr>
  </w:style>
  <w:style w:type="numbering" w:customStyle="1" w:styleId="List19">
    <w:name w:val="List 19"/>
    <w:rsid w:val="008D525A"/>
    <w:pPr>
      <w:numPr>
        <w:numId w:val="19"/>
      </w:numPr>
    </w:pPr>
  </w:style>
  <w:style w:type="numbering" w:customStyle="1" w:styleId="List45">
    <w:name w:val="List 45"/>
    <w:rsid w:val="008D525A"/>
    <w:pPr>
      <w:numPr>
        <w:numId w:val="20"/>
      </w:numPr>
    </w:pPr>
  </w:style>
  <w:style w:type="numbering" w:customStyle="1" w:styleId="List40">
    <w:name w:val="List 40"/>
    <w:rsid w:val="008D525A"/>
    <w:pPr>
      <w:numPr>
        <w:numId w:val="21"/>
      </w:numPr>
    </w:pPr>
  </w:style>
  <w:style w:type="numbering" w:customStyle="1" w:styleId="List9">
    <w:name w:val="List 9"/>
    <w:rsid w:val="008D525A"/>
    <w:pPr>
      <w:numPr>
        <w:numId w:val="22"/>
      </w:numPr>
    </w:pPr>
  </w:style>
  <w:style w:type="numbering" w:customStyle="1" w:styleId="List43">
    <w:name w:val="List 43"/>
    <w:rsid w:val="008D525A"/>
    <w:pPr>
      <w:numPr>
        <w:numId w:val="23"/>
      </w:numPr>
    </w:pPr>
  </w:style>
  <w:style w:type="numbering" w:customStyle="1" w:styleId="List46">
    <w:name w:val="List 46"/>
    <w:rsid w:val="008D525A"/>
    <w:pPr>
      <w:numPr>
        <w:numId w:val="24"/>
      </w:numPr>
    </w:pPr>
  </w:style>
  <w:style w:type="numbering" w:customStyle="1" w:styleId="List35">
    <w:name w:val="List 35"/>
    <w:rsid w:val="008D525A"/>
    <w:pPr>
      <w:numPr>
        <w:numId w:val="8"/>
      </w:numPr>
    </w:pPr>
  </w:style>
  <w:style w:type="numbering" w:customStyle="1" w:styleId="List17">
    <w:name w:val="List 17"/>
    <w:rsid w:val="008D525A"/>
    <w:pPr>
      <w:numPr>
        <w:numId w:val="25"/>
      </w:numPr>
    </w:pPr>
  </w:style>
  <w:style w:type="numbering" w:customStyle="1" w:styleId="List33">
    <w:name w:val="List 33"/>
    <w:rsid w:val="008D525A"/>
    <w:pPr>
      <w:numPr>
        <w:numId w:val="26"/>
      </w:numPr>
    </w:pPr>
  </w:style>
  <w:style w:type="numbering" w:customStyle="1" w:styleId="List7">
    <w:name w:val="List 7"/>
    <w:rsid w:val="008D525A"/>
    <w:pPr>
      <w:numPr>
        <w:numId w:val="4"/>
      </w:numPr>
    </w:pPr>
  </w:style>
  <w:style w:type="numbering" w:customStyle="1" w:styleId="List18">
    <w:name w:val="List 18"/>
    <w:rsid w:val="008D525A"/>
    <w:pPr>
      <w:numPr>
        <w:numId w:val="27"/>
      </w:numPr>
    </w:pPr>
  </w:style>
  <w:style w:type="numbering" w:customStyle="1" w:styleId="List22">
    <w:name w:val="List 22"/>
    <w:rsid w:val="008D525A"/>
    <w:pPr>
      <w:numPr>
        <w:numId w:val="28"/>
      </w:numPr>
    </w:pPr>
  </w:style>
  <w:style w:type="numbering" w:customStyle="1" w:styleId="List47">
    <w:name w:val="List 47"/>
    <w:rsid w:val="008D525A"/>
    <w:pPr>
      <w:numPr>
        <w:numId w:val="29"/>
      </w:numPr>
    </w:pPr>
  </w:style>
  <w:style w:type="numbering" w:customStyle="1" w:styleId="List28">
    <w:name w:val="List 28"/>
    <w:rsid w:val="008D525A"/>
    <w:pPr>
      <w:numPr>
        <w:numId w:val="30"/>
      </w:numPr>
    </w:pPr>
  </w:style>
  <w:style w:type="numbering" w:customStyle="1" w:styleId="List10">
    <w:name w:val="List 10"/>
    <w:rsid w:val="008D525A"/>
    <w:pPr>
      <w:numPr>
        <w:numId w:val="6"/>
      </w:numPr>
    </w:pPr>
  </w:style>
  <w:style w:type="numbering" w:customStyle="1" w:styleId="List0">
    <w:name w:val="List 0"/>
    <w:rsid w:val="008D525A"/>
    <w:pPr>
      <w:numPr>
        <w:numId w:val="31"/>
      </w:numPr>
    </w:pPr>
  </w:style>
  <w:style w:type="numbering" w:customStyle="1" w:styleId="List30">
    <w:name w:val="List 30"/>
    <w:rsid w:val="008D525A"/>
    <w:pPr>
      <w:numPr>
        <w:numId w:val="32"/>
      </w:numPr>
    </w:pPr>
  </w:style>
  <w:style w:type="numbering" w:customStyle="1" w:styleId="List29">
    <w:name w:val="List 29"/>
    <w:rsid w:val="008D525A"/>
    <w:pPr>
      <w:numPr>
        <w:numId w:val="34"/>
      </w:numPr>
    </w:pPr>
  </w:style>
  <w:style w:type="numbering" w:customStyle="1" w:styleId="List38">
    <w:name w:val="List 38"/>
    <w:rsid w:val="008D525A"/>
    <w:pPr>
      <w:numPr>
        <w:numId w:val="35"/>
      </w:numPr>
    </w:pPr>
  </w:style>
  <w:style w:type="numbering" w:customStyle="1" w:styleId="List12">
    <w:name w:val="List 12"/>
    <w:rsid w:val="008D525A"/>
    <w:pPr>
      <w:numPr>
        <w:numId w:val="36"/>
      </w:numPr>
    </w:pPr>
  </w:style>
  <w:style w:type="numbering" w:customStyle="1" w:styleId="List50">
    <w:name w:val="List 50"/>
    <w:rsid w:val="008D525A"/>
    <w:pPr>
      <w:numPr>
        <w:numId w:val="37"/>
      </w:numPr>
    </w:pPr>
  </w:style>
  <w:style w:type="numbering" w:customStyle="1" w:styleId="List34">
    <w:name w:val="List 34"/>
    <w:rsid w:val="008D525A"/>
    <w:pPr>
      <w:numPr>
        <w:numId w:val="11"/>
      </w:numPr>
    </w:pPr>
  </w:style>
  <w:style w:type="numbering" w:customStyle="1" w:styleId="List42">
    <w:name w:val="List 42"/>
    <w:rsid w:val="008D525A"/>
    <w:pPr>
      <w:numPr>
        <w:numId w:val="12"/>
      </w:numPr>
    </w:pPr>
  </w:style>
  <w:style w:type="numbering" w:customStyle="1" w:styleId="List49">
    <w:name w:val="List 49"/>
    <w:rsid w:val="008D525A"/>
    <w:pPr>
      <w:numPr>
        <w:numId w:val="39"/>
      </w:numPr>
    </w:pPr>
  </w:style>
  <w:style w:type="numbering" w:customStyle="1" w:styleId="List44">
    <w:name w:val="List 44"/>
    <w:rsid w:val="008D525A"/>
    <w:pPr>
      <w:numPr>
        <w:numId w:val="40"/>
      </w:numPr>
    </w:pPr>
  </w:style>
  <w:style w:type="numbering" w:customStyle="1" w:styleId="List21">
    <w:name w:val="List 21"/>
    <w:rsid w:val="008D525A"/>
    <w:pPr>
      <w:numPr>
        <w:numId w:val="52"/>
      </w:numPr>
    </w:pPr>
  </w:style>
  <w:style w:type="numbering" w:customStyle="1" w:styleId="List52">
    <w:name w:val="List 52"/>
    <w:rsid w:val="008D525A"/>
    <w:pPr>
      <w:numPr>
        <w:numId w:val="9"/>
      </w:numPr>
    </w:pPr>
  </w:style>
  <w:style w:type="numbering" w:customStyle="1" w:styleId="List24">
    <w:name w:val="List 24"/>
    <w:rsid w:val="008D525A"/>
    <w:pPr>
      <w:numPr>
        <w:numId w:val="13"/>
      </w:numPr>
    </w:pPr>
  </w:style>
  <w:style w:type="numbering" w:customStyle="1" w:styleId="List51">
    <w:name w:val="List 51"/>
    <w:rsid w:val="008D525A"/>
    <w:pPr>
      <w:numPr>
        <w:numId w:val="54"/>
      </w:numPr>
    </w:pPr>
  </w:style>
  <w:style w:type="numbering" w:customStyle="1" w:styleId="List27">
    <w:name w:val="List 27"/>
    <w:rsid w:val="008D525A"/>
    <w:pPr>
      <w:numPr>
        <w:numId w:val="41"/>
      </w:numPr>
    </w:pPr>
  </w:style>
  <w:style w:type="numbering" w:customStyle="1" w:styleId="List8">
    <w:name w:val="List 8"/>
    <w:rsid w:val="008D525A"/>
    <w:pPr>
      <w:numPr>
        <w:numId w:val="5"/>
      </w:numPr>
    </w:pPr>
  </w:style>
  <w:style w:type="numbering" w:customStyle="1" w:styleId="List13">
    <w:name w:val="List 13"/>
    <w:rsid w:val="008D525A"/>
    <w:pPr>
      <w:numPr>
        <w:numId w:val="42"/>
      </w:numPr>
    </w:pPr>
  </w:style>
  <w:style w:type="numbering" w:customStyle="1" w:styleId="List20">
    <w:name w:val="List 20"/>
    <w:rsid w:val="008D525A"/>
    <w:pPr>
      <w:numPr>
        <w:numId w:val="43"/>
      </w:numPr>
    </w:pPr>
  </w:style>
  <w:style w:type="numbering" w:customStyle="1" w:styleId="List41">
    <w:name w:val="List 41"/>
    <w:rsid w:val="008D525A"/>
    <w:pPr>
      <w:numPr>
        <w:numId w:val="44"/>
      </w:numPr>
    </w:pPr>
  </w:style>
  <w:style w:type="numbering" w:customStyle="1" w:styleId="List31">
    <w:name w:val="List 31"/>
    <w:rsid w:val="008D525A"/>
    <w:pPr>
      <w:numPr>
        <w:numId w:val="45"/>
      </w:numPr>
    </w:pPr>
  </w:style>
  <w:style w:type="numbering" w:customStyle="1" w:styleId="List6">
    <w:name w:val="List 6"/>
    <w:rsid w:val="008D525A"/>
    <w:pPr>
      <w:numPr>
        <w:numId w:val="3"/>
      </w:numPr>
    </w:pPr>
  </w:style>
  <w:style w:type="numbering" w:customStyle="1" w:styleId="List39">
    <w:name w:val="List 39"/>
    <w:rsid w:val="008D525A"/>
    <w:pPr>
      <w:numPr>
        <w:numId w:val="46"/>
      </w:numPr>
    </w:pPr>
  </w:style>
  <w:style w:type="numbering" w:customStyle="1" w:styleId="List37">
    <w:name w:val="List 37"/>
    <w:rsid w:val="008D525A"/>
    <w:pPr>
      <w:numPr>
        <w:numId w:val="47"/>
      </w:numPr>
    </w:pPr>
  </w:style>
  <w:style w:type="numbering" w:customStyle="1" w:styleId="List32">
    <w:name w:val="List 32"/>
    <w:rsid w:val="008D525A"/>
    <w:pPr>
      <w:numPr>
        <w:numId w:val="48"/>
      </w:numPr>
    </w:pPr>
  </w:style>
  <w:style w:type="numbering" w:customStyle="1" w:styleId="List26">
    <w:name w:val="List 26"/>
    <w:rsid w:val="008D525A"/>
    <w:pPr>
      <w:numPr>
        <w:numId w:val="49"/>
      </w:numPr>
    </w:pPr>
  </w:style>
  <w:style w:type="numbering" w:customStyle="1" w:styleId="List48">
    <w:name w:val="List 48"/>
    <w:rsid w:val="008D525A"/>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611476421">
      <w:bodyDiv w:val="1"/>
      <w:marLeft w:val="0"/>
      <w:marRight w:val="0"/>
      <w:marTop w:val="0"/>
      <w:marBottom w:val="0"/>
      <w:divBdr>
        <w:top w:val="none" w:sz="0" w:space="0" w:color="auto"/>
        <w:left w:val="none" w:sz="0" w:space="0" w:color="auto"/>
        <w:bottom w:val="none" w:sz="0" w:space="0" w:color="auto"/>
        <w:right w:val="none" w:sz="0" w:space="0" w:color="auto"/>
      </w:divBdr>
    </w:div>
    <w:div w:id="203148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63453-A20A-4CA9-85B3-1723A1A67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6259</Words>
  <Characters>32673</Characters>
  <Application>Microsoft Office Word</Application>
  <DocSecurity>0</DocSecurity>
  <Lines>837</Lines>
  <Paragraphs>324</Paragraphs>
  <ScaleCrop>false</ScaleCrop>
  <Company/>
  <LinksUpToDate>false</LinksUpToDate>
  <CharactersWithSpaces>38608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53/17</dc:title>
  <dc:creator/>
  <cp:lastModifiedBy/>
  <cp:revision>1</cp:revision>
  <dcterms:created xsi:type="dcterms:W3CDTF">2017-11-02T19:02:00Z</dcterms:created>
  <dcterms:modified xsi:type="dcterms:W3CDTF">2017-11-02T19:02:00Z</dcterms:modified>
</cp:coreProperties>
</file>