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1279A2" w:rsidRDefault="006311DA" w:rsidP="00627C9F">
      <w:pPr>
        <w:jc w:val="both"/>
        <w:rPr>
          <w:rFonts w:asciiTheme="majorHAnsi" w:hAnsiTheme="majorHAnsi" w:cs="Univers"/>
          <w:b/>
          <w:bCs/>
          <w:sz w:val="22"/>
          <w:szCs w:val="22"/>
        </w:rPr>
      </w:pPr>
      <w:r w:rsidRPr="001279A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1279A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0759B2" w:rsidRDefault="000759B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0759B2" w:rsidRDefault="000759B2">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1279A2" w:rsidRDefault="00040C3A" w:rsidP="00040C3A">
      <w:pPr>
        <w:tabs>
          <w:tab w:val="center" w:pos="5400"/>
        </w:tabs>
        <w:suppressAutoHyphens/>
        <w:jc w:val="both"/>
        <w:rPr>
          <w:rFonts w:asciiTheme="majorHAnsi" w:hAnsiTheme="majorHAnsi"/>
          <w:sz w:val="22"/>
          <w:szCs w:val="22"/>
        </w:rPr>
      </w:pPr>
    </w:p>
    <w:p w14:paraId="54AC1FBF" w14:textId="77777777" w:rsidR="00040C3A" w:rsidRPr="001279A2" w:rsidRDefault="00040C3A" w:rsidP="00040C3A">
      <w:pPr>
        <w:tabs>
          <w:tab w:val="center" w:pos="5400"/>
        </w:tabs>
        <w:suppressAutoHyphens/>
        <w:jc w:val="both"/>
        <w:rPr>
          <w:rFonts w:asciiTheme="majorHAnsi" w:hAnsiTheme="majorHAnsi"/>
          <w:sz w:val="22"/>
          <w:szCs w:val="22"/>
        </w:rPr>
      </w:pPr>
    </w:p>
    <w:p w14:paraId="6A4AC464" w14:textId="77777777" w:rsidR="005128E4" w:rsidRPr="001279A2" w:rsidRDefault="005128E4" w:rsidP="00040C3A">
      <w:pPr>
        <w:tabs>
          <w:tab w:val="center" w:pos="5400"/>
        </w:tabs>
        <w:suppressAutoHyphens/>
        <w:rPr>
          <w:rFonts w:asciiTheme="majorHAnsi" w:hAnsiTheme="majorHAnsi"/>
          <w:sz w:val="22"/>
          <w:szCs w:val="22"/>
        </w:rPr>
      </w:pPr>
    </w:p>
    <w:p w14:paraId="515D20A5" w14:textId="77777777" w:rsidR="005128E4" w:rsidRPr="001279A2" w:rsidRDefault="005128E4" w:rsidP="00040C3A">
      <w:pPr>
        <w:tabs>
          <w:tab w:val="center" w:pos="5400"/>
        </w:tabs>
        <w:suppressAutoHyphens/>
        <w:rPr>
          <w:rFonts w:asciiTheme="majorHAnsi" w:hAnsiTheme="majorHAnsi"/>
          <w:sz w:val="22"/>
          <w:szCs w:val="22"/>
        </w:rPr>
      </w:pPr>
    </w:p>
    <w:p w14:paraId="7CBA3E7E" w14:textId="77777777" w:rsidR="005128E4" w:rsidRPr="001279A2" w:rsidRDefault="005128E4" w:rsidP="00040C3A">
      <w:pPr>
        <w:tabs>
          <w:tab w:val="center" w:pos="5400"/>
        </w:tabs>
        <w:suppressAutoHyphens/>
        <w:rPr>
          <w:rFonts w:asciiTheme="majorHAnsi" w:hAnsiTheme="majorHAnsi"/>
          <w:sz w:val="22"/>
          <w:szCs w:val="22"/>
        </w:rPr>
      </w:pPr>
    </w:p>
    <w:p w14:paraId="0FFC5ED6" w14:textId="77777777" w:rsidR="00040C3A" w:rsidRPr="001279A2" w:rsidRDefault="00040C3A" w:rsidP="005128E4">
      <w:pPr>
        <w:tabs>
          <w:tab w:val="center" w:pos="5400"/>
        </w:tabs>
        <w:suppressAutoHyphens/>
        <w:jc w:val="center"/>
        <w:rPr>
          <w:rFonts w:asciiTheme="majorHAnsi" w:hAnsiTheme="majorHAnsi"/>
          <w:sz w:val="22"/>
          <w:szCs w:val="22"/>
        </w:rPr>
      </w:pPr>
    </w:p>
    <w:p w14:paraId="5FCF0358" w14:textId="77777777" w:rsidR="00040C3A" w:rsidRPr="001279A2" w:rsidRDefault="00040C3A" w:rsidP="005128E4">
      <w:pPr>
        <w:tabs>
          <w:tab w:val="center" w:pos="5400"/>
        </w:tabs>
        <w:suppressAutoHyphens/>
        <w:jc w:val="center"/>
        <w:rPr>
          <w:rFonts w:asciiTheme="majorHAnsi" w:hAnsiTheme="majorHAnsi"/>
          <w:sz w:val="22"/>
          <w:szCs w:val="22"/>
        </w:rPr>
      </w:pPr>
    </w:p>
    <w:p w14:paraId="23C02B60" w14:textId="77777777" w:rsidR="005B52B0" w:rsidRPr="001279A2" w:rsidRDefault="005B52B0" w:rsidP="005128E4">
      <w:pPr>
        <w:tabs>
          <w:tab w:val="center" w:pos="5400"/>
        </w:tabs>
        <w:suppressAutoHyphens/>
        <w:jc w:val="center"/>
        <w:rPr>
          <w:rFonts w:asciiTheme="majorHAnsi" w:hAnsiTheme="majorHAnsi"/>
          <w:sz w:val="22"/>
          <w:szCs w:val="22"/>
        </w:rPr>
      </w:pPr>
    </w:p>
    <w:p w14:paraId="1E4CC4A3" w14:textId="77777777" w:rsidR="005B52B0" w:rsidRPr="001279A2" w:rsidRDefault="005B52B0" w:rsidP="005128E4">
      <w:pPr>
        <w:tabs>
          <w:tab w:val="center" w:pos="5400"/>
        </w:tabs>
        <w:suppressAutoHyphens/>
        <w:jc w:val="center"/>
        <w:rPr>
          <w:rFonts w:asciiTheme="majorHAnsi" w:hAnsiTheme="majorHAnsi"/>
          <w:sz w:val="22"/>
          <w:szCs w:val="22"/>
        </w:rPr>
      </w:pPr>
    </w:p>
    <w:p w14:paraId="022074FD" w14:textId="77777777" w:rsidR="005B52B0" w:rsidRPr="001279A2" w:rsidRDefault="005B52B0" w:rsidP="005128E4">
      <w:pPr>
        <w:tabs>
          <w:tab w:val="center" w:pos="5400"/>
        </w:tabs>
        <w:suppressAutoHyphens/>
        <w:jc w:val="center"/>
        <w:rPr>
          <w:rFonts w:asciiTheme="majorHAnsi" w:hAnsiTheme="majorHAnsi"/>
          <w:sz w:val="22"/>
          <w:szCs w:val="22"/>
        </w:rPr>
      </w:pPr>
    </w:p>
    <w:p w14:paraId="3234C43C" w14:textId="77777777" w:rsidR="00040C3A" w:rsidRPr="001279A2" w:rsidRDefault="00040C3A" w:rsidP="00040C3A">
      <w:pPr>
        <w:tabs>
          <w:tab w:val="center" w:pos="5400"/>
        </w:tabs>
        <w:suppressAutoHyphens/>
        <w:jc w:val="center"/>
        <w:rPr>
          <w:rFonts w:asciiTheme="majorHAnsi" w:hAnsiTheme="majorHAnsi"/>
          <w:sz w:val="22"/>
          <w:szCs w:val="22"/>
        </w:rPr>
      </w:pPr>
    </w:p>
    <w:p w14:paraId="2D58FFBA" w14:textId="77777777" w:rsidR="00040C3A" w:rsidRPr="001279A2" w:rsidRDefault="00040C3A" w:rsidP="00040C3A">
      <w:pPr>
        <w:tabs>
          <w:tab w:val="center" w:pos="5400"/>
        </w:tabs>
        <w:suppressAutoHyphens/>
        <w:jc w:val="center"/>
        <w:rPr>
          <w:rFonts w:asciiTheme="majorHAnsi" w:hAnsiTheme="majorHAnsi"/>
          <w:sz w:val="22"/>
          <w:szCs w:val="22"/>
        </w:rPr>
      </w:pPr>
    </w:p>
    <w:p w14:paraId="4A574974" w14:textId="77777777" w:rsidR="00040C3A" w:rsidRPr="001279A2" w:rsidRDefault="00040C3A" w:rsidP="00040C3A">
      <w:pPr>
        <w:tabs>
          <w:tab w:val="center" w:pos="5400"/>
        </w:tabs>
        <w:suppressAutoHyphens/>
        <w:jc w:val="center"/>
        <w:rPr>
          <w:rFonts w:asciiTheme="majorHAnsi" w:hAnsiTheme="majorHAnsi"/>
          <w:sz w:val="22"/>
          <w:szCs w:val="22"/>
        </w:rPr>
      </w:pPr>
    </w:p>
    <w:p w14:paraId="11A9BA8A" w14:textId="4BF0B173" w:rsidR="00040C3A" w:rsidRPr="001279A2" w:rsidRDefault="000D4576" w:rsidP="00040C3A">
      <w:pPr>
        <w:tabs>
          <w:tab w:val="center" w:pos="5400"/>
        </w:tabs>
        <w:suppressAutoHyphens/>
        <w:jc w:val="center"/>
        <w:rPr>
          <w:rFonts w:asciiTheme="majorHAnsi" w:hAnsiTheme="majorHAnsi"/>
          <w:sz w:val="22"/>
          <w:szCs w:val="22"/>
        </w:rPr>
      </w:pPr>
      <w:r w:rsidRPr="001279A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7189FEC4">
                <wp:simplePos x="0" y="0"/>
                <wp:positionH relativeFrom="column">
                  <wp:posOffset>-414020</wp:posOffset>
                </wp:positionH>
                <wp:positionV relativeFrom="paragraph">
                  <wp:posOffset>123825</wp:posOffset>
                </wp:positionV>
                <wp:extent cx="137350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350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904BF8C" w:rsidR="000759B2" w:rsidRPr="007E6E00" w:rsidRDefault="000759B2" w:rsidP="009E566A">
                            <w:pPr>
                              <w:jc w:val="right"/>
                              <w:rPr>
                                <w:rFonts w:asciiTheme="minorHAnsi" w:hAnsiTheme="minorHAnsi"/>
                                <w:color w:val="FFFFFF" w:themeColor="background1"/>
                                <w:sz w:val="22"/>
                                <w:lang w:val="pt-BR"/>
                              </w:rPr>
                            </w:pPr>
                            <w:r w:rsidRPr="007E6E00">
                              <w:rPr>
                                <w:rFonts w:asciiTheme="minorHAnsi" w:hAnsiTheme="minorHAnsi"/>
                                <w:color w:val="FFFFFF" w:themeColor="background1"/>
                                <w:sz w:val="22"/>
                                <w:lang w:val="pt-BR"/>
                              </w:rPr>
                              <w:t>OEA/Ser.L/V/II.164</w:t>
                            </w:r>
                          </w:p>
                          <w:p w14:paraId="4AA08A8C" w14:textId="51682AD9" w:rsidR="000759B2" w:rsidRPr="007E6E00" w:rsidRDefault="000759B2" w:rsidP="009E566A">
                            <w:pPr>
                              <w:jc w:val="right"/>
                              <w:rPr>
                                <w:rFonts w:asciiTheme="minorHAnsi" w:hAnsiTheme="minorHAnsi"/>
                                <w:color w:val="FFFFFF" w:themeColor="background1"/>
                                <w:sz w:val="22"/>
                                <w:lang w:val="pt-BR"/>
                              </w:rPr>
                            </w:pPr>
                            <w:r w:rsidRPr="007E6E00">
                              <w:rPr>
                                <w:rFonts w:asciiTheme="minorHAnsi" w:hAnsiTheme="minorHAnsi"/>
                                <w:color w:val="FFFFFF" w:themeColor="background1"/>
                                <w:sz w:val="22"/>
                                <w:lang w:val="pt-BR"/>
                              </w:rPr>
                              <w:t xml:space="preserve">Doc. </w:t>
                            </w:r>
                            <w:r w:rsidR="00E74038" w:rsidRPr="007E6E00">
                              <w:rPr>
                                <w:rFonts w:asciiTheme="minorHAnsi" w:hAnsiTheme="minorHAnsi"/>
                                <w:color w:val="FFFFFF" w:themeColor="background1"/>
                                <w:sz w:val="22"/>
                                <w:lang w:val="pt-BR"/>
                              </w:rPr>
                              <w:t>146</w:t>
                            </w:r>
                          </w:p>
                          <w:p w14:paraId="0BEFF61A" w14:textId="7C7A1275" w:rsidR="000759B2" w:rsidRPr="004B7EB6" w:rsidRDefault="00E74038" w:rsidP="009E566A">
                            <w:pPr>
                              <w:jc w:val="right"/>
                              <w:rPr>
                                <w:rFonts w:asciiTheme="minorHAnsi" w:hAnsiTheme="minorHAnsi"/>
                                <w:color w:val="FFFFFF" w:themeColor="background1"/>
                                <w:sz w:val="22"/>
                              </w:rPr>
                            </w:pPr>
                            <w:r>
                              <w:rPr>
                                <w:rFonts w:asciiTheme="minorHAnsi" w:hAnsiTheme="minorHAnsi"/>
                                <w:color w:val="FFFFFF" w:themeColor="background1"/>
                                <w:sz w:val="22"/>
                                <w:lang w:val="en-GB"/>
                              </w:rPr>
                              <w:t>7</w:t>
                            </w:r>
                            <w:r w:rsidR="000759B2" w:rsidRPr="00814062">
                              <w:rPr>
                                <w:rFonts w:asciiTheme="minorHAnsi" w:hAnsiTheme="minorHAnsi"/>
                                <w:color w:val="FFFFFF" w:themeColor="background1"/>
                                <w:sz w:val="22"/>
                                <w:lang w:val="en-GB"/>
                              </w:rPr>
                              <w:t xml:space="preserve"> </w:t>
                            </w:r>
                            <w:r>
                              <w:rPr>
                                <w:rFonts w:asciiTheme="minorHAnsi" w:hAnsiTheme="minorHAnsi"/>
                                <w:color w:val="FFFFFF" w:themeColor="background1"/>
                                <w:sz w:val="22"/>
                              </w:rPr>
                              <w:t>September</w:t>
                            </w:r>
                            <w:r w:rsidR="000759B2">
                              <w:rPr>
                                <w:rFonts w:asciiTheme="minorHAnsi" w:hAnsiTheme="minorHAnsi"/>
                                <w:color w:val="FFFFFF" w:themeColor="background1"/>
                                <w:sz w:val="22"/>
                              </w:rPr>
                              <w:t xml:space="preserve"> 2</w:t>
                            </w:r>
                            <w:r w:rsidR="000759B2" w:rsidRPr="007A268D">
                              <w:rPr>
                                <w:rFonts w:asciiTheme="minorHAnsi" w:hAnsiTheme="minorHAnsi"/>
                                <w:color w:val="FFFFFF" w:themeColor="background1"/>
                                <w:sz w:val="22"/>
                              </w:rPr>
                              <w:t>017</w:t>
                            </w:r>
                          </w:p>
                          <w:p w14:paraId="0FC103BD" w14:textId="66D41BB2" w:rsidR="000759B2" w:rsidRPr="004B7EB6" w:rsidRDefault="000759B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CB66F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32.6pt;margin-top:9.75pt;width:108.1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" filled="f" stroked="f" strokeweight=".5pt">
                <v:textbox>
                  <w:txbxContent>
                    <w:p w14:paraId="65856C81" w14:textId="4904BF8C" w:rsidR="000759B2" w:rsidRPr="007E6E00" w:rsidRDefault="000759B2" w:rsidP="009E566A">
                      <w:pPr>
                        <w:jc w:val="right"/>
                        <w:rPr>
                          <w:rFonts w:asciiTheme="minorHAnsi" w:hAnsiTheme="minorHAnsi"/>
                          <w:color w:val="FFFFFF" w:themeColor="background1"/>
                          <w:sz w:val="22"/>
                          <w:lang w:val="pt-BR"/>
                        </w:rPr>
                      </w:pPr>
                      <w:r w:rsidRPr="007E6E00">
                        <w:rPr>
                          <w:rFonts w:asciiTheme="minorHAnsi" w:hAnsiTheme="minorHAnsi"/>
                          <w:color w:val="FFFFFF" w:themeColor="background1"/>
                          <w:sz w:val="22"/>
                          <w:lang w:val="pt-BR"/>
                        </w:rPr>
                        <w:t>OEA/Ser.L/V/II.164</w:t>
                      </w:r>
                    </w:p>
                    <w:p w14:paraId="4AA08A8C" w14:textId="51682AD9" w:rsidR="000759B2" w:rsidRPr="007E6E00" w:rsidRDefault="000759B2" w:rsidP="009E566A">
                      <w:pPr>
                        <w:jc w:val="right"/>
                        <w:rPr>
                          <w:rFonts w:asciiTheme="minorHAnsi" w:hAnsiTheme="minorHAnsi"/>
                          <w:color w:val="FFFFFF" w:themeColor="background1"/>
                          <w:sz w:val="22"/>
                          <w:lang w:val="pt-BR"/>
                        </w:rPr>
                      </w:pPr>
                      <w:r w:rsidRPr="007E6E00">
                        <w:rPr>
                          <w:rFonts w:asciiTheme="minorHAnsi" w:hAnsiTheme="minorHAnsi"/>
                          <w:color w:val="FFFFFF" w:themeColor="background1"/>
                          <w:sz w:val="22"/>
                          <w:lang w:val="pt-BR"/>
                        </w:rPr>
                        <w:t xml:space="preserve">Doc. </w:t>
                      </w:r>
                      <w:r w:rsidR="00E74038" w:rsidRPr="007E6E00">
                        <w:rPr>
                          <w:rFonts w:asciiTheme="minorHAnsi" w:hAnsiTheme="minorHAnsi"/>
                          <w:color w:val="FFFFFF" w:themeColor="background1"/>
                          <w:sz w:val="22"/>
                          <w:lang w:val="pt-BR"/>
                        </w:rPr>
                        <w:t>146</w:t>
                      </w:r>
                    </w:p>
                    <w:p w14:paraId="0BEFF61A" w14:textId="7C7A1275" w:rsidR="000759B2" w:rsidRPr="004B7EB6" w:rsidRDefault="00E74038" w:rsidP="009E566A">
                      <w:pPr>
                        <w:jc w:val="right"/>
                        <w:rPr>
                          <w:rFonts w:asciiTheme="minorHAnsi" w:hAnsiTheme="minorHAnsi"/>
                          <w:color w:val="FFFFFF" w:themeColor="background1"/>
                          <w:sz w:val="22"/>
                        </w:rPr>
                      </w:pPr>
                      <w:r>
                        <w:rPr>
                          <w:rFonts w:asciiTheme="minorHAnsi" w:hAnsiTheme="minorHAnsi"/>
                          <w:color w:val="FFFFFF" w:themeColor="background1"/>
                          <w:sz w:val="22"/>
                          <w:lang w:val="en-GB"/>
                        </w:rPr>
                        <w:t>7</w:t>
                      </w:r>
                      <w:r w:rsidR="000759B2" w:rsidRPr="00814062">
                        <w:rPr>
                          <w:rFonts w:asciiTheme="minorHAnsi" w:hAnsiTheme="minorHAnsi"/>
                          <w:color w:val="FFFFFF" w:themeColor="background1"/>
                          <w:sz w:val="22"/>
                          <w:lang w:val="en-GB"/>
                        </w:rPr>
                        <w:t xml:space="preserve"> </w:t>
                      </w:r>
                      <w:r>
                        <w:rPr>
                          <w:rFonts w:asciiTheme="minorHAnsi" w:hAnsiTheme="minorHAnsi"/>
                          <w:color w:val="FFFFFF" w:themeColor="background1"/>
                          <w:sz w:val="22"/>
                        </w:rPr>
                        <w:t>September</w:t>
                      </w:r>
                      <w:r w:rsidR="000759B2">
                        <w:rPr>
                          <w:rFonts w:asciiTheme="minorHAnsi" w:hAnsiTheme="minorHAnsi"/>
                          <w:color w:val="FFFFFF" w:themeColor="background1"/>
                          <w:sz w:val="22"/>
                        </w:rPr>
                        <w:t xml:space="preserve"> 2</w:t>
                      </w:r>
                      <w:r w:rsidR="000759B2" w:rsidRPr="007A268D">
                        <w:rPr>
                          <w:rFonts w:asciiTheme="minorHAnsi" w:hAnsiTheme="minorHAnsi"/>
                          <w:color w:val="FFFFFF" w:themeColor="background1"/>
                          <w:sz w:val="22"/>
                        </w:rPr>
                        <w:t>017</w:t>
                      </w:r>
                    </w:p>
                    <w:p w14:paraId="0FC103BD" w14:textId="66D41BB2" w:rsidR="000759B2" w:rsidRPr="004B7EB6" w:rsidRDefault="000759B2"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CB66F4">
                        <w:rPr>
                          <w:rFonts w:asciiTheme="minorHAnsi" w:hAnsiTheme="minorHAnsi"/>
                          <w:color w:val="FFFFFF" w:themeColor="background1"/>
                          <w:sz w:val="22"/>
                        </w:rPr>
                        <w:t>Spanish</w:t>
                      </w:r>
                    </w:p>
                  </w:txbxContent>
                </v:textbox>
              </v:shape>
            </w:pict>
          </mc:Fallback>
        </mc:AlternateContent>
      </w:r>
      <w:r w:rsidR="00E533FF" w:rsidRPr="001279A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6BD464D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4D38704" w:rsidR="000759B2" w:rsidRPr="004B7EB6" w:rsidRDefault="00E7403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125</w:t>
                            </w:r>
                            <w:r w:rsidR="000759B2" w:rsidRPr="004B7EB6">
                              <w:rPr>
                                <w:rFonts w:asciiTheme="majorHAnsi" w:hAnsiTheme="majorHAnsi" w:cs="Arial"/>
                                <w:b/>
                                <w:bCs/>
                                <w:color w:val="0D0D0D" w:themeColor="text1" w:themeTint="F2"/>
                                <w:sz w:val="36"/>
                                <w:szCs w:val="40"/>
                              </w:rPr>
                              <w:t>/1</w:t>
                            </w:r>
                            <w:r w:rsidR="000759B2">
                              <w:rPr>
                                <w:rFonts w:asciiTheme="majorHAnsi" w:hAnsiTheme="majorHAnsi" w:cs="Arial"/>
                                <w:b/>
                                <w:bCs/>
                                <w:color w:val="0D0D0D" w:themeColor="text1" w:themeTint="F2"/>
                                <w:sz w:val="36"/>
                                <w:szCs w:val="40"/>
                              </w:rPr>
                              <w:t>7</w:t>
                            </w:r>
                          </w:p>
                          <w:p w14:paraId="081F51F3" w14:textId="3847B2FD" w:rsidR="000759B2" w:rsidRPr="004B7EB6" w:rsidRDefault="000759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1477-08</w:t>
                            </w:r>
                          </w:p>
                          <w:p w14:paraId="34978E5A" w14:textId="5F6F908C" w:rsidR="000759B2" w:rsidRPr="004B7EB6" w:rsidRDefault="000759B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0759B2" w:rsidRPr="004B7EB6" w:rsidRDefault="000759B2" w:rsidP="004B7EB6">
                            <w:pPr>
                              <w:spacing w:line="276" w:lineRule="auto"/>
                              <w:rPr>
                                <w:rFonts w:asciiTheme="majorHAnsi" w:hAnsiTheme="majorHAnsi" w:cs="Arial"/>
                                <w:color w:val="0D0D0D" w:themeColor="text1" w:themeTint="F2"/>
                                <w:szCs w:val="22"/>
                              </w:rPr>
                            </w:pPr>
                          </w:p>
                          <w:p w14:paraId="0154CE58" w14:textId="77777777" w:rsidR="000759B2" w:rsidRPr="0010736F" w:rsidRDefault="000759B2" w:rsidP="00CB66F4">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 xml:space="preserve">HENRY TORRES </w:t>
                            </w:r>
                            <w:r w:rsidRPr="00CB66F4">
                              <w:rPr>
                                <w:rFonts w:asciiTheme="majorHAnsi" w:hAnsiTheme="majorHAnsi" w:cs="Arial"/>
                                <w:i/>
                                <w:color w:val="0D0D0D" w:themeColor="text1" w:themeTint="F2"/>
                                <w:szCs w:val="22"/>
                                <w:lang w:val="es-ES_tradnl"/>
                              </w:rPr>
                              <w:t>ET AL.</w:t>
                            </w:r>
                          </w:p>
                          <w:bookmarkEnd w:id="1"/>
                          <w:p w14:paraId="2D7CBFBD" w14:textId="77777777" w:rsidR="000759B2" w:rsidRPr="0010736F" w:rsidRDefault="000759B2" w:rsidP="00CB66F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8EBC31A" w14:textId="680E22AA" w:rsidR="000759B2" w:rsidRPr="004B625D" w:rsidRDefault="000759B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0759B2" w:rsidRPr="000C4365" w:rsidRDefault="000759B2"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24D38704" w:rsidR="000759B2" w:rsidRPr="004B7EB6" w:rsidRDefault="00E7403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125</w:t>
                      </w:r>
                      <w:r w:rsidR="000759B2" w:rsidRPr="004B7EB6">
                        <w:rPr>
                          <w:rFonts w:asciiTheme="majorHAnsi" w:hAnsiTheme="majorHAnsi" w:cs="Arial"/>
                          <w:b/>
                          <w:bCs/>
                          <w:color w:val="0D0D0D" w:themeColor="text1" w:themeTint="F2"/>
                          <w:sz w:val="36"/>
                          <w:szCs w:val="40"/>
                        </w:rPr>
                        <w:t>/1</w:t>
                      </w:r>
                      <w:r w:rsidR="000759B2">
                        <w:rPr>
                          <w:rFonts w:asciiTheme="majorHAnsi" w:hAnsiTheme="majorHAnsi" w:cs="Arial"/>
                          <w:b/>
                          <w:bCs/>
                          <w:color w:val="0D0D0D" w:themeColor="text1" w:themeTint="F2"/>
                          <w:sz w:val="36"/>
                          <w:szCs w:val="40"/>
                        </w:rPr>
                        <w:t>7</w:t>
                      </w:r>
                    </w:p>
                    <w:p w14:paraId="081F51F3" w14:textId="3847B2FD" w:rsidR="000759B2" w:rsidRPr="004B7EB6" w:rsidRDefault="000759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1477-08</w:t>
                      </w:r>
                    </w:p>
                    <w:p w14:paraId="34978E5A" w14:textId="5F6F908C" w:rsidR="000759B2" w:rsidRPr="004B7EB6" w:rsidRDefault="000759B2"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0759B2" w:rsidRPr="004B7EB6" w:rsidRDefault="000759B2" w:rsidP="004B7EB6">
                      <w:pPr>
                        <w:spacing w:line="276" w:lineRule="auto"/>
                        <w:rPr>
                          <w:rFonts w:asciiTheme="majorHAnsi" w:hAnsiTheme="majorHAnsi" w:cs="Arial"/>
                          <w:color w:val="0D0D0D" w:themeColor="text1" w:themeTint="F2"/>
                          <w:szCs w:val="22"/>
                        </w:rPr>
                      </w:pPr>
                    </w:p>
                    <w:p w14:paraId="0154CE58" w14:textId="77777777" w:rsidR="000759B2" w:rsidRPr="0010736F" w:rsidRDefault="000759B2" w:rsidP="00CB66F4">
                      <w:pPr>
                        <w:spacing w:line="276" w:lineRule="auto"/>
                        <w:rPr>
                          <w:rFonts w:asciiTheme="majorHAnsi" w:hAnsiTheme="majorHAnsi" w:cs="Arial"/>
                          <w:color w:val="0D0D0D" w:themeColor="text1" w:themeTint="F2"/>
                          <w:szCs w:val="22"/>
                          <w:lang w:val="es-ES_tradnl"/>
                        </w:rPr>
                      </w:pPr>
                      <w:bookmarkStart w:id="1" w:name="_ftnref1"/>
                      <w:r>
                        <w:rPr>
                          <w:rFonts w:asciiTheme="majorHAnsi" w:hAnsiTheme="majorHAnsi" w:cs="Arial"/>
                          <w:color w:val="0D0D0D" w:themeColor="text1" w:themeTint="F2"/>
                          <w:szCs w:val="22"/>
                          <w:lang w:val="es-ES_tradnl"/>
                        </w:rPr>
                        <w:t xml:space="preserve">HENRY TORRES </w:t>
                      </w:r>
                      <w:r w:rsidRPr="00CB66F4">
                        <w:rPr>
                          <w:rFonts w:asciiTheme="majorHAnsi" w:hAnsiTheme="majorHAnsi" w:cs="Arial"/>
                          <w:i/>
                          <w:color w:val="0D0D0D" w:themeColor="text1" w:themeTint="F2"/>
                          <w:szCs w:val="22"/>
                          <w:lang w:val="es-ES_tradnl"/>
                        </w:rPr>
                        <w:t>ET AL.</w:t>
                      </w:r>
                    </w:p>
                    <w:bookmarkEnd w:id="1"/>
                    <w:p w14:paraId="2D7CBFBD" w14:textId="77777777" w:rsidR="000759B2" w:rsidRPr="0010736F" w:rsidRDefault="000759B2" w:rsidP="00CB66F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48EBC31A" w14:textId="680E22AA" w:rsidR="000759B2" w:rsidRPr="004B625D" w:rsidRDefault="000759B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p>
                    <w:p w14:paraId="17A89EFB" w14:textId="77777777" w:rsidR="000759B2" w:rsidRPr="000C4365" w:rsidRDefault="000759B2" w:rsidP="00F42B71">
                      <w:pPr>
                        <w:spacing w:line="276" w:lineRule="auto"/>
                        <w:rPr>
                          <w:rFonts w:asciiTheme="majorHAnsi" w:hAnsiTheme="majorHAnsi"/>
                          <w:color w:val="0D0D0D" w:themeColor="text1" w:themeTint="F2"/>
                        </w:rPr>
                      </w:pPr>
                    </w:p>
                  </w:txbxContent>
                </v:textbox>
              </v:shape>
            </w:pict>
          </mc:Fallback>
        </mc:AlternateContent>
      </w:r>
    </w:p>
    <w:p w14:paraId="3765F9FA" w14:textId="77777777" w:rsidR="00040C3A" w:rsidRPr="001279A2" w:rsidRDefault="00040C3A" w:rsidP="00040C3A">
      <w:pPr>
        <w:tabs>
          <w:tab w:val="center" w:pos="5400"/>
        </w:tabs>
        <w:suppressAutoHyphens/>
        <w:jc w:val="center"/>
        <w:rPr>
          <w:rFonts w:asciiTheme="majorHAnsi" w:hAnsiTheme="majorHAnsi"/>
          <w:sz w:val="22"/>
          <w:szCs w:val="22"/>
        </w:rPr>
      </w:pPr>
    </w:p>
    <w:p w14:paraId="5E33CE59" w14:textId="77777777" w:rsidR="00040C3A" w:rsidRPr="001279A2"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1279A2" w:rsidRDefault="00040C3A" w:rsidP="00040C3A">
      <w:pPr>
        <w:tabs>
          <w:tab w:val="center" w:pos="5400"/>
        </w:tabs>
        <w:suppressAutoHyphens/>
        <w:jc w:val="center"/>
        <w:rPr>
          <w:rFonts w:asciiTheme="majorHAnsi" w:hAnsiTheme="majorHAnsi"/>
          <w:sz w:val="22"/>
          <w:szCs w:val="22"/>
        </w:rPr>
      </w:pPr>
    </w:p>
    <w:p w14:paraId="43677EE2" w14:textId="77777777" w:rsidR="00040C3A" w:rsidRPr="001279A2" w:rsidRDefault="00040C3A" w:rsidP="00040C3A">
      <w:pPr>
        <w:tabs>
          <w:tab w:val="center" w:pos="5400"/>
        </w:tabs>
        <w:suppressAutoHyphens/>
        <w:jc w:val="center"/>
        <w:rPr>
          <w:rFonts w:asciiTheme="majorHAnsi" w:hAnsiTheme="majorHAnsi"/>
          <w:sz w:val="22"/>
          <w:szCs w:val="22"/>
        </w:rPr>
      </w:pPr>
    </w:p>
    <w:p w14:paraId="747B776B" w14:textId="77777777" w:rsidR="00040C3A" w:rsidRPr="001279A2" w:rsidRDefault="00040C3A" w:rsidP="00040C3A">
      <w:pPr>
        <w:tabs>
          <w:tab w:val="center" w:pos="5400"/>
        </w:tabs>
        <w:suppressAutoHyphens/>
        <w:jc w:val="center"/>
        <w:rPr>
          <w:rFonts w:asciiTheme="majorHAnsi" w:hAnsiTheme="majorHAnsi"/>
          <w:sz w:val="22"/>
          <w:szCs w:val="22"/>
        </w:rPr>
      </w:pPr>
    </w:p>
    <w:p w14:paraId="3FA14379" w14:textId="77777777" w:rsidR="00040C3A" w:rsidRPr="001279A2" w:rsidRDefault="00040C3A" w:rsidP="00040C3A">
      <w:pPr>
        <w:tabs>
          <w:tab w:val="center" w:pos="5400"/>
        </w:tabs>
        <w:suppressAutoHyphens/>
        <w:jc w:val="center"/>
        <w:rPr>
          <w:rFonts w:asciiTheme="majorHAnsi" w:hAnsiTheme="majorHAnsi"/>
          <w:sz w:val="22"/>
          <w:szCs w:val="22"/>
        </w:rPr>
      </w:pPr>
    </w:p>
    <w:p w14:paraId="28A65FAF" w14:textId="77777777" w:rsidR="005128E4" w:rsidRPr="001279A2" w:rsidRDefault="005128E4" w:rsidP="00040C3A">
      <w:pPr>
        <w:tabs>
          <w:tab w:val="center" w:pos="5400"/>
        </w:tabs>
        <w:suppressAutoHyphens/>
        <w:jc w:val="center"/>
        <w:rPr>
          <w:rFonts w:asciiTheme="majorHAnsi" w:hAnsiTheme="majorHAnsi"/>
          <w:sz w:val="22"/>
          <w:szCs w:val="22"/>
        </w:rPr>
      </w:pPr>
    </w:p>
    <w:p w14:paraId="11B1978A" w14:textId="77777777" w:rsidR="00040C3A" w:rsidRPr="001279A2" w:rsidRDefault="00040C3A" w:rsidP="00040C3A">
      <w:pPr>
        <w:tabs>
          <w:tab w:val="center" w:pos="5400"/>
        </w:tabs>
        <w:suppressAutoHyphens/>
        <w:jc w:val="center"/>
        <w:rPr>
          <w:rFonts w:asciiTheme="majorHAnsi" w:hAnsiTheme="majorHAnsi"/>
          <w:sz w:val="22"/>
          <w:szCs w:val="22"/>
        </w:rPr>
      </w:pPr>
    </w:p>
    <w:p w14:paraId="650F503D" w14:textId="77777777" w:rsidR="005128E4" w:rsidRPr="001279A2" w:rsidRDefault="005128E4" w:rsidP="00040C3A">
      <w:pPr>
        <w:tabs>
          <w:tab w:val="center" w:pos="5400"/>
        </w:tabs>
        <w:suppressAutoHyphens/>
        <w:jc w:val="center"/>
        <w:rPr>
          <w:rFonts w:asciiTheme="majorHAnsi" w:hAnsiTheme="majorHAnsi"/>
          <w:sz w:val="22"/>
          <w:szCs w:val="22"/>
        </w:rPr>
      </w:pPr>
    </w:p>
    <w:p w14:paraId="17861C77" w14:textId="77777777" w:rsidR="005128E4" w:rsidRPr="001279A2" w:rsidRDefault="005128E4" w:rsidP="00040C3A">
      <w:pPr>
        <w:tabs>
          <w:tab w:val="center" w:pos="5400"/>
        </w:tabs>
        <w:suppressAutoHyphens/>
        <w:jc w:val="center"/>
        <w:rPr>
          <w:rFonts w:asciiTheme="majorHAnsi" w:hAnsiTheme="majorHAnsi"/>
          <w:sz w:val="22"/>
          <w:szCs w:val="22"/>
        </w:rPr>
      </w:pPr>
    </w:p>
    <w:p w14:paraId="0EFEAEB7" w14:textId="77777777" w:rsidR="005128E4" w:rsidRPr="001279A2" w:rsidRDefault="005128E4" w:rsidP="00040C3A">
      <w:pPr>
        <w:tabs>
          <w:tab w:val="center" w:pos="5400"/>
        </w:tabs>
        <w:suppressAutoHyphens/>
        <w:jc w:val="center"/>
        <w:rPr>
          <w:rFonts w:asciiTheme="majorHAnsi" w:hAnsiTheme="majorHAnsi"/>
          <w:sz w:val="22"/>
          <w:szCs w:val="22"/>
        </w:rPr>
      </w:pPr>
    </w:p>
    <w:p w14:paraId="5B815FC5" w14:textId="77777777" w:rsidR="00040C3A" w:rsidRPr="001279A2" w:rsidRDefault="00040C3A" w:rsidP="00040C3A">
      <w:pPr>
        <w:tabs>
          <w:tab w:val="center" w:pos="5400"/>
        </w:tabs>
        <w:suppressAutoHyphens/>
        <w:jc w:val="center"/>
        <w:rPr>
          <w:rFonts w:asciiTheme="majorHAnsi" w:hAnsiTheme="majorHAnsi"/>
          <w:sz w:val="22"/>
          <w:szCs w:val="22"/>
        </w:rPr>
      </w:pPr>
    </w:p>
    <w:p w14:paraId="0D43F8BD" w14:textId="77777777" w:rsidR="00040C3A" w:rsidRPr="001279A2" w:rsidRDefault="00040C3A" w:rsidP="00040C3A">
      <w:pPr>
        <w:tabs>
          <w:tab w:val="center" w:pos="5400"/>
        </w:tabs>
        <w:suppressAutoHyphens/>
        <w:jc w:val="center"/>
        <w:rPr>
          <w:rFonts w:asciiTheme="majorHAnsi" w:hAnsiTheme="majorHAnsi"/>
          <w:sz w:val="22"/>
          <w:szCs w:val="22"/>
        </w:rPr>
      </w:pPr>
    </w:p>
    <w:p w14:paraId="03AA1AEB" w14:textId="77777777" w:rsidR="002C1641" w:rsidRPr="001279A2" w:rsidRDefault="002C1641" w:rsidP="00040C3A">
      <w:pPr>
        <w:tabs>
          <w:tab w:val="center" w:pos="5400"/>
        </w:tabs>
        <w:suppressAutoHyphens/>
        <w:jc w:val="center"/>
        <w:rPr>
          <w:rFonts w:asciiTheme="majorHAnsi" w:hAnsiTheme="majorHAnsi"/>
          <w:sz w:val="18"/>
          <w:szCs w:val="22"/>
        </w:rPr>
      </w:pPr>
    </w:p>
    <w:p w14:paraId="2FD75BF3" w14:textId="77777777" w:rsidR="002C1641" w:rsidRPr="001279A2" w:rsidRDefault="002C1641" w:rsidP="00040C3A">
      <w:pPr>
        <w:tabs>
          <w:tab w:val="center" w:pos="5400"/>
        </w:tabs>
        <w:suppressAutoHyphens/>
        <w:jc w:val="center"/>
        <w:rPr>
          <w:rFonts w:asciiTheme="majorHAnsi" w:hAnsiTheme="majorHAnsi"/>
          <w:sz w:val="18"/>
          <w:szCs w:val="22"/>
        </w:rPr>
      </w:pPr>
    </w:p>
    <w:p w14:paraId="73EF440E" w14:textId="77777777" w:rsidR="002C1641" w:rsidRPr="001279A2" w:rsidRDefault="002C1641" w:rsidP="00040C3A">
      <w:pPr>
        <w:tabs>
          <w:tab w:val="center" w:pos="5400"/>
        </w:tabs>
        <w:suppressAutoHyphens/>
        <w:jc w:val="center"/>
        <w:rPr>
          <w:rFonts w:asciiTheme="majorHAnsi" w:hAnsiTheme="majorHAnsi"/>
          <w:sz w:val="18"/>
          <w:szCs w:val="22"/>
        </w:rPr>
      </w:pPr>
    </w:p>
    <w:p w14:paraId="3D12B191" w14:textId="77777777" w:rsidR="002C1641" w:rsidRPr="001279A2" w:rsidRDefault="002C1641" w:rsidP="00040C3A">
      <w:pPr>
        <w:tabs>
          <w:tab w:val="center" w:pos="5400"/>
        </w:tabs>
        <w:suppressAutoHyphens/>
        <w:jc w:val="center"/>
        <w:rPr>
          <w:rFonts w:asciiTheme="majorHAnsi" w:hAnsiTheme="majorHAnsi"/>
          <w:sz w:val="18"/>
          <w:szCs w:val="22"/>
        </w:rPr>
      </w:pPr>
    </w:p>
    <w:p w14:paraId="1132D17C" w14:textId="77777777" w:rsidR="002C1641" w:rsidRPr="001279A2" w:rsidRDefault="002C1641" w:rsidP="00040C3A">
      <w:pPr>
        <w:tabs>
          <w:tab w:val="center" w:pos="5400"/>
        </w:tabs>
        <w:suppressAutoHyphens/>
        <w:jc w:val="center"/>
        <w:rPr>
          <w:rFonts w:asciiTheme="majorHAnsi" w:hAnsiTheme="majorHAnsi"/>
          <w:sz w:val="18"/>
          <w:szCs w:val="22"/>
        </w:rPr>
      </w:pPr>
    </w:p>
    <w:p w14:paraId="659B324C" w14:textId="77777777" w:rsidR="002C1641" w:rsidRPr="001279A2" w:rsidRDefault="002C1641" w:rsidP="00040C3A">
      <w:pPr>
        <w:tabs>
          <w:tab w:val="center" w:pos="5400"/>
        </w:tabs>
        <w:suppressAutoHyphens/>
        <w:jc w:val="center"/>
        <w:rPr>
          <w:rFonts w:asciiTheme="majorHAnsi" w:hAnsiTheme="majorHAnsi"/>
          <w:sz w:val="18"/>
          <w:szCs w:val="22"/>
        </w:rPr>
      </w:pPr>
    </w:p>
    <w:p w14:paraId="0DE58CEA" w14:textId="77777777" w:rsidR="002C1641" w:rsidRPr="001279A2" w:rsidRDefault="002C1641" w:rsidP="00040C3A">
      <w:pPr>
        <w:tabs>
          <w:tab w:val="center" w:pos="5400"/>
        </w:tabs>
        <w:suppressAutoHyphens/>
        <w:jc w:val="center"/>
        <w:rPr>
          <w:rFonts w:asciiTheme="majorHAnsi" w:hAnsiTheme="majorHAnsi"/>
          <w:sz w:val="18"/>
          <w:szCs w:val="22"/>
        </w:rPr>
      </w:pPr>
    </w:p>
    <w:p w14:paraId="3A5BB7C9" w14:textId="77777777" w:rsidR="002C1641" w:rsidRPr="001279A2" w:rsidRDefault="002C1641" w:rsidP="00040C3A">
      <w:pPr>
        <w:tabs>
          <w:tab w:val="center" w:pos="5400"/>
        </w:tabs>
        <w:suppressAutoHyphens/>
        <w:jc w:val="center"/>
        <w:rPr>
          <w:rFonts w:asciiTheme="majorHAnsi" w:hAnsiTheme="majorHAnsi"/>
          <w:sz w:val="18"/>
          <w:szCs w:val="22"/>
        </w:rPr>
      </w:pPr>
    </w:p>
    <w:p w14:paraId="6BA67E7F" w14:textId="77777777" w:rsidR="002C1641" w:rsidRPr="001279A2" w:rsidRDefault="002C1641" w:rsidP="00040C3A">
      <w:pPr>
        <w:tabs>
          <w:tab w:val="center" w:pos="5400"/>
        </w:tabs>
        <w:suppressAutoHyphens/>
        <w:jc w:val="center"/>
        <w:rPr>
          <w:rFonts w:asciiTheme="majorHAnsi" w:hAnsiTheme="majorHAnsi"/>
          <w:sz w:val="18"/>
          <w:szCs w:val="22"/>
        </w:rPr>
      </w:pPr>
    </w:p>
    <w:p w14:paraId="6D4FBE3A" w14:textId="77777777" w:rsidR="002C1641" w:rsidRPr="001279A2" w:rsidRDefault="002C1641" w:rsidP="00040C3A">
      <w:pPr>
        <w:tabs>
          <w:tab w:val="center" w:pos="5400"/>
        </w:tabs>
        <w:suppressAutoHyphens/>
        <w:jc w:val="center"/>
        <w:rPr>
          <w:rFonts w:asciiTheme="majorHAnsi" w:hAnsiTheme="majorHAnsi"/>
          <w:sz w:val="18"/>
          <w:szCs w:val="22"/>
        </w:rPr>
      </w:pPr>
    </w:p>
    <w:p w14:paraId="2741AD16" w14:textId="77777777" w:rsidR="002C1641" w:rsidRPr="001279A2" w:rsidRDefault="002C1641" w:rsidP="00040C3A">
      <w:pPr>
        <w:tabs>
          <w:tab w:val="center" w:pos="5400"/>
        </w:tabs>
        <w:suppressAutoHyphens/>
        <w:jc w:val="center"/>
        <w:rPr>
          <w:rFonts w:asciiTheme="majorHAnsi" w:hAnsiTheme="majorHAnsi"/>
          <w:sz w:val="18"/>
          <w:szCs w:val="22"/>
        </w:rPr>
      </w:pPr>
    </w:p>
    <w:p w14:paraId="1D99DBC4" w14:textId="77777777" w:rsidR="002C1641" w:rsidRPr="001279A2" w:rsidRDefault="002C1641" w:rsidP="00040C3A">
      <w:pPr>
        <w:tabs>
          <w:tab w:val="center" w:pos="5400"/>
        </w:tabs>
        <w:suppressAutoHyphens/>
        <w:jc w:val="center"/>
        <w:rPr>
          <w:rFonts w:asciiTheme="majorHAnsi" w:hAnsiTheme="majorHAnsi"/>
          <w:sz w:val="18"/>
          <w:szCs w:val="22"/>
        </w:rPr>
      </w:pPr>
    </w:p>
    <w:p w14:paraId="3290BF94" w14:textId="77777777" w:rsidR="002C1641" w:rsidRPr="001279A2" w:rsidRDefault="003C32BC" w:rsidP="00040C3A">
      <w:pPr>
        <w:tabs>
          <w:tab w:val="center" w:pos="5400"/>
        </w:tabs>
        <w:suppressAutoHyphens/>
        <w:jc w:val="center"/>
        <w:rPr>
          <w:rFonts w:asciiTheme="majorHAnsi" w:hAnsiTheme="majorHAnsi"/>
          <w:sz w:val="18"/>
          <w:szCs w:val="22"/>
        </w:rPr>
      </w:pPr>
      <w:r w:rsidRPr="001279A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E74A6" w14:textId="77777777" w:rsidR="00E74038" w:rsidRPr="00E74038" w:rsidRDefault="00E74038" w:rsidP="00E74038">
                            <w:pPr>
                              <w:tabs>
                                <w:tab w:val="center" w:pos="5400"/>
                              </w:tabs>
                              <w:suppressAutoHyphens/>
                              <w:spacing w:before="60"/>
                              <w:rPr>
                                <w:rFonts w:asciiTheme="majorHAnsi" w:hAnsiTheme="majorHAnsi"/>
                                <w:color w:val="0D0D0D" w:themeColor="text1" w:themeTint="F2"/>
                                <w:sz w:val="18"/>
                                <w:szCs w:val="20"/>
                              </w:rPr>
                            </w:pPr>
                            <w:r w:rsidRPr="00E74038">
                              <w:rPr>
                                <w:rFonts w:asciiTheme="majorHAnsi" w:hAnsiTheme="majorHAnsi"/>
                                <w:color w:val="0D0D0D" w:themeColor="text1" w:themeTint="F2"/>
                                <w:sz w:val="18"/>
                                <w:szCs w:val="20"/>
                              </w:rPr>
                              <w:t>Approved by the Commission at its session No. 2098 held on September 7, 2017</w:t>
                            </w:r>
                            <w:r w:rsidRPr="00E74038">
                              <w:rPr>
                                <w:rFonts w:asciiTheme="majorHAnsi" w:hAnsiTheme="majorHAnsi"/>
                                <w:color w:val="0D0D0D" w:themeColor="text1" w:themeTint="F2"/>
                                <w:sz w:val="18"/>
                                <w:szCs w:val="20"/>
                              </w:rPr>
                              <w:br/>
                              <w:t>164</w:t>
                            </w:r>
                            <w:r w:rsidRPr="00E74038">
                              <w:rPr>
                                <w:rFonts w:asciiTheme="majorHAnsi" w:hAnsiTheme="majorHAnsi"/>
                                <w:color w:val="0D0D0D" w:themeColor="text1" w:themeTint="F2"/>
                                <w:sz w:val="18"/>
                                <w:szCs w:val="20"/>
                                <w:vertAlign w:val="superscript"/>
                              </w:rPr>
                              <w:t>th</w:t>
                            </w:r>
                            <w:r w:rsidRPr="00E74038">
                              <w:rPr>
                                <w:rFonts w:asciiTheme="majorHAnsi" w:hAnsiTheme="majorHAnsi"/>
                                <w:color w:val="0D0D0D" w:themeColor="text1" w:themeTint="F2"/>
                                <w:sz w:val="18"/>
                                <w:szCs w:val="20"/>
                              </w:rPr>
                              <w:t xml:space="preserve"> Extraordinary Period of Session</w:t>
                            </w:r>
                          </w:p>
                          <w:p w14:paraId="73FCCD9D" w14:textId="77777777" w:rsidR="000759B2" w:rsidRPr="003C32BC" w:rsidRDefault="000759B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57CE74A6" w14:textId="77777777" w:rsidR="00E74038" w:rsidRPr="00E74038" w:rsidRDefault="00E74038" w:rsidP="00E74038">
                      <w:pPr>
                        <w:tabs>
                          <w:tab w:val="center" w:pos="5400"/>
                        </w:tabs>
                        <w:suppressAutoHyphens/>
                        <w:spacing w:before="60"/>
                        <w:rPr>
                          <w:rFonts w:asciiTheme="majorHAnsi" w:hAnsiTheme="majorHAnsi"/>
                          <w:color w:val="0D0D0D" w:themeColor="text1" w:themeTint="F2"/>
                          <w:sz w:val="18"/>
                          <w:szCs w:val="20"/>
                        </w:rPr>
                      </w:pPr>
                      <w:r w:rsidRPr="00E74038">
                        <w:rPr>
                          <w:rFonts w:asciiTheme="majorHAnsi" w:hAnsiTheme="majorHAnsi"/>
                          <w:color w:val="0D0D0D" w:themeColor="text1" w:themeTint="F2"/>
                          <w:sz w:val="18"/>
                          <w:szCs w:val="20"/>
                        </w:rPr>
                        <w:t>Approved by the Commission at its session No. 2098 held on September 7, 2017</w:t>
                      </w:r>
                      <w:r w:rsidRPr="00E74038">
                        <w:rPr>
                          <w:rFonts w:asciiTheme="majorHAnsi" w:hAnsiTheme="majorHAnsi"/>
                          <w:color w:val="0D0D0D" w:themeColor="text1" w:themeTint="F2"/>
                          <w:sz w:val="18"/>
                          <w:szCs w:val="20"/>
                        </w:rPr>
                        <w:br/>
                        <w:t>164</w:t>
                      </w:r>
                      <w:r w:rsidRPr="00E74038">
                        <w:rPr>
                          <w:rFonts w:asciiTheme="majorHAnsi" w:hAnsiTheme="majorHAnsi"/>
                          <w:color w:val="0D0D0D" w:themeColor="text1" w:themeTint="F2"/>
                          <w:sz w:val="18"/>
                          <w:szCs w:val="20"/>
                          <w:vertAlign w:val="superscript"/>
                        </w:rPr>
                        <w:t>th</w:t>
                      </w:r>
                      <w:r w:rsidRPr="00E74038">
                        <w:rPr>
                          <w:rFonts w:asciiTheme="majorHAnsi" w:hAnsiTheme="majorHAnsi"/>
                          <w:color w:val="0D0D0D" w:themeColor="text1" w:themeTint="F2"/>
                          <w:sz w:val="18"/>
                          <w:szCs w:val="20"/>
                        </w:rPr>
                        <w:t xml:space="preserve"> Extraordinary Period of Session</w:t>
                      </w:r>
                    </w:p>
                    <w:p w14:paraId="73FCCD9D" w14:textId="77777777" w:rsidR="000759B2" w:rsidRPr="003C32BC" w:rsidRDefault="000759B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1279A2" w:rsidRDefault="002C1641" w:rsidP="00040C3A">
      <w:pPr>
        <w:tabs>
          <w:tab w:val="center" w:pos="5400"/>
        </w:tabs>
        <w:suppressAutoHyphens/>
        <w:jc w:val="center"/>
        <w:rPr>
          <w:rFonts w:asciiTheme="majorHAnsi" w:hAnsiTheme="majorHAnsi"/>
          <w:sz w:val="18"/>
          <w:szCs w:val="22"/>
        </w:rPr>
      </w:pPr>
    </w:p>
    <w:p w14:paraId="3751FEDE" w14:textId="77777777" w:rsidR="002C1641" w:rsidRPr="001279A2" w:rsidRDefault="002C1641" w:rsidP="00040C3A">
      <w:pPr>
        <w:tabs>
          <w:tab w:val="center" w:pos="5400"/>
        </w:tabs>
        <w:suppressAutoHyphens/>
        <w:jc w:val="center"/>
        <w:rPr>
          <w:rFonts w:asciiTheme="majorHAnsi" w:hAnsiTheme="majorHAnsi"/>
          <w:sz w:val="18"/>
          <w:szCs w:val="22"/>
        </w:rPr>
      </w:pPr>
    </w:p>
    <w:p w14:paraId="5FAB54E7" w14:textId="77777777" w:rsidR="002C1641" w:rsidRPr="001279A2" w:rsidRDefault="002C1641" w:rsidP="00040C3A">
      <w:pPr>
        <w:tabs>
          <w:tab w:val="center" w:pos="5400"/>
        </w:tabs>
        <w:suppressAutoHyphens/>
        <w:jc w:val="center"/>
        <w:rPr>
          <w:rFonts w:asciiTheme="majorHAnsi" w:hAnsiTheme="majorHAnsi"/>
          <w:sz w:val="18"/>
          <w:szCs w:val="22"/>
        </w:rPr>
      </w:pPr>
    </w:p>
    <w:p w14:paraId="4AE4FBFB" w14:textId="77777777" w:rsidR="002C1641" w:rsidRPr="001279A2" w:rsidRDefault="002C1641" w:rsidP="00040C3A">
      <w:pPr>
        <w:tabs>
          <w:tab w:val="center" w:pos="5400"/>
        </w:tabs>
        <w:suppressAutoHyphens/>
        <w:jc w:val="center"/>
        <w:rPr>
          <w:rFonts w:asciiTheme="majorHAnsi" w:hAnsiTheme="majorHAnsi"/>
          <w:sz w:val="18"/>
          <w:szCs w:val="22"/>
        </w:rPr>
      </w:pPr>
    </w:p>
    <w:p w14:paraId="4DA3B2C3" w14:textId="77777777" w:rsidR="002C1641" w:rsidRPr="001279A2" w:rsidRDefault="003C32BC" w:rsidP="00040C3A">
      <w:pPr>
        <w:tabs>
          <w:tab w:val="center" w:pos="5400"/>
        </w:tabs>
        <w:suppressAutoHyphens/>
        <w:jc w:val="center"/>
        <w:rPr>
          <w:rFonts w:asciiTheme="majorHAnsi" w:hAnsiTheme="majorHAnsi"/>
          <w:sz w:val="18"/>
          <w:szCs w:val="22"/>
        </w:rPr>
      </w:pPr>
      <w:r w:rsidRPr="001279A2">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3040BD1" w:rsidR="000759B2" w:rsidRPr="003C32BC" w:rsidRDefault="000759B2" w:rsidP="00E7403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74038">
                              <w:rPr>
                                <w:rFonts w:asciiTheme="majorHAnsi" w:hAnsiTheme="majorHAnsi"/>
                                <w:color w:val="595959" w:themeColor="text1" w:themeTint="A6"/>
                                <w:sz w:val="18"/>
                              </w:rPr>
                              <w:t>125/17. Petition 1477-0</w:t>
                            </w:r>
                            <w:r w:rsidR="007E6E00">
                              <w:rPr>
                                <w:rFonts w:asciiTheme="majorHAnsi" w:hAnsiTheme="majorHAnsi"/>
                                <w:color w:val="595959" w:themeColor="text1" w:themeTint="A6"/>
                                <w:sz w:val="18"/>
                              </w:rPr>
                              <w:t>8. Admissibility. Henry Torres e</w:t>
                            </w:r>
                            <w:r w:rsidR="00E74038">
                              <w:rPr>
                                <w:rFonts w:asciiTheme="majorHAnsi" w:hAnsiTheme="majorHAnsi"/>
                                <w:color w:val="595959" w:themeColor="text1" w:themeTint="A6"/>
                                <w:sz w:val="18"/>
                              </w:rPr>
                              <w:t xml:space="preserve">t Al. </w:t>
                            </w:r>
                            <w:r w:rsidR="00E74038" w:rsidRPr="00E74038">
                              <w:rPr>
                                <w:rFonts w:asciiTheme="majorHAnsi" w:hAnsiTheme="majorHAnsi"/>
                                <w:color w:val="595959" w:themeColor="text1" w:themeTint="A6"/>
                                <w:sz w:val="18"/>
                              </w:rPr>
                              <w:t>Colombia</w:t>
                            </w:r>
                            <w:r w:rsidR="00E74038">
                              <w:rPr>
                                <w:rFonts w:asciiTheme="majorHAnsi" w:hAnsiTheme="majorHAnsi"/>
                                <w:color w:val="595959" w:themeColor="text1" w:themeTint="A6"/>
                                <w:sz w:val="18"/>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3040BD1" w:rsidR="000759B2" w:rsidRPr="003C32BC" w:rsidRDefault="000759B2" w:rsidP="00E74038">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74038">
                        <w:rPr>
                          <w:rFonts w:asciiTheme="majorHAnsi" w:hAnsiTheme="majorHAnsi"/>
                          <w:color w:val="595959" w:themeColor="text1" w:themeTint="A6"/>
                          <w:sz w:val="18"/>
                        </w:rPr>
                        <w:t xml:space="preserve">125/17. </w:t>
                      </w:r>
                      <w:proofErr w:type="gramStart"/>
                      <w:r w:rsidR="00E74038">
                        <w:rPr>
                          <w:rFonts w:asciiTheme="majorHAnsi" w:hAnsiTheme="majorHAnsi"/>
                          <w:color w:val="595959" w:themeColor="text1" w:themeTint="A6"/>
                          <w:sz w:val="18"/>
                        </w:rPr>
                        <w:t>Petition 1477-0</w:t>
                      </w:r>
                      <w:r w:rsidR="007E6E00">
                        <w:rPr>
                          <w:rFonts w:asciiTheme="majorHAnsi" w:hAnsiTheme="majorHAnsi"/>
                          <w:color w:val="595959" w:themeColor="text1" w:themeTint="A6"/>
                          <w:sz w:val="18"/>
                        </w:rPr>
                        <w:t>8.</w:t>
                      </w:r>
                      <w:proofErr w:type="gramEnd"/>
                      <w:r w:rsidR="007E6E00">
                        <w:rPr>
                          <w:rFonts w:asciiTheme="majorHAnsi" w:hAnsiTheme="majorHAnsi"/>
                          <w:color w:val="595959" w:themeColor="text1" w:themeTint="A6"/>
                          <w:sz w:val="18"/>
                        </w:rPr>
                        <w:t xml:space="preserve"> </w:t>
                      </w:r>
                      <w:proofErr w:type="gramStart"/>
                      <w:r w:rsidR="007E6E00">
                        <w:rPr>
                          <w:rFonts w:asciiTheme="majorHAnsi" w:hAnsiTheme="majorHAnsi"/>
                          <w:color w:val="595959" w:themeColor="text1" w:themeTint="A6"/>
                          <w:sz w:val="18"/>
                        </w:rPr>
                        <w:t>Admissibility.</w:t>
                      </w:r>
                      <w:proofErr w:type="gramEnd"/>
                      <w:r w:rsidR="007E6E00">
                        <w:rPr>
                          <w:rFonts w:asciiTheme="majorHAnsi" w:hAnsiTheme="majorHAnsi"/>
                          <w:color w:val="595959" w:themeColor="text1" w:themeTint="A6"/>
                          <w:sz w:val="18"/>
                        </w:rPr>
                        <w:t xml:space="preserve"> </w:t>
                      </w:r>
                      <w:proofErr w:type="gramStart"/>
                      <w:r w:rsidR="007E6E00">
                        <w:rPr>
                          <w:rFonts w:asciiTheme="majorHAnsi" w:hAnsiTheme="majorHAnsi"/>
                          <w:color w:val="595959" w:themeColor="text1" w:themeTint="A6"/>
                          <w:sz w:val="18"/>
                        </w:rPr>
                        <w:t>Henry Torres e</w:t>
                      </w:r>
                      <w:r w:rsidR="00E74038">
                        <w:rPr>
                          <w:rFonts w:asciiTheme="majorHAnsi" w:hAnsiTheme="majorHAnsi"/>
                          <w:color w:val="595959" w:themeColor="text1" w:themeTint="A6"/>
                          <w:sz w:val="18"/>
                        </w:rPr>
                        <w:t xml:space="preserve">t Al. </w:t>
                      </w:r>
                      <w:r w:rsidR="00E74038" w:rsidRPr="00E74038">
                        <w:rPr>
                          <w:rFonts w:asciiTheme="majorHAnsi" w:hAnsiTheme="majorHAnsi"/>
                          <w:color w:val="595959" w:themeColor="text1" w:themeTint="A6"/>
                          <w:sz w:val="18"/>
                        </w:rPr>
                        <w:t>Colombia</w:t>
                      </w:r>
                      <w:r w:rsidR="00E74038">
                        <w:rPr>
                          <w:rFonts w:asciiTheme="majorHAnsi" w:hAnsiTheme="majorHAnsi"/>
                          <w:color w:val="595959" w:themeColor="text1" w:themeTint="A6"/>
                          <w:sz w:val="18"/>
                        </w:rPr>
                        <w:t>.</w:t>
                      </w:r>
                      <w:proofErr w:type="gramEnd"/>
                      <w:r w:rsidR="00E74038">
                        <w:rPr>
                          <w:rFonts w:asciiTheme="majorHAnsi" w:hAnsiTheme="majorHAnsi"/>
                          <w:color w:val="595959" w:themeColor="text1" w:themeTint="A6"/>
                          <w:sz w:val="18"/>
                        </w:rPr>
                        <w:t xml:space="preserve"> September 7, 2017.</w:t>
                      </w:r>
                    </w:p>
                  </w:txbxContent>
                </v:textbox>
              </v:shape>
            </w:pict>
          </mc:Fallback>
        </mc:AlternateContent>
      </w:r>
    </w:p>
    <w:p w14:paraId="1C0DAFDE" w14:textId="77777777" w:rsidR="002C1641" w:rsidRPr="001279A2" w:rsidRDefault="002C1641" w:rsidP="00040C3A">
      <w:pPr>
        <w:tabs>
          <w:tab w:val="center" w:pos="5400"/>
        </w:tabs>
        <w:suppressAutoHyphens/>
        <w:jc w:val="center"/>
        <w:rPr>
          <w:rFonts w:asciiTheme="majorHAnsi" w:hAnsiTheme="majorHAnsi"/>
          <w:sz w:val="18"/>
          <w:szCs w:val="22"/>
        </w:rPr>
      </w:pPr>
    </w:p>
    <w:p w14:paraId="5420A6FF" w14:textId="77777777" w:rsidR="002C1641" w:rsidRPr="001279A2" w:rsidRDefault="002C1641" w:rsidP="00040C3A">
      <w:pPr>
        <w:tabs>
          <w:tab w:val="center" w:pos="5400"/>
        </w:tabs>
        <w:suppressAutoHyphens/>
        <w:jc w:val="center"/>
        <w:rPr>
          <w:rFonts w:asciiTheme="majorHAnsi" w:hAnsiTheme="majorHAnsi"/>
          <w:sz w:val="18"/>
          <w:szCs w:val="22"/>
        </w:rPr>
      </w:pPr>
    </w:p>
    <w:p w14:paraId="03B36C31" w14:textId="77777777" w:rsidR="003C32BC" w:rsidRPr="001279A2" w:rsidRDefault="003C32BC" w:rsidP="003C32BC">
      <w:pPr>
        <w:tabs>
          <w:tab w:val="center" w:pos="5400"/>
        </w:tabs>
        <w:suppressAutoHyphens/>
        <w:jc w:val="center"/>
        <w:rPr>
          <w:rFonts w:asciiTheme="majorHAnsi" w:hAnsiTheme="majorHAnsi"/>
          <w:sz w:val="18"/>
          <w:szCs w:val="22"/>
        </w:rPr>
      </w:pPr>
    </w:p>
    <w:p w14:paraId="154A4854" w14:textId="77777777" w:rsidR="003C32BC" w:rsidRPr="001279A2" w:rsidRDefault="006311DA" w:rsidP="003C32BC">
      <w:pPr>
        <w:tabs>
          <w:tab w:val="center" w:pos="5400"/>
        </w:tabs>
        <w:suppressAutoHyphens/>
        <w:jc w:val="center"/>
        <w:rPr>
          <w:rFonts w:asciiTheme="majorHAnsi" w:hAnsiTheme="majorHAnsi"/>
          <w:sz w:val="18"/>
          <w:szCs w:val="22"/>
        </w:rPr>
      </w:pPr>
      <w:r w:rsidRPr="001279A2">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0759B2" w:rsidRPr="004B7EB6" w:rsidRDefault="000759B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0759B2" w:rsidRPr="004B7EB6" w:rsidRDefault="000759B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1279A2">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0759B2" w:rsidRDefault="000759B2">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0759B2" w:rsidRDefault="000759B2">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1279A2" w:rsidRDefault="007607C4" w:rsidP="003C32BC">
      <w:pPr>
        <w:tabs>
          <w:tab w:val="center" w:pos="5400"/>
        </w:tabs>
        <w:suppressAutoHyphens/>
        <w:jc w:val="center"/>
        <w:rPr>
          <w:rFonts w:asciiTheme="majorHAnsi" w:hAnsiTheme="majorHAnsi"/>
          <w:sz w:val="18"/>
          <w:szCs w:val="22"/>
        </w:rPr>
        <w:sectPr w:rsidR="007607C4" w:rsidRPr="001279A2"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68467D90" w:rsidR="00F621C3" w:rsidRPr="001279A2" w:rsidRDefault="007E6E00"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125</w:t>
      </w:r>
      <w:r w:rsidR="00F621C3" w:rsidRPr="001279A2">
        <w:rPr>
          <w:rFonts w:asciiTheme="majorHAnsi" w:hAnsiTheme="majorHAnsi"/>
          <w:b/>
          <w:sz w:val="18"/>
          <w:szCs w:val="20"/>
        </w:rPr>
        <w:t>/1</w:t>
      </w:r>
      <w:r w:rsidR="002760CE" w:rsidRPr="001279A2">
        <w:rPr>
          <w:rFonts w:asciiTheme="majorHAnsi" w:hAnsiTheme="majorHAnsi"/>
          <w:b/>
          <w:sz w:val="18"/>
          <w:szCs w:val="20"/>
        </w:rPr>
        <w:t>7</w:t>
      </w:r>
      <w:r w:rsidR="00814062" w:rsidRPr="001279A2">
        <w:rPr>
          <w:rStyle w:val="FootnoteReference"/>
          <w:rFonts w:asciiTheme="majorHAnsi" w:hAnsiTheme="majorHAnsi"/>
          <w:b/>
          <w:sz w:val="18"/>
          <w:szCs w:val="20"/>
        </w:rPr>
        <w:footnoteReference w:id="2"/>
      </w:r>
    </w:p>
    <w:p w14:paraId="0A017AD4" w14:textId="0903D8D1" w:rsidR="00F621C3" w:rsidRPr="001279A2" w:rsidRDefault="00F621C3" w:rsidP="00F621C3">
      <w:pPr>
        <w:tabs>
          <w:tab w:val="center" w:pos="5400"/>
        </w:tabs>
        <w:suppressAutoHyphens/>
        <w:spacing w:line="276" w:lineRule="auto"/>
        <w:jc w:val="center"/>
        <w:rPr>
          <w:rFonts w:asciiTheme="majorHAnsi" w:hAnsiTheme="majorHAnsi"/>
          <w:b/>
          <w:sz w:val="18"/>
          <w:szCs w:val="20"/>
        </w:rPr>
      </w:pPr>
      <w:r w:rsidRPr="001279A2">
        <w:rPr>
          <w:rFonts w:asciiTheme="majorHAnsi" w:hAnsiTheme="majorHAnsi"/>
          <w:b/>
          <w:sz w:val="18"/>
          <w:szCs w:val="20"/>
        </w:rPr>
        <w:t>PETITION P-</w:t>
      </w:r>
      <w:r w:rsidR="00814062" w:rsidRPr="001279A2">
        <w:rPr>
          <w:rFonts w:asciiTheme="majorHAnsi" w:hAnsiTheme="majorHAnsi"/>
          <w:b/>
          <w:sz w:val="18"/>
          <w:szCs w:val="20"/>
        </w:rPr>
        <w:t>1477</w:t>
      </w:r>
      <w:r w:rsidRPr="001279A2">
        <w:rPr>
          <w:rFonts w:asciiTheme="majorHAnsi" w:hAnsiTheme="majorHAnsi"/>
          <w:b/>
          <w:sz w:val="18"/>
          <w:szCs w:val="20"/>
        </w:rPr>
        <w:t>-</w:t>
      </w:r>
      <w:r w:rsidR="00814062" w:rsidRPr="001279A2">
        <w:rPr>
          <w:rFonts w:asciiTheme="majorHAnsi" w:hAnsiTheme="majorHAnsi"/>
          <w:b/>
          <w:sz w:val="18"/>
          <w:szCs w:val="20"/>
        </w:rPr>
        <w:t>08</w:t>
      </w:r>
    </w:p>
    <w:p w14:paraId="75D1D7FA" w14:textId="5449BC90" w:rsidR="00F621C3" w:rsidRPr="001279A2" w:rsidRDefault="00814062" w:rsidP="00F621C3">
      <w:pPr>
        <w:tabs>
          <w:tab w:val="center" w:pos="5400"/>
        </w:tabs>
        <w:suppressAutoHyphens/>
        <w:spacing w:line="276" w:lineRule="auto"/>
        <w:jc w:val="center"/>
        <w:rPr>
          <w:rFonts w:asciiTheme="majorHAnsi" w:hAnsiTheme="majorHAnsi"/>
          <w:sz w:val="18"/>
          <w:szCs w:val="20"/>
        </w:rPr>
      </w:pPr>
      <w:r w:rsidRPr="001279A2">
        <w:rPr>
          <w:rFonts w:asciiTheme="majorHAnsi" w:hAnsiTheme="majorHAnsi"/>
          <w:sz w:val="18"/>
          <w:szCs w:val="20"/>
        </w:rPr>
        <w:t>REPORT ON ADMISSIBILITY</w:t>
      </w:r>
    </w:p>
    <w:p w14:paraId="49D5D37A" w14:textId="77777777" w:rsidR="00814062" w:rsidRPr="001279A2" w:rsidRDefault="00814062" w:rsidP="00814062">
      <w:pPr>
        <w:tabs>
          <w:tab w:val="center" w:pos="5400"/>
        </w:tabs>
        <w:suppressAutoHyphens/>
        <w:spacing w:line="276" w:lineRule="auto"/>
        <w:jc w:val="center"/>
        <w:rPr>
          <w:rFonts w:asciiTheme="majorHAnsi" w:hAnsiTheme="majorHAnsi"/>
          <w:sz w:val="20"/>
          <w:szCs w:val="20"/>
        </w:rPr>
      </w:pPr>
      <w:r w:rsidRPr="001279A2">
        <w:rPr>
          <w:rFonts w:asciiTheme="majorHAnsi" w:hAnsiTheme="majorHAnsi"/>
          <w:sz w:val="20"/>
          <w:szCs w:val="20"/>
        </w:rPr>
        <w:t xml:space="preserve">HENRY TORRES </w:t>
      </w:r>
      <w:r w:rsidRPr="001279A2">
        <w:rPr>
          <w:rFonts w:asciiTheme="majorHAnsi" w:hAnsiTheme="majorHAnsi"/>
          <w:i/>
          <w:sz w:val="20"/>
          <w:szCs w:val="20"/>
        </w:rPr>
        <w:t>ET AL.</w:t>
      </w:r>
    </w:p>
    <w:p w14:paraId="4D900446" w14:textId="5962612F" w:rsidR="00F621C3" w:rsidRPr="001279A2" w:rsidRDefault="00814062" w:rsidP="00814062">
      <w:pPr>
        <w:tabs>
          <w:tab w:val="center" w:pos="5400"/>
        </w:tabs>
        <w:suppressAutoHyphens/>
        <w:spacing w:line="276" w:lineRule="auto"/>
        <w:jc w:val="center"/>
        <w:rPr>
          <w:rFonts w:asciiTheme="majorHAnsi" w:hAnsiTheme="majorHAnsi"/>
          <w:sz w:val="20"/>
          <w:szCs w:val="20"/>
        </w:rPr>
      </w:pPr>
      <w:r w:rsidRPr="001279A2">
        <w:rPr>
          <w:rFonts w:asciiTheme="majorHAnsi" w:hAnsiTheme="majorHAnsi"/>
          <w:sz w:val="20"/>
          <w:szCs w:val="20"/>
        </w:rPr>
        <w:t>COLOMBIA</w:t>
      </w:r>
    </w:p>
    <w:p w14:paraId="2900C44D" w14:textId="3B874DB9" w:rsidR="00F621C3" w:rsidRPr="001279A2" w:rsidRDefault="007E6E00"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SEPTEMBER 7, 2017</w:t>
      </w:r>
    </w:p>
    <w:p w14:paraId="1D7793C5" w14:textId="77777777" w:rsidR="00F621C3" w:rsidRPr="001279A2"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1279A2" w:rsidRDefault="00F621C3" w:rsidP="00F621C3">
      <w:pPr>
        <w:spacing w:after="240"/>
        <w:ind w:firstLine="720"/>
        <w:jc w:val="both"/>
        <w:rPr>
          <w:rFonts w:asciiTheme="majorHAnsi" w:hAnsiTheme="majorHAnsi"/>
          <w:b/>
          <w:bCs/>
          <w:sz w:val="20"/>
          <w:szCs w:val="20"/>
        </w:rPr>
      </w:pPr>
      <w:r w:rsidRPr="001279A2">
        <w:rPr>
          <w:rFonts w:asciiTheme="majorHAnsi" w:hAnsiTheme="majorHAnsi"/>
          <w:b/>
          <w:bCs/>
          <w:sz w:val="20"/>
          <w:szCs w:val="20"/>
        </w:rPr>
        <w:t>I.</w:t>
      </w:r>
      <w:r w:rsidRPr="001279A2">
        <w:rPr>
          <w:rFonts w:asciiTheme="majorHAnsi" w:hAnsiTheme="majorHAnsi"/>
          <w:b/>
          <w:bCs/>
          <w:sz w:val="20"/>
          <w:szCs w:val="20"/>
        </w:rPr>
        <w:tab/>
      </w:r>
      <w:r w:rsidR="00592718" w:rsidRPr="001279A2">
        <w:rPr>
          <w:rFonts w:asciiTheme="majorHAnsi" w:hAnsiTheme="majorHAnsi"/>
          <w:b/>
          <w:bCs/>
          <w:sz w:val="20"/>
          <w:szCs w:val="20"/>
        </w:rPr>
        <w:t>INFORMATION ABOUT THE PETITION</w:t>
      </w:r>
      <w:r w:rsidRPr="001279A2">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8357F4" w:rsidRPr="00893291" w14:paraId="491E8196" w14:textId="77777777" w:rsidTr="000759B2">
        <w:tc>
          <w:tcPr>
            <w:tcW w:w="4680" w:type="dxa"/>
            <w:tcBorders>
              <w:top w:val="single" w:sz="4" w:space="0" w:color="auto"/>
              <w:bottom w:val="single" w:sz="6" w:space="0" w:color="auto"/>
            </w:tcBorders>
            <w:shd w:val="clear" w:color="auto" w:fill="67AE3C"/>
            <w:vAlign w:val="center"/>
          </w:tcPr>
          <w:p w14:paraId="5524F917" w14:textId="77777777" w:rsidR="008357F4" w:rsidRPr="001279A2" w:rsidRDefault="008357F4"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Petitioning party:</w:t>
            </w:r>
          </w:p>
        </w:tc>
        <w:tc>
          <w:tcPr>
            <w:tcW w:w="4680" w:type="dxa"/>
            <w:vAlign w:val="center"/>
          </w:tcPr>
          <w:p w14:paraId="0674C7B8" w14:textId="61569132" w:rsidR="008357F4" w:rsidRPr="003C7A2F" w:rsidRDefault="008357F4" w:rsidP="008357F4">
            <w:pPr>
              <w:jc w:val="both"/>
              <w:rPr>
                <w:rFonts w:ascii="Cambria" w:hAnsi="Cambria"/>
                <w:bCs/>
                <w:sz w:val="20"/>
                <w:szCs w:val="20"/>
                <w:lang w:val="es-ES"/>
              </w:rPr>
            </w:pPr>
            <w:r w:rsidRPr="003C7A2F">
              <w:rPr>
                <w:rFonts w:asciiTheme="majorHAnsi" w:hAnsiTheme="majorHAnsi"/>
                <w:bCs/>
                <w:sz w:val="20"/>
                <w:szCs w:val="20"/>
                <w:lang w:val="es-ES"/>
              </w:rPr>
              <w:t>Luis Carlos Acosta Ramírez and Nelson Uriel Romero</w:t>
            </w:r>
          </w:p>
        </w:tc>
      </w:tr>
      <w:tr w:rsidR="008357F4" w:rsidRPr="001279A2" w14:paraId="0F4A57A0" w14:textId="77777777" w:rsidTr="000759B2">
        <w:tc>
          <w:tcPr>
            <w:tcW w:w="4680" w:type="dxa"/>
            <w:tcBorders>
              <w:top w:val="single" w:sz="6" w:space="0" w:color="auto"/>
              <w:bottom w:val="single" w:sz="6" w:space="0" w:color="auto"/>
            </w:tcBorders>
            <w:shd w:val="clear" w:color="auto" w:fill="67AE3C"/>
            <w:vAlign w:val="center"/>
          </w:tcPr>
          <w:p w14:paraId="325E239F" w14:textId="7DE16DE0" w:rsidR="008357F4" w:rsidRPr="001279A2" w:rsidRDefault="00441EFB" w:rsidP="000759B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57C09A60CEA451D86791AB199DBA6E0"/>
                </w:placeholder>
                <w:dropDownList>
                  <w:listItem w:value="Choose an item."/>
                  <w:listItem w:displayText="Alleged victim" w:value="Alleged victim"/>
                  <w:listItem w:displayText="Alleged victims" w:value="Alleged victims"/>
                </w:dropDownList>
              </w:sdtPr>
              <w:sdtEndPr/>
              <w:sdtContent>
                <w:r w:rsidR="008357F4" w:rsidRPr="001279A2">
                  <w:rPr>
                    <w:rFonts w:ascii="Cambria" w:hAnsi="Cambria"/>
                    <w:b/>
                    <w:bCs/>
                    <w:color w:val="FFFFFF" w:themeColor="background1"/>
                    <w:sz w:val="20"/>
                    <w:szCs w:val="20"/>
                  </w:rPr>
                  <w:t>Alleged victims</w:t>
                </w:r>
              </w:sdtContent>
            </w:sdt>
            <w:r w:rsidR="008357F4" w:rsidRPr="001279A2">
              <w:rPr>
                <w:rFonts w:ascii="Cambria" w:hAnsi="Cambria"/>
                <w:b/>
                <w:bCs/>
                <w:color w:val="FFFFFF" w:themeColor="background1"/>
                <w:sz w:val="20"/>
                <w:szCs w:val="20"/>
              </w:rPr>
              <w:t>:</w:t>
            </w:r>
          </w:p>
        </w:tc>
        <w:tc>
          <w:tcPr>
            <w:tcW w:w="4680" w:type="dxa"/>
            <w:vAlign w:val="center"/>
          </w:tcPr>
          <w:p w14:paraId="60895337" w14:textId="0A829184" w:rsidR="008357F4" w:rsidRPr="001279A2" w:rsidRDefault="008357F4" w:rsidP="008357F4">
            <w:pPr>
              <w:jc w:val="both"/>
              <w:rPr>
                <w:rFonts w:ascii="Cambria" w:hAnsi="Cambria"/>
                <w:bCs/>
                <w:sz w:val="20"/>
                <w:szCs w:val="20"/>
              </w:rPr>
            </w:pPr>
            <w:r w:rsidRPr="001279A2">
              <w:rPr>
                <w:rFonts w:asciiTheme="majorHAnsi" w:hAnsiTheme="majorHAnsi"/>
                <w:bCs/>
                <w:sz w:val="20"/>
                <w:szCs w:val="20"/>
              </w:rPr>
              <w:t>Henry Torres and others</w:t>
            </w:r>
            <w:r w:rsidRPr="001279A2">
              <w:rPr>
                <w:rStyle w:val="FootnoteReference"/>
                <w:rFonts w:asciiTheme="majorHAnsi" w:hAnsiTheme="majorHAnsi"/>
                <w:bCs/>
                <w:sz w:val="20"/>
                <w:szCs w:val="20"/>
              </w:rPr>
              <w:footnoteReference w:id="3"/>
            </w:r>
          </w:p>
        </w:tc>
      </w:tr>
      <w:tr w:rsidR="008357F4" w:rsidRPr="001279A2" w14:paraId="067638D2" w14:textId="77777777" w:rsidTr="000759B2">
        <w:tc>
          <w:tcPr>
            <w:tcW w:w="4680" w:type="dxa"/>
            <w:tcBorders>
              <w:top w:val="single" w:sz="6" w:space="0" w:color="auto"/>
              <w:bottom w:val="single" w:sz="6" w:space="0" w:color="auto"/>
            </w:tcBorders>
            <w:shd w:val="clear" w:color="auto" w:fill="67AE3C"/>
            <w:vAlign w:val="center"/>
          </w:tcPr>
          <w:p w14:paraId="32104528" w14:textId="77777777" w:rsidR="008357F4" w:rsidRPr="001279A2" w:rsidRDefault="008357F4"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State denounced:</w:t>
            </w:r>
          </w:p>
        </w:tc>
        <w:tc>
          <w:tcPr>
            <w:tcW w:w="4680" w:type="dxa"/>
            <w:vAlign w:val="center"/>
          </w:tcPr>
          <w:p w14:paraId="3539D391" w14:textId="5E6E9CD1" w:rsidR="008357F4" w:rsidRPr="001279A2" w:rsidRDefault="00DF71F0" w:rsidP="000759B2">
            <w:pPr>
              <w:jc w:val="both"/>
              <w:rPr>
                <w:rFonts w:ascii="Cambria" w:hAnsi="Cambria"/>
                <w:bCs/>
                <w:sz w:val="20"/>
                <w:szCs w:val="20"/>
              </w:rPr>
            </w:pPr>
            <w:r w:rsidRPr="001279A2">
              <w:rPr>
                <w:rFonts w:ascii="Cambria" w:hAnsi="Cambria"/>
                <w:bCs/>
                <w:sz w:val="20"/>
                <w:szCs w:val="20"/>
              </w:rPr>
              <w:t>Colombia</w:t>
            </w:r>
          </w:p>
        </w:tc>
      </w:tr>
      <w:tr w:rsidR="008357F4" w:rsidRPr="001279A2" w14:paraId="57F2C481" w14:textId="77777777" w:rsidTr="000759B2">
        <w:tc>
          <w:tcPr>
            <w:tcW w:w="4680" w:type="dxa"/>
            <w:tcBorders>
              <w:top w:val="single" w:sz="6" w:space="0" w:color="auto"/>
              <w:bottom w:val="single" w:sz="6" w:space="0" w:color="auto"/>
            </w:tcBorders>
            <w:shd w:val="clear" w:color="auto" w:fill="67AE3C"/>
            <w:vAlign w:val="center"/>
          </w:tcPr>
          <w:p w14:paraId="62BEEF4B" w14:textId="52EAAEA3" w:rsidR="008357F4" w:rsidRPr="001279A2" w:rsidRDefault="008357F4" w:rsidP="00E7588C">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Rights invoked:</w:t>
            </w:r>
          </w:p>
        </w:tc>
        <w:tc>
          <w:tcPr>
            <w:tcW w:w="4680" w:type="dxa"/>
            <w:vAlign w:val="center"/>
          </w:tcPr>
          <w:p w14:paraId="51EEF9D2" w14:textId="63961044" w:rsidR="008357F4" w:rsidRPr="001279A2" w:rsidRDefault="00DF71F0" w:rsidP="008F1676">
            <w:pPr>
              <w:jc w:val="both"/>
              <w:rPr>
                <w:rFonts w:ascii="Cambria" w:hAnsi="Cambria"/>
                <w:bCs/>
                <w:sz w:val="20"/>
                <w:szCs w:val="20"/>
              </w:rPr>
            </w:pPr>
            <w:r w:rsidRPr="001279A2">
              <w:rPr>
                <w:rFonts w:asciiTheme="majorHAnsi" w:hAnsiTheme="majorHAnsi"/>
                <w:sz w:val="20"/>
                <w:szCs w:val="20"/>
              </w:rPr>
              <w:t>Articles 4 (Life), 5 (Humane Treatment), 8 (Fair Trial), 17 (</w:t>
            </w:r>
            <w:r w:rsidR="00733DEE" w:rsidRPr="001279A2">
              <w:rPr>
                <w:rFonts w:asciiTheme="majorHAnsi" w:hAnsiTheme="majorHAnsi"/>
                <w:sz w:val="20"/>
                <w:szCs w:val="20"/>
              </w:rPr>
              <w:t>Rights of the Family</w:t>
            </w:r>
            <w:r w:rsidRPr="001279A2">
              <w:rPr>
                <w:rFonts w:asciiTheme="majorHAnsi" w:hAnsiTheme="majorHAnsi"/>
                <w:sz w:val="20"/>
                <w:szCs w:val="20"/>
              </w:rPr>
              <w:t>), 19 (</w:t>
            </w:r>
            <w:r w:rsidR="00733DEE" w:rsidRPr="001279A2">
              <w:rPr>
                <w:rFonts w:asciiTheme="majorHAnsi" w:hAnsiTheme="majorHAnsi"/>
                <w:sz w:val="20"/>
                <w:szCs w:val="20"/>
              </w:rPr>
              <w:t>Rights of the Child</w:t>
            </w:r>
            <w:r w:rsidRPr="001279A2">
              <w:rPr>
                <w:rFonts w:asciiTheme="majorHAnsi" w:hAnsiTheme="majorHAnsi"/>
                <w:sz w:val="20"/>
                <w:szCs w:val="20"/>
              </w:rPr>
              <w:t>), 21 (</w:t>
            </w:r>
            <w:r w:rsidR="00733DEE" w:rsidRPr="001279A2">
              <w:rPr>
                <w:rFonts w:asciiTheme="majorHAnsi" w:hAnsiTheme="majorHAnsi"/>
                <w:sz w:val="20"/>
                <w:szCs w:val="20"/>
              </w:rPr>
              <w:t>Property</w:t>
            </w:r>
            <w:r w:rsidRPr="001279A2">
              <w:rPr>
                <w:rFonts w:asciiTheme="majorHAnsi" w:hAnsiTheme="majorHAnsi"/>
                <w:sz w:val="20"/>
                <w:szCs w:val="20"/>
              </w:rPr>
              <w:t>), 25 (</w:t>
            </w:r>
            <w:r w:rsidR="00733DEE" w:rsidRPr="001279A2">
              <w:rPr>
                <w:rFonts w:asciiTheme="majorHAnsi" w:hAnsiTheme="majorHAnsi"/>
                <w:sz w:val="20"/>
                <w:szCs w:val="20"/>
              </w:rPr>
              <w:t>Judicial Protection</w:t>
            </w:r>
            <w:r w:rsidR="00C043B3">
              <w:rPr>
                <w:rFonts w:asciiTheme="majorHAnsi" w:hAnsiTheme="majorHAnsi"/>
                <w:sz w:val="20"/>
                <w:szCs w:val="20"/>
              </w:rPr>
              <w:t>) and</w:t>
            </w:r>
            <w:r w:rsidRPr="001279A2">
              <w:rPr>
                <w:rFonts w:asciiTheme="majorHAnsi" w:hAnsiTheme="majorHAnsi"/>
                <w:sz w:val="20"/>
                <w:szCs w:val="20"/>
              </w:rPr>
              <w:t xml:space="preserve"> 26 (</w:t>
            </w:r>
            <w:r w:rsidR="00733DEE" w:rsidRPr="001279A2">
              <w:rPr>
                <w:rFonts w:asciiTheme="majorHAnsi" w:hAnsiTheme="majorHAnsi"/>
                <w:sz w:val="20"/>
                <w:szCs w:val="20"/>
              </w:rPr>
              <w:t>Progressive Development</w:t>
            </w:r>
            <w:r w:rsidRPr="001279A2">
              <w:rPr>
                <w:rFonts w:asciiTheme="majorHAnsi" w:hAnsiTheme="majorHAnsi"/>
                <w:sz w:val="20"/>
                <w:szCs w:val="20"/>
              </w:rPr>
              <w:t xml:space="preserve">) </w:t>
            </w:r>
            <w:r w:rsidR="00733DEE" w:rsidRPr="001279A2">
              <w:rPr>
                <w:rFonts w:asciiTheme="majorHAnsi" w:hAnsiTheme="majorHAnsi"/>
                <w:sz w:val="20"/>
                <w:szCs w:val="20"/>
              </w:rPr>
              <w:t>of the American Convention on Human Rights;</w:t>
            </w:r>
            <w:r w:rsidRPr="001279A2">
              <w:rPr>
                <w:rStyle w:val="FootnoteReference"/>
                <w:rFonts w:asciiTheme="majorHAnsi" w:hAnsiTheme="majorHAnsi"/>
                <w:sz w:val="20"/>
                <w:szCs w:val="20"/>
              </w:rPr>
              <w:footnoteReference w:id="4"/>
            </w:r>
            <w:r w:rsidRPr="001279A2">
              <w:rPr>
                <w:rFonts w:asciiTheme="majorHAnsi" w:hAnsiTheme="majorHAnsi"/>
                <w:sz w:val="20"/>
                <w:szCs w:val="20"/>
              </w:rPr>
              <w:t xml:space="preserve"> </w:t>
            </w:r>
            <w:r w:rsidR="00733DEE" w:rsidRPr="001279A2">
              <w:rPr>
                <w:rFonts w:asciiTheme="majorHAnsi" w:hAnsiTheme="majorHAnsi"/>
                <w:sz w:val="20"/>
                <w:szCs w:val="20"/>
              </w:rPr>
              <w:t xml:space="preserve">and Articles </w:t>
            </w:r>
            <w:r w:rsidRPr="001279A2">
              <w:rPr>
                <w:rFonts w:asciiTheme="majorHAnsi" w:hAnsiTheme="majorHAnsi"/>
                <w:sz w:val="20"/>
                <w:szCs w:val="20"/>
              </w:rPr>
              <w:t>6 (</w:t>
            </w:r>
            <w:r w:rsidR="00676147" w:rsidRPr="001279A2">
              <w:rPr>
                <w:rFonts w:asciiTheme="majorHAnsi" w:hAnsiTheme="majorHAnsi"/>
                <w:sz w:val="20"/>
                <w:szCs w:val="20"/>
              </w:rPr>
              <w:t>Work</w:t>
            </w:r>
            <w:r w:rsidRPr="001279A2">
              <w:rPr>
                <w:rFonts w:asciiTheme="majorHAnsi" w:hAnsiTheme="majorHAnsi"/>
                <w:sz w:val="20"/>
                <w:szCs w:val="20"/>
              </w:rPr>
              <w:t>), 9 (</w:t>
            </w:r>
            <w:r w:rsidR="00676147" w:rsidRPr="001279A2">
              <w:rPr>
                <w:rFonts w:asciiTheme="majorHAnsi" w:hAnsiTheme="majorHAnsi"/>
                <w:sz w:val="20"/>
                <w:szCs w:val="20"/>
              </w:rPr>
              <w:t>Social Security</w:t>
            </w:r>
            <w:r w:rsidRPr="001279A2">
              <w:rPr>
                <w:rFonts w:asciiTheme="majorHAnsi" w:hAnsiTheme="majorHAnsi"/>
                <w:sz w:val="20"/>
                <w:szCs w:val="20"/>
              </w:rPr>
              <w:t>), 10 (</w:t>
            </w:r>
            <w:r w:rsidR="00676147" w:rsidRPr="001279A2">
              <w:rPr>
                <w:rFonts w:asciiTheme="majorHAnsi" w:hAnsiTheme="majorHAnsi"/>
                <w:sz w:val="20"/>
                <w:szCs w:val="20"/>
              </w:rPr>
              <w:t>Health</w:t>
            </w:r>
            <w:r w:rsidRPr="001279A2">
              <w:rPr>
                <w:rFonts w:asciiTheme="majorHAnsi" w:hAnsiTheme="majorHAnsi"/>
                <w:sz w:val="20"/>
                <w:szCs w:val="20"/>
              </w:rPr>
              <w:t>), 11 (</w:t>
            </w:r>
            <w:r w:rsidR="00676147" w:rsidRPr="001279A2">
              <w:rPr>
                <w:rFonts w:asciiTheme="majorHAnsi" w:hAnsiTheme="majorHAnsi"/>
                <w:sz w:val="20"/>
                <w:szCs w:val="20"/>
              </w:rPr>
              <w:t>Healthy Environment</w:t>
            </w:r>
            <w:r w:rsidRPr="001279A2">
              <w:rPr>
                <w:rFonts w:asciiTheme="majorHAnsi" w:hAnsiTheme="majorHAnsi"/>
                <w:sz w:val="20"/>
                <w:szCs w:val="20"/>
              </w:rPr>
              <w:t>), 12 (</w:t>
            </w:r>
            <w:r w:rsidR="00E74BC6" w:rsidRPr="001279A2">
              <w:rPr>
                <w:rFonts w:asciiTheme="majorHAnsi" w:hAnsiTheme="majorHAnsi"/>
                <w:sz w:val="20"/>
                <w:szCs w:val="20"/>
              </w:rPr>
              <w:t>Food</w:t>
            </w:r>
            <w:r w:rsidRPr="001279A2">
              <w:rPr>
                <w:rFonts w:asciiTheme="majorHAnsi" w:hAnsiTheme="majorHAnsi"/>
                <w:sz w:val="20"/>
                <w:szCs w:val="20"/>
              </w:rPr>
              <w:t>), 15 (</w:t>
            </w:r>
            <w:r w:rsidR="00E74BC6" w:rsidRPr="001279A2">
              <w:rPr>
                <w:rFonts w:asciiTheme="majorHAnsi" w:hAnsiTheme="majorHAnsi"/>
                <w:sz w:val="20"/>
                <w:szCs w:val="20"/>
              </w:rPr>
              <w:t>Right to the Formation and the Protection of Families</w:t>
            </w:r>
            <w:r w:rsidRPr="001279A2">
              <w:rPr>
                <w:rFonts w:asciiTheme="majorHAnsi" w:hAnsiTheme="majorHAnsi"/>
                <w:sz w:val="20"/>
                <w:szCs w:val="20"/>
              </w:rPr>
              <w:t>), 16 (</w:t>
            </w:r>
            <w:r w:rsidR="00E74BC6" w:rsidRPr="001279A2">
              <w:rPr>
                <w:rFonts w:asciiTheme="majorHAnsi" w:hAnsiTheme="majorHAnsi"/>
                <w:sz w:val="20"/>
                <w:szCs w:val="20"/>
              </w:rPr>
              <w:t>Rights of Children</w:t>
            </w:r>
            <w:r w:rsidRPr="001279A2">
              <w:rPr>
                <w:rFonts w:asciiTheme="majorHAnsi" w:hAnsiTheme="majorHAnsi"/>
                <w:sz w:val="20"/>
                <w:szCs w:val="20"/>
              </w:rPr>
              <w:t xml:space="preserve">) </w:t>
            </w:r>
            <w:r w:rsidR="00E74BC6" w:rsidRPr="001279A2">
              <w:rPr>
                <w:rFonts w:asciiTheme="majorHAnsi" w:hAnsiTheme="majorHAnsi"/>
                <w:sz w:val="20"/>
                <w:szCs w:val="20"/>
              </w:rPr>
              <w:t xml:space="preserve">of the Additional Protocol </w:t>
            </w:r>
            <w:r w:rsidR="008F1676" w:rsidRPr="001279A2">
              <w:rPr>
                <w:rFonts w:asciiTheme="majorHAnsi" w:hAnsiTheme="majorHAnsi"/>
                <w:sz w:val="20"/>
                <w:szCs w:val="20"/>
              </w:rPr>
              <w:t>to the American Convention on Human Rights in the Area of Economic, Social and Cultural Rights</w:t>
            </w:r>
            <w:r w:rsidRPr="001279A2">
              <w:rPr>
                <w:rStyle w:val="FootnoteReference"/>
                <w:rFonts w:asciiTheme="majorHAnsi" w:hAnsiTheme="majorHAnsi"/>
                <w:sz w:val="20"/>
                <w:szCs w:val="20"/>
              </w:rPr>
              <w:footnoteReference w:id="5"/>
            </w:r>
          </w:p>
        </w:tc>
      </w:tr>
    </w:tbl>
    <w:p w14:paraId="006E8D49" w14:textId="33200AF9" w:rsidR="00F621C3" w:rsidRPr="001279A2" w:rsidRDefault="00F621C3" w:rsidP="00F621C3">
      <w:pPr>
        <w:spacing w:before="240" w:after="240"/>
        <w:ind w:firstLine="720"/>
        <w:jc w:val="both"/>
        <w:rPr>
          <w:rFonts w:asciiTheme="majorHAnsi" w:hAnsiTheme="majorHAnsi"/>
          <w:b/>
          <w:bCs/>
          <w:sz w:val="20"/>
          <w:szCs w:val="20"/>
        </w:rPr>
      </w:pPr>
      <w:r w:rsidRPr="001279A2">
        <w:rPr>
          <w:rFonts w:asciiTheme="majorHAnsi" w:hAnsiTheme="majorHAnsi"/>
          <w:b/>
          <w:bCs/>
          <w:sz w:val="20"/>
          <w:szCs w:val="20"/>
        </w:rPr>
        <w:t>II.</w:t>
      </w:r>
      <w:r w:rsidRPr="001279A2">
        <w:rPr>
          <w:rFonts w:asciiTheme="majorHAnsi" w:hAnsiTheme="majorHAnsi"/>
          <w:b/>
          <w:bCs/>
          <w:sz w:val="20"/>
          <w:szCs w:val="20"/>
        </w:rPr>
        <w:tab/>
        <w:t>PROCEDURE BEFORE THE IACHR</w:t>
      </w:r>
      <w:r w:rsidR="00653EA6" w:rsidRPr="001279A2">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1279A2" w14:paraId="1CAEC3AF" w14:textId="77777777" w:rsidTr="000759B2">
        <w:tc>
          <w:tcPr>
            <w:tcW w:w="4680" w:type="dxa"/>
            <w:tcBorders>
              <w:top w:val="single" w:sz="6" w:space="0" w:color="auto"/>
              <w:bottom w:val="single" w:sz="6" w:space="0" w:color="auto"/>
            </w:tcBorders>
            <w:shd w:val="clear" w:color="auto" w:fill="67AE3C"/>
            <w:vAlign w:val="center"/>
          </w:tcPr>
          <w:p w14:paraId="2C2ED774"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Date on which the petition was received:</w:t>
            </w:r>
          </w:p>
        </w:tc>
        <w:tc>
          <w:tcPr>
            <w:tcW w:w="4680" w:type="dxa"/>
            <w:vAlign w:val="center"/>
          </w:tcPr>
          <w:p w14:paraId="1C0C3DE2" w14:textId="2E1A43B1" w:rsidR="00F621C3" w:rsidRPr="001279A2" w:rsidRDefault="00EE7D0D" w:rsidP="000759B2">
            <w:pPr>
              <w:jc w:val="both"/>
              <w:rPr>
                <w:rFonts w:ascii="Cambria" w:hAnsi="Cambria"/>
                <w:bCs/>
                <w:sz w:val="20"/>
                <w:szCs w:val="20"/>
              </w:rPr>
            </w:pPr>
            <w:r w:rsidRPr="001279A2">
              <w:rPr>
                <w:rFonts w:ascii="Cambria" w:hAnsi="Cambria"/>
                <w:bCs/>
                <w:sz w:val="20"/>
                <w:szCs w:val="20"/>
              </w:rPr>
              <w:t>December 18, 2008</w:t>
            </w:r>
          </w:p>
        </w:tc>
      </w:tr>
      <w:tr w:rsidR="00F621C3" w:rsidRPr="001279A2" w14:paraId="7EAB2BD7" w14:textId="77777777" w:rsidTr="000759B2">
        <w:tc>
          <w:tcPr>
            <w:tcW w:w="4680" w:type="dxa"/>
            <w:tcBorders>
              <w:top w:val="single" w:sz="6" w:space="0" w:color="auto"/>
              <w:bottom w:val="single" w:sz="6" w:space="0" w:color="auto"/>
            </w:tcBorders>
            <w:shd w:val="clear" w:color="auto" w:fill="67AE3C"/>
            <w:vAlign w:val="center"/>
          </w:tcPr>
          <w:p w14:paraId="79E6B4A9"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color w:val="FFFFFF" w:themeColor="background1"/>
                <w:sz w:val="20"/>
                <w:szCs w:val="20"/>
              </w:rPr>
              <w:t>Date on which the petition was transmitted to the State:</w:t>
            </w:r>
          </w:p>
        </w:tc>
        <w:tc>
          <w:tcPr>
            <w:tcW w:w="4680" w:type="dxa"/>
            <w:vAlign w:val="center"/>
          </w:tcPr>
          <w:p w14:paraId="22ADBFFE" w14:textId="4B7EC5FA" w:rsidR="00F621C3" w:rsidRPr="001279A2" w:rsidRDefault="00EE7D0D" w:rsidP="000759B2">
            <w:pPr>
              <w:jc w:val="both"/>
              <w:rPr>
                <w:rFonts w:ascii="Cambria" w:hAnsi="Cambria"/>
                <w:bCs/>
                <w:sz w:val="20"/>
                <w:szCs w:val="20"/>
              </w:rPr>
            </w:pPr>
            <w:r w:rsidRPr="001279A2">
              <w:rPr>
                <w:rFonts w:ascii="Cambria" w:hAnsi="Cambria"/>
                <w:bCs/>
                <w:sz w:val="20"/>
                <w:szCs w:val="20"/>
              </w:rPr>
              <w:t>October 15, 2009</w:t>
            </w:r>
          </w:p>
        </w:tc>
      </w:tr>
      <w:tr w:rsidR="00F621C3" w:rsidRPr="001279A2" w14:paraId="56560AE1" w14:textId="77777777" w:rsidTr="000759B2">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color w:val="FFFFFF" w:themeColor="background1"/>
                <w:sz w:val="20"/>
                <w:szCs w:val="20"/>
              </w:rPr>
              <w:t>Date of the State’s first response:</w:t>
            </w:r>
          </w:p>
        </w:tc>
        <w:tc>
          <w:tcPr>
            <w:tcW w:w="4680" w:type="dxa"/>
            <w:vAlign w:val="center"/>
          </w:tcPr>
          <w:p w14:paraId="19C5DA57" w14:textId="4130C34C" w:rsidR="00F621C3" w:rsidRPr="001279A2" w:rsidRDefault="00EE7D0D" w:rsidP="000759B2">
            <w:pPr>
              <w:jc w:val="both"/>
              <w:rPr>
                <w:rFonts w:ascii="Cambria" w:hAnsi="Cambria"/>
                <w:bCs/>
                <w:sz w:val="20"/>
                <w:szCs w:val="20"/>
              </w:rPr>
            </w:pPr>
            <w:r w:rsidRPr="001279A2">
              <w:rPr>
                <w:rFonts w:ascii="Cambria" w:hAnsi="Cambria"/>
                <w:bCs/>
                <w:sz w:val="20"/>
                <w:szCs w:val="20"/>
              </w:rPr>
              <w:t>January 19, 2010</w:t>
            </w:r>
          </w:p>
        </w:tc>
      </w:tr>
      <w:tr w:rsidR="00F621C3" w:rsidRPr="001279A2" w14:paraId="7A8A8A3C" w14:textId="77777777" w:rsidTr="000759B2">
        <w:tc>
          <w:tcPr>
            <w:tcW w:w="4680" w:type="dxa"/>
            <w:tcBorders>
              <w:top w:val="single" w:sz="6" w:space="0" w:color="auto"/>
              <w:bottom w:val="single" w:sz="6" w:space="0" w:color="auto"/>
            </w:tcBorders>
            <w:shd w:val="clear" w:color="auto" w:fill="67AE3C"/>
            <w:vAlign w:val="center"/>
          </w:tcPr>
          <w:p w14:paraId="3DEC3A52" w14:textId="1D48ED1F" w:rsidR="00F621C3" w:rsidRPr="001279A2" w:rsidRDefault="00F621C3" w:rsidP="00653EA6">
            <w:pPr>
              <w:ind w:left="-288"/>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Additional observations from the petitioning party:</w:t>
            </w:r>
          </w:p>
        </w:tc>
        <w:tc>
          <w:tcPr>
            <w:tcW w:w="4680" w:type="dxa"/>
            <w:vAlign w:val="center"/>
          </w:tcPr>
          <w:p w14:paraId="2A863ACD" w14:textId="47FA9ED1" w:rsidR="00F621C3" w:rsidRPr="001279A2" w:rsidRDefault="00954295" w:rsidP="000759B2">
            <w:pPr>
              <w:jc w:val="both"/>
              <w:rPr>
                <w:rFonts w:ascii="Cambria" w:hAnsi="Cambria"/>
                <w:bCs/>
                <w:sz w:val="20"/>
                <w:szCs w:val="20"/>
              </w:rPr>
            </w:pPr>
            <w:r w:rsidRPr="001279A2">
              <w:rPr>
                <w:rFonts w:ascii="Cambria" w:hAnsi="Cambria"/>
                <w:bCs/>
                <w:sz w:val="20"/>
                <w:szCs w:val="20"/>
              </w:rPr>
              <w:t>February 23, 2010; August 1, 2015; January 19, 2016; and January 28, 2017</w:t>
            </w:r>
          </w:p>
        </w:tc>
      </w:tr>
      <w:tr w:rsidR="00F621C3" w:rsidRPr="001279A2" w14:paraId="3D79AA57" w14:textId="77777777" w:rsidTr="000759B2">
        <w:tc>
          <w:tcPr>
            <w:tcW w:w="4680" w:type="dxa"/>
            <w:tcBorders>
              <w:top w:val="single" w:sz="6" w:space="0" w:color="auto"/>
              <w:bottom w:val="single" w:sz="6" w:space="0" w:color="auto"/>
            </w:tcBorders>
            <w:shd w:val="clear" w:color="auto" w:fill="67AE3C"/>
            <w:vAlign w:val="center"/>
          </w:tcPr>
          <w:p w14:paraId="2FE60FBE" w14:textId="11BD82D3" w:rsidR="00F621C3" w:rsidRPr="001279A2" w:rsidRDefault="00F621C3" w:rsidP="00653EA6">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Additional observations from the State:</w:t>
            </w:r>
          </w:p>
        </w:tc>
        <w:tc>
          <w:tcPr>
            <w:tcW w:w="4680" w:type="dxa"/>
            <w:vAlign w:val="center"/>
          </w:tcPr>
          <w:p w14:paraId="27F6ADE3" w14:textId="74AB8566" w:rsidR="00F621C3" w:rsidRPr="001279A2" w:rsidRDefault="00954295" w:rsidP="000759B2">
            <w:pPr>
              <w:jc w:val="both"/>
              <w:rPr>
                <w:rFonts w:ascii="Cambria" w:hAnsi="Cambria"/>
                <w:bCs/>
                <w:sz w:val="20"/>
                <w:szCs w:val="20"/>
              </w:rPr>
            </w:pPr>
            <w:r w:rsidRPr="001279A2">
              <w:rPr>
                <w:rFonts w:ascii="Cambria" w:hAnsi="Cambria"/>
                <w:bCs/>
                <w:sz w:val="20"/>
                <w:szCs w:val="20"/>
              </w:rPr>
              <w:t>March 29, 2010</w:t>
            </w:r>
          </w:p>
        </w:tc>
      </w:tr>
    </w:tbl>
    <w:p w14:paraId="7F88B361" w14:textId="77777777" w:rsidR="00F621C3" w:rsidRPr="001279A2" w:rsidRDefault="00F621C3" w:rsidP="00F621C3">
      <w:pPr>
        <w:spacing w:before="240" w:after="240"/>
        <w:ind w:firstLine="720"/>
        <w:jc w:val="both"/>
        <w:rPr>
          <w:rFonts w:asciiTheme="majorHAnsi" w:hAnsiTheme="majorHAnsi"/>
          <w:b/>
          <w:bCs/>
          <w:sz w:val="20"/>
          <w:szCs w:val="20"/>
        </w:rPr>
      </w:pPr>
      <w:r w:rsidRPr="001279A2">
        <w:rPr>
          <w:rFonts w:asciiTheme="majorHAnsi" w:hAnsiTheme="majorHAnsi"/>
          <w:b/>
          <w:bCs/>
          <w:sz w:val="20"/>
          <w:szCs w:val="20"/>
        </w:rPr>
        <w:t xml:space="preserve">III. </w:t>
      </w:r>
      <w:r w:rsidRPr="001279A2">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1279A2" w14:paraId="2F81CC8B" w14:textId="77777777" w:rsidTr="000759B2">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1279A2" w:rsidRDefault="00F621C3" w:rsidP="000759B2">
            <w:pPr>
              <w:jc w:val="center"/>
              <w:rPr>
                <w:rFonts w:ascii="Cambria" w:hAnsi="Cambria"/>
                <w:b/>
                <w:bCs/>
                <w:i/>
                <w:color w:val="FFFFFF" w:themeColor="background1"/>
                <w:sz w:val="20"/>
                <w:szCs w:val="20"/>
              </w:rPr>
            </w:pPr>
            <w:r w:rsidRPr="001279A2">
              <w:rPr>
                <w:rFonts w:ascii="Cambria" w:hAnsi="Cambria"/>
                <w:b/>
                <w:bCs/>
                <w:color w:val="FFFFFF" w:themeColor="background1"/>
                <w:sz w:val="20"/>
                <w:szCs w:val="20"/>
              </w:rPr>
              <w:t>Competence</w:t>
            </w:r>
            <w:r w:rsidRPr="001279A2">
              <w:rPr>
                <w:rFonts w:ascii="Cambria" w:hAnsi="Cambria"/>
                <w:b/>
                <w:bCs/>
                <w:i/>
                <w:color w:val="FFFFFF" w:themeColor="background1"/>
                <w:sz w:val="20"/>
                <w:szCs w:val="20"/>
              </w:rPr>
              <w:t xml:space="preserve"> Ratione personae:</w:t>
            </w:r>
          </w:p>
        </w:tc>
        <w:tc>
          <w:tcPr>
            <w:tcW w:w="4680" w:type="dxa"/>
            <w:vAlign w:val="center"/>
          </w:tcPr>
          <w:p w14:paraId="237A8D0C" w14:textId="73700634" w:rsidR="00F621C3" w:rsidRPr="001279A2" w:rsidRDefault="000D4576" w:rsidP="000759B2">
            <w:pPr>
              <w:rPr>
                <w:rFonts w:asciiTheme="majorHAnsi" w:hAnsiTheme="majorHAnsi"/>
                <w:bCs/>
                <w:sz w:val="20"/>
                <w:szCs w:val="20"/>
              </w:rPr>
            </w:pPr>
            <w:r w:rsidRPr="001279A2">
              <w:rPr>
                <w:rFonts w:asciiTheme="majorHAnsi" w:hAnsiTheme="majorHAnsi"/>
                <w:bCs/>
                <w:sz w:val="20"/>
                <w:szCs w:val="20"/>
              </w:rPr>
              <w:t>Yes</w:t>
            </w:r>
          </w:p>
        </w:tc>
      </w:tr>
      <w:tr w:rsidR="00F621C3" w:rsidRPr="001279A2" w14:paraId="5FE56D1B" w14:textId="77777777" w:rsidTr="000759B2">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Competence</w:t>
            </w:r>
            <w:r w:rsidRPr="001279A2">
              <w:rPr>
                <w:rFonts w:ascii="Cambria" w:hAnsi="Cambria"/>
                <w:b/>
                <w:bCs/>
                <w:i/>
                <w:color w:val="FFFFFF" w:themeColor="background1"/>
                <w:sz w:val="20"/>
                <w:szCs w:val="20"/>
              </w:rPr>
              <w:t xml:space="preserve"> Ratione loci</w:t>
            </w:r>
            <w:r w:rsidRPr="001279A2">
              <w:rPr>
                <w:rFonts w:ascii="Cambria" w:hAnsi="Cambria"/>
                <w:b/>
                <w:bCs/>
                <w:color w:val="FFFFFF" w:themeColor="background1"/>
                <w:sz w:val="20"/>
                <w:szCs w:val="20"/>
              </w:rPr>
              <w:t>:</w:t>
            </w:r>
          </w:p>
        </w:tc>
        <w:tc>
          <w:tcPr>
            <w:tcW w:w="4680" w:type="dxa"/>
            <w:vAlign w:val="center"/>
          </w:tcPr>
          <w:p w14:paraId="48257424" w14:textId="2BAAEF94" w:rsidR="00F621C3" w:rsidRPr="001279A2" w:rsidRDefault="000D4576" w:rsidP="000759B2">
            <w:pPr>
              <w:rPr>
                <w:rFonts w:asciiTheme="majorHAnsi" w:hAnsiTheme="majorHAnsi"/>
                <w:bCs/>
                <w:sz w:val="20"/>
                <w:szCs w:val="20"/>
              </w:rPr>
            </w:pPr>
            <w:r w:rsidRPr="001279A2">
              <w:rPr>
                <w:rFonts w:asciiTheme="majorHAnsi" w:hAnsiTheme="majorHAnsi"/>
                <w:bCs/>
                <w:sz w:val="20"/>
                <w:szCs w:val="20"/>
              </w:rPr>
              <w:t>Yes</w:t>
            </w:r>
          </w:p>
        </w:tc>
      </w:tr>
      <w:tr w:rsidR="00F621C3" w:rsidRPr="001279A2" w14:paraId="372B5DD8" w14:textId="77777777" w:rsidTr="000759B2">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Competence</w:t>
            </w:r>
            <w:r w:rsidRPr="001279A2">
              <w:rPr>
                <w:rFonts w:ascii="Cambria" w:hAnsi="Cambria"/>
                <w:b/>
                <w:bCs/>
                <w:i/>
                <w:color w:val="FFFFFF" w:themeColor="background1"/>
                <w:sz w:val="20"/>
                <w:szCs w:val="20"/>
              </w:rPr>
              <w:t xml:space="preserve"> Ratione temporis</w:t>
            </w:r>
            <w:r w:rsidRPr="001279A2">
              <w:rPr>
                <w:rFonts w:ascii="Cambria" w:hAnsi="Cambria"/>
                <w:b/>
                <w:bCs/>
                <w:color w:val="FFFFFF" w:themeColor="background1"/>
                <w:sz w:val="20"/>
                <w:szCs w:val="20"/>
              </w:rPr>
              <w:t>:</w:t>
            </w:r>
          </w:p>
        </w:tc>
        <w:tc>
          <w:tcPr>
            <w:tcW w:w="4680" w:type="dxa"/>
            <w:vAlign w:val="center"/>
          </w:tcPr>
          <w:p w14:paraId="74B3F783" w14:textId="57B5CFD0" w:rsidR="00F621C3" w:rsidRPr="001279A2" w:rsidRDefault="000D4576" w:rsidP="000759B2">
            <w:pPr>
              <w:rPr>
                <w:rFonts w:asciiTheme="majorHAnsi" w:hAnsiTheme="majorHAnsi"/>
                <w:bCs/>
                <w:sz w:val="20"/>
                <w:szCs w:val="20"/>
              </w:rPr>
            </w:pPr>
            <w:r w:rsidRPr="001279A2">
              <w:rPr>
                <w:rFonts w:asciiTheme="majorHAnsi" w:hAnsiTheme="majorHAnsi"/>
                <w:bCs/>
                <w:sz w:val="20"/>
                <w:szCs w:val="20"/>
              </w:rPr>
              <w:t>Yes</w:t>
            </w:r>
          </w:p>
        </w:tc>
      </w:tr>
      <w:tr w:rsidR="00F621C3" w:rsidRPr="001279A2" w14:paraId="6648704B" w14:textId="77777777" w:rsidTr="000759B2">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Competence</w:t>
            </w:r>
            <w:r w:rsidRPr="001279A2">
              <w:rPr>
                <w:rFonts w:ascii="Cambria" w:hAnsi="Cambria"/>
                <w:b/>
                <w:bCs/>
                <w:i/>
                <w:color w:val="FFFFFF" w:themeColor="background1"/>
                <w:sz w:val="20"/>
                <w:szCs w:val="20"/>
              </w:rPr>
              <w:t xml:space="preserve"> Ratione materiae</w:t>
            </w:r>
            <w:r w:rsidRPr="001279A2">
              <w:rPr>
                <w:rFonts w:ascii="Cambria" w:hAnsi="Cambria"/>
                <w:b/>
                <w:bCs/>
                <w:color w:val="FFFFFF" w:themeColor="background1"/>
                <w:sz w:val="20"/>
                <w:szCs w:val="20"/>
              </w:rPr>
              <w:t>:</w:t>
            </w:r>
          </w:p>
        </w:tc>
        <w:tc>
          <w:tcPr>
            <w:tcW w:w="4680" w:type="dxa"/>
            <w:vAlign w:val="center"/>
          </w:tcPr>
          <w:p w14:paraId="64B3F199" w14:textId="74F2509A" w:rsidR="00F621C3" w:rsidRPr="001279A2" w:rsidRDefault="000D4576" w:rsidP="000759B2">
            <w:pPr>
              <w:jc w:val="both"/>
              <w:rPr>
                <w:rFonts w:asciiTheme="majorHAnsi" w:hAnsiTheme="majorHAnsi"/>
                <w:bCs/>
                <w:sz w:val="20"/>
                <w:szCs w:val="20"/>
              </w:rPr>
            </w:pPr>
            <w:r w:rsidRPr="001279A2">
              <w:rPr>
                <w:rFonts w:asciiTheme="majorHAnsi" w:hAnsiTheme="majorHAnsi"/>
                <w:bCs/>
                <w:sz w:val="20"/>
                <w:szCs w:val="20"/>
              </w:rPr>
              <w:t>Yes; American Convention (the instrument of ratification was deposited on July 31, 1973)</w:t>
            </w:r>
          </w:p>
        </w:tc>
      </w:tr>
    </w:tbl>
    <w:p w14:paraId="0408D4CD" w14:textId="77777777" w:rsidR="00F621C3" w:rsidRPr="001279A2" w:rsidRDefault="00F621C3" w:rsidP="00F621C3">
      <w:pPr>
        <w:spacing w:before="240" w:after="240"/>
        <w:ind w:firstLine="720"/>
        <w:jc w:val="both"/>
        <w:rPr>
          <w:rFonts w:asciiTheme="majorHAnsi" w:hAnsiTheme="majorHAnsi"/>
          <w:b/>
          <w:bCs/>
          <w:sz w:val="20"/>
          <w:szCs w:val="20"/>
        </w:rPr>
      </w:pPr>
      <w:r w:rsidRPr="001279A2">
        <w:rPr>
          <w:rFonts w:asciiTheme="majorHAnsi" w:hAnsiTheme="majorHAnsi"/>
          <w:b/>
          <w:bCs/>
          <w:sz w:val="20"/>
          <w:szCs w:val="20"/>
        </w:rPr>
        <w:lastRenderedPageBreak/>
        <w:t xml:space="preserve">IV. </w:t>
      </w:r>
      <w:r w:rsidRPr="001279A2">
        <w:rPr>
          <w:rFonts w:asciiTheme="majorHAnsi" w:hAnsiTheme="majorHAnsi"/>
          <w:b/>
          <w:bCs/>
          <w:sz w:val="20"/>
          <w:szCs w:val="20"/>
        </w:rPr>
        <w:tab/>
        <w:t xml:space="preserve">ANALYSIS OF DUPLICATION OF PROCEDURES AND INTERNATIONAL </w:t>
      </w:r>
      <w:r w:rsidRPr="001279A2">
        <w:rPr>
          <w:rFonts w:asciiTheme="majorHAnsi" w:hAnsiTheme="majorHAnsi"/>
          <w:b/>
          <w:bCs/>
          <w:i/>
          <w:sz w:val="20"/>
          <w:szCs w:val="20"/>
        </w:rPr>
        <w:t>RES JUDICATA</w:t>
      </w:r>
      <w:r w:rsidRPr="001279A2">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1279A2" w14:paraId="4091A423" w14:textId="77777777" w:rsidTr="000759B2">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 xml:space="preserve">Duplication of procedures and International </w:t>
            </w:r>
            <w:r w:rsidRPr="001279A2">
              <w:rPr>
                <w:rFonts w:ascii="Cambria" w:hAnsi="Cambria"/>
                <w:b/>
                <w:bCs/>
                <w:i/>
                <w:color w:val="FFFFFF" w:themeColor="background1"/>
                <w:sz w:val="20"/>
                <w:szCs w:val="20"/>
              </w:rPr>
              <w:t>res judicata</w:t>
            </w:r>
            <w:r w:rsidRPr="001279A2">
              <w:rPr>
                <w:rFonts w:ascii="Cambria" w:hAnsi="Cambria"/>
                <w:b/>
                <w:bCs/>
                <w:color w:val="FFFFFF" w:themeColor="background1"/>
                <w:sz w:val="20"/>
                <w:szCs w:val="20"/>
              </w:rPr>
              <w:t>:</w:t>
            </w:r>
          </w:p>
        </w:tc>
        <w:tc>
          <w:tcPr>
            <w:tcW w:w="4680" w:type="dxa"/>
            <w:vAlign w:val="center"/>
          </w:tcPr>
          <w:p w14:paraId="4773CD23" w14:textId="3A319208" w:rsidR="00F621C3" w:rsidRPr="001279A2" w:rsidRDefault="00623FA1" w:rsidP="000759B2">
            <w:pPr>
              <w:jc w:val="both"/>
              <w:rPr>
                <w:rFonts w:ascii="Cambria" w:hAnsi="Cambria"/>
                <w:bCs/>
                <w:sz w:val="20"/>
                <w:szCs w:val="20"/>
              </w:rPr>
            </w:pPr>
            <w:r w:rsidRPr="001279A2">
              <w:rPr>
                <w:rFonts w:ascii="Cambria" w:hAnsi="Cambria"/>
                <w:bCs/>
                <w:sz w:val="20"/>
                <w:szCs w:val="20"/>
              </w:rPr>
              <w:t>No</w:t>
            </w:r>
          </w:p>
        </w:tc>
      </w:tr>
      <w:tr w:rsidR="00F621C3" w:rsidRPr="001279A2" w14:paraId="24B3B5A9" w14:textId="77777777" w:rsidTr="000759B2">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1279A2" w:rsidRDefault="00F621C3" w:rsidP="000759B2">
            <w:pPr>
              <w:jc w:val="center"/>
              <w:rPr>
                <w:rFonts w:ascii="Cambria" w:hAnsi="Cambria"/>
                <w:b/>
                <w:bCs/>
                <w:i/>
                <w:color w:val="FFFFFF" w:themeColor="background1"/>
                <w:sz w:val="20"/>
                <w:szCs w:val="20"/>
              </w:rPr>
            </w:pPr>
            <w:r w:rsidRPr="001279A2">
              <w:rPr>
                <w:rFonts w:ascii="Cambria" w:hAnsi="Cambria"/>
                <w:b/>
                <w:bCs/>
                <w:color w:val="FFFFFF" w:themeColor="background1"/>
                <w:sz w:val="20"/>
                <w:szCs w:val="20"/>
              </w:rPr>
              <w:t>Rights declared admissible</w:t>
            </w:r>
          </w:p>
        </w:tc>
        <w:tc>
          <w:tcPr>
            <w:tcW w:w="4680" w:type="dxa"/>
            <w:vAlign w:val="center"/>
          </w:tcPr>
          <w:p w14:paraId="33BE4040" w14:textId="3B8DDD56" w:rsidR="00F621C3" w:rsidRPr="001279A2" w:rsidRDefault="00623FA1" w:rsidP="00B03359">
            <w:pPr>
              <w:jc w:val="both"/>
              <w:rPr>
                <w:rFonts w:ascii="Cambria" w:hAnsi="Cambria"/>
                <w:bCs/>
                <w:sz w:val="20"/>
                <w:szCs w:val="20"/>
              </w:rPr>
            </w:pPr>
            <w:r w:rsidRPr="001279A2">
              <w:rPr>
                <w:rFonts w:ascii="Cambria" w:hAnsi="Cambria"/>
                <w:bCs/>
                <w:sz w:val="20"/>
                <w:szCs w:val="20"/>
              </w:rPr>
              <w:t xml:space="preserve">Articles 4 (Life), </w:t>
            </w:r>
            <w:r w:rsidRPr="001279A2">
              <w:rPr>
                <w:rFonts w:asciiTheme="majorHAnsi" w:hAnsiTheme="majorHAnsi"/>
                <w:sz w:val="20"/>
                <w:szCs w:val="20"/>
              </w:rPr>
              <w:t>5 (Humane Treatment), 8 (Fair Trial), 19 (Rights of the Child), 21 (Property</w:t>
            </w:r>
            <w:r w:rsidR="00F644FA">
              <w:rPr>
                <w:rFonts w:asciiTheme="majorHAnsi" w:hAnsiTheme="majorHAnsi"/>
                <w:sz w:val="20"/>
                <w:szCs w:val="20"/>
              </w:rPr>
              <w:t>),</w:t>
            </w:r>
            <w:r w:rsidR="002C0942" w:rsidRPr="001279A2">
              <w:rPr>
                <w:rFonts w:asciiTheme="majorHAnsi" w:hAnsiTheme="majorHAnsi"/>
                <w:sz w:val="20"/>
                <w:szCs w:val="20"/>
              </w:rPr>
              <w:t xml:space="preserve"> </w:t>
            </w:r>
            <w:r w:rsidRPr="001279A2">
              <w:rPr>
                <w:rFonts w:asciiTheme="majorHAnsi" w:hAnsiTheme="majorHAnsi"/>
                <w:sz w:val="20"/>
                <w:szCs w:val="20"/>
              </w:rPr>
              <w:t>25 (Judicial Protection)</w:t>
            </w:r>
            <w:r w:rsidR="00F644FA">
              <w:rPr>
                <w:rFonts w:asciiTheme="majorHAnsi" w:hAnsiTheme="majorHAnsi"/>
                <w:sz w:val="20"/>
                <w:szCs w:val="20"/>
              </w:rPr>
              <w:t xml:space="preserve"> and 26 (Progressive Development)</w:t>
            </w:r>
            <w:r w:rsidRPr="001279A2">
              <w:rPr>
                <w:rFonts w:asciiTheme="majorHAnsi" w:hAnsiTheme="majorHAnsi"/>
                <w:sz w:val="20"/>
                <w:szCs w:val="20"/>
              </w:rPr>
              <w:t xml:space="preserve"> </w:t>
            </w:r>
            <w:r w:rsidR="00B03359" w:rsidRPr="001279A2">
              <w:rPr>
                <w:rFonts w:asciiTheme="majorHAnsi" w:hAnsiTheme="majorHAnsi"/>
                <w:sz w:val="20"/>
                <w:szCs w:val="20"/>
              </w:rPr>
              <w:t>of the American Convention</w:t>
            </w:r>
          </w:p>
        </w:tc>
      </w:tr>
      <w:tr w:rsidR="00F621C3" w:rsidRPr="001279A2" w14:paraId="4DFB74FC" w14:textId="77777777" w:rsidTr="000759B2">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247ADE66" w:rsidR="00F621C3" w:rsidRPr="001279A2" w:rsidRDefault="00B03359" w:rsidP="00B03359">
            <w:pPr>
              <w:rPr>
                <w:rFonts w:ascii="Cambria" w:hAnsi="Cambria"/>
                <w:bCs/>
                <w:sz w:val="20"/>
                <w:szCs w:val="20"/>
              </w:rPr>
            </w:pPr>
            <w:r w:rsidRPr="001279A2">
              <w:rPr>
                <w:rFonts w:ascii="Cambria" w:hAnsi="Cambria"/>
                <w:bCs/>
                <w:sz w:val="20"/>
                <w:szCs w:val="20"/>
              </w:rPr>
              <w:t>Yes; under the terms of Section VI</w:t>
            </w:r>
          </w:p>
        </w:tc>
      </w:tr>
      <w:tr w:rsidR="00F621C3" w:rsidRPr="001279A2" w14:paraId="6D900199" w14:textId="77777777" w:rsidTr="000759B2">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1279A2" w:rsidRDefault="00F621C3" w:rsidP="000759B2">
            <w:pPr>
              <w:jc w:val="center"/>
              <w:rPr>
                <w:rFonts w:ascii="Cambria" w:hAnsi="Cambria"/>
                <w:b/>
                <w:bCs/>
                <w:color w:val="FFFFFF" w:themeColor="background1"/>
                <w:sz w:val="20"/>
                <w:szCs w:val="20"/>
              </w:rPr>
            </w:pPr>
            <w:r w:rsidRPr="001279A2">
              <w:rPr>
                <w:rFonts w:ascii="Cambria" w:hAnsi="Cambria"/>
                <w:b/>
                <w:bCs/>
                <w:color w:val="FFFFFF" w:themeColor="background1"/>
                <w:sz w:val="20"/>
                <w:szCs w:val="20"/>
              </w:rPr>
              <w:t>Timeliness of the petition:</w:t>
            </w:r>
          </w:p>
        </w:tc>
        <w:tc>
          <w:tcPr>
            <w:tcW w:w="4680" w:type="dxa"/>
            <w:vAlign w:val="center"/>
          </w:tcPr>
          <w:p w14:paraId="6A26CCE9" w14:textId="18B2B1BE" w:rsidR="00F621C3" w:rsidRPr="001279A2" w:rsidRDefault="00B03359" w:rsidP="000759B2">
            <w:pPr>
              <w:rPr>
                <w:rFonts w:ascii="Cambria" w:hAnsi="Cambria"/>
                <w:bCs/>
                <w:sz w:val="20"/>
                <w:szCs w:val="20"/>
              </w:rPr>
            </w:pPr>
            <w:r w:rsidRPr="001279A2">
              <w:rPr>
                <w:rFonts w:ascii="Cambria" w:hAnsi="Cambria"/>
                <w:bCs/>
                <w:sz w:val="20"/>
                <w:szCs w:val="20"/>
              </w:rPr>
              <w:t>Yes; under the terms of Section VI</w:t>
            </w:r>
          </w:p>
        </w:tc>
      </w:tr>
    </w:tbl>
    <w:p w14:paraId="629E2DE8" w14:textId="77777777" w:rsidR="00F621C3" w:rsidRPr="001279A2" w:rsidRDefault="00F621C3" w:rsidP="00F621C3">
      <w:pPr>
        <w:spacing w:before="240" w:after="240"/>
        <w:ind w:firstLine="720"/>
        <w:jc w:val="both"/>
        <w:rPr>
          <w:rFonts w:asciiTheme="majorHAnsi" w:hAnsiTheme="majorHAnsi"/>
          <w:b/>
          <w:sz w:val="20"/>
          <w:szCs w:val="20"/>
        </w:rPr>
      </w:pPr>
      <w:r w:rsidRPr="001279A2">
        <w:rPr>
          <w:rFonts w:asciiTheme="majorHAnsi" w:hAnsiTheme="majorHAnsi"/>
          <w:b/>
          <w:sz w:val="20"/>
          <w:szCs w:val="20"/>
        </w:rPr>
        <w:t xml:space="preserve">V. </w:t>
      </w:r>
      <w:r w:rsidRPr="001279A2">
        <w:rPr>
          <w:rFonts w:asciiTheme="majorHAnsi" w:hAnsiTheme="majorHAnsi"/>
          <w:b/>
          <w:sz w:val="20"/>
          <w:szCs w:val="20"/>
        </w:rPr>
        <w:tab/>
        <w:t xml:space="preserve">ALLEGED FACTS </w:t>
      </w:r>
    </w:p>
    <w:p w14:paraId="6953F7A4" w14:textId="6A4C97CB" w:rsidR="00F621C3" w:rsidRPr="001279A2"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79A2">
        <w:rPr>
          <w:rFonts w:ascii="Cambria" w:hAnsi="Cambria"/>
          <w:sz w:val="20"/>
          <w:szCs w:val="20"/>
        </w:rPr>
        <w:t xml:space="preserve"> </w:t>
      </w:r>
      <w:r w:rsidR="003B4E97" w:rsidRPr="001279A2">
        <w:rPr>
          <w:rFonts w:asciiTheme="majorHAnsi" w:hAnsiTheme="majorHAnsi"/>
          <w:sz w:val="20"/>
          <w:szCs w:val="20"/>
        </w:rPr>
        <w:t xml:space="preserve">The petitioners submit that between April 15 and May 30, 1999 the Counter-Narcotics Police made </w:t>
      </w:r>
      <w:r w:rsidR="00533B1A" w:rsidRPr="001279A2">
        <w:rPr>
          <w:rFonts w:asciiTheme="majorHAnsi" w:hAnsiTheme="majorHAnsi"/>
          <w:sz w:val="20"/>
          <w:szCs w:val="20"/>
        </w:rPr>
        <w:t xml:space="preserve">a large-scale fumigation in </w:t>
      </w:r>
      <w:r w:rsidR="007443D0" w:rsidRPr="001279A2">
        <w:rPr>
          <w:rFonts w:asciiTheme="majorHAnsi" w:hAnsiTheme="majorHAnsi"/>
          <w:sz w:val="20"/>
          <w:szCs w:val="20"/>
        </w:rPr>
        <w:t xml:space="preserve">the </w:t>
      </w:r>
      <w:r w:rsidR="007443D0" w:rsidRPr="001279A2">
        <w:rPr>
          <w:rFonts w:asciiTheme="majorHAnsi" w:hAnsiTheme="majorHAnsi"/>
          <w:i/>
          <w:sz w:val="20"/>
          <w:szCs w:val="20"/>
        </w:rPr>
        <w:t>Corregimiento</w:t>
      </w:r>
      <w:r w:rsidR="007443D0" w:rsidRPr="001279A2">
        <w:rPr>
          <w:rFonts w:asciiTheme="majorHAnsi" w:hAnsiTheme="majorHAnsi"/>
          <w:sz w:val="20"/>
          <w:szCs w:val="20"/>
        </w:rPr>
        <w:t xml:space="preserve"> of </w:t>
      </w:r>
      <w:r w:rsidR="003B4E97" w:rsidRPr="001279A2">
        <w:rPr>
          <w:rFonts w:asciiTheme="majorHAnsi" w:hAnsiTheme="majorHAnsi"/>
          <w:sz w:val="20"/>
          <w:szCs w:val="20"/>
        </w:rPr>
        <w:t>La Marina, Municipality of Chaparral, Tolima, through the aerial spraying of the herbicide known as glyphosate, to eradicate illicit opium poppy crops. They assert that in light of the geography and the conflict situation, the aircraft could not descend and the glyphosate was therefore sprayed from 300 meters high, infringing the provisions of Decree 1843 of 1991</w:t>
      </w:r>
      <w:r w:rsidR="00556026" w:rsidRPr="001279A2">
        <w:rPr>
          <w:rFonts w:asciiTheme="majorHAnsi" w:hAnsiTheme="majorHAnsi"/>
          <w:sz w:val="20"/>
          <w:szCs w:val="20"/>
        </w:rPr>
        <w:t>,</w:t>
      </w:r>
      <w:r w:rsidR="003B4E97" w:rsidRPr="001279A2">
        <w:rPr>
          <w:rFonts w:asciiTheme="majorHAnsi" w:hAnsiTheme="majorHAnsi"/>
          <w:sz w:val="20"/>
          <w:szCs w:val="20"/>
        </w:rPr>
        <w:t xml:space="preserve"> under which said herbicide must be sprayed from 10 meters high maximum.</w:t>
      </w:r>
    </w:p>
    <w:p w14:paraId="74E139F6" w14:textId="789347EC" w:rsidR="003B4E97" w:rsidRPr="001279A2" w:rsidRDefault="003B4E97" w:rsidP="003B4E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1279A2">
        <w:rPr>
          <w:rFonts w:asciiTheme="majorHAnsi" w:hAnsiTheme="majorHAnsi"/>
          <w:sz w:val="20"/>
          <w:szCs w:val="20"/>
        </w:rPr>
        <w:t>They claim that as the product was blown by the wind, it indiscriminately fell over hills, houses, domestic and wild animals, crops, barnyards, water sources and schools, dam</w:t>
      </w:r>
      <w:r w:rsidR="00153774" w:rsidRPr="001279A2">
        <w:rPr>
          <w:rFonts w:asciiTheme="majorHAnsi" w:hAnsiTheme="majorHAnsi"/>
          <w:sz w:val="20"/>
          <w:szCs w:val="20"/>
        </w:rPr>
        <w:t>ag</w:t>
      </w:r>
      <w:r w:rsidR="009D5D6F" w:rsidRPr="001279A2">
        <w:rPr>
          <w:rFonts w:asciiTheme="majorHAnsi" w:hAnsiTheme="majorHAnsi"/>
          <w:sz w:val="20"/>
          <w:szCs w:val="20"/>
        </w:rPr>
        <w:t>ing crops and</w:t>
      </w:r>
      <w:r w:rsidR="00153774" w:rsidRPr="001279A2">
        <w:rPr>
          <w:rFonts w:asciiTheme="majorHAnsi" w:hAnsiTheme="majorHAnsi"/>
          <w:sz w:val="20"/>
          <w:szCs w:val="20"/>
        </w:rPr>
        <w:t xml:space="preserve"> </w:t>
      </w:r>
      <w:r w:rsidRPr="001279A2">
        <w:rPr>
          <w:rFonts w:asciiTheme="majorHAnsi" w:hAnsiTheme="majorHAnsi"/>
          <w:sz w:val="20"/>
          <w:szCs w:val="20"/>
        </w:rPr>
        <w:t>people</w:t>
      </w:r>
      <w:r w:rsidR="00F83A36" w:rsidRPr="001279A2">
        <w:rPr>
          <w:rFonts w:asciiTheme="majorHAnsi" w:hAnsiTheme="majorHAnsi"/>
          <w:sz w:val="20"/>
          <w:szCs w:val="20"/>
        </w:rPr>
        <w:t>’s</w:t>
      </w:r>
      <w:r w:rsidRPr="001279A2">
        <w:rPr>
          <w:rFonts w:asciiTheme="majorHAnsi" w:hAnsiTheme="majorHAnsi"/>
          <w:sz w:val="20"/>
          <w:szCs w:val="20"/>
        </w:rPr>
        <w:t xml:space="preserve"> and animals</w:t>
      </w:r>
      <w:r w:rsidR="00153774" w:rsidRPr="001279A2">
        <w:rPr>
          <w:rFonts w:asciiTheme="majorHAnsi" w:hAnsiTheme="majorHAnsi"/>
          <w:sz w:val="20"/>
          <w:szCs w:val="20"/>
        </w:rPr>
        <w:t>’</w:t>
      </w:r>
      <w:r w:rsidR="00F83A36" w:rsidRPr="001279A2">
        <w:rPr>
          <w:rFonts w:asciiTheme="majorHAnsi" w:hAnsiTheme="majorHAnsi"/>
          <w:sz w:val="20"/>
          <w:szCs w:val="20"/>
        </w:rPr>
        <w:t xml:space="preserve"> health</w:t>
      </w:r>
      <w:r w:rsidR="009D5D6F" w:rsidRPr="001279A2">
        <w:rPr>
          <w:rFonts w:asciiTheme="majorHAnsi" w:hAnsiTheme="majorHAnsi"/>
          <w:sz w:val="20"/>
          <w:szCs w:val="20"/>
        </w:rPr>
        <w:t>,</w:t>
      </w:r>
      <w:r w:rsidRPr="001279A2">
        <w:rPr>
          <w:rFonts w:asciiTheme="majorHAnsi" w:hAnsiTheme="majorHAnsi"/>
          <w:sz w:val="20"/>
          <w:szCs w:val="20"/>
        </w:rPr>
        <w:t xml:space="preserve"> and contaminat</w:t>
      </w:r>
      <w:r w:rsidR="009D5D6F" w:rsidRPr="001279A2">
        <w:rPr>
          <w:rFonts w:asciiTheme="majorHAnsi" w:hAnsiTheme="majorHAnsi"/>
          <w:sz w:val="20"/>
          <w:szCs w:val="20"/>
        </w:rPr>
        <w:t>ing</w:t>
      </w:r>
      <w:r w:rsidRPr="001279A2">
        <w:rPr>
          <w:rFonts w:asciiTheme="majorHAnsi" w:hAnsiTheme="majorHAnsi"/>
          <w:sz w:val="20"/>
          <w:szCs w:val="20"/>
        </w:rPr>
        <w:t xml:space="preserve"> </w:t>
      </w:r>
      <w:r w:rsidR="009D5D6F" w:rsidRPr="001279A2">
        <w:rPr>
          <w:rFonts w:asciiTheme="majorHAnsi" w:hAnsiTheme="majorHAnsi"/>
          <w:sz w:val="20"/>
          <w:szCs w:val="20"/>
        </w:rPr>
        <w:t xml:space="preserve">the environment and </w:t>
      </w:r>
      <w:r w:rsidRPr="001279A2">
        <w:rPr>
          <w:rFonts w:asciiTheme="majorHAnsi" w:hAnsiTheme="majorHAnsi"/>
          <w:sz w:val="20"/>
          <w:szCs w:val="20"/>
        </w:rPr>
        <w:t xml:space="preserve">the sluice of a conduit that fed four of the </w:t>
      </w:r>
      <w:r w:rsidR="00F83A36" w:rsidRPr="001279A2">
        <w:rPr>
          <w:rFonts w:asciiTheme="majorHAnsi" w:hAnsiTheme="majorHAnsi"/>
          <w:i/>
          <w:sz w:val="20"/>
          <w:szCs w:val="20"/>
        </w:rPr>
        <w:t>veredas</w:t>
      </w:r>
      <w:r w:rsidRPr="001279A2">
        <w:rPr>
          <w:rFonts w:asciiTheme="majorHAnsi" w:hAnsiTheme="majorHAnsi"/>
          <w:sz w:val="20"/>
          <w:szCs w:val="20"/>
        </w:rPr>
        <w:t>.</w:t>
      </w:r>
      <w:r w:rsidR="00D77090" w:rsidRPr="001279A2">
        <w:rPr>
          <w:rStyle w:val="FootnoteReference"/>
          <w:rFonts w:asciiTheme="majorHAnsi" w:hAnsiTheme="majorHAnsi"/>
          <w:sz w:val="20"/>
          <w:szCs w:val="20"/>
        </w:rPr>
        <w:footnoteReference w:id="7"/>
      </w:r>
      <w:r w:rsidRPr="001279A2">
        <w:rPr>
          <w:rFonts w:asciiTheme="majorHAnsi" w:hAnsiTheme="majorHAnsi"/>
          <w:sz w:val="20"/>
          <w:szCs w:val="20"/>
        </w:rPr>
        <w:t xml:space="preserve"> They indicate that </w:t>
      </w:r>
      <w:r w:rsidR="00F041AC">
        <w:rPr>
          <w:rFonts w:asciiTheme="majorHAnsi" w:hAnsiTheme="majorHAnsi"/>
          <w:sz w:val="20"/>
          <w:szCs w:val="20"/>
        </w:rPr>
        <w:t>thirty-nine</w:t>
      </w:r>
      <w:r w:rsidRPr="001279A2">
        <w:rPr>
          <w:rFonts w:asciiTheme="majorHAnsi" w:hAnsiTheme="majorHAnsi"/>
          <w:sz w:val="20"/>
          <w:szCs w:val="20"/>
        </w:rPr>
        <w:t xml:space="preserve"> pe</w:t>
      </w:r>
      <w:r w:rsidR="009D5D6F" w:rsidRPr="001279A2">
        <w:rPr>
          <w:rFonts w:asciiTheme="majorHAnsi" w:hAnsiTheme="majorHAnsi"/>
          <w:sz w:val="20"/>
          <w:szCs w:val="20"/>
        </w:rPr>
        <w:t>ople</w:t>
      </w:r>
      <w:r w:rsidRPr="001279A2">
        <w:rPr>
          <w:rFonts w:asciiTheme="majorHAnsi" w:hAnsiTheme="majorHAnsi"/>
          <w:sz w:val="20"/>
          <w:szCs w:val="20"/>
        </w:rPr>
        <w:t xml:space="preserve"> </w:t>
      </w:r>
      <w:r w:rsidR="009D5D6F" w:rsidRPr="001279A2">
        <w:rPr>
          <w:rFonts w:asciiTheme="majorHAnsi" w:hAnsiTheme="majorHAnsi"/>
          <w:sz w:val="20"/>
          <w:szCs w:val="20"/>
        </w:rPr>
        <w:t>faced</w:t>
      </w:r>
      <w:r w:rsidRPr="001279A2">
        <w:rPr>
          <w:rFonts w:asciiTheme="majorHAnsi" w:hAnsiTheme="majorHAnsi"/>
          <w:sz w:val="20"/>
          <w:szCs w:val="20"/>
        </w:rPr>
        <w:t xml:space="preserve"> physical and/or material damages. They claim that </w:t>
      </w:r>
      <w:r w:rsidR="00F041AC">
        <w:rPr>
          <w:rFonts w:asciiTheme="majorHAnsi" w:hAnsiTheme="majorHAnsi"/>
          <w:sz w:val="20"/>
          <w:szCs w:val="20"/>
        </w:rPr>
        <w:t>twenty-six</w:t>
      </w:r>
      <w:r w:rsidRPr="001279A2">
        <w:rPr>
          <w:rFonts w:asciiTheme="majorHAnsi" w:hAnsiTheme="majorHAnsi"/>
          <w:sz w:val="20"/>
          <w:szCs w:val="20"/>
        </w:rPr>
        <w:t xml:space="preserve"> </w:t>
      </w:r>
      <w:r w:rsidR="00AC2336" w:rsidRPr="001279A2">
        <w:rPr>
          <w:rFonts w:asciiTheme="majorHAnsi" w:hAnsiTheme="majorHAnsi"/>
          <w:sz w:val="20"/>
          <w:szCs w:val="20"/>
        </w:rPr>
        <w:t>people</w:t>
      </w:r>
      <w:r w:rsidRPr="001279A2">
        <w:rPr>
          <w:rFonts w:asciiTheme="majorHAnsi" w:hAnsiTheme="majorHAnsi"/>
          <w:sz w:val="20"/>
          <w:szCs w:val="20"/>
        </w:rPr>
        <w:t xml:space="preserve"> ingested the pesticide </w:t>
      </w:r>
      <w:r w:rsidR="00960D2E" w:rsidRPr="001279A2">
        <w:rPr>
          <w:rFonts w:asciiTheme="majorHAnsi" w:hAnsiTheme="majorHAnsi"/>
          <w:sz w:val="20"/>
          <w:szCs w:val="20"/>
        </w:rPr>
        <w:t>that was</w:t>
      </w:r>
      <w:r w:rsidRPr="001279A2">
        <w:rPr>
          <w:rFonts w:asciiTheme="majorHAnsi" w:hAnsiTheme="majorHAnsi"/>
          <w:sz w:val="20"/>
          <w:szCs w:val="20"/>
        </w:rPr>
        <w:t xml:space="preserve"> in the water</w:t>
      </w:r>
      <w:r w:rsidR="00960D2E" w:rsidRPr="001279A2">
        <w:rPr>
          <w:rFonts w:asciiTheme="majorHAnsi" w:hAnsiTheme="majorHAnsi"/>
          <w:sz w:val="20"/>
          <w:szCs w:val="20"/>
        </w:rPr>
        <w:t>,</w:t>
      </w:r>
      <w:r w:rsidRPr="001279A2">
        <w:rPr>
          <w:rFonts w:asciiTheme="majorHAnsi" w:hAnsiTheme="majorHAnsi"/>
          <w:sz w:val="20"/>
          <w:szCs w:val="20"/>
        </w:rPr>
        <w:t xml:space="preserve"> and </w:t>
      </w:r>
      <w:r w:rsidR="00960D2E" w:rsidRPr="001279A2">
        <w:rPr>
          <w:rFonts w:asciiTheme="majorHAnsi" w:hAnsiTheme="majorHAnsi"/>
          <w:sz w:val="20"/>
          <w:szCs w:val="20"/>
        </w:rPr>
        <w:t>that several</w:t>
      </w:r>
      <w:r w:rsidRPr="001279A2">
        <w:rPr>
          <w:rFonts w:asciiTheme="majorHAnsi" w:hAnsiTheme="majorHAnsi"/>
          <w:sz w:val="20"/>
          <w:szCs w:val="20"/>
        </w:rPr>
        <w:t xml:space="preserve"> women had miscarriages. In particular, the petitioners submit that Doris Yaneth Alape Reyes was hospitalized due to severe symptoms of intoxicati</w:t>
      </w:r>
      <w:r w:rsidR="00227187" w:rsidRPr="001279A2">
        <w:rPr>
          <w:rFonts w:asciiTheme="majorHAnsi" w:hAnsiTheme="majorHAnsi"/>
          <w:sz w:val="20"/>
          <w:szCs w:val="20"/>
        </w:rPr>
        <w:t>on, and that several days later</w:t>
      </w:r>
      <w:r w:rsidRPr="001279A2">
        <w:rPr>
          <w:rFonts w:asciiTheme="majorHAnsi" w:hAnsiTheme="majorHAnsi"/>
          <w:sz w:val="20"/>
          <w:szCs w:val="20"/>
        </w:rPr>
        <w:t xml:space="preserve"> she underwent a spontaneous delivery, giving birth to a son of only 28 weeks</w:t>
      </w:r>
      <w:r w:rsidR="00227187" w:rsidRPr="001279A2">
        <w:rPr>
          <w:rFonts w:asciiTheme="majorHAnsi" w:hAnsiTheme="majorHAnsi"/>
          <w:sz w:val="20"/>
          <w:szCs w:val="20"/>
        </w:rPr>
        <w:t>’</w:t>
      </w:r>
      <w:r w:rsidRPr="001279A2">
        <w:rPr>
          <w:rFonts w:asciiTheme="majorHAnsi" w:hAnsiTheme="majorHAnsi"/>
          <w:sz w:val="20"/>
          <w:szCs w:val="20"/>
        </w:rPr>
        <w:t xml:space="preserve"> gestation. According to their account of the facts, the boy was in intensive care for 8 days and died on June 1, 1999. They assert that Mrs. Alape Reyes has ever since been ill and impaired to work and</w:t>
      </w:r>
      <w:r w:rsidR="0014431B">
        <w:rPr>
          <w:rFonts w:asciiTheme="majorHAnsi" w:hAnsiTheme="majorHAnsi"/>
          <w:sz w:val="20"/>
          <w:szCs w:val="20"/>
        </w:rPr>
        <w:t xml:space="preserve"> to undertake household chores.</w:t>
      </w:r>
    </w:p>
    <w:p w14:paraId="7F797951" w14:textId="77777777" w:rsidR="003B4E97" w:rsidRPr="001279A2" w:rsidRDefault="003B4E97" w:rsidP="003B4E9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14:paraId="72300871" w14:textId="1F2F0BBC" w:rsidR="003B4E97" w:rsidRPr="001279A2" w:rsidRDefault="003B4E97" w:rsidP="003B4E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279A2">
        <w:rPr>
          <w:rFonts w:asciiTheme="majorHAnsi" w:hAnsiTheme="majorHAnsi"/>
          <w:sz w:val="20"/>
          <w:szCs w:val="20"/>
        </w:rPr>
        <w:t xml:space="preserve">The petitioners indicate that </w:t>
      </w:r>
      <w:r w:rsidR="00287B7D" w:rsidRPr="001279A2">
        <w:rPr>
          <w:rFonts w:asciiTheme="majorHAnsi" w:hAnsiTheme="majorHAnsi"/>
          <w:sz w:val="20"/>
          <w:szCs w:val="20"/>
        </w:rPr>
        <w:t xml:space="preserve">as result of these facts </w:t>
      </w:r>
      <w:r w:rsidR="001D7FE7">
        <w:rPr>
          <w:rFonts w:asciiTheme="majorHAnsi" w:hAnsiTheme="majorHAnsi"/>
          <w:sz w:val="20"/>
          <w:szCs w:val="20"/>
        </w:rPr>
        <w:t>thirty-six</w:t>
      </w:r>
      <w:r w:rsidR="00287B7D" w:rsidRPr="001279A2">
        <w:rPr>
          <w:rFonts w:asciiTheme="majorHAnsi" w:hAnsiTheme="majorHAnsi"/>
          <w:sz w:val="20"/>
          <w:szCs w:val="20"/>
        </w:rPr>
        <w:t xml:space="preserve"> cla</w:t>
      </w:r>
      <w:r w:rsidRPr="001279A2">
        <w:rPr>
          <w:rFonts w:asciiTheme="majorHAnsi" w:hAnsiTheme="majorHAnsi"/>
          <w:sz w:val="20"/>
          <w:szCs w:val="20"/>
        </w:rPr>
        <w:t>ims for damages were filed before the High Court of t</w:t>
      </w:r>
      <w:r w:rsidR="009402BA" w:rsidRPr="001279A2">
        <w:rPr>
          <w:rFonts w:asciiTheme="majorHAnsi" w:hAnsiTheme="majorHAnsi"/>
          <w:sz w:val="20"/>
          <w:szCs w:val="20"/>
        </w:rPr>
        <w:t>he Judicial District of Ibague (</w:t>
      </w:r>
      <w:r w:rsidR="00247523" w:rsidRPr="001279A2">
        <w:rPr>
          <w:rFonts w:asciiTheme="majorHAnsi" w:hAnsiTheme="majorHAnsi"/>
          <w:sz w:val="20"/>
          <w:szCs w:val="20"/>
        </w:rPr>
        <w:t xml:space="preserve">Municipality of </w:t>
      </w:r>
      <w:r w:rsidRPr="001279A2">
        <w:rPr>
          <w:rFonts w:asciiTheme="majorHAnsi" w:hAnsiTheme="majorHAnsi"/>
          <w:sz w:val="20"/>
          <w:szCs w:val="20"/>
        </w:rPr>
        <w:t>Tolima</w:t>
      </w:r>
      <w:r w:rsidR="009402BA" w:rsidRPr="001279A2">
        <w:rPr>
          <w:rFonts w:asciiTheme="majorHAnsi" w:hAnsiTheme="majorHAnsi"/>
          <w:sz w:val="20"/>
          <w:szCs w:val="20"/>
        </w:rPr>
        <w:t>)</w:t>
      </w:r>
      <w:r w:rsidRPr="001279A2">
        <w:rPr>
          <w:rFonts w:asciiTheme="majorHAnsi" w:hAnsiTheme="majorHAnsi"/>
          <w:sz w:val="20"/>
          <w:szCs w:val="20"/>
        </w:rPr>
        <w:t xml:space="preserve"> on behalf of the </w:t>
      </w:r>
      <w:r w:rsidR="00FF4E14">
        <w:rPr>
          <w:rFonts w:asciiTheme="majorHAnsi" w:hAnsiTheme="majorHAnsi"/>
          <w:sz w:val="20"/>
          <w:szCs w:val="20"/>
        </w:rPr>
        <w:t>thirty-nine</w:t>
      </w:r>
      <w:r w:rsidRPr="001279A2">
        <w:rPr>
          <w:rFonts w:asciiTheme="majorHAnsi" w:hAnsiTheme="majorHAnsi"/>
          <w:sz w:val="20"/>
          <w:szCs w:val="20"/>
        </w:rPr>
        <w:t xml:space="preserve"> people</w:t>
      </w:r>
      <w:r w:rsidR="00EE421C" w:rsidRPr="001279A2">
        <w:rPr>
          <w:rFonts w:asciiTheme="majorHAnsi" w:hAnsiTheme="majorHAnsi"/>
          <w:sz w:val="20"/>
          <w:szCs w:val="20"/>
        </w:rPr>
        <w:t xml:space="preserve"> affected</w:t>
      </w:r>
      <w:r w:rsidRPr="001279A2">
        <w:rPr>
          <w:rFonts w:asciiTheme="majorHAnsi" w:hAnsiTheme="majorHAnsi"/>
          <w:sz w:val="20"/>
          <w:szCs w:val="20"/>
        </w:rPr>
        <w:t xml:space="preserve">. One of the complaints was lodged on behalf of four people: Ferney Avendaño Lugo, his wife Doris Yaneth Alape Reyes, and </w:t>
      </w:r>
      <w:r w:rsidR="00EE421C" w:rsidRPr="001279A2">
        <w:rPr>
          <w:rFonts w:asciiTheme="majorHAnsi" w:hAnsiTheme="majorHAnsi"/>
          <w:sz w:val="20"/>
          <w:szCs w:val="20"/>
        </w:rPr>
        <w:t xml:space="preserve">their </w:t>
      </w:r>
      <w:r w:rsidRPr="001279A2">
        <w:rPr>
          <w:rFonts w:asciiTheme="majorHAnsi" w:hAnsiTheme="majorHAnsi"/>
          <w:sz w:val="20"/>
          <w:szCs w:val="20"/>
        </w:rPr>
        <w:t xml:space="preserve">two children (one of whom </w:t>
      </w:r>
      <w:r w:rsidR="00012E01" w:rsidRPr="001279A2">
        <w:rPr>
          <w:rFonts w:asciiTheme="majorHAnsi" w:hAnsiTheme="majorHAnsi"/>
          <w:sz w:val="20"/>
          <w:szCs w:val="20"/>
        </w:rPr>
        <w:t>is</w:t>
      </w:r>
      <w:r w:rsidRPr="001279A2">
        <w:rPr>
          <w:rFonts w:asciiTheme="majorHAnsi" w:hAnsiTheme="majorHAnsi"/>
          <w:sz w:val="20"/>
          <w:szCs w:val="20"/>
        </w:rPr>
        <w:t xml:space="preserve"> the </w:t>
      </w:r>
      <w:r w:rsidR="00EE421C" w:rsidRPr="001279A2">
        <w:rPr>
          <w:rFonts w:asciiTheme="majorHAnsi" w:hAnsiTheme="majorHAnsi"/>
          <w:sz w:val="20"/>
          <w:szCs w:val="20"/>
        </w:rPr>
        <w:t>deceased</w:t>
      </w:r>
      <w:r w:rsidRPr="001279A2">
        <w:rPr>
          <w:rFonts w:asciiTheme="majorHAnsi" w:hAnsiTheme="majorHAnsi"/>
          <w:sz w:val="20"/>
          <w:szCs w:val="20"/>
        </w:rPr>
        <w:t xml:space="preserve"> </w:t>
      </w:r>
      <w:r w:rsidR="00012E01" w:rsidRPr="001279A2">
        <w:rPr>
          <w:rFonts w:asciiTheme="majorHAnsi" w:hAnsiTheme="majorHAnsi"/>
          <w:sz w:val="20"/>
          <w:szCs w:val="20"/>
        </w:rPr>
        <w:t xml:space="preserve">premature </w:t>
      </w:r>
      <w:r w:rsidRPr="001279A2">
        <w:rPr>
          <w:rFonts w:asciiTheme="majorHAnsi" w:hAnsiTheme="majorHAnsi"/>
          <w:sz w:val="20"/>
          <w:szCs w:val="20"/>
        </w:rPr>
        <w:t xml:space="preserve">baby). The complaints were admitted in full, but </w:t>
      </w:r>
      <w:r w:rsidR="003B6A95" w:rsidRPr="001279A2">
        <w:rPr>
          <w:rFonts w:asciiTheme="majorHAnsi" w:hAnsiTheme="majorHAnsi"/>
          <w:sz w:val="20"/>
          <w:szCs w:val="20"/>
        </w:rPr>
        <w:t>their processing cost</w:t>
      </w:r>
      <w:r w:rsidRPr="001279A2">
        <w:rPr>
          <w:rFonts w:asciiTheme="majorHAnsi" w:hAnsiTheme="majorHAnsi"/>
          <w:sz w:val="20"/>
          <w:szCs w:val="20"/>
        </w:rPr>
        <w:t xml:space="preserve"> 60,000 Colombian pesos (about USD 30), </w:t>
      </w:r>
      <w:r w:rsidR="00153568" w:rsidRPr="001279A2">
        <w:rPr>
          <w:rFonts w:asciiTheme="majorHAnsi" w:hAnsiTheme="majorHAnsi"/>
          <w:sz w:val="20"/>
          <w:szCs w:val="20"/>
        </w:rPr>
        <w:t>which</w:t>
      </w:r>
      <w:r w:rsidRPr="001279A2">
        <w:rPr>
          <w:rFonts w:asciiTheme="majorHAnsi" w:hAnsiTheme="majorHAnsi"/>
          <w:sz w:val="20"/>
          <w:szCs w:val="20"/>
        </w:rPr>
        <w:t xml:space="preserve"> was paid</w:t>
      </w:r>
      <w:r w:rsidR="00A718B1" w:rsidRPr="001279A2">
        <w:rPr>
          <w:rFonts w:asciiTheme="majorHAnsi" w:hAnsiTheme="majorHAnsi"/>
          <w:sz w:val="20"/>
          <w:szCs w:val="20"/>
        </w:rPr>
        <w:t xml:space="preserve"> </w:t>
      </w:r>
      <w:r w:rsidR="00766F11" w:rsidRPr="001279A2">
        <w:rPr>
          <w:rFonts w:asciiTheme="majorHAnsi" w:hAnsiTheme="majorHAnsi"/>
          <w:sz w:val="20"/>
          <w:szCs w:val="20"/>
        </w:rPr>
        <w:t>for</w:t>
      </w:r>
      <w:r w:rsidRPr="001279A2">
        <w:rPr>
          <w:rFonts w:asciiTheme="majorHAnsi" w:hAnsiTheme="majorHAnsi"/>
          <w:sz w:val="20"/>
          <w:szCs w:val="20"/>
        </w:rPr>
        <w:t xml:space="preserve"> </w:t>
      </w:r>
      <w:r w:rsidR="00FF4E14">
        <w:rPr>
          <w:rFonts w:asciiTheme="majorHAnsi" w:hAnsiTheme="majorHAnsi"/>
          <w:sz w:val="20"/>
          <w:szCs w:val="20"/>
        </w:rPr>
        <w:t>six</w:t>
      </w:r>
      <w:r w:rsidRPr="001279A2">
        <w:rPr>
          <w:rFonts w:asciiTheme="majorHAnsi" w:hAnsiTheme="majorHAnsi"/>
          <w:sz w:val="20"/>
          <w:szCs w:val="20"/>
        </w:rPr>
        <w:t xml:space="preserve"> of the complaints</w:t>
      </w:r>
      <w:r w:rsidR="00E0555D" w:rsidRPr="001279A2">
        <w:rPr>
          <w:rFonts w:asciiTheme="majorHAnsi" w:hAnsiTheme="majorHAnsi"/>
          <w:sz w:val="20"/>
          <w:szCs w:val="20"/>
        </w:rPr>
        <w:t xml:space="preserve"> only</w:t>
      </w:r>
      <w:r w:rsidRPr="001279A2">
        <w:rPr>
          <w:rFonts w:asciiTheme="majorHAnsi" w:hAnsiTheme="majorHAnsi"/>
          <w:sz w:val="20"/>
          <w:szCs w:val="20"/>
        </w:rPr>
        <w:t xml:space="preserve">. </w:t>
      </w:r>
      <w:r w:rsidR="000D1955" w:rsidRPr="001279A2">
        <w:rPr>
          <w:rFonts w:asciiTheme="majorHAnsi" w:hAnsiTheme="majorHAnsi"/>
          <w:sz w:val="20"/>
          <w:szCs w:val="20"/>
        </w:rPr>
        <w:t>T</w:t>
      </w:r>
      <w:r w:rsidRPr="001279A2">
        <w:rPr>
          <w:rFonts w:asciiTheme="majorHAnsi" w:hAnsiTheme="majorHAnsi"/>
          <w:sz w:val="20"/>
          <w:szCs w:val="20"/>
        </w:rPr>
        <w:t>hey submit that fee waiver appeals were filed</w:t>
      </w:r>
      <w:r w:rsidR="00766F11" w:rsidRPr="001279A2">
        <w:rPr>
          <w:rFonts w:asciiTheme="majorHAnsi" w:hAnsiTheme="majorHAnsi"/>
          <w:sz w:val="20"/>
          <w:szCs w:val="20"/>
        </w:rPr>
        <w:t xml:space="preserve"> as regards the other </w:t>
      </w:r>
      <w:r w:rsidR="00FD6AAF">
        <w:rPr>
          <w:rFonts w:asciiTheme="majorHAnsi" w:hAnsiTheme="majorHAnsi"/>
          <w:sz w:val="20"/>
          <w:szCs w:val="20"/>
        </w:rPr>
        <w:t>thirty</w:t>
      </w:r>
      <w:r w:rsidR="00766F11" w:rsidRPr="001279A2">
        <w:rPr>
          <w:rFonts w:asciiTheme="majorHAnsi" w:hAnsiTheme="majorHAnsi"/>
          <w:sz w:val="20"/>
          <w:szCs w:val="20"/>
        </w:rPr>
        <w:t xml:space="preserve"> complaints,</w:t>
      </w:r>
      <w:r w:rsidRPr="001279A2">
        <w:rPr>
          <w:rFonts w:asciiTheme="majorHAnsi" w:hAnsiTheme="majorHAnsi"/>
          <w:sz w:val="20"/>
          <w:szCs w:val="20"/>
        </w:rPr>
        <w:t xml:space="preserve"> </w:t>
      </w:r>
      <w:r w:rsidR="00332AEE" w:rsidRPr="001279A2">
        <w:rPr>
          <w:rFonts w:asciiTheme="majorHAnsi" w:hAnsiTheme="majorHAnsi"/>
          <w:sz w:val="20"/>
          <w:szCs w:val="20"/>
        </w:rPr>
        <w:t>in light of</w:t>
      </w:r>
      <w:r w:rsidRPr="001279A2">
        <w:rPr>
          <w:rFonts w:asciiTheme="majorHAnsi" w:hAnsiTheme="majorHAnsi"/>
          <w:sz w:val="20"/>
          <w:szCs w:val="20"/>
        </w:rPr>
        <w:t xml:space="preserve"> the poor economic situation caused by the fumigation, </w:t>
      </w:r>
      <w:r w:rsidR="00766F11" w:rsidRPr="001279A2">
        <w:rPr>
          <w:rFonts w:asciiTheme="majorHAnsi" w:hAnsiTheme="majorHAnsi"/>
          <w:sz w:val="20"/>
          <w:szCs w:val="20"/>
        </w:rPr>
        <w:t xml:space="preserve">but </w:t>
      </w:r>
      <w:r w:rsidR="00332AEE" w:rsidRPr="001279A2">
        <w:rPr>
          <w:rFonts w:asciiTheme="majorHAnsi" w:hAnsiTheme="majorHAnsi"/>
          <w:sz w:val="20"/>
          <w:szCs w:val="20"/>
        </w:rPr>
        <w:t>these</w:t>
      </w:r>
      <w:r w:rsidR="00A12249" w:rsidRPr="001279A2">
        <w:rPr>
          <w:rFonts w:asciiTheme="majorHAnsi" w:hAnsiTheme="majorHAnsi"/>
          <w:sz w:val="20"/>
          <w:szCs w:val="20"/>
        </w:rPr>
        <w:t xml:space="preserve"> </w:t>
      </w:r>
      <w:r w:rsidRPr="001279A2">
        <w:rPr>
          <w:rFonts w:asciiTheme="majorHAnsi" w:hAnsiTheme="majorHAnsi"/>
          <w:sz w:val="20"/>
          <w:szCs w:val="20"/>
        </w:rPr>
        <w:t xml:space="preserve">were admitted </w:t>
      </w:r>
      <w:r w:rsidR="00BF00E9" w:rsidRPr="001279A2">
        <w:rPr>
          <w:rFonts w:asciiTheme="majorHAnsi" w:hAnsiTheme="majorHAnsi"/>
          <w:sz w:val="20"/>
          <w:szCs w:val="20"/>
        </w:rPr>
        <w:t xml:space="preserve">concerning </w:t>
      </w:r>
      <w:r w:rsidR="00FD6AAF">
        <w:rPr>
          <w:rFonts w:asciiTheme="majorHAnsi" w:hAnsiTheme="majorHAnsi"/>
          <w:sz w:val="20"/>
          <w:szCs w:val="20"/>
        </w:rPr>
        <w:t>eight</w:t>
      </w:r>
      <w:r w:rsidR="00BF00E9" w:rsidRPr="001279A2">
        <w:rPr>
          <w:rFonts w:asciiTheme="majorHAnsi" w:hAnsiTheme="majorHAnsi"/>
          <w:sz w:val="20"/>
          <w:szCs w:val="20"/>
        </w:rPr>
        <w:t xml:space="preserve"> complaints, </w:t>
      </w:r>
      <w:r w:rsidR="00A12249" w:rsidRPr="001279A2">
        <w:rPr>
          <w:rFonts w:asciiTheme="majorHAnsi" w:hAnsiTheme="majorHAnsi"/>
          <w:sz w:val="20"/>
          <w:szCs w:val="20"/>
        </w:rPr>
        <w:t>whereas</w:t>
      </w:r>
      <w:r w:rsidRPr="001279A2">
        <w:rPr>
          <w:rFonts w:asciiTheme="majorHAnsi" w:hAnsiTheme="majorHAnsi"/>
          <w:sz w:val="20"/>
          <w:szCs w:val="20"/>
        </w:rPr>
        <w:t xml:space="preserve"> </w:t>
      </w:r>
      <w:r w:rsidR="00BF00E9" w:rsidRPr="001279A2">
        <w:rPr>
          <w:rFonts w:asciiTheme="majorHAnsi" w:hAnsiTheme="majorHAnsi"/>
          <w:sz w:val="20"/>
          <w:szCs w:val="20"/>
        </w:rPr>
        <w:t>in the rest of the cases appeals</w:t>
      </w:r>
      <w:r w:rsidRPr="001279A2">
        <w:rPr>
          <w:rFonts w:asciiTheme="majorHAnsi" w:hAnsiTheme="majorHAnsi"/>
          <w:sz w:val="20"/>
          <w:szCs w:val="20"/>
        </w:rPr>
        <w:t xml:space="preserve"> were rejected on the grounds that the</w:t>
      </w:r>
      <w:r w:rsidR="00734792" w:rsidRPr="001279A2">
        <w:rPr>
          <w:rFonts w:asciiTheme="majorHAnsi" w:hAnsiTheme="majorHAnsi"/>
          <w:sz w:val="20"/>
          <w:szCs w:val="20"/>
        </w:rPr>
        <w:t>y</w:t>
      </w:r>
      <w:r w:rsidRPr="001279A2">
        <w:rPr>
          <w:rFonts w:asciiTheme="majorHAnsi" w:hAnsiTheme="majorHAnsi"/>
          <w:sz w:val="20"/>
          <w:szCs w:val="20"/>
        </w:rPr>
        <w:t xml:space="preserve"> had to be filed with the initial complaint. </w:t>
      </w:r>
      <w:r w:rsidR="003224B5" w:rsidRPr="001279A2">
        <w:rPr>
          <w:rFonts w:asciiTheme="majorHAnsi" w:hAnsiTheme="majorHAnsi"/>
          <w:sz w:val="20"/>
          <w:szCs w:val="20"/>
        </w:rPr>
        <w:t>As</w:t>
      </w:r>
      <w:r w:rsidRPr="001279A2">
        <w:rPr>
          <w:rFonts w:asciiTheme="majorHAnsi" w:hAnsiTheme="majorHAnsi"/>
          <w:sz w:val="20"/>
          <w:szCs w:val="20"/>
        </w:rPr>
        <w:t xml:space="preserve"> they were unable to afford such expenses, the petitioners claim that their rights to access to justice, due process and effective judicial protection were violated, </w:t>
      </w:r>
      <w:r w:rsidR="003224B5" w:rsidRPr="001279A2">
        <w:rPr>
          <w:rFonts w:asciiTheme="majorHAnsi" w:hAnsiTheme="majorHAnsi"/>
          <w:sz w:val="20"/>
          <w:szCs w:val="20"/>
        </w:rPr>
        <w:t>since</w:t>
      </w:r>
      <w:r w:rsidRPr="001279A2">
        <w:rPr>
          <w:rFonts w:asciiTheme="majorHAnsi" w:hAnsiTheme="majorHAnsi"/>
          <w:sz w:val="20"/>
          <w:szCs w:val="20"/>
        </w:rPr>
        <w:t xml:space="preserve"> when the six month</w:t>
      </w:r>
      <w:r w:rsidR="003224B5" w:rsidRPr="001279A2">
        <w:rPr>
          <w:rFonts w:asciiTheme="majorHAnsi" w:hAnsiTheme="majorHAnsi"/>
          <w:sz w:val="20"/>
          <w:szCs w:val="20"/>
        </w:rPr>
        <w:t>’</w:t>
      </w:r>
      <w:r w:rsidRPr="001279A2">
        <w:rPr>
          <w:rFonts w:asciiTheme="majorHAnsi" w:hAnsiTheme="majorHAnsi"/>
          <w:sz w:val="20"/>
          <w:szCs w:val="20"/>
        </w:rPr>
        <w:t xml:space="preserve">s </w:t>
      </w:r>
      <w:r w:rsidR="003224B5" w:rsidRPr="001279A2">
        <w:rPr>
          <w:rFonts w:asciiTheme="majorHAnsi" w:hAnsiTheme="majorHAnsi"/>
          <w:sz w:val="20"/>
          <w:szCs w:val="20"/>
        </w:rPr>
        <w:t>period</w:t>
      </w:r>
      <w:r w:rsidRPr="001279A2">
        <w:rPr>
          <w:rFonts w:asciiTheme="majorHAnsi" w:hAnsiTheme="majorHAnsi"/>
          <w:sz w:val="20"/>
          <w:szCs w:val="20"/>
        </w:rPr>
        <w:t xml:space="preserve"> was due, the complaints were declared barred by the st</w:t>
      </w:r>
      <w:r w:rsidR="003224B5" w:rsidRPr="001279A2">
        <w:rPr>
          <w:rFonts w:asciiTheme="majorHAnsi" w:hAnsiTheme="majorHAnsi"/>
          <w:sz w:val="20"/>
          <w:szCs w:val="20"/>
        </w:rPr>
        <w:t>at</w:t>
      </w:r>
      <w:r w:rsidRPr="001279A2">
        <w:rPr>
          <w:rFonts w:asciiTheme="majorHAnsi" w:hAnsiTheme="majorHAnsi"/>
          <w:sz w:val="20"/>
          <w:szCs w:val="20"/>
        </w:rPr>
        <w:t>ute of limitations a</w:t>
      </w:r>
      <w:r w:rsidR="0014431B">
        <w:rPr>
          <w:rFonts w:asciiTheme="majorHAnsi" w:hAnsiTheme="majorHAnsi"/>
          <w:sz w:val="20"/>
          <w:szCs w:val="20"/>
        </w:rPr>
        <w:t>nd their archiving was ordered.</w:t>
      </w:r>
    </w:p>
    <w:p w14:paraId="37C0C62C" w14:textId="37E47D94" w:rsidR="003B4E97" w:rsidRPr="001279A2" w:rsidRDefault="003B4E97" w:rsidP="003B4E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279A2">
        <w:rPr>
          <w:rFonts w:asciiTheme="majorHAnsi" w:hAnsiTheme="majorHAnsi"/>
          <w:sz w:val="20"/>
          <w:szCs w:val="20"/>
        </w:rPr>
        <w:t>On July 23, 2003, the Administrative Court of Tolima decided to join together the fourteen</w:t>
      </w:r>
      <w:r w:rsidR="00496E2A" w:rsidRPr="001279A2">
        <w:rPr>
          <w:rStyle w:val="FootnoteReference"/>
          <w:rFonts w:asciiTheme="majorHAnsi" w:hAnsiTheme="majorHAnsi"/>
          <w:sz w:val="20"/>
          <w:szCs w:val="20"/>
        </w:rPr>
        <w:footnoteReference w:id="8"/>
      </w:r>
      <w:r w:rsidRPr="001279A2">
        <w:rPr>
          <w:rFonts w:asciiTheme="majorHAnsi" w:hAnsiTheme="majorHAnsi"/>
          <w:sz w:val="20"/>
          <w:szCs w:val="20"/>
        </w:rPr>
        <w:t xml:space="preserve"> case files</w:t>
      </w:r>
      <w:r w:rsidR="00496E2A" w:rsidRPr="001279A2">
        <w:rPr>
          <w:rFonts w:asciiTheme="majorHAnsi" w:hAnsiTheme="majorHAnsi"/>
          <w:sz w:val="20"/>
          <w:szCs w:val="20"/>
        </w:rPr>
        <w:t xml:space="preserve"> admitted</w:t>
      </w:r>
      <w:r w:rsidRPr="001279A2">
        <w:rPr>
          <w:rFonts w:asciiTheme="majorHAnsi" w:hAnsiTheme="majorHAnsi"/>
          <w:sz w:val="20"/>
          <w:szCs w:val="20"/>
        </w:rPr>
        <w:t xml:space="preserve"> </w:t>
      </w:r>
      <w:r w:rsidR="00496E2A" w:rsidRPr="001279A2">
        <w:rPr>
          <w:rFonts w:asciiTheme="majorHAnsi" w:hAnsiTheme="majorHAnsi"/>
          <w:sz w:val="20"/>
          <w:szCs w:val="20"/>
        </w:rPr>
        <w:t>under</w:t>
      </w:r>
      <w:r w:rsidRPr="001279A2">
        <w:rPr>
          <w:rFonts w:asciiTheme="majorHAnsi" w:hAnsiTheme="majorHAnsi"/>
          <w:sz w:val="20"/>
          <w:szCs w:val="20"/>
        </w:rPr>
        <w:t xml:space="preserve"> file No. 2001-1311. On July 24, 2007 the Sixth Administrative Court of Ibague</w:t>
      </w:r>
      <w:r w:rsidR="00056F49" w:rsidRPr="001279A2">
        <w:rPr>
          <w:rFonts w:asciiTheme="majorHAnsi" w:hAnsiTheme="majorHAnsi"/>
          <w:sz w:val="20"/>
          <w:szCs w:val="20"/>
        </w:rPr>
        <w:t xml:space="preserve"> (</w:t>
      </w:r>
      <w:r w:rsidRPr="001279A2">
        <w:rPr>
          <w:rFonts w:asciiTheme="majorHAnsi" w:hAnsiTheme="majorHAnsi"/>
          <w:sz w:val="20"/>
          <w:szCs w:val="20"/>
        </w:rPr>
        <w:t>Tolima</w:t>
      </w:r>
      <w:r w:rsidR="00056F49" w:rsidRPr="001279A2">
        <w:rPr>
          <w:rFonts w:asciiTheme="majorHAnsi" w:hAnsiTheme="majorHAnsi"/>
          <w:sz w:val="20"/>
          <w:szCs w:val="20"/>
        </w:rPr>
        <w:t>)</w:t>
      </w:r>
      <w:r w:rsidRPr="001279A2">
        <w:rPr>
          <w:rFonts w:asciiTheme="majorHAnsi" w:hAnsiTheme="majorHAnsi"/>
          <w:sz w:val="20"/>
          <w:szCs w:val="20"/>
        </w:rPr>
        <w:t xml:space="preserve"> settled the case, by declaring the State of Colombia, the Federal Counter-Narcotics Bureau and the </w:t>
      </w:r>
      <w:r w:rsidRPr="001279A2">
        <w:rPr>
          <w:rFonts w:asciiTheme="majorHAnsi" w:hAnsiTheme="majorHAnsi"/>
          <w:sz w:val="20"/>
          <w:szCs w:val="20"/>
        </w:rPr>
        <w:lastRenderedPageBreak/>
        <w:t xml:space="preserve">Federal Counter-Narcotics Police </w:t>
      </w:r>
      <w:r w:rsidR="00206775" w:rsidRPr="001279A2">
        <w:rPr>
          <w:rFonts w:asciiTheme="majorHAnsi" w:hAnsiTheme="majorHAnsi"/>
          <w:sz w:val="20"/>
          <w:szCs w:val="20"/>
        </w:rPr>
        <w:t>liable</w:t>
      </w:r>
      <w:r w:rsidRPr="001279A2">
        <w:rPr>
          <w:rFonts w:asciiTheme="majorHAnsi" w:hAnsiTheme="majorHAnsi"/>
          <w:sz w:val="20"/>
          <w:szCs w:val="20"/>
        </w:rPr>
        <w:t xml:space="preserve"> for the </w:t>
      </w:r>
      <w:r w:rsidR="00206775" w:rsidRPr="001279A2">
        <w:rPr>
          <w:rFonts w:asciiTheme="majorHAnsi" w:hAnsiTheme="majorHAnsi"/>
          <w:sz w:val="20"/>
          <w:szCs w:val="20"/>
        </w:rPr>
        <w:t>economic</w:t>
      </w:r>
      <w:r w:rsidRPr="001279A2">
        <w:rPr>
          <w:rFonts w:asciiTheme="majorHAnsi" w:hAnsiTheme="majorHAnsi"/>
          <w:sz w:val="20"/>
          <w:szCs w:val="20"/>
        </w:rPr>
        <w:t xml:space="preserve"> </w:t>
      </w:r>
      <w:r w:rsidR="00206775" w:rsidRPr="001279A2">
        <w:rPr>
          <w:rFonts w:asciiTheme="majorHAnsi" w:hAnsiTheme="majorHAnsi"/>
          <w:sz w:val="20"/>
          <w:szCs w:val="20"/>
        </w:rPr>
        <w:t>damage</w:t>
      </w:r>
      <w:r w:rsidRPr="001279A2">
        <w:rPr>
          <w:rFonts w:asciiTheme="majorHAnsi" w:hAnsiTheme="majorHAnsi"/>
          <w:sz w:val="20"/>
          <w:szCs w:val="20"/>
        </w:rPr>
        <w:t xml:space="preserve"> caused to six of the alleged victims,</w:t>
      </w:r>
      <w:r w:rsidR="005C34A2" w:rsidRPr="001279A2">
        <w:rPr>
          <w:rStyle w:val="FootnoteReference"/>
          <w:rFonts w:asciiTheme="majorHAnsi" w:hAnsiTheme="majorHAnsi"/>
          <w:sz w:val="20"/>
          <w:szCs w:val="20"/>
        </w:rPr>
        <w:footnoteReference w:id="9"/>
      </w:r>
      <w:r w:rsidRPr="001279A2">
        <w:rPr>
          <w:rFonts w:asciiTheme="majorHAnsi" w:hAnsiTheme="majorHAnsi"/>
          <w:sz w:val="20"/>
          <w:szCs w:val="20"/>
        </w:rPr>
        <w:t xml:space="preserve"> and ruling the inapplicability of compensations for the moral damages. As to the other persons</w:t>
      </w:r>
      <w:r w:rsidR="00343940" w:rsidRPr="001279A2">
        <w:rPr>
          <w:rFonts w:asciiTheme="majorHAnsi" w:hAnsiTheme="majorHAnsi"/>
          <w:sz w:val="20"/>
          <w:szCs w:val="20"/>
        </w:rPr>
        <w:t xml:space="preserve"> affected</w:t>
      </w:r>
      <w:r w:rsidRPr="001279A2">
        <w:rPr>
          <w:rFonts w:asciiTheme="majorHAnsi" w:hAnsiTheme="majorHAnsi"/>
          <w:sz w:val="20"/>
          <w:szCs w:val="20"/>
        </w:rPr>
        <w:t>,</w:t>
      </w:r>
      <w:r w:rsidR="00483314" w:rsidRPr="001279A2">
        <w:rPr>
          <w:rStyle w:val="FootnoteReference"/>
          <w:rFonts w:asciiTheme="majorHAnsi" w:hAnsiTheme="majorHAnsi"/>
          <w:sz w:val="20"/>
          <w:szCs w:val="20"/>
        </w:rPr>
        <w:footnoteReference w:id="10"/>
      </w:r>
      <w:r w:rsidRPr="001279A2">
        <w:rPr>
          <w:rFonts w:asciiTheme="majorHAnsi" w:hAnsiTheme="majorHAnsi"/>
          <w:sz w:val="20"/>
          <w:szCs w:val="20"/>
        </w:rPr>
        <w:t xml:space="preserve"> the court ruled that </w:t>
      </w:r>
      <w:r w:rsidR="00343940" w:rsidRPr="001279A2">
        <w:rPr>
          <w:rFonts w:asciiTheme="majorHAnsi" w:hAnsiTheme="majorHAnsi"/>
          <w:sz w:val="20"/>
          <w:szCs w:val="20"/>
        </w:rPr>
        <w:t>since</w:t>
      </w:r>
      <w:r w:rsidRPr="001279A2">
        <w:rPr>
          <w:rFonts w:asciiTheme="majorHAnsi" w:hAnsiTheme="majorHAnsi"/>
          <w:sz w:val="20"/>
          <w:szCs w:val="20"/>
        </w:rPr>
        <w:t xml:space="preserve"> they failed to prove the damages caused by the spraying, they </w:t>
      </w:r>
      <w:r w:rsidR="00483314" w:rsidRPr="001279A2">
        <w:rPr>
          <w:rFonts w:asciiTheme="majorHAnsi" w:hAnsiTheme="majorHAnsi"/>
          <w:sz w:val="20"/>
          <w:szCs w:val="20"/>
        </w:rPr>
        <w:t>were</w:t>
      </w:r>
      <w:r w:rsidRPr="001279A2">
        <w:rPr>
          <w:rFonts w:asciiTheme="majorHAnsi" w:hAnsiTheme="majorHAnsi"/>
          <w:sz w:val="20"/>
          <w:szCs w:val="20"/>
        </w:rPr>
        <w:t xml:space="preserve"> not entitled to compensation. In this regard, the petitioners claim that before the court passed on the case file for the conclusions, they requested the undertaking of tests </w:t>
      </w:r>
      <w:r w:rsidR="006F6F63" w:rsidRPr="001279A2">
        <w:rPr>
          <w:rFonts w:asciiTheme="majorHAnsi" w:hAnsiTheme="majorHAnsi"/>
          <w:sz w:val="20"/>
          <w:szCs w:val="20"/>
        </w:rPr>
        <w:t xml:space="preserve">that had been </w:t>
      </w:r>
      <w:r w:rsidRPr="001279A2">
        <w:rPr>
          <w:rFonts w:asciiTheme="majorHAnsi" w:hAnsiTheme="majorHAnsi"/>
          <w:sz w:val="20"/>
          <w:szCs w:val="20"/>
        </w:rPr>
        <w:t xml:space="preserve">previously ordered but which had not been made </w:t>
      </w:r>
      <w:r w:rsidR="003C7A2F" w:rsidRPr="001279A2">
        <w:rPr>
          <w:rFonts w:asciiTheme="majorHAnsi" w:hAnsiTheme="majorHAnsi"/>
          <w:sz w:val="20"/>
          <w:szCs w:val="20"/>
        </w:rPr>
        <w:t>regarding</w:t>
      </w:r>
      <w:r w:rsidRPr="001279A2">
        <w:rPr>
          <w:rFonts w:asciiTheme="majorHAnsi" w:hAnsiTheme="majorHAnsi"/>
          <w:sz w:val="20"/>
          <w:szCs w:val="20"/>
        </w:rPr>
        <w:t xml:space="preserve"> some of the complaints. They indicate that the court, however, issued a judgment </w:t>
      </w:r>
      <w:r w:rsidR="00EB0014" w:rsidRPr="001279A2">
        <w:rPr>
          <w:rFonts w:asciiTheme="majorHAnsi" w:hAnsiTheme="majorHAnsi"/>
          <w:sz w:val="20"/>
          <w:szCs w:val="20"/>
        </w:rPr>
        <w:t xml:space="preserve">without </w:t>
      </w:r>
      <w:r w:rsidRPr="001279A2">
        <w:rPr>
          <w:rFonts w:asciiTheme="majorHAnsi" w:hAnsiTheme="majorHAnsi"/>
          <w:sz w:val="20"/>
          <w:szCs w:val="20"/>
        </w:rPr>
        <w:t>rul</w:t>
      </w:r>
      <w:r w:rsidR="00EB0014" w:rsidRPr="001279A2">
        <w:rPr>
          <w:rFonts w:asciiTheme="majorHAnsi" w:hAnsiTheme="majorHAnsi"/>
          <w:sz w:val="20"/>
          <w:szCs w:val="20"/>
        </w:rPr>
        <w:t>ing</w:t>
      </w:r>
      <w:r w:rsidRPr="001279A2">
        <w:rPr>
          <w:rFonts w:asciiTheme="majorHAnsi" w:hAnsiTheme="majorHAnsi"/>
          <w:sz w:val="20"/>
          <w:szCs w:val="20"/>
        </w:rPr>
        <w:t xml:space="preserve"> on that aspect, and </w:t>
      </w:r>
      <w:r w:rsidR="00EB0014" w:rsidRPr="001279A2">
        <w:rPr>
          <w:rFonts w:asciiTheme="majorHAnsi" w:hAnsiTheme="majorHAnsi"/>
          <w:sz w:val="20"/>
          <w:szCs w:val="20"/>
        </w:rPr>
        <w:t xml:space="preserve">thus </w:t>
      </w:r>
      <w:r w:rsidRPr="001279A2">
        <w:rPr>
          <w:rFonts w:asciiTheme="majorHAnsi" w:hAnsiTheme="majorHAnsi"/>
          <w:sz w:val="20"/>
          <w:szCs w:val="20"/>
        </w:rPr>
        <w:t>8 comp</w:t>
      </w:r>
      <w:r w:rsidR="0014431B">
        <w:rPr>
          <w:rFonts w:asciiTheme="majorHAnsi" w:hAnsiTheme="majorHAnsi"/>
          <w:sz w:val="20"/>
          <w:szCs w:val="20"/>
        </w:rPr>
        <w:t>laints were found inadmissible.</w:t>
      </w:r>
    </w:p>
    <w:p w14:paraId="797F47D8" w14:textId="42D7B46C" w:rsidR="003B4E97" w:rsidRPr="001279A2" w:rsidRDefault="005B5FDC" w:rsidP="003B4E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279A2">
        <w:rPr>
          <w:rFonts w:asciiTheme="majorHAnsi" w:hAnsiTheme="majorHAnsi"/>
          <w:sz w:val="20"/>
          <w:szCs w:val="20"/>
        </w:rPr>
        <w:t>Both t</w:t>
      </w:r>
      <w:r w:rsidR="003B4E97" w:rsidRPr="001279A2">
        <w:rPr>
          <w:rFonts w:asciiTheme="majorHAnsi" w:hAnsiTheme="majorHAnsi"/>
          <w:sz w:val="20"/>
          <w:szCs w:val="20"/>
        </w:rPr>
        <w:t xml:space="preserve">he </w:t>
      </w:r>
      <w:r w:rsidRPr="001279A2">
        <w:rPr>
          <w:rFonts w:asciiTheme="majorHAnsi" w:hAnsiTheme="majorHAnsi"/>
          <w:sz w:val="20"/>
          <w:szCs w:val="20"/>
        </w:rPr>
        <w:t>claimant</w:t>
      </w:r>
      <w:r w:rsidR="003B4E97" w:rsidRPr="001279A2">
        <w:rPr>
          <w:rFonts w:asciiTheme="majorHAnsi" w:hAnsiTheme="majorHAnsi"/>
          <w:sz w:val="20"/>
          <w:szCs w:val="20"/>
        </w:rPr>
        <w:t xml:space="preserve"> </w:t>
      </w:r>
      <w:r w:rsidRPr="001279A2">
        <w:rPr>
          <w:rFonts w:asciiTheme="majorHAnsi" w:hAnsiTheme="majorHAnsi"/>
          <w:sz w:val="20"/>
          <w:szCs w:val="20"/>
        </w:rPr>
        <w:t xml:space="preserve">and the respondent </w:t>
      </w:r>
      <w:r w:rsidR="003B4E97" w:rsidRPr="001279A2">
        <w:rPr>
          <w:rFonts w:asciiTheme="majorHAnsi" w:hAnsiTheme="majorHAnsi"/>
          <w:sz w:val="20"/>
          <w:szCs w:val="20"/>
        </w:rPr>
        <w:t>appealed agai</w:t>
      </w:r>
      <w:r w:rsidR="00C91C38" w:rsidRPr="001279A2">
        <w:rPr>
          <w:rFonts w:asciiTheme="majorHAnsi" w:hAnsiTheme="majorHAnsi"/>
          <w:sz w:val="20"/>
          <w:szCs w:val="20"/>
        </w:rPr>
        <w:t>nst the lower-instance judgment</w:t>
      </w:r>
      <w:r w:rsidR="004C770B" w:rsidRPr="001279A2">
        <w:rPr>
          <w:rFonts w:asciiTheme="majorHAnsi" w:hAnsiTheme="majorHAnsi"/>
          <w:sz w:val="20"/>
          <w:szCs w:val="20"/>
        </w:rPr>
        <w:t xml:space="preserve">; </w:t>
      </w:r>
      <w:r w:rsidR="003B4E97" w:rsidRPr="001279A2">
        <w:rPr>
          <w:rFonts w:asciiTheme="majorHAnsi" w:hAnsiTheme="majorHAnsi"/>
          <w:sz w:val="20"/>
          <w:szCs w:val="20"/>
        </w:rPr>
        <w:t>the judgment of July 24, 1997</w:t>
      </w:r>
      <w:r w:rsidR="004C770B" w:rsidRPr="001279A2">
        <w:rPr>
          <w:rFonts w:asciiTheme="majorHAnsi" w:hAnsiTheme="majorHAnsi"/>
          <w:sz w:val="20"/>
          <w:szCs w:val="20"/>
        </w:rPr>
        <w:t xml:space="preserve"> was revoked by the Administrative Court of Tolima</w:t>
      </w:r>
      <w:r w:rsidR="003B4E97" w:rsidRPr="001279A2">
        <w:rPr>
          <w:rFonts w:asciiTheme="majorHAnsi" w:hAnsiTheme="majorHAnsi"/>
          <w:sz w:val="20"/>
          <w:szCs w:val="20"/>
        </w:rPr>
        <w:t xml:space="preserve">, </w:t>
      </w:r>
      <w:r w:rsidR="004C770B" w:rsidRPr="001279A2">
        <w:rPr>
          <w:rFonts w:asciiTheme="majorHAnsi" w:hAnsiTheme="majorHAnsi"/>
          <w:sz w:val="20"/>
          <w:szCs w:val="20"/>
        </w:rPr>
        <w:t>which noted</w:t>
      </w:r>
      <w:r w:rsidR="003B4E97" w:rsidRPr="001279A2">
        <w:rPr>
          <w:rFonts w:asciiTheme="majorHAnsi" w:hAnsiTheme="majorHAnsi"/>
          <w:sz w:val="20"/>
          <w:szCs w:val="20"/>
        </w:rPr>
        <w:t xml:space="preserve"> that although the spraying </w:t>
      </w:r>
      <w:r w:rsidR="00F24DF7">
        <w:rPr>
          <w:rFonts w:asciiTheme="majorHAnsi" w:hAnsiTheme="majorHAnsi"/>
          <w:sz w:val="20"/>
          <w:szCs w:val="20"/>
        </w:rPr>
        <w:t>was</w:t>
      </w:r>
      <w:r w:rsidR="003B4E97" w:rsidRPr="001279A2">
        <w:rPr>
          <w:rFonts w:asciiTheme="majorHAnsi" w:hAnsiTheme="majorHAnsi"/>
          <w:sz w:val="20"/>
          <w:szCs w:val="20"/>
        </w:rPr>
        <w:t xml:space="preserve"> proved, the alleged victims </w:t>
      </w:r>
      <w:r w:rsidR="002912B9" w:rsidRPr="001279A2">
        <w:rPr>
          <w:rFonts w:asciiTheme="majorHAnsi" w:hAnsiTheme="majorHAnsi"/>
          <w:sz w:val="20"/>
          <w:szCs w:val="20"/>
        </w:rPr>
        <w:t>were obliged</w:t>
      </w:r>
      <w:r w:rsidR="003B4E97" w:rsidRPr="001279A2">
        <w:rPr>
          <w:rFonts w:asciiTheme="majorHAnsi" w:hAnsiTheme="majorHAnsi"/>
          <w:sz w:val="20"/>
          <w:szCs w:val="20"/>
        </w:rPr>
        <w:t xml:space="preserve"> </w:t>
      </w:r>
      <w:r w:rsidR="002912B9" w:rsidRPr="001279A2">
        <w:rPr>
          <w:rFonts w:asciiTheme="majorHAnsi" w:hAnsiTheme="majorHAnsi"/>
          <w:sz w:val="20"/>
          <w:szCs w:val="20"/>
        </w:rPr>
        <w:t>to denounce</w:t>
      </w:r>
      <w:r w:rsidR="003B4E97" w:rsidRPr="001279A2">
        <w:rPr>
          <w:rFonts w:asciiTheme="majorHAnsi" w:hAnsiTheme="majorHAnsi"/>
          <w:sz w:val="20"/>
          <w:szCs w:val="20"/>
        </w:rPr>
        <w:t xml:space="preserve"> the illicit crops </w:t>
      </w:r>
      <w:r w:rsidR="00FA4426" w:rsidRPr="001279A2">
        <w:rPr>
          <w:rFonts w:asciiTheme="majorHAnsi" w:hAnsiTheme="majorHAnsi"/>
          <w:sz w:val="20"/>
          <w:szCs w:val="20"/>
        </w:rPr>
        <w:t>before</w:t>
      </w:r>
      <w:r w:rsidR="003B4E97" w:rsidRPr="001279A2">
        <w:rPr>
          <w:rFonts w:asciiTheme="majorHAnsi" w:hAnsiTheme="majorHAnsi"/>
          <w:sz w:val="20"/>
          <w:szCs w:val="20"/>
        </w:rPr>
        <w:t xml:space="preserve"> the authorities and </w:t>
      </w:r>
      <w:r w:rsidR="00FA4426" w:rsidRPr="001279A2">
        <w:rPr>
          <w:rFonts w:asciiTheme="majorHAnsi" w:hAnsiTheme="majorHAnsi"/>
          <w:sz w:val="20"/>
          <w:szCs w:val="20"/>
        </w:rPr>
        <w:t xml:space="preserve">to </w:t>
      </w:r>
      <w:r w:rsidR="003B4E97" w:rsidRPr="001279A2">
        <w:rPr>
          <w:rFonts w:asciiTheme="majorHAnsi" w:hAnsiTheme="majorHAnsi"/>
          <w:sz w:val="20"/>
          <w:szCs w:val="20"/>
        </w:rPr>
        <w:t xml:space="preserve">seek protection for their own crops </w:t>
      </w:r>
      <w:r w:rsidR="00924785">
        <w:rPr>
          <w:rFonts w:asciiTheme="majorHAnsi" w:hAnsiTheme="majorHAnsi"/>
          <w:sz w:val="20"/>
          <w:szCs w:val="20"/>
        </w:rPr>
        <w:t>“</w:t>
      </w:r>
      <w:r w:rsidR="003B4E97" w:rsidRPr="001279A2">
        <w:rPr>
          <w:rFonts w:asciiTheme="majorHAnsi" w:hAnsiTheme="majorHAnsi"/>
          <w:sz w:val="20"/>
          <w:szCs w:val="20"/>
        </w:rPr>
        <w:t>in such a way that if there are programs to eradicate or control illicit cro</w:t>
      </w:r>
      <w:r w:rsidR="0003379B" w:rsidRPr="001279A2">
        <w:rPr>
          <w:rFonts w:asciiTheme="majorHAnsi" w:hAnsiTheme="majorHAnsi"/>
          <w:sz w:val="20"/>
          <w:szCs w:val="20"/>
        </w:rPr>
        <w:t>ps, these will be made manually or</w:t>
      </w:r>
      <w:r w:rsidR="003B4E97" w:rsidRPr="001279A2">
        <w:rPr>
          <w:rFonts w:asciiTheme="majorHAnsi" w:hAnsiTheme="majorHAnsi"/>
          <w:sz w:val="20"/>
          <w:szCs w:val="20"/>
        </w:rPr>
        <w:t xml:space="preserve"> measures will be adopted </w:t>
      </w:r>
      <w:r w:rsidR="00475CAC" w:rsidRPr="001279A2">
        <w:rPr>
          <w:rFonts w:asciiTheme="majorHAnsi" w:hAnsiTheme="majorHAnsi"/>
          <w:sz w:val="20"/>
          <w:szCs w:val="20"/>
        </w:rPr>
        <w:t>on</w:t>
      </w:r>
      <w:r w:rsidR="003B4E97" w:rsidRPr="001279A2">
        <w:rPr>
          <w:rFonts w:asciiTheme="majorHAnsi" w:hAnsiTheme="majorHAnsi"/>
          <w:sz w:val="20"/>
          <w:szCs w:val="20"/>
        </w:rPr>
        <w:t xml:space="preserve"> the spraying.</w:t>
      </w:r>
      <w:r w:rsidR="00924785">
        <w:rPr>
          <w:rFonts w:asciiTheme="majorHAnsi" w:hAnsiTheme="majorHAnsi"/>
          <w:sz w:val="20"/>
          <w:szCs w:val="20"/>
        </w:rPr>
        <w:t>”</w:t>
      </w:r>
      <w:r w:rsidR="003B4E97" w:rsidRPr="001279A2">
        <w:rPr>
          <w:rFonts w:asciiTheme="majorHAnsi" w:hAnsiTheme="majorHAnsi"/>
          <w:sz w:val="20"/>
          <w:szCs w:val="20"/>
        </w:rPr>
        <w:t xml:space="preserve"> With respect to this, the petitioners claim that </w:t>
      </w:r>
      <w:r w:rsidR="001F6A2B" w:rsidRPr="001279A2">
        <w:rPr>
          <w:rFonts w:asciiTheme="majorHAnsi" w:hAnsiTheme="majorHAnsi"/>
          <w:sz w:val="20"/>
          <w:szCs w:val="20"/>
        </w:rPr>
        <w:t>considering</w:t>
      </w:r>
      <w:r w:rsidR="003B4E97" w:rsidRPr="001279A2">
        <w:rPr>
          <w:rFonts w:asciiTheme="majorHAnsi" w:hAnsiTheme="majorHAnsi"/>
          <w:sz w:val="20"/>
          <w:szCs w:val="20"/>
        </w:rPr>
        <w:t xml:space="preserve"> the context of an</w:t>
      </w:r>
      <w:r w:rsidR="00E5616C" w:rsidRPr="001279A2">
        <w:rPr>
          <w:rFonts w:asciiTheme="majorHAnsi" w:hAnsiTheme="majorHAnsi"/>
          <w:sz w:val="20"/>
          <w:szCs w:val="20"/>
        </w:rPr>
        <w:t xml:space="preserve"> armed conflict, </w:t>
      </w:r>
      <w:r w:rsidR="00924785">
        <w:rPr>
          <w:rFonts w:asciiTheme="majorHAnsi" w:hAnsiTheme="majorHAnsi"/>
          <w:sz w:val="20"/>
          <w:szCs w:val="20"/>
        </w:rPr>
        <w:t>“</w:t>
      </w:r>
      <w:r w:rsidR="003B4E97" w:rsidRPr="001279A2">
        <w:rPr>
          <w:rFonts w:asciiTheme="majorHAnsi" w:hAnsiTheme="majorHAnsi"/>
          <w:sz w:val="20"/>
          <w:szCs w:val="20"/>
        </w:rPr>
        <w:t xml:space="preserve">to comply with the duty to report an offense </w:t>
      </w:r>
      <w:r w:rsidR="00857E04" w:rsidRPr="001279A2">
        <w:rPr>
          <w:rFonts w:asciiTheme="majorHAnsi" w:hAnsiTheme="majorHAnsi"/>
          <w:sz w:val="20"/>
          <w:szCs w:val="20"/>
        </w:rPr>
        <w:t>was</w:t>
      </w:r>
      <w:r w:rsidR="00F44505" w:rsidRPr="001279A2">
        <w:rPr>
          <w:rFonts w:asciiTheme="majorHAnsi" w:hAnsiTheme="majorHAnsi"/>
          <w:sz w:val="20"/>
          <w:szCs w:val="20"/>
        </w:rPr>
        <w:t xml:space="preserve"> equal</w:t>
      </w:r>
      <w:r w:rsidR="00822932" w:rsidRPr="001279A2">
        <w:rPr>
          <w:rFonts w:asciiTheme="majorHAnsi" w:hAnsiTheme="majorHAnsi"/>
          <w:sz w:val="20"/>
          <w:szCs w:val="20"/>
        </w:rPr>
        <w:t xml:space="preserve"> to condemn</w:t>
      </w:r>
      <w:r w:rsidR="003B4E97" w:rsidRPr="001279A2">
        <w:rPr>
          <w:rFonts w:asciiTheme="majorHAnsi" w:hAnsiTheme="majorHAnsi"/>
          <w:sz w:val="20"/>
          <w:szCs w:val="20"/>
        </w:rPr>
        <w:t xml:space="preserve"> themselves and their family to death or to forced displacement, and the lawful duty to fumigate could not be superior to the State's duty to protect the life and the health o</w:t>
      </w:r>
      <w:r w:rsidR="00E5616C" w:rsidRPr="001279A2">
        <w:rPr>
          <w:rFonts w:asciiTheme="majorHAnsi" w:hAnsiTheme="majorHAnsi"/>
          <w:sz w:val="20"/>
          <w:szCs w:val="20"/>
        </w:rPr>
        <w:t>f the inhabitants of the region</w:t>
      </w:r>
      <w:r w:rsidR="00924785">
        <w:rPr>
          <w:rFonts w:asciiTheme="majorHAnsi" w:hAnsiTheme="majorHAnsi"/>
          <w:sz w:val="20"/>
          <w:szCs w:val="20"/>
        </w:rPr>
        <w:t>”</w:t>
      </w:r>
      <w:r w:rsidR="00BD472D" w:rsidRPr="001279A2">
        <w:rPr>
          <w:rFonts w:asciiTheme="majorHAnsi" w:hAnsiTheme="majorHAnsi"/>
          <w:sz w:val="20"/>
          <w:szCs w:val="20"/>
        </w:rPr>
        <w:t xml:space="preserve">; </w:t>
      </w:r>
      <w:r w:rsidR="001279A2" w:rsidRPr="001279A2">
        <w:rPr>
          <w:rFonts w:asciiTheme="majorHAnsi" w:hAnsiTheme="majorHAnsi"/>
          <w:sz w:val="20"/>
          <w:szCs w:val="20"/>
        </w:rPr>
        <w:t xml:space="preserve">and that </w:t>
      </w:r>
      <w:r w:rsidR="003B4E97" w:rsidRPr="001279A2">
        <w:rPr>
          <w:rFonts w:asciiTheme="majorHAnsi" w:hAnsiTheme="majorHAnsi"/>
          <w:sz w:val="20"/>
          <w:szCs w:val="20"/>
        </w:rPr>
        <w:t xml:space="preserve">said argument is </w:t>
      </w:r>
      <w:r w:rsidR="001279A2" w:rsidRPr="001279A2">
        <w:rPr>
          <w:rFonts w:asciiTheme="majorHAnsi" w:hAnsiTheme="majorHAnsi"/>
          <w:sz w:val="20"/>
          <w:szCs w:val="20"/>
        </w:rPr>
        <w:t xml:space="preserve">therefore </w:t>
      </w:r>
      <w:r w:rsidR="003B4E97" w:rsidRPr="001279A2">
        <w:rPr>
          <w:rFonts w:asciiTheme="majorHAnsi" w:hAnsiTheme="majorHAnsi"/>
          <w:sz w:val="20"/>
          <w:szCs w:val="20"/>
        </w:rPr>
        <w:t>illogical.</w:t>
      </w:r>
    </w:p>
    <w:p w14:paraId="22F41CB6" w14:textId="197E22CA" w:rsidR="003B4E97" w:rsidRPr="001279A2" w:rsidRDefault="003B4E97" w:rsidP="003B4E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279A2">
        <w:rPr>
          <w:rFonts w:asciiTheme="majorHAnsi" w:hAnsiTheme="majorHAnsi"/>
          <w:sz w:val="20"/>
          <w:szCs w:val="20"/>
        </w:rPr>
        <w:t>The petitioners finally indicate that the decision to spray glyphosate over coca plantations as an experiment was widely questioned by the Ombudsman</w:t>
      </w:r>
      <w:r w:rsidR="00C34488">
        <w:rPr>
          <w:rFonts w:asciiTheme="majorHAnsi" w:hAnsiTheme="majorHAnsi"/>
          <w:sz w:val="20"/>
          <w:szCs w:val="20"/>
        </w:rPr>
        <w:t>’</w:t>
      </w:r>
      <w:r w:rsidRPr="001279A2">
        <w:rPr>
          <w:rFonts w:asciiTheme="majorHAnsi" w:hAnsiTheme="majorHAnsi"/>
          <w:sz w:val="20"/>
          <w:szCs w:val="20"/>
        </w:rPr>
        <w:t xml:space="preserve">s Office itself. They submit that the sprayings in the south of Colombia led to a trial with Ecuador, which in 2008 filed a lawsuit against Colombia before the International Court of Justice at The Hague due to the damages that the herbicide caused to the environment and </w:t>
      </w:r>
      <w:r w:rsidR="00C34488">
        <w:rPr>
          <w:rFonts w:asciiTheme="majorHAnsi" w:hAnsiTheme="majorHAnsi"/>
          <w:sz w:val="20"/>
          <w:szCs w:val="20"/>
        </w:rPr>
        <w:t xml:space="preserve">to </w:t>
      </w:r>
      <w:r w:rsidRPr="001279A2">
        <w:rPr>
          <w:rFonts w:asciiTheme="majorHAnsi" w:hAnsiTheme="majorHAnsi"/>
          <w:sz w:val="20"/>
          <w:szCs w:val="20"/>
        </w:rPr>
        <w:t xml:space="preserve">people's health as the wind blew </w:t>
      </w:r>
      <w:r w:rsidR="00C34488">
        <w:rPr>
          <w:rFonts w:asciiTheme="majorHAnsi" w:hAnsiTheme="majorHAnsi"/>
          <w:sz w:val="20"/>
          <w:szCs w:val="20"/>
        </w:rPr>
        <w:t>the product</w:t>
      </w:r>
      <w:r w:rsidRPr="001279A2">
        <w:rPr>
          <w:rFonts w:asciiTheme="majorHAnsi" w:hAnsiTheme="majorHAnsi"/>
          <w:sz w:val="20"/>
          <w:szCs w:val="20"/>
        </w:rPr>
        <w:t xml:space="preserve"> across the border.</w:t>
      </w:r>
      <w:r w:rsidR="00C34488">
        <w:rPr>
          <w:rFonts w:asciiTheme="majorHAnsi" w:hAnsiTheme="majorHAnsi"/>
          <w:sz w:val="20"/>
          <w:szCs w:val="20"/>
        </w:rPr>
        <w:t xml:space="preserve"> </w:t>
      </w:r>
      <w:r w:rsidRPr="001279A2">
        <w:rPr>
          <w:rFonts w:asciiTheme="majorHAnsi" w:hAnsiTheme="majorHAnsi"/>
          <w:sz w:val="20"/>
          <w:szCs w:val="20"/>
        </w:rPr>
        <w:t xml:space="preserve">They assert that the </w:t>
      </w:r>
      <w:r w:rsidR="00283505">
        <w:rPr>
          <w:rFonts w:asciiTheme="majorHAnsi" w:hAnsiTheme="majorHAnsi"/>
          <w:sz w:val="20"/>
          <w:szCs w:val="20"/>
        </w:rPr>
        <w:t>proceedings</w:t>
      </w:r>
      <w:r w:rsidRPr="001279A2">
        <w:rPr>
          <w:rFonts w:asciiTheme="majorHAnsi" w:hAnsiTheme="majorHAnsi"/>
          <w:sz w:val="20"/>
          <w:szCs w:val="20"/>
        </w:rPr>
        <w:t xml:space="preserve"> w</w:t>
      </w:r>
      <w:r w:rsidR="00283505">
        <w:rPr>
          <w:rFonts w:asciiTheme="majorHAnsi" w:hAnsiTheme="majorHAnsi"/>
          <w:sz w:val="20"/>
          <w:szCs w:val="20"/>
        </w:rPr>
        <w:t>ere</w:t>
      </w:r>
      <w:r w:rsidRPr="001279A2">
        <w:rPr>
          <w:rFonts w:asciiTheme="majorHAnsi" w:hAnsiTheme="majorHAnsi"/>
          <w:sz w:val="20"/>
          <w:szCs w:val="20"/>
        </w:rPr>
        <w:t xml:space="preserve"> settled in 2013 after Colombia paid </w:t>
      </w:r>
      <w:r w:rsidR="00283505" w:rsidRPr="001279A2">
        <w:rPr>
          <w:rFonts w:asciiTheme="majorHAnsi" w:hAnsiTheme="majorHAnsi"/>
          <w:sz w:val="20"/>
          <w:szCs w:val="20"/>
        </w:rPr>
        <w:t>compensation</w:t>
      </w:r>
      <w:r w:rsidRPr="001279A2">
        <w:rPr>
          <w:rFonts w:asciiTheme="majorHAnsi" w:hAnsiTheme="majorHAnsi"/>
          <w:sz w:val="20"/>
          <w:szCs w:val="20"/>
        </w:rPr>
        <w:t>. They add that on April 24, 20</w:t>
      </w:r>
      <w:r w:rsidR="009F20BB">
        <w:rPr>
          <w:rFonts w:asciiTheme="majorHAnsi" w:hAnsiTheme="majorHAnsi"/>
          <w:sz w:val="20"/>
          <w:szCs w:val="20"/>
        </w:rPr>
        <w:t>1</w:t>
      </w:r>
      <w:r w:rsidRPr="001279A2">
        <w:rPr>
          <w:rFonts w:asciiTheme="majorHAnsi" w:hAnsiTheme="majorHAnsi"/>
          <w:sz w:val="20"/>
          <w:szCs w:val="20"/>
        </w:rPr>
        <w:t>5 the Ministry of Health and Social Welfare, in light of the principle of caution, recommended that all glyphosate spraying</w:t>
      </w:r>
      <w:r w:rsidR="00AD7E66">
        <w:rPr>
          <w:rFonts w:asciiTheme="majorHAnsi" w:hAnsiTheme="majorHAnsi"/>
          <w:sz w:val="20"/>
          <w:szCs w:val="20"/>
        </w:rPr>
        <w:t>s</w:t>
      </w:r>
      <w:r w:rsidRPr="001279A2">
        <w:rPr>
          <w:rFonts w:asciiTheme="majorHAnsi" w:hAnsiTheme="majorHAnsi"/>
          <w:sz w:val="20"/>
          <w:szCs w:val="20"/>
        </w:rPr>
        <w:t xml:space="preserve"> be suspended in the Colombian territory, since it believes that such sprayings violate the right to health and to a healthy environment.</w:t>
      </w:r>
    </w:p>
    <w:p w14:paraId="09FE33AF" w14:textId="7E5D7BEE" w:rsidR="003B4E97" w:rsidRPr="001279A2" w:rsidRDefault="003B4E97" w:rsidP="003B4E9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279A2">
        <w:rPr>
          <w:rFonts w:asciiTheme="majorHAnsi" w:hAnsiTheme="majorHAnsi"/>
          <w:sz w:val="20"/>
          <w:szCs w:val="20"/>
        </w:rPr>
        <w:t xml:space="preserve">The State indicates that the petition must be declared inadmissible given that the alleged facts do not establish human rights violations, and stresses that an unfavorable ruling </w:t>
      </w:r>
      <w:r w:rsidR="004A1904">
        <w:rPr>
          <w:rFonts w:asciiTheme="majorHAnsi" w:hAnsiTheme="majorHAnsi"/>
          <w:sz w:val="20"/>
          <w:szCs w:val="20"/>
        </w:rPr>
        <w:t xml:space="preserve">is not </w:t>
      </w:r>
      <w:r w:rsidRPr="001279A2">
        <w:rPr>
          <w:rFonts w:asciiTheme="majorHAnsi" w:hAnsiTheme="majorHAnsi"/>
          <w:sz w:val="20"/>
          <w:szCs w:val="20"/>
        </w:rPr>
        <w:t xml:space="preserve">a violation of the Convention, </w:t>
      </w:r>
      <w:r w:rsidR="00C63FF7">
        <w:rPr>
          <w:rFonts w:asciiTheme="majorHAnsi" w:hAnsiTheme="majorHAnsi"/>
          <w:sz w:val="20"/>
          <w:szCs w:val="20"/>
        </w:rPr>
        <w:t>since</w:t>
      </w:r>
      <w:r w:rsidRPr="001279A2">
        <w:rPr>
          <w:rFonts w:asciiTheme="majorHAnsi" w:hAnsiTheme="majorHAnsi"/>
          <w:sz w:val="20"/>
          <w:szCs w:val="20"/>
        </w:rPr>
        <w:t xml:space="preserve"> the fact that the domestic courts did not settle the case in favor of the petitioners does not prove the lack of appropriate remedies. In addition, it sub</w:t>
      </w:r>
      <w:r w:rsidR="005F13A3">
        <w:rPr>
          <w:rFonts w:asciiTheme="majorHAnsi" w:hAnsiTheme="majorHAnsi"/>
          <w:sz w:val="20"/>
          <w:szCs w:val="20"/>
        </w:rPr>
        <w:t xml:space="preserve">mits that the petitioning party </w:t>
      </w:r>
      <w:r w:rsidRPr="001279A2">
        <w:rPr>
          <w:rFonts w:asciiTheme="majorHAnsi" w:hAnsiTheme="majorHAnsi"/>
          <w:sz w:val="20"/>
          <w:szCs w:val="20"/>
        </w:rPr>
        <w:t>seek</w:t>
      </w:r>
      <w:r w:rsidR="005F13A3">
        <w:rPr>
          <w:rFonts w:asciiTheme="majorHAnsi" w:hAnsiTheme="majorHAnsi"/>
          <w:sz w:val="20"/>
          <w:szCs w:val="20"/>
        </w:rPr>
        <w:t>s</w:t>
      </w:r>
      <w:r w:rsidR="002305F1">
        <w:rPr>
          <w:rFonts w:asciiTheme="majorHAnsi" w:hAnsiTheme="majorHAnsi"/>
          <w:sz w:val="20"/>
          <w:szCs w:val="20"/>
        </w:rPr>
        <w:t xml:space="preserve"> to have the I</w:t>
      </w:r>
      <w:r w:rsidRPr="001279A2">
        <w:rPr>
          <w:rFonts w:asciiTheme="majorHAnsi" w:hAnsiTheme="majorHAnsi"/>
          <w:sz w:val="20"/>
          <w:szCs w:val="20"/>
        </w:rPr>
        <w:t xml:space="preserve">nter-American jurisdiction work as a fourth instance to review the judgments issued by the domestic courts. It asserts that judgments on the merits were promptly and duly </w:t>
      </w:r>
      <w:r w:rsidR="00F76CE6">
        <w:rPr>
          <w:rFonts w:asciiTheme="majorHAnsi" w:hAnsiTheme="majorHAnsi"/>
          <w:sz w:val="20"/>
          <w:szCs w:val="20"/>
        </w:rPr>
        <w:t>issued</w:t>
      </w:r>
      <w:r w:rsidRPr="001279A2">
        <w:rPr>
          <w:rFonts w:asciiTheme="majorHAnsi" w:hAnsiTheme="majorHAnsi"/>
          <w:sz w:val="20"/>
          <w:szCs w:val="20"/>
        </w:rPr>
        <w:t xml:space="preserve"> in accordance with the legal framework in force and the s</w:t>
      </w:r>
      <w:r w:rsidR="00924785">
        <w:rPr>
          <w:rFonts w:asciiTheme="majorHAnsi" w:hAnsiTheme="majorHAnsi"/>
          <w:sz w:val="20"/>
          <w:szCs w:val="20"/>
        </w:rPr>
        <w:t>ubstantive and procedural laws.</w:t>
      </w:r>
    </w:p>
    <w:p w14:paraId="012FA92D" w14:textId="50309D6D" w:rsidR="008805A3" w:rsidRPr="0004370B" w:rsidRDefault="003B4E97" w:rsidP="000437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79A2">
        <w:rPr>
          <w:rFonts w:asciiTheme="majorHAnsi" w:hAnsiTheme="majorHAnsi"/>
          <w:sz w:val="20"/>
          <w:szCs w:val="20"/>
        </w:rPr>
        <w:t xml:space="preserve">It claims that, in the framework of the administrative proceedings, </w:t>
      </w:r>
      <w:r w:rsidR="00BC4F29">
        <w:rPr>
          <w:rFonts w:asciiTheme="majorHAnsi" w:hAnsiTheme="majorHAnsi"/>
          <w:sz w:val="20"/>
          <w:szCs w:val="20"/>
        </w:rPr>
        <w:t>thirty</w:t>
      </w:r>
      <w:r w:rsidRPr="001279A2">
        <w:rPr>
          <w:rFonts w:asciiTheme="majorHAnsi" w:hAnsiTheme="majorHAnsi"/>
          <w:sz w:val="20"/>
          <w:szCs w:val="20"/>
        </w:rPr>
        <w:t xml:space="preserve"> complaints were not processed due to circumstances proper to the proceedings and </w:t>
      </w:r>
      <w:r w:rsidR="004B0009">
        <w:rPr>
          <w:rFonts w:asciiTheme="majorHAnsi" w:hAnsiTheme="majorHAnsi"/>
          <w:sz w:val="20"/>
          <w:szCs w:val="20"/>
        </w:rPr>
        <w:t>pursuant</w:t>
      </w:r>
      <w:r w:rsidRPr="001279A2">
        <w:rPr>
          <w:rFonts w:asciiTheme="majorHAnsi" w:hAnsiTheme="majorHAnsi"/>
          <w:sz w:val="20"/>
          <w:szCs w:val="20"/>
        </w:rPr>
        <w:t xml:space="preserve"> </w:t>
      </w:r>
      <w:r w:rsidR="004B0009">
        <w:rPr>
          <w:rFonts w:asciiTheme="majorHAnsi" w:hAnsiTheme="majorHAnsi"/>
          <w:sz w:val="20"/>
          <w:szCs w:val="20"/>
        </w:rPr>
        <w:t xml:space="preserve">to </w:t>
      </w:r>
      <w:r w:rsidRPr="001279A2">
        <w:rPr>
          <w:rFonts w:asciiTheme="majorHAnsi" w:hAnsiTheme="majorHAnsi"/>
          <w:sz w:val="20"/>
          <w:szCs w:val="20"/>
        </w:rPr>
        <w:t xml:space="preserve">due process of law. As to </w:t>
      </w:r>
      <w:r w:rsidR="004B0009">
        <w:rPr>
          <w:rFonts w:asciiTheme="majorHAnsi" w:hAnsiTheme="majorHAnsi"/>
          <w:sz w:val="20"/>
          <w:szCs w:val="20"/>
        </w:rPr>
        <w:t>the decision of</w:t>
      </w:r>
      <w:r w:rsidRPr="001279A2">
        <w:rPr>
          <w:rFonts w:asciiTheme="majorHAnsi" w:hAnsiTheme="majorHAnsi"/>
          <w:sz w:val="20"/>
          <w:szCs w:val="20"/>
        </w:rPr>
        <w:t xml:space="preserve"> </w:t>
      </w:r>
      <w:r w:rsidR="004B0009">
        <w:rPr>
          <w:rFonts w:asciiTheme="majorHAnsi" w:hAnsiTheme="majorHAnsi"/>
          <w:sz w:val="20"/>
          <w:szCs w:val="20"/>
        </w:rPr>
        <w:t xml:space="preserve">the </w:t>
      </w:r>
      <w:r w:rsidRPr="001279A2">
        <w:rPr>
          <w:rFonts w:asciiTheme="majorHAnsi" w:hAnsiTheme="majorHAnsi"/>
          <w:sz w:val="20"/>
          <w:szCs w:val="20"/>
        </w:rPr>
        <w:t>Administrative Court</w:t>
      </w:r>
      <w:r w:rsidR="004B0009">
        <w:rPr>
          <w:rFonts w:asciiTheme="majorHAnsi" w:hAnsiTheme="majorHAnsi"/>
          <w:sz w:val="20"/>
          <w:szCs w:val="20"/>
        </w:rPr>
        <w:t xml:space="preserve"> of Tolima</w:t>
      </w:r>
      <w:r w:rsidRPr="001279A2">
        <w:rPr>
          <w:rFonts w:asciiTheme="majorHAnsi" w:hAnsiTheme="majorHAnsi"/>
          <w:sz w:val="20"/>
          <w:szCs w:val="20"/>
        </w:rPr>
        <w:t xml:space="preserve">, </w:t>
      </w:r>
      <w:r w:rsidR="004B0009">
        <w:rPr>
          <w:rFonts w:asciiTheme="majorHAnsi" w:hAnsiTheme="majorHAnsi"/>
          <w:sz w:val="20"/>
          <w:szCs w:val="20"/>
        </w:rPr>
        <w:t>the State</w:t>
      </w:r>
      <w:r w:rsidRPr="001279A2">
        <w:rPr>
          <w:rFonts w:asciiTheme="majorHAnsi" w:hAnsiTheme="majorHAnsi"/>
          <w:sz w:val="20"/>
          <w:szCs w:val="20"/>
        </w:rPr>
        <w:t xml:space="preserve"> indicates that</w:t>
      </w:r>
      <w:r w:rsidR="004B0009">
        <w:rPr>
          <w:rFonts w:asciiTheme="majorHAnsi" w:hAnsiTheme="majorHAnsi"/>
          <w:sz w:val="20"/>
          <w:szCs w:val="20"/>
        </w:rPr>
        <w:t>,</w:t>
      </w:r>
      <w:r w:rsidRPr="001279A2">
        <w:rPr>
          <w:rFonts w:asciiTheme="majorHAnsi" w:hAnsiTheme="majorHAnsi"/>
          <w:sz w:val="20"/>
          <w:szCs w:val="20"/>
        </w:rPr>
        <w:t xml:space="preserve"> although there was a spraying and the alleged victims</w:t>
      </w:r>
      <w:r w:rsidR="00924785">
        <w:rPr>
          <w:rFonts w:asciiTheme="majorHAnsi" w:hAnsiTheme="majorHAnsi"/>
          <w:sz w:val="20"/>
          <w:szCs w:val="20"/>
        </w:rPr>
        <w:t>’</w:t>
      </w:r>
      <w:r w:rsidRPr="001279A2">
        <w:rPr>
          <w:rFonts w:asciiTheme="majorHAnsi" w:hAnsiTheme="majorHAnsi"/>
          <w:sz w:val="20"/>
          <w:szCs w:val="20"/>
        </w:rPr>
        <w:t xml:space="preserve"> crops were damaged, the proximity of these </w:t>
      </w:r>
      <w:r w:rsidR="00386F77">
        <w:rPr>
          <w:rFonts w:asciiTheme="majorHAnsi" w:hAnsiTheme="majorHAnsi"/>
          <w:sz w:val="20"/>
          <w:szCs w:val="20"/>
        </w:rPr>
        <w:t>in relation to</w:t>
      </w:r>
      <w:r w:rsidRPr="001279A2">
        <w:rPr>
          <w:rFonts w:asciiTheme="majorHAnsi" w:hAnsiTheme="majorHAnsi"/>
          <w:sz w:val="20"/>
          <w:szCs w:val="20"/>
        </w:rPr>
        <w:t xml:space="preserve"> the illicit plantations led to the </w:t>
      </w:r>
      <w:r w:rsidR="00386F77">
        <w:rPr>
          <w:rFonts w:asciiTheme="majorHAnsi" w:hAnsiTheme="majorHAnsi"/>
          <w:sz w:val="20"/>
          <w:szCs w:val="20"/>
        </w:rPr>
        <w:t xml:space="preserve">alleged victims’ </w:t>
      </w:r>
      <w:r w:rsidRPr="001279A2">
        <w:rPr>
          <w:rFonts w:asciiTheme="majorHAnsi" w:hAnsiTheme="majorHAnsi"/>
          <w:sz w:val="20"/>
          <w:szCs w:val="20"/>
        </w:rPr>
        <w:t>obligatio</w:t>
      </w:r>
      <w:r w:rsidR="00386F77">
        <w:rPr>
          <w:rFonts w:asciiTheme="majorHAnsi" w:hAnsiTheme="majorHAnsi"/>
          <w:sz w:val="20"/>
          <w:szCs w:val="20"/>
        </w:rPr>
        <w:t>n or legal duty to denounce such crops</w:t>
      </w:r>
      <w:r w:rsidRPr="001279A2">
        <w:rPr>
          <w:rFonts w:asciiTheme="majorHAnsi" w:hAnsiTheme="majorHAnsi"/>
          <w:sz w:val="20"/>
          <w:szCs w:val="20"/>
        </w:rPr>
        <w:t xml:space="preserve"> to the authorities, and request that their own crops be protected. It asserts that given that the alleged victims failed to comply with said obligation, the State is not obliged to repair the damages by virtue of the principle of equity in taxation.</w:t>
      </w:r>
    </w:p>
    <w:p w14:paraId="55505107" w14:textId="205E429E" w:rsidR="00F621C3" w:rsidRPr="001279A2" w:rsidRDefault="00F621C3" w:rsidP="00F621C3">
      <w:pPr>
        <w:spacing w:before="240" w:after="240"/>
        <w:ind w:firstLine="720"/>
        <w:jc w:val="both"/>
        <w:rPr>
          <w:rFonts w:ascii="Cambria" w:hAnsi="Cambria"/>
          <w:sz w:val="20"/>
          <w:szCs w:val="20"/>
        </w:rPr>
      </w:pPr>
      <w:r w:rsidRPr="001279A2">
        <w:rPr>
          <w:rFonts w:asciiTheme="majorHAnsi" w:eastAsia="Cambria" w:hAnsiTheme="majorHAnsi" w:cs="Cambria"/>
          <w:b/>
          <w:bCs/>
          <w:color w:val="000000"/>
          <w:sz w:val="20"/>
          <w:szCs w:val="20"/>
          <w:u w:color="000000"/>
          <w:lang w:eastAsia="es-ES"/>
        </w:rPr>
        <w:t>VI.</w:t>
      </w:r>
      <w:r w:rsidRPr="001279A2">
        <w:rPr>
          <w:rFonts w:asciiTheme="majorHAnsi" w:eastAsia="Cambria" w:hAnsiTheme="majorHAnsi" w:cs="Cambria"/>
          <w:b/>
          <w:bCs/>
          <w:color w:val="000000"/>
          <w:sz w:val="20"/>
          <w:szCs w:val="20"/>
          <w:u w:color="000000"/>
          <w:lang w:eastAsia="es-ES"/>
        </w:rPr>
        <w:tab/>
      </w:r>
      <w:r w:rsidRPr="001279A2">
        <w:rPr>
          <w:rFonts w:asciiTheme="majorHAnsi" w:hAnsiTheme="majorHAnsi"/>
          <w:b/>
          <w:sz w:val="20"/>
          <w:szCs w:val="20"/>
        </w:rPr>
        <w:t>EXHAUSTION OF DOMESTIC REMEDIES AND TIMELINESS OF THE PETITION</w:t>
      </w:r>
    </w:p>
    <w:p w14:paraId="05415C74" w14:textId="6AA4BF41" w:rsidR="00F621C3" w:rsidRPr="002C72A2" w:rsidRDefault="003B4E9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79A2">
        <w:rPr>
          <w:rFonts w:asciiTheme="majorHAnsi" w:hAnsiTheme="majorHAnsi"/>
          <w:sz w:val="20"/>
          <w:szCs w:val="20"/>
        </w:rPr>
        <w:t xml:space="preserve">According to the information submitted by both parties, of the </w:t>
      </w:r>
      <w:r w:rsidR="0075168F">
        <w:rPr>
          <w:rFonts w:asciiTheme="majorHAnsi" w:hAnsiTheme="majorHAnsi"/>
          <w:sz w:val="20"/>
          <w:szCs w:val="20"/>
        </w:rPr>
        <w:t>thirty-six</w:t>
      </w:r>
      <w:r w:rsidRPr="001279A2">
        <w:rPr>
          <w:rFonts w:asciiTheme="majorHAnsi" w:hAnsiTheme="majorHAnsi"/>
          <w:sz w:val="20"/>
          <w:szCs w:val="20"/>
        </w:rPr>
        <w:t xml:space="preserve"> complaints that were filed only </w:t>
      </w:r>
      <w:r w:rsidR="0075168F">
        <w:rPr>
          <w:rFonts w:asciiTheme="majorHAnsi" w:hAnsiTheme="majorHAnsi"/>
          <w:sz w:val="20"/>
          <w:szCs w:val="20"/>
        </w:rPr>
        <w:t>fourteen</w:t>
      </w:r>
      <w:r w:rsidRPr="001279A2">
        <w:rPr>
          <w:rFonts w:asciiTheme="majorHAnsi" w:hAnsiTheme="majorHAnsi"/>
          <w:sz w:val="20"/>
          <w:szCs w:val="20"/>
        </w:rPr>
        <w:t xml:space="preserve"> were admitted for the proceedings for damages. </w:t>
      </w:r>
      <w:r w:rsidR="0075168F">
        <w:rPr>
          <w:rFonts w:asciiTheme="majorHAnsi" w:hAnsiTheme="majorHAnsi"/>
          <w:sz w:val="20"/>
          <w:szCs w:val="20"/>
        </w:rPr>
        <w:t>By</w:t>
      </w:r>
      <w:r w:rsidRPr="001279A2">
        <w:rPr>
          <w:rFonts w:asciiTheme="majorHAnsi" w:hAnsiTheme="majorHAnsi"/>
          <w:sz w:val="20"/>
          <w:szCs w:val="20"/>
        </w:rPr>
        <w:t xml:space="preserve"> a judgment </w:t>
      </w:r>
      <w:r w:rsidR="0075168F">
        <w:rPr>
          <w:rFonts w:asciiTheme="majorHAnsi" w:hAnsiTheme="majorHAnsi"/>
          <w:sz w:val="20"/>
          <w:szCs w:val="20"/>
        </w:rPr>
        <w:t>of</w:t>
      </w:r>
      <w:r w:rsidRPr="001279A2">
        <w:rPr>
          <w:rFonts w:asciiTheme="majorHAnsi" w:hAnsiTheme="majorHAnsi"/>
          <w:sz w:val="20"/>
          <w:szCs w:val="20"/>
        </w:rPr>
        <w:t xml:space="preserve"> July 24, 2007, the Sixth</w:t>
      </w:r>
      <w:r w:rsidR="0075168F">
        <w:rPr>
          <w:rFonts w:asciiTheme="majorHAnsi" w:hAnsiTheme="majorHAnsi"/>
          <w:sz w:val="20"/>
          <w:szCs w:val="20"/>
        </w:rPr>
        <w:t xml:space="preserve"> Administrative Court of Ibague</w:t>
      </w:r>
      <w:r w:rsidRPr="001279A2">
        <w:rPr>
          <w:rFonts w:asciiTheme="majorHAnsi" w:hAnsiTheme="majorHAnsi"/>
          <w:sz w:val="20"/>
          <w:szCs w:val="20"/>
        </w:rPr>
        <w:t xml:space="preserve"> </w:t>
      </w:r>
      <w:r w:rsidR="0075168F">
        <w:rPr>
          <w:rFonts w:asciiTheme="majorHAnsi" w:hAnsiTheme="majorHAnsi"/>
          <w:sz w:val="20"/>
          <w:szCs w:val="20"/>
        </w:rPr>
        <w:t>(</w:t>
      </w:r>
      <w:r w:rsidRPr="001279A2">
        <w:rPr>
          <w:rFonts w:asciiTheme="majorHAnsi" w:hAnsiTheme="majorHAnsi"/>
          <w:sz w:val="20"/>
          <w:szCs w:val="20"/>
        </w:rPr>
        <w:t>Tolima</w:t>
      </w:r>
      <w:r w:rsidR="0075168F">
        <w:rPr>
          <w:rFonts w:asciiTheme="majorHAnsi" w:hAnsiTheme="majorHAnsi"/>
          <w:sz w:val="20"/>
          <w:szCs w:val="20"/>
        </w:rPr>
        <w:t>)</w:t>
      </w:r>
      <w:r w:rsidRPr="001279A2">
        <w:rPr>
          <w:rFonts w:asciiTheme="majorHAnsi" w:hAnsiTheme="majorHAnsi"/>
          <w:sz w:val="20"/>
          <w:szCs w:val="20"/>
        </w:rPr>
        <w:t xml:space="preserve"> </w:t>
      </w:r>
      <w:r w:rsidR="00BF17A1">
        <w:rPr>
          <w:rFonts w:asciiTheme="majorHAnsi" w:hAnsiTheme="majorHAnsi"/>
          <w:sz w:val="20"/>
          <w:szCs w:val="20"/>
        </w:rPr>
        <w:t>ordered</w:t>
      </w:r>
      <w:r w:rsidRPr="001279A2">
        <w:rPr>
          <w:rFonts w:asciiTheme="majorHAnsi" w:hAnsiTheme="majorHAnsi"/>
          <w:sz w:val="20"/>
          <w:szCs w:val="20"/>
        </w:rPr>
        <w:t xml:space="preserve"> compensation in favor of </w:t>
      </w:r>
      <w:r w:rsidR="00BF17A1">
        <w:rPr>
          <w:rFonts w:asciiTheme="majorHAnsi" w:hAnsiTheme="majorHAnsi"/>
          <w:sz w:val="20"/>
          <w:szCs w:val="20"/>
        </w:rPr>
        <w:t>six</w:t>
      </w:r>
      <w:r w:rsidRPr="001279A2">
        <w:rPr>
          <w:rFonts w:asciiTheme="majorHAnsi" w:hAnsiTheme="majorHAnsi"/>
          <w:sz w:val="20"/>
          <w:szCs w:val="20"/>
        </w:rPr>
        <w:t xml:space="preserve"> people. Subsequently, by </w:t>
      </w:r>
      <w:r w:rsidRPr="001279A2">
        <w:rPr>
          <w:rFonts w:asciiTheme="majorHAnsi" w:hAnsiTheme="majorHAnsi"/>
          <w:sz w:val="20"/>
          <w:szCs w:val="20"/>
        </w:rPr>
        <w:lastRenderedPageBreak/>
        <w:t>a resolution of July 18, 2008, the Administrative Court of Tolima fully revoked the judgment appealed</w:t>
      </w:r>
      <w:r w:rsidR="00BF17A1">
        <w:rPr>
          <w:rFonts w:asciiTheme="majorHAnsi" w:hAnsiTheme="majorHAnsi"/>
          <w:sz w:val="20"/>
          <w:szCs w:val="20"/>
        </w:rPr>
        <w:t xml:space="preserve"> against</w:t>
      </w:r>
      <w:r w:rsidRPr="001279A2">
        <w:rPr>
          <w:rFonts w:asciiTheme="majorHAnsi" w:hAnsiTheme="majorHAnsi"/>
          <w:sz w:val="20"/>
          <w:szCs w:val="20"/>
        </w:rPr>
        <w:t>, issu</w:t>
      </w:r>
      <w:r w:rsidR="00BF17A1">
        <w:rPr>
          <w:rFonts w:asciiTheme="majorHAnsi" w:hAnsiTheme="majorHAnsi"/>
          <w:sz w:val="20"/>
          <w:szCs w:val="20"/>
        </w:rPr>
        <w:t xml:space="preserve">ing </w:t>
      </w:r>
      <w:r w:rsidRPr="001279A2">
        <w:rPr>
          <w:rFonts w:asciiTheme="majorHAnsi" w:hAnsiTheme="majorHAnsi"/>
          <w:sz w:val="20"/>
          <w:szCs w:val="20"/>
        </w:rPr>
        <w:t>a judgment contrary to</w:t>
      </w:r>
      <w:r w:rsidR="00BF17A1">
        <w:rPr>
          <w:rFonts w:asciiTheme="majorHAnsi" w:hAnsiTheme="majorHAnsi"/>
          <w:sz w:val="20"/>
          <w:szCs w:val="20"/>
        </w:rPr>
        <w:t xml:space="preserve"> the alleged victims' interests instead.</w:t>
      </w:r>
    </w:p>
    <w:p w14:paraId="7675ACD2" w14:textId="5A4A7C90" w:rsidR="002C72A2" w:rsidRDefault="0042157E" w:rsidP="007E11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With regard to the fourteen claims for damages concerning seventeen alleged victims, the IACHR notes that, through </w:t>
      </w:r>
      <w:r w:rsidR="00017939">
        <w:rPr>
          <w:rFonts w:ascii="Cambria" w:hAnsi="Cambria"/>
          <w:sz w:val="20"/>
          <w:szCs w:val="20"/>
        </w:rPr>
        <w:t xml:space="preserve">Tolima’s Administrative Court’s decision of July 18, 2008, </w:t>
      </w:r>
      <w:r w:rsidR="007E3D98">
        <w:rPr>
          <w:rFonts w:ascii="Cambria" w:hAnsi="Cambria"/>
          <w:sz w:val="20"/>
          <w:szCs w:val="20"/>
        </w:rPr>
        <w:t>the appropriate domestic remedies were exhausted pursuant to Article 46.1.a of the Convention and Article 31.1 of the IACHR Rules</w:t>
      </w:r>
      <w:r w:rsidR="007E1189" w:rsidRPr="007E1189">
        <w:t xml:space="preserve"> </w:t>
      </w:r>
      <w:r w:rsidR="007E1189" w:rsidRPr="007E1189">
        <w:rPr>
          <w:rFonts w:ascii="Cambria" w:hAnsi="Cambria"/>
          <w:sz w:val="20"/>
          <w:szCs w:val="20"/>
        </w:rPr>
        <w:t>of Procedure</w:t>
      </w:r>
      <w:r w:rsidR="007E3D98">
        <w:rPr>
          <w:rFonts w:ascii="Cambria" w:hAnsi="Cambria"/>
          <w:sz w:val="20"/>
          <w:szCs w:val="20"/>
        </w:rPr>
        <w:t>.</w:t>
      </w:r>
      <w:r w:rsidR="007D26A5">
        <w:rPr>
          <w:rFonts w:ascii="Cambria" w:hAnsi="Cambria"/>
          <w:sz w:val="20"/>
          <w:szCs w:val="20"/>
        </w:rPr>
        <w:t xml:space="preserve"> </w:t>
      </w:r>
      <w:r w:rsidR="00F26666">
        <w:rPr>
          <w:rFonts w:ascii="Cambria" w:hAnsi="Cambria"/>
          <w:sz w:val="20"/>
          <w:szCs w:val="20"/>
        </w:rPr>
        <w:t>Concerning the other twenty-two alleged victims, the petitioners assert that they were unable to access justice in view of the</w:t>
      </w:r>
      <w:r w:rsidR="009A2E92">
        <w:rPr>
          <w:rFonts w:ascii="Cambria" w:hAnsi="Cambria"/>
          <w:sz w:val="20"/>
          <w:szCs w:val="20"/>
        </w:rPr>
        <w:t xml:space="preserve"> fact that a sum equivalent to USD 30 was required</w:t>
      </w:r>
      <w:r w:rsidR="00C57279">
        <w:rPr>
          <w:rFonts w:ascii="Cambria" w:hAnsi="Cambria"/>
          <w:sz w:val="20"/>
          <w:szCs w:val="20"/>
        </w:rPr>
        <w:t xml:space="preserve"> in order</w:t>
      </w:r>
      <w:r w:rsidR="009A2E92">
        <w:rPr>
          <w:rFonts w:ascii="Cambria" w:hAnsi="Cambria"/>
          <w:sz w:val="20"/>
          <w:szCs w:val="20"/>
        </w:rPr>
        <w:t xml:space="preserve"> to file a claim for damages.</w:t>
      </w:r>
      <w:r w:rsidR="00CD27B1">
        <w:rPr>
          <w:rFonts w:ascii="Cambria" w:hAnsi="Cambria"/>
          <w:sz w:val="20"/>
          <w:szCs w:val="20"/>
        </w:rPr>
        <w:t xml:space="preserve"> The Commission believes that given the alleged victims’ purported economic situat</w:t>
      </w:r>
      <w:r w:rsidR="00887CB1">
        <w:rPr>
          <w:rFonts w:ascii="Cambria" w:hAnsi="Cambria"/>
          <w:sz w:val="20"/>
          <w:szCs w:val="20"/>
        </w:rPr>
        <w:t>ion, said requirement may establish, for the purpose of deciding on the petition’s admissibility,</w:t>
      </w:r>
      <w:r w:rsidR="003462B0">
        <w:rPr>
          <w:rFonts w:ascii="Cambria" w:hAnsi="Cambria"/>
          <w:sz w:val="20"/>
          <w:szCs w:val="20"/>
        </w:rPr>
        <w:t xml:space="preserve"> a demand that prevented the </w:t>
      </w:r>
      <w:r w:rsidR="00DD3C74">
        <w:rPr>
          <w:rFonts w:ascii="Cambria" w:hAnsi="Cambria"/>
          <w:sz w:val="20"/>
          <w:szCs w:val="20"/>
        </w:rPr>
        <w:t>access to and exhaustion of domestic remedies. In this initial</w:t>
      </w:r>
      <w:r w:rsidR="00A9185B">
        <w:rPr>
          <w:rFonts w:ascii="Cambria" w:hAnsi="Cambria"/>
          <w:sz w:val="20"/>
          <w:szCs w:val="20"/>
        </w:rPr>
        <w:t xml:space="preserve"> stage of analysis, based on the information available so far, the Inter-American Commission decides that the exception to the requirement of exhaustion of domestic remedies</w:t>
      </w:r>
      <w:r w:rsidR="00667302">
        <w:rPr>
          <w:rFonts w:ascii="Cambria" w:hAnsi="Cambria"/>
          <w:sz w:val="20"/>
          <w:szCs w:val="20"/>
        </w:rPr>
        <w:t xml:space="preserve"> is applicable </w:t>
      </w:r>
      <w:r w:rsidR="00810FF3">
        <w:rPr>
          <w:rFonts w:ascii="Cambria" w:hAnsi="Cambria"/>
          <w:sz w:val="20"/>
          <w:szCs w:val="20"/>
        </w:rPr>
        <w:t xml:space="preserve">concerning these people, </w:t>
      </w:r>
      <w:r w:rsidR="00667302">
        <w:rPr>
          <w:rFonts w:ascii="Cambria" w:hAnsi="Cambria"/>
          <w:sz w:val="20"/>
          <w:szCs w:val="20"/>
        </w:rPr>
        <w:t>pursuant to Article 46.2.b of the American Convention</w:t>
      </w:r>
      <w:r w:rsidR="00810FF3">
        <w:rPr>
          <w:rFonts w:ascii="Cambria" w:hAnsi="Cambria"/>
          <w:sz w:val="20"/>
          <w:szCs w:val="20"/>
        </w:rPr>
        <w:t xml:space="preserve">. </w:t>
      </w:r>
      <w:r w:rsidR="00E93AAD">
        <w:rPr>
          <w:rFonts w:ascii="Cambria" w:hAnsi="Cambria"/>
          <w:sz w:val="20"/>
          <w:szCs w:val="20"/>
        </w:rPr>
        <w:t>In the merits stage, t</w:t>
      </w:r>
      <w:r w:rsidR="00810FF3">
        <w:rPr>
          <w:rFonts w:ascii="Cambria" w:hAnsi="Cambria"/>
          <w:sz w:val="20"/>
          <w:szCs w:val="20"/>
        </w:rPr>
        <w:t xml:space="preserve">he IACHR will </w:t>
      </w:r>
      <w:r w:rsidR="00E93AAD">
        <w:rPr>
          <w:rFonts w:ascii="Cambria" w:hAnsi="Cambria"/>
          <w:sz w:val="20"/>
          <w:szCs w:val="20"/>
        </w:rPr>
        <w:t xml:space="preserve">carefully </w:t>
      </w:r>
      <w:r w:rsidR="00810FF3">
        <w:rPr>
          <w:rFonts w:ascii="Cambria" w:hAnsi="Cambria"/>
          <w:sz w:val="20"/>
          <w:szCs w:val="20"/>
        </w:rPr>
        <w:t xml:space="preserve">analyze the requirement </w:t>
      </w:r>
      <w:r w:rsidR="00097BD5">
        <w:rPr>
          <w:rFonts w:ascii="Cambria" w:hAnsi="Cambria"/>
          <w:sz w:val="20"/>
          <w:szCs w:val="20"/>
        </w:rPr>
        <w:t xml:space="preserve">of the aforementioned amount in </w:t>
      </w:r>
      <w:r w:rsidR="00F3426E">
        <w:rPr>
          <w:rFonts w:ascii="Cambria" w:hAnsi="Cambria"/>
          <w:sz w:val="20"/>
          <w:szCs w:val="20"/>
        </w:rPr>
        <w:t>light</w:t>
      </w:r>
      <w:r w:rsidR="00097BD5">
        <w:rPr>
          <w:rFonts w:ascii="Cambria" w:hAnsi="Cambria"/>
          <w:sz w:val="20"/>
          <w:szCs w:val="20"/>
        </w:rPr>
        <w:t xml:space="preserve"> of the</w:t>
      </w:r>
      <w:r w:rsidR="00F3426E">
        <w:rPr>
          <w:rFonts w:ascii="Cambria" w:hAnsi="Cambria"/>
          <w:sz w:val="20"/>
          <w:szCs w:val="20"/>
        </w:rPr>
        <w:t xml:space="preserve"> alleged victims’ situation and their right to judicial protection.</w:t>
      </w:r>
    </w:p>
    <w:p w14:paraId="17B8B23E" w14:textId="5EDCD3A7" w:rsidR="00372FA2" w:rsidRPr="001279A2" w:rsidRDefault="000C6938" w:rsidP="007E11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Based on the foregoing, the Commission concludes that </w:t>
      </w:r>
      <w:r w:rsidR="00FA7A66">
        <w:rPr>
          <w:rFonts w:ascii="Cambria" w:hAnsi="Cambria"/>
          <w:sz w:val="20"/>
          <w:szCs w:val="20"/>
        </w:rPr>
        <w:t>in the case of the seventeen alleged victims that were granted a resolution by Tolima’s Administrative Court</w:t>
      </w:r>
      <w:r w:rsidR="0033479B">
        <w:rPr>
          <w:rFonts w:ascii="Cambria" w:hAnsi="Cambria"/>
          <w:sz w:val="20"/>
          <w:szCs w:val="20"/>
        </w:rPr>
        <w:t xml:space="preserve"> on July 18, 2008, the petition meets the requirement established in Article 46.1</w:t>
      </w:r>
      <w:r w:rsidR="000759B2">
        <w:rPr>
          <w:rFonts w:ascii="Cambria" w:hAnsi="Cambria"/>
          <w:sz w:val="20"/>
          <w:szCs w:val="20"/>
        </w:rPr>
        <w:t>.</w:t>
      </w:r>
      <w:r w:rsidR="0033479B">
        <w:rPr>
          <w:rFonts w:ascii="Cambria" w:hAnsi="Cambria"/>
          <w:sz w:val="20"/>
          <w:szCs w:val="20"/>
        </w:rPr>
        <w:t>b of the Convention and Article 32.1 of the Rule</w:t>
      </w:r>
      <w:r w:rsidR="000759B2">
        <w:rPr>
          <w:rFonts w:ascii="Cambria" w:hAnsi="Cambria"/>
          <w:sz w:val="20"/>
          <w:szCs w:val="20"/>
        </w:rPr>
        <w:t>s</w:t>
      </w:r>
      <w:r w:rsidR="007E1189" w:rsidRPr="007E1189">
        <w:t xml:space="preserve"> </w:t>
      </w:r>
      <w:r w:rsidR="007E1189" w:rsidRPr="007E1189">
        <w:rPr>
          <w:rFonts w:ascii="Cambria" w:hAnsi="Cambria"/>
          <w:sz w:val="20"/>
          <w:szCs w:val="20"/>
        </w:rPr>
        <w:t>of Procedure</w:t>
      </w:r>
      <w:r w:rsidR="000759B2">
        <w:rPr>
          <w:rFonts w:ascii="Cambria" w:hAnsi="Cambria"/>
          <w:sz w:val="20"/>
          <w:szCs w:val="20"/>
        </w:rPr>
        <w:t>, as it was presented on December 18, 2008. As to the alleged victims to whom the exception set forth in Article 46.2.b</w:t>
      </w:r>
      <w:r w:rsidR="00770D0F">
        <w:rPr>
          <w:rFonts w:ascii="Cambria" w:hAnsi="Cambria"/>
          <w:sz w:val="20"/>
          <w:szCs w:val="20"/>
        </w:rPr>
        <w:t xml:space="preserve"> has been applied, the Inter-American Commission believes that the petition was filed within a reasonable period, under the provision</w:t>
      </w:r>
      <w:r w:rsidR="00D86354">
        <w:rPr>
          <w:rFonts w:ascii="Cambria" w:hAnsi="Cambria"/>
          <w:sz w:val="20"/>
          <w:szCs w:val="20"/>
        </w:rPr>
        <w:t>s</w:t>
      </w:r>
      <w:r w:rsidR="00770D0F">
        <w:rPr>
          <w:rFonts w:ascii="Cambria" w:hAnsi="Cambria"/>
          <w:sz w:val="20"/>
          <w:szCs w:val="20"/>
        </w:rPr>
        <w:t xml:space="preserve"> of Article 32 of its Rules</w:t>
      </w:r>
      <w:r w:rsidR="007E1189" w:rsidRPr="007E1189">
        <w:t xml:space="preserve"> </w:t>
      </w:r>
      <w:r w:rsidR="007E1189" w:rsidRPr="007E1189">
        <w:rPr>
          <w:rFonts w:ascii="Cambria" w:hAnsi="Cambria"/>
          <w:sz w:val="20"/>
          <w:szCs w:val="20"/>
        </w:rPr>
        <w:t>of Procedure</w:t>
      </w:r>
      <w:r w:rsidR="00770D0F">
        <w:rPr>
          <w:rFonts w:ascii="Cambria" w:hAnsi="Cambria"/>
          <w:sz w:val="20"/>
          <w:szCs w:val="20"/>
        </w:rPr>
        <w:t>.</w:t>
      </w:r>
    </w:p>
    <w:p w14:paraId="378478A0" w14:textId="77777777" w:rsidR="00F621C3" w:rsidRPr="001279A2" w:rsidRDefault="00F621C3" w:rsidP="00F621C3">
      <w:pPr>
        <w:pStyle w:val="ListParagraph"/>
        <w:spacing w:before="240" w:after="240"/>
        <w:jc w:val="both"/>
        <w:rPr>
          <w:rFonts w:asciiTheme="majorHAnsi" w:hAnsiTheme="majorHAnsi"/>
          <w:b/>
          <w:sz w:val="20"/>
          <w:szCs w:val="20"/>
        </w:rPr>
      </w:pPr>
      <w:r w:rsidRPr="001279A2">
        <w:rPr>
          <w:rFonts w:asciiTheme="majorHAnsi" w:hAnsiTheme="majorHAnsi"/>
          <w:b/>
          <w:bCs/>
          <w:sz w:val="20"/>
          <w:szCs w:val="20"/>
        </w:rPr>
        <w:t>VII.</w:t>
      </w:r>
      <w:r w:rsidRPr="001279A2">
        <w:rPr>
          <w:rFonts w:asciiTheme="majorHAnsi" w:hAnsiTheme="majorHAnsi"/>
          <w:b/>
          <w:bCs/>
          <w:sz w:val="20"/>
          <w:szCs w:val="20"/>
        </w:rPr>
        <w:tab/>
        <w:t>COLORABLE CLAIM</w:t>
      </w:r>
    </w:p>
    <w:p w14:paraId="1040E3A8" w14:textId="086DAAD7" w:rsidR="009C6187" w:rsidRPr="00F474D7" w:rsidRDefault="00D86354" w:rsidP="009C61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view of the elements of fact and law presented by the parties</w:t>
      </w:r>
      <w:r w:rsidR="00AA5FE0">
        <w:rPr>
          <w:rFonts w:ascii="Cambria" w:hAnsi="Cambria"/>
          <w:sz w:val="20"/>
          <w:szCs w:val="20"/>
        </w:rPr>
        <w:t>,</w:t>
      </w:r>
      <w:r>
        <w:rPr>
          <w:rFonts w:ascii="Cambria" w:hAnsi="Cambria"/>
          <w:sz w:val="20"/>
          <w:szCs w:val="20"/>
        </w:rPr>
        <w:t xml:space="preserve"> and the nature of the matter brought to its attention, the Commission considers that, if proved, the arguments regarding the health damages caused </w:t>
      </w:r>
      <w:r w:rsidR="00A43C83">
        <w:rPr>
          <w:rFonts w:ascii="Cambria" w:hAnsi="Cambria"/>
          <w:sz w:val="20"/>
          <w:szCs w:val="20"/>
        </w:rPr>
        <w:t>by glyphosate, the damages to the alleged victims’ goods and livestock</w:t>
      </w:r>
      <w:r w:rsidR="00D861C2">
        <w:rPr>
          <w:rFonts w:ascii="Cambria" w:hAnsi="Cambria"/>
          <w:sz w:val="20"/>
          <w:szCs w:val="20"/>
        </w:rPr>
        <w:t xml:space="preserve">, the violation of due process of law, </w:t>
      </w:r>
      <w:r w:rsidR="009C6187">
        <w:rPr>
          <w:rFonts w:ascii="Cambria" w:hAnsi="Cambria"/>
          <w:sz w:val="20"/>
          <w:szCs w:val="20"/>
        </w:rPr>
        <w:t xml:space="preserve">and </w:t>
      </w:r>
      <w:r w:rsidR="00D861C2">
        <w:rPr>
          <w:rFonts w:ascii="Cambria" w:hAnsi="Cambria"/>
          <w:sz w:val="20"/>
          <w:szCs w:val="20"/>
        </w:rPr>
        <w:t xml:space="preserve">the lack of access to justice and to </w:t>
      </w:r>
      <w:r w:rsidR="007E1189">
        <w:rPr>
          <w:rFonts w:ascii="Cambria" w:hAnsi="Cambria"/>
          <w:sz w:val="20"/>
          <w:szCs w:val="20"/>
        </w:rPr>
        <w:t>full redress could establish</w:t>
      </w:r>
      <w:r w:rsidR="00D861C2">
        <w:rPr>
          <w:rFonts w:ascii="Cambria" w:hAnsi="Cambria"/>
          <w:sz w:val="20"/>
          <w:szCs w:val="20"/>
        </w:rPr>
        <w:t xml:space="preserve"> </w:t>
      </w:r>
      <w:r w:rsidR="009C6187">
        <w:rPr>
          <w:rFonts w:ascii="Cambria" w:hAnsi="Cambria"/>
          <w:sz w:val="20"/>
          <w:szCs w:val="20"/>
        </w:rPr>
        <w:t xml:space="preserve">violations of </w:t>
      </w:r>
      <w:r w:rsidR="009C6187">
        <w:rPr>
          <w:rFonts w:ascii="Cambria" w:hAnsi="Cambria"/>
          <w:bCs/>
          <w:sz w:val="20"/>
          <w:szCs w:val="20"/>
        </w:rPr>
        <w:t>Articles</w:t>
      </w:r>
      <w:r w:rsidR="009C6187" w:rsidRPr="009C6187">
        <w:rPr>
          <w:rFonts w:ascii="Cambria" w:hAnsi="Cambria"/>
          <w:bCs/>
          <w:sz w:val="20"/>
          <w:szCs w:val="20"/>
        </w:rPr>
        <w:t xml:space="preserve"> </w:t>
      </w:r>
      <w:r w:rsidR="009C6187" w:rsidRPr="009C6187">
        <w:rPr>
          <w:rFonts w:asciiTheme="majorHAnsi" w:hAnsiTheme="majorHAnsi"/>
          <w:sz w:val="20"/>
          <w:szCs w:val="20"/>
        </w:rPr>
        <w:t>5 (Humane Treatment), 8 (Fair Trial), 21 (Property)</w:t>
      </w:r>
      <w:r w:rsidR="00AD7F87">
        <w:rPr>
          <w:rFonts w:asciiTheme="majorHAnsi" w:hAnsiTheme="majorHAnsi"/>
          <w:sz w:val="20"/>
          <w:szCs w:val="20"/>
        </w:rPr>
        <w:t>,</w:t>
      </w:r>
      <w:r w:rsidR="009C6187" w:rsidRPr="009C6187">
        <w:rPr>
          <w:rFonts w:asciiTheme="majorHAnsi" w:hAnsiTheme="majorHAnsi"/>
          <w:sz w:val="20"/>
          <w:szCs w:val="20"/>
        </w:rPr>
        <w:t xml:space="preserve"> 25 (Judicial Protection)</w:t>
      </w:r>
      <w:r w:rsidR="00AD7F87">
        <w:rPr>
          <w:rFonts w:asciiTheme="majorHAnsi" w:hAnsiTheme="majorHAnsi"/>
          <w:sz w:val="20"/>
          <w:szCs w:val="20"/>
        </w:rPr>
        <w:t xml:space="preserve"> and 26 (Progressive Development)</w:t>
      </w:r>
      <w:r w:rsidR="009C6187" w:rsidRPr="009C6187">
        <w:rPr>
          <w:rFonts w:asciiTheme="majorHAnsi" w:hAnsiTheme="majorHAnsi"/>
          <w:sz w:val="20"/>
          <w:szCs w:val="20"/>
        </w:rPr>
        <w:t xml:space="preserve"> of the American Convention</w:t>
      </w:r>
      <w:r w:rsidR="009C7221">
        <w:rPr>
          <w:rFonts w:asciiTheme="majorHAnsi" w:hAnsiTheme="majorHAnsi"/>
          <w:sz w:val="20"/>
          <w:szCs w:val="20"/>
        </w:rPr>
        <w:t xml:space="preserve">, in relation to the alleged victims; and </w:t>
      </w:r>
      <w:r w:rsidR="00661DF4">
        <w:rPr>
          <w:rFonts w:asciiTheme="majorHAnsi" w:hAnsiTheme="majorHAnsi"/>
          <w:sz w:val="20"/>
          <w:szCs w:val="20"/>
        </w:rPr>
        <w:t>of Article 19 (Rights of the Child) in relation to the two children purportedly affected. Likewise, as to the boy that was born prematurely</w:t>
      </w:r>
      <w:r w:rsidR="001D0DFB">
        <w:rPr>
          <w:rFonts w:asciiTheme="majorHAnsi" w:hAnsiTheme="majorHAnsi"/>
          <w:sz w:val="20"/>
          <w:szCs w:val="20"/>
        </w:rPr>
        <w:t xml:space="preserve"> and died on June 1, 1999, if proved, the alleged facts may establish a violation of Article 4 (Right to Life) of the American Convention. Moreover, with respect to the alleged violation of Article 17 (</w:t>
      </w:r>
      <w:r w:rsidR="00F474D7">
        <w:rPr>
          <w:rFonts w:asciiTheme="majorHAnsi" w:hAnsiTheme="majorHAnsi"/>
          <w:sz w:val="20"/>
          <w:szCs w:val="20"/>
        </w:rPr>
        <w:t>Right</w:t>
      </w:r>
      <w:r w:rsidR="001D0DFB">
        <w:rPr>
          <w:rFonts w:asciiTheme="majorHAnsi" w:hAnsiTheme="majorHAnsi"/>
          <w:sz w:val="20"/>
          <w:szCs w:val="20"/>
        </w:rPr>
        <w:t xml:space="preserve"> of </w:t>
      </w:r>
      <w:r w:rsidR="00F474D7">
        <w:rPr>
          <w:rFonts w:asciiTheme="majorHAnsi" w:hAnsiTheme="majorHAnsi"/>
          <w:sz w:val="20"/>
          <w:szCs w:val="20"/>
        </w:rPr>
        <w:t xml:space="preserve">the </w:t>
      </w:r>
      <w:r w:rsidR="001D0DFB">
        <w:rPr>
          <w:rFonts w:asciiTheme="majorHAnsi" w:hAnsiTheme="majorHAnsi"/>
          <w:sz w:val="20"/>
          <w:szCs w:val="20"/>
        </w:rPr>
        <w:t>Famil</w:t>
      </w:r>
      <w:r w:rsidR="00F474D7">
        <w:rPr>
          <w:rFonts w:asciiTheme="majorHAnsi" w:hAnsiTheme="majorHAnsi"/>
          <w:sz w:val="20"/>
          <w:szCs w:val="20"/>
        </w:rPr>
        <w:t>y</w:t>
      </w:r>
      <w:r w:rsidR="001D0DFB">
        <w:rPr>
          <w:rFonts w:asciiTheme="majorHAnsi" w:hAnsiTheme="majorHAnsi"/>
          <w:sz w:val="20"/>
          <w:szCs w:val="20"/>
        </w:rPr>
        <w:t>)</w:t>
      </w:r>
      <w:r w:rsidR="00F474D7">
        <w:rPr>
          <w:rFonts w:asciiTheme="majorHAnsi" w:hAnsiTheme="majorHAnsi"/>
          <w:sz w:val="20"/>
          <w:szCs w:val="20"/>
        </w:rPr>
        <w:t xml:space="preserve"> of the Convention, the Commission notes that the petitioners did not submit arguments or evidence to support such </w:t>
      </w:r>
      <w:r w:rsidR="00C72989">
        <w:rPr>
          <w:rFonts w:asciiTheme="majorHAnsi" w:hAnsiTheme="majorHAnsi"/>
          <w:sz w:val="20"/>
          <w:szCs w:val="20"/>
        </w:rPr>
        <w:t>claim</w:t>
      </w:r>
      <w:r w:rsidR="00F474D7">
        <w:rPr>
          <w:rFonts w:asciiTheme="majorHAnsi" w:hAnsiTheme="majorHAnsi"/>
          <w:sz w:val="20"/>
          <w:szCs w:val="20"/>
        </w:rPr>
        <w:t>.</w:t>
      </w:r>
    </w:p>
    <w:p w14:paraId="3CC5E698" w14:textId="4D2E995E" w:rsidR="00F474D7" w:rsidRPr="009C6187" w:rsidRDefault="00D81E2E" w:rsidP="009C61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Concerning the alleged violations of Articles 9, 10, 11, 12, 15 and 16 of the Protocol of San Salvador, the Commission is not competent to </w:t>
      </w:r>
      <w:r w:rsidR="003C3FA4">
        <w:rPr>
          <w:rFonts w:ascii="Cambria" w:hAnsi="Cambria"/>
          <w:sz w:val="20"/>
          <w:szCs w:val="20"/>
        </w:rPr>
        <w:t>declare</w:t>
      </w:r>
      <w:r w:rsidR="00CA74DD">
        <w:rPr>
          <w:rFonts w:ascii="Cambria" w:hAnsi="Cambria"/>
          <w:sz w:val="20"/>
          <w:szCs w:val="20"/>
        </w:rPr>
        <w:t xml:space="preserve"> said rights violated; how</w:t>
      </w:r>
      <w:r w:rsidR="006F58BE">
        <w:rPr>
          <w:rFonts w:ascii="Cambria" w:hAnsi="Cambria"/>
          <w:sz w:val="20"/>
          <w:szCs w:val="20"/>
        </w:rPr>
        <w:t>ever, it is entitled to use the articles</w:t>
      </w:r>
      <w:r w:rsidR="00CA74DD">
        <w:rPr>
          <w:rFonts w:ascii="Cambria" w:hAnsi="Cambria"/>
          <w:sz w:val="20"/>
          <w:szCs w:val="20"/>
        </w:rPr>
        <w:t xml:space="preserve"> </w:t>
      </w:r>
      <w:r w:rsidR="006F58BE">
        <w:rPr>
          <w:rFonts w:ascii="Cambria" w:hAnsi="Cambria"/>
          <w:sz w:val="20"/>
          <w:szCs w:val="20"/>
        </w:rPr>
        <w:t>to interpret</w:t>
      </w:r>
      <w:r w:rsidR="00852191">
        <w:rPr>
          <w:rFonts w:ascii="Cambria" w:hAnsi="Cambria"/>
          <w:sz w:val="20"/>
          <w:szCs w:val="20"/>
        </w:rPr>
        <w:t xml:space="preserve"> the conventional obligations</w:t>
      </w:r>
      <w:r w:rsidR="001D7BD9">
        <w:rPr>
          <w:rFonts w:ascii="Cambria" w:hAnsi="Cambria"/>
          <w:sz w:val="20"/>
          <w:szCs w:val="20"/>
        </w:rPr>
        <w:t>, under the provisions of Article 29 of the American Convention.</w:t>
      </w:r>
    </w:p>
    <w:p w14:paraId="5A70550C" w14:textId="77777777" w:rsidR="00F621C3" w:rsidRPr="001279A2" w:rsidRDefault="00F621C3" w:rsidP="00F621C3">
      <w:pPr>
        <w:pStyle w:val="ListParagraph"/>
        <w:spacing w:before="240" w:after="240"/>
        <w:jc w:val="both"/>
        <w:rPr>
          <w:rFonts w:asciiTheme="majorHAnsi" w:hAnsiTheme="majorHAnsi"/>
          <w:b/>
          <w:bCs/>
          <w:sz w:val="20"/>
          <w:szCs w:val="20"/>
        </w:rPr>
      </w:pPr>
      <w:r w:rsidRPr="001279A2">
        <w:rPr>
          <w:rFonts w:asciiTheme="majorHAnsi" w:hAnsiTheme="majorHAnsi"/>
          <w:b/>
          <w:bCs/>
          <w:sz w:val="20"/>
          <w:szCs w:val="20"/>
        </w:rPr>
        <w:t xml:space="preserve">VIII. </w:t>
      </w:r>
      <w:r w:rsidRPr="001279A2">
        <w:rPr>
          <w:rFonts w:asciiTheme="majorHAnsi" w:hAnsiTheme="majorHAnsi"/>
          <w:b/>
          <w:bCs/>
          <w:sz w:val="20"/>
          <w:szCs w:val="20"/>
        </w:rPr>
        <w:tab/>
        <w:t>DECISION</w:t>
      </w:r>
    </w:p>
    <w:p w14:paraId="227B9B6E" w14:textId="76359C19" w:rsidR="00F621C3" w:rsidRPr="001279A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79A2">
        <w:rPr>
          <w:rFonts w:asciiTheme="majorHAnsi" w:hAnsiTheme="majorHAnsi"/>
          <w:sz w:val="20"/>
          <w:szCs w:val="20"/>
        </w:rPr>
        <w:t xml:space="preserve">To find the instant petition admissible in relation to Articles </w:t>
      </w:r>
      <w:r w:rsidR="00A8690D" w:rsidRPr="00A8690D">
        <w:rPr>
          <w:rFonts w:asciiTheme="majorHAnsi" w:hAnsiTheme="majorHAnsi"/>
          <w:sz w:val="20"/>
          <w:szCs w:val="20"/>
          <w:lang w:val="en-GB"/>
        </w:rPr>
        <w:t xml:space="preserve">4, 5, 8, 19, 21, 25 </w:t>
      </w:r>
      <w:r w:rsidR="00A8690D">
        <w:rPr>
          <w:rFonts w:asciiTheme="majorHAnsi" w:hAnsiTheme="majorHAnsi"/>
          <w:sz w:val="20"/>
          <w:szCs w:val="20"/>
          <w:lang w:val="en-GB"/>
        </w:rPr>
        <w:t>and</w:t>
      </w:r>
      <w:r w:rsidR="00A8690D" w:rsidRPr="00A8690D">
        <w:rPr>
          <w:rFonts w:asciiTheme="majorHAnsi" w:hAnsiTheme="majorHAnsi"/>
          <w:sz w:val="20"/>
          <w:szCs w:val="20"/>
          <w:lang w:val="en-GB"/>
        </w:rPr>
        <w:t xml:space="preserve"> 26</w:t>
      </w:r>
      <w:r w:rsidR="00A8690D">
        <w:rPr>
          <w:rFonts w:asciiTheme="majorHAnsi" w:hAnsiTheme="majorHAnsi"/>
          <w:sz w:val="20"/>
          <w:szCs w:val="20"/>
        </w:rPr>
        <w:t xml:space="preserve"> of the American Convention</w:t>
      </w:r>
      <w:r w:rsidRPr="001279A2">
        <w:rPr>
          <w:rFonts w:asciiTheme="majorHAnsi" w:hAnsiTheme="majorHAnsi"/>
          <w:sz w:val="20"/>
          <w:szCs w:val="20"/>
        </w:rPr>
        <w:t>;</w:t>
      </w:r>
    </w:p>
    <w:p w14:paraId="7B069E47" w14:textId="058724A2" w:rsidR="00F621C3" w:rsidRPr="0048172F" w:rsidRDefault="00F621C3" w:rsidP="0048172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Theme="majorHAnsi" w:hAnsiTheme="majorHAnsi"/>
          <w:sz w:val="20"/>
          <w:szCs w:val="20"/>
        </w:rPr>
      </w:pPr>
      <w:r w:rsidRPr="001279A2">
        <w:rPr>
          <w:rFonts w:asciiTheme="majorHAnsi" w:hAnsiTheme="majorHAnsi"/>
          <w:sz w:val="20"/>
          <w:szCs w:val="20"/>
        </w:rPr>
        <w:t xml:space="preserve">To find the instant petition </w:t>
      </w:r>
      <w:r w:rsidRPr="0048172F">
        <w:rPr>
          <w:rFonts w:asciiTheme="majorHAnsi" w:hAnsiTheme="majorHAnsi"/>
          <w:sz w:val="20"/>
          <w:szCs w:val="20"/>
        </w:rPr>
        <w:t xml:space="preserve">inadmissible </w:t>
      </w:r>
      <w:r w:rsidRPr="001279A2">
        <w:rPr>
          <w:rFonts w:asciiTheme="majorHAnsi" w:hAnsiTheme="majorHAnsi"/>
          <w:sz w:val="20"/>
          <w:szCs w:val="20"/>
        </w:rPr>
        <w:t>in relation to Article</w:t>
      </w:r>
      <w:r w:rsidR="001F0F9D">
        <w:rPr>
          <w:rFonts w:asciiTheme="majorHAnsi" w:hAnsiTheme="majorHAnsi"/>
          <w:sz w:val="20"/>
          <w:szCs w:val="20"/>
        </w:rPr>
        <w:t xml:space="preserve"> </w:t>
      </w:r>
      <w:r w:rsidR="001F0F9D" w:rsidRPr="0048172F">
        <w:rPr>
          <w:rFonts w:asciiTheme="majorHAnsi" w:hAnsiTheme="majorHAnsi"/>
          <w:sz w:val="20"/>
          <w:szCs w:val="20"/>
        </w:rPr>
        <w:t>17</w:t>
      </w:r>
      <w:r w:rsidR="0048172F">
        <w:rPr>
          <w:rFonts w:asciiTheme="majorHAnsi" w:hAnsiTheme="majorHAnsi"/>
          <w:sz w:val="20"/>
          <w:szCs w:val="20"/>
        </w:rPr>
        <w:t xml:space="preserve"> of the American Convention</w:t>
      </w:r>
      <w:r w:rsidRPr="0048172F">
        <w:rPr>
          <w:rFonts w:asciiTheme="majorHAnsi" w:hAnsiTheme="majorHAnsi"/>
          <w:sz w:val="20"/>
          <w:szCs w:val="20"/>
        </w:rPr>
        <w:t>;</w:t>
      </w:r>
    </w:p>
    <w:p w14:paraId="51BC4E6B" w14:textId="77777777" w:rsidR="00F621C3" w:rsidRPr="001279A2"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rPr>
          <w:rFonts w:ascii="Cambria" w:hAnsi="Cambria"/>
          <w:sz w:val="20"/>
          <w:szCs w:val="20"/>
        </w:rPr>
      </w:pPr>
      <w:r w:rsidRPr="001279A2">
        <w:rPr>
          <w:rFonts w:asciiTheme="majorHAnsi" w:hAnsiTheme="majorHAnsi"/>
          <w:sz w:val="20"/>
          <w:szCs w:val="20"/>
        </w:rPr>
        <w:t>To notify the parties of this decision;</w:t>
      </w:r>
    </w:p>
    <w:p w14:paraId="401939D6" w14:textId="77777777" w:rsidR="00F621C3" w:rsidRPr="001279A2"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279A2">
        <w:rPr>
          <w:rFonts w:asciiTheme="majorHAnsi" w:hAnsiTheme="majorHAnsi"/>
          <w:sz w:val="20"/>
          <w:szCs w:val="20"/>
        </w:rPr>
        <w:t xml:space="preserve">To continue with the analysis on the merits; and </w:t>
      </w:r>
    </w:p>
    <w:p w14:paraId="22CC8DDA" w14:textId="397B1FC1" w:rsidR="007E6E00"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1279A2">
        <w:rPr>
          <w:rFonts w:asciiTheme="majorHAnsi" w:hAnsiTheme="majorHAnsi"/>
          <w:sz w:val="20"/>
          <w:szCs w:val="20"/>
        </w:rPr>
        <w:t>To publish this decision and include it in its Annual Report to the General Assembly of the Organization of American States.</w:t>
      </w:r>
    </w:p>
    <w:p w14:paraId="56BBF502" w14:textId="77777777" w:rsidR="007E6E00" w:rsidRDefault="007E6E00" w:rsidP="007E6E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047FCB90" w14:textId="77777777" w:rsidR="007E6E00" w:rsidRDefault="007E6E00" w:rsidP="007E6E00">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Orozco Henríquez, Paul</w:t>
      </w:r>
      <w:r>
        <w:rPr>
          <w:rFonts w:ascii="Cambria" w:eastAsia="Times New Roman" w:hAnsi="Cambria"/>
          <w:snapToGrid w:val="0"/>
          <w:spacing w:val="-2"/>
          <w:sz w:val="20"/>
          <w:szCs w:val="20"/>
          <w:bdr w:val="none" w:sz="0" w:space="0" w:color="auto"/>
        </w:rPr>
        <w:t>o Vannuchi, and James L. Cavallaro</w:t>
      </w:r>
      <w:r w:rsidRPr="007643D8">
        <w:rPr>
          <w:rFonts w:ascii="Cambria" w:eastAsia="Times New Roman" w:hAnsi="Cambria"/>
          <w:snapToGrid w:val="0"/>
          <w:spacing w:val="-2"/>
          <w:sz w:val="20"/>
          <w:szCs w:val="20"/>
          <w:bdr w:val="none" w:sz="0" w:space="0" w:color="auto"/>
        </w:rPr>
        <w:t>, Commissioners</w:t>
      </w:r>
      <w:r>
        <w:rPr>
          <w:rFonts w:ascii="Cambria" w:eastAsia="Times New Roman" w:hAnsi="Cambria"/>
          <w:snapToGrid w:val="0"/>
          <w:spacing w:val="-2"/>
          <w:sz w:val="20"/>
          <w:szCs w:val="20"/>
          <w:bdr w:val="none" w:sz="0" w:space="0" w:color="auto"/>
        </w:rPr>
        <w:t>.</w:t>
      </w:r>
    </w:p>
    <w:p w14:paraId="03B32240" w14:textId="77777777" w:rsidR="007E6E00" w:rsidRDefault="007E6E00" w:rsidP="007E6E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7B9A3BDB" w14:textId="530DE2A0" w:rsidR="007E6E00" w:rsidRPr="007E6E00" w:rsidRDefault="007E6E00" w:rsidP="007E6E00">
      <w:pPr>
        <w:rPr>
          <w:rFonts w:asciiTheme="majorHAnsi" w:hAnsiTheme="majorHAnsi"/>
          <w:sz w:val="20"/>
          <w:szCs w:val="20"/>
        </w:rPr>
      </w:pPr>
      <w:r>
        <w:rPr>
          <w:rFonts w:asciiTheme="majorHAnsi" w:hAnsiTheme="majorHAnsi"/>
          <w:sz w:val="20"/>
          <w:szCs w:val="20"/>
        </w:rPr>
        <w:br w:type="page"/>
      </w:r>
    </w:p>
    <w:p w14:paraId="1C80CA24" w14:textId="77777777" w:rsidR="007E6E00" w:rsidRDefault="007E6E00" w:rsidP="007E6E00">
      <w:pPr>
        <w:rPr>
          <w:rFonts w:asciiTheme="majorHAnsi" w:hAnsiTheme="majorHAnsi" w:cs="Calibri"/>
          <w:b/>
          <w:sz w:val="20"/>
          <w:szCs w:val="20"/>
        </w:rPr>
      </w:pPr>
    </w:p>
    <w:p w14:paraId="2B0F42E3" w14:textId="5EDCA1C5" w:rsidR="00740D06" w:rsidRPr="001279A2" w:rsidRDefault="00740D06" w:rsidP="005F0FFE">
      <w:pPr>
        <w:jc w:val="center"/>
        <w:rPr>
          <w:rFonts w:asciiTheme="majorHAnsi" w:hAnsiTheme="majorHAnsi" w:cs="Calibri"/>
          <w:b/>
          <w:sz w:val="20"/>
          <w:szCs w:val="20"/>
        </w:rPr>
      </w:pPr>
      <w:r w:rsidRPr="001279A2">
        <w:rPr>
          <w:rFonts w:asciiTheme="majorHAnsi" w:hAnsiTheme="majorHAnsi" w:cs="Calibri"/>
          <w:b/>
          <w:sz w:val="20"/>
          <w:szCs w:val="20"/>
        </w:rPr>
        <w:t>Annex</w:t>
      </w:r>
    </w:p>
    <w:p w14:paraId="0385D4DC" w14:textId="437B3361" w:rsidR="00740D06" w:rsidRPr="001279A2" w:rsidRDefault="00740D06" w:rsidP="00740D06">
      <w:pPr>
        <w:jc w:val="center"/>
        <w:rPr>
          <w:rFonts w:asciiTheme="majorHAnsi" w:hAnsiTheme="majorHAnsi" w:cs="Calibri"/>
          <w:b/>
          <w:sz w:val="20"/>
          <w:szCs w:val="20"/>
        </w:rPr>
      </w:pPr>
      <w:r w:rsidRPr="001279A2">
        <w:rPr>
          <w:rFonts w:asciiTheme="majorHAnsi" w:hAnsiTheme="majorHAnsi" w:cs="Calibri"/>
          <w:b/>
          <w:sz w:val="20"/>
          <w:szCs w:val="20"/>
        </w:rPr>
        <w:t>List of alleged victims</w:t>
      </w:r>
    </w:p>
    <w:p w14:paraId="4043BFF5" w14:textId="77777777" w:rsidR="00740D06" w:rsidRPr="001279A2" w:rsidRDefault="00740D06" w:rsidP="00740D06">
      <w:pPr>
        <w:jc w:val="center"/>
        <w:rPr>
          <w:rFonts w:asciiTheme="majorHAnsi" w:hAnsiTheme="majorHAnsi" w:cs="Calibri"/>
          <w:b/>
          <w:sz w:val="20"/>
          <w:szCs w:val="20"/>
        </w:rPr>
      </w:pPr>
    </w:p>
    <w:p w14:paraId="0227F126"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Alfonso Lugo</w:t>
      </w:r>
    </w:p>
    <w:p w14:paraId="515AFBCC"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Alirio Gutiérrez Guarnizo</w:t>
      </w:r>
    </w:p>
    <w:p w14:paraId="2A7A9568"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Alirio Saldaña Cruz</w:t>
      </w:r>
    </w:p>
    <w:p w14:paraId="3BC28E86"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Benjamín Torres</w:t>
      </w:r>
    </w:p>
    <w:p w14:paraId="31E2790E"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Cornelio Ávila Castañeda</w:t>
      </w:r>
    </w:p>
    <w:p w14:paraId="584AE7C6"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Doris Yaneth Alape Reyes</w:t>
      </w:r>
    </w:p>
    <w:p w14:paraId="4CAA8107"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Edwin Lugo</w:t>
      </w:r>
    </w:p>
    <w:p w14:paraId="4424CB2D"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Esther Myriam Mejía de Otálvaro</w:t>
      </w:r>
    </w:p>
    <w:p w14:paraId="52934AD3"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Evangelista Torres Peralta</w:t>
      </w:r>
    </w:p>
    <w:p w14:paraId="77AA5372"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Ferney Avendaño Lugo</w:t>
      </w:r>
    </w:p>
    <w:p w14:paraId="5C50319A"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Fidel Amado Ríos</w:t>
      </w:r>
    </w:p>
    <w:p w14:paraId="0B8BBE16"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Gloria María Sánchez Castrillón</w:t>
      </w:r>
    </w:p>
    <w:p w14:paraId="0B07FD01"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Harvey Díaz Méndez</w:t>
      </w:r>
    </w:p>
    <w:p w14:paraId="4C81CCE1"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Henry García Ducuara</w:t>
      </w:r>
    </w:p>
    <w:p w14:paraId="2A9DB273"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Henry Torres</w:t>
      </w:r>
    </w:p>
    <w:p w14:paraId="7ED3B007" w14:textId="04167BEC" w:rsidR="00740D06" w:rsidRPr="003C7A2F" w:rsidRDefault="00740D06" w:rsidP="00740D06">
      <w:pPr>
        <w:pStyle w:val="ListParagraph"/>
        <w:numPr>
          <w:ilvl w:val="0"/>
          <w:numId w:val="107"/>
        </w:numPr>
        <w:jc w:val="both"/>
        <w:rPr>
          <w:rFonts w:asciiTheme="majorHAnsi" w:hAnsiTheme="majorHAnsi" w:cs="Calibri"/>
          <w:sz w:val="20"/>
          <w:szCs w:val="20"/>
          <w:lang w:val="it-IT"/>
        </w:rPr>
      </w:pPr>
      <w:r w:rsidRPr="003C7A2F">
        <w:rPr>
          <w:rFonts w:asciiTheme="majorHAnsi" w:hAnsiTheme="majorHAnsi" w:cs="Calibri"/>
          <w:sz w:val="20"/>
          <w:szCs w:val="20"/>
          <w:lang w:val="it-IT"/>
        </w:rPr>
        <w:t>Jessika Paola Avendaño Alape (girl)</w:t>
      </w:r>
    </w:p>
    <w:p w14:paraId="1A14FCF9"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Jesús María González</w:t>
      </w:r>
    </w:p>
    <w:p w14:paraId="32399CD2"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Joaquín Méndez Arce</w:t>
      </w:r>
    </w:p>
    <w:p w14:paraId="6741FF40"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Jorge Velásquez</w:t>
      </w:r>
    </w:p>
    <w:p w14:paraId="69EA27B8"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José David Ortiz Campos</w:t>
      </w:r>
    </w:p>
    <w:p w14:paraId="5702A625"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José Gabriel Totena</w:t>
      </w:r>
    </w:p>
    <w:p w14:paraId="1BACAD4A"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José Heriberto Váquiro</w:t>
      </w:r>
    </w:p>
    <w:p w14:paraId="4A80AD2D"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José Leónidas Campos</w:t>
      </w:r>
    </w:p>
    <w:p w14:paraId="45806127"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José Leovigildo Rodríguez</w:t>
      </w:r>
    </w:p>
    <w:p w14:paraId="691BEBC8"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José Vicente Pinilla</w:t>
      </w:r>
    </w:p>
    <w:p w14:paraId="6F3156F5"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Laudith Janeth Rodríguez</w:t>
      </w:r>
    </w:p>
    <w:p w14:paraId="52E1E625"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Manuel Alfonso Morales Loaiza</w:t>
      </w:r>
    </w:p>
    <w:p w14:paraId="3F46FE12"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Martha Inés Ortiz Campos</w:t>
      </w:r>
    </w:p>
    <w:p w14:paraId="218DD035"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Miguel Antonio Malagón</w:t>
      </w:r>
    </w:p>
    <w:p w14:paraId="587948A9"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Nelson Alberto Rojas Silva</w:t>
      </w:r>
    </w:p>
    <w:p w14:paraId="3FE55935"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Olegario Morales</w:t>
      </w:r>
    </w:p>
    <w:p w14:paraId="5C9C099D"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Pedro Jiménez</w:t>
      </w:r>
    </w:p>
    <w:p w14:paraId="6929B130"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Rosa María Ochoa</w:t>
      </w:r>
    </w:p>
    <w:p w14:paraId="7F7F6084"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Rosendo Cruz</w:t>
      </w:r>
    </w:p>
    <w:p w14:paraId="54A69F3D"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Saan Maceto</w:t>
      </w:r>
    </w:p>
    <w:p w14:paraId="1737C798"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Tiberio Caicedo</w:t>
      </w:r>
    </w:p>
    <w:p w14:paraId="51F0E34A"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Trinidad Váquiro</w:t>
      </w:r>
    </w:p>
    <w:p w14:paraId="214C7C41" w14:textId="30C33216"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Wilmer Andres Avendaño Alape (boy)</w:t>
      </w:r>
    </w:p>
    <w:p w14:paraId="0E479272" w14:textId="77777777" w:rsidR="00740D06" w:rsidRPr="001279A2" w:rsidRDefault="00740D06" w:rsidP="00740D06">
      <w:pPr>
        <w:pStyle w:val="ListParagraph"/>
        <w:numPr>
          <w:ilvl w:val="0"/>
          <w:numId w:val="107"/>
        </w:numPr>
        <w:jc w:val="both"/>
        <w:rPr>
          <w:rFonts w:asciiTheme="majorHAnsi" w:hAnsiTheme="majorHAnsi" w:cs="Calibri"/>
          <w:sz w:val="20"/>
          <w:szCs w:val="20"/>
        </w:rPr>
      </w:pPr>
      <w:r w:rsidRPr="001279A2">
        <w:rPr>
          <w:rFonts w:asciiTheme="majorHAnsi" w:hAnsiTheme="majorHAnsi" w:cs="Calibri"/>
          <w:sz w:val="20"/>
          <w:szCs w:val="20"/>
        </w:rPr>
        <w:t>Yesid Rúgeles Sánchez</w:t>
      </w:r>
    </w:p>
    <w:p w14:paraId="1C3C06C3" w14:textId="77777777" w:rsidR="00C55560" w:rsidRPr="001279A2" w:rsidRDefault="00C55560" w:rsidP="00230163">
      <w:pPr>
        <w:tabs>
          <w:tab w:val="left" w:pos="2820"/>
        </w:tabs>
        <w:suppressAutoHyphens/>
        <w:spacing w:line="276" w:lineRule="auto"/>
        <w:rPr>
          <w:rFonts w:asciiTheme="majorHAnsi" w:hAnsiTheme="majorHAnsi"/>
          <w:sz w:val="20"/>
          <w:szCs w:val="20"/>
        </w:rPr>
      </w:pPr>
    </w:p>
    <w:sectPr w:rsidR="00C55560" w:rsidRPr="001279A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59445" w14:textId="77777777" w:rsidR="00441EFB" w:rsidRDefault="00441EFB" w:rsidP="00036A8A">
      <w:r>
        <w:separator/>
      </w:r>
    </w:p>
  </w:endnote>
  <w:endnote w:type="continuationSeparator" w:id="0">
    <w:p w14:paraId="0E354CC0" w14:textId="77777777" w:rsidR="00441EFB" w:rsidRDefault="00441EF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2057" w14:textId="77777777" w:rsidR="00893291" w:rsidRDefault="008932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0759B2" w:rsidRPr="006311DA" w:rsidRDefault="000759B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93291">
          <w:rPr>
            <w:noProof/>
            <w:sz w:val="16"/>
          </w:rPr>
          <w:t>1</w:t>
        </w:r>
        <w:r w:rsidRPr="006311DA">
          <w:rPr>
            <w:noProof/>
            <w:sz w:val="16"/>
          </w:rPr>
          <w:fldChar w:fldCharType="end"/>
        </w:r>
      </w:p>
    </w:sdtContent>
  </w:sdt>
  <w:p w14:paraId="767961CB" w14:textId="77777777" w:rsidR="000759B2" w:rsidRDefault="000759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0759B2" w:rsidRDefault="000759B2">
    <w:pPr>
      <w:pStyle w:val="Footer"/>
      <w:jc w:val="center"/>
    </w:pPr>
  </w:p>
  <w:p w14:paraId="2699B8C1" w14:textId="77777777" w:rsidR="000759B2" w:rsidRDefault="00075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8C3C2" w14:textId="77777777" w:rsidR="00441EFB" w:rsidRPr="00036A8A" w:rsidRDefault="00441EF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B056CBE" w14:textId="77777777" w:rsidR="00441EFB" w:rsidRPr="00036A8A" w:rsidRDefault="00441EFB" w:rsidP="00036A8A">
      <w:pPr>
        <w:rPr>
          <w:rFonts w:asciiTheme="majorHAnsi" w:hAnsiTheme="majorHAnsi"/>
          <w:sz w:val="16"/>
          <w:szCs w:val="16"/>
        </w:rPr>
      </w:pPr>
      <w:r w:rsidRPr="00036A8A">
        <w:rPr>
          <w:rFonts w:asciiTheme="majorHAnsi" w:hAnsiTheme="majorHAnsi"/>
          <w:sz w:val="16"/>
          <w:szCs w:val="16"/>
        </w:rPr>
        <w:separator/>
      </w:r>
    </w:p>
    <w:p w14:paraId="7A29A304" w14:textId="77777777" w:rsidR="00441EFB" w:rsidRPr="00036A8A" w:rsidRDefault="00441EF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6CF260F" w14:textId="77777777" w:rsidR="00441EFB" w:rsidRPr="0093441A" w:rsidRDefault="00441EF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48A1AC5" w14:textId="7AE86D8D" w:rsidR="000759B2" w:rsidRPr="00814062" w:rsidRDefault="000759B2" w:rsidP="00DB6AFA">
      <w:pPr>
        <w:pStyle w:val="FootnoteText"/>
        <w:ind w:firstLine="709"/>
        <w:jc w:val="both"/>
      </w:pPr>
      <w:r w:rsidRPr="007A268D">
        <w:rPr>
          <w:rStyle w:val="FootnoteReference"/>
          <w:rFonts w:ascii="Cambria" w:hAnsi="Cambria"/>
          <w:sz w:val="16"/>
        </w:rPr>
        <w:footnoteRef/>
      </w:r>
      <w:r w:rsidRPr="007A268D">
        <w:rPr>
          <w:sz w:val="16"/>
        </w:rPr>
        <w:t xml:space="preserve"> </w:t>
      </w:r>
      <w:r w:rsidRPr="0002753C">
        <w:rPr>
          <w:rFonts w:asciiTheme="majorHAnsi" w:hAnsiTheme="majorHAnsi"/>
          <w:sz w:val="16"/>
          <w:szCs w:val="16"/>
          <w:lang w:val="en-GB"/>
        </w:rPr>
        <w:t>Pursuant to</w:t>
      </w:r>
      <w:r>
        <w:rPr>
          <w:rFonts w:asciiTheme="majorHAnsi" w:hAnsiTheme="majorHAnsi"/>
          <w:sz w:val="16"/>
          <w:szCs w:val="16"/>
          <w:lang w:val="en-GB"/>
        </w:rPr>
        <w:t xml:space="preserve"> the</w:t>
      </w:r>
      <w:r w:rsidRPr="0002753C">
        <w:rPr>
          <w:rFonts w:asciiTheme="majorHAnsi" w:hAnsiTheme="majorHAnsi"/>
          <w:sz w:val="16"/>
          <w:szCs w:val="16"/>
          <w:lang w:val="en-GB"/>
        </w:rPr>
        <w:t xml:space="preserve"> provision</w:t>
      </w:r>
      <w:r>
        <w:rPr>
          <w:rFonts w:asciiTheme="majorHAnsi" w:hAnsiTheme="majorHAnsi"/>
          <w:sz w:val="16"/>
          <w:szCs w:val="16"/>
          <w:lang w:val="en-GB"/>
        </w:rPr>
        <w:t>s</w:t>
      </w:r>
      <w:r w:rsidRPr="0002753C">
        <w:rPr>
          <w:rFonts w:asciiTheme="majorHAnsi" w:hAnsiTheme="majorHAnsi"/>
          <w:sz w:val="16"/>
          <w:szCs w:val="16"/>
          <w:lang w:val="en-GB"/>
        </w:rPr>
        <w:t xml:space="preserve"> </w:t>
      </w:r>
      <w:r>
        <w:rPr>
          <w:rFonts w:asciiTheme="majorHAnsi" w:hAnsiTheme="majorHAnsi"/>
          <w:sz w:val="16"/>
          <w:szCs w:val="16"/>
          <w:lang w:val="en-GB"/>
        </w:rPr>
        <w:t>of</w:t>
      </w:r>
      <w:r w:rsidRPr="0002753C">
        <w:rPr>
          <w:rFonts w:asciiTheme="majorHAnsi" w:hAnsiTheme="majorHAnsi"/>
          <w:sz w:val="16"/>
          <w:szCs w:val="16"/>
          <w:lang w:val="en-GB"/>
        </w:rPr>
        <w:t xml:space="preserve"> Article 17.2.a of the IACHR Rules</w:t>
      </w:r>
      <w:r>
        <w:rPr>
          <w:rFonts w:asciiTheme="majorHAnsi" w:hAnsiTheme="majorHAnsi"/>
          <w:sz w:val="16"/>
          <w:szCs w:val="16"/>
          <w:lang w:val="en-GB"/>
        </w:rPr>
        <w:t xml:space="preserve"> of Procedure</w:t>
      </w:r>
      <w:r w:rsidRPr="0002753C">
        <w:rPr>
          <w:rFonts w:asciiTheme="majorHAnsi" w:hAnsiTheme="majorHAnsi"/>
          <w:sz w:val="16"/>
          <w:szCs w:val="16"/>
          <w:lang w:val="en-GB"/>
        </w:rPr>
        <w:t>, Commissioner Luis Ernes</w:t>
      </w:r>
      <w:r>
        <w:rPr>
          <w:rFonts w:asciiTheme="majorHAnsi" w:hAnsiTheme="majorHAnsi"/>
          <w:sz w:val="16"/>
          <w:szCs w:val="16"/>
          <w:lang w:val="en-GB"/>
        </w:rPr>
        <w:t>to</w:t>
      </w:r>
      <w:r w:rsidRPr="0002753C">
        <w:rPr>
          <w:rFonts w:asciiTheme="majorHAnsi" w:hAnsiTheme="majorHAnsi"/>
          <w:sz w:val="16"/>
          <w:szCs w:val="16"/>
          <w:lang w:val="en-GB"/>
        </w:rPr>
        <w:t xml:space="preserve"> Vargas Silva, a Colombian national, did not participate in the debate or the decision on this matter.</w:t>
      </w:r>
    </w:p>
  </w:footnote>
  <w:footnote w:id="3">
    <w:p w14:paraId="094D85CA" w14:textId="20C73149" w:rsidR="000759B2" w:rsidRPr="00043ED1" w:rsidRDefault="000759B2" w:rsidP="00DB6AFA">
      <w:pPr>
        <w:pStyle w:val="NoSpacing"/>
        <w:spacing w:before="120"/>
        <w:ind w:firstLine="720"/>
        <w:jc w:val="both"/>
        <w:rPr>
          <w:rFonts w:ascii="Cambria" w:hAnsi="Cambria"/>
          <w:sz w:val="16"/>
          <w:szCs w:val="16"/>
          <w:lang w:val="en-GB"/>
        </w:rPr>
      </w:pPr>
      <w:r w:rsidRPr="00DD222E">
        <w:rPr>
          <w:rStyle w:val="FootnoteReference"/>
          <w:rFonts w:ascii="Cambria" w:hAnsi="Cambria"/>
          <w:sz w:val="16"/>
          <w:szCs w:val="16"/>
        </w:rPr>
        <w:footnoteRef/>
      </w:r>
      <w:r w:rsidRPr="00043ED1">
        <w:rPr>
          <w:rFonts w:ascii="Cambria" w:hAnsi="Cambria"/>
          <w:sz w:val="16"/>
          <w:szCs w:val="16"/>
          <w:lang w:val="en-GB"/>
        </w:rPr>
        <w:t xml:space="preserve"> This petition concerns 39 alleged victims who are individualized in </w:t>
      </w:r>
      <w:r>
        <w:rPr>
          <w:rFonts w:ascii="Cambria" w:hAnsi="Cambria"/>
          <w:sz w:val="16"/>
          <w:szCs w:val="16"/>
          <w:lang w:val="en-GB"/>
        </w:rPr>
        <w:t xml:space="preserve">the </w:t>
      </w:r>
      <w:r w:rsidRPr="00043ED1">
        <w:rPr>
          <w:rFonts w:ascii="Cambria" w:hAnsi="Cambria"/>
          <w:sz w:val="16"/>
          <w:szCs w:val="16"/>
          <w:lang w:val="en-GB"/>
        </w:rPr>
        <w:t>Annex</w:t>
      </w:r>
      <w:r>
        <w:rPr>
          <w:rFonts w:ascii="Cambria" w:hAnsi="Cambria"/>
          <w:sz w:val="16"/>
          <w:szCs w:val="16"/>
          <w:lang w:val="en-GB"/>
        </w:rPr>
        <w:t xml:space="preserve"> attached hereto.</w:t>
      </w:r>
    </w:p>
  </w:footnote>
  <w:footnote w:id="4">
    <w:p w14:paraId="2933CEAA" w14:textId="44EA0DB0" w:rsidR="000759B2" w:rsidRPr="00DF71F0" w:rsidRDefault="000759B2" w:rsidP="00DF71F0">
      <w:pPr>
        <w:pStyle w:val="FootnoteText"/>
        <w:spacing w:before="120"/>
        <w:ind w:firstLine="720"/>
        <w:jc w:val="both"/>
        <w:rPr>
          <w:rFonts w:ascii="Cambria" w:hAnsi="Cambria"/>
          <w:sz w:val="16"/>
          <w:szCs w:val="16"/>
          <w:lang w:val="en-GB"/>
        </w:rPr>
      </w:pPr>
      <w:r w:rsidRPr="00DD222E">
        <w:rPr>
          <w:rStyle w:val="FootnoteReference"/>
          <w:rFonts w:ascii="Cambria" w:hAnsi="Cambria"/>
          <w:sz w:val="16"/>
          <w:szCs w:val="16"/>
        </w:rPr>
        <w:footnoteRef/>
      </w:r>
      <w:r w:rsidRPr="00DF71F0">
        <w:rPr>
          <w:rFonts w:ascii="Cambria" w:hAnsi="Cambria"/>
          <w:sz w:val="16"/>
          <w:szCs w:val="16"/>
          <w:lang w:val="en-GB"/>
        </w:rPr>
        <w:t xml:space="preserve"> Hereinafter </w:t>
      </w:r>
      <w:r w:rsidR="00924785">
        <w:rPr>
          <w:rFonts w:ascii="Cambria" w:hAnsi="Cambria"/>
          <w:sz w:val="16"/>
          <w:szCs w:val="16"/>
          <w:lang w:val="en-GB"/>
        </w:rPr>
        <w:t>“</w:t>
      </w:r>
      <w:r w:rsidRPr="00DF71F0">
        <w:rPr>
          <w:rFonts w:ascii="Cambria" w:hAnsi="Cambria"/>
          <w:sz w:val="16"/>
          <w:szCs w:val="16"/>
          <w:lang w:val="en-GB"/>
        </w:rPr>
        <w:t>the Convention</w:t>
      </w:r>
      <w:r w:rsidR="00924785">
        <w:rPr>
          <w:rFonts w:ascii="Cambria" w:hAnsi="Cambria"/>
          <w:sz w:val="16"/>
          <w:szCs w:val="16"/>
          <w:lang w:val="en-GB"/>
        </w:rPr>
        <w:t>”</w:t>
      </w:r>
      <w:r w:rsidRPr="00DF71F0">
        <w:rPr>
          <w:rFonts w:ascii="Cambria" w:hAnsi="Cambria"/>
          <w:sz w:val="16"/>
          <w:szCs w:val="16"/>
          <w:lang w:val="en-GB"/>
        </w:rPr>
        <w:t xml:space="preserve"> or </w:t>
      </w:r>
      <w:r w:rsidR="00924785">
        <w:rPr>
          <w:rFonts w:ascii="Cambria" w:hAnsi="Cambria"/>
          <w:sz w:val="16"/>
          <w:szCs w:val="16"/>
          <w:lang w:val="en-GB"/>
        </w:rPr>
        <w:t>“</w:t>
      </w:r>
      <w:r w:rsidRPr="00DF71F0">
        <w:rPr>
          <w:rFonts w:ascii="Cambria" w:hAnsi="Cambria"/>
          <w:sz w:val="16"/>
          <w:szCs w:val="16"/>
          <w:lang w:val="en-GB"/>
        </w:rPr>
        <w:t>the American Convention.</w:t>
      </w:r>
      <w:r w:rsidR="00924785">
        <w:rPr>
          <w:rFonts w:ascii="Cambria" w:hAnsi="Cambria"/>
          <w:sz w:val="16"/>
          <w:szCs w:val="16"/>
          <w:lang w:val="en-GB"/>
        </w:rPr>
        <w:t>”</w:t>
      </w:r>
    </w:p>
  </w:footnote>
  <w:footnote w:id="5">
    <w:p w14:paraId="438C209B" w14:textId="38BE6B47" w:rsidR="000759B2" w:rsidRPr="00DF71F0" w:rsidRDefault="000759B2" w:rsidP="00DF71F0">
      <w:pPr>
        <w:spacing w:before="120"/>
        <w:ind w:firstLine="720"/>
        <w:jc w:val="both"/>
        <w:rPr>
          <w:rFonts w:ascii="Cambria" w:hAnsi="Cambria"/>
          <w:sz w:val="16"/>
          <w:szCs w:val="16"/>
          <w:lang w:val="en-GB"/>
        </w:rPr>
      </w:pPr>
      <w:r w:rsidRPr="00DD222E">
        <w:rPr>
          <w:rStyle w:val="FootnoteReference"/>
          <w:rFonts w:ascii="Cambria" w:hAnsi="Cambria"/>
          <w:sz w:val="16"/>
          <w:szCs w:val="16"/>
        </w:rPr>
        <w:footnoteRef/>
      </w:r>
      <w:r w:rsidRPr="00DF71F0">
        <w:rPr>
          <w:rFonts w:ascii="Cambria" w:hAnsi="Cambria"/>
          <w:sz w:val="16"/>
          <w:szCs w:val="16"/>
          <w:lang w:val="en-GB"/>
        </w:rPr>
        <w:t xml:space="preserve"> Hereinafter </w:t>
      </w:r>
      <w:r w:rsidR="00924785">
        <w:rPr>
          <w:rFonts w:ascii="Cambria" w:hAnsi="Cambria"/>
          <w:sz w:val="16"/>
          <w:szCs w:val="16"/>
          <w:lang w:val="en-GB"/>
        </w:rPr>
        <w:t>“</w:t>
      </w:r>
      <w:r w:rsidRPr="00DF71F0">
        <w:rPr>
          <w:rFonts w:ascii="Cambria" w:hAnsi="Cambria"/>
          <w:sz w:val="16"/>
          <w:szCs w:val="16"/>
          <w:lang w:val="en-GB"/>
        </w:rPr>
        <w:t>the Protocol of San Salvador.</w:t>
      </w:r>
      <w:r w:rsidR="00924785">
        <w:rPr>
          <w:rFonts w:ascii="Cambria" w:hAnsi="Cambria"/>
          <w:sz w:val="16"/>
          <w:szCs w:val="16"/>
          <w:lang w:val="en-GB"/>
        </w:rPr>
        <w:t>”</w:t>
      </w:r>
    </w:p>
  </w:footnote>
  <w:footnote w:id="6">
    <w:p w14:paraId="6F51BDAF" w14:textId="2FCEA3A6" w:rsidR="000759B2" w:rsidRPr="000B6B7A" w:rsidRDefault="000759B2" w:rsidP="00A10447">
      <w:pPr>
        <w:pStyle w:val="FootnoteText"/>
        <w:spacing w:before="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7">
    <w:p w14:paraId="744279DC" w14:textId="3412C57E" w:rsidR="000759B2" w:rsidRPr="002E05BB" w:rsidRDefault="000759B2" w:rsidP="00253E8B">
      <w:pPr>
        <w:pStyle w:val="FootnoteText"/>
        <w:ind w:firstLine="709"/>
        <w:jc w:val="both"/>
        <w:rPr>
          <w:rFonts w:ascii="Cambria" w:hAnsi="Cambria"/>
          <w:sz w:val="16"/>
        </w:rPr>
      </w:pPr>
      <w:r w:rsidRPr="002E05BB">
        <w:rPr>
          <w:rStyle w:val="FootnoteReference"/>
          <w:rFonts w:ascii="Cambria" w:hAnsi="Cambria"/>
          <w:sz w:val="16"/>
        </w:rPr>
        <w:footnoteRef/>
      </w:r>
      <w:r w:rsidRPr="002E05BB">
        <w:rPr>
          <w:rFonts w:ascii="Cambria" w:hAnsi="Cambria"/>
          <w:sz w:val="16"/>
        </w:rPr>
        <w:t xml:space="preserve"> </w:t>
      </w:r>
      <w:r w:rsidRPr="002E05BB">
        <w:rPr>
          <w:rStyle w:val="st"/>
          <w:rFonts w:ascii="Cambria" w:hAnsi="Cambria"/>
          <w:i/>
          <w:sz w:val="16"/>
        </w:rPr>
        <w:t>vereda</w:t>
      </w:r>
      <w:r>
        <w:rPr>
          <w:rStyle w:val="st"/>
          <w:rFonts w:ascii="Cambria" w:hAnsi="Cambria"/>
          <w:sz w:val="16"/>
        </w:rPr>
        <w:t>:</w:t>
      </w:r>
      <w:r w:rsidRPr="002E05BB">
        <w:rPr>
          <w:rStyle w:val="st"/>
          <w:rFonts w:ascii="Cambria" w:hAnsi="Cambria"/>
          <w:sz w:val="16"/>
        </w:rPr>
        <w:t xml:space="preserve"> an administrative subdivision of a municipality</w:t>
      </w:r>
      <w:r>
        <w:rPr>
          <w:rStyle w:val="st"/>
          <w:rFonts w:ascii="Cambria" w:hAnsi="Cambria"/>
          <w:sz w:val="16"/>
        </w:rPr>
        <w:t xml:space="preserve"> in Colombia. </w:t>
      </w:r>
    </w:p>
  </w:footnote>
  <w:footnote w:id="8">
    <w:p w14:paraId="01C6E975" w14:textId="77777777" w:rsidR="000759B2" w:rsidRPr="004437A8" w:rsidRDefault="000759B2" w:rsidP="00253E8B">
      <w:pPr>
        <w:suppressAutoHyphens/>
        <w:spacing w:before="120"/>
        <w:ind w:firstLine="720"/>
        <w:jc w:val="both"/>
        <w:rPr>
          <w:rFonts w:asciiTheme="majorHAnsi" w:hAnsiTheme="majorHAnsi"/>
          <w:sz w:val="16"/>
          <w:szCs w:val="16"/>
        </w:rPr>
      </w:pPr>
      <w:r w:rsidRPr="00F57BCC">
        <w:rPr>
          <w:rStyle w:val="FootnoteReference"/>
          <w:rFonts w:asciiTheme="majorHAnsi" w:hAnsiTheme="majorHAnsi"/>
          <w:sz w:val="16"/>
          <w:szCs w:val="16"/>
        </w:rPr>
        <w:footnoteRef/>
      </w:r>
      <w:r w:rsidRPr="004437A8">
        <w:rPr>
          <w:rFonts w:asciiTheme="majorHAnsi" w:hAnsiTheme="majorHAnsi"/>
          <w:sz w:val="16"/>
          <w:szCs w:val="16"/>
        </w:rPr>
        <w:t xml:space="preserve"> Tiberio Caicedo, Jesús María Gonzalez, Evangelista Torres Peralta, Joaquín Méndez Arce, Fidel Amado Ríos, Rosa María Ochoa, Alirio Saldaña Cruz, Nelson Alberto Rojas Silva, Martha Inés Ortiz Campos, José Gabriel Totena, José David Ortiz Campos, Ferney Avendaño Lugo, Yesid Rúgeles Sánchez </w:t>
      </w:r>
      <w:r>
        <w:rPr>
          <w:rFonts w:asciiTheme="majorHAnsi" w:hAnsiTheme="majorHAnsi"/>
          <w:sz w:val="16"/>
          <w:szCs w:val="16"/>
        </w:rPr>
        <w:t>and</w:t>
      </w:r>
      <w:r w:rsidRPr="004437A8">
        <w:rPr>
          <w:rFonts w:asciiTheme="majorHAnsi" w:hAnsiTheme="majorHAnsi"/>
          <w:sz w:val="16"/>
          <w:szCs w:val="16"/>
        </w:rPr>
        <w:t xml:space="preserve"> Olegario Morales.</w:t>
      </w:r>
    </w:p>
  </w:footnote>
  <w:footnote w:id="9">
    <w:p w14:paraId="72677F1A" w14:textId="6E88F376" w:rsidR="000759B2" w:rsidRPr="00483314" w:rsidRDefault="000759B2" w:rsidP="00253E8B">
      <w:pPr>
        <w:pStyle w:val="FootnoteText"/>
        <w:spacing w:before="120"/>
        <w:ind w:firstLine="720"/>
        <w:jc w:val="both"/>
        <w:rPr>
          <w:rFonts w:asciiTheme="majorHAnsi" w:hAnsiTheme="majorHAnsi"/>
          <w:sz w:val="16"/>
          <w:szCs w:val="16"/>
        </w:rPr>
      </w:pPr>
      <w:r w:rsidRPr="006470A3">
        <w:rPr>
          <w:rStyle w:val="FootnoteReference"/>
          <w:rFonts w:asciiTheme="majorHAnsi" w:hAnsiTheme="majorHAnsi"/>
          <w:sz w:val="16"/>
        </w:rPr>
        <w:footnoteRef/>
      </w:r>
      <w:r w:rsidRPr="00483314">
        <w:rPr>
          <w:rFonts w:asciiTheme="majorHAnsi" w:hAnsiTheme="majorHAnsi"/>
          <w:sz w:val="16"/>
        </w:rPr>
        <w:t xml:space="preserve">  </w:t>
      </w:r>
      <w:r w:rsidRPr="00483314">
        <w:rPr>
          <w:rFonts w:asciiTheme="majorHAnsi" w:hAnsiTheme="majorHAnsi"/>
          <w:sz w:val="16"/>
          <w:szCs w:val="16"/>
        </w:rPr>
        <w:t>Tiberio Caicedo, Jesús Maria González, Evangelista Torres Peralta, Martha Inés Ortiz Campos, Joaquín Méndez Arce and Fidel Amado Ríos.</w:t>
      </w:r>
    </w:p>
  </w:footnote>
  <w:footnote w:id="10">
    <w:p w14:paraId="5D0643C4" w14:textId="121FE163" w:rsidR="000759B2" w:rsidRPr="00483314" w:rsidRDefault="000759B2" w:rsidP="00253E8B">
      <w:pPr>
        <w:pStyle w:val="FootnoteText"/>
        <w:spacing w:before="120"/>
        <w:ind w:firstLine="720"/>
        <w:jc w:val="both"/>
        <w:rPr>
          <w:rFonts w:asciiTheme="majorHAnsi" w:hAnsiTheme="majorHAnsi"/>
        </w:rPr>
      </w:pPr>
      <w:r w:rsidRPr="006470A3">
        <w:rPr>
          <w:rStyle w:val="FootnoteReference"/>
          <w:rFonts w:asciiTheme="majorHAnsi" w:hAnsiTheme="majorHAnsi"/>
          <w:sz w:val="16"/>
          <w:szCs w:val="16"/>
        </w:rPr>
        <w:footnoteRef/>
      </w:r>
      <w:r w:rsidRPr="00483314">
        <w:rPr>
          <w:rFonts w:asciiTheme="majorHAnsi" w:hAnsiTheme="majorHAnsi"/>
          <w:sz w:val="16"/>
          <w:szCs w:val="16"/>
        </w:rPr>
        <w:t xml:space="preserve"> Rosa María Ochoa, Alirio Saldaña Cruz, Nelson Alberto Rojas, José Gabriel Totena, José David Ortiz, Yesid Rúgeles Sanchez, Olegario Morales, Ferney Avendaño Lugo, Doris Yaneth Alape Reyes </w:t>
      </w:r>
      <w:r>
        <w:rPr>
          <w:rFonts w:asciiTheme="majorHAnsi" w:hAnsiTheme="majorHAnsi"/>
          <w:sz w:val="16"/>
          <w:szCs w:val="16"/>
        </w:rPr>
        <w:t>and the two children</w:t>
      </w:r>
      <w:r w:rsidRPr="00483314">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759B2" w:rsidRDefault="000759B2" w:rsidP="000759B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759B2" w:rsidRDefault="00075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0759B2" w:rsidRDefault="000759B2"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759B2" w:rsidRPr="00EC7D62" w:rsidRDefault="00441EF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BA45D" w14:textId="77777777" w:rsidR="00893291" w:rsidRDefault="00893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6228F0"/>
    <w:multiLevelType w:val="hybridMultilevel"/>
    <w:tmpl w:val="1B00361A"/>
    <w:lvl w:ilvl="0" w:tplc="0C5436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F19"/>
    <w:rsid w:val="000070D7"/>
    <w:rsid w:val="000111A8"/>
    <w:rsid w:val="000117D3"/>
    <w:rsid w:val="00012E01"/>
    <w:rsid w:val="0001788C"/>
    <w:rsid w:val="00017939"/>
    <w:rsid w:val="00022CF5"/>
    <w:rsid w:val="0003379B"/>
    <w:rsid w:val="00036A8A"/>
    <w:rsid w:val="00040C3A"/>
    <w:rsid w:val="0004370B"/>
    <w:rsid w:val="00043ED1"/>
    <w:rsid w:val="00044493"/>
    <w:rsid w:val="00056F49"/>
    <w:rsid w:val="000639C0"/>
    <w:rsid w:val="00070F3A"/>
    <w:rsid w:val="000716C5"/>
    <w:rsid w:val="000725B2"/>
    <w:rsid w:val="000759B2"/>
    <w:rsid w:val="00075E23"/>
    <w:rsid w:val="00092F32"/>
    <w:rsid w:val="0009344A"/>
    <w:rsid w:val="00097BD5"/>
    <w:rsid w:val="000A575F"/>
    <w:rsid w:val="000A6F94"/>
    <w:rsid w:val="000C4365"/>
    <w:rsid w:val="000C6938"/>
    <w:rsid w:val="000D10DB"/>
    <w:rsid w:val="000D1955"/>
    <w:rsid w:val="000D4576"/>
    <w:rsid w:val="000F257E"/>
    <w:rsid w:val="00116638"/>
    <w:rsid w:val="00124116"/>
    <w:rsid w:val="001279A2"/>
    <w:rsid w:val="0013104F"/>
    <w:rsid w:val="00137EBA"/>
    <w:rsid w:val="00142973"/>
    <w:rsid w:val="0014431B"/>
    <w:rsid w:val="00145EDC"/>
    <w:rsid w:val="00153084"/>
    <w:rsid w:val="00153568"/>
    <w:rsid w:val="00153774"/>
    <w:rsid w:val="00167A34"/>
    <w:rsid w:val="001714B4"/>
    <w:rsid w:val="00176659"/>
    <w:rsid w:val="0018037F"/>
    <w:rsid w:val="001A169A"/>
    <w:rsid w:val="001A5F27"/>
    <w:rsid w:val="001A65E4"/>
    <w:rsid w:val="001A7870"/>
    <w:rsid w:val="001C08A2"/>
    <w:rsid w:val="001C1B41"/>
    <w:rsid w:val="001D0DFB"/>
    <w:rsid w:val="001D7BD9"/>
    <w:rsid w:val="001D7FE7"/>
    <w:rsid w:val="001E366B"/>
    <w:rsid w:val="001F0F9D"/>
    <w:rsid w:val="001F6A2B"/>
    <w:rsid w:val="00206775"/>
    <w:rsid w:val="00210E0E"/>
    <w:rsid w:val="002158C3"/>
    <w:rsid w:val="00227187"/>
    <w:rsid w:val="00230163"/>
    <w:rsid w:val="002305F1"/>
    <w:rsid w:val="00232CE5"/>
    <w:rsid w:val="00247403"/>
    <w:rsid w:val="00247523"/>
    <w:rsid w:val="00247542"/>
    <w:rsid w:val="00253E8B"/>
    <w:rsid w:val="00254F37"/>
    <w:rsid w:val="00257893"/>
    <w:rsid w:val="00266092"/>
    <w:rsid w:val="00266B61"/>
    <w:rsid w:val="0026712A"/>
    <w:rsid w:val="002704DB"/>
    <w:rsid w:val="00272A2F"/>
    <w:rsid w:val="002760CE"/>
    <w:rsid w:val="00283505"/>
    <w:rsid w:val="00287B7D"/>
    <w:rsid w:val="002912B9"/>
    <w:rsid w:val="00294DB7"/>
    <w:rsid w:val="002B7A85"/>
    <w:rsid w:val="002C0942"/>
    <w:rsid w:val="002C1641"/>
    <w:rsid w:val="002C72A2"/>
    <w:rsid w:val="002D7EA2"/>
    <w:rsid w:val="002E05BB"/>
    <w:rsid w:val="002E15DF"/>
    <w:rsid w:val="002E187C"/>
    <w:rsid w:val="002E6E57"/>
    <w:rsid w:val="00301075"/>
    <w:rsid w:val="00302733"/>
    <w:rsid w:val="00311A4F"/>
    <w:rsid w:val="00314078"/>
    <w:rsid w:val="00322450"/>
    <w:rsid w:val="003224B5"/>
    <w:rsid w:val="003246B5"/>
    <w:rsid w:val="0033169F"/>
    <w:rsid w:val="00332AEE"/>
    <w:rsid w:val="0033479B"/>
    <w:rsid w:val="003414AC"/>
    <w:rsid w:val="00343220"/>
    <w:rsid w:val="00343940"/>
    <w:rsid w:val="003462B0"/>
    <w:rsid w:val="00356185"/>
    <w:rsid w:val="00360380"/>
    <w:rsid w:val="00372FA2"/>
    <w:rsid w:val="00386CF0"/>
    <w:rsid w:val="00386F77"/>
    <w:rsid w:val="003940D9"/>
    <w:rsid w:val="003A4348"/>
    <w:rsid w:val="003B4E97"/>
    <w:rsid w:val="003B6A95"/>
    <w:rsid w:val="003C0274"/>
    <w:rsid w:val="003C32BC"/>
    <w:rsid w:val="003C3FA4"/>
    <w:rsid w:val="003C7A2F"/>
    <w:rsid w:val="003E3E03"/>
    <w:rsid w:val="003F1BBF"/>
    <w:rsid w:val="004162B1"/>
    <w:rsid w:val="004165C2"/>
    <w:rsid w:val="0042157E"/>
    <w:rsid w:val="00441EFB"/>
    <w:rsid w:val="004437A8"/>
    <w:rsid w:val="00443CE5"/>
    <w:rsid w:val="00450A4A"/>
    <w:rsid w:val="004666FB"/>
    <w:rsid w:val="00466D0B"/>
    <w:rsid w:val="00467B7E"/>
    <w:rsid w:val="00475CAC"/>
    <w:rsid w:val="0048172F"/>
    <w:rsid w:val="00483314"/>
    <w:rsid w:val="0049419D"/>
    <w:rsid w:val="00496E2A"/>
    <w:rsid w:val="004A1904"/>
    <w:rsid w:val="004B0009"/>
    <w:rsid w:val="004B2762"/>
    <w:rsid w:val="004B35FF"/>
    <w:rsid w:val="004B7EB6"/>
    <w:rsid w:val="004C41DE"/>
    <w:rsid w:val="004C4B62"/>
    <w:rsid w:val="004C770B"/>
    <w:rsid w:val="004D43A9"/>
    <w:rsid w:val="004D6025"/>
    <w:rsid w:val="004D72BC"/>
    <w:rsid w:val="004F6B67"/>
    <w:rsid w:val="00501399"/>
    <w:rsid w:val="00507BC4"/>
    <w:rsid w:val="005128E4"/>
    <w:rsid w:val="00525560"/>
    <w:rsid w:val="00533B1A"/>
    <w:rsid w:val="005357A6"/>
    <w:rsid w:val="00544C49"/>
    <w:rsid w:val="00556026"/>
    <w:rsid w:val="0057402A"/>
    <w:rsid w:val="005771D0"/>
    <w:rsid w:val="0059191A"/>
    <w:rsid w:val="005921FF"/>
    <w:rsid w:val="00592718"/>
    <w:rsid w:val="005A6D0E"/>
    <w:rsid w:val="005B222D"/>
    <w:rsid w:val="005B52B0"/>
    <w:rsid w:val="005B5FDC"/>
    <w:rsid w:val="005B6806"/>
    <w:rsid w:val="005C00F9"/>
    <w:rsid w:val="005C34A2"/>
    <w:rsid w:val="005C4225"/>
    <w:rsid w:val="005C568F"/>
    <w:rsid w:val="005F0F33"/>
    <w:rsid w:val="005F0FFE"/>
    <w:rsid w:val="005F13A3"/>
    <w:rsid w:val="00600DEB"/>
    <w:rsid w:val="00613027"/>
    <w:rsid w:val="00623FA1"/>
    <w:rsid w:val="0062716B"/>
    <w:rsid w:val="00627C9F"/>
    <w:rsid w:val="006311DA"/>
    <w:rsid w:val="006311E9"/>
    <w:rsid w:val="006318B2"/>
    <w:rsid w:val="00632354"/>
    <w:rsid w:val="00642810"/>
    <w:rsid w:val="006449EE"/>
    <w:rsid w:val="00652333"/>
    <w:rsid w:val="00653EA6"/>
    <w:rsid w:val="00660221"/>
    <w:rsid w:val="00661DF4"/>
    <w:rsid w:val="00664DB8"/>
    <w:rsid w:val="00667302"/>
    <w:rsid w:val="00676147"/>
    <w:rsid w:val="0068009E"/>
    <w:rsid w:val="00684E77"/>
    <w:rsid w:val="006953DF"/>
    <w:rsid w:val="006A17D2"/>
    <w:rsid w:val="006A73E6"/>
    <w:rsid w:val="006B2D5C"/>
    <w:rsid w:val="006C4EB1"/>
    <w:rsid w:val="006D4707"/>
    <w:rsid w:val="006E0166"/>
    <w:rsid w:val="006E7B34"/>
    <w:rsid w:val="006F58BE"/>
    <w:rsid w:val="006F6F63"/>
    <w:rsid w:val="00701B24"/>
    <w:rsid w:val="0071495F"/>
    <w:rsid w:val="00733DEE"/>
    <w:rsid w:val="00734792"/>
    <w:rsid w:val="0073798E"/>
    <w:rsid w:val="00740D06"/>
    <w:rsid w:val="007443D0"/>
    <w:rsid w:val="00745899"/>
    <w:rsid w:val="0075168F"/>
    <w:rsid w:val="007607C4"/>
    <w:rsid w:val="0076643F"/>
    <w:rsid w:val="00766F11"/>
    <w:rsid w:val="00770D0F"/>
    <w:rsid w:val="00781653"/>
    <w:rsid w:val="007A268D"/>
    <w:rsid w:val="007A2F70"/>
    <w:rsid w:val="007C3334"/>
    <w:rsid w:val="007C52BB"/>
    <w:rsid w:val="007D26A5"/>
    <w:rsid w:val="007D2B98"/>
    <w:rsid w:val="007E1189"/>
    <w:rsid w:val="007E3D98"/>
    <w:rsid w:val="007E4BBC"/>
    <w:rsid w:val="007E6E00"/>
    <w:rsid w:val="00803F1C"/>
    <w:rsid w:val="0080600E"/>
    <w:rsid w:val="00810FF3"/>
    <w:rsid w:val="00814062"/>
    <w:rsid w:val="00817612"/>
    <w:rsid w:val="00822932"/>
    <w:rsid w:val="008357F4"/>
    <w:rsid w:val="00837C45"/>
    <w:rsid w:val="00852191"/>
    <w:rsid w:val="00853419"/>
    <w:rsid w:val="00857E04"/>
    <w:rsid w:val="008805A3"/>
    <w:rsid w:val="00887CB1"/>
    <w:rsid w:val="00893291"/>
    <w:rsid w:val="00897E12"/>
    <w:rsid w:val="008D43BA"/>
    <w:rsid w:val="008E3759"/>
    <w:rsid w:val="008F1676"/>
    <w:rsid w:val="009041DC"/>
    <w:rsid w:val="009104B4"/>
    <w:rsid w:val="009228DA"/>
    <w:rsid w:val="00924785"/>
    <w:rsid w:val="00925FCD"/>
    <w:rsid w:val="0093441A"/>
    <w:rsid w:val="009402BA"/>
    <w:rsid w:val="00954295"/>
    <w:rsid w:val="00954BF7"/>
    <w:rsid w:val="00960D2E"/>
    <w:rsid w:val="0096706E"/>
    <w:rsid w:val="00981FBA"/>
    <w:rsid w:val="0098234E"/>
    <w:rsid w:val="009968B3"/>
    <w:rsid w:val="009A2E92"/>
    <w:rsid w:val="009B26EC"/>
    <w:rsid w:val="009B381B"/>
    <w:rsid w:val="009C6187"/>
    <w:rsid w:val="009C7221"/>
    <w:rsid w:val="009D5D6F"/>
    <w:rsid w:val="009D7611"/>
    <w:rsid w:val="009E53DE"/>
    <w:rsid w:val="009E566A"/>
    <w:rsid w:val="009F20BB"/>
    <w:rsid w:val="00A10447"/>
    <w:rsid w:val="00A12249"/>
    <w:rsid w:val="00A12DBC"/>
    <w:rsid w:val="00A43458"/>
    <w:rsid w:val="00A43C83"/>
    <w:rsid w:val="00A528D1"/>
    <w:rsid w:val="00A66BE5"/>
    <w:rsid w:val="00A718B1"/>
    <w:rsid w:val="00A8690D"/>
    <w:rsid w:val="00A9185B"/>
    <w:rsid w:val="00AA5FE0"/>
    <w:rsid w:val="00AC2336"/>
    <w:rsid w:val="00AC52CC"/>
    <w:rsid w:val="00AD37C1"/>
    <w:rsid w:val="00AD7E66"/>
    <w:rsid w:val="00AD7F87"/>
    <w:rsid w:val="00AE66EC"/>
    <w:rsid w:val="00AE6F91"/>
    <w:rsid w:val="00AF279A"/>
    <w:rsid w:val="00AF5571"/>
    <w:rsid w:val="00B03359"/>
    <w:rsid w:val="00B167E9"/>
    <w:rsid w:val="00B179ED"/>
    <w:rsid w:val="00B20B47"/>
    <w:rsid w:val="00B314DB"/>
    <w:rsid w:val="00B31EBE"/>
    <w:rsid w:val="00B3718B"/>
    <w:rsid w:val="00B37AE6"/>
    <w:rsid w:val="00B44B23"/>
    <w:rsid w:val="00B4632A"/>
    <w:rsid w:val="00B51771"/>
    <w:rsid w:val="00B92E49"/>
    <w:rsid w:val="00B976B4"/>
    <w:rsid w:val="00BA276C"/>
    <w:rsid w:val="00BB306F"/>
    <w:rsid w:val="00BC4F29"/>
    <w:rsid w:val="00BD232B"/>
    <w:rsid w:val="00BD2E42"/>
    <w:rsid w:val="00BD472D"/>
    <w:rsid w:val="00BD4B89"/>
    <w:rsid w:val="00BF00E9"/>
    <w:rsid w:val="00BF17A1"/>
    <w:rsid w:val="00C043B3"/>
    <w:rsid w:val="00C21762"/>
    <w:rsid w:val="00C24543"/>
    <w:rsid w:val="00C256A2"/>
    <w:rsid w:val="00C34488"/>
    <w:rsid w:val="00C3492D"/>
    <w:rsid w:val="00C44F93"/>
    <w:rsid w:val="00C55560"/>
    <w:rsid w:val="00C57279"/>
    <w:rsid w:val="00C63FF7"/>
    <w:rsid w:val="00C66B72"/>
    <w:rsid w:val="00C72989"/>
    <w:rsid w:val="00C91C38"/>
    <w:rsid w:val="00C9567A"/>
    <w:rsid w:val="00CA6577"/>
    <w:rsid w:val="00CA74DD"/>
    <w:rsid w:val="00CB2660"/>
    <w:rsid w:val="00CB66F4"/>
    <w:rsid w:val="00CC5E90"/>
    <w:rsid w:val="00CD046C"/>
    <w:rsid w:val="00CD27B1"/>
    <w:rsid w:val="00CE5199"/>
    <w:rsid w:val="00CE66D5"/>
    <w:rsid w:val="00D02460"/>
    <w:rsid w:val="00D34786"/>
    <w:rsid w:val="00D40A1E"/>
    <w:rsid w:val="00D533C0"/>
    <w:rsid w:val="00D712D3"/>
    <w:rsid w:val="00D71422"/>
    <w:rsid w:val="00D7145E"/>
    <w:rsid w:val="00D75084"/>
    <w:rsid w:val="00D7558D"/>
    <w:rsid w:val="00D77090"/>
    <w:rsid w:val="00D804FC"/>
    <w:rsid w:val="00D81D92"/>
    <w:rsid w:val="00D81E2E"/>
    <w:rsid w:val="00D861C2"/>
    <w:rsid w:val="00D86354"/>
    <w:rsid w:val="00D93446"/>
    <w:rsid w:val="00DA7B5F"/>
    <w:rsid w:val="00DB2067"/>
    <w:rsid w:val="00DB6AFA"/>
    <w:rsid w:val="00DD3C74"/>
    <w:rsid w:val="00DF078B"/>
    <w:rsid w:val="00DF350D"/>
    <w:rsid w:val="00DF71F0"/>
    <w:rsid w:val="00E0555D"/>
    <w:rsid w:val="00E227C1"/>
    <w:rsid w:val="00E43157"/>
    <w:rsid w:val="00E47F3D"/>
    <w:rsid w:val="00E533FF"/>
    <w:rsid w:val="00E5616C"/>
    <w:rsid w:val="00E61A29"/>
    <w:rsid w:val="00E709B3"/>
    <w:rsid w:val="00E74038"/>
    <w:rsid w:val="00E74BC6"/>
    <w:rsid w:val="00E7588C"/>
    <w:rsid w:val="00E850B6"/>
    <w:rsid w:val="00E8789F"/>
    <w:rsid w:val="00E93AAD"/>
    <w:rsid w:val="00E97B71"/>
    <w:rsid w:val="00EA4D5F"/>
    <w:rsid w:val="00EB0014"/>
    <w:rsid w:val="00EB454D"/>
    <w:rsid w:val="00ED0D1B"/>
    <w:rsid w:val="00EE3522"/>
    <w:rsid w:val="00EE421C"/>
    <w:rsid w:val="00EE7D0D"/>
    <w:rsid w:val="00EF619B"/>
    <w:rsid w:val="00F00B55"/>
    <w:rsid w:val="00F041AC"/>
    <w:rsid w:val="00F1380F"/>
    <w:rsid w:val="00F14F0E"/>
    <w:rsid w:val="00F15A3B"/>
    <w:rsid w:val="00F24C29"/>
    <w:rsid w:val="00F24DF7"/>
    <w:rsid w:val="00F253CC"/>
    <w:rsid w:val="00F26666"/>
    <w:rsid w:val="00F3426E"/>
    <w:rsid w:val="00F42B71"/>
    <w:rsid w:val="00F44505"/>
    <w:rsid w:val="00F474D7"/>
    <w:rsid w:val="00F56BA5"/>
    <w:rsid w:val="00F621C3"/>
    <w:rsid w:val="00F644E6"/>
    <w:rsid w:val="00F644FA"/>
    <w:rsid w:val="00F76CE6"/>
    <w:rsid w:val="00F83A36"/>
    <w:rsid w:val="00F87874"/>
    <w:rsid w:val="00F9653B"/>
    <w:rsid w:val="00FA4426"/>
    <w:rsid w:val="00FA7A66"/>
    <w:rsid w:val="00FB62CF"/>
    <w:rsid w:val="00FC3EB4"/>
    <w:rsid w:val="00FC6C58"/>
    <w:rsid w:val="00FD6AAF"/>
    <w:rsid w:val="00FE6B45"/>
    <w:rsid w:val="00FF4E1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Spacing">
    <w:name w:val="No Spacing"/>
    <w:uiPriority w:val="1"/>
    <w:qFormat/>
    <w:rsid w:val="008357F4"/>
    <w:rPr>
      <w:sz w:val="24"/>
      <w:szCs w:val="24"/>
      <w:lang w:val="en-US" w:eastAsia="en-US"/>
    </w:rPr>
  </w:style>
  <w:style w:type="character" w:customStyle="1" w:styleId="st">
    <w:name w:val="st"/>
    <w:basedOn w:val="DefaultParagraphFont"/>
    <w:rsid w:val="00D77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Spacing">
    <w:name w:val="No Spacing"/>
    <w:uiPriority w:val="1"/>
    <w:qFormat/>
    <w:rsid w:val="008357F4"/>
    <w:rPr>
      <w:sz w:val="24"/>
      <w:szCs w:val="24"/>
      <w:lang w:val="en-US" w:eastAsia="en-US"/>
    </w:rPr>
  </w:style>
  <w:style w:type="character" w:customStyle="1" w:styleId="st">
    <w:name w:val="st"/>
    <w:basedOn w:val="DefaultParagraphFont"/>
    <w:rsid w:val="00D7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7C09A60CEA451D86791AB199DBA6E0"/>
        <w:category>
          <w:name w:val="General"/>
          <w:gallery w:val="placeholder"/>
        </w:category>
        <w:types>
          <w:type w:val="bbPlcHdr"/>
        </w:types>
        <w:behaviors>
          <w:behavior w:val="content"/>
        </w:behaviors>
        <w:guid w:val="{6D481B73-6191-46CC-BC2F-9C011E2EDBF9}"/>
      </w:docPartPr>
      <w:docPartBody>
        <w:p w:rsidR="001C40B3" w:rsidRDefault="001C40B3" w:rsidP="001C40B3">
          <w:pPr>
            <w:pStyle w:val="657C09A60CEA451D86791AB199DBA6E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0482D"/>
    <w:rsid w:val="000F62F4"/>
    <w:rsid w:val="001C40B3"/>
    <w:rsid w:val="004108B1"/>
    <w:rsid w:val="004C66FF"/>
    <w:rsid w:val="00727375"/>
    <w:rsid w:val="007F01D4"/>
    <w:rsid w:val="00AB44F1"/>
    <w:rsid w:val="00C269D3"/>
    <w:rsid w:val="00DE5F3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0B3"/>
    <w:rPr>
      <w:color w:val="808080"/>
    </w:rPr>
  </w:style>
  <w:style w:type="paragraph" w:customStyle="1" w:styleId="4DBB5F3FC358F64B9E5EFB773263C7D2">
    <w:name w:val="4DBB5F3FC358F64B9E5EFB773263C7D2"/>
    <w:rsid w:val="00AB44F1"/>
  </w:style>
  <w:style w:type="paragraph" w:customStyle="1" w:styleId="657C09A60CEA451D86791AB199DBA6E0">
    <w:name w:val="657C09A60CEA451D86791AB199DBA6E0"/>
    <w:rsid w:val="001C40B3"/>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0B3"/>
    <w:rPr>
      <w:color w:val="808080"/>
    </w:rPr>
  </w:style>
  <w:style w:type="paragraph" w:customStyle="1" w:styleId="4DBB5F3FC358F64B9E5EFB773263C7D2">
    <w:name w:val="4DBB5F3FC358F64B9E5EFB773263C7D2"/>
    <w:rsid w:val="00AB44F1"/>
  </w:style>
  <w:style w:type="paragraph" w:customStyle="1" w:styleId="657C09A60CEA451D86791AB199DBA6E0">
    <w:name w:val="657C09A60CEA451D86791AB199DBA6E0"/>
    <w:rsid w:val="001C40B3"/>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CB05-694D-4625-90BD-7687A96B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2313</Words>
  <Characters>12353</Characters>
  <Application>Microsoft Office Word</Application>
  <DocSecurity>0</DocSecurity>
  <Lines>247</Lines>
  <Paragraphs>74</Paragraphs>
  <ScaleCrop>false</ScaleCrop>
  <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125/17</dc:title>
  <dc:creator/>
  <cp:lastModifiedBy/>
  <cp:revision>1</cp:revision>
  <dcterms:created xsi:type="dcterms:W3CDTF">2018-03-16T13:55:00Z</dcterms:created>
  <dcterms:modified xsi:type="dcterms:W3CDTF">2018-03-16T13:55:00Z</dcterms:modified>
</cp:coreProperties>
</file>