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1E529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lang w:val="es-ES" w:eastAsia="es-ES"/>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52C" w:rsidRPr="00F238CC" w:rsidRDefault="0088752C" w:rsidP="0088752C">
                            <w:pPr>
                              <w:spacing w:line="276" w:lineRule="auto"/>
                              <w:rPr>
                                <w:rFonts w:asciiTheme="majorHAnsi" w:hAnsiTheme="majorHAnsi" w:cs="Arial"/>
                                <w:b/>
                                <w:bCs/>
                                <w:sz w:val="36"/>
                                <w:szCs w:val="22"/>
                              </w:rPr>
                            </w:pPr>
                            <w:r w:rsidRPr="00F238CC">
                              <w:rPr>
                                <w:rFonts w:asciiTheme="majorHAnsi" w:hAnsiTheme="majorHAnsi" w:cs="Arial"/>
                                <w:b/>
                                <w:bCs/>
                                <w:sz w:val="36"/>
                                <w:szCs w:val="22"/>
                                <w:lang w:val="en"/>
                              </w:rPr>
                              <w:t xml:space="preserve">REPORT </w:t>
                            </w:r>
                            <w:r w:rsidRPr="00F238CC">
                              <w:rPr>
                                <w:rFonts w:asciiTheme="majorHAnsi" w:hAnsiTheme="majorHAnsi" w:cs="Arial"/>
                                <w:b/>
                                <w:bCs/>
                                <w:sz w:val="36"/>
                                <w:szCs w:val="40"/>
                                <w:lang w:val="en"/>
                              </w:rPr>
                              <w:t>No.</w:t>
                            </w:r>
                            <w:r w:rsidR="00AE335F">
                              <w:rPr>
                                <w:rFonts w:asciiTheme="majorHAnsi" w:hAnsiTheme="majorHAnsi" w:cs="Arial"/>
                                <w:b/>
                                <w:bCs/>
                                <w:sz w:val="36"/>
                                <w:szCs w:val="22"/>
                                <w:lang w:val="en"/>
                              </w:rPr>
                              <w:t xml:space="preserve"> 48</w:t>
                            </w:r>
                            <w:r w:rsidRPr="00F238CC">
                              <w:rPr>
                                <w:rFonts w:asciiTheme="majorHAnsi" w:hAnsiTheme="majorHAnsi" w:cs="Arial"/>
                                <w:b/>
                                <w:bCs/>
                                <w:sz w:val="36"/>
                                <w:szCs w:val="22"/>
                                <w:lang w:val="en"/>
                              </w:rPr>
                              <w:t>/17</w:t>
                            </w:r>
                          </w:p>
                          <w:p w:rsidR="0088752C" w:rsidRPr="00F238CC" w:rsidRDefault="0088752C" w:rsidP="0088752C">
                            <w:pPr>
                              <w:spacing w:line="276" w:lineRule="auto"/>
                              <w:rPr>
                                <w:rFonts w:asciiTheme="majorHAnsi" w:hAnsiTheme="majorHAnsi" w:cs="Arial"/>
                                <w:b/>
                                <w:sz w:val="36"/>
                                <w:szCs w:val="22"/>
                              </w:rPr>
                            </w:pPr>
                            <w:r w:rsidRPr="00F238CC">
                              <w:rPr>
                                <w:rFonts w:asciiTheme="majorHAnsi" w:hAnsiTheme="majorHAnsi" w:cs="Arial"/>
                                <w:b/>
                                <w:bCs/>
                                <w:sz w:val="36"/>
                                <w:szCs w:val="22"/>
                                <w:lang w:val="en"/>
                              </w:rPr>
                              <w:t xml:space="preserve">PETITION 338-07 </w:t>
                            </w:r>
                          </w:p>
                          <w:p w:rsidR="0088752C" w:rsidRPr="00F238CC" w:rsidRDefault="0088752C" w:rsidP="0088752C">
                            <w:pPr>
                              <w:spacing w:line="276" w:lineRule="auto"/>
                              <w:rPr>
                                <w:rFonts w:asciiTheme="majorHAnsi" w:hAnsiTheme="majorHAnsi" w:cs="Arial"/>
                                <w:szCs w:val="22"/>
                              </w:rPr>
                            </w:pPr>
                            <w:r w:rsidRPr="00F238CC">
                              <w:rPr>
                                <w:rFonts w:asciiTheme="majorHAnsi" w:hAnsiTheme="majorHAnsi" w:cs="Arial"/>
                                <w:szCs w:val="22"/>
                                <w:lang w:val="en"/>
                              </w:rPr>
                              <w:t>REPORT</w:t>
                            </w:r>
                            <w:r w:rsidR="00135257">
                              <w:rPr>
                                <w:rFonts w:asciiTheme="majorHAnsi" w:hAnsiTheme="majorHAnsi" w:cs="Arial"/>
                                <w:szCs w:val="22"/>
                                <w:lang w:val="en"/>
                              </w:rPr>
                              <w:t xml:space="preserve"> ON ADMISSIBILITY</w:t>
                            </w:r>
                          </w:p>
                          <w:p w:rsidR="0088752C" w:rsidRPr="00F238CC" w:rsidRDefault="0088752C" w:rsidP="0088752C">
                            <w:pPr>
                              <w:spacing w:line="276" w:lineRule="auto"/>
                              <w:rPr>
                                <w:rFonts w:asciiTheme="majorHAnsi" w:hAnsiTheme="majorHAnsi" w:cs="Arial"/>
                                <w:szCs w:val="22"/>
                              </w:rPr>
                            </w:pPr>
                            <w:bookmarkStart w:id="1" w:name="_ftnref1"/>
                          </w:p>
                          <w:p w:rsidR="0088752C" w:rsidRPr="00F238CC" w:rsidRDefault="0088752C" w:rsidP="0088752C">
                            <w:pPr>
                              <w:spacing w:line="276" w:lineRule="auto"/>
                              <w:rPr>
                                <w:rFonts w:asciiTheme="majorHAnsi" w:hAnsiTheme="majorHAnsi" w:cs="Arial"/>
                                <w:szCs w:val="22"/>
                              </w:rPr>
                            </w:pPr>
                            <w:r w:rsidRPr="00F238CC">
                              <w:rPr>
                                <w:rFonts w:asciiTheme="majorHAnsi" w:hAnsiTheme="majorHAnsi" w:cs="Arial"/>
                                <w:szCs w:val="22"/>
                                <w:lang w:val="en"/>
                              </w:rPr>
                              <w:t>LUIS FERNANDO LEYVA MICOLTA</w:t>
                            </w:r>
                          </w:p>
                          <w:bookmarkEnd w:id="1"/>
                          <w:p w:rsidR="0088752C" w:rsidRPr="00F238CC" w:rsidRDefault="0088752C" w:rsidP="0088752C">
                            <w:pPr>
                              <w:spacing w:line="276" w:lineRule="auto"/>
                              <w:rPr>
                                <w:rFonts w:asciiTheme="majorHAnsi" w:hAnsiTheme="majorHAnsi" w:cs="Arial"/>
                                <w:szCs w:val="22"/>
                              </w:rPr>
                            </w:pPr>
                            <w:r w:rsidRPr="00F238CC">
                              <w:rPr>
                                <w:rFonts w:asciiTheme="majorHAnsi" w:hAnsiTheme="majorHAnsi" w:cs="Arial"/>
                                <w:szCs w:val="22"/>
                                <w:lang w:val="en"/>
                              </w:rPr>
                              <w:t>COLOMBIA</w:t>
                            </w:r>
                          </w:p>
                          <w:p w:rsidR="0088752C" w:rsidRPr="00AE5488" w:rsidRDefault="0088752C" w:rsidP="0088752C">
                            <w:pPr>
                              <w:rPr>
                                <w:color w:val="0D0D0D" w:themeColor="text1" w:themeTint="F2"/>
                              </w:rPr>
                            </w:pP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88752C" w:rsidRPr="00F238CC" w:rsidRDefault="0088752C" w:rsidP="0088752C">
                      <w:pPr>
                        <w:spacing w:line="276" w:lineRule="auto"/>
                        <w:rPr>
                          <w:rFonts w:asciiTheme="majorHAnsi" w:hAnsiTheme="majorHAnsi" w:cs="Arial"/>
                          <w:b/>
                          <w:bCs/>
                          <w:sz w:val="36"/>
                          <w:szCs w:val="22"/>
                        </w:rPr>
                      </w:pPr>
                      <w:r w:rsidRPr="00F238CC">
                        <w:rPr>
                          <w:rFonts w:asciiTheme="majorHAnsi" w:hAnsiTheme="majorHAnsi" w:cs="Arial"/>
                          <w:b/>
                          <w:bCs/>
                          <w:sz w:val="36"/>
                          <w:szCs w:val="22"/>
                          <w:lang w:val="en"/>
                        </w:rPr>
                        <w:t xml:space="preserve">REPORT </w:t>
                      </w:r>
                      <w:r w:rsidRPr="00F238CC">
                        <w:rPr>
                          <w:rFonts w:asciiTheme="majorHAnsi" w:hAnsiTheme="majorHAnsi" w:cs="Arial"/>
                          <w:b/>
                          <w:bCs/>
                          <w:sz w:val="36"/>
                          <w:szCs w:val="40"/>
                          <w:lang w:val="en"/>
                        </w:rPr>
                        <w:t>No.</w:t>
                      </w:r>
                      <w:r w:rsidR="00AE335F">
                        <w:rPr>
                          <w:rFonts w:asciiTheme="majorHAnsi" w:hAnsiTheme="majorHAnsi" w:cs="Arial"/>
                          <w:b/>
                          <w:bCs/>
                          <w:sz w:val="36"/>
                          <w:szCs w:val="22"/>
                          <w:lang w:val="en"/>
                        </w:rPr>
                        <w:t xml:space="preserve"> 48</w:t>
                      </w:r>
                      <w:r w:rsidRPr="00F238CC">
                        <w:rPr>
                          <w:rFonts w:asciiTheme="majorHAnsi" w:hAnsiTheme="majorHAnsi" w:cs="Arial"/>
                          <w:b/>
                          <w:bCs/>
                          <w:sz w:val="36"/>
                          <w:szCs w:val="22"/>
                          <w:lang w:val="en"/>
                        </w:rPr>
                        <w:t>/17</w:t>
                      </w:r>
                    </w:p>
                    <w:p w:rsidR="0088752C" w:rsidRPr="00F238CC" w:rsidRDefault="0088752C" w:rsidP="0088752C">
                      <w:pPr>
                        <w:spacing w:line="276" w:lineRule="auto"/>
                        <w:rPr>
                          <w:rFonts w:asciiTheme="majorHAnsi" w:hAnsiTheme="majorHAnsi" w:cs="Arial"/>
                          <w:b/>
                          <w:sz w:val="36"/>
                          <w:szCs w:val="22"/>
                        </w:rPr>
                      </w:pPr>
                      <w:r w:rsidRPr="00F238CC">
                        <w:rPr>
                          <w:rFonts w:asciiTheme="majorHAnsi" w:hAnsiTheme="majorHAnsi" w:cs="Arial"/>
                          <w:b/>
                          <w:bCs/>
                          <w:sz w:val="36"/>
                          <w:szCs w:val="22"/>
                          <w:lang w:val="en"/>
                        </w:rPr>
                        <w:t xml:space="preserve">PETITION 338-07 </w:t>
                      </w:r>
                    </w:p>
                    <w:p w:rsidR="0088752C" w:rsidRPr="00F238CC" w:rsidRDefault="0088752C" w:rsidP="0088752C">
                      <w:pPr>
                        <w:spacing w:line="276" w:lineRule="auto"/>
                        <w:rPr>
                          <w:rFonts w:asciiTheme="majorHAnsi" w:hAnsiTheme="majorHAnsi" w:cs="Arial"/>
                          <w:szCs w:val="22"/>
                        </w:rPr>
                      </w:pPr>
                      <w:r w:rsidRPr="00F238CC">
                        <w:rPr>
                          <w:rFonts w:asciiTheme="majorHAnsi" w:hAnsiTheme="majorHAnsi" w:cs="Arial"/>
                          <w:szCs w:val="22"/>
                          <w:lang w:val="en"/>
                        </w:rPr>
                        <w:t>REPORT</w:t>
                      </w:r>
                      <w:r w:rsidR="00135257">
                        <w:rPr>
                          <w:rFonts w:asciiTheme="majorHAnsi" w:hAnsiTheme="majorHAnsi" w:cs="Arial"/>
                          <w:szCs w:val="22"/>
                          <w:lang w:val="en"/>
                        </w:rPr>
                        <w:t xml:space="preserve"> ON ADMISSIBILITY</w:t>
                      </w:r>
                    </w:p>
                    <w:p w:rsidR="0088752C" w:rsidRPr="00F238CC" w:rsidRDefault="0088752C" w:rsidP="0088752C">
                      <w:pPr>
                        <w:spacing w:line="276" w:lineRule="auto"/>
                        <w:rPr>
                          <w:rFonts w:asciiTheme="majorHAnsi" w:hAnsiTheme="majorHAnsi" w:cs="Arial"/>
                          <w:szCs w:val="22"/>
                        </w:rPr>
                      </w:pPr>
                      <w:bookmarkStart w:id="2" w:name="_ftnref1"/>
                    </w:p>
                    <w:p w:rsidR="0088752C" w:rsidRPr="00F238CC" w:rsidRDefault="0088752C" w:rsidP="0088752C">
                      <w:pPr>
                        <w:spacing w:line="276" w:lineRule="auto"/>
                        <w:rPr>
                          <w:rFonts w:asciiTheme="majorHAnsi" w:hAnsiTheme="majorHAnsi" w:cs="Arial"/>
                          <w:szCs w:val="22"/>
                        </w:rPr>
                      </w:pPr>
                      <w:r w:rsidRPr="00F238CC">
                        <w:rPr>
                          <w:rFonts w:asciiTheme="majorHAnsi" w:hAnsiTheme="majorHAnsi" w:cs="Arial"/>
                          <w:szCs w:val="22"/>
                          <w:lang w:val="en"/>
                        </w:rPr>
                        <w:t>LUIS FERNANDO LEYVA MICOLTA</w:t>
                      </w:r>
                    </w:p>
                    <w:bookmarkEnd w:id="2"/>
                    <w:p w:rsidR="0088752C" w:rsidRPr="00F238CC" w:rsidRDefault="0088752C" w:rsidP="0088752C">
                      <w:pPr>
                        <w:spacing w:line="276" w:lineRule="auto"/>
                        <w:rPr>
                          <w:rFonts w:asciiTheme="majorHAnsi" w:hAnsiTheme="majorHAnsi" w:cs="Arial"/>
                          <w:szCs w:val="22"/>
                        </w:rPr>
                      </w:pPr>
                      <w:r w:rsidRPr="00F238CC">
                        <w:rPr>
                          <w:rFonts w:asciiTheme="majorHAnsi" w:hAnsiTheme="majorHAnsi" w:cs="Arial"/>
                          <w:szCs w:val="22"/>
                          <w:lang w:val="en"/>
                        </w:rPr>
                        <w:t>COLOMBIA</w:t>
                      </w:r>
                    </w:p>
                    <w:p w:rsidR="0088752C" w:rsidRPr="00AE5488" w:rsidRDefault="0088752C" w:rsidP="0088752C">
                      <w:pPr>
                        <w:rPr>
                          <w:color w:val="0D0D0D" w:themeColor="text1" w:themeTint="F2"/>
                        </w:rPr>
                      </w:pP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52C" w:rsidRPr="00946C0F" w:rsidRDefault="00AE335F" w:rsidP="0088752C">
                            <w:pPr>
                              <w:spacing w:line="276" w:lineRule="auto"/>
                              <w:jc w:val="right"/>
                              <w:rPr>
                                <w:rFonts w:asciiTheme="minorHAnsi" w:hAnsiTheme="minorHAnsi"/>
                                <w:color w:val="FFFFFF" w:themeColor="background1"/>
                                <w:sz w:val="22"/>
                                <w:lang w:val="pt-BR"/>
                              </w:rPr>
                            </w:pPr>
                            <w:r w:rsidRPr="00946C0F">
                              <w:rPr>
                                <w:rFonts w:asciiTheme="minorHAnsi" w:hAnsiTheme="minorHAnsi"/>
                                <w:color w:val="FFFFFF" w:themeColor="background1"/>
                                <w:sz w:val="22"/>
                                <w:lang w:val="pt-BR"/>
                              </w:rPr>
                              <w:t>OEA/Ser.L/V/II.162</w:t>
                            </w:r>
                          </w:p>
                          <w:p w:rsidR="0088752C" w:rsidRPr="00946C0F" w:rsidRDefault="00AE335F" w:rsidP="0088752C">
                            <w:pPr>
                              <w:spacing w:line="276" w:lineRule="auto"/>
                              <w:jc w:val="right"/>
                              <w:rPr>
                                <w:rFonts w:asciiTheme="minorHAnsi" w:hAnsiTheme="minorHAnsi"/>
                                <w:color w:val="FFFFFF" w:themeColor="background1"/>
                                <w:sz w:val="22"/>
                                <w:lang w:val="pt-BR"/>
                              </w:rPr>
                            </w:pPr>
                            <w:r w:rsidRPr="00946C0F">
                              <w:rPr>
                                <w:rFonts w:asciiTheme="minorHAnsi" w:hAnsiTheme="minorHAnsi"/>
                                <w:color w:val="FFFFFF" w:themeColor="background1"/>
                                <w:sz w:val="22"/>
                                <w:lang w:val="pt-BR"/>
                              </w:rPr>
                              <w:t>Doc. 60</w:t>
                            </w:r>
                          </w:p>
                          <w:p w:rsidR="0088752C" w:rsidRPr="00F32F10" w:rsidRDefault="00AE335F" w:rsidP="0088752C">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25 May</w:t>
                            </w:r>
                            <w:r w:rsidR="0088752C">
                              <w:rPr>
                                <w:rFonts w:asciiTheme="minorHAnsi" w:hAnsiTheme="minorHAnsi"/>
                                <w:color w:val="FFFFFF" w:themeColor="background1"/>
                                <w:sz w:val="22"/>
                                <w:lang w:val="en"/>
                              </w:rPr>
                              <w:t xml:space="preserve"> 2017</w:t>
                            </w:r>
                          </w:p>
                          <w:p w:rsidR="0088752C" w:rsidRPr="00F32F10" w:rsidRDefault="0088752C" w:rsidP="0088752C">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p w:rsidR="00627C9F" w:rsidRPr="004B7EB6" w:rsidRDefault="00627C9F" w:rsidP="002C1641">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88752C" w:rsidRPr="00AE335F" w:rsidRDefault="00AE335F" w:rsidP="0088752C">
                      <w:pPr>
                        <w:spacing w:line="276" w:lineRule="auto"/>
                        <w:jc w:val="right"/>
                        <w:rPr>
                          <w:rFonts w:asciiTheme="minorHAnsi" w:hAnsiTheme="minorHAnsi"/>
                          <w:color w:val="FFFFFF" w:themeColor="background1"/>
                          <w:sz w:val="22"/>
                        </w:rPr>
                      </w:pPr>
                      <w:r w:rsidRPr="00AE335F">
                        <w:rPr>
                          <w:rFonts w:asciiTheme="minorHAnsi" w:hAnsiTheme="minorHAnsi"/>
                          <w:color w:val="FFFFFF" w:themeColor="background1"/>
                          <w:sz w:val="22"/>
                        </w:rPr>
                        <w:t>OEA/</w:t>
                      </w:r>
                      <w:proofErr w:type="spellStart"/>
                      <w:r w:rsidRPr="00AE335F">
                        <w:rPr>
                          <w:rFonts w:asciiTheme="minorHAnsi" w:hAnsiTheme="minorHAnsi"/>
                          <w:color w:val="FFFFFF" w:themeColor="background1"/>
                          <w:sz w:val="22"/>
                        </w:rPr>
                        <w:t>Ser.L</w:t>
                      </w:r>
                      <w:proofErr w:type="spellEnd"/>
                      <w:r w:rsidRPr="00AE335F">
                        <w:rPr>
                          <w:rFonts w:asciiTheme="minorHAnsi" w:hAnsiTheme="minorHAnsi"/>
                          <w:color w:val="FFFFFF" w:themeColor="background1"/>
                          <w:sz w:val="22"/>
                        </w:rPr>
                        <w:t>/V/II.162</w:t>
                      </w:r>
                    </w:p>
                    <w:p w:rsidR="0088752C" w:rsidRPr="00AE335F" w:rsidRDefault="00AE335F" w:rsidP="0088752C">
                      <w:pPr>
                        <w:spacing w:line="276" w:lineRule="auto"/>
                        <w:jc w:val="right"/>
                        <w:rPr>
                          <w:rFonts w:asciiTheme="minorHAnsi" w:hAnsiTheme="minorHAnsi"/>
                          <w:color w:val="FFFFFF" w:themeColor="background1"/>
                          <w:sz w:val="22"/>
                        </w:rPr>
                      </w:pPr>
                      <w:r w:rsidRPr="00AE335F">
                        <w:rPr>
                          <w:rFonts w:asciiTheme="minorHAnsi" w:hAnsiTheme="minorHAnsi"/>
                          <w:color w:val="FFFFFF" w:themeColor="background1"/>
                          <w:sz w:val="22"/>
                        </w:rPr>
                        <w:t>Doc. 6</w:t>
                      </w:r>
                      <w:r>
                        <w:rPr>
                          <w:rFonts w:asciiTheme="minorHAnsi" w:hAnsiTheme="minorHAnsi"/>
                          <w:color w:val="FFFFFF" w:themeColor="background1"/>
                          <w:sz w:val="22"/>
                        </w:rPr>
                        <w:t>0</w:t>
                      </w:r>
                    </w:p>
                    <w:p w:rsidR="0088752C" w:rsidRPr="00F32F10" w:rsidRDefault="00AE335F" w:rsidP="0088752C">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25 May</w:t>
                      </w:r>
                      <w:r w:rsidR="0088752C">
                        <w:rPr>
                          <w:rFonts w:asciiTheme="minorHAnsi" w:hAnsiTheme="minorHAnsi"/>
                          <w:color w:val="FFFFFF" w:themeColor="background1"/>
                          <w:sz w:val="22"/>
                          <w:lang w:val="en"/>
                        </w:rPr>
                        <w:t xml:space="preserve"> 2017</w:t>
                      </w:r>
                    </w:p>
                    <w:p w:rsidR="0088752C" w:rsidRPr="00F32F10" w:rsidRDefault="0088752C" w:rsidP="0088752C">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p w:rsidR="00627C9F" w:rsidRPr="004B7EB6" w:rsidRDefault="00627C9F" w:rsidP="002C1641">
                      <w:pPr>
                        <w:jc w:val="right"/>
                        <w:rPr>
                          <w:rFonts w:asciiTheme="minorHAnsi" w:hAnsiTheme="minorHAnsi"/>
                          <w:color w:val="FFFFFF" w:themeColor="background1"/>
                          <w:sz w:val="22"/>
                        </w:rPr>
                      </w:pP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0123" w:rsidRPr="001C0123" w:rsidRDefault="001C0123" w:rsidP="001C0123">
                            <w:pPr>
                              <w:tabs>
                                <w:tab w:val="center" w:pos="5400"/>
                              </w:tabs>
                              <w:suppressAutoHyphens/>
                              <w:spacing w:before="60"/>
                              <w:rPr>
                                <w:rFonts w:asciiTheme="majorHAnsi" w:hAnsiTheme="majorHAnsi"/>
                                <w:color w:val="0D0D0D" w:themeColor="text1" w:themeTint="F2"/>
                                <w:sz w:val="18"/>
                                <w:szCs w:val="20"/>
                                <w:lang w:val="en-GB"/>
                              </w:rPr>
                            </w:pPr>
                            <w:r w:rsidRPr="001C0123">
                              <w:rPr>
                                <w:rFonts w:asciiTheme="majorHAnsi" w:hAnsiTheme="majorHAnsi"/>
                                <w:color w:val="0D0D0D" w:themeColor="text1" w:themeTint="F2"/>
                                <w:sz w:val="18"/>
                                <w:szCs w:val="20"/>
                                <w:lang w:val="en-GB"/>
                              </w:rPr>
                              <w:t>Approved by the Commission at its session No. 2085 held on May 25, 2017</w:t>
                            </w:r>
                            <w:r w:rsidRPr="001C0123">
                              <w:rPr>
                                <w:rFonts w:asciiTheme="majorHAnsi" w:hAnsiTheme="majorHAnsi"/>
                                <w:color w:val="0D0D0D" w:themeColor="text1" w:themeTint="F2"/>
                                <w:sz w:val="18"/>
                                <w:szCs w:val="20"/>
                                <w:lang w:val="en-GB"/>
                              </w:rPr>
                              <w:br/>
                              <w:t>162</w:t>
                            </w:r>
                            <w:r w:rsidRPr="001C0123">
                              <w:rPr>
                                <w:rFonts w:asciiTheme="majorHAnsi" w:hAnsiTheme="majorHAnsi"/>
                                <w:color w:val="0D0D0D" w:themeColor="text1" w:themeTint="F2"/>
                                <w:sz w:val="18"/>
                                <w:szCs w:val="20"/>
                                <w:vertAlign w:val="superscript"/>
                                <w:lang w:val="en-GB"/>
                              </w:rPr>
                              <w:t xml:space="preserve">nd </w:t>
                            </w:r>
                            <w:r w:rsidRPr="001C0123">
                              <w:rPr>
                                <w:rFonts w:asciiTheme="majorHAnsi" w:hAnsiTheme="majorHAnsi"/>
                                <w:color w:val="0D0D0D" w:themeColor="text1" w:themeTint="F2"/>
                                <w:sz w:val="18"/>
                                <w:szCs w:val="20"/>
                                <w:lang w:val="en-GB"/>
                              </w:rPr>
                              <w:t>Extraordinary Period of Sessions</w:t>
                            </w:r>
                          </w:p>
                          <w:p w:rsidR="00745899" w:rsidRPr="001C0123" w:rsidRDefault="00745899" w:rsidP="004165C2">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1C0123" w:rsidRPr="001C0123" w:rsidRDefault="001C0123" w:rsidP="001C0123">
                      <w:pPr>
                        <w:tabs>
                          <w:tab w:val="center" w:pos="5400"/>
                        </w:tabs>
                        <w:suppressAutoHyphens/>
                        <w:spacing w:before="60"/>
                        <w:rPr>
                          <w:rFonts w:asciiTheme="majorHAnsi" w:hAnsiTheme="majorHAnsi"/>
                          <w:color w:val="0D0D0D" w:themeColor="text1" w:themeTint="F2"/>
                          <w:sz w:val="18"/>
                          <w:szCs w:val="20"/>
                          <w:lang w:val="en-GB"/>
                        </w:rPr>
                      </w:pPr>
                      <w:r w:rsidRPr="001C0123">
                        <w:rPr>
                          <w:rFonts w:asciiTheme="majorHAnsi" w:hAnsiTheme="majorHAnsi"/>
                          <w:color w:val="0D0D0D" w:themeColor="text1" w:themeTint="F2"/>
                          <w:sz w:val="18"/>
                          <w:szCs w:val="20"/>
                          <w:lang w:val="en-GB"/>
                        </w:rPr>
                        <w:t>Approved by the Commission at its session No. 2085 held on May 25, 2017</w:t>
                      </w:r>
                      <w:r w:rsidRPr="001C0123">
                        <w:rPr>
                          <w:rFonts w:asciiTheme="majorHAnsi" w:hAnsiTheme="majorHAnsi"/>
                          <w:color w:val="0D0D0D" w:themeColor="text1" w:themeTint="F2"/>
                          <w:sz w:val="18"/>
                          <w:szCs w:val="20"/>
                          <w:lang w:val="en-GB"/>
                        </w:rPr>
                        <w:br/>
                        <w:t>162</w:t>
                      </w:r>
                      <w:r w:rsidRPr="001C0123">
                        <w:rPr>
                          <w:rFonts w:asciiTheme="majorHAnsi" w:hAnsiTheme="majorHAnsi"/>
                          <w:color w:val="0D0D0D" w:themeColor="text1" w:themeTint="F2"/>
                          <w:sz w:val="18"/>
                          <w:szCs w:val="20"/>
                          <w:vertAlign w:val="superscript"/>
                          <w:lang w:val="en-GB"/>
                        </w:rPr>
                        <w:t xml:space="preserve">nd </w:t>
                      </w:r>
                      <w:r w:rsidRPr="001C0123">
                        <w:rPr>
                          <w:rFonts w:asciiTheme="majorHAnsi" w:hAnsiTheme="majorHAnsi"/>
                          <w:color w:val="0D0D0D" w:themeColor="text1" w:themeTint="F2"/>
                          <w:sz w:val="18"/>
                          <w:szCs w:val="20"/>
                          <w:lang w:val="en-GB"/>
                        </w:rPr>
                        <w:t>Extraordinary Period of Sessions</w:t>
                      </w:r>
                    </w:p>
                    <w:p w:rsidR="00745899" w:rsidRPr="001C0123" w:rsidRDefault="00745899" w:rsidP="004165C2">
                      <w:pPr>
                        <w:tabs>
                          <w:tab w:val="center" w:pos="5400"/>
                        </w:tabs>
                        <w:suppressAutoHyphens/>
                        <w:spacing w:before="60"/>
                        <w:rPr>
                          <w:rFonts w:asciiTheme="majorHAnsi" w:hAnsiTheme="majorHAnsi"/>
                          <w:color w:val="0D0D0D" w:themeColor="text1" w:themeTint="F2"/>
                          <w:sz w:val="18"/>
                          <w:szCs w:val="22"/>
                          <w:lang w:val="en-GB"/>
                        </w:rPr>
                      </w:pPr>
                      <w:bookmarkStart w:id="2" w:name="_GoBack"/>
                      <w:bookmarkEnd w:id="2"/>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AE335F" w:rsidRDefault="007E7A91" w:rsidP="00AE335F">
                            <w:pPr>
                              <w:spacing w:line="276" w:lineRule="auto"/>
                              <w:rPr>
                                <w:rFonts w:asciiTheme="majorHAnsi" w:hAnsiTheme="majorHAnsi"/>
                                <w:color w:val="595959" w:themeColor="text1" w:themeTint="A6"/>
                                <w:sz w:val="18"/>
                                <w:szCs w:val="18"/>
                                <w:lang w:val="pt-BR"/>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w:t>
                            </w:r>
                            <w:r w:rsidR="00AE335F">
                              <w:rPr>
                                <w:rFonts w:asciiTheme="majorHAnsi" w:hAnsiTheme="majorHAnsi"/>
                                <w:color w:val="595959" w:themeColor="text1" w:themeTint="A6"/>
                                <w:sz w:val="18"/>
                                <w:szCs w:val="18"/>
                                <w:lang w:val="en"/>
                              </w:rPr>
                              <w:t xml:space="preserve">Report No. 48/17. </w:t>
                            </w:r>
                            <w:r w:rsidR="00AE335F" w:rsidRPr="00AE335F">
                              <w:rPr>
                                <w:rFonts w:asciiTheme="majorHAnsi" w:hAnsiTheme="majorHAnsi"/>
                                <w:color w:val="595959" w:themeColor="text1" w:themeTint="A6"/>
                                <w:sz w:val="18"/>
                                <w:szCs w:val="18"/>
                              </w:rPr>
                              <w:t xml:space="preserve">Petition 338-07. </w:t>
                            </w:r>
                            <w:r w:rsidR="00AE335F">
                              <w:rPr>
                                <w:rFonts w:asciiTheme="majorHAnsi" w:hAnsiTheme="majorHAnsi"/>
                                <w:color w:val="595959" w:themeColor="text1" w:themeTint="A6"/>
                                <w:sz w:val="18"/>
                                <w:szCs w:val="18"/>
                                <w:lang w:val="pt-BR"/>
                              </w:rPr>
                              <w:t xml:space="preserve">Admissibility. </w:t>
                            </w:r>
                            <w:r w:rsidR="00AE335F" w:rsidRPr="00AE335F">
                              <w:rPr>
                                <w:rFonts w:asciiTheme="majorHAnsi" w:hAnsiTheme="majorHAnsi"/>
                                <w:color w:val="595959" w:themeColor="text1" w:themeTint="A6"/>
                                <w:sz w:val="18"/>
                                <w:szCs w:val="18"/>
                                <w:lang w:val="pt-BR"/>
                              </w:rPr>
                              <w:t>Luis Fernando Leyva Micolta. Colombia</w:t>
                            </w:r>
                            <w:r w:rsidR="00AE335F">
                              <w:rPr>
                                <w:rFonts w:asciiTheme="majorHAnsi" w:hAnsiTheme="majorHAnsi"/>
                                <w:color w:val="595959" w:themeColor="text1" w:themeTint="A6"/>
                                <w:sz w:val="18"/>
                                <w:szCs w:val="18"/>
                                <w:lang w:val="pt-BR"/>
                              </w:rPr>
                              <w:t>. May 25,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AE335F" w:rsidRDefault="007E7A91" w:rsidP="00AE335F">
                      <w:pPr>
                        <w:spacing w:line="276" w:lineRule="auto"/>
                        <w:rPr>
                          <w:rFonts w:asciiTheme="majorHAnsi" w:hAnsiTheme="majorHAnsi"/>
                          <w:color w:val="595959" w:themeColor="text1" w:themeTint="A6"/>
                          <w:sz w:val="18"/>
                          <w:szCs w:val="18"/>
                          <w:lang w:val="pt-BR"/>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w:t>
                      </w:r>
                      <w:r w:rsidR="00AE335F">
                        <w:rPr>
                          <w:rFonts w:asciiTheme="majorHAnsi" w:hAnsiTheme="majorHAnsi"/>
                          <w:color w:val="595959" w:themeColor="text1" w:themeTint="A6"/>
                          <w:sz w:val="18"/>
                          <w:szCs w:val="18"/>
                          <w:lang w:val="en"/>
                        </w:rPr>
                        <w:t xml:space="preserve">Report No. 48/17. </w:t>
                      </w:r>
                      <w:proofErr w:type="gramStart"/>
                      <w:r w:rsidR="00AE335F" w:rsidRPr="00AE335F">
                        <w:rPr>
                          <w:rFonts w:asciiTheme="majorHAnsi" w:hAnsiTheme="majorHAnsi"/>
                          <w:color w:val="595959" w:themeColor="text1" w:themeTint="A6"/>
                          <w:sz w:val="18"/>
                          <w:szCs w:val="18"/>
                        </w:rPr>
                        <w:t>Petition 338-07.</w:t>
                      </w:r>
                      <w:proofErr w:type="gramEnd"/>
                      <w:r w:rsidR="00AE335F" w:rsidRPr="00AE335F">
                        <w:rPr>
                          <w:rFonts w:asciiTheme="majorHAnsi" w:hAnsiTheme="majorHAnsi"/>
                          <w:color w:val="595959" w:themeColor="text1" w:themeTint="A6"/>
                          <w:sz w:val="18"/>
                          <w:szCs w:val="18"/>
                        </w:rPr>
                        <w:t xml:space="preserve"> </w:t>
                      </w:r>
                      <w:r w:rsidR="00AE335F">
                        <w:rPr>
                          <w:rFonts w:asciiTheme="majorHAnsi" w:hAnsiTheme="majorHAnsi"/>
                          <w:color w:val="595959" w:themeColor="text1" w:themeTint="A6"/>
                          <w:sz w:val="18"/>
                          <w:szCs w:val="18"/>
                          <w:lang w:val="pt-BR"/>
                        </w:rPr>
                        <w:t xml:space="preserve">Admissibility. </w:t>
                      </w:r>
                      <w:r w:rsidR="00AE335F" w:rsidRPr="00AE335F">
                        <w:rPr>
                          <w:rFonts w:asciiTheme="majorHAnsi" w:hAnsiTheme="majorHAnsi"/>
                          <w:color w:val="595959" w:themeColor="text1" w:themeTint="A6"/>
                          <w:sz w:val="18"/>
                          <w:szCs w:val="18"/>
                          <w:lang w:val="pt-BR"/>
                        </w:rPr>
                        <w:t>Luis Fernando Leyva Micolta. Colombia</w:t>
                      </w:r>
                      <w:r w:rsidR="00AE335F">
                        <w:rPr>
                          <w:rFonts w:asciiTheme="majorHAnsi" w:hAnsiTheme="majorHAnsi"/>
                          <w:color w:val="595959" w:themeColor="text1" w:themeTint="A6"/>
                          <w:sz w:val="18"/>
                          <w:szCs w:val="18"/>
                          <w:lang w:val="pt-BR"/>
                        </w:rPr>
                        <w:t>. May 25, 2017.</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lang w:val="es-ES" w:eastAsia="es-ES"/>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E7A91" w:rsidRPr="00AE335F" w:rsidRDefault="007E7A91" w:rsidP="007E7A91">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lang w:val="en"/>
        </w:rPr>
        <w:lastRenderedPageBreak/>
        <w:t xml:space="preserve">REPORT </w:t>
      </w:r>
      <w:r w:rsidRPr="00AE335F">
        <w:rPr>
          <w:rFonts w:asciiTheme="majorHAnsi" w:hAnsiTheme="majorHAnsi"/>
          <w:b/>
          <w:bCs/>
          <w:sz w:val="18"/>
          <w:szCs w:val="20"/>
          <w:lang w:val="en"/>
        </w:rPr>
        <w:t>No.</w:t>
      </w:r>
      <w:r w:rsidRPr="00AE335F">
        <w:rPr>
          <w:rFonts w:asciiTheme="majorHAnsi" w:hAnsiTheme="majorHAnsi"/>
          <w:sz w:val="18"/>
          <w:szCs w:val="20"/>
          <w:lang w:val="en"/>
        </w:rPr>
        <w:t xml:space="preserve"> </w:t>
      </w:r>
      <w:r w:rsidR="00AE335F" w:rsidRPr="00AE335F">
        <w:rPr>
          <w:rFonts w:asciiTheme="majorHAnsi" w:hAnsiTheme="majorHAnsi"/>
          <w:b/>
          <w:bCs/>
          <w:sz w:val="18"/>
          <w:szCs w:val="20"/>
          <w:lang w:val="en"/>
        </w:rPr>
        <w:t xml:space="preserve"> 48</w:t>
      </w:r>
      <w:r w:rsidRPr="00AE335F">
        <w:rPr>
          <w:rFonts w:asciiTheme="majorHAnsi" w:hAnsiTheme="majorHAnsi"/>
          <w:b/>
          <w:bCs/>
          <w:sz w:val="18"/>
          <w:szCs w:val="20"/>
          <w:lang w:val="en"/>
        </w:rPr>
        <w:t>/17</w:t>
      </w:r>
    </w:p>
    <w:p w:rsidR="007E7A91" w:rsidRPr="00AE335F" w:rsidRDefault="007E7A91" w:rsidP="007E7A91">
      <w:pPr>
        <w:tabs>
          <w:tab w:val="center" w:pos="5400"/>
        </w:tabs>
        <w:suppressAutoHyphens/>
        <w:spacing w:line="276" w:lineRule="auto"/>
        <w:jc w:val="center"/>
        <w:rPr>
          <w:rFonts w:asciiTheme="majorHAnsi" w:hAnsiTheme="majorHAnsi"/>
          <w:b/>
          <w:sz w:val="18"/>
          <w:szCs w:val="20"/>
        </w:rPr>
      </w:pPr>
      <w:r w:rsidRPr="00AE335F">
        <w:rPr>
          <w:rFonts w:asciiTheme="majorHAnsi" w:hAnsiTheme="majorHAnsi"/>
          <w:b/>
          <w:bCs/>
          <w:sz w:val="18"/>
          <w:szCs w:val="20"/>
          <w:lang w:val="en"/>
        </w:rPr>
        <w:t>PETITION 338-07</w:t>
      </w:r>
    </w:p>
    <w:p w:rsidR="007E7A91" w:rsidRPr="00AE335F" w:rsidRDefault="007E7A91" w:rsidP="007E7A91">
      <w:pPr>
        <w:tabs>
          <w:tab w:val="center" w:pos="5400"/>
        </w:tabs>
        <w:suppressAutoHyphens/>
        <w:spacing w:line="276" w:lineRule="auto"/>
        <w:jc w:val="center"/>
        <w:rPr>
          <w:rFonts w:asciiTheme="majorHAnsi" w:hAnsiTheme="majorHAnsi"/>
          <w:sz w:val="18"/>
          <w:szCs w:val="20"/>
        </w:rPr>
      </w:pPr>
      <w:r w:rsidRPr="00AE335F">
        <w:rPr>
          <w:rFonts w:asciiTheme="majorHAnsi" w:hAnsiTheme="majorHAnsi"/>
          <w:sz w:val="18"/>
          <w:szCs w:val="20"/>
          <w:lang w:val="en"/>
        </w:rPr>
        <w:t xml:space="preserve">ADMISSIBILITY REPORT </w:t>
      </w:r>
    </w:p>
    <w:p w:rsidR="007E7A91" w:rsidRPr="00946C0F" w:rsidRDefault="007E7A91" w:rsidP="007E7A91">
      <w:pPr>
        <w:tabs>
          <w:tab w:val="center" w:pos="5400"/>
        </w:tabs>
        <w:suppressAutoHyphens/>
        <w:spacing w:line="276" w:lineRule="auto"/>
        <w:jc w:val="center"/>
        <w:rPr>
          <w:rFonts w:asciiTheme="majorHAnsi" w:hAnsiTheme="majorHAnsi"/>
          <w:sz w:val="18"/>
          <w:szCs w:val="20"/>
        </w:rPr>
      </w:pPr>
      <w:r w:rsidRPr="00946C0F">
        <w:rPr>
          <w:rFonts w:asciiTheme="majorHAnsi" w:hAnsiTheme="majorHAnsi"/>
          <w:sz w:val="18"/>
          <w:szCs w:val="20"/>
        </w:rPr>
        <w:t>LUIS FERNANDO LEYVA MICOLTA</w:t>
      </w:r>
    </w:p>
    <w:p w:rsidR="007E7A91" w:rsidRPr="00946C0F" w:rsidRDefault="007E7A91" w:rsidP="007E7A91">
      <w:pPr>
        <w:tabs>
          <w:tab w:val="center" w:pos="5400"/>
        </w:tabs>
        <w:suppressAutoHyphens/>
        <w:spacing w:line="276" w:lineRule="auto"/>
        <w:jc w:val="center"/>
        <w:rPr>
          <w:rFonts w:asciiTheme="majorHAnsi" w:hAnsiTheme="majorHAnsi"/>
          <w:sz w:val="18"/>
          <w:szCs w:val="20"/>
        </w:rPr>
      </w:pPr>
      <w:r w:rsidRPr="00946C0F">
        <w:rPr>
          <w:rFonts w:asciiTheme="majorHAnsi" w:hAnsiTheme="majorHAnsi"/>
          <w:sz w:val="18"/>
          <w:szCs w:val="20"/>
        </w:rPr>
        <w:t>COLOMBIA</w:t>
      </w:r>
    </w:p>
    <w:p w:rsidR="007E7A91" w:rsidRPr="00946C0F" w:rsidRDefault="00AE335F" w:rsidP="007E7A91">
      <w:pPr>
        <w:tabs>
          <w:tab w:val="center" w:pos="5400"/>
        </w:tabs>
        <w:suppressAutoHyphens/>
        <w:spacing w:line="276" w:lineRule="auto"/>
        <w:jc w:val="center"/>
        <w:rPr>
          <w:rFonts w:asciiTheme="majorHAnsi" w:hAnsiTheme="majorHAnsi"/>
          <w:sz w:val="18"/>
          <w:szCs w:val="20"/>
        </w:rPr>
      </w:pPr>
      <w:r w:rsidRPr="00946C0F">
        <w:rPr>
          <w:rFonts w:asciiTheme="majorHAnsi" w:hAnsiTheme="majorHAnsi"/>
          <w:sz w:val="18"/>
          <w:szCs w:val="20"/>
        </w:rPr>
        <w:t>MAY 25, 2017</w:t>
      </w:r>
    </w:p>
    <w:p w:rsidR="007E7A91" w:rsidRPr="00946C0F" w:rsidRDefault="007E7A91" w:rsidP="007E7A91">
      <w:pPr>
        <w:tabs>
          <w:tab w:val="center" w:pos="5400"/>
        </w:tabs>
        <w:suppressAutoHyphens/>
        <w:spacing w:line="276" w:lineRule="auto"/>
        <w:rPr>
          <w:rFonts w:asciiTheme="majorHAnsi" w:hAnsiTheme="majorHAnsi"/>
          <w:sz w:val="20"/>
          <w:szCs w:val="20"/>
        </w:rPr>
      </w:pPr>
    </w:p>
    <w:p w:rsidR="007E7A91" w:rsidRPr="00E80453" w:rsidRDefault="007E7A91" w:rsidP="007E7A91">
      <w:pPr>
        <w:spacing w:after="240"/>
        <w:ind w:firstLine="720"/>
        <w:jc w:val="both"/>
        <w:rPr>
          <w:rFonts w:asciiTheme="majorHAnsi" w:hAnsiTheme="majorHAnsi"/>
          <w:b/>
          <w:bCs/>
          <w:sz w:val="20"/>
          <w:szCs w:val="20"/>
        </w:rPr>
      </w:pPr>
      <w:r>
        <w:rPr>
          <w:rFonts w:asciiTheme="majorHAnsi" w:hAnsiTheme="majorHAnsi"/>
          <w:b/>
          <w:bCs/>
          <w:sz w:val="20"/>
          <w:szCs w:val="20"/>
          <w:lang w:val="en"/>
        </w:rPr>
        <w:t>I.</w:t>
      </w:r>
      <w:r>
        <w:rPr>
          <w:rFonts w:asciiTheme="majorHAnsi" w:hAnsiTheme="majorHAnsi"/>
          <w:b/>
          <w:bCs/>
          <w:sz w:val="20"/>
          <w:szCs w:val="20"/>
          <w:lang w:val="en"/>
        </w:rPr>
        <w:tab/>
        <w:t>INFORMATION ABOUT THE PETITION</w:t>
      </w:r>
      <w:r>
        <w:rPr>
          <w:rFonts w:asciiTheme="majorHAnsi" w:hAnsiTheme="majorHAnsi"/>
          <w:sz w:val="20"/>
          <w:szCs w:val="20"/>
          <w:lang w:val="en"/>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E7A91" w:rsidRPr="003A73AE" w:rsidTr="00F23DB9">
        <w:tc>
          <w:tcPr>
            <w:tcW w:w="4680" w:type="dxa"/>
            <w:tcBorders>
              <w:top w:val="single" w:sz="4" w:space="0" w:color="auto"/>
              <w:bottom w:val="single" w:sz="4"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Petitioners:</w:t>
            </w:r>
          </w:p>
        </w:tc>
        <w:tc>
          <w:tcPr>
            <w:tcW w:w="4680" w:type="dxa"/>
            <w:tcBorders>
              <w:left w:val="single" w:sz="4" w:space="0" w:color="auto"/>
            </w:tcBorders>
            <w:vAlign w:val="center"/>
          </w:tcPr>
          <w:p w:rsidR="007E7A91" w:rsidRPr="003A73AE" w:rsidRDefault="007E7A91" w:rsidP="00064153">
            <w:pPr>
              <w:jc w:val="both"/>
              <w:rPr>
                <w:rFonts w:ascii="Cambria" w:hAnsi="Cambria"/>
                <w:bCs/>
                <w:sz w:val="20"/>
                <w:szCs w:val="20"/>
                <w:lang w:val="es-ES"/>
              </w:rPr>
            </w:pPr>
            <w:r w:rsidRPr="003A73AE">
              <w:rPr>
                <w:rFonts w:ascii="Cambria" w:hAnsi="Cambria"/>
                <w:sz w:val="20"/>
                <w:szCs w:val="20"/>
                <w:lang w:val="es-ES"/>
              </w:rPr>
              <w:t>Luis Fernando Leyva Micolta, Beatriz Zuloaga de Leyva and Juan Guillermo Leyva Zuloaga</w:t>
            </w:r>
          </w:p>
        </w:tc>
      </w:tr>
      <w:tr w:rsidR="007E7A91" w:rsidRPr="00E80453" w:rsidTr="00F23DB9">
        <w:tc>
          <w:tcPr>
            <w:tcW w:w="4680" w:type="dxa"/>
            <w:tcBorders>
              <w:top w:val="single" w:sz="4" w:space="0" w:color="auto"/>
              <w:bottom w:val="single" w:sz="4" w:space="0" w:color="auto"/>
              <w:right w:val="single" w:sz="4" w:space="0" w:color="auto"/>
            </w:tcBorders>
            <w:shd w:val="clear" w:color="auto" w:fill="67AE3C"/>
            <w:vAlign w:val="center"/>
          </w:tcPr>
          <w:p w:rsidR="007E7A91" w:rsidRPr="00E80453" w:rsidRDefault="00553A47" w:rsidP="0006415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A1F733D7FDB49D0903435761B3905DD"/>
                </w:placeholder>
                <w:dropDownList>
                  <w:listItem w:value="Choose an item."/>
                  <w:listItem w:displayText="Presunta víctima" w:value="Presunta víctima"/>
                  <w:listItem w:displayText="Presuntas víctimas" w:value="Presuntas víctimas"/>
                </w:dropDownList>
              </w:sdtPr>
              <w:sdtEndPr/>
              <w:sdtContent>
                <w:r w:rsidR="007E7A91">
                  <w:rPr>
                    <w:rFonts w:ascii="Cambria" w:hAnsi="Cambria"/>
                    <w:b/>
                    <w:bCs/>
                    <w:color w:val="FFFFFF" w:themeColor="background1"/>
                    <w:sz w:val="20"/>
                    <w:szCs w:val="20"/>
                    <w:lang w:val="en"/>
                  </w:rPr>
                  <w:t>Alleged victim</w:t>
                </w:r>
              </w:sdtContent>
            </w:sdt>
            <w:r w:rsidR="007E7A91">
              <w:rPr>
                <w:rFonts w:ascii="Cambria" w:hAnsi="Cambria"/>
                <w:b/>
                <w:bCs/>
                <w:color w:val="FFFFFF" w:themeColor="background1"/>
                <w:sz w:val="20"/>
                <w:szCs w:val="20"/>
                <w:lang w:val="en"/>
              </w:rPr>
              <w:t>:</w:t>
            </w:r>
          </w:p>
        </w:tc>
        <w:tc>
          <w:tcPr>
            <w:tcW w:w="4680" w:type="dxa"/>
            <w:tcBorders>
              <w:left w:val="single" w:sz="4" w:space="0" w:color="auto"/>
            </w:tcBorders>
            <w:vAlign w:val="center"/>
          </w:tcPr>
          <w:p w:rsidR="007E7A91" w:rsidRPr="00E80453" w:rsidRDefault="007E7A91" w:rsidP="00064153">
            <w:pPr>
              <w:jc w:val="both"/>
              <w:rPr>
                <w:rFonts w:ascii="Cambria" w:hAnsi="Cambria"/>
                <w:bCs/>
                <w:sz w:val="20"/>
                <w:szCs w:val="20"/>
              </w:rPr>
            </w:pPr>
            <w:r>
              <w:rPr>
                <w:rFonts w:ascii="Cambria" w:hAnsi="Cambria"/>
                <w:sz w:val="20"/>
                <w:szCs w:val="20"/>
                <w:lang w:val="en"/>
              </w:rPr>
              <w:t>Luis Fernando Leyva Micolta</w:t>
            </w:r>
          </w:p>
        </w:tc>
      </w:tr>
      <w:tr w:rsidR="007E7A91" w:rsidRPr="00E80453" w:rsidTr="00F23DB9">
        <w:tc>
          <w:tcPr>
            <w:tcW w:w="4680" w:type="dxa"/>
            <w:tcBorders>
              <w:top w:val="single" w:sz="4" w:space="0" w:color="auto"/>
              <w:bottom w:val="single" w:sz="4"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4680" w:type="dxa"/>
            <w:tcBorders>
              <w:left w:val="single" w:sz="4" w:space="0" w:color="auto"/>
            </w:tcBorders>
            <w:vAlign w:val="center"/>
          </w:tcPr>
          <w:p w:rsidR="007E7A91" w:rsidRPr="00E80453" w:rsidRDefault="007E7A91" w:rsidP="00064153">
            <w:pPr>
              <w:jc w:val="both"/>
              <w:rPr>
                <w:rFonts w:ascii="Cambria" w:hAnsi="Cambria"/>
                <w:bCs/>
                <w:sz w:val="20"/>
                <w:szCs w:val="20"/>
              </w:rPr>
            </w:pPr>
            <w:r>
              <w:rPr>
                <w:rFonts w:ascii="Cambria" w:hAnsi="Cambria"/>
                <w:sz w:val="20"/>
                <w:szCs w:val="20"/>
                <w:lang w:val="en"/>
              </w:rPr>
              <w:t>Colombia</w:t>
            </w:r>
          </w:p>
        </w:tc>
      </w:tr>
      <w:tr w:rsidR="007E7A91" w:rsidRPr="001A5EBE" w:rsidTr="00F23DB9">
        <w:tc>
          <w:tcPr>
            <w:tcW w:w="4680" w:type="dxa"/>
            <w:tcBorders>
              <w:top w:val="single" w:sz="4"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4680" w:type="dxa"/>
            <w:tcBorders>
              <w:left w:val="single" w:sz="4" w:space="0" w:color="auto"/>
            </w:tcBorders>
            <w:vAlign w:val="center"/>
          </w:tcPr>
          <w:p w:rsidR="007E7A91" w:rsidRPr="00E80453" w:rsidRDefault="007E7A91" w:rsidP="00064153">
            <w:pPr>
              <w:jc w:val="both"/>
              <w:rPr>
                <w:rFonts w:ascii="Cambria" w:hAnsi="Cambria"/>
                <w:bCs/>
                <w:sz w:val="20"/>
                <w:szCs w:val="20"/>
              </w:rPr>
            </w:pPr>
            <w:r>
              <w:rPr>
                <w:rFonts w:ascii="Cambria" w:hAnsi="Cambria"/>
                <w:sz w:val="20"/>
                <w:szCs w:val="20"/>
                <w:lang w:val="en"/>
              </w:rPr>
              <w:t xml:space="preserve">Articles 5 (right to humane treatment), 8 (right to a fair trial), 9 (right to freedom from </w:t>
            </w:r>
            <w:r>
              <w:rPr>
                <w:rFonts w:ascii="Cambria" w:hAnsi="Cambria"/>
                <w:i/>
                <w:iCs/>
                <w:sz w:val="20"/>
                <w:szCs w:val="20"/>
                <w:lang w:val="en"/>
              </w:rPr>
              <w:t>ex post facto</w:t>
            </w:r>
            <w:r>
              <w:rPr>
                <w:rFonts w:ascii="Cambria" w:hAnsi="Cambria"/>
                <w:sz w:val="20"/>
                <w:szCs w:val="20"/>
                <w:lang w:val="en"/>
              </w:rPr>
              <w:t xml:space="preserve"> laws), 21 (right to property) and 25 (right to judicial protection) of the American Convention on Human Rights</w:t>
            </w:r>
            <w:r>
              <w:rPr>
                <w:rStyle w:val="FootnoteReference"/>
                <w:rFonts w:ascii="Cambria" w:hAnsi="Cambria"/>
                <w:sz w:val="20"/>
                <w:szCs w:val="20"/>
                <w:lang w:val="en"/>
              </w:rPr>
              <w:footnoteReference w:id="2"/>
            </w:r>
          </w:p>
        </w:tc>
      </w:tr>
    </w:tbl>
    <w:p w:rsidR="007E7A91" w:rsidRPr="00E80453" w:rsidRDefault="007E7A91" w:rsidP="007E7A91">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PROCEDURE BEFORE THE IACHR</w:t>
      </w:r>
      <w:r>
        <w:rPr>
          <w:rStyle w:val="FootnoteReference"/>
          <w:rFonts w:ascii="Cambria" w:hAnsi="Cambria"/>
          <w:b/>
          <w:bCs/>
          <w:sz w:val="20"/>
          <w:szCs w:val="20"/>
          <w:lang w:val="en"/>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E7A91" w:rsidRPr="00E80453" w:rsidTr="00F23DB9">
        <w:tc>
          <w:tcPr>
            <w:tcW w:w="4680" w:type="dxa"/>
            <w:tcBorders>
              <w:top w:val="single" w:sz="4"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Date on which the petition was submitted:</w:t>
            </w:r>
          </w:p>
        </w:tc>
        <w:tc>
          <w:tcPr>
            <w:tcW w:w="4680" w:type="dxa"/>
            <w:tcBorders>
              <w:left w:val="single" w:sz="4" w:space="0" w:color="auto"/>
            </w:tcBorders>
            <w:vAlign w:val="center"/>
          </w:tcPr>
          <w:p w:rsidR="007E7A91" w:rsidRPr="00E80453" w:rsidRDefault="007E7A91" w:rsidP="00064153">
            <w:pPr>
              <w:jc w:val="both"/>
              <w:rPr>
                <w:rFonts w:ascii="Cambria" w:hAnsi="Cambria"/>
                <w:bCs/>
                <w:sz w:val="20"/>
                <w:szCs w:val="20"/>
              </w:rPr>
            </w:pPr>
            <w:r>
              <w:rPr>
                <w:rFonts w:ascii="Cambria" w:hAnsi="Cambria"/>
                <w:sz w:val="20"/>
                <w:szCs w:val="20"/>
                <w:lang w:val="en"/>
              </w:rPr>
              <w:t>March 22, 2007</w:t>
            </w:r>
          </w:p>
        </w:tc>
      </w:tr>
      <w:tr w:rsidR="007E7A91" w:rsidRPr="00E80453" w:rsidTr="00F23DB9">
        <w:tc>
          <w:tcPr>
            <w:tcW w:w="4680" w:type="dxa"/>
            <w:tcBorders>
              <w:top w:val="single" w:sz="6"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Date the State was notified of the petition:</w:t>
            </w:r>
          </w:p>
        </w:tc>
        <w:tc>
          <w:tcPr>
            <w:tcW w:w="4680" w:type="dxa"/>
            <w:tcBorders>
              <w:left w:val="single" w:sz="4" w:space="0" w:color="auto"/>
            </w:tcBorders>
            <w:vAlign w:val="center"/>
          </w:tcPr>
          <w:p w:rsidR="007E7A91" w:rsidRPr="00E80453" w:rsidRDefault="007E7A91" w:rsidP="00064153">
            <w:pPr>
              <w:jc w:val="both"/>
              <w:rPr>
                <w:rFonts w:ascii="Cambria" w:hAnsi="Cambria"/>
                <w:bCs/>
                <w:sz w:val="20"/>
                <w:szCs w:val="20"/>
              </w:rPr>
            </w:pPr>
            <w:r>
              <w:rPr>
                <w:rFonts w:ascii="Cambria" w:hAnsi="Cambria"/>
                <w:sz w:val="20"/>
                <w:szCs w:val="20"/>
                <w:lang w:val="en"/>
              </w:rPr>
              <w:t>January 22, 2014</w:t>
            </w:r>
          </w:p>
        </w:tc>
      </w:tr>
      <w:tr w:rsidR="007E7A91" w:rsidRPr="00E80453" w:rsidTr="00F23DB9">
        <w:tc>
          <w:tcPr>
            <w:tcW w:w="4680" w:type="dxa"/>
            <w:tcBorders>
              <w:top w:val="single" w:sz="6"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Date of the State’s first response:</w:t>
            </w:r>
          </w:p>
        </w:tc>
        <w:tc>
          <w:tcPr>
            <w:tcW w:w="4680" w:type="dxa"/>
            <w:tcBorders>
              <w:left w:val="single" w:sz="4" w:space="0" w:color="auto"/>
            </w:tcBorders>
            <w:vAlign w:val="center"/>
          </w:tcPr>
          <w:p w:rsidR="007E7A91" w:rsidRPr="00E80453" w:rsidRDefault="007E7A91" w:rsidP="00064153">
            <w:pPr>
              <w:jc w:val="both"/>
              <w:rPr>
                <w:rFonts w:ascii="Cambria" w:hAnsi="Cambria"/>
                <w:bCs/>
                <w:sz w:val="20"/>
                <w:szCs w:val="20"/>
              </w:rPr>
            </w:pPr>
            <w:r>
              <w:rPr>
                <w:rFonts w:ascii="Cambria" w:hAnsi="Cambria"/>
                <w:sz w:val="20"/>
                <w:szCs w:val="20"/>
                <w:lang w:val="en"/>
              </w:rPr>
              <w:t>June 12, 2014</w:t>
            </w:r>
          </w:p>
        </w:tc>
      </w:tr>
      <w:tr w:rsidR="007E7A91" w:rsidRPr="001A5EBE" w:rsidTr="00F23DB9">
        <w:tc>
          <w:tcPr>
            <w:tcW w:w="4680" w:type="dxa"/>
            <w:tcBorders>
              <w:top w:val="single" w:sz="6"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observations from the petitioners:</w:t>
            </w:r>
          </w:p>
        </w:tc>
        <w:tc>
          <w:tcPr>
            <w:tcW w:w="4680" w:type="dxa"/>
            <w:tcBorders>
              <w:left w:val="single" w:sz="4" w:space="0" w:color="auto"/>
            </w:tcBorders>
            <w:vAlign w:val="center"/>
          </w:tcPr>
          <w:p w:rsidR="007E7A91" w:rsidRPr="00E80453" w:rsidRDefault="007E7A91" w:rsidP="00064153">
            <w:pPr>
              <w:jc w:val="both"/>
              <w:rPr>
                <w:rFonts w:ascii="Cambria" w:hAnsi="Cambria"/>
                <w:bCs/>
                <w:sz w:val="20"/>
                <w:szCs w:val="20"/>
              </w:rPr>
            </w:pPr>
            <w:r>
              <w:rPr>
                <w:rFonts w:ascii="Cambria" w:hAnsi="Cambria"/>
                <w:sz w:val="20"/>
                <w:szCs w:val="20"/>
                <w:lang w:val="en"/>
              </w:rPr>
              <w:t>July 21, 2014; July 22, 2014; November 18, 2014; and May 26, 2015</w:t>
            </w:r>
          </w:p>
        </w:tc>
      </w:tr>
      <w:tr w:rsidR="007E7A91" w:rsidRPr="00E80453" w:rsidTr="00F23DB9">
        <w:tc>
          <w:tcPr>
            <w:tcW w:w="4680" w:type="dxa"/>
            <w:tcBorders>
              <w:top w:val="single" w:sz="6"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observations from the State:</w:t>
            </w:r>
          </w:p>
        </w:tc>
        <w:tc>
          <w:tcPr>
            <w:tcW w:w="4680" w:type="dxa"/>
            <w:tcBorders>
              <w:left w:val="single" w:sz="4" w:space="0" w:color="auto"/>
            </w:tcBorders>
            <w:vAlign w:val="center"/>
          </w:tcPr>
          <w:p w:rsidR="007E7A91" w:rsidRPr="00E80453" w:rsidRDefault="007E7A91" w:rsidP="00064153">
            <w:pPr>
              <w:jc w:val="both"/>
              <w:rPr>
                <w:rFonts w:ascii="Cambria" w:hAnsi="Cambria"/>
                <w:bCs/>
                <w:sz w:val="20"/>
                <w:szCs w:val="20"/>
              </w:rPr>
            </w:pPr>
            <w:r>
              <w:rPr>
                <w:rFonts w:ascii="Cambria" w:hAnsi="Cambria"/>
                <w:sz w:val="20"/>
                <w:szCs w:val="20"/>
                <w:lang w:val="en"/>
              </w:rPr>
              <w:t>October 24, 2014</w:t>
            </w:r>
          </w:p>
        </w:tc>
      </w:tr>
    </w:tbl>
    <w:p w:rsidR="007E7A91" w:rsidRPr="00E80453" w:rsidRDefault="007E7A91" w:rsidP="007E7A91">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COMPETENCE</w:t>
      </w:r>
      <w:r>
        <w:rPr>
          <w:rFonts w:asciiTheme="majorHAnsi" w:hAnsiTheme="majorHAnsi"/>
          <w:sz w:val="20"/>
          <w:szCs w:val="20"/>
          <w:lang w:val="en"/>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E7A91" w:rsidRPr="00E80453" w:rsidTr="00F23DB9">
        <w:trPr>
          <w:cantSplit/>
        </w:trPr>
        <w:tc>
          <w:tcPr>
            <w:tcW w:w="4680" w:type="dxa"/>
            <w:tcBorders>
              <w:top w:val="single" w:sz="4"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Jurisdiction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4680" w:type="dxa"/>
            <w:tcBorders>
              <w:left w:val="single" w:sz="4" w:space="0" w:color="auto"/>
            </w:tcBorders>
            <w:vAlign w:val="center"/>
          </w:tcPr>
          <w:p w:rsidR="007E7A91" w:rsidRPr="00E80453" w:rsidRDefault="007E7A91" w:rsidP="00064153">
            <w:pPr>
              <w:rPr>
                <w:rFonts w:ascii="Cambria" w:hAnsi="Cambria"/>
                <w:bCs/>
                <w:sz w:val="20"/>
                <w:szCs w:val="20"/>
              </w:rPr>
            </w:pPr>
            <w:r>
              <w:rPr>
                <w:rFonts w:ascii="Cambria" w:hAnsi="Cambria"/>
                <w:sz w:val="20"/>
                <w:szCs w:val="20"/>
                <w:lang w:val="en"/>
              </w:rPr>
              <w:t>Yes</w:t>
            </w:r>
          </w:p>
        </w:tc>
      </w:tr>
      <w:tr w:rsidR="007E7A91" w:rsidRPr="00E80453" w:rsidTr="00F23DB9">
        <w:trPr>
          <w:cantSplit/>
        </w:trPr>
        <w:tc>
          <w:tcPr>
            <w:tcW w:w="4680" w:type="dxa"/>
            <w:tcBorders>
              <w:top w:val="single" w:sz="6"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Jurisdiction</w:t>
            </w:r>
            <w:r>
              <w:rPr>
                <w:rFonts w:ascii="Cambria" w:hAnsi="Cambria"/>
                <w:b/>
                <w:bCs/>
                <w:i/>
                <w:iCs/>
                <w:color w:val="FFFFFF" w:themeColor="background1"/>
                <w:sz w:val="20"/>
                <w:szCs w:val="20"/>
                <w:lang w:val="en"/>
              </w:rPr>
              <w:t xml:space="preserve"> ratione loci</w:t>
            </w:r>
            <w:r>
              <w:rPr>
                <w:rFonts w:ascii="Cambria" w:hAnsi="Cambria"/>
                <w:b/>
                <w:bCs/>
                <w:color w:val="FFFFFF" w:themeColor="background1"/>
                <w:sz w:val="20"/>
                <w:szCs w:val="20"/>
                <w:lang w:val="en"/>
              </w:rPr>
              <w:t>:</w:t>
            </w:r>
          </w:p>
        </w:tc>
        <w:tc>
          <w:tcPr>
            <w:tcW w:w="4680" w:type="dxa"/>
            <w:tcBorders>
              <w:left w:val="single" w:sz="4" w:space="0" w:color="auto"/>
            </w:tcBorders>
            <w:vAlign w:val="center"/>
          </w:tcPr>
          <w:p w:rsidR="007E7A91" w:rsidRPr="00E80453" w:rsidRDefault="007E7A91" w:rsidP="00064153">
            <w:pPr>
              <w:rPr>
                <w:rFonts w:ascii="Cambria" w:hAnsi="Cambria"/>
                <w:bCs/>
                <w:sz w:val="20"/>
                <w:szCs w:val="20"/>
              </w:rPr>
            </w:pPr>
            <w:r>
              <w:rPr>
                <w:rFonts w:ascii="Cambria" w:hAnsi="Cambria"/>
                <w:sz w:val="20"/>
                <w:szCs w:val="20"/>
                <w:lang w:val="en"/>
              </w:rPr>
              <w:t>Yes</w:t>
            </w:r>
          </w:p>
        </w:tc>
      </w:tr>
      <w:tr w:rsidR="007E7A91" w:rsidRPr="00E80453" w:rsidTr="00F23DB9">
        <w:trPr>
          <w:cantSplit/>
        </w:trPr>
        <w:tc>
          <w:tcPr>
            <w:tcW w:w="4680" w:type="dxa"/>
            <w:tcBorders>
              <w:top w:val="single" w:sz="6"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Jurisdiction</w:t>
            </w:r>
            <w:r>
              <w:rPr>
                <w:rFonts w:ascii="Cambria" w:hAnsi="Cambria"/>
                <w:b/>
                <w:bCs/>
                <w:i/>
                <w:iCs/>
                <w:color w:val="FFFFFF" w:themeColor="background1"/>
                <w:sz w:val="20"/>
                <w:szCs w:val="20"/>
                <w:lang w:val="en"/>
              </w:rPr>
              <w:t xml:space="preserve"> ratione temporis</w:t>
            </w:r>
            <w:r>
              <w:rPr>
                <w:rFonts w:ascii="Cambria" w:hAnsi="Cambria"/>
                <w:b/>
                <w:bCs/>
                <w:color w:val="FFFFFF" w:themeColor="background1"/>
                <w:sz w:val="20"/>
                <w:szCs w:val="20"/>
                <w:lang w:val="en"/>
              </w:rPr>
              <w:t>:</w:t>
            </w:r>
          </w:p>
        </w:tc>
        <w:tc>
          <w:tcPr>
            <w:tcW w:w="4680" w:type="dxa"/>
            <w:tcBorders>
              <w:left w:val="single" w:sz="4" w:space="0" w:color="auto"/>
            </w:tcBorders>
            <w:vAlign w:val="center"/>
          </w:tcPr>
          <w:p w:rsidR="007E7A91" w:rsidRPr="00E80453" w:rsidRDefault="007E7A91" w:rsidP="00064153">
            <w:pPr>
              <w:rPr>
                <w:bCs/>
                <w:sz w:val="20"/>
                <w:szCs w:val="20"/>
              </w:rPr>
            </w:pPr>
            <w:r>
              <w:rPr>
                <w:sz w:val="20"/>
                <w:szCs w:val="20"/>
                <w:lang w:val="en"/>
              </w:rPr>
              <w:t>Yes</w:t>
            </w:r>
          </w:p>
        </w:tc>
      </w:tr>
      <w:tr w:rsidR="007E7A91" w:rsidRPr="001A5EBE" w:rsidTr="00F23DB9">
        <w:trPr>
          <w:cantSplit/>
        </w:trPr>
        <w:tc>
          <w:tcPr>
            <w:tcW w:w="4680" w:type="dxa"/>
            <w:tcBorders>
              <w:top w:val="single" w:sz="6"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Jurisdiction</w:t>
            </w:r>
            <w:r>
              <w:rPr>
                <w:rFonts w:ascii="Cambria" w:hAnsi="Cambria"/>
                <w:b/>
                <w:bCs/>
                <w:i/>
                <w:iCs/>
                <w:color w:val="FFFFFF" w:themeColor="background1"/>
                <w:sz w:val="20"/>
                <w:szCs w:val="20"/>
                <w:lang w:val="en"/>
              </w:rPr>
              <w:t xml:space="preserve"> ratione materiae</w:t>
            </w:r>
            <w:r>
              <w:rPr>
                <w:rFonts w:ascii="Cambria" w:hAnsi="Cambria"/>
                <w:b/>
                <w:bCs/>
                <w:color w:val="FFFFFF" w:themeColor="background1"/>
                <w:sz w:val="20"/>
                <w:szCs w:val="20"/>
                <w:lang w:val="en"/>
              </w:rPr>
              <w:t>:</w:t>
            </w:r>
          </w:p>
        </w:tc>
        <w:tc>
          <w:tcPr>
            <w:tcW w:w="4680" w:type="dxa"/>
            <w:tcBorders>
              <w:left w:val="single" w:sz="4" w:space="0" w:color="auto"/>
            </w:tcBorders>
            <w:vAlign w:val="center"/>
          </w:tcPr>
          <w:p w:rsidR="007E7A91" w:rsidRPr="00E80453" w:rsidRDefault="007E7A91" w:rsidP="00064153">
            <w:pPr>
              <w:jc w:val="both"/>
              <w:rPr>
                <w:rFonts w:ascii="Cambria" w:hAnsi="Cambria"/>
                <w:bCs/>
                <w:sz w:val="20"/>
                <w:szCs w:val="20"/>
              </w:rPr>
            </w:pPr>
            <w:r>
              <w:rPr>
                <w:rFonts w:ascii="Cambria" w:hAnsi="Cambria"/>
                <w:sz w:val="20"/>
                <w:szCs w:val="20"/>
                <w:lang w:val="en"/>
              </w:rPr>
              <w:t>Yes, American Convention (instrument of ratification deposited on July 31, 1973)</w:t>
            </w:r>
          </w:p>
        </w:tc>
      </w:tr>
    </w:tbl>
    <w:p w:rsidR="007E7A91" w:rsidRPr="00E80453" w:rsidRDefault="007E7A91" w:rsidP="007E7A91">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ANALYSIS OF 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E7A91" w:rsidRPr="00E80453" w:rsidTr="00F23DB9">
        <w:trPr>
          <w:cantSplit/>
        </w:trPr>
        <w:tc>
          <w:tcPr>
            <w:tcW w:w="4680" w:type="dxa"/>
            <w:tcBorders>
              <w:top w:val="single" w:sz="4"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proceedings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4680" w:type="dxa"/>
            <w:tcBorders>
              <w:left w:val="single" w:sz="4" w:space="0" w:color="auto"/>
            </w:tcBorders>
            <w:vAlign w:val="center"/>
          </w:tcPr>
          <w:p w:rsidR="007E7A91" w:rsidRPr="00E80453" w:rsidRDefault="007E7A91" w:rsidP="00064153">
            <w:pPr>
              <w:jc w:val="both"/>
              <w:rPr>
                <w:rFonts w:ascii="Cambria" w:hAnsi="Cambria"/>
                <w:bCs/>
                <w:sz w:val="20"/>
                <w:szCs w:val="20"/>
              </w:rPr>
            </w:pPr>
            <w:r>
              <w:rPr>
                <w:rFonts w:ascii="Cambria" w:hAnsi="Cambria"/>
                <w:sz w:val="20"/>
                <w:szCs w:val="20"/>
                <w:lang w:val="en"/>
              </w:rPr>
              <w:t>No</w:t>
            </w:r>
          </w:p>
        </w:tc>
      </w:tr>
      <w:tr w:rsidR="007E7A91" w:rsidRPr="001A5EBE" w:rsidTr="00F23DB9">
        <w:trPr>
          <w:cantSplit/>
        </w:trPr>
        <w:tc>
          <w:tcPr>
            <w:tcW w:w="4680" w:type="dxa"/>
            <w:tcBorders>
              <w:top w:val="single" w:sz="6"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4680" w:type="dxa"/>
            <w:tcBorders>
              <w:left w:val="single" w:sz="4" w:space="0" w:color="auto"/>
            </w:tcBorders>
            <w:vAlign w:val="center"/>
          </w:tcPr>
          <w:p w:rsidR="007E7A91" w:rsidRPr="00E80453" w:rsidRDefault="007E7A91" w:rsidP="00064153">
            <w:pPr>
              <w:jc w:val="both"/>
              <w:rPr>
                <w:rFonts w:ascii="Cambria" w:hAnsi="Cambria"/>
                <w:bCs/>
                <w:sz w:val="20"/>
                <w:szCs w:val="20"/>
              </w:rPr>
            </w:pPr>
            <w:r>
              <w:rPr>
                <w:rFonts w:ascii="Cambria" w:hAnsi="Cambria"/>
                <w:sz w:val="20"/>
                <w:szCs w:val="20"/>
                <w:lang w:val="en"/>
              </w:rPr>
              <w:t xml:space="preserve">Articles 8 (right to a fair trial), 9 (right to freedom from </w:t>
            </w:r>
            <w:r>
              <w:rPr>
                <w:rFonts w:ascii="Cambria" w:hAnsi="Cambria"/>
                <w:i/>
                <w:iCs/>
                <w:sz w:val="20"/>
                <w:szCs w:val="20"/>
                <w:lang w:val="en"/>
              </w:rPr>
              <w:t>ex post facto</w:t>
            </w:r>
            <w:r>
              <w:rPr>
                <w:rFonts w:ascii="Cambria" w:hAnsi="Cambria"/>
                <w:sz w:val="20"/>
                <w:szCs w:val="20"/>
                <w:lang w:val="en"/>
              </w:rPr>
              <w:t xml:space="preserve"> laws), 21 (right to property) and 25 (right to judicial protection) of the American Convention, in accordance with Articles 1.1 and 2 of said instrument</w:t>
            </w:r>
          </w:p>
        </w:tc>
      </w:tr>
      <w:tr w:rsidR="007E7A91" w:rsidRPr="001A5EBE" w:rsidTr="00F23DB9">
        <w:trPr>
          <w:cantSplit/>
        </w:trPr>
        <w:tc>
          <w:tcPr>
            <w:tcW w:w="4680" w:type="dxa"/>
            <w:tcBorders>
              <w:top w:val="single" w:sz="6"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appropriateness of an exception:</w:t>
            </w:r>
          </w:p>
        </w:tc>
        <w:tc>
          <w:tcPr>
            <w:tcW w:w="4680" w:type="dxa"/>
            <w:tcBorders>
              <w:left w:val="single" w:sz="4" w:space="0" w:color="auto"/>
            </w:tcBorders>
            <w:vAlign w:val="center"/>
          </w:tcPr>
          <w:p w:rsidR="007E7A91" w:rsidRPr="00E80453" w:rsidRDefault="007E7A91" w:rsidP="00064153">
            <w:pPr>
              <w:rPr>
                <w:rFonts w:ascii="Cambria" w:hAnsi="Cambria"/>
                <w:bCs/>
                <w:sz w:val="20"/>
                <w:szCs w:val="20"/>
              </w:rPr>
            </w:pPr>
            <w:r>
              <w:rPr>
                <w:rFonts w:ascii="Cambria" w:hAnsi="Cambria"/>
                <w:sz w:val="20"/>
                <w:szCs w:val="20"/>
                <w:lang w:val="en"/>
              </w:rPr>
              <w:t>Yes, on November 7, 2006</w:t>
            </w:r>
          </w:p>
        </w:tc>
      </w:tr>
      <w:tr w:rsidR="007E7A91" w:rsidRPr="001A5EBE" w:rsidTr="00F23DB9">
        <w:trPr>
          <w:cantSplit/>
        </w:trPr>
        <w:tc>
          <w:tcPr>
            <w:tcW w:w="4680" w:type="dxa"/>
            <w:tcBorders>
              <w:top w:val="single" w:sz="6" w:space="0" w:color="auto"/>
              <w:bottom w:val="single" w:sz="6" w:space="0" w:color="auto"/>
              <w:right w:val="single" w:sz="4" w:space="0" w:color="auto"/>
            </w:tcBorders>
            <w:shd w:val="clear" w:color="auto" w:fill="67AE3C"/>
            <w:vAlign w:val="center"/>
          </w:tcPr>
          <w:p w:rsidR="007E7A91" w:rsidRPr="00E80453" w:rsidRDefault="007E7A91" w:rsidP="00064153">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submission:</w:t>
            </w:r>
          </w:p>
        </w:tc>
        <w:tc>
          <w:tcPr>
            <w:tcW w:w="4680" w:type="dxa"/>
            <w:tcBorders>
              <w:left w:val="single" w:sz="4" w:space="0" w:color="auto"/>
            </w:tcBorders>
            <w:vAlign w:val="center"/>
          </w:tcPr>
          <w:p w:rsidR="007E7A91" w:rsidRPr="00E80453" w:rsidRDefault="007E7A91" w:rsidP="00064153">
            <w:pPr>
              <w:rPr>
                <w:bCs/>
                <w:sz w:val="20"/>
                <w:szCs w:val="20"/>
              </w:rPr>
            </w:pPr>
            <w:r>
              <w:rPr>
                <w:rFonts w:ascii="Cambria" w:hAnsi="Cambria"/>
                <w:sz w:val="20"/>
                <w:szCs w:val="20"/>
                <w:lang w:val="en"/>
              </w:rPr>
              <w:t>Yes, on March 22, 2007</w:t>
            </w:r>
          </w:p>
        </w:tc>
      </w:tr>
    </w:tbl>
    <w:p w:rsidR="007E7A91" w:rsidRPr="00E80453" w:rsidRDefault="007E7A91" w:rsidP="007E7A91">
      <w:pPr>
        <w:spacing w:before="240" w:after="240"/>
        <w:ind w:firstLine="720"/>
        <w:jc w:val="both"/>
        <w:rPr>
          <w:rFonts w:asciiTheme="majorHAnsi" w:hAnsiTheme="majorHAnsi"/>
          <w:b/>
          <w:sz w:val="20"/>
          <w:szCs w:val="20"/>
        </w:rPr>
      </w:pPr>
      <w:r>
        <w:rPr>
          <w:rFonts w:asciiTheme="majorHAnsi" w:hAnsiTheme="majorHAnsi"/>
          <w:b/>
          <w:bCs/>
          <w:sz w:val="20"/>
          <w:szCs w:val="20"/>
          <w:lang w:val="en"/>
        </w:rPr>
        <w:lastRenderedPageBreak/>
        <w:t xml:space="preserve">V. </w:t>
      </w:r>
      <w:r>
        <w:rPr>
          <w:rFonts w:asciiTheme="majorHAnsi" w:hAnsiTheme="majorHAnsi"/>
          <w:b/>
          <w:bCs/>
          <w:sz w:val="20"/>
          <w:szCs w:val="20"/>
          <w:lang w:val="en"/>
        </w:rPr>
        <w:tab/>
        <w:t>ALLEGED FACTS</w:t>
      </w:r>
      <w:r>
        <w:rPr>
          <w:rFonts w:asciiTheme="majorHAnsi" w:hAnsiTheme="majorHAnsi"/>
          <w:sz w:val="20"/>
          <w:szCs w:val="20"/>
          <w:lang w:val="en"/>
        </w:rPr>
        <w:t xml:space="preserve"> </w:t>
      </w:r>
    </w:p>
    <w:p w:rsidR="007E7A91" w:rsidRDefault="007E7A91" w:rsidP="005602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The petitioners claim that Luis Fernando Leyva Micolta (hereinafter “Mr. Leyva” or “the alleged victim”) was partner and president of the firm ASVALORES S.A. (hereinafter “the firm” or “ASVALORES”), which was subjected to an investigation for alleged illegal financial dealings. The petitioners note that the Public Prosecutor’s Office initiated a criminal investigation for unjust enrichment against the firm’s legal representative, the alleged victim and other people with ties to ASVALORES. They claim that, from that prosecution, the Public Prosecutor’s Office initiated a forfeiture action against the legal representative and his heirs, which was extended to Mr. Leyva for his ties to ASVALORES. The petitioners allege that, in the framework of this forfeiture procedure, the alleged victim’s right to property of his assets was declared extinguished, disregarding the evidence, due process and the principle of freedom from </w:t>
      </w:r>
      <w:r>
        <w:rPr>
          <w:rFonts w:ascii="Cambria" w:hAnsi="Cambria"/>
          <w:i/>
          <w:iCs/>
          <w:sz w:val="20"/>
          <w:szCs w:val="20"/>
          <w:lang w:val="en"/>
        </w:rPr>
        <w:t>ex post facto</w:t>
      </w:r>
      <w:r>
        <w:rPr>
          <w:rFonts w:ascii="Cambria" w:hAnsi="Cambria"/>
          <w:sz w:val="20"/>
          <w:szCs w:val="20"/>
          <w:lang w:val="en"/>
        </w:rPr>
        <w:t xml:space="preserve"> laws. </w:t>
      </w:r>
    </w:p>
    <w:p w:rsidR="007E7A91"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The petitioners note that criminal charges were filed against the alleged victim for unjust enrichment on September 8, 1999. Given these charges, the Public Prosecutor’s Office initiated </w:t>
      </w:r>
      <w:r>
        <w:rPr>
          <w:rFonts w:ascii="Cambria" w:hAnsi="Cambria"/>
          <w:i/>
          <w:iCs/>
          <w:sz w:val="20"/>
          <w:szCs w:val="20"/>
          <w:lang w:val="en"/>
        </w:rPr>
        <w:t>ex officio</w:t>
      </w:r>
      <w:r>
        <w:rPr>
          <w:rFonts w:ascii="Cambria" w:hAnsi="Cambria"/>
          <w:sz w:val="20"/>
          <w:szCs w:val="20"/>
          <w:lang w:val="en"/>
        </w:rPr>
        <w:t xml:space="preserve"> a forfeiture action against the legal representative of ASVALORES on July 16, 2001, which was extended to Mr. Leyva’s assets. In these proceedings, the Public Prosecutor’s Office filed on January 14, 2002, before the Second Criminal Court of the Specialized Circuit, a request to change the </w:t>
      </w:r>
      <w:r w:rsidR="00B76ABF">
        <w:rPr>
          <w:rFonts w:ascii="Cambria" w:hAnsi="Cambria"/>
          <w:sz w:val="20"/>
          <w:szCs w:val="20"/>
          <w:lang w:val="en"/>
        </w:rPr>
        <w:t>chaeges</w:t>
      </w:r>
      <w:r>
        <w:rPr>
          <w:rFonts w:ascii="Cambria" w:hAnsi="Cambria"/>
          <w:sz w:val="20"/>
          <w:szCs w:val="20"/>
          <w:lang w:val="en"/>
        </w:rPr>
        <w:t xml:space="preserve"> from unjust enrichment to receiving stolen property; such proceedings were ruled to have exceeded the statute of limitations on November 29, 2004.</w:t>
      </w:r>
    </w:p>
    <w:p w:rsidR="007E7A91"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The petitioners allege that, in the framework of the forfeiture proceedings, on June 4, 2002, and on September 9, 2002, the alleged victim requested that the forfeiture action be declared inadmissible, arguing that this action is only appropriate when there is unjust enrichment and that forfeiture is not applicable to receiving stolen property, in accordance with Act 333 of 1996, which was in force at the time of the events. They further note that, although Act 793 of 2002 established the origin of the action with respect to the crime of receiving stolen property, it was not applicable because it went into force after the events. On October 28, 2002, the Public Prosecutor’s Office confirmed that the action was admissible, noting that receiving stolen property is equivalent to money laundering because </w:t>
      </w:r>
      <w:r w:rsidR="00B76ABF">
        <w:rPr>
          <w:rFonts w:ascii="Cambria" w:hAnsi="Cambria"/>
          <w:sz w:val="20"/>
          <w:szCs w:val="20"/>
          <w:lang w:val="en"/>
        </w:rPr>
        <w:t>the criminal offense examines</w:t>
      </w:r>
      <w:r>
        <w:rPr>
          <w:rFonts w:ascii="Cambria" w:hAnsi="Cambria"/>
          <w:sz w:val="20"/>
          <w:szCs w:val="20"/>
          <w:lang w:val="en"/>
        </w:rPr>
        <w:t xml:space="preserve"> the origin of the assets and those assets were acquired with ill-gotten funds. On December 24, 2002, the Second Specialized Criminal Court in Cali initiated proceedings on the forfeiture action. </w:t>
      </w:r>
    </w:p>
    <w:p w:rsidR="007E7A91" w:rsidRPr="00A23F8A"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The petitioners note that, on April 9, 2003, the alleged victim repeated its request for the action to be declared inadmissible before the Second Specialized Criminal Court in Cali. On April 28, 2003, the Attorney General’s Office ruled that the forfeiture action was not admissible, since equating money laundering with receiving stolen property is against the legality principle embedded in due process. The petitioners note that, on May 19, 2003, the Second Specialized Criminal Court in Cali asked the Public Prosecutor’s Office to submit evidence about the alleged victim’s income, in order to establish whether there was an unjustified asset growth. The petitioners note that the Public Prosecutor’s Office did not submit any evidence that challenged Mr. Leyva’s income.</w:t>
      </w:r>
    </w:p>
    <w:p w:rsidR="007E7A91"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The petitioners note that, on February 23, 2004, the forfeiture proceedings were reassigned to the First Relief Court in Bogota, which changed the judge in violation of the alleged victim’s right to a fair trial. On December 30, 2004, the First Relief Court in Bogota ruled in favor of forfeiture for Mr. Leyva, on the grounds that the alleged victim’s ties to the firm ASVALORES would have enabled him to be aware of irregularities in its financial dealings. The petitioners note that Mr. Leyva appealed that decision before the Higher Court for the Bogota Judicial District, which confirmed the lower court’s ruling on February 24, 2006, and said there was concurrence with several accounts of illicit origin. The petitioners claim that the evidence submitted in the proceedings was not adequately assessed, that due process was not respected and that Act 793 of 2002 was applied </w:t>
      </w:r>
      <w:r>
        <w:rPr>
          <w:rFonts w:ascii="Cambria" w:hAnsi="Cambria"/>
          <w:i/>
          <w:iCs/>
          <w:sz w:val="20"/>
          <w:szCs w:val="20"/>
          <w:lang w:val="en"/>
        </w:rPr>
        <w:t>ex post facto</w:t>
      </w:r>
      <w:r>
        <w:rPr>
          <w:rFonts w:ascii="Cambria" w:hAnsi="Cambria"/>
          <w:sz w:val="20"/>
          <w:szCs w:val="20"/>
          <w:lang w:val="en"/>
        </w:rPr>
        <w:t>.</w:t>
      </w:r>
    </w:p>
    <w:p w:rsidR="007E7A91"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They note that the alleged victim submitted an action for </w:t>
      </w:r>
      <w:r>
        <w:rPr>
          <w:rFonts w:ascii="Cambria" w:hAnsi="Cambria"/>
          <w:i/>
          <w:iCs/>
          <w:sz w:val="20"/>
          <w:szCs w:val="20"/>
          <w:lang w:val="en"/>
        </w:rPr>
        <w:t xml:space="preserve">tutela </w:t>
      </w:r>
      <w:r>
        <w:rPr>
          <w:rFonts w:ascii="Cambria" w:hAnsi="Cambria"/>
          <w:sz w:val="20"/>
          <w:szCs w:val="20"/>
          <w:lang w:val="en"/>
        </w:rPr>
        <w:t xml:space="preserve">(protection) before the Supreme Court of Justice on March 17, 2006, which was declared inadmissible on April 4, 2006, because the Court deemed that an action for </w:t>
      </w:r>
      <w:r>
        <w:rPr>
          <w:rFonts w:ascii="Cambria" w:hAnsi="Cambria"/>
          <w:i/>
          <w:iCs/>
          <w:sz w:val="20"/>
          <w:szCs w:val="20"/>
          <w:lang w:val="en"/>
        </w:rPr>
        <w:t>tutela</w:t>
      </w:r>
      <w:r>
        <w:rPr>
          <w:rFonts w:ascii="Cambria" w:hAnsi="Cambria"/>
          <w:sz w:val="20"/>
          <w:szCs w:val="20"/>
          <w:lang w:val="en"/>
        </w:rPr>
        <w:t xml:space="preserve"> is not appropriate against court decisions. On November 7, 2006, the Constitutional Court decided, based on its attributions for discretionary selection, not to choose this case for review.</w:t>
      </w:r>
    </w:p>
    <w:p w:rsidR="007E7A91"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lastRenderedPageBreak/>
        <w:t xml:space="preserve">The State deems that, in forfeiture proceedings, the illicit origin of the resources used to acquire the assets subjected to forfeiture was adequately proved, as were the alleged victim’s ties to ASVALORES and its legal representative. The State further argues that the forfeiture action is autonomous and independent from criminal responsibility proceedings, and that such independence enabled forfeiture proceedings to continue even after the statute of limitations was declared to have been exceeded. The State further claims that the legal basis for the forfeiture action does not arise from the </w:t>
      </w:r>
      <w:r w:rsidR="00B76ABF">
        <w:rPr>
          <w:rFonts w:ascii="Cambria" w:hAnsi="Cambria"/>
          <w:sz w:val="20"/>
          <w:szCs w:val="20"/>
          <w:lang w:val="en"/>
        </w:rPr>
        <w:t xml:space="preserve">charges </w:t>
      </w:r>
      <w:r>
        <w:rPr>
          <w:rFonts w:ascii="Cambria" w:hAnsi="Cambria"/>
          <w:sz w:val="20"/>
          <w:szCs w:val="20"/>
          <w:lang w:val="en"/>
        </w:rPr>
        <w:t>in criminal proceedings, and therefore that the principles of criminal proceedings are not applicable to this action: it is a constitutional action rather than one that seeks by nature to impose penalties.</w:t>
      </w:r>
    </w:p>
    <w:p w:rsidR="007E7A91" w:rsidRPr="002805F0"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With regard to the alleged </w:t>
      </w:r>
      <w:r>
        <w:rPr>
          <w:rFonts w:ascii="Cambria" w:hAnsi="Cambria"/>
          <w:i/>
          <w:iCs/>
          <w:sz w:val="20"/>
          <w:szCs w:val="20"/>
          <w:lang w:val="en"/>
        </w:rPr>
        <w:t>ex post facto</w:t>
      </w:r>
      <w:r>
        <w:rPr>
          <w:rFonts w:ascii="Cambria" w:hAnsi="Cambria"/>
          <w:sz w:val="20"/>
          <w:szCs w:val="20"/>
          <w:lang w:val="en"/>
        </w:rPr>
        <w:t xml:space="preserve"> application of the law, the State claims that the right to freedom from </w:t>
      </w:r>
      <w:r>
        <w:rPr>
          <w:rFonts w:ascii="Cambria" w:hAnsi="Cambria"/>
          <w:i/>
          <w:iCs/>
          <w:sz w:val="20"/>
          <w:szCs w:val="20"/>
          <w:lang w:val="en"/>
        </w:rPr>
        <w:t>ex post facto</w:t>
      </w:r>
      <w:r>
        <w:rPr>
          <w:rFonts w:ascii="Cambria" w:hAnsi="Cambria"/>
          <w:sz w:val="20"/>
          <w:szCs w:val="20"/>
          <w:lang w:val="en"/>
        </w:rPr>
        <w:t xml:space="preserve"> laws has not been violated, since this action is by its very nature not associated with criminal justice. The State cites jurisprudence from the Constitutional Court based on sentence C-374/97, which was issued in a case that is </w:t>
      </w:r>
      <w:r w:rsidR="00B76ABF">
        <w:rPr>
          <w:rFonts w:ascii="Cambria" w:hAnsi="Cambria"/>
          <w:sz w:val="20"/>
          <w:szCs w:val="20"/>
          <w:lang w:val="en"/>
        </w:rPr>
        <w:t>separate</w:t>
      </w:r>
      <w:r>
        <w:rPr>
          <w:rFonts w:ascii="Cambria" w:hAnsi="Cambria"/>
          <w:sz w:val="20"/>
          <w:szCs w:val="20"/>
          <w:lang w:val="en"/>
        </w:rPr>
        <w:t xml:space="preserve"> from this petition. According to that sentence, applying Act 793 of 2002 “does not violate the principle of freedom from </w:t>
      </w:r>
      <w:r>
        <w:rPr>
          <w:rFonts w:ascii="Cambria" w:hAnsi="Cambria"/>
          <w:i/>
          <w:iCs/>
          <w:sz w:val="20"/>
          <w:szCs w:val="20"/>
          <w:lang w:val="en"/>
        </w:rPr>
        <w:t>ex post facto</w:t>
      </w:r>
      <w:r>
        <w:rPr>
          <w:rFonts w:ascii="Cambria" w:hAnsi="Cambria"/>
          <w:sz w:val="20"/>
          <w:szCs w:val="20"/>
          <w:lang w:val="en"/>
        </w:rPr>
        <w:t xml:space="preserve"> laws of criminal law, firstly because, as was said before, it does not deal with the imposition of penalties, and secondly because the legal term it refers to does not correspond to the concept of retroactivity in its genuine sense but rather to the concept of retrospectivity.” In this respect, the State concludes that the application of Act 793 of 2002 in this case complies with constitutional and conventional standards and that the events mentioned in this petition do not tend to prove violations of the rights enshrined in the American Convention, since the State has a judicial and constitutional duty to secure forfeiture, through a court ruling, when it has been proved that the origin of the assets in question was illicit.</w:t>
      </w:r>
    </w:p>
    <w:p w:rsidR="007E7A91" w:rsidRPr="00E80453"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 The State further alleges that this petition establishes a “court of fourth instance,” since domestic decisions were adopted in full compliance with due process and with the rights enshrined in the American Convention. The State also notes that the petitioners seek a review of decisions that were contrary to their </w:t>
      </w:r>
      <w:r w:rsidR="00B76ABF">
        <w:rPr>
          <w:rFonts w:ascii="Cambria" w:hAnsi="Cambria"/>
          <w:sz w:val="20"/>
          <w:szCs w:val="20"/>
          <w:lang w:val="en"/>
        </w:rPr>
        <w:t>expectations</w:t>
      </w:r>
      <w:r>
        <w:rPr>
          <w:rFonts w:ascii="Cambria" w:hAnsi="Cambria"/>
          <w:sz w:val="20"/>
          <w:szCs w:val="20"/>
          <w:lang w:val="en"/>
        </w:rPr>
        <w:t xml:space="preserve">, knowing that </w:t>
      </w:r>
      <w:r w:rsidR="00B76ABF">
        <w:rPr>
          <w:rFonts w:ascii="Cambria" w:hAnsi="Cambria"/>
          <w:sz w:val="20"/>
          <w:szCs w:val="20"/>
          <w:lang w:val="en"/>
        </w:rPr>
        <w:t xml:space="preserve">the </w:t>
      </w:r>
      <w:r>
        <w:rPr>
          <w:rFonts w:ascii="Cambria" w:hAnsi="Cambria"/>
          <w:sz w:val="20"/>
          <w:szCs w:val="20"/>
          <w:lang w:val="en"/>
        </w:rPr>
        <w:t>decisions regarding the alleged victim were duly justified and were based on the evidence that was submitted and on the analysis of the elements of fact and law.</w:t>
      </w:r>
    </w:p>
    <w:p w:rsidR="007E7A91" w:rsidRPr="00E80453" w:rsidRDefault="007E7A91" w:rsidP="007E7A91">
      <w:pPr>
        <w:spacing w:before="240" w:after="240"/>
        <w:ind w:firstLine="720"/>
        <w:jc w:val="both"/>
        <w:rPr>
          <w:rFonts w:ascii="Cambria" w:hAnsi="Cambria"/>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EXHAUSTION OF DOMESTIC REMEDIES AND TIMELINESS OF THE PETITION</w:t>
      </w:r>
      <w:r>
        <w:rPr>
          <w:rFonts w:asciiTheme="majorHAnsi" w:hAnsiTheme="majorHAnsi"/>
          <w:color w:val="000000"/>
          <w:sz w:val="20"/>
          <w:szCs w:val="20"/>
          <w:u w:color="000000"/>
          <w:lang w:val="en"/>
        </w:rPr>
        <w:t xml:space="preserve"> </w:t>
      </w:r>
    </w:p>
    <w:p w:rsidR="007E7A91" w:rsidRPr="00FD4F1D"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Given the positions of the parties and taking into account the information available in the case file, the Inter-American Commission considers that domestic remedies were definitively exhausted with the Constitutional Court ruling of November 7, 2006,</w:t>
      </w:r>
      <w:r>
        <w:rPr>
          <w:lang w:val="en"/>
        </w:rPr>
        <w:t xml:space="preserve"> </w:t>
      </w:r>
      <w:r>
        <w:rPr>
          <w:rFonts w:ascii="Cambria" w:hAnsi="Cambria"/>
          <w:sz w:val="20"/>
          <w:szCs w:val="20"/>
          <w:lang w:val="en"/>
        </w:rPr>
        <w:t>with which that supreme court decided not to examine the</w:t>
      </w:r>
      <w:r w:rsidR="00B76ABF">
        <w:rPr>
          <w:rFonts w:ascii="Cambria" w:hAnsi="Cambria"/>
          <w:sz w:val="20"/>
          <w:szCs w:val="20"/>
          <w:lang w:val="en"/>
        </w:rPr>
        <w:t xml:space="preserve"> appeal on constitutional grounds</w:t>
      </w:r>
      <w:r>
        <w:rPr>
          <w:rFonts w:ascii="Cambria" w:hAnsi="Cambria"/>
          <w:sz w:val="20"/>
          <w:szCs w:val="20"/>
          <w:lang w:val="en"/>
        </w:rPr>
        <w:t xml:space="preserve"> </w:t>
      </w:r>
      <w:r w:rsidR="00B76ABF">
        <w:rPr>
          <w:rFonts w:ascii="Cambria" w:hAnsi="Cambria"/>
          <w:sz w:val="20"/>
          <w:szCs w:val="20"/>
          <w:lang w:val="en"/>
        </w:rPr>
        <w:t>(</w:t>
      </w:r>
      <w:r>
        <w:rPr>
          <w:rFonts w:ascii="Cambria" w:hAnsi="Cambria"/>
          <w:i/>
          <w:iCs/>
          <w:sz w:val="20"/>
          <w:szCs w:val="20"/>
          <w:lang w:val="en"/>
        </w:rPr>
        <w:t>tutela</w:t>
      </w:r>
      <w:r w:rsidR="00B76ABF">
        <w:rPr>
          <w:rFonts w:ascii="Cambria" w:hAnsi="Cambria"/>
          <w:iCs/>
          <w:sz w:val="20"/>
          <w:szCs w:val="20"/>
          <w:lang w:val="en"/>
        </w:rPr>
        <w:t>)</w:t>
      </w:r>
      <w:r>
        <w:rPr>
          <w:rFonts w:ascii="Cambria" w:hAnsi="Cambria"/>
          <w:sz w:val="20"/>
          <w:szCs w:val="20"/>
          <w:lang w:val="en"/>
        </w:rPr>
        <w:t xml:space="preserve"> file in the alleged victim’s case. In this sense, the Commission notes that the case could have been selected for review by the constitutional jurisdiction, since this was in principle an appropriate judicial way to protect the judicial situation that had been violated within the domestic legal system. Further, given that the Commission received the petition on March 22, 2007, within the six months that followed the aforementioned court decision, the petition satisfies the admissibility requirements set forth in Articles 46.1(a) and 46.1(b) of the American Convention.</w:t>
      </w:r>
    </w:p>
    <w:p w:rsidR="007E7A91" w:rsidRPr="00E80453" w:rsidRDefault="007E7A91" w:rsidP="007E7A91">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COLORABLE CLAIM</w:t>
      </w:r>
    </w:p>
    <w:p w:rsidR="007E7A91"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 xml:space="preserve">In light of the factual and legal arguments provided by the petitioners and the nature of the matter being heard, the Commission deems that the allegations related to forfeiture in violation of the principles of due process and the alleged </w:t>
      </w:r>
      <w:r>
        <w:rPr>
          <w:rFonts w:ascii="Cambria" w:hAnsi="Cambria"/>
          <w:i/>
          <w:iCs/>
          <w:sz w:val="20"/>
          <w:szCs w:val="20"/>
          <w:lang w:val="en"/>
        </w:rPr>
        <w:t>ex post facto</w:t>
      </w:r>
      <w:r>
        <w:rPr>
          <w:rFonts w:ascii="Cambria" w:hAnsi="Cambria"/>
          <w:sz w:val="20"/>
          <w:szCs w:val="20"/>
          <w:lang w:val="en"/>
        </w:rPr>
        <w:t xml:space="preserve"> application of Act 793 of 2002</w:t>
      </w:r>
      <w:r>
        <w:rPr>
          <w:rStyle w:val="FootnoteReference"/>
          <w:rFonts w:ascii="Cambria" w:hAnsi="Cambria"/>
          <w:sz w:val="20"/>
          <w:szCs w:val="20"/>
          <w:lang w:val="en"/>
        </w:rPr>
        <w:footnoteReference w:id="4"/>
      </w:r>
      <w:r>
        <w:rPr>
          <w:rFonts w:ascii="Cambria" w:hAnsi="Cambria"/>
          <w:sz w:val="20"/>
          <w:szCs w:val="20"/>
          <w:lang w:val="en"/>
        </w:rPr>
        <w:t xml:space="preserve"> in order to extend the admissibility of the forfeiture action to the case of the alleged victim could </w:t>
      </w:r>
      <w:r>
        <w:rPr>
          <w:rFonts w:ascii="Cambria" w:hAnsi="Cambria"/>
          <w:i/>
          <w:iCs/>
          <w:sz w:val="20"/>
          <w:szCs w:val="20"/>
          <w:lang w:val="en"/>
        </w:rPr>
        <w:t>prima facie</w:t>
      </w:r>
      <w:r>
        <w:rPr>
          <w:rFonts w:ascii="Cambria" w:hAnsi="Cambria"/>
          <w:sz w:val="20"/>
          <w:szCs w:val="20"/>
          <w:lang w:val="en"/>
        </w:rPr>
        <w:t xml:space="preserve"> characterize violations of Articles 8 (right to a fair trial), 9 (right to freedom from </w:t>
      </w:r>
      <w:r>
        <w:rPr>
          <w:rFonts w:ascii="Cambria" w:hAnsi="Cambria"/>
          <w:i/>
          <w:iCs/>
          <w:sz w:val="20"/>
          <w:szCs w:val="20"/>
          <w:lang w:val="en"/>
        </w:rPr>
        <w:t>ex post facto</w:t>
      </w:r>
      <w:r>
        <w:rPr>
          <w:rFonts w:ascii="Cambria" w:hAnsi="Cambria"/>
          <w:sz w:val="20"/>
          <w:szCs w:val="20"/>
          <w:lang w:val="en"/>
        </w:rPr>
        <w:t xml:space="preserve"> laws), 21 (right to property) and 25 (right to judicial protection) of the American Convention, in accordance with Articles 1.1 (obligation to respect rights) and 2 (domestic legal effects) of said treaty, to the detriment of Mr. Luis Fernando Leyva Micolta.</w:t>
      </w:r>
    </w:p>
    <w:p w:rsidR="007E7A91"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lastRenderedPageBreak/>
        <w:t xml:space="preserve">Regarding the claim over the alleged violation of Article 5 (right to humane treatment) of the American Convention, the Commission notes that the petitioners have not filed allegations or submitted sufficient supporting elements to warrant </w:t>
      </w:r>
      <w:r>
        <w:rPr>
          <w:rFonts w:ascii="Cambria" w:hAnsi="Cambria"/>
          <w:i/>
          <w:iCs/>
          <w:sz w:val="20"/>
          <w:szCs w:val="20"/>
          <w:lang w:val="en"/>
        </w:rPr>
        <w:t>prima facie</w:t>
      </w:r>
      <w:r>
        <w:rPr>
          <w:rFonts w:ascii="Cambria" w:hAnsi="Cambria"/>
          <w:sz w:val="20"/>
          <w:szCs w:val="20"/>
          <w:lang w:val="en"/>
        </w:rPr>
        <w:t xml:space="preserve"> consideration of a possible violation of that article.</w:t>
      </w:r>
    </w:p>
    <w:p w:rsidR="007E7A91" w:rsidRPr="00E80453" w:rsidRDefault="007E7A91" w:rsidP="007E7A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n"/>
        </w:rPr>
        <w:t>Regarding the allegations of the State as to the “court of fourth instance formula,” the Commission states that it has no jurisdiction to review sentences issued by domestic courts acting within their own jurisdiction, applying due process and proper judicial guarantees. However, in the framework of its own mandate, the Commission does have jurisdiction to declare a petition admissible and, should its merits be established, to rule on the matter when the petition refers to domestic proceedings that might violate rights enshrined in the American Convention.</w:t>
      </w:r>
    </w:p>
    <w:p w:rsidR="007E7A91" w:rsidRPr="00E80453" w:rsidRDefault="007E7A91" w:rsidP="007E7A91">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rsidR="007E7A91" w:rsidRPr="00551464" w:rsidRDefault="007E7A91" w:rsidP="007E7A9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To declare this petition admissible with regard to Articles 8, 9, 21 and 25 of the American Convention, in accordance with Articles 1.1 and 2 of said instrument;</w:t>
      </w:r>
    </w:p>
    <w:p w:rsidR="007E7A91" w:rsidRPr="00E80453" w:rsidRDefault="007E7A91" w:rsidP="007E7A9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to declare this petition inadmissible with respect to Article 5 of the American Convention;</w:t>
      </w:r>
    </w:p>
    <w:p w:rsidR="007E7A91" w:rsidRPr="00E80453" w:rsidRDefault="007E7A91" w:rsidP="007E7A9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to notify the parties of the present decision;</w:t>
      </w:r>
    </w:p>
    <w:p w:rsidR="007E7A91" w:rsidRPr="00E80453" w:rsidRDefault="007E7A91" w:rsidP="007E7A9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to continue examining the merits of the case; and</w:t>
      </w:r>
    </w:p>
    <w:p w:rsidR="007E7A91" w:rsidRPr="00946C0F" w:rsidRDefault="007E7A91" w:rsidP="007E7A9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to publish this decision and include it in its Annual Report to the General Assembly of the Organization of American States.</w:t>
      </w:r>
    </w:p>
    <w:p w:rsidR="00946C0F" w:rsidRPr="00365F2F" w:rsidRDefault="00946C0F" w:rsidP="00946C0F">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in the city of </w:t>
      </w:r>
      <w:r>
        <w:rPr>
          <w:rFonts w:ascii="Cambria" w:hAnsi="Cambria"/>
          <w:spacing w:val="-2"/>
          <w:sz w:val="20"/>
        </w:rPr>
        <w:t>Buenos Aires, Argentina</w:t>
      </w:r>
      <w:r w:rsidRPr="00365F2F">
        <w:rPr>
          <w:rFonts w:ascii="Cambria" w:hAnsi="Cambria"/>
          <w:spacing w:val="-2"/>
          <w:sz w:val="20"/>
        </w:rPr>
        <w:t>, on</w:t>
      </w:r>
      <w:r>
        <w:rPr>
          <w:rFonts w:ascii="Cambria" w:hAnsi="Cambria"/>
          <w:spacing w:val="-2"/>
          <w:sz w:val="20"/>
        </w:rPr>
        <w:t xml:space="preserve"> the 25</w:t>
      </w:r>
      <w:r w:rsidRPr="00365F2F">
        <w:rPr>
          <w:rFonts w:ascii="Cambria" w:hAnsi="Cambria"/>
          <w:spacing w:val="-2"/>
          <w:sz w:val="20"/>
        </w:rPr>
        <w:t xml:space="preserve"> 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Second Vice President;</w:t>
      </w:r>
      <w:r>
        <w:rPr>
          <w:rFonts w:ascii="Cambria" w:hAnsi="Cambria"/>
          <w:sz w:val="20"/>
        </w:rPr>
        <w:t xml:space="preserve"> </w:t>
      </w:r>
      <w:r>
        <w:rPr>
          <w:rFonts w:ascii="Cambria" w:hAnsi="Cambria" w:cs="Arial"/>
          <w:noProof/>
          <w:spacing w:val="-2"/>
          <w:sz w:val="20"/>
        </w:rPr>
        <w:t xml:space="preserve">José de Jesús Orozco Henríquez, Paulo Vannuchi, and James L. Cavallaro, </w:t>
      </w:r>
      <w:r w:rsidRPr="00365F2F">
        <w:rPr>
          <w:rFonts w:ascii="Cambria" w:hAnsi="Cambria"/>
          <w:spacing w:val="-2"/>
          <w:sz w:val="20"/>
        </w:rPr>
        <w:t>Commissioners.</w:t>
      </w:r>
    </w:p>
    <w:p w:rsidR="00946C0F" w:rsidRPr="00E80453" w:rsidRDefault="00946C0F" w:rsidP="00946C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rsidR="00C55560" w:rsidRPr="00145EDC" w:rsidRDefault="00C55560" w:rsidP="007E7A91">
      <w:pPr>
        <w:tabs>
          <w:tab w:val="center" w:pos="5400"/>
        </w:tabs>
        <w:suppressAutoHyphens/>
        <w:spacing w:line="276" w:lineRule="auto"/>
        <w:jc w:val="center"/>
        <w:rPr>
          <w:rFonts w:asciiTheme="majorHAnsi" w:hAnsiTheme="majorHAnsi"/>
          <w:sz w:val="20"/>
          <w:szCs w:val="20"/>
        </w:rPr>
      </w:pPr>
    </w:p>
    <w:sectPr w:rsidR="00C55560" w:rsidRPr="00145EDC"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47" w:rsidRDefault="00553A47" w:rsidP="00036A8A">
      <w:r>
        <w:separator/>
      </w:r>
    </w:p>
  </w:endnote>
  <w:endnote w:type="continuationSeparator" w:id="0">
    <w:p w:rsidR="00553A47" w:rsidRDefault="00553A4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ED" w:rsidRDefault="00907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35257">
          <w:rPr>
            <w:noProof/>
            <w:sz w:val="16"/>
          </w:rPr>
          <w:t>4</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47" w:rsidRPr="00036A8A" w:rsidRDefault="00553A4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553A47" w:rsidRPr="00036A8A" w:rsidRDefault="00553A47" w:rsidP="00036A8A">
      <w:pPr>
        <w:rPr>
          <w:rFonts w:asciiTheme="majorHAnsi" w:hAnsiTheme="majorHAnsi"/>
          <w:sz w:val="16"/>
          <w:szCs w:val="16"/>
        </w:rPr>
      </w:pPr>
      <w:r w:rsidRPr="00036A8A">
        <w:rPr>
          <w:rFonts w:asciiTheme="majorHAnsi" w:hAnsiTheme="majorHAnsi"/>
          <w:sz w:val="16"/>
          <w:szCs w:val="16"/>
        </w:rPr>
        <w:separator/>
      </w:r>
    </w:p>
    <w:p w:rsidR="00553A47" w:rsidRPr="00036A8A" w:rsidRDefault="00553A4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553A47" w:rsidRPr="0093441A" w:rsidRDefault="00553A4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7E7A91" w:rsidRPr="008D1BF4" w:rsidRDefault="007E7A91" w:rsidP="007E7A91">
      <w:pPr>
        <w:pStyle w:val="FootnoteText"/>
        <w:spacing w:before="120"/>
        <w:ind w:firstLine="720"/>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American Convention” or “the Convention.”</w:t>
      </w:r>
    </w:p>
  </w:footnote>
  <w:footnote w:id="3">
    <w:p w:rsidR="007E7A91" w:rsidRPr="001263D1" w:rsidRDefault="007E7A91" w:rsidP="007E7A91">
      <w:pPr>
        <w:pStyle w:val="FootnoteText"/>
        <w:spacing w:before="120"/>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observations presented by each party were duly forwarded to the opposing party.</w:t>
      </w:r>
    </w:p>
  </w:footnote>
  <w:footnote w:id="4">
    <w:p w:rsidR="007E7A91" w:rsidRPr="004A2F46" w:rsidRDefault="007E7A91" w:rsidP="007E7A91">
      <w:pPr>
        <w:pStyle w:val="FootnoteText"/>
        <w:spacing w:before="120"/>
        <w:ind w:firstLine="720"/>
        <w:jc w:val="both"/>
        <w:rPr>
          <w:rFonts w:asciiTheme="majorHAnsi" w:hAnsiTheme="majorHAnsi"/>
          <w:color w:val="FF0000"/>
          <w:sz w:val="16"/>
          <w:szCs w:val="16"/>
        </w:rPr>
      </w:pPr>
      <w:r>
        <w:rPr>
          <w:rStyle w:val="FootnoteReference"/>
          <w:rFonts w:asciiTheme="majorHAnsi" w:hAnsiTheme="majorHAnsi"/>
          <w:color w:val="auto"/>
          <w:sz w:val="16"/>
          <w:szCs w:val="16"/>
          <w:lang w:val="en"/>
        </w:rPr>
        <w:footnoteRef/>
      </w:r>
      <w:r>
        <w:rPr>
          <w:rFonts w:asciiTheme="majorHAnsi" w:hAnsiTheme="majorHAnsi"/>
          <w:color w:val="auto"/>
          <w:sz w:val="16"/>
          <w:szCs w:val="16"/>
          <w:lang w:val="en"/>
        </w:rPr>
        <w:t xml:space="preserve"> In previous cases, the Inter-American Commission has established the admissibility of petitions that alleged that Act 793 of 2002 had been applied </w:t>
      </w:r>
      <w:r>
        <w:rPr>
          <w:rFonts w:asciiTheme="majorHAnsi" w:hAnsiTheme="majorHAnsi"/>
          <w:i/>
          <w:iCs/>
          <w:color w:val="auto"/>
          <w:sz w:val="16"/>
          <w:szCs w:val="16"/>
          <w:lang w:val="en"/>
        </w:rPr>
        <w:t>ex post facto</w:t>
      </w:r>
      <w:r>
        <w:rPr>
          <w:rFonts w:asciiTheme="majorHAnsi" w:hAnsiTheme="majorHAnsi"/>
          <w:color w:val="auto"/>
          <w:sz w:val="16"/>
          <w:szCs w:val="16"/>
          <w:lang w:val="en"/>
        </w:rPr>
        <w:t xml:space="preserve"> in forfeiture proceedings in Colombia. In this respect, see IACHR, Report No. 55/12, Petition 179-05, Jesús Amado Sarria Agredo and children, Colombia, March 20, 2012, paragraphs 43 and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553A47"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ED" w:rsidRDefault="00907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24CE7FF0"/>
    <w:lvl w:ilvl="0" w:tplc="EA1856A4">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2"/>
  </w:num>
  <w:num w:numId="97">
    <w:abstractNumId w:val="50"/>
  </w:num>
  <w:num w:numId="98">
    <w:abstractNumId w:val="45"/>
  </w:num>
  <w:num w:numId="99">
    <w:abstractNumId w:val="36"/>
  </w:num>
  <w:num w:numId="100">
    <w:abstractNumId w:val="3"/>
  </w:num>
  <w:num w:numId="101">
    <w:abstractNumId w:val="25"/>
  </w:num>
  <w:num w:numId="102">
    <w:abstractNumId w:val="47"/>
  </w:num>
  <w:num w:numId="103">
    <w:abstractNumId w:val="5"/>
  </w:num>
  <w:num w:numId="104">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5257"/>
    <w:rsid w:val="00137EBA"/>
    <w:rsid w:val="00145EDC"/>
    <w:rsid w:val="00167A34"/>
    <w:rsid w:val="0018037F"/>
    <w:rsid w:val="001A5F27"/>
    <w:rsid w:val="001A7870"/>
    <w:rsid w:val="001C0123"/>
    <w:rsid w:val="001C1B41"/>
    <w:rsid w:val="00210E0E"/>
    <w:rsid w:val="00247403"/>
    <w:rsid w:val="00247542"/>
    <w:rsid w:val="00257893"/>
    <w:rsid w:val="00266092"/>
    <w:rsid w:val="00266B61"/>
    <w:rsid w:val="0026712A"/>
    <w:rsid w:val="002704DB"/>
    <w:rsid w:val="002C1641"/>
    <w:rsid w:val="002D535B"/>
    <w:rsid w:val="002D7EA2"/>
    <w:rsid w:val="002E15DF"/>
    <w:rsid w:val="002E187C"/>
    <w:rsid w:val="002E6E57"/>
    <w:rsid w:val="00301075"/>
    <w:rsid w:val="00302733"/>
    <w:rsid w:val="00311A4F"/>
    <w:rsid w:val="00314078"/>
    <w:rsid w:val="00322450"/>
    <w:rsid w:val="003246B5"/>
    <w:rsid w:val="0033169F"/>
    <w:rsid w:val="00333B09"/>
    <w:rsid w:val="003414AC"/>
    <w:rsid w:val="00356185"/>
    <w:rsid w:val="00360380"/>
    <w:rsid w:val="00386CF0"/>
    <w:rsid w:val="003C32BC"/>
    <w:rsid w:val="003F1BBF"/>
    <w:rsid w:val="0040144F"/>
    <w:rsid w:val="004165C2"/>
    <w:rsid w:val="00450A4A"/>
    <w:rsid w:val="004666FB"/>
    <w:rsid w:val="00467B7E"/>
    <w:rsid w:val="0049419D"/>
    <w:rsid w:val="00497804"/>
    <w:rsid w:val="004A0E60"/>
    <w:rsid w:val="004B2762"/>
    <w:rsid w:val="004B7EB6"/>
    <w:rsid w:val="004C4B62"/>
    <w:rsid w:val="004D6025"/>
    <w:rsid w:val="004D72BC"/>
    <w:rsid w:val="00501399"/>
    <w:rsid w:val="00507BC4"/>
    <w:rsid w:val="005128E4"/>
    <w:rsid w:val="00525560"/>
    <w:rsid w:val="005357A6"/>
    <w:rsid w:val="00544C49"/>
    <w:rsid w:val="00553A47"/>
    <w:rsid w:val="005602FB"/>
    <w:rsid w:val="0057402A"/>
    <w:rsid w:val="005771D0"/>
    <w:rsid w:val="0059191A"/>
    <w:rsid w:val="005921FF"/>
    <w:rsid w:val="00593AB3"/>
    <w:rsid w:val="005A6D0E"/>
    <w:rsid w:val="005B222D"/>
    <w:rsid w:val="005B52B0"/>
    <w:rsid w:val="005B6806"/>
    <w:rsid w:val="005C00F9"/>
    <w:rsid w:val="005C4225"/>
    <w:rsid w:val="005E3684"/>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7E6C14"/>
    <w:rsid w:val="007E7A91"/>
    <w:rsid w:val="00803F1C"/>
    <w:rsid w:val="0080600E"/>
    <w:rsid w:val="00817612"/>
    <w:rsid w:val="00837C45"/>
    <w:rsid w:val="00853419"/>
    <w:rsid w:val="0088752C"/>
    <w:rsid w:val="00897E12"/>
    <w:rsid w:val="008D43BA"/>
    <w:rsid w:val="008E3759"/>
    <w:rsid w:val="008E3C06"/>
    <w:rsid w:val="009041DC"/>
    <w:rsid w:val="009071ED"/>
    <w:rsid w:val="009104B4"/>
    <w:rsid w:val="00925FCD"/>
    <w:rsid w:val="0093441A"/>
    <w:rsid w:val="00946C0F"/>
    <w:rsid w:val="00954BF7"/>
    <w:rsid w:val="0096706E"/>
    <w:rsid w:val="00981FBA"/>
    <w:rsid w:val="009B381B"/>
    <w:rsid w:val="009D7611"/>
    <w:rsid w:val="009E53DE"/>
    <w:rsid w:val="00A43458"/>
    <w:rsid w:val="00A528D1"/>
    <w:rsid w:val="00A66BE5"/>
    <w:rsid w:val="00A846A5"/>
    <w:rsid w:val="00AB2396"/>
    <w:rsid w:val="00AD37C1"/>
    <w:rsid w:val="00AE335F"/>
    <w:rsid w:val="00AE66EC"/>
    <w:rsid w:val="00AE6F91"/>
    <w:rsid w:val="00AF5571"/>
    <w:rsid w:val="00B167E9"/>
    <w:rsid w:val="00B314DB"/>
    <w:rsid w:val="00B31EBE"/>
    <w:rsid w:val="00B3718B"/>
    <w:rsid w:val="00B4632A"/>
    <w:rsid w:val="00B76ABF"/>
    <w:rsid w:val="00BA276C"/>
    <w:rsid w:val="00BB306F"/>
    <w:rsid w:val="00BB33CE"/>
    <w:rsid w:val="00BD232B"/>
    <w:rsid w:val="00BD4B89"/>
    <w:rsid w:val="00C21762"/>
    <w:rsid w:val="00C24543"/>
    <w:rsid w:val="00C256A2"/>
    <w:rsid w:val="00C3492D"/>
    <w:rsid w:val="00C55560"/>
    <w:rsid w:val="00C66B72"/>
    <w:rsid w:val="00C9567A"/>
    <w:rsid w:val="00CB2660"/>
    <w:rsid w:val="00CC5E90"/>
    <w:rsid w:val="00CD046C"/>
    <w:rsid w:val="00CE5199"/>
    <w:rsid w:val="00CE66D5"/>
    <w:rsid w:val="00CF1B39"/>
    <w:rsid w:val="00CF54A4"/>
    <w:rsid w:val="00D34786"/>
    <w:rsid w:val="00D40A1E"/>
    <w:rsid w:val="00D42817"/>
    <w:rsid w:val="00D712D3"/>
    <w:rsid w:val="00D71422"/>
    <w:rsid w:val="00D7145E"/>
    <w:rsid w:val="00D7558D"/>
    <w:rsid w:val="00D81D92"/>
    <w:rsid w:val="00D93446"/>
    <w:rsid w:val="00DA7B5F"/>
    <w:rsid w:val="00DE4E65"/>
    <w:rsid w:val="00E43157"/>
    <w:rsid w:val="00E533FF"/>
    <w:rsid w:val="00E57DBC"/>
    <w:rsid w:val="00E709B3"/>
    <w:rsid w:val="00E832F9"/>
    <w:rsid w:val="00E8789F"/>
    <w:rsid w:val="00E97B71"/>
    <w:rsid w:val="00EB454D"/>
    <w:rsid w:val="00EE3522"/>
    <w:rsid w:val="00EF619B"/>
    <w:rsid w:val="00F00B55"/>
    <w:rsid w:val="00F1380F"/>
    <w:rsid w:val="00F14F0E"/>
    <w:rsid w:val="00F238CC"/>
    <w:rsid w:val="00F23DB9"/>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7E7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7E7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1F733D7FDB49D0903435761B3905DD"/>
        <w:category>
          <w:name w:val="General"/>
          <w:gallery w:val="placeholder"/>
        </w:category>
        <w:types>
          <w:type w:val="bbPlcHdr"/>
        </w:types>
        <w:behaviors>
          <w:behavior w:val="content"/>
        </w:behaviors>
        <w:guid w:val="{EB5458AB-3581-4AE8-B99B-5070682B5D02}"/>
      </w:docPartPr>
      <w:docPartBody>
        <w:p w:rsidR="006417F5" w:rsidRDefault="00791E25" w:rsidP="00791E25">
          <w:pPr>
            <w:pStyle w:val="EA1F733D7FDB49D0903435761B3905D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25"/>
    <w:rsid w:val="003A6E6B"/>
    <w:rsid w:val="00490DF5"/>
    <w:rsid w:val="006417F5"/>
    <w:rsid w:val="0066128D"/>
    <w:rsid w:val="006A61BB"/>
    <w:rsid w:val="006F487A"/>
    <w:rsid w:val="00791E25"/>
    <w:rsid w:val="009716F3"/>
    <w:rsid w:val="00C42E3C"/>
    <w:rsid w:val="00C45952"/>
    <w:rsid w:val="00E85E7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E25"/>
    <w:rPr>
      <w:color w:val="808080"/>
    </w:rPr>
  </w:style>
  <w:style w:type="paragraph" w:customStyle="1" w:styleId="EA1F733D7FDB49D0903435761B3905DD">
    <w:name w:val="EA1F733D7FDB49D0903435761B3905DD"/>
    <w:rsid w:val="00791E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E25"/>
    <w:rPr>
      <w:color w:val="808080"/>
    </w:rPr>
  </w:style>
  <w:style w:type="paragraph" w:customStyle="1" w:styleId="EA1F733D7FDB49D0903435761B3905DD">
    <w:name w:val="EA1F733D7FDB49D0903435761B3905DD"/>
    <w:rsid w:val="00791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FA26-1058-4645-89E5-63835A0A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1993</Words>
  <Characters>10686</Characters>
  <Application>Microsoft Office Word</Application>
  <DocSecurity>0</DocSecurity>
  <Lines>227</Lines>
  <Paragraphs>79</Paragraphs>
  <ScaleCrop>false</ScaleCrop>
  <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48/17</dc:title>
  <dc:creator/>
  <cp:lastModifiedBy/>
  <cp:revision>1</cp:revision>
  <dcterms:created xsi:type="dcterms:W3CDTF">2017-11-02T18:54:00Z</dcterms:created>
  <dcterms:modified xsi:type="dcterms:W3CDTF">2017-11-02T18:55:00Z</dcterms:modified>
</cp:coreProperties>
</file>