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8B037A" w:rsidRDefault="006311DA" w:rsidP="00627C9F">
      <w:pPr>
        <w:jc w:val="both"/>
        <w:rPr>
          <w:rFonts w:asciiTheme="majorHAnsi" w:hAnsiTheme="majorHAnsi" w:cs="Univers"/>
          <w:b/>
          <w:bCs/>
          <w:sz w:val="22"/>
          <w:szCs w:val="22"/>
          <w:lang w:val="es-ES_tradnl"/>
        </w:rPr>
      </w:pPr>
      <w:bookmarkStart w:id="0" w:name="_GoBack"/>
      <w:bookmarkEnd w:id="0"/>
      <w:r w:rsidRPr="008B037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BE16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8B037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20DAB1D3"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0833AF">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20DAB1D3"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0833AF">
                        <w:t xml:space="preserve">                       </w:t>
                      </w:r>
                      <w:r>
                        <w:t xml:space="preserve"> </w:t>
                      </w:r>
                    </w:p>
                  </w:txbxContent>
                </v:textbox>
              </v:shape>
            </w:pict>
          </mc:Fallback>
        </mc:AlternateContent>
      </w:r>
    </w:p>
    <w:p w14:paraId="3F665A89" w14:textId="77777777" w:rsidR="00040C3A" w:rsidRPr="008B037A"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8B037A"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8B037A"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8B037A"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8B037A"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8B037A"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8B037A"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8B037A"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8B037A"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8B037A"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8B037A" w:rsidRDefault="00E533FF" w:rsidP="00040C3A">
      <w:pPr>
        <w:tabs>
          <w:tab w:val="center" w:pos="5400"/>
        </w:tabs>
        <w:suppressAutoHyphens/>
        <w:jc w:val="center"/>
        <w:rPr>
          <w:rFonts w:asciiTheme="majorHAnsi" w:hAnsiTheme="majorHAnsi"/>
          <w:sz w:val="22"/>
          <w:szCs w:val="22"/>
          <w:lang w:val="es-ES_tradnl"/>
        </w:rPr>
      </w:pPr>
      <w:r w:rsidRPr="008B037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E2B72B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E0A41">
                              <w:rPr>
                                <w:rFonts w:asciiTheme="majorHAnsi" w:hAnsiTheme="majorHAnsi" w:cs="Arial"/>
                                <w:b/>
                                <w:bCs/>
                                <w:color w:val="0D0D0D" w:themeColor="text1" w:themeTint="F2"/>
                                <w:sz w:val="36"/>
                                <w:szCs w:val="40"/>
                              </w:rPr>
                              <w:t>59</w:t>
                            </w:r>
                            <w:r w:rsidR="00322450" w:rsidRPr="004B7EB6">
                              <w:rPr>
                                <w:rFonts w:asciiTheme="majorHAnsi" w:hAnsiTheme="majorHAnsi" w:cs="Arial"/>
                                <w:b/>
                                <w:bCs/>
                                <w:color w:val="0D0D0D" w:themeColor="text1" w:themeTint="F2"/>
                                <w:sz w:val="36"/>
                                <w:szCs w:val="40"/>
                              </w:rPr>
                              <w:t>/1</w:t>
                            </w:r>
                            <w:r w:rsidR="00AC0FA0">
                              <w:rPr>
                                <w:rFonts w:asciiTheme="majorHAnsi" w:hAnsiTheme="majorHAnsi" w:cs="Arial"/>
                                <w:b/>
                                <w:bCs/>
                                <w:color w:val="0D0D0D" w:themeColor="text1" w:themeTint="F2"/>
                                <w:sz w:val="36"/>
                                <w:szCs w:val="40"/>
                              </w:rPr>
                              <w:t>8</w:t>
                            </w:r>
                          </w:p>
                          <w:p w14:paraId="081F51F3" w14:textId="7757A8A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49551D">
                              <w:rPr>
                                <w:rFonts w:asciiTheme="majorHAnsi" w:hAnsiTheme="majorHAnsi" w:cs="Arial"/>
                                <w:b/>
                                <w:bCs/>
                                <w:color w:val="0D0D0D" w:themeColor="text1" w:themeTint="F2"/>
                                <w:sz w:val="36"/>
                                <w:szCs w:val="22"/>
                                <w:lang w:val="en"/>
                              </w:rPr>
                              <w:t>871-08</w:t>
                            </w:r>
                          </w:p>
                          <w:p w14:paraId="34978E5A" w14:textId="4761FD6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9F7AFE3" w14:textId="77777777" w:rsidR="0049551D" w:rsidRPr="00AE4B22" w:rsidRDefault="0049551D" w:rsidP="0049551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TATIANA MARISA BARRÍA MARDONES and B.B.A.B.</w:t>
                            </w:r>
                          </w:p>
                          <w:p w14:paraId="7E2348D7" w14:textId="77777777" w:rsidR="0049551D" w:rsidRPr="0010736F" w:rsidRDefault="0049551D" w:rsidP="0049551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CHILE</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E2B72B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E0A41">
                        <w:rPr>
                          <w:rFonts w:asciiTheme="majorHAnsi" w:hAnsiTheme="majorHAnsi" w:cs="Arial"/>
                          <w:b/>
                          <w:bCs/>
                          <w:color w:val="0D0D0D" w:themeColor="text1" w:themeTint="F2"/>
                          <w:sz w:val="36"/>
                          <w:szCs w:val="40"/>
                        </w:rPr>
                        <w:t>59</w:t>
                      </w:r>
                      <w:r w:rsidR="00322450" w:rsidRPr="004B7EB6">
                        <w:rPr>
                          <w:rFonts w:asciiTheme="majorHAnsi" w:hAnsiTheme="majorHAnsi" w:cs="Arial"/>
                          <w:b/>
                          <w:bCs/>
                          <w:color w:val="0D0D0D" w:themeColor="text1" w:themeTint="F2"/>
                          <w:sz w:val="36"/>
                          <w:szCs w:val="40"/>
                        </w:rPr>
                        <w:t>/1</w:t>
                      </w:r>
                      <w:r w:rsidR="00AC0FA0">
                        <w:rPr>
                          <w:rFonts w:asciiTheme="majorHAnsi" w:hAnsiTheme="majorHAnsi" w:cs="Arial"/>
                          <w:b/>
                          <w:bCs/>
                          <w:color w:val="0D0D0D" w:themeColor="text1" w:themeTint="F2"/>
                          <w:sz w:val="36"/>
                          <w:szCs w:val="40"/>
                        </w:rPr>
                        <w:t>8</w:t>
                      </w:r>
                    </w:p>
                    <w:p w14:paraId="081F51F3" w14:textId="7757A8A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49551D">
                        <w:rPr>
                          <w:rFonts w:asciiTheme="majorHAnsi" w:hAnsiTheme="majorHAnsi" w:cs="Arial"/>
                          <w:b/>
                          <w:bCs/>
                          <w:color w:val="0D0D0D" w:themeColor="text1" w:themeTint="F2"/>
                          <w:sz w:val="36"/>
                          <w:szCs w:val="22"/>
                          <w:lang w:val="en"/>
                        </w:rPr>
                        <w:t>871-08</w:t>
                      </w:r>
                    </w:p>
                    <w:p w14:paraId="34978E5A" w14:textId="4761FD6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9F7AFE3" w14:textId="77777777" w:rsidR="0049551D" w:rsidRPr="00AE4B22" w:rsidRDefault="0049551D" w:rsidP="0049551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TATIANA MARISA BARRÍA MARDONES and B.B.A.B.</w:t>
                      </w:r>
                    </w:p>
                    <w:p w14:paraId="7E2348D7" w14:textId="77777777" w:rsidR="0049551D" w:rsidRPr="0010736F" w:rsidRDefault="0049551D" w:rsidP="0049551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CHILE</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8B037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C12FC8C" w:rsidR="00627C9F" w:rsidRPr="00A52A92" w:rsidRDefault="009E566A" w:rsidP="009E566A">
                            <w:pPr>
                              <w:jc w:val="right"/>
                              <w:rPr>
                                <w:rFonts w:asciiTheme="minorHAnsi" w:hAnsiTheme="minorHAnsi"/>
                                <w:color w:val="FFFFFF" w:themeColor="background1"/>
                                <w:sz w:val="22"/>
                                <w:lang w:val="pt-BR"/>
                              </w:rPr>
                            </w:pPr>
                            <w:r w:rsidRPr="00A52A92">
                              <w:rPr>
                                <w:rFonts w:asciiTheme="minorHAnsi" w:hAnsiTheme="minorHAnsi"/>
                                <w:color w:val="FFFFFF" w:themeColor="background1"/>
                                <w:sz w:val="22"/>
                                <w:lang w:val="pt-BR"/>
                              </w:rPr>
                              <w:t>OEA/Ser.L/V/II.1</w:t>
                            </w:r>
                            <w:r w:rsidR="00A52A92">
                              <w:rPr>
                                <w:rFonts w:asciiTheme="minorHAnsi" w:hAnsiTheme="minorHAnsi"/>
                                <w:color w:val="FFFFFF" w:themeColor="background1"/>
                                <w:sz w:val="22"/>
                                <w:lang w:val="pt-BR"/>
                              </w:rPr>
                              <w:t>68</w:t>
                            </w:r>
                          </w:p>
                          <w:p w14:paraId="4AA08A8C" w14:textId="50762C76" w:rsidR="00627C9F" w:rsidRPr="00A52A92" w:rsidRDefault="00CA6577" w:rsidP="009E566A">
                            <w:pPr>
                              <w:jc w:val="right"/>
                              <w:rPr>
                                <w:rFonts w:asciiTheme="minorHAnsi" w:hAnsiTheme="minorHAnsi"/>
                                <w:color w:val="FFFFFF" w:themeColor="background1"/>
                                <w:sz w:val="22"/>
                                <w:lang w:val="pt-BR"/>
                              </w:rPr>
                            </w:pPr>
                            <w:r w:rsidRPr="00A52A92">
                              <w:rPr>
                                <w:rFonts w:asciiTheme="minorHAnsi" w:hAnsiTheme="minorHAnsi"/>
                                <w:color w:val="FFFFFF" w:themeColor="background1"/>
                                <w:sz w:val="22"/>
                                <w:lang w:val="pt-BR"/>
                              </w:rPr>
                              <w:t xml:space="preserve">Doc. </w:t>
                            </w:r>
                            <w:r w:rsidR="00BE0A41">
                              <w:rPr>
                                <w:rFonts w:asciiTheme="minorHAnsi" w:hAnsiTheme="minorHAnsi"/>
                                <w:color w:val="FFFFFF" w:themeColor="background1"/>
                                <w:sz w:val="22"/>
                                <w:lang w:val="pt-BR"/>
                              </w:rPr>
                              <w:t>69</w:t>
                            </w:r>
                          </w:p>
                          <w:p w14:paraId="0BEFF61A" w14:textId="6637F626" w:rsidR="00627C9F" w:rsidRPr="00A52A92" w:rsidRDefault="00F5189F" w:rsidP="009E566A">
                            <w:pPr>
                              <w:jc w:val="right"/>
                              <w:rPr>
                                <w:rFonts w:asciiTheme="minorHAnsi" w:hAnsiTheme="minorHAnsi"/>
                                <w:color w:val="FFFFFF" w:themeColor="background1"/>
                                <w:sz w:val="22"/>
                              </w:rPr>
                            </w:pPr>
                            <w:r>
                              <w:rPr>
                                <w:rFonts w:asciiTheme="minorHAnsi" w:hAnsiTheme="minorHAnsi"/>
                                <w:color w:val="FFFFFF" w:themeColor="background1"/>
                                <w:sz w:val="22"/>
                              </w:rPr>
                              <w:t>5 May</w:t>
                            </w:r>
                            <w:r w:rsidR="000C4365" w:rsidRPr="00A52A92">
                              <w:rPr>
                                <w:rFonts w:asciiTheme="minorHAnsi" w:hAnsiTheme="minorHAnsi"/>
                                <w:color w:val="FFFFFF" w:themeColor="background1"/>
                                <w:sz w:val="22"/>
                              </w:rPr>
                              <w:t xml:space="preserve"> </w:t>
                            </w:r>
                            <w:r w:rsidR="00F42B71" w:rsidRPr="00A52A92">
                              <w:rPr>
                                <w:rFonts w:asciiTheme="minorHAnsi" w:hAnsiTheme="minorHAnsi"/>
                                <w:color w:val="FFFFFF" w:themeColor="background1"/>
                                <w:sz w:val="22"/>
                              </w:rPr>
                              <w:t>20</w:t>
                            </w:r>
                            <w:r w:rsidR="0049551D" w:rsidRPr="00A52A92">
                              <w:rPr>
                                <w:rFonts w:asciiTheme="minorHAnsi" w:hAnsiTheme="minorHAnsi"/>
                                <w:color w:val="FFFFFF" w:themeColor="background1"/>
                                <w:sz w:val="22"/>
                              </w:rPr>
                              <w:t>18</w:t>
                            </w:r>
                          </w:p>
                          <w:p w14:paraId="0FC103BD" w14:textId="434D2A05" w:rsidR="00627C9F" w:rsidRPr="00A52A92" w:rsidRDefault="00627C9F" w:rsidP="009E566A">
                            <w:pPr>
                              <w:jc w:val="right"/>
                              <w:rPr>
                                <w:rFonts w:asciiTheme="minorHAnsi" w:hAnsiTheme="minorHAnsi"/>
                                <w:color w:val="FFFFFF" w:themeColor="background1"/>
                                <w:sz w:val="22"/>
                              </w:rPr>
                            </w:pPr>
                            <w:r w:rsidRPr="00A52A92">
                              <w:rPr>
                                <w:rFonts w:asciiTheme="minorHAnsi" w:hAnsiTheme="minorHAnsi"/>
                                <w:color w:val="FFFFFF" w:themeColor="background1"/>
                                <w:sz w:val="22"/>
                              </w:rPr>
                              <w:t>Original:</w:t>
                            </w:r>
                            <w:r w:rsidR="002C1641" w:rsidRPr="00A52A92">
                              <w:rPr>
                                <w:rFonts w:asciiTheme="minorHAnsi" w:hAnsiTheme="minorHAnsi"/>
                                <w:color w:val="FFFFFF" w:themeColor="background1"/>
                                <w:sz w:val="22"/>
                              </w:rPr>
                              <w:t xml:space="preserve"> </w:t>
                            </w:r>
                            <w:r w:rsidR="00F42B71" w:rsidRPr="00A52A9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C12FC8C" w:rsidR="00627C9F" w:rsidRPr="00A52A92" w:rsidRDefault="009E566A" w:rsidP="009E566A">
                      <w:pPr>
                        <w:jc w:val="right"/>
                        <w:rPr>
                          <w:rFonts w:asciiTheme="minorHAnsi" w:hAnsiTheme="minorHAnsi"/>
                          <w:color w:val="FFFFFF" w:themeColor="background1"/>
                          <w:sz w:val="22"/>
                          <w:lang w:val="pt-BR"/>
                        </w:rPr>
                      </w:pPr>
                      <w:r w:rsidRPr="00A52A92">
                        <w:rPr>
                          <w:rFonts w:asciiTheme="minorHAnsi" w:hAnsiTheme="minorHAnsi"/>
                          <w:color w:val="FFFFFF" w:themeColor="background1"/>
                          <w:sz w:val="22"/>
                          <w:lang w:val="pt-BR"/>
                        </w:rPr>
                        <w:t>OEA/Ser.L/V/II.1</w:t>
                      </w:r>
                      <w:r w:rsidR="00A52A92">
                        <w:rPr>
                          <w:rFonts w:asciiTheme="minorHAnsi" w:hAnsiTheme="minorHAnsi"/>
                          <w:color w:val="FFFFFF" w:themeColor="background1"/>
                          <w:sz w:val="22"/>
                          <w:lang w:val="pt-BR"/>
                        </w:rPr>
                        <w:t>68</w:t>
                      </w:r>
                    </w:p>
                    <w:p w14:paraId="4AA08A8C" w14:textId="50762C76" w:rsidR="00627C9F" w:rsidRPr="00A52A92" w:rsidRDefault="00CA6577" w:rsidP="009E566A">
                      <w:pPr>
                        <w:jc w:val="right"/>
                        <w:rPr>
                          <w:rFonts w:asciiTheme="minorHAnsi" w:hAnsiTheme="minorHAnsi"/>
                          <w:color w:val="FFFFFF" w:themeColor="background1"/>
                          <w:sz w:val="22"/>
                          <w:lang w:val="pt-BR"/>
                        </w:rPr>
                      </w:pPr>
                      <w:r w:rsidRPr="00A52A92">
                        <w:rPr>
                          <w:rFonts w:asciiTheme="minorHAnsi" w:hAnsiTheme="minorHAnsi"/>
                          <w:color w:val="FFFFFF" w:themeColor="background1"/>
                          <w:sz w:val="22"/>
                          <w:lang w:val="pt-BR"/>
                        </w:rPr>
                        <w:t xml:space="preserve">Doc. </w:t>
                      </w:r>
                      <w:r w:rsidR="00BE0A41">
                        <w:rPr>
                          <w:rFonts w:asciiTheme="minorHAnsi" w:hAnsiTheme="minorHAnsi"/>
                          <w:color w:val="FFFFFF" w:themeColor="background1"/>
                          <w:sz w:val="22"/>
                          <w:lang w:val="pt-BR"/>
                        </w:rPr>
                        <w:t>69</w:t>
                      </w:r>
                    </w:p>
                    <w:p w14:paraId="0BEFF61A" w14:textId="6637F626" w:rsidR="00627C9F" w:rsidRPr="00A52A92" w:rsidRDefault="00F5189F" w:rsidP="009E566A">
                      <w:pPr>
                        <w:jc w:val="right"/>
                        <w:rPr>
                          <w:rFonts w:asciiTheme="minorHAnsi" w:hAnsiTheme="minorHAnsi"/>
                          <w:color w:val="FFFFFF" w:themeColor="background1"/>
                          <w:sz w:val="22"/>
                        </w:rPr>
                      </w:pPr>
                      <w:r>
                        <w:rPr>
                          <w:rFonts w:asciiTheme="minorHAnsi" w:hAnsiTheme="minorHAnsi"/>
                          <w:color w:val="FFFFFF" w:themeColor="background1"/>
                          <w:sz w:val="22"/>
                        </w:rPr>
                        <w:t>5 May</w:t>
                      </w:r>
                      <w:r w:rsidR="000C4365" w:rsidRPr="00A52A92">
                        <w:rPr>
                          <w:rFonts w:asciiTheme="minorHAnsi" w:hAnsiTheme="minorHAnsi"/>
                          <w:color w:val="FFFFFF" w:themeColor="background1"/>
                          <w:sz w:val="22"/>
                        </w:rPr>
                        <w:t xml:space="preserve"> </w:t>
                      </w:r>
                      <w:r w:rsidR="00F42B71" w:rsidRPr="00A52A92">
                        <w:rPr>
                          <w:rFonts w:asciiTheme="minorHAnsi" w:hAnsiTheme="minorHAnsi"/>
                          <w:color w:val="FFFFFF" w:themeColor="background1"/>
                          <w:sz w:val="22"/>
                        </w:rPr>
                        <w:t>20</w:t>
                      </w:r>
                      <w:r w:rsidR="0049551D" w:rsidRPr="00A52A92">
                        <w:rPr>
                          <w:rFonts w:asciiTheme="minorHAnsi" w:hAnsiTheme="minorHAnsi"/>
                          <w:color w:val="FFFFFF" w:themeColor="background1"/>
                          <w:sz w:val="22"/>
                        </w:rPr>
                        <w:t>18</w:t>
                      </w:r>
                    </w:p>
                    <w:p w14:paraId="0FC103BD" w14:textId="434D2A05" w:rsidR="00627C9F" w:rsidRPr="00A52A92" w:rsidRDefault="00627C9F" w:rsidP="009E566A">
                      <w:pPr>
                        <w:jc w:val="right"/>
                        <w:rPr>
                          <w:rFonts w:asciiTheme="minorHAnsi" w:hAnsiTheme="minorHAnsi"/>
                          <w:color w:val="FFFFFF" w:themeColor="background1"/>
                          <w:sz w:val="22"/>
                        </w:rPr>
                      </w:pPr>
                      <w:r w:rsidRPr="00A52A92">
                        <w:rPr>
                          <w:rFonts w:asciiTheme="minorHAnsi" w:hAnsiTheme="minorHAnsi"/>
                          <w:color w:val="FFFFFF" w:themeColor="background1"/>
                          <w:sz w:val="22"/>
                        </w:rPr>
                        <w:t>Original:</w:t>
                      </w:r>
                      <w:r w:rsidR="002C1641" w:rsidRPr="00A52A92">
                        <w:rPr>
                          <w:rFonts w:asciiTheme="minorHAnsi" w:hAnsiTheme="minorHAnsi"/>
                          <w:color w:val="FFFFFF" w:themeColor="background1"/>
                          <w:sz w:val="22"/>
                        </w:rPr>
                        <w:t xml:space="preserve"> </w:t>
                      </w:r>
                      <w:r w:rsidR="00F42B71" w:rsidRPr="00A52A92">
                        <w:rPr>
                          <w:rFonts w:asciiTheme="minorHAnsi" w:hAnsiTheme="minorHAnsi"/>
                          <w:color w:val="FFFFFF" w:themeColor="background1"/>
                          <w:sz w:val="22"/>
                        </w:rPr>
                        <w:t>Spanish</w:t>
                      </w:r>
                    </w:p>
                  </w:txbxContent>
                </v:textbox>
              </v:shape>
            </w:pict>
          </mc:Fallback>
        </mc:AlternateContent>
      </w:r>
    </w:p>
    <w:p w14:paraId="3765F9FA"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8B037A"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8B037A"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8B037A"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8B037A"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8B037A"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8B037A"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8B037A" w:rsidRDefault="003C32BC" w:rsidP="00040C3A">
      <w:pPr>
        <w:tabs>
          <w:tab w:val="center" w:pos="5400"/>
        </w:tabs>
        <w:suppressAutoHyphens/>
        <w:jc w:val="center"/>
        <w:rPr>
          <w:rFonts w:asciiTheme="majorHAnsi" w:hAnsiTheme="majorHAnsi"/>
          <w:sz w:val="18"/>
          <w:szCs w:val="22"/>
          <w:lang w:val="es-ES_tradnl"/>
        </w:rPr>
      </w:pPr>
      <w:r w:rsidRPr="008B037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014B97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BE0A41">
                              <w:rPr>
                                <w:rFonts w:asciiTheme="majorHAnsi" w:hAnsiTheme="majorHAnsi"/>
                                <w:color w:val="0D0D0D" w:themeColor="text1" w:themeTint="F2"/>
                                <w:sz w:val="18"/>
                                <w:szCs w:val="20"/>
                              </w:rPr>
                              <w:t>212</w:t>
                            </w:r>
                            <w:r w:rsidR="00FA2FCA">
                              <w:rPr>
                                <w:rFonts w:asciiTheme="majorHAnsi" w:hAnsiTheme="majorHAnsi"/>
                                <w:color w:val="0D0D0D" w:themeColor="text1" w:themeTint="F2"/>
                                <w:sz w:val="18"/>
                                <w:szCs w:val="20"/>
                              </w:rPr>
                              <w:t>8</w:t>
                            </w:r>
                            <w:r w:rsidR="000833AF">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BE0A41">
                              <w:rPr>
                                <w:rFonts w:asciiTheme="majorHAnsi" w:hAnsiTheme="majorHAnsi"/>
                                <w:color w:val="0D0D0D" w:themeColor="text1" w:themeTint="F2"/>
                                <w:sz w:val="18"/>
                                <w:szCs w:val="20"/>
                              </w:rPr>
                              <w:t>May 5</w:t>
                            </w:r>
                            <w:r w:rsidR="000C4365">
                              <w:rPr>
                                <w:rFonts w:asciiTheme="majorHAnsi" w:hAnsiTheme="majorHAnsi"/>
                                <w:color w:val="0D0D0D" w:themeColor="text1" w:themeTint="F2"/>
                                <w:sz w:val="18"/>
                                <w:szCs w:val="20"/>
                              </w:rPr>
                              <w:t>, 201</w:t>
                            </w:r>
                            <w:r w:rsidR="00BE0A41">
                              <w:rPr>
                                <w:rFonts w:asciiTheme="majorHAnsi" w:hAnsiTheme="majorHAnsi"/>
                                <w:color w:val="0D0D0D" w:themeColor="text1" w:themeTint="F2"/>
                                <w:sz w:val="18"/>
                                <w:szCs w:val="20"/>
                              </w:rPr>
                              <w:t>8</w:t>
                            </w:r>
                            <w:r w:rsidR="00F5189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BE0A41">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BE0A41">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F5189F">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014B97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BE0A41">
                        <w:rPr>
                          <w:rFonts w:asciiTheme="majorHAnsi" w:hAnsiTheme="majorHAnsi"/>
                          <w:color w:val="0D0D0D" w:themeColor="text1" w:themeTint="F2"/>
                          <w:sz w:val="18"/>
                          <w:szCs w:val="20"/>
                        </w:rPr>
                        <w:t>212</w:t>
                      </w:r>
                      <w:r w:rsidR="00FA2FCA">
                        <w:rPr>
                          <w:rFonts w:asciiTheme="majorHAnsi" w:hAnsiTheme="majorHAnsi"/>
                          <w:color w:val="0D0D0D" w:themeColor="text1" w:themeTint="F2"/>
                          <w:sz w:val="18"/>
                          <w:szCs w:val="20"/>
                        </w:rPr>
                        <w:t>8</w:t>
                      </w:r>
                      <w:r w:rsidR="000833AF">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BE0A41">
                        <w:rPr>
                          <w:rFonts w:asciiTheme="majorHAnsi" w:hAnsiTheme="majorHAnsi"/>
                          <w:color w:val="0D0D0D" w:themeColor="text1" w:themeTint="F2"/>
                          <w:sz w:val="18"/>
                          <w:szCs w:val="20"/>
                        </w:rPr>
                        <w:t>May 5</w:t>
                      </w:r>
                      <w:r w:rsidR="000C4365">
                        <w:rPr>
                          <w:rFonts w:asciiTheme="majorHAnsi" w:hAnsiTheme="majorHAnsi"/>
                          <w:color w:val="0D0D0D" w:themeColor="text1" w:themeTint="F2"/>
                          <w:sz w:val="18"/>
                          <w:szCs w:val="20"/>
                        </w:rPr>
                        <w:t>, 201</w:t>
                      </w:r>
                      <w:r w:rsidR="00BE0A41">
                        <w:rPr>
                          <w:rFonts w:asciiTheme="majorHAnsi" w:hAnsiTheme="majorHAnsi"/>
                          <w:color w:val="0D0D0D" w:themeColor="text1" w:themeTint="F2"/>
                          <w:sz w:val="18"/>
                          <w:szCs w:val="20"/>
                        </w:rPr>
                        <w:t>8</w:t>
                      </w:r>
                      <w:r w:rsidR="00F5189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BE0A41">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BE0A41">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F5189F">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8B037A" w:rsidRDefault="003C32BC" w:rsidP="00040C3A">
      <w:pPr>
        <w:tabs>
          <w:tab w:val="center" w:pos="5400"/>
        </w:tabs>
        <w:suppressAutoHyphens/>
        <w:jc w:val="center"/>
        <w:rPr>
          <w:rFonts w:asciiTheme="majorHAnsi" w:hAnsiTheme="majorHAnsi"/>
          <w:sz w:val="18"/>
          <w:szCs w:val="22"/>
          <w:lang w:val="es-ES_tradnl"/>
        </w:rPr>
      </w:pPr>
      <w:r w:rsidRPr="008B037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15EF6F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E0A41">
                              <w:rPr>
                                <w:rFonts w:asciiTheme="majorHAnsi" w:hAnsiTheme="majorHAnsi"/>
                                <w:color w:val="595959" w:themeColor="text1" w:themeTint="A6"/>
                                <w:sz w:val="18"/>
                              </w:rPr>
                              <w:t>59</w:t>
                            </w:r>
                            <w:r w:rsidR="00022CF5">
                              <w:rPr>
                                <w:rFonts w:asciiTheme="majorHAnsi" w:hAnsiTheme="majorHAnsi"/>
                                <w:color w:val="595959" w:themeColor="text1" w:themeTint="A6"/>
                                <w:sz w:val="18"/>
                              </w:rPr>
                              <w:t>/1</w:t>
                            </w:r>
                            <w:r w:rsidR="00A56FA2">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9551D">
                              <w:rPr>
                                <w:rFonts w:asciiTheme="majorHAnsi" w:hAnsiTheme="majorHAnsi"/>
                                <w:color w:val="595959" w:themeColor="text1" w:themeTint="A6"/>
                                <w:sz w:val="18"/>
                              </w:rPr>
                              <w:t>871-08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ED5C14">
                              <w:rPr>
                                <w:rFonts w:asciiTheme="majorHAnsi" w:hAnsiTheme="majorHAnsi"/>
                                <w:color w:val="595959" w:themeColor="text1" w:themeTint="A6"/>
                                <w:sz w:val="18"/>
                              </w:rPr>
                              <w:t>Admissibility</w:t>
                            </w:r>
                            <w:r w:rsidRPr="00ED5C14">
                              <w:rPr>
                                <w:rFonts w:asciiTheme="majorHAnsi" w:hAnsiTheme="majorHAnsi"/>
                                <w:color w:val="595959" w:themeColor="text1" w:themeTint="A6"/>
                                <w:sz w:val="18"/>
                              </w:rPr>
                              <w:t xml:space="preserve">. </w:t>
                            </w:r>
                            <w:r w:rsidR="0049551D" w:rsidRPr="00ED5C14">
                              <w:rPr>
                                <w:rFonts w:asciiTheme="majorHAnsi" w:hAnsiTheme="majorHAnsi"/>
                                <w:color w:val="595959" w:themeColor="text1" w:themeTint="A6"/>
                                <w:sz w:val="18"/>
                              </w:rPr>
                              <w:t xml:space="preserve">Tatiana Marisa </w:t>
                            </w:r>
                            <w:proofErr w:type="spellStart"/>
                            <w:r w:rsidR="0049551D" w:rsidRPr="00ED5C14">
                              <w:rPr>
                                <w:rFonts w:asciiTheme="majorHAnsi" w:hAnsiTheme="majorHAnsi"/>
                                <w:color w:val="595959" w:themeColor="text1" w:themeTint="A6"/>
                                <w:sz w:val="18"/>
                              </w:rPr>
                              <w:t>Barría</w:t>
                            </w:r>
                            <w:proofErr w:type="spellEnd"/>
                            <w:r w:rsidR="0049551D" w:rsidRPr="00ED5C14">
                              <w:rPr>
                                <w:rFonts w:asciiTheme="majorHAnsi" w:hAnsiTheme="majorHAnsi"/>
                                <w:color w:val="595959" w:themeColor="text1" w:themeTint="A6"/>
                                <w:sz w:val="18"/>
                              </w:rPr>
                              <w:t xml:space="preserve"> </w:t>
                            </w:r>
                            <w:proofErr w:type="spellStart"/>
                            <w:r w:rsidR="0049551D" w:rsidRPr="00ED5C14">
                              <w:rPr>
                                <w:rFonts w:asciiTheme="majorHAnsi" w:hAnsiTheme="majorHAnsi"/>
                                <w:color w:val="595959" w:themeColor="text1" w:themeTint="A6"/>
                                <w:sz w:val="18"/>
                              </w:rPr>
                              <w:t>Mardones</w:t>
                            </w:r>
                            <w:proofErr w:type="spellEnd"/>
                            <w:r w:rsidR="0049551D" w:rsidRPr="00ED5C14">
                              <w:rPr>
                                <w:rFonts w:asciiTheme="majorHAnsi" w:hAnsiTheme="majorHAnsi"/>
                                <w:color w:val="595959" w:themeColor="text1" w:themeTint="A6"/>
                                <w:sz w:val="18"/>
                              </w:rPr>
                              <w:t xml:space="preserve"> y B.B.A.B</w:t>
                            </w:r>
                            <w:r w:rsidRPr="00ED5C14">
                              <w:rPr>
                                <w:rFonts w:asciiTheme="majorHAnsi" w:hAnsiTheme="majorHAnsi"/>
                                <w:color w:val="595959" w:themeColor="text1" w:themeTint="A6"/>
                                <w:sz w:val="18"/>
                              </w:rPr>
                              <w:t xml:space="preserve">. </w:t>
                            </w:r>
                            <w:r w:rsidR="0049551D">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BE0A41">
                              <w:rPr>
                                <w:rFonts w:asciiTheme="majorHAnsi" w:hAnsiTheme="majorHAnsi"/>
                                <w:color w:val="595959" w:themeColor="text1" w:themeTint="A6"/>
                                <w:sz w:val="18"/>
                              </w:rPr>
                              <w:t>May 5, 2018</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15EF6F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E0A41">
                        <w:rPr>
                          <w:rFonts w:asciiTheme="majorHAnsi" w:hAnsiTheme="majorHAnsi"/>
                          <w:color w:val="595959" w:themeColor="text1" w:themeTint="A6"/>
                          <w:sz w:val="18"/>
                        </w:rPr>
                        <w:t>59</w:t>
                      </w:r>
                      <w:r w:rsidR="00022CF5">
                        <w:rPr>
                          <w:rFonts w:asciiTheme="majorHAnsi" w:hAnsiTheme="majorHAnsi"/>
                          <w:color w:val="595959" w:themeColor="text1" w:themeTint="A6"/>
                          <w:sz w:val="18"/>
                        </w:rPr>
                        <w:t>/1</w:t>
                      </w:r>
                      <w:r w:rsidR="00A56FA2">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9551D">
                        <w:rPr>
                          <w:rFonts w:asciiTheme="majorHAnsi" w:hAnsiTheme="majorHAnsi"/>
                          <w:color w:val="595959" w:themeColor="text1" w:themeTint="A6"/>
                          <w:sz w:val="18"/>
                        </w:rPr>
                        <w:t>871-08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ED5C14">
                        <w:rPr>
                          <w:rFonts w:asciiTheme="majorHAnsi" w:hAnsiTheme="majorHAnsi"/>
                          <w:color w:val="595959" w:themeColor="text1" w:themeTint="A6"/>
                          <w:sz w:val="18"/>
                        </w:rPr>
                        <w:t>Admissibility</w:t>
                      </w:r>
                      <w:r w:rsidRPr="00ED5C14">
                        <w:rPr>
                          <w:rFonts w:asciiTheme="majorHAnsi" w:hAnsiTheme="majorHAnsi"/>
                          <w:color w:val="595959" w:themeColor="text1" w:themeTint="A6"/>
                          <w:sz w:val="18"/>
                        </w:rPr>
                        <w:t xml:space="preserve">. </w:t>
                      </w:r>
                      <w:r w:rsidR="0049551D" w:rsidRPr="00ED5C14">
                        <w:rPr>
                          <w:rFonts w:asciiTheme="majorHAnsi" w:hAnsiTheme="majorHAnsi"/>
                          <w:color w:val="595959" w:themeColor="text1" w:themeTint="A6"/>
                          <w:sz w:val="18"/>
                        </w:rPr>
                        <w:t xml:space="preserve">Tatiana Marisa </w:t>
                      </w:r>
                      <w:proofErr w:type="spellStart"/>
                      <w:r w:rsidR="0049551D" w:rsidRPr="00ED5C14">
                        <w:rPr>
                          <w:rFonts w:asciiTheme="majorHAnsi" w:hAnsiTheme="majorHAnsi"/>
                          <w:color w:val="595959" w:themeColor="text1" w:themeTint="A6"/>
                          <w:sz w:val="18"/>
                        </w:rPr>
                        <w:t>Barría</w:t>
                      </w:r>
                      <w:proofErr w:type="spellEnd"/>
                      <w:r w:rsidR="0049551D" w:rsidRPr="00ED5C14">
                        <w:rPr>
                          <w:rFonts w:asciiTheme="majorHAnsi" w:hAnsiTheme="majorHAnsi"/>
                          <w:color w:val="595959" w:themeColor="text1" w:themeTint="A6"/>
                          <w:sz w:val="18"/>
                        </w:rPr>
                        <w:t xml:space="preserve"> </w:t>
                      </w:r>
                      <w:proofErr w:type="spellStart"/>
                      <w:r w:rsidR="0049551D" w:rsidRPr="00ED5C14">
                        <w:rPr>
                          <w:rFonts w:asciiTheme="majorHAnsi" w:hAnsiTheme="majorHAnsi"/>
                          <w:color w:val="595959" w:themeColor="text1" w:themeTint="A6"/>
                          <w:sz w:val="18"/>
                        </w:rPr>
                        <w:t>Mardones</w:t>
                      </w:r>
                      <w:proofErr w:type="spellEnd"/>
                      <w:r w:rsidR="0049551D" w:rsidRPr="00ED5C14">
                        <w:rPr>
                          <w:rFonts w:asciiTheme="majorHAnsi" w:hAnsiTheme="majorHAnsi"/>
                          <w:color w:val="595959" w:themeColor="text1" w:themeTint="A6"/>
                          <w:sz w:val="18"/>
                        </w:rPr>
                        <w:t xml:space="preserve"> y B.B.A.B</w:t>
                      </w:r>
                      <w:r w:rsidRPr="00ED5C14">
                        <w:rPr>
                          <w:rFonts w:asciiTheme="majorHAnsi" w:hAnsiTheme="majorHAnsi"/>
                          <w:color w:val="595959" w:themeColor="text1" w:themeTint="A6"/>
                          <w:sz w:val="18"/>
                        </w:rPr>
                        <w:t xml:space="preserve">. </w:t>
                      </w:r>
                      <w:r w:rsidR="0049551D">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BE0A41">
                        <w:rPr>
                          <w:rFonts w:asciiTheme="majorHAnsi" w:hAnsiTheme="majorHAnsi"/>
                          <w:color w:val="595959" w:themeColor="text1" w:themeTint="A6"/>
                          <w:sz w:val="18"/>
                        </w:rPr>
                        <w:t>May 5, 2018</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8B037A"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8B037A" w:rsidRDefault="003C32BC" w:rsidP="003C32BC">
      <w:pPr>
        <w:tabs>
          <w:tab w:val="center" w:pos="5400"/>
        </w:tabs>
        <w:suppressAutoHyphens/>
        <w:jc w:val="center"/>
        <w:rPr>
          <w:rFonts w:asciiTheme="majorHAnsi" w:hAnsiTheme="majorHAnsi"/>
          <w:sz w:val="18"/>
          <w:szCs w:val="22"/>
        </w:rPr>
      </w:pPr>
    </w:p>
    <w:p w14:paraId="154A4854" w14:textId="77777777" w:rsidR="003C32BC" w:rsidRPr="008B037A" w:rsidRDefault="006311DA" w:rsidP="003C32BC">
      <w:pPr>
        <w:tabs>
          <w:tab w:val="center" w:pos="5400"/>
        </w:tabs>
        <w:suppressAutoHyphens/>
        <w:jc w:val="center"/>
        <w:rPr>
          <w:rFonts w:asciiTheme="majorHAnsi" w:hAnsiTheme="majorHAnsi"/>
          <w:sz w:val="18"/>
          <w:szCs w:val="22"/>
        </w:rPr>
      </w:pPr>
      <w:r w:rsidRPr="008B037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B037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8B037A" w:rsidRDefault="007607C4" w:rsidP="003C32BC">
      <w:pPr>
        <w:tabs>
          <w:tab w:val="center" w:pos="5400"/>
        </w:tabs>
        <w:suppressAutoHyphens/>
        <w:jc w:val="center"/>
        <w:rPr>
          <w:rFonts w:asciiTheme="majorHAnsi" w:hAnsiTheme="majorHAnsi"/>
          <w:sz w:val="18"/>
          <w:szCs w:val="22"/>
        </w:rPr>
        <w:sectPr w:rsidR="007607C4" w:rsidRPr="008B037A"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0B1E142" w14:textId="77777777" w:rsidR="00675252" w:rsidRPr="008B037A" w:rsidRDefault="00F621C3" w:rsidP="00675252">
      <w:pPr>
        <w:spacing w:after="240"/>
        <w:ind w:firstLine="720"/>
        <w:jc w:val="both"/>
        <w:rPr>
          <w:rFonts w:asciiTheme="majorHAnsi" w:hAnsiTheme="majorHAnsi"/>
          <w:b/>
          <w:bCs/>
          <w:sz w:val="20"/>
          <w:szCs w:val="20"/>
        </w:rPr>
      </w:pPr>
      <w:r w:rsidRPr="008B037A">
        <w:rPr>
          <w:rFonts w:asciiTheme="majorHAnsi" w:hAnsiTheme="majorHAnsi"/>
          <w:b/>
          <w:bCs/>
          <w:sz w:val="20"/>
          <w:szCs w:val="20"/>
        </w:rPr>
        <w:lastRenderedPageBreak/>
        <w:t>I.</w:t>
      </w:r>
      <w:r w:rsidRPr="008B037A">
        <w:rPr>
          <w:rFonts w:asciiTheme="majorHAnsi" w:hAnsiTheme="majorHAnsi"/>
          <w:b/>
          <w:bCs/>
          <w:sz w:val="20"/>
          <w:szCs w:val="20"/>
        </w:rPr>
        <w:tab/>
      </w:r>
      <w:r w:rsidR="00675252" w:rsidRPr="008B037A">
        <w:rPr>
          <w:rFonts w:asciiTheme="majorHAnsi" w:hAnsiTheme="majorHAnsi"/>
          <w:b/>
          <w:bCs/>
          <w:sz w:val="20"/>
          <w:szCs w:val="20"/>
          <w:lang w:val="en"/>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75252" w:rsidRPr="008B037A" w14:paraId="03466C1B" w14:textId="77777777" w:rsidTr="006A4EEE">
        <w:trPr>
          <w:trHeight w:val="251"/>
        </w:trPr>
        <w:tc>
          <w:tcPr>
            <w:tcW w:w="3600" w:type="dxa"/>
            <w:tcBorders>
              <w:top w:val="single" w:sz="4" w:space="0" w:color="auto"/>
              <w:bottom w:val="single" w:sz="6" w:space="0" w:color="auto"/>
            </w:tcBorders>
            <w:shd w:val="clear" w:color="auto" w:fill="67AE3C"/>
            <w:vAlign w:val="center"/>
          </w:tcPr>
          <w:p w14:paraId="331B68E9"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Petitioner:</w:t>
            </w:r>
          </w:p>
        </w:tc>
        <w:tc>
          <w:tcPr>
            <w:tcW w:w="5760" w:type="dxa"/>
            <w:vAlign w:val="center"/>
          </w:tcPr>
          <w:p w14:paraId="3D947482" w14:textId="77777777" w:rsidR="00675252" w:rsidRPr="008B037A" w:rsidRDefault="00675252" w:rsidP="006A4EEE">
            <w:pPr>
              <w:jc w:val="both"/>
              <w:rPr>
                <w:rFonts w:ascii="Cambria" w:hAnsi="Cambria"/>
                <w:bCs/>
                <w:sz w:val="20"/>
                <w:szCs w:val="20"/>
              </w:rPr>
            </w:pPr>
            <w:r w:rsidRPr="008B037A">
              <w:rPr>
                <w:rFonts w:ascii="Cambria" w:hAnsi="Cambria"/>
                <w:sz w:val="20"/>
                <w:szCs w:val="20"/>
                <w:lang w:val="en"/>
              </w:rPr>
              <w:t>Karina Retamal Mella</w:t>
            </w:r>
          </w:p>
        </w:tc>
      </w:tr>
      <w:tr w:rsidR="00675252" w:rsidRPr="008B037A" w14:paraId="4F93C4DB" w14:textId="77777777" w:rsidTr="006A4EEE">
        <w:tc>
          <w:tcPr>
            <w:tcW w:w="3600" w:type="dxa"/>
            <w:tcBorders>
              <w:top w:val="single" w:sz="6" w:space="0" w:color="auto"/>
              <w:bottom w:val="single" w:sz="6" w:space="0" w:color="auto"/>
            </w:tcBorders>
            <w:shd w:val="clear" w:color="auto" w:fill="67AE3C"/>
            <w:vAlign w:val="center"/>
          </w:tcPr>
          <w:p w14:paraId="3FAE0939" w14:textId="77777777" w:rsidR="00675252" w:rsidRPr="008B037A" w:rsidRDefault="006C5107" w:rsidP="006A4EE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32542C5233B4CC49FFCDC6FADA25C9E"/>
                </w:placeholder>
                <w:dropDownList>
                  <w:listItem w:value="Choose an item."/>
                  <w:listItem w:displayText="Presunta víctima" w:value="Presunta víctima"/>
                  <w:listItem w:displayText="Presuntas víctimas" w:value="Presuntas víctimas"/>
                </w:dropDownList>
              </w:sdtPr>
              <w:sdtEndPr/>
              <w:sdtContent>
                <w:r w:rsidR="00675252" w:rsidRPr="008B037A">
                  <w:rPr>
                    <w:rFonts w:ascii="Cambria" w:hAnsi="Cambria"/>
                    <w:b/>
                    <w:bCs/>
                    <w:color w:val="FFFFFF" w:themeColor="background1"/>
                    <w:sz w:val="20"/>
                    <w:szCs w:val="20"/>
                    <w:lang w:val="en"/>
                  </w:rPr>
                  <w:t>Alleged victim</w:t>
                </w:r>
              </w:sdtContent>
            </w:sdt>
            <w:r w:rsidR="00675252" w:rsidRPr="008B037A">
              <w:rPr>
                <w:rFonts w:ascii="Cambria" w:hAnsi="Cambria"/>
                <w:b/>
                <w:bCs/>
                <w:color w:val="FFFFFF" w:themeColor="background1"/>
                <w:sz w:val="20"/>
                <w:szCs w:val="20"/>
                <w:lang w:val="en"/>
              </w:rPr>
              <w:t>:</w:t>
            </w:r>
          </w:p>
        </w:tc>
        <w:tc>
          <w:tcPr>
            <w:tcW w:w="5760" w:type="dxa"/>
            <w:vAlign w:val="center"/>
          </w:tcPr>
          <w:p w14:paraId="12A49924" w14:textId="77777777" w:rsidR="00675252" w:rsidRPr="008B037A" w:rsidRDefault="00675252" w:rsidP="006A4EEE">
            <w:pPr>
              <w:jc w:val="both"/>
              <w:rPr>
                <w:rFonts w:ascii="Cambria" w:hAnsi="Cambria"/>
                <w:bCs/>
                <w:sz w:val="20"/>
                <w:szCs w:val="20"/>
              </w:rPr>
            </w:pPr>
            <w:r w:rsidRPr="008B037A">
              <w:rPr>
                <w:rFonts w:ascii="Cambria" w:hAnsi="Cambria"/>
                <w:sz w:val="20"/>
                <w:szCs w:val="20"/>
                <w:lang w:val="en"/>
              </w:rPr>
              <w:t>Tatiana Marisa Barría Mardones and B.B.A.B.</w:t>
            </w:r>
            <w:r w:rsidRPr="008B037A">
              <w:rPr>
                <w:rStyle w:val="FootnoteReference"/>
                <w:rFonts w:ascii="Cambria" w:hAnsi="Cambria"/>
                <w:sz w:val="20"/>
                <w:szCs w:val="20"/>
                <w:lang w:val="en"/>
              </w:rPr>
              <w:footnoteReference w:id="2"/>
            </w:r>
          </w:p>
        </w:tc>
      </w:tr>
      <w:tr w:rsidR="00675252" w:rsidRPr="008B037A" w14:paraId="7965FE6E" w14:textId="77777777" w:rsidTr="006A4EEE">
        <w:tc>
          <w:tcPr>
            <w:tcW w:w="3600" w:type="dxa"/>
            <w:tcBorders>
              <w:top w:val="single" w:sz="6" w:space="0" w:color="auto"/>
              <w:bottom w:val="single" w:sz="6" w:space="0" w:color="auto"/>
            </w:tcBorders>
            <w:shd w:val="clear" w:color="auto" w:fill="67AE3C"/>
            <w:vAlign w:val="center"/>
          </w:tcPr>
          <w:p w14:paraId="72F3EA09"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Respondent State:</w:t>
            </w:r>
          </w:p>
        </w:tc>
        <w:tc>
          <w:tcPr>
            <w:tcW w:w="5760" w:type="dxa"/>
            <w:vAlign w:val="center"/>
          </w:tcPr>
          <w:p w14:paraId="12664B5E" w14:textId="77777777" w:rsidR="00675252" w:rsidRPr="008B037A" w:rsidRDefault="00675252" w:rsidP="006A4EEE">
            <w:pPr>
              <w:jc w:val="both"/>
              <w:rPr>
                <w:rFonts w:ascii="Cambria" w:hAnsi="Cambria"/>
                <w:bCs/>
                <w:sz w:val="20"/>
                <w:szCs w:val="20"/>
              </w:rPr>
            </w:pPr>
            <w:r w:rsidRPr="008B037A">
              <w:rPr>
                <w:rFonts w:ascii="Cambria" w:hAnsi="Cambria"/>
                <w:sz w:val="20"/>
                <w:szCs w:val="20"/>
                <w:lang w:val="en"/>
              </w:rPr>
              <w:t>Chile</w:t>
            </w:r>
            <w:r w:rsidRPr="008B037A">
              <w:rPr>
                <w:rStyle w:val="FootnoteReference"/>
                <w:rFonts w:ascii="Cambria" w:hAnsi="Cambria"/>
                <w:sz w:val="20"/>
                <w:szCs w:val="20"/>
                <w:lang w:val="en"/>
              </w:rPr>
              <w:footnoteReference w:id="3"/>
            </w:r>
          </w:p>
        </w:tc>
      </w:tr>
      <w:tr w:rsidR="00675252" w:rsidRPr="008B037A" w14:paraId="47438AE4" w14:textId="77777777" w:rsidTr="006A4EEE">
        <w:trPr>
          <w:trHeight w:val="273"/>
        </w:trPr>
        <w:tc>
          <w:tcPr>
            <w:tcW w:w="3600" w:type="dxa"/>
            <w:tcBorders>
              <w:top w:val="single" w:sz="6" w:space="0" w:color="auto"/>
              <w:bottom w:val="single" w:sz="6" w:space="0" w:color="auto"/>
            </w:tcBorders>
            <w:shd w:val="clear" w:color="auto" w:fill="67AE3C"/>
            <w:vAlign w:val="center"/>
          </w:tcPr>
          <w:p w14:paraId="58DEC562"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Rights invoked:</w:t>
            </w:r>
          </w:p>
        </w:tc>
        <w:tc>
          <w:tcPr>
            <w:tcW w:w="5760" w:type="dxa"/>
            <w:vAlign w:val="center"/>
          </w:tcPr>
          <w:p w14:paraId="75473184" w14:textId="36A3E44E" w:rsidR="00675252" w:rsidRPr="008B037A" w:rsidRDefault="00675252" w:rsidP="007D6A38">
            <w:pPr>
              <w:jc w:val="both"/>
              <w:rPr>
                <w:rFonts w:ascii="Cambria" w:hAnsi="Cambria"/>
                <w:bCs/>
                <w:sz w:val="20"/>
                <w:szCs w:val="20"/>
              </w:rPr>
            </w:pPr>
            <w:r w:rsidRPr="008B037A">
              <w:rPr>
                <w:rFonts w:ascii="Cambria" w:hAnsi="Cambria"/>
                <w:sz w:val="20"/>
                <w:szCs w:val="20"/>
                <w:lang w:val="en"/>
              </w:rPr>
              <w:t xml:space="preserve">Articles 5 </w:t>
            </w:r>
            <w:r w:rsidRPr="008B037A">
              <w:rPr>
                <w:rFonts w:asciiTheme="majorHAnsi" w:hAnsiTheme="majorHAnsi"/>
                <w:sz w:val="20"/>
                <w:szCs w:val="20"/>
                <w:lang w:val="en"/>
              </w:rPr>
              <w:t>(humane treatment)</w:t>
            </w:r>
            <w:r w:rsidRPr="008B037A">
              <w:rPr>
                <w:rFonts w:ascii="Cambria" w:hAnsi="Cambria"/>
                <w:sz w:val="20"/>
                <w:szCs w:val="20"/>
                <w:lang w:val="en"/>
              </w:rPr>
              <w:t xml:space="preserve">, 8 </w:t>
            </w:r>
            <w:r w:rsidRPr="008B037A">
              <w:rPr>
                <w:rFonts w:asciiTheme="majorHAnsi" w:hAnsiTheme="majorHAnsi"/>
                <w:sz w:val="20"/>
                <w:szCs w:val="20"/>
                <w:lang w:val="en"/>
              </w:rPr>
              <w:t>(fair trial)</w:t>
            </w:r>
            <w:r w:rsidRPr="008B037A">
              <w:rPr>
                <w:rFonts w:ascii="Cambria" w:hAnsi="Cambria"/>
                <w:sz w:val="20"/>
                <w:szCs w:val="20"/>
                <w:lang w:val="en"/>
              </w:rPr>
              <w:t>, 11 (privacy)</w:t>
            </w:r>
            <w:r w:rsidRPr="008B037A">
              <w:rPr>
                <w:rFonts w:asciiTheme="majorHAnsi" w:hAnsiTheme="majorHAnsi"/>
                <w:sz w:val="20"/>
                <w:szCs w:val="20"/>
                <w:lang w:val="en"/>
              </w:rPr>
              <w:t xml:space="preserve"> and 25 (judicial protection)</w:t>
            </w:r>
            <w:r w:rsidRPr="008B037A">
              <w:rPr>
                <w:rFonts w:ascii="Cambria" w:hAnsi="Cambria"/>
                <w:sz w:val="20"/>
                <w:szCs w:val="20"/>
                <w:lang w:val="en"/>
              </w:rPr>
              <w:t xml:space="preserve"> of the American Convention on Human Rights,</w:t>
            </w:r>
            <w:r w:rsidRPr="008B037A">
              <w:rPr>
                <w:rStyle w:val="FootnoteReference"/>
                <w:rFonts w:ascii="Cambria" w:hAnsi="Cambria"/>
                <w:sz w:val="20"/>
                <w:szCs w:val="20"/>
                <w:lang w:val="en"/>
              </w:rPr>
              <w:footnoteReference w:id="4"/>
            </w:r>
            <w:r w:rsidRPr="008B037A">
              <w:rPr>
                <w:rStyle w:val="FootnoteReference"/>
                <w:rFonts w:ascii="Cambria" w:hAnsi="Cambria"/>
                <w:sz w:val="20"/>
                <w:szCs w:val="20"/>
                <w:lang w:val="en"/>
              </w:rPr>
              <w:t xml:space="preserve"> </w:t>
            </w:r>
            <w:r w:rsidRPr="008B037A">
              <w:rPr>
                <w:rFonts w:ascii="Cambria" w:hAnsi="Cambria"/>
                <w:sz w:val="20"/>
                <w:szCs w:val="20"/>
                <w:lang w:val="en"/>
              </w:rPr>
              <w:t>in conjunction with articles 1 (obligation to respect rights) and 2 (domestic legal effects)</w:t>
            </w:r>
          </w:p>
        </w:tc>
      </w:tr>
    </w:tbl>
    <w:p w14:paraId="05342313" w14:textId="77777777" w:rsidR="00675252" w:rsidRPr="008B037A" w:rsidRDefault="00675252" w:rsidP="00675252">
      <w:pPr>
        <w:spacing w:before="240" w:after="240"/>
        <w:ind w:firstLine="720"/>
        <w:jc w:val="both"/>
        <w:rPr>
          <w:rFonts w:asciiTheme="majorHAnsi" w:hAnsiTheme="majorHAnsi"/>
          <w:b/>
          <w:bCs/>
          <w:sz w:val="20"/>
          <w:szCs w:val="20"/>
        </w:rPr>
      </w:pPr>
      <w:r w:rsidRPr="008B037A">
        <w:rPr>
          <w:rFonts w:asciiTheme="majorHAnsi" w:hAnsiTheme="majorHAnsi"/>
          <w:b/>
          <w:bCs/>
          <w:sz w:val="20"/>
          <w:szCs w:val="20"/>
          <w:lang w:val="en"/>
        </w:rPr>
        <w:t>II.</w:t>
      </w:r>
      <w:r w:rsidRPr="008B037A">
        <w:rPr>
          <w:rFonts w:asciiTheme="majorHAnsi" w:hAnsiTheme="majorHAnsi"/>
          <w:b/>
          <w:bCs/>
          <w:sz w:val="20"/>
          <w:szCs w:val="20"/>
          <w:lang w:val="en"/>
        </w:rPr>
        <w:tab/>
        <w:t>PROCEEDINGS BEFORE THE IACHR</w:t>
      </w:r>
      <w:r w:rsidRPr="008B037A">
        <w:rPr>
          <w:rStyle w:val="FootnoteReference"/>
          <w:rFonts w:ascii="Cambria" w:hAnsi="Cambria"/>
          <w:b/>
          <w:bCs/>
          <w:sz w:val="20"/>
          <w:szCs w:val="20"/>
          <w:lang w:val="en"/>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75252" w:rsidRPr="008B037A" w14:paraId="73098B34" w14:textId="77777777" w:rsidTr="006A4EEE">
        <w:tc>
          <w:tcPr>
            <w:tcW w:w="3600" w:type="dxa"/>
            <w:tcBorders>
              <w:top w:val="single" w:sz="6" w:space="0" w:color="auto"/>
              <w:bottom w:val="single" w:sz="6" w:space="0" w:color="auto"/>
            </w:tcBorders>
            <w:shd w:val="clear" w:color="auto" w:fill="67AE3C"/>
            <w:vAlign w:val="center"/>
          </w:tcPr>
          <w:p w14:paraId="3C324600"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Filing of the petition:</w:t>
            </w:r>
          </w:p>
        </w:tc>
        <w:tc>
          <w:tcPr>
            <w:tcW w:w="5760" w:type="dxa"/>
            <w:vAlign w:val="center"/>
          </w:tcPr>
          <w:p w14:paraId="6FB44D62" w14:textId="6D6BB828" w:rsidR="00675252" w:rsidRPr="008B037A" w:rsidRDefault="007D6A38" w:rsidP="006A4EEE">
            <w:pPr>
              <w:jc w:val="both"/>
              <w:rPr>
                <w:rFonts w:ascii="Cambria" w:hAnsi="Cambria"/>
                <w:bCs/>
                <w:sz w:val="20"/>
                <w:szCs w:val="20"/>
              </w:rPr>
            </w:pPr>
            <w:r w:rsidRPr="008B037A">
              <w:rPr>
                <w:rFonts w:ascii="Cambria" w:hAnsi="Cambria"/>
                <w:sz w:val="20"/>
                <w:szCs w:val="20"/>
                <w:lang w:val="en"/>
              </w:rPr>
              <w:t>July 24, 2008</w:t>
            </w:r>
          </w:p>
        </w:tc>
      </w:tr>
      <w:tr w:rsidR="00675252" w:rsidRPr="008B037A" w14:paraId="544B9767" w14:textId="77777777" w:rsidTr="006A4EEE">
        <w:tc>
          <w:tcPr>
            <w:tcW w:w="3600" w:type="dxa"/>
            <w:tcBorders>
              <w:top w:val="single" w:sz="6" w:space="0" w:color="auto"/>
              <w:bottom w:val="single" w:sz="6" w:space="0" w:color="auto"/>
            </w:tcBorders>
            <w:shd w:val="clear" w:color="auto" w:fill="67AE3C"/>
            <w:vAlign w:val="center"/>
          </w:tcPr>
          <w:p w14:paraId="502E4B97"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Notification of the petition to the State:</w:t>
            </w:r>
          </w:p>
        </w:tc>
        <w:tc>
          <w:tcPr>
            <w:tcW w:w="5760" w:type="dxa"/>
            <w:vAlign w:val="center"/>
          </w:tcPr>
          <w:p w14:paraId="1B16C9E2" w14:textId="7B6DF932" w:rsidR="00675252" w:rsidRPr="008B037A" w:rsidRDefault="007D6A38" w:rsidP="006A4EEE">
            <w:pPr>
              <w:jc w:val="both"/>
              <w:rPr>
                <w:rFonts w:ascii="Cambria" w:hAnsi="Cambria"/>
                <w:bCs/>
                <w:sz w:val="20"/>
                <w:szCs w:val="20"/>
              </w:rPr>
            </w:pPr>
            <w:r w:rsidRPr="008B037A">
              <w:rPr>
                <w:rFonts w:ascii="Cambria" w:hAnsi="Cambria"/>
                <w:sz w:val="20"/>
                <w:szCs w:val="20"/>
                <w:lang w:val="en"/>
              </w:rPr>
              <w:t>June 16, 2016</w:t>
            </w:r>
          </w:p>
        </w:tc>
      </w:tr>
      <w:tr w:rsidR="00675252" w:rsidRPr="008B037A" w14:paraId="398E3EB9" w14:textId="77777777" w:rsidTr="006A4EEE">
        <w:tc>
          <w:tcPr>
            <w:tcW w:w="3600" w:type="dxa"/>
            <w:tcBorders>
              <w:top w:val="single" w:sz="6" w:space="0" w:color="auto"/>
              <w:bottom w:val="single" w:sz="6" w:space="0" w:color="auto"/>
            </w:tcBorders>
            <w:shd w:val="clear" w:color="auto" w:fill="67AE3C"/>
            <w:vAlign w:val="center"/>
          </w:tcPr>
          <w:p w14:paraId="72FC1C03"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State’s first response:</w:t>
            </w:r>
          </w:p>
        </w:tc>
        <w:tc>
          <w:tcPr>
            <w:tcW w:w="5760" w:type="dxa"/>
            <w:vAlign w:val="center"/>
          </w:tcPr>
          <w:p w14:paraId="4CCB97E0" w14:textId="5C519B9F" w:rsidR="00675252" w:rsidRPr="008B037A" w:rsidRDefault="007D6A38" w:rsidP="006A4EEE">
            <w:pPr>
              <w:jc w:val="both"/>
              <w:rPr>
                <w:rFonts w:ascii="Cambria" w:hAnsi="Cambria"/>
                <w:bCs/>
                <w:sz w:val="20"/>
                <w:szCs w:val="20"/>
              </w:rPr>
            </w:pPr>
            <w:r w:rsidRPr="008B037A">
              <w:rPr>
                <w:rFonts w:ascii="Cambria" w:hAnsi="Cambria"/>
                <w:sz w:val="20"/>
                <w:szCs w:val="20"/>
                <w:lang w:val="en"/>
              </w:rPr>
              <w:t>February 13, 2017</w:t>
            </w:r>
          </w:p>
        </w:tc>
      </w:tr>
    </w:tbl>
    <w:p w14:paraId="21090A96" w14:textId="77777777" w:rsidR="00675252" w:rsidRPr="008B037A" w:rsidRDefault="00675252" w:rsidP="00675252">
      <w:pPr>
        <w:spacing w:before="240" w:after="240"/>
        <w:ind w:firstLine="720"/>
        <w:jc w:val="both"/>
        <w:rPr>
          <w:rFonts w:asciiTheme="majorHAnsi" w:hAnsiTheme="majorHAnsi"/>
          <w:b/>
          <w:bCs/>
          <w:sz w:val="20"/>
          <w:szCs w:val="20"/>
        </w:rPr>
      </w:pPr>
      <w:r w:rsidRPr="008B037A">
        <w:rPr>
          <w:rFonts w:asciiTheme="majorHAnsi" w:hAnsiTheme="majorHAnsi"/>
          <w:b/>
          <w:bCs/>
          <w:sz w:val="20"/>
          <w:szCs w:val="20"/>
          <w:lang w:val="en"/>
        </w:rPr>
        <w:t xml:space="preserve">III. </w:t>
      </w:r>
      <w:r w:rsidRPr="008B037A">
        <w:rPr>
          <w:rFonts w:asciiTheme="majorHAnsi" w:hAnsiTheme="majorHAnsi"/>
          <w:sz w:val="20"/>
          <w:szCs w:val="20"/>
          <w:lang w:val="en"/>
        </w:rPr>
        <w:tab/>
      </w:r>
      <w:r w:rsidRPr="008B037A">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675252" w:rsidRPr="008B037A" w14:paraId="4F47A1B3" w14:textId="77777777" w:rsidTr="006A4EEE">
        <w:trPr>
          <w:cantSplit/>
        </w:trPr>
        <w:tc>
          <w:tcPr>
            <w:tcW w:w="3600" w:type="dxa"/>
            <w:tcBorders>
              <w:top w:val="single" w:sz="4" w:space="0" w:color="auto"/>
              <w:bottom w:val="single" w:sz="6" w:space="0" w:color="auto"/>
            </w:tcBorders>
            <w:shd w:val="clear" w:color="auto" w:fill="67AE3C"/>
            <w:vAlign w:val="center"/>
          </w:tcPr>
          <w:p w14:paraId="72E7EBFD" w14:textId="77777777" w:rsidR="00675252" w:rsidRPr="008B037A" w:rsidRDefault="00675252" w:rsidP="006A4EEE">
            <w:pPr>
              <w:jc w:val="center"/>
              <w:rPr>
                <w:rFonts w:ascii="Cambria" w:hAnsi="Cambria"/>
                <w:b/>
                <w:bCs/>
                <w:i/>
                <w:color w:val="FFFFFF" w:themeColor="background1"/>
                <w:sz w:val="20"/>
                <w:szCs w:val="20"/>
              </w:rPr>
            </w:pPr>
            <w:r w:rsidRPr="008B037A">
              <w:rPr>
                <w:rFonts w:ascii="Cambria" w:hAnsi="Cambria"/>
                <w:b/>
                <w:bCs/>
                <w:color w:val="FFFFFF" w:themeColor="background1"/>
                <w:sz w:val="20"/>
                <w:szCs w:val="20"/>
                <w:lang w:val="en"/>
              </w:rPr>
              <w:t xml:space="preserve">Competence </w:t>
            </w:r>
            <w:r w:rsidRPr="008B037A">
              <w:rPr>
                <w:rFonts w:ascii="Cambria" w:hAnsi="Cambria"/>
                <w:b/>
                <w:bCs/>
                <w:i/>
                <w:iCs/>
                <w:color w:val="FFFFFF" w:themeColor="background1"/>
                <w:sz w:val="20"/>
                <w:szCs w:val="20"/>
                <w:lang w:val="en"/>
              </w:rPr>
              <w:t>ratione personae</w:t>
            </w:r>
            <w:r w:rsidRPr="008B037A">
              <w:rPr>
                <w:rFonts w:ascii="Cambria" w:hAnsi="Cambria"/>
                <w:b/>
                <w:bCs/>
                <w:color w:val="FFFFFF" w:themeColor="background1"/>
                <w:sz w:val="20"/>
                <w:szCs w:val="20"/>
                <w:lang w:val="en"/>
              </w:rPr>
              <w:t>:</w:t>
            </w:r>
          </w:p>
        </w:tc>
        <w:tc>
          <w:tcPr>
            <w:tcW w:w="5760" w:type="dxa"/>
            <w:vAlign w:val="center"/>
          </w:tcPr>
          <w:p w14:paraId="46553E66" w14:textId="77777777" w:rsidR="00675252" w:rsidRPr="008B037A" w:rsidRDefault="00675252" w:rsidP="006A4EEE">
            <w:pPr>
              <w:rPr>
                <w:rFonts w:ascii="Cambria" w:hAnsi="Cambria"/>
                <w:bCs/>
                <w:sz w:val="20"/>
                <w:szCs w:val="20"/>
              </w:rPr>
            </w:pPr>
            <w:r w:rsidRPr="008B037A">
              <w:rPr>
                <w:rFonts w:ascii="Cambria" w:hAnsi="Cambria"/>
                <w:sz w:val="20"/>
                <w:szCs w:val="20"/>
                <w:lang w:val="en"/>
              </w:rPr>
              <w:t>Yes</w:t>
            </w:r>
          </w:p>
        </w:tc>
      </w:tr>
      <w:tr w:rsidR="00675252" w:rsidRPr="008B037A" w14:paraId="12A75C9C" w14:textId="77777777" w:rsidTr="006A4EEE">
        <w:trPr>
          <w:cantSplit/>
        </w:trPr>
        <w:tc>
          <w:tcPr>
            <w:tcW w:w="3600" w:type="dxa"/>
            <w:tcBorders>
              <w:top w:val="single" w:sz="6" w:space="0" w:color="auto"/>
              <w:bottom w:val="single" w:sz="6" w:space="0" w:color="auto"/>
            </w:tcBorders>
            <w:shd w:val="clear" w:color="auto" w:fill="67AE3C"/>
            <w:vAlign w:val="center"/>
          </w:tcPr>
          <w:p w14:paraId="0A133748"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 xml:space="preserve">Competence </w:t>
            </w:r>
            <w:r w:rsidRPr="008B037A">
              <w:rPr>
                <w:rFonts w:ascii="Cambria" w:hAnsi="Cambria"/>
                <w:b/>
                <w:bCs/>
                <w:i/>
                <w:iCs/>
                <w:color w:val="FFFFFF" w:themeColor="background1"/>
                <w:sz w:val="20"/>
                <w:szCs w:val="20"/>
                <w:lang w:val="en"/>
              </w:rPr>
              <w:t>ratione loci</w:t>
            </w:r>
            <w:r w:rsidRPr="008B037A">
              <w:rPr>
                <w:rFonts w:ascii="Cambria" w:hAnsi="Cambria"/>
                <w:b/>
                <w:bCs/>
                <w:color w:val="FFFFFF" w:themeColor="background1"/>
                <w:sz w:val="20"/>
                <w:szCs w:val="20"/>
                <w:lang w:val="en"/>
              </w:rPr>
              <w:t>:</w:t>
            </w:r>
          </w:p>
        </w:tc>
        <w:tc>
          <w:tcPr>
            <w:tcW w:w="5760" w:type="dxa"/>
            <w:vAlign w:val="center"/>
          </w:tcPr>
          <w:p w14:paraId="1E3C842C" w14:textId="77777777" w:rsidR="00675252" w:rsidRPr="008B037A" w:rsidRDefault="00675252" w:rsidP="006A4EEE">
            <w:pPr>
              <w:rPr>
                <w:rFonts w:ascii="Cambria" w:hAnsi="Cambria"/>
                <w:bCs/>
                <w:sz w:val="20"/>
                <w:szCs w:val="20"/>
              </w:rPr>
            </w:pPr>
            <w:r w:rsidRPr="008B037A">
              <w:rPr>
                <w:rFonts w:ascii="Cambria" w:hAnsi="Cambria"/>
                <w:sz w:val="20"/>
                <w:szCs w:val="20"/>
                <w:lang w:val="en"/>
              </w:rPr>
              <w:t>Yes</w:t>
            </w:r>
          </w:p>
        </w:tc>
      </w:tr>
      <w:tr w:rsidR="00675252" w:rsidRPr="008B037A" w14:paraId="363D87C8" w14:textId="77777777" w:rsidTr="006A4EEE">
        <w:trPr>
          <w:cantSplit/>
        </w:trPr>
        <w:tc>
          <w:tcPr>
            <w:tcW w:w="3600" w:type="dxa"/>
            <w:tcBorders>
              <w:top w:val="single" w:sz="6" w:space="0" w:color="auto"/>
              <w:bottom w:val="single" w:sz="6" w:space="0" w:color="auto"/>
            </w:tcBorders>
            <w:shd w:val="clear" w:color="auto" w:fill="67AE3C"/>
            <w:vAlign w:val="center"/>
          </w:tcPr>
          <w:p w14:paraId="3998913B"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 xml:space="preserve">Competence </w:t>
            </w:r>
            <w:r w:rsidRPr="008B037A">
              <w:rPr>
                <w:rFonts w:ascii="Cambria" w:hAnsi="Cambria"/>
                <w:b/>
                <w:bCs/>
                <w:i/>
                <w:iCs/>
                <w:color w:val="FFFFFF" w:themeColor="background1"/>
                <w:sz w:val="20"/>
                <w:szCs w:val="20"/>
                <w:lang w:val="en"/>
              </w:rPr>
              <w:t>ratione temporis</w:t>
            </w:r>
            <w:r w:rsidRPr="008B037A">
              <w:rPr>
                <w:rFonts w:ascii="Cambria" w:hAnsi="Cambria"/>
                <w:b/>
                <w:bCs/>
                <w:color w:val="FFFFFF" w:themeColor="background1"/>
                <w:sz w:val="20"/>
                <w:szCs w:val="20"/>
                <w:lang w:val="en"/>
              </w:rPr>
              <w:t>:</w:t>
            </w:r>
          </w:p>
        </w:tc>
        <w:tc>
          <w:tcPr>
            <w:tcW w:w="5760" w:type="dxa"/>
            <w:vAlign w:val="center"/>
          </w:tcPr>
          <w:p w14:paraId="2D0865FE" w14:textId="77777777" w:rsidR="00675252" w:rsidRPr="008B037A" w:rsidRDefault="00675252" w:rsidP="006A4EEE">
            <w:pPr>
              <w:rPr>
                <w:bCs/>
                <w:sz w:val="20"/>
                <w:szCs w:val="20"/>
              </w:rPr>
            </w:pPr>
            <w:r w:rsidRPr="008B037A">
              <w:rPr>
                <w:sz w:val="20"/>
                <w:szCs w:val="20"/>
                <w:lang w:val="en"/>
              </w:rPr>
              <w:t>Yes</w:t>
            </w:r>
          </w:p>
        </w:tc>
      </w:tr>
      <w:tr w:rsidR="00675252" w:rsidRPr="008B037A" w14:paraId="688E16ED" w14:textId="77777777" w:rsidTr="006A4EEE">
        <w:trPr>
          <w:cantSplit/>
        </w:trPr>
        <w:tc>
          <w:tcPr>
            <w:tcW w:w="3600" w:type="dxa"/>
            <w:tcBorders>
              <w:top w:val="single" w:sz="6" w:space="0" w:color="auto"/>
              <w:bottom w:val="single" w:sz="6" w:space="0" w:color="auto"/>
            </w:tcBorders>
            <w:shd w:val="clear" w:color="auto" w:fill="67AE3C"/>
            <w:vAlign w:val="center"/>
          </w:tcPr>
          <w:p w14:paraId="718EDA92"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 xml:space="preserve">Competence </w:t>
            </w:r>
            <w:r w:rsidRPr="008B037A">
              <w:rPr>
                <w:rFonts w:ascii="Cambria" w:hAnsi="Cambria"/>
                <w:b/>
                <w:bCs/>
                <w:i/>
                <w:iCs/>
                <w:color w:val="FFFFFF" w:themeColor="background1"/>
                <w:sz w:val="20"/>
                <w:szCs w:val="20"/>
                <w:lang w:val="en"/>
              </w:rPr>
              <w:t>ratione materiae</w:t>
            </w:r>
            <w:r w:rsidRPr="008B037A">
              <w:rPr>
                <w:rFonts w:ascii="Cambria" w:hAnsi="Cambria"/>
                <w:b/>
                <w:bCs/>
                <w:color w:val="FFFFFF" w:themeColor="background1"/>
                <w:sz w:val="20"/>
                <w:szCs w:val="20"/>
                <w:lang w:val="en"/>
              </w:rPr>
              <w:t>:</w:t>
            </w:r>
          </w:p>
        </w:tc>
        <w:tc>
          <w:tcPr>
            <w:tcW w:w="5760" w:type="dxa"/>
            <w:vAlign w:val="center"/>
          </w:tcPr>
          <w:p w14:paraId="106407DB" w14:textId="1C5B5936" w:rsidR="00675252" w:rsidRPr="008B037A" w:rsidRDefault="00675252" w:rsidP="0081576E">
            <w:pPr>
              <w:jc w:val="both"/>
              <w:rPr>
                <w:rFonts w:ascii="Cambria" w:hAnsi="Cambria"/>
                <w:bCs/>
                <w:sz w:val="20"/>
                <w:szCs w:val="20"/>
              </w:rPr>
            </w:pPr>
            <w:r w:rsidRPr="008B037A">
              <w:rPr>
                <w:rFonts w:ascii="Cambria" w:hAnsi="Cambria"/>
                <w:sz w:val="20"/>
                <w:szCs w:val="20"/>
                <w:lang w:val="en"/>
              </w:rPr>
              <w:t xml:space="preserve">Yes, </w:t>
            </w:r>
            <w:r w:rsidR="0081576E" w:rsidRPr="008B037A">
              <w:rPr>
                <w:rFonts w:ascii="Cambria" w:hAnsi="Cambria"/>
                <w:sz w:val="20"/>
                <w:szCs w:val="20"/>
                <w:bdr w:val="none" w:sz="0" w:space="0" w:color="auto" w:frame="1"/>
                <w:lang w:val="en"/>
              </w:rPr>
              <w:t>American Convention</w:t>
            </w:r>
            <w:r w:rsidRPr="008B037A">
              <w:rPr>
                <w:rFonts w:ascii="Cambria" w:hAnsi="Cambria"/>
                <w:sz w:val="20"/>
                <w:szCs w:val="20"/>
                <w:bdr w:val="none" w:sz="0" w:space="0" w:color="auto" w:frame="1"/>
                <w:lang w:val="en"/>
              </w:rPr>
              <w:t xml:space="preserve"> (instrument deposited on </w:t>
            </w:r>
            <w:r w:rsidRPr="008B037A">
              <w:rPr>
                <w:rFonts w:ascii="Cambria" w:hAnsi="Cambria"/>
                <w:sz w:val="20"/>
                <w:szCs w:val="20"/>
                <w:lang w:val="en"/>
              </w:rPr>
              <w:t>August 21, 1990</w:t>
            </w:r>
            <w:r w:rsidRPr="008B037A">
              <w:rPr>
                <w:rFonts w:ascii="Cambria" w:hAnsi="Cambria"/>
                <w:sz w:val="20"/>
                <w:szCs w:val="20"/>
                <w:bdr w:val="none" w:sz="0" w:space="0" w:color="auto" w:frame="1"/>
                <w:lang w:val="en"/>
              </w:rPr>
              <w:t xml:space="preserve">) and the Inter-American Convention on the Prevention, Punishment, and Eradication of Violence against Women (instrument deposited on </w:t>
            </w:r>
            <w:r w:rsidRPr="008B037A">
              <w:rPr>
                <w:rFonts w:ascii="Cambria" w:hAnsi="Cambria"/>
                <w:sz w:val="20"/>
                <w:szCs w:val="20"/>
                <w:lang w:val="en"/>
              </w:rPr>
              <w:t>November 15, 1996</w:t>
            </w:r>
            <w:r w:rsidRPr="008B037A">
              <w:rPr>
                <w:rFonts w:ascii="Cambria" w:hAnsi="Cambria"/>
                <w:sz w:val="20"/>
                <w:szCs w:val="20"/>
                <w:bdr w:val="none" w:sz="0" w:space="0" w:color="auto" w:frame="1"/>
                <w:lang w:val="en"/>
              </w:rPr>
              <w:t>)</w:t>
            </w:r>
          </w:p>
        </w:tc>
      </w:tr>
    </w:tbl>
    <w:p w14:paraId="2E126F0B" w14:textId="77777777" w:rsidR="00675252" w:rsidRPr="008B037A" w:rsidRDefault="00675252" w:rsidP="00675252">
      <w:pPr>
        <w:spacing w:before="240" w:after="240"/>
        <w:ind w:firstLine="720"/>
        <w:jc w:val="both"/>
        <w:rPr>
          <w:rFonts w:asciiTheme="majorHAnsi" w:hAnsiTheme="majorHAnsi"/>
          <w:b/>
          <w:bCs/>
          <w:sz w:val="20"/>
          <w:szCs w:val="20"/>
        </w:rPr>
      </w:pPr>
      <w:r w:rsidRPr="008B037A">
        <w:rPr>
          <w:rFonts w:asciiTheme="majorHAnsi" w:hAnsiTheme="majorHAnsi"/>
          <w:b/>
          <w:bCs/>
          <w:sz w:val="20"/>
          <w:szCs w:val="20"/>
          <w:lang w:val="en"/>
        </w:rPr>
        <w:t xml:space="preserve">IV. </w:t>
      </w:r>
      <w:r w:rsidRPr="008B037A">
        <w:rPr>
          <w:rFonts w:asciiTheme="majorHAnsi" w:hAnsiTheme="majorHAnsi"/>
          <w:sz w:val="20"/>
          <w:szCs w:val="20"/>
          <w:lang w:val="en"/>
        </w:rPr>
        <w:tab/>
      </w:r>
      <w:r w:rsidRPr="008B037A">
        <w:rPr>
          <w:rFonts w:asciiTheme="majorHAnsi" w:hAnsiTheme="majorHAnsi"/>
          <w:b/>
          <w:bCs/>
          <w:sz w:val="20"/>
          <w:szCs w:val="20"/>
          <w:lang w:val="en"/>
        </w:rPr>
        <w:t>DUPLICATION</w:t>
      </w:r>
      <w:r w:rsidRPr="008B037A">
        <w:rPr>
          <w:rFonts w:asciiTheme="majorHAnsi" w:hAnsiTheme="majorHAnsi"/>
          <w:b/>
          <w:bCs/>
          <w:color w:val="FFFFFF" w:themeColor="background1"/>
          <w:sz w:val="20"/>
          <w:szCs w:val="20"/>
          <w:lang w:val="en"/>
        </w:rPr>
        <w:t xml:space="preserve"> </w:t>
      </w:r>
      <w:r w:rsidRPr="008B037A">
        <w:rPr>
          <w:rFonts w:asciiTheme="majorHAnsi" w:hAnsiTheme="majorHAnsi"/>
          <w:b/>
          <w:bCs/>
          <w:sz w:val="20"/>
          <w:szCs w:val="20"/>
          <w:lang w:val="en"/>
        </w:rPr>
        <w:t xml:space="preserve">OF PROCEDURES AND INTERNATIONAL </w:t>
      </w:r>
      <w:r w:rsidRPr="008B037A">
        <w:rPr>
          <w:rFonts w:asciiTheme="majorHAnsi" w:hAnsiTheme="majorHAnsi"/>
          <w:b/>
          <w:bCs/>
          <w:i/>
          <w:iCs/>
          <w:sz w:val="20"/>
          <w:szCs w:val="20"/>
          <w:lang w:val="en"/>
        </w:rPr>
        <w:t>RES JUDICATA</w:t>
      </w:r>
      <w:r w:rsidRPr="008B037A">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675252" w:rsidRPr="008B037A" w14:paraId="64306AFE" w14:textId="77777777" w:rsidTr="006A4EEE">
        <w:trPr>
          <w:cantSplit/>
        </w:trPr>
        <w:tc>
          <w:tcPr>
            <w:tcW w:w="3600" w:type="dxa"/>
            <w:tcBorders>
              <w:top w:val="single" w:sz="4" w:space="0" w:color="auto"/>
              <w:bottom w:val="single" w:sz="6" w:space="0" w:color="auto"/>
            </w:tcBorders>
            <w:shd w:val="clear" w:color="auto" w:fill="67AE3C"/>
            <w:vAlign w:val="center"/>
          </w:tcPr>
          <w:p w14:paraId="143AD6E2"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 xml:space="preserve">Duplication of procedures and international </w:t>
            </w:r>
            <w:r w:rsidRPr="008B037A">
              <w:rPr>
                <w:rFonts w:ascii="Cambria" w:hAnsi="Cambria"/>
                <w:b/>
                <w:bCs/>
                <w:i/>
                <w:iCs/>
                <w:color w:val="FFFFFF" w:themeColor="background1"/>
                <w:sz w:val="20"/>
                <w:szCs w:val="20"/>
                <w:lang w:val="en"/>
              </w:rPr>
              <w:t>res judicata</w:t>
            </w:r>
            <w:r w:rsidRPr="008B037A">
              <w:rPr>
                <w:rFonts w:ascii="Cambria" w:hAnsi="Cambria"/>
                <w:b/>
                <w:bCs/>
                <w:color w:val="FFFFFF" w:themeColor="background1"/>
                <w:sz w:val="20"/>
                <w:szCs w:val="20"/>
                <w:lang w:val="en"/>
              </w:rPr>
              <w:t>:</w:t>
            </w:r>
          </w:p>
        </w:tc>
        <w:tc>
          <w:tcPr>
            <w:tcW w:w="5760" w:type="dxa"/>
            <w:vAlign w:val="center"/>
          </w:tcPr>
          <w:p w14:paraId="3052666F" w14:textId="77777777" w:rsidR="00675252" w:rsidRPr="008B037A" w:rsidRDefault="00675252" w:rsidP="006A4EEE">
            <w:pPr>
              <w:jc w:val="both"/>
              <w:rPr>
                <w:rFonts w:ascii="Cambria" w:hAnsi="Cambria"/>
                <w:bCs/>
                <w:sz w:val="20"/>
                <w:szCs w:val="20"/>
              </w:rPr>
            </w:pPr>
            <w:r w:rsidRPr="008B037A">
              <w:rPr>
                <w:rFonts w:ascii="Cambria" w:hAnsi="Cambria"/>
                <w:sz w:val="20"/>
                <w:szCs w:val="20"/>
                <w:lang w:val="en"/>
              </w:rPr>
              <w:t>No</w:t>
            </w:r>
          </w:p>
        </w:tc>
      </w:tr>
      <w:tr w:rsidR="00675252" w:rsidRPr="008B037A" w14:paraId="33AC6A12" w14:textId="77777777" w:rsidTr="006A4EEE">
        <w:trPr>
          <w:cantSplit/>
        </w:trPr>
        <w:tc>
          <w:tcPr>
            <w:tcW w:w="3600" w:type="dxa"/>
            <w:tcBorders>
              <w:top w:val="single" w:sz="6" w:space="0" w:color="auto"/>
              <w:bottom w:val="single" w:sz="6" w:space="0" w:color="auto"/>
            </w:tcBorders>
            <w:shd w:val="clear" w:color="auto" w:fill="67AE3C"/>
            <w:vAlign w:val="center"/>
          </w:tcPr>
          <w:p w14:paraId="308574BB" w14:textId="77777777" w:rsidR="00675252" w:rsidRPr="008B037A" w:rsidRDefault="00675252" w:rsidP="006A4EEE">
            <w:pPr>
              <w:jc w:val="center"/>
              <w:rPr>
                <w:rFonts w:ascii="Cambria" w:hAnsi="Cambria"/>
                <w:b/>
                <w:bCs/>
                <w:i/>
                <w:color w:val="FFFFFF" w:themeColor="background1"/>
                <w:sz w:val="20"/>
                <w:szCs w:val="20"/>
              </w:rPr>
            </w:pPr>
            <w:r w:rsidRPr="008B037A">
              <w:rPr>
                <w:rFonts w:ascii="Cambria" w:hAnsi="Cambria"/>
                <w:b/>
                <w:bCs/>
                <w:color w:val="FFFFFF" w:themeColor="background1"/>
                <w:sz w:val="20"/>
                <w:szCs w:val="20"/>
                <w:lang w:val="en"/>
              </w:rPr>
              <w:t>Rights declared admissible:</w:t>
            </w:r>
          </w:p>
        </w:tc>
        <w:tc>
          <w:tcPr>
            <w:tcW w:w="5760" w:type="dxa"/>
            <w:vAlign w:val="center"/>
          </w:tcPr>
          <w:p w14:paraId="0ADBF757" w14:textId="226A9330" w:rsidR="00675252" w:rsidRPr="008B037A" w:rsidRDefault="00675252" w:rsidP="0081576E">
            <w:pPr>
              <w:jc w:val="both"/>
              <w:rPr>
                <w:rFonts w:ascii="Cambria" w:hAnsi="Cambria"/>
                <w:bCs/>
                <w:sz w:val="20"/>
                <w:szCs w:val="20"/>
              </w:rPr>
            </w:pPr>
            <w:r w:rsidRPr="008B037A">
              <w:rPr>
                <w:rFonts w:ascii="Cambria" w:hAnsi="Cambria"/>
                <w:sz w:val="20"/>
                <w:szCs w:val="20"/>
                <w:lang w:val="en"/>
              </w:rPr>
              <w:t>Articles 5 (humane treatment), 8 (fair trial), 19 (rights of the child), 24 (equal protection), and 25 (judicial protection) of the American Convention in conjunction with its articles 1(1) (obligation to respect rights) and 2 (domestic legal effects</w:t>
            </w:r>
            <w:r w:rsidR="0081576E" w:rsidRPr="008B037A">
              <w:rPr>
                <w:rFonts w:ascii="Cambria" w:hAnsi="Cambria"/>
                <w:sz w:val="20"/>
                <w:szCs w:val="20"/>
                <w:lang w:val="en"/>
              </w:rPr>
              <w:t>)</w:t>
            </w:r>
            <w:r w:rsidRPr="008B037A">
              <w:rPr>
                <w:rFonts w:ascii="Cambria" w:hAnsi="Cambria"/>
                <w:sz w:val="20"/>
                <w:szCs w:val="20"/>
                <w:lang w:val="en"/>
              </w:rPr>
              <w:t>; and Article 7 of the Convention of Belém do Pará</w:t>
            </w:r>
          </w:p>
        </w:tc>
      </w:tr>
      <w:tr w:rsidR="00675252" w:rsidRPr="008B037A" w14:paraId="22EC663F" w14:textId="77777777" w:rsidTr="006A4EEE">
        <w:trPr>
          <w:cantSplit/>
        </w:trPr>
        <w:tc>
          <w:tcPr>
            <w:tcW w:w="3600" w:type="dxa"/>
            <w:tcBorders>
              <w:top w:val="single" w:sz="6" w:space="0" w:color="auto"/>
              <w:bottom w:val="single" w:sz="6" w:space="0" w:color="auto"/>
            </w:tcBorders>
            <w:shd w:val="clear" w:color="auto" w:fill="67AE3C"/>
            <w:vAlign w:val="center"/>
          </w:tcPr>
          <w:p w14:paraId="786E077B"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Exhaustion of domestic remedies or applicability of an exception to the rule:</w:t>
            </w:r>
          </w:p>
        </w:tc>
        <w:tc>
          <w:tcPr>
            <w:tcW w:w="5760" w:type="dxa"/>
            <w:vAlign w:val="center"/>
          </w:tcPr>
          <w:p w14:paraId="3021FCCF" w14:textId="36C5C922" w:rsidR="00675252" w:rsidRPr="008B037A" w:rsidRDefault="00675252" w:rsidP="0081576E">
            <w:pPr>
              <w:rPr>
                <w:rFonts w:ascii="Cambria" w:hAnsi="Cambria"/>
                <w:bCs/>
                <w:sz w:val="20"/>
                <w:szCs w:val="20"/>
              </w:rPr>
            </w:pPr>
            <w:r w:rsidRPr="008B037A">
              <w:rPr>
                <w:rFonts w:ascii="Cambria" w:hAnsi="Cambria"/>
                <w:sz w:val="20"/>
                <w:szCs w:val="20"/>
                <w:lang w:val="en"/>
              </w:rPr>
              <w:t>Yes, Article 46(</w:t>
            </w:r>
            <w:r w:rsidR="0081576E" w:rsidRPr="008B037A">
              <w:rPr>
                <w:rFonts w:ascii="Cambria" w:hAnsi="Cambria"/>
                <w:sz w:val="20"/>
                <w:szCs w:val="20"/>
                <w:lang w:val="en"/>
              </w:rPr>
              <w:t>2)(c) of the Convention applies</w:t>
            </w:r>
          </w:p>
        </w:tc>
      </w:tr>
      <w:tr w:rsidR="00675252" w:rsidRPr="008B037A" w14:paraId="169515D2" w14:textId="77777777" w:rsidTr="006A4EEE">
        <w:trPr>
          <w:cantSplit/>
        </w:trPr>
        <w:tc>
          <w:tcPr>
            <w:tcW w:w="3600" w:type="dxa"/>
            <w:tcBorders>
              <w:top w:val="single" w:sz="6" w:space="0" w:color="auto"/>
              <w:bottom w:val="single" w:sz="6" w:space="0" w:color="auto"/>
            </w:tcBorders>
            <w:shd w:val="clear" w:color="auto" w:fill="67AE3C"/>
            <w:vAlign w:val="center"/>
          </w:tcPr>
          <w:p w14:paraId="621B3894" w14:textId="77777777" w:rsidR="00675252" w:rsidRPr="008B037A" w:rsidRDefault="00675252" w:rsidP="006A4EEE">
            <w:pPr>
              <w:jc w:val="center"/>
              <w:rPr>
                <w:rFonts w:ascii="Cambria" w:hAnsi="Cambria"/>
                <w:b/>
                <w:bCs/>
                <w:color w:val="FFFFFF" w:themeColor="background1"/>
                <w:sz w:val="20"/>
                <w:szCs w:val="20"/>
              </w:rPr>
            </w:pPr>
            <w:r w:rsidRPr="008B037A">
              <w:rPr>
                <w:rFonts w:ascii="Cambria" w:hAnsi="Cambria"/>
                <w:b/>
                <w:bCs/>
                <w:color w:val="FFFFFF" w:themeColor="background1"/>
                <w:sz w:val="20"/>
                <w:szCs w:val="20"/>
                <w:lang w:val="en"/>
              </w:rPr>
              <w:t>Timeliness of the petition:</w:t>
            </w:r>
          </w:p>
        </w:tc>
        <w:tc>
          <w:tcPr>
            <w:tcW w:w="5760" w:type="dxa"/>
            <w:vAlign w:val="center"/>
          </w:tcPr>
          <w:p w14:paraId="495680B9" w14:textId="77777777" w:rsidR="00675252" w:rsidRPr="008B037A" w:rsidRDefault="00675252" w:rsidP="006A4EEE">
            <w:pPr>
              <w:rPr>
                <w:bCs/>
                <w:sz w:val="20"/>
                <w:szCs w:val="20"/>
              </w:rPr>
            </w:pPr>
            <w:r w:rsidRPr="008B037A">
              <w:rPr>
                <w:rFonts w:ascii="Cambria" w:hAnsi="Cambria"/>
                <w:sz w:val="20"/>
                <w:szCs w:val="20"/>
                <w:lang w:val="en"/>
              </w:rPr>
              <w:t>Yes, pursuant to the terms of Section VI</w:t>
            </w:r>
          </w:p>
        </w:tc>
      </w:tr>
    </w:tbl>
    <w:p w14:paraId="7072E03E" w14:textId="77777777" w:rsidR="00675252" w:rsidRPr="008B037A" w:rsidRDefault="00675252" w:rsidP="00675252">
      <w:pPr>
        <w:spacing w:before="240" w:after="240"/>
        <w:ind w:firstLine="720"/>
        <w:jc w:val="both"/>
        <w:rPr>
          <w:rFonts w:asciiTheme="majorHAnsi" w:hAnsiTheme="majorHAnsi"/>
          <w:b/>
          <w:sz w:val="20"/>
          <w:szCs w:val="20"/>
        </w:rPr>
      </w:pPr>
    </w:p>
    <w:p w14:paraId="0211AB41" w14:textId="77777777" w:rsidR="00675252" w:rsidRPr="008B037A" w:rsidRDefault="00675252" w:rsidP="00675252">
      <w:pPr>
        <w:spacing w:before="240" w:after="240"/>
        <w:ind w:firstLine="720"/>
        <w:jc w:val="both"/>
        <w:rPr>
          <w:rFonts w:asciiTheme="majorHAnsi" w:hAnsiTheme="majorHAnsi"/>
          <w:b/>
          <w:sz w:val="20"/>
          <w:szCs w:val="20"/>
        </w:rPr>
      </w:pPr>
    </w:p>
    <w:p w14:paraId="7AE3927C" w14:textId="77777777" w:rsidR="00675252" w:rsidRPr="008B037A" w:rsidRDefault="00675252" w:rsidP="00675252">
      <w:pPr>
        <w:spacing w:before="240" w:after="240"/>
        <w:ind w:firstLine="720"/>
        <w:jc w:val="both"/>
        <w:rPr>
          <w:rFonts w:asciiTheme="majorHAnsi" w:hAnsiTheme="majorHAnsi"/>
          <w:b/>
          <w:sz w:val="20"/>
          <w:szCs w:val="20"/>
        </w:rPr>
      </w:pPr>
    </w:p>
    <w:p w14:paraId="07778FE5" w14:textId="77777777" w:rsidR="00675252" w:rsidRPr="008B037A" w:rsidRDefault="00675252" w:rsidP="00675252">
      <w:pPr>
        <w:spacing w:before="240" w:after="240"/>
        <w:ind w:firstLine="720"/>
        <w:jc w:val="both"/>
        <w:rPr>
          <w:rFonts w:asciiTheme="majorHAnsi" w:hAnsiTheme="majorHAnsi"/>
          <w:b/>
          <w:sz w:val="20"/>
          <w:szCs w:val="20"/>
        </w:rPr>
      </w:pPr>
      <w:r w:rsidRPr="008B037A">
        <w:rPr>
          <w:rFonts w:asciiTheme="majorHAnsi" w:hAnsiTheme="majorHAnsi"/>
          <w:b/>
          <w:bCs/>
          <w:sz w:val="20"/>
          <w:szCs w:val="20"/>
          <w:lang w:val="en"/>
        </w:rPr>
        <w:lastRenderedPageBreak/>
        <w:t xml:space="preserve">V. </w:t>
      </w:r>
      <w:r w:rsidRPr="008B037A">
        <w:rPr>
          <w:rFonts w:asciiTheme="majorHAnsi" w:hAnsiTheme="majorHAnsi"/>
          <w:b/>
          <w:bCs/>
          <w:sz w:val="20"/>
          <w:szCs w:val="20"/>
          <w:lang w:val="en"/>
        </w:rPr>
        <w:tab/>
        <w:t xml:space="preserve">ALLEGED FACTS </w:t>
      </w:r>
    </w:p>
    <w:p w14:paraId="10D7FD84" w14:textId="77777777"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lang w:val="en"/>
        </w:rPr>
        <w:t>The petitioner alleges that the alleged victim, Tatiana Marisa Barría Mardones, had a romantic relationship that ended in 2003 as a result “the physical and psychological violence she suffered.” She states that on March 11, 2007, while she was at home with her 12-year-old daughter and her partner at the time, Luis Santos, her ex-partner arrived with his brother, who, between insults, started throwing rocks and other objects on the roof of the house to get the alleged victim to come out. She stated that outside her home, her ex-partner cursed and insulted her. Luis Santos reacted to this by telling him to leave, to which the attacker reacted by cursing more and striking him, causing injury. She states that the alleged victim’s daughter saw what was happening from a window and started to scream, at which the attacker left, saying he would return to kill them. She states that after Luis Santos reentered the house, the alleged attacker returned and beat on the door, demanding they open it and repeating his threats. She says they called the Carabineros [police], who “arrived and did nothing to stop the brothers [...] even though the aggressor was identified, in flagrante delicto, and all the information necessary for his capture had been provided.” She states that they went to the emergency room, and each of the injured parties described their complaint to the police. She alleges that from that point on, Ms. Barría was considered a witness, not a victim. She states that at that point, the alleged victim was informed she would be called to testify.</w:t>
      </w:r>
    </w:p>
    <w:p w14:paraId="492562B5" w14:textId="4E19D855"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lang w:val="en"/>
        </w:rPr>
        <w:t>She states that on March 15, 2007, Luis Santos filed a criminal complaint against the alleged attacker “for the injuries and threats of which he was a victim.” In response, the Office of the Public Prosecutor “ordered an investigation only regarding his legal claim, without considering the victim.” She states that the allege</w:t>
      </w:r>
      <w:r w:rsidR="00850C61" w:rsidRPr="008B037A">
        <w:rPr>
          <w:rFonts w:ascii="Cambria" w:hAnsi="Cambria"/>
          <w:sz w:val="20"/>
          <w:szCs w:val="20"/>
          <w:lang w:val="en"/>
        </w:rPr>
        <w:t>d victim therefore went to the o</w:t>
      </w:r>
      <w:r w:rsidRPr="008B037A">
        <w:rPr>
          <w:rFonts w:ascii="Cambria" w:hAnsi="Cambria"/>
          <w:sz w:val="20"/>
          <w:szCs w:val="20"/>
          <w:lang w:val="en"/>
        </w:rPr>
        <w:t>ffice of the Prosecutor to demand her statement be taken, where “the Public Ministry official did so very informally and unprofessionally, without the presence of the Prosecutor in charge of the investigation.” At that time, the alleged victim was supposedly not referred to the Victims and Witnesses Support Unit, which she should have been. The petitioner adds that on April 3, 2007, in execution of an investigative order issued by the Office of the Public Prosecutor, the alleged victim was summoned to give a statement at police</w:t>
      </w:r>
      <w:r w:rsidR="00850C61" w:rsidRPr="008B037A">
        <w:rPr>
          <w:rFonts w:ascii="Cambria" w:hAnsi="Cambria"/>
          <w:sz w:val="20"/>
          <w:szCs w:val="20"/>
          <w:lang w:val="en"/>
        </w:rPr>
        <w:t xml:space="preserve"> headquarters. At that time, a c</w:t>
      </w:r>
      <w:r w:rsidRPr="008B037A">
        <w:rPr>
          <w:rFonts w:ascii="Cambria" w:hAnsi="Cambria"/>
          <w:sz w:val="20"/>
          <w:szCs w:val="20"/>
          <w:lang w:val="en"/>
        </w:rPr>
        <w:t xml:space="preserve">arabinero took notes of her statements, and the police report concluded that injuries took place to the detriment of Luis Santos, omitting the threats of which she was the victim and the illegal invasion of her dwelling. </w:t>
      </w:r>
    </w:p>
    <w:p w14:paraId="3A48849C" w14:textId="1839DD62"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lang w:val="en"/>
        </w:rPr>
        <w:t xml:space="preserve">She states that in response to the lack of an investigation into the complaints related to the alleged victim, on April 23, 2007, she filed a criminal complaint alleging threats that referred to both the previous acts of violence committed by her ex-partner and what happened in 2007. </w:t>
      </w:r>
      <w:r w:rsidR="00D77936" w:rsidRPr="008B037A">
        <w:rPr>
          <w:rFonts w:ascii="Cambria" w:hAnsi="Cambria"/>
          <w:sz w:val="20"/>
          <w:szCs w:val="20"/>
          <w:lang w:val="en"/>
        </w:rPr>
        <w:t>In the denunciation she described the events of March 11, 2007 and indicated that she decided to present a complaint because “on many prior occasions I have been intimidated, harmed and threatened by this person which has left me with fear, insecurity and terror that at some moment he will carry out his death threats.” She indicated that the relationship ended in 2003 due to “physical and psychological vio</w:t>
      </w:r>
      <w:r w:rsidR="00293599" w:rsidRPr="008B037A">
        <w:rPr>
          <w:rFonts w:ascii="Cambria" w:hAnsi="Cambria"/>
          <w:sz w:val="20"/>
          <w:szCs w:val="20"/>
          <w:lang w:val="en"/>
        </w:rPr>
        <w:t>lence,</w:t>
      </w:r>
      <w:r w:rsidR="00DC3F1A" w:rsidRPr="008B037A">
        <w:rPr>
          <w:rFonts w:ascii="Cambria" w:hAnsi="Cambria"/>
          <w:sz w:val="20"/>
          <w:szCs w:val="20"/>
          <w:lang w:val="en"/>
        </w:rPr>
        <w:t>”</w:t>
      </w:r>
      <w:r w:rsidR="00293599" w:rsidRPr="008B037A">
        <w:rPr>
          <w:rFonts w:ascii="Cambria" w:hAnsi="Cambria"/>
          <w:sz w:val="20"/>
          <w:szCs w:val="20"/>
          <w:lang w:val="en"/>
        </w:rPr>
        <w:t xml:space="preserve"> that </w:t>
      </w:r>
      <w:r w:rsidR="00DC3F1A" w:rsidRPr="008B037A">
        <w:rPr>
          <w:rFonts w:ascii="Cambria" w:hAnsi="Cambria"/>
          <w:sz w:val="20"/>
          <w:szCs w:val="20"/>
          <w:lang w:val="en"/>
        </w:rPr>
        <w:t>“</w:t>
      </w:r>
      <w:r w:rsidR="00293599" w:rsidRPr="008B037A">
        <w:rPr>
          <w:rFonts w:ascii="Cambria" w:hAnsi="Cambria"/>
          <w:sz w:val="20"/>
          <w:szCs w:val="20"/>
          <w:lang w:val="en"/>
        </w:rPr>
        <w:t>I never dared to denounce because of the reiterated death threats.” In the complaint she described threats, being followed, and haras</w:t>
      </w:r>
      <w:r w:rsidR="009C5ECF" w:rsidRPr="008B037A">
        <w:rPr>
          <w:rFonts w:ascii="Cambria" w:hAnsi="Cambria"/>
          <w:sz w:val="20"/>
          <w:szCs w:val="20"/>
          <w:lang w:val="en"/>
        </w:rPr>
        <w:t>s</w:t>
      </w:r>
      <w:r w:rsidR="00293599" w:rsidRPr="008B037A">
        <w:rPr>
          <w:rFonts w:ascii="Cambria" w:hAnsi="Cambria"/>
          <w:sz w:val="20"/>
          <w:szCs w:val="20"/>
          <w:lang w:val="en"/>
        </w:rPr>
        <w:t xml:space="preserve">ment, and indicated that </w:t>
      </w:r>
      <w:r w:rsidR="00C64F27" w:rsidRPr="008B037A">
        <w:rPr>
          <w:rFonts w:ascii="Cambria" w:hAnsi="Cambria"/>
          <w:sz w:val="20"/>
          <w:szCs w:val="20"/>
          <w:lang w:val="en"/>
        </w:rPr>
        <w:t>because of this</w:t>
      </w:r>
      <w:r w:rsidR="00293599" w:rsidRPr="008B037A">
        <w:rPr>
          <w:rFonts w:ascii="Cambria" w:hAnsi="Cambria"/>
          <w:sz w:val="20"/>
          <w:szCs w:val="20"/>
          <w:lang w:val="en"/>
        </w:rPr>
        <w:t xml:space="preserve">, “I decided to change where I lived and worked and move to the city of Coyhaique thinking that he wouldn’t bother me anymore because he wouldn’t know my new place of residence.” </w:t>
      </w:r>
      <w:r w:rsidR="00D77936" w:rsidRPr="008B037A">
        <w:rPr>
          <w:rFonts w:ascii="Cambria" w:hAnsi="Cambria"/>
          <w:sz w:val="20"/>
          <w:szCs w:val="20"/>
          <w:lang w:val="en"/>
        </w:rPr>
        <w:t xml:space="preserve">  </w:t>
      </w:r>
      <w:r w:rsidRPr="008B037A">
        <w:rPr>
          <w:rFonts w:ascii="Cambria" w:hAnsi="Cambria"/>
          <w:sz w:val="20"/>
          <w:szCs w:val="20"/>
          <w:lang w:val="en"/>
        </w:rPr>
        <w:t>Regarding this complaint, she states that the Office of the Public Prosecutor submitted a hearing request for a simplified procedure into the crimes against Luis Santos and another hearing to communicate its decision to not prosecute the crimes against the alleged victim. She states that because the alleged victim had not been notified, the hearing had to be postponed until August 2, 2007.</w:t>
      </w:r>
    </w:p>
    <w:p w14:paraId="0B1419C2" w14:textId="77777777"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lang w:val="en"/>
        </w:rPr>
        <w:t xml:space="preserve"> She states that the alleged victim’s private attorney requested admission of eight evidentiary procedures—including collecting a statement from Luis Santos and the information from a complaint from 2003 against the alleged attacker “for injury caused during an attack on her and others, with the aim of demonstrating a pattern of attacks”—of which the Office of the Public Prosecutor only admitted two witness statements, rejecting others, including summoning Luis Santos to provide a statement. In this regard, she alleges that the Prosecutor never summoned the alleged victim to provide him with a statement, and the Office of the Public Prosecutor inquired about the facts from 2007 even though the subject of the witness statements was previous facts, as the witnesses had not been present during the facts that took place in 2007. In addition, she alleges that the interrogation of the daughter of the alleged victim was hostile, and that at that time, the Prosecutor stated that he would not take a statement from the alleged victim, suggesting she turn to the family </w:t>
      </w:r>
      <w:r w:rsidRPr="008B037A">
        <w:rPr>
          <w:rFonts w:ascii="Cambria" w:hAnsi="Cambria"/>
          <w:sz w:val="20"/>
          <w:szCs w:val="20"/>
          <w:lang w:val="en"/>
        </w:rPr>
        <w:lastRenderedPageBreak/>
        <w:t>courts. She thus states that the alleged victim twice prevented the investigations from being closed by presenting requests to gather evidence against the alleged attacker.</w:t>
      </w:r>
    </w:p>
    <w:p w14:paraId="1D2CED16" w14:textId="77777777"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lang w:val="en"/>
        </w:rPr>
        <w:t xml:space="preserve">She states that on January 2, 2008, a hearing was held during which the collection of new evidence was ordered. She indicates that on January 25, 2008, a hearing was held during which the Prosecutor exercised his authority to drop the investigation, upon which the Guarantee Judge of Coyhaique decided to close the investigation. She alleges that the alleged victim was summoned to the hearing, but that she was not informed beforehand of its purpose, for which reason she was not able to exercise her right to object to the closure of the investigation. She adds that the alleged victim was also not provided with an opportunity to give her opinion on this decision, in violation of Article 248 section (c) of the Criminal Procedural Code (hereinafter the “CPC”), which establishes that to order the closure of an investigation, it must first be formalized and all the necessary steps must be taken to ascertain the facts and identify the perpetrators. It alleges that, in this case, the investigation was not formalized and none of the requested measures to gather evidence were taken. </w:t>
      </w:r>
    </w:p>
    <w:p w14:paraId="5F903504" w14:textId="24F95FEB"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lang w:val="en"/>
        </w:rPr>
        <w:t>The information provided indicates that on February 4, 2008, the alleged victim asked the Prosecutor to conduct evidence gathering procedures and to continue the investigation because she had not been notified of the reason for the hearing. The request was rejected on February 5, 2008. The petitioner alleges that the alleged victim did not have an adequate remedy available to her, as forcing continuation of the investigation, as provided for in Article 258 of the CPC, is not a simple and quick remedy. She adds that this remedy prevented the alleged victim from demanding evidentiary measures be taken that she could indeed request of the prosecutor.</w:t>
      </w:r>
    </w:p>
    <w:p w14:paraId="0DE17365" w14:textId="66DB6A95" w:rsidR="00DC3F1A" w:rsidRPr="008B037A" w:rsidRDefault="00DC3F1A"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rPr>
        <w:t xml:space="preserve">In summary, the petition alleges that in 2007 the presumed victim presented a complaint against her former partner for domestic violence, with respect to various alleged acts of aggression as from at least 2003 up to March of 2007, and specifically denounced that he had threatened to come back and kill her.  </w:t>
      </w:r>
      <w:r w:rsidR="00E37639" w:rsidRPr="008B037A">
        <w:rPr>
          <w:rFonts w:ascii="Cambria" w:hAnsi="Cambria"/>
          <w:sz w:val="20"/>
          <w:szCs w:val="20"/>
        </w:rPr>
        <w:t xml:space="preserve">The petition </w:t>
      </w:r>
      <w:r w:rsidRPr="008B037A">
        <w:rPr>
          <w:rFonts w:ascii="Cambria" w:hAnsi="Cambria"/>
          <w:sz w:val="20"/>
          <w:szCs w:val="20"/>
        </w:rPr>
        <w:t xml:space="preserve">affirms that the response of the State centered on the investigation of the injuries sustained by her current partner, without investigating the alleged prior acts or the situation of risk that she identified.     </w:t>
      </w:r>
    </w:p>
    <w:p w14:paraId="3A4EB3FE" w14:textId="77777777"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lang w:val="en"/>
        </w:rPr>
        <w:t xml:space="preserve">For its part, the State indicates that the facts alleged do not represent a violation of the rights guaranteed in the Convention. It states that the decision to drop a criminal investigation falls under the authority of the Office of the Public Prosecutor in the event of a lack of sufficient evidence on which to base charges. It notes that this is a technical decision, not a reflection of discretion, lack of interest, or excessive workload on the part of the public officials. It adds that even in these cases, if new information comes to light subsequent to the closure of the investigation, the Prosecutor has the authority to reopen it. It adds that in this case, the petitioner has not included any information indicating that new information was provided to the Prosecutor in the case. It submits that the petitioners are attempting to use the Commission as a fourth instance to review a ruling that was not in their favor. </w:t>
      </w:r>
    </w:p>
    <w:p w14:paraId="785BF36F" w14:textId="77777777" w:rsidR="00675252" w:rsidRPr="008B037A" w:rsidRDefault="00675252" w:rsidP="00675252">
      <w:pPr>
        <w:spacing w:before="240" w:after="240"/>
        <w:ind w:firstLine="720"/>
        <w:jc w:val="both"/>
        <w:rPr>
          <w:rFonts w:ascii="Cambria" w:hAnsi="Cambria"/>
          <w:sz w:val="20"/>
          <w:szCs w:val="20"/>
        </w:rPr>
      </w:pPr>
      <w:r w:rsidRPr="008B037A">
        <w:rPr>
          <w:rFonts w:ascii="Cambria" w:hAnsi="Cambria"/>
          <w:b/>
          <w:bCs/>
          <w:color w:val="000000"/>
          <w:sz w:val="20"/>
          <w:szCs w:val="20"/>
          <w:u w:color="000000"/>
          <w:lang w:val="en"/>
        </w:rPr>
        <w:t>VI.</w:t>
      </w:r>
      <w:r w:rsidRPr="008B037A">
        <w:rPr>
          <w:rFonts w:ascii="Cambria" w:hAnsi="Cambria"/>
          <w:b/>
          <w:bCs/>
          <w:color w:val="000000"/>
          <w:sz w:val="20"/>
          <w:szCs w:val="20"/>
          <w:u w:color="000000"/>
          <w:lang w:val="en"/>
        </w:rPr>
        <w:tab/>
        <w:t xml:space="preserve">ANALYSIS OF </w:t>
      </w:r>
      <w:r w:rsidRPr="008B037A">
        <w:rPr>
          <w:rFonts w:ascii="Cambria" w:hAnsi="Cambria"/>
          <w:b/>
          <w:bCs/>
          <w:sz w:val="20"/>
          <w:szCs w:val="20"/>
          <w:lang w:val="en"/>
        </w:rPr>
        <w:t>EXHAUSTION OF DOMESTIC REMEDIES AND TIMELINESS OF THE PETITION</w:t>
      </w:r>
      <w:r w:rsidRPr="008B037A">
        <w:rPr>
          <w:rFonts w:ascii="Cambria" w:hAnsi="Cambria"/>
          <w:b/>
          <w:bCs/>
          <w:sz w:val="20"/>
          <w:szCs w:val="20"/>
          <w:u w:color="000000"/>
          <w:lang w:val="en"/>
        </w:rPr>
        <w:t xml:space="preserve"> </w:t>
      </w:r>
    </w:p>
    <w:p w14:paraId="7A96D332" w14:textId="77777777"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Cambria" w:hAnsi="Cambria"/>
          <w:color w:val="FF0000"/>
          <w:sz w:val="20"/>
          <w:szCs w:val="20"/>
        </w:rPr>
      </w:pPr>
      <w:r w:rsidRPr="008B037A">
        <w:rPr>
          <w:rFonts w:ascii="Cambria" w:hAnsi="Cambria"/>
          <w:sz w:val="20"/>
          <w:szCs w:val="20"/>
          <w:lang w:val="en"/>
        </w:rPr>
        <w:t xml:space="preserve">The petitioner alleges she filed a series of requests for gathering evidence with the Office of the Public Prosecutor in order for the investigation to continue. She states that at the hearing to close the investigation on the Office of the Public Prosecutor’s exercise of its authority to do so, the alleged victim was not provided with an opportunity to give her opinion, in violation of Article 248, section (c) of the CPC. She also alleges that the alleged victim did not have an adequate remedy available to her, as forcing continuation of the investigation, as provided for in Article 258 of the CPC, is not a simple and quick remedy. For its part, the State argues that if new information comes to light subsequent to the closure of the investigation, the Prosecutor has the authority to reopen it. </w:t>
      </w:r>
    </w:p>
    <w:p w14:paraId="07311855" w14:textId="77777777"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Cambria" w:hAnsi="Cambria"/>
          <w:sz w:val="20"/>
          <w:szCs w:val="20"/>
        </w:rPr>
      </w:pPr>
      <w:r w:rsidRPr="008B037A">
        <w:rPr>
          <w:rFonts w:ascii="Cambria" w:hAnsi="Cambria"/>
          <w:sz w:val="20"/>
          <w:szCs w:val="20"/>
          <w:lang w:val="en"/>
        </w:rPr>
        <w:t xml:space="preserve">The Commission observes that in this case, the alleged victim says she had filed a police report regarding the facts and that because she was treated as a witness to the facts and not a victim, she filed a criminal complaint against the person allegedly responsible for the threats. The Commission observes that the alleged victim filed the criminal complaint about the threats on April 23, 2007, and that on January 25, 2008, the Prosecutor exercised his authority to drop the investigation, upon which the guarantee judge closed the </w:t>
      </w:r>
      <w:r w:rsidRPr="008B037A">
        <w:rPr>
          <w:rFonts w:ascii="Cambria" w:hAnsi="Cambria"/>
          <w:sz w:val="20"/>
          <w:szCs w:val="20"/>
          <w:lang w:val="en"/>
        </w:rPr>
        <w:lastRenderedPageBreak/>
        <w:t xml:space="preserve">investigation. As the State noted, the investigation can be reopened should new information be submitted, so it is not definitively closed. In cases alleging threats to life and safety, a criminal process is the most appropriate method for resolving the facts, bringing those responsible to trial, and establishing the corresponding criminal punishments. Because of this, and considering that 11 years have passed since the facts alleged and that the alleged deficiencies in the investigation prevented full resolution of the facts and determination of potential criminal responsibility, the Commission finds that the exception established in Article 46(2)(c) of the Convention is, </w:t>
      </w:r>
      <w:r w:rsidRPr="008B037A">
        <w:rPr>
          <w:rFonts w:ascii="Cambria" w:hAnsi="Cambria"/>
          <w:i/>
          <w:iCs/>
          <w:sz w:val="20"/>
          <w:szCs w:val="20"/>
          <w:lang w:val="en"/>
        </w:rPr>
        <w:t>prima facie</w:t>
      </w:r>
      <w:r w:rsidRPr="008B037A">
        <w:rPr>
          <w:rFonts w:ascii="Cambria" w:hAnsi="Cambria"/>
          <w:sz w:val="20"/>
          <w:szCs w:val="20"/>
          <w:lang w:val="en"/>
        </w:rPr>
        <w:t>, applicable. The Commission deems it pertinent to analyze</w:t>
      </w:r>
      <w:r w:rsidRPr="008B037A">
        <w:rPr>
          <w:sz w:val="20"/>
          <w:szCs w:val="20"/>
          <w:lang w:val="en"/>
        </w:rPr>
        <w:t xml:space="preserve"> the suitability and </w:t>
      </w:r>
      <w:r w:rsidRPr="008B037A">
        <w:rPr>
          <w:rFonts w:ascii="Cambria" w:hAnsi="Cambria"/>
          <w:sz w:val="20"/>
          <w:szCs w:val="20"/>
          <w:lang w:val="en"/>
        </w:rPr>
        <w:t xml:space="preserve">effectiveness of the domestic remedies in this case during the merits stage to establish whether violations of the Convention effectively took place. </w:t>
      </w:r>
    </w:p>
    <w:p w14:paraId="017F2F67" w14:textId="77777777"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Cambria" w:hAnsi="Cambria"/>
          <w:color w:val="FF0000"/>
          <w:sz w:val="20"/>
          <w:szCs w:val="20"/>
        </w:rPr>
      </w:pPr>
      <w:r w:rsidRPr="008B037A">
        <w:rPr>
          <w:rFonts w:ascii="Cambria" w:hAnsi="Cambria"/>
          <w:sz w:val="20"/>
          <w:szCs w:val="20"/>
          <w:lang w:val="en"/>
        </w:rPr>
        <w:t>Additionally, the petition before the Commission was received on July 24, 2008; the alleged facts of the claim took place starting in 2007; and the alleged denial of justice extends to the present day. Therefore, in view of the context and the characteristics of this case, and taking into account that to date, no final judgment has been issued in this case, the Commission finds that the petition was presented within a reasonable period of time and that the admissibility requirement on the submission deadline is satisfied.</w:t>
      </w:r>
    </w:p>
    <w:p w14:paraId="074A3094" w14:textId="77777777" w:rsidR="00675252" w:rsidRPr="008B037A" w:rsidRDefault="00675252" w:rsidP="0067525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ind w:firstLine="720"/>
        <w:jc w:val="both"/>
        <w:rPr>
          <w:rFonts w:asciiTheme="majorHAnsi" w:hAnsiTheme="majorHAnsi"/>
          <w:b/>
          <w:bCs/>
          <w:sz w:val="20"/>
          <w:szCs w:val="20"/>
        </w:rPr>
      </w:pPr>
      <w:r w:rsidRPr="008B037A">
        <w:rPr>
          <w:rFonts w:asciiTheme="majorHAnsi" w:hAnsiTheme="majorHAnsi"/>
          <w:b/>
          <w:bCs/>
          <w:sz w:val="20"/>
          <w:szCs w:val="20"/>
          <w:lang w:val="en"/>
        </w:rPr>
        <w:t>VII.</w:t>
      </w:r>
      <w:r w:rsidRPr="008B037A">
        <w:rPr>
          <w:rFonts w:asciiTheme="majorHAnsi" w:hAnsiTheme="majorHAnsi"/>
          <w:b/>
          <w:bCs/>
          <w:sz w:val="20"/>
          <w:szCs w:val="20"/>
          <w:lang w:val="en"/>
        </w:rPr>
        <w:tab/>
        <w:t>ANALYSIS OF COLORABLE CLAIM</w:t>
      </w:r>
    </w:p>
    <w:p w14:paraId="7CFA1D26" w14:textId="3D3B1C13" w:rsidR="00EB6675" w:rsidRPr="008B037A" w:rsidRDefault="00EB6675"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rPr>
        <w:t xml:space="preserve">By virtue of the obligations set out in the Convention of Belem do Para, States have the </w:t>
      </w:r>
      <w:r w:rsidR="00EB33DA" w:rsidRPr="008B037A">
        <w:rPr>
          <w:rFonts w:ascii="Cambria" w:hAnsi="Cambria"/>
          <w:sz w:val="20"/>
          <w:szCs w:val="20"/>
        </w:rPr>
        <w:t xml:space="preserve">duty </w:t>
      </w:r>
      <w:r w:rsidRPr="008B037A">
        <w:rPr>
          <w:rFonts w:ascii="Cambria" w:hAnsi="Cambria"/>
          <w:sz w:val="20"/>
          <w:szCs w:val="20"/>
        </w:rPr>
        <w:t xml:space="preserve">to prevent, punish and eradicate all forms of violence against women, “whether in the public or the private sphere.” Taking into account that the petitioner alleges that the presumed victim made various efforts to denounce an alleged situation of aggression at the hands of her former partner, and that this </w:t>
      </w:r>
      <w:r w:rsidR="00C64F27" w:rsidRPr="008B037A">
        <w:rPr>
          <w:rFonts w:ascii="Cambria" w:hAnsi="Cambria"/>
          <w:sz w:val="20"/>
          <w:szCs w:val="20"/>
        </w:rPr>
        <w:t xml:space="preserve">also </w:t>
      </w:r>
      <w:r w:rsidRPr="008B037A">
        <w:rPr>
          <w:rFonts w:ascii="Cambria" w:hAnsi="Cambria"/>
          <w:sz w:val="20"/>
          <w:szCs w:val="20"/>
        </w:rPr>
        <w:t xml:space="preserve">affected her daughter, without encountering a diligent or effective response from the State, the Commission considers that the situation presented requires an analysis at the merits stage. </w:t>
      </w:r>
    </w:p>
    <w:p w14:paraId="44364D0C" w14:textId="2181813A" w:rsidR="00675252" w:rsidRPr="008B037A" w:rsidRDefault="00EB6675"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lang w:val="en"/>
        </w:rPr>
        <w:t>In this regard, i</w:t>
      </w:r>
      <w:r w:rsidR="00675252" w:rsidRPr="008B037A">
        <w:rPr>
          <w:rFonts w:ascii="Cambria" w:hAnsi="Cambria"/>
          <w:sz w:val="20"/>
          <w:szCs w:val="20"/>
          <w:lang w:val="en"/>
        </w:rPr>
        <w:t>n view of the elements of fact and law presented by the parties and the nature of the matter under consideration, the Commission finds that</w:t>
      </w:r>
      <w:r w:rsidR="005872DD" w:rsidRPr="008B037A">
        <w:rPr>
          <w:rFonts w:ascii="Cambria" w:hAnsi="Cambria"/>
          <w:sz w:val="20"/>
          <w:szCs w:val="20"/>
          <w:lang w:val="en"/>
        </w:rPr>
        <w:t>,</w:t>
      </w:r>
      <w:r w:rsidR="00675252" w:rsidRPr="008B037A">
        <w:rPr>
          <w:rFonts w:ascii="Cambria" w:hAnsi="Cambria"/>
          <w:sz w:val="20"/>
          <w:szCs w:val="20"/>
          <w:lang w:val="en"/>
        </w:rPr>
        <w:t xml:space="preserve"> </w:t>
      </w:r>
      <w:r w:rsidR="00FB2919" w:rsidRPr="008B037A">
        <w:rPr>
          <w:rFonts w:ascii="Cambria" w:hAnsi="Cambria"/>
          <w:sz w:val="20"/>
          <w:szCs w:val="20"/>
          <w:lang w:val="en"/>
        </w:rPr>
        <w:t>if proven</w:t>
      </w:r>
      <w:r w:rsidR="00675252" w:rsidRPr="008B037A">
        <w:rPr>
          <w:rFonts w:ascii="Cambria" w:hAnsi="Cambria"/>
          <w:sz w:val="20"/>
          <w:szCs w:val="20"/>
          <w:lang w:val="en"/>
        </w:rPr>
        <w:t xml:space="preserve">, the facts alleged by the petitioner </w:t>
      </w:r>
      <w:r w:rsidR="00C64F27" w:rsidRPr="008B037A">
        <w:rPr>
          <w:rFonts w:ascii="Cambria" w:hAnsi="Cambria"/>
          <w:sz w:val="20"/>
          <w:szCs w:val="20"/>
          <w:lang w:val="en"/>
        </w:rPr>
        <w:t>concerning a</w:t>
      </w:r>
      <w:r w:rsidR="00675252" w:rsidRPr="008B037A">
        <w:rPr>
          <w:rFonts w:ascii="Cambria" w:hAnsi="Cambria"/>
          <w:sz w:val="20"/>
          <w:szCs w:val="20"/>
          <w:lang w:val="en"/>
        </w:rPr>
        <w:t xml:space="preserve"> lack of due diligence in the investigation of the alleged </w:t>
      </w:r>
      <w:r w:rsidR="00FB2919" w:rsidRPr="008B037A">
        <w:rPr>
          <w:rFonts w:ascii="Cambria" w:hAnsi="Cambria"/>
          <w:sz w:val="20"/>
          <w:szCs w:val="20"/>
          <w:lang w:val="en"/>
        </w:rPr>
        <w:t xml:space="preserve">threats, </w:t>
      </w:r>
      <w:r w:rsidR="00675252" w:rsidRPr="008B037A">
        <w:rPr>
          <w:rFonts w:ascii="Cambria" w:hAnsi="Cambria"/>
          <w:sz w:val="20"/>
          <w:szCs w:val="20"/>
          <w:lang w:val="en"/>
        </w:rPr>
        <w:t xml:space="preserve">harassment </w:t>
      </w:r>
      <w:r w:rsidR="00FB2919" w:rsidRPr="008B037A">
        <w:rPr>
          <w:rFonts w:ascii="Cambria" w:hAnsi="Cambria"/>
          <w:sz w:val="20"/>
          <w:szCs w:val="20"/>
          <w:lang w:val="en"/>
        </w:rPr>
        <w:t xml:space="preserve">and persecution </w:t>
      </w:r>
      <w:r w:rsidR="00675252" w:rsidRPr="008B037A">
        <w:rPr>
          <w:rFonts w:ascii="Cambria" w:hAnsi="Cambria"/>
          <w:sz w:val="20"/>
          <w:szCs w:val="20"/>
          <w:lang w:val="en"/>
        </w:rPr>
        <w:t>and in the punishment of the person presumed responsible</w:t>
      </w:r>
      <w:r w:rsidR="009B5CBE" w:rsidRPr="008B037A">
        <w:rPr>
          <w:rFonts w:ascii="Cambria" w:hAnsi="Cambria"/>
          <w:sz w:val="20"/>
          <w:szCs w:val="20"/>
          <w:lang w:val="en"/>
        </w:rPr>
        <w:t xml:space="preserve">, as well as </w:t>
      </w:r>
      <w:r w:rsidR="005872DD" w:rsidRPr="008B037A">
        <w:rPr>
          <w:rFonts w:ascii="Cambria" w:hAnsi="Cambria"/>
          <w:sz w:val="20"/>
          <w:szCs w:val="20"/>
          <w:lang w:val="en"/>
        </w:rPr>
        <w:t xml:space="preserve">the </w:t>
      </w:r>
      <w:r w:rsidR="00C64F27" w:rsidRPr="008B037A">
        <w:rPr>
          <w:rFonts w:ascii="Cambria" w:hAnsi="Cambria"/>
          <w:sz w:val="20"/>
          <w:szCs w:val="20"/>
          <w:lang w:val="en"/>
        </w:rPr>
        <w:t xml:space="preserve">allegations </w:t>
      </w:r>
      <w:r w:rsidR="005872DD" w:rsidRPr="008B037A">
        <w:rPr>
          <w:rFonts w:ascii="Cambria" w:hAnsi="Cambria"/>
          <w:sz w:val="20"/>
          <w:szCs w:val="20"/>
          <w:lang w:val="en"/>
        </w:rPr>
        <w:t xml:space="preserve">that B.B.A.B. was present during the acts of violence and </w:t>
      </w:r>
      <w:r w:rsidR="00C64F27" w:rsidRPr="008B037A">
        <w:rPr>
          <w:rFonts w:ascii="Cambria" w:hAnsi="Cambria"/>
          <w:sz w:val="20"/>
          <w:szCs w:val="20"/>
          <w:lang w:val="en"/>
        </w:rPr>
        <w:t xml:space="preserve">with respect to the way she was treated </w:t>
      </w:r>
      <w:r w:rsidR="005872DD" w:rsidRPr="008B037A">
        <w:rPr>
          <w:rFonts w:ascii="Cambria" w:hAnsi="Cambria"/>
          <w:sz w:val="20"/>
          <w:szCs w:val="20"/>
          <w:lang w:val="en"/>
        </w:rPr>
        <w:t xml:space="preserve">during the process, </w:t>
      </w:r>
      <w:r w:rsidR="00675252" w:rsidRPr="008B037A">
        <w:rPr>
          <w:rFonts w:ascii="Cambria" w:hAnsi="Cambria"/>
          <w:sz w:val="20"/>
          <w:szCs w:val="20"/>
          <w:lang w:val="en"/>
        </w:rPr>
        <w:t xml:space="preserve">could represent violations </w:t>
      </w:r>
      <w:r w:rsidR="00FB2919" w:rsidRPr="008B037A">
        <w:rPr>
          <w:rFonts w:ascii="Cambria" w:hAnsi="Cambria"/>
          <w:sz w:val="20"/>
          <w:szCs w:val="20"/>
          <w:lang w:val="en"/>
        </w:rPr>
        <w:t>of</w:t>
      </w:r>
      <w:r w:rsidR="00675252" w:rsidRPr="008B037A">
        <w:rPr>
          <w:rFonts w:ascii="Cambria" w:hAnsi="Cambria"/>
          <w:sz w:val="20"/>
          <w:szCs w:val="20"/>
          <w:lang w:val="en"/>
        </w:rPr>
        <w:t xml:space="preserve"> the rights protected in </w:t>
      </w:r>
      <w:r w:rsidR="00FB2919" w:rsidRPr="008B037A">
        <w:rPr>
          <w:rFonts w:ascii="Cambria" w:hAnsi="Cambria"/>
          <w:sz w:val="20"/>
          <w:szCs w:val="20"/>
          <w:lang w:val="en"/>
        </w:rPr>
        <w:t>A</w:t>
      </w:r>
      <w:r w:rsidR="00675252" w:rsidRPr="008B037A">
        <w:rPr>
          <w:rFonts w:ascii="Cambria" w:hAnsi="Cambria"/>
          <w:sz w:val="20"/>
          <w:szCs w:val="20"/>
          <w:lang w:val="en"/>
        </w:rPr>
        <w:t xml:space="preserve">rticles 5, 8, </w:t>
      </w:r>
      <w:r w:rsidR="00FB2919" w:rsidRPr="008B037A">
        <w:rPr>
          <w:rFonts w:ascii="Cambria" w:hAnsi="Cambria"/>
          <w:sz w:val="20"/>
          <w:szCs w:val="20"/>
          <w:lang w:val="en"/>
        </w:rPr>
        <w:t xml:space="preserve">24 </w:t>
      </w:r>
      <w:r w:rsidR="00675252" w:rsidRPr="008B037A">
        <w:rPr>
          <w:rFonts w:ascii="Cambria" w:hAnsi="Cambria"/>
          <w:sz w:val="20"/>
          <w:szCs w:val="20"/>
          <w:lang w:val="en"/>
        </w:rPr>
        <w:t>and 25 of the American Convention</w:t>
      </w:r>
      <w:r w:rsidR="00675252" w:rsidRPr="008B037A">
        <w:rPr>
          <w:rFonts w:asciiTheme="majorHAnsi" w:hAnsiTheme="majorHAnsi"/>
          <w:sz w:val="20"/>
          <w:szCs w:val="20"/>
          <w:lang w:val="en"/>
        </w:rPr>
        <w:t xml:space="preserve">, </w:t>
      </w:r>
      <w:r w:rsidR="00FB2919" w:rsidRPr="008B037A">
        <w:rPr>
          <w:rFonts w:asciiTheme="majorHAnsi" w:hAnsiTheme="majorHAnsi"/>
          <w:sz w:val="20"/>
          <w:szCs w:val="20"/>
          <w:lang w:val="en"/>
        </w:rPr>
        <w:t xml:space="preserve">in relation to </w:t>
      </w:r>
      <w:r w:rsidR="00C64F27" w:rsidRPr="008B037A">
        <w:rPr>
          <w:rFonts w:asciiTheme="majorHAnsi" w:hAnsiTheme="majorHAnsi"/>
          <w:sz w:val="20"/>
          <w:szCs w:val="20"/>
          <w:lang w:val="en"/>
        </w:rPr>
        <w:t>A</w:t>
      </w:r>
      <w:r w:rsidR="00675252" w:rsidRPr="008B037A">
        <w:rPr>
          <w:rFonts w:asciiTheme="majorHAnsi" w:hAnsiTheme="majorHAnsi"/>
          <w:sz w:val="20"/>
          <w:szCs w:val="20"/>
          <w:lang w:val="en"/>
        </w:rPr>
        <w:t>rticles 1(1) and 2 thereof</w:t>
      </w:r>
      <w:r w:rsidR="00FB2919" w:rsidRPr="008B037A">
        <w:rPr>
          <w:rFonts w:asciiTheme="majorHAnsi" w:hAnsiTheme="majorHAnsi"/>
          <w:sz w:val="20"/>
          <w:szCs w:val="20"/>
          <w:lang w:val="en"/>
        </w:rPr>
        <w:t xml:space="preserve">, as well as </w:t>
      </w:r>
      <w:r w:rsidR="00675252" w:rsidRPr="008B037A">
        <w:rPr>
          <w:rFonts w:ascii="Cambria" w:hAnsi="Cambria"/>
          <w:sz w:val="20"/>
          <w:szCs w:val="20"/>
          <w:lang w:val="en"/>
        </w:rPr>
        <w:t>Article 7 of the Convention of Belém do Pará.</w:t>
      </w:r>
      <w:r w:rsidR="008B037A" w:rsidRPr="008B037A">
        <w:rPr>
          <w:rFonts w:ascii="Cambria" w:hAnsi="Cambria"/>
          <w:sz w:val="20"/>
          <w:szCs w:val="20"/>
          <w:lang w:val="en"/>
        </w:rPr>
        <w:t xml:space="preserve"> </w:t>
      </w:r>
      <w:r w:rsidR="00FB2919" w:rsidRPr="008B037A">
        <w:rPr>
          <w:rFonts w:ascii="Cambria" w:hAnsi="Cambria"/>
          <w:sz w:val="20"/>
          <w:szCs w:val="20"/>
          <w:lang w:val="en"/>
        </w:rPr>
        <w:t xml:space="preserve"> </w:t>
      </w:r>
      <w:r w:rsidR="00FB2919" w:rsidRPr="008B037A">
        <w:rPr>
          <w:sz w:val="20"/>
          <w:szCs w:val="20"/>
          <w:lang w:val="en"/>
        </w:rPr>
        <w:t xml:space="preserve">Regarding </w:t>
      </w:r>
      <w:r w:rsidR="00FB2919" w:rsidRPr="008B037A">
        <w:rPr>
          <w:rFonts w:ascii="Cambria" w:hAnsi="Cambria"/>
          <w:sz w:val="20"/>
          <w:szCs w:val="20"/>
          <w:lang w:val="en"/>
        </w:rPr>
        <w:t>B.B.A.B. specifically, the facts could represent a violation of Article 19</w:t>
      </w:r>
      <w:r w:rsidR="005872DD" w:rsidRPr="008B037A">
        <w:rPr>
          <w:rFonts w:ascii="Cambria" w:hAnsi="Cambria"/>
          <w:sz w:val="20"/>
          <w:szCs w:val="20"/>
          <w:lang w:val="en"/>
        </w:rPr>
        <w:t xml:space="preserve"> of the American Convention</w:t>
      </w:r>
      <w:r w:rsidR="00FB2919" w:rsidRPr="008B037A">
        <w:rPr>
          <w:rFonts w:ascii="Cambria" w:hAnsi="Cambria"/>
          <w:sz w:val="20"/>
          <w:szCs w:val="20"/>
          <w:lang w:val="en"/>
        </w:rPr>
        <w:t xml:space="preserve">. </w:t>
      </w:r>
      <w:r w:rsidR="00675252" w:rsidRPr="008B037A">
        <w:rPr>
          <w:rFonts w:ascii="Cambria" w:hAnsi="Cambria"/>
          <w:sz w:val="20"/>
          <w:szCs w:val="20"/>
          <w:lang w:val="en"/>
        </w:rPr>
        <w:t xml:space="preserve"> </w:t>
      </w:r>
    </w:p>
    <w:p w14:paraId="72369BF0" w14:textId="77777777" w:rsidR="00675252" w:rsidRPr="008B037A" w:rsidRDefault="00675252" w:rsidP="006752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Cambria" w:hAnsi="Cambria"/>
          <w:sz w:val="20"/>
          <w:szCs w:val="20"/>
          <w:lang w:val="en"/>
        </w:rPr>
        <w:t>Additionally, regarding the claim of alleged violation of Article 11 of the American Convention, the Commission observes that the petitioner has not submitted pleadings or sufficient evidence to support declaring that claim admissible.</w:t>
      </w:r>
    </w:p>
    <w:p w14:paraId="34092ECA" w14:textId="77777777" w:rsidR="00675252" w:rsidRPr="008B037A" w:rsidRDefault="00675252" w:rsidP="00675252">
      <w:pPr>
        <w:pStyle w:val="ListParagraph"/>
        <w:spacing w:before="240" w:after="240"/>
        <w:jc w:val="both"/>
        <w:rPr>
          <w:b/>
          <w:bCs/>
          <w:sz w:val="20"/>
          <w:szCs w:val="20"/>
        </w:rPr>
      </w:pPr>
      <w:r w:rsidRPr="008B037A">
        <w:rPr>
          <w:b/>
          <w:bCs/>
          <w:sz w:val="20"/>
          <w:szCs w:val="20"/>
          <w:lang w:val="en"/>
        </w:rPr>
        <w:t xml:space="preserve">VIII. </w:t>
      </w:r>
      <w:r w:rsidRPr="008B037A">
        <w:rPr>
          <w:sz w:val="20"/>
          <w:szCs w:val="20"/>
          <w:lang w:val="en"/>
        </w:rPr>
        <w:tab/>
      </w:r>
      <w:r w:rsidRPr="008B037A">
        <w:rPr>
          <w:b/>
          <w:bCs/>
          <w:sz w:val="20"/>
          <w:szCs w:val="20"/>
          <w:lang w:val="en"/>
        </w:rPr>
        <w:t>DECISION</w:t>
      </w:r>
    </w:p>
    <w:p w14:paraId="5F54C4BC" w14:textId="40464BF1" w:rsidR="00675252" w:rsidRPr="008B037A" w:rsidRDefault="00675252" w:rsidP="0067525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37A">
        <w:rPr>
          <w:rFonts w:asciiTheme="majorHAnsi" w:hAnsiTheme="majorHAnsi"/>
          <w:sz w:val="20"/>
          <w:szCs w:val="20"/>
          <w:lang w:val="en"/>
        </w:rPr>
        <w:t xml:space="preserve">To find the instant petition admissible in relation to </w:t>
      </w:r>
      <w:r w:rsidR="00C64F27" w:rsidRPr="008B037A">
        <w:rPr>
          <w:rFonts w:asciiTheme="majorHAnsi" w:hAnsiTheme="majorHAnsi"/>
          <w:sz w:val="20"/>
          <w:szCs w:val="20"/>
          <w:lang w:val="en"/>
        </w:rPr>
        <w:t>A</w:t>
      </w:r>
      <w:r w:rsidRPr="008B037A">
        <w:rPr>
          <w:rFonts w:asciiTheme="majorHAnsi" w:hAnsiTheme="majorHAnsi"/>
          <w:sz w:val="20"/>
          <w:szCs w:val="20"/>
          <w:lang w:val="en"/>
        </w:rPr>
        <w:t xml:space="preserve">rticles 5, 8, 19, 24, and 25 of the American Convention, in relation to </w:t>
      </w:r>
      <w:r w:rsidR="00C64F27" w:rsidRPr="008B037A">
        <w:rPr>
          <w:rFonts w:asciiTheme="majorHAnsi" w:hAnsiTheme="majorHAnsi"/>
          <w:sz w:val="20"/>
          <w:szCs w:val="20"/>
          <w:lang w:val="en"/>
        </w:rPr>
        <w:t>A</w:t>
      </w:r>
      <w:r w:rsidRPr="008B037A">
        <w:rPr>
          <w:rFonts w:asciiTheme="majorHAnsi" w:hAnsiTheme="majorHAnsi"/>
          <w:sz w:val="20"/>
          <w:szCs w:val="20"/>
          <w:lang w:val="en"/>
        </w:rPr>
        <w:t xml:space="preserve">rticles 1(1) and 2 of the American Convention; and Article 7 of the Convention of Belém do Pará. </w:t>
      </w:r>
    </w:p>
    <w:p w14:paraId="520C59D4" w14:textId="77777777" w:rsidR="00675252" w:rsidRPr="008B037A" w:rsidRDefault="00675252" w:rsidP="0067525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B037A">
        <w:rPr>
          <w:rFonts w:asciiTheme="majorHAnsi" w:hAnsiTheme="majorHAnsi"/>
          <w:sz w:val="20"/>
          <w:szCs w:val="20"/>
          <w:lang w:val="en"/>
        </w:rPr>
        <w:t>To find the instant petition inadmissible in relation to Article 11 of the American Convention on Human Rights; and</w:t>
      </w:r>
    </w:p>
    <w:p w14:paraId="3EDF0BAF" w14:textId="77777777" w:rsidR="00675252" w:rsidRPr="008B037A" w:rsidRDefault="00675252" w:rsidP="0067525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B037A">
        <w:rPr>
          <w:rFonts w:asciiTheme="majorHAnsi" w:hAnsiTheme="majorHAnsi"/>
          <w:sz w:val="20"/>
          <w:szCs w:val="20"/>
          <w:lang w:val="en"/>
        </w:rPr>
        <w:t xml:space="preserve"> To notify the parties of this decision; and to publish this decision and include it in its Annual Report to the General Assembly of the Organization of American States.</w:t>
      </w:r>
    </w:p>
    <w:p w14:paraId="2122B46A" w14:textId="21D54503" w:rsidR="00C55560" w:rsidRPr="00145EDC" w:rsidRDefault="00F5189F" w:rsidP="00F5189F">
      <w:pPr>
        <w:suppressAutoHyphens/>
        <w:ind w:firstLine="720"/>
        <w:jc w:val="both"/>
        <w:rPr>
          <w:rFonts w:asciiTheme="majorHAnsi" w:hAnsiTheme="majorHAnsi"/>
          <w:sz w:val="20"/>
          <w:szCs w:val="20"/>
        </w:rPr>
      </w:pPr>
      <w:r>
        <w:rPr>
          <w:rFonts w:asciiTheme="majorHAnsi" w:hAnsiTheme="majorHAnsi"/>
          <w:sz w:val="20"/>
          <w:szCs w:val="20"/>
        </w:rPr>
        <w:t xml:space="preserve">Approved by the Inter-American Commission on Human Rights </w:t>
      </w:r>
      <w:r w:rsidRPr="000A496F">
        <w:rPr>
          <w:rFonts w:asciiTheme="majorHAnsi" w:hAnsiTheme="majorHAnsi"/>
          <w:sz w:val="20"/>
          <w:szCs w:val="20"/>
        </w:rPr>
        <w:t xml:space="preserve">in </w:t>
      </w:r>
      <w:r w:rsidR="0060553C">
        <w:rPr>
          <w:rFonts w:ascii="Cambria" w:hAnsi="Cambria"/>
          <w:spacing w:val="-2"/>
          <w:sz w:val="20"/>
        </w:rPr>
        <w:t>the city of Santo Domingo, Dominican Republic, on the 5</w:t>
      </w:r>
      <w:r w:rsidR="0060553C">
        <w:rPr>
          <w:rFonts w:ascii="Cambria" w:hAnsi="Cambria"/>
          <w:spacing w:val="-2"/>
          <w:sz w:val="20"/>
          <w:vertAlign w:val="superscript"/>
        </w:rPr>
        <w:t>th</w:t>
      </w:r>
      <w:r w:rsidR="0060553C">
        <w:rPr>
          <w:rFonts w:ascii="Cambria" w:hAnsi="Cambria"/>
          <w:spacing w:val="-2"/>
          <w:sz w:val="20"/>
        </w:rPr>
        <w:t xml:space="preserve"> day of the month of May, 2018. (Signed):  </w:t>
      </w:r>
      <w:r w:rsidR="0060553C">
        <w:rPr>
          <w:rFonts w:asciiTheme="majorHAnsi" w:hAnsiTheme="majorHAnsi"/>
          <w:sz w:val="20"/>
          <w:szCs w:val="20"/>
        </w:rPr>
        <w:t xml:space="preserve">Margarette May Macaulay, President; Esmeralda E. Arosemena Bernal de Troitiño, First Vice President; Luis Ernesto Vargas Silva, Second Vice President; </w:t>
      </w:r>
      <w:r w:rsidR="0060553C" w:rsidRPr="00D32060">
        <w:rPr>
          <w:rFonts w:asciiTheme="majorHAnsi" w:hAnsiTheme="majorHAnsi"/>
          <w:sz w:val="20"/>
          <w:szCs w:val="20"/>
        </w:rPr>
        <w:t>Francisco José Eguiguren Praeli</w:t>
      </w:r>
      <w:r w:rsidR="0060553C">
        <w:rPr>
          <w:rFonts w:asciiTheme="majorHAnsi" w:hAnsiTheme="majorHAnsi"/>
          <w:sz w:val="20"/>
          <w:szCs w:val="20"/>
        </w:rPr>
        <w:t xml:space="preserve">, </w:t>
      </w:r>
      <w:r w:rsidR="0060553C" w:rsidRPr="00D32060">
        <w:rPr>
          <w:rFonts w:asciiTheme="majorHAnsi" w:hAnsiTheme="majorHAnsi"/>
          <w:sz w:val="20"/>
          <w:szCs w:val="20"/>
        </w:rPr>
        <w:t>Joel Hernández García</w:t>
      </w:r>
      <w:r w:rsidR="0060553C">
        <w:rPr>
          <w:rFonts w:asciiTheme="majorHAnsi" w:hAnsiTheme="majorHAnsi"/>
          <w:sz w:val="20"/>
          <w:szCs w:val="20"/>
        </w:rPr>
        <w:t xml:space="preserve">, and </w:t>
      </w:r>
      <w:proofErr w:type="spellStart"/>
      <w:r w:rsidR="0060553C">
        <w:rPr>
          <w:rFonts w:asciiTheme="majorHAnsi" w:hAnsiTheme="majorHAnsi"/>
          <w:sz w:val="20"/>
          <w:szCs w:val="20"/>
        </w:rPr>
        <w:t>Flávia</w:t>
      </w:r>
      <w:proofErr w:type="spellEnd"/>
      <w:r w:rsidR="0060553C">
        <w:rPr>
          <w:rFonts w:asciiTheme="majorHAnsi" w:hAnsiTheme="majorHAnsi"/>
          <w:sz w:val="20"/>
          <w:szCs w:val="20"/>
        </w:rPr>
        <w:t xml:space="preserve"> </w:t>
      </w:r>
      <w:proofErr w:type="spellStart"/>
      <w:r w:rsidR="0060553C">
        <w:rPr>
          <w:rFonts w:asciiTheme="majorHAnsi" w:hAnsiTheme="majorHAnsi"/>
          <w:sz w:val="20"/>
          <w:szCs w:val="20"/>
        </w:rPr>
        <w:t>Piovesan</w:t>
      </w:r>
      <w:proofErr w:type="spellEnd"/>
      <w:r w:rsidR="0060553C">
        <w:rPr>
          <w:rFonts w:asciiTheme="majorHAnsi" w:hAnsiTheme="majorHAnsi"/>
          <w:sz w:val="20"/>
          <w:szCs w:val="20"/>
        </w:rPr>
        <w:t>,</w:t>
      </w:r>
      <w:r w:rsidR="0060553C">
        <w:rPr>
          <w:rFonts w:ascii="Cambria" w:hAnsi="Cambria" w:cs="Arial"/>
          <w:noProof/>
          <w:spacing w:val="-2"/>
          <w:sz w:val="20"/>
        </w:rPr>
        <w:t xml:space="preserve"> </w:t>
      </w:r>
      <w:r w:rsidR="0060553C">
        <w:rPr>
          <w:rFonts w:ascii="Cambria" w:hAnsi="Cambria"/>
          <w:spacing w:val="-2"/>
          <w:sz w:val="20"/>
        </w:rPr>
        <w:t>Commissioners.</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D3447" w14:textId="77777777" w:rsidR="006C5107" w:rsidRDefault="006C5107" w:rsidP="00036A8A">
      <w:r>
        <w:separator/>
      </w:r>
    </w:p>
  </w:endnote>
  <w:endnote w:type="continuationSeparator" w:id="0">
    <w:p w14:paraId="656FA876" w14:textId="77777777" w:rsidR="006C5107" w:rsidRDefault="006C510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DF2F2" w14:textId="77777777" w:rsidR="004E450F" w:rsidRDefault="004E4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E450F">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37473" w14:textId="77777777" w:rsidR="006C5107" w:rsidRPr="00036A8A" w:rsidRDefault="006C510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4A2C320" w14:textId="77777777" w:rsidR="006C5107" w:rsidRPr="00036A8A" w:rsidRDefault="006C5107" w:rsidP="00036A8A">
      <w:pPr>
        <w:rPr>
          <w:rFonts w:asciiTheme="majorHAnsi" w:hAnsiTheme="majorHAnsi"/>
          <w:sz w:val="16"/>
          <w:szCs w:val="16"/>
        </w:rPr>
      </w:pPr>
      <w:r w:rsidRPr="00036A8A">
        <w:rPr>
          <w:rFonts w:asciiTheme="majorHAnsi" w:hAnsiTheme="majorHAnsi"/>
          <w:sz w:val="16"/>
          <w:szCs w:val="16"/>
        </w:rPr>
        <w:separator/>
      </w:r>
    </w:p>
    <w:p w14:paraId="53249FAE" w14:textId="77777777" w:rsidR="006C5107" w:rsidRPr="00036A8A" w:rsidRDefault="006C510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326D89EC" w14:textId="77777777" w:rsidR="006C5107" w:rsidRPr="0093441A" w:rsidRDefault="006C5107"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FC73C0D" w14:textId="77777777" w:rsidR="00675252" w:rsidRPr="00030BAA" w:rsidRDefault="00675252" w:rsidP="00675252">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Style w:val="FootnoteReference"/>
          <w:rFonts w:asciiTheme="majorHAnsi" w:hAnsiTheme="majorHAnsi"/>
          <w:sz w:val="16"/>
          <w:szCs w:val="16"/>
          <w:lang w:val="en"/>
        </w:rPr>
        <w:t xml:space="preserve"> </w:t>
      </w:r>
      <w:r>
        <w:rPr>
          <w:rFonts w:asciiTheme="majorHAnsi" w:hAnsiTheme="majorHAnsi"/>
          <w:sz w:val="16"/>
          <w:szCs w:val="16"/>
          <w:lang w:val="en"/>
        </w:rPr>
        <w:t xml:space="preserve">The petitioner asks that the alleged victim’s identity be kept confidential because she was a child at the time the petition was submitted. </w:t>
      </w:r>
    </w:p>
  </w:footnote>
  <w:footnote w:id="3">
    <w:p w14:paraId="1957B75C" w14:textId="77777777" w:rsidR="00675252" w:rsidRPr="00030BAA" w:rsidRDefault="00675252" w:rsidP="00675252">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Commissioner Antonia Urrejola, of Chilean nationality, did not participate in the deliberations nor in the decision in this case, in keeping with the provisions of Article 17(2</w:t>
      </w:r>
      <w:proofErr w:type="gramStart"/>
      <w:r>
        <w:rPr>
          <w:rFonts w:asciiTheme="majorHAnsi" w:hAnsiTheme="majorHAnsi"/>
          <w:sz w:val="16"/>
          <w:szCs w:val="16"/>
          <w:lang w:val="en"/>
        </w:rPr>
        <w:t>)(</w:t>
      </w:r>
      <w:proofErr w:type="gramEnd"/>
      <w:r>
        <w:rPr>
          <w:rFonts w:asciiTheme="majorHAnsi" w:hAnsiTheme="majorHAnsi"/>
          <w:sz w:val="16"/>
          <w:szCs w:val="16"/>
          <w:lang w:val="en"/>
        </w:rPr>
        <w:t>a) of the Rules of Procedure of the Commission.</w:t>
      </w:r>
    </w:p>
  </w:footnote>
  <w:footnote w:id="4">
    <w:p w14:paraId="552208FB" w14:textId="77777777" w:rsidR="00675252" w:rsidRPr="00030BAA" w:rsidRDefault="00675252" w:rsidP="00675252">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“American Convention” or the “Convention.” </w:t>
      </w:r>
    </w:p>
  </w:footnote>
  <w:footnote w:id="5">
    <w:p w14:paraId="15BF66BE" w14:textId="77777777" w:rsidR="00675252" w:rsidRPr="00AF2BEB" w:rsidRDefault="00675252" w:rsidP="00675252">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comments of each party were duly forwarded to the counter-party.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6C510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7774" w14:textId="77777777" w:rsidR="004E450F" w:rsidRDefault="004E4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1FBA"/>
    <w:rsid w:val="000639C0"/>
    <w:rsid w:val="00070F3A"/>
    <w:rsid w:val="000716C5"/>
    <w:rsid w:val="00075E23"/>
    <w:rsid w:val="000833AF"/>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93599"/>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9551D"/>
    <w:rsid w:val="004B2762"/>
    <w:rsid w:val="004B7EB6"/>
    <w:rsid w:val="004C41DE"/>
    <w:rsid w:val="004C4B62"/>
    <w:rsid w:val="004D6025"/>
    <w:rsid w:val="004D72BC"/>
    <w:rsid w:val="004E450F"/>
    <w:rsid w:val="004F6B67"/>
    <w:rsid w:val="00501399"/>
    <w:rsid w:val="00507BC4"/>
    <w:rsid w:val="005128E4"/>
    <w:rsid w:val="00525560"/>
    <w:rsid w:val="005357A6"/>
    <w:rsid w:val="00544C49"/>
    <w:rsid w:val="0057402A"/>
    <w:rsid w:val="005771D0"/>
    <w:rsid w:val="005816E5"/>
    <w:rsid w:val="005872DD"/>
    <w:rsid w:val="0059191A"/>
    <w:rsid w:val="005921FF"/>
    <w:rsid w:val="00592718"/>
    <w:rsid w:val="005A6D0E"/>
    <w:rsid w:val="005B222D"/>
    <w:rsid w:val="005B52B0"/>
    <w:rsid w:val="005B6806"/>
    <w:rsid w:val="005C00F9"/>
    <w:rsid w:val="005C4225"/>
    <w:rsid w:val="005F0F33"/>
    <w:rsid w:val="00600DEB"/>
    <w:rsid w:val="0060553C"/>
    <w:rsid w:val="00613027"/>
    <w:rsid w:val="00627C9F"/>
    <w:rsid w:val="006311DA"/>
    <w:rsid w:val="006311E9"/>
    <w:rsid w:val="006318B2"/>
    <w:rsid w:val="00632354"/>
    <w:rsid w:val="00642810"/>
    <w:rsid w:val="00652333"/>
    <w:rsid w:val="00653EA6"/>
    <w:rsid w:val="00675252"/>
    <w:rsid w:val="0068009E"/>
    <w:rsid w:val="00694D4F"/>
    <w:rsid w:val="006A17D2"/>
    <w:rsid w:val="006A73E6"/>
    <w:rsid w:val="006B2D5C"/>
    <w:rsid w:val="006C4EB1"/>
    <w:rsid w:val="006C5107"/>
    <w:rsid w:val="006D4707"/>
    <w:rsid w:val="006E0166"/>
    <w:rsid w:val="006E7B34"/>
    <w:rsid w:val="00701B24"/>
    <w:rsid w:val="007071C8"/>
    <w:rsid w:val="0071495F"/>
    <w:rsid w:val="0073798E"/>
    <w:rsid w:val="00745899"/>
    <w:rsid w:val="007607C4"/>
    <w:rsid w:val="0076643F"/>
    <w:rsid w:val="00781653"/>
    <w:rsid w:val="007A2F70"/>
    <w:rsid w:val="007C3334"/>
    <w:rsid w:val="007C52BB"/>
    <w:rsid w:val="007D2B98"/>
    <w:rsid w:val="007D6A38"/>
    <w:rsid w:val="00803F1C"/>
    <w:rsid w:val="0080600E"/>
    <w:rsid w:val="0081576E"/>
    <w:rsid w:val="00817612"/>
    <w:rsid w:val="00837C45"/>
    <w:rsid w:val="00850C61"/>
    <w:rsid w:val="00853419"/>
    <w:rsid w:val="00897E12"/>
    <w:rsid w:val="008B037A"/>
    <w:rsid w:val="008D43BA"/>
    <w:rsid w:val="008E3759"/>
    <w:rsid w:val="009041DC"/>
    <w:rsid w:val="009104B4"/>
    <w:rsid w:val="009228DA"/>
    <w:rsid w:val="00925FCD"/>
    <w:rsid w:val="0093441A"/>
    <w:rsid w:val="00954BF7"/>
    <w:rsid w:val="0096706E"/>
    <w:rsid w:val="00981FBA"/>
    <w:rsid w:val="009B381B"/>
    <w:rsid w:val="009B3B15"/>
    <w:rsid w:val="009B5CBE"/>
    <w:rsid w:val="009C5ECF"/>
    <w:rsid w:val="009D7611"/>
    <w:rsid w:val="009E53DE"/>
    <w:rsid w:val="009E566A"/>
    <w:rsid w:val="00A12DBC"/>
    <w:rsid w:val="00A43458"/>
    <w:rsid w:val="00A528D1"/>
    <w:rsid w:val="00A52A92"/>
    <w:rsid w:val="00A56FA2"/>
    <w:rsid w:val="00A66BE5"/>
    <w:rsid w:val="00AC0FA0"/>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BE0A41"/>
    <w:rsid w:val="00C21762"/>
    <w:rsid w:val="00C24543"/>
    <w:rsid w:val="00C256A2"/>
    <w:rsid w:val="00C3492D"/>
    <w:rsid w:val="00C55560"/>
    <w:rsid w:val="00C64F27"/>
    <w:rsid w:val="00C66B72"/>
    <w:rsid w:val="00C9567A"/>
    <w:rsid w:val="00CA6577"/>
    <w:rsid w:val="00CB2660"/>
    <w:rsid w:val="00CC5E90"/>
    <w:rsid w:val="00CD046C"/>
    <w:rsid w:val="00CE5199"/>
    <w:rsid w:val="00CE66D5"/>
    <w:rsid w:val="00CF582A"/>
    <w:rsid w:val="00D34786"/>
    <w:rsid w:val="00D40A1E"/>
    <w:rsid w:val="00D533C0"/>
    <w:rsid w:val="00D712D3"/>
    <w:rsid w:val="00D71422"/>
    <w:rsid w:val="00D7145E"/>
    <w:rsid w:val="00D75084"/>
    <w:rsid w:val="00D7558D"/>
    <w:rsid w:val="00D77936"/>
    <w:rsid w:val="00D81D92"/>
    <w:rsid w:val="00D93446"/>
    <w:rsid w:val="00DA7B5F"/>
    <w:rsid w:val="00DC3F1A"/>
    <w:rsid w:val="00DF078B"/>
    <w:rsid w:val="00DF350D"/>
    <w:rsid w:val="00E227C1"/>
    <w:rsid w:val="00E37639"/>
    <w:rsid w:val="00E43157"/>
    <w:rsid w:val="00E47F3D"/>
    <w:rsid w:val="00E51ED1"/>
    <w:rsid w:val="00E533FF"/>
    <w:rsid w:val="00E709B3"/>
    <w:rsid w:val="00E7588C"/>
    <w:rsid w:val="00E850B6"/>
    <w:rsid w:val="00E8789F"/>
    <w:rsid w:val="00E9445C"/>
    <w:rsid w:val="00E97B71"/>
    <w:rsid w:val="00EB33DA"/>
    <w:rsid w:val="00EB454D"/>
    <w:rsid w:val="00EB6675"/>
    <w:rsid w:val="00EC7C34"/>
    <w:rsid w:val="00ED0D1B"/>
    <w:rsid w:val="00ED5C14"/>
    <w:rsid w:val="00EE3522"/>
    <w:rsid w:val="00EF619B"/>
    <w:rsid w:val="00F00B55"/>
    <w:rsid w:val="00F1380F"/>
    <w:rsid w:val="00F14F0E"/>
    <w:rsid w:val="00F15A3B"/>
    <w:rsid w:val="00F24C29"/>
    <w:rsid w:val="00F253CC"/>
    <w:rsid w:val="00F333FE"/>
    <w:rsid w:val="00F42B71"/>
    <w:rsid w:val="00F5189F"/>
    <w:rsid w:val="00F56BA5"/>
    <w:rsid w:val="00F621C3"/>
    <w:rsid w:val="00F644E6"/>
    <w:rsid w:val="00F92FB5"/>
    <w:rsid w:val="00F95120"/>
    <w:rsid w:val="00F9653B"/>
    <w:rsid w:val="00FA2FCA"/>
    <w:rsid w:val="00FB047A"/>
    <w:rsid w:val="00FB2919"/>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67525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2542C5233B4CC49FFCDC6FADA25C9E"/>
        <w:category>
          <w:name w:val="General"/>
          <w:gallery w:val="placeholder"/>
        </w:category>
        <w:types>
          <w:type w:val="bbPlcHdr"/>
        </w:types>
        <w:behaviors>
          <w:behavior w:val="content"/>
        </w:behaviors>
        <w:guid w:val="{77CB69BD-21A6-499D-A08B-0DF17F6FC2B6}"/>
      </w:docPartPr>
      <w:docPartBody>
        <w:p w:rsidR="000A5C0C" w:rsidRDefault="002E5D46" w:rsidP="002E5D46">
          <w:pPr>
            <w:pStyle w:val="A32542C5233B4CC49FFCDC6FADA25C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5C0C"/>
    <w:rsid w:val="002E5D46"/>
    <w:rsid w:val="004108B1"/>
    <w:rsid w:val="00680317"/>
    <w:rsid w:val="00833199"/>
    <w:rsid w:val="008544A5"/>
    <w:rsid w:val="0087037D"/>
    <w:rsid w:val="00AB44F1"/>
    <w:rsid w:val="00BB08AC"/>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D46"/>
    <w:rPr>
      <w:color w:val="808080"/>
    </w:rPr>
  </w:style>
  <w:style w:type="paragraph" w:customStyle="1" w:styleId="4DBB5F3FC358F64B9E5EFB773263C7D2">
    <w:name w:val="4DBB5F3FC358F64B9E5EFB773263C7D2"/>
    <w:rsid w:val="00AB44F1"/>
  </w:style>
  <w:style w:type="paragraph" w:customStyle="1" w:styleId="A32542C5233B4CC49FFCDC6FADA25C9E">
    <w:name w:val="A32542C5233B4CC49FFCDC6FADA25C9E"/>
    <w:rsid w:val="002E5D46"/>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AE0BC-6F66-4BCA-BCE9-CC72F762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2540</Words>
  <Characters>13362</Characters>
  <Application>Microsoft Office Word</Application>
  <DocSecurity>0</DocSecurity>
  <Lines>238</Lines>
  <Paragraphs>63</Paragraphs>
  <ScaleCrop>false</ScaleCrop>
  <Company/>
  <LinksUpToDate>false</LinksUpToDate>
  <CharactersWithSpaces>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59/18</dc:title>
  <dc:creator/>
  <cp:lastModifiedBy/>
  <cp:revision>1</cp:revision>
  <dcterms:created xsi:type="dcterms:W3CDTF">2018-09-12T20:09:00Z</dcterms:created>
  <dcterms:modified xsi:type="dcterms:W3CDTF">2018-09-12T20:09:00Z</dcterms:modified>
</cp:coreProperties>
</file>