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1EBE6C41">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BC05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6"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6"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7B5120" w:rsidRDefault="00040C3A" w:rsidP="00040C3A">
      <w:pPr>
        <w:tabs>
          <w:tab w:val="center" w:pos="5400"/>
        </w:tabs>
        <w:suppressAutoHyphens/>
        <w:jc w:val="both"/>
        <w:rPr>
          <w:rFonts w:asciiTheme="majorHAnsi" w:hAnsiTheme="majorHAnsi"/>
          <w:sz w:val="22"/>
          <w:szCs w:val="22"/>
          <w:lang w:val="en-GB"/>
        </w:rPr>
      </w:pPr>
    </w:p>
    <w:p w14:paraId="54AC1FBF" w14:textId="77777777" w:rsidR="00040C3A" w:rsidRPr="007B5120" w:rsidRDefault="00040C3A" w:rsidP="00040C3A">
      <w:pPr>
        <w:tabs>
          <w:tab w:val="center" w:pos="5400"/>
        </w:tabs>
        <w:suppressAutoHyphens/>
        <w:jc w:val="both"/>
        <w:rPr>
          <w:rFonts w:asciiTheme="majorHAnsi" w:hAnsiTheme="majorHAnsi"/>
          <w:sz w:val="22"/>
          <w:szCs w:val="22"/>
          <w:lang w:val="en-GB"/>
        </w:rPr>
      </w:pPr>
    </w:p>
    <w:p w14:paraId="6A4AC464" w14:textId="77777777" w:rsidR="005128E4" w:rsidRPr="007B5120" w:rsidRDefault="005128E4" w:rsidP="00040C3A">
      <w:pPr>
        <w:tabs>
          <w:tab w:val="center" w:pos="5400"/>
        </w:tabs>
        <w:suppressAutoHyphens/>
        <w:rPr>
          <w:rFonts w:asciiTheme="majorHAnsi" w:hAnsiTheme="majorHAnsi"/>
          <w:sz w:val="22"/>
          <w:szCs w:val="22"/>
          <w:lang w:val="en-GB"/>
        </w:rPr>
      </w:pPr>
    </w:p>
    <w:p w14:paraId="515D20A5" w14:textId="77777777" w:rsidR="005128E4" w:rsidRPr="007B5120" w:rsidRDefault="005128E4" w:rsidP="00040C3A">
      <w:pPr>
        <w:tabs>
          <w:tab w:val="center" w:pos="5400"/>
        </w:tabs>
        <w:suppressAutoHyphens/>
        <w:rPr>
          <w:rFonts w:asciiTheme="majorHAnsi" w:hAnsiTheme="majorHAnsi"/>
          <w:sz w:val="22"/>
          <w:szCs w:val="22"/>
          <w:lang w:val="en-GB"/>
        </w:rPr>
      </w:pPr>
    </w:p>
    <w:p w14:paraId="7CBA3E7E" w14:textId="77777777" w:rsidR="005128E4" w:rsidRPr="007B5120" w:rsidRDefault="005128E4" w:rsidP="00040C3A">
      <w:pPr>
        <w:tabs>
          <w:tab w:val="center" w:pos="5400"/>
        </w:tabs>
        <w:suppressAutoHyphens/>
        <w:rPr>
          <w:rFonts w:asciiTheme="majorHAnsi" w:hAnsiTheme="majorHAnsi"/>
          <w:sz w:val="22"/>
          <w:szCs w:val="22"/>
          <w:lang w:val="en-GB"/>
        </w:rPr>
      </w:pPr>
    </w:p>
    <w:p w14:paraId="0FFC5ED6" w14:textId="77777777" w:rsidR="00040C3A" w:rsidRPr="007B5120" w:rsidRDefault="00040C3A" w:rsidP="005128E4">
      <w:pPr>
        <w:tabs>
          <w:tab w:val="center" w:pos="5400"/>
        </w:tabs>
        <w:suppressAutoHyphens/>
        <w:jc w:val="center"/>
        <w:rPr>
          <w:rFonts w:asciiTheme="majorHAnsi" w:hAnsiTheme="majorHAnsi"/>
          <w:sz w:val="22"/>
          <w:szCs w:val="22"/>
          <w:lang w:val="en-GB"/>
        </w:rPr>
      </w:pPr>
    </w:p>
    <w:p w14:paraId="5FCF0358" w14:textId="77777777" w:rsidR="00040C3A" w:rsidRPr="007B5120" w:rsidRDefault="00040C3A" w:rsidP="005128E4">
      <w:pPr>
        <w:tabs>
          <w:tab w:val="center" w:pos="5400"/>
        </w:tabs>
        <w:suppressAutoHyphens/>
        <w:jc w:val="center"/>
        <w:rPr>
          <w:rFonts w:asciiTheme="majorHAnsi" w:hAnsiTheme="majorHAnsi"/>
          <w:sz w:val="22"/>
          <w:szCs w:val="22"/>
          <w:lang w:val="en-GB"/>
        </w:rPr>
      </w:pPr>
    </w:p>
    <w:p w14:paraId="23C02B60" w14:textId="77777777" w:rsidR="005B52B0" w:rsidRPr="007B5120" w:rsidRDefault="005B52B0" w:rsidP="005128E4">
      <w:pPr>
        <w:tabs>
          <w:tab w:val="center" w:pos="5400"/>
        </w:tabs>
        <w:suppressAutoHyphens/>
        <w:jc w:val="center"/>
        <w:rPr>
          <w:rFonts w:asciiTheme="majorHAnsi" w:hAnsiTheme="majorHAnsi"/>
          <w:sz w:val="22"/>
          <w:szCs w:val="22"/>
          <w:lang w:val="en-GB"/>
        </w:rPr>
      </w:pPr>
    </w:p>
    <w:p w14:paraId="1E4CC4A3" w14:textId="77777777" w:rsidR="005B52B0" w:rsidRPr="007B5120" w:rsidRDefault="005B52B0" w:rsidP="005128E4">
      <w:pPr>
        <w:tabs>
          <w:tab w:val="center" w:pos="5400"/>
        </w:tabs>
        <w:suppressAutoHyphens/>
        <w:jc w:val="center"/>
        <w:rPr>
          <w:rFonts w:asciiTheme="majorHAnsi" w:hAnsiTheme="majorHAnsi"/>
          <w:sz w:val="22"/>
          <w:szCs w:val="22"/>
          <w:lang w:val="en-GB"/>
        </w:rPr>
      </w:pPr>
    </w:p>
    <w:p w14:paraId="022074FD" w14:textId="77777777" w:rsidR="005B52B0" w:rsidRPr="007B5120" w:rsidRDefault="005B52B0" w:rsidP="005128E4">
      <w:pPr>
        <w:tabs>
          <w:tab w:val="center" w:pos="5400"/>
        </w:tabs>
        <w:suppressAutoHyphens/>
        <w:jc w:val="center"/>
        <w:rPr>
          <w:rFonts w:asciiTheme="majorHAnsi" w:hAnsiTheme="majorHAnsi"/>
          <w:sz w:val="22"/>
          <w:szCs w:val="22"/>
          <w:lang w:val="en-GB"/>
        </w:rPr>
      </w:pPr>
    </w:p>
    <w:p w14:paraId="3234C43C"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2D58FFBA"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4A574974"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11A9BA8A" w14:textId="77777777" w:rsidR="00040C3A" w:rsidRPr="007B5120" w:rsidRDefault="00E533FF" w:rsidP="00040C3A">
      <w:pPr>
        <w:tabs>
          <w:tab w:val="center" w:pos="5400"/>
        </w:tabs>
        <w:suppressAutoHyphens/>
        <w:jc w:val="center"/>
        <w:rPr>
          <w:rFonts w:asciiTheme="majorHAnsi" w:hAnsiTheme="majorHAnsi"/>
          <w:sz w:val="22"/>
          <w:szCs w:val="22"/>
          <w:lang w:val="en-GB"/>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0BBF512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84DB8">
                              <w:rPr>
                                <w:rFonts w:asciiTheme="majorHAnsi" w:hAnsiTheme="majorHAnsi" w:cs="Arial"/>
                                <w:b/>
                                <w:bCs/>
                                <w:color w:val="0D0D0D" w:themeColor="text1" w:themeTint="F2"/>
                                <w:sz w:val="36"/>
                                <w:szCs w:val="40"/>
                              </w:rPr>
                              <w:t>46</w:t>
                            </w:r>
                            <w:r w:rsidR="00322450" w:rsidRPr="004B7EB6">
                              <w:rPr>
                                <w:rFonts w:asciiTheme="majorHAnsi" w:hAnsiTheme="majorHAnsi" w:cs="Arial"/>
                                <w:b/>
                                <w:bCs/>
                                <w:color w:val="0D0D0D" w:themeColor="text1" w:themeTint="F2"/>
                                <w:sz w:val="36"/>
                                <w:szCs w:val="40"/>
                              </w:rPr>
                              <w:t>/1</w:t>
                            </w:r>
                            <w:r w:rsidR="00625CEB">
                              <w:rPr>
                                <w:rFonts w:asciiTheme="majorHAnsi" w:hAnsiTheme="majorHAnsi" w:cs="Arial"/>
                                <w:b/>
                                <w:bCs/>
                                <w:color w:val="0D0D0D" w:themeColor="text1" w:themeTint="F2"/>
                                <w:sz w:val="36"/>
                                <w:szCs w:val="40"/>
                              </w:rPr>
                              <w:t>8</w:t>
                            </w:r>
                          </w:p>
                          <w:p w14:paraId="081F51F3" w14:textId="7038D8FD"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25CEB">
                              <w:rPr>
                                <w:rFonts w:asciiTheme="majorHAnsi" w:hAnsiTheme="majorHAnsi" w:cs="Arial"/>
                                <w:b/>
                                <w:bCs/>
                                <w:color w:val="0D0D0D" w:themeColor="text1" w:themeTint="F2"/>
                                <w:sz w:val="36"/>
                                <w:szCs w:val="40"/>
                              </w:rPr>
                              <w:t>1638-12</w:t>
                            </w:r>
                          </w:p>
                          <w:p w14:paraId="34978E5A" w14:textId="065582C1" w:rsidR="002C1641"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484A46A8" w14:textId="77777777" w:rsidR="00625CEB" w:rsidRDefault="00625CEB" w:rsidP="004B7EB6">
                            <w:pPr>
                              <w:spacing w:line="276" w:lineRule="auto"/>
                              <w:rPr>
                                <w:rFonts w:asciiTheme="majorHAnsi" w:hAnsiTheme="majorHAnsi" w:cs="Arial"/>
                                <w:color w:val="0D0D0D" w:themeColor="text1" w:themeTint="F2"/>
                                <w:szCs w:val="22"/>
                              </w:rPr>
                            </w:pPr>
                          </w:p>
                          <w:p w14:paraId="6485765E" w14:textId="77777777" w:rsidR="00625CEB" w:rsidRPr="004B7EB6" w:rsidRDefault="00625CEB" w:rsidP="004B7EB6">
                            <w:pPr>
                              <w:spacing w:line="276" w:lineRule="auto"/>
                              <w:rPr>
                                <w:rFonts w:asciiTheme="majorHAnsi" w:hAnsiTheme="majorHAnsi" w:cs="Arial"/>
                                <w:color w:val="0D0D0D" w:themeColor="text1" w:themeTint="F2"/>
                                <w:szCs w:val="22"/>
                              </w:rPr>
                            </w:pPr>
                          </w:p>
                          <w:p w14:paraId="7A73D628" w14:textId="45C14A29" w:rsidR="00F42B71" w:rsidRPr="004B625D" w:rsidRDefault="00625CE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rPr>
                              <w:t>R</w:t>
                            </w:r>
                            <w:r>
                              <w:rPr>
                                <w:rFonts w:ascii="Cambria" w:hAnsi="Cambria" w:cs="Arial"/>
                                <w:color w:val="0D0D0D"/>
                                <w:szCs w:val="22"/>
                              </w:rPr>
                              <w:t>AIZA ISABEL SALAZAR</w:t>
                            </w:r>
                          </w:p>
                          <w:p w14:paraId="48EBC31A" w14:textId="718CF971" w:rsidR="00F42B71" w:rsidRPr="004B625D" w:rsidRDefault="00625CE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0BBF512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84DB8">
                        <w:rPr>
                          <w:rFonts w:asciiTheme="majorHAnsi" w:hAnsiTheme="majorHAnsi" w:cs="Arial"/>
                          <w:b/>
                          <w:bCs/>
                          <w:color w:val="0D0D0D" w:themeColor="text1" w:themeTint="F2"/>
                          <w:sz w:val="36"/>
                          <w:szCs w:val="40"/>
                        </w:rPr>
                        <w:t>46</w:t>
                      </w:r>
                      <w:r w:rsidR="00322450" w:rsidRPr="004B7EB6">
                        <w:rPr>
                          <w:rFonts w:asciiTheme="majorHAnsi" w:hAnsiTheme="majorHAnsi" w:cs="Arial"/>
                          <w:b/>
                          <w:bCs/>
                          <w:color w:val="0D0D0D" w:themeColor="text1" w:themeTint="F2"/>
                          <w:sz w:val="36"/>
                          <w:szCs w:val="40"/>
                        </w:rPr>
                        <w:t>/1</w:t>
                      </w:r>
                      <w:r w:rsidR="00625CEB">
                        <w:rPr>
                          <w:rFonts w:asciiTheme="majorHAnsi" w:hAnsiTheme="majorHAnsi" w:cs="Arial"/>
                          <w:b/>
                          <w:bCs/>
                          <w:color w:val="0D0D0D" w:themeColor="text1" w:themeTint="F2"/>
                          <w:sz w:val="36"/>
                          <w:szCs w:val="40"/>
                        </w:rPr>
                        <w:t>8</w:t>
                      </w:r>
                    </w:p>
                    <w:p w14:paraId="081F51F3" w14:textId="7038D8FD"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25CEB">
                        <w:rPr>
                          <w:rFonts w:asciiTheme="majorHAnsi" w:hAnsiTheme="majorHAnsi" w:cs="Arial"/>
                          <w:b/>
                          <w:bCs/>
                          <w:color w:val="0D0D0D" w:themeColor="text1" w:themeTint="F2"/>
                          <w:sz w:val="36"/>
                          <w:szCs w:val="40"/>
                        </w:rPr>
                        <w:t>1638-12</w:t>
                      </w:r>
                    </w:p>
                    <w:p w14:paraId="34978E5A" w14:textId="065582C1" w:rsidR="002C1641"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484A46A8" w14:textId="77777777" w:rsidR="00625CEB" w:rsidRDefault="00625CEB" w:rsidP="004B7EB6">
                      <w:pPr>
                        <w:spacing w:line="276" w:lineRule="auto"/>
                        <w:rPr>
                          <w:rFonts w:asciiTheme="majorHAnsi" w:hAnsiTheme="majorHAnsi" w:cs="Arial"/>
                          <w:color w:val="0D0D0D" w:themeColor="text1" w:themeTint="F2"/>
                          <w:szCs w:val="22"/>
                        </w:rPr>
                      </w:pPr>
                    </w:p>
                    <w:p w14:paraId="6485765E" w14:textId="77777777" w:rsidR="00625CEB" w:rsidRPr="004B7EB6" w:rsidRDefault="00625CEB" w:rsidP="004B7EB6">
                      <w:pPr>
                        <w:spacing w:line="276" w:lineRule="auto"/>
                        <w:rPr>
                          <w:rFonts w:asciiTheme="majorHAnsi" w:hAnsiTheme="majorHAnsi" w:cs="Arial"/>
                          <w:color w:val="0D0D0D" w:themeColor="text1" w:themeTint="F2"/>
                          <w:szCs w:val="22"/>
                        </w:rPr>
                      </w:pPr>
                    </w:p>
                    <w:p w14:paraId="7A73D628" w14:textId="45C14A29" w:rsidR="00F42B71" w:rsidRPr="004B625D" w:rsidRDefault="00625CE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rPr>
                        <w:t>R</w:t>
                      </w:r>
                      <w:r>
                        <w:rPr>
                          <w:rFonts w:ascii="Cambria" w:hAnsi="Cambria" w:cs="Arial"/>
                          <w:color w:val="0D0D0D"/>
                          <w:szCs w:val="22"/>
                        </w:rPr>
                        <w:t>AIZA ISABEL SALAZAR</w:t>
                      </w:r>
                    </w:p>
                    <w:p w14:paraId="48EBC31A" w14:textId="718CF971" w:rsidR="00F42B71" w:rsidRPr="004B625D" w:rsidRDefault="00625CE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2E007E4" w:rsidR="00627C9F" w:rsidRPr="00C17A84" w:rsidRDefault="009E566A" w:rsidP="009E566A">
                            <w:pPr>
                              <w:jc w:val="right"/>
                              <w:rPr>
                                <w:rFonts w:asciiTheme="minorHAnsi" w:hAnsiTheme="minorHAnsi"/>
                                <w:color w:val="FFFFFF" w:themeColor="background1"/>
                                <w:sz w:val="22"/>
                                <w:lang w:val="es-US"/>
                              </w:rPr>
                            </w:pPr>
                            <w:r w:rsidRPr="00C17A84">
                              <w:rPr>
                                <w:rFonts w:asciiTheme="minorHAnsi" w:hAnsiTheme="minorHAnsi"/>
                                <w:color w:val="FFFFFF" w:themeColor="background1"/>
                                <w:sz w:val="22"/>
                                <w:lang w:val="es-US"/>
                              </w:rPr>
                              <w:t>OEA/</w:t>
                            </w:r>
                            <w:proofErr w:type="spellStart"/>
                            <w:r w:rsidRPr="00C17A84">
                              <w:rPr>
                                <w:rFonts w:asciiTheme="minorHAnsi" w:hAnsiTheme="minorHAnsi"/>
                                <w:color w:val="FFFFFF" w:themeColor="background1"/>
                                <w:sz w:val="22"/>
                                <w:lang w:val="es-US"/>
                              </w:rPr>
                              <w:t>Ser.L</w:t>
                            </w:r>
                            <w:proofErr w:type="spellEnd"/>
                            <w:r w:rsidRPr="00C17A84">
                              <w:rPr>
                                <w:rFonts w:asciiTheme="minorHAnsi" w:hAnsiTheme="minorHAnsi"/>
                                <w:color w:val="FFFFFF" w:themeColor="background1"/>
                                <w:sz w:val="22"/>
                                <w:lang w:val="es-US"/>
                              </w:rPr>
                              <w:t>/V/II.</w:t>
                            </w:r>
                            <w:r w:rsidR="00784DB8" w:rsidRPr="00C17A84">
                              <w:rPr>
                                <w:rFonts w:asciiTheme="minorHAnsi" w:hAnsiTheme="minorHAnsi"/>
                                <w:color w:val="FFFFFF" w:themeColor="background1"/>
                                <w:sz w:val="22"/>
                                <w:lang w:val="es-US"/>
                              </w:rPr>
                              <w:t>168</w:t>
                            </w:r>
                          </w:p>
                          <w:p w14:paraId="4AA08A8C" w14:textId="0BCC1681" w:rsidR="00627C9F" w:rsidRPr="00784DB8" w:rsidRDefault="00CA6577" w:rsidP="009E566A">
                            <w:pPr>
                              <w:jc w:val="right"/>
                              <w:rPr>
                                <w:rFonts w:asciiTheme="minorHAnsi" w:hAnsiTheme="minorHAnsi"/>
                                <w:color w:val="FFFFFF" w:themeColor="background1"/>
                                <w:sz w:val="22"/>
                              </w:rPr>
                            </w:pPr>
                            <w:r w:rsidRPr="00784DB8">
                              <w:rPr>
                                <w:rFonts w:asciiTheme="minorHAnsi" w:hAnsiTheme="minorHAnsi"/>
                                <w:color w:val="FFFFFF" w:themeColor="background1"/>
                                <w:sz w:val="22"/>
                              </w:rPr>
                              <w:t>Doc</w:t>
                            </w:r>
                            <w:r w:rsidR="00784DB8">
                              <w:rPr>
                                <w:rFonts w:asciiTheme="minorHAnsi" w:hAnsiTheme="minorHAnsi"/>
                                <w:color w:val="FFFFFF" w:themeColor="background1"/>
                                <w:sz w:val="22"/>
                              </w:rPr>
                              <w:t>. 56</w:t>
                            </w:r>
                          </w:p>
                          <w:p w14:paraId="0BEFF61A" w14:textId="1C32CC95" w:rsidR="00627C9F" w:rsidRPr="004B7EB6" w:rsidRDefault="00C17A84" w:rsidP="009E566A">
                            <w:pPr>
                              <w:jc w:val="right"/>
                              <w:rPr>
                                <w:rFonts w:asciiTheme="minorHAnsi" w:hAnsiTheme="minorHAnsi"/>
                                <w:color w:val="FFFFFF" w:themeColor="background1"/>
                                <w:sz w:val="22"/>
                              </w:rPr>
                            </w:pPr>
                            <w:r>
                              <w:rPr>
                                <w:rFonts w:asciiTheme="minorHAnsi" w:hAnsiTheme="minorHAnsi"/>
                                <w:color w:val="FFFFFF" w:themeColor="background1"/>
                                <w:sz w:val="22"/>
                              </w:rPr>
                              <w:t>4 May</w:t>
                            </w:r>
                            <w:r w:rsidR="00784DB8">
                              <w:rPr>
                                <w:rFonts w:asciiTheme="minorHAnsi" w:hAnsiTheme="minorHAnsi"/>
                                <w:color w:val="FFFFFF" w:themeColor="background1"/>
                                <w:sz w:val="22"/>
                              </w:rPr>
                              <w:t xml:space="preserve"> </w:t>
                            </w:r>
                            <w:r w:rsidR="00F42B71">
                              <w:rPr>
                                <w:rFonts w:asciiTheme="minorHAnsi" w:hAnsiTheme="minorHAnsi"/>
                                <w:color w:val="FFFFFF" w:themeColor="background1"/>
                                <w:sz w:val="22"/>
                              </w:rPr>
                              <w:t>2</w:t>
                            </w:r>
                            <w:r w:rsidR="00784DB8">
                              <w:rPr>
                                <w:rFonts w:asciiTheme="minorHAnsi" w:hAnsiTheme="minorHAnsi"/>
                                <w:color w:val="FFFFFF" w:themeColor="background1"/>
                                <w:sz w:val="22"/>
                              </w:rPr>
                              <w:t>018</w:t>
                            </w:r>
                          </w:p>
                          <w:p w14:paraId="0FC103BD" w14:textId="3338681F"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784DB8">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02E007E4" w:rsidR="00627C9F" w:rsidRPr="00C17A84" w:rsidRDefault="009E566A" w:rsidP="009E566A">
                      <w:pPr>
                        <w:jc w:val="right"/>
                        <w:rPr>
                          <w:rFonts w:asciiTheme="minorHAnsi" w:hAnsiTheme="minorHAnsi"/>
                          <w:color w:val="FFFFFF" w:themeColor="background1"/>
                          <w:sz w:val="22"/>
                          <w:lang w:val="es-US"/>
                        </w:rPr>
                      </w:pPr>
                      <w:r w:rsidRPr="00C17A84">
                        <w:rPr>
                          <w:rFonts w:asciiTheme="minorHAnsi" w:hAnsiTheme="minorHAnsi"/>
                          <w:color w:val="FFFFFF" w:themeColor="background1"/>
                          <w:sz w:val="22"/>
                          <w:lang w:val="es-US"/>
                        </w:rPr>
                        <w:t>OEA/</w:t>
                      </w:r>
                      <w:proofErr w:type="spellStart"/>
                      <w:r w:rsidRPr="00C17A84">
                        <w:rPr>
                          <w:rFonts w:asciiTheme="minorHAnsi" w:hAnsiTheme="minorHAnsi"/>
                          <w:color w:val="FFFFFF" w:themeColor="background1"/>
                          <w:sz w:val="22"/>
                          <w:lang w:val="es-US"/>
                        </w:rPr>
                        <w:t>Ser.L</w:t>
                      </w:r>
                      <w:proofErr w:type="spellEnd"/>
                      <w:r w:rsidRPr="00C17A84">
                        <w:rPr>
                          <w:rFonts w:asciiTheme="minorHAnsi" w:hAnsiTheme="minorHAnsi"/>
                          <w:color w:val="FFFFFF" w:themeColor="background1"/>
                          <w:sz w:val="22"/>
                          <w:lang w:val="es-US"/>
                        </w:rPr>
                        <w:t>/V/II.</w:t>
                      </w:r>
                      <w:r w:rsidR="00784DB8" w:rsidRPr="00C17A84">
                        <w:rPr>
                          <w:rFonts w:asciiTheme="minorHAnsi" w:hAnsiTheme="minorHAnsi"/>
                          <w:color w:val="FFFFFF" w:themeColor="background1"/>
                          <w:sz w:val="22"/>
                          <w:lang w:val="es-US"/>
                        </w:rPr>
                        <w:t>168</w:t>
                      </w:r>
                    </w:p>
                    <w:p w14:paraId="4AA08A8C" w14:textId="0BCC1681" w:rsidR="00627C9F" w:rsidRPr="00784DB8" w:rsidRDefault="00CA6577" w:rsidP="009E566A">
                      <w:pPr>
                        <w:jc w:val="right"/>
                        <w:rPr>
                          <w:rFonts w:asciiTheme="minorHAnsi" w:hAnsiTheme="minorHAnsi"/>
                          <w:color w:val="FFFFFF" w:themeColor="background1"/>
                          <w:sz w:val="22"/>
                        </w:rPr>
                      </w:pPr>
                      <w:r w:rsidRPr="00784DB8">
                        <w:rPr>
                          <w:rFonts w:asciiTheme="minorHAnsi" w:hAnsiTheme="minorHAnsi"/>
                          <w:color w:val="FFFFFF" w:themeColor="background1"/>
                          <w:sz w:val="22"/>
                        </w:rPr>
                        <w:t>Doc</w:t>
                      </w:r>
                      <w:r w:rsidR="00784DB8">
                        <w:rPr>
                          <w:rFonts w:asciiTheme="minorHAnsi" w:hAnsiTheme="minorHAnsi"/>
                          <w:color w:val="FFFFFF" w:themeColor="background1"/>
                          <w:sz w:val="22"/>
                        </w:rPr>
                        <w:t>. 56</w:t>
                      </w:r>
                    </w:p>
                    <w:p w14:paraId="0BEFF61A" w14:textId="1C32CC95" w:rsidR="00627C9F" w:rsidRPr="004B7EB6" w:rsidRDefault="00C17A84" w:rsidP="009E566A">
                      <w:pPr>
                        <w:jc w:val="right"/>
                        <w:rPr>
                          <w:rFonts w:asciiTheme="minorHAnsi" w:hAnsiTheme="minorHAnsi"/>
                          <w:color w:val="FFFFFF" w:themeColor="background1"/>
                          <w:sz w:val="22"/>
                        </w:rPr>
                      </w:pPr>
                      <w:r>
                        <w:rPr>
                          <w:rFonts w:asciiTheme="minorHAnsi" w:hAnsiTheme="minorHAnsi"/>
                          <w:color w:val="FFFFFF" w:themeColor="background1"/>
                          <w:sz w:val="22"/>
                        </w:rPr>
                        <w:t>4 May</w:t>
                      </w:r>
                      <w:r w:rsidR="00784DB8">
                        <w:rPr>
                          <w:rFonts w:asciiTheme="minorHAnsi" w:hAnsiTheme="minorHAnsi"/>
                          <w:color w:val="FFFFFF" w:themeColor="background1"/>
                          <w:sz w:val="22"/>
                        </w:rPr>
                        <w:t xml:space="preserve"> </w:t>
                      </w:r>
                      <w:r w:rsidR="00F42B71">
                        <w:rPr>
                          <w:rFonts w:asciiTheme="minorHAnsi" w:hAnsiTheme="minorHAnsi"/>
                          <w:color w:val="FFFFFF" w:themeColor="background1"/>
                          <w:sz w:val="22"/>
                        </w:rPr>
                        <w:t>2</w:t>
                      </w:r>
                      <w:r w:rsidR="00784DB8">
                        <w:rPr>
                          <w:rFonts w:asciiTheme="minorHAnsi" w:hAnsiTheme="minorHAnsi"/>
                          <w:color w:val="FFFFFF" w:themeColor="background1"/>
                          <w:sz w:val="22"/>
                        </w:rPr>
                        <w:t>018</w:t>
                      </w:r>
                    </w:p>
                    <w:p w14:paraId="0FC103BD" w14:textId="3338681F"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784DB8">
                        <w:rPr>
                          <w:rFonts w:asciiTheme="minorHAnsi" w:hAnsiTheme="minorHAnsi"/>
                          <w:color w:val="FFFFFF" w:themeColor="background1"/>
                          <w:sz w:val="22"/>
                        </w:rPr>
                        <w:t>: Spanish</w:t>
                      </w:r>
                    </w:p>
                  </w:txbxContent>
                </v:textbox>
              </v:shape>
            </w:pict>
          </mc:Fallback>
        </mc:AlternateContent>
      </w:r>
    </w:p>
    <w:p w14:paraId="3765F9FA"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5E33CE59" w14:textId="77777777" w:rsidR="00040C3A" w:rsidRPr="007B5120" w:rsidRDefault="00040C3A" w:rsidP="00040C3A">
      <w:pPr>
        <w:tabs>
          <w:tab w:val="center" w:pos="5400"/>
        </w:tabs>
        <w:suppressAutoHyphens/>
        <w:jc w:val="center"/>
        <w:rPr>
          <w:rFonts w:asciiTheme="majorHAnsi" w:hAnsiTheme="majorHAnsi" w:cs="Arial"/>
          <w:sz w:val="22"/>
          <w:szCs w:val="22"/>
          <w:lang w:val="en-GB"/>
        </w:rPr>
      </w:pPr>
    </w:p>
    <w:p w14:paraId="04802712"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43677EE2"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747B776B"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3FA14379"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28A65FAF" w14:textId="77777777" w:rsidR="005128E4" w:rsidRPr="007B5120" w:rsidRDefault="005128E4" w:rsidP="00040C3A">
      <w:pPr>
        <w:tabs>
          <w:tab w:val="center" w:pos="5400"/>
        </w:tabs>
        <w:suppressAutoHyphens/>
        <w:jc w:val="center"/>
        <w:rPr>
          <w:rFonts w:asciiTheme="majorHAnsi" w:hAnsiTheme="majorHAnsi"/>
          <w:sz w:val="22"/>
          <w:szCs w:val="22"/>
          <w:lang w:val="en-GB"/>
        </w:rPr>
      </w:pPr>
    </w:p>
    <w:p w14:paraId="11B1978A"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650F503D" w14:textId="77777777" w:rsidR="005128E4" w:rsidRPr="007B5120" w:rsidRDefault="005128E4" w:rsidP="00040C3A">
      <w:pPr>
        <w:tabs>
          <w:tab w:val="center" w:pos="5400"/>
        </w:tabs>
        <w:suppressAutoHyphens/>
        <w:jc w:val="center"/>
        <w:rPr>
          <w:rFonts w:asciiTheme="majorHAnsi" w:hAnsiTheme="majorHAnsi"/>
          <w:sz w:val="22"/>
          <w:szCs w:val="22"/>
          <w:lang w:val="en-GB"/>
        </w:rPr>
      </w:pPr>
    </w:p>
    <w:p w14:paraId="17861C77" w14:textId="77777777" w:rsidR="005128E4" w:rsidRPr="007B5120" w:rsidRDefault="005128E4" w:rsidP="00040C3A">
      <w:pPr>
        <w:tabs>
          <w:tab w:val="center" w:pos="5400"/>
        </w:tabs>
        <w:suppressAutoHyphens/>
        <w:jc w:val="center"/>
        <w:rPr>
          <w:rFonts w:asciiTheme="majorHAnsi" w:hAnsiTheme="majorHAnsi"/>
          <w:sz w:val="22"/>
          <w:szCs w:val="22"/>
          <w:lang w:val="en-GB"/>
        </w:rPr>
      </w:pPr>
    </w:p>
    <w:p w14:paraId="0EFEAEB7" w14:textId="77777777" w:rsidR="005128E4" w:rsidRPr="007B5120" w:rsidRDefault="005128E4" w:rsidP="00040C3A">
      <w:pPr>
        <w:tabs>
          <w:tab w:val="center" w:pos="5400"/>
        </w:tabs>
        <w:suppressAutoHyphens/>
        <w:jc w:val="center"/>
        <w:rPr>
          <w:rFonts w:asciiTheme="majorHAnsi" w:hAnsiTheme="majorHAnsi"/>
          <w:sz w:val="22"/>
          <w:szCs w:val="22"/>
          <w:lang w:val="en-GB"/>
        </w:rPr>
      </w:pPr>
    </w:p>
    <w:p w14:paraId="5B815FC5"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0D43F8BD"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03AA1AEB"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2FD75BF3"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73EF440E"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3D12B191"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1132D17C"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659B324C"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0DE58CEA"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3A5BB7C9"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6BA67E7F"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6D4FBE3A"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2741AD16"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1D99DBC4"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3290BF94" w14:textId="77777777" w:rsidR="002C1641" w:rsidRPr="007B5120" w:rsidRDefault="003C32BC" w:rsidP="00040C3A">
      <w:pPr>
        <w:tabs>
          <w:tab w:val="center" w:pos="5400"/>
        </w:tabs>
        <w:suppressAutoHyphens/>
        <w:jc w:val="center"/>
        <w:rPr>
          <w:rFonts w:asciiTheme="majorHAnsi" w:hAnsiTheme="majorHAnsi"/>
          <w:sz w:val="18"/>
          <w:szCs w:val="22"/>
          <w:lang w:val="en-GB"/>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5F7D9DC"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proofErr w:type="gramStart"/>
                            <w:r w:rsidR="00784DB8">
                              <w:rPr>
                                <w:rFonts w:asciiTheme="majorHAnsi" w:hAnsiTheme="majorHAnsi"/>
                                <w:color w:val="0D0D0D" w:themeColor="text1" w:themeTint="F2"/>
                                <w:sz w:val="18"/>
                                <w:szCs w:val="20"/>
                              </w:rPr>
                              <w:t>2126</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784DB8">
                              <w:rPr>
                                <w:rFonts w:asciiTheme="majorHAnsi" w:hAnsiTheme="majorHAnsi"/>
                                <w:color w:val="0D0D0D" w:themeColor="text1" w:themeTint="F2"/>
                                <w:sz w:val="18"/>
                                <w:szCs w:val="20"/>
                              </w:rPr>
                              <w:t>May</w:t>
                            </w:r>
                            <w:r w:rsidR="00022CF5">
                              <w:rPr>
                                <w:rFonts w:asciiTheme="majorHAnsi" w:hAnsiTheme="majorHAnsi"/>
                                <w:color w:val="0D0D0D" w:themeColor="text1" w:themeTint="F2"/>
                                <w:sz w:val="18"/>
                                <w:szCs w:val="20"/>
                              </w:rPr>
                              <w:t xml:space="preserve"> </w:t>
                            </w:r>
                            <w:r w:rsidR="00784DB8">
                              <w:rPr>
                                <w:rFonts w:asciiTheme="majorHAnsi" w:hAnsiTheme="majorHAnsi"/>
                                <w:color w:val="0D0D0D" w:themeColor="text1" w:themeTint="F2"/>
                                <w:sz w:val="18"/>
                                <w:szCs w:val="20"/>
                              </w:rPr>
                              <w:t>4</w:t>
                            </w:r>
                            <w:r w:rsidR="00625CEB">
                              <w:rPr>
                                <w:rFonts w:asciiTheme="majorHAnsi" w:hAnsiTheme="majorHAnsi"/>
                                <w:color w:val="0D0D0D" w:themeColor="text1" w:themeTint="F2"/>
                                <w:sz w:val="18"/>
                                <w:szCs w:val="20"/>
                              </w:rPr>
                              <w:t>, 2018</w:t>
                            </w:r>
                            <w:r w:rsidR="00C17A84">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roofErr w:type="gramStart"/>
                            <w:r w:rsidR="00F621C3">
                              <w:rPr>
                                <w:rFonts w:asciiTheme="majorHAnsi" w:hAnsiTheme="majorHAnsi" w:cs="Univers"/>
                                <w:color w:val="0D0D0D" w:themeColor="text1" w:themeTint="F2"/>
                                <w:sz w:val="18"/>
                                <w:szCs w:val="20"/>
                              </w:rPr>
                              <w:t>1</w:t>
                            </w:r>
                            <w:r w:rsidR="00784DB8">
                              <w:rPr>
                                <w:rFonts w:asciiTheme="majorHAnsi" w:hAnsiTheme="majorHAnsi" w:cs="Univers"/>
                                <w:color w:val="0D0D0D" w:themeColor="text1" w:themeTint="F2"/>
                                <w:sz w:val="18"/>
                                <w:szCs w:val="20"/>
                              </w:rPr>
                              <w:t>68</w:t>
                            </w:r>
                            <w:r w:rsidR="004F6B67" w:rsidRPr="004F6B67">
                              <w:rPr>
                                <w:rFonts w:asciiTheme="majorHAnsi" w:hAnsiTheme="majorHAnsi" w:cs="Univers"/>
                                <w:sz w:val="18"/>
                                <w:szCs w:val="20"/>
                                <w:vertAlign w:val="superscript"/>
                              </w:rPr>
                              <w:t>th</w:t>
                            </w:r>
                            <w:proofErr w:type="gramEnd"/>
                            <w:r w:rsidR="00092F32" w:rsidRPr="003C32BC">
                              <w:rPr>
                                <w:rFonts w:asciiTheme="majorHAnsi" w:hAnsiTheme="majorHAnsi" w:cs="Univers"/>
                                <w:color w:val="0D0D0D" w:themeColor="text1" w:themeTint="F2"/>
                                <w:sz w:val="18"/>
                                <w:szCs w:val="20"/>
                              </w:rPr>
                              <w:t xml:space="preserve"> </w:t>
                            </w:r>
                            <w:r w:rsidR="00784DB8">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C17A84">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05F7D9DC"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proofErr w:type="gramStart"/>
                      <w:r w:rsidR="00784DB8">
                        <w:rPr>
                          <w:rFonts w:asciiTheme="majorHAnsi" w:hAnsiTheme="majorHAnsi"/>
                          <w:color w:val="0D0D0D" w:themeColor="text1" w:themeTint="F2"/>
                          <w:sz w:val="18"/>
                          <w:szCs w:val="20"/>
                        </w:rPr>
                        <w:t>2126</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784DB8">
                        <w:rPr>
                          <w:rFonts w:asciiTheme="majorHAnsi" w:hAnsiTheme="majorHAnsi"/>
                          <w:color w:val="0D0D0D" w:themeColor="text1" w:themeTint="F2"/>
                          <w:sz w:val="18"/>
                          <w:szCs w:val="20"/>
                        </w:rPr>
                        <w:t>May</w:t>
                      </w:r>
                      <w:r w:rsidR="00022CF5">
                        <w:rPr>
                          <w:rFonts w:asciiTheme="majorHAnsi" w:hAnsiTheme="majorHAnsi"/>
                          <w:color w:val="0D0D0D" w:themeColor="text1" w:themeTint="F2"/>
                          <w:sz w:val="18"/>
                          <w:szCs w:val="20"/>
                        </w:rPr>
                        <w:t xml:space="preserve"> </w:t>
                      </w:r>
                      <w:r w:rsidR="00784DB8">
                        <w:rPr>
                          <w:rFonts w:asciiTheme="majorHAnsi" w:hAnsiTheme="majorHAnsi"/>
                          <w:color w:val="0D0D0D" w:themeColor="text1" w:themeTint="F2"/>
                          <w:sz w:val="18"/>
                          <w:szCs w:val="20"/>
                        </w:rPr>
                        <w:t>4</w:t>
                      </w:r>
                      <w:r w:rsidR="00625CEB">
                        <w:rPr>
                          <w:rFonts w:asciiTheme="majorHAnsi" w:hAnsiTheme="majorHAnsi"/>
                          <w:color w:val="0D0D0D" w:themeColor="text1" w:themeTint="F2"/>
                          <w:sz w:val="18"/>
                          <w:szCs w:val="20"/>
                        </w:rPr>
                        <w:t>, 2018</w:t>
                      </w:r>
                      <w:r w:rsidR="00C17A84">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roofErr w:type="gramStart"/>
                      <w:r w:rsidR="00F621C3">
                        <w:rPr>
                          <w:rFonts w:asciiTheme="majorHAnsi" w:hAnsiTheme="majorHAnsi" w:cs="Univers"/>
                          <w:color w:val="0D0D0D" w:themeColor="text1" w:themeTint="F2"/>
                          <w:sz w:val="18"/>
                          <w:szCs w:val="20"/>
                        </w:rPr>
                        <w:t>1</w:t>
                      </w:r>
                      <w:r w:rsidR="00784DB8">
                        <w:rPr>
                          <w:rFonts w:asciiTheme="majorHAnsi" w:hAnsiTheme="majorHAnsi" w:cs="Univers"/>
                          <w:color w:val="0D0D0D" w:themeColor="text1" w:themeTint="F2"/>
                          <w:sz w:val="18"/>
                          <w:szCs w:val="20"/>
                        </w:rPr>
                        <w:t>68</w:t>
                      </w:r>
                      <w:r w:rsidR="004F6B67" w:rsidRPr="004F6B67">
                        <w:rPr>
                          <w:rFonts w:asciiTheme="majorHAnsi" w:hAnsiTheme="majorHAnsi" w:cs="Univers"/>
                          <w:sz w:val="18"/>
                          <w:szCs w:val="20"/>
                          <w:vertAlign w:val="superscript"/>
                        </w:rPr>
                        <w:t>th</w:t>
                      </w:r>
                      <w:proofErr w:type="gramEnd"/>
                      <w:r w:rsidR="00092F32" w:rsidRPr="003C32BC">
                        <w:rPr>
                          <w:rFonts w:asciiTheme="majorHAnsi" w:hAnsiTheme="majorHAnsi" w:cs="Univers"/>
                          <w:color w:val="0D0D0D" w:themeColor="text1" w:themeTint="F2"/>
                          <w:sz w:val="18"/>
                          <w:szCs w:val="20"/>
                        </w:rPr>
                        <w:t xml:space="preserve"> </w:t>
                      </w:r>
                      <w:r w:rsidR="00784DB8">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C17A84">
                        <w:rPr>
                          <w:rFonts w:asciiTheme="majorHAnsi" w:hAnsiTheme="majorHAnsi" w:cs="Univers"/>
                          <w:color w:val="0D0D0D" w:themeColor="text1" w:themeTint="F2"/>
                          <w:sz w:val="18"/>
                          <w:szCs w:val="20"/>
                        </w:rPr>
                        <w:t>.</w:t>
                      </w:r>
                    </w:p>
                  </w:txbxContent>
                </v:textbox>
              </v:shape>
            </w:pict>
          </mc:Fallback>
        </mc:AlternateContent>
      </w:r>
    </w:p>
    <w:p w14:paraId="76124E47"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3751FEDE"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5FAB54E7"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4AE4FBFB"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4DA3B2C3" w14:textId="77777777" w:rsidR="002C1641" w:rsidRPr="007B5120" w:rsidRDefault="003C32BC" w:rsidP="00040C3A">
      <w:pPr>
        <w:tabs>
          <w:tab w:val="center" w:pos="5400"/>
        </w:tabs>
        <w:suppressAutoHyphens/>
        <w:jc w:val="center"/>
        <w:rPr>
          <w:rFonts w:asciiTheme="majorHAnsi" w:hAnsiTheme="majorHAnsi"/>
          <w:sz w:val="18"/>
          <w:szCs w:val="22"/>
          <w:lang w:val="en-GB"/>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CBA57A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784DB8">
                              <w:rPr>
                                <w:rFonts w:asciiTheme="majorHAnsi" w:hAnsiTheme="majorHAnsi"/>
                                <w:color w:val="595959" w:themeColor="text1" w:themeTint="A6"/>
                                <w:sz w:val="18"/>
                              </w:rPr>
                              <w:t>46</w:t>
                            </w:r>
                            <w:r w:rsidR="00022CF5">
                              <w:rPr>
                                <w:rFonts w:asciiTheme="majorHAnsi" w:hAnsiTheme="majorHAnsi"/>
                                <w:color w:val="595959" w:themeColor="text1" w:themeTint="A6"/>
                                <w:sz w:val="18"/>
                              </w:rPr>
                              <w:t>/</w:t>
                            </w:r>
                            <w:r w:rsidR="00784DB8">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784DB8">
                              <w:rPr>
                                <w:rFonts w:asciiTheme="majorHAnsi" w:hAnsiTheme="majorHAnsi"/>
                                <w:color w:val="595959" w:themeColor="text1" w:themeTint="A6"/>
                                <w:sz w:val="18"/>
                              </w:rPr>
                              <w:t>1638</w:t>
                            </w:r>
                            <w:r w:rsidR="00F621C3">
                              <w:rPr>
                                <w:rFonts w:asciiTheme="majorHAnsi" w:hAnsiTheme="majorHAnsi"/>
                                <w:color w:val="595959" w:themeColor="text1" w:themeTint="A6"/>
                                <w:sz w:val="18"/>
                              </w:rPr>
                              <w:t>-</w:t>
                            </w:r>
                            <w:r w:rsidR="00784DB8">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00625CEB">
                              <w:rPr>
                                <w:rFonts w:asciiTheme="majorHAnsi" w:hAnsiTheme="majorHAnsi"/>
                                <w:color w:val="595959" w:themeColor="text1" w:themeTint="A6"/>
                                <w:sz w:val="18"/>
                              </w:rPr>
                              <w:t>R</w:t>
                            </w:r>
                            <w:r w:rsidR="00784DB8">
                              <w:rPr>
                                <w:rFonts w:asciiTheme="majorHAnsi" w:hAnsiTheme="majorHAnsi"/>
                                <w:color w:val="595959" w:themeColor="text1" w:themeTint="A6"/>
                                <w:sz w:val="18"/>
                              </w:rPr>
                              <w:t>aiza</w:t>
                            </w:r>
                            <w:proofErr w:type="spellEnd"/>
                            <w:r w:rsidR="00625CEB">
                              <w:rPr>
                                <w:rFonts w:asciiTheme="majorHAnsi" w:hAnsiTheme="majorHAnsi"/>
                                <w:color w:val="595959" w:themeColor="text1" w:themeTint="A6"/>
                                <w:sz w:val="18"/>
                              </w:rPr>
                              <w:t xml:space="preserve"> I</w:t>
                            </w:r>
                            <w:r w:rsidR="00784DB8">
                              <w:rPr>
                                <w:rFonts w:asciiTheme="majorHAnsi" w:hAnsiTheme="majorHAnsi"/>
                                <w:color w:val="595959" w:themeColor="text1" w:themeTint="A6"/>
                                <w:sz w:val="18"/>
                              </w:rPr>
                              <w:t>sabel</w:t>
                            </w:r>
                            <w:r w:rsidR="00625CEB">
                              <w:rPr>
                                <w:rFonts w:asciiTheme="majorHAnsi" w:hAnsiTheme="majorHAnsi"/>
                                <w:color w:val="595959" w:themeColor="text1" w:themeTint="A6"/>
                                <w:sz w:val="18"/>
                              </w:rPr>
                              <w:t xml:space="preserve"> S</w:t>
                            </w:r>
                            <w:r w:rsidR="00784DB8">
                              <w:rPr>
                                <w:rFonts w:asciiTheme="majorHAnsi" w:hAnsiTheme="majorHAnsi"/>
                                <w:color w:val="595959" w:themeColor="text1" w:themeTint="A6"/>
                                <w:sz w:val="18"/>
                              </w:rPr>
                              <w:t>alazar</w:t>
                            </w:r>
                            <w:r w:rsidRPr="003C32BC">
                              <w:rPr>
                                <w:rFonts w:asciiTheme="majorHAnsi" w:hAnsiTheme="majorHAnsi"/>
                                <w:color w:val="595959" w:themeColor="text1" w:themeTint="A6"/>
                                <w:sz w:val="18"/>
                              </w:rPr>
                              <w:t xml:space="preserve">. </w:t>
                            </w:r>
                            <w:r w:rsidR="00625CEB">
                              <w:rPr>
                                <w:rFonts w:asciiTheme="majorHAnsi" w:hAnsiTheme="majorHAnsi"/>
                                <w:color w:val="595959" w:themeColor="text1" w:themeTint="A6"/>
                                <w:sz w:val="18"/>
                              </w:rPr>
                              <w:t>C</w:t>
                            </w:r>
                            <w:r w:rsidR="00784DB8">
                              <w:rPr>
                                <w:rFonts w:asciiTheme="majorHAnsi" w:hAnsiTheme="majorHAnsi"/>
                                <w:color w:val="595959" w:themeColor="text1" w:themeTint="A6"/>
                                <w:sz w:val="18"/>
                              </w:rPr>
                              <w:t>olombia</w:t>
                            </w:r>
                            <w:r w:rsidR="00022CF5">
                              <w:rPr>
                                <w:rFonts w:asciiTheme="majorHAnsi" w:hAnsiTheme="majorHAnsi"/>
                                <w:color w:val="595959" w:themeColor="text1" w:themeTint="A6"/>
                                <w:sz w:val="18"/>
                              </w:rPr>
                              <w:t xml:space="preserve">. </w:t>
                            </w:r>
                            <w:r w:rsidR="00784DB8">
                              <w:rPr>
                                <w:rFonts w:asciiTheme="majorHAnsi" w:hAnsiTheme="majorHAnsi"/>
                                <w:color w:val="595959" w:themeColor="text1" w:themeTint="A6"/>
                                <w:sz w:val="18"/>
                              </w:rPr>
                              <w:t>May 4,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1CBA57A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784DB8">
                        <w:rPr>
                          <w:rFonts w:asciiTheme="majorHAnsi" w:hAnsiTheme="majorHAnsi"/>
                          <w:color w:val="595959" w:themeColor="text1" w:themeTint="A6"/>
                          <w:sz w:val="18"/>
                        </w:rPr>
                        <w:t>46</w:t>
                      </w:r>
                      <w:r w:rsidR="00022CF5">
                        <w:rPr>
                          <w:rFonts w:asciiTheme="majorHAnsi" w:hAnsiTheme="majorHAnsi"/>
                          <w:color w:val="595959" w:themeColor="text1" w:themeTint="A6"/>
                          <w:sz w:val="18"/>
                        </w:rPr>
                        <w:t>/</w:t>
                      </w:r>
                      <w:r w:rsidR="00784DB8">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784DB8">
                        <w:rPr>
                          <w:rFonts w:asciiTheme="majorHAnsi" w:hAnsiTheme="majorHAnsi"/>
                          <w:color w:val="595959" w:themeColor="text1" w:themeTint="A6"/>
                          <w:sz w:val="18"/>
                        </w:rPr>
                        <w:t>1638</w:t>
                      </w:r>
                      <w:r w:rsidR="00F621C3">
                        <w:rPr>
                          <w:rFonts w:asciiTheme="majorHAnsi" w:hAnsiTheme="majorHAnsi"/>
                          <w:color w:val="595959" w:themeColor="text1" w:themeTint="A6"/>
                          <w:sz w:val="18"/>
                        </w:rPr>
                        <w:t>-</w:t>
                      </w:r>
                      <w:r w:rsidR="00784DB8">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00625CEB">
                        <w:rPr>
                          <w:rFonts w:asciiTheme="majorHAnsi" w:hAnsiTheme="majorHAnsi"/>
                          <w:color w:val="595959" w:themeColor="text1" w:themeTint="A6"/>
                          <w:sz w:val="18"/>
                        </w:rPr>
                        <w:t>R</w:t>
                      </w:r>
                      <w:r w:rsidR="00784DB8">
                        <w:rPr>
                          <w:rFonts w:asciiTheme="majorHAnsi" w:hAnsiTheme="majorHAnsi"/>
                          <w:color w:val="595959" w:themeColor="text1" w:themeTint="A6"/>
                          <w:sz w:val="18"/>
                        </w:rPr>
                        <w:t>aiza</w:t>
                      </w:r>
                      <w:proofErr w:type="spellEnd"/>
                      <w:r w:rsidR="00625CEB">
                        <w:rPr>
                          <w:rFonts w:asciiTheme="majorHAnsi" w:hAnsiTheme="majorHAnsi"/>
                          <w:color w:val="595959" w:themeColor="text1" w:themeTint="A6"/>
                          <w:sz w:val="18"/>
                        </w:rPr>
                        <w:t xml:space="preserve"> I</w:t>
                      </w:r>
                      <w:r w:rsidR="00784DB8">
                        <w:rPr>
                          <w:rFonts w:asciiTheme="majorHAnsi" w:hAnsiTheme="majorHAnsi"/>
                          <w:color w:val="595959" w:themeColor="text1" w:themeTint="A6"/>
                          <w:sz w:val="18"/>
                        </w:rPr>
                        <w:t>sabel</w:t>
                      </w:r>
                      <w:r w:rsidR="00625CEB">
                        <w:rPr>
                          <w:rFonts w:asciiTheme="majorHAnsi" w:hAnsiTheme="majorHAnsi"/>
                          <w:color w:val="595959" w:themeColor="text1" w:themeTint="A6"/>
                          <w:sz w:val="18"/>
                        </w:rPr>
                        <w:t xml:space="preserve"> S</w:t>
                      </w:r>
                      <w:r w:rsidR="00784DB8">
                        <w:rPr>
                          <w:rFonts w:asciiTheme="majorHAnsi" w:hAnsiTheme="majorHAnsi"/>
                          <w:color w:val="595959" w:themeColor="text1" w:themeTint="A6"/>
                          <w:sz w:val="18"/>
                        </w:rPr>
                        <w:t>alazar</w:t>
                      </w:r>
                      <w:r w:rsidRPr="003C32BC">
                        <w:rPr>
                          <w:rFonts w:asciiTheme="majorHAnsi" w:hAnsiTheme="majorHAnsi"/>
                          <w:color w:val="595959" w:themeColor="text1" w:themeTint="A6"/>
                          <w:sz w:val="18"/>
                        </w:rPr>
                        <w:t xml:space="preserve">. </w:t>
                      </w:r>
                      <w:r w:rsidR="00625CEB">
                        <w:rPr>
                          <w:rFonts w:asciiTheme="majorHAnsi" w:hAnsiTheme="majorHAnsi"/>
                          <w:color w:val="595959" w:themeColor="text1" w:themeTint="A6"/>
                          <w:sz w:val="18"/>
                        </w:rPr>
                        <w:t>C</w:t>
                      </w:r>
                      <w:r w:rsidR="00784DB8">
                        <w:rPr>
                          <w:rFonts w:asciiTheme="majorHAnsi" w:hAnsiTheme="majorHAnsi"/>
                          <w:color w:val="595959" w:themeColor="text1" w:themeTint="A6"/>
                          <w:sz w:val="18"/>
                        </w:rPr>
                        <w:t>olombia</w:t>
                      </w:r>
                      <w:r w:rsidR="00022CF5">
                        <w:rPr>
                          <w:rFonts w:asciiTheme="majorHAnsi" w:hAnsiTheme="majorHAnsi"/>
                          <w:color w:val="595959" w:themeColor="text1" w:themeTint="A6"/>
                          <w:sz w:val="18"/>
                        </w:rPr>
                        <w:t xml:space="preserve">. </w:t>
                      </w:r>
                      <w:r w:rsidR="00784DB8">
                        <w:rPr>
                          <w:rFonts w:asciiTheme="majorHAnsi" w:hAnsiTheme="majorHAnsi"/>
                          <w:color w:val="595959" w:themeColor="text1" w:themeTint="A6"/>
                          <w:sz w:val="18"/>
                        </w:rPr>
                        <w:t>May 4, 2018</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5420A6FF"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1DD72A6D" w:rsidR="00F621C3" w:rsidRPr="000B6B7A" w:rsidRDefault="00625CEB" w:rsidP="008D2989">
            <w:pPr>
              <w:jc w:val="both"/>
              <w:rPr>
                <w:rFonts w:ascii="Cambria" w:hAnsi="Cambria"/>
                <w:bCs/>
                <w:sz w:val="20"/>
                <w:szCs w:val="20"/>
              </w:rPr>
            </w:pPr>
            <w:proofErr w:type="spellStart"/>
            <w:r w:rsidRPr="00C87A55">
              <w:rPr>
                <w:rFonts w:ascii="Cambria" w:hAnsi="Cambria"/>
                <w:bCs/>
                <w:i/>
                <w:sz w:val="20"/>
                <w:szCs w:val="20"/>
              </w:rPr>
              <w:t>Líderes</w:t>
            </w:r>
            <w:proofErr w:type="spellEnd"/>
            <w:r w:rsidRPr="00C87A55">
              <w:rPr>
                <w:rFonts w:ascii="Cambria" w:hAnsi="Cambria"/>
                <w:bCs/>
                <w:i/>
                <w:sz w:val="20"/>
                <w:szCs w:val="20"/>
              </w:rPr>
              <w:t xml:space="preserve"> </w:t>
            </w:r>
            <w:proofErr w:type="spellStart"/>
            <w:r w:rsidRPr="00C87A55">
              <w:rPr>
                <w:rFonts w:ascii="Cambria" w:hAnsi="Cambria"/>
                <w:bCs/>
                <w:i/>
                <w:sz w:val="20"/>
                <w:szCs w:val="20"/>
              </w:rPr>
              <w:t>en</w:t>
            </w:r>
            <w:proofErr w:type="spellEnd"/>
            <w:r w:rsidRPr="00C87A55">
              <w:rPr>
                <w:rFonts w:ascii="Cambria" w:hAnsi="Cambria"/>
                <w:bCs/>
                <w:i/>
                <w:sz w:val="20"/>
                <w:szCs w:val="20"/>
              </w:rPr>
              <w:t xml:space="preserve"> </w:t>
            </w:r>
            <w:proofErr w:type="spellStart"/>
            <w:r w:rsidRPr="00C87A55">
              <w:rPr>
                <w:rFonts w:ascii="Cambria" w:hAnsi="Cambria"/>
                <w:bCs/>
                <w:i/>
                <w:sz w:val="20"/>
                <w:szCs w:val="20"/>
              </w:rPr>
              <w:t>Acción</w:t>
            </w:r>
            <w:proofErr w:type="spellEnd"/>
            <w:r w:rsidRPr="00625CEB">
              <w:rPr>
                <w:rFonts w:ascii="Cambria" w:hAnsi="Cambria"/>
                <w:bCs/>
                <w:sz w:val="20"/>
                <w:szCs w:val="20"/>
              </w:rPr>
              <w:t xml:space="preserve"> Association, </w:t>
            </w:r>
            <w:proofErr w:type="spellStart"/>
            <w:r w:rsidRPr="00625CEB">
              <w:rPr>
                <w:rFonts w:ascii="Cambria" w:hAnsi="Cambria"/>
                <w:bCs/>
                <w:sz w:val="20"/>
                <w:szCs w:val="20"/>
              </w:rPr>
              <w:t>Santamaría</w:t>
            </w:r>
            <w:proofErr w:type="spellEnd"/>
            <w:r w:rsidRPr="00625CEB">
              <w:rPr>
                <w:rFonts w:ascii="Cambria" w:hAnsi="Cambria"/>
                <w:bCs/>
                <w:sz w:val="20"/>
                <w:szCs w:val="20"/>
              </w:rPr>
              <w:t xml:space="preserve"> Foundation, </w:t>
            </w:r>
            <w:proofErr w:type="spellStart"/>
            <w:r w:rsidRPr="00625CEB">
              <w:rPr>
                <w:rFonts w:ascii="Cambria" w:hAnsi="Cambria"/>
                <w:bCs/>
                <w:sz w:val="20"/>
                <w:szCs w:val="20"/>
              </w:rPr>
              <w:t>Germán</w:t>
            </w:r>
            <w:proofErr w:type="spellEnd"/>
            <w:r w:rsidRPr="00625CEB">
              <w:rPr>
                <w:rFonts w:ascii="Cambria" w:hAnsi="Cambria"/>
                <w:bCs/>
                <w:sz w:val="20"/>
                <w:szCs w:val="20"/>
              </w:rPr>
              <w:t xml:space="preserve"> Humberto </w:t>
            </w:r>
            <w:proofErr w:type="spellStart"/>
            <w:r w:rsidRPr="00625CEB">
              <w:rPr>
                <w:rFonts w:ascii="Cambria" w:hAnsi="Cambria"/>
                <w:bCs/>
                <w:sz w:val="20"/>
                <w:szCs w:val="20"/>
              </w:rPr>
              <w:t>Rincón</w:t>
            </w:r>
            <w:proofErr w:type="spellEnd"/>
            <w:r w:rsidRPr="00625CEB">
              <w:rPr>
                <w:rFonts w:ascii="Cambria" w:hAnsi="Cambria"/>
                <w:bCs/>
                <w:sz w:val="20"/>
                <w:szCs w:val="20"/>
              </w:rPr>
              <w:t xml:space="preserve"> </w:t>
            </w:r>
            <w:proofErr w:type="spellStart"/>
            <w:r w:rsidRPr="00625CEB">
              <w:rPr>
                <w:rFonts w:ascii="Cambria" w:hAnsi="Cambria"/>
                <w:bCs/>
                <w:sz w:val="20"/>
                <w:szCs w:val="20"/>
              </w:rPr>
              <w:t>Perfetti</w:t>
            </w:r>
            <w:proofErr w:type="spellEnd"/>
            <w:r w:rsidRPr="00625CEB">
              <w:rPr>
                <w:rFonts w:ascii="Cambria" w:hAnsi="Cambria"/>
                <w:bCs/>
                <w:sz w:val="20"/>
                <w:szCs w:val="20"/>
              </w:rPr>
              <w:t xml:space="preserve">, </w:t>
            </w:r>
            <w:proofErr w:type="spellStart"/>
            <w:r w:rsidRPr="00625CEB">
              <w:rPr>
                <w:rFonts w:ascii="Cambria" w:hAnsi="Cambria"/>
                <w:bCs/>
                <w:sz w:val="20"/>
                <w:szCs w:val="20"/>
              </w:rPr>
              <w:t>Giomar</w:t>
            </w:r>
            <w:proofErr w:type="spellEnd"/>
            <w:r w:rsidRPr="00625CEB">
              <w:rPr>
                <w:rFonts w:ascii="Cambria" w:hAnsi="Cambria"/>
                <w:bCs/>
                <w:sz w:val="20"/>
                <w:szCs w:val="20"/>
              </w:rPr>
              <w:t xml:space="preserve"> </w:t>
            </w:r>
            <w:proofErr w:type="spellStart"/>
            <w:r w:rsidRPr="00625CEB">
              <w:rPr>
                <w:rFonts w:ascii="Cambria" w:hAnsi="Cambria"/>
                <w:bCs/>
                <w:sz w:val="20"/>
                <w:szCs w:val="20"/>
              </w:rPr>
              <w:t>Angélica</w:t>
            </w:r>
            <w:proofErr w:type="spellEnd"/>
            <w:r w:rsidRPr="00625CEB">
              <w:rPr>
                <w:rFonts w:ascii="Cambria" w:hAnsi="Cambria"/>
                <w:bCs/>
                <w:sz w:val="20"/>
                <w:szCs w:val="20"/>
              </w:rPr>
              <w:t xml:space="preserve"> Aguilar González and Global Initiatives for Human Rights, Heartland Alliance for Human </w:t>
            </w:r>
            <w:r w:rsidR="00A13274">
              <w:rPr>
                <w:rFonts w:ascii="Cambria" w:hAnsi="Cambria"/>
                <w:bCs/>
                <w:sz w:val="20"/>
                <w:szCs w:val="20"/>
              </w:rPr>
              <w:t xml:space="preserve">Needs and Human Rights </w:t>
            </w:r>
            <w:r w:rsidR="00A13274" w:rsidRPr="00A13274">
              <w:rPr>
                <w:rFonts w:ascii="Cambria" w:hAnsi="Cambria"/>
                <w:bCs/>
                <w:sz w:val="20"/>
                <w:szCs w:val="20"/>
              </w:rPr>
              <w:t>(GIHR-HA)</w:t>
            </w:r>
            <w:r w:rsidR="008D2989">
              <w:rPr>
                <w:rStyle w:val="FootnoteReference"/>
                <w:rFonts w:ascii="Cambria" w:hAnsi="Cambria"/>
                <w:bCs/>
                <w:sz w:val="20"/>
                <w:szCs w:val="20"/>
              </w:rPr>
              <w:footnoteReference w:id="2"/>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5A3003"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2E69784E" w:rsidR="00F621C3" w:rsidRPr="000B6B7A" w:rsidRDefault="00625CEB" w:rsidP="009163FC">
            <w:pPr>
              <w:jc w:val="both"/>
              <w:rPr>
                <w:rFonts w:ascii="Cambria" w:hAnsi="Cambria"/>
                <w:bCs/>
                <w:sz w:val="20"/>
                <w:szCs w:val="20"/>
              </w:rPr>
            </w:pPr>
            <w:proofErr w:type="spellStart"/>
            <w:r>
              <w:rPr>
                <w:rFonts w:ascii="Cambria" w:hAnsi="Cambria"/>
                <w:bCs/>
                <w:sz w:val="20"/>
                <w:szCs w:val="20"/>
              </w:rPr>
              <w:t>Raiza</w:t>
            </w:r>
            <w:proofErr w:type="spellEnd"/>
            <w:r>
              <w:rPr>
                <w:rFonts w:ascii="Cambria" w:hAnsi="Cambria"/>
                <w:bCs/>
                <w:sz w:val="20"/>
                <w:szCs w:val="20"/>
              </w:rPr>
              <w:t xml:space="preserve"> Isabel Salazar</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44E02C9C" w:rsidR="00F621C3" w:rsidRPr="000B6B7A" w:rsidRDefault="00A13274" w:rsidP="008D2989">
            <w:pPr>
              <w:jc w:val="both"/>
              <w:rPr>
                <w:rFonts w:ascii="Cambria" w:hAnsi="Cambria"/>
                <w:bCs/>
                <w:sz w:val="20"/>
                <w:szCs w:val="20"/>
              </w:rPr>
            </w:pPr>
            <w:r w:rsidRPr="00686047">
              <w:rPr>
                <w:rFonts w:ascii="Cambria" w:hAnsi="Cambria"/>
                <w:bCs/>
                <w:sz w:val="20"/>
                <w:szCs w:val="20"/>
                <w:lang w:val="es-ES"/>
              </w:rPr>
              <w:t>Colombia</w:t>
            </w:r>
            <w:r w:rsidR="008D2989">
              <w:rPr>
                <w:rStyle w:val="FootnoteReference"/>
                <w:rFonts w:ascii="Cambria" w:hAnsi="Cambria"/>
                <w:bCs/>
                <w:sz w:val="20"/>
                <w:szCs w:val="20"/>
                <w:lang w:val="es-ES"/>
              </w:rPr>
              <w:footnoteReference w:id="3"/>
            </w:r>
          </w:p>
        </w:tc>
      </w:tr>
      <w:tr w:rsidR="00D07E61"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D07E61" w:rsidRPr="000B6B7A" w:rsidRDefault="00D07E61" w:rsidP="00D07E61">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51EEF9D2" w14:textId="671C3BE7" w:rsidR="00D07E61" w:rsidRPr="000B6B7A" w:rsidRDefault="00A13274" w:rsidP="008D2989">
            <w:pPr>
              <w:jc w:val="both"/>
              <w:rPr>
                <w:rFonts w:ascii="Cambria" w:hAnsi="Cambria"/>
                <w:bCs/>
                <w:sz w:val="20"/>
                <w:szCs w:val="20"/>
              </w:rPr>
            </w:pPr>
            <w:r>
              <w:rPr>
                <w:rFonts w:ascii="Cambria" w:hAnsi="Cambria"/>
                <w:bCs/>
                <w:sz w:val="20"/>
                <w:szCs w:val="20"/>
              </w:rPr>
              <w:t xml:space="preserve">Articles 4 </w:t>
            </w:r>
            <w:r w:rsidR="00C87A55">
              <w:rPr>
                <w:rFonts w:ascii="Cambria" w:hAnsi="Cambria"/>
                <w:bCs/>
                <w:sz w:val="20"/>
                <w:szCs w:val="20"/>
              </w:rPr>
              <w:t>(L</w:t>
            </w:r>
            <w:r>
              <w:rPr>
                <w:rFonts w:ascii="Cambria" w:hAnsi="Cambria"/>
                <w:bCs/>
                <w:sz w:val="20"/>
                <w:szCs w:val="20"/>
              </w:rPr>
              <w:t>ife), 5 (Personal I</w:t>
            </w:r>
            <w:r w:rsidR="00D07E61" w:rsidRPr="00625CEB">
              <w:rPr>
                <w:rFonts w:ascii="Cambria" w:hAnsi="Cambria"/>
                <w:bCs/>
                <w:sz w:val="20"/>
                <w:szCs w:val="20"/>
              </w:rPr>
              <w:t>ntegrity), 8 (</w:t>
            </w:r>
            <w:r w:rsidRPr="00A13274">
              <w:rPr>
                <w:rFonts w:ascii="Cambria" w:hAnsi="Cambria"/>
                <w:bCs/>
                <w:sz w:val="20"/>
                <w:szCs w:val="20"/>
              </w:rPr>
              <w:t>Fair Trial</w:t>
            </w:r>
            <w:r w:rsidR="00D07E61" w:rsidRPr="00625CEB">
              <w:rPr>
                <w:rFonts w:ascii="Cambria" w:hAnsi="Cambria"/>
                <w:bCs/>
                <w:sz w:val="20"/>
                <w:szCs w:val="20"/>
              </w:rPr>
              <w:t>), 11 (</w:t>
            </w:r>
            <w:r>
              <w:rPr>
                <w:rFonts w:ascii="Cambria" w:hAnsi="Cambria"/>
                <w:bCs/>
                <w:sz w:val="20"/>
                <w:szCs w:val="20"/>
              </w:rPr>
              <w:t>Right to P</w:t>
            </w:r>
            <w:r w:rsidRPr="00A13274">
              <w:rPr>
                <w:rFonts w:ascii="Cambria" w:hAnsi="Cambria"/>
                <w:bCs/>
                <w:sz w:val="20"/>
                <w:szCs w:val="20"/>
              </w:rPr>
              <w:t>rivacy</w:t>
            </w:r>
            <w:r>
              <w:rPr>
                <w:rFonts w:ascii="Cambria" w:hAnsi="Cambria"/>
                <w:bCs/>
                <w:sz w:val="20"/>
                <w:szCs w:val="20"/>
              </w:rPr>
              <w:t>), 13 (Freedom of Thought and E</w:t>
            </w:r>
            <w:r w:rsidR="00D07E61" w:rsidRPr="00625CEB">
              <w:rPr>
                <w:rFonts w:ascii="Cambria" w:hAnsi="Cambria"/>
                <w:bCs/>
                <w:sz w:val="20"/>
                <w:szCs w:val="20"/>
              </w:rPr>
              <w:t>xpression), 24 (</w:t>
            </w:r>
            <w:r>
              <w:rPr>
                <w:rFonts w:ascii="Cambria" w:hAnsi="Cambria"/>
                <w:bCs/>
                <w:sz w:val="20"/>
                <w:szCs w:val="20"/>
              </w:rPr>
              <w:t>Right to Equal P</w:t>
            </w:r>
            <w:r w:rsidRPr="00A13274">
              <w:rPr>
                <w:rFonts w:ascii="Cambria" w:hAnsi="Cambria"/>
                <w:bCs/>
                <w:sz w:val="20"/>
                <w:szCs w:val="20"/>
              </w:rPr>
              <w:t>rotection</w:t>
            </w:r>
            <w:r>
              <w:rPr>
                <w:rFonts w:ascii="Cambria" w:hAnsi="Cambria"/>
                <w:bCs/>
                <w:sz w:val="20"/>
                <w:szCs w:val="20"/>
              </w:rPr>
              <w:t>) and 25 (Judicial P</w:t>
            </w:r>
            <w:r w:rsidR="00D07E61" w:rsidRPr="00625CEB">
              <w:rPr>
                <w:rFonts w:ascii="Cambria" w:hAnsi="Cambria"/>
                <w:bCs/>
                <w:sz w:val="20"/>
                <w:szCs w:val="20"/>
              </w:rPr>
              <w:t xml:space="preserve">rotection), </w:t>
            </w:r>
            <w:r>
              <w:rPr>
                <w:rFonts w:ascii="Cambria" w:hAnsi="Cambria"/>
                <w:bCs/>
                <w:sz w:val="20"/>
                <w:szCs w:val="20"/>
              </w:rPr>
              <w:t>regarding articles 1 (Obligation to R</w:t>
            </w:r>
            <w:r w:rsidR="00D07E61" w:rsidRPr="00625CEB">
              <w:rPr>
                <w:rFonts w:ascii="Cambria" w:hAnsi="Cambria"/>
                <w:bCs/>
                <w:sz w:val="20"/>
                <w:szCs w:val="20"/>
              </w:rPr>
              <w:t xml:space="preserve">espect </w:t>
            </w:r>
            <w:r>
              <w:rPr>
                <w:rFonts w:ascii="Cambria" w:hAnsi="Cambria"/>
                <w:bCs/>
                <w:sz w:val="20"/>
                <w:szCs w:val="20"/>
              </w:rPr>
              <w:t>R</w:t>
            </w:r>
            <w:r w:rsidR="00D07E61" w:rsidRPr="00625CEB">
              <w:rPr>
                <w:rFonts w:ascii="Cambria" w:hAnsi="Cambria"/>
                <w:bCs/>
                <w:sz w:val="20"/>
                <w:szCs w:val="20"/>
              </w:rPr>
              <w:t>ights) and 2 (</w:t>
            </w:r>
            <w:r w:rsidRPr="00A13274">
              <w:rPr>
                <w:rFonts w:ascii="Cambria" w:hAnsi="Cambria"/>
                <w:bCs/>
                <w:sz w:val="20"/>
                <w:szCs w:val="20"/>
              </w:rPr>
              <w:t>Domestic Legal Effects</w:t>
            </w:r>
            <w:r w:rsidR="00D07E61" w:rsidRPr="00625CEB">
              <w:rPr>
                <w:rFonts w:ascii="Cambria" w:hAnsi="Cambria"/>
                <w:bCs/>
                <w:sz w:val="20"/>
                <w:szCs w:val="20"/>
              </w:rPr>
              <w:t>) of the American Convention on Human Rights</w:t>
            </w:r>
            <w:r w:rsidR="008D2989">
              <w:rPr>
                <w:rStyle w:val="FootnoteReference"/>
                <w:rFonts w:ascii="Cambria" w:hAnsi="Cambria"/>
                <w:bCs/>
                <w:sz w:val="20"/>
                <w:szCs w:val="20"/>
              </w:rPr>
              <w:footnoteReference w:id="4"/>
            </w:r>
          </w:p>
        </w:tc>
      </w:tr>
    </w:tbl>
    <w:p w14:paraId="006E8D49" w14:textId="413307F3"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8D2989">
        <w:rPr>
          <w:rStyle w:val="FootnoteReference"/>
          <w:rFonts w:asciiTheme="majorHAnsi" w:hAnsiTheme="majorHAnsi"/>
          <w:b/>
          <w:bCs/>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10A28B1B" w:rsidR="00F621C3" w:rsidRPr="000B6B7A" w:rsidRDefault="00A13274" w:rsidP="00A13274">
            <w:pPr>
              <w:jc w:val="both"/>
              <w:rPr>
                <w:rFonts w:ascii="Cambria" w:hAnsi="Cambria"/>
                <w:bCs/>
                <w:sz w:val="20"/>
                <w:szCs w:val="20"/>
              </w:rPr>
            </w:pPr>
            <w:r>
              <w:rPr>
                <w:rFonts w:ascii="Cambria" w:hAnsi="Cambria"/>
                <w:bCs/>
                <w:sz w:val="20"/>
                <w:szCs w:val="20"/>
              </w:rPr>
              <w:t xml:space="preserve">September 3, </w:t>
            </w:r>
            <w:r w:rsidR="00D07E61">
              <w:rPr>
                <w:rFonts w:ascii="Cambria" w:hAnsi="Cambria"/>
                <w:bCs/>
                <w:sz w:val="20"/>
                <w:szCs w:val="20"/>
              </w:rPr>
              <w:t>2012</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BA2E4C" w:rsidR="00F621C3" w:rsidRPr="000B6B7A" w:rsidRDefault="008D2989" w:rsidP="003771A3">
            <w:pPr>
              <w:jc w:val="center"/>
              <w:rPr>
                <w:rFonts w:ascii="Cambria" w:hAnsi="Cambria"/>
                <w:b/>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499B90CB" w14:textId="35DCEF99" w:rsidR="00F621C3" w:rsidRPr="000B6B7A" w:rsidRDefault="00A13274" w:rsidP="00A13274">
            <w:pPr>
              <w:jc w:val="both"/>
              <w:rPr>
                <w:rFonts w:ascii="Cambria" w:hAnsi="Cambria"/>
                <w:bCs/>
                <w:sz w:val="20"/>
                <w:szCs w:val="20"/>
              </w:rPr>
            </w:pPr>
            <w:r>
              <w:rPr>
                <w:rFonts w:ascii="Cambria" w:hAnsi="Cambria"/>
                <w:bCs/>
                <w:sz w:val="20"/>
                <w:szCs w:val="20"/>
              </w:rPr>
              <w:t xml:space="preserve">June 7, </w:t>
            </w:r>
            <w:r w:rsidR="00D07E61">
              <w:rPr>
                <w:rFonts w:ascii="Cambria" w:hAnsi="Cambria"/>
                <w:bCs/>
                <w:sz w:val="20"/>
                <w:szCs w:val="20"/>
              </w:rPr>
              <w:t>2013</w:t>
            </w:r>
          </w:p>
        </w:tc>
      </w:tr>
      <w:tr w:rsidR="008D2989"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793A6F07" w:rsidR="008D2989" w:rsidRPr="000B6B7A" w:rsidRDefault="008D2989" w:rsidP="00B06BB7">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22ADBFFE" w14:textId="7B110603" w:rsidR="008D2989" w:rsidRPr="000B6B7A" w:rsidRDefault="008D2989" w:rsidP="00A13274">
            <w:pPr>
              <w:jc w:val="both"/>
              <w:rPr>
                <w:rFonts w:ascii="Cambria" w:hAnsi="Cambria"/>
                <w:bCs/>
                <w:sz w:val="20"/>
                <w:szCs w:val="20"/>
              </w:rPr>
            </w:pPr>
            <w:r>
              <w:rPr>
                <w:rFonts w:ascii="Cambria" w:hAnsi="Cambria"/>
                <w:bCs/>
                <w:sz w:val="20"/>
                <w:szCs w:val="20"/>
              </w:rPr>
              <w:t>November 14, 2013</w:t>
            </w:r>
          </w:p>
        </w:tc>
      </w:tr>
      <w:tr w:rsidR="008D2989"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51C26510" w:rsidR="008D2989" w:rsidRPr="000B6B7A" w:rsidRDefault="008D298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19C5DA57" w14:textId="5DC4D8DB" w:rsidR="008D2989" w:rsidRPr="000B6B7A" w:rsidRDefault="008D2989" w:rsidP="008D2989">
            <w:pPr>
              <w:jc w:val="both"/>
              <w:rPr>
                <w:rFonts w:ascii="Cambria" w:hAnsi="Cambria"/>
                <w:bCs/>
                <w:sz w:val="20"/>
                <w:szCs w:val="20"/>
              </w:rPr>
            </w:pPr>
            <w:r>
              <w:rPr>
                <w:rFonts w:ascii="Cambria" w:hAnsi="Cambria"/>
                <w:bCs/>
                <w:sz w:val="20"/>
                <w:szCs w:val="20"/>
              </w:rPr>
              <w:t>February 21, 2014</w:t>
            </w:r>
            <w:r>
              <w:rPr>
                <w:rStyle w:val="FootnoteReference"/>
                <w:rFonts w:ascii="Cambria" w:hAnsi="Cambria"/>
                <w:bCs/>
                <w:sz w:val="20"/>
                <w:szCs w:val="20"/>
              </w:rPr>
              <w:footnoteReference w:id="6"/>
            </w:r>
          </w:p>
        </w:tc>
      </w:tr>
      <w:tr w:rsidR="008D2989"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29AC0AE1" w:rsidR="008D2989" w:rsidRPr="000B6B7A" w:rsidRDefault="008D2989" w:rsidP="0023351C">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from the State:</w:t>
            </w:r>
          </w:p>
        </w:tc>
        <w:tc>
          <w:tcPr>
            <w:tcW w:w="5670" w:type="dxa"/>
            <w:vAlign w:val="center"/>
          </w:tcPr>
          <w:p w14:paraId="2A863ACD" w14:textId="26A50F79" w:rsidR="008D2989" w:rsidRPr="000B6B7A" w:rsidRDefault="008D2989" w:rsidP="00A13274">
            <w:pPr>
              <w:jc w:val="both"/>
              <w:rPr>
                <w:rFonts w:ascii="Cambria" w:hAnsi="Cambria"/>
                <w:bCs/>
                <w:sz w:val="20"/>
                <w:szCs w:val="20"/>
              </w:rPr>
            </w:pPr>
            <w:r>
              <w:rPr>
                <w:rFonts w:ascii="Cambria" w:hAnsi="Cambria"/>
                <w:bCs/>
                <w:sz w:val="20"/>
                <w:szCs w:val="20"/>
              </w:rPr>
              <w:t>January 4, 2018</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5632D202" w:rsidR="00F621C3" w:rsidRPr="000B6B7A" w:rsidRDefault="00D07E61"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0BBA8054" w:rsidR="00F621C3" w:rsidRPr="000B6B7A" w:rsidRDefault="00D07E61"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6D7B9538" w:rsidR="00F621C3" w:rsidRPr="000B6B7A" w:rsidRDefault="00D07E61"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5F681737" w:rsidR="00F621C3" w:rsidRPr="000B6B7A" w:rsidRDefault="00D07E61" w:rsidP="008D2989">
            <w:pPr>
              <w:jc w:val="both"/>
              <w:rPr>
                <w:rFonts w:asciiTheme="majorHAnsi" w:hAnsiTheme="majorHAnsi"/>
                <w:bCs/>
                <w:sz w:val="20"/>
                <w:szCs w:val="20"/>
              </w:rPr>
            </w:pPr>
            <w:r>
              <w:rPr>
                <w:rFonts w:ascii="Cambria" w:hAnsi="Cambria"/>
                <w:bCs/>
                <w:sz w:val="20"/>
                <w:szCs w:val="20"/>
              </w:rPr>
              <w:t xml:space="preserve">Yes, </w:t>
            </w:r>
            <w:r w:rsidRPr="00D07E61">
              <w:rPr>
                <w:rFonts w:ascii="Cambria" w:hAnsi="Cambria"/>
                <w:bCs/>
                <w:sz w:val="20"/>
                <w:szCs w:val="20"/>
              </w:rPr>
              <w:t>American Convention (deposit dated July 31, 1973); Inter-American Convention on the Prevention, Punishment and Eradication of Violence against Women</w:t>
            </w:r>
            <w:r w:rsidR="008D2989">
              <w:rPr>
                <w:rStyle w:val="FootnoteReference"/>
                <w:rFonts w:ascii="Cambria" w:hAnsi="Cambria"/>
                <w:bCs/>
                <w:sz w:val="20"/>
                <w:szCs w:val="20"/>
              </w:rPr>
              <w:footnoteReference w:id="7"/>
            </w:r>
            <w:r w:rsidRPr="00D07E61">
              <w:rPr>
                <w:rFonts w:ascii="Cambria" w:hAnsi="Cambria"/>
                <w:bCs/>
                <w:sz w:val="20"/>
                <w:szCs w:val="20"/>
              </w:rPr>
              <w:t>(instrument of accession deposited on November 15, 1996)</w:t>
            </w:r>
          </w:p>
        </w:tc>
      </w:tr>
    </w:tbl>
    <w:p w14:paraId="33C17DE8" w14:textId="77777777" w:rsidR="00784DB8" w:rsidRDefault="00784DB8" w:rsidP="00F621C3">
      <w:pPr>
        <w:spacing w:before="240" w:after="240"/>
        <w:ind w:firstLine="720"/>
        <w:jc w:val="both"/>
        <w:rPr>
          <w:rFonts w:asciiTheme="majorHAnsi" w:hAnsiTheme="majorHAnsi"/>
          <w:b/>
          <w:bCs/>
          <w:sz w:val="20"/>
          <w:szCs w:val="20"/>
        </w:rPr>
      </w:pPr>
    </w:p>
    <w:p w14:paraId="2107F7C3" w14:textId="77777777" w:rsidR="00784DB8" w:rsidRDefault="00784DB8" w:rsidP="00F621C3">
      <w:pPr>
        <w:spacing w:before="240" w:after="240"/>
        <w:ind w:firstLine="720"/>
        <w:jc w:val="both"/>
        <w:rPr>
          <w:rFonts w:asciiTheme="majorHAnsi" w:hAnsiTheme="majorHAnsi"/>
          <w:b/>
          <w:bCs/>
          <w:sz w:val="20"/>
          <w:szCs w:val="20"/>
        </w:rPr>
      </w:pPr>
    </w:p>
    <w:p w14:paraId="49B8BC72" w14:textId="77777777" w:rsidR="00784DB8" w:rsidRDefault="00784DB8" w:rsidP="00F621C3">
      <w:pPr>
        <w:spacing w:before="240" w:after="240"/>
        <w:ind w:firstLine="720"/>
        <w:jc w:val="both"/>
        <w:rPr>
          <w:rFonts w:asciiTheme="majorHAnsi" w:hAnsiTheme="majorHAnsi"/>
          <w:b/>
          <w:bCs/>
          <w:sz w:val="20"/>
          <w:szCs w:val="20"/>
        </w:rPr>
      </w:pPr>
    </w:p>
    <w:p w14:paraId="4F223BA1" w14:textId="77777777" w:rsidR="00784DB8" w:rsidRDefault="00784DB8" w:rsidP="00F621C3">
      <w:pPr>
        <w:spacing w:before="240" w:after="240"/>
        <w:ind w:firstLine="720"/>
        <w:jc w:val="both"/>
        <w:rPr>
          <w:rFonts w:asciiTheme="majorHAnsi" w:hAnsiTheme="majorHAnsi"/>
          <w:b/>
          <w:bCs/>
          <w:sz w:val="20"/>
          <w:szCs w:val="20"/>
        </w:rPr>
      </w:pPr>
    </w:p>
    <w:p w14:paraId="6F565DA3" w14:textId="77777777" w:rsidR="00784DB8" w:rsidRDefault="00784DB8" w:rsidP="00F621C3">
      <w:pPr>
        <w:spacing w:before="240" w:after="240"/>
        <w:ind w:firstLine="720"/>
        <w:jc w:val="both"/>
        <w:rPr>
          <w:rFonts w:asciiTheme="majorHAnsi" w:hAnsiTheme="majorHAnsi"/>
          <w:b/>
          <w:bCs/>
          <w:sz w:val="20"/>
          <w:szCs w:val="20"/>
        </w:rPr>
      </w:pPr>
    </w:p>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445EF05B" w:rsidR="00F621C3" w:rsidRPr="000B6B7A" w:rsidRDefault="00D07E61"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034D6020" w:rsidR="00F621C3" w:rsidRPr="000B6B7A" w:rsidRDefault="00D07E61" w:rsidP="00C87A55">
            <w:pPr>
              <w:jc w:val="both"/>
              <w:rPr>
                <w:rFonts w:ascii="Cambria" w:hAnsi="Cambria"/>
                <w:bCs/>
                <w:sz w:val="20"/>
                <w:szCs w:val="20"/>
              </w:rPr>
            </w:pPr>
            <w:r w:rsidRPr="00D07E61">
              <w:rPr>
                <w:rFonts w:ascii="Cambria" w:hAnsi="Cambria"/>
                <w:bCs/>
                <w:sz w:val="20"/>
                <w:szCs w:val="20"/>
              </w:rPr>
              <w:t xml:space="preserve">Yes, </w:t>
            </w:r>
            <w:r w:rsidR="00C87A55">
              <w:rPr>
                <w:rFonts w:ascii="Cambria" w:hAnsi="Cambria"/>
                <w:bCs/>
                <w:sz w:val="20"/>
                <w:szCs w:val="20"/>
              </w:rPr>
              <w:t>A</w:t>
            </w:r>
            <w:r w:rsidRPr="00D07E61">
              <w:rPr>
                <w:rFonts w:ascii="Cambria" w:hAnsi="Cambria"/>
                <w:bCs/>
                <w:sz w:val="20"/>
                <w:szCs w:val="20"/>
              </w:rPr>
              <w:t>rticles 4 (</w:t>
            </w:r>
            <w:r w:rsidR="00C87A55">
              <w:rPr>
                <w:rFonts w:ascii="Cambria" w:hAnsi="Cambria"/>
                <w:bCs/>
                <w:sz w:val="20"/>
                <w:szCs w:val="20"/>
              </w:rPr>
              <w:t>L</w:t>
            </w:r>
            <w:r w:rsidRPr="00D07E61">
              <w:rPr>
                <w:rFonts w:ascii="Cambria" w:hAnsi="Cambria"/>
                <w:bCs/>
                <w:sz w:val="20"/>
                <w:szCs w:val="20"/>
              </w:rPr>
              <w:t>ife), 5 (</w:t>
            </w:r>
            <w:r w:rsidR="00C529CA">
              <w:rPr>
                <w:rFonts w:ascii="Cambria" w:hAnsi="Cambria"/>
                <w:bCs/>
                <w:sz w:val="20"/>
                <w:szCs w:val="20"/>
              </w:rPr>
              <w:t>Humane T</w:t>
            </w:r>
            <w:r w:rsidR="00C529CA" w:rsidRPr="00C529CA">
              <w:rPr>
                <w:rFonts w:ascii="Cambria" w:hAnsi="Cambria"/>
                <w:bCs/>
                <w:sz w:val="20"/>
                <w:szCs w:val="20"/>
              </w:rPr>
              <w:t>reatment</w:t>
            </w:r>
            <w:r w:rsidRPr="00D07E61">
              <w:rPr>
                <w:rFonts w:ascii="Cambria" w:hAnsi="Cambria"/>
                <w:bCs/>
                <w:sz w:val="20"/>
                <w:szCs w:val="20"/>
              </w:rPr>
              <w:t>), 8 (</w:t>
            </w:r>
            <w:r w:rsidR="00C529CA" w:rsidRPr="00C529CA">
              <w:rPr>
                <w:rFonts w:ascii="Cambria" w:hAnsi="Cambria"/>
                <w:bCs/>
                <w:sz w:val="20"/>
                <w:szCs w:val="20"/>
              </w:rPr>
              <w:t>Fair Trial</w:t>
            </w:r>
            <w:r w:rsidRPr="00D07E61">
              <w:rPr>
                <w:rFonts w:ascii="Cambria" w:hAnsi="Cambria"/>
                <w:bCs/>
                <w:sz w:val="20"/>
                <w:szCs w:val="20"/>
              </w:rPr>
              <w:t>), 11 (</w:t>
            </w:r>
            <w:r w:rsidR="00C529CA" w:rsidRPr="00C529CA">
              <w:rPr>
                <w:rFonts w:ascii="Cambria" w:hAnsi="Cambria"/>
                <w:bCs/>
                <w:sz w:val="20"/>
                <w:szCs w:val="20"/>
              </w:rPr>
              <w:t>Privacy</w:t>
            </w:r>
            <w:r w:rsidR="00C529CA">
              <w:rPr>
                <w:rFonts w:ascii="Cambria" w:hAnsi="Cambria"/>
                <w:bCs/>
                <w:sz w:val="20"/>
                <w:szCs w:val="20"/>
              </w:rPr>
              <w:t>), 13 (freedom of Thought and E</w:t>
            </w:r>
            <w:r w:rsidRPr="00D07E61">
              <w:rPr>
                <w:rFonts w:ascii="Cambria" w:hAnsi="Cambria"/>
                <w:bCs/>
                <w:sz w:val="20"/>
                <w:szCs w:val="20"/>
              </w:rPr>
              <w:t>xpression) 24 (</w:t>
            </w:r>
            <w:r w:rsidR="00C529CA" w:rsidRPr="00C529CA">
              <w:rPr>
                <w:rFonts w:ascii="Cambria" w:hAnsi="Cambria"/>
                <w:bCs/>
                <w:sz w:val="20"/>
                <w:szCs w:val="20"/>
              </w:rPr>
              <w:t>Equal Protection</w:t>
            </w:r>
            <w:r w:rsidR="00C529CA">
              <w:rPr>
                <w:rFonts w:ascii="Cambria" w:hAnsi="Cambria"/>
                <w:bCs/>
                <w:sz w:val="20"/>
                <w:szCs w:val="20"/>
              </w:rPr>
              <w:t>) and 25 (Judicial P</w:t>
            </w:r>
            <w:r w:rsidRPr="00D07E61">
              <w:rPr>
                <w:rFonts w:ascii="Cambria" w:hAnsi="Cambria"/>
                <w:bCs/>
                <w:sz w:val="20"/>
                <w:szCs w:val="20"/>
              </w:rPr>
              <w:t>rotection) of the</w:t>
            </w:r>
            <w:r w:rsidR="00C87A55">
              <w:rPr>
                <w:rFonts w:ascii="Cambria" w:hAnsi="Cambria"/>
                <w:bCs/>
                <w:sz w:val="20"/>
                <w:szCs w:val="20"/>
              </w:rPr>
              <w:t xml:space="preserve"> American</w:t>
            </w:r>
            <w:r w:rsidRPr="00D07E61">
              <w:rPr>
                <w:rFonts w:ascii="Cambria" w:hAnsi="Cambria"/>
                <w:bCs/>
                <w:sz w:val="20"/>
                <w:szCs w:val="20"/>
              </w:rPr>
              <w:t xml:space="preserve"> Convention </w:t>
            </w:r>
            <w:r w:rsidR="00C87A55">
              <w:rPr>
                <w:rFonts w:ascii="Cambria" w:hAnsi="Cambria"/>
                <w:bCs/>
                <w:sz w:val="20"/>
                <w:szCs w:val="20"/>
              </w:rPr>
              <w:t>in relation to its Ar</w:t>
            </w:r>
            <w:r w:rsidR="00C529CA">
              <w:rPr>
                <w:rFonts w:ascii="Cambria" w:hAnsi="Cambria"/>
                <w:bCs/>
                <w:sz w:val="20"/>
                <w:szCs w:val="20"/>
              </w:rPr>
              <w:t>ticles 1.1 (Obligation to Respect R</w:t>
            </w:r>
            <w:r w:rsidRPr="00D07E61">
              <w:rPr>
                <w:rFonts w:ascii="Cambria" w:hAnsi="Cambria"/>
                <w:bCs/>
                <w:sz w:val="20"/>
                <w:szCs w:val="20"/>
              </w:rPr>
              <w:t>ights) and 2 (</w:t>
            </w:r>
            <w:r w:rsidR="00C529CA" w:rsidRPr="00C529CA">
              <w:rPr>
                <w:rFonts w:ascii="Cambria" w:hAnsi="Cambria"/>
                <w:bCs/>
                <w:sz w:val="20"/>
                <w:szCs w:val="20"/>
              </w:rPr>
              <w:t>Domestic Legal Effects</w:t>
            </w:r>
            <w:r w:rsidR="00454364">
              <w:rPr>
                <w:rFonts w:ascii="Cambria" w:hAnsi="Cambria"/>
                <w:bCs/>
                <w:sz w:val="20"/>
                <w:szCs w:val="20"/>
              </w:rPr>
              <w:t>), and A</w:t>
            </w:r>
            <w:r w:rsidRPr="00D07E61">
              <w:rPr>
                <w:rFonts w:ascii="Cambria" w:hAnsi="Cambria"/>
                <w:bCs/>
                <w:sz w:val="20"/>
                <w:szCs w:val="20"/>
              </w:rPr>
              <w:t xml:space="preserve">rticle 7 of the Convention of </w:t>
            </w:r>
            <w:proofErr w:type="spellStart"/>
            <w:r w:rsidRPr="00D07E61">
              <w:rPr>
                <w:rFonts w:ascii="Cambria" w:hAnsi="Cambria"/>
                <w:bCs/>
                <w:sz w:val="20"/>
                <w:szCs w:val="20"/>
              </w:rPr>
              <w:t>Belém</w:t>
            </w:r>
            <w:proofErr w:type="spellEnd"/>
            <w:r w:rsidRPr="00D07E61">
              <w:rPr>
                <w:rFonts w:ascii="Cambria" w:hAnsi="Cambria"/>
                <w:bCs/>
                <w:sz w:val="20"/>
                <w:szCs w:val="20"/>
              </w:rPr>
              <w:t xml:space="preserve"> do </w:t>
            </w:r>
            <w:proofErr w:type="spellStart"/>
            <w:r w:rsidRPr="00D07E61">
              <w:rPr>
                <w:rFonts w:ascii="Cambria" w:hAnsi="Cambria"/>
                <w:bCs/>
                <w:sz w:val="20"/>
                <w:szCs w:val="20"/>
              </w:rPr>
              <w:t>Pará</w:t>
            </w:r>
            <w:proofErr w:type="spellEnd"/>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104B426F" w:rsidR="00F621C3" w:rsidRPr="000B6B7A" w:rsidRDefault="00841DDC" w:rsidP="00C87A55">
            <w:pPr>
              <w:rPr>
                <w:rFonts w:ascii="Cambria" w:hAnsi="Cambria"/>
                <w:bCs/>
                <w:sz w:val="20"/>
                <w:szCs w:val="20"/>
              </w:rPr>
            </w:pPr>
            <w:r>
              <w:rPr>
                <w:rFonts w:ascii="Cambria" w:hAnsi="Cambria"/>
                <w:bCs/>
                <w:sz w:val="20"/>
                <w:szCs w:val="20"/>
              </w:rPr>
              <w:t xml:space="preserve">Yes, </w:t>
            </w:r>
            <w:r w:rsidR="00D07E61" w:rsidRPr="00D07E61">
              <w:rPr>
                <w:rFonts w:ascii="Cambria" w:hAnsi="Cambria"/>
                <w:bCs/>
                <w:sz w:val="20"/>
                <w:szCs w:val="20"/>
              </w:rPr>
              <w:t xml:space="preserve"> the exception of </w:t>
            </w:r>
            <w:r w:rsidR="00C87A55">
              <w:rPr>
                <w:rFonts w:ascii="Cambria" w:hAnsi="Cambria"/>
                <w:bCs/>
                <w:sz w:val="20"/>
                <w:szCs w:val="20"/>
              </w:rPr>
              <w:t>A</w:t>
            </w:r>
            <w:r w:rsidR="00D07E61" w:rsidRPr="00D07E61">
              <w:rPr>
                <w:rFonts w:ascii="Cambria" w:hAnsi="Cambria"/>
                <w:bCs/>
                <w:sz w:val="20"/>
                <w:szCs w:val="20"/>
              </w:rPr>
              <w:t>rt</w:t>
            </w:r>
            <w:r w:rsidR="00C87A55">
              <w:rPr>
                <w:rFonts w:ascii="Cambria" w:hAnsi="Cambria"/>
                <w:bCs/>
                <w:sz w:val="20"/>
                <w:szCs w:val="20"/>
              </w:rPr>
              <w:t>icle</w:t>
            </w:r>
            <w:r w:rsidR="00D07E61" w:rsidRPr="00D07E61">
              <w:rPr>
                <w:rFonts w:ascii="Cambria" w:hAnsi="Cambria"/>
                <w:bCs/>
                <w:sz w:val="20"/>
                <w:szCs w:val="20"/>
              </w:rPr>
              <w:t xml:space="preserve"> 46.2.c of the </w:t>
            </w:r>
            <w:r w:rsidR="00C87A55">
              <w:rPr>
                <w:rFonts w:ascii="Cambria" w:hAnsi="Cambria"/>
                <w:bCs/>
                <w:sz w:val="20"/>
                <w:szCs w:val="20"/>
              </w:rPr>
              <w:t>Convention</w:t>
            </w:r>
            <w:r>
              <w:rPr>
                <w:rFonts w:ascii="Cambria" w:hAnsi="Cambria"/>
                <w:bCs/>
                <w:sz w:val="20"/>
                <w:szCs w:val="20"/>
              </w:rPr>
              <w:t xml:space="preserve"> </w:t>
            </w:r>
            <w:r w:rsidRPr="00D07E61">
              <w:rPr>
                <w:rFonts w:ascii="Cambria" w:hAnsi="Cambria"/>
                <w:bCs/>
                <w:sz w:val="20"/>
                <w:szCs w:val="20"/>
              </w:rPr>
              <w:t>applies</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33631CEA" w:rsidR="00F621C3" w:rsidRPr="000B6B7A" w:rsidRDefault="00841DDC" w:rsidP="009163FC">
            <w:pPr>
              <w:rPr>
                <w:rFonts w:asciiTheme="majorHAnsi" w:hAnsiTheme="majorHAnsi"/>
                <w:bCs/>
                <w:sz w:val="20"/>
                <w:szCs w:val="20"/>
              </w:rPr>
            </w:pPr>
            <w:r w:rsidRPr="00841DDC">
              <w:rPr>
                <w:rFonts w:asciiTheme="majorHAnsi" w:hAnsiTheme="majorHAnsi"/>
                <w:bCs/>
                <w:sz w:val="20"/>
                <w:szCs w:val="20"/>
              </w:rPr>
              <w:t>Yes, under the terms of section VI</w:t>
            </w:r>
          </w:p>
        </w:tc>
      </w:tr>
    </w:tbl>
    <w:p w14:paraId="741EBDFE" w14:textId="77777777" w:rsidR="00841DDC" w:rsidRDefault="00841DDC" w:rsidP="00841DDC">
      <w:pPr>
        <w:rPr>
          <w:rFonts w:asciiTheme="majorHAnsi" w:hAnsiTheme="majorHAnsi"/>
          <w:b/>
          <w:sz w:val="20"/>
          <w:szCs w:val="20"/>
        </w:rPr>
      </w:pPr>
    </w:p>
    <w:p w14:paraId="64B55FE0" w14:textId="5E658840" w:rsidR="007D5437" w:rsidRPr="004E7056" w:rsidRDefault="007D5437" w:rsidP="004E7056">
      <w:pPr>
        <w:ind w:firstLine="720"/>
        <w:rPr>
          <w:rFonts w:ascii="Cambria" w:hAnsi="Cambria"/>
          <w:b/>
          <w:sz w:val="20"/>
          <w:szCs w:val="20"/>
        </w:rPr>
      </w:pPr>
      <w:r w:rsidRPr="004E7056">
        <w:rPr>
          <w:rFonts w:ascii="Cambria" w:hAnsi="Cambria"/>
          <w:b/>
          <w:sz w:val="20"/>
          <w:szCs w:val="20"/>
        </w:rPr>
        <w:t>V.</w:t>
      </w:r>
      <w:r w:rsidR="000A4C2C">
        <w:rPr>
          <w:rFonts w:ascii="Cambria" w:hAnsi="Cambria"/>
          <w:b/>
          <w:sz w:val="20"/>
          <w:szCs w:val="20"/>
        </w:rPr>
        <w:tab/>
      </w:r>
      <w:r w:rsidRPr="004E7056">
        <w:rPr>
          <w:rFonts w:ascii="Cambria" w:hAnsi="Cambria"/>
          <w:b/>
          <w:sz w:val="20"/>
          <w:szCs w:val="20"/>
        </w:rPr>
        <w:t>ALLEGED FACTS</w:t>
      </w:r>
    </w:p>
    <w:p w14:paraId="5A6BB86D" w14:textId="77777777" w:rsidR="00841DDC" w:rsidRPr="00841DDC" w:rsidRDefault="00841DDC" w:rsidP="00841DDC">
      <w:pPr>
        <w:rPr>
          <w:rFonts w:asciiTheme="majorHAnsi" w:hAnsiTheme="majorHAnsi"/>
          <w:b/>
          <w:sz w:val="20"/>
          <w:szCs w:val="20"/>
        </w:rPr>
      </w:pPr>
    </w:p>
    <w:p w14:paraId="1D2BEFDD" w14:textId="632BAEF5" w:rsidR="007D5437" w:rsidRPr="007D5437" w:rsidRDefault="00C87A55" w:rsidP="00C87A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rPr>
        <w:t>1.</w:t>
      </w:r>
      <w:r>
        <w:rPr>
          <w:rFonts w:ascii="Cambria" w:hAnsi="Cambria"/>
          <w:sz w:val="20"/>
          <w:szCs w:val="20"/>
        </w:rPr>
        <w:tab/>
      </w:r>
      <w:r w:rsidR="007D5437" w:rsidRPr="007D5437">
        <w:rPr>
          <w:rFonts w:ascii="Cambria" w:hAnsi="Cambria"/>
          <w:sz w:val="20"/>
          <w:szCs w:val="20"/>
        </w:rPr>
        <w:t xml:space="preserve">The petitioners point out that this petition is framed in the context of violence suffered by </w:t>
      </w:r>
      <w:proofErr w:type="gramStart"/>
      <w:r w:rsidR="008D1ACD">
        <w:rPr>
          <w:rFonts w:ascii="Cambria" w:hAnsi="Cambria"/>
          <w:sz w:val="20"/>
          <w:szCs w:val="20"/>
        </w:rPr>
        <w:t>t</w:t>
      </w:r>
      <w:r w:rsidR="0054745B" w:rsidRPr="007D5437">
        <w:rPr>
          <w:rFonts w:ascii="Cambria" w:hAnsi="Cambria"/>
          <w:sz w:val="20"/>
          <w:szCs w:val="20"/>
        </w:rPr>
        <w:t>rans</w:t>
      </w:r>
      <w:proofErr w:type="gramEnd"/>
      <w:r w:rsidR="007D5437" w:rsidRPr="007D5437">
        <w:rPr>
          <w:rFonts w:ascii="Cambria" w:hAnsi="Cambria"/>
          <w:sz w:val="20"/>
          <w:szCs w:val="20"/>
        </w:rPr>
        <w:t xml:space="preserve"> people in Colombia by </w:t>
      </w:r>
      <w:r w:rsidR="007D5437" w:rsidRPr="000411A7">
        <w:rPr>
          <w:rFonts w:ascii="Cambria" w:hAnsi="Cambria"/>
          <w:sz w:val="20"/>
          <w:szCs w:val="20"/>
        </w:rPr>
        <w:t>individuals</w:t>
      </w:r>
      <w:r w:rsidR="004E7056">
        <w:rPr>
          <w:rFonts w:ascii="Cambria" w:hAnsi="Cambria"/>
          <w:sz w:val="20"/>
          <w:szCs w:val="20"/>
        </w:rPr>
        <w:t xml:space="preserve"> as well as state agents. They</w:t>
      </w:r>
      <w:r w:rsidR="007D5437" w:rsidRPr="007D5437">
        <w:rPr>
          <w:rFonts w:ascii="Cambria" w:hAnsi="Cambria"/>
          <w:sz w:val="20"/>
          <w:szCs w:val="20"/>
        </w:rPr>
        <w:t xml:space="preserve"> </w:t>
      </w:r>
      <w:r w:rsidR="004E7056">
        <w:rPr>
          <w:rFonts w:ascii="Cambria" w:hAnsi="Cambria"/>
          <w:sz w:val="20"/>
          <w:szCs w:val="20"/>
        </w:rPr>
        <w:t>state</w:t>
      </w:r>
      <w:r w:rsidR="007D5437" w:rsidRPr="007D5437">
        <w:rPr>
          <w:rFonts w:ascii="Cambria" w:hAnsi="Cambria"/>
          <w:sz w:val="20"/>
          <w:szCs w:val="20"/>
        </w:rPr>
        <w:t xml:space="preserve"> that in Colombia there is </w:t>
      </w:r>
      <w:r w:rsidR="007D5437" w:rsidRPr="000411A7">
        <w:rPr>
          <w:rFonts w:ascii="Cambria" w:hAnsi="Cambria"/>
          <w:sz w:val="20"/>
          <w:szCs w:val="20"/>
        </w:rPr>
        <w:t>no due protection</w:t>
      </w:r>
      <w:r w:rsidR="007D5437" w:rsidRPr="007D5437">
        <w:rPr>
          <w:rFonts w:ascii="Cambria" w:hAnsi="Cambria"/>
          <w:sz w:val="20"/>
          <w:szCs w:val="20"/>
        </w:rPr>
        <w:t xml:space="preserve"> of their rights, and that although the Constitutional Court has recognized rights to the LGBTI community and </w:t>
      </w:r>
      <w:r w:rsidR="007D5437" w:rsidRPr="000411A7">
        <w:rPr>
          <w:rFonts w:ascii="Cambria" w:hAnsi="Cambria"/>
          <w:sz w:val="20"/>
          <w:szCs w:val="20"/>
        </w:rPr>
        <w:t>issued orders</w:t>
      </w:r>
      <w:r w:rsidR="007D5437" w:rsidRPr="007D5437">
        <w:rPr>
          <w:rFonts w:ascii="Cambria" w:hAnsi="Cambria"/>
          <w:sz w:val="20"/>
          <w:szCs w:val="20"/>
        </w:rPr>
        <w:t xml:space="preserve"> to the public authority in order to make their protection effective, such orders </w:t>
      </w:r>
      <w:r w:rsidR="007D5437" w:rsidRPr="000411A7">
        <w:rPr>
          <w:rFonts w:ascii="Cambria" w:hAnsi="Cambria"/>
          <w:sz w:val="20"/>
          <w:szCs w:val="20"/>
        </w:rPr>
        <w:t>have been circumvented</w:t>
      </w:r>
      <w:r w:rsidR="007D5437" w:rsidRPr="007D5437">
        <w:rPr>
          <w:rFonts w:ascii="Cambria" w:hAnsi="Cambria"/>
          <w:sz w:val="20"/>
          <w:szCs w:val="20"/>
        </w:rPr>
        <w:t xml:space="preserve">. </w:t>
      </w:r>
      <w:r w:rsidR="004E7056">
        <w:rPr>
          <w:rFonts w:ascii="Cambria" w:hAnsi="Cambria"/>
          <w:sz w:val="20"/>
          <w:szCs w:val="20"/>
        </w:rPr>
        <w:t>They argue</w:t>
      </w:r>
      <w:r w:rsidR="007D5437" w:rsidRPr="007D5437">
        <w:rPr>
          <w:rFonts w:ascii="Cambria" w:hAnsi="Cambria"/>
          <w:sz w:val="20"/>
          <w:szCs w:val="20"/>
        </w:rPr>
        <w:t xml:space="preserve"> that there is a prejudiced attitude in investigations related to crimes committed against LGBTI persons, which </w:t>
      </w:r>
      <w:proofErr w:type="gramStart"/>
      <w:r w:rsidR="007D5437" w:rsidRPr="007D5437">
        <w:rPr>
          <w:rFonts w:ascii="Cambria" w:hAnsi="Cambria"/>
          <w:sz w:val="20"/>
          <w:szCs w:val="20"/>
        </w:rPr>
        <w:t>is mainly reflected</w:t>
      </w:r>
      <w:proofErr w:type="gramEnd"/>
      <w:r w:rsidR="007D5437" w:rsidRPr="007D5437">
        <w:rPr>
          <w:rFonts w:ascii="Cambria" w:hAnsi="Cambria"/>
          <w:sz w:val="20"/>
          <w:szCs w:val="20"/>
        </w:rPr>
        <w:t xml:space="preserve"> in homicide investigations, </w:t>
      </w:r>
      <w:r w:rsidR="004E7056">
        <w:rPr>
          <w:rFonts w:ascii="Cambria" w:hAnsi="Cambria"/>
          <w:sz w:val="20"/>
          <w:szCs w:val="20"/>
        </w:rPr>
        <w:t>by</w:t>
      </w:r>
      <w:r w:rsidR="007D5437" w:rsidRPr="007D5437">
        <w:rPr>
          <w:rFonts w:ascii="Cambria" w:hAnsi="Cambria"/>
          <w:sz w:val="20"/>
          <w:szCs w:val="20"/>
        </w:rPr>
        <w:t xml:space="preserve"> charact</w:t>
      </w:r>
      <w:r w:rsidR="004E7056">
        <w:rPr>
          <w:rFonts w:ascii="Cambria" w:hAnsi="Cambria"/>
          <w:sz w:val="20"/>
          <w:szCs w:val="20"/>
        </w:rPr>
        <w:t>erizing offenses</w:t>
      </w:r>
      <w:r w:rsidR="007D5437">
        <w:rPr>
          <w:rFonts w:ascii="Cambria" w:hAnsi="Cambria"/>
          <w:sz w:val="20"/>
          <w:szCs w:val="20"/>
        </w:rPr>
        <w:t xml:space="preserve"> as </w:t>
      </w:r>
      <w:r w:rsidR="004E7056">
        <w:rPr>
          <w:rFonts w:ascii="Cambria" w:hAnsi="Cambria"/>
          <w:sz w:val="20"/>
          <w:szCs w:val="20"/>
        </w:rPr>
        <w:t>crimes</w:t>
      </w:r>
      <w:r w:rsidR="008D1ACD">
        <w:rPr>
          <w:rFonts w:ascii="Cambria" w:hAnsi="Cambria"/>
          <w:sz w:val="20"/>
          <w:szCs w:val="20"/>
        </w:rPr>
        <w:t xml:space="preserve"> of</w:t>
      </w:r>
      <w:r w:rsidR="004E7056">
        <w:rPr>
          <w:rFonts w:ascii="Cambria" w:hAnsi="Cambria"/>
          <w:sz w:val="20"/>
          <w:szCs w:val="20"/>
        </w:rPr>
        <w:t xml:space="preserve"> </w:t>
      </w:r>
      <w:r w:rsidR="007D5437">
        <w:rPr>
          <w:rFonts w:ascii="Cambria" w:hAnsi="Cambria"/>
          <w:sz w:val="20"/>
          <w:szCs w:val="20"/>
        </w:rPr>
        <w:t>passion</w:t>
      </w:r>
      <w:r w:rsidR="007D5437" w:rsidRPr="007D5437">
        <w:rPr>
          <w:rFonts w:ascii="Cambria" w:hAnsi="Cambria"/>
          <w:sz w:val="20"/>
          <w:szCs w:val="20"/>
        </w:rPr>
        <w:t xml:space="preserve">; and </w:t>
      </w:r>
      <w:r w:rsidR="005B2F18">
        <w:rPr>
          <w:rFonts w:ascii="Cambria" w:hAnsi="Cambria"/>
          <w:sz w:val="20"/>
          <w:szCs w:val="20"/>
        </w:rPr>
        <w:t>by</w:t>
      </w:r>
      <w:r w:rsidR="007D5437" w:rsidRPr="007D5437">
        <w:rPr>
          <w:rFonts w:ascii="Cambria" w:hAnsi="Cambria"/>
          <w:sz w:val="20"/>
          <w:szCs w:val="20"/>
        </w:rPr>
        <w:t xml:space="preserve"> </w:t>
      </w:r>
      <w:r w:rsidR="007D5437" w:rsidRPr="000411A7">
        <w:rPr>
          <w:rFonts w:ascii="Cambria" w:hAnsi="Cambria"/>
          <w:sz w:val="20"/>
          <w:szCs w:val="20"/>
        </w:rPr>
        <w:t>erroneous</w:t>
      </w:r>
      <w:r w:rsidR="007D5437" w:rsidRPr="007D5437">
        <w:rPr>
          <w:rFonts w:ascii="Cambria" w:hAnsi="Cambria"/>
          <w:sz w:val="20"/>
          <w:szCs w:val="20"/>
        </w:rPr>
        <w:t xml:space="preserve"> collection and preservation of the evidence.</w:t>
      </w:r>
    </w:p>
    <w:p w14:paraId="399DC2CF" w14:textId="43353367" w:rsidR="007D5437" w:rsidRPr="007D5437" w:rsidRDefault="007D5437" w:rsidP="00C87A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D5437">
        <w:rPr>
          <w:rFonts w:ascii="Cambria" w:hAnsi="Cambria"/>
          <w:sz w:val="20"/>
          <w:szCs w:val="20"/>
        </w:rPr>
        <w:t>2.</w:t>
      </w:r>
      <w:r w:rsidR="00C87A55">
        <w:rPr>
          <w:rFonts w:ascii="Cambria" w:hAnsi="Cambria"/>
          <w:sz w:val="20"/>
          <w:szCs w:val="20"/>
        </w:rPr>
        <w:tab/>
      </w:r>
      <w:r w:rsidRPr="007D5437">
        <w:rPr>
          <w:rFonts w:ascii="Cambria" w:hAnsi="Cambria"/>
          <w:sz w:val="20"/>
          <w:szCs w:val="20"/>
        </w:rPr>
        <w:t>In th</w:t>
      </w:r>
      <w:r>
        <w:rPr>
          <w:rFonts w:ascii="Cambria" w:hAnsi="Cambria"/>
          <w:sz w:val="20"/>
          <w:szCs w:val="20"/>
        </w:rPr>
        <w:t>e aforementioned context, they argue</w:t>
      </w:r>
      <w:r w:rsidRPr="007D5437">
        <w:rPr>
          <w:rFonts w:ascii="Cambria" w:hAnsi="Cambria"/>
          <w:sz w:val="20"/>
          <w:szCs w:val="20"/>
        </w:rPr>
        <w:t xml:space="preserve"> that the alleged victim, </w:t>
      </w:r>
      <w:proofErr w:type="spellStart"/>
      <w:r w:rsidRPr="007D5437">
        <w:rPr>
          <w:rFonts w:ascii="Cambria" w:hAnsi="Cambria"/>
          <w:sz w:val="20"/>
          <w:szCs w:val="20"/>
        </w:rPr>
        <w:t>Raiza</w:t>
      </w:r>
      <w:proofErr w:type="spellEnd"/>
      <w:r w:rsidRPr="007D5437">
        <w:rPr>
          <w:rFonts w:ascii="Cambria" w:hAnsi="Cambria"/>
          <w:sz w:val="20"/>
          <w:szCs w:val="20"/>
        </w:rPr>
        <w:t xml:space="preserve"> Isabela Salazar, is a trans</w:t>
      </w:r>
      <w:r w:rsidR="008D1ACD">
        <w:rPr>
          <w:rFonts w:ascii="Cambria" w:hAnsi="Cambria"/>
          <w:sz w:val="20"/>
          <w:szCs w:val="20"/>
        </w:rPr>
        <w:t>vestite</w:t>
      </w:r>
      <w:r w:rsidRPr="007D5437">
        <w:rPr>
          <w:rFonts w:ascii="Cambria" w:hAnsi="Cambria"/>
          <w:sz w:val="20"/>
          <w:szCs w:val="20"/>
        </w:rPr>
        <w:t xml:space="preserve"> woman who in 2001 acquired a property in the municipality of </w:t>
      </w:r>
      <w:proofErr w:type="spellStart"/>
      <w:r w:rsidRPr="007D5437">
        <w:rPr>
          <w:rFonts w:ascii="Cambria" w:hAnsi="Cambria"/>
          <w:sz w:val="20"/>
          <w:szCs w:val="20"/>
        </w:rPr>
        <w:t>Dagua</w:t>
      </w:r>
      <w:proofErr w:type="spellEnd"/>
      <w:r w:rsidRPr="007D5437">
        <w:rPr>
          <w:rFonts w:ascii="Cambria" w:hAnsi="Cambria"/>
          <w:sz w:val="20"/>
          <w:szCs w:val="20"/>
        </w:rPr>
        <w:t>, D</w:t>
      </w:r>
      <w:r>
        <w:rPr>
          <w:rFonts w:ascii="Cambria" w:hAnsi="Cambria"/>
          <w:sz w:val="20"/>
          <w:szCs w:val="20"/>
        </w:rPr>
        <w:t>epartment of Valle, Colombia.  They note that since her</w:t>
      </w:r>
      <w:r w:rsidRPr="007D5437">
        <w:rPr>
          <w:rFonts w:ascii="Cambria" w:hAnsi="Cambria"/>
          <w:sz w:val="20"/>
          <w:szCs w:val="20"/>
        </w:rPr>
        <w:t xml:space="preserve"> arrival at the site, </w:t>
      </w:r>
      <w:r>
        <w:rPr>
          <w:rFonts w:ascii="Cambria" w:hAnsi="Cambria"/>
          <w:sz w:val="20"/>
          <w:szCs w:val="20"/>
        </w:rPr>
        <w:t>s</w:t>
      </w:r>
      <w:r w:rsidRPr="007D5437">
        <w:rPr>
          <w:rFonts w:ascii="Cambria" w:hAnsi="Cambria"/>
          <w:sz w:val="20"/>
          <w:szCs w:val="20"/>
        </w:rPr>
        <w:t>he was the victim of repeated threats from neighbors and butlers of the condominium</w:t>
      </w:r>
      <w:r>
        <w:rPr>
          <w:rFonts w:ascii="Cambria" w:hAnsi="Cambria"/>
          <w:sz w:val="20"/>
          <w:szCs w:val="20"/>
        </w:rPr>
        <w:t>, in order to</w:t>
      </w:r>
      <w:r w:rsidR="005B2F18">
        <w:rPr>
          <w:rFonts w:ascii="Cambria" w:hAnsi="Cambria"/>
          <w:sz w:val="20"/>
          <w:szCs w:val="20"/>
        </w:rPr>
        <w:t xml:space="preserve"> force her to leave the place. They state</w:t>
      </w:r>
      <w:r w:rsidRPr="007D5437">
        <w:rPr>
          <w:rFonts w:ascii="Cambria" w:hAnsi="Cambria"/>
          <w:sz w:val="20"/>
          <w:szCs w:val="20"/>
        </w:rPr>
        <w:t xml:space="preserve"> that this situation continued until 2005, when the threats worsened and came to be attacked with </w:t>
      </w:r>
      <w:r w:rsidR="005B2F18">
        <w:rPr>
          <w:rFonts w:ascii="Cambria" w:hAnsi="Cambria"/>
          <w:sz w:val="20"/>
          <w:szCs w:val="20"/>
        </w:rPr>
        <w:t>rubber</w:t>
      </w:r>
      <w:r w:rsidRPr="007D5437">
        <w:rPr>
          <w:rFonts w:ascii="Cambria" w:hAnsi="Cambria"/>
          <w:sz w:val="20"/>
          <w:szCs w:val="20"/>
        </w:rPr>
        <w:t xml:space="preserve"> bullets, receiving an impact on the head, seriously compromising one eye. </w:t>
      </w:r>
      <w:r w:rsidR="005B2F18">
        <w:rPr>
          <w:rFonts w:ascii="Cambria" w:hAnsi="Cambria"/>
          <w:sz w:val="20"/>
          <w:szCs w:val="20"/>
        </w:rPr>
        <w:t>They indicate</w:t>
      </w:r>
      <w:r w:rsidRPr="007D5437">
        <w:rPr>
          <w:rFonts w:ascii="Cambria" w:hAnsi="Cambria"/>
          <w:sz w:val="20"/>
          <w:szCs w:val="20"/>
        </w:rPr>
        <w:t xml:space="preserve"> that she was forced to leave her home that year, </w:t>
      </w:r>
      <w:r w:rsidR="005B2F18">
        <w:rPr>
          <w:rFonts w:ascii="Cambria" w:hAnsi="Cambria"/>
          <w:sz w:val="20"/>
          <w:szCs w:val="20"/>
        </w:rPr>
        <w:t>being recognized by the state as</w:t>
      </w:r>
      <w:r w:rsidRPr="007D5437">
        <w:rPr>
          <w:rFonts w:ascii="Cambria" w:hAnsi="Cambria"/>
          <w:sz w:val="20"/>
          <w:szCs w:val="20"/>
        </w:rPr>
        <w:t xml:space="preserve"> displaced. They claim that in 2009 </w:t>
      </w:r>
      <w:r w:rsidR="000B5E19">
        <w:rPr>
          <w:rFonts w:ascii="Cambria" w:hAnsi="Cambria"/>
          <w:sz w:val="20"/>
          <w:szCs w:val="20"/>
        </w:rPr>
        <w:t>s</w:t>
      </w:r>
      <w:r w:rsidRPr="007D5437">
        <w:rPr>
          <w:rFonts w:ascii="Cambria" w:hAnsi="Cambria"/>
          <w:sz w:val="20"/>
          <w:szCs w:val="20"/>
        </w:rPr>
        <w:t xml:space="preserve">he returned to </w:t>
      </w:r>
      <w:r w:rsidRPr="000411A7">
        <w:rPr>
          <w:rFonts w:ascii="Cambria" w:hAnsi="Cambria"/>
          <w:sz w:val="20"/>
          <w:szCs w:val="20"/>
        </w:rPr>
        <w:t>reside</w:t>
      </w:r>
      <w:r w:rsidRPr="007D5437">
        <w:rPr>
          <w:rFonts w:ascii="Cambria" w:hAnsi="Cambria"/>
          <w:sz w:val="20"/>
          <w:szCs w:val="20"/>
        </w:rPr>
        <w:t xml:space="preserve"> in the property for personal reasons and, since the threats and violent acts continued,</w:t>
      </w:r>
      <w:r w:rsidR="005B2F18">
        <w:rPr>
          <w:rFonts w:ascii="Cambria" w:hAnsi="Cambria"/>
          <w:sz w:val="20"/>
          <w:szCs w:val="20"/>
        </w:rPr>
        <w:t xml:space="preserve"> she</w:t>
      </w:r>
      <w:r w:rsidRPr="007D5437">
        <w:rPr>
          <w:rFonts w:ascii="Cambria" w:hAnsi="Cambria"/>
          <w:sz w:val="20"/>
          <w:szCs w:val="20"/>
        </w:rPr>
        <w:t xml:space="preserve"> decided to </w:t>
      </w:r>
      <w:r w:rsidR="005B2F18">
        <w:rPr>
          <w:rFonts w:ascii="Cambria" w:hAnsi="Cambria"/>
          <w:sz w:val="20"/>
          <w:szCs w:val="20"/>
        </w:rPr>
        <w:t>report</w:t>
      </w:r>
      <w:r w:rsidRPr="007D5437">
        <w:rPr>
          <w:rFonts w:ascii="Cambria" w:hAnsi="Cambria"/>
          <w:sz w:val="20"/>
          <w:szCs w:val="20"/>
        </w:rPr>
        <w:t xml:space="preserve"> the facts.</w:t>
      </w:r>
    </w:p>
    <w:p w14:paraId="74474AA6" w14:textId="7B8181A5" w:rsidR="007D5437" w:rsidRPr="007D5437" w:rsidRDefault="00C87A55" w:rsidP="00C87A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rPr>
        <w:t>3.</w:t>
      </w:r>
      <w:r>
        <w:rPr>
          <w:rFonts w:ascii="Cambria" w:hAnsi="Cambria"/>
          <w:sz w:val="20"/>
          <w:szCs w:val="20"/>
        </w:rPr>
        <w:tab/>
      </w:r>
      <w:r w:rsidR="000B5E19">
        <w:rPr>
          <w:rFonts w:ascii="Cambria" w:hAnsi="Cambria"/>
          <w:sz w:val="20"/>
          <w:szCs w:val="20"/>
        </w:rPr>
        <w:t>They add</w:t>
      </w:r>
      <w:r w:rsidR="007D5437" w:rsidRPr="007D5437">
        <w:rPr>
          <w:rFonts w:ascii="Cambria" w:hAnsi="Cambria"/>
          <w:sz w:val="20"/>
          <w:szCs w:val="20"/>
        </w:rPr>
        <w:t xml:space="preserve"> that in 2009, </w:t>
      </w:r>
      <w:proofErr w:type="spellStart"/>
      <w:r w:rsidR="007D5437" w:rsidRPr="007D5437">
        <w:rPr>
          <w:rFonts w:ascii="Cambria" w:hAnsi="Cambria"/>
          <w:sz w:val="20"/>
          <w:szCs w:val="20"/>
        </w:rPr>
        <w:t>Raiza</w:t>
      </w:r>
      <w:proofErr w:type="spellEnd"/>
      <w:r w:rsidR="007D5437" w:rsidRPr="007D5437">
        <w:rPr>
          <w:rFonts w:ascii="Cambria" w:hAnsi="Cambria"/>
          <w:sz w:val="20"/>
          <w:szCs w:val="20"/>
        </w:rPr>
        <w:t xml:space="preserve"> Isabela Salazar filed a criminal complaint with the Office of the Prosecutor and went to the </w:t>
      </w:r>
      <w:proofErr w:type="spellStart"/>
      <w:r w:rsidR="007D5437" w:rsidRPr="008D1ACD">
        <w:rPr>
          <w:rFonts w:ascii="Cambria" w:hAnsi="Cambria"/>
          <w:i/>
          <w:sz w:val="20"/>
          <w:szCs w:val="20"/>
        </w:rPr>
        <w:t>Personería</w:t>
      </w:r>
      <w:proofErr w:type="spellEnd"/>
      <w:r w:rsidR="007D5437" w:rsidRPr="008D1ACD">
        <w:rPr>
          <w:rFonts w:ascii="Cambria" w:hAnsi="Cambria"/>
          <w:i/>
          <w:sz w:val="20"/>
          <w:szCs w:val="20"/>
        </w:rPr>
        <w:t xml:space="preserve"> de Cali</w:t>
      </w:r>
      <w:r w:rsidR="0091354B">
        <w:rPr>
          <w:rFonts w:ascii="Cambria" w:hAnsi="Cambria"/>
          <w:sz w:val="20"/>
          <w:szCs w:val="20"/>
        </w:rPr>
        <w:t xml:space="preserve"> (Ombudsman Office in Cali)</w:t>
      </w:r>
      <w:r w:rsidR="007D5437" w:rsidRPr="007D5437">
        <w:rPr>
          <w:rFonts w:ascii="Cambria" w:hAnsi="Cambria"/>
          <w:sz w:val="20"/>
          <w:szCs w:val="20"/>
        </w:rPr>
        <w:t xml:space="preserve"> in order to receive protection. In the complaint, </w:t>
      </w:r>
      <w:r w:rsidR="000B5E19">
        <w:rPr>
          <w:rFonts w:ascii="Cambria" w:hAnsi="Cambria"/>
          <w:sz w:val="20"/>
          <w:szCs w:val="20"/>
        </w:rPr>
        <w:t>s</w:t>
      </w:r>
      <w:r w:rsidR="007D5437" w:rsidRPr="007D5437">
        <w:rPr>
          <w:rFonts w:ascii="Cambria" w:hAnsi="Cambria"/>
          <w:sz w:val="20"/>
          <w:szCs w:val="20"/>
        </w:rPr>
        <w:t xml:space="preserve">he alleged the </w:t>
      </w:r>
      <w:r w:rsidR="00467C50">
        <w:rPr>
          <w:rFonts w:ascii="Cambria" w:hAnsi="Cambria"/>
          <w:sz w:val="20"/>
          <w:szCs w:val="20"/>
        </w:rPr>
        <w:t>repeated</w:t>
      </w:r>
      <w:r w:rsidR="007D5437" w:rsidRPr="007D5437">
        <w:rPr>
          <w:rFonts w:ascii="Cambria" w:hAnsi="Cambria"/>
          <w:sz w:val="20"/>
          <w:szCs w:val="20"/>
        </w:rPr>
        <w:t xml:space="preserve"> threats and persecution, indicating that since </w:t>
      </w:r>
      <w:r w:rsidR="000B5E19">
        <w:rPr>
          <w:rFonts w:ascii="Cambria" w:hAnsi="Cambria"/>
          <w:sz w:val="20"/>
          <w:szCs w:val="20"/>
        </w:rPr>
        <w:t xml:space="preserve">she arrived </w:t>
      </w:r>
      <w:r w:rsidR="00467C50">
        <w:rPr>
          <w:rFonts w:ascii="Cambria" w:hAnsi="Cambria"/>
          <w:sz w:val="20"/>
          <w:szCs w:val="20"/>
        </w:rPr>
        <w:t>to</w:t>
      </w:r>
      <w:r w:rsidR="000B5E19">
        <w:rPr>
          <w:rFonts w:ascii="Cambria" w:hAnsi="Cambria"/>
          <w:sz w:val="20"/>
          <w:szCs w:val="20"/>
        </w:rPr>
        <w:t xml:space="preserve"> the premises, her</w:t>
      </w:r>
      <w:r w:rsidR="007D5437" w:rsidRPr="007D5437">
        <w:rPr>
          <w:rFonts w:ascii="Cambria" w:hAnsi="Cambria"/>
          <w:sz w:val="20"/>
          <w:szCs w:val="20"/>
        </w:rPr>
        <w:t xml:space="preserve"> neighbors, the administrator and the steward </w:t>
      </w:r>
      <w:r w:rsidR="00884A6B">
        <w:rPr>
          <w:rFonts w:ascii="Cambria" w:hAnsi="Cambria"/>
          <w:sz w:val="20"/>
          <w:szCs w:val="20"/>
        </w:rPr>
        <w:t xml:space="preserve">together </w:t>
      </w:r>
      <w:r w:rsidR="007D5437" w:rsidRPr="007D5437">
        <w:rPr>
          <w:rFonts w:ascii="Cambria" w:hAnsi="Cambria"/>
          <w:sz w:val="20"/>
          <w:szCs w:val="20"/>
        </w:rPr>
        <w:t>with their children and other relatives, "have d</w:t>
      </w:r>
      <w:r w:rsidR="00467C50">
        <w:rPr>
          <w:rFonts w:ascii="Cambria" w:hAnsi="Cambria"/>
          <w:sz w:val="20"/>
          <w:szCs w:val="20"/>
        </w:rPr>
        <w:t>edicated themselves to making her</w:t>
      </w:r>
      <w:r w:rsidR="007D5437" w:rsidRPr="007D5437">
        <w:rPr>
          <w:rFonts w:ascii="Cambria" w:hAnsi="Cambria"/>
          <w:sz w:val="20"/>
          <w:szCs w:val="20"/>
        </w:rPr>
        <w:t xml:space="preserve"> life impossible" in order to</w:t>
      </w:r>
      <w:r w:rsidR="00467C50">
        <w:rPr>
          <w:rFonts w:ascii="Cambria" w:hAnsi="Cambria"/>
          <w:sz w:val="20"/>
          <w:szCs w:val="20"/>
        </w:rPr>
        <w:t xml:space="preserve"> force her</w:t>
      </w:r>
      <w:r w:rsidR="007D5437" w:rsidRPr="007D5437">
        <w:rPr>
          <w:rFonts w:ascii="Cambria" w:hAnsi="Cambria"/>
          <w:sz w:val="20"/>
          <w:szCs w:val="20"/>
        </w:rPr>
        <w:t xml:space="preserve"> </w:t>
      </w:r>
      <w:r w:rsidR="00884A6B">
        <w:rPr>
          <w:rFonts w:ascii="Cambria" w:hAnsi="Cambria"/>
          <w:sz w:val="20"/>
          <w:szCs w:val="20"/>
        </w:rPr>
        <w:t xml:space="preserve">to </w:t>
      </w:r>
      <w:r w:rsidR="007D5437" w:rsidRPr="007D5437">
        <w:rPr>
          <w:rFonts w:ascii="Cambria" w:hAnsi="Cambria"/>
          <w:sz w:val="20"/>
          <w:szCs w:val="20"/>
        </w:rPr>
        <w:t xml:space="preserve">leave the place. </w:t>
      </w:r>
      <w:proofErr w:type="gramStart"/>
      <w:r w:rsidR="007D5437" w:rsidRPr="007D5437">
        <w:rPr>
          <w:rFonts w:ascii="Cambria" w:hAnsi="Cambria"/>
          <w:sz w:val="20"/>
          <w:szCs w:val="20"/>
        </w:rPr>
        <w:t xml:space="preserve">In the same complaint, </w:t>
      </w:r>
      <w:r w:rsidR="000B5E19">
        <w:rPr>
          <w:rFonts w:ascii="Cambria" w:hAnsi="Cambria"/>
          <w:sz w:val="20"/>
          <w:szCs w:val="20"/>
        </w:rPr>
        <w:t>s</w:t>
      </w:r>
      <w:r w:rsidR="007D5437" w:rsidRPr="007D5437">
        <w:rPr>
          <w:rFonts w:ascii="Cambria" w:hAnsi="Cambria"/>
          <w:sz w:val="20"/>
          <w:szCs w:val="20"/>
        </w:rPr>
        <w:t xml:space="preserve">he </w:t>
      </w:r>
      <w:r w:rsidR="00884A6B">
        <w:rPr>
          <w:rFonts w:ascii="Cambria" w:hAnsi="Cambria"/>
          <w:sz w:val="20"/>
          <w:szCs w:val="20"/>
        </w:rPr>
        <w:t>denounced</w:t>
      </w:r>
      <w:r w:rsidR="007D5437" w:rsidRPr="007D5437">
        <w:rPr>
          <w:rFonts w:ascii="Cambria" w:hAnsi="Cambria"/>
          <w:sz w:val="20"/>
          <w:szCs w:val="20"/>
        </w:rPr>
        <w:t xml:space="preserve"> that </w:t>
      </w:r>
      <w:r w:rsidR="000B5E19">
        <w:rPr>
          <w:rFonts w:ascii="Cambria" w:hAnsi="Cambria"/>
          <w:sz w:val="20"/>
          <w:szCs w:val="20"/>
        </w:rPr>
        <w:t>s</w:t>
      </w:r>
      <w:r w:rsidR="007D5437" w:rsidRPr="007D5437">
        <w:rPr>
          <w:rFonts w:ascii="Cambria" w:hAnsi="Cambria"/>
          <w:sz w:val="20"/>
          <w:szCs w:val="20"/>
        </w:rPr>
        <w:t xml:space="preserve">he </w:t>
      </w:r>
      <w:r w:rsidR="00467C50">
        <w:rPr>
          <w:rFonts w:ascii="Cambria" w:hAnsi="Cambria"/>
          <w:sz w:val="20"/>
          <w:szCs w:val="20"/>
        </w:rPr>
        <w:t>had to leave</w:t>
      </w:r>
      <w:r w:rsidR="000B5E19">
        <w:rPr>
          <w:rFonts w:ascii="Cambria" w:hAnsi="Cambria"/>
          <w:sz w:val="20"/>
          <w:szCs w:val="20"/>
        </w:rPr>
        <w:t xml:space="preserve"> the place years ago because of</w:t>
      </w:r>
      <w:r w:rsidR="007D5437" w:rsidRPr="007D5437">
        <w:rPr>
          <w:rFonts w:ascii="Cambria" w:hAnsi="Cambria"/>
          <w:sz w:val="20"/>
          <w:szCs w:val="20"/>
        </w:rPr>
        <w:t xml:space="preserve"> the attack on h</w:t>
      </w:r>
      <w:r w:rsidR="000B5E19">
        <w:rPr>
          <w:rFonts w:ascii="Cambria" w:hAnsi="Cambria"/>
          <w:sz w:val="20"/>
          <w:szCs w:val="20"/>
        </w:rPr>
        <w:t>er</w:t>
      </w:r>
      <w:r w:rsidR="007D5437" w:rsidRPr="007D5437">
        <w:rPr>
          <w:rFonts w:ascii="Cambria" w:hAnsi="Cambria"/>
          <w:sz w:val="20"/>
          <w:szCs w:val="20"/>
        </w:rPr>
        <w:t xml:space="preserve"> life, indicating that </w:t>
      </w:r>
      <w:r w:rsidR="000B5E19">
        <w:rPr>
          <w:rFonts w:ascii="Cambria" w:hAnsi="Cambria"/>
          <w:sz w:val="20"/>
          <w:szCs w:val="20"/>
        </w:rPr>
        <w:t>s</w:t>
      </w:r>
      <w:r w:rsidR="007D5437" w:rsidRPr="007D5437">
        <w:rPr>
          <w:rFonts w:ascii="Cambria" w:hAnsi="Cambria"/>
          <w:sz w:val="20"/>
          <w:szCs w:val="20"/>
        </w:rPr>
        <w:t xml:space="preserve">he was wounded with </w:t>
      </w:r>
      <w:r w:rsidR="000B5E19">
        <w:rPr>
          <w:rFonts w:ascii="Cambria" w:hAnsi="Cambria"/>
          <w:sz w:val="20"/>
          <w:szCs w:val="20"/>
        </w:rPr>
        <w:t>a shotgun shot of pellets on her</w:t>
      </w:r>
      <w:r w:rsidR="007D5437" w:rsidRPr="007D5437">
        <w:rPr>
          <w:rFonts w:ascii="Cambria" w:hAnsi="Cambria"/>
          <w:sz w:val="20"/>
          <w:szCs w:val="20"/>
        </w:rPr>
        <w:t xml:space="preserve"> head, and detailed that in the month of October 2009 </w:t>
      </w:r>
      <w:r w:rsidR="000B5E19">
        <w:rPr>
          <w:rFonts w:ascii="Cambria" w:hAnsi="Cambria"/>
          <w:sz w:val="20"/>
          <w:szCs w:val="20"/>
        </w:rPr>
        <w:t>s</w:t>
      </w:r>
      <w:r w:rsidR="007D5437" w:rsidRPr="007D5437">
        <w:rPr>
          <w:rFonts w:ascii="Cambria" w:hAnsi="Cambria"/>
          <w:sz w:val="20"/>
          <w:szCs w:val="20"/>
        </w:rPr>
        <w:t xml:space="preserve">he received threats and insults, and that the </w:t>
      </w:r>
      <w:r w:rsidR="00467C50">
        <w:rPr>
          <w:rFonts w:ascii="Cambria" w:hAnsi="Cambria"/>
          <w:sz w:val="20"/>
          <w:szCs w:val="20"/>
        </w:rPr>
        <w:t>accused</w:t>
      </w:r>
      <w:r w:rsidR="007D5437" w:rsidRPr="007D5437">
        <w:rPr>
          <w:rFonts w:ascii="Cambria" w:hAnsi="Cambria"/>
          <w:sz w:val="20"/>
          <w:szCs w:val="20"/>
        </w:rPr>
        <w:t xml:space="preserve"> threw garbage and horse </w:t>
      </w:r>
      <w:r w:rsidR="00884A6B">
        <w:rPr>
          <w:rFonts w:ascii="Cambria" w:hAnsi="Cambria"/>
          <w:sz w:val="20"/>
          <w:szCs w:val="20"/>
        </w:rPr>
        <w:t>feces</w:t>
      </w:r>
      <w:r w:rsidR="000B5E19">
        <w:rPr>
          <w:rFonts w:ascii="Cambria" w:hAnsi="Cambria"/>
          <w:sz w:val="20"/>
          <w:szCs w:val="20"/>
        </w:rPr>
        <w:t>, as well as rocks to her</w:t>
      </w:r>
      <w:r w:rsidR="007D5437" w:rsidRPr="007D5437">
        <w:rPr>
          <w:rFonts w:ascii="Cambria" w:hAnsi="Cambria"/>
          <w:sz w:val="20"/>
          <w:szCs w:val="20"/>
        </w:rPr>
        <w:t xml:space="preserve"> house, and tha</w:t>
      </w:r>
      <w:r w:rsidR="000B5E19">
        <w:rPr>
          <w:rFonts w:ascii="Cambria" w:hAnsi="Cambria"/>
          <w:sz w:val="20"/>
          <w:szCs w:val="20"/>
        </w:rPr>
        <w:t xml:space="preserve">t the </w:t>
      </w:r>
      <w:r w:rsidR="00467C50">
        <w:rPr>
          <w:rFonts w:ascii="Cambria" w:hAnsi="Cambria"/>
          <w:sz w:val="20"/>
          <w:szCs w:val="20"/>
        </w:rPr>
        <w:t>accused</w:t>
      </w:r>
      <w:r w:rsidR="000B5E19">
        <w:rPr>
          <w:rFonts w:ascii="Cambria" w:hAnsi="Cambria"/>
          <w:sz w:val="20"/>
          <w:szCs w:val="20"/>
        </w:rPr>
        <w:t xml:space="preserve"> entered her</w:t>
      </w:r>
      <w:r w:rsidR="007D5437" w:rsidRPr="007D5437">
        <w:rPr>
          <w:rFonts w:ascii="Cambria" w:hAnsi="Cambria"/>
          <w:sz w:val="20"/>
          <w:szCs w:val="20"/>
        </w:rPr>
        <w:t xml:space="preserve"> property </w:t>
      </w:r>
      <w:r w:rsidR="00884A6B">
        <w:rPr>
          <w:rFonts w:ascii="Cambria" w:hAnsi="Cambria"/>
          <w:sz w:val="20"/>
          <w:szCs w:val="20"/>
        </w:rPr>
        <w:t xml:space="preserve">by </w:t>
      </w:r>
      <w:r w:rsidR="007D5437" w:rsidRPr="007D5437">
        <w:rPr>
          <w:rFonts w:ascii="Cambria" w:hAnsi="Cambria"/>
          <w:sz w:val="20"/>
          <w:szCs w:val="20"/>
        </w:rPr>
        <w:t>cl</w:t>
      </w:r>
      <w:r w:rsidR="000B5E19">
        <w:rPr>
          <w:rFonts w:ascii="Cambria" w:hAnsi="Cambria"/>
          <w:sz w:val="20"/>
          <w:szCs w:val="20"/>
        </w:rPr>
        <w:t xml:space="preserve">imbing </w:t>
      </w:r>
      <w:r w:rsidR="00884A6B">
        <w:rPr>
          <w:rFonts w:ascii="Cambria" w:hAnsi="Cambria"/>
          <w:sz w:val="20"/>
          <w:szCs w:val="20"/>
        </w:rPr>
        <w:t>on</w:t>
      </w:r>
      <w:r w:rsidR="000B5E19">
        <w:rPr>
          <w:rFonts w:ascii="Cambria" w:hAnsi="Cambria"/>
          <w:sz w:val="20"/>
          <w:szCs w:val="20"/>
        </w:rPr>
        <w:t xml:space="preserve"> the roof, ordering her</w:t>
      </w:r>
      <w:r w:rsidR="007D5437" w:rsidRPr="007D5437">
        <w:rPr>
          <w:rFonts w:ascii="Cambria" w:hAnsi="Cambria"/>
          <w:sz w:val="20"/>
          <w:szCs w:val="20"/>
        </w:rPr>
        <w:t xml:space="preserve"> to leave, ind</w:t>
      </w:r>
      <w:r w:rsidR="000B5E19">
        <w:rPr>
          <w:rFonts w:ascii="Cambria" w:hAnsi="Cambria"/>
          <w:sz w:val="20"/>
          <w:szCs w:val="20"/>
        </w:rPr>
        <w:t>icating that they would kill her</w:t>
      </w:r>
      <w:r w:rsidR="007D5437" w:rsidRPr="007D5437">
        <w:rPr>
          <w:rFonts w:ascii="Cambria" w:hAnsi="Cambria"/>
          <w:sz w:val="20"/>
          <w:szCs w:val="20"/>
        </w:rPr>
        <w:t>, saying first that "they were para</w:t>
      </w:r>
      <w:r w:rsidR="001100AE">
        <w:rPr>
          <w:rFonts w:ascii="Cambria" w:hAnsi="Cambria"/>
          <w:sz w:val="20"/>
          <w:szCs w:val="20"/>
        </w:rPr>
        <w:t>militaries</w:t>
      </w:r>
      <w:r w:rsidR="007D5437" w:rsidRPr="007D5437">
        <w:rPr>
          <w:rFonts w:ascii="Cambria" w:hAnsi="Cambria"/>
          <w:sz w:val="20"/>
          <w:szCs w:val="20"/>
        </w:rPr>
        <w:t xml:space="preserve"> and </w:t>
      </w:r>
      <w:r w:rsidR="001100AE">
        <w:rPr>
          <w:rFonts w:ascii="Cambria" w:hAnsi="Cambria"/>
          <w:sz w:val="20"/>
          <w:szCs w:val="20"/>
        </w:rPr>
        <w:t>then that</w:t>
      </w:r>
      <w:r w:rsidR="000B5E19">
        <w:rPr>
          <w:rFonts w:ascii="Cambria" w:hAnsi="Cambria"/>
          <w:sz w:val="20"/>
          <w:szCs w:val="20"/>
        </w:rPr>
        <w:t xml:space="preserve"> they were with the guerrilla."</w:t>
      </w:r>
      <w:proofErr w:type="gramEnd"/>
      <w:r w:rsidR="000B5E19">
        <w:rPr>
          <w:rFonts w:ascii="Cambria" w:hAnsi="Cambria"/>
          <w:sz w:val="20"/>
          <w:szCs w:val="20"/>
        </w:rPr>
        <w:t xml:space="preserve"> </w:t>
      </w:r>
      <w:r w:rsidR="001100AE">
        <w:rPr>
          <w:rFonts w:ascii="Cambria" w:hAnsi="Cambria"/>
          <w:sz w:val="20"/>
          <w:szCs w:val="20"/>
        </w:rPr>
        <w:t>They explain</w:t>
      </w:r>
      <w:r w:rsidR="007D5437" w:rsidRPr="007D5437">
        <w:rPr>
          <w:rFonts w:ascii="Cambria" w:hAnsi="Cambria"/>
          <w:sz w:val="20"/>
          <w:szCs w:val="20"/>
        </w:rPr>
        <w:t xml:space="preserve"> that in October 2009, the </w:t>
      </w:r>
      <w:r w:rsidR="001100AE">
        <w:rPr>
          <w:rFonts w:ascii="Cambria" w:hAnsi="Cambria"/>
          <w:sz w:val="20"/>
          <w:szCs w:val="20"/>
        </w:rPr>
        <w:t xml:space="preserve">Ombudsman of Cali </w:t>
      </w:r>
      <w:r w:rsidR="001100AE" w:rsidRPr="007D5437">
        <w:rPr>
          <w:rFonts w:ascii="Cambria" w:hAnsi="Cambria"/>
          <w:sz w:val="20"/>
          <w:szCs w:val="20"/>
        </w:rPr>
        <w:t xml:space="preserve">delegated </w:t>
      </w:r>
      <w:r w:rsidR="007D5437" w:rsidRPr="007D5437">
        <w:rPr>
          <w:rFonts w:ascii="Cambria" w:hAnsi="Cambria"/>
          <w:sz w:val="20"/>
          <w:szCs w:val="20"/>
        </w:rPr>
        <w:t xml:space="preserve">the </w:t>
      </w:r>
      <w:r w:rsidR="001100AE">
        <w:rPr>
          <w:rFonts w:ascii="Cambria" w:hAnsi="Cambria"/>
          <w:sz w:val="20"/>
          <w:szCs w:val="20"/>
        </w:rPr>
        <w:t>ombudsman</w:t>
      </w:r>
      <w:r w:rsidR="007D5437" w:rsidRPr="007D5437">
        <w:rPr>
          <w:rFonts w:ascii="Cambria" w:hAnsi="Cambria"/>
          <w:sz w:val="20"/>
          <w:szCs w:val="20"/>
        </w:rPr>
        <w:t xml:space="preserve"> of the Municipality of </w:t>
      </w:r>
      <w:proofErr w:type="spellStart"/>
      <w:r w:rsidR="007D5437" w:rsidRPr="007D5437">
        <w:rPr>
          <w:rFonts w:ascii="Cambria" w:hAnsi="Cambria"/>
          <w:sz w:val="20"/>
          <w:szCs w:val="20"/>
        </w:rPr>
        <w:t>Dagua</w:t>
      </w:r>
      <w:proofErr w:type="spellEnd"/>
      <w:r w:rsidR="001100AE">
        <w:rPr>
          <w:rFonts w:ascii="Cambria" w:hAnsi="Cambria"/>
          <w:sz w:val="20"/>
          <w:szCs w:val="20"/>
        </w:rPr>
        <w:t xml:space="preserve"> to do the follow-up of what had happened</w:t>
      </w:r>
      <w:r w:rsidR="007D5437" w:rsidRPr="007D5437">
        <w:rPr>
          <w:rFonts w:ascii="Cambria" w:hAnsi="Cambria"/>
          <w:sz w:val="20"/>
          <w:szCs w:val="20"/>
        </w:rPr>
        <w:t>.</w:t>
      </w:r>
      <w:r w:rsidR="001100AE">
        <w:rPr>
          <w:rFonts w:ascii="Cambria" w:hAnsi="Cambria"/>
          <w:sz w:val="20"/>
          <w:szCs w:val="20"/>
        </w:rPr>
        <w:t xml:space="preserve"> </w:t>
      </w:r>
      <w:r w:rsidR="0083436F">
        <w:rPr>
          <w:rFonts w:ascii="Cambria" w:hAnsi="Cambria"/>
          <w:sz w:val="20"/>
          <w:szCs w:val="20"/>
        </w:rPr>
        <w:t>T</w:t>
      </w:r>
      <w:r w:rsidR="001100AE">
        <w:rPr>
          <w:rFonts w:ascii="Cambria" w:hAnsi="Cambria"/>
          <w:sz w:val="20"/>
          <w:szCs w:val="20"/>
        </w:rPr>
        <w:t xml:space="preserve">hey </w:t>
      </w:r>
      <w:r w:rsidR="0083436F">
        <w:rPr>
          <w:rFonts w:ascii="Cambria" w:hAnsi="Cambria"/>
          <w:sz w:val="20"/>
          <w:szCs w:val="20"/>
        </w:rPr>
        <w:t>add</w:t>
      </w:r>
      <w:r w:rsidR="001100AE">
        <w:rPr>
          <w:rFonts w:ascii="Cambria" w:hAnsi="Cambria"/>
          <w:sz w:val="20"/>
          <w:szCs w:val="20"/>
        </w:rPr>
        <w:t xml:space="preserve"> that</w:t>
      </w:r>
      <w:r w:rsidR="007D5437" w:rsidRPr="007D5437">
        <w:rPr>
          <w:rFonts w:ascii="Cambria" w:hAnsi="Cambria"/>
          <w:sz w:val="20"/>
          <w:szCs w:val="20"/>
        </w:rPr>
        <w:t xml:space="preserve"> in June 2011, </w:t>
      </w:r>
      <w:r w:rsidR="000B5E19">
        <w:rPr>
          <w:rFonts w:ascii="Cambria" w:hAnsi="Cambria"/>
          <w:sz w:val="20"/>
          <w:szCs w:val="20"/>
        </w:rPr>
        <w:t>s</w:t>
      </w:r>
      <w:r w:rsidR="007D5437" w:rsidRPr="007D5437">
        <w:rPr>
          <w:rFonts w:ascii="Cambria" w:hAnsi="Cambria"/>
          <w:sz w:val="20"/>
          <w:szCs w:val="20"/>
        </w:rPr>
        <w:t xml:space="preserve">he filed a </w:t>
      </w:r>
      <w:r w:rsidR="0083436F">
        <w:rPr>
          <w:rFonts w:ascii="Cambria" w:hAnsi="Cambria"/>
          <w:sz w:val="20"/>
          <w:szCs w:val="20"/>
        </w:rPr>
        <w:t>right of p</w:t>
      </w:r>
      <w:r w:rsidR="007D5437" w:rsidRPr="007D5437">
        <w:rPr>
          <w:rFonts w:ascii="Cambria" w:hAnsi="Cambria"/>
          <w:sz w:val="20"/>
          <w:szCs w:val="20"/>
        </w:rPr>
        <w:t>etition to the Office of the Prosec</w:t>
      </w:r>
      <w:r w:rsidR="000B5E19">
        <w:rPr>
          <w:rFonts w:ascii="Cambria" w:hAnsi="Cambria"/>
          <w:sz w:val="20"/>
          <w:szCs w:val="20"/>
        </w:rPr>
        <w:t>utor to report the status of her</w:t>
      </w:r>
      <w:r w:rsidR="007D5437" w:rsidRPr="007D5437">
        <w:rPr>
          <w:rFonts w:ascii="Cambria" w:hAnsi="Cambria"/>
          <w:sz w:val="20"/>
          <w:szCs w:val="20"/>
        </w:rPr>
        <w:t xml:space="preserve"> complaint, </w:t>
      </w:r>
      <w:r w:rsidR="0083436F">
        <w:rPr>
          <w:rFonts w:ascii="Cambria" w:hAnsi="Cambria"/>
          <w:sz w:val="20"/>
          <w:szCs w:val="20"/>
        </w:rPr>
        <w:t>without receiving a</w:t>
      </w:r>
      <w:r w:rsidR="007D5437" w:rsidRPr="007D5437">
        <w:rPr>
          <w:rFonts w:ascii="Cambria" w:hAnsi="Cambria"/>
          <w:sz w:val="20"/>
          <w:szCs w:val="20"/>
        </w:rPr>
        <w:t xml:space="preserve"> response, and that in December of that year </w:t>
      </w:r>
      <w:r w:rsidR="000B5E19">
        <w:rPr>
          <w:rFonts w:ascii="Cambria" w:hAnsi="Cambria"/>
          <w:sz w:val="20"/>
          <w:szCs w:val="20"/>
        </w:rPr>
        <w:t>s</w:t>
      </w:r>
      <w:r w:rsidR="007D5437" w:rsidRPr="007D5437">
        <w:rPr>
          <w:rFonts w:ascii="Cambria" w:hAnsi="Cambria"/>
          <w:sz w:val="20"/>
          <w:szCs w:val="20"/>
        </w:rPr>
        <w:t xml:space="preserve">he presented the case to the </w:t>
      </w:r>
      <w:r w:rsidR="001100AE">
        <w:rPr>
          <w:rFonts w:ascii="Cambria" w:hAnsi="Cambria"/>
          <w:sz w:val="20"/>
          <w:szCs w:val="20"/>
        </w:rPr>
        <w:t>Prosecutor</w:t>
      </w:r>
      <w:r w:rsidR="007D5437" w:rsidRPr="007D5437">
        <w:rPr>
          <w:rFonts w:ascii="Cambria" w:hAnsi="Cambria"/>
          <w:sz w:val="20"/>
          <w:szCs w:val="20"/>
        </w:rPr>
        <w:t xml:space="preserve"> </w:t>
      </w:r>
      <w:r w:rsidR="001100AE">
        <w:rPr>
          <w:rFonts w:ascii="Cambria" w:hAnsi="Cambria"/>
          <w:sz w:val="20"/>
          <w:szCs w:val="20"/>
        </w:rPr>
        <w:t>of</w:t>
      </w:r>
      <w:r w:rsidR="007D5437" w:rsidRPr="007D5437">
        <w:rPr>
          <w:rFonts w:ascii="Cambria" w:hAnsi="Cambria"/>
          <w:sz w:val="20"/>
          <w:szCs w:val="20"/>
        </w:rPr>
        <w:t xml:space="preserve"> Valle thro</w:t>
      </w:r>
      <w:r w:rsidR="000B5E19">
        <w:rPr>
          <w:rFonts w:ascii="Cambria" w:hAnsi="Cambria"/>
          <w:sz w:val="20"/>
          <w:szCs w:val="20"/>
        </w:rPr>
        <w:t xml:space="preserve">ugh the </w:t>
      </w:r>
      <w:proofErr w:type="spellStart"/>
      <w:r w:rsidR="000B5E19">
        <w:rPr>
          <w:rFonts w:ascii="Cambria" w:hAnsi="Cambria"/>
          <w:sz w:val="20"/>
          <w:szCs w:val="20"/>
        </w:rPr>
        <w:t>Santamaría</w:t>
      </w:r>
      <w:proofErr w:type="spellEnd"/>
      <w:r w:rsidR="000B5E19">
        <w:rPr>
          <w:rFonts w:ascii="Cambria" w:hAnsi="Cambria"/>
          <w:sz w:val="20"/>
          <w:szCs w:val="20"/>
        </w:rPr>
        <w:t xml:space="preserve"> Foundation. </w:t>
      </w:r>
      <w:proofErr w:type="gramStart"/>
      <w:r w:rsidR="000B5E19">
        <w:rPr>
          <w:rFonts w:ascii="Cambria" w:hAnsi="Cambria"/>
          <w:sz w:val="20"/>
          <w:szCs w:val="20"/>
        </w:rPr>
        <w:t>She states that her</w:t>
      </w:r>
      <w:r w:rsidR="001100AE">
        <w:rPr>
          <w:rFonts w:ascii="Cambria" w:hAnsi="Cambria"/>
          <w:sz w:val="20"/>
          <w:szCs w:val="20"/>
        </w:rPr>
        <w:t xml:space="preserve"> complaint</w:t>
      </w:r>
      <w:r w:rsidR="000B5E19">
        <w:rPr>
          <w:rFonts w:ascii="Cambria" w:hAnsi="Cambria"/>
          <w:sz w:val="20"/>
          <w:szCs w:val="20"/>
        </w:rPr>
        <w:t xml:space="preserve"> </w:t>
      </w:r>
      <w:r w:rsidR="00432296">
        <w:rPr>
          <w:rFonts w:ascii="Cambria" w:hAnsi="Cambria"/>
          <w:sz w:val="20"/>
          <w:szCs w:val="20"/>
        </w:rPr>
        <w:t>was processed as a</w:t>
      </w:r>
      <w:r w:rsidR="007D5437" w:rsidRPr="007D5437">
        <w:rPr>
          <w:rFonts w:ascii="Cambria" w:hAnsi="Cambria"/>
          <w:sz w:val="20"/>
          <w:szCs w:val="20"/>
        </w:rPr>
        <w:t xml:space="preserve"> </w:t>
      </w:r>
      <w:r w:rsidR="004E07AB">
        <w:rPr>
          <w:rFonts w:ascii="Cambria" w:hAnsi="Cambria"/>
          <w:sz w:val="20"/>
          <w:szCs w:val="20"/>
        </w:rPr>
        <w:t xml:space="preserve">contravention, which is known </w:t>
      </w:r>
      <w:r w:rsidR="00432296">
        <w:rPr>
          <w:rFonts w:ascii="Cambria" w:hAnsi="Cambria"/>
          <w:sz w:val="20"/>
          <w:szCs w:val="20"/>
        </w:rPr>
        <w:t>to</w:t>
      </w:r>
      <w:r w:rsidR="007D5437" w:rsidRPr="007D5437">
        <w:rPr>
          <w:rFonts w:ascii="Cambria" w:hAnsi="Cambria"/>
          <w:sz w:val="20"/>
          <w:szCs w:val="20"/>
        </w:rPr>
        <w:t xml:space="preserve"> the police authorities in accordance with the National Police Code, which</w:t>
      </w:r>
      <w:r w:rsidR="004E07AB">
        <w:rPr>
          <w:rFonts w:ascii="Cambria" w:hAnsi="Cambria"/>
          <w:sz w:val="20"/>
          <w:szCs w:val="20"/>
        </w:rPr>
        <w:t xml:space="preserve"> they allege</w:t>
      </w:r>
      <w:r w:rsidR="007D5437" w:rsidRPr="007D5437">
        <w:rPr>
          <w:rFonts w:ascii="Cambria" w:hAnsi="Cambria"/>
          <w:sz w:val="20"/>
          <w:szCs w:val="20"/>
        </w:rPr>
        <w:t xml:space="preserve"> constitutes a discriminatory treatment, as it involves actions </w:t>
      </w:r>
      <w:r w:rsidR="007D5437" w:rsidRPr="000411A7">
        <w:rPr>
          <w:rFonts w:ascii="Cambria" w:hAnsi="Cambria"/>
          <w:sz w:val="20"/>
          <w:szCs w:val="20"/>
        </w:rPr>
        <w:t>that threaten life and integrity</w:t>
      </w:r>
      <w:r w:rsidR="007D5437" w:rsidRPr="007D5437">
        <w:rPr>
          <w:rFonts w:ascii="Cambria" w:hAnsi="Cambria"/>
          <w:sz w:val="20"/>
          <w:szCs w:val="20"/>
        </w:rPr>
        <w:t xml:space="preserve">, which constitutes a crime and not </w:t>
      </w:r>
      <w:r w:rsidR="007D5437" w:rsidRPr="007D5437">
        <w:rPr>
          <w:rFonts w:ascii="Cambria" w:hAnsi="Cambria"/>
          <w:sz w:val="20"/>
          <w:szCs w:val="20"/>
        </w:rPr>
        <w:lastRenderedPageBreak/>
        <w:t xml:space="preserve">contravention, which differs in the severity of the offense and the </w:t>
      </w:r>
      <w:r w:rsidR="00432296">
        <w:rPr>
          <w:rFonts w:ascii="Cambria" w:hAnsi="Cambria"/>
          <w:sz w:val="20"/>
          <w:szCs w:val="20"/>
        </w:rPr>
        <w:t>graduation</w:t>
      </w:r>
      <w:r w:rsidR="007D5437" w:rsidRPr="007D5437">
        <w:rPr>
          <w:rFonts w:ascii="Cambria" w:hAnsi="Cambria"/>
          <w:sz w:val="20"/>
          <w:szCs w:val="20"/>
        </w:rPr>
        <w:t xml:space="preserve"> of penalties, the offenses being minor offenses.</w:t>
      </w:r>
      <w:proofErr w:type="gramEnd"/>
    </w:p>
    <w:p w14:paraId="6E07BF22" w14:textId="6DF20647" w:rsidR="007D5437" w:rsidRPr="007D5437" w:rsidRDefault="000B5E19" w:rsidP="00C87A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rPr>
        <w:t>4.</w:t>
      </w:r>
      <w:r w:rsidR="00C87A55">
        <w:rPr>
          <w:rFonts w:ascii="Cambria" w:hAnsi="Cambria"/>
          <w:sz w:val="20"/>
          <w:szCs w:val="20"/>
        </w:rPr>
        <w:tab/>
      </w:r>
      <w:r w:rsidR="004E07AB">
        <w:rPr>
          <w:rFonts w:ascii="Cambria" w:hAnsi="Cambria"/>
          <w:sz w:val="20"/>
          <w:szCs w:val="20"/>
        </w:rPr>
        <w:t>They allege</w:t>
      </w:r>
      <w:r>
        <w:rPr>
          <w:rFonts w:ascii="Cambria" w:hAnsi="Cambria"/>
          <w:sz w:val="20"/>
          <w:szCs w:val="20"/>
        </w:rPr>
        <w:t xml:space="preserve"> that the State was aware of her</w:t>
      </w:r>
      <w:r w:rsidR="007D5437" w:rsidRPr="007D5437">
        <w:rPr>
          <w:rFonts w:ascii="Cambria" w:hAnsi="Cambria"/>
          <w:sz w:val="20"/>
          <w:szCs w:val="20"/>
        </w:rPr>
        <w:t xml:space="preserve"> situation since 2005 when </w:t>
      </w:r>
      <w:r>
        <w:rPr>
          <w:rFonts w:ascii="Cambria" w:hAnsi="Cambria"/>
          <w:sz w:val="20"/>
          <w:szCs w:val="20"/>
        </w:rPr>
        <w:t>s</w:t>
      </w:r>
      <w:r w:rsidR="007D5437" w:rsidRPr="007D5437">
        <w:rPr>
          <w:rFonts w:ascii="Cambria" w:hAnsi="Cambria"/>
          <w:sz w:val="20"/>
          <w:szCs w:val="20"/>
        </w:rPr>
        <w:t xml:space="preserve">he was granted the status of displaced by violence, and that despite having reported the facts, there has been no result in the investigations even though the </w:t>
      </w:r>
      <w:r w:rsidR="001D421A">
        <w:rPr>
          <w:rFonts w:ascii="Cambria" w:hAnsi="Cambria"/>
          <w:sz w:val="20"/>
          <w:szCs w:val="20"/>
        </w:rPr>
        <w:t xml:space="preserve">persons who </w:t>
      </w:r>
      <w:r w:rsidR="007D5437" w:rsidRPr="007D5437">
        <w:rPr>
          <w:rFonts w:ascii="Cambria" w:hAnsi="Cambria"/>
          <w:sz w:val="20"/>
          <w:szCs w:val="20"/>
        </w:rPr>
        <w:t>p</w:t>
      </w:r>
      <w:r>
        <w:rPr>
          <w:rFonts w:ascii="Cambria" w:hAnsi="Cambria"/>
          <w:sz w:val="20"/>
          <w:szCs w:val="20"/>
        </w:rPr>
        <w:t>articipa</w:t>
      </w:r>
      <w:r w:rsidR="001D421A">
        <w:rPr>
          <w:rFonts w:ascii="Cambria" w:hAnsi="Cambria"/>
          <w:sz w:val="20"/>
          <w:szCs w:val="20"/>
        </w:rPr>
        <w:t>ted in the events have been individualized</w:t>
      </w:r>
      <w:r>
        <w:rPr>
          <w:rFonts w:ascii="Cambria" w:hAnsi="Cambria"/>
          <w:sz w:val="20"/>
          <w:szCs w:val="20"/>
        </w:rPr>
        <w:t xml:space="preserve"> in her</w:t>
      </w:r>
      <w:r w:rsidR="007D5437" w:rsidRPr="007D5437">
        <w:rPr>
          <w:rFonts w:ascii="Cambria" w:hAnsi="Cambria"/>
          <w:sz w:val="20"/>
          <w:szCs w:val="20"/>
        </w:rPr>
        <w:t xml:space="preserve"> c</w:t>
      </w:r>
      <w:r>
        <w:rPr>
          <w:rFonts w:ascii="Cambria" w:hAnsi="Cambria"/>
          <w:sz w:val="20"/>
          <w:szCs w:val="20"/>
        </w:rPr>
        <w:t xml:space="preserve">omplaint. For the foregoing, </w:t>
      </w:r>
      <w:r w:rsidR="001D421A">
        <w:rPr>
          <w:rFonts w:ascii="Cambria" w:hAnsi="Cambria"/>
          <w:sz w:val="20"/>
          <w:szCs w:val="20"/>
        </w:rPr>
        <w:t>they</w:t>
      </w:r>
      <w:r>
        <w:rPr>
          <w:rFonts w:ascii="Cambria" w:hAnsi="Cambria"/>
          <w:sz w:val="20"/>
          <w:szCs w:val="20"/>
        </w:rPr>
        <w:t xml:space="preserve"> </w:t>
      </w:r>
      <w:r w:rsidR="007D5437" w:rsidRPr="007D5437">
        <w:rPr>
          <w:rFonts w:ascii="Cambria" w:hAnsi="Cambria"/>
          <w:sz w:val="20"/>
          <w:szCs w:val="20"/>
        </w:rPr>
        <w:t xml:space="preserve">allege that the exception contemplated in Article 46.2.c of the Convention is applicable given the unjustified delay in </w:t>
      </w:r>
      <w:r w:rsidR="001D421A">
        <w:rPr>
          <w:rFonts w:ascii="Cambria" w:hAnsi="Cambria"/>
          <w:sz w:val="20"/>
          <w:szCs w:val="20"/>
        </w:rPr>
        <w:t>the decision of</w:t>
      </w:r>
      <w:r w:rsidR="007D5437" w:rsidRPr="007D5437">
        <w:rPr>
          <w:rFonts w:ascii="Cambria" w:hAnsi="Cambria"/>
          <w:sz w:val="20"/>
          <w:szCs w:val="20"/>
        </w:rPr>
        <w:t xml:space="preserve"> the acti</w:t>
      </w:r>
      <w:r>
        <w:rPr>
          <w:rFonts w:ascii="Cambria" w:hAnsi="Cambria"/>
          <w:sz w:val="20"/>
          <w:szCs w:val="20"/>
        </w:rPr>
        <w:t>o</w:t>
      </w:r>
      <w:r w:rsidR="004E07AB">
        <w:rPr>
          <w:rFonts w:ascii="Cambria" w:hAnsi="Cambria"/>
          <w:sz w:val="20"/>
          <w:szCs w:val="20"/>
        </w:rPr>
        <w:t>ns undertaken. Additionally, they</w:t>
      </w:r>
      <w:r w:rsidR="007D5437" w:rsidRPr="007D5437">
        <w:rPr>
          <w:rFonts w:ascii="Cambria" w:hAnsi="Cambria"/>
          <w:sz w:val="20"/>
          <w:szCs w:val="20"/>
        </w:rPr>
        <w:t xml:space="preserve"> </w:t>
      </w:r>
      <w:r w:rsidR="001D421A">
        <w:rPr>
          <w:rFonts w:ascii="Cambria" w:hAnsi="Cambria"/>
          <w:sz w:val="20"/>
          <w:szCs w:val="20"/>
        </w:rPr>
        <w:t>affirm</w:t>
      </w:r>
      <w:r w:rsidR="004E07AB">
        <w:rPr>
          <w:rFonts w:ascii="Cambria" w:hAnsi="Cambria"/>
          <w:sz w:val="20"/>
          <w:szCs w:val="20"/>
        </w:rPr>
        <w:t xml:space="preserve"> </w:t>
      </w:r>
      <w:r w:rsidR="007D5437" w:rsidRPr="007D5437">
        <w:rPr>
          <w:rFonts w:ascii="Cambria" w:hAnsi="Cambria"/>
          <w:sz w:val="20"/>
          <w:szCs w:val="20"/>
        </w:rPr>
        <w:t>that</w:t>
      </w:r>
      <w:r w:rsidR="001D421A">
        <w:rPr>
          <w:rFonts w:ascii="Cambria" w:hAnsi="Cambria"/>
          <w:sz w:val="20"/>
          <w:szCs w:val="20"/>
        </w:rPr>
        <w:t>,</w:t>
      </w:r>
      <w:r w:rsidR="007D5437" w:rsidRPr="007D5437">
        <w:rPr>
          <w:rFonts w:ascii="Cambria" w:hAnsi="Cambria"/>
          <w:sz w:val="20"/>
          <w:szCs w:val="20"/>
        </w:rPr>
        <w:t xml:space="preserve"> regarding the </w:t>
      </w:r>
      <w:r w:rsidR="001D421A">
        <w:rPr>
          <w:rFonts w:ascii="Cambria" w:hAnsi="Cambria"/>
          <w:sz w:val="20"/>
          <w:szCs w:val="20"/>
        </w:rPr>
        <w:t>contentious administrative action referred by the State as</w:t>
      </w:r>
      <w:r w:rsidR="007D5437" w:rsidRPr="007D5437">
        <w:rPr>
          <w:rFonts w:ascii="Cambria" w:hAnsi="Cambria"/>
          <w:sz w:val="20"/>
          <w:szCs w:val="20"/>
        </w:rPr>
        <w:t xml:space="preserve"> suitable, the Commission has indicated in its decisions that </w:t>
      </w:r>
      <w:r w:rsidR="00C1751C">
        <w:rPr>
          <w:rFonts w:ascii="Cambria" w:hAnsi="Cambria"/>
          <w:sz w:val="20"/>
          <w:szCs w:val="20"/>
        </w:rPr>
        <w:t>said action</w:t>
      </w:r>
      <w:r w:rsidR="007D5437" w:rsidRPr="007D5437">
        <w:rPr>
          <w:rFonts w:ascii="Cambria" w:hAnsi="Cambria"/>
          <w:sz w:val="20"/>
          <w:szCs w:val="20"/>
        </w:rPr>
        <w:t xml:space="preserve"> seeks only compensation for damages caused, and the protection requested to </w:t>
      </w:r>
      <w:r>
        <w:rPr>
          <w:rFonts w:ascii="Cambria" w:hAnsi="Cambria"/>
          <w:sz w:val="20"/>
          <w:szCs w:val="20"/>
        </w:rPr>
        <w:t>the Commission</w:t>
      </w:r>
      <w:r w:rsidR="00F46C58">
        <w:rPr>
          <w:rFonts w:ascii="Cambria" w:hAnsi="Cambria"/>
          <w:sz w:val="20"/>
          <w:szCs w:val="20"/>
        </w:rPr>
        <w:t xml:space="preserve"> </w:t>
      </w:r>
      <w:r>
        <w:rPr>
          <w:rFonts w:ascii="Cambria" w:hAnsi="Cambria"/>
          <w:sz w:val="20"/>
          <w:szCs w:val="20"/>
        </w:rPr>
        <w:t xml:space="preserve">goes </w:t>
      </w:r>
      <w:r w:rsidR="007D5437" w:rsidRPr="007D5437">
        <w:rPr>
          <w:rFonts w:ascii="Cambria" w:hAnsi="Cambria"/>
          <w:sz w:val="20"/>
          <w:szCs w:val="20"/>
        </w:rPr>
        <w:t>beyond this type of compensation.</w:t>
      </w:r>
      <w:r w:rsidR="001727DA">
        <w:rPr>
          <w:rFonts w:ascii="Cambria" w:hAnsi="Cambria"/>
          <w:sz w:val="20"/>
          <w:szCs w:val="20"/>
        </w:rPr>
        <w:t xml:space="preserve">  </w:t>
      </w:r>
    </w:p>
    <w:p w14:paraId="6953F7A4" w14:textId="08566B67" w:rsidR="00F621C3" w:rsidRDefault="00605DD6" w:rsidP="00C87A55">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rPr>
        <w:t>The State</w:t>
      </w:r>
      <w:r w:rsidR="007D5437" w:rsidRPr="00E81FC2">
        <w:rPr>
          <w:sz w:val="20"/>
          <w:szCs w:val="20"/>
        </w:rPr>
        <w:t xml:space="preserve"> alleges that the facts </w:t>
      </w:r>
      <w:r>
        <w:rPr>
          <w:sz w:val="20"/>
          <w:szCs w:val="20"/>
        </w:rPr>
        <w:t>reported</w:t>
      </w:r>
      <w:r w:rsidR="007D5437" w:rsidRPr="00E81FC2">
        <w:rPr>
          <w:sz w:val="20"/>
          <w:szCs w:val="20"/>
        </w:rPr>
        <w:t xml:space="preserve"> are groundless, and that the context, which has no</w:t>
      </w:r>
      <w:r w:rsidR="000B5E19" w:rsidRPr="00E81FC2">
        <w:rPr>
          <w:sz w:val="20"/>
          <w:szCs w:val="20"/>
        </w:rPr>
        <w:t>t been proven, can</w:t>
      </w:r>
      <w:r w:rsidR="007D5437" w:rsidRPr="00E81FC2">
        <w:rPr>
          <w:sz w:val="20"/>
          <w:szCs w:val="20"/>
        </w:rPr>
        <w:t>not be considered to determine the State's international responsibility in this case, since there is no connection bet</w:t>
      </w:r>
      <w:r w:rsidR="00D93426">
        <w:rPr>
          <w:sz w:val="20"/>
          <w:szCs w:val="20"/>
        </w:rPr>
        <w:t>ween the specific case and the a</w:t>
      </w:r>
      <w:r w:rsidR="007D5437" w:rsidRPr="00E81FC2">
        <w:rPr>
          <w:sz w:val="20"/>
          <w:szCs w:val="20"/>
        </w:rPr>
        <w:t>lleged context of violation of the rights of the LGBTI population. In addition, it rejects the existence of state inactivity in cases of LGBTI victims, and refers to various public policies established in order to prosecute the crimes perpetrated against the LGBTI community.</w:t>
      </w:r>
    </w:p>
    <w:p w14:paraId="1A2BC072" w14:textId="547A8F45" w:rsidR="00E81FC2" w:rsidRPr="00E81FC2" w:rsidRDefault="00C87A55" w:rsidP="00C87A5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rPr>
        <w:t>6.</w:t>
      </w:r>
      <w:r>
        <w:rPr>
          <w:sz w:val="20"/>
          <w:szCs w:val="20"/>
        </w:rPr>
        <w:tab/>
      </w:r>
      <w:r w:rsidR="00E81FC2" w:rsidRPr="00E81FC2">
        <w:rPr>
          <w:sz w:val="20"/>
          <w:szCs w:val="20"/>
        </w:rPr>
        <w:t>It argues that</w:t>
      </w:r>
      <w:r w:rsidR="00E81FC2">
        <w:rPr>
          <w:sz w:val="20"/>
          <w:szCs w:val="20"/>
        </w:rPr>
        <w:t xml:space="preserve"> the petition is inadmissible due to</w:t>
      </w:r>
      <w:r w:rsidR="00E81FC2" w:rsidRPr="00E81FC2">
        <w:rPr>
          <w:sz w:val="20"/>
          <w:szCs w:val="20"/>
        </w:rPr>
        <w:t xml:space="preserve"> lack of exhaustion of domestic remedies, since the investigation is still open. It indicates that the alleged victim reported the facts in 2009 and that the Office of the Prosecutor, after analyzing the complaint, o</w:t>
      </w:r>
      <w:r w:rsidR="00D93426">
        <w:rPr>
          <w:sz w:val="20"/>
          <w:szCs w:val="20"/>
        </w:rPr>
        <w:t xml:space="preserve">n August 29, 2009, forwarded </w:t>
      </w:r>
      <w:r w:rsidR="006B5B20">
        <w:rPr>
          <w:sz w:val="20"/>
          <w:szCs w:val="20"/>
        </w:rPr>
        <w:t>it</w:t>
      </w:r>
      <w:r w:rsidR="00E81FC2" w:rsidRPr="00E81FC2">
        <w:rPr>
          <w:sz w:val="20"/>
          <w:szCs w:val="20"/>
        </w:rPr>
        <w:t xml:space="preserve"> to the </w:t>
      </w:r>
      <w:r w:rsidR="00D93426">
        <w:rPr>
          <w:sz w:val="20"/>
          <w:szCs w:val="20"/>
        </w:rPr>
        <w:t>Secretariat</w:t>
      </w:r>
      <w:r w:rsidR="00E81FC2" w:rsidRPr="00E81FC2">
        <w:rPr>
          <w:sz w:val="20"/>
          <w:szCs w:val="20"/>
        </w:rPr>
        <w:t xml:space="preserve"> of the Mayor's Office of </w:t>
      </w:r>
      <w:proofErr w:type="spellStart"/>
      <w:r w:rsidR="00E81FC2" w:rsidRPr="00E81FC2">
        <w:rPr>
          <w:sz w:val="20"/>
          <w:szCs w:val="20"/>
        </w:rPr>
        <w:t>Dagua</w:t>
      </w:r>
      <w:proofErr w:type="spellEnd"/>
      <w:r w:rsidR="00E81FC2" w:rsidRPr="00E81FC2">
        <w:rPr>
          <w:sz w:val="20"/>
          <w:szCs w:val="20"/>
        </w:rPr>
        <w:t xml:space="preserve">, Valle del Cauca, on the grounds that </w:t>
      </w:r>
      <w:r w:rsidR="006B5B20">
        <w:rPr>
          <w:sz w:val="20"/>
          <w:szCs w:val="20"/>
        </w:rPr>
        <w:t xml:space="preserve">the </w:t>
      </w:r>
      <w:r w:rsidR="00E81FC2" w:rsidRPr="00E81FC2">
        <w:rPr>
          <w:sz w:val="20"/>
          <w:szCs w:val="20"/>
        </w:rPr>
        <w:t xml:space="preserve">facts were raised by problems of coexistence, and therefore </w:t>
      </w:r>
      <w:r w:rsidR="006B5B20">
        <w:rPr>
          <w:sz w:val="20"/>
          <w:szCs w:val="20"/>
        </w:rPr>
        <w:t xml:space="preserve">they were </w:t>
      </w:r>
      <w:r w:rsidR="00E81FC2" w:rsidRPr="00E81FC2">
        <w:rPr>
          <w:sz w:val="20"/>
          <w:szCs w:val="20"/>
        </w:rPr>
        <w:t xml:space="preserve">of a </w:t>
      </w:r>
      <w:r w:rsidR="00D93426" w:rsidRPr="000411A7">
        <w:rPr>
          <w:sz w:val="20"/>
          <w:szCs w:val="20"/>
        </w:rPr>
        <w:t>contravention</w:t>
      </w:r>
      <w:r w:rsidR="00E81FC2" w:rsidRPr="00E81FC2">
        <w:rPr>
          <w:sz w:val="20"/>
          <w:szCs w:val="20"/>
        </w:rPr>
        <w:t xml:space="preserve"> nature. It indicates that in turn, the Government</w:t>
      </w:r>
      <w:r w:rsidR="00D93426">
        <w:rPr>
          <w:sz w:val="20"/>
          <w:szCs w:val="20"/>
        </w:rPr>
        <w:t xml:space="preserve"> </w:t>
      </w:r>
      <w:r w:rsidR="00D93426" w:rsidRPr="00E81FC2">
        <w:rPr>
          <w:sz w:val="20"/>
          <w:szCs w:val="20"/>
        </w:rPr>
        <w:t>Secretary</w:t>
      </w:r>
      <w:r w:rsidR="00E81FC2" w:rsidRPr="00E81FC2">
        <w:rPr>
          <w:sz w:val="20"/>
          <w:szCs w:val="20"/>
        </w:rPr>
        <w:t>, in compliance with the decision of the Sectional Council of th</w:t>
      </w:r>
      <w:r w:rsidR="00D93426">
        <w:rPr>
          <w:sz w:val="20"/>
          <w:szCs w:val="20"/>
        </w:rPr>
        <w:t>e Judicature in Cauca Valle</w:t>
      </w:r>
      <w:r w:rsidR="00E81FC2" w:rsidRPr="00E81FC2">
        <w:rPr>
          <w:sz w:val="20"/>
          <w:szCs w:val="20"/>
        </w:rPr>
        <w:t xml:space="preserve">, which resolved a conflict of </w:t>
      </w:r>
      <w:r w:rsidR="00D93426">
        <w:rPr>
          <w:sz w:val="20"/>
          <w:szCs w:val="20"/>
        </w:rPr>
        <w:t>jurisdiction</w:t>
      </w:r>
      <w:r w:rsidR="00E81FC2" w:rsidRPr="00E81FC2">
        <w:rPr>
          <w:sz w:val="20"/>
          <w:szCs w:val="20"/>
        </w:rPr>
        <w:t>, sent t</w:t>
      </w:r>
      <w:r w:rsidR="00D93426">
        <w:rPr>
          <w:sz w:val="20"/>
          <w:szCs w:val="20"/>
        </w:rPr>
        <w:t xml:space="preserve">he matter to the </w:t>
      </w:r>
      <w:proofErr w:type="spellStart"/>
      <w:r w:rsidR="006B5B20" w:rsidRPr="00E81FC2">
        <w:rPr>
          <w:sz w:val="20"/>
          <w:szCs w:val="20"/>
        </w:rPr>
        <w:t>Dagua</w:t>
      </w:r>
      <w:r w:rsidR="006B5B20">
        <w:rPr>
          <w:sz w:val="20"/>
          <w:szCs w:val="20"/>
        </w:rPr>
        <w:t>’s</w:t>
      </w:r>
      <w:proofErr w:type="spellEnd"/>
      <w:r w:rsidR="006B5B20">
        <w:rPr>
          <w:sz w:val="20"/>
          <w:szCs w:val="20"/>
        </w:rPr>
        <w:t xml:space="preserve"> </w:t>
      </w:r>
      <w:r w:rsidR="00D93426">
        <w:rPr>
          <w:sz w:val="20"/>
          <w:szCs w:val="20"/>
        </w:rPr>
        <w:t>Contraventions O</w:t>
      </w:r>
      <w:r w:rsidR="00D93426" w:rsidRPr="00E81FC2">
        <w:rPr>
          <w:sz w:val="20"/>
          <w:szCs w:val="20"/>
        </w:rPr>
        <w:t>ffice</w:t>
      </w:r>
      <w:r w:rsidR="00E81FC2" w:rsidRPr="00E81FC2">
        <w:rPr>
          <w:sz w:val="20"/>
          <w:szCs w:val="20"/>
        </w:rPr>
        <w:t xml:space="preserve"> </w:t>
      </w:r>
      <w:r w:rsidR="00D93426">
        <w:rPr>
          <w:sz w:val="20"/>
          <w:szCs w:val="20"/>
        </w:rPr>
        <w:t>of the Police</w:t>
      </w:r>
      <w:r w:rsidR="00E81FC2" w:rsidRPr="00E81FC2">
        <w:rPr>
          <w:sz w:val="20"/>
          <w:szCs w:val="20"/>
        </w:rPr>
        <w:t xml:space="preserve"> on November 30, 2009, </w:t>
      </w:r>
      <w:r w:rsidR="00D93426">
        <w:rPr>
          <w:sz w:val="20"/>
          <w:szCs w:val="20"/>
        </w:rPr>
        <w:t>which is the office</w:t>
      </w:r>
      <w:r w:rsidR="00E81FC2" w:rsidRPr="00E81FC2">
        <w:rPr>
          <w:sz w:val="20"/>
          <w:szCs w:val="20"/>
        </w:rPr>
        <w:t xml:space="preserve"> investigating the facts. It alleges that, because these were facts that affected the healthy coexistence of the alleged victim, the authority considered that they should be investigated as a </w:t>
      </w:r>
      <w:r w:rsidR="00E81FC2" w:rsidRPr="000411A7">
        <w:rPr>
          <w:sz w:val="20"/>
          <w:szCs w:val="20"/>
        </w:rPr>
        <w:t>contravention</w:t>
      </w:r>
      <w:r w:rsidR="00E81FC2" w:rsidRPr="00E81FC2">
        <w:rPr>
          <w:sz w:val="20"/>
          <w:szCs w:val="20"/>
        </w:rPr>
        <w:t>, which does not constitute a discriminatory act, but rather is an assessment of facts based on the legal system of the moment.</w:t>
      </w:r>
    </w:p>
    <w:p w14:paraId="1B829C86" w14:textId="0507F5A3" w:rsidR="00E81FC2" w:rsidRPr="00E81FC2" w:rsidRDefault="00E81FC2" w:rsidP="00C87A5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E81FC2">
        <w:rPr>
          <w:sz w:val="20"/>
          <w:szCs w:val="20"/>
        </w:rPr>
        <w:t>7.</w:t>
      </w:r>
      <w:r w:rsidR="00C87A55">
        <w:rPr>
          <w:sz w:val="20"/>
          <w:szCs w:val="20"/>
        </w:rPr>
        <w:tab/>
      </w:r>
      <w:r w:rsidRPr="00E81FC2">
        <w:rPr>
          <w:sz w:val="20"/>
          <w:szCs w:val="20"/>
        </w:rPr>
        <w:t xml:space="preserve">It adds that both the </w:t>
      </w:r>
      <w:r w:rsidR="00B4025A">
        <w:rPr>
          <w:sz w:val="20"/>
          <w:szCs w:val="20"/>
        </w:rPr>
        <w:t>ombudsman office from</w:t>
      </w:r>
      <w:r w:rsidRPr="00E81FC2">
        <w:rPr>
          <w:sz w:val="20"/>
          <w:szCs w:val="20"/>
        </w:rPr>
        <w:t xml:space="preserve"> Santiago de Cali </w:t>
      </w:r>
      <w:r w:rsidR="00B4025A">
        <w:rPr>
          <w:sz w:val="20"/>
          <w:szCs w:val="20"/>
        </w:rPr>
        <w:t>as well as the ombudsman office from</w:t>
      </w:r>
      <w:r w:rsidRPr="00E81FC2">
        <w:rPr>
          <w:sz w:val="20"/>
          <w:szCs w:val="20"/>
        </w:rPr>
        <w:t xml:space="preserve"> </w:t>
      </w:r>
      <w:proofErr w:type="spellStart"/>
      <w:r w:rsidRPr="00E81FC2">
        <w:rPr>
          <w:sz w:val="20"/>
          <w:szCs w:val="20"/>
        </w:rPr>
        <w:t>Dagua</w:t>
      </w:r>
      <w:proofErr w:type="spellEnd"/>
      <w:r w:rsidRPr="00E81FC2">
        <w:rPr>
          <w:sz w:val="20"/>
          <w:szCs w:val="20"/>
        </w:rPr>
        <w:t xml:space="preserve"> have followed up on the case, guiding the alleged </w:t>
      </w:r>
      <w:r>
        <w:rPr>
          <w:sz w:val="20"/>
          <w:szCs w:val="20"/>
        </w:rPr>
        <w:t xml:space="preserve">victim in the process within </w:t>
      </w:r>
      <w:r w:rsidR="00B4025A">
        <w:rPr>
          <w:sz w:val="20"/>
          <w:szCs w:val="20"/>
        </w:rPr>
        <w:t>their jurisdiction</w:t>
      </w:r>
      <w:r w:rsidRPr="00E81FC2">
        <w:rPr>
          <w:sz w:val="20"/>
          <w:szCs w:val="20"/>
        </w:rPr>
        <w:t>. It also indicates that the aut</w:t>
      </w:r>
      <w:r w:rsidR="00BF117C">
        <w:rPr>
          <w:sz w:val="20"/>
          <w:szCs w:val="20"/>
        </w:rPr>
        <w:t>horities took</w:t>
      </w:r>
      <w:r w:rsidRPr="00E81FC2">
        <w:rPr>
          <w:sz w:val="20"/>
          <w:szCs w:val="20"/>
        </w:rPr>
        <w:t xml:space="preserve"> the matter to the R</w:t>
      </w:r>
      <w:r>
        <w:rPr>
          <w:sz w:val="20"/>
          <w:szCs w:val="20"/>
        </w:rPr>
        <w:t xml:space="preserve">egional </w:t>
      </w:r>
      <w:r w:rsidR="00B4025A">
        <w:rPr>
          <w:sz w:val="20"/>
          <w:szCs w:val="20"/>
        </w:rPr>
        <w:t xml:space="preserve">Attorney´s Office </w:t>
      </w:r>
      <w:r>
        <w:rPr>
          <w:sz w:val="20"/>
          <w:szCs w:val="20"/>
        </w:rPr>
        <w:t>of Valle</w:t>
      </w:r>
      <w:r w:rsidRPr="00E81FC2">
        <w:rPr>
          <w:sz w:val="20"/>
          <w:szCs w:val="20"/>
        </w:rPr>
        <w:t>, in order to analyze the facts within the disciplinary jurisdiction and establish possible penalties. Therefore, it argues that the investigation remains open, so the complaint does not meet the requirement of admissibility related to the exhaustion of domestic remedies.</w:t>
      </w:r>
    </w:p>
    <w:p w14:paraId="7CBB829D" w14:textId="16E3933B" w:rsidR="00E81FC2" w:rsidRPr="00E81FC2" w:rsidRDefault="00E81FC2" w:rsidP="00C87A5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proofErr w:type="gramStart"/>
      <w:r w:rsidRPr="00E81FC2">
        <w:rPr>
          <w:sz w:val="20"/>
          <w:szCs w:val="20"/>
        </w:rPr>
        <w:t>8.</w:t>
      </w:r>
      <w:r w:rsidR="00C87A55">
        <w:rPr>
          <w:sz w:val="20"/>
          <w:szCs w:val="20"/>
        </w:rPr>
        <w:tab/>
      </w:r>
      <w:r w:rsidRPr="00E81FC2">
        <w:rPr>
          <w:sz w:val="20"/>
          <w:szCs w:val="20"/>
        </w:rPr>
        <w:t>It adds that, although the exposed facts do not result in direct liability of State agen</w:t>
      </w:r>
      <w:r w:rsidR="0073081B">
        <w:rPr>
          <w:sz w:val="20"/>
          <w:szCs w:val="20"/>
        </w:rPr>
        <w:t>ts in the commission thereof, in order to</w:t>
      </w:r>
      <w:r w:rsidRPr="00E81FC2">
        <w:rPr>
          <w:sz w:val="20"/>
          <w:szCs w:val="20"/>
        </w:rPr>
        <w:t xml:space="preserve"> analyze a possible responsibility of the State for failing in its duty of protection, it argues that</w:t>
      </w:r>
      <w:r w:rsidR="0073081B">
        <w:rPr>
          <w:sz w:val="20"/>
          <w:szCs w:val="20"/>
        </w:rPr>
        <w:t xml:space="preserve"> it is necessary to exhaust the action for </w:t>
      </w:r>
      <w:r w:rsidRPr="00E81FC2">
        <w:rPr>
          <w:sz w:val="20"/>
          <w:szCs w:val="20"/>
        </w:rPr>
        <w:t>direct</w:t>
      </w:r>
      <w:r w:rsidR="0073081B">
        <w:rPr>
          <w:sz w:val="20"/>
          <w:szCs w:val="20"/>
        </w:rPr>
        <w:t xml:space="preserve"> reparation </w:t>
      </w:r>
      <w:r w:rsidRPr="00E81FC2">
        <w:rPr>
          <w:sz w:val="20"/>
          <w:szCs w:val="20"/>
        </w:rPr>
        <w:t xml:space="preserve">before the </w:t>
      </w:r>
      <w:r w:rsidR="0073081B" w:rsidRPr="0073081B">
        <w:rPr>
          <w:sz w:val="20"/>
          <w:szCs w:val="20"/>
        </w:rPr>
        <w:t xml:space="preserve">administrative law court </w:t>
      </w:r>
      <w:r w:rsidR="0073081B">
        <w:rPr>
          <w:sz w:val="20"/>
          <w:szCs w:val="20"/>
        </w:rPr>
        <w:t>jurisdiction, seeking to request</w:t>
      </w:r>
      <w:r w:rsidRPr="00E81FC2">
        <w:rPr>
          <w:sz w:val="20"/>
          <w:szCs w:val="20"/>
        </w:rPr>
        <w:t xml:space="preserve"> compensation for the damages that the alleged victim would have suffered, which would allow the State to have the opportunity to analyze its possible responsibility in the face of the facts.</w:t>
      </w:r>
      <w:proofErr w:type="gramEnd"/>
      <w:r w:rsidRPr="00E81FC2">
        <w:rPr>
          <w:sz w:val="20"/>
          <w:szCs w:val="20"/>
        </w:rPr>
        <w:t xml:space="preserve"> It </w:t>
      </w:r>
      <w:r w:rsidR="0073081B">
        <w:rPr>
          <w:sz w:val="20"/>
          <w:szCs w:val="20"/>
        </w:rPr>
        <w:t>states</w:t>
      </w:r>
      <w:r w:rsidRPr="00E81FC2">
        <w:rPr>
          <w:sz w:val="20"/>
          <w:szCs w:val="20"/>
        </w:rPr>
        <w:t xml:space="preserve"> that the legal system offers effective remedies for the protection of the rights allegedly violated, those that are </w:t>
      </w:r>
      <w:r w:rsidR="0073081B">
        <w:rPr>
          <w:sz w:val="20"/>
          <w:szCs w:val="20"/>
        </w:rPr>
        <w:t>defined</w:t>
      </w:r>
      <w:r w:rsidRPr="00E81FC2">
        <w:rPr>
          <w:sz w:val="20"/>
          <w:szCs w:val="20"/>
        </w:rPr>
        <w:t xml:space="preserve"> in accordance with due process, </w:t>
      </w:r>
      <w:r w:rsidR="00BF117C">
        <w:rPr>
          <w:sz w:val="20"/>
          <w:szCs w:val="20"/>
        </w:rPr>
        <w:t xml:space="preserve">and </w:t>
      </w:r>
      <w:r w:rsidRPr="00E81FC2">
        <w:rPr>
          <w:sz w:val="20"/>
          <w:szCs w:val="20"/>
        </w:rPr>
        <w:t>the alleged victim</w:t>
      </w:r>
      <w:r>
        <w:rPr>
          <w:sz w:val="20"/>
          <w:szCs w:val="20"/>
        </w:rPr>
        <w:t xml:space="preserve"> has not been prevented from interposing</w:t>
      </w:r>
      <w:r w:rsidRPr="00E81FC2">
        <w:rPr>
          <w:sz w:val="20"/>
          <w:szCs w:val="20"/>
        </w:rPr>
        <w:t xml:space="preserve">. It also states that there is no unjustified delay in the decision of domestic remedies since, although the facts would have occurred in 2005, and were </w:t>
      </w:r>
      <w:r w:rsidR="0073081B">
        <w:rPr>
          <w:sz w:val="20"/>
          <w:szCs w:val="20"/>
        </w:rPr>
        <w:t>reported</w:t>
      </w:r>
      <w:r w:rsidRPr="00E81FC2">
        <w:rPr>
          <w:sz w:val="20"/>
          <w:szCs w:val="20"/>
        </w:rPr>
        <w:t xml:space="preserve"> in 2009, date from which various measures have been taken to clarify the facts and determine responsibilities derived from them, and grant the corresponding repairs.</w:t>
      </w:r>
    </w:p>
    <w:p w14:paraId="408EBB3E" w14:textId="4D653CDF" w:rsidR="00E81FC2" w:rsidRPr="00E81FC2" w:rsidRDefault="00E81FC2" w:rsidP="00C87A5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E81FC2">
        <w:rPr>
          <w:sz w:val="20"/>
          <w:szCs w:val="20"/>
        </w:rPr>
        <w:t>9.</w:t>
      </w:r>
      <w:r w:rsidR="00C87A55">
        <w:rPr>
          <w:sz w:val="20"/>
          <w:szCs w:val="20"/>
        </w:rPr>
        <w:tab/>
      </w:r>
      <w:r w:rsidRPr="00E81FC2">
        <w:rPr>
          <w:sz w:val="20"/>
          <w:szCs w:val="20"/>
        </w:rPr>
        <w:t xml:space="preserve">In addition, it states that since April 2005 the alleged victim </w:t>
      </w:r>
      <w:proofErr w:type="gramStart"/>
      <w:r w:rsidRPr="00E81FC2">
        <w:rPr>
          <w:sz w:val="20"/>
          <w:szCs w:val="20"/>
        </w:rPr>
        <w:t>is registered</w:t>
      </w:r>
      <w:proofErr w:type="gramEnd"/>
      <w:r w:rsidRPr="00E81FC2">
        <w:rPr>
          <w:sz w:val="20"/>
          <w:szCs w:val="20"/>
        </w:rPr>
        <w:t xml:space="preserve"> in the Victims' Registry in accordance with the statement that she gave, including her partner, specifying the measures adopted in relation to her. It adds that although there are no grounds to attribute responsibility to state agents in the facts, the State, in compliance with the duty to guarantee the rights of the persons under its jurisdiction, has provided various measures to ensure the effective enjoyment of the rights of </w:t>
      </w:r>
      <w:proofErr w:type="spellStart"/>
      <w:r w:rsidRPr="00E81FC2">
        <w:rPr>
          <w:sz w:val="20"/>
          <w:szCs w:val="20"/>
        </w:rPr>
        <w:t>Raiza</w:t>
      </w:r>
      <w:proofErr w:type="spellEnd"/>
      <w:r w:rsidRPr="00E81FC2">
        <w:rPr>
          <w:sz w:val="20"/>
          <w:szCs w:val="20"/>
        </w:rPr>
        <w:t xml:space="preserve"> Salazar.</w:t>
      </w:r>
    </w:p>
    <w:p w14:paraId="186CF88A" w14:textId="77777777" w:rsidR="009101E0" w:rsidRPr="000B6B7A" w:rsidRDefault="009101E0" w:rsidP="009101E0">
      <w:pPr>
        <w:spacing w:before="240" w:after="240"/>
        <w:ind w:left="1440" w:hanging="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lastRenderedPageBreak/>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6B4999AD" w14:textId="675F0D89" w:rsidR="00E81FC2" w:rsidRDefault="00E81FC2" w:rsidP="00C87A5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E81FC2">
        <w:rPr>
          <w:sz w:val="20"/>
          <w:szCs w:val="20"/>
        </w:rPr>
        <w:t>10.</w:t>
      </w:r>
      <w:r w:rsidR="00C87A55">
        <w:rPr>
          <w:sz w:val="20"/>
          <w:szCs w:val="20"/>
        </w:rPr>
        <w:tab/>
      </w:r>
      <w:r w:rsidRPr="00E81FC2">
        <w:rPr>
          <w:sz w:val="20"/>
          <w:szCs w:val="20"/>
        </w:rPr>
        <w:t>The petitioner</w:t>
      </w:r>
      <w:r w:rsidR="00736332">
        <w:rPr>
          <w:sz w:val="20"/>
          <w:szCs w:val="20"/>
        </w:rPr>
        <w:t>s</w:t>
      </w:r>
      <w:r w:rsidRPr="00E81FC2">
        <w:rPr>
          <w:sz w:val="20"/>
          <w:szCs w:val="20"/>
        </w:rPr>
        <w:t xml:space="preserve"> allege that the exception contemplated in Article 46.2.c of the Convention is applicable given the unjustified delay in </w:t>
      </w:r>
      <w:r w:rsidR="00736332">
        <w:rPr>
          <w:sz w:val="20"/>
          <w:szCs w:val="20"/>
        </w:rPr>
        <w:t>the decision of</w:t>
      </w:r>
      <w:r w:rsidRPr="00E81FC2">
        <w:rPr>
          <w:sz w:val="20"/>
          <w:szCs w:val="20"/>
        </w:rPr>
        <w:t xml:space="preserve"> the actions taken, and affirm that </w:t>
      </w:r>
      <w:r w:rsidR="00736332" w:rsidRPr="007D5437">
        <w:rPr>
          <w:sz w:val="20"/>
          <w:szCs w:val="20"/>
        </w:rPr>
        <w:t xml:space="preserve">the </w:t>
      </w:r>
      <w:r w:rsidR="00736332">
        <w:rPr>
          <w:sz w:val="20"/>
          <w:szCs w:val="20"/>
        </w:rPr>
        <w:t xml:space="preserve">contentious administrative action </w:t>
      </w:r>
      <w:proofErr w:type="gramStart"/>
      <w:r w:rsidRPr="00E81FC2">
        <w:rPr>
          <w:sz w:val="20"/>
          <w:szCs w:val="20"/>
        </w:rPr>
        <w:t>is not intended</w:t>
      </w:r>
      <w:proofErr w:type="gramEnd"/>
      <w:r w:rsidRPr="00E81FC2">
        <w:rPr>
          <w:sz w:val="20"/>
          <w:szCs w:val="20"/>
        </w:rPr>
        <w:t xml:space="preserve"> to </w:t>
      </w:r>
      <w:r w:rsidR="00C77ED8" w:rsidRPr="00E81FC2">
        <w:rPr>
          <w:sz w:val="20"/>
          <w:szCs w:val="20"/>
        </w:rPr>
        <w:t>safeguard</w:t>
      </w:r>
      <w:r w:rsidRPr="00E81FC2">
        <w:rPr>
          <w:sz w:val="20"/>
          <w:szCs w:val="20"/>
        </w:rPr>
        <w:t xml:space="preserve"> the rights </w:t>
      </w:r>
      <w:r w:rsidR="00736332">
        <w:rPr>
          <w:sz w:val="20"/>
          <w:szCs w:val="20"/>
        </w:rPr>
        <w:t>they seek</w:t>
      </w:r>
      <w:r w:rsidRPr="00E81FC2">
        <w:rPr>
          <w:sz w:val="20"/>
          <w:szCs w:val="20"/>
        </w:rPr>
        <w:t xml:space="preserve"> to protect, so it is not an appropriate </w:t>
      </w:r>
      <w:r w:rsidR="00CF22FF">
        <w:rPr>
          <w:sz w:val="20"/>
          <w:szCs w:val="20"/>
        </w:rPr>
        <w:t>remedy</w:t>
      </w:r>
      <w:r w:rsidRPr="00E81FC2">
        <w:rPr>
          <w:sz w:val="20"/>
          <w:szCs w:val="20"/>
        </w:rPr>
        <w:t xml:space="preserve"> for th</w:t>
      </w:r>
      <w:r w:rsidR="00CF22FF">
        <w:rPr>
          <w:sz w:val="20"/>
          <w:szCs w:val="20"/>
        </w:rPr>
        <w:t>is</w:t>
      </w:r>
      <w:r w:rsidRPr="00E81FC2">
        <w:rPr>
          <w:sz w:val="20"/>
          <w:szCs w:val="20"/>
        </w:rPr>
        <w:t xml:space="preserve"> purpose.</w:t>
      </w:r>
      <w:r w:rsidR="00075C6F">
        <w:rPr>
          <w:sz w:val="20"/>
          <w:szCs w:val="20"/>
        </w:rPr>
        <w:t xml:space="preserve"> </w:t>
      </w:r>
      <w:r w:rsidR="00736332">
        <w:rPr>
          <w:sz w:val="20"/>
          <w:szCs w:val="20"/>
        </w:rPr>
        <w:t>For its part</w:t>
      </w:r>
      <w:r w:rsidR="00075C6F">
        <w:rPr>
          <w:sz w:val="20"/>
          <w:szCs w:val="20"/>
        </w:rPr>
        <w:t>, the State argue</w:t>
      </w:r>
      <w:r w:rsidRPr="00E81FC2">
        <w:rPr>
          <w:sz w:val="20"/>
          <w:szCs w:val="20"/>
        </w:rPr>
        <w:t xml:space="preserve">s that there is a lack of exhaustion of domestic remedies, since the investigation is still open, and that the alleged victim must have exhausted the action for direct reparation before the </w:t>
      </w:r>
      <w:r w:rsidR="009101E0" w:rsidRPr="009101E0">
        <w:rPr>
          <w:sz w:val="20"/>
          <w:szCs w:val="20"/>
        </w:rPr>
        <w:t>administrative law court</w:t>
      </w:r>
      <w:r w:rsidR="009101E0">
        <w:rPr>
          <w:sz w:val="20"/>
          <w:szCs w:val="20"/>
        </w:rPr>
        <w:t xml:space="preserve"> </w:t>
      </w:r>
      <w:r w:rsidRPr="00E81FC2">
        <w:rPr>
          <w:sz w:val="20"/>
          <w:szCs w:val="20"/>
        </w:rPr>
        <w:t>jurisdiction in order to request compensation for the damages suffered.</w:t>
      </w:r>
    </w:p>
    <w:p w14:paraId="323A4156" w14:textId="1C6C9BFB" w:rsidR="006A7964" w:rsidRPr="006A7964" w:rsidRDefault="006A7964" w:rsidP="00C87A5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proofErr w:type="gramStart"/>
      <w:r w:rsidRPr="006A7964">
        <w:rPr>
          <w:sz w:val="20"/>
          <w:szCs w:val="20"/>
        </w:rPr>
        <w:t>11.</w:t>
      </w:r>
      <w:r w:rsidR="00C87A55">
        <w:rPr>
          <w:sz w:val="20"/>
          <w:szCs w:val="20"/>
        </w:rPr>
        <w:tab/>
      </w:r>
      <w:r w:rsidRPr="006A7964">
        <w:rPr>
          <w:sz w:val="20"/>
          <w:szCs w:val="20"/>
        </w:rPr>
        <w:t xml:space="preserve">The Commission has established that, </w:t>
      </w:r>
      <w:r w:rsidR="009101E0" w:rsidRPr="009101E0">
        <w:rPr>
          <w:sz w:val="20"/>
          <w:szCs w:val="20"/>
        </w:rPr>
        <w:t xml:space="preserve">whenever </w:t>
      </w:r>
      <w:r w:rsidR="00E31060">
        <w:rPr>
          <w:sz w:val="20"/>
          <w:szCs w:val="20"/>
        </w:rPr>
        <w:t>an alleged offense is prosecuted ex officio</w:t>
      </w:r>
      <w:r w:rsidRPr="006A7964">
        <w:rPr>
          <w:sz w:val="20"/>
          <w:szCs w:val="20"/>
        </w:rPr>
        <w:t xml:space="preserve">, in the instant case alleged acts of violence, threats and persecution based on the identity and gender expression of the alleged victim, the State has the obligation to promote and </w:t>
      </w:r>
      <w:r>
        <w:rPr>
          <w:sz w:val="20"/>
          <w:szCs w:val="20"/>
        </w:rPr>
        <w:t>driv</w:t>
      </w:r>
      <w:r w:rsidRPr="006A7964">
        <w:rPr>
          <w:sz w:val="20"/>
          <w:szCs w:val="20"/>
        </w:rPr>
        <w:t>e criminal proceedings and, in those cases, this is the best way to clarify the facts, judge those responsible and establish the corresponding criminal penalties</w:t>
      </w:r>
      <w:r w:rsidR="0028613B">
        <w:rPr>
          <w:rStyle w:val="FootnoteReference"/>
          <w:sz w:val="20"/>
          <w:szCs w:val="20"/>
        </w:rPr>
        <w:footnoteReference w:id="8"/>
      </w:r>
      <w:r w:rsidRPr="006A7964">
        <w:rPr>
          <w:sz w:val="20"/>
          <w:szCs w:val="20"/>
        </w:rPr>
        <w:t>.</w:t>
      </w:r>
      <w:proofErr w:type="gramEnd"/>
      <w:r w:rsidRPr="006A7964">
        <w:rPr>
          <w:sz w:val="20"/>
          <w:szCs w:val="20"/>
        </w:rPr>
        <w:t xml:space="preserve"> Additionally, in relation to </w:t>
      </w:r>
      <w:r w:rsidR="009101E0" w:rsidRPr="009101E0">
        <w:rPr>
          <w:sz w:val="20"/>
          <w:szCs w:val="20"/>
        </w:rPr>
        <w:t>administrative law court</w:t>
      </w:r>
      <w:r w:rsidRPr="006A7964">
        <w:rPr>
          <w:sz w:val="20"/>
          <w:szCs w:val="20"/>
        </w:rPr>
        <w:t xml:space="preserve"> process, th</w:t>
      </w:r>
      <w:r>
        <w:rPr>
          <w:sz w:val="20"/>
          <w:szCs w:val="20"/>
        </w:rPr>
        <w:t>e Commission has repeatedly argued</w:t>
      </w:r>
      <w:r w:rsidRPr="006A7964">
        <w:rPr>
          <w:sz w:val="20"/>
          <w:szCs w:val="20"/>
        </w:rPr>
        <w:t xml:space="preserve"> that such a route does not constitute an appropriate remedy for the purposes of analyzing the admissibility of a claim of </w:t>
      </w:r>
      <w:r w:rsidR="006457C6">
        <w:rPr>
          <w:sz w:val="20"/>
          <w:szCs w:val="20"/>
        </w:rPr>
        <w:t xml:space="preserve">such </w:t>
      </w:r>
      <w:r w:rsidRPr="006A7964">
        <w:rPr>
          <w:sz w:val="20"/>
          <w:szCs w:val="20"/>
        </w:rPr>
        <w:t>nature, since it is not adequate to provide comprehensive compensation and justice to family members</w:t>
      </w:r>
      <w:r w:rsidR="0028613B">
        <w:rPr>
          <w:rStyle w:val="FootnoteReference"/>
          <w:sz w:val="20"/>
          <w:szCs w:val="20"/>
        </w:rPr>
        <w:footnoteReference w:id="9"/>
      </w:r>
      <w:r w:rsidRPr="006A7964">
        <w:rPr>
          <w:sz w:val="20"/>
          <w:szCs w:val="20"/>
        </w:rPr>
        <w:t>.</w:t>
      </w:r>
    </w:p>
    <w:p w14:paraId="7FE9410D" w14:textId="471E6D7C" w:rsidR="006A7964" w:rsidRPr="006A7964" w:rsidRDefault="006A7964" w:rsidP="00C87A5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6A7964">
        <w:rPr>
          <w:sz w:val="20"/>
          <w:szCs w:val="20"/>
        </w:rPr>
        <w:t>12.</w:t>
      </w:r>
      <w:r w:rsidR="00C87A55">
        <w:rPr>
          <w:sz w:val="20"/>
          <w:szCs w:val="20"/>
        </w:rPr>
        <w:tab/>
      </w:r>
      <w:r w:rsidRPr="006A7964">
        <w:rPr>
          <w:sz w:val="20"/>
          <w:szCs w:val="20"/>
        </w:rPr>
        <w:t>According to the information provided, in 2009 the alleged victim filed a criminal complaint with the Prosecutor</w:t>
      </w:r>
      <w:r w:rsidR="0028613B">
        <w:rPr>
          <w:sz w:val="20"/>
          <w:szCs w:val="20"/>
        </w:rPr>
        <w:t>’</w:t>
      </w:r>
      <w:r w:rsidR="001A2AE7">
        <w:rPr>
          <w:sz w:val="20"/>
          <w:szCs w:val="20"/>
        </w:rPr>
        <w:t>s Office</w:t>
      </w:r>
      <w:r w:rsidRPr="006A7964">
        <w:rPr>
          <w:sz w:val="20"/>
          <w:szCs w:val="20"/>
        </w:rPr>
        <w:t xml:space="preserve"> for thre</w:t>
      </w:r>
      <w:r>
        <w:rPr>
          <w:sz w:val="20"/>
          <w:szCs w:val="20"/>
        </w:rPr>
        <w:t>ats and violent acts against her</w:t>
      </w:r>
      <w:r w:rsidRPr="006A7964">
        <w:rPr>
          <w:sz w:val="20"/>
          <w:szCs w:val="20"/>
        </w:rPr>
        <w:t>, facts that were investigated by the Office of Polic</w:t>
      </w:r>
      <w:r w:rsidR="00BF117C">
        <w:rPr>
          <w:sz w:val="20"/>
          <w:szCs w:val="20"/>
        </w:rPr>
        <w:t xml:space="preserve">e </w:t>
      </w:r>
      <w:r w:rsidR="00BF117C" w:rsidRPr="000411A7">
        <w:rPr>
          <w:sz w:val="20"/>
          <w:szCs w:val="20"/>
        </w:rPr>
        <w:t>Contraventions</w:t>
      </w:r>
      <w:r w:rsidR="00BF117C">
        <w:rPr>
          <w:sz w:val="20"/>
          <w:szCs w:val="20"/>
        </w:rPr>
        <w:t xml:space="preserve"> on November 30</w:t>
      </w:r>
      <w:r w:rsidRPr="006A7964">
        <w:rPr>
          <w:sz w:val="20"/>
          <w:szCs w:val="20"/>
        </w:rPr>
        <w:t xml:space="preserve"> of 2009 </w:t>
      </w:r>
      <w:r w:rsidR="001A2AE7">
        <w:rPr>
          <w:sz w:val="20"/>
          <w:szCs w:val="20"/>
        </w:rPr>
        <w:t>as</w:t>
      </w:r>
      <w:r w:rsidRPr="006A7964">
        <w:rPr>
          <w:sz w:val="20"/>
          <w:szCs w:val="20"/>
        </w:rPr>
        <w:t xml:space="preserve"> they are considered </w:t>
      </w:r>
      <w:proofErr w:type="gramStart"/>
      <w:r w:rsidRPr="006A7964">
        <w:rPr>
          <w:sz w:val="20"/>
          <w:szCs w:val="20"/>
        </w:rPr>
        <w:t xml:space="preserve">to be </w:t>
      </w:r>
      <w:r w:rsidR="001A2AE7" w:rsidRPr="000411A7">
        <w:rPr>
          <w:sz w:val="20"/>
          <w:szCs w:val="20"/>
        </w:rPr>
        <w:t>contravention</w:t>
      </w:r>
      <w:proofErr w:type="gramEnd"/>
      <w:r w:rsidRPr="006A7964">
        <w:rPr>
          <w:sz w:val="20"/>
          <w:szCs w:val="20"/>
        </w:rPr>
        <w:t>. The Commission observes that, more than 8 years after the complaint was filed, an investigation has not been carried out to determine the source of the alleged facts or the criminal liability of the participants, for which it concludes that in the present case it applies the exception to exhaustion of domestic remedies provided for in Article 46.2.c of the Convention.</w:t>
      </w:r>
    </w:p>
    <w:p w14:paraId="3271947F" w14:textId="0D2EB474" w:rsidR="006A7964" w:rsidRPr="006A7964" w:rsidRDefault="006A7964" w:rsidP="00C87A5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6A7964">
        <w:rPr>
          <w:sz w:val="20"/>
          <w:szCs w:val="20"/>
        </w:rPr>
        <w:t>13.</w:t>
      </w:r>
      <w:r w:rsidR="00C87A55">
        <w:rPr>
          <w:sz w:val="20"/>
          <w:szCs w:val="20"/>
        </w:rPr>
        <w:tab/>
      </w:r>
      <w:r w:rsidRPr="006A7964">
        <w:rPr>
          <w:sz w:val="20"/>
          <w:szCs w:val="20"/>
        </w:rPr>
        <w:t xml:space="preserve">On the other hand, the petition before the IACHR </w:t>
      </w:r>
      <w:proofErr w:type="gramStart"/>
      <w:r w:rsidRPr="006A7964">
        <w:rPr>
          <w:sz w:val="20"/>
          <w:szCs w:val="20"/>
        </w:rPr>
        <w:t>was received</w:t>
      </w:r>
      <w:proofErr w:type="gramEnd"/>
      <w:r w:rsidRPr="006A7964">
        <w:rPr>
          <w:sz w:val="20"/>
          <w:szCs w:val="20"/>
        </w:rPr>
        <w:t xml:space="preserve"> on September 3, 2012, the alleged facts that were the subject of the claim took place since 2005, the criminal complaint was filed in 2009, and certain effects would be extended to the present. Therefore, in view of the context and characteristics of the </w:t>
      </w:r>
      <w:r w:rsidR="001848E0">
        <w:rPr>
          <w:sz w:val="20"/>
          <w:szCs w:val="20"/>
        </w:rPr>
        <w:t>current</w:t>
      </w:r>
      <w:r w:rsidRPr="006A7964">
        <w:rPr>
          <w:sz w:val="20"/>
          <w:szCs w:val="20"/>
        </w:rPr>
        <w:t xml:space="preserve"> case, the Commission considers that the petition was filed within a reasonable period of time and that the admissibility requirement regarding the filing period must be</w:t>
      </w:r>
      <w:r w:rsidR="001848E0">
        <w:rPr>
          <w:sz w:val="20"/>
          <w:szCs w:val="20"/>
        </w:rPr>
        <w:t xml:space="preserve"> defined as</w:t>
      </w:r>
      <w:r w:rsidRPr="006A7964">
        <w:rPr>
          <w:sz w:val="20"/>
          <w:szCs w:val="20"/>
        </w:rPr>
        <w:t xml:space="preserve"> satisfied.</w:t>
      </w:r>
    </w:p>
    <w:p w14:paraId="5F93D8FE" w14:textId="77777777" w:rsidR="000239B5" w:rsidRPr="000B6B7A" w:rsidRDefault="000239B5" w:rsidP="000239B5">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ANALYSIS OF COLORABLE CLAIM</w:t>
      </w:r>
    </w:p>
    <w:p w14:paraId="11DAC24A" w14:textId="32363C91" w:rsidR="006A7964" w:rsidRDefault="006A7964" w:rsidP="00C87A5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proofErr w:type="gramStart"/>
      <w:r w:rsidRPr="006A7964">
        <w:rPr>
          <w:sz w:val="20"/>
          <w:szCs w:val="20"/>
        </w:rPr>
        <w:t>14.</w:t>
      </w:r>
      <w:r w:rsidR="00C87A55">
        <w:rPr>
          <w:sz w:val="20"/>
          <w:szCs w:val="20"/>
        </w:rPr>
        <w:tab/>
      </w:r>
      <w:r w:rsidRPr="006A7964">
        <w:rPr>
          <w:sz w:val="20"/>
          <w:szCs w:val="20"/>
        </w:rPr>
        <w:t xml:space="preserve">In view of the factual and legal elements alleged by the parties, the </w:t>
      </w:r>
      <w:r w:rsidR="000239B5">
        <w:rPr>
          <w:sz w:val="20"/>
          <w:szCs w:val="20"/>
        </w:rPr>
        <w:t>Commission considers that, if proven</w:t>
      </w:r>
      <w:r w:rsidRPr="006A7964">
        <w:rPr>
          <w:sz w:val="20"/>
          <w:szCs w:val="20"/>
        </w:rPr>
        <w:t xml:space="preserve"> the lack of investigation and criminal punishment of the alleged acts of threats, </w:t>
      </w:r>
      <w:r w:rsidR="000239B5">
        <w:rPr>
          <w:sz w:val="20"/>
          <w:szCs w:val="20"/>
        </w:rPr>
        <w:t>insults</w:t>
      </w:r>
      <w:r w:rsidRPr="006A7964">
        <w:rPr>
          <w:sz w:val="20"/>
          <w:szCs w:val="20"/>
        </w:rPr>
        <w:t xml:space="preserve"> and attacks against the life of the alleged victim, </w:t>
      </w:r>
      <w:r>
        <w:rPr>
          <w:sz w:val="20"/>
          <w:szCs w:val="20"/>
        </w:rPr>
        <w:t>her</w:t>
      </w:r>
      <w:r w:rsidRPr="006A7964">
        <w:rPr>
          <w:sz w:val="20"/>
          <w:szCs w:val="20"/>
        </w:rPr>
        <w:t xml:space="preserve"> gender identity and expression, a situation that would have forced her to leave her place of residence, could characterize possible violations of Articles 4, 5, 8, 11, 13, 22, 24 and 25 of the American Convention to the </w:t>
      </w:r>
      <w:r w:rsidR="0028613B">
        <w:rPr>
          <w:sz w:val="20"/>
          <w:szCs w:val="20"/>
        </w:rPr>
        <w:t>detriment of the alleged victim</w:t>
      </w:r>
      <w:r w:rsidRPr="006A7964">
        <w:rPr>
          <w:sz w:val="20"/>
          <w:szCs w:val="20"/>
        </w:rPr>
        <w:t xml:space="preserve">, all in </w:t>
      </w:r>
      <w:r w:rsidR="0028613B">
        <w:rPr>
          <w:sz w:val="20"/>
          <w:szCs w:val="20"/>
        </w:rPr>
        <w:t>relation to A</w:t>
      </w:r>
      <w:r w:rsidRPr="006A7964">
        <w:rPr>
          <w:sz w:val="20"/>
          <w:szCs w:val="20"/>
        </w:rPr>
        <w:t>rticles 1.1 and 2 of said instrument.</w:t>
      </w:r>
      <w:proofErr w:type="gramEnd"/>
      <w:r w:rsidRPr="006A7964">
        <w:rPr>
          <w:sz w:val="20"/>
          <w:szCs w:val="20"/>
        </w:rPr>
        <w:t xml:space="preserve"> Additionally, the Commission considers that the allegations could constitute violations of Article 7 of the Convention of </w:t>
      </w:r>
      <w:proofErr w:type="spellStart"/>
      <w:r w:rsidRPr="006A7964">
        <w:rPr>
          <w:sz w:val="20"/>
          <w:szCs w:val="20"/>
        </w:rPr>
        <w:t>Belém</w:t>
      </w:r>
      <w:proofErr w:type="spellEnd"/>
      <w:r w:rsidRPr="006A7964">
        <w:rPr>
          <w:sz w:val="20"/>
          <w:szCs w:val="20"/>
        </w:rPr>
        <w:t xml:space="preserve"> do </w:t>
      </w:r>
      <w:proofErr w:type="spellStart"/>
      <w:r w:rsidRPr="006A7964">
        <w:rPr>
          <w:sz w:val="20"/>
          <w:szCs w:val="20"/>
        </w:rPr>
        <w:t>Pará</w:t>
      </w:r>
      <w:proofErr w:type="spellEnd"/>
      <w:r w:rsidRPr="006A7964">
        <w:rPr>
          <w:sz w:val="20"/>
          <w:szCs w:val="20"/>
        </w:rPr>
        <w:t xml:space="preserve"> taking into account that under that instrument, States have an obligation to prevent, punish and eradicate all forms of violence against women</w:t>
      </w:r>
      <w:r w:rsidR="000239B5" w:rsidRPr="006A7964">
        <w:rPr>
          <w:sz w:val="20"/>
          <w:szCs w:val="20"/>
        </w:rPr>
        <w:t>,</w:t>
      </w:r>
      <w:r w:rsidRPr="006A7964">
        <w:rPr>
          <w:sz w:val="20"/>
          <w:szCs w:val="20"/>
        </w:rPr>
        <w:t xml:space="preserve"> including lesbian, bisexual, </w:t>
      </w:r>
      <w:proofErr w:type="gramStart"/>
      <w:r w:rsidR="000239B5" w:rsidRPr="006A7964">
        <w:rPr>
          <w:sz w:val="20"/>
          <w:szCs w:val="20"/>
        </w:rPr>
        <w:t>trans</w:t>
      </w:r>
      <w:proofErr w:type="gramEnd"/>
      <w:r w:rsidRPr="006A7964">
        <w:rPr>
          <w:sz w:val="20"/>
          <w:szCs w:val="20"/>
        </w:rPr>
        <w:t xml:space="preserve"> and intersex</w:t>
      </w:r>
      <w:r w:rsidR="0028613B">
        <w:rPr>
          <w:rStyle w:val="FootnoteReference"/>
          <w:sz w:val="20"/>
          <w:szCs w:val="20"/>
        </w:rPr>
        <w:footnoteReference w:id="10"/>
      </w:r>
      <w:r w:rsidRPr="006A7964">
        <w:rPr>
          <w:sz w:val="20"/>
          <w:szCs w:val="20"/>
        </w:rPr>
        <w:t xml:space="preserve"> women.</w:t>
      </w:r>
    </w:p>
    <w:p w14:paraId="5F53215C" w14:textId="77777777" w:rsidR="00784DB8" w:rsidRPr="006A7964" w:rsidRDefault="00784DB8" w:rsidP="00C87A5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p>
    <w:p w14:paraId="105C4F9A" w14:textId="17B1AE19" w:rsidR="006A7964" w:rsidRPr="00454364" w:rsidRDefault="000A4C2C" w:rsidP="000A4C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sz w:val="20"/>
          <w:szCs w:val="20"/>
        </w:rPr>
      </w:pPr>
      <w:r w:rsidRPr="00454364">
        <w:rPr>
          <w:rFonts w:asciiTheme="majorHAnsi" w:hAnsiTheme="majorHAnsi"/>
          <w:b/>
          <w:sz w:val="20"/>
          <w:szCs w:val="20"/>
        </w:rPr>
        <w:lastRenderedPageBreak/>
        <w:t>VIII.</w:t>
      </w:r>
      <w:r w:rsidRPr="00454364">
        <w:rPr>
          <w:rFonts w:asciiTheme="majorHAnsi" w:hAnsiTheme="majorHAnsi"/>
          <w:b/>
          <w:sz w:val="20"/>
          <w:szCs w:val="20"/>
        </w:rPr>
        <w:tab/>
      </w:r>
      <w:r w:rsidR="006A7964" w:rsidRPr="00454364">
        <w:rPr>
          <w:rFonts w:asciiTheme="majorHAnsi" w:hAnsiTheme="majorHAnsi"/>
          <w:b/>
          <w:sz w:val="20"/>
          <w:szCs w:val="20"/>
        </w:rPr>
        <w:t>DECISION</w:t>
      </w:r>
    </w:p>
    <w:p w14:paraId="33FCA9AB" w14:textId="77777777" w:rsidR="00075C6F" w:rsidRPr="00E81FC2" w:rsidRDefault="006A7964" w:rsidP="00C87A55">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6A7964">
        <w:rPr>
          <w:sz w:val="20"/>
          <w:szCs w:val="20"/>
        </w:rPr>
        <w:t>To declare the present petition admissible in re</w:t>
      </w:r>
      <w:r w:rsidR="000239B5">
        <w:rPr>
          <w:sz w:val="20"/>
          <w:szCs w:val="20"/>
        </w:rPr>
        <w:t>gards</w:t>
      </w:r>
      <w:r w:rsidRPr="006A7964">
        <w:rPr>
          <w:sz w:val="20"/>
          <w:szCs w:val="20"/>
        </w:rPr>
        <w:t xml:space="preserve"> to Articles 4, 5, 8, 11, 13, 22, 24 and 25 of the American Convention in accordance with Articles 1.1 and 2 of said treaty; and Article 7 of the Convention of </w:t>
      </w:r>
      <w:proofErr w:type="spellStart"/>
      <w:r w:rsidRPr="006A7964">
        <w:rPr>
          <w:sz w:val="20"/>
          <w:szCs w:val="20"/>
        </w:rPr>
        <w:t>Belém</w:t>
      </w:r>
      <w:proofErr w:type="spellEnd"/>
      <w:r w:rsidRPr="006A7964">
        <w:rPr>
          <w:sz w:val="20"/>
          <w:szCs w:val="20"/>
        </w:rPr>
        <w:t xml:space="preserve"> do </w:t>
      </w:r>
      <w:proofErr w:type="spellStart"/>
      <w:r w:rsidRPr="006A7964">
        <w:rPr>
          <w:sz w:val="20"/>
          <w:szCs w:val="20"/>
        </w:rPr>
        <w:t>Pará</w:t>
      </w:r>
      <w:proofErr w:type="spellEnd"/>
      <w:r w:rsidRPr="006A7964">
        <w:rPr>
          <w:sz w:val="20"/>
          <w:szCs w:val="20"/>
        </w:rPr>
        <w:t>;</w:t>
      </w:r>
      <w:r w:rsidR="000239B5">
        <w:rPr>
          <w:sz w:val="20"/>
          <w:szCs w:val="20"/>
        </w:rPr>
        <w:t xml:space="preserve"> and</w:t>
      </w:r>
    </w:p>
    <w:p w14:paraId="22CC8DDA" w14:textId="08152C7A" w:rsidR="00F621C3" w:rsidRPr="001629E7" w:rsidRDefault="00F621C3" w:rsidP="00C87A55">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0239B5">
        <w:rPr>
          <w:rFonts w:asciiTheme="majorHAnsi" w:hAnsiTheme="majorHAnsi"/>
          <w:sz w:val="20"/>
          <w:szCs w:val="20"/>
        </w:rPr>
        <w:t>To notify the parties of this decision;</w:t>
      </w:r>
      <w:r w:rsidR="001F1902" w:rsidRPr="000239B5">
        <w:rPr>
          <w:rFonts w:asciiTheme="majorHAnsi" w:hAnsiTheme="majorHAnsi"/>
          <w:sz w:val="20"/>
          <w:szCs w:val="20"/>
        </w:rPr>
        <w:t xml:space="preserve"> t</w:t>
      </w:r>
      <w:r w:rsidRPr="000239B5">
        <w:rPr>
          <w:rFonts w:asciiTheme="majorHAnsi" w:hAnsiTheme="majorHAnsi"/>
          <w:sz w:val="20"/>
          <w:szCs w:val="20"/>
        </w:rPr>
        <w:t xml:space="preserve">o continue with the analysis on the merits; and </w:t>
      </w:r>
      <w:r w:rsidR="001F1902" w:rsidRPr="000239B5">
        <w:rPr>
          <w:rFonts w:asciiTheme="majorHAnsi" w:hAnsiTheme="majorHAnsi"/>
          <w:sz w:val="20"/>
          <w:szCs w:val="20"/>
        </w:rPr>
        <w:t>t</w:t>
      </w:r>
      <w:r w:rsidRPr="000239B5">
        <w:rPr>
          <w:rFonts w:asciiTheme="majorHAnsi" w:hAnsiTheme="majorHAnsi"/>
          <w:sz w:val="20"/>
          <w:szCs w:val="20"/>
        </w:rPr>
        <w:t>o publish this</w:t>
      </w:r>
      <w:r w:rsidR="000239B5">
        <w:rPr>
          <w:rFonts w:asciiTheme="majorHAnsi" w:hAnsiTheme="majorHAnsi"/>
          <w:sz w:val="20"/>
          <w:szCs w:val="20"/>
        </w:rPr>
        <w:t xml:space="preserve"> decision and include in </w:t>
      </w:r>
      <w:r w:rsidRPr="000239B5">
        <w:rPr>
          <w:rFonts w:asciiTheme="majorHAnsi" w:hAnsiTheme="majorHAnsi"/>
          <w:sz w:val="20"/>
          <w:szCs w:val="20"/>
        </w:rPr>
        <w:t xml:space="preserve">the General Assembly </w:t>
      </w:r>
      <w:r w:rsidR="000239B5" w:rsidRPr="000239B5">
        <w:rPr>
          <w:rFonts w:asciiTheme="majorHAnsi" w:hAnsiTheme="majorHAnsi"/>
          <w:sz w:val="20"/>
          <w:szCs w:val="20"/>
        </w:rPr>
        <w:t xml:space="preserve">Annual Report </w:t>
      </w:r>
      <w:r w:rsidRPr="000239B5">
        <w:rPr>
          <w:rFonts w:asciiTheme="majorHAnsi" w:hAnsiTheme="majorHAnsi"/>
          <w:sz w:val="20"/>
          <w:szCs w:val="20"/>
        </w:rPr>
        <w:t>of the Organization of American States.</w:t>
      </w:r>
    </w:p>
    <w:p w14:paraId="21B2C5F8" w14:textId="2535D33B" w:rsidR="00784DB8" w:rsidRPr="00365F2F" w:rsidRDefault="00784DB8" w:rsidP="00784DB8">
      <w:pPr>
        <w:suppressAutoHyphens/>
        <w:ind w:firstLine="720"/>
        <w:jc w:val="both"/>
        <w:rPr>
          <w:rFonts w:ascii="Cambria" w:hAnsi="Cambria"/>
          <w:spacing w:val="-2"/>
          <w:sz w:val="20"/>
        </w:rPr>
      </w:pPr>
      <w:r w:rsidRPr="00365F2F">
        <w:rPr>
          <w:rFonts w:ascii="Cambria" w:hAnsi="Cambria"/>
          <w:spacing w:val="-2"/>
          <w:sz w:val="20"/>
        </w:rPr>
        <w:t xml:space="preserve">Done and signed in the city of </w:t>
      </w:r>
      <w:r>
        <w:rPr>
          <w:rFonts w:ascii="Cambria" w:hAnsi="Cambria"/>
          <w:spacing w:val="-2"/>
          <w:sz w:val="20"/>
        </w:rPr>
        <w:t>Santo Domingo</w:t>
      </w:r>
      <w:r w:rsidRPr="006A5AAA">
        <w:rPr>
          <w:rFonts w:ascii="Cambria" w:hAnsi="Cambria"/>
          <w:spacing w:val="-2"/>
          <w:sz w:val="20"/>
        </w:rPr>
        <w:t xml:space="preserve">, </w:t>
      </w:r>
      <w:r>
        <w:rPr>
          <w:rFonts w:ascii="Cambria" w:hAnsi="Cambria"/>
          <w:spacing w:val="-2"/>
          <w:sz w:val="20"/>
        </w:rPr>
        <w:t>Dominican Republic</w:t>
      </w:r>
      <w:r w:rsidRPr="00365F2F">
        <w:rPr>
          <w:rFonts w:ascii="Cambria" w:hAnsi="Cambria"/>
          <w:spacing w:val="-2"/>
          <w:sz w:val="20"/>
        </w:rPr>
        <w:t xml:space="preserve">, on the </w:t>
      </w:r>
      <w:r>
        <w:rPr>
          <w:rFonts w:ascii="Cambria" w:hAnsi="Cambria"/>
          <w:spacing w:val="-2"/>
          <w:sz w:val="20"/>
        </w:rPr>
        <w:t>4</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proofErr w:type="gramStart"/>
      <w:r>
        <w:rPr>
          <w:rFonts w:ascii="Cambria" w:hAnsi="Cambria"/>
          <w:spacing w:val="-2"/>
          <w:sz w:val="20"/>
        </w:rPr>
        <w:t>May</w:t>
      </w:r>
      <w:r w:rsidRPr="00365F2F">
        <w:rPr>
          <w:rFonts w:ascii="Cambria" w:hAnsi="Cambria"/>
          <w:spacing w:val="-2"/>
          <w:sz w:val="20"/>
        </w:rPr>
        <w:t>,</w:t>
      </w:r>
      <w:proofErr w:type="gramEnd"/>
      <w:r w:rsidRPr="00365F2F">
        <w:rPr>
          <w:rFonts w:ascii="Cambria" w:hAnsi="Cambria"/>
          <w:spacing w:val="-2"/>
          <w:sz w:val="20"/>
        </w:rPr>
        <w:t xml:space="preserve"> </w:t>
      </w:r>
      <w:r>
        <w:rPr>
          <w:rFonts w:ascii="Cambria" w:hAnsi="Cambria"/>
          <w:spacing w:val="-2"/>
          <w:sz w:val="20"/>
        </w:rPr>
        <w:t>2018</w:t>
      </w:r>
      <w:r w:rsidRPr="00365F2F">
        <w:rPr>
          <w:rFonts w:ascii="Cambria" w:hAnsi="Cambria"/>
          <w:spacing w:val="-2"/>
          <w:sz w:val="20"/>
        </w:rPr>
        <w:t xml:space="preserve">. (Signed):  </w:t>
      </w:r>
      <w:r w:rsidRPr="00375E0C">
        <w:rPr>
          <w:rFonts w:asciiTheme="majorHAnsi" w:hAnsiTheme="majorHAnsi"/>
          <w:sz w:val="20"/>
          <w:szCs w:val="20"/>
        </w:rPr>
        <w:t xml:space="preserve">Margarette May Macaulay, President; Esmeralda E. Arosemena Bernal de Troitiño, </w:t>
      </w:r>
      <w:r>
        <w:rPr>
          <w:rFonts w:asciiTheme="majorHAnsi" w:hAnsiTheme="majorHAnsi"/>
          <w:sz w:val="20"/>
          <w:szCs w:val="20"/>
        </w:rPr>
        <w:t>First</w:t>
      </w:r>
      <w:r w:rsidRPr="00375E0C">
        <w:rPr>
          <w:rFonts w:asciiTheme="majorHAnsi" w:hAnsiTheme="majorHAnsi"/>
          <w:sz w:val="20"/>
          <w:szCs w:val="20"/>
        </w:rPr>
        <w:t xml:space="preserve"> Vice</w:t>
      </w:r>
      <w:r>
        <w:rPr>
          <w:rFonts w:asciiTheme="majorHAnsi" w:hAnsiTheme="majorHAnsi"/>
          <w:sz w:val="20"/>
          <w:szCs w:val="20"/>
        </w:rPr>
        <w:t xml:space="preserve"> P</w:t>
      </w:r>
      <w:r w:rsidRPr="00375E0C">
        <w:rPr>
          <w:rFonts w:asciiTheme="majorHAnsi" w:hAnsiTheme="majorHAnsi"/>
          <w:sz w:val="20"/>
          <w:szCs w:val="20"/>
        </w:rPr>
        <w:t xml:space="preserve">resident; Francisco José </w:t>
      </w:r>
      <w:proofErr w:type="spellStart"/>
      <w:r w:rsidRPr="00375E0C">
        <w:rPr>
          <w:rFonts w:asciiTheme="majorHAnsi" w:hAnsiTheme="majorHAnsi"/>
          <w:sz w:val="20"/>
          <w:szCs w:val="20"/>
        </w:rPr>
        <w:t>Eguiguren</w:t>
      </w:r>
      <w:proofErr w:type="spellEnd"/>
      <w:r w:rsidRPr="00375E0C">
        <w:rPr>
          <w:rFonts w:asciiTheme="majorHAnsi" w:hAnsiTheme="majorHAnsi"/>
          <w:sz w:val="20"/>
          <w:szCs w:val="20"/>
        </w:rPr>
        <w:t xml:space="preserve"> </w:t>
      </w:r>
      <w:proofErr w:type="spellStart"/>
      <w:r w:rsidRPr="00375E0C">
        <w:rPr>
          <w:rFonts w:asciiTheme="majorHAnsi" w:hAnsiTheme="majorHAnsi"/>
          <w:sz w:val="20"/>
          <w:szCs w:val="20"/>
        </w:rPr>
        <w:t>Praeli</w:t>
      </w:r>
      <w:proofErr w:type="spellEnd"/>
      <w:r w:rsidRPr="00375E0C">
        <w:rPr>
          <w:rFonts w:asciiTheme="majorHAnsi" w:hAnsiTheme="majorHAnsi"/>
          <w:sz w:val="20"/>
          <w:szCs w:val="20"/>
        </w:rPr>
        <w:t xml:space="preserve">, Joel Hernández </w:t>
      </w:r>
      <w:proofErr w:type="spellStart"/>
      <w:r w:rsidRPr="00375E0C">
        <w:rPr>
          <w:rFonts w:asciiTheme="majorHAnsi" w:hAnsiTheme="majorHAnsi"/>
          <w:sz w:val="20"/>
          <w:szCs w:val="20"/>
        </w:rPr>
        <w:t>García</w:t>
      </w:r>
      <w:proofErr w:type="spellEnd"/>
      <w:r w:rsidRPr="00375E0C">
        <w:rPr>
          <w:rFonts w:asciiTheme="majorHAnsi" w:hAnsiTheme="majorHAnsi"/>
          <w:sz w:val="20"/>
          <w:szCs w:val="20"/>
        </w:rPr>
        <w:t>, Antonia Urrejola, y Flávia Piovesan,</w:t>
      </w:r>
      <w:r>
        <w:rPr>
          <w:rFonts w:ascii="Cambria" w:hAnsi="Cambria" w:cs="Arial"/>
          <w:noProof/>
          <w:spacing w:val="-2"/>
          <w:sz w:val="20"/>
        </w:rPr>
        <w:t xml:space="preserve"> </w:t>
      </w:r>
      <w:r w:rsidRPr="00365F2F">
        <w:rPr>
          <w:rFonts w:ascii="Cambria" w:hAnsi="Cambria"/>
          <w:spacing w:val="-2"/>
          <w:sz w:val="20"/>
        </w:rPr>
        <w:t>Commissioners.</w:t>
      </w:r>
    </w:p>
    <w:p w14:paraId="7C8A660F" w14:textId="647A513F"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438BCB35" w14:textId="64FF8A9E"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3A75AB7C" w14:textId="4F4096F4"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7BEBDF7C" w14:textId="22E997E0"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767441B7" w14:textId="650A0569"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4C7E77C4" w14:textId="2AC58640"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76BC1C3D" w14:textId="29944BF2"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39323917" w14:textId="56C4E758"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5AEBF974" w14:textId="29CDB2DB"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53533B9F" w14:textId="3B232837"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4ECA9D92" w14:textId="4E0BD0D7"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3657AA0A" w14:textId="5C23049E"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46750A13" w14:textId="13104B3B"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7322BF1E" w14:textId="170AD3F1"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157189B6" w14:textId="3FBCD7B2"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4AAB9391" w14:textId="3348FB97"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11E8A880" w14:textId="2594E568"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5C319561" w14:textId="753C98D4" w:rsid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30C0011E" w14:textId="77777777" w:rsidR="001629E7" w:rsidRPr="001629E7" w:rsidRDefault="001629E7" w:rsidP="001629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29681" w14:textId="77777777" w:rsidR="005A3003" w:rsidRDefault="005A3003" w:rsidP="00036A8A">
      <w:r>
        <w:separator/>
      </w:r>
    </w:p>
  </w:endnote>
  <w:endnote w:type="continuationSeparator" w:id="0">
    <w:p w14:paraId="6802F51A" w14:textId="77777777" w:rsidR="005A3003" w:rsidRDefault="005A300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BDF9A" w14:textId="77777777" w:rsidR="006C5D0A" w:rsidRDefault="006C5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413163477"/>
      <w:docPartObj>
        <w:docPartGallery w:val="Page Numbers (Bottom of Page)"/>
        <w:docPartUnique/>
      </w:docPartObj>
    </w:sdtPr>
    <w:sdtEndPr>
      <w:rPr>
        <w:noProof/>
      </w:rPr>
    </w:sdtEndPr>
    <w:sdtContent>
      <w:p w14:paraId="0607DB51" w14:textId="7206C089" w:rsidR="00004BC0" w:rsidRPr="00004BC0" w:rsidRDefault="00004BC0" w:rsidP="001629E7">
        <w:pPr>
          <w:pStyle w:val="Footer"/>
          <w:rPr>
            <w:rFonts w:asciiTheme="majorHAnsi" w:hAnsiTheme="majorHAnsi"/>
            <w:sz w:val="16"/>
            <w:szCs w:val="16"/>
          </w:rPr>
        </w:pPr>
      </w:p>
      <w:p w14:paraId="66F8EBC2" w14:textId="5BC336C8" w:rsidR="00F1380F" w:rsidRPr="000411A7" w:rsidRDefault="005A3003" w:rsidP="000411A7">
        <w:pPr>
          <w:pStyle w:val="Footer"/>
          <w:rPr>
            <w:sz w:val="16"/>
            <w:szCs w:val="16"/>
            <w:lang w:val="es-CO"/>
          </w:rPr>
        </w:pPr>
      </w:p>
    </w:sdtContent>
  </w:sdt>
  <w:p w14:paraId="767961CB" w14:textId="77777777" w:rsidR="00F1380F" w:rsidRPr="000411A7" w:rsidRDefault="00F1380F">
    <w:pPr>
      <w:pStyle w:val="Footer"/>
      <w:rPr>
        <w:lang w:val="es-C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164FB" w14:textId="77777777" w:rsidR="005A3003" w:rsidRPr="00036A8A" w:rsidRDefault="005A300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24EC9AE" w14:textId="77777777" w:rsidR="005A3003" w:rsidRPr="00036A8A" w:rsidRDefault="005A3003" w:rsidP="00036A8A">
      <w:pPr>
        <w:rPr>
          <w:rFonts w:asciiTheme="majorHAnsi" w:hAnsiTheme="majorHAnsi"/>
          <w:sz w:val="16"/>
          <w:szCs w:val="16"/>
        </w:rPr>
      </w:pPr>
      <w:r w:rsidRPr="00036A8A">
        <w:rPr>
          <w:rFonts w:asciiTheme="majorHAnsi" w:hAnsiTheme="majorHAnsi"/>
          <w:sz w:val="16"/>
          <w:szCs w:val="16"/>
        </w:rPr>
        <w:separator/>
      </w:r>
    </w:p>
    <w:p w14:paraId="439BD3A1" w14:textId="77777777" w:rsidR="005A3003" w:rsidRPr="00036A8A" w:rsidRDefault="005A300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200427A" w14:textId="77777777" w:rsidR="005A3003" w:rsidRPr="0093441A" w:rsidRDefault="005A300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2836333" w14:textId="400A6C43" w:rsidR="008D2989" w:rsidRDefault="008D2989" w:rsidP="008D2989">
      <w:pPr>
        <w:pStyle w:val="FootnoteText"/>
        <w:ind w:firstLine="720"/>
        <w:jc w:val="both"/>
      </w:pPr>
      <w:r w:rsidRPr="008D2989">
        <w:rPr>
          <w:rStyle w:val="FootnoteReference"/>
          <w:rFonts w:asciiTheme="majorHAnsi" w:hAnsiTheme="majorHAnsi"/>
          <w:sz w:val="16"/>
          <w:szCs w:val="16"/>
        </w:rPr>
        <w:footnoteRef/>
      </w:r>
      <w:r w:rsidRPr="008D2989">
        <w:rPr>
          <w:rFonts w:asciiTheme="majorHAnsi" w:hAnsiTheme="majorHAnsi"/>
          <w:sz w:val="16"/>
          <w:szCs w:val="16"/>
        </w:rPr>
        <w:t xml:space="preserve"> </w:t>
      </w:r>
      <w:r w:rsidRPr="00516B91">
        <w:rPr>
          <w:rFonts w:asciiTheme="majorHAnsi" w:hAnsiTheme="majorHAnsi"/>
          <w:sz w:val="16"/>
          <w:szCs w:val="16"/>
        </w:rPr>
        <w:t>Through written document on July 1</w:t>
      </w:r>
      <w:r>
        <w:rPr>
          <w:rFonts w:asciiTheme="majorHAnsi" w:hAnsiTheme="majorHAnsi"/>
          <w:sz w:val="16"/>
          <w:szCs w:val="16"/>
        </w:rPr>
        <w:t>2</w:t>
      </w:r>
      <w:r w:rsidRPr="00516B91">
        <w:rPr>
          <w:rFonts w:asciiTheme="majorHAnsi" w:hAnsiTheme="majorHAnsi"/>
          <w:sz w:val="16"/>
          <w:szCs w:val="16"/>
        </w:rPr>
        <w:t>, 2017</w:t>
      </w:r>
      <w:r>
        <w:rPr>
          <w:rFonts w:asciiTheme="majorHAnsi" w:hAnsiTheme="majorHAnsi"/>
          <w:sz w:val="16"/>
          <w:szCs w:val="16"/>
        </w:rPr>
        <w:t xml:space="preserve">, </w:t>
      </w:r>
      <w:r w:rsidRPr="00516B91">
        <w:rPr>
          <w:rFonts w:asciiTheme="majorHAnsi" w:hAnsiTheme="majorHAnsi"/>
          <w:sz w:val="16"/>
          <w:szCs w:val="16"/>
        </w:rPr>
        <w:t>Global Initiatives for Human Rights</w:t>
      </w:r>
      <w:r w:rsidRPr="00516B91">
        <w:rPr>
          <w:rFonts w:asciiTheme="majorHAnsi" w:hAnsiTheme="majorHAnsi"/>
          <w:bCs/>
          <w:sz w:val="16"/>
          <w:szCs w:val="16"/>
        </w:rPr>
        <w:t xml:space="preserve">, Heartland Alliance for Human Needs &amp; Human Rights (GIHR-HA) </w:t>
      </w:r>
      <w:proofErr w:type="gramStart"/>
      <w:r>
        <w:rPr>
          <w:rFonts w:asciiTheme="majorHAnsi" w:hAnsiTheme="majorHAnsi"/>
          <w:bCs/>
          <w:sz w:val="16"/>
          <w:szCs w:val="16"/>
        </w:rPr>
        <w:t>were constituted</w:t>
      </w:r>
      <w:proofErr w:type="gramEnd"/>
      <w:r>
        <w:rPr>
          <w:rFonts w:asciiTheme="majorHAnsi" w:hAnsiTheme="majorHAnsi"/>
          <w:bCs/>
          <w:sz w:val="16"/>
          <w:szCs w:val="16"/>
        </w:rPr>
        <w:t xml:space="preserve"> as co-petitioners</w:t>
      </w:r>
      <w:r w:rsidRPr="00516B91">
        <w:rPr>
          <w:rFonts w:asciiTheme="majorHAnsi" w:hAnsiTheme="majorHAnsi"/>
          <w:bCs/>
          <w:sz w:val="16"/>
          <w:szCs w:val="16"/>
        </w:rPr>
        <w:t>.</w:t>
      </w:r>
    </w:p>
  </w:footnote>
  <w:footnote w:id="3">
    <w:p w14:paraId="52F6EA2D" w14:textId="31F94425" w:rsidR="008D2989" w:rsidRDefault="008D2989" w:rsidP="008D2989">
      <w:pPr>
        <w:pStyle w:val="FootnoteText"/>
        <w:ind w:firstLine="720"/>
        <w:jc w:val="both"/>
      </w:pPr>
      <w:r w:rsidRPr="008D2989">
        <w:rPr>
          <w:rStyle w:val="FootnoteReference"/>
          <w:rFonts w:asciiTheme="majorHAnsi" w:hAnsiTheme="majorHAnsi"/>
          <w:sz w:val="16"/>
          <w:szCs w:val="16"/>
        </w:rPr>
        <w:footnoteRef/>
      </w:r>
      <w:r w:rsidRPr="008D2989">
        <w:rPr>
          <w:rFonts w:asciiTheme="majorHAnsi" w:hAnsiTheme="majorHAnsi"/>
          <w:sz w:val="16"/>
          <w:szCs w:val="16"/>
        </w:rPr>
        <w:t xml:space="preserve"> </w:t>
      </w:r>
      <w:r w:rsidRPr="00841DDC">
        <w:rPr>
          <w:rFonts w:ascii="Cambria" w:hAnsi="Cambria"/>
          <w:sz w:val="16"/>
          <w:szCs w:val="16"/>
        </w:rPr>
        <w:t>In accordance with the provisions of Article 17.2.</w:t>
      </w:r>
      <w:proofErr w:type="spellStart"/>
      <w:r w:rsidRPr="00841DDC">
        <w:rPr>
          <w:rFonts w:ascii="Cambria" w:hAnsi="Cambria"/>
          <w:sz w:val="16"/>
          <w:szCs w:val="16"/>
        </w:rPr>
        <w:t>a</w:t>
      </w:r>
      <w:proofErr w:type="spellEnd"/>
      <w:r w:rsidRPr="00841DDC">
        <w:rPr>
          <w:rFonts w:ascii="Cambria" w:hAnsi="Cambria"/>
          <w:sz w:val="16"/>
          <w:szCs w:val="16"/>
        </w:rPr>
        <w:t xml:space="preserve"> of the Rules of Procedure of the Commission, Commissioner Luis Ernesto Vargas Silva, a Colombian national, did not participate in the debate </w:t>
      </w:r>
      <w:r>
        <w:rPr>
          <w:rFonts w:ascii="Cambria" w:hAnsi="Cambria"/>
          <w:sz w:val="16"/>
          <w:szCs w:val="16"/>
        </w:rPr>
        <w:t>or in the decision of this case.</w:t>
      </w:r>
      <w:r w:rsidRPr="00516B91">
        <w:rPr>
          <w:rFonts w:ascii="Cambria" w:hAnsi="Cambria"/>
          <w:sz w:val="16"/>
          <w:szCs w:val="16"/>
        </w:rPr>
        <w:t> </w:t>
      </w:r>
    </w:p>
  </w:footnote>
  <w:footnote w:id="4">
    <w:p w14:paraId="5A5BEB30" w14:textId="7E503269" w:rsidR="008D2989" w:rsidRDefault="008D2989" w:rsidP="008D2989">
      <w:pPr>
        <w:pStyle w:val="FootnoteText"/>
        <w:ind w:firstLine="720"/>
        <w:jc w:val="both"/>
      </w:pPr>
      <w:r w:rsidRPr="008D2989">
        <w:rPr>
          <w:rStyle w:val="FootnoteReference"/>
          <w:rFonts w:asciiTheme="majorHAnsi" w:hAnsiTheme="majorHAnsi"/>
          <w:sz w:val="16"/>
          <w:szCs w:val="16"/>
        </w:rPr>
        <w:footnoteRef/>
      </w:r>
      <w:r w:rsidRPr="008D2989">
        <w:rPr>
          <w:rFonts w:asciiTheme="majorHAnsi" w:hAnsiTheme="majorHAnsi"/>
          <w:sz w:val="16"/>
          <w:szCs w:val="16"/>
        </w:rPr>
        <w:t xml:space="preserve"> </w:t>
      </w:r>
      <w:r w:rsidRPr="000411A7">
        <w:rPr>
          <w:rFonts w:ascii="Cambria" w:hAnsi="Cambria"/>
          <w:sz w:val="16"/>
          <w:szCs w:val="16"/>
        </w:rPr>
        <w:t>Hereinafter "Convention" or "American Convention."</w:t>
      </w:r>
    </w:p>
  </w:footnote>
  <w:footnote w:id="5">
    <w:p w14:paraId="3E5E94BA" w14:textId="3C1A7116" w:rsidR="008D2989" w:rsidRDefault="008D2989" w:rsidP="008D2989">
      <w:pPr>
        <w:pStyle w:val="FootnoteText"/>
        <w:ind w:firstLine="720"/>
        <w:jc w:val="both"/>
      </w:pPr>
      <w:r w:rsidRPr="008D2989">
        <w:rPr>
          <w:rStyle w:val="FootnoteReference"/>
          <w:rFonts w:asciiTheme="majorHAnsi" w:hAnsiTheme="majorHAnsi"/>
          <w:sz w:val="16"/>
          <w:szCs w:val="16"/>
        </w:rPr>
        <w:footnoteRef/>
      </w:r>
      <w:r w:rsidRPr="008D2989">
        <w:rPr>
          <w:rFonts w:asciiTheme="majorHAnsi" w:hAnsiTheme="majorHAnsi"/>
          <w:sz w:val="16"/>
          <w:szCs w:val="16"/>
        </w:rPr>
        <w:t xml:space="preserve"> </w:t>
      </w:r>
      <w:r w:rsidRPr="000411A7">
        <w:rPr>
          <w:rFonts w:ascii="Cambria" w:hAnsi="Cambria"/>
          <w:sz w:val="16"/>
          <w:szCs w:val="16"/>
        </w:rPr>
        <w:t xml:space="preserve">The observations of each party </w:t>
      </w:r>
      <w:proofErr w:type="gramStart"/>
      <w:r w:rsidRPr="000411A7">
        <w:rPr>
          <w:rFonts w:ascii="Cambria" w:hAnsi="Cambria"/>
          <w:sz w:val="16"/>
          <w:szCs w:val="16"/>
        </w:rPr>
        <w:t>were duly transferred</w:t>
      </w:r>
      <w:proofErr w:type="gramEnd"/>
      <w:r w:rsidRPr="000411A7">
        <w:rPr>
          <w:rFonts w:ascii="Cambria" w:hAnsi="Cambria"/>
          <w:sz w:val="16"/>
          <w:szCs w:val="16"/>
        </w:rPr>
        <w:t xml:space="preserve"> to the opposing party.</w:t>
      </w:r>
    </w:p>
  </w:footnote>
  <w:footnote w:id="6">
    <w:p w14:paraId="69A406DF" w14:textId="221264FF" w:rsidR="008D2989" w:rsidRDefault="008D2989" w:rsidP="008D2989">
      <w:pPr>
        <w:pStyle w:val="FootnoteText"/>
        <w:ind w:firstLine="720"/>
        <w:jc w:val="both"/>
      </w:pPr>
      <w:r w:rsidRPr="008D2989">
        <w:rPr>
          <w:rStyle w:val="FootnoteReference"/>
          <w:rFonts w:asciiTheme="majorHAnsi" w:hAnsiTheme="majorHAnsi"/>
          <w:sz w:val="16"/>
          <w:szCs w:val="16"/>
        </w:rPr>
        <w:footnoteRef/>
      </w:r>
      <w:r w:rsidRPr="008D2989">
        <w:rPr>
          <w:rFonts w:asciiTheme="majorHAnsi" w:hAnsiTheme="majorHAnsi"/>
          <w:sz w:val="16"/>
          <w:szCs w:val="16"/>
        </w:rPr>
        <w:t xml:space="preserve"> </w:t>
      </w:r>
      <w:r w:rsidRPr="000411A7">
        <w:rPr>
          <w:rFonts w:ascii="Cambria" w:hAnsi="Cambria"/>
          <w:sz w:val="16"/>
          <w:szCs w:val="16"/>
        </w:rPr>
        <w:t xml:space="preserve">In addition, the petitioner has submitted several communications requesting information on the status of the petition, the latest </w:t>
      </w:r>
      <w:proofErr w:type="gramStart"/>
      <w:r w:rsidRPr="000411A7">
        <w:rPr>
          <w:rFonts w:ascii="Cambria" w:hAnsi="Cambria"/>
          <w:sz w:val="16"/>
          <w:szCs w:val="16"/>
        </w:rPr>
        <w:t>being dated</w:t>
      </w:r>
      <w:proofErr w:type="gramEnd"/>
      <w:r w:rsidRPr="000411A7">
        <w:rPr>
          <w:rFonts w:ascii="Cambria" w:hAnsi="Cambria"/>
          <w:sz w:val="16"/>
          <w:szCs w:val="16"/>
        </w:rPr>
        <w:t xml:space="preserve"> January 18, 2018.</w:t>
      </w:r>
    </w:p>
  </w:footnote>
  <w:footnote w:id="7">
    <w:p w14:paraId="7F08E83E" w14:textId="707EA07F" w:rsidR="008D2989" w:rsidRDefault="008D2989" w:rsidP="008D2989">
      <w:pPr>
        <w:pStyle w:val="FootnoteText"/>
        <w:ind w:firstLine="720"/>
        <w:jc w:val="both"/>
      </w:pPr>
      <w:r w:rsidRPr="008D2989">
        <w:rPr>
          <w:rStyle w:val="FootnoteReference"/>
          <w:rFonts w:asciiTheme="majorHAnsi" w:hAnsiTheme="majorHAnsi"/>
          <w:sz w:val="16"/>
          <w:szCs w:val="16"/>
        </w:rPr>
        <w:footnoteRef/>
      </w:r>
      <w:r w:rsidRPr="008D2989">
        <w:rPr>
          <w:rFonts w:asciiTheme="majorHAnsi" w:hAnsiTheme="majorHAnsi"/>
          <w:sz w:val="16"/>
          <w:szCs w:val="16"/>
        </w:rPr>
        <w:t xml:space="preserve"> </w:t>
      </w:r>
      <w:r w:rsidRPr="000411A7">
        <w:rPr>
          <w:rFonts w:ascii="Cambria" w:hAnsi="Cambria"/>
          <w:sz w:val="16"/>
          <w:szCs w:val="16"/>
        </w:rPr>
        <w:t xml:space="preserve">Hereinafter "Convention of </w:t>
      </w:r>
      <w:proofErr w:type="spellStart"/>
      <w:r w:rsidRPr="000411A7">
        <w:rPr>
          <w:rFonts w:ascii="Cambria" w:hAnsi="Cambria"/>
          <w:sz w:val="16"/>
          <w:szCs w:val="16"/>
        </w:rPr>
        <w:t>Belém</w:t>
      </w:r>
      <w:proofErr w:type="spellEnd"/>
      <w:r w:rsidRPr="000411A7">
        <w:rPr>
          <w:rFonts w:ascii="Cambria" w:hAnsi="Cambria"/>
          <w:sz w:val="16"/>
          <w:szCs w:val="16"/>
        </w:rPr>
        <w:t xml:space="preserve"> do </w:t>
      </w:r>
      <w:proofErr w:type="spellStart"/>
      <w:r w:rsidRPr="000411A7">
        <w:rPr>
          <w:rFonts w:ascii="Cambria" w:hAnsi="Cambria"/>
          <w:sz w:val="16"/>
          <w:szCs w:val="16"/>
        </w:rPr>
        <w:t>Pará</w:t>
      </w:r>
      <w:proofErr w:type="spellEnd"/>
      <w:r w:rsidRPr="000411A7">
        <w:rPr>
          <w:rFonts w:ascii="Cambria" w:hAnsi="Cambria"/>
          <w:sz w:val="16"/>
          <w:szCs w:val="16"/>
        </w:rPr>
        <w:t>".</w:t>
      </w:r>
    </w:p>
  </w:footnote>
  <w:footnote w:id="8">
    <w:p w14:paraId="33B9BC07" w14:textId="66B51651" w:rsidR="0028613B" w:rsidRPr="0028613B" w:rsidRDefault="0028613B" w:rsidP="008D2989">
      <w:pPr>
        <w:pStyle w:val="Footer"/>
        <w:ind w:firstLine="720"/>
        <w:jc w:val="both"/>
        <w:rPr>
          <w:sz w:val="16"/>
          <w:szCs w:val="16"/>
        </w:rPr>
      </w:pPr>
      <w:r w:rsidRPr="000A4C2C">
        <w:rPr>
          <w:rStyle w:val="FootnoteReference"/>
          <w:sz w:val="16"/>
          <w:szCs w:val="16"/>
        </w:rPr>
        <w:footnoteRef/>
      </w:r>
      <w:r w:rsidRPr="000A4C2C">
        <w:rPr>
          <w:sz w:val="16"/>
          <w:szCs w:val="16"/>
        </w:rPr>
        <w:t xml:space="preserve"> </w:t>
      </w:r>
      <w:r w:rsidRPr="000411A7">
        <w:rPr>
          <w:sz w:val="16"/>
          <w:szCs w:val="16"/>
        </w:rPr>
        <w:t>IACHR, Report Number 47/17. Petition 42-07. Admi</w:t>
      </w:r>
      <w:r>
        <w:rPr>
          <w:sz w:val="16"/>
          <w:szCs w:val="16"/>
        </w:rPr>
        <w:t>s</w:t>
      </w:r>
      <w:r w:rsidRPr="000411A7">
        <w:rPr>
          <w:sz w:val="16"/>
          <w:szCs w:val="16"/>
        </w:rPr>
        <w:t>sibility.</w:t>
      </w:r>
      <w:r w:rsidRPr="000411A7">
        <w:rPr>
          <w:rFonts w:asciiTheme="majorHAnsi" w:hAnsiTheme="majorHAnsi"/>
          <w:sz w:val="16"/>
          <w:szCs w:val="16"/>
        </w:rPr>
        <w:t xml:space="preserve"> Jenner Alfonso Mora </w:t>
      </w:r>
      <w:proofErr w:type="spellStart"/>
      <w:r w:rsidRPr="000411A7">
        <w:rPr>
          <w:rFonts w:asciiTheme="majorHAnsi" w:hAnsiTheme="majorHAnsi"/>
          <w:sz w:val="16"/>
          <w:szCs w:val="16"/>
        </w:rPr>
        <w:t>Moncaleano</w:t>
      </w:r>
      <w:proofErr w:type="spellEnd"/>
      <w:r w:rsidRPr="000411A7">
        <w:rPr>
          <w:rFonts w:asciiTheme="majorHAnsi" w:hAnsiTheme="majorHAnsi"/>
          <w:sz w:val="16"/>
          <w:szCs w:val="16"/>
        </w:rPr>
        <w:t xml:space="preserve"> and others</w:t>
      </w:r>
      <w:r>
        <w:rPr>
          <w:rFonts w:asciiTheme="majorHAnsi" w:hAnsiTheme="majorHAnsi"/>
          <w:sz w:val="16"/>
          <w:szCs w:val="16"/>
        </w:rPr>
        <w:t>. Colombia May 25, 2017, Par. 11</w:t>
      </w:r>
      <w:proofErr w:type="gramStart"/>
      <w:r w:rsidRPr="00004BC0">
        <w:rPr>
          <w:sz w:val="16"/>
          <w:szCs w:val="16"/>
        </w:rPr>
        <w:t>;</w:t>
      </w:r>
      <w:proofErr w:type="gramEnd"/>
      <w:r w:rsidRPr="00004BC0">
        <w:rPr>
          <w:sz w:val="16"/>
          <w:szCs w:val="16"/>
        </w:rPr>
        <w:t xml:space="preserve"> IACHR Report Number 17/16, Petition 1132-06. Admissibility. </w:t>
      </w:r>
      <w:proofErr w:type="spellStart"/>
      <w:r w:rsidRPr="00004BC0">
        <w:rPr>
          <w:rFonts w:asciiTheme="majorHAnsi" w:hAnsiTheme="majorHAnsi"/>
          <w:sz w:val="16"/>
          <w:szCs w:val="16"/>
        </w:rPr>
        <w:t>Hortencia</w:t>
      </w:r>
      <w:proofErr w:type="spellEnd"/>
      <w:r w:rsidRPr="00004BC0">
        <w:rPr>
          <w:rFonts w:asciiTheme="majorHAnsi" w:hAnsiTheme="majorHAnsi"/>
          <w:sz w:val="16"/>
          <w:szCs w:val="16"/>
        </w:rPr>
        <w:t xml:space="preserve"> </w:t>
      </w:r>
      <w:proofErr w:type="spellStart"/>
      <w:r w:rsidRPr="00004BC0">
        <w:rPr>
          <w:rFonts w:asciiTheme="majorHAnsi" w:hAnsiTheme="majorHAnsi"/>
          <w:sz w:val="16"/>
          <w:szCs w:val="16"/>
        </w:rPr>
        <w:t>Neyid</w:t>
      </w:r>
      <w:proofErr w:type="spellEnd"/>
      <w:r w:rsidRPr="00004BC0">
        <w:rPr>
          <w:rFonts w:asciiTheme="majorHAnsi" w:hAnsiTheme="majorHAnsi"/>
          <w:sz w:val="16"/>
          <w:szCs w:val="16"/>
        </w:rPr>
        <w:t xml:space="preserve"> </w:t>
      </w:r>
      <w:proofErr w:type="spellStart"/>
      <w:r w:rsidRPr="00004BC0">
        <w:rPr>
          <w:rFonts w:asciiTheme="majorHAnsi" w:hAnsiTheme="majorHAnsi"/>
          <w:sz w:val="16"/>
          <w:szCs w:val="16"/>
        </w:rPr>
        <w:t>Tunja</w:t>
      </w:r>
      <w:proofErr w:type="spellEnd"/>
      <w:r w:rsidRPr="00004BC0">
        <w:rPr>
          <w:rFonts w:asciiTheme="majorHAnsi" w:hAnsiTheme="majorHAnsi"/>
          <w:sz w:val="16"/>
          <w:szCs w:val="16"/>
        </w:rPr>
        <w:t xml:space="preserve"> </w:t>
      </w:r>
      <w:proofErr w:type="spellStart"/>
      <w:r w:rsidRPr="00004BC0">
        <w:rPr>
          <w:rFonts w:asciiTheme="majorHAnsi" w:hAnsiTheme="majorHAnsi"/>
          <w:sz w:val="16"/>
          <w:szCs w:val="16"/>
        </w:rPr>
        <w:t>Cuchumbe</w:t>
      </w:r>
      <w:proofErr w:type="spellEnd"/>
      <w:r w:rsidRPr="0028613B">
        <w:rPr>
          <w:sz w:val="16"/>
          <w:szCs w:val="16"/>
        </w:rPr>
        <w:t xml:space="preserve"> </w:t>
      </w:r>
      <w:proofErr w:type="gramStart"/>
      <w:r w:rsidRPr="00004BC0">
        <w:rPr>
          <w:sz w:val="16"/>
          <w:szCs w:val="16"/>
        </w:rPr>
        <w:t>And</w:t>
      </w:r>
      <w:proofErr w:type="gramEnd"/>
      <w:r w:rsidRPr="00004BC0">
        <w:rPr>
          <w:sz w:val="16"/>
          <w:szCs w:val="16"/>
        </w:rPr>
        <w:t xml:space="preserve"> others, Colombia, April 15, 2016, Par. 27.</w:t>
      </w:r>
    </w:p>
  </w:footnote>
  <w:footnote w:id="9">
    <w:p w14:paraId="099D4B73" w14:textId="60C7F0C1" w:rsidR="0028613B" w:rsidRPr="000A4C2C" w:rsidRDefault="0028613B" w:rsidP="000A4C2C">
      <w:pPr>
        <w:pStyle w:val="Footer"/>
        <w:ind w:firstLine="720"/>
        <w:jc w:val="both"/>
        <w:rPr>
          <w:rFonts w:asciiTheme="majorHAnsi" w:hAnsiTheme="majorHAnsi"/>
          <w:sz w:val="16"/>
          <w:szCs w:val="16"/>
        </w:rPr>
      </w:pPr>
      <w:r w:rsidRPr="000A4C2C">
        <w:rPr>
          <w:rStyle w:val="FootnoteReference"/>
          <w:sz w:val="16"/>
          <w:szCs w:val="16"/>
        </w:rPr>
        <w:footnoteRef/>
      </w:r>
      <w:r w:rsidRPr="000A4C2C">
        <w:rPr>
          <w:sz w:val="16"/>
          <w:szCs w:val="16"/>
        </w:rPr>
        <w:t xml:space="preserve"> </w:t>
      </w:r>
      <w:r w:rsidRPr="000411A7">
        <w:rPr>
          <w:sz w:val="16"/>
          <w:szCs w:val="16"/>
        </w:rPr>
        <w:t>IACHR Report Number</w:t>
      </w:r>
      <w:r>
        <w:t>.</w:t>
      </w:r>
      <w:r w:rsidRPr="000411A7">
        <w:rPr>
          <w:rFonts w:asciiTheme="majorHAnsi" w:hAnsiTheme="majorHAnsi"/>
          <w:sz w:val="16"/>
          <w:szCs w:val="16"/>
        </w:rPr>
        <w:t xml:space="preserve"> 119/17. Petition 1618-07. Admissibility. </w:t>
      </w:r>
      <w:proofErr w:type="spellStart"/>
      <w:r w:rsidRPr="001629E7">
        <w:rPr>
          <w:rFonts w:asciiTheme="majorHAnsi" w:hAnsiTheme="majorHAnsi"/>
          <w:sz w:val="16"/>
          <w:szCs w:val="16"/>
          <w:lang w:val="es-CO"/>
        </w:rPr>
        <w:t>Duver</w:t>
      </w:r>
      <w:proofErr w:type="spellEnd"/>
      <w:r w:rsidRPr="001629E7">
        <w:rPr>
          <w:rFonts w:asciiTheme="majorHAnsi" w:hAnsiTheme="majorHAnsi"/>
          <w:sz w:val="16"/>
          <w:szCs w:val="16"/>
          <w:lang w:val="es-CO"/>
        </w:rPr>
        <w:t xml:space="preserve"> Alberto y Fredy Alonso Orozco García. </w:t>
      </w:r>
      <w:r w:rsidRPr="00004BC0">
        <w:rPr>
          <w:rFonts w:asciiTheme="majorHAnsi" w:hAnsiTheme="majorHAnsi"/>
          <w:sz w:val="16"/>
          <w:szCs w:val="16"/>
        </w:rPr>
        <w:t>Colombia, Septembe</w:t>
      </w:r>
      <w:r w:rsidRPr="001629E7">
        <w:rPr>
          <w:rFonts w:asciiTheme="majorHAnsi" w:hAnsiTheme="majorHAnsi"/>
          <w:sz w:val="16"/>
          <w:szCs w:val="16"/>
        </w:rPr>
        <w:t>r 7, 2017, Par. 10.</w:t>
      </w:r>
    </w:p>
  </w:footnote>
  <w:footnote w:id="10">
    <w:p w14:paraId="27710013" w14:textId="67D7583D" w:rsidR="0028613B" w:rsidRPr="0028613B" w:rsidRDefault="0028613B" w:rsidP="008D2989">
      <w:pPr>
        <w:pStyle w:val="Footer"/>
        <w:ind w:firstLine="720"/>
        <w:jc w:val="both"/>
        <w:rPr>
          <w:rFonts w:asciiTheme="majorHAnsi" w:hAnsiTheme="majorHAnsi"/>
          <w:sz w:val="16"/>
          <w:szCs w:val="16"/>
        </w:rPr>
      </w:pPr>
      <w:r w:rsidRPr="000A4C2C">
        <w:rPr>
          <w:rStyle w:val="FootnoteReference"/>
          <w:sz w:val="16"/>
          <w:szCs w:val="16"/>
        </w:rPr>
        <w:footnoteRef/>
      </w:r>
      <w:r w:rsidRPr="000A4C2C">
        <w:rPr>
          <w:sz w:val="16"/>
          <w:szCs w:val="16"/>
        </w:rPr>
        <w:t xml:space="preserve"> </w:t>
      </w:r>
      <w:r w:rsidRPr="00004BC0">
        <w:rPr>
          <w:rFonts w:asciiTheme="majorHAnsi" w:hAnsiTheme="majorHAnsi"/>
          <w:sz w:val="16"/>
          <w:szCs w:val="16"/>
        </w:rPr>
        <w:t xml:space="preserve">IACHR, Report Number 64/16. Petition 2332-12. Admissibility, </w:t>
      </w:r>
      <w:r>
        <w:rPr>
          <w:rFonts w:asciiTheme="majorHAnsi" w:hAnsiTheme="majorHAnsi"/>
          <w:sz w:val="16"/>
          <w:szCs w:val="16"/>
        </w:rPr>
        <w:t>Vicky Hernandez and family, Honduras, December 6, 2016. Par.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5A300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1F60B" w14:textId="77777777" w:rsidR="006C5D0A" w:rsidRDefault="006C5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4950"/>
    <w:multiLevelType w:val="hybridMultilevel"/>
    <w:tmpl w:val="740EDF06"/>
    <w:lvl w:ilvl="0" w:tplc="98AEB86E">
      <w:start w:val="2"/>
      <w:numFmt w:val="decimal"/>
      <w:lvlText w:val="%1."/>
      <w:lvlJc w:val="left"/>
      <w:pPr>
        <w:ind w:left="720" w:hanging="360"/>
      </w:pPr>
      <w:rPr>
        <w:rFonts w:asciiTheme="majorHAnsi" w:eastAsia="Cambria" w:hAnsiTheme="majorHAnsi" w:cs="Cambria"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BC44CE"/>
    <w:lvl w:ilvl="0" w:tplc="B61A847A">
      <w:start w:val="1"/>
      <w:numFmt w:val="decimal"/>
      <w:lvlText w:val="%1."/>
      <w:lvlJc w:val="left"/>
      <w:pPr>
        <w:tabs>
          <w:tab w:val="num" w:pos="425"/>
        </w:tabs>
        <w:ind w:left="-295"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736500"/>
    <w:multiLevelType w:val="hybridMultilevel"/>
    <w:tmpl w:val="52646058"/>
    <w:lvl w:ilvl="0" w:tplc="0FF6C9FC">
      <w:start w:val="5"/>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1F6E74"/>
    <w:multiLevelType w:val="hybridMultilevel"/>
    <w:tmpl w:val="BF6C3FFC"/>
    <w:lvl w:ilvl="0" w:tplc="DC6A8690">
      <w:start w:val="1"/>
      <w:numFmt w:val="decimal"/>
      <w:lvlText w:val="%1."/>
      <w:lvlJc w:val="left"/>
      <w:pPr>
        <w:ind w:left="1145" w:hanging="360"/>
      </w:pPr>
      <w:rPr>
        <w:rFonts w:hint="default"/>
      </w:r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459007A"/>
    <w:multiLevelType w:val="hybridMultilevel"/>
    <w:tmpl w:val="03902580"/>
    <w:lvl w:ilvl="0" w:tplc="240A000F">
      <w:start w:val="1"/>
      <w:numFmt w:val="decimal"/>
      <w:lvlText w:val="%1."/>
      <w:lvlJc w:val="left"/>
      <w:pPr>
        <w:ind w:left="1545" w:hanging="360"/>
      </w:pPr>
    </w:lvl>
    <w:lvl w:ilvl="1" w:tplc="240A0019" w:tentative="1">
      <w:start w:val="1"/>
      <w:numFmt w:val="lowerLetter"/>
      <w:lvlText w:val="%2."/>
      <w:lvlJc w:val="left"/>
      <w:pPr>
        <w:ind w:left="2265" w:hanging="360"/>
      </w:pPr>
    </w:lvl>
    <w:lvl w:ilvl="2" w:tplc="240A001B" w:tentative="1">
      <w:start w:val="1"/>
      <w:numFmt w:val="lowerRoman"/>
      <w:lvlText w:val="%3."/>
      <w:lvlJc w:val="right"/>
      <w:pPr>
        <w:ind w:left="2985" w:hanging="180"/>
      </w:pPr>
    </w:lvl>
    <w:lvl w:ilvl="3" w:tplc="240A000F" w:tentative="1">
      <w:start w:val="1"/>
      <w:numFmt w:val="decimal"/>
      <w:lvlText w:val="%4."/>
      <w:lvlJc w:val="left"/>
      <w:pPr>
        <w:ind w:left="3705" w:hanging="360"/>
      </w:pPr>
    </w:lvl>
    <w:lvl w:ilvl="4" w:tplc="240A0019" w:tentative="1">
      <w:start w:val="1"/>
      <w:numFmt w:val="lowerLetter"/>
      <w:lvlText w:val="%5."/>
      <w:lvlJc w:val="left"/>
      <w:pPr>
        <w:ind w:left="4425" w:hanging="360"/>
      </w:pPr>
    </w:lvl>
    <w:lvl w:ilvl="5" w:tplc="240A001B" w:tentative="1">
      <w:start w:val="1"/>
      <w:numFmt w:val="lowerRoman"/>
      <w:lvlText w:val="%6."/>
      <w:lvlJc w:val="right"/>
      <w:pPr>
        <w:ind w:left="5145" w:hanging="180"/>
      </w:pPr>
    </w:lvl>
    <w:lvl w:ilvl="6" w:tplc="240A000F" w:tentative="1">
      <w:start w:val="1"/>
      <w:numFmt w:val="decimal"/>
      <w:lvlText w:val="%7."/>
      <w:lvlJc w:val="left"/>
      <w:pPr>
        <w:ind w:left="5865" w:hanging="360"/>
      </w:pPr>
    </w:lvl>
    <w:lvl w:ilvl="7" w:tplc="240A0019" w:tentative="1">
      <w:start w:val="1"/>
      <w:numFmt w:val="lowerLetter"/>
      <w:lvlText w:val="%8."/>
      <w:lvlJc w:val="left"/>
      <w:pPr>
        <w:ind w:left="6585" w:hanging="360"/>
      </w:pPr>
    </w:lvl>
    <w:lvl w:ilvl="8" w:tplc="240A001B" w:tentative="1">
      <w:start w:val="1"/>
      <w:numFmt w:val="lowerRoman"/>
      <w:lvlText w:val="%9."/>
      <w:lvlJc w:val="right"/>
      <w:pPr>
        <w:ind w:left="7305"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1"/>
  </w:num>
  <w:num w:numId="54">
    <w:abstractNumId w:val="41"/>
  </w:num>
  <w:num w:numId="55">
    <w:abstractNumId w:val="42"/>
  </w:num>
  <w:num w:numId="56">
    <w:abstractNumId w:val="48"/>
  </w:num>
  <w:num w:numId="57">
    <w:abstractNumId w:val="2"/>
  </w:num>
  <w:num w:numId="58">
    <w:abstractNumId w:val="3"/>
  </w:num>
  <w:num w:numId="59">
    <w:abstractNumId w:val="9"/>
  </w:num>
  <w:num w:numId="60">
    <w:abstractNumId w:val="10"/>
  </w:num>
  <w:num w:numId="61">
    <w:abstractNumId w:val="12"/>
  </w:num>
  <w:num w:numId="62">
    <w:abstractNumId w:val="14"/>
  </w:num>
  <w:num w:numId="63">
    <w:abstractNumId w:val="15"/>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6"/>
  </w:num>
  <w:num w:numId="71">
    <w:abstractNumId w:val="27"/>
  </w:num>
  <w:num w:numId="72">
    <w:abstractNumId w:val="28"/>
  </w:num>
  <w:num w:numId="73">
    <w:abstractNumId w:val="30"/>
  </w:num>
  <w:num w:numId="74">
    <w:abstractNumId w:val="32"/>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4"/>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3"/>
  </w:num>
  <w:num w:numId="95">
    <w:abstractNumId w:val="45"/>
  </w:num>
  <w:num w:numId="96">
    <w:abstractNumId w:val="57"/>
  </w:num>
  <w:num w:numId="97">
    <w:abstractNumId w:val="55"/>
  </w:num>
  <w:num w:numId="98">
    <w:abstractNumId w:val="49"/>
  </w:num>
  <w:num w:numId="99">
    <w:abstractNumId w:val="40"/>
  </w:num>
  <w:num w:numId="100">
    <w:abstractNumId w:val="4"/>
  </w:num>
  <w:num w:numId="101">
    <w:abstractNumId w:val="29"/>
  </w:num>
  <w:num w:numId="102">
    <w:abstractNumId w:val="51"/>
  </w:num>
  <w:num w:numId="103">
    <w:abstractNumId w:val="6"/>
  </w:num>
  <w:num w:numId="104">
    <w:abstractNumId w:val="13"/>
  </w:num>
  <w:num w:numId="105">
    <w:abstractNumId w:val="47"/>
  </w:num>
  <w:num w:numId="106">
    <w:abstractNumId w:val="11"/>
  </w:num>
  <w:num w:numId="107">
    <w:abstractNumId w:val="0"/>
  </w:num>
  <w:num w:numId="108">
    <w:abstractNumId w:val="25"/>
  </w:num>
  <w:num w:numId="109">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activeWritingStyle w:appName="MSWord" w:lang="pt-BR"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s-CO" w:vendorID="64" w:dllVersion="131078" w:nlCheck="1" w:checkStyle="0"/>
  <w:activeWritingStyle w:appName="MSWord" w:lang="es-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BC0"/>
    <w:rsid w:val="000070D7"/>
    <w:rsid w:val="000111A8"/>
    <w:rsid w:val="0001788C"/>
    <w:rsid w:val="00022CF5"/>
    <w:rsid w:val="000239B5"/>
    <w:rsid w:val="00036A8A"/>
    <w:rsid w:val="00040C3A"/>
    <w:rsid w:val="000411A7"/>
    <w:rsid w:val="000639C0"/>
    <w:rsid w:val="00070F3A"/>
    <w:rsid w:val="000716C5"/>
    <w:rsid w:val="00075C6F"/>
    <w:rsid w:val="00075E23"/>
    <w:rsid w:val="00092F32"/>
    <w:rsid w:val="0009344A"/>
    <w:rsid w:val="000A4C2C"/>
    <w:rsid w:val="000A575F"/>
    <w:rsid w:val="000B5E19"/>
    <w:rsid w:val="000B7166"/>
    <w:rsid w:val="000C4365"/>
    <w:rsid w:val="000D10DB"/>
    <w:rsid w:val="001100AE"/>
    <w:rsid w:val="00124116"/>
    <w:rsid w:val="0013104F"/>
    <w:rsid w:val="00137EBA"/>
    <w:rsid w:val="00145EDC"/>
    <w:rsid w:val="00153084"/>
    <w:rsid w:val="001629E7"/>
    <w:rsid w:val="00167A34"/>
    <w:rsid w:val="001714B4"/>
    <w:rsid w:val="001727DA"/>
    <w:rsid w:val="00175341"/>
    <w:rsid w:val="0018037F"/>
    <w:rsid w:val="001848E0"/>
    <w:rsid w:val="001A2AE7"/>
    <w:rsid w:val="001A5F27"/>
    <w:rsid w:val="001A65E4"/>
    <w:rsid w:val="001A7870"/>
    <w:rsid w:val="001C1B41"/>
    <w:rsid w:val="001D421A"/>
    <w:rsid w:val="001E366B"/>
    <w:rsid w:val="001F1902"/>
    <w:rsid w:val="00210E0E"/>
    <w:rsid w:val="00210F4B"/>
    <w:rsid w:val="00230163"/>
    <w:rsid w:val="0023351C"/>
    <w:rsid w:val="00247403"/>
    <w:rsid w:val="00247542"/>
    <w:rsid w:val="00257893"/>
    <w:rsid w:val="00266092"/>
    <w:rsid w:val="00266B61"/>
    <w:rsid w:val="0026712A"/>
    <w:rsid w:val="002677B1"/>
    <w:rsid w:val="002704DB"/>
    <w:rsid w:val="002760CE"/>
    <w:rsid w:val="0028613B"/>
    <w:rsid w:val="002B5833"/>
    <w:rsid w:val="002B7A85"/>
    <w:rsid w:val="002C1641"/>
    <w:rsid w:val="002D2ADF"/>
    <w:rsid w:val="002D7EA2"/>
    <w:rsid w:val="002E15DF"/>
    <w:rsid w:val="002E187C"/>
    <w:rsid w:val="002E6E57"/>
    <w:rsid w:val="00301075"/>
    <w:rsid w:val="00302733"/>
    <w:rsid w:val="00311A4F"/>
    <w:rsid w:val="00314078"/>
    <w:rsid w:val="003148F6"/>
    <w:rsid w:val="00321AFD"/>
    <w:rsid w:val="00322450"/>
    <w:rsid w:val="003246B5"/>
    <w:rsid w:val="0033169F"/>
    <w:rsid w:val="003414AC"/>
    <w:rsid w:val="00356185"/>
    <w:rsid w:val="00360380"/>
    <w:rsid w:val="003771A3"/>
    <w:rsid w:val="00386CF0"/>
    <w:rsid w:val="003A4348"/>
    <w:rsid w:val="003C32BC"/>
    <w:rsid w:val="003E3E03"/>
    <w:rsid w:val="003F1BBF"/>
    <w:rsid w:val="004162B1"/>
    <w:rsid w:val="004165C2"/>
    <w:rsid w:val="00432296"/>
    <w:rsid w:val="00450A4A"/>
    <w:rsid w:val="00454364"/>
    <w:rsid w:val="00455CDC"/>
    <w:rsid w:val="004666FB"/>
    <w:rsid w:val="00466D0B"/>
    <w:rsid w:val="00467B7E"/>
    <w:rsid w:val="00467C50"/>
    <w:rsid w:val="0049419D"/>
    <w:rsid w:val="004B2762"/>
    <w:rsid w:val="004B7EB6"/>
    <w:rsid w:val="004C2291"/>
    <w:rsid w:val="004C41DE"/>
    <w:rsid w:val="004C4B62"/>
    <w:rsid w:val="004D6025"/>
    <w:rsid w:val="004D72BC"/>
    <w:rsid w:val="004E07AB"/>
    <w:rsid w:val="004E7056"/>
    <w:rsid w:val="004F6B67"/>
    <w:rsid w:val="00501399"/>
    <w:rsid w:val="00507BC4"/>
    <w:rsid w:val="005128E4"/>
    <w:rsid w:val="00516B91"/>
    <w:rsid w:val="00523961"/>
    <w:rsid w:val="00525560"/>
    <w:rsid w:val="005357A6"/>
    <w:rsid w:val="00544C49"/>
    <w:rsid w:val="0054745B"/>
    <w:rsid w:val="0057402A"/>
    <w:rsid w:val="005771D0"/>
    <w:rsid w:val="005816E5"/>
    <w:rsid w:val="0059191A"/>
    <w:rsid w:val="005921FF"/>
    <w:rsid w:val="00592718"/>
    <w:rsid w:val="005A3003"/>
    <w:rsid w:val="005A6D0E"/>
    <w:rsid w:val="005B222D"/>
    <w:rsid w:val="005B2F18"/>
    <w:rsid w:val="005B52B0"/>
    <w:rsid w:val="005B6806"/>
    <w:rsid w:val="005B79BB"/>
    <w:rsid w:val="005C00F9"/>
    <w:rsid w:val="005C4225"/>
    <w:rsid w:val="005F0F33"/>
    <w:rsid w:val="00600DEB"/>
    <w:rsid w:val="00605DD6"/>
    <w:rsid w:val="00611B10"/>
    <w:rsid w:val="00613027"/>
    <w:rsid w:val="00625CEB"/>
    <w:rsid w:val="00627C9F"/>
    <w:rsid w:val="006311DA"/>
    <w:rsid w:val="006311E9"/>
    <w:rsid w:val="006318B2"/>
    <w:rsid w:val="00632354"/>
    <w:rsid w:val="00642810"/>
    <w:rsid w:val="006457C6"/>
    <w:rsid w:val="00652333"/>
    <w:rsid w:val="00653EA6"/>
    <w:rsid w:val="0068009E"/>
    <w:rsid w:val="006A17D2"/>
    <w:rsid w:val="006A73E6"/>
    <w:rsid w:val="006A7964"/>
    <w:rsid w:val="006B2D5C"/>
    <w:rsid w:val="006B5B20"/>
    <w:rsid w:val="006C4EB1"/>
    <w:rsid w:val="006C5D0A"/>
    <w:rsid w:val="006D4707"/>
    <w:rsid w:val="006E0166"/>
    <w:rsid w:val="006E7B34"/>
    <w:rsid w:val="00701B24"/>
    <w:rsid w:val="0071495F"/>
    <w:rsid w:val="0073081B"/>
    <w:rsid w:val="00736332"/>
    <w:rsid w:val="0073798E"/>
    <w:rsid w:val="00745899"/>
    <w:rsid w:val="00752E54"/>
    <w:rsid w:val="007607C4"/>
    <w:rsid w:val="00762164"/>
    <w:rsid w:val="0076643F"/>
    <w:rsid w:val="00781653"/>
    <w:rsid w:val="00784DB8"/>
    <w:rsid w:val="007A2F70"/>
    <w:rsid w:val="007B5120"/>
    <w:rsid w:val="007C3334"/>
    <w:rsid w:val="007C52BB"/>
    <w:rsid w:val="007D2B98"/>
    <w:rsid w:val="007D5437"/>
    <w:rsid w:val="00803F1C"/>
    <w:rsid w:val="0080600E"/>
    <w:rsid w:val="00806F90"/>
    <w:rsid w:val="00817612"/>
    <w:rsid w:val="0083436F"/>
    <w:rsid w:val="00837C45"/>
    <w:rsid w:val="00841DDC"/>
    <w:rsid w:val="00853419"/>
    <w:rsid w:val="008550F3"/>
    <w:rsid w:val="00884A6B"/>
    <w:rsid w:val="00897E12"/>
    <w:rsid w:val="008D1ACD"/>
    <w:rsid w:val="008D2989"/>
    <w:rsid w:val="008D43BA"/>
    <w:rsid w:val="008E3759"/>
    <w:rsid w:val="009041DC"/>
    <w:rsid w:val="009101E0"/>
    <w:rsid w:val="009104B4"/>
    <w:rsid w:val="0091354B"/>
    <w:rsid w:val="009228DA"/>
    <w:rsid w:val="00925FCD"/>
    <w:rsid w:val="0093441A"/>
    <w:rsid w:val="00954BF7"/>
    <w:rsid w:val="0096706E"/>
    <w:rsid w:val="00981FBA"/>
    <w:rsid w:val="009B381B"/>
    <w:rsid w:val="009D7611"/>
    <w:rsid w:val="009E53DE"/>
    <w:rsid w:val="009E566A"/>
    <w:rsid w:val="00A12DBC"/>
    <w:rsid w:val="00A13274"/>
    <w:rsid w:val="00A43458"/>
    <w:rsid w:val="00A528D1"/>
    <w:rsid w:val="00A66BE5"/>
    <w:rsid w:val="00AD37C1"/>
    <w:rsid w:val="00AE66EC"/>
    <w:rsid w:val="00AE6F91"/>
    <w:rsid w:val="00AF5571"/>
    <w:rsid w:val="00B02A3C"/>
    <w:rsid w:val="00B06BB7"/>
    <w:rsid w:val="00B167E9"/>
    <w:rsid w:val="00B179ED"/>
    <w:rsid w:val="00B314DB"/>
    <w:rsid w:val="00B31EBE"/>
    <w:rsid w:val="00B3718B"/>
    <w:rsid w:val="00B4025A"/>
    <w:rsid w:val="00B44B23"/>
    <w:rsid w:val="00B4632A"/>
    <w:rsid w:val="00B92E49"/>
    <w:rsid w:val="00BA276C"/>
    <w:rsid w:val="00BB306F"/>
    <w:rsid w:val="00BC45FD"/>
    <w:rsid w:val="00BD232B"/>
    <w:rsid w:val="00BD2E42"/>
    <w:rsid w:val="00BD4B89"/>
    <w:rsid w:val="00BF117C"/>
    <w:rsid w:val="00C1751C"/>
    <w:rsid w:val="00C17A84"/>
    <w:rsid w:val="00C21762"/>
    <w:rsid w:val="00C24543"/>
    <w:rsid w:val="00C256A2"/>
    <w:rsid w:val="00C3492D"/>
    <w:rsid w:val="00C41A94"/>
    <w:rsid w:val="00C529CA"/>
    <w:rsid w:val="00C55560"/>
    <w:rsid w:val="00C66B72"/>
    <w:rsid w:val="00C77ED8"/>
    <w:rsid w:val="00C87A55"/>
    <w:rsid w:val="00C9567A"/>
    <w:rsid w:val="00CA6577"/>
    <w:rsid w:val="00CB2660"/>
    <w:rsid w:val="00CC5E90"/>
    <w:rsid w:val="00CD046C"/>
    <w:rsid w:val="00CE5199"/>
    <w:rsid w:val="00CE66D5"/>
    <w:rsid w:val="00CF22FF"/>
    <w:rsid w:val="00CF610C"/>
    <w:rsid w:val="00CF6F45"/>
    <w:rsid w:val="00D07E61"/>
    <w:rsid w:val="00D140D0"/>
    <w:rsid w:val="00D34786"/>
    <w:rsid w:val="00D40A1E"/>
    <w:rsid w:val="00D533C0"/>
    <w:rsid w:val="00D712D3"/>
    <w:rsid w:val="00D71422"/>
    <w:rsid w:val="00D7145E"/>
    <w:rsid w:val="00D75084"/>
    <w:rsid w:val="00D7558D"/>
    <w:rsid w:val="00D81D92"/>
    <w:rsid w:val="00D93426"/>
    <w:rsid w:val="00D93446"/>
    <w:rsid w:val="00DA7B5F"/>
    <w:rsid w:val="00DD4136"/>
    <w:rsid w:val="00DF078B"/>
    <w:rsid w:val="00DF350D"/>
    <w:rsid w:val="00E21FDD"/>
    <w:rsid w:val="00E227C1"/>
    <w:rsid w:val="00E31060"/>
    <w:rsid w:val="00E43157"/>
    <w:rsid w:val="00E47F3D"/>
    <w:rsid w:val="00E533FF"/>
    <w:rsid w:val="00E709B3"/>
    <w:rsid w:val="00E7588C"/>
    <w:rsid w:val="00E81FC2"/>
    <w:rsid w:val="00E850B6"/>
    <w:rsid w:val="00E8789F"/>
    <w:rsid w:val="00E97B71"/>
    <w:rsid w:val="00EB454D"/>
    <w:rsid w:val="00EB77DF"/>
    <w:rsid w:val="00ED0D1B"/>
    <w:rsid w:val="00EE3522"/>
    <w:rsid w:val="00EF619B"/>
    <w:rsid w:val="00F00B55"/>
    <w:rsid w:val="00F05F2F"/>
    <w:rsid w:val="00F1380F"/>
    <w:rsid w:val="00F14F0E"/>
    <w:rsid w:val="00F15A3B"/>
    <w:rsid w:val="00F24C29"/>
    <w:rsid w:val="00F253CC"/>
    <w:rsid w:val="00F42B71"/>
    <w:rsid w:val="00F46C58"/>
    <w:rsid w:val="00F56BA5"/>
    <w:rsid w:val="00F621C3"/>
    <w:rsid w:val="00F62542"/>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A1327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224EDE"/>
    <w:rsid w:val="004108B1"/>
    <w:rsid w:val="00676BF4"/>
    <w:rsid w:val="008B222A"/>
    <w:rsid w:val="008F7135"/>
    <w:rsid w:val="00AA254B"/>
    <w:rsid w:val="00AB44F1"/>
    <w:rsid w:val="00D22359"/>
    <w:rsid w:val="00D7005C"/>
    <w:rsid w:val="00DB0325"/>
    <w:rsid w:val="00E715BD"/>
    <w:rsid w:val="00EA0868"/>
    <w:rsid w:val="00EA1045"/>
    <w:rsid w:val="00FC4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5DE3-96E9-46E1-91AA-CCE44A24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2213</Words>
  <Characters>12620</Characters>
  <Application>Microsoft Office Word</Application>
  <DocSecurity>0</DocSecurity>
  <Lines>105</Lines>
  <Paragraphs>29</Paragraphs>
  <ScaleCrop>false</ScaleCrop>
  <Company/>
  <LinksUpToDate>false</LinksUpToDate>
  <CharactersWithSpaces>14804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46/18</dc:title>
  <dc:creator/>
  <cp:lastModifiedBy/>
  <cp:revision>1</cp:revision>
  <dcterms:created xsi:type="dcterms:W3CDTF">2018-08-10T15:31:00Z</dcterms:created>
  <dcterms:modified xsi:type="dcterms:W3CDTF">2018-08-10T15:31:00Z</dcterms:modified>
</cp:coreProperties>
</file>