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470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002D" w:rsidRPr="00B25B42" w:rsidRDefault="006C002D" w:rsidP="006C002D">
                            <w:pPr>
                              <w:spacing w:line="276" w:lineRule="auto"/>
                              <w:rPr>
                                <w:rFonts w:asciiTheme="majorHAnsi" w:hAnsiTheme="majorHAnsi" w:cs="Arial"/>
                                <w:b/>
                                <w:bCs/>
                                <w:color w:val="0D0D0D" w:themeColor="text1" w:themeTint="F2"/>
                                <w:sz w:val="36"/>
                                <w:szCs w:val="22"/>
                                <w:lang w:val="en-GB"/>
                              </w:rPr>
                            </w:pPr>
                            <w:r w:rsidRPr="00B25B42">
                              <w:rPr>
                                <w:rFonts w:asciiTheme="majorHAnsi" w:hAnsiTheme="majorHAnsi" w:cs="Arial"/>
                                <w:b/>
                                <w:bCs/>
                                <w:color w:val="0D0D0D" w:themeColor="text1" w:themeTint="F2"/>
                                <w:sz w:val="36"/>
                                <w:szCs w:val="22"/>
                                <w:lang w:val="en-GB"/>
                              </w:rPr>
                              <w:t xml:space="preserve">REPORT No. </w:t>
                            </w:r>
                            <w:r w:rsidR="00305E2D">
                              <w:rPr>
                                <w:rFonts w:asciiTheme="majorHAnsi" w:hAnsiTheme="majorHAnsi" w:cs="Arial"/>
                                <w:b/>
                                <w:bCs/>
                                <w:color w:val="0D0D0D" w:themeColor="text1" w:themeTint="F2"/>
                                <w:sz w:val="36"/>
                                <w:szCs w:val="22"/>
                                <w:lang w:val="en-GB"/>
                              </w:rPr>
                              <w:t>81</w:t>
                            </w:r>
                            <w:r w:rsidRPr="00B25B42">
                              <w:rPr>
                                <w:rFonts w:asciiTheme="majorHAnsi" w:hAnsiTheme="majorHAnsi" w:cs="Arial"/>
                                <w:b/>
                                <w:bCs/>
                                <w:color w:val="0D0D0D" w:themeColor="text1" w:themeTint="F2"/>
                                <w:sz w:val="36"/>
                                <w:szCs w:val="22"/>
                                <w:lang w:val="en-GB"/>
                              </w:rPr>
                              <w:t>/18</w:t>
                            </w:r>
                          </w:p>
                          <w:p w:rsidR="006C002D" w:rsidRPr="00B25B42" w:rsidRDefault="006C002D" w:rsidP="006C002D">
                            <w:pPr>
                              <w:spacing w:line="276" w:lineRule="auto"/>
                              <w:rPr>
                                <w:rFonts w:asciiTheme="majorHAnsi" w:hAnsiTheme="majorHAnsi" w:cs="Arial"/>
                                <w:b/>
                                <w:color w:val="0D0D0D" w:themeColor="text1" w:themeTint="F2"/>
                                <w:sz w:val="36"/>
                                <w:szCs w:val="22"/>
                                <w:lang w:val="en-GB"/>
                              </w:rPr>
                            </w:pPr>
                            <w:r w:rsidRPr="00B25B42">
                              <w:rPr>
                                <w:rFonts w:asciiTheme="majorHAnsi" w:hAnsiTheme="majorHAnsi" w:cs="Arial"/>
                                <w:b/>
                                <w:color w:val="0D0D0D" w:themeColor="text1" w:themeTint="F2"/>
                                <w:sz w:val="36"/>
                                <w:szCs w:val="22"/>
                                <w:lang w:val="en-GB"/>
                              </w:rPr>
                              <w:t xml:space="preserve">PETITION 190-07 </w:t>
                            </w:r>
                          </w:p>
                          <w:p w:rsidR="006C002D" w:rsidRPr="00B25B42" w:rsidRDefault="006C002D" w:rsidP="006C002D">
                            <w:pPr>
                              <w:spacing w:line="276" w:lineRule="auto"/>
                              <w:rPr>
                                <w:rFonts w:asciiTheme="majorHAnsi" w:hAnsiTheme="majorHAnsi" w:cs="Arial"/>
                                <w:color w:val="0D0D0D" w:themeColor="text1" w:themeTint="F2"/>
                                <w:szCs w:val="22"/>
                                <w:lang w:val="en-GB"/>
                              </w:rPr>
                            </w:pPr>
                            <w:r w:rsidRPr="00B25B42">
                              <w:rPr>
                                <w:rFonts w:asciiTheme="majorHAnsi" w:hAnsiTheme="majorHAnsi" w:cs="Arial"/>
                                <w:color w:val="0D0D0D" w:themeColor="text1" w:themeTint="F2"/>
                                <w:szCs w:val="22"/>
                                <w:lang w:val="en-GB"/>
                              </w:rPr>
                              <w:t xml:space="preserve">REPORT ON ADMISSIBILITY </w:t>
                            </w:r>
                          </w:p>
                          <w:p w:rsidR="006C002D" w:rsidRPr="00B25B42" w:rsidRDefault="006C002D" w:rsidP="006C002D">
                            <w:pPr>
                              <w:spacing w:line="276" w:lineRule="auto"/>
                              <w:rPr>
                                <w:rFonts w:asciiTheme="majorHAnsi" w:hAnsiTheme="majorHAnsi" w:cs="Arial"/>
                                <w:color w:val="0D0D0D" w:themeColor="text1" w:themeTint="F2"/>
                                <w:szCs w:val="22"/>
                                <w:lang w:val="en-GB"/>
                              </w:rPr>
                            </w:pPr>
                            <w:bookmarkStart w:id="0" w:name="_ftnref1"/>
                          </w:p>
                          <w:p w:rsidR="006C002D" w:rsidRPr="00B25B42" w:rsidRDefault="006C002D" w:rsidP="006C002D">
                            <w:pPr>
                              <w:spacing w:line="276" w:lineRule="auto"/>
                              <w:rPr>
                                <w:rFonts w:asciiTheme="majorHAnsi" w:hAnsiTheme="majorHAnsi" w:cs="Arial"/>
                                <w:color w:val="0D0D0D" w:themeColor="text1" w:themeTint="F2"/>
                                <w:szCs w:val="22"/>
                                <w:lang w:val="en-GB"/>
                              </w:rPr>
                            </w:pPr>
                            <w:r w:rsidRPr="00B25B42">
                              <w:rPr>
                                <w:rFonts w:asciiTheme="majorHAnsi" w:hAnsiTheme="majorHAnsi" w:cs="Arial"/>
                                <w:color w:val="0D0D0D" w:themeColor="text1" w:themeTint="F2"/>
                                <w:szCs w:val="22"/>
                                <w:lang w:val="en-GB"/>
                              </w:rPr>
                              <w:t>EDGAR JOSÉ SÁNCHEZ DUARTE AND FAMILY</w:t>
                            </w:r>
                            <w:bookmarkEnd w:id="0"/>
                          </w:p>
                          <w:p w:rsidR="006C002D" w:rsidRPr="00C40786" w:rsidRDefault="006C002D" w:rsidP="006C002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rsidR="006C002D" w:rsidRPr="00AE5488" w:rsidRDefault="006C002D" w:rsidP="006C002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C002D" w:rsidRPr="00B25B42" w:rsidRDefault="006C002D" w:rsidP="006C002D">
                      <w:pPr>
                        <w:spacing w:line="276" w:lineRule="auto"/>
                        <w:rPr>
                          <w:rFonts w:asciiTheme="majorHAnsi" w:hAnsiTheme="majorHAnsi" w:cs="Arial"/>
                          <w:b/>
                          <w:bCs/>
                          <w:color w:val="0D0D0D" w:themeColor="text1" w:themeTint="F2"/>
                          <w:sz w:val="36"/>
                          <w:szCs w:val="22"/>
                          <w:lang w:val="en-GB"/>
                        </w:rPr>
                      </w:pPr>
                      <w:r w:rsidRPr="00B25B42">
                        <w:rPr>
                          <w:rFonts w:asciiTheme="majorHAnsi" w:hAnsiTheme="majorHAnsi" w:cs="Arial"/>
                          <w:b/>
                          <w:bCs/>
                          <w:color w:val="0D0D0D" w:themeColor="text1" w:themeTint="F2"/>
                          <w:sz w:val="36"/>
                          <w:szCs w:val="22"/>
                          <w:lang w:val="en-GB"/>
                        </w:rPr>
                        <w:t xml:space="preserve">REPORT No. </w:t>
                      </w:r>
                      <w:r w:rsidR="00305E2D">
                        <w:rPr>
                          <w:rFonts w:asciiTheme="majorHAnsi" w:hAnsiTheme="majorHAnsi" w:cs="Arial"/>
                          <w:b/>
                          <w:bCs/>
                          <w:color w:val="0D0D0D" w:themeColor="text1" w:themeTint="F2"/>
                          <w:sz w:val="36"/>
                          <w:szCs w:val="22"/>
                          <w:lang w:val="en-GB"/>
                        </w:rPr>
                        <w:t>81</w:t>
                      </w:r>
                      <w:r w:rsidRPr="00B25B42">
                        <w:rPr>
                          <w:rFonts w:asciiTheme="majorHAnsi" w:hAnsiTheme="majorHAnsi" w:cs="Arial"/>
                          <w:b/>
                          <w:bCs/>
                          <w:color w:val="0D0D0D" w:themeColor="text1" w:themeTint="F2"/>
                          <w:sz w:val="36"/>
                          <w:szCs w:val="22"/>
                          <w:lang w:val="en-GB"/>
                        </w:rPr>
                        <w:t>/18</w:t>
                      </w:r>
                    </w:p>
                    <w:p w:rsidR="006C002D" w:rsidRPr="00B25B42" w:rsidRDefault="006C002D" w:rsidP="006C002D">
                      <w:pPr>
                        <w:spacing w:line="276" w:lineRule="auto"/>
                        <w:rPr>
                          <w:rFonts w:asciiTheme="majorHAnsi" w:hAnsiTheme="majorHAnsi" w:cs="Arial"/>
                          <w:b/>
                          <w:color w:val="0D0D0D" w:themeColor="text1" w:themeTint="F2"/>
                          <w:sz w:val="36"/>
                          <w:szCs w:val="22"/>
                          <w:lang w:val="en-GB"/>
                        </w:rPr>
                      </w:pPr>
                      <w:r w:rsidRPr="00B25B42">
                        <w:rPr>
                          <w:rFonts w:asciiTheme="majorHAnsi" w:hAnsiTheme="majorHAnsi" w:cs="Arial"/>
                          <w:b/>
                          <w:color w:val="0D0D0D" w:themeColor="text1" w:themeTint="F2"/>
                          <w:sz w:val="36"/>
                          <w:szCs w:val="22"/>
                          <w:lang w:val="en-GB"/>
                        </w:rPr>
                        <w:t xml:space="preserve">PETITION 190-07 </w:t>
                      </w:r>
                    </w:p>
                    <w:p w:rsidR="006C002D" w:rsidRPr="00B25B42" w:rsidRDefault="006C002D" w:rsidP="006C002D">
                      <w:pPr>
                        <w:spacing w:line="276" w:lineRule="auto"/>
                        <w:rPr>
                          <w:rFonts w:asciiTheme="majorHAnsi" w:hAnsiTheme="majorHAnsi" w:cs="Arial"/>
                          <w:color w:val="0D0D0D" w:themeColor="text1" w:themeTint="F2"/>
                          <w:szCs w:val="22"/>
                          <w:lang w:val="en-GB"/>
                        </w:rPr>
                      </w:pPr>
                      <w:r w:rsidRPr="00B25B42">
                        <w:rPr>
                          <w:rFonts w:asciiTheme="majorHAnsi" w:hAnsiTheme="majorHAnsi" w:cs="Arial"/>
                          <w:color w:val="0D0D0D" w:themeColor="text1" w:themeTint="F2"/>
                          <w:szCs w:val="22"/>
                          <w:lang w:val="en-GB"/>
                        </w:rPr>
                        <w:t xml:space="preserve">REPORT ON ADMISSIBILITY </w:t>
                      </w:r>
                    </w:p>
                    <w:p w:rsidR="006C002D" w:rsidRPr="00B25B42" w:rsidRDefault="006C002D" w:rsidP="006C002D">
                      <w:pPr>
                        <w:spacing w:line="276" w:lineRule="auto"/>
                        <w:rPr>
                          <w:rFonts w:asciiTheme="majorHAnsi" w:hAnsiTheme="majorHAnsi" w:cs="Arial"/>
                          <w:color w:val="0D0D0D" w:themeColor="text1" w:themeTint="F2"/>
                          <w:szCs w:val="22"/>
                          <w:lang w:val="en-GB"/>
                        </w:rPr>
                      </w:pPr>
                      <w:bookmarkStart w:id="1" w:name="_ftnref1"/>
                    </w:p>
                    <w:p w:rsidR="006C002D" w:rsidRPr="00B25B42" w:rsidRDefault="006C002D" w:rsidP="006C002D">
                      <w:pPr>
                        <w:spacing w:line="276" w:lineRule="auto"/>
                        <w:rPr>
                          <w:rFonts w:asciiTheme="majorHAnsi" w:hAnsiTheme="majorHAnsi" w:cs="Arial"/>
                          <w:color w:val="0D0D0D" w:themeColor="text1" w:themeTint="F2"/>
                          <w:szCs w:val="22"/>
                          <w:lang w:val="en-GB"/>
                        </w:rPr>
                      </w:pPr>
                      <w:r w:rsidRPr="00B25B42">
                        <w:rPr>
                          <w:rFonts w:asciiTheme="majorHAnsi" w:hAnsiTheme="majorHAnsi" w:cs="Arial"/>
                          <w:color w:val="0D0D0D" w:themeColor="text1" w:themeTint="F2"/>
                          <w:szCs w:val="22"/>
                          <w:lang w:val="en-GB"/>
                        </w:rPr>
                        <w:t>EDGAR JOSÉ SÁNCHEZ DUARTE AND FAMILY</w:t>
                      </w:r>
                      <w:bookmarkEnd w:id="1"/>
                    </w:p>
                    <w:p w:rsidR="006C002D" w:rsidRPr="00C40786" w:rsidRDefault="006C002D" w:rsidP="006C002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rsidR="006C002D" w:rsidRPr="00AE5488" w:rsidRDefault="006C002D" w:rsidP="006C002D">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05E2D" w:rsidRDefault="009E566A" w:rsidP="009E566A">
                            <w:pPr>
                              <w:jc w:val="right"/>
                              <w:rPr>
                                <w:rFonts w:asciiTheme="minorHAnsi" w:hAnsiTheme="minorHAnsi"/>
                                <w:color w:val="FFFFFF" w:themeColor="background1"/>
                                <w:sz w:val="22"/>
                                <w:lang w:val="pt-BR"/>
                              </w:rPr>
                            </w:pPr>
                            <w:r w:rsidRPr="00305E2D">
                              <w:rPr>
                                <w:rFonts w:asciiTheme="minorHAnsi" w:hAnsiTheme="minorHAnsi"/>
                                <w:color w:val="FFFFFF" w:themeColor="background1"/>
                                <w:sz w:val="22"/>
                                <w:lang w:val="pt-BR"/>
                              </w:rPr>
                              <w:t>OEA/Ser.L/V/II.1</w:t>
                            </w:r>
                          </w:p>
                          <w:p w:rsidR="00627C9F" w:rsidRPr="00305E2D" w:rsidRDefault="00CA6577" w:rsidP="009E566A">
                            <w:pPr>
                              <w:jc w:val="right"/>
                              <w:rPr>
                                <w:rFonts w:asciiTheme="minorHAnsi" w:hAnsiTheme="minorHAnsi"/>
                                <w:color w:val="FFFFFF" w:themeColor="background1"/>
                                <w:sz w:val="22"/>
                                <w:lang w:val="pt-BR"/>
                              </w:rPr>
                            </w:pPr>
                            <w:r w:rsidRPr="00305E2D">
                              <w:rPr>
                                <w:rFonts w:asciiTheme="minorHAnsi" w:hAnsiTheme="minorHAnsi"/>
                                <w:color w:val="FFFFFF" w:themeColor="background1"/>
                                <w:sz w:val="22"/>
                                <w:lang w:val="pt-BR"/>
                              </w:rPr>
                              <w:t xml:space="preserve">Doc. </w:t>
                            </w:r>
                            <w:r w:rsidR="00305E2D" w:rsidRPr="00305E2D">
                              <w:rPr>
                                <w:rFonts w:asciiTheme="minorHAnsi" w:hAnsiTheme="minorHAnsi"/>
                                <w:color w:val="FFFFFF" w:themeColor="background1"/>
                                <w:sz w:val="22"/>
                                <w:lang w:val="pt-BR"/>
                              </w:rPr>
                              <w:t>93</w:t>
                            </w:r>
                          </w:p>
                          <w:p w:rsidR="00627C9F" w:rsidRPr="00305E2D" w:rsidRDefault="00624330"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7 </w:t>
                            </w:r>
                            <w:r>
                              <w:rPr>
                                <w:rFonts w:asciiTheme="minorHAnsi" w:hAnsiTheme="minorHAnsi"/>
                                <w:color w:val="FFFFFF" w:themeColor="background1"/>
                                <w:sz w:val="22"/>
                              </w:rPr>
                              <w:t>July</w:t>
                            </w:r>
                            <w:r w:rsidR="000C4365" w:rsidRPr="00305E2D">
                              <w:rPr>
                                <w:rFonts w:asciiTheme="minorHAnsi" w:hAnsiTheme="minorHAnsi"/>
                                <w:color w:val="FFFFFF" w:themeColor="background1"/>
                                <w:sz w:val="22"/>
                              </w:rPr>
                              <w:t xml:space="preserve"> </w:t>
                            </w:r>
                            <w:r w:rsidR="00F42B71" w:rsidRPr="00305E2D">
                              <w:rPr>
                                <w:rFonts w:asciiTheme="minorHAnsi" w:hAnsiTheme="minorHAnsi"/>
                                <w:color w:val="FFFFFF" w:themeColor="background1"/>
                                <w:sz w:val="22"/>
                              </w:rPr>
                              <w:t>20</w:t>
                            </w:r>
                            <w:r w:rsidR="00227C53" w:rsidRPr="00305E2D">
                              <w:rPr>
                                <w:rFonts w:asciiTheme="minorHAnsi" w:hAnsiTheme="minorHAnsi"/>
                                <w:color w:val="FFFFFF" w:themeColor="background1"/>
                                <w:sz w:val="22"/>
                              </w:rPr>
                              <w:t>18</w:t>
                            </w:r>
                          </w:p>
                          <w:p w:rsidR="00627C9F" w:rsidRPr="00227C53" w:rsidRDefault="00627C9F" w:rsidP="009E566A">
                            <w:pPr>
                              <w:jc w:val="right"/>
                              <w:rPr>
                                <w:rFonts w:asciiTheme="minorHAnsi" w:hAnsiTheme="minorHAnsi"/>
                                <w:color w:val="FFFFFF" w:themeColor="background1"/>
                                <w:sz w:val="22"/>
                              </w:rPr>
                            </w:pPr>
                            <w:r w:rsidRPr="00305E2D">
                              <w:rPr>
                                <w:rFonts w:asciiTheme="minorHAnsi" w:hAnsiTheme="minorHAnsi"/>
                                <w:color w:val="FFFFFF" w:themeColor="background1"/>
                                <w:sz w:val="22"/>
                              </w:rPr>
                              <w:t>Original:</w:t>
                            </w:r>
                            <w:r w:rsidR="002C1641" w:rsidRPr="00305E2D">
                              <w:rPr>
                                <w:rFonts w:asciiTheme="minorHAnsi" w:hAnsiTheme="minorHAnsi"/>
                                <w:color w:val="FFFFFF" w:themeColor="background1"/>
                                <w:sz w:val="22"/>
                              </w:rPr>
                              <w:t xml:space="preserve"> </w:t>
                            </w:r>
                            <w:r w:rsidR="00F42B71" w:rsidRPr="00305E2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05E2D" w:rsidRDefault="009E566A" w:rsidP="009E566A">
                      <w:pPr>
                        <w:jc w:val="right"/>
                        <w:rPr>
                          <w:rFonts w:asciiTheme="minorHAnsi" w:hAnsiTheme="minorHAnsi"/>
                          <w:color w:val="FFFFFF" w:themeColor="background1"/>
                          <w:sz w:val="22"/>
                          <w:lang w:val="pt-BR"/>
                        </w:rPr>
                      </w:pPr>
                      <w:r w:rsidRPr="00305E2D">
                        <w:rPr>
                          <w:rFonts w:asciiTheme="minorHAnsi" w:hAnsiTheme="minorHAnsi"/>
                          <w:color w:val="FFFFFF" w:themeColor="background1"/>
                          <w:sz w:val="22"/>
                          <w:lang w:val="pt-BR"/>
                        </w:rPr>
                        <w:t>OEA/Ser.L/V/II.1</w:t>
                      </w:r>
                    </w:p>
                    <w:p w:rsidR="00627C9F" w:rsidRPr="00305E2D" w:rsidRDefault="00CA6577" w:rsidP="009E566A">
                      <w:pPr>
                        <w:jc w:val="right"/>
                        <w:rPr>
                          <w:rFonts w:asciiTheme="minorHAnsi" w:hAnsiTheme="minorHAnsi"/>
                          <w:color w:val="FFFFFF" w:themeColor="background1"/>
                          <w:sz w:val="22"/>
                          <w:lang w:val="pt-BR"/>
                        </w:rPr>
                      </w:pPr>
                      <w:r w:rsidRPr="00305E2D">
                        <w:rPr>
                          <w:rFonts w:asciiTheme="minorHAnsi" w:hAnsiTheme="minorHAnsi"/>
                          <w:color w:val="FFFFFF" w:themeColor="background1"/>
                          <w:sz w:val="22"/>
                          <w:lang w:val="pt-BR"/>
                        </w:rPr>
                        <w:t xml:space="preserve">Doc. </w:t>
                      </w:r>
                      <w:r w:rsidR="00305E2D" w:rsidRPr="00305E2D">
                        <w:rPr>
                          <w:rFonts w:asciiTheme="minorHAnsi" w:hAnsiTheme="minorHAnsi"/>
                          <w:color w:val="FFFFFF" w:themeColor="background1"/>
                          <w:sz w:val="22"/>
                          <w:lang w:val="pt-BR"/>
                        </w:rPr>
                        <w:t>93</w:t>
                      </w:r>
                    </w:p>
                    <w:p w:rsidR="00627C9F" w:rsidRPr="00305E2D" w:rsidRDefault="00624330"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7 </w:t>
                      </w:r>
                      <w:r>
                        <w:rPr>
                          <w:rFonts w:asciiTheme="minorHAnsi" w:hAnsiTheme="minorHAnsi"/>
                          <w:color w:val="FFFFFF" w:themeColor="background1"/>
                          <w:sz w:val="22"/>
                        </w:rPr>
                        <w:t>July</w:t>
                      </w:r>
                      <w:r w:rsidR="000C4365" w:rsidRPr="00305E2D">
                        <w:rPr>
                          <w:rFonts w:asciiTheme="minorHAnsi" w:hAnsiTheme="minorHAnsi"/>
                          <w:color w:val="FFFFFF" w:themeColor="background1"/>
                          <w:sz w:val="22"/>
                        </w:rPr>
                        <w:t xml:space="preserve"> </w:t>
                      </w:r>
                      <w:r w:rsidR="00F42B71" w:rsidRPr="00305E2D">
                        <w:rPr>
                          <w:rFonts w:asciiTheme="minorHAnsi" w:hAnsiTheme="minorHAnsi"/>
                          <w:color w:val="FFFFFF" w:themeColor="background1"/>
                          <w:sz w:val="22"/>
                        </w:rPr>
                        <w:t>20</w:t>
                      </w:r>
                      <w:r w:rsidR="00227C53" w:rsidRPr="00305E2D">
                        <w:rPr>
                          <w:rFonts w:asciiTheme="minorHAnsi" w:hAnsiTheme="minorHAnsi"/>
                          <w:color w:val="FFFFFF" w:themeColor="background1"/>
                          <w:sz w:val="22"/>
                        </w:rPr>
                        <w:t>18</w:t>
                      </w:r>
                    </w:p>
                    <w:p w:rsidR="00627C9F" w:rsidRPr="00227C53" w:rsidRDefault="00627C9F" w:rsidP="009E566A">
                      <w:pPr>
                        <w:jc w:val="right"/>
                        <w:rPr>
                          <w:rFonts w:asciiTheme="minorHAnsi" w:hAnsiTheme="minorHAnsi"/>
                          <w:color w:val="FFFFFF" w:themeColor="background1"/>
                          <w:sz w:val="22"/>
                        </w:rPr>
                      </w:pPr>
                      <w:r w:rsidRPr="00305E2D">
                        <w:rPr>
                          <w:rFonts w:asciiTheme="minorHAnsi" w:hAnsiTheme="minorHAnsi"/>
                          <w:color w:val="FFFFFF" w:themeColor="background1"/>
                          <w:sz w:val="22"/>
                        </w:rPr>
                        <w:t>Original:</w:t>
                      </w:r>
                      <w:r w:rsidR="002C1641" w:rsidRPr="00305E2D">
                        <w:rPr>
                          <w:rFonts w:asciiTheme="minorHAnsi" w:hAnsiTheme="minorHAnsi"/>
                          <w:color w:val="FFFFFF" w:themeColor="background1"/>
                          <w:sz w:val="22"/>
                        </w:rPr>
                        <w:t xml:space="preserve"> </w:t>
                      </w:r>
                      <w:r w:rsidR="00F42B71" w:rsidRPr="00305E2D">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bookmarkStart w:id="2" w:name="_GoBack"/>
      <w:bookmarkEnd w:id="2"/>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1208" w:rsidRPr="003C32BC" w:rsidRDefault="00FE1208" w:rsidP="00FE1208">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Approved</w:t>
                            </w:r>
                            <w:r w:rsidR="00624330">
                              <w:rPr>
                                <w:rFonts w:asciiTheme="majorHAnsi" w:hAnsiTheme="majorHAnsi"/>
                                <w:color w:val="0D0D0D" w:themeColor="text1" w:themeTint="F2"/>
                                <w:sz w:val="18"/>
                                <w:szCs w:val="20"/>
                              </w:rPr>
                              <w:t xml:space="preserve"> electronically</w:t>
                            </w:r>
                            <w:r w:rsidRPr="00A653A8">
                              <w:rPr>
                                <w:rFonts w:asciiTheme="majorHAnsi" w:hAnsiTheme="majorHAnsi"/>
                                <w:color w:val="0D0D0D" w:themeColor="text1" w:themeTint="F2"/>
                                <w:sz w:val="18"/>
                                <w:szCs w:val="20"/>
                              </w:rPr>
                              <w:t xml:space="preserve"> by the Commission</w:t>
                            </w:r>
                            <w:r w:rsidR="00305E2D">
                              <w:rPr>
                                <w:rFonts w:asciiTheme="majorHAnsi" w:hAnsiTheme="majorHAnsi"/>
                                <w:color w:val="0D0D0D" w:themeColor="text1" w:themeTint="F2"/>
                                <w:sz w:val="18"/>
                                <w:szCs w:val="20"/>
                              </w:rPr>
                              <w:t xml:space="preserve"> </w:t>
                            </w:r>
                            <w:r w:rsidRPr="00A653A8">
                              <w:rPr>
                                <w:rFonts w:asciiTheme="majorHAnsi" w:hAnsiTheme="majorHAnsi"/>
                                <w:color w:val="0D0D0D" w:themeColor="text1" w:themeTint="F2"/>
                                <w:sz w:val="18"/>
                                <w:szCs w:val="20"/>
                              </w:rPr>
                              <w:t>on</w:t>
                            </w:r>
                            <w:r>
                              <w:rPr>
                                <w:rFonts w:asciiTheme="majorHAnsi" w:hAnsiTheme="majorHAnsi"/>
                                <w:color w:val="0D0D0D" w:themeColor="text1" w:themeTint="F2"/>
                                <w:sz w:val="18"/>
                                <w:szCs w:val="20"/>
                              </w:rPr>
                              <w:t xml:space="preserve"> </w:t>
                            </w:r>
                            <w:r w:rsidR="00305E2D">
                              <w:rPr>
                                <w:rFonts w:asciiTheme="majorHAnsi" w:hAnsiTheme="majorHAnsi"/>
                                <w:color w:val="0D0D0D" w:themeColor="text1" w:themeTint="F2"/>
                                <w:sz w:val="18"/>
                                <w:szCs w:val="20"/>
                              </w:rPr>
                              <w:t>July 7,</w:t>
                            </w:r>
                            <w:r>
                              <w:rPr>
                                <w:rFonts w:asciiTheme="majorHAnsi" w:hAnsiTheme="majorHAnsi"/>
                                <w:color w:val="0D0D0D" w:themeColor="text1" w:themeTint="F2"/>
                                <w:sz w:val="18"/>
                                <w:szCs w:val="20"/>
                              </w:rPr>
                              <w:t xml:space="preserve"> 2018</w:t>
                            </w:r>
                            <w:r w:rsidR="00490569">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FE1208" w:rsidRPr="003C32BC" w:rsidRDefault="00FE1208" w:rsidP="00FE1208">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Approved</w:t>
                      </w:r>
                      <w:r w:rsidR="00624330">
                        <w:rPr>
                          <w:rFonts w:asciiTheme="majorHAnsi" w:hAnsiTheme="majorHAnsi"/>
                          <w:color w:val="0D0D0D" w:themeColor="text1" w:themeTint="F2"/>
                          <w:sz w:val="18"/>
                          <w:szCs w:val="20"/>
                        </w:rPr>
                        <w:t xml:space="preserve"> electronically</w:t>
                      </w:r>
                      <w:r w:rsidRPr="00A653A8">
                        <w:rPr>
                          <w:rFonts w:asciiTheme="majorHAnsi" w:hAnsiTheme="majorHAnsi"/>
                          <w:color w:val="0D0D0D" w:themeColor="text1" w:themeTint="F2"/>
                          <w:sz w:val="18"/>
                          <w:szCs w:val="20"/>
                        </w:rPr>
                        <w:t xml:space="preserve"> by the Commission</w:t>
                      </w:r>
                      <w:r w:rsidR="00305E2D">
                        <w:rPr>
                          <w:rFonts w:asciiTheme="majorHAnsi" w:hAnsiTheme="majorHAnsi"/>
                          <w:color w:val="0D0D0D" w:themeColor="text1" w:themeTint="F2"/>
                          <w:sz w:val="18"/>
                          <w:szCs w:val="20"/>
                        </w:rPr>
                        <w:t xml:space="preserve"> </w:t>
                      </w:r>
                      <w:r w:rsidRPr="00A653A8">
                        <w:rPr>
                          <w:rFonts w:asciiTheme="majorHAnsi" w:hAnsiTheme="majorHAnsi"/>
                          <w:color w:val="0D0D0D" w:themeColor="text1" w:themeTint="F2"/>
                          <w:sz w:val="18"/>
                          <w:szCs w:val="20"/>
                        </w:rPr>
                        <w:t>on</w:t>
                      </w:r>
                      <w:r>
                        <w:rPr>
                          <w:rFonts w:asciiTheme="majorHAnsi" w:hAnsiTheme="majorHAnsi"/>
                          <w:color w:val="0D0D0D" w:themeColor="text1" w:themeTint="F2"/>
                          <w:sz w:val="18"/>
                          <w:szCs w:val="20"/>
                        </w:rPr>
                        <w:t xml:space="preserve"> </w:t>
                      </w:r>
                      <w:r w:rsidR="00305E2D">
                        <w:rPr>
                          <w:rFonts w:asciiTheme="majorHAnsi" w:hAnsiTheme="majorHAnsi"/>
                          <w:color w:val="0D0D0D" w:themeColor="text1" w:themeTint="F2"/>
                          <w:sz w:val="18"/>
                          <w:szCs w:val="20"/>
                        </w:rPr>
                        <w:t>July 7,</w:t>
                      </w:r>
                      <w:r>
                        <w:rPr>
                          <w:rFonts w:asciiTheme="majorHAnsi" w:hAnsiTheme="majorHAnsi"/>
                          <w:color w:val="0D0D0D" w:themeColor="text1" w:themeTint="F2"/>
                          <w:sz w:val="18"/>
                          <w:szCs w:val="20"/>
                        </w:rPr>
                        <w:t xml:space="preserve"> 2018</w:t>
                      </w:r>
                      <w:r w:rsidR="00490569">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62686A" w:rsidRDefault="006C002D" w:rsidP="00F644E6">
                            <w:pPr>
                              <w:spacing w:line="276" w:lineRule="auto"/>
                              <w:rPr>
                                <w:rFonts w:asciiTheme="majorHAnsi" w:hAnsiTheme="majorHAnsi"/>
                                <w:color w:val="595959" w:themeColor="text1" w:themeTint="A6"/>
                                <w:sz w:val="18"/>
                                <w:szCs w:val="18"/>
                              </w:rPr>
                            </w:pPr>
                            <w:r w:rsidRPr="00FC3DEB">
                              <w:rPr>
                                <w:rFonts w:asciiTheme="majorHAnsi" w:hAnsiTheme="majorHAnsi"/>
                                <w:b/>
                                <w:color w:val="595959" w:themeColor="text1" w:themeTint="A6"/>
                                <w:sz w:val="18"/>
                                <w:szCs w:val="18"/>
                                <w:lang w:val="en-GB"/>
                              </w:rPr>
                              <w:t xml:space="preserve">Cite as: </w:t>
                            </w:r>
                            <w:r w:rsidRPr="00FC3DEB">
                              <w:rPr>
                                <w:rFonts w:asciiTheme="majorHAnsi" w:hAnsiTheme="majorHAnsi"/>
                                <w:color w:val="595959" w:themeColor="text1" w:themeTint="A6"/>
                                <w:sz w:val="18"/>
                                <w:szCs w:val="18"/>
                                <w:lang w:val="en-GB"/>
                              </w:rPr>
                              <w:t xml:space="preserve">IACHR, Report No. </w:t>
                            </w:r>
                            <w:r w:rsidR="00305E2D">
                              <w:rPr>
                                <w:rFonts w:asciiTheme="majorHAnsi" w:hAnsiTheme="majorHAnsi"/>
                                <w:color w:val="595959" w:themeColor="text1" w:themeTint="A6"/>
                                <w:sz w:val="18"/>
                                <w:szCs w:val="18"/>
                                <w:lang w:val="en-GB"/>
                              </w:rPr>
                              <w:t>81</w:t>
                            </w:r>
                            <w:r w:rsidRPr="00FC3DEB">
                              <w:rPr>
                                <w:rFonts w:asciiTheme="majorHAnsi" w:hAnsiTheme="majorHAnsi"/>
                                <w:color w:val="595959" w:themeColor="text1" w:themeTint="A6"/>
                                <w:sz w:val="18"/>
                                <w:szCs w:val="18"/>
                                <w:lang w:val="en-GB"/>
                              </w:rPr>
                              <w:t>/</w:t>
                            </w:r>
                            <w:r w:rsidR="00305E2D">
                              <w:rPr>
                                <w:rFonts w:asciiTheme="majorHAnsi" w:hAnsiTheme="majorHAnsi"/>
                                <w:color w:val="595959" w:themeColor="text1" w:themeTint="A6"/>
                                <w:sz w:val="18"/>
                                <w:szCs w:val="18"/>
                                <w:lang w:val="en-GB"/>
                              </w:rPr>
                              <w:t>18</w:t>
                            </w:r>
                            <w:r w:rsidRPr="00FC3DEB">
                              <w:rPr>
                                <w:rFonts w:asciiTheme="majorHAnsi" w:hAnsiTheme="majorHAnsi"/>
                                <w:color w:val="595959" w:themeColor="text1" w:themeTint="A6"/>
                                <w:sz w:val="18"/>
                                <w:szCs w:val="18"/>
                                <w:lang w:val="en-GB"/>
                              </w:rPr>
                              <w:t xml:space="preserve">. </w:t>
                            </w:r>
                            <w:r w:rsidRPr="00056D69">
                              <w:rPr>
                                <w:rFonts w:asciiTheme="majorHAnsi" w:hAnsiTheme="majorHAnsi"/>
                                <w:color w:val="595959" w:themeColor="text1" w:themeTint="A6"/>
                                <w:sz w:val="18"/>
                                <w:szCs w:val="18"/>
                              </w:rPr>
                              <w:t xml:space="preserve">Petition 190-07. Admissibility. </w:t>
                            </w:r>
                            <w:r w:rsidRPr="0062686A">
                              <w:rPr>
                                <w:rFonts w:asciiTheme="majorHAnsi" w:hAnsiTheme="majorHAnsi"/>
                                <w:color w:val="595959" w:themeColor="text1" w:themeTint="A6"/>
                                <w:sz w:val="18"/>
                                <w:szCs w:val="18"/>
                              </w:rPr>
                              <w:t>Edgar José Sánchez Duarte</w:t>
                            </w:r>
                            <w:r w:rsidR="00FE1208" w:rsidRPr="0062686A">
                              <w:rPr>
                                <w:rFonts w:asciiTheme="majorHAnsi" w:hAnsiTheme="majorHAnsi"/>
                                <w:color w:val="595959" w:themeColor="text1" w:themeTint="A6"/>
                                <w:sz w:val="18"/>
                                <w:szCs w:val="18"/>
                              </w:rPr>
                              <w:t xml:space="preserve"> and family</w:t>
                            </w:r>
                            <w:r w:rsidRPr="0062686A">
                              <w:rPr>
                                <w:rFonts w:asciiTheme="majorHAnsi" w:hAnsiTheme="majorHAnsi"/>
                                <w:color w:val="595959" w:themeColor="text1" w:themeTint="A6"/>
                                <w:sz w:val="18"/>
                                <w:szCs w:val="18"/>
                              </w:rPr>
                              <w:t xml:space="preserve">. Colombia. </w:t>
                            </w:r>
                            <w:r w:rsidR="00305E2D">
                              <w:rPr>
                                <w:rFonts w:asciiTheme="majorHAnsi" w:hAnsiTheme="majorHAnsi"/>
                                <w:color w:val="595959" w:themeColor="text1" w:themeTint="A6"/>
                                <w:sz w:val="18"/>
                                <w:szCs w:val="18"/>
                              </w:rPr>
                              <w:t>July 7, 2018</w:t>
                            </w:r>
                            <w:r w:rsidRPr="0062686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62686A" w:rsidRDefault="006C002D" w:rsidP="00F644E6">
                      <w:pPr>
                        <w:spacing w:line="276" w:lineRule="auto"/>
                        <w:rPr>
                          <w:rFonts w:asciiTheme="majorHAnsi" w:hAnsiTheme="majorHAnsi"/>
                          <w:color w:val="595959" w:themeColor="text1" w:themeTint="A6"/>
                          <w:sz w:val="18"/>
                          <w:szCs w:val="18"/>
                        </w:rPr>
                      </w:pPr>
                      <w:r w:rsidRPr="00FC3DEB">
                        <w:rPr>
                          <w:rFonts w:asciiTheme="majorHAnsi" w:hAnsiTheme="majorHAnsi"/>
                          <w:b/>
                          <w:color w:val="595959" w:themeColor="text1" w:themeTint="A6"/>
                          <w:sz w:val="18"/>
                          <w:szCs w:val="18"/>
                          <w:lang w:val="en-GB"/>
                        </w:rPr>
                        <w:t xml:space="preserve">Cite as: </w:t>
                      </w:r>
                      <w:r w:rsidRPr="00FC3DEB">
                        <w:rPr>
                          <w:rFonts w:asciiTheme="majorHAnsi" w:hAnsiTheme="majorHAnsi"/>
                          <w:color w:val="595959" w:themeColor="text1" w:themeTint="A6"/>
                          <w:sz w:val="18"/>
                          <w:szCs w:val="18"/>
                          <w:lang w:val="en-GB"/>
                        </w:rPr>
                        <w:t xml:space="preserve">IACHR, Report No. </w:t>
                      </w:r>
                      <w:r w:rsidR="00305E2D">
                        <w:rPr>
                          <w:rFonts w:asciiTheme="majorHAnsi" w:hAnsiTheme="majorHAnsi"/>
                          <w:color w:val="595959" w:themeColor="text1" w:themeTint="A6"/>
                          <w:sz w:val="18"/>
                          <w:szCs w:val="18"/>
                          <w:lang w:val="en-GB"/>
                        </w:rPr>
                        <w:t>81</w:t>
                      </w:r>
                      <w:r w:rsidRPr="00FC3DEB">
                        <w:rPr>
                          <w:rFonts w:asciiTheme="majorHAnsi" w:hAnsiTheme="majorHAnsi"/>
                          <w:color w:val="595959" w:themeColor="text1" w:themeTint="A6"/>
                          <w:sz w:val="18"/>
                          <w:szCs w:val="18"/>
                          <w:lang w:val="en-GB"/>
                        </w:rPr>
                        <w:t>/</w:t>
                      </w:r>
                      <w:r w:rsidR="00305E2D">
                        <w:rPr>
                          <w:rFonts w:asciiTheme="majorHAnsi" w:hAnsiTheme="majorHAnsi"/>
                          <w:color w:val="595959" w:themeColor="text1" w:themeTint="A6"/>
                          <w:sz w:val="18"/>
                          <w:szCs w:val="18"/>
                          <w:lang w:val="en-GB"/>
                        </w:rPr>
                        <w:t>18</w:t>
                      </w:r>
                      <w:r w:rsidRPr="00FC3DEB">
                        <w:rPr>
                          <w:rFonts w:asciiTheme="majorHAnsi" w:hAnsiTheme="majorHAnsi"/>
                          <w:color w:val="595959" w:themeColor="text1" w:themeTint="A6"/>
                          <w:sz w:val="18"/>
                          <w:szCs w:val="18"/>
                          <w:lang w:val="en-GB"/>
                        </w:rPr>
                        <w:t xml:space="preserve">. </w:t>
                      </w:r>
                      <w:r w:rsidRPr="00056D69">
                        <w:rPr>
                          <w:rFonts w:asciiTheme="majorHAnsi" w:hAnsiTheme="majorHAnsi"/>
                          <w:color w:val="595959" w:themeColor="text1" w:themeTint="A6"/>
                          <w:sz w:val="18"/>
                          <w:szCs w:val="18"/>
                        </w:rPr>
                        <w:t xml:space="preserve">Petition 190-07. Admissibility. </w:t>
                      </w:r>
                      <w:r w:rsidRPr="0062686A">
                        <w:rPr>
                          <w:rFonts w:asciiTheme="majorHAnsi" w:hAnsiTheme="majorHAnsi"/>
                          <w:color w:val="595959" w:themeColor="text1" w:themeTint="A6"/>
                          <w:sz w:val="18"/>
                          <w:szCs w:val="18"/>
                        </w:rPr>
                        <w:t>Edgar José Sánchez Duarte</w:t>
                      </w:r>
                      <w:r w:rsidR="00FE1208" w:rsidRPr="0062686A">
                        <w:rPr>
                          <w:rFonts w:asciiTheme="majorHAnsi" w:hAnsiTheme="majorHAnsi"/>
                          <w:color w:val="595959" w:themeColor="text1" w:themeTint="A6"/>
                          <w:sz w:val="18"/>
                          <w:szCs w:val="18"/>
                        </w:rPr>
                        <w:t xml:space="preserve"> and family</w:t>
                      </w:r>
                      <w:r w:rsidRPr="0062686A">
                        <w:rPr>
                          <w:rFonts w:asciiTheme="majorHAnsi" w:hAnsiTheme="majorHAnsi"/>
                          <w:color w:val="595959" w:themeColor="text1" w:themeTint="A6"/>
                          <w:sz w:val="18"/>
                          <w:szCs w:val="18"/>
                        </w:rPr>
                        <w:t xml:space="preserve">. Colombia. </w:t>
                      </w:r>
                      <w:r w:rsidR="00305E2D">
                        <w:rPr>
                          <w:rFonts w:asciiTheme="majorHAnsi" w:hAnsiTheme="majorHAnsi"/>
                          <w:color w:val="595959" w:themeColor="text1" w:themeTint="A6"/>
                          <w:sz w:val="18"/>
                          <w:szCs w:val="18"/>
                        </w:rPr>
                        <w:t>July 7, 2018</w:t>
                      </w:r>
                      <w:r w:rsidRPr="0062686A">
                        <w:rPr>
                          <w:rFonts w:asciiTheme="majorHAnsi" w:hAnsiTheme="majorHAnsi"/>
                          <w:color w:val="595959" w:themeColor="text1" w:themeTint="A6"/>
                          <w:sz w:val="18"/>
                          <w:szCs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112FC" w:rsidRPr="00490569" w:rsidTr="00A112FC">
        <w:tc>
          <w:tcPr>
            <w:tcW w:w="3690" w:type="dxa"/>
            <w:tcBorders>
              <w:top w:val="single" w:sz="4" w:space="0" w:color="auto"/>
              <w:bottom w:val="single" w:sz="6" w:space="0" w:color="auto"/>
            </w:tcBorders>
            <w:shd w:val="clear" w:color="auto" w:fill="67AE3C"/>
            <w:vAlign w:val="center"/>
          </w:tcPr>
          <w:p w:rsidR="00A112FC" w:rsidRPr="000B6B7A" w:rsidRDefault="00A112FC"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A112FC" w:rsidRPr="00A26F34" w:rsidRDefault="00A112FC" w:rsidP="00756240">
            <w:pPr>
              <w:jc w:val="both"/>
              <w:rPr>
                <w:rFonts w:ascii="Cambria" w:hAnsi="Cambria"/>
                <w:bCs/>
                <w:sz w:val="20"/>
                <w:szCs w:val="20"/>
                <w:lang w:val="es-ES"/>
              </w:rPr>
            </w:pPr>
            <w:r w:rsidRPr="00A26F34">
              <w:rPr>
                <w:rFonts w:ascii="Cambria" w:hAnsi="Cambria"/>
                <w:bCs/>
                <w:sz w:val="20"/>
                <w:szCs w:val="20"/>
                <w:lang w:val="es-ES"/>
              </w:rPr>
              <w:t xml:space="preserve">Graciela Sánchez Duarte and </w:t>
            </w:r>
            <w:r w:rsidRPr="00B22544">
              <w:rPr>
                <w:rFonts w:ascii="Cambria" w:hAnsi="Cambria"/>
                <w:bCs/>
                <w:i/>
                <w:sz w:val="20"/>
                <w:szCs w:val="20"/>
                <w:lang w:val="es-ES"/>
              </w:rPr>
              <w:t>Corporación Colectivo de Abogados Opción Jurídica</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04404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18370B8461A4AE49D5E4EA4BFA1E186"/>
                </w:placeholder>
                <w:dropDownList>
                  <w:listItem w:value="Choose an item."/>
                  <w:listItem w:displayText="Alleged victim" w:value="Alleged victim"/>
                  <w:listItem w:displayText="Alleged victims" w:value="Alleged victims"/>
                </w:dropDownList>
              </w:sdtPr>
              <w:sdtEndPr/>
              <w:sdtContent>
                <w:r w:rsidR="00AA22E1">
                  <w:rPr>
                    <w:rFonts w:ascii="Cambria" w:hAnsi="Cambria"/>
                    <w:b/>
                    <w:bCs/>
                    <w:color w:val="FFFFFF" w:themeColor="background1"/>
                    <w:sz w:val="20"/>
                    <w:szCs w:val="20"/>
                  </w:rPr>
                  <w:t>Alleged victims</w:t>
                </w:r>
              </w:sdtContent>
            </w:sdt>
            <w:r w:rsidR="00A112FC" w:rsidRPr="000C4365">
              <w:rPr>
                <w:rFonts w:ascii="Cambria" w:hAnsi="Cambria"/>
                <w:b/>
                <w:bCs/>
                <w:color w:val="FFFFFF" w:themeColor="background1"/>
                <w:sz w:val="20"/>
                <w:szCs w:val="20"/>
              </w:rPr>
              <w:t>:</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Edgar José Sánchez Duarte and family</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Colombia</w:t>
            </w:r>
            <w:r w:rsidRPr="00FC3DEB">
              <w:rPr>
                <w:rStyle w:val="FootnoteReference"/>
                <w:rFonts w:ascii="Cambria" w:hAnsi="Cambria"/>
                <w:bCs/>
                <w:sz w:val="20"/>
                <w:szCs w:val="20"/>
              </w:rPr>
              <w:footnoteReference w:id="2"/>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Articles 4 (Life), 5 (Humane Treatment), 7 (Personal Liberty), 8 (Fair Trial), 24 (Equal Protection) and 25 (Judicial Protection) of the Amer</w:t>
            </w:r>
            <w:r w:rsidR="00EF40B0">
              <w:rPr>
                <w:rFonts w:ascii="Cambria" w:hAnsi="Cambria"/>
                <w:bCs/>
                <w:sz w:val="20"/>
                <w:szCs w:val="20"/>
              </w:rPr>
              <w:t>ican Convention on Human Rights</w:t>
            </w:r>
            <w:r w:rsidRPr="00FC3DEB">
              <w:rPr>
                <w:rStyle w:val="FootnoteReference"/>
                <w:rFonts w:ascii="Cambria" w:hAnsi="Cambria"/>
                <w:bCs/>
                <w:sz w:val="20"/>
                <w:szCs w:val="20"/>
                <w:bdr w:val="none" w:sz="0" w:space="0" w:color="auto" w:frame="1"/>
              </w:rPr>
              <w:footnoteReference w:id="3"/>
            </w:r>
            <w:r w:rsidR="00EF40B0">
              <w:rPr>
                <w:rFonts w:ascii="Cambria" w:hAnsi="Cambria"/>
                <w:bCs/>
                <w:sz w:val="20"/>
                <w:szCs w:val="20"/>
                <w:bdr w:val="none" w:sz="0" w:space="0" w:color="auto" w:frame="1"/>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 xml:space="preserve">February 1, 2007  </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A112FC" w:rsidRPr="00FC3DEB" w:rsidRDefault="00A112FC" w:rsidP="00756240">
            <w:pPr>
              <w:rPr>
                <w:rFonts w:ascii="Cambria" w:hAnsi="Cambria"/>
                <w:bCs/>
                <w:sz w:val="20"/>
                <w:szCs w:val="20"/>
              </w:rPr>
            </w:pPr>
            <w:r w:rsidRPr="00FC3DEB">
              <w:rPr>
                <w:rFonts w:ascii="Cambria" w:hAnsi="Cambria"/>
                <w:bCs/>
                <w:sz w:val="20"/>
                <w:szCs w:val="20"/>
              </w:rPr>
              <w:t xml:space="preserve">October 18, 2007; February 24, 2008; September 24, November 1, 2 and 14, 2012 </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May 29, 2013</w:t>
            </w:r>
          </w:p>
        </w:tc>
      </w:tr>
      <w:tr w:rsidR="00A112FC" w:rsidRPr="000B6B7A" w:rsidTr="00A112FC">
        <w:trPr>
          <w:trHeight w:val="264"/>
        </w:trPr>
        <w:tc>
          <w:tcPr>
            <w:tcW w:w="3690" w:type="dxa"/>
            <w:tcBorders>
              <w:top w:val="single" w:sz="6" w:space="0" w:color="auto"/>
              <w:bottom w:val="single" w:sz="6" w:space="0" w:color="auto"/>
            </w:tcBorders>
            <w:shd w:val="clear" w:color="auto" w:fill="67AE3C"/>
            <w:vAlign w:val="center"/>
          </w:tcPr>
          <w:p w:rsidR="00A112FC" w:rsidRPr="000B6B7A" w:rsidRDefault="00A112FC"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734F93">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October 21, 2013</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January 2, 2014 and March 16, 2017</w:t>
            </w:r>
          </w:p>
        </w:tc>
      </w:tr>
      <w:tr w:rsidR="00A112FC" w:rsidRPr="000B6B7A" w:rsidTr="00A112FC">
        <w:tc>
          <w:tcPr>
            <w:tcW w:w="3690" w:type="dxa"/>
            <w:tcBorders>
              <w:top w:val="single" w:sz="6" w:space="0" w:color="auto"/>
              <w:bottom w:val="single" w:sz="6" w:space="0" w:color="auto"/>
            </w:tcBorders>
            <w:shd w:val="clear" w:color="auto" w:fill="67AE3C"/>
            <w:vAlign w:val="center"/>
          </w:tcPr>
          <w:p w:rsidR="00A112FC" w:rsidRPr="000B6B7A" w:rsidRDefault="00A112FC"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A112FC" w:rsidRPr="00FC3DEB" w:rsidRDefault="00A112FC" w:rsidP="00756240">
            <w:pPr>
              <w:jc w:val="both"/>
              <w:rPr>
                <w:rFonts w:ascii="Cambria" w:hAnsi="Cambria"/>
                <w:bCs/>
                <w:sz w:val="20"/>
                <w:szCs w:val="20"/>
              </w:rPr>
            </w:pPr>
            <w:r w:rsidRPr="00FC3DEB">
              <w:rPr>
                <w:rFonts w:ascii="Cambria" w:hAnsi="Cambria"/>
                <w:bCs/>
                <w:sz w:val="20"/>
                <w:szCs w:val="20"/>
              </w:rPr>
              <w:t xml:space="preserve">November 11, 2014; May 16, 2018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F40B0" w:rsidRPr="000B6B7A" w:rsidTr="00EF40B0">
        <w:trPr>
          <w:cantSplit/>
        </w:trPr>
        <w:tc>
          <w:tcPr>
            <w:tcW w:w="3690" w:type="dxa"/>
            <w:tcBorders>
              <w:top w:val="single" w:sz="4" w:space="0" w:color="auto"/>
              <w:bottom w:val="single" w:sz="6" w:space="0" w:color="auto"/>
            </w:tcBorders>
            <w:shd w:val="clear" w:color="auto" w:fill="67AE3C"/>
            <w:vAlign w:val="center"/>
          </w:tcPr>
          <w:p w:rsidR="00EF40B0" w:rsidRPr="000B6B7A" w:rsidRDefault="00EF40B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EF40B0" w:rsidRPr="00FC3DEB" w:rsidRDefault="00EF40B0" w:rsidP="00756240">
            <w:pPr>
              <w:rPr>
                <w:rFonts w:ascii="Cambria" w:hAnsi="Cambria"/>
                <w:bCs/>
                <w:sz w:val="20"/>
                <w:szCs w:val="20"/>
              </w:rPr>
            </w:pPr>
            <w:r w:rsidRPr="00FC3DEB">
              <w:rPr>
                <w:rFonts w:ascii="Cambria" w:hAnsi="Cambria"/>
                <w:bCs/>
                <w:sz w:val="20"/>
                <w:szCs w:val="20"/>
              </w:rPr>
              <w:t>Yes</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EF40B0" w:rsidRPr="00FC3DEB" w:rsidRDefault="00EF40B0" w:rsidP="00756240">
            <w:pPr>
              <w:rPr>
                <w:rFonts w:ascii="Cambria" w:hAnsi="Cambria"/>
                <w:bCs/>
                <w:sz w:val="20"/>
                <w:szCs w:val="20"/>
              </w:rPr>
            </w:pPr>
            <w:r w:rsidRPr="00FC3DEB">
              <w:rPr>
                <w:rFonts w:ascii="Cambria" w:hAnsi="Cambria"/>
                <w:bCs/>
                <w:sz w:val="20"/>
                <w:szCs w:val="20"/>
              </w:rPr>
              <w:t>Yes</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EF40B0" w:rsidRPr="00FC3DEB" w:rsidRDefault="00EF40B0" w:rsidP="00756240">
            <w:pPr>
              <w:rPr>
                <w:bCs/>
                <w:sz w:val="20"/>
                <w:szCs w:val="20"/>
              </w:rPr>
            </w:pPr>
            <w:r w:rsidRPr="00FC3DEB">
              <w:rPr>
                <w:rFonts w:ascii="Cambria" w:hAnsi="Cambria"/>
                <w:bCs/>
                <w:sz w:val="20"/>
                <w:szCs w:val="20"/>
              </w:rPr>
              <w:t>Yes</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EF40B0" w:rsidRPr="00FC3DEB" w:rsidRDefault="00EF40B0" w:rsidP="00756240">
            <w:pPr>
              <w:jc w:val="both"/>
              <w:rPr>
                <w:rFonts w:ascii="Cambria" w:hAnsi="Cambria"/>
                <w:bCs/>
                <w:sz w:val="20"/>
                <w:szCs w:val="20"/>
              </w:rPr>
            </w:pPr>
            <w:r w:rsidRPr="00FC3DEB">
              <w:rPr>
                <w:rFonts w:ascii="Cambria" w:hAnsi="Cambria"/>
                <w:bCs/>
                <w:sz w:val="20"/>
                <w:szCs w:val="20"/>
              </w:rPr>
              <w:t>Yes. American Convention (deposit of ratification instrument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F40B0" w:rsidRPr="000B6B7A" w:rsidTr="00EF40B0">
        <w:trPr>
          <w:cantSplit/>
        </w:trPr>
        <w:tc>
          <w:tcPr>
            <w:tcW w:w="3690" w:type="dxa"/>
            <w:tcBorders>
              <w:top w:val="single" w:sz="4"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EF40B0" w:rsidRPr="00FC3DEB" w:rsidRDefault="00EF40B0" w:rsidP="00756240">
            <w:pPr>
              <w:jc w:val="both"/>
              <w:rPr>
                <w:rFonts w:ascii="Cambria" w:hAnsi="Cambria"/>
                <w:bCs/>
                <w:sz w:val="20"/>
                <w:szCs w:val="20"/>
              </w:rPr>
            </w:pPr>
            <w:r w:rsidRPr="00FC3DEB">
              <w:rPr>
                <w:rFonts w:ascii="Cambria" w:hAnsi="Cambria"/>
                <w:bCs/>
                <w:sz w:val="20"/>
                <w:szCs w:val="20"/>
              </w:rPr>
              <w:t>No</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EF40B0" w:rsidRPr="00FC3DEB" w:rsidRDefault="00EF40B0" w:rsidP="0092248F">
            <w:pPr>
              <w:jc w:val="both"/>
              <w:rPr>
                <w:rFonts w:ascii="Cambria" w:hAnsi="Cambria"/>
                <w:bCs/>
                <w:sz w:val="20"/>
                <w:szCs w:val="20"/>
              </w:rPr>
            </w:pPr>
            <w:r w:rsidRPr="00FC3DEB">
              <w:rPr>
                <w:rFonts w:ascii="Cambria" w:hAnsi="Cambria"/>
                <w:bCs/>
                <w:sz w:val="20"/>
                <w:szCs w:val="20"/>
              </w:rPr>
              <w:t xml:space="preserve">Articles 4 (Life), 5 (Humane Treatment), 8 (Fair Trial), 17 (Family), 24 (Equal Protection) and 25 (Judicial Protection) of the American Convention  </w:t>
            </w:r>
            <w:r w:rsidR="0092248F" w:rsidRPr="00FC3DEB">
              <w:rPr>
                <w:rFonts w:ascii="Cambria" w:hAnsi="Cambria"/>
                <w:sz w:val="20"/>
                <w:szCs w:val="20"/>
              </w:rPr>
              <w:t>in connection with Articles 1.1 and 2</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EF40B0" w:rsidRPr="00FC3DEB" w:rsidRDefault="00EF40B0" w:rsidP="00756240">
            <w:pPr>
              <w:rPr>
                <w:rFonts w:ascii="Cambria" w:hAnsi="Cambria"/>
                <w:bCs/>
                <w:sz w:val="20"/>
                <w:szCs w:val="20"/>
              </w:rPr>
            </w:pPr>
            <w:r w:rsidRPr="00FC3DEB">
              <w:rPr>
                <w:rFonts w:ascii="Cambria" w:hAnsi="Cambria"/>
                <w:bCs/>
                <w:sz w:val="20"/>
                <w:szCs w:val="20"/>
              </w:rPr>
              <w:t>Yes, exception in Article 46.2.</w:t>
            </w:r>
            <w:r w:rsidR="00376B85">
              <w:rPr>
                <w:rFonts w:ascii="Cambria" w:hAnsi="Cambria"/>
                <w:bCs/>
                <w:sz w:val="20"/>
                <w:szCs w:val="20"/>
              </w:rPr>
              <w:t xml:space="preserve"> b and </w:t>
            </w:r>
            <w:r w:rsidRPr="00FC3DEB">
              <w:rPr>
                <w:rFonts w:ascii="Cambria" w:hAnsi="Cambria"/>
                <w:bCs/>
                <w:sz w:val="20"/>
                <w:szCs w:val="20"/>
              </w:rPr>
              <w:t>c of the ACHR applies</w:t>
            </w:r>
          </w:p>
        </w:tc>
      </w:tr>
      <w:tr w:rsidR="00EF40B0" w:rsidRPr="000B6B7A" w:rsidTr="00EF40B0">
        <w:trPr>
          <w:cantSplit/>
        </w:trPr>
        <w:tc>
          <w:tcPr>
            <w:tcW w:w="3690" w:type="dxa"/>
            <w:tcBorders>
              <w:top w:val="single" w:sz="6" w:space="0" w:color="auto"/>
              <w:bottom w:val="single" w:sz="6" w:space="0" w:color="auto"/>
            </w:tcBorders>
            <w:shd w:val="clear" w:color="auto" w:fill="67AE3C"/>
            <w:vAlign w:val="center"/>
          </w:tcPr>
          <w:p w:rsidR="00EF40B0" w:rsidRPr="000B6B7A" w:rsidRDefault="00EF40B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EF40B0" w:rsidRPr="00FC3DEB" w:rsidRDefault="00EF40B0" w:rsidP="00756240">
            <w:pPr>
              <w:rPr>
                <w:bCs/>
                <w:sz w:val="20"/>
                <w:szCs w:val="20"/>
              </w:rPr>
            </w:pPr>
            <w:r w:rsidRPr="00FC3DEB">
              <w:rPr>
                <w:rFonts w:ascii="Cambria" w:hAnsi="Cambria"/>
                <w:bCs/>
                <w:sz w:val="20"/>
                <w:szCs w:val="20"/>
              </w:rPr>
              <w:t>Yes, under the terms of Section VI</w:t>
            </w:r>
          </w:p>
        </w:tc>
      </w:tr>
    </w:tbl>
    <w:p w:rsidR="00210F4B" w:rsidRDefault="00210F4B" w:rsidP="00F621C3">
      <w:pPr>
        <w:spacing w:before="240" w:after="240"/>
        <w:ind w:firstLine="720"/>
        <w:jc w:val="both"/>
        <w:rPr>
          <w:rFonts w:asciiTheme="majorHAnsi" w:hAnsiTheme="majorHAnsi"/>
          <w:b/>
          <w:sz w:val="20"/>
          <w:szCs w:val="20"/>
        </w:rPr>
      </w:pPr>
    </w:p>
    <w:p w:rsidR="00B06BB7"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441D68" w:rsidRPr="00FC3DEB" w:rsidRDefault="006318B2"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41D68" w:rsidRPr="00FC3DEB">
        <w:rPr>
          <w:rFonts w:ascii="Cambria" w:hAnsi="Cambria"/>
          <w:sz w:val="20"/>
          <w:szCs w:val="20"/>
        </w:rPr>
        <w:t>The petitioners allege that on September 13, 1993 Mr. Edgar José Sánchez Duarte (her</w:t>
      </w:r>
      <w:r w:rsidR="00D46E91">
        <w:rPr>
          <w:rFonts w:ascii="Cambria" w:hAnsi="Cambria"/>
          <w:sz w:val="20"/>
          <w:szCs w:val="20"/>
        </w:rPr>
        <w:t>e</w:t>
      </w:r>
      <w:r w:rsidR="00441D68" w:rsidRPr="00FC3DEB">
        <w:rPr>
          <w:rFonts w:ascii="Cambria" w:hAnsi="Cambria"/>
          <w:sz w:val="20"/>
          <w:szCs w:val="20"/>
        </w:rPr>
        <w:t xml:space="preserve">inafter </w:t>
      </w:r>
      <w:r w:rsidR="00734F93">
        <w:rPr>
          <w:rFonts w:ascii="Cambria" w:hAnsi="Cambria"/>
          <w:sz w:val="20"/>
          <w:szCs w:val="20"/>
        </w:rPr>
        <w:t>“</w:t>
      </w:r>
      <w:r w:rsidR="00441D68" w:rsidRPr="00FC3DEB">
        <w:rPr>
          <w:rFonts w:ascii="Cambria" w:hAnsi="Cambria"/>
          <w:sz w:val="20"/>
          <w:szCs w:val="20"/>
        </w:rPr>
        <w:t>the alleged victim</w:t>
      </w:r>
      <w:r w:rsidR="00734F93">
        <w:rPr>
          <w:rFonts w:ascii="Cambria" w:hAnsi="Cambria"/>
          <w:sz w:val="20"/>
          <w:szCs w:val="20"/>
        </w:rPr>
        <w:t>”</w:t>
      </w:r>
      <w:r w:rsidR="00441D68" w:rsidRPr="00FC3DEB">
        <w:rPr>
          <w:rFonts w:ascii="Cambria" w:hAnsi="Cambria"/>
          <w:sz w:val="20"/>
          <w:szCs w:val="20"/>
        </w:rPr>
        <w:t xml:space="preserve">) was violently killed with three gunshots by the Anti-Kidnapping and Anti-Extortion Unit (hereinafter </w:t>
      </w:r>
      <w:r w:rsidR="00734F93">
        <w:rPr>
          <w:rFonts w:ascii="Cambria" w:hAnsi="Cambria"/>
          <w:sz w:val="20"/>
          <w:szCs w:val="20"/>
        </w:rPr>
        <w:t>“</w:t>
      </w:r>
      <w:r w:rsidR="00441D68" w:rsidRPr="00FC3DEB">
        <w:rPr>
          <w:rFonts w:ascii="Cambria" w:hAnsi="Cambria"/>
          <w:sz w:val="20"/>
          <w:szCs w:val="20"/>
        </w:rPr>
        <w:t>UNASE</w:t>
      </w:r>
      <w:r w:rsidR="00734F93">
        <w:rPr>
          <w:rFonts w:ascii="Cambria" w:hAnsi="Cambria"/>
          <w:sz w:val="20"/>
          <w:szCs w:val="20"/>
        </w:rPr>
        <w:t>”</w:t>
      </w:r>
      <w:r w:rsidR="00441D68" w:rsidRPr="00FC3DEB">
        <w:rPr>
          <w:rFonts w:ascii="Cambria" w:hAnsi="Cambria"/>
          <w:sz w:val="20"/>
          <w:szCs w:val="20"/>
        </w:rPr>
        <w:t>), a special group based in</w:t>
      </w:r>
      <w:r w:rsidR="00441D68" w:rsidRPr="008E7F6B">
        <w:rPr>
          <w:rFonts w:ascii="Cambria" w:hAnsi="Cambria"/>
          <w:sz w:val="20"/>
          <w:szCs w:val="20"/>
        </w:rPr>
        <w:t xml:space="preserve"> </w:t>
      </w:r>
      <w:r w:rsidR="00441D68" w:rsidRPr="00990AFB">
        <w:rPr>
          <w:rFonts w:ascii="Cambria" w:hAnsi="Cambria"/>
          <w:i/>
          <w:sz w:val="20"/>
          <w:szCs w:val="20"/>
        </w:rPr>
        <w:t>La Popa</w:t>
      </w:r>
      <w:r w:rsidR="00441D68" w:rsidRPr="008E7F6B">
        <w:rPr>
          <w:rFonts w:ascii="Cambria" w:hAnsi="Cambria"/>
          <w:sz w:val="20"/>
          <w:szCs w:val="20"/>
        </w:rPr>
        <w:t xml:space="preserve"> </w:t>
      </w:r>
      <w:r w:rsidR="00441D68" w:rsidRPr="00FC3DEB">
        <w:rPr>
          <w:rFonts w:ascii="Cambria" w:hAnsi="Cambria"/>
          <w:sz w:val="20"/>
          <w:szCs w:val="20"/>
        </w:rPr>
        <w:t xml:space="preserve">Battalion in Valledupar, department of Cesar. They indicate that UNASE </w:t>
      </w:r>
      <w:r w:rsidR="00734F93">
        <w:rPr>
          <w:rFonts w:ascii="Cambria" w:hAnsi="Cambria"/>
          <w:sz w:val="20"/>
          <w:szCs w:val="20"/>
        </w:rPr>
        <w:t>agents</w:t>
      </w:r>
      <w:r w:rsidR="00441D68" w:rsidRPr="00FC3DEB">
        <w:rPr>
          <w:rFonts w:ascii="Cambria" w:hAnsi="Cambria"/>
          <w:sz w:val="20"/>
          <w:szCs w:val="20"/>
        </w:rPr>
        <w:t xml:space="preserve"> believed that the alleged victim belonged to the Revolutionary Armed Forces of Colombia and thus carefully prepared a military operation. They claim that the </w:t>
      </w:r>
      <w:r w:rsidR="00734F93">
        <w:rPr>
          <w:rFonts w:ascii="Cambria" w:hAnsi="Cambria"/>
          <w:sz w:val="20"/>
          <w:szCs w:val="20"/>
        </w:rPr>
        <w:t>agents</w:t>
      </w:r>
      <w:r w:rsidR="00441D68" w:rsidRPr="00FC3DEB">
        <w:rPr>
          <w:rFonts w:ascii="Cambria" w:hAnsi="Cambria"/>
          <w:sz w:val="20"/>
          <w:szCs w:val="20"/>
        </w:rPr>
        <w:t xml:space="preserve"> followed Mr. S</w:t>
      </w:r>
      <w:r w:rsidR="00734F93">
        <w:rPr>
          <w:rFonts w:ascii="Cambria" w:hAnsi="Cambria"/>
          <w:sz w:val="20"/>
          <w:szCs w:val="20"/>
        </w:rPr>
        <w:t>á</w:t>
      </w:r>
      <w:r w:rsidR="00441D68" w:rsidRPr="00FC3DEB">
        <w:rPr>
          <w:rFonts w:ascii="Cambria" w:hAnsi="Cambria"/>
          <w:sz w:val="20"/>
          <w:szCs w:val="20"/>
        </w:rPr>
        <w:t xml:space="preserve">nchez Duarte for several days and attacked him when he was outside his house, in front of his wife and </w:t>
      </w:r>
      <w:r w:rsidR="001321D8">
        <w:rPr>
          <w:rFonts w:ascii="Cambria" w:hAnsi="Cambria"/>
          <w:sz w:val="20"/>
          <w:szCs w:val="20"/>
        </w:rPr>
        <w:t>his</w:t>
      </w:r>
      <w:r w:rsidR="00441D68" w:rsidRPr="00FC3DEB">
        <w:rPr>
          <w:rFonts w:ascii="Cambria" w:hAnsi="Cambria"/>
          <w:sz w:val="20"/>
          <w:szCs w:val="20"/>
        </w:rPr>
        <w:t xml:space="preserve"> two children. The petitioners assert that eyewitnesses to the shootings could record the license plate number of the car from which the alleged victim was shot; and that this helped to find that it belonged to the cars given to UNASE. They indicate that two days after the incidents, that is, on September 15, 1993, the same car returned to the alleged victim</w:t>
      </w:r>
      <w:r w:rsidR="00734F93">
        <w:rPr>
          <w:rFonts w:ascii="Cambria" w:hAnsi="Cambria"/>
          <w:sz w:val="20"/>
          <w:szCs w:val="20"/>
        </w:rPr>
        <w:t>’</w:t>
      </w:r>
      <w:r w:rsidR="00441D68" w:rsidRPr="00FC3DEB">
        <w:rPr>
          <w:rFonts w:ascii="Cambria" w:hAnsi="Cambria"/>
          <w:sz w:val="20"/>
          <w:szCs w:val="20"/>
        </w:rPr>
        <w:t>s house</w:t>
      </w:r>
      <w:r w:rsidR="001321D8">
        <w:rPr>
          <w:rFonts w:ascii="Cambria" w:hAnsi="Cambria"/>
          <w:sz w:val="20"/>
          <w:szCs w:val="20"/>
        </w:rPr>
        <w:t>,</w:t>
      </w:r>
      <w:r w:rsidR="00441D68" w:rsidRPr="00FC3DEB">
        <w:rPr>
          <w:rFonts w:ascii="Cambria" w:hAnsi="Cambria"/>
          <w:sz w:val="20"/>
          <w:szCs w:val="20"/>
        </w:rPr>
        <w:t xml:space="preserve"> and that the driver asked around about the </w:t>
      </w:r>
      <w:r w:rsidR="001148AE">
        <w:rPr>
          <w:rFonts w:ascii="Cambria" w:hAnsi="Cambria"/>
          <w:sz w:val="20"/>
          <w:szCs w:val="20"/>
        </w:rPr>
        <w:t>alleged victim’s</w:t>
      </w:r>
      <w:r w:rsidR="00441D68" w:rsidRPr="00FC3DEB">
        <w:rPr>
          <w:rFonts w:ascii="Cambria" w:hAnsi="Cambria"/>
          <w:sz w:val="20"/>
          <w:szCs w:val="20"/>
        </w:rPr>
        <w:t xml:space="preserve"> family, which caused them anxiety and fear.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They allege that</w:t>
      </w:r>
      <w:r w:rsidR="001148AE">
        <w:rPr>
          <w:rFonts w:ascii="Cambria" w:hAnsi="Cambria"/>
          <w:sz w:val="20"/>
          <w:szCs w:val="20"/>
        </w:rPr>
        <w:t>,</w:t>
      </w:r>
      <w:r w:rsidRPr="00FC3DEB">
        <w:rPr>
          <w:rFonts w:ascii="Cambria" w:hAnsi="Cambria"/>
          <w:sz w:val="20"/>
          <w:szCs w:val="20"/>
        </w:rPr>
        <w:t xml:space="preserve"> as a result of the investigations filed </w:t>
      </w:r>
      <w:r w:rsidRPr="00450321">
        <w:rPr>
          <w:rFonts w:ascii="Cambria" w:hAnsi="Cambria"/>
          <w:sz w:val="20"/>
          <w:szCs w:val="20"/>
        </w:rPr>
        <w:t>ex officio</w:t>
      </w:r>
      <w:r w:rsidRPr="00FC3DEB">
        <w:rPr>
          <w:rFonts w:ascii="Cambria" w:hAnsi="Cambria"/>
          <w:sz w:val="20"/>
          <w:szCs w:val="20"/>
        </w:rPr>
        <w:t xml:space="preserve"> on July 31, 1994</w:t>
      </w:r>
      <w:r w:rsidR="001148AE">
        <w:rPr>
          <w:rFonts w:ascii="Cambria" w:hAnsi="Cambria"/>
          <w:sz w:val="20"/>
          <w:szCs w:val="20"/>
        </w:rPr>
        <w:t>,</w:t>
      </w:r>
      <w:r w:rsidRPr="00FC3DEB">
        <w:rPr>
          <w:rFonts w:ascii="Cambria" w:hAnsi="Cambria"/>
          <w:sz w:val="20"/>
          <w:szCs w:val="20"/>
        </w:rPr>
        <w:t xml:space="preserve"> the Fourth Criminal Court of the Circuit of Valledupar sentenced a retired soldier of the National Army to 30 years in prison for murder. On October 27, 1994 this ruling was upheld by the Superior Court of Valledupar. They claim that in several statements, the punished person confessed having driven the institution</w:t>
      </w:r>
      <w:r w:rsidR="00734F93">
        <w:rPr>
          <w:rFonts w:ascii="Cambria" w:hAnsi="Cambria"/>
          <w:sz w:val="20"/>
          <w:szCs w:val="20"/>
        </w:rPr>
        <w:t>’</w:t>
      </w:r>
      <w:r w:rsidRPr="00FC3DEB">
        <w:rPr>
          <w:rFonts w:ascii="Cambria" w:hAnsi="Cambria"/>
          <w:sz w:val="20"/>
          <w:szCs w:val="20"/>
        </w:rPr>
        <w:t>s car, but also he blamed the C</w:t>
      </w:r>
      <w:r w:rsidR="0033723C">
        <w:rPr>
          <w:rFonts w:ascii="Cambria" w:hAnsi="Cambria"/>
          <w:sz w:val="20"/>
          <w:szCs w:val="20"/>
        </w:rPr>
        <w:t xml:space="preserve">ommander in Chief of UNASE and </w:t>
      </w:r>
      <w:r w:rsidRPr="00FC3DEB">
        <w:rPr>
          <w:rFonts w:ascii="Cambria" w:hAnsi="Cambria"/>
          <w:sz w:val="20"/>
          <w:szCs w:val="20"/>
        </w:rPr>
        <w:t>two other military officers for the masterminding and perpetration of the alleged victim</w:t>
      </w:r>
      <w:r w:rsidR="00734F93">
        <w:rPr>
          <w:rFonts w:ascii="Cambria" w:hAnsi="Cambria"/>
          <w:sz w:val="20"/>
          <w:szCs w:val="20"/>
        </w:rPr>
        <w:t>’</w:t>
      </w:r>
      <w:r w:rsidRPr="00FC3DEB">
        <w:rPr>
          <w:rFonts w:ascii="Cambria" w:hAnsi="Cambria"/>
          <w:sz w:val="20"/>
          <w:szCs w:val="20"/>
        </w:rPr>
        <w:t xml:space="preserve">s death.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They assert that</w:t>
      </w:r>
      <w:r w:rsidR="0033723C">
        <w:rPr>
          <w:rFonts w:ascii="Cambria" w:hAnsi="Cambria"/>
          <w:sz w:val="20"/>
          <w:szCs w:val="20"/>
        </w:rPr>
        <w:t>,</w:t>
      </w:r>
      <w:r w:rsidRPr="00FC3DEB">
        <w:rPr>
          <w:rFonts w:ascii="Cambria" w:hAnsi="Cambria"/>
          <w:sz w:val="20"/>
          <w:szCs w:val="20"/>
        </w:rPr>
        <w:t xml:space="preserve"> based on those witness</w:t>
      </w:r>
      <w:r w:rsidR="0033723C">
        <w:rPr>
          <w:rFonts w:ascii="Cambria" w:hAnsi="Cambria"/>
          <w:sz w:val="20"/>
          <w:szCs w:val="20"/>
        </w:rPr>
        <w:t xml:space="preserve"> statements, on January 3, 1995</w:t>
      </w:r>
      <w:r w:rsidRPr="00FC3DEB">
        <w:rPr>
          <w:rFonts w:ascii="Cambria" w:hAnsi="Cambria"/>
          <w:sz w:val="20"/>
          <w:szCs w:val="20"/>
        </w:rPr>
        <w:t xml:space="preserve"> the Prosecutor</w:t>
      </w:r>
      <w:r w:rsidR="00734F93">
        <w:rPr>
          <w:rFonts w:ascii="Cambria" w:hAnsi="Cambria"/>
          <w:sz w:val="20"/>
          <w:szCs w:val="20"/>
        </w:rPr>
        <w:t>’</w:t>
      </w:r>
      <w:r w:rsidRPr="00FC3DEB">
        <w:rPr>
          <w:rFonts w:ascii="Cambria" w:hAnsi="Cambria"/>
          <w:sz w:val="20"/>
          <w:szCs w:val="20"/>
        </w:rPr>
        <w:t>s Office filed a preliminary investigation against the aforementioned three military officers, and that on November 4, 1995 it ordered to arrest the Commander in Chief. Th</w:t>
      </w:r>
      <w:r w:rsidR="0033723C">
        <w:rPr>
          <w:rFonts w:ascii="Cambria" w:hAnsi="Cambria"/>
          <w:sz w:val="20"/>
          <w:szCs w:val="20"/>
        </w:rPr>
        <w:t xml:space="preserve">e petitioners indicate that on </w:t>
      </w:r>
      <w:r w:rsidRPr="00FC3DEB">
        <w:rPr>
          <w:rFonts w:ascii="Cambria" w:hAnsi="Cambria"/>
          <w:sz w:val="20"/>
          <w:szCs w:val="20"/>
        </w:rPr>
        <w:t>his detention, the alleged victim</w:t>
      </w:r>
      <w:r w:rsidR="00734F93">
        <w:rPr>
          <w:rFonts w:ascii="Cambria" w:hAnsi="Cambria"/>
          <w:sz w:val="20"/>
          <w:szCs w:val="20"/>
        </w:rPr>
        <w:t>’</w:t>
      </w:r>
      <w:r w:rsidRPr="00FC3DEB">
        <w:rPr>
          <w:rFonts w:ascii="Cambria" w:hAnsi="Cambria"/>
          <w:sz w:val="20"/>
          <w:szCs w:val="20"/>
        </w:rPr>
        <w:t xml:space="preserve">s family members started to be threatened by members of UNASE, whose cars </w:t>
      </w:r>
      <w:r w:rsidR="00017883" w:rsidRPr="00FC3DEB">
        <w:rPr>
          <w:rFonts w:ascii="Cambria" w:hAnsi="Cambria"/>
          <w:sz w:val="20"/>
          <w:szCs w:val="20"/>
        </w:rPr>
        <w:t>patrolled</w:t>
      </w:r>
      <w:r w:rsidRPr="00FC3DEB">
        <w:rPr>
          <w:rFonts w:ascii="Cambria" w:hAnsi="Cambria"/>
          <w:sz w:val="20"/>
          <w:szCs w:val="20"/>
        </w:rPr>
        <w:t xml:space="preserve"> and </w:t>
      </w:r>
      <w:r w:rsidR="00017883" w:rsidRPr="00FC3DEB">
        <w:rPr>
          <w:rFonts w:ascii="Cambria" w:hAnsi="Cambria"/>
          <w:sz w:val="20"/>
          <w:szCs w:val="20"/>
        </w:rPr>
        <w:t>surveilled</w:t>
      </w:r>
      <w:r w:rsidRPr="00FC3DEB">
        <w:rPr>
          <w:rFonts w:ascii="Cambria" w:hAnsi="Cambria"/>
          <w:sz w:val="20"/>
          <w:szCs w:val="20"/>
        </w:rPr>
        <w:t xml:space="preserve"> the house of Mr. Sánchez Duarte</w:t>
      </w:r>
      <w:r w:rsidR="00734F93">
        <w:rPr>
          <w:rFonts w:ascii="Cambria" w:hAnsi="Cambria"/>
          <w:sz w:val="20"/>
          <w:szCs w:val="20"/>
        </w:rPr>
        <w:t>’</w:t>
      </w:r>
      <w:r w:rsidRPr="00FC3DEB">
        <w:rPr>
          <w:rFonts w:ascii="Cambria" w:hAnsi="Cambria"/>
          <w:sz w:val="20"/>
          <w:szCs w:val="20"/>
        </w:rPr>
        <w:t xml:space="preserve">s parents for the sake of intimidation.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They claim that despite the family</w:t>
      </w:r>
      <w:r w:rsidR="00734F93">
        <w:rPr>
          <w:rFonts w:ascii="Cambria" w:hAnsi="Cambria"/>
          <w:sz w:val="20"/>
          <w:szCs w:val="20"/>
        </w:rPr>
        <w:t>’</w:t>
      </w:r>
      <w:r w:rsidRPr="00FC3DEB">
        <w:rPr>
          <w:rFonts w:ascii="Cambria" w:hAnsi="Cambria"/>
          <w:sz w:val="20"/>
          <w:szCs w:val="20"/>
        </w:rPr>
        <w:t xml:space="preserve">s attempts, on November 14, 1995 the case was forwarded to the Military Criminal Court since the persons involved were active members of the National Army. On November 16, 1995, the Second Brigade of Barranquilla ruled to </w:t>
      </w:r>
      <w:r w:rsidR="007E6E65">
        <w:rPr>
          <w:rFonts w:ascii="Cambria" w:hAnsi="Cambria"/>
          <w:sz w:val="20"/>
          <w:szCs w:val="20"/>
        </w:rPr>
        <w:t>stop investigating</w:t>
      </w:r>
      <w:r w:rsidRPr="00FC3DEB">
        <w:rPr>
          <w:rFonts w:ascii="Cambria" w:hAnsi="Cambria"/>
          <w:sz w:val="20"/>
          <w:szCs w:val="20"/>
        </w:rPr>
        <w:t xml:space="preserve"> one of the officers, release the Commander in Chief, and continue proceedings against </w:t>
      </w:r>
      <w:r w:rsidR="007E6E65">
        <w:rPr>
          <w:rFonts w:ascii="Cambria" w:hAnsi="Cambria"/>
          <w:sz w:val="20"/>
          <w:szCs w:val="20"/>
        </w:rPr>
        <w:t>a</w:t>
      </w:r>
      <w:r w:rsidRPr="00FC3DEB">
        <w:rPr>
          <w:rFonts w:ascii="Cambria" w:hAnsi="Cambria"/>
          <w:sz w:val="20"/>
          <w:szCs w:val="20"/>
        </w:rPr>
        <w:t xml:space="preserve"> third officer involved. On July 14, 1997 the Oral War Council ruled to dismiss the proceeding against the Commander in Chief and to punish the other military officer. They indicate that on July 2, 1998 the Superior Military Court refrained from hearing said resolution and forwarded the case to the Superior Court of the Judicial District of Valledupar, arguing that the incidents were not related to the military </w:t>
      </w:r>
      <w:r w:rsidR="0041486B">
        <w:rPr>
          <w:rFonts w:ascii="Cambria" w:hAnsi="Cambria"/>
          <w:sz w:val="20"/>
          <w:szCs w:val="20"/>
        </w:rPr>
        <w:t>duties</w:t>
      </w:r>
      <w:r w:rsidRPr="00FC3DEB">
        <w:rPr>
          <w:rFonts w:ascii="Cambria" w:hAnsi="Cambria"/>
          <w:sz w:val="20"/>
          <w:szCs w:val="20"/>
        </w:rPr>
        <w:t xml:space="preserve">.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They allege that in the framework of the ordinary criminal proceeding, the court ordered to preclude the investigation against the Commander. Moreover, on June 18, 2003 Special Circuit Criminal Court of Santa Marta sentenced the military officer to </w:t>
      </w:r>
      <w:r w:rsidR="0041486B">
        <w:rPr>
          <w:rFonts w:ascii="Cambria" w:hAnsi="Cambria"/>
          <w:sz w:val="20"/>
          <w:szCs w:val="20"/>
        </w:rPr>
        <w:t xml:space="preserve">26 years in prison for </w:t>
      </w:r>
      <w:r w:rsidRPr="00FC3DEB">
        <w:rPr>
          <w:rFonts w:ascii="Cambria" w:hAnsi="Cambria"/>
          <w:sz w:val="20"/>
          <w:szCs w:val="20"/>
        </w:rPr>
        <w:t xml:space="preserve">aggravated murder. The punishment was upheld by the Superior Court of Santa Marta on June 22, 2004 and by the Criminal Chamber of the Supreme Court of Justice on April 3, 2008.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They also indicate that the alleged victim</w:t>
      </w:r>
      <w:r w:rsidR="00734F93">
        <w:rPr>
          <w:rFonts w:ascii="Cambria" w:hAnsi="Cambria"/>
          <w:sz w:val="20"/>
          <w:szCs w:val="20"/>
        </w:rPr>
        <w:t>’</w:t>
      </w:r>
      <w:r w:rsidRPr="00FC3DEB">
        <w:rPr>
          <w:rFonts w:ascii="Cambria" w:hAnsi="Cambria"/>
          <w:sz w:val="20"/>
          <w:szCs w:val="20"/>
        </w:rPr>
        <w:t>s family members lodged two claims for damages against the Ministry of Defense, in the administrative jurisdiction. The first was filed by Ms. Clara Inés Uribe Reyes, Mr. Sánchez Duarte</w:t>
      </w:r>
      <w:r w:rsidR="00734F93">
        <w:rPr>
          <w:rFonts w:ascii="Cambria" w:hAnsi="Cambria"/>
          <w:sz w:val="20"/>
          <w:szCs w:val="20"/>
        </w:rPr>
        <w:t>’</w:t>
      </w:r>
      <w:r w:rsidRPr="00FC3DEB">
        <w:rPr>
          <w:rFonts w:ascii="Cambria" w:hAnsi="Cambria"/>
          <w:sz w:val="20"/>
          <w:szCs w:val="20"/>
        </w:rPr>
        <w:t xml:space="preserve">s former wife, and her daughter Angélica María Sánchez Uribe. In regard to said proceeding, the petitioners claim that on April 25, 1996 the Administrative Court of Cesar approved the judicial conciliation between the claimant and the Ministry of Defense, thus </w:t>
      </w:r>
      <w:r w:rsidR="00BE77B8">
        <w:rPr>
          <w:rFonts w:ascii="Cambria" w:hAnsi="Cambria"/>
          <w:sz w:val="20"/>
          <w:szCs w:val="20"/>
        </w:rPr>
        <w:t>ruling</w:t>
      </w:r>
      <w:r w:rsidRPr="00FC3DEB">
        <w:rPr>
          <w:rFonts w:ascii="Cambria" w:hAnsi="Cambria"/>
          <w:sz w:val="20"/>
          <w:szCs w:val="20"/>
        </w:rPr>
        <w:t xml:space="preserve"> reparation in favor of Ms. Uribe Reyes and her daughter.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 second claim for damages was filed by the alleged victim</w:t>
      </w:r>
      <w:r w:rsidR="00734F93">
        <w:rPr>
          <w:rFonts w:ascii="Cambria" w:hAnsi="Cambria"/>
          <w:sz w:val="20"/>
          <w:szCs w:val="20"/>
        </w:rPr>
        <w:t>’</w:t>
      </w:r>
      <w:r w:rsidRPr="00FC3DEB">
        <w:rPr>
          <w:rFonts w:ascii="Cambria" w:hAnsi="Cambria"/>
          <w:sz w:val="20"/>
          <w:szCs w:val="20"/>
        </w:rPr>
        <w:t xml:space="preserve">s parents and siblings and by Ms. Martha Cecilia Fuentes Gutiérrez and Edgar José Sánchez Fuentes, the widow and the son of Mr. Sánchez Duarte. On February 6, 1997 the Administrative Court of Cesar declared </w:t>
      </w:r>
      <w:r w:rsidR="002B7C27" w:rsidRPr="00FC3DEB">
        <w:rPr>
          <w:rFonts w:ascii="Cambria" w:hAnsi="Cambria"/>
          <w:sz w:val="20"/>
          <w:szCs w:val="20"/>
        </w:rPr>
        <w:t>administrative responsib</w:t>
      </w:r>
      <w:r w:rsidR="002B7C27">
        <w:rPr>
          <w:rFonts w:ascii="Cambria" w:hAnsi="Cambria"/>
          <w:sz w:val="20"/>
          <w:szCs w:val="20"/>
        </w:rPr>
        <w:t>ility on the part of</w:t>
      </w:r>
      <w:r w:rsidR="002B7C27" w:rsidRPr="00FC3DEB">
        <w:rPr>
          <w:rFonts w:ascii="Cambria" w:hAnsi="Cambria"/>
          <w:sz w:val="20"/>
          <w:szCs w:val="20"/>
        </w:rPr>
        <w:t xml:space="preserve"> </w:t>
      </w:r>
      <w:r w:rsidRPr="00FC3DEB">
        <w:rPr>
          <w:rFonts w:ascii="Cambria" w:hAnsi="Cambria"/>
          <w:sz w:val="20"/>
          <w:szCs w:val="20"/>
        </w:rPr>
        <w:t>the State and ruled the payment of compensation to the claimants. However, due to the appeal lodg</w:t>
      </w:r>
      <w:r w:rsidR="002B7C27">
        <w:rPr>
          <w:rFonts w:ascii="Cambria" w:hAnsi="Cambria"/>
          <w:sz w:val="20"/>
          <w:szCs w:val="20"/>
        </w:rPr>
        <w:t xml:space="preserve">ed by the accused institutions, </w:t>
      </w:r>
      <w:r w:rsidRPr="00FC3DEB">
        <w:rPr>
          <w:rFonts w:ascii="Cambria" w:hAnsi="Cambria"/>
          <w:sz w:val="20"/>
          <w:szCs w:val="20"/>
        </w:rPr>
        <w:t xml:space="preserve">this judgment was revoked on November 27, 2002 by the Third Chamber of the </w:t>
      </w:r>
      <w:r w:rsidRPr="00FC3DEB">
        <w:rPr>
          <w:rFonts w:ascii="Cambria" w:hAnsi="Cambria"/>
          <w:sz w:val="20"/>
          <w:szCs w:val="20"/>
        </w:rPr>
        <w:lastRenderedPageBreak/>
        <w:t xml:space="preserve">State Council, which claimed that the military </w:t>
      </w:r>
      <w:r w:rsidR="001969B9">
        <w:rPr>
          <w:rFonts w:ascii="Cambria" w:hAnsi="Cambria"/>
          <w:sz w:val="20"/>
          <w:szCs w:val="20"/>
        </w:rPr>
        <w:t>functions</w:t>
      </w:r>
      <w:r w:rsidRPr="00FC3DEB">
        <w:rPr>
          <w:rFonts w:ascii="Cambria" w:hAnsi="Cambria"/>
          <w:sz w:val="20"/>
          <w:szCs w:val="20"/>
        </w:rPr>
        <w:t xml:space="preserve"> of the persons involved in the case did not necessarily mean that they had acted on behalf of the State.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In view of this, the alleged victim</w:t>
      </w:r>
      <w:r w:rsidR="00734F93">
        <w:rPr>
          <w:rFonts w:ascii="Cambria" w:hAnsi="Cambria"/>
          <w:sz w:val="20"/>
          <w:szCs w:val="20"/>
        </w:rPr>
        <w:t>’</w:t>
      </w:r>
      <w:r w:rsidRPr="00FC3DEB">
        <w:rPr>
          <w:rFonts w:ascii="Cambria" w:hAnsi="Cambria"/>
          <w:sz w:val="20"/>
          <w:szCs w:val="20"/>
        </w:rPr>
        <w:t xml:space="preserve">s family presented a special remedy, but on July 31, 2006 </w:t>
      </w:r>
      <w:r w:rsidR="001969B9">
        <w:rPr>
          <w:rFonts w:ascii="Cambria" w:hAnsi="Cambria"/>
          <w:sz w:val="20"/>
          <w:szCs w:val="20"/>
        </w:rPr>
        <w:t xml:space="preserve">the </w:t>
      </w:r>
      <w:r w:rsidRPr="00FC3DEB">
        <w:rPr>
          <w:rFonts w:ascii="Cambria" w:hAnsi="Cambria"/>
          <w:sz w:val="20"/>
          <w:szCs w:val="20"/>
        </w:rPr>
        <w:t xml:space="preserve">Provisional </w:t>
      </w:r>
      <w:r w:rsidR="00FD31CB" w:rsidRPr="00FC3DEB">
        <w:rPr>
          <w:rFonts w:ascii="Cambria" w:hAnsi="Cambria"/>
          <w:sz w:val="20"/>
          <w:szCs w:val="20"/>
        </w:rPr>
        <w:t xml:space="preserve">Special </w:t>
      </w:r>
      <w:r w:rsidRPr="00FC3DEB">
        <w:rPr>
          <w:rFonts w:ascii="Cambria" w:hAnsi="Cambria"/>
          <w:sz w:val="20"/>
          <w:szCs w:val="20"/>
        </w:rPr>
        <w:t>Chamber of the State Council found it groundless, arguing that the State cannot be held responsible for damage</w:t>
      </w:r>
      <w:r w:rsidR="00FD31CB">
        <w:rPr>
          <w:rFonts w:ascii="Cambria" w:hAnsi="Cambria"/>
          <w:sz w:val="20"/>
          <w:szCs w:val="20"/>
        </w:rPr>
        <w:t>s</w:t>
      </w:r>
      <w:r w:rsidRPr="00FC3DEB">
        <w:rPr>
          <w:rFonts w:ascii="Cambria" w:hAnsi="Cambria"/>
          <w:sz w:val="20"/>
          <w:szCs w:val="20"/>
        </w:rPr>
        <w:t xml:space="preserve"> caused by state agents but which belong exclusively to the private sphere. And the claimants were punished to pay the legal costs. The resolution was notified by an edict on August 11, 2006. Mr. Sánchez Duarte</w:t>
      </w:r>
      <w:r w:rsidR="00734F93">
        <w:rPr>
          <w:rFonts w:ascii="Cambria" w:hAnsi="Cambria"/>
          <w:sz w:val="20"/>
          <w:szCs w:val="20"/>
        </w:rPr>
        <w:t>’</w:t>
      </w:r>
      <w:r w:rsidRPr="00FC3DEB">
        <w:rPr>
          <w:rFonts w:ascii="Cambria" w:hAnsi="Cambria"/>
          <w:sz w:val="20"/>
          <w:szCs w:val="20"/>
        </w:rPr>
        <w:t xml:space="preserve">s family challenged this resolution through a </w:t>
      </w:r>
      <w:r w:rsidR="0062686A">
        <w:rPr>
          <w:rFonts w:ascii="Cambria" w:hAnsi="Cambria"/>
          <w:sz w:val="20"/>
          <w:szCs w:val="20"/>
        </w:rPr>
        <w:t xml:space="preserve">writ of protection of </w:t>
      </w:r>
      <w:r w:rsidRPr="00FC3DEB">
        <w:rPr>
          <w:rFonts w:ascii="Cambria" w:hAnsi="Cambria"/>
          <w:sz w:val="20"/>
          <w:szCs w:val="20"/>
        </w:rPr>
        <w:t xml:space="preserve">constitutional </w:t>
      </w:r>
      <w:r w:rsidR="0062686A">
        <w:rPr>
          <w:rFonts w:ascii="Cambria" w:hAnsi="Cambria"/>
          <w:sz w:val="20"/>
          <w:szCs w:val="20"/>
        </w:rPr>
        <w:t>rights (</w:t>
      </w:r>
      <w:r w:rsidR="0062686A" w:rsidRPr="0062686A">
        <w:rPr>
          <w:rFonts w:ascii="Cambria" w:hAnsi="Cambria"/>
          <w:i/>
          <w:sz w:val="20"/>
          <w:szCs w:val="20"/>
        </w:rPr>
        <w:t>acción de tutela</w:t>
      </w:r>
      <w:r w:rsidR="0062686A">
        <w:rPr>
          <w:rFonts w:ascii="Cambria" w:hAnsi="Cambria"/>
          <w:sz w:val="20"/>
          <w:szCs w:val="20"/>
        </w:rPr>
        <w:t>)</w:t>
      </w:r>
      <w:r w:rsidRPr="00FC3DEB">
        <w:rPr>
          <w:rFonts w:ascii="Cambria" w:hAnsi="Cambria"/>
          <w:sz w:val="20"/>
          <w:szCs w:val="20"/>
        </w:rPr>
        <w:t xml:space="preserve">, which was rejected as out of order on June 14, 2007 by the Fourth Chamber of the State Council.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The petitioners argue that the contradiction </w:t>
      </w:r>
      <w:r w:rsidR="007B3801">
        <w:rPr>
          <w:rFonts w:ascii="Cambria" w:hAnsi="Cambria"/>
          <w:sz w:val="20"/>
          <w:szCs w:val="20"/>
        </w:rPr>
        <w:t>between</w:t>
      </w:r>
      <w:r w:rsidRPr="00FC3DEB">
        <w:rPr>
          <w:rFonts w:ascii="Cambria" w:hAnsi="Cambria"/>
          <w:sz w:val="20"/>
          <w:szCs w:val="20"/>
        </w:rPr>
        <w:t xml:space="preserve"> the judgments adopted in the two proceedings undertaken in the administrative jurisdiction violate their right of access to justice and to equal protection. This is so</w:t>
      </w:r>
      <w:r w:rsidR="009A623A">
        <w:rPr>
          <w:rFonts w:ascii="Cambria" w:hAnsi="Cambria"/>
          <w:sz w:val="20"/>
          <w:szCs w:val="20"/>
        </w:rPr>
        <w:t>,</w:t>
      </w:r>
      <w:r w:rsidRPr="00FC3DEB">
        <w:rPr>
          <w:rFonts w:ascii="Cambria" w:hAnsi="Cambria"/>
          <w:sz w:val="20"/>
          <w:szCs w:val="20"/>
        </w:rPr>
        <w:t xml:space="preserve"> because the judicial authorities acted differently in relation to the same case, by granting compensation to two of the family members and leaving the rest of the family unprotected.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In turn, the State claims that the petition is inadmissible since the petitioners </w:t>
      </w:r>
      <w:r w:rsidR="009A623A">
        <w:rPr>
          <w:rFonts w:ascii="Cambria" w:hAnsi="Cambria"/>
          <w:sz w:val="20"/>
          <w:szCs w:val="20"/>
        </w:rPr>
        <w:t>seek</w:t>
      </w:r>
      <w:r w:rsidRPr="00FC3DEB">
        <w:rPr>
          <w:rFonts w:ascii="Cambria" w:hAnsi="Cambria"/>
          <w:sz w:val="20"/>
          <w:szCs w:val="20"/>
        </w:rPr>
        <w:t xml:space="preserve"> to obtain a review of the decisions adopted in the criminal proceedings and in the settlement of claims for damages, which would </w:t>
      </w:r>
      <w:r w:rsidR="00FD7365">
        <w:rPr>
          <w:rFonts w:ascii="Cambria" w:hAnsi="Cambria"/>
          <w:sz w:val="20"/>
          <w:szCs w:val="20"/>
        </w:rPr>
        <w:t>lead to a jurisdiction of</w:t>
      </w:r>
      <w:r w:rsidRPr="00FC3DEB">
        <w:rPr>
          <w:rFonts w:ascii="Cambria" w:hAnsi="Cambria"/>
          <w:sz w:val="20"/>
          <w:szCs w:val="20"/>
        </w:rPr>
        <w:t xml:space="preserve"> fourth instance.</w:t>
      </w:r>
      <w:r w:rsidR="009A623A">
        <w:rPr>
          <w:rFonts w:ascii="Cambria" w:hAnsi="Cambria"/>
          <w:sz w:val="20"/>
          <w:szCs w:val="20"/>
        </w:rPr>
        <w:t xml:space="preserve"> </w:t>
      </w:r>
      <w:r w:rsidRPr="00FC3DEB">
        <w:rPr>
          <w:rFonts w:ascii="Cambria" w:hAnsi="Cambria"/>
          <w:sz w:val="20"/>
          <w:szCs w:val="20"/>
        </w:rPr>
        <w:t xml:space="preserve">It affirms that the legal actions filed by the parties and those furthered </w:t>
      </w:r>
      <w:r w:rsidRPr="00450321">
        <w:rPr>
          <w:rFonts w:ascii="Cambria" w:hAnsi="Cambria"/>
          <w:sz w:val="20"/>
          <w:szCs w:val="20"/>
        </w:rPr>
        <w:t>ex officio</w:t>
      </w:r>
      <w:r w:rsidRPr="00FC3DEB">
        <w:rPr>
          <w:rFonts w:ascii="Cambria" w:hAnsi="Cambria"/>
          <w:sz w:val="20"/>
          <w:szCs w:val="20"/>
        </w:rPr>
        <w:t xml:space="preserve"> by the State were thoroughly studied by the competent judicial bodies in accordance with the domestic norms</w:t>
      </w:r>
      <w:r w:rsidR="00556234">
        <w:rPr>
          <w:rFonts w:ascii="Cambria" w:hAnsi="Cambria"/>
          <w:sz w:val="20"/>
          <w:szCs w:val="20"/>
        </w:rPr>
        <w:t>,</w:t>
      </w:r>
      <w:r w:rsidRPr="00FC3DEB">
        <w:rPr>
          <w:rFonts w:ascii="Cambria" w:hAnsi="Cambria"/>
          <w:sz w:val="20"/>
          <w:szCs w:val="20"/>
        </w:rPr>
        <w:t xml:space="preserve"> </w:t>
      </w:r>
      <w:r w:rsidR="00556234">
        <w:rPr>
          <w:rFonts w:ascii="Cambria" w:hAnsi="Cambria"/>
          <w:sz w:val="20"/>
          <w:szCs w:val="20"/>
        </w:rPr>
        <w:t xml:space="preserve">which enabled </w:t>
      </w:r>
      <w:r w:rsidR="0056090B">
        <w:rPr>
          <w:rFonts w:ascii="Cambria" w:hAnsi="Cambria"/>
          <w:sz w:val="20"/>
          <w:szCs w:val="20"/>
        </w:rPr>
        <w:t>t</w:t>
      </w:r>
      <w:r w:rsidR="00556234">
        <w:rPr>
          <w:rFonts w:ascii="Cambria" w:hAnsi="Cambria"/>
          <w:sz w:val="20"/>
          <w:szCs w:val="20"/>
        </w:rPr>
        <w:t>he issue of</w:t>
      </w:r>
      <w:r w:rsidRPr="00FC3DEB">
        <w:rPr>
          <w:rFonts w:ascii="Cambria" w:hAnsi="Cambria"/>
          <w:sz w:val="20"/>
          <w:szCs w:val="20"/>
        </w:rPr>
        <w:t xml:space="preserve"> judgments on the merits and final resolutions.</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Furthermore, it asserts that the decision adopted by the State Council on July 31, 2006 exhausted the domestic remedies, and that the petition was filed on February 1, 2007</w:t>
      </w:r>
      <w:r w:rsidR="0056090B">
        <w:rPr>
          <w:rFonts w:ascii="Cambria" w:hAnsi="Cambria"/>
          <w:sz w:val="20"/>
          <w:szCs w:val="20"/>
        </w:rPr>
        <w:t>; that it</w:t>
      </w:r>
      <w:r w:rsidRPr="00FC3DEB">
        <w:rPr>
          <w:rFonts w:ascii="Cambria" w:hAnsi="Cambria"/>
          <w:sz w:val="20"/>
          <w:szCs w:val="20"/>
        </w:rPr>
        <w:t xml:space="preserve"> </w:t>
      </w:r>
      <w:r w:rsidR="0056090B">
        <w:rPr>
          <w:rFonts w:ascii="Cambria" w:hAnsi="Cambria"/>
          <w:sz w:val="20"/>
          <w:szCs w:val="20"/>
        </w:rPr>
        <w:t xml:space="preserve">therefore </w:t>
      </w:r>
      <w:r w:rsidRPr="00FC3DEB">
        <w:rPr>
          <w:rFonts w:ascii="Cambria" w:hAnsi="Cambria"/>
          <w:sz w:val="20"/>
          <w:szCs w:val="20"/>
        </w:rPr>
        <w:t>exceed</w:t>
      </w:r>
      <w:r w:rsidR="0056090B">
        <w:rPr>
          <w:rFonts w:ascii="Cambria" w:hAnsi="Cambria"/>
          <w:sz w:val="20"/>
          <w:szCs w:val="20"/>
        </w:rPr>
        <w:t>ed</w:t>
      </w:r>
      <w:r w:rsidRPr="00FC3DEB">
        <w:rPr>
          <w:rFonts w:ascii="Cambria" w:hAnsi="Cambria"/>
          <w:sz w:val="20"/>
          <w:szCs w:val="20"/>
        </w:rPr>
        <w:t xml:space="preserve"> the est</w:t>
      </w:r>
      <w:r w:rsidR="00556234">
        <w:rPr>
          <w:rFonts w:ascii="Cambria" w:hAnsi="Cambria"/>
          <w:sz w:val="20"/>
          <w:szCs w:val="20"/>
        </w:rPr>
        <w:t xml:space="preserve">ablished period of six months. </w:t>
      </w:r>
    </w:p>
    <w:p w:rsidR="00441D68" w:rsidRPr="00FC3DEB" w:rsidRDefault="00441D68" w:rsidP="00441D68">
      <w:pPr>
        <w:spacing w:before="240" w:after="240"/>
        <w:ind w:firstLine="720"/>
        <w:jc w:val="both"/>
        <w:rPr>
          <w:rFonts w:ascii="Cambria" w:hAnsi="Cambria"/>
          <w:sz w:val="20"/>
          <w:szCs w:val="20"/>
        </w:rPr>
      </w:pPr>
      <w:r w:rsidRPr="00FC3DEB">
        <w:rPr>
          <w:rFonts w:asciiTheme="majorHAnsi" w:eastAsia="Cambria" w:hAnsiTheme="majorHAnsi" w:cs="Cambria"/>
          <w:b/>
          <w:bCs/>
          <w:color w:val="000000"/>
          <w:sz w:val="20"/>
          <w:szCs w:val="20"/>
          <w:u w:color="000000"/>
          <w:lang w:eastAsia="es-ES"/>
        </w:rPr>
        <w:t>VI.</w:t>
      </w:r>
      <w:r w:rsidRPr="00FC3DEB">
        <w:rPr>
          <w:rFonts w:asciiTheme="majorHAnsi" w:eastAsia="Cambria" w:hAnsiTheme="majorHAnsi" w:cs="Cambria"/>
          <w:b/>
          <w:bCs/>
          <w:color w:val="000000"/>
          <w:sz w:val="20"/>
          <w:szCs w:val="20"/>
          <w:u w:color="000000"/>
          <w:lang w:eastAsia="es-ES"/>
        </w:rPr>
        <w:tab/>
      </w:r>
      <w:r w:rsidRPr="00FC3DEB">
        <w:rPr>
          <w:rFonts w:asciiTheme="majorHAnsi" w:hAnsiTheme="majorHAnsi"/>
          <w:b/>
          <w:bCs/>
          <w:sz w:val="20"/>
          <w:szCs w:val="20"/>
        </w:rPr>
        <w:t>ANALYSIS OF EXHAUSTION OF DOMESTIC REMEDIES AND TIMELINESS OF THE PETITION</w:t>
      </w:r>
      <w:r w:rsidRPr="00FC3DEB">
        <w:rPr>
          <w:rFonts w:asciiTheme="majorHAnsi" w:eastAsia="Cambria" w:hAnsiTheme="majorHAnsi" w:cs="Cambria"/>
          <w:b/>
          <w:bCs/>
          <w:color w:val="000000"/>
          <w:sz w:val="20"/>
          <w:szCs w:val="20"/>
          <w:u w:color="000000"/>
          <w:lang w:eastAsia="es-ES"/>
        </w:rPr>
        <w:t xml:space="preserve">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The petitioners indicate that to date not all the persons responsible were punished for the alleged victim</w:t>
      </w:r>
      <w:r w:rsidR="00734F93">
        <w:rPr>
          <w:rFonts w:ascii="Cambria" w:hAnsi="Cambria"/>
          <w:sz w:val="20"/>
          <w:szCs w:val="20"/>
        </w:rPr>
        <w:t>’</w:t>
      </w:r>
      <w:r w:rsidRPr="00FC3DEB">
        <w:rPr>
          <w:rFonts w:ascii="Cambria" w:hAnsi="Cambria"/>
          <w:sz w:val="20"/>
          <w:szCs w:val="20"/>
        </w:rPr>
        <w:t>s death. In relation to the administrative juri</w:t>
      </w:r>
      <w:r w:rsidR="00460F67">
        <w:rPr>
          <w:rFonts w:ascii="Cambria" w:hAnsi="Cambria"/>
          <w:sz w:val="20"/>
          <w:szCs w:val="20"/>
        </w:rPr>
        <w:t>s</w:t>
      </w:r>
      <w:r w:rsidRPr="00FC3DEB">
        <w:rPr>
          <w:rFonts w:ascii="Cambria" w:hAnsi="Cambria"/>
          <w:sz w:val="20"/>
          <w:szCs w:val="20"/>
        </w:rPr>
        <w:t>diction, they claim that</w:t>
      </w:r>
      <w:r w:rsidR="00460F67">
        <w:rPr>
          <w:rFonts w:ascii="Cambria" w:hAnsi="Cambria"/>
          <w:sz w:val="20"/>
          <w:szCs w:val="20"/>
        </w:rPr>
        <w:t xml:space="preserve"> on June 14, 2007 the Fourth Ch</w:t>
      </w:r>
      <w:r w:rsidRPr="00FC3DEB">
        <w:rPr>
          <w:rFonts w:ascii="Cambria" w:hAnsi="Cambria"/>
          <w:sz w:val="20"/>
          <w:szCs w:val="20"/>
        </w:rPr>
        <w:t xml:space="preserve">amber of the State Council declared a </w:t>
      </w:r>
      <w:r w:rsidR="0062686A">
        <w:rPr>
          <w:rFonts w:ascii="Cambria" w:hAnsi="Cambria"/>
          <w:sz w:val="20"/>
          <w:szCs w:val="20"/>
        </w:rPr>
        <w:t xml:space="preserve">writ of protection of </w:t>
      </w:r>
      <w:r w:rsidR="0062686A" w:rsidRPr="00FC3DEB">
        <w:rPr>
          <w:rFonts w:ascii="Cambria" w:hAnsi="Cambria"/>
          <w:sz w:val="20"/>
          <w:szCs w:val="20"/>
        </w:rPr>
        <w:t xml:space="preserve">constitutional </w:t>
      </w:r>
      <w:r w:rsidR="0062686A">
        <w:rPr>
          <w:rFonts w:ascii="Cambria" w:hAnsi="Cambria"/>
          <w:sz w:val="20"/>
          <w:szCs w:val="20"/>
        </w:rPr>
        <w:t>rights (</w:t>
      </w:r>
      <w:r w:rsidR="0062686A" w:rsidRPr="0062686A">
        <w:rPr>
          <w:rFonts w:ascii="Cambria" w:hAnsi="Cambria"/>
          <w:i/>
          <w:sz w:val="20"/>
          <w:szCs w:val="20"/>
        </w:rPr>
        <w:t>acción de tutela</w:t>
      </w:r>
      <w:r w:rsidR="0062686A">
        <w:rPr>
          <w:rFonts w:ascii="Cambria" w:hAnsi="Cambria"/>
          <w:sz w:val="20"/>
          <w:szCs w:val="20"/>
        </w:rPr>
        <w:t xml:space="preserve">) </w:t>
      </w:r>
      <w:r w:rsidRPr="00FC3DEB">
        <w:rPr>
          <w:rFonts w:ascii="Cambria" w:hAnsi="Cambria"/>
          <w:sz w:val="20"/>
          <w:szCs w:val="20"/>
        </w:rPr>
        <w:t xml:space="preserve">out of order, which exhausted the domestic remedies for reparation. In turn, the State alleges that remedies were exhausted in the criminal and the administrative jurisdictions, but that the petition was untimely.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The IACHR has </w:t>
      </w:r>
      <w:r w:rsidR="00460F67">
        <w:rPr>
          <w:rFonts w:ascii="Cambria" w:hAnsi="Cambria"/>
          <w:sz w:val="20"/>
          <w:szCs w:val="20"/>
        </w:rPr>
        <w:t>established</w:t>
      </w:r>
      <w:r w:rsidRPr="00FC3DEB">
        <w:rPr>
          <w:rFonts w:ascii="Cambria" w:hAnsi="Cambria"/>
          <w:sz w:val="20"/>
          <w:szCs w:val="20"/>
        </w:rPr>
        <w:t xml:space="preserve"> that when an alleged crime involving state officials is committed, the State is obliged to bring and pursu</w:t>
      </w:r>
      <w:r w:rsidR="008B3AE1">
        <w:rPr>
          <w:rFonts w:ascii="Cambria" w:hAnsi="Cambria"/>
          <w:sz w:val="20"/>
          <w:szCs w:val="20"/>
        </w:rPr>
        <w:t>e criminal proceedings and that</w:t>
      </w:r>
      <w:r w:rsidRPr="00FC3DEB">
        <w:rPr>
          <w:rFonts w:ascii="Cambria" w:hAnsi="Cambria"/>
          <w:sz w:val="20"/>
          <w:szCs w:val="20"/>
        </w:rPr>
        <w:t xml:space="preserve"> this is the best way to clarify the facts, adjudicate any possible responsibility, in addition to enabling other forms of monetary compensation to be established.</w:t>
      </w:r>
      <w:r w:rsidR="0075190D" w:rsidRPr="00FC3DEB">
        <w:rPr>
          <w:rStyle w:val="FootnoteReference"/>
          <w:rFonts w:ascii="Cambria" w:hAnsi="Cambria"/>
          <w:sz w:val="20"/>
          <w:szCs w:val="20"/>
        </w:rPr>
        <w:footnoteReference w:id="5"/>
      </w:r>
      <w:r w:rsidRPr="00FC3DEB">
        <w:rPr>
          <w:rFonts w:ascii="Cambria" w:hAnsi="Cambria"/>
          <w:sz w:val="20"/>
          <w:szCs w:val="20"/>
        </w:rPr>
        <w:t xml:space="preserve"> In the ins</w:t>
      </w:r>
      <w:r w:rsidR="008B3AE1">
        <w:rPr>
          <w:rFonts w:ascii="Cambria" w:hAnsi="Cambria"/>
          <w:sz w:val="20"/>
          <w:szCs w:val="20"/>
        </w:rPr>
        <w:t>tant case, the IACHR notes that</w:t>
      </w:r>
      <w:r w:rsidRPr="00FC3DEB">
        <w:rPr>
          <w:rFonts w:ascii="Cambria" w:hAnsi="Cambria"/>
          <w:sz w:val="20"/>
          <w:szCs w:val="20"/>
        </w:rPr>
        <w:t xml:space="preserve"> based on the petitioners</w:t>
      </w:r>
      <w:r w:rsidR="00734F93">
        <w:rPr>
          <w:rFonts w:ascii="Cambria" w:hAnsi="Cambria"/>
          <w:sz w:val="20"/>
          <w:szCs w:val="20"/>
        </w:rPr>
        <w:t>’</w:t>
      </w:r>
      <w:r w:rsidR="008B3AE1">
        <w:rPr>
          <w:rFonts w:ascii="Cambria" w:hAnsi="Cambria"/>
          <w:sz w:val="20"/>
          <w:szCs w:val="20"/>
        </w:rPr>
        <w:t xml:space="preserve"> claims</w:t>
      </w:r>
      <w:r w:rsidRPr="00FC3DEB">
        <w:rPr>
          <w:rFonts w:ascii="Cambria" w:hAnsi="Cambria"/>
          <w:sz w:val="20"/>
          <w:szCs w:val="20"/>
        </w:rPr>
        <w:t xml:space="preserve"> at least four UNASE </w:t>
      </w:r>
      <w:r w:rsidR="008B3AE1">
        <w:rPr>
          <w:rFonts w:ascii="Cambria" w:hAnsi="Cambria"/>
          <w:sz w:val="20"/>
          <w:szCs w:val="20"/>
        </w:rPr>
        <w:t>agents</w:t>
      </w:r>
      <w:r w:rsidRPr="00FC3DEB">
        <w:rPr>
          <w:rFonts w:ascii="Cambria" w:hAnsi="Cambria"/>
          <w:sz w:val="20"/>
          <w:szCs w:val="20"/>
        </w:rPr>
        <w:t xml:space="preserve"> are involved in the alleged victim</w:t>
      </w:r>
      <w:r w:rsidR="00734F93">
        <w:rPr>
          <w:rFonts w:ascii="Cambria" w:hAnsi="Cambria"/>
          <w:sz w:val="20"/>
          <w:szCs w:val="20"/>
        </w:rPr>
        <w:t>’</w:t>
      </w:r>
      <w:r w:rsidRPr="00FC3DEB">
        <w:rPr>
          <w:rFonts w:ascii="Cambria" w:hAnsi="Cambria"/>
          <w:sz w:val="20"/>
          <w:szCs w:val="20"/>
        </w:rPr>
        <w:t xml:space="preserve">s death. However, according to the available information, the Commission observes that only two people were found responsible for the offenses, through the judgments of October 27, 1994 and April 3, 2008 respectively. In relation to the other two </w:t>
      </w:r>
      <w:r w:rsidR="008B3AE1">
        <w:rPr>
          <w:rFonts w:ascii="Cambria" w:hAnsi="Cambria"/>
          <w:sz w:val="20"/>
          <w:szCs w:val="20"/>
        </w:rPr>
        <w:t xml:space="preserve">persons </w:t>
      </w:r>
      <w:r w:rsidRPr="00FC3DEB">
        <w:rPr>
          <w:rFonts w:ascii="Cambria" w:hAnsi="Cambria"/>
          <w:sz w:val="20"/>
          <w:szCs w:val="20"/>
        </w:rPr>
        <w:t>responsible, the Commission finds that</w:t>
      </w:r>
      <w:r w:rsidR="008B3AE1">
        <w:rPr>
          <w:rFonts w:ascii="Cambria" w:hAnsi="Cambria"/>
          <w:sz w:val="20"/>
          <w:szCs w:val="20"/>
        </w:rPr>
        <w:t>,</w:t>
      </w:r>
      <w:r w:rsidRPr="00FC3DEB">
        <w:rPr>
          <w:rFonts w:ascii="Cambria" w:hAnsi="Cambria"/>
          <w:sz w:val="20"/>
          <w:szCs w:val="20"/>
        </w:rPr>
        <w:t xml:space="preserve"> in the fra</w:t>
      </w:r>
      <w:r w:rsidR="008B3AE1">
        <w:rPr>
          <w:rFonts w:ascii="Cambria" w:hAnsi="Cambria"/>
          <w:sz w:val="20"/>
          <w:szCs w:val="20"/>
        </w:rPr>
        <w:t>m</w:t>
      </w:r>
      <w:r w:rsidRPr="00FC3DEB">
        <w:rPr>
          <w:rFonts w:ascii="Cambria" w:hAnsi="Cambria"/>
          <w:sz w:val="20"/>
          <w:szCs w:val="20"/>
        </w:rPr>
        <w:t>ework of the military jurisdiction, one of these was excluded from the case by the decision of the</w:t>
      </w:r>
      <w:r w:rsidR="00EF22B4">
        <w:rPr>
          <w:rFonts w:ascii="Cambria" w:hAnsi="Cambria"/>
          <w:sz w:val="20"/>
          <w:szCs w:val="20"/>
        </w:rPr>
        <w:t xml:space="preserve"> Second Brigade of Barranquilla on November 16, 1995. For its part, </w:t>
      </w:r>
      <w:r w:rsidRPr="00FC3DEB">
        <w:rPr>
          <w:rFonts w:ascii="Cambria" w:hAnsi="Cambria"/>
          <w:sz w:val="20"/>
          <w:szCs w:val="20"/>
        </w:rPr>
        <w:t xml:space="preserve">in the ordinary jurisdiction the investigation was </w:t>
      </w:r>
      <w:r w:rsidR="00EF22B4">
        <w:rPr>
          <w:rFonts w:ascii="Cambria" w:hAnsi="Cambria"/>
          <w:sz w:val="20"/>
          <w:szCs w:val="20"/>
        </w:rPr>
        <w:t>dismissed</w:t>
      </w:r>
      <w:r w:rsidRPr="00FC3DEB">
        <w:rPr>
          <w:rFonts w:ascii="Cambria" w:hAnsi="Cambria"/>
          <w:sz w:val="20"/>
          <w:szCs w:val="20"/>
        </w:rPr>
        <w:t xml:space="preserve"> in favor of the Commander in Chief UNASE. </w:t>
      </w:r>
      <w:r w:rsidR="00EF22B4">
        <w:rPr>
          <w:rFonts w:ascii="Cambria" w:hAnsi="Cambria"/>
          <w:sz w:val="20"/>
          <w:szCs w:val="20"/>
        </w:rPr>
        <w:t xml:space="preserve">In </w:t>
      </w:r>
      <w:r w:rsidRPr="00FC3DEB">
        <w:rPr>
          <w:rFonts w:ascii="Cambria" w:hAnsi="Cambria"/>
          <w:sz w:val="20"/>
          <w:szCs w:val="20"/>
        </w:rPr>
        <w:t xml:space="preserve">this regard, the IACHR notes that the development and results of the investigations in the military criminal justice </w:t>
      </w:r>
      <w:r w:rsidR="00EF22B4">
        <w:rPr>
          <w:rFonts w:ascii="Cambria" w:hAnsi="Cambria"/>
          <w:sz w:val="20"/>
          <w:szCs w:val="20"/>
        </w:rPr>
        <w:t>prevented</w:t>
      </w:r>
      <w:r w:rsidRPr="00FC3DEB">
        <w:rPr>
          <w:rFonts w:ascii="Cambria" w:hAnsi="Cambria"/>
          <w:sz w:val="20"/>
          <w:szCs w:val="20"/>
        </w:rPr>
        <w:t xml:space="preserve"> the exhaustion of</w:t>
      </w:r>
      <w:r w:rsidR="00CF7AA5">
        <w:rPr>
          <w:rFonts w:ascii="Cambria" w:hAnsi="Cambria"/>
          <w:sz w:val="20"/>
          <w:szCs w:val="20"/>
        </w:rPr>
        <w:t xml:space="preserve"> the</w:t>
      </w:r>
      <w:r w:rsidRPr="00FC3DEB">
        <w:rPr>
          <w:rFonts w:ascii="Cambria" w:hAnsi="Cambria"/>
          <w:sz w:val="20"/>
          <w:szCs w:val="20"/>
        </w:rPr>
        <w:t xml:space="preserve"> domestic remedies. More</w:t>
      </w:r>
      <w:r w:rsidR="00CF7AA5">
        <w:rPr>
          <w:rFonts w:ascii="Cambria" w:hAnsi="Cambria"/>
          <w:sz w:val="20"/>
          <w:szCs w:val="20"/>
        </w:rPr>
        <w:t>over, it takes into account the fact that</w:t>
      </w:r>
      <w:r w:rsidRPr="00FC3DEB">
        <w:rPr>
          <w:rFonts w:ascii="Cambria" w:hAnsi="Cambria"/>
          <w:sz w:val="20"/>
          <w:szCs w:val="20"/>
        </w:rPr>
        <w:t xml:space="preserve"> in the ordinary jurisdiction </w:t>
      </w:r>
      <w:r w:rsidR="00CF7AA5">
        <w:rPr>
          <w:rFonts w:ascii="Cambria" w:hAnsi="Cambria"/>
          <w:sz w:val="20"/>
          <w:szCs w:val="20"/>
        </w:rPr>
        <w:t>the</w:t>
      </w:r>
      <w:r w:rsidRPr="00FC3DEB">
        <w:rPr>
          <w:rFonts w:ascii="Cambria" w:hAnsi="Cambria"/>
          <w:sz w:val="20"/>
          <w:szCs w:val="20"/>
        </w:rPr>
        <w:t xml:space="preserve"> courts have not</w:t>
      </w:r>
      <w:r w:rsidR="00CF7AA5">
        <w:rPr>
          <w:rFonts w:ascii="Cambria" w:hAnsi="Cambria"/>
          <w:sz w:val="20"/>
          <w:szCs w:val="20"/>
        </w:rPr>
        <w:t xml:space="preserve"> yet </w:t>
      </w:r>
      <w:r w:rsidRPr="00FC3DEB">
        <w:rPr>
          <w:rFonts w:ascii="Cambria" w:hAnsi="Cambria"/>
          <w:sz w:val="20"/>
          <w:szCs w:val="20"/>
        </w:rPr>
        <w:t>established a punishment for all the responsible. Therefore, the IACHR concludes that the exceptions to the prior exhaustion of domestic remedies apply to this case, pur</w:t>
      </w:r>
      <w:r w:rsidR="00CF7AA5">
        <w:rPr>
          <w:rFonts w:ascii="Cambria" w:hAnsi="Cambria"/>
          <w:sz w:val="20"/>
          <w:szCs w:val="20"/>
        </w:rPr>
        <w:t>suant</w:t>
      </w:r>
      <w:r w:rsidRPr="00FC3DEB">
        <w:rPr>
          <w:rFonts w:ascii="Cambria" w:hAnsi="Cambria"/>
          <w:sz w:val="20"/>
          <w:szCs w:val="20"/>
        </w:rPr>
        <w:t xml:space="preserve"> to </w:t>
      </w:r>
      <w:r w:rsidR="00CF7AA5">
        <w:rPr>
          <w:rFonts w:ascii="Cambria" w:hAnsi="Cambria"/>
          <w:sz w:val="20"/>
          <w:szCs w:val="20"/>
        </w:rPr>
        <w:t xml:space="preserve">the </w:t>
      </w:r>
      <w:r w:rsidRPr="00FC3DEB">
        <w:rPr>
          <w:rFonts w:ascii="Cambria" w:hAnsi="Cambria"/>
          <w:sz w:val="20"/>
          <w:szCs w:val="20"/>
        </w:rPr>
        <w:t xml:space="preserve">provisions </w:t>
      </w:r>
      <w:r w:rsidR="00CF7AA5">
        <w:rPr>
          <w:rFonts w:ascii="Cambria" w:hAnsi="Cambria"/>
          <w:sz w:val="20"/>
          <w:szCs w:val="20"/>
        </w:rPr>
        <w:t>of</w:t>
      </w:r>
      <w:r w:rsidRPr="00FC3DEB">
        <w:rPr>
          <w:rFonts w:ascii="Cambria" w:hAnsi="Cambria"/>
          <w:sz w:val="20"/>
          <w:szCs w:val="20"/>
        </w:rPr>
        <w:t xml:space="preserve"> Article 46.2</w:t>
      </w:r>
      <w:r w:rsidR="002334EE">
        <w:rPr>
          <w:rFonts w:ascii="Cambria" w:hAnsi="Cambria"/>
          <w:sz w:val="20"/>
          <w:szCs w:val="20"/>
        </w:rPr>
        <w:t>,</w:t>
      </w:r>
      <w:r w:rsidRPr="00FC3DEB">
        <w:rPr>
          <w:rFonts w:ascii="Cambria" w:hAnsi="Cambria"/>
          <w:sz w:val="20"/>
          <w:szCs w:val="20"/>
        </w:rPr>
        <w:t xml:space="preserve"> paragraphs b and c</w:t>
      </w:r>
      <w:r w:rsidR="002334EE">
        <w:rPr>
          <w:rFonts w:ascii="Cambria" w:hAnsi="Cambria"/>
          <w:sz w:val="20"/>
          <w:szCs w:val="20"/>
        </w:rPr>
        <w:t>,</w:t>
      </w:r>
      <w:r w:rsidRPr="00FC3DEB">
        <w:rPr>
          <w:rFonts w:ascii="Cambria" w:hAnsi="Cambria"/>
          <w:sz w:val="20"/>
          <w:szCs w:val="20"/>
        </w:rPr>
        <w:t xml:space="preserve"> of the Convention.</w:t>
      </w:r>
      <w:r w:rsidR="00CF7AA5">
        <w:rPr>
          <w:rFonts w:ascii="Cambria" w:hAnsi="Cambria"/>
          <w:sz w:val="20"/>
          <w:szCs w:val="20"/>
        </w:rPr>
        <w:t xml:space="preserve">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lastRenderedPageBreak/>
        <w:t xml:space="preserve">Furthermore, as to the claim for damages lodged by the petitioners in the administrative jurisdiction, the Commission has repeatedly established that </w:t>
      </w:r>
      <w:r w:rsidR="00127A73">
        <w:rPr>
          <w:rFonts w:ascii="Cambria" w:hAnsi="Cambria"/>
          <w:sz w:val="20"/>
          <w:szCs w:val="20"/>
        </w:rPr>
        <w:t>it</w:t>
      </w:r>
      <w:r w:rsidRPr="00FC3DEB">
        <w:rPr>
          <w:rFonts w:ascii="Cambria" w:hAnsi="Cambria"/>
          <w:sz w:val="20"/>
          <w:szCs w:val="20"/>
        </w:rPr>
        <w:t xml:space="preserve"> </w:t>
      </w:r>
      <w:r w:rsidR="00C169C5">
        <w:rPr>
          <w:rFonts w:ascii="Cambria" w:hAnsi="Cambria"/>
          <w:sz w:val="20"/>
          <w:szCs w:val="20"/>
        </w:rPr>
        <w:t xml:space="preserve">is not an appropriate remedy to assess the </w:t>
      </w:r>
      <w:r w:rsidRPr="00FC3DEB">
        <w:rPr>
          <w:rFonts w:ascii="Cambria" w:hAnsi="Cambria"/>
          <w:sz w:val="20"/>
          <w:szCs w:val="20"/>
        </w:rPr>
        <w:t xml:space="preserve">admissibility of a complaint of </w:t>
      </w:r>
      <w:r w:rsidR="00C169C5">
        <w:rPr>
          <w:rFonts w:ascii="Cambria" w:hAnsi="Cambria"/>
          <w:sz w:val="20"/>
          <w:szCs w:val="20"/>
        </w:rPr>
        <w:t>a</w:t>
      </w:r>
      <w:r w:rsidRPr="00FC3DEB">
        <w:rPr>
          <w:rFonts w:ascii="Cambria" w:hAnsi="Cambria"/>
          <w:sz w:val="20"/>
          <w:szCs w:val="20"/>
        </w:rPr>
        <w:t xml:space="preserve"> nature of the instant petition</w:t>
      </w:r>
      <w:r w:rsidRPr="000728C0">
        <w:rPr>
          <w:rFonts w:ascii="Cambria" w:hAnsi="Cambria"/>
          <w:sz w:val="20"/>
          <w:szCs w:val="20"/>
        </w:rPr>
        <w:t>,</w:t>
      </w:r>
      <w:r w:rsidR="002334EE" w:rsidRPr="000728C0">
        <w:rPr>
          <w:rStyle w:val="FootnoteReference"/>
          <w:rFonts w:ascii="Cambria" w:hAnsi="Cambria"/>
          <w:sz w:val="20"/>
          <w:szCs w:val="20"/>
        </w:rPr>
        <w:footnoteReference w:id="6"/>
      </w:r>
      <w:r w:rsidRPr="00FC3DEB">
        <w:rPr>
          <w:rFonts w:ascii="Cambria" w:hAnsi="Cambria"/>
          <w:sz w:val="20"/>
          <w:szCs w:val="20"/>
        </w:rPr>
        <w:t xml:space="preserve"> because it is ineffective to provide full reparation and justice to the family. Notwithstand</w:t>
      </w:r>
      <w:r w:rsidR="00692837">
        <w:rPr>
          <w:rFonts w:ascii="Cambria" w:hAnsi="Cambria"/>
          <w:sz w:val="20"/>
          <w:szCs w:val="20"/>
        </w:rPr>
        <w:t>ing the foregoing, in this case</w:t>
      </w:r>
      <w:r w:rsidRPr="00FC3DEB">
        <w:rPr>
          <w:rFonts w:ascii="Cambria" w:hAnsi="Cambria"/>
          <w:sz w:val="20"/>
          <w:szCs w:val="20"/>
        </w:rPr>
        <w:t xml:space="preserve"> it can be seen that the petitioners also allege specific violations in the framework of the claim for damages. Therefore, given the connection between the two proceedings, the IACHR bears into account that, in the administrative jurisdiction, the domestic remedies were exhausted through the judgment of July 31, 2006, of the Provisional Special Chamber of the State Council, because it established that the petition filed by the alleged victim</w:t>
      </w:r>
      <w:r w:rsidR="00734F93">
        <w:rPr>
          <w:rFonts w:ascii="Cambria" w:hAnsi="Cambria"/>
          <w:sz w:val="20"/>
          <w:szCs w:val="20"/>
        </w:rPr>
        <w:t>’</w:t>
      </w:r>
      <w:r w:rsidRPr="00FC3DEB">
        <w:rPr>
          <w:rFonts w:ascii="Cambria" w:hAnsi="Cambria"/>
          <w:sz w:val="20"/>
          <w:szCs w:val="20"/>
        </w:rPr>
        <w:t xml:space="preserve">s family was groundless. This judgment was notified on August 11, 2006. </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Finally, the petition was presented on February 1, 2007; the claims matter of this petition began on September 13, 1993, and the alleged effects persist to date. Accordingly, in view of the context and the characteristics of the instant case, the Commission believes that the petition was filed within a reasonable time and that the admissibility requirement of timeliness must be declared met. </w:t>
      </w:r>
    </w:p>
    <w:p w:rsidR="00441D68" w:rsidRPr="00FC3DEB" w:rsidRDefault="00441D68" w:rsidP="00441D68">
      <w:pPr>
        <w:pStyle w:val="ListParagraph"/>
        <w:spacing w:before="240" w:after="240"/>
        <w:jc w:val="both"/>
        <w:rPr>
          <w:rFonts w:asciiTheme="majorHAnsi" w:hAnsiTheme="majorHAnsi"/>
          <w:b/>
          <w:sz w:val="20"/>
          <w:szCs w:val="20"/>
        </w:rPr>
      </w:pPr>
      <w:r w:rsidRPr="00FC3DEB">
        <w:rPr>
          <w:rFonts w:asciiTheme="majorHAnsi" w:hAnsiTheme="majorHAnsi"/>
          <w:b/>
          <w:bCs/>
          <w:sz w:val="20"/>
          <w:szCs w:val="20"/>
        </w:rPr>
        <w:t>VII.</w:t>
      </w:r>
      <w:r w:rsidRPr="00FC3DEB">
        <w:rPr>
          <w:rFonts w:asciiTheme="majorHAnsi" w:hAnsiTheme="majorHAnsi"/>
          <w:b/>
          <w:bCs/>
          <w:sz w:val="20"/>
          <w:szCs w:val="20"/>
        </w:rPr>
        <w:tab/>
        <w:t>ANALYSIS OF COLORABLE CLAIM</w:t>
      </w:r>
    </w:p>
    <w:p w:rsidR="00441D68"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 xml:space="preserve">In view of the elements of fact and law presented by the parties, and the nature of the matter brought to its attention, the Commission believes that the alleged extrajudicial killing of the alleged victim by UNASE </w:t>
      </w:r>
      <w:r w:rsidR="00522D44">
        <w:rPr>
          <w:rFonts w:ascii="Cambria" w:hAnsi="Cambria"/>
          <w:sz w:val="20"/>
          <w:szCs w:val="20"/>
        </w:rPr>
        <w:t>agents</w:t>
      </w:r>
      <w:r w:rsidRPr="00FC3DEB">
        <w:rPr>
          <w:rFonts w:ascii="Cambria" w:hAnsi="Cambria"/>
          <w:sz w:val="20"/>
          <w:szCs w:val="20"/>
        </w:rPr>
        <w:t>, the subsequent alleged threats to his family members, the continuing partial impunity and the lack of effective judicial protection in the proceedings in relation to the incidents all could establish possible violations of Articles 4 (Life), 5 (Humane Treatment), 8 (Fair Trial), 17 (Family), 24 (Equal Protection) and 25 (Judicial Protection) of the American Convention, in connection with Articles 1.1 and 2</w:t>
      </w:r>
      <w:r w:rsidR="00522D44">
        <w:rPr>
          <w:rFonts w:ascii="Cambria" w:hAnsi="Cambria"/>
          <w:sz w:val="20"/>
          <w:szCs w:val="20"/>
        </w:rPr>
        <w:t xml:space="preserve"> thereof</w:t>
      </w:r>
      <w:r w:rsidRPr="00FC3DEB">
        <w:rPr>
          <w:rFonts w:ascii="Cambria" w:hAnsi="Cambria"/>
          <w:sz w:val="20"/>
          <w:szCs w:val="20"/>
        </w:rPr>
        <w:t xml:space="preserve">, to the detriment of the alleged victim and his family members. </w:t>
      </w:r>
    </w:p>
    <w:p w:rsidR="001E2182" w:rsidRPr="0092248F" w:rsidRDefault="00914BD2" w:rsidP="00914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2248F">
        <w:rPr>
          <w:rFonts w:ascii="Cambria" w:hAnsi="Cambria"/>
          <w:sz w:val="20"/>
          <w:szCs w:val="20"/>
        </w:rPr>
        <w:t>In relation to the allegations of the petitioner regarding the</w:t>
      </w:r>
      <w:r w:rsidR="0092248F">
        <w:rPr>
          <w:rFonts w:ascii="Cambria" w:hAnsi="Cambria"/>
          <w:sz w:val="20"/>
          <w:szCs w:val="20"/>
        </w:rPr>
        <w:t xml:space="preserve"> alleged</w:t>
      </w:r>
      <w:r w:rsidRPr="0092248F">
        <w:rPr>
          <w:rFonts w:ascii="Cambria" w:hAnsi="Cambria"/>
          <w:sz w:val="20"/>
          <w:szCs w:val="20"/>
        </w:rPr>
        <w:t xml:space="preserve"> violation of the Article 7(personal liberty) of the Convention, the Commission observes that the petitioner has not offered sustenance</w:t>
      </w:r>
      <w:r w:rsidR="0092248F">
        <w:rPr>
          <w:rFonts w:ascii="Cambria" w:hAnsi="Cambria"/>
          <w:sz w:val="20"/>
          <w:szCs w:val="20"/>
        </w:rPr>
        <w:t xml:space="preserve"> </w:t>
      </w:r>
      <w:r w:rsidRPr="0092248F">
        <w:rPr>
          <w:rFonts w:ascii="Cambria" w:hAnsi="Cambria"/>
          <w:sz w:val="20"/>
          <w:szCs w:val="20"/>
        </w:rPr>
        <w:t xml:space="preserve">that allows to consider </w:t>
      </w:r>
      <w:r w:rsidRPr="0092248F">
        <w:rPr>
          <w:rFonts w:ascii="Cambria" w:hAnsi="Cambria"/>
          <w:i/>
          <w:sz w:val="20"/>
          <w:szCs w:val="20"/>
        </w:rPr>
        <w:t>prima facie</w:t>
      </w:r>
      <w:r w:rsidRPr="0092248F">
        <w:rPr>
          <w:rFonts w:ascii="Cambria" w:hAnsi="Cambria"/>
          <w:sz w:val="20"/>
          <w:szCs w:val="20"/>
        </w:rPr>
        <w:t xml:space="preserve"> its possible violation</w:t>
      </w:r>
      <w:r w:rsidR="0092248F">
        <w:rPr>
          <w:rFonts w:ascii="Cambria" w:hAnsi="Cambria"/>
          <w:sz w:val="20"/>
          <w:szCs w:val="20"/>
        </w:rPr>
        <w:t>.</w:t>
      </w:r>
    </w:p>
    <w:p w:rsidR="00441D68" w:rsidRPr="00FC3DEB" w:rsidRDefault="00441D68" w:rsidP="00441D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DEB">
        <w:rPr>
          <w:rFonts w:ascii="Cambria" w:hAnsi="Cambria"/>
          <w:sz w:val="20"/>
          <w:szCs w:val="20"/>
        </w:rPr>
        <w:t>As for the State</w:t>
      </w:r>
      <w:r w:rsidR="00734F93">
        <w:rPr>
          <w:rFonts w:ascii="Cambria" w:hAnsi="Cambria"/>
          <w:sz w:val="20"/>
          <w:szCs w:val="20"/>
        </w:rPr>
        <w:t>’</w:t>
      </w:r>
      <w:r w:rsidRPr="00FC3DEB">
        <w:rPr>
          <w:rFonts w:ascii="Cambria" w:hAnsi="Cambria"/>
          <w:sz w:val="20"/>
          <w:szCs w:val="20"/>
        </w:rPr>
        <w:t xml:space="preserve">s observation that this petition leads to a </w:t>
      </w:r>
      <w:r w:rsidR="002166C4">
        <w:rPr>
          <w:rFonts w:ascii="Cambria" w:hAnsi="Cambria"/>
          <w:sz w:val="20"/>
          <w:szCs w:val="20"/>
        </w:rPr>
        <w:t>court</w:t>
      </w:r>
      <w:r w:rsidRPr="00FC3DEB">
        <w:rPr>
          <w:rFonts w:ascii="Cambria" w:hAnsi="Cambria"/>
          <w:sz w:val="20"/>
          <w:szCs w:val="20"/>
        </w:rPr>
        <w:t xml:space="preserve"> of fourth instance, the Commission recognizes that it is not entitled to review judgments issued by domestic courts acting within their jurisdiction and in accordance with due process of law and the </w:t>
      </w:r>
      <w:r w:rsidR="002166C4">
        <w:rPr>
          <w:rFonts w:ascii="Cambria" w:hAnsi="Cambria"/>
          <w:sz w:val="20"/>
          <w:szCs w:val="20"/>
        </w:rPr>
        <w:t>judicial safeguards</w:t>
      </w:r>
      <w:r w:rsidRPr="00FC3DEB">
        <w:rPr>
          <w:rFonts w:ascii="Cambria" w:hAnsi="Cambria"/>
          <w:sz w:val="20"/>
          <w:szCs w:val="20"/>
        </w:rPr>
        <w:t>. However, the Commission reiterates that</w:t>
      </w:r>
      <w:r w:rsidR="002166C4">
        <w:rPr>
          <w:rFonts w:ascii="Cambria" w:hAnsi="Cambria"/>
          <w:sz w:val="20"/>
          <w:szCs w:val="20"/>
        </w:rPr>
        <w:t>,</w:t>
      </w:r>
      <w:r w:rsidRPr="00FC3DEB">
        <w:rPr>
          <w:rFonts w:ascii="Cambria" w:hAnsi="Cambria"/>
          <w:sz w:val="20"/>
          <w:szCs w:val="20"/>
        </w:rPr>
        <w:t xml:space="preserve"> under its mandate</w:t>
      </w:r>
      <w:r w:rsidR="002166C4">
        <w:rPr>
          <w:rFonts w:ascii="Cambria" w:hAnsi="Cambria"/>
          <w:sz w:val="20"/>
          <w:szCs w:val="20"/>
        </w:rPr>
        <w:t>,</w:t>
      </w:r>
      <w:r w:rsidRPr="00FC3DEB">
        <w:rPr>
          <w:rFonts w:ascii="Cambria" w:hAnsi="Cambria"/>
          <w:sz w:val="20"/>
          <w:szCs w:val="20"/>
        </w:rPr>
        <w:t xml:space="preserve"> it is competent to declare a petition admissible and rule on the merits of the case when the matter concerns domestic proceedings where any of the rights protected by the American Convention might have been violated.</w:t>
      </w:r>
    </w:p>
    <w:p w:rsidR="00441D68" w:rsidRPr="00FC3DEB" w:rsidRDefault="00441D68" w:rsidP="00441D68">
      <w:pPr>
        <w:pStyle w:val="ListParagraph"/>
        <w:spacing w:before="240" w:after="240"/>
        <w:jc w:val="both"/>
        <w:rPr>
          <w:rFonts w:asciiTheme="majorHAnsi" w:hAnsiTheme="majorHAnsi"/>
          <w:b/>
          <w:bCs/>
          <w:sz w:val="20"/>
          <w:szCs w:val="20"/>
        </w:rPr>
      </w:pPr>
      <w:r w:rsidRPr="00FC3DEB">
        <w:rPr>
          <w:rFonts w:asciiTheme="majorHAnsi" w:hAnsiTheme="majorHAnsi"/>
          <w:b/>
          <w:bCs/>
          <w:sz w:val="20"/>
          <w:szCs w:val="20"/>
        </w:rPr>
        <w:t xml:space="preserve">VIII. </w:t>
      </w:r>
      <w:r w:rsidRPr="00FC3DEB">
        <w:rPr>
          <w:rFonts w:asciiTheme="majorHAnsi" w:hAnsiTheme="majorHAnsi"/>
          <w:b/>
          <w:bCs/>
          <w:sz w:val="20"/>
          <w:szCs w:val="20"/>
        </w:rPr>
        <w:tab/>
        <w:t>DECISION</w:t>
      </w:r>
    </w:p>
    <w:p w:rsidR="00441D68" w:rsidRPr="001E2182" w:rsidRDefault="00441D68" w:rsidP="00441D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FC3DEB">
        <w:rPr>
          <w:rFonts w:asciiTheme="majorHAnsi" w:hAnsiTheme="majorHAnsi"/>
          <w:sz w:val="20"/>
          <w:szCs w:val="20"/>
        </w:rPr>
        <w:t xml:space="preserve">To declare the instant petition admissible </w:t>
      </w:r>
      <w:r w:rsidR="00376B85">
        <w:rPr>
          <w:rFonts w:asciiTheme="majorHAnsi" w:hAnsiTheme="majorHAnsi"/>
          <w:sz w:val="20"/>
          <w:szCs w:val="20"/>
        </w:rPr>
        <w:t>in relation to Articles 4, 5,</w:t>
      </w:r>
      <w:r w:rsidRPr="00FC3DEB">
        <w:rPr>
          <w:rFonts w:asciiTheme="majorHAnsi" w:hAnsiTheme="majorHAnsi"/>
          <w:sz w:val="20"/>
          <w:szCs w:val="20"/>
        </w:rPr>
        <w:t xml:space="preserve"> 8, 17</w:t>
      </w:r>
      <w:r w:rsidR="00376B85">
        <w:rPr>
          <w:rFonts w:asciiTheme="majorHAnsi" w:hAnsiTheme="majorHAnsi"/>
          <w:sz w:val="20"/>
          <w:szCs w:val="20"/>
        </w:rPr>
        <w:t>, 24</w:t>
      </w:r>
      <w:r w:rsidRPr="00FC3DEB">
        <w:rPr>
          <w:rFonts w:asciiTheme="majorHAnsi" w:hAnsiTheme="majorHAnsi"/>
          <w:sz w:val="20"/>
          <w:szCs w:val="20"/>
        </w:rPr>
        <w:t xml:space="preserve"> and 25 of the American Convention, in connection with </w:t>
      </w:r>
      <w:r w:rsidR="00A65D05">
        <w:rPr>
          <w:rFonts w:asciiTheme="majorHAnsi" w:hAnsiTheme="majorHAnsi"/>
          <w:sz w:val="20"/>
          <w:szCs w:val="20"/>
        </w:rPr>
        <w:t xml:space="preserve">Articles 1.1 </w:t>
      </w:r>
      <w:r w:rsidRPr="00FC3DEB">
        <w:rPr>
          <w:rFonts w:asciiTheme="majorHAnsi" w:hAnsiTheme="majorHAnsi"/>
          <w:sz w:val="20"/>
          <w:szCs w:val="20"/>
        </w:rPr>
        <w:t xml:space="preserve">and 2; </w:t>
      </w:r>
    </w:p>
    <w:p w:rsidR="001E2182" w:rsidRPr="00FC3DEB" w:rsidRDefault="001E2182" w:rsidP="001E2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E2182">
        <w:rPr>
          <w:sz w:val="20"/>
          <w:szCs w:val="20"/>
        </w:rPr>
        <w:t xml:space="preserve">To </w:t>
      </w:r>
      <w:r>
        <w:rPr>
          <w:sz w:val="20"/>
          <w:szCs w:val="20"/>
        </w:rPr>
        <w:t>declare</w:t>
      </w:r>
      <w:r w:rsidRPr="001E2182">
        <w:rPr>
          <w:sz w:val="20"/>
          <w:szCs w:val="20"/>
        </w:rPr>
        <w:t xml:space="preserve"> th</w:t>
      </w:r>
      <w:r w:rsidR="00914BD2">
        <w:rPr>
          <w:sz w:val="20"/>
          <w:szCs w:val="20"/>
        </w:rPr>
        <w:t>e instant</w:t>
      </w:r>
      <w:r w:rsidRPr="001E2182">
        <w:rPr>
          <w:sz w:val="20"/>
          <w:szCs w:val="20"/>
        </w:rPr>
        <w:t xml:space="preserve"> petition inadmissible in relation to Article </w:t>
      </w:r>
      <w:r w:rsidR="00914BD2">
        <w:rPr>
          <w:sz w:val="20"/>
          <w:szCs w:val="20"/>
        </w:rPr>
        <w:t>7</w:t>
      </w:r>
      <w:r w:rsidRPr="001E2182">
        <w:rPr>
          <w:sz w:val="20"/>
          <w:szCs w:val="20"/>
        </w:rPr>
        <w:t xml:space="preserve"> of the American Convention</w:t>
      </w:r>
      <w:r w:rsidR="00914BD2">
        <w:rPr>
          <w:sz w:val="20"/>
          <w:szCs w:val="20"/>
        </w:rPr>
        <w:t>;</w:t>
      </w:r>
      <w:r w:rsidR="00056D69">
        <w:rPr>
          <w:sz w:val="20"/>
          <w:szCs w:val="20"/>
        </w:rPr>
        <w:t xml:space="preserve"> and</w:t>
      </w:r>
    </w:p>
    <w:p w:rsidR="00C60AC2" w:rsidRPr="00C60AC2" w:rsidRDefault="00441D68" w:rsidP="00C60AC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pacing w:val="-2"/>
          <w:sz w:val="20"/>
        </w:rPr>
      </w:pPr>
      <w:r w:rsidRPr="00C60AC2">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C55560" w:rsidRPr="00145EDC" w:rsidRDefault="00C60AC2" w:rsidP="00992555">
      <w:pPr>
        <w:jc w:val="both"/>
        <w:rPr>
          <w:rFonts w:asciiTheme="majorHAnsi" w:hAnsiTheme="majorHAnsi"/>
          <w:sz w:val="20"/>
          <w:szCs w:val="20"/>
        </w:rPr>
      </w:pPr>
      <w:r>
        <w:rPr>
          <w:rFonts w:ascii="Cambria" w:hAnsi="Cambria"/>
          <w:spacing w:val="-2"/>
          <w:sz w:val="20"/>
        </w:rPr>
        <w:tab/>
      </w:r>
      <w:r w:rsidR="00490569">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7</w:t>
      </w:r>
      <w:r w:rsidRPr="00C60AC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 xml:space="preserve">First Vice </w:t>
      </w:r>
      <w:r>
        <w:rPr>
          <w:rFonts w:ascii="Cambria" w:hAnsi="Cambria"/>
          <w:sz w:val="20"/>
        </w:rPr>
        <w:lastRenderedPageBreak/>
        <w:t>President</w:t>
      </w:r>
      <w:r w:rsidRPr="00F368A7">
        <w:rPr>
          <w:rFonts w:ascii="Cambria" w:hAnsi="Cambria"/>
          <w:sz w:val="20"/>
        </w:rPr>
        <w:t>; Francisco José Eguiguren Praeli, Joel Herná</w:t>
      </w:r>
      <w:r>
        <w:rPr>
          <w:rFonts w:ascii="Cambria" w:hAnsi="Cambria"/>
          <w:sz w:val="20"/>
        </w:rPr>
        <w:t>ndez García, Antonia Urrejola, and</w:t>
      </w:r>
      <w:r w:rsidRPr="00F368A7">
        <w:rPr>
          <w:rFonts w:ascii="Cambria" w:hAnsi="Cambria"/>
          <w:sz w:val="20"/>
        </w:rPr>
        <w:t xml:space="preserve"> Flávia Piovesan,</w:t>
      </w:r>
      <w:r>
        <w:rPr>
          <w:rFonts w:ascii="Cambria" w:hAnsi="Cambria"/>
          <w:spacing w:val="-2"/>
          <w:sz w:val="20"/>
        </w:rPr>
        <w:t xml:space="preserve"> C</w:t>
      </w:r>
      <w:r w:rsidRPr="00365F2F">
        <w:rPr>
          <w:rFonts w:ascii="Cambria" w:hAnsi="Cambria"/>
          <w:spacing w:val="-2"/>
          <w:sz w:val="20"/>
        </w:rPr>
        <w:t>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4E" w:rsidRDefault="0004404E" w:rsidP="00036A8A">
      <w:r>
        <w:separator/>
      </w:r>
    </w:p>
  </w:endnote>
  <w:endnote w:type="continuationSeparator" w:id="0">
    <w:p w:rsidR="0004404E" w:rsidRDefault="0004404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55" w:rsidRDefault="00736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24330">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4E" w:rsidRPr="00036A8A" w:rsidRDefault="0004404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4404E" w:rsidRPr="00036A8A" w:rsidRDefault="0004404E" w:rsidP="00036A8A">
      <w:pPr>
        <w:rPr>
          <w:rFonts w:asciiTheme="majorHAnsi" w:hAnsiTheme="majorHAnsi"/>
          <w:sz w:val="16"/>
          <w:szCs w:val="16"/>
        </w:rPr>
      </w:pPr>
      <w:r w:rsidRPr="00036A8A">
        <w:rPr>
          <w:rFonts w:asciiTheme="majorHAnsi" w:hAnsiTheme="majorHAnsi"/>
          <w:sz w:val="16"/>
          <w:szCs w:val="16"/>
        </w:rPr>
        <w:separator/>
      </w:r>
    </w:p>
    <w:p w:rsidR="0004404E" w:rsidRPr="00036A8A" w:rsidRDefault="0004404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4404E" w:rsidRPr="0093441A" w:rsidRDefault="0004404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112FC" w:rsidRPr="00B25B42" w:rsidRDefault="00A112FC" w:rsidP="00490569">
      <w:pPr>
        <w:pStyle w:val="FootnoteText"/>
        <w:ind w:firstLine="720"/>
        <w:jc w:val="both"/>
        <w:rPr>
          <w:lang w:val="en-GB"/>
        </w:rPr>
      </w:pPr>
      <w:r>
        <w:rPr>
          <w:rStyle w:val="FootnoteReference"/>
        </w:rPr>
        <w:footnoteRef/>
      </w:r>
      <w:r w:rsidRPr="00B25B42">
        <w:rPr>
          <w:lang w:val="en-GB"/>
        </w:rPr>
        <w:t xml:space="preserve"> </w:t>
      </w:r>
      <w:r w:rsidRPr="00B25B42">
        <w:rPr>
          <w:rFonts w:ascii="Cambria" w:hAnsi="Cambria"/>
          <w:sz w:val="16"/>
          <w:szCs w:val="16"/>
          <w:lang w:val="en-GB"/>
        </w:rPr>
        <w:t xml:space="preserve">Pursuant to Article 17.2.a of the IACHR Rules of Procedure, Commissioner Luis Ernesto Vargas Silva, a Colombian national, did not participate in the discussion or the decision on this matter. </w:t>
      </w:r>
    </w:p>
  </w:footnote>
  <w:footnote w:id="3">
    <w:p w:rsidR="00A112FC" w:rsidRPr="00B25B42" w:rsidRDefault="00A112FC" w:rsidP="00490569">
      <w:pPr>
        <w:pStyle w:val="FootnoteText"/>
        <w:ind w:firstLine="720"/>
        <w:jc w:val="both"/>
        <w:rPr>
          <w:rFonts w:asciiTheme="majorHAnsi" w:hAnsiTheme="majorHAnsi"/>
          <w:sz w:val="16"/>
          <w:szCs w:val="16"/>
          <w:lang w:val="en-GB"/>
        </w:rPr>
      </w:pPr>
      <w:r w:rsidRPr="005E6F7A">
        <w:rPr>
          <w:rStyle w:val="FootnoteReference"/>
          <w:rFonts w:asciiTheme="majorHAnsi" w:hAnsiTheme="majorHAnsi"/>
          <w:sz w:val="16"/>
          <w:szCs w:val="16"/>
        </w:rPr>
        <w:footnoteRef/>
      </w:r>
      <w:r w:rsidRPr="00B25B42">
        <w:rPr>
          <w:rFonts w:asciiTheme="majorHAnsi" w:hAnsiTheme="majorHAnsi"/>
          <w:sz w:val="16"/>
          <w:szCs w:val="16"/>
          <w:lang w:val="en-GB"/>
        </w:rPr>
        <w:t xml:space="preserve"> Hereinafter </w:t>
      </w:r>
      <w:r w:rsidR="00734F93">
        <w:rPr>
          <w:rFonts w:asciiTheme="majorHAnsi" w:hAnsiTheme="majorHAnsi"/>
          <w:sz w:val="16"/>
          <w:szCs w:val="16"/>
          <w:lang w:val="en-GB"/>
        </w:rPr>
        <w:t>“</w:t>
      </w:r>
      <w:r w:rsidRPr="00B25B42">
        <w:rPr>
          <w:rFonts w:asciiTheme="majorHAnsi" w:hAnsiTheme="majorHAnsi"/>
          <w:sz w:val="16"/>
          <w:szCs w:val="16"/>
          <w:lang w:val="en-GB"/>
        </w:rPr>
        <w:t>Convention</w:t>
      </w:r>
      <w:r w:rsidR="00734F93">
        <w:rPr>
          <w:rFonts w:asciiTheme="majorHAnsi" w:hAnsiTheme="majorHAnsi"/>
          <w:sz w:val="16"/>
          <w:szCs w:val="16"/>
          <w:lang w:val="en-GB"/>
        </w:rPr>
        <w:t>”</w:t>
      </w:r>
      <w:r w:rsidRPr="00B25B42">
        <w:rPr>
          <w:rFonts w:asciiTheme="majorHAnsi" w:hAnsiTheme="majorHAnsi"/>
          <w:sz w:val="16"/>
          <w:szCs w:val="16"/>
          <w:lang w:val="en-GB"/>
        </w:rPr>
        <w:t xml:space="preserve"> or </w:t>
      </w:r>
      <w:r w:rsidR="00734F93">
        <w:rPr>
          <w:rFonts w:asciiTheme="majorHAnsi" w:hAnsiTheme="majorHAnsi"/>
          <w:sz w:val="16"/>
          <w:szCs w:val="16"/>
          <w:lang w:val="en-GB"/>
        </w:rPr>
        <w:t>“</w:t>
      </w:r>
      <w:r w:rsidRPr="00B25B42">
        <w:rPr>
          <w:rFonts w:asciiTheme="majorHAnsi" w:hAnsiTheme="majorHAnsi"/>
          <w:sz w:val="16"/>
          <w:szCs w:val="16"/>
          <w:lang w:val="en-GB"/>
        </w:rPr>
        <w:t>American Convention.</w:t>
      </w:r>
      <w:r w:rsidR="00734F93">
        <w:rPr>
          <w:rFonts w:asciiTheme="majorHAnsi" w:hAnsiTheme="majorHAnsi"/>
          <w:sz w:val="16"/>
          <w:szCs w:val="16"/>
          <w:lang w:val="en-GB"/>
        </w:rPr>
        <w:t>”</w:t>
      </w:r>
      <w:r w:rsidRPr="00B25B42">
        <w:rPr>
          <w:rFonts w:asciiTheme="majorHAnsi" w:hAnsiTheme="majorHAnsi"/>
          <w:sz w:val="16"/>
          <w:szCs w:val="16"/>
          <w:lang w:val="en-GB"/>
        </w:rPr>
        <w:t xml:space="preserve"> </w:t>
      </w:r>
    </w:p>
  </w:footnote>
  <w:footnote w:id="4">
    <w:p w:rsidR="00653EA6" w:rsidRPr="000B6B7A" w:rsidRDefault="00653EA6" w:rsidP="00490569">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75190D" w:rsidRPr="00B25B42" w:rsidRDefault="0075190D" w:rsidP="0075190D">
      <w:pPr>
        <w:pStyle w:val="FootnoteText"/>
        <w:ind w:firstLine="720"/>
        <w:jc w:val="both"/>
        <w:rPr>
          <w:rFonts w:asciiTheme="majorHAnsi" w:hAnsiTheme="majorHAnsi"/>
          <w:sz w:val="16"/>
          <w:szCs w:val="16"/>
          <w:lang w:val="en-GB"/>
        </w:rPr>
      </w:pPr>
      <w:r w:rsidRPr="00055D26">
        <w:rPr>
          <w:rStyle w:val="FootnoteReference"/>
          <w:rFonts w:asciiTheme="majorHAnsi" w:hAnsiTheme="majorHAnsi"/>
          <w:sz w:val="16"/>
          <w:szCs w:val="16"/>
        </w:rPr>
        <w:footnoteRef/>
      </w:r>
      <w:r w:rsidRPr="00B25B42">
        <w:rPr>
          <w:rFonts w:asciiTheme="majorHAnsi" w:hAnsiTheme="majorHAnsi"/>
          <w:sz w:val="16"/>
          <w:szCs w:val="16"/>
          <w:lang w:val="en-GB"/>
        </w:rPr>
        <w:t xml:space="preserve"> IACHR, Report No. 55/13, Petition 375-07. Admissibility. Spencer Friend Montehermoso </w:t>
      </w:r>
      <w:r w:rsidRPr="00F365F7">
        <w:rPr>
          <w:rFonts w:asciiTheme="majorHAnsi" w:hAnsiTheme="majorHAnsi"/>
          <w:i/>
          <w:sz w:val="16"/>
          <w:szCs w:val="16"/>
          <w:lang w:val="en-GB"/>
        </w:rPr>
        <w:t>et al</w:t>
      </w:r>
      <w:r w:rsidRPr="00B25B42">
        <w:rPr>
          <w:rFonts w:asciiTheme="majorHAnsi" w:hAnsiTheme="majorHAnsi"/>
          <w:sz w:val="16"/>
          <w:szCs w:val="16"/>
          <w:lang w:val="en-GB"/>
        </w:rPr>
        <w:t xml:space="preserve">. Guatemala. July 16, 2013, par. 31. </w:t>
      </w:r>
    </w:p>
  </w:footnote>
  <w:footnote w:id="6">
    <w:p w:rsidR="002334EE" w:rsidRPr="00055D26" w:rsidRDefault="002334EE" w:rsidP="002334EE">
      <w:pPr>
        <w:pStyle w:val="FootnoteText"/>
        <w:ind w:firstLine="720"/>
        <w:jc w:val="both"/>
        <w:rPr>
          <w:rFonts w:asciiTheme="majorHAnsi" w:hAnsiTheme="majorHAnsi"/>
          <w:sz w:val="16"/>
          <w:szCs w:val="16"/>
          <w:lang w:val="es-BO"/>
        </w:rPr>
      </w:pPr>
      <w:r w:rsidRPr="00055D26">
        <w:rPr>
          <w:rStyle w:val="FootnoteReference"/>
          <w:rFonts w:asciiTheme="majorHAnsi" w:hAnsiTheme="majorHAnsi"/>
          <w:sz w:val="16"/>
          <w:szCs w:val="16"/>
        </w:rPr>
        <w:footnoteRef/>
      </w:r>
      <w:r w:rsidRPr="00B25B42">
        <w:rPr>
          <w:rFonts w:asciiTheme="majorHAnsi" w:hAnsiTheme="majorHAnsi"/>
          <w:sz w:val="16"/>
          <w:szCs w:val="16"/>
          <w:lang w:val="en-GB"/>
        </w:rPr>
        <w:t xml:space="preserve"> IACHR, Report No. 72/16. Petition 694-06. Admissibility. </w:t>
      </w:r>
      <w:r w:rsidRPr="00055D26">
        <w:rPr>
          <w:rFonts w:asciiTheme="majorHAnsi" w:hAnsiTheme="majorHAnsi"/>
          <w:sz w:val="16"/>
          <w:szCs w:val="16"/>
          <w:lang w:val="es-BO"/>
        </w:rPr>
        <w:t xml:space="preserve">Onofre Antonio de La Hoz and family. Colombia. December 6, 2016, par. 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4404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55" w:rsidRDefault="00736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3"/>
    <w:rsid w:val="0001788C"/>
    <w:rsid w:val="00022CF5"/>
    <w:rsid w:val="00036A8A"/>
    <w:rsid w:val="00040C3A"/>
    <w:rsid w:val="000438DC"/>
    <w:rsid w:val="0004404E"/>
    <w:rsid w:val="00056D69"/>
    <w:rsid w:val="000639C0"/>
    <w:rsid w:val="00070F3A"/>
    <w:rsid w:val="000716C5"/>
    <w:rsid w:val="000728C0"/>
    <w:rsid w:val="00075E23"/>
    <w:rsid w:val="00092F32"/>
    <w:rsid w:val="0009344A"/>
    <w:rsid w:val="000A575F"/>
    <w:rsid w:val="000C4365"/>
    <w:rsid w:val="000D0F59"/>
    <w:rsid w:val="000D10DB"/>
    <w:rsid w:val="001148AE"/>
    <w:rsid w:val="00124116"/>
    <w:rsid w:val="00127A73"/>
    <w:rsid w:val="0013104F"/>
    <w:rsid w:val="001321D8"/>
    <w:rsid w:val="00137EBA"/>
    <w:rsid w:val="00145EDC"/>
    <w:rsid w:val="00153084"/>
    <w:rsid w:val="00167A34"/>
    <w:rsid w:val="001714B4"/>
    <w:rsid w:val="0018037F"/>
    <w:rsid w:val="001969B9"/>
    <w:rsid w:val="001A5F27"/>
    <w:rsid w:val="001A65E4"/>
    <w:rsid w:val="001A7870"/>
    <w:rsid w:val="001C1B41"/>
    <w:rsid w:val="001E2182"/>
    <w:rsid w:val="001E366B"/>
    <w:rsid w:val="001F1902"/>
    <w:rsid w:val="00210E0E"/>
    <w:rsid w:val="00210F4B"/>
    <w:rsid w:val="002166C4"/>
    <w:rsid w:val="00227C53"/>
    <w:rsid w:val="00230163"/>
    <w:rsid w:val="002334EE"/>
    <w:rsid w:val="0023351C"/>
    <w:rsid w:val="00247403"/>
    <w:rsid w:val="00247542"/>
    <w:rsid w:val="00257893"/>
    <w:rsid w:val="00266092"/>
    <w:rsid w:val="00266B61"/>
    <w:rsid w:val="0026712A"/>
    <w:rsid w:val="002704DB"/>
    <w:rsid w:val="002760CE"/>
    <w:rsid w:val="002B7A85"/>
    <w:rsid w:val="002B7C27"/>
    <w:rsid w:val="002C1641"/>
    <w:rsid w:val="002C20B8"/>
    <w:rsid w:val="002D7EA2"/>
    <w:rsid w:val="002E15DF"/>
    <w:rsid w:val="002E187C"/>
    <w:rsid w:val="002E6E57"/>
    <w:rsid w:val="00301075"/>
    <w:rsid w:val="00302733"/>
    <w:rsid w:val="00305E2D"/>
    <w:rsid w:val="00311A4F"/>
    <w:rsid w:val="00314078"/>
    <w:rsid w:val="00322450"/>
    <w:rsid w:val="003246B5"/>
    <w:rsid w:val="0033169F"/>
    <w:rsid w:val="0033723C"/>
    <w:rsid w:val="003414AC"/>
    <w:rsid w:val="00356185"/>
    <w:rsid w:val="00360380"/>
    <w:rsid w:val="00376B85"/>
    <w:rsid w:val="003771A3"/>
    <w:rsid w:val="00386CF0"/>
    <w:rsid w:val="003A4348"/>
    <w:rsid w:val="003C32BC"/>
    <w:rsid w:val="003D2790"/>
    <w:rsid w:val="003E3E03"/>
    <w:rsid w:val="003F1BBF"/>
    <w:rsid w:val="0041486B"/>
    <w:rsid w:val="004162B1"/>
    <w:rsid w:val="004165C2"/>
    <w:rsid w:val="00441D68"/>
    <w:rsid w:val="0044201E"/>
    <w:rsid w:val="00450321"/>
    <w:rsid w:val="00450A4A"/>
    <w:rsid w:val="00460F67"/>
    <w:rsid w:val="004666FB"/>
    <w:rsid w:val="00466D0B"/>
    <w:rsid w:val="00467B7E"/>
    <w:rsid w:val="00490569"/>
    <w:rsid w:val="0049419D"/>
    <w:rsid w:val="004B2762"/>
    <w:rsid w:val="004B7EB6"/>
    <w:rsid w:val="004C41DE"/>
    <w:rsid w:val="004C4B62"/>
    <w:rsid w:val="004D6025"/>
    <w:rsid w:val="004D72BC"/>
    <w:rsid w:val="004F6B67"/>
    <w:rsid w:val="00501399"/>
    <w:rsid w:val="00507BC4"/>
    <w:rsid w:val="005128E4"/>
    <w:rsid w:val="00522D44"/>
    <w:rsid w:val="00525560"/>
    <w:rsid w:val="005357A6"/>
    <w:rsid w:val="00544C49"/>
    <w:rsid w:val="00556234"/>
    <w:rsid w:val="0056090B"/>
    <w:rsid w:val="0057402A"/>
    <w:rsid w:val="005771D0"/>
    <w:rsid w:val="0059191A"/>
    <w:rsid w:val="005921FF"/>
    <w:rsid w:val="00592718"/>
    <w:rsid w:val="005A6D0E"/>
    <w:rsid w:val="005B222D"/>
    <w:rsid w:val="005B52B0"/>
    <w:rsid w:val="005B6806"/>
    <w:rsid w:val="005C00F9"/>
    <w:rsid w:val="005C4225"/>
    <w:rsid w:val="005F0F33"/>
    <w:rsid w:val="00600DEB"/>
    <w:rsid w:val="00602D6D"/>
    <w:rsid w:val="00613027"/>
    <w:rsid w:val="00624330"/>
    <w:rsid w:val="0062686A"/>
    <w:rsid w:val="00627C9F"/>
    <w:rsid w:val="006311DA"/>
    <w:rsid w:val="006311E9"/>
    <w:rsid w:val="006318B2"/>
    <w:rsid w:val="00632354"/>
    <w:rsid w:val="00642810"/>
    <w:rsid w:val="00651D9E"/>
    <w:rsid w:val="00652333"/>
    <w:rsid w:val="00653EA6"/>
    <w:rsid w:val="0068009E"/>
    <w:rsid w:val="00692837"/>
    <w:rsid w:val="006A17D2"/>
    <w:rsid w:val="006A73E6"/>
    <w:rsid w:val="006B2D5C"/>
    <w:rsid w:val="006C002D"/>
    <w:rsid w:val="006C4263"/>
    <w:rsid w:val="006C4EB1"/>
    <w:rsid w:val="006D4707"/>
    <w:rsid w:val="006E0166"/>
    <w:rsid w:val="006E7B34"/>
    <w:rsid w:val="00701B24"/>
    <w:rsid w:val="0071495F"/>
    <w:rsid w:val="00734F93"/>
    <w:rsid w:val="00736A55"/>
    <w:rsid w:val="0073798E"/>
    <w:rsid w:val="00745899"/>
    <w:rsid w:val="0075190D"/>
    <w:rsid w:val="007607C4"/>
    <w:rsid w:val="0076643F"/>
    <w:rsid w:val="00781653"/>
    <w:rsid w:val="007A2F70"/>
    <w:rsid w:val="007B3801"/>
    <w:rsid w:val="007C3334"/>
    <w:rsid w:val="007C52BB"/>
    <w:rsid w:val="007D2B98"/>
    <w:rsid w:val="007E563B"/>
    <w:rsid w:val="007E6E65"/>
    <w:rsid w:val="00803F1C"/>
    <w:rsid w:val="0080600E"/>
    <w:rsid w:val="00817612"/>
    <w:rsid w:val="00837C45"/>
    <w:rsid w:val="00853419"/>
    <w:rsid w:val="00897E12"/>
    <w:rsid w:val="008B3AE1"/>
    <w:rsid w:val="008D43BA"/>
    <w:rsid w:val="008E3759"/>
    <w:rsid w:val="008E7F6B"/>
    <w:rsid w:val="009041DC"/>
    <w:rsid w:val="009104B4"/>
    <w:rsid w:val="00914BD2"/>
    <w:rsid w:val="0092248F"/>
    <w:rsid w:val="009228DA"/>
    <w:rsid w:val="00925FCD"/>
    <w:rsid w:val="00926D2F"/>
    <w:rsid w:val="0093441A"/>
    <w:rsid w:val="00954BF7"/>
    <w:rsid w:val="0096706E"/>
    <w:rsid w:val="00981FBA"/>
    <w:rsid w:val="00990AFB"/>
    <w:rsid w:val="00992555"/>
    <w:rsid w:val="009A623A"/>
    <w:rsid w:val="009B381B"/>
    <w:rsid w:val="009B6D56"/>
    <w:rsid w:val="009D7611"/>
    <w:rsid w:val="009E53DE"/>
    <w:rsid w:val="009E566A"/>
    <w:rsid w:val="00A00121"/>
    <w:rsid w:val="00A112FC"/>
    <w:rsid w:val="00A12DBC"/>
    <w:rsid w:val="00A26F34"/>
    <w:rsid w:val="00A43458"/>
    <w:rsid w:val="00A528D1"/>
    <w:rsid w:val="00A65D05"/>
    <w:rsid w:val="00A66BE5"/>
    <w:rsid w:val="00A70CAB"/>
    <w:rsid w:val="00AA22E1"/>
    <w:rsid w:val="00AD37C1"/>
    <w:rsid w:val="00AE66EC"/>
    <w:rsid w:val="00AE6F91"/>
    <w:rsid w:val="00AF5571"/>
    <w:rsid w:val="00B06BB7"/>
    <w:rsid w:val="00B167E9"/>
    <w:rsid w:val="00B179ED"/>
    <w:rsid w:val="00B22544"/>
    <w:rsid w:val="00B314DB"/>
    <w:rsid w:val="00B31EBE"/>
    <w:rsid w:val="00B3718B"/>
    <w:rsid w:val="00B44B23"/>
    <w:rsid w:val="00B4632A"/>
    <w:rsid w:val="00B92E49"/>
    <w:rsid w:val="00BA276C"/>
    <w:rsid w:val="00BB306F"/>
    <w:rsid w:val="00BD232B"/>
    <w:rsid w:val="00BD2E42"/>
    <w:rsid w:val="00BD4B89"/>
    <w:rsid w:val="00BE77B8"/>
    <w:rsid w:val="00C169C5"/>
    <w:rsid w:val="00C21762"/>
    <w:rsid w:val="00C24543"/>
    <w:rsid w:val="00C256A2"/>
    <w:rsid w:val="00C3492D"/>
    <w:rsid w:val="00C55560"/>
    <w:rsid w:val="00C60AC2"/>
    <w:rsid w:val="00C66B72"/>
    <w:rsid w:val="00C9567A"/>
    <w:rsid w:val="00CA6577"/>
    <w:rsid w:val="00CB2660"/>
    <w:rsid w:val="00CC5E90"/>
    <w:rsid w:val="00CD046C"/>
    <w:rsid w:val="00CE5199"/>
    <w:rsid w:val="00CE66D5"/>
    <w:rsid w:val="00CE69F9"/>
    <w:rsid w:val="00CF7AA5"/>
    <w:rsid w:val="00D23FC8"/>
    <w:rsid w:val="00D34786"/>
    <w:rsid w:val="00D40A1E"/>
    <w:rsid w:val="00D46E91"/>
    <w:rsid w:val="00D533C0"/>
    <w:rsid w:val="00D712D3"/>
    <w:rsid w:val="00D71422"/>
    <w:rsid w:val="00D7145E"/>
    <w:rsid w:val="00D75084"/>
    <w:rsid w:val="00D7558D"/>
    <w:rsid w:val="00D81D92"/>
    <w:rsid w:val="00D93446"/>
    <w:rsid w:val="00DA7B5F"/>
    <w:rsid w:val="00DF078B"/>
    <w:rsid w:val="00DF350D"/>
    <w:rsid w:val="00E04B90"/>
    <w:rsid w:val="00E227C1"/>
    <w:rsid w:val="00E240B5"/>
    <w:rsid w:val="00E43157"/>
    <w:rsid w:val="00E47F3D"/>
    <w:rsid w:val="00E533FF"/>
    <w:rsid w:val="00E709B3"/>
    <w:rsid w:val="00E7588C"/>
    <w:rsid w:val="00E850B6"/>
    <w:rsid w:val="00E8789F"/>
    <w:rsid w:val="00E97B71"/>
    <w:rsid w:val="00EB454D"/>
    <w:rsid w:val="00ED0D1B"/>
    <w:rsid w:val="00EE3522"/>
    <w:rsid w:val="00EF22B4"/>
    <w:rsid w:val="00EF40B0"/>
    <w:rsid w:val="00EF619B"/>
    <w:rsid w:val="00F00B55"/>
    <w:rsid w:val="00F01D38"/>
    <w:rsid w:val="00F1380F"/>
    <w:rsid w:val="00F14F0E"/>
    <w:rsid w:val="00F15A3B"/>
    <w:rsid w:val="00F24C29"/>
    <w:rsid w:val="00F253CC"/>
    <w:rsid w:val="00F365F7"/>
    <w:rsid w:val="00F42B71"/>
    <w:rsid w:val="00F56BA5"/>
    <w:rsid w:val="00F621C3"/>
    <w:rsid w:val="00F644E6"/>
    <w:rsid w:val="00F77494"/>
    <w:rsid w:val="00F9653B"/>
    <w:rsid w:val="00FB62CF"/>
    <w:rsid w:val="00FC3EB4"/>
    <w:rsid w:val="00FC6C58"/>
    <w:rsid w:val="00FD31CB"/>
    <w:rsid w:val="00FD7365"/>
    <w:rsid w:val="00FE120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8370B8461A4AE49D5E4EA4BFA1E186"/>
        <w:category>
          <w:name w:val="General"/>
          <w:gallery w:val="placeholder"/>
        </w:category>
        <w:types>
          <w:type w:val="bbPlcHdr"/>
        </w:types>
        <w:behaviors>
          <w:behavior w:val="content"/>
        </w:behaviors>
        <w:guid w:val="{9CBC192A-FEA3-47C7-9FC9-5FA8CCABB05B}"/>
      </w:docPartPr>
      <w:docPartBody>
        <w:p w:rsidR="00F930D2" w:rsidRDefault="00DE5D56" w:rsidP="00DE5D56">
          <w:pPr>
            <w:pStyle w:val="118370B8461A4AE49D5E4EA4BFA1E18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450D3"/>
    <w:rsid w:val="001748D3"/>
    <w:rsid w:val="0022477C"/>
    <w:rsid w:val="004108B1"/>
    <w:rsid w:val="0092032A"/>
    <w:rsid w:val="009D63A4"/>
    <w:rsid w:val="00A07834"/>
    <w:rsid w:val="00AB44F1"/>
    <w:rsid w:val="00CE0546"/>
    <w:rsid w:val="00DE5D56"/>
    <w:rsid w:val="00E715BD"/>
    <w:rsid w:val="00EA0868"/>
    <w:rsid w:val="00EC32A6"/>
    <w:rsid w:val="00F9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D56"/>
    <w:rPr>
      <w:color w:val="808080"/>
    </w:rPr>
  </w:style>
  <w:style w:type="paragraph" w:customStyle="1" w:styleId="4DBB5F3FC358F64B9E5EFB773263C7D2">
    <w:name w:val="4DBB5F3FC358F64B9E5EFB773263C7D2"/>
    <w:rsid w:val="00AB44F1"/>
  </w:style>
  <w:style w:type="paragraph" w:customStyle="1" w:styleId="0B930C2B319A410B8CC71B7470C8C354">
    <w:name w:val="0B930C2B319A410B8CC71B7470C8C354"/>
    <w:rsid w:val="00DE5D56"/>
    <w:pPr>
      <w:spacing w:after="200" w:line="276" w:lineRule="auto"/>
    </w:pPr>
    <w:rPr>
      <w:sz w:val="22"/>
      <w:szCs w:val="22"/>
      <w:lang w:val="en-GB" w:eastAsia="en-GB"/>
    </w:rPr>
  </w:style>
  <w:style w:type="paragraph" w:customStyle="1" w:styleId="EBAF9F6E254F49B3AAD0C45F42A0A460">
    <w:name w:val="EBAF9F6E254F49B3AAD0C45F42A0A460"/>
    <w:rsid w:val="00DE5D56"/>
    <w:pPr>
      <w:spacing w:after="200" w:line="276" w:lineRule="auto"/>
    </w:pPr>
    <w:rPr>
      <w:sz w:val="22"/>
      <w:szCs w:val="22"/>
      <w:lang w:val="en-GB" w:eastAsia="en-GB"/>
    </w:rPr>
  </w:style>
  <w:style w:type="paragraph" w:customStyle="1" w:styleId="118370B8461A4AE49D5E4EA4BFA1E186">
    <w:name w:val="118370B8461A4AE49D5E4EA4BFA1E186"/>
    <w:rsid w:val="00DE5D56"/>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299C-F879-4290-AD64-F9089ED0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11805</Characters>
  <Application>Microsoft Office Word</Application>
  <DocSecurity>0</DocSecurity>
  <Lines>256</Lines>
  <Paragraphs>78</Paragraphs>
  <ScaleCrop>false</ScaleCrop>
  <HeadingPairs>
    <vt:vector size="2" baseType="variant">
      <vt:variant>
        <vt:lpstr>Title</vt:lpstr>
      </vt:variant>
      <vt:variant>
        <vt:i4>1</vt:i4>
      </vt:variant>
    </vt:vector>
  </HeadingPairs>
  <TitlesOfParts>
    <vt:vector size="1" baseType="lpstr">
      <vt:lpstr>Report No. 81/18</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81/18</dc:title>
  <dc:creator/>
  <cp:lastModifiedBy/>
  <cp:revision>1</cp:revision>
  <dcterms:created xsi:type="dcterms:W3CDTF">2018-09-18T14:30:00Z</dcterms:created>
  <dcterms:modified xsi:type="dcterms:W3CDTF">2018-09-18T14:32:00Z</dcterms:modified>
</cp:coreProperties>
</file>