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B805" w14:textId="77777777" w:rsidR="00A54047" w:rsidRDefault="00A54047" w:rsidP="00A67EF3">
      <w:pPr>
        <w:pStyle w:val="MediumGrid2-Accent11"/>
        <w:ind w:right="-270"/>
        <w:rPr>
          <w:rFonts w:ascii="Cambria" w:hAnsi="Cambria"/>
          <w:b/>
          <w:color w:val="000000"/>
          <w:szCs w:val="20"/>
          <w:lang w:val="en-US"/>
        </w:rPr>
      </w:pPr>
    </w:p>
    <w:p w14:paraId="43453C9B" w14:textId="77777777" w:rsidR="00583C84" w:rsidRPr="00450F0C" w:rsidRDefault="00583C84" w:rsidP="0045789B">
      <w:pPr>
        <w:pStyle w:val="MediumGrid2-Accent11"/>
        <w:ind w:left="720" w:right="-270"/>
        <w:jc w:val="both"/>
        <w:rPr>
          <w:rFonts w:ascii="Cambria" w:hAnsi="Cambria"/>
          <w:b/>
          <w:color w:val="000000"/>
          <w:lang w:val="en-US"/>
        </w:rPr>
      </w:pPr>
    </w:p>
    <w:p w14:paraId="5232E744" w14:textId="77777777" w:rsidR="00583C84" w:rsidRPr="00450F0C" w:rsidRDefault="00583C84" w:rsidP="0045789B">
      <w:pPr>
        <w:pStyle w:val="MediumGrid2-Accent11"/>
        <w:jc w:val="center"/>
        <w:rPr>
          <w:rFonts w:ascii="Cambria" w:hAnsi="Cambria"/>
          <w:b/>
          <w:color w:val="000000"/>
          <w:lang w:val="en-US"/>
        </w:rPr>
      </w:pPr>
      <w:r w:rsidRPr="00450F0C">
        <w:rPr>
          <w:rFonts w:ascii="Cambria" w:hAnsi="Cambria"/>
          <w:b/>
          <w:color w:val="000000"/>
          <w:lang w:val="en-US"/>
        </w:rPr>
        <w:t>TECHNICAL INFORMATION SHEET</w:t>
      </w:r>
    </w:p>
    <w:p w14:paraId="05DEF732" w14:textId="77777777" w:rsidR="00583C84" w:rsidRPr="00450F0C" w:rsidRDefault="00583C84" w:rsidP="0045789B">
      <w:pPr>
        <w:pStyle w:val="MediumGrid2-Accent11"/>
        <w:jc w:val="center"/>
        <w:rPr>
          <w:rFonts w:ascii="Cambria" w:hAnsi="Cambria"/>
          <w:b/>
          <w:color w:val="000000"/>
          <w:lang w:val="en-US"/>
        </w:rPr>
      </w:pPr>
      <w:r w:rsidRPr="00450F0C">
        <w:rPr>
          <w:rFonts w:ascii="Cambria" w:hAnsi="Cambria"/>
          <w:b/>
          <w:color w:val="000000"/>
          <w:lang w:val="en-US"/>
        </w:rPr>
        <w:t>CASE 11.512 LIDA ÁNGELA RIERA RODRIGUEZ</w:t>
      </w:r>
    </w:p>
    <w:p w14:paraId="55BDE452" w14:textId="77777777" w:rsidR="00583C84" w:rsidRPr="00450F0C" w:rsidRDefault="00583C84" w:rsidP="0045789B">
      <w:pPr>
        <w:pStyle w:val="MediumGrid2-Accent11"/>
        <w:jc w:val="center"/>
        <w:rPr>
          <w:rFonts w:ascii="Cambria" w:hAnsi="Cambria" w:cs="Calibri"/>
          <w:b/>
          <w:bCs/>
          <w:color w:val="000000"/>
        </w:rPr>
      </w:pPr>
      <w:r w:rsidRPr="00450F0C">
        <w:rPr>
          <w:rFonts w:ascii="Cambria" w:hAnsi="Cambria"/>
          <w:b/>
          <w:color w:val="000000"/>
        </w:rPr>
        <w:t xml:space="preserve">REPORT ON FRIENDLY SETTLEMENT AGREEMENT Nº </w:t>
      </w:r>
      <w:r w:rsidRPr="00450F0C">
        <w:rPr>
          <w:rFonts w:ascii="Cambria" w:hAnsi="Cambria" w:cs="Calibri"/>
          <w:b/>
          <w:bCs/>
          <w:color w:val="000000"/>
        </w:rPr>
        <w:t>20/01</w:t>
      </w:r>
    </w:p>
    <w:p w14:paraId="70ED0F9A" w14:textId="77777777" w:rsidR="00583C84" w:rsidRPr="00450F0C" w:rsidRDefault="00583C84" w:rsidP="0045789B">
      <w:pPr>
        <w:pStyle w:val="MediumGrid2-Accent11"/>
        <w:jc w:val="center"/>
        <w:rPr>
          <w:rFonts w:ascii="Cambria" w:hAnsi="Cambria"/>
          <w:b/>
          <w:color w:val="000000"/>
          <w:lang w:val="es-ES"/>
        </w:rPr>
      </w:pPr>
      <w:r w:rsidRPr="00450F0C">
        <w:rPr>
          <w:rFonts w:ascii="Cambria" w:hAnsi="Cambria"/>
          <w:b/>
          <w:color w:val="000000"/>
        </w:rPr>
        <w:t>ARCHIVE</w:t>
      </w:r>
    </w:p>
    <w:p w14:paraId="517C83C6" w14:textId="77777777" w:rsidR="00583C84" w:rsidRPr="00450F0C" w:rsidRDefault="004D2211" w:rsidP="0045789B">
      <w:pPr>
        <w:pStyle w:val="MediumGrid2-Accent11"/>
        <w:jc w:val="center"/>
        <w:rPr>
          <w:rFonts w:ascii="Cambria" w:hAnsi="Cambria"/>
          <w:b/>
          <w:color w:val="000000"/>
          <w:lang w:val="es-ES"/>
        </w:rPr>
      </w:pPr>
      <w:r w:rsidRPr="00450F0C">
        <w:rPr>
          <w:rFonts w:ascii="Cambria" w:hAnsi="Cambria"/>
          <w:b/>
          <w:color w:val="000000"/>
          <w:lang w:val="es-ES"/>
        </w:rPr>
        <w:t>(ECUADOR</w:t>
      </w:r>
      <w:r w:rsidR="00583C84" w:rsidRPr="00450F0C">
        <w:rPr>
          <w:rFonts w:ascii="Cambria" w:hAnsi="Cambria"/>
          <w:b/>
          <w:color w:val="000000"/>
          <w:lang w:val="es-ES"/>
        </w:rPr>
        <w:t>)</w:t>
      </w:r>
    </w:p>
    <w:p w14:paraId="30D83473" w14:textId="77777777" w:rsidR="00583C84" w:rsidRPr="00450F0C" w:rsidRDefault="00583C84" w:rsidP="0045789B">
      <w:pPr>
        <w:pStyle w:val="MediumGrid2-Accent11"/>
        <w:ind w:left="-270" w:right="-270"/>
        <w:jc w:val="center"/>
        <w:rPr>
          <w:rFonts w:ascii="Cambria" w:hAnsi="Cambria"/>
          <w:b/>
          <w:color w:val="000000"/>
          <w:lang w:val="es-ES"/>
        </w:rPr>
      </w:pPr>
    </w:p>
    <w:p w14:paraId="7160DA5E" w14:textId="77777777" w:rsidR="00583C84" w:rsidRPr="00450F0C" w:rsidRDefault="00583C84" w:rsidP="0045789B">
      <w:pPr>
        <w:numPr>
          <w:ilvl w:val="0"/>
          <w:numId w:val="24"/>
        </w:numPr>
        <w:spacing w:after="0" w:line="240" w:lineRule="auto"/>
        <w:ind w:left="0" w:firstLine="709"/>
        <w:rPr>
          <w:rFonts w:ascii="Cambria" w:hAnsi="Cambria" w:cs="Calibri Light"/>
          <w:b/>
          <w:color w:val="000000"/>
        </w:rPr>
      </w:pPr>
      <w:r w:rsidRPr="00450F0C">
        <w:rPr>
          <w:rFonts w:ascii="Cambria" w:hAnsi="Cambria" w:cs="Calibri Light"/>
          <w:b/>
          <w:color w:val="000000"/>
        </w:rPr>
        <w:t xml:space="preserve">SUMMARY OF THE CASE </w:t>
      </w:r>
    </w:p>
    <w:p w14:paraId="2BA64A00" w14:textId="77777777" w:rsidR="00583C84" w:rsidRPr="00450F0C" w:rsidRDefault="00583C84" w:rsidP="0045789B">
      <w:pPr>
        <w:spacing w:after="0" w:line="240" w:lineRule="auto"/>
        <w:rPr>
          <w:rFonts w:ascii="Cambria"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450F0C" w14:paraId="0E2E2C59" w14:textId="77777777" w:rsidTr="0035302C">
        <w:trPr>
          <w:jc w:val="center"/>
        </w:trPr>
        <w:tc>
          <w:tcPr>
            <w:tcW w:w="9576" w:type="dxa"/>
            <w:shd w:val="clear" w:color="auto" w:fill="F2F2F2"/>
          </w:tcPr>
          <w:p w14:paraId="2571B399" w14:textId="77777777" w:rsidR="00583C84" w:rsidRPr="00450F0C" w:rsidRDefault="00583C84" w:rsidP="0045789B">
            <w:pPr>
              <w:spacing w:after="0" w:line="240" w:lineRule="auto"/>
              <w:jc w:val="both"/>
              <w:rPr>
                <w:rFonts w:ascii="Cambria" w:hAnsi="Cambria"/>
                <w:color w:val="000000"/>
                <w:lang w:val="es-AR"/>
              </w:rPr>
            </w:pPr>
            <w:r w:rsidRPr="00450F0C">
              <w:rPr>
                <w:rFonts w:ascii="Cambria" w:hAnsi="Cambria"/>
                <w:b/>
                <w:color w:val="000000"/>
                <w:lang w:val="es-AR"/>
              </w:rPr>
              <w:t>Victim(s)</w:t>
            </w:r>
            <w:r w:rsidRPr="00450F0C">
              <w:rPr>
                <w:rFonts w:ascii="Cambria" w:hAnsi="Cambria"/>
                <w:color w:val="000000"/>
                <w:lang w:val="es-AR"/>
              </w:rPr>
              <w:t xml:space="preserve">: Lida Angela Riera Rodriguez </w:t>
            </w:r>
          </w:p>
          <w:p w14:paraId="1603C702" w14:textId="77777777" w:rsidR="00583C84" w:rsidRPr="00450F0C" w:rsidRDefault="00583C84" w:rsidP="0045789B">
            <w:pPr>
              <w:spacing w:after="0" w:line="240" w:lineRule="auto"/>
              <w:jc w:val="both"/>
              <w:rPr>
                <w:rFonts w:ascii="Cambria" w:hAnsi="Cambria"/>
                <w:b/>
                <w:color w:val="000000"/>
              </w:rPr>
            </w:pPr>
            <w:r w:rsidRPr="00450F0C">
              <w:rPr>
                <w:rFonts w:ascii="Cambria" w:hAnsi="Cambria"/>
                <w:b/>
                <w:color w:val="000000"/>
              </w:rPr>
              <w:t>Petitioner(s)</w:t>
            </w:r>
            <w:r w:rsidRPr="00450F0C">
              <w:rPr>
                <w:rFonts w:ascii="Cambria" w:hAnsi="Cambria"/>
                <w:color w:val="000000"/>
              </w:rPr>
              <w:t>:</w:t>
            </w:r>
            <w:r w:rsidRPr="00450F0C">
              <w:rPr>
                <w:rFonts w:ascii="Cambria" w:hAnsi="Cambria"/>
                <w:b/>
                <w:color w:val="000000"/>
              </w:rPr>
              <w:t xml:space="preserve"> </w:t>
            </w:r>
            <w:r w:rsidRPr="00450F0C">
              <w:rPr>
                <w:rFonts w:ascii="Cambria" w:hAnsi="Cambria"/>
                <w:color w:val="000000"/>
              </w:rPr>
              <w:t>Ecumenical Commission for Human Rights of Ecuador</w:t>
            </w:r>
            <w:r w:rsidRPr="00450F0C">
              <w:rPr>
                <w:rFonts w:ascii="Cambria" w:hAnsi="Cambria"/>
                <w:b/>
                <w:color w:val="000000"/>
              </w:rPr>
              <w:t xml:space="preserve"> </w:t>
            </w:r>
          </w:p>
          <w:p w14:paraId="29F643B6" w14:textId="77777777" w:rsidR="00583C84" w:rsidRPr="00450F0C" w:rsidRDefault="00583C84" w:rsidP="0045789B">
            <w:pPr>
              <w:spacing w:after="0" w:line="240" w:lineRule="auto"/>
              <w:jc w:val="both"/>
              <w:rPr>
                <w:rFonts w:ascii="Cambria" w:hAnsi="Cambria"/>
                <w:color w:val="000000"/>
              </w:rPr>
            </w:pPr>
            <w:r w:rsidRPr="00450F0C">
              <w:rPr>
                <w:rFonts w:ascii="Cambria" w:hAnsi="Cambria"/>
                <w:b/>
                <w:color w:val="000000"/>
              </w:rPr>
              <w:t>State</w:t>
            </w:r>
            <w:r w:rsidRPr="00450F0C">
              <w:rPr>
                <w:rFonts w:ascii="Cambria" w:hAnsi="Cambria"/>
                <w:color w:val="000000"/>
              </w:rPr>
              <w:t>: Ecuador</w:t>
            </w:r>
          </w:p>
          <w:p w14:paraId="6790687E" w14:textId="77777777" w:rsidR="00583C84" w:rsidRPr="00450F0C" w:rsidRDefault="00583C84" w:rsidP="0045789B">
            <w:pPr>
              <w:spacing w:after="0" w:line="240" w:lineRule="auto"/>
              <w:rPr>
                <w:rFonts w:ascii="Cambria" w:hAnsi="Cambria"/>
                <w:bCs/>
                <w:color w:val="FF0000"/>
              </w:rPr>
            </w:pPr>
            <w:r w:rsidRPr="00450F0C">
              <w:rPr>
                <w:rFonts w:ascii="Cambria" w:hAnsi="Cambria"/>
                <w:b/>
                <w:bCs/>
                <w:color w:val="000000"/>
              </w:rPr>
              <w:t xml:space="preserve">FSA signature date: </w:t>
            </w:r>
            <w:r w:rsidRPr="00450F0C">
              <w:rPr>
                <w:rFonts w:ascii="Cambria" w:hAnsi="Cambria"/>
                <w:color w:val="000000"/>
              </w:rPr>
              <w:t>June</w:t>
            </w:r>
            <w:r w:rsidRPr="00450F0C">
              <w:rPr>
                <w:rFonts w:ascii="Cambria" w:hAnsi="Cambria"/>
                <w:bCs/>
                <w:color w:val="000000"/>
              </w:rPr>
              <w:t xml:space="preserve"> 11, 1999 </w:t>
            </w:r>
          </w:p>
          <w:p w14:paraId="2A059FA3" w14:textId="77777777" w:rsidR="00583C84" w:rsidRPr="00450F0C" w:rsidRDefault="00583C84" w:rsidP="0045789B">
            <w:pPr>
              <w:spacing w:after="0" w:line="240" w:lineRule="auto"/>
              <w:jc w:val="both"/>
              <w:rPr>
                <w:rFonts w:ascii="Cambria" w:hAnsi="Cambria"/>
                <w:color w:val="000000"/>
              </w:rPr>
            </w:pPr>
            <w:r w:rsidRPr="00450F0C">
              <w:rPr>
                <w:rFonts w:ascii="Cambria" w:hAnsi="Cambria"/>
                <w:b/>
                <w:color w:val="000000"/>
              </w:rPr>
              <w:t xml:space="preserve">Report on Friendly Settlement Agreement No. </w:t>
            </w:r>
            <w:hyperlink r:id="rId12" w:history="1">
              <w:r w:rsidRPr="00450F0C">
                <w:rPr>
                  <w:rStyle w:val="Hyperlink"/>
                  <w:rFonts w:ascii="Cambria" w:hAnsi="Cambria"/>
                  <w:b/>
                  <w:color w:val="000000"/>
                </w:rPr>
                <w:t>20/01</w:t>
              </w:r>
            </w:hyperlink>
            <w:r w:rsidRPr="00450F0C">
              <w:rPr>
                <w:rFonts w:ascii="Cambria" w:hAnsi="Cambria"/>
                <w:color w:val="000000"/>
              </w:rPr>
              <w:t>, published on February 20, 2001</w:t>
            </w:r>
          </w:p>
          <w:p w14:paraId="34C9FF57" w14:textId="77777777" w:rsidR="00583C84" w:rsidRPr="00450F0C" w:rsidRDefault="00583C84" w:rsidP="0045789B">
            <w:pPr>
              <w:spacing w:after="0" w:line="240" w:lineRule="auto"/>
              <w:jc w:val="both"/>
              <w:rPr>
                <w:rFonts w:ascii="Cambria" w:hAnsi="Cambria"/>
                <w:color w:val="000000"/>
              </w:rPr>
            </w:pPr>
            <w:r w:rsidRPr="00450F0C">
              <w:rPr>
                <w:rFonts w:ascii="Cambria" w:hAnsi="Cambria"/>
                <w:b/>
                <w:color w:val="000000"/>
              </w:rPr>
              <w:t>Rapporteurships involved</w:t>
            </w:r>
            <w:r w:rsidRPr="00450F0C">
              <w:rPr>
                <w:rFonts w:ascii="Cambria" w:hAnsi="Cambria"/>
                <w:color w:val="000000"/>
              </w:rPr>
              <w:t>: Persons Deprived of Liberty/[Rights of] Women</w:t>
            </w:r>
          </w:p>
          <w:p w14:paraId="44557F40" w14:textId="77777777" w:rsidR="00583C84" w:rsidRPr="00450F0C" w:rsidRDefault="00583C84" w:rsidP="0045789B">
            <w:pPr>
              <w:spacing w:after="0" w:line="240" w:lineRule="auto"/>
              <w:rPr>
                <w:rFonts w:ascii="Cambria" w:hAnsi="Cambria"/>
                <w:color w:val="000000"/>
              </w:rPr>
            </w:pPr>
            <w:r w:rsidRPr="00450F0C">
              <w:rPr>
                <w:rFonts w:ascii="Cambria" w:hAnsi="Cambria"/>
                <w:b/>
                <w:color w:val="000000"/>
              </w:rPr>
              <w:t>Topics</w:t>
            </w:r>
            <w:r w:rsidRPr="00450F0C">
              <w:rPr>
                <w:rFonts w:ascii="Cambria" w:hAnsi="Cambria"/>
                <w:color w:val="000000"/>
              </w:rPr>
              <w:t>:</w:t>
            </w:r>
            <w:r w:rsidRPr="00450F0C">
              <w:rPr>
                <w:rFonts w:ascii="Cambria" w:hAnsi="Cambria"/>
                <w:b/>
                <w:color w:val="000000"/>
              </w:rPr>
              <w:t xml:space="preserve"> </w:t>
            </w:r>
            <w:r w:rsidRPr="00450F0C">
              <w:rPr>
                <w:rFonts w:ascii="Cambria" w:hAnsi="Cambria"/>
                <w:color w:val="000000"/>
              </w:rPr>
              <w:t>Personas deprived of liberty/detention centers/detention conditions/police precincts/care and custody/investigation/prison system</w:t>
            </w:r>
          </w:p>
          <w:p w14:paraId="1EFFA181" w14:textId="77777777" w:rsidR="00583C84" w:rsidRPr="00450F0C" w:rsidRDefault="00583C84" w:rsidP="0045789B">
            <w:pPr>
              <w:spacing w:after="0" w:line="240" w:lineRule="auto"/>
              <w:rPr>
                <w:rFonts w:ascii="Cambria" w:hAnsi="Cambria"/>
                <w:b/>
                <w:color w:val="000000"/>
              </w:rPr>
            </w:pPr>
          </w:p>
          <w:p w14:paraId="4FE390E1" w14:textId="77777777" w:rsidR="00583C84" w:rsidRPr="00450F0C" w:rsidRDefault="00583C84" w:rsidP="0045789B">
            <w:pPr>
              <w:spacing w:after="0" w:line="240" w:lineRule="auto"/>
              <w:jc w:val="both"/>
              <w:rPr>
                <w:rFonts w:ascii="Cambria" w:eastAsia="MS Mincho" w:hAnsi="Cambria"/>
                <w:color w:val="000000"/>
              </w:rPr>
            </w:pPr>
            <w:r w:rsidRPr="00450F0C">
              <w:rPr>
                <w:rFonts w:ascii="Cambria" w:hAnsi="Cambria"/>
                <w:b/>
                <w:color w:val="000000"/>
              </w:rPr>
              <w:t>Facts</w:t>
            </w:r>
            <w:r w:rsidRPr="00450F0C">
              <w:rPr>
                <w:rFonts w:ascii="Cambria" w:hAnsi="Cambria"/>
                <w:color w:val="000000"/>
              </w:rPr>
              <w:t>:</w:t>
            </w:r>
            <w:r w:rsidRPr="00450F0C">
              <w:rPr>
                <w:rFonts w:ascii="Cambria" w:hAnsi="Cambria"/>
                <w:b/>
                <w:color w:val="000000"/>
              </w:rPr>
              <w:t xml:space="preserve"> </w:t>
            </w:r>
            <w:r w:rsidRPr="00450F0C">
              <w:rPr>
                <w:rFonts w:ascii="Cambria" w:hAnsi="Cambria"/>
                <w:color w:val="000000"/>
              </w:rPr>
              <w:t xml:space="preserve">The case </w:t>
            </w:r>
            <w:r w:rsidR="00942C8E" w:rsidRPr="00450F0C">
              <w:rPr>
                <w:rFonts w:ascii="Cambria" w:hAnsi="Cambria"/>
                <w:color w:val="000000"/>
              </w:rPr>
              <w:t>relates to</w:t>
            </w:r>
            <w:r w:rsidRPr="00450F0C">
              <w:rPr>
                <w:rFonts w:ascii="Cambria" w:hAnsi="Cambria"/>
                <w:color w:val="000000"/>
              </w:rPr>
              <w:t xml:space="preserve"> the duration of </w:t>
            </w:r>
            <w:r w:rsidRPr="00450F0C">
              <w:rPr>
                <w:rFonts w:ascii="Cambria" w:eastAsia="MS Mincho" w:hAnsi="Cambria"/>
                <w:bCs/>
                <w:color w:val="000000"/>
              </w:rPr>
              <w:t xml:space="preserve">Lida Ángela Riera Rodríguez’s pretrial detention for the offense of graft in the second degree. The victim was detained on January 7, 1992, and on June </w:t>
            </w:r>
            <w:r w:rsidRPr="00450F0C">
              <w:rPr>
                <w:rFonts w:ascii="Cambria" w:eastAsia="MS Mincho" w:hAnsi="Cambria"/>
                <w:color w:val="000000"/>
              </w:rPr>
              <w:t>26, 1995, a judgment was handed down whereby she was sentenced to two years of imprisonment as an accessory after the fact; at that time, she had already been in custody for almost three years and six months. Ms. Riera had been detained on January 7, 1992, for having allegedly committed fraud. On January 24, 1994, the Fifth Criminal Law Judge of Pichincha instituted criminal proceedings against, among others, Ms. Riera, for complicity in fraud. The private accuser appealed that ruling, arguing that the facts supported the crime of graft. The case was examined by the Sixth Chamber of the Superior Court of Quito, which deemed that the facts did constitute the crime of graft in the second degree and ordered a trial to proceed. The petitioner reported that under Ecuadorian law, the summary proceeding [</w:t>
            </w:r>
            <w:r w:rsidRPr="00450F0C">
              <w:rPr>
                <w:rFonts w:ascii="Cambria" w:eastAsia="MS Mincho" w:hAnsi="Cambria"/>
                <w:i/>
                <w:color w:val="000000"/>
              </w:rPr>
              <w:t>sumario</w:t>
            </w:r>
            <w:r w:rsidRPr="00450F0C">
              <w:rPr>
                <w:rFonts w:ascii="Cambria" w:eastAsia="MS Mincho" w:hAnsi="Cambria"/>
                <w:color w:val="000000"/>
              </w:rPr>
              <w:t xml:space="preserve">] in this case should have lasted 60 days, but took more than two years, and the appeal should have been ruled on in 15 days, but more than 210 days elapsed without a judgment. Because of this delay, Ms. Riera remained in detention from January 1992 to July 1995. The Second Criminal Court of Pichincha finally issued a judgment in the case on June 26, 1995, pursuant to which Ms. Riera was sentenced to two years imprisonment as an accessory after the fact; by that time, she had already been in custody for almost three years and six months. On July 11, 1995, Ms. Riera was released after having been detained for a period that was one year and six months longer than the sentence imposed.  </w:t>
            </w:r>
          </w:p>
          <w:p w14:paraId="6839D85C" w14:textId="77777777" w:rsidR="00583C84" w:rsidRPr="00450F0C" w:rsidRDefault="00583C84" w:rsidP="0045789B">
            <w:pPr>
              <w:spacing w:after="0" w:line="240" w:lineRule="auto"/>
              <w:jc w:val="both"/>
              <w:rPr>
                <w:rFonts w:ascii="Cambria" w:hAnsi="Cambria"/>
                <w:color w:val="000000"/>
              </w:rPr>
            </w:pPr>
            <w:r w:rsidRPr="00450F0C">
              <w:rPr>
                <w:rFonts w:ascii="Cambria" w:hAnsi="Cambria"/>
                <w:b/>
                <w:color w:val="000000"/>
              </w:rPr>
              <w:t>Rights alleged</w:t>
            </w:r>
            <w:r w:rsidRPr="00450F0C">
              <w:rPr>
                <w:rFonts w:ascii="Cambria" w:hAnsi="Cambria"/>
                <w:color w:val="000000"/>
              </w:rPr>
              <w:t xml:space="preserve">: The petitioners alleged violation of the rights to personal liberty (Article 7), a fair trial (Article 8), and judicial protection (Article 25) of the American Convention on Human Rights (ACHR), all in breach of the obligations provided for under Article 1(1) thereof, to the detriment of Lida Riera Rodriguez. </w:t>
            </w:r>
          </w:p>
        </w:tc>
      </w:tr>
    </w:tbl>
    <w:p w14:paraId="1C680D87" w14:textId="77777777" w:rsidR="00583C84" w:rsidRPr="00450F0C" w:rsidRDefault="00583C84" w:rsidP="0045789B">
      <w:pPr>
        <w:spacing w:after="0" w:line="240" w:lineRule="auto"/>
        <w:jc w:val="both"/>
        <w:rPr>
          <w:rFonts w:ascii="Cambria" w:hAnsi="Cambria" w:cs="Calibri Light"/>
          <w:b/>
          <w:color w:val="000000"/>
        </w:rPr>
      </w:pPr>
    </w:p>
    <w:p w14:paraId="5EDBBA8D" w14:textId="77777777" w:rsidR="00583C84" w:rsidRPr="00450F0C" w:rsidRDefault="00583C84" w:rsidP="0045789B">
      <w:pPr>
        <w:pStyle w:val="LightGrid-Accent31"/>
        <w:numPr>
          <w:ilvl w:val="0"/>
          <w:numId w:val="24"/>
        </w:numPr>
        <w:spacing w:after="0" w:line="240" w:lineRule="auto"/>
        <w:jc w:val="both"/>
        <w:rPr>
          <w:rFonts w:ascii="Cambria" w:hAnsi="Cambria" w:cs="Calibri Light"/>
          <w:b/>
          <w:color w:val="000000"/>
        </w:rPr>
      </w:pPr>
      <w:r w:rsidRPr="00450F0C">
        <w:rPr>
          <w:rFonts w:ascii="Cambria" w:hAnsi="Cambria"/>
          <w:b/>
          <w:color w:val="000000"/>
        </w:rPr>
        <w:t>PROCEDURAL ACTIVITY</w:t>
      </w:r>
    </w:p>
    <w:p w14:paraId="2E908A24" w14:textId="77777777" w:rsidR="00583C84" w:rsidRPr="00450F0C" w:rsidRDefault="00583C84" w:rsidP="0045789B">
      <w:pPr>
        <w:pStyle w:val="LightGrid-Accent31"/>
        <w:spacing w:after="0" w:line="240" w:lineRule="auto"/>
        <w:ind w:left="1440"/>
        <w:jc w:val="both"/>
        <w:rPr>
          <w:rFonts w:ascii="Cambria" w:hAnsi="Cambria" w:cs="Calibri Light"/>
          <w:b/>
          <w:color w:val="000000"/>
        </w:rPr>
      </w:pPr>
    </w:p>
    <w:p w14:paraId="7A105586" w14:textId="77777777" w:rsidR="00583C84" w:rsidRPr="00450F0C" w:rsidRDefault="00583C84" w:rsidP="0045789B">
      <w:pPr>
        <w:pStyle w:val="LightGrid-Accent31"/>
        <w:numPr>
          <w:ilvl w:val="0"/>
          <w:numId w:val="25"/>
        </w:numPr>
        <w:spacing w:after="0" w:line="240" w:lineRule="auto"/>
        <w:ind w:left="1418" w:hanging="709"/>
        <w:contextualSpacing w:val="0"/>
        <w:jc w:val="both"/>
        <w:rPr>
          <w:rFonts w:ascii="Cambria" w:hAnsi="Cambria" w:cs="Calibri Light"/>
          <w:bCs/>
          <w:color w:val="000000"/>
        </w:rPr>
      </w:pPr>
      <w:r w:rsidRPr="00450F0C">
        <w:rPr>
          <w:rFonts w:ascii="Cambria" w:hAnsi="Cambria" w:cs="Calibri Light"/>
          <w:bCs/>
          <w:color w:val="000000"/>
        </w:rPr>
        <w:t>On June 11, 1999, the parties signed the friendly settlement agreement.</w:t>
      </w:r>
    </w:p>
    <w:p w14:paraId="5FADFCB3" w14:textId="77777777" w:rsidR="00583C84" w:rsidRPr="00450F0C" w:rsidRDefault="00583C84" w:rsidP="0045789B">
      <w:pPr>
        <w:pStyle w:val="LightGrid-Accent31"/>
        <w:spacing w:after="0" w:line="240" w:lineRule="auto"/>
        <w:ind w:left="0" w:firstLine="709"/>
        <w:contextualSpacing w:val="0"/>
        <w:jc w:val="both"/>
        <w:rPr>
          <w:rFonts w:ascii="Cambria" w:hAnsi="Cambria" w:cs="Calibri Light"/>
          <w:bCs/>
          <w:color w:val="000000"/>
        </w:rPr>
      </w:pPr>
    </w:p>
    <w:p w14:paraId="30C44528" w14:textId="77777777" w:rsidR="00583C84" w:rsidRPr="00450F0C" w:rsidRDefault="00583C84" w:rsidP="0045789B">
      <w:pPr>
        <w:pStyle w:val="LightGrid-Accent31"/>
        <w:numPr>
          <w:ilvl w:val="0"/>
          <w:numId w:val="25"/>
        </w:numPr>
        <w:spacing w:after="0" w:line="240" w:lineRule="auto"/>
        <w:ind w:left="0" w:firstLine="709"/>
        <w:contextualSpacing w:val="0"/>
        <w:jc w:val="both"/>
        <w:rPr>
          <w:rFonts w:ascii="Cambria" w:hAnsi="Cambria" w:cs="Calibri Light"/>
          <w:bCs/>
          <w:color w:val="000000"/>
        </w:rPr>
      </w:pPr>
      <w:r w:rsidRPr="00450F0C">
        <w:rPr>
          <w:rFonts w:ascii="Cambria" w:hAnsi="Cambria" w:cs="Calibri Light"/>
          <w:bCs/>
          <w:color w:val="000000"/>
        </w:rPr>
        <w:t xml:space="preserve">On February 20, 2001, the Commission approved the friendly settlement agreement by report No. </w:t>
      </w:r>
      <w:r w:rsidR="004D2211" w:rsidRPr="00450F0C">
        <w:rPr>
          <w:rFonts w:ascii="Cambria" w:hAnsi="Cambria" w:cs="Calibri Light"/>
          <w:bCs/>
          <w:color w:val="000000"/>
        </w:rPr>
        <w:t>20</w:t>
      </w:r>
      <w:r w:rsidRPr="00450F0C">
        <w:rPr>
          <w:rFonts w:ascii="Cambria" w:hAnsi="Cambria" w:cs="Calibri Light"/>
          <w:bCs/>
          <w:color w:val="000000"/>
        </w:rPr>
        <w:t>/0</w:t>
      </w:r>
      <w:r w:rsidR="004D2211" w:rsidRPr="00450F0C">
        <w:rPr>
          <w:rFonts w:ascii="Cambria" w:hAnsi="Cambria" w:cs="Calibri Light"/>
          <w:bCs/>
          <w:color w:val="000000"/>
        </w:rPr>
        <w:t>1</w:t>
      </w:r>
      <w:r w:rsidRPr="00450F0C">
        <w:rPr>
          <w:rFonts w:ascii="Cambria" w:hAnsi="Cambria" w:cs="Calibri Light"/>
          <w:bCs/>
          <w:color w:val="000000"/>
        </w:rPr>
        <w:t>.</w:t>
      </w:r>
    </w:p>
    <w:p w14:paraId="749DD91C" w14:textId="77777777" w:rsidR="00583C84" w:rsidRPr="00450F0C" w:rsidRDefault="00583C84" w:rsidP="0045789B">
      <w:pPr>
        <w:spacing w:after="0" w:line="240" w:lineRule="auto"/>
        <w:jc w:val="both"/>
        <w:rPr>
          <w:rFonts w:ascii="Cambria" w:hAnsi="Cambria" w:cs="Calibri Light"/>
          <w:color w:val="000000"/>
        </w:rPr>
      </w:pPr>
    </w:p>
    <w:p w14:paraId="669EEF3F" w14:textId="77777777" w:rsidR="00583C84" w:rsidRPr="00450F0C" w:rsidRDefault="00583C84" w:rsidP="0045789B">
      <w:pPr>
        <w:pStyle w:val="LightGrid-Accent31"/>
        <w:numPr>
          <w:ilvl w:val="0"/>
          <w:numId w:val="24"/>
        </w:numPr>
        <w:tabs>
          <w:tab w:val="left" w:pos="720"/>
        </w:tabs>
        <w:spacing w:after="0" w:line="240" w:lineRule="auto"/>
        <w:ind w:left="0" w:firstLine="720"/>
        <w:jc w:val="both"/>
        <w:rPr>
          <w:rFonts w:ascii="Cambria" w:hAnsi="Cambria" w:cs="Calibri Light"/>
          <w:b/>
          <w:color w:val="000000"/>
        </w:rPr>
      </w:pPr>
      <w:r w:rsidRPr="00450F0C">
        <w:rPr>
          <w:rFonts w:ascii="Cambria" w:hAnsi="Cambria" w:cs="Calibri Light"/>
          <w:b/>
          <w:color w:val="000000"/>
        </w:rPr>
        <w:t>ANALYSIS OF COMPLIANCE WITH THE CLAUSES OF THE FRIENDLY SETTLEMENT AGREEMENT</w:t>
      </w:r>
    </w:p>
    <w:p w14:paraId="7A4D2943" w14:textId="77777777" w:rsidR="00583C84" w:rsidRPr="00450F0C" w:rsidRDefault="00583C84" w:rsidP="0045789B">
      <w:pPr>
        <w:spacing w:after="0" w:line="240" w:lineRule="auto"/>
        <w:jc w:val="both"/>
        <w:rPr>
          <w:rFonts w:ascii="Cambria" w:hAnsi="Cambria" w:cs="Calibri Light"/>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2516"/>
      </w:tblGrid>
      <w:tr w:rsidR="004D2211" w:rsidRPr="00450F0C" w14:paraId="2D1E5F89" w14:textId="77777777" w:rsidTr="00AC61DF">
        <w:trPr>
          <w:jc w:val="center"/>
        </w:trPr>
        <w:tc>
          <w:tcPr>
            <w:tcW w:w="6946" w:type="dxa"/>
            <w:shd w:val="clear" w:color="auto" w:fill="D9D9D9"/>
            <w:vAlign w:val="center"/>
          </w:tcPr>
          <w:p w14:paraId="7D34E653" w14:textId="77777777" w:rsidR="004D2211" w:rsidRPr="00450F0C" w:rsidRDefault="004D2211" w:rsidP="0045789B">
            <w:pPr>
              <w:spacing w:after="0" w:line="240" w:lineRule="auto"/>
              <w:jc w:val="center"/>
              <w:rPr>
                <w:rFonts w:ascii="Cambria" w:hAnsi="Cambria"/>
                <w:b/>
                <w:color w:val="000000"/>
              </w:rPr>
            </w:pPr>
            <w:r w:rsidRPr="00450F0C">
              <w:rPr>
                <w:rFonts w:ascii="Cambria" w:hAnsi="Cambria"/>
                <w:b/>
                <w:color w:val="000000"/>
              </w:rPr>
              <w:t>Agreement clause</w:t>
            </w:r>
          </w:p>
        </w:tc>
        <w:tc>
          <w:tcPr>
            <w:tcW w:w="2552" w:type="dxa"/>
            <w:shd w:val="clear" w:color="auto" w:fill="D9D9D9"/>
            <w:vAlign w:val="center"/>
          </w:tcPr>
          <w:p w14:paraId="7174E913" w14:textId="77777777" w:rsidR="004D2211" w:rsidRPr="00450F0C" w:rsidRDefault="004D2211" w:rsidP="0045789B">
            <w:pPr>
              <w:spacing w:after="0" w:line="240" w:lineRule="auto"/>
              <w:jc w:val="center"/>
              <w:rPr>
                <w:rFonts w:ascii="Cambria" w:hAnsi="Cambria"/>
                <w:b/>
                <w:color w:val="000000"/>
              </w:rPr>
            </w:pPr>
            <w:r w:rsidRPr="00450F0C">
              <w:rPr>
                <w:rFonts w:ascii="Cambria" w:hAnsi="Cambria"/>
                <w:b/>
                <w:color w:val="000000"/>
              </w:rPr>
              <w:t>State of compliance</w:t>
            </w:r>
          </w:p>
        </w:tc>
      </w:tr>
      <w:tr w:rsidR="00841815" w:rsidRPr="00450F0C" w14:paraId="20D83AED" w14:textId="77777777" w:rsidTr="00AC61DF">
        <w:trPr>
          <w:jc w:val="center"/>
        </w:trPr>
        <w:tc>
          <w:tcPr>
            <w:tcW w:w="6946" w:type="dxa"/>
            <w:shd w:val="clear" w:color="auto" w:fill="auto"/>
            <w:vAlign w:val="center"/>
          </w:tcPr>
          <w:p w14:paraId="0143D853" w14:textId="77777777" w:rsidR="00841815" w:rsidRPr="00450F0C" w:rsidRDefault="00841815" w:rsidP="0045789B">
            <w:pPr>
              <w:spacing w:after="0" w:line="240" w:lineRule="auto"/>
              <w:jc w:val="both"/>
              <w:rPr>
                <w:rFonts w:ascii="Cambria" w:eastAsia="Times New Roman" w:hAnsi="Cambria"/>
                <w:b/>
                <w:bCs/>
                <w:color w:val="000000"/>
              </w:rPr>
            </w:pPr>
            <w:r w:rsidRPr="00450F0C">
              <w:rPr>
                <w:rFonts w:ascii="Cambria" w:eastAsia="Times New Roman" w:hAnsi="Cambria"/>
                <w:b/>
                <w:bCs/>
                <w:color w:val="000000"/>
              </w:rPr>
              <w:t>III. STATE RESPONSIBILITY AND ACCEPTANCE</w:t>
            </w:r>
          </w:p>
          <w:p w14:paraId="22CE9B8E" w14:textId="77777777" w:rsidR="00841815" w:rsidRPr="00450F0C" w:rsidRDefault="00841815" w:rsidP="0045789B">
            <w:pPr>
              <w:spacing w:after="0" w:line="240" w:lineRule="auto"/>
              <w:jc w:val="both"/>
              <w:rPr>
                <w:rFonts w:ascii="Cambria" w:eastAsia="Times New Roman" w:hAnsi="Cambria"/>
                <w:color w:val="000000"/>
              </w:rPr>
            </w:pPr>
            <w:r w:rsidRPr="00450F0C">
              <w:rPr>
                <w:rFonts w:ascii="Cambria" w:eastAsia="Times New Roman" w:hAnsi="Cambria"/>
                <w:color w:val="000000"/>
              </w:rPr>
              <w:t>The Ecuadorian State acknowledges its international responsibility for having violated the human rights of Mrs. Lida Angela Riera Rodríguez, enshrined in Article 7 (personal liberty), Article 8 (a fair trial), Article 25 (judicial protection), and the general obligation set forth in Article 1(1) of the American Convention on Human Rights and other international instruments, since the violations were committed by State agents, which could not be disproved by the State, giving rise to State responsibility.</w:t>
            </w:r>
          </w:p>
          <w:p w14:paraId="6B32614A" w14:textId="77777777" w:rsidR="00841815" w:rsidRPr="00450F0C" w:rsidRDefault="00841815" w:rsidP="0045789B">
            <w:pPr>
              <w:spacing w:after="0" w:line="240" w:lineRule="auto"/>
              <w:ind w:firstLine="34"/>
              <w:jc w:val="both"/>
              <w:rPr>
                <w:rFonts w:ascii="Cambria" w:eastAsia="Times New Roman" w:hAnsi="Cambria"/>
                <w:color w:val="000000"/>
              </w:rPr>
            </w:pPr>
          </w:p>
          <w:p w14:paraId="06CB3CE6" w14:textId="77777777" w:rsidR="00841815" w:rsidRPr="00450F0C" w:rsidRDefault="00841815" w:rsidP="0045789B">
            <w:pPr>
              <w:spacing w:after="0" w:line="240" w:lineRule="auto"/>
              <w:ind w:firstLine="34"/>
              <w:jc w:val="both"/>
              <w:rPr>
                <w:rFonts w:ascii="Cambria" w:eastAsia="Times New Roman" w:hAnsi="Cambria"/>
                <w:b/>
                <w:bCs/>
                <w:color w:val="000000"/>
              </w:rPr>
            </w:pPr>
            <w:r w:rsidRPr="00450F0C">
              <w:rPr>
                <w:rFonts w:ascii="Cambria" w:eastAsia="Times New Roman" w:hAnsi="Cambria"/>
                <w:color w:val="000000"/>
              </w:rPr>
              <w:t>Given the above, the Ecuadorian State accepts the facts in case 11.512 before the Inter-American Commission on Human Rights and undertakes the necessary reparative steps to compensate the victims, or their successors, for the damages caused by those violations.</w:t>
            </w:r>
          </w:p>
        </w:tc>
        <w:tc>
          <w:tcPr>
            <w:tcW w:w="2552" w:type="dxa"/>
            <w:tcBorders>
              <w:bottom w:val="single" w:sz="4" w:space="0" w:color="auto"/>
            </w:tcBorders>
            <w:shd w:val="clear" w:color="auto" w:fill="auto"/>
            <w:vAlign w:val="center"/>
          </w:tcPr>
          <w:p w14:paraId="3DEBF9BA" w14:textId="77777777" w:rsidR="00841815" w:rsidRPr="00450F0C" w:rsidRDefault="00841815" w:rsidP="0045789B">
            <w:pPr>
              <w:spacing w:after="0" w:line="240" w:lineRule="auto"/>
              <w:jc w:val="center"/>
              <w:rPr>
                <w:rFonts w:ascii="Cambria" w:hAnsi="Cambria"/>
                <w:b/>
                <w:color w:val="000000"/>
              </w:rPr>
            </w:pPr>
            <w:r w:rsidRPr="00450F0C">
              <w:rPr>
                <w:rFonts w:ascii="Cambria" w:hAnsi="Cambria"/>
                <w:b/>
                <w:color w:val="000000"/>
              </w:rPr>
              <w:t>Declarative</w:t>
            </w:r>
          </w:p>
        </w:tc>
      </w:tr>
      <w:tr w:rsidR="00583C84" w:rsidRPr="00450F0C" w14:paraId="19BB3A4C" w14:textId="77777777" w:rsidTr="00AC61DF">
        <w:trPr>
          <w:jc w:val="center"/>
        </w:trPr>
        <w:tc>
          <w:tcPr>
            <w:tcW w:w="6946" w:type="dxa"/>
            <w:shd w:val="clear" w:color="auto" w:fill="auto"/>
            <w:vAlign w:val="center"/>
          </w:tcPr>
          <w:p w14:paraId="22594E39" w14:textId="77777777" w:rsidR="00583C84" w:rsidRPr="00450F0C" w:rsidRDefault="00583C84" w:rsidP="0045789B">
            <w:pPr>
              <w:spacing w:after="0" w:line="240" w:lineRule="auto"/>
              <w:ind w:firstLine="34"/>
              <w:jc w:val="both"/>
              <w:rPr>
                <w:rFonts w:ascii="Cambria" w:eastAsia="Times New Roman" w:hAnsi="Cambria"/>
                <w:b/>
                <w:color w:val="000000"/>
              </w:rPr>
            </w:pPr>
            <w:r w:rsidRPr="00450F0C">
              <w:rPr>
                <w:rFonts w:ascii="Cambria" w:eastAsia="Times New Roman" w:hAnsi="Cambria"/>
                <w:b/>
                <w:bCs/>
                <w:color w:val="000000"/>
              </w:rPr>
              <w:t>IV.- COMPENSATION</w:t>
            </w:r>
            <w:r w:rsidRPr="00450F0C">
              <w:rPr>
                <w:rFonts w:ascii="Cambria" w:eastAsia="Times New Roman" w:hAnsi="Cambria"/>
                <w:b/>
                <w:color w:val="000000"/>
              </w:rPr>
              <w:t xml:space="preserve">  </w:t>
            </w:r>
          </w:p>
          <w:p w14:paraId="571A960E" w14:textId="77777777" w:rsidR="00583C84" w:rsidRPr="00450F0C" w:rsidRDefault="00583C84" w:rsidP="0045789B">
            <w:pPr>
              <w:spacing w:after="0" w:line="240" w:lineRule="auto"/>
              <w:ind w:firstLine="34"/>
              <w:jc w:val="both"/>
              <w:rPr>
                <w:rFonts w:ascii="Cambria" w:eastAsia="Times New Roman" w:hAnsi="Cambria"/>
                <w:color w:val="000000"/>
              </w:rPr>
            </w:pPr>
            <w:r w:rsidRPr="00450F0C">
              <w:rPr>
                <w:rFonts w:ascii="Cambria" w:eastAsia="Times New Roman" w:hAnsi="Cambria"/>
                <w:color w:val="000000"/>
              </w:rPr>
              <w:t xml:space="preserve">In view of the foregoing, the Ecuadorian State, through the Attorney General, as the sole judicial representative of the Ecuadorian State, pursuant to Article 215 of the Constitution of Ecuador, enacted in Official Register Nº 1 and in force since August 11, 1998, is awarding Mrs. Lida Angela Riera Rodríguez, a one-time compensatory payment of twenty thousand US dollars (US$ 20,000), or the equivalent in local currency, calculated at the exchange rate in effect at the time the payment is made, to be paid from the National Budget. </w:t>
            </w:r>
          </w:p>
          <w:p w14:paraId="31FB7D84" w14:textId="77777777" w:rsidR="00583C84" w:rsidRPr="00450F0C" w:rsidRDefault="00583C84" w:rsidP="0045789B">
            <w:pPr>
              <w:spacing w:after="0" w:line="240" w:lineRule="auto"/>
              <w:ind w:firstLine="34"/>
              <w:jc w:val="both"/>
              <w:rPr>
                <w:rFonts w:ascii="Cambria" w:eastAsia="Times New Roman" w:hAnsi="Cambria"/>
                <w:color w:val="000000"/>
              </w:rPr>
            </w:pPr>
            <w:r w:rsidRPr="00450F0C">
              <w:rPr>
                <w:rFonts w:ascii="Cambria" w:eastAsia="Times New Roman" w:hAnsi="Cambria"/>
                <w:color w:val="000000"/>
              </w:rPr>
              <w:t xml:space="preserve">This compensation covers the consequential damages, loss of income, and moral damages suffered by Mrs. Lida Angela Riera Rodríguez, and any other claim that Mrs. Lida Angela Riera Rodríguez or her next-of-kin may have, regarding the subject of this agreement, under domestic and international law, and is chargeable to the National Budget. To this end, the Office of the Attorney General will notify the Ministry of Finance for it to carry out this obligation within 90 days of the signing of this document. </w:t>
            </w:r>
          </w:p>
        </w:tc>
        <w:tc>
          <w:tcPr>
            <w:tcW w:w="2552" w:type="dxa"/>
            <w:tcBorders>
              <w:bottom w:val="single" w:sz="4" w:space="0" w:color="auto"/>
            </w:tcBorders>
            <w:shd w:val="clear" w:color="auto" w:fill="auto"/>
            <w:vAlign w:val="center"/>
          </w:tcPr>
          <w:p w14:paraId="180AF00C" w14:textId="77777777" w:rsidR="00583C84" w:rsidRPr="00450F0C" w:rsidRDefault="00583C84" w:rsidP="0045789B">
            <w:pPr>
              <w:spacing w:after="0" w:line="240" w:lineRule="auto"/>
              <w:jc w:val="center"/>
              <w:rPr>
                <w:rFonts w:ascii="Cambria" w:hAnsi="Cambria"/>
                <w:b/>
                <w:color w:val="000000"/>
              </w:rPr>
            </w:pPr>
            <w:r w:rsidRPr="00450F0C">
              <w:rPr>
                <w:rFonts w:ascii="Cambria" w:hAnsi="Cambria"/>
                <w:b/>
                <w:color w:val="000000"/>
              </w:rPr>
              <w:t>Total</w:t>
            </w:r>
            <w:r w:rsidRPr="00450F0C">
              <w:rPr>
                <w:rStyle w:val="FootnoteReference"/>
                <w:rFonts w:ascii="Cambria" w:hAnsi="Cambria"/>
                <w:b/>
                <w:color w:val="000000"/>
              </w:rPr>
              <w:footnoteReference w:id="1"/>
            </w:r>
          </w:p>
          <w:p w14:paraId="76A7AD96" w14:textId="77777777" w:rsidR="00583C84" w:rsidRPr="00450F0C" w:rsidRDefault="00583C84" w:rsidP="0045789B">
            <w:pPr>
              <w:spacing w:after="0" w:line="240" w:lineRule="auto"/>
              <w:jc w:val="both"/>
              <w:rPr>
                <w:rFonts w:ascii="Cambria" w:hAnsi="Cambria"/>
                <w:color w:val="000000"/>
              </w:rPr>
            </w:pPr>
            <w:r w:rsidRPr="00450F0C">
              <w:rPr>
                <w:rFonts w:ascii="Cambria" w:hAnsi="Cambria"/>
                <w:color w:val="000000"/>
              </w:rPr>
              <w:t xml:space="preserve"> </w:t>
            </w:r>
          </w:p>
        </w:tc>
      </w:tr>
      <w:tr w:rsidR="00AC61DF" w:rsidRPr="00450F0C" w14:paraId="3A1E6045" w14:textId="77777777" w:rsidTr="00AC61DF">
        <w:trPr>
          <w:trHeight w:val="350"/>
          <w:jc w:val="center"/>
        </w:trPr>
        <w:tc>
          <w:tcPr>
            <w:tcW w:w="6946" w:type="dxa"/>
            <w:shd w:val="clear" w:color="auto" w:fill="auto"/>
          </w:tcPr>
          <w:p w14:paraId="3EB8312E" w14:textId="77777777" w:rsidR="00AC61DF" w:rsidRPr="00450F0C" w:rsidRDefault="00AC61DF" w:rsidP="0045789B">
            <w:pPr>
              <w:spacing w:after="0" w:line="240" w:lineRule="auto"/>
              <w:ind w:hanging="18"/>
              <w:jc w:val="both"/>
              <w:rPr>
                <w:rFonts w:ascii="Cambria" w:eastAsia="Times New Roman" w:hAnsi="Cambria"/>
                <w:b/>
                <w:color w:val="000000"/>
              </w:rPr>
            </w:pPr>
            <w:r w:rsidRPr="00450F0C">
              <w:rPr>
                <w:rFonts w:ascii="Cambria" w:eastAsia="Times New Roman" w:hAnsi="Cambria"/>
                <w:b/>
                <w:color w:val="000000"/>
              </w:rPr>
              <w:t>V. PUNISHMENT OF THE PERSONS RESPONSIBLE</w:t>
            </w:r>
          </w:p>
          <w:p w14:paraId="3B4374B3" w14:textId="77777777" w:rsidR="00AC61DF" w:rsidRPr="00450F0C" w:rsidRDefault="00AC61DF" w:rsidP="0045789B">
            <w:pPr>
              <w:spacing w:after="0" w:line="240" w:lineRule="auto"/>
              <w:ind w:hanging="18"/>
              <w:jc w:val="both"/>
              <w:rPr>
                <w:rFonts w:ascii="Cambria" w:eastAsia="Times New Roman" w:hAnsi="Cambria"/>
                <w:color w:val="000000"/>
              </w:rPr>
            </w:pPr>
            <w:r w:rsidRPr="00450F0C">
              <w:rPr>
                <w:rFonts w:ascii="Cambria" w:eastAsia="Times New Roman" w:hAnsi="Cambria"/>
                <w:color w:val="000000"/>
              </w:rPr>
              <w:t xml:space="preserve">The Ecuadorian State pledges to bring civil and criminal proceedings against and shall seek the punishment of those persons who are alleged to have participated in the violation in the performance of State functions or under the color of public authority.  </w:t>
            </w:r>
          </w:p>
          <w:p w14:paraId="25E0B957" w14:textId="77777777" w:rsidR="00AC61DF" w:rsidRPr="00450F0C" w:rsidRDefault="00AC61DF" w:rsidP="0045789B">
            <w:pPr>
              <w:spacing w:after="0" w:line="240" w:lineRule="auto"/>
              <w:ind w:hanging="18"/>
              <w:jc w:val="both"/>
              <w:rPr>
                <w:rFonts w:ascii="Cambria" w:eastAsia="Times New Roman" w:hAnsi="Cambria"/>
                <w:color w:val="000000"/>
              </w:rPr>
            </w:pPr>
            <w:r w:rsidRPr="00450F0C">
              <w:rPr>
                <w:rFonts w:ascii="Cambria" w:eastAsia="Times New Roman" w:hAnsi="Cambria"/>
                <w:color w:val="000000"/>
              </w:rPr>
              <w:t xml:space="preserve">  </w:t>
            </w:r>
          </w:p>
          <w:p w14:paraId="39330EEE" w14:textId="77777777" w:rsidR="00AC61DF" w:rsidRPr="00450F0C" w:rsidRDefault="00AC61DF" w:rsidP="0045789B">
            <w:pPr>
              <w:spacing w:after="0" w:line="240" w:lineRule="auto"/>
              <w:ind w:hanging="18"/>
              <w:jc w:val="both"/>
              <w:rPr>
                <w:rFonts w:ascii="Cambria" w:eastAsia="Times New Roman" w:hAnsi="Cambria"/>
                <w:color w:val="000000"/>
              </w:rPr>
            </w:pPr>
            <w:r w:rsidRPr="00450F0C">
              <w:rPr>
                <w:rFonts w:ascii="Cambria" w:eastAsia="Times New Roman" w:hAnsi="Cambria"/>
                <w:color w:val="000000"/>
              </w:rPr>
              <w:t xml:space="preserve">The Office of the Attorney General pledges to encourage the State Attorney General, the competent judicial organs, and public agencies or private institutions to contribute legal evidence to determine the liability of those persons. If admissible, the prosecution will be subject </w:t>
            </w:r>
            <w:r w:rsidRPr="00450F0C">
              <w:rPr>
                <w:rFonts w:ascii="Cambria" w:eastAsia="Times New Roman" w:hAnsi="Cambria"/>
                <w:color w:val="000000"/>
              </w:rPr>
              <w:lastRenderedPageBreak/>
              <w:t>to the constitution and laws of the Ecuadorian State.</w:t>
            </w:r>
          </w:p>
        </w:tc>
        <w:tc>
          <w:tcPr>
            <w:tcW w:w="2552" w:type="dxa"/>
            <w:shd w:val="clear" w:color="auto" w:fill="auto"/>
            <w:vAlign w:val="center"/>
          </w:tcPr>
          <w:p w14:paraId="76D08F82" w14:textId="77777777" w:rsidR="00AC61DF" w:rsidRPr="00450F0C" w:rsidRDefault="00AC61DF" w:rsidP="0045789B">
            <w:pPr>
              <w:spacing w:after="0" w:line="240" w:lineRule="auto"/>
              <w:contextualSpacing/>
              <w:jc w:val="center"/>
              <w:rPr>
                <w:rFonts w:ascii="Cambria" w:hAnsi="Cambria"/>
                <w:b/>
                <w:bCs/>
                <w:color w:val="000000"/>
              </w:rPr>
            </w:pPr>
            <w:r w:rsidRPr="00450F0C">
              <w:rPr>
                <w:rFonts w:ascii="Cambria" w:hAnsi="Cambria"/>
                <w:b/>
                <w:bCs/>
                <w:color w:val="000000"/>
              </w:rPr>
              <w:lastRenderedPageBreak/>
              <w:t>Noncompliance</w:t>
            </w:r>
            <w:r w:rsidRPr="00450F0C">
              <w:rPr>
                <w:rStyle w:val="FootnoteReference"/>
                <w:rFonts w:ascii="Cambria" w:hAnsi="Cambria"/>
                <w:b/>
                <w:bCs/>
                <w:color w:val="000000"/>
              </w:rPr>
              <w:footnoteReference w:id="2"/>
            </w:r>
          </w:p>
        </w:tc>
      </w:tr>
    </w:tbl>
    <w:p w14:paraId="3A5FFC3A" w14:textId="77777777" w:rsidR="00583C84" w:rsidRPr="00450F0C" w:rsidRDefault="00583C84" w:rsidP="0045789B">
      <w:pPr>
        <w:spacing w:after="0" w:line="240" w:lineRule="auto"/>
        <w:jc w:val="both"/>
        <w:rPr>
          <w:rFonts w:ascii="Cambria" w:hAnsi="Cambria"/>
          <w:color w:val="000000"/>
        </w:rPr>
      </w:pPr>
    </w:p>
    <w:p w14:paraId="0F5C09A6" w14:textId="77777777" w:rsidR="00583C84" w:rsidRPr="00450F0C" w:rsidRDefault="00583C84" w:rsidP="0045789B">
      <w:pPr>
        <w:autoSpaceDE w:val="0"/>
        <w:autoSpaceDN w:val="0"/>
        <w:adjustRightInd w:val="0"/>
        <w:spacing w:after="0" w:line="240" w:lineRule="auto"/>
        <w:jc w:val="both"/>
        <w:rPr>
          <w:rFonts w:ascii="Cambria" w:hAnsi="Cambria"/>
          <w:color w:val="000000"/>
        </w:rPr>
      </w:pPr>
    </w:p>
    <w:p w14:paraId="58EAF135" w14:textId="77777777" w:rsidR="00583C84" w:rsidRPr="00450F0C" w:rsidRDefault="00583C84" w:rsidP="0045789B">
      <w:pPr>
        <w:pStyle w:val="ListParagraph"/>
        <w:numPr>
          <w:ilvl w:val="0"/>
          <w:numId w:val="24"/>
        </w:numPr>
        <w:autoSpaceDE w:val="0"/>
        <w:autoSpaceDN w:val="0"/>
        <w:adjustRightInd w:val="0"/>
        <w:spacing w:after="0" w:line="240" w:lineRule="auto"/>
        <w:ind w:left="142" w:firstLine="578"/>
        <w:jc w:val="both"/>
        <w:rPr>
          <w:rFonts w:ascii="Cambria" w:hAnsi="Cambria"/>
          <w:color w:val="000000"/>
          <w:lang w:val="en-US"/>
        </w:rPr>
      </w:pPr>
      <w:r w:rsidRPr="00450F0C">
        <w:rPr>
          <w:rFonts w:ascii="Cambria" w:hAnsi="Cambria" w:cs="Calibri Light"/>
          <w:b/>
          <w:color w:val="000000"/>
          <w:lang w:val="en-US"/>
        </w:rPr>
        <w:t>LEVEL OF COMPLIANCE OF THE CASE</w:t>
      </w:r>
    </w:p>
    <w:p w14:paraId="4834582B" w14:textId="77777777" w:rsidR="00583C84" w:rsidRPr="00450F0C" w:rsidRDefault="00583C84" w:rsidP="0045789B">
      <w:pPr>
        <w:autoSpaceDE w:val="0"/>
        <w:autoSpaceDN w:val="0"/>
        <w:adjustRightInd w:val="0"/>
        <w:spacing w:after="0" w:line="240" w:lineRule="auto"/>
        <w:ind w:firstLine="720"/>
        <w:jc w:val="both"/>
        <w:rPr>
          <w:rFonts w:ascii="Cambria" w:hAnsi="Cambria"/>
          <w:color w:val="000000"/>
        </w:rPr>
      </w:pPr>
    </w:p>
    <w:p w14:paraId="1B274244" w14:textId="77777777" w:rsidR="00583C84" w:rsidRPr="00450F0C" w:rsidRDefault="00583C84" w:rsidP="0045789B">
      <w:pPr>
        <w:numPr>
          <w:ilvl w:val="0"/>
          <w:numId w:val="25"/>
        </w:numPr>
        <w:autoSpaceDE w:val="0"/>
        <w:autoSpaceDN w:val="0"/>
        <w:adjustRightInd w:val="0"/>
        <w:spacing w:after="0" w:line="240" w:lineRule="auto"/>
        <w:ind w:left="142" w:firstLine="567"/>
        <w:jc w:val="both"/>
        <w:rPr>
          <w:rFonts w:ascii="Cambria" w:hAnsi="Cambria"/>
          <w:color w:val="000000"/>
        </w:rPr>
      </w:pPr>
      <w:r w:rsidRPr="00450F0C">
        <w:rPr>
          <w:rFonts w:ascii="Cambria" w:eastAsia="MS Mincho" w:hAnsi="Cambria"/>
          <w:color w:val="000000"/>
        </w:rPr>
        <w:t xml:space="preserve">The Commission evaluated the petitioner’s request of December 3, </w:t>
      </w:r>
      <w:r w:rsidR="005309E6" w:rsidRPr="00450F0C">
        <w:rPr>
          <w:rFonts w:ascii="Cambria" w:eastAsia="MS Mincho" w:hAnsi="Cambria"/>
          <w:color w:val="000000"/>
        </w:rPr>
        <w:t>2015,</w:t>
      </w:r>
      <w:r w:rsidRPr="00450F0C">
        <w:rPr>
          <w:rFonts w:ascii="Cambria" w:eastAsia="MS Mincho" w:hAnsi="Cambria"/>
          <w:color w:val="000000"/>
        </w:rPr>
        <w:t xml:space="preserve"> to have the Commission cease monitoring the agreement and archive the case given the prescription of the criminal action and loss of contact with the victims in the case. Bearing in mind that this is not a case of grave human rights violations that are imprescriptible pursuant to settled case law of the Inter-American Court and Commissio</w:t>
      </w:r>
      <w:r w:rsidR="004F6FD8" w:rsidRPr="00450F0C">
        <w:rPr>
          <w:rFonts w:ascii="Cambria" w:eastAsia="MS Mincho" w:hAnsi="Cambria"/>
          <w:color w:val="000000"/>
        </w:rPr>
        <w:t>n, the Commission decided</w:t>
      </w:r>
      <w:r w:rsidRPr="00450F0C">
        <w:rPr>
          <w:rFonts w:ascii="Cambria" w:eastAsia="MS Mincho" w:hAnsi="Cambria"/>
          <w:color w:val="000000"/>
        </w:rPr>
        <w:t xml:space="preserve"> to </w:t>
      </w:r>
      <w:r w:rsidR="00F86C52" w:rsidRPr="00450F0C">
        <w:rPr>
          <w:rFonts w:ascii="Cambria" w:eastAsia="MS Mincho" w:hAnsi="Cambria"/>
          <w:color w:val="000000"/>
        </w:rPr>
        <w:t>note</w:t>
      </w:r>
      <w:r w:rsidRPr="00450F0C">
        <w:rPr>
          <w:rFonts w:ascii="Cambria" w:eastAsia="MS Mincho" w:hAnsi="Cambria"/>
          <w:color w:val="000000"/>
        </w:rPr>
        <w:t xml:space="preserve"> on </w:t>
      </w:r>
      <w:r w:rsidR="00F86C52" w:rsidRPr="00450F0C">
        <w:rPr>
          <w:rFonts w:ascii="Cambria" w:eastAsia="MS Mincho" w:hAnsi="Cambria"/>
          <w:color w:val="000000"/>
        </w:rPr>
        <w:t xml:space="preserve">the </w:t>
      </w:r>
      <w:r w:rsidRPr="00450F0C">
        <w:rPr>
          <w:rFonts w:ascii="Cambria" w:eastAsia="MS Mincho" w:hAnsi="Cambria"/>
          <w:color w:val="000000"/>
        </w:rPr>
        <w:t>record that the Ecuadorian State has failed to comply with the measure to bring the perpetrators to justice and that compliance with the agreement remains partial.</w:t>
      </w:r>
    </w:p>
    <w:p w14:paraId="4C25D99C" w14:textId="77777777" w:rsidR="004F6FD8" w:rsidRPr="00450F0C" w:rsidRDefault="004F6FD8" w:rsidP="0045789B">
      <w:pPr>
        <w:autoSpaceDE w:val="0"/>
        <w:autoSpaceDN w:val="0"/>
        <w:adjustRightInd w:val="0"/>
        <w:spacing w:after="0" w:line="240" w:lineRule="auto"/>
        <w:ind w:left="142" w:firstLine="567"/>
        <w:jc w:val="both"/>
        <w:rPr>
          <w:rFonts w:ascii="Cambria" w:hAnsi="Cambria"/>
          <w:color w:val="000000"/>
        </w:rPr>
      </w:pPr>
    </w:p>
    <w:p w14:paraId="631A0445" w14:textId="77777777" w:rsidR="001838B1" w:rsidRPr="00450F0C" w:rsidRDefault="001838B1" w:rsidP="0045789B">
      <w:pPr>
        <w:numPr>
          <w:ilvl w:val="0"/>
          <w:numId w:val="25"/>
        </w:numPr>
        <w:autoSpaceDE w:val="0"/>
        <w:autoSpaceDN w:val="0"/>
        <w:adjustRightInd w:val="0"/>
        <w:spacing w:after="0" w:line="240" w:lineRule="auto"/>
        <w:ind w:left="142" w:firstLine="567"/>
        <w:jc w:val="both"/>
        <w:rPr>
          <w:rFonts w:ascii="Cambria" w:hAnsi="Cambria"/>
          <w:color w:val="000000"/>
        </w:rPr>
      </w:pPr>
      <w:r w:rsidRPr="00450F0C">
        <w:rPr>
          <w:rFonts w:ascii="Cambria" w:hAnsi="Cambria"/>
          <w:color w:val="000000"/>
        </w:rPr>
        <w:t xml:space="preserve">Consequently, the Commission decided to cease the follow-up on compliance with the friendly settlement agreement and archive the matter. </w:t>
      </w:r>
    </w:p>
    <w:p w14:paraId="7822B9A8" w14:textId="77777777" w:rsidR="004F6FD8" w:rsidRPr="00450F0C" w:rsidRDefault="004F6FD8" w:rsidP="0045789B">
      <w:pPr>
        <w:autoSpaceDE w:val="0"/>
        <w:autoSpaceDN w:val="0"/>
        <w:adjustRightInd w:val="0"/>
        <w:spacing w:after="0" w:line="240" w:lineRule="auto"/>
        <w:ind w:left="709"/>
        <w:jc w:val="both"/>
        <w:rPr>
          <w:rFonts w:ascii="Cambria" w:hAnsi="Cambria"/>
          <w:color w:val="000000"/>
        </w:rPr>
      </w:pPr>
    </w:p>
    <w:p w14:paraId="67396621" w14:textId="77777777" w:rsidR="00583C84" w:rsidRPr="00450F0C" w:rsidRDefault="00583C84" w:rsidP="0045789B">
      <w:pPr>
        <w:autoSpaceDE w:val="0"/>
        <w:autoSpaceDN w:val="0"/>
        <w:adjustRightInd w:val="0"/>
        <w:spacing w:after="0" w:line="240" w:lineRule="auto"/>
        <w:jc w:val="both"/>
        <w:rPr>
          <w:rFonts w:ascii="Cambria" w:hAnsi="Cambria"/>
          <w:color w:val="000000"/>
        </w:rPr>
      </w:pPr>
    </w:p>
    <w:p w14:paraId="200FE2D2" w14:textId="77777777" w:rsidR="00583C84" w:rsidRPr="00450F0C" w:rsidRDefault="00583C84" w:rsidP="0045789B">
      <w:pPr>
        <w:pStyle w:val="ListParagraph"/>
        <w:numPr>
          <w:ilvl w:val="0"/>
          <w:numId w:val="24"/>
        </w:numPr>
        <w:autoSpaceDE w:val="0"/>
        <w:autoSpaceDN w:val="0"/>
        <w:adjustRightInd w:val="0"/>
        <w:spacing w:after="0" w:line="240" w:lineRule="auto"/>
        <w:jc w:val="both"/>
        <w:rPr>
          <w:rFonts w:ascii="Cambria" w:hAnsi="Cambria" w:cs="Calibri Light"/>
          <w:b/>
          <w:color w:val="000000"/>
          <w:lang w:val="en-US"/>
        </w:rPr>
      </w:pPr>
      <w:r w:rsidRPr="00450F0C">
        <w:rPr>
          <w:rFonts w:ascii="Cambria" w:hAnsi="Cambria" w:cs="Calibri Light"/>
          <w:b/>
          <w:color w:val="000000"/>
          <w:lang w:val="en-US"/>
        </w:rPr>
        <w:t xml:space="preserve">INDIVIDUAL AND STRUCTURAL OUTCOMES OF THE CASE </w:t>
      </w:r>
    </w:p>
    <w:p w14:paraId="1C7D5C2C" w14:textId="77777777" w:rsidR="00583C84" w:rsidRPr="00450F0C" w:rsidRDefault="00583C84" w:rsidP="0045789B">
      <w:pPr>
        <w:spacing w:after="0" w:line="240" w:lineRule="auto"/>
        <w:ind w:left="1080"/>
        <w:jc w:val="both"/>
        <w:rPr>
          <w:rFonts w:ascii="Cambria" w:hAnsi="Cambria" w:cs="Calibri Light"/>
          <w:b/>
          <w:color w:val="000000"/>
        </w:rPr>
      </w:pPr>
    </w:p>
    <w:p w14:paraId="1045BB36" w14:textId="77777777" w:rsidR="00583C84" w:rsidRPr="00450F0C" w:rsidRDefault="00583C84" w:rsidP="0045789B">
      <w:pPr>
        <w:numPr>
          <w:ilvl w:val="0"/>
          <w:numId w:val="23"/>
        </w:numPr>
        <w:spacing w:after="0" w:line="240" w:lineRule="auto"/>
        <w:ind w:left="1440" w:hanging="720"/>
        <w:contextualSpacing/>
        <w:jc w:val="both"/>
        <w:rPr>
          <w:rFonts w:ascii="Cambria" w:hAnsi="Cambria" w:cs="Calibri Light"/>
          <w:b/>
          <w:color w:val="000000"/>
        </w:rPr>
      </w:pPr>
      <w:r w:rsidRPr="00450F0C">
        <w:rPr>
          <w:rFonts w:ascii="Cambria" w:hAnsi="Cambria" w:cs="Calibri Light"/>
          <w:b/>
          <w:color w:val="000000"/>
        </w:rPr>
        <w:t>Individual results in the case</w:t>
      </w:r>
    </w:p>
    <w:p w14:paraId="5E2BB512" w14:textId="77777777" w:rsidR="00583C84" w:rsidRPr="00450F0C" w:rsidRDefault="00583C84" w:rsidP="0045789B">
      <w:pPr>
        <w:spacing w:after="0" w:line="240" w:lineRule="auto"/>
        <w:jc w:val="both"/>
        <w:rPr>
          <w:rFonts w:ascii="Cambria" w:hAnsi="Cambria" w:cs="Calibri Light"/>
          <w:b/>
          <w:color w:val="000000"/>
        </w:rPr>
      </w:pPr>
    </w:p>
    <w:p w14:paraId="4DCE650E" w14:textId="77777777" w:rsidR="004D2211" w:rsidRPr="003E4C6F" w:rsidRDefault="00583C84" w:rsidP="003E4C6F">
      <w:pPr>
        <w:numPr>
          <w:ilvl w:val="0"/>
          <w:numId w:val="3"/>
        </w:numPr>
        <w:spacing w:after="0" w:line="240" w:lineRule="auto"/>
        <w:ind w:left="1440" w:right="-270" w:hanging="2070"/>
        <w:contextualSpacing/>
        <w:jc w:val="center"/>
        <w:rPr>
          <w:rFonts w:ascii="Cambria" w:hAnsi="Cambria"/>
          <w:b/>
          <w:color w:val="000000"/>
        </w:rPr>
      </w:pPr>
      <w:r w:rsidRPr="003E4C6F">
        <w:rPr>
          <w:rFonts w:ascii="Cambria" w:hAnsi="Cambria"/>
          <w:color w:val="000000"/>
        </w:rPr>
        <w:t>The State paid financial compensation, as set forth under the agreement.</w:t>
      </w:r>
    </w:p>
    <w:sectPr w:rsidR="004D2211" w:rsidRPr="003E4C6F" w:rsidSect="008E42E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C27D" w14:textId="77777777" w:rsidR="00A87372" w:rsidRDefault="00A87372" w:rsidP="00A343FF">
      <w:pPr>
        <w:spacing w:after="0" w:line="240" w:lineRule="auto"/>
      </w:pPr>
      <w:r>
        <w:separator/>
      </w:r>
    </w:p>
  </w:endnote>
  <w:endnote w:type="continuationSeparator" w:id="0">
    <w:p w14:paraId="2CADD169" w14:textId="77777777" w:rsidR="00A87372" w:rsidRDefault="00A87372"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C598"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3E3B31FC" w14:textId="77777777" w:rsidR="006D7134" w:rsidRDefault="006D7134"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3CB6" w14:textId="77777777" w:rsidR="006D7134" w:rsidRDefault="00C30B84" w:rsidP="008F2248">
    <w:pPr>
      <w:pStyle w:val="Footer"/>
      <w:spacing w:line="360" w:lineRule="auto"/>
    </w:pPr>
    <w:r>
      <w:pict w14:anchorId="76B690BC">
        <v:rect id="_x0000_i1028" style="width:0;height:1.5pt" o:hralign="center" o:hrstd="t" o:hr="t" fillcolor="#a0a0a0" stroked="f"/>
      </w:pict>
    </w:r>
  </w:p>
  <w:p w14:paraId="235C0210" w14:textId="77777777" w:rsidR="006D7134" w:rsidRDefault="00C30B84" w:rsidP="006E2BD8">
    <w:pPr>
      <w:pStyle w:val="Footer"/>
      <w:jc w:val="center"/>
    </w:pPr>
    <w:r>
      <w:pict w14:anchorId="0FCEB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85pt;height:24.6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AB0C" w14:textId="77777777" w:rsidR="00A87372" w:rsidRDefault="00A87372" w:rsidP="00A343FF">
      <w:pPr>
        <w:spacing w:after="0" w:line="240" w:lineRule="auto"/>
      </w:pPr>
      <w:r>
        <w:separator/>
      </w:r>
    </w:p>
  </w:footnote>
  <w:footnote w:type="continuationSeparator" w:id="0">
    <w:p w14:paraId="6CCE8692" w14:textId="77777777" w:rsidR="00A87372" w:rsidRDefault="00A87372" w:rsidP="00A343FF">
      <w:pPr>
        <w:spacing w:after="0" w:line="240" w:lineRule="auto"/>
      </w:pPr>
      <w:r>
        <w:continuationSeparator/>
      </w:r>
    </w:p>
  </w:footnote>
  <w:footnote w:id="1">
    <w:p w14:paraId="54DB67D1" w14:textId="77777777" w:rsidR="006D7134" w:rsidRPr="006B441D" w:rsidRDefault="006D7134" w:rsidP="00583C84">
      <w:pPr>
        <w:pStyle w:val="FootnoteText"/>
        <w:ind w:firstLine="709"/>
        <w:jc w:val="both"/>
        <w:rPr>
          <w:rFonts w:ascii="Cambria" w:hAnsi="Cambria"/>
          <w:color w:val="000000"/>
          <w:sz w:val="16"/>
          <w:szCs w:val="16"/>
        </w:rPr>
      </w:pPr>
      <w:r w:rsidRPr="006B441D">
        <w:rPr>
          <w:rStyle w:val="FootnoteReference"/>
          <w:rFonts w:ascii="Cambria" w:hAnsi="Cambria"/>
          <w:color w:val="000000"/>
          <w:sz w:val="16"/>
          <w:szCs w:val="16"/>
        </w:rPr>
        <w:footnoteRef/>
      </w:r>
      <w:r w:rsidRPr="006B441D">
        <w:rPr>
          <w:rFonts w:ascii="Cambria" w:hAnsi="Cambria"/>
          <w:color w:val="000000"/>
          <w:sz w:val="16"/>
          <w:szCs w:val="16"/>
        </w:rPr>
        <w:t xml:space="preserve"> IACHR, Report No. 20/01, Case 11.512, Friendly Settlement, Lida Angela Riera Rodriguez, Ecuador, February 20, 2001. </w:t>
      </w:r>
    </w:p>
  </w:footnote>
  <w:footnote w:id="2">
    <w:p w14:paraId="002AAFF2" w14:textId="77777777" w:rsidR="00AC61DF" w:rsidRPr="00DB4F35" w:rsidRDefault="00AC61DF" w:rsidP="00583C84">
      <w:pPr>
        <w:pStyle w:val="FootnoteText"/>
        <w:ind w:firstLine="709"/>
        <w:jc w:val="both"/>
      </w:pPr>
      <w:r w:rsidRPr="006B441D">
        <w:rPr>
          <w:rStyle w:val="FootnoteReference"/>
          <w:rFonts w:ascii="Cambria" w:hAnsi="Cambria"/>
          <w:sz w:val="16"/>
          <w:szCs w:val="16"/>
        </w:rPr>
        <w:footnoteRef/>
      </w:r>
      <w:r w:rsidRPr="006B441D">
        <w:rPr>
          <w:rFonts w:ascii="Cambria" w:hAnsi="Cambria"/>
          <w:sz w:val="16"/>
          <w:szCs w:val="16"/>
        </w:rPr>
        <w:t xml:space="preserve"> See IACHR, Annual Report 2018, Chapter II, Section G. “Status of Compliance with the Recommendations Issued by the IACHR in Merits Reports and Friendly Settlement Agreements Approved by the IACHR. Available at: </w:t>
      </w:r>
      <w:hyperlink r:id="rId1" w:history="1">
        <w:r w:rsidRPr="006B441D">
          <w:rPr>
            <w:rStyle w:val="Hyperlink"/>
            <w:rFonts w:ascii="Cambria" w:hAnsi="Cambria"/>
            <w:sz w:val="16"/>
            <w:szCs w:val="16"/>
          </w:rPr>
          <w:t>http://www.oas.org/en/iachr/docs/annual/2018/docs/IA2018cap.2-en.pdf</w:t>
        </w:r>
      </w:hyperlink>
      <w:r>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FDC8" w14:textId="77777777" w:rsidR="006D7134" w:rsidRDefault="00C30B84" w:rsidP="00DC7C8F">
    <w:pPr>
      <w:pStyle w:val="Header"/>
      <w:jc w:val="center"/>
    </w:pPr>
    <w:r>
      <w:pict w14:anchorId="08E36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8.9pt">
          <v:imagedata r:id="rId1" o:title="iachr-peq"/>
        </v:shape>
      </w:pict>
    </w:r>
  </w:p>
  <w:p w14:paraId="67AD8818" w14:textId="77777777" w:rsidR="006D7134" w:rsidRDefault="00C30B84">
    <w:pPr>
      <w:pStyle w:val="Header"/>
    </w:pPr>
    <w:r>
      <w:pict w14:anchorId="6DCFC7D7">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83C3" w14:textId="77777777" w:rsidR="006D7134" w:rsidRDefault="00C30B84" w:rsidP="00A61B5E">
    <w:pPr>
      <w:pStyle w:val="Header"/>
    </w:pPr>
    <w:r>
      <w:rPr>
        <w:noProof/>
      </w:rPr>
      <w:pict w14:anchorId="1B2FA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0EC7B293">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3F819DB1" w14:textId="77777777" w:rsidR="006D7134" w:rsidRDefault="006D7134" w:rsidP="00A61B5E">
    <w:pPr>
      <w:pStyle w:val="Header"/>
    </w:pPr>
  </w:p>
  <w:p w14:paraId="6A8B5E93" w14:textId="77777777" w:rsidR="006D7134" w:rsidRDefault="006D7134" w:rsidP="00A61B5E">
    <w:pPr>
      <w:pStyle w:val="Header"/>
    </w:pPr>
  </w:p>
  <w:p w14:paraId="7FB80DFB" w14:textId="77777777" w:rsidR="006D7134" w:rsidRDefault="00C30B84" w:rsidP="00A61B5E">
    <w:pPr>
      <w:pStyle w:val="Header"/>
    </w:pPr>
    <w:r>
      <w:pict w14:anchorId="1E1A6C3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8719620">
    <w:abstractNumId w:val="78"/>
  </w:num>
  <w:num w:numId="2" w16cid:durableId="1614677853">
    <w:abstractNumId w:val="59"/>
  </w:num>
  <w:num w:numId="3" w16cid:durableId="665591462">
    <w:abstractNumId w:val="21"/>
  </w:num>
  <w:num w:numId="4" w16cid:durableId="67190417">
    <w:abstractNumId w:val="52"/>
  </w:num>
  <w:num w:numId="5" w16cid:durableId="274752871">
    <w:abstractNumId w:val="3"/>
  </w:num>
  <w:num w:numId="6" w16cid:durableId="1700205536">
    <w:abstractNumId w:val="44"/>
  </w:num>
  <w:num w:numId="7" w16cid:durableId="1046488711">
    <w:abstractNumId w:val="104"/>
  </w:num>
  <w:num w:numId="8" w16cid:durableId="1080177866">
    <w:abstractNumId w:val="36"/>
  </w:num>
  <w:num w:numId="9" w16cid:durableId="1668706823">
    <w:abstractNumId w:val="0"/>
  </w:num>
  <w:num w:numId="10" w16cid:durableId="1146243199">
    <w:abstractNumId w:val="30"/>
  </w:num>
  <w:num w:numId="11" w16cid:durableId="1868759310">
    <w:abstractNumId w:val="65"/>
  </w:num>
  <w:num w:numId="12" w16cid:durableId="572590929">
    <w:abstractNumId w:val="68"/>
  </w:num>
  <w:num w:numId="13" w16cid:durableId="1611205218">
    <w:abstractNumId w:val="51"/>
  </w:num>
  <w:num w:numId="14" w16cid:durableId="2056080780">
    <w:abstractNumId w:val="1"/>
  </w:num>
  <w:num w:numId="15" w16cid:durableId="1247423061">
    <w:abstractNumId w:val="47"/>
  </w:num>
  <w:num w:numId="16" w16cid:durableId="728577742">
    <w:abstractNumId w:val="67"/>
  </w:num>
  <w:num w:numId="17" w16cid:durableId="1281180568">
    <w:abstractNumId w:val="48"/>
  </w:num>
  <w:num w:numId="18" w16cid:durableId="1796021143">
    <w:abstractNumId w:val="100"/>
  </w:num>
  <w:num w:numId="19" w16cid:durableId="937328037">
    <w:abstractNumId w:val="70"/>
  </w:num>
  <w:num w:numId="20" w16cid:durableId="1898784479">
    <w:abstractNumId w:val="31"/>
  </w:num>
  <w:num w:numId="21" w16cid:durableId="64573495">
    <w:abstractNumId w:val="9"/>
  </w:num>
  <w:num w:numId="22" w16cid:durableId="658728889">
    <w:abstractNumId w:val="32"/>
  </w:num>
  <w:num w:numId="23" w16cid:durableId="28191998">
    <w:abstractNumId w:val="2"/>
  </w:num>
  <w:num w:numId="24" w16cid:durableId="1316687855">
    <w:abstractNumId w:val="81"/>
  </w:num>
  <w:num w:numId="25" w16cid:durableId="2014601036">
    <w:abstractNumId w:val="92"/>
  </w:num>
  <w:num w:numId="26" w16cid:durableId="569926074">
    <w:abstractNumId w:val="98"/>
  </w:num>
  <w:num w:numId="27" w16cid:durableId="18885622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5632125">
    <w:abstractNumId w:val="76"/>
  </w:num>
  <w:num w:numId="29" w16cid:durableId="1931624595">
    <w:abstractNumId w:val="16"/>
  </w:num>
  <w:num w:numId="30" w16cid:durableId="162091742">
    <w:abstractNumId w:val="13"/>
  </w:num>
  <w:num w:numId="31" w16cid:durableId="1751124351">
    <w:abstractNumId w:val="63"/>
  </w:num>
  <w:num w:numId="32" w16cid:durableId="229847536">
    <w:abstractNumId w:val="23"/>
  </w:num>
  <w:num w:numId="33" w16cid:durableId="184756726">
    <w:abstractNumId w:val="11"/>
  </w:num>
  <w:num w:numId="34" w16cid:durableId="264509094">
    <w:abstractNumId w:val="66"/>
  </w:num>
  <w:num w:numId="35" w16cid:durableId="304748195">
    <w:abstractNumId w:val="5"/>
  </w:num>
  <w:num w:numId="36" w16cid:durableId="807938971">
    <w:abstractNumId w:val="7"/>
  </w:num>
  <w:num w:numId="37" w16cid:durableId="614479976">
    <w:abstractNumId w:val="53"/>
  </w:num>
  <w:num w:numId="38" w16cid:durableId="810639502">
    <w:abstractNumId w:val="54"/>
  </w:num>
  <w:num w:numId="39" w16cid:durableId="1921788171">
    <w:abstractNumId w:val="27"/>
  </w:num>
  <w:num w:numId="40" w16cid:durableId="914821500">
    <w:abstractNumId w:val="35"/>
  </w:num>
  <w:num w:numId="41" w16cid:durableId="2087149799">
    <w:abstractNumId w:val="77"/>
  </w:num>
  <w:num w:numId="42" w16cid:durableId="1311789705">
    <w:abstractNumId w:val="22"/>
  </w:num>
  <w:num w:numId="43" w16cid:durableId="637688105">
    <w:abstractNumId w:val="64"/>
  </w:num>
  <w:num w:numId="44" w16cid:durableId="1123305058">
    <w:abstractNumId w:val="24"/>
  </w:num>
  <w:num w:numId="45" w16cid:durableId="1509756676">
    <w:abstractNumId w:val="87"/>
  </w:num>
  <w:num w:numId="46" w16cid:durableId="1198078104">
    <w:abstractNumId w:val="42"/>
  </w:num>
  <w:num w:numId="47" w16cid:durableId="1412195750">
    <w:abstractNumId w:val="61"/>
  </w:num>
  <w:num w:numId="48" w16cid:durableId="1510371786">
    <w:abstractNumId w:val="99"/>
  </w:num>
  <w:num w:numId="49" w16cid:durableId="774135022">
    <w:abstractNumId w:val="90"/>
  </w:num>
  <w:num w:numId="50" w16cid:durableId="1477379333">
    <w:abstractNumId w:val="40"/>
  </w:num>
  <w:num w:numId="51" w16cid:durableId="1117675730">
    <w:abstractNumId w:val="93"/>
  </w:num>
  <w:num w:numId="52" w16cid:durableId="543493279">
    <w:abstractNumId w:val="49"/>
  </w:num>
  <w:num w:numId="53" w16cid:durableId="1736900717">
    <w:abstractNumId w:val="83"/>
  </w:num>
  <w:num w:numId="54" w16cid:durableId="126556188">
    <w:abstractNumId w:val="33"/>
  </w:num>
  <w:num w:numId="55" w16cid:durableId="473257638">
    <w:abstractNumId w:val="4"/>
  </w:num>
  <w:num w:numId="56" w16cid:durableId="1559895095">
    <w:abstractNumId w:val="28"/>
  </w:num>
  <w:num w:numId="57" w16cid:durableId="460005609">
    <w:abstractNumId w:val="10"/>
  </w:num>
  <w:num w:numId="58" w16cid:durableId="1349678845">
    <w:abstractNumId w:val="75"/>
  </w:num>
  <w:num w:numId="59" w16cid:durableId="714308208">
    <w:abstractNumId w:val="55"/>
  </w:num>
  <w:num w:numId="60" w16cid:durableId="1996756683">
    <w:abstractNumId w:val="73"/>
  </w:num>
  <w:num w:numId="61" w16cid:durableId="4746406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46331218">
    <w:abstractNumId w:val="102"/>
  </w:num>
  <w:num w:numId="63" w16cid:durableId="1139805289">
    <w:abstractNumId w:val="82"/>
  </w:num>
  <w:num w:numId="64" w16cid:durableId="1366979188">
    <w:abstractNumId w:val="26"/>
  </w:num>
  <w:num w:numId="65" w16cid:durableId="4131619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8894555">
    <w:abstractNumId w:val="95"/>
  </w:num>
  <w:num w:numId="67" w16cid:durableId="2096199757">
    <w:abstractNumId w:val="19"/>
  </w:num>
  <w:num w:numId="68" w16cid:durableId="1691757785">
    <w:abstractNumId w:val="20"/>
  </w:num>
  <w:num w:numId="69" w16cid:durableId="1295868687">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028301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85187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93517812">
    <w:abstractNumId w:val="60"/>
  </w:num>
  <w:num w:numId="73" w16cid:durableId="127998771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034855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37676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07984104">
    <w:abstractNumId w:val="88"/>
  </w:num>
  <w:num w:numId="77" w16cid:durableId="1864122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920785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68827577">
    <w:abstractNumId w:val="72"/>
  </w:num>
  <w:num w:numId="80" w16cid:durableId="23874959">
    <w:abstractNumId w:val="6"/>
  </w:num>
  <w:num w:numId="81" w16cid:durableId="569000199">
    <w:abstractNumId w:val="86"/>
  </w:num>
  <w:num w:numId="82" w16cid:durableId="1519198171">
    <w:abstractNumId w:val="71"/>
  </w:num>
  <w:num w:numId="83" w16cid:durableId="14824562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17060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21911168">
    <w:abstractNumId w:val="79"/>
  </w:num>
  <w:num w:numId="86" w16cid:durableId="200827465">
    <w:abstractNumId w:val="17"/>
  </w:num>
  <w:num w:numId="87" w16cid:durableId="1193836367">
    <w:abstractNumId w:val="85"/>
  </w:num>
  <w:num w:numId="88" w16cid:durableId="1508134737">
    <w:abstractNumId w:val="15"/>
  </w:num>
  <w:num w:numId="89" w16cid:durableId="648755079">
    <w:abstractNumId w:val="69"/>
  </w:num>
  <w:num w:numId="90" w16cid:durableId="2019497052">
    <w:abstractNumId w:val="46"/>
  </w:num>
  <w:num w:numId="91" w16cid:durableId="807356667">
    <w:abstractNumId w:val="91"/>
  </w:num>
  <w:num w:numId="92" w16cid:durableId="2099859532">
    <w:abstractNumId w:val="43"/>
  </w:num>
  <w:num w:numId="93" w16cid:durableId="1112819670">
    <w:abstractNumId w:val="8"/>
  </w:num>
  <w:num w:numId="94" w16cid:durableId="249042468">
    <w:abstractNumId w:val="37"/>
  </w:num>
  <w:num w:numId="95" w16cid:durableId="590625281">
    <w:abstractNumId w:val="38"/>
  </w:num>
  <w:num w:numId="96" w16cid:durableId="142434995">
    <w:abstractNumId w:val="39"/>
  </w:num>
  <w:num w:numId="97" w16cid:durableId="865362413">
    <w:abstractNumId w:val="12"/>
  </w:num>
  <w:num w:numId="98" w16cid:durableId="115565710">
    <w:abstractNumId w:val="89"/>
  </w:num>
  <w:num w:numId="99" w16cid:durableId="1696300371">
    <w:abstractNumId w:val="74"/>
  </w:num>
  <w:num w:numId="100" w16cid:durableId="437220192">
    <w:abstractNumId w:val="29"/>
  </w:num>
  <w:num w:numId="101" w16cid:durableId="2117407425">
    <w:abstractNumId w:val="103"/>
  </w:num>
  <w:num w:numId="102" w16cid:durableId="991254324">
    <w:abstractNumId w:val="80"/>
  </w:num>
  <w:num w:numId="103" w16cid:durableId="774442061">
    <w:abstractNumId w:val="41"/>
  </w:num>
  <w:num w:numId="104" w16cid:durableId="168567979">
    <w:abstractNumId w:val="84"/>
  </w:num>
  <w:num w:numId="105" w16cid:durableId="1867059289">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7B56"/>
    <w:rsid w:val="0006009D"/>
    <w:rsid w:val="0006625E"/>
    <w:rsid w:val="0006762F"/>
    <w:rsid w:val="00096079"/>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2032CF"/>
    <w:rsid w:val="00206C8A"/>
    <w:rsid w:val="0021669C"/>
    <w:rsid w:val="0022128F"/>
    <w:rsid w:val="00223987"/>
    <w:rsid w:val="00226F48"/>
    <w:rsid w:val="00234203"/>
    <w:rsid w:val="00235E0A"/>
    <w:rsid w:val="00240E8E"/>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7741"/>
    <w:rsid w:val="0032106C"/>
    <w:rsid w:val="003408C5"/>
    <w:rsid w:val="00343CED"/>
    <w:rsid w:val="0035302C"/>
    <w:rsid w:val="003548C4"/>
    <w:rsid w:val="00357D1A"/>
    <w:rsid w:val="00393310"/>
    <w:rsid w:val="003B1772"/>
    <w:rsid w:val="003B4055"/>
    <w:rsid w:val="003B6168"/>
    <w:rsid w:val="003C2346"/>
    <w:rsid w:val="003C4836"/>
    <w:rsid w:val="003D5044"/>
    <w:rsid w:val="003E0DFA"/>
    <w:rsid w:val="003E4C6F"/>
    <w:rsid w:val="003F186E"/>
    <w:rsid w:val="003F262C"/>
    <w:rsid w:val="0043011B"/>
    <w:rsid w:val="00433F4F"/>
    <w:rsid w:val="00450F0C"/>
    <w:rsid w:val="0045789B"/>
    <w:rsid w:val="0047146A"/>
    <w:rsid w:val="004722BC"/>
    <w:rsid w:val="00474650"/>
    <w:rsid w:val="00476696"/>
    <w:rsid w:val="00494C40"/>
    <w:rsid w:val="00495CA7"/>
    <w:rsid w:val="004A66BD"/>
    <w:rsid w:val="004B3074"/>
    <w:rsid w:val="004D2211"/>
    <w:rsid w:val="004E70DE"/>
    <w:rsid w:val="004F12B6"/>
    <w:rsid w:val="004F6FD8"/>
    <w:rsid w:val="0050266C"/>
    <w:rsid w:val="00503957"/>
    <w:rsid w:val="00526977"/>
    <w:rsid w:val="0052740B"/>
    <w:rsid w:val="005309E6"/>
    <w:rsid w:val="00531C37"/>
    <w:rsid w:val="00534F2B"/>
    <w:rsid w:val="00543B28"/>
    <w:rsid w:val="005523E5"/>
    <w:rsid w:val="005534B1"/>
    <w:rsid w:val="00553D50"/>
    <w:rsid w:val="005566F5"/>
    <w:rsid w:val="00561C07"/>
    <w:rsid w:val="00572284"/>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52C68"/>
    <w:rsid w:val="00666251"/>
    <w:rsid w:val="00675F22"/>
    <w:rsid w:val="006A5BD8"/>
    <w:rsid w:val="006A6AE0"/>
    <w:rsid w:val="006B441D"/>
    <w:rsid w:val="006B5B33"/>
    <w:rsid w:val="006D7134"/>
    <w:rsid w:val="006E2BD8"/>
    <w:rsid w:val="006E2C7E"/>
    <w:rsid w:val="006F0429"/>
    <w:rsid w:val="006F0E6C"/>
    <w:rsid w:val="006F1011"/>
    <w:rsid w:val="006F66C0"/>
    <w:rsid w:val="0071332B"/>
    <w:rsid w:val="0073273B"/>
    <w:rsid w:val="00736A43"/>
    <w:rsid w:val="007609D9"/>
    <w:rsid w:val="0076210E"/>
    <w:rsid w:val="00772E3C"/>
    <w:rsid w:val="00792456"/>
    <w:rsid w:val="007B0327"/>
    <w:rsid w:val="007B7762"/>
    <w:rsid w:val="007C2CC3"/>
    <w:rsid w:val="007C351D"/>
    <w:rsid w:val="007E2645"/>
    <w:rsid w:val="007E6A34"/>
    <w:rsid w:val="007F5F4E"/>
    <w:rsid w:val="00807BAA"/>
    <w:rsid w:val="00822FF4"/>
    <w:rsid w:val="0082548A"/>
    <w:rsid w:val="00825532"/>
    <w:rsid w:val="00841815"/>
    <w:rsid w:val="008550EF"/>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67EF3"/>
    <w:rsid w:val="00A74A8B"/>
    <w:rsid w:val="00A77064"/>
    <w:rsid w:val="00A7781B"/>
    <w:rsid w:val="00A87372"/>
    <w:rsid w:val="00A90CCA"/>
    <w:rsid w:val="00A9107C"/>
    <w:rsid w:val="00AA2279"/>
    <w:rsid w:val="00AA7906"/>
    <w:rsid w:val="00AB1BC7"/>
    <w:rsid w:val="00AC61DF"/>
    <w:rsid w:val="00AD711F"/>
    <w:rsid w:val="00AE1B0F"/>
    <w:rsid w:val="00AF3A07"/>
    <w:rsid w:val="00AF51F7"/>
    <w:rsid w:val="00B056D9"/>
    <w:rsid w:val="00B111C3"/>
    <w:rsid w:val="00B205A7"/>
    <w:rsid w:val="00B238D3"/>
    <w:rsid w:val="00B27956"/>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C01947"/>
    <w:rsid w:val="00C11E56"/>
    <w:rsid w:val="00C17F04"/>
    <w:rsid w:val="00C21B26"/>
    <w:rsid w:val="00C30B84"/>
    <w:rsid w:val="00C359F1"/>
    <w:rsid w:val="00C37954"/>
    <w:rsid w:val="00C402CB"/>
    <w:rsid w:val="00C57947"/>
    <w:rsid w:val="00C931AE"/>
    <w:rsid w:val="00CA5D4D"/>
    <w:rsid w:val="00CB6344"/>
    <w:rsid w:val="00CC0727"/>
    <w:rsid w:val="00CC5D2E"/>
    <w:rsid w:val="00CC6DB2"/>
    <w:rsid w:val="00CE4346"/>
    <w:rsid w:val="00CF54E1"/>
    <w:rsid w:val="00D0510C"/>
    <w:rsid w:val="00D05BCC"/>
    <w:rsid w:val="00D26B92"/>
    <w:rsid w:val="00D277D6"/>
    <w:rsid w:val="00D32DD7"/>
    <w:rsid w:val="00D54D6F"/>
    <w:rsid w:val="00D7738D"/>
    <w:rsid w:val="00DA0C80"/>
    <w:rsid w:val="00DA1E58"/>
    <w:rsid w:val="00DA4368"/>
    <w:rsid w:val="00DA5231"/>
    <w:rsid w:val="00DC5A37"/>
    <w:rsid w:val="00DC7C8F"/>
    <w:rsid w:val="00DD67A1"/>
    <w:rsid w:val="00DE65A9"/>
    <w:rsid w:val="00DE7A8B"/>
    <w:rsid w:val="00DF0687"/>
    <w:rsid w:val="00DF0FE5"/>
    <w:rsid w:val="00E0254C"/>
    <w:rsid w:val="00E0542C"/>
    <w:rsid w:val="00E16827"/>
    <w:rsid w:val="00E3040C"/>
    <w:rsid w:val="00E5644B"/>
    <w:rsid w:val="00E57070"/>
    <w:rsid w:val="00E62F1F"/>
    <w:rsid w:val="00E6614F"/>
    <w:rsid w:val="00E66191"/>
    <w:rsid w:val="00E70EB9"/>
    <w:rsid w:val="00E9516C"/>
    <w:rsid w:val="00E979A1"/>
    <w:rsid w:val="00EA4D16"/>
    <w:rsid w:val="00EA50F8"/>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062"/>
    <w:rsid w:val="00F86C52"/>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09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idh.org/annualrep/2000eng/ChapterIII/Friendly/Ecuador11.512.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annual/2018/docs/IA2018cap.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BE249CE9-AC97-4141-B934-CC74EEF1D5F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Links>
    <vt:vector size="12" baseType="variant">
      <vt:variant>
        <vt:i4>6619260</vt:i4>
      </vt:variant>
      <vt:variant>
        <vt:i4>0</vt:i4>
      </vt:variant>
      <vt:variant>
        <vt:i4>0</vt:i4>
      </vt:variant>
      <vt:variant>
        <vt:i4>5</vt:i4>
      </vt:variant>
      <vt:variant>
        <vt:lpwstr>http://cidh.org/annualrep/2000eng/ChapterIII/Friendly/Ecuador11.512.htm</vt:lpwstr>
      </vt:variant>
      <vt:variant>
        <vt:lpwstr/>
      </vt:variant>
      <vt:variant>
        <vt:i4>6094943</vt:i4>
      </vt:variant>
      <vt:variant>
        <vt:i4>0</vt:i4>
      </vt:variant>
      <vt:variant>
        <vt:i4>0</vt:i4>
      </vt:variant>
      <vt:variant>
        <vt:i4>5</vt:i4>
      </vt:variant>
      <vt:variant>
        <vt:lpwstr>http://www.oas.org/en/iachr/docs/annual/2018/docs/IA2018cap.2-en.pdf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2023-03-03T22:01:00Z</dcterms:created>
  <dcterms:modified xsi:type="dcterms:W3CDTF">2023-03-03T22:01:00Z</dcterms:modified>
</cp:coreProperties>
</file>