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4BE0" w14:textId="7B4DA401" w:rsidR="00583C84" w:rsidRPr="00DD1E2F" w:rsidRDefault="004E2FF2" w:rsidP="000B51B7">
      <w:pPr>
        <w:pStyle w:val="LightGrid-Accent31"/>
        <w:tabs>
          <w:tab w:val="left" w:pos="3925"/>
          <w:tab w:val="left" w:pos="5799"/>
        </w:tabs>
        <w:spacing w:after="0" w:line="240" w:lineRule="auto"/>
        <w:jc w:val="both"/>
        <w:rPr>
          <w:rFonts w:ascii="Cambria" w:hAnsi="Cambria"/>
          <w:color w:val="000000"/>
        </w:rPr>
      </w:pPr>
      <w:r>
        <w:rPr>
          <w:rFonts w:ascii="Cambria" w:hAnsi="Cambria"/>
          <w:color w:val="000000"/>
        </w:rPr>
        <w:tab/>
      </w:r>
      <w:r w:rsidR="000B51B7">
        <w:rPr>
          <w:rFonts w:ascii="Cambria" w:hAnsi="Cambria"/>
          <w:color w:val="000000"/>
        </w:rPr>
        <w:tab/>
      </w:r>
    </w:p>
    <w:p w14:paraId="49678EA4" w14:textId="77777777" w:rsidR="00666251" w:rsidRPr="00DD1E2F" w:rsidRDefault="00666251" w:rsidP="0045789B">
      <w:pPr>
        <w:pStyle w:val="MediumGrid2-Accent11"/>
        <w:ind w:left="-270" w:right="-270"/>
        <w:jc w:val="center"/>
        <w:rPr>
          <w:rFonts w:ascii="Cambria" w:hAnsi="Cambria"/>
          <w:b/>
          <w:color w:val="000000"/>
          <w:lang w:val="en-US"/>
        </w:rPr>
      </w:pPr>
    </w:p>
    <w:p w14:paraId="24D8013F" w14:textId="77777777" w:rsidR="00583C84" w:rsidRPr="00DD1E2F" w:rsidRDefault="00583C84" w:rsidP="0045789B">
      <w:pPr>
        <w:pStyle w:val="MediumGrid2-Accent11"/>
        <w:jc w:val="center"/>
        <w:rPr>
          <w:rFonts w:ascii="Cambria" w:hAnsi="Cambria"/>
          <w:b/>
          <w:color w:val="000000"/>
          <w:lang w:val="es-AR"/>
        </w:rPr>
      </w:pPr>
      <w:r w:rsidRPr="00DD1E2F">
        <w:rPr>
          <w:rFonts w:ascii="Cambria" w:hAnsi="Cambria"/>
          <w:b/>
          <w:color w:val="000000"/>
          <w:lang w:val="es-AR"/>
        </w:rPr>
        <w:t>TECHNICAL INFORMATION SHEET</w:t>
      </w:r>
    </w:p>
    <w:p w14:paraId="0DB4954C" w14:textId="77777777" w:rsidR="00583C84" w:rsidRPr="00DD1E2F" w:rsidRDefault="00583C84" w:rsidP="0045789B">
      <w:pPr>
        <w:spacing w:after="0" w:line="240" w:lineRule="auto"/>
        <w:jc w:val="center"/>
        <w:rPr>
          <w:rFonts w:ascii="Cambria" w:hAnsi="Cambria"/>
          <w:b/>
          <w:bCs/>
          <w:color w:val="000000"/>
          <w:lang w:val="es-AR"/>
        </w:rPr>
      </w:pPr>
      <w:r w:rsidRPr="00DD1E2F">
        <w:rPr>
          <w:rFonts w:ascii="Cambria" w:hAnsi="Cambria"/>
          <w:b/>
          <w:color w:val="000000"/>
          <w:lang w:val="es-AR"/>
        </w:rPr>
        <w:t xml:space="preserve">CASE 12.188 </w:t>
      </w:r>
      <w:r w:rsidRPr="00DD1E2F">
        <w:rPr>
          <w:rFonts w:ascii="Cambria" w:hAnsi="Cambria"/>
          <w:b/>
          <w:bCs/>
          <w:color w:val="000000"/>
          <w:lang w:val="es-AR"/>
        </w:rPr>
        <w:t xml:space="preserve">JOFFRE JOSÉ VALENCIA MERO, PRISCILA FIERRO, ZOREIDA VALENCIA SÁNCHEZ, ROCÍO VALENCIA SÁNCHEZ </w:t>
      </w:r>
    </w:p>
    <w:p w14:paraId="63D03C0E" w14:textId="77777777" w:rsidR="00583C84" w:rsidRPr="00DD1E2F" w:rsidRDefault="00583C84" w:rsidP="0045789B">
      <w:pPr>
        <w:pStyle w:val="MediumGrid2-Accent11"/>
        <w:jc w:val="center"/>
        <w:rPr>
          <w:rFonts w:ascii="Cambria" w:hAnsi="Cambria" w:cs="Calibri"/>
          <w:b/>
          <w:bCs/>
          <w:color w:val="000000"/>
        </w:rPr>
      </w:pPr>
      <w:r w:rsidRPr="00DD1E2F">
        <w:rPr>
          <w:rFonts w:ascii="Cambria" w:hAnsi="Cambria"/>
          <w:b/>
          <w:color w:val="000000"/>
          <w:lang w:val="es-AR"/>
        </w:rPr>
        <w:t xml:space="preserve"> </w:t>
      </w:r>
      <w:r w:rsidRPr="00DD1E2F">
        <w:rPr>
          <w:rFonts w:ascii="Cambria" w:hAnsi="Cambria"/>
          <w:b/>
          <w:color w:val="000000"/>
          <w:lang w:val="en-US"/>
        </w:rPr>
        <w:t xml:space="preserve">REPORT ON FRIENDLY SETTLEMENT AGREEMENT Nº </w:t>
      </w:r>
      <w:r w:rsidRPr="00DD1E2F">
        <w:rPr>
          <w:rFonts w:ascii="Cambria" w:hAnsi="Cambria" w:cs="Calibri"/>
          <w:b/>
          <w:bCs/>
          <w:color w:val="000000"/>
          <w:lang w:val="en-US"/>
        </w:rPr>
        <w:t>64/03</w:t>
      </w:r>
    </w:p>
    <w:p w14:paraId="469CCECF" w14:textId="77777777" w:rsidR="00583C84" w:rsidRPr="00DD1E2F" w:rsidRDefault="00583C84" w:rsidP="0045789B">
      <w:pPr>
        <w:pStyle w:val="MediumGrid2-Accent11"/>
        <w:jc w:val="center"/>
        <w:rPr>
          <w:rFonts w:ascii="Cambria" w:hAnsi="Cambria"/>
          <w:b/>
          <w:color w:val="000000"/>
          <w:lang w:val="es-ES"/>
        </w:rPr>
      </w:pPr>
      <w:r w:rsidRPr="00DD1E2F">
        <w:rPr>
          <w:rFonts w:ascii="Cambria" w:hAnsi="Cambria"/>
          <w:b/>
          <w:color w:val="000000"/>
        </w:rPr>
        <w:t>ARCHIVE</w:t>
      </w:r>
    </w:p>
    <w:p w14:paraId="08B6C05B" w14:textId="77777777" w:rsidR="00583C84" w:rsidRPr="00DD1E2F" w:rsidRDefault="0071332B" w:rsidP="0045789B">
      <w:pPr>
        <w:pStyle w:val="MediumGrid2-Accent11"/>
        <w:jc w:val="center"/>
        <w:rPr>
          <w:rFonts w:ascii="Cambria" w:hAnsi="Cambria"/>
          <w:b/>
          <w:color w:val="000000"/>
          <w:lang w:val="es-CO"/>
        </w:rPr>
      </w:pPr>
      <w:r w:rsidRPr="00DD1E2F">
        <w:rPr>
          <w:rFonts w:ascii="Cambria" w:hAnsi="Cambria"/>
          <w:b/>
          <w:color w:val="000000"/>
          <w:lang w:val="es-CO"/>
        </w:rPr>
        <w:t>(ECUADOR</w:t>
      </w:r>
      <w:r w:rsidR="00583C84" w:rsidRPr="00DD1E2F">
        <w:rPr>
          <w:rFonts w:ascii="Cambria" w:hAnsi="Cambria"/>
          <w:b/>
          <w:color w:val="000000"/>
          <w:lang w:val="es-CO"/>
        </w:rPr>
        <w:t>)</w:t>
      </w:r>
    </w:p>
    <w:p w14:paraId="65FE1EC6" w14:textId="77777777" w:rsidR="00583C84" w:rsidRPr="00DD1E2F" w:rsidRDefault="00583C84" w:rsidP="0045789B">
      <w:pPr>
        <w:spacing w:after="0" w:line="240" w:lineRule="auto"/>
        <w:ind w:left="-142" w:firstLine="851"/>
        <w:jc w:val="center"/>
        <w:rPr>
          <w:rFonts w:ascii="Cambria" w:hAnsi="Cambria"/>
          <w:b/>
          <w:bCs/>
          <w:color w:val="000000"/>
        </w:rPr>
      </w:pPr>
    </w:p>
    <w:p w14:paraId="60EF8937" w14:textId="77777777" w:rsidR="00583C84" w:rsidRPr="00DD1E2F" w:rsidRDefault="00583C84" w:rsidP="00AD711F">
      <w:pPr>
        <w:numPr>
          <w:ilvl w:val="0"/>
          <w:numId w:val="62"/>
        </w:numPr>
        <w:spacing w:after="0" w:line="240" w:lineRule="auto"/>
        <w:ind w:left="-142" w:firstLine="851"/>
        <w:rPr>
          <w:rFonts w:ascii="Cambria" w:hAnsi="Cambria" w:cs="Calibri Light"/>
          <w:b/>
          <w:color w:val="000000"/>
        </w:rPr>
      </w:pPr>
      <w:r w:rsidRPr="00DD1E2F">
        <w:rPr>
          <w:rFonts w:ascii="Cambria" w:hAnsi="Cambria" w:cs="Calibri Light"/>
          <w:b/>
          <w:color w:val="000000"/>
        </w:rPr>
        <w:t xml:space="preserve">SUMMARY OF THE CASE </w:t>
      </w:r>
    </w:p>
    <w:p w14:paraId="606FE369" w14:textId="77777777" w:rsidR="00583C84" w:rsidRPr="00DD1E2F" w:rsidRDefault="00583C84" w:rsidP="0045789B">
      <w:pPr>
        <w:spacing w:after="0" w:line="240" w:lineRule="auto"/>
        <w:ind w:left="720"/>
        <w:rPr>
          <w:rFonts w:ascii="Cambria" w:eastAsia="Times New Roman" w:hAnsi="Cambria"/>
          <w:b/>
          <w:bCs/>
          <w:color w:val="000000"/>
        </w:rPr>
      </w:pPr>
    </w:p>
    <w:tbl>
      <w:tblPr>
        <w:tblW w:w="9356" w:type="dxa"/>
        <w:jc w:val="center"/>
        <w:shd w:val="clear" w:color="auto" w:fill="F2F2F2"/>
        <w:tblCellMar>
          <w:left w:w="0" w:type="dxa"/>
          <w:right w:w="0" w:type="dxa"/>
        </w:tblCellMar>
        <w:tblLook w:val="04A0" w:firstRow="1" w:lastRow="0" w:firstColumn="1" w:lastColumn="0" w:noHBand="0" w:noVBand="1"/>
      </w:tblPr>
      <w:tblGrid>
        <w:gridCol w:w="9356"/>
      </w:tblGrid>
      <w:tr w:rsidR="00583C84" w:rsidRPr="00DD1E2F" w14:paraId="407EE018" w14:textId="77777777" w:rsidTr="00EE07D8">
        <w:trPr>
          <w:jc w:val="center"/>
        </w:trPr>
        <w:tc>
          <w:tcPr>
            <w:tcW w:w="948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3F742A95" w14:textId="77777777" w:rsidR="00583C84" w:rsidRPr="00DD1E2F" w:rsidRDefault="00583C84" w:rsidP="0045789B">
            <w:pPr>
              <w:spacing w:after="0" w:line="240" w:lineRule="auto"/>
              <w:jc w:val="both"/>
              <w:rPr>
                <w:rFonts w:ascii="Cambria" w:hAnsi="Cambria"/>
                <w:color w:val="000000"/>
                <w:lang w:val="es-AR"/>
              </w:rPr>
            </w:pPr>
            <w:r w:rsidRPr="00DD1E2F">
              <w:rPr>
                <w:rFonts w:ascii="Cambria" w:hAnsi="Cambria"/>
                <w:b/>
                <w:bCs/>
                <w:color w:val="000000"/>
                <w:lang w:val="es-AR"/>
              </w:rPr>
              <w:t>Victim(s)</w:t>
            </w:r>
            <w:r w:rsidRPr="00DD1E2F">
              <w:rPr>
                <w:rFonts w:ascii="Cambria" w:hAnsi="Cambria"/>
                <w:bCs/>
                <w:color w:val="000000"/>
                <w:lang w:val="es-AR"/>
              </w:rPr>
              <w:t>:</w:t>
            </w:r>
            <w:r w:rsidRPr="00DD1E2F">
              <w:rPr>
                <w:rFonts w:ascii="Cambria" w:hAnsi="Cambria"/>
                <w:color w:val="000000"/>
                <w:lang w:val="es-AR"/>
              </w:rPr>
              <w:t xml:space="preserve"> Joffre José Valencia Mero, Priscila Fierro, Zoreida Valencia Sánchez, Rocío Valencia Sánchez</w:t>
            </w:r>
          </w:p>
          <w:p w14:paraId="66925E22" w14:textId="77777777" w:rsidR="00583C84" w:rsidRPr="00DD1E2F" w:rsidRDefault="00583C84" w:rsidP="0045789B">
            <w:pPr>
              <w:spacing w:after="0" w:line="240" w:lineRule="auto"/>
              <w:jc w:val="both"/>
              <w:rPr>
                <w:rFonts w:ascii="Cambria" w:hAnsi="Cambria"/>
                <w:b/>
                <w:bCs/>
                <w:color w:val="000000"/>
              </w:rPr>
            </w:pPr>
            <w:r w:rsidRPr="00DD1E2F">
              <w:rPr>
                <w:rFonts w:ascii="Cambria" w:hAnsi="Cambria"/>
                <w:b/>
                <w:bCs/>
                <w:color w:val="000000"/>
              </w:rPr>
              <w:t>Petitioner(s)</w:t>
            </w:r>
            <w:r w:rsidRPr="00DD1E2F">
              <w:rPr>
                <w:rFonts w:ascii="Cambria" w:hAnsi="Cambria"/>
                <w:bCs/>
                <w:color w:val="000000"/>
              </w:rPr>
              <w:t>:</w:t>
            </w:r>
            <w:r w:rsidRPr="00DD1E2F">
              <w:rPr>
                <w:rFonts w:ascii="Cambria" w:hAnsi="Cambria"/>
                <w:b/>
                <w:bCs/>
                <w:color w:val="000000"/>
              </w:rPr>
              <w:t xml:space="preserve"> </w:t>
            </w:r>
            <w:r w:rsidRPr="00DD1E2F">
              <w:rPr>
                <w:rFonts w:ascii="Cambria" w:hAnsi="Cambria"/>
                <w:color w:val="000000"/>
              </w:rPr>
              <w:t>Ecumenical Commission for Human Rights of Ecuador</w:t>
            </w:r>
            <w:r w:rsidRPr="00DD1E2F">
              <w:rPr>
                <w:rFonts w:ascii="Cambria" w:hAnsi="Cambria"/>
                <w:b/>
                <w:bCs/>
                <w:color w:val="000000"/>
              </w:rPr>
              <w:t xml:space="preserve"> </w:t>
            </w:r>
          </w:p>
          <w:p w14:paraId="18322D8C"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bCs/>
                <w:color w:val="000000"/>
              </w:rPr>
              <w:t>State</w:t>
            </w:r>
            <w:r w:rsidRPr="00DD1E2F">
              <w:rPr>
                <w:rFonts w:ascii="Cambria" w:hAnsi="Cambria"/>
                <w:bCs/>
                <w:color w:val="000000"/>
              </w:rPr>
              <w:t>:</w:t>
            </w:r>
            <w:r w:rsidRPr="00DD1E2F">
              <w:rPr>
                <w:rFonts w:ascii="Cambria" w:hAnsi="Cambria"/>
                <w:color w:val="000000"/>
              </w:rPr>
              <w:t xml:space="preserve"> Ecuador</w:t>
            </w:r>
          </w:p>
          <w:p w14:paraId="580A1C9D" w14:textId="77777777" w:rsidR="00583C84" w:rsidRPr="00DD1E2F" w:rsidRDefault="00583C84" w:rsidP="0045789B">
            <w:pPr>
              <w:spacing w:after="0" w:line="240" w:lineRule="auto"/>
              <w:rPr>
                <w:rFonts w:ascii="Cambria" w:hAnsi="Cambria"/>
                <w:bCs/>
                <w:color w:val="000000"/>
              </w:rPr>
            </w:pPr>
            <w:r w:rsidRPr="00DD1E2F">
              <w:rPr>
                <w:rFonts w:ascii="Cambria" w:hAnsi="Cambria"/>
                <w:b/>
                <w:bCs/>
                <w:color w:val="000000"/>
              </w:rPr>
              <w:t xml:space="preserve">FSA signature date: </w:t>
            </w:r>
            <w:r w:rsidRPr="00DD1E2F">
              <w:rPr>
                <w:rFonts w:ascii="Cambria" w:hAnsi="Cambria"/>
                <w:color w:val="000000"/>
              </w:rPr>
              <w:t xml:space="preserve">November </w:t>
            </w:r>
            <w:r w:rsidRPr="00DD1E2F">
              <w:rPr>
                <w:rFonts w:ascii="Cambria" w:hAnsi="Cambria"/>
                <w:bCs/>
                <w:color w:val="000000"/>
              </w:rPr>
              <w:t>12, 2002</w:t>
            </w:r>
          </w:p>
          <w:p w14:paraId="16F89B30" w14:textId="77777777" w:rsidR="00583C84" w:rsidRPr="00DD1E2F" w:rsidRDefault="00583C84" w:rsidP="0045789B">
            <w:pPr>
              <w:spacing w:after="0" w:line="240" w:lineRule="auto"/>
              <w:rPr>
                <w:rFonts w:ascii="Cambria" w:hAnsi="Cambria"/>
                <w:color w:val="000000"/>
              </w:rPr>
            </w:pPr>
            <w:r w:rsidRPr="00DD1E2F">
              <w:rPr>
                <w:rFonts w:ascii="Cambria" w:hAnsi="Cambria"/>
                <w:b/>
                <w:bCs/>
                <w:color w:val="000000"/>
              </w:rPr>
              <w:t xml:space="preserve">Report on Friendly Settlement Agreement No. </w:t>
            </w:r>
            <w:hyperlink r:id="rId12" w:history="1">
              <w:r w:rsidRPr="00DD1E2F">
                <w:rPr>
                  <w:rFonts w:ascii="Cambria" w:hAnsi="Cambria"/>
                  <w:b/>
                  <w:bCs/>
                  <w:color w:val="000000"/>
                  <w:u w:val="single"/>
                </w:rPr>
                <w:t>64/03</w:t>
              </w:r>
            </w:hyperlink>
            <w:r w:rsidRPr="00DD1E2F">
              <w:rPr>
                <w:rFonts w:ascii="Cambria" w:hAnsi="Cambria"/>
                <w:color w:val="000000"/>
              </w:rPr>
              <w:t>, published on October 10, 2003</w:t>
            </w:r>
          </w:p>
          <w:p w14:paraId="5A664658" w14:textId="77777777" w:rsidR="00583C84" w:rsidRPr="00DD1E2F" w:rsidRDefault="00CE4346" w:rsidP="0045789B">
            <w:pPr>
              <w:spacing w:after="0" w:line="240" w:lineRule="auto"/>
              <w:jc w:val="both"/>
              <w:rPr>
                <w:rFonts w:ascii="Cambria" w:hAnsi="Cambria"/>
                <w:color w:val="000000"/>
              </w:rPr>
            </w:pPr>
            <w:r w:rsidRPr="00DD1E2F">
              <w:rPr>
                <w:rFonts w:ascii="Cambria" w:hAnsi="Cambria"/>
                <w:b/>
                <w:bCs/>
                <w:color w:val="000000"/>
              </w:rPr>
              <w:t>Rapporteurship</w:t>
            </w:r>
            <w:r w:rsidR="00583C84" w:rsidRPr="00DD1E2F">
              <w:rPr>
                <w:rFonts w:ascii="Cambria" w:hAnsi="Cambria"/>
                <w:b/>
                <w:bCs/>
                <w:color w:val="000000"/>
              </w:rPr>
              <w:t xml:space="preserve"> involved</w:t>
            </w:r>
            <w:r w:rsidR="00583C84" w:rsidRPr="00DD1E2F">
              <w:rPr>
                <w:rFonts w:ascii="Cambria" w:hAnsi="Cambria"/>
                <w:bCs/>
                <w:color w:val="000000"/>
              </w:rPr>
              <w:t>:</w:t>
            </w:r>
            <w:r w:rsidR="00583C84" w:rsidRPr="00DD1E2F">
              <w:rPr>
                <w:rFonts w:ascii="Cambria" w:hAnsi="Cambria"/>
                <w:color w:val="000000"/>
              </w:rPr>
              <w:t xml:space="preserve"> Persons Deprived of Liberty/[Rights of] Women</w:t>
            </w:r>
          </w:p>
          <w:p w14:paraId="20A589DE" w14:textId="77777777" w:rsidR="00583C84" w:rsidRPr="00DD1E2F" w:rsidRDefault="00583C84" w:rsidP="0045789B">
            <w:pPr>
              <w:spacing w:after="0" w:line="240" w:lineRule="auto"/>
              <w:rPr>
                <w:rFonts w:ascii="Cambria" w:hAnsi="Cambria"/>
                <w:b/>
                <w:bCs/>
                <w:color w:val="000000"/>
              </w:rPr>
            </w:pPr>
            <w:r w:rsidRPr="00DD1E2F">
              <w:rPr>
                <w:rFonts w:ascii="Cambria" w:hAnsi="Cambria"/>
                <w:b/>
                <w:bCs/>
                <w:color w:val="000000"/>
              </w:rPr>
              <w:t>Topics</w:t>
            </w:r>
            <w:r w:rsidRPr="00DD1E2F">
              <w:rPr>
                <w:rFonts w:ascii="Cambria" w:hAnsi="Cambria"/>
                <w:bCs/>
                <w:color w:val="000000"/>
              </w:rPr>
              <w:t>:</w:t>
            </w:r>
            <w:r w:rsidRPr="00DD1E2F">
              <w:rPr>
                <w:rFonts w:ascii="Cambria" w:hAnsi="Cambria"/>
                <w:b/>
                <w:bCs/>
                <w:color w:val="000000"/>
              </w:rPr>
              <w:t xml:space="preserve"> </w:t>
            </w:r>
            <w:r w:rsidRPr="00DD1E2F">
              <w:rPr>
                <w:rFonts w:ascii="Cambria" w:hAnsi="Cambria"/>
                <w:color w:val="000000"/>
              </w:rPr>
              <w:t xml:space="preserve">Persons deprived of liberty/detention centers/rights of women/right to humane treatment/detention conditions/police precincts/care and custody/investigation/prison system/a fair trial/right to privacy/right to equal protection/right to judicial protection </w:t>
            </w:r>
          </w:p>
          <w:p w14:paraId="09A6D2B5" w14:textId="77777777" w:rsidR="00583C84" w:rsidRPr="00DD1E2F" w:rsidRDefault="00583C84" w:rsidP="0045789B">
            <w:pPr>
              <w:spacing w:after="0" w:line="240" w:lineRule="auto"/>
              <w:jc w:val="both"/>
              <w:rPr>
                <w:rFonts w:ascii="Cambria" w:hAnsi="Cambria"/>
                <w:color w:val="000000"/>
              </w:rPr>
            </w:pPr>
          </w:p>
          <w:p w14:paraId="5FEE210D"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bCs/>
                <w:color w:val="000000"/>
              </w:rPr>
              <w:t>Facts</w:t>
            </w:r>
            <w:r w:rsidRPr="00DD1E2F">
              <w:rPr>
                <w:rFonts w:ascii="Cambria" w:hAnsi="Cambria"/>
                <w:bCs/>
                <w:color w:val="000000"/>
              </w:rPr>
              <w:t>:</w:t>
            </w:r>
            <w:r w:rsidRPr="00DD1E2F">
              <w:rPr>
                <w:rFonts w:ascii="Cambria" w:hAnsi="Cambria"/>
                <w:color w:val="000000"/>
              </w:rPr>
              <w:t xml:space="preserve"> The IACHR received a petition on May 19, 1993, in which the petitioners alleged that on May 19, 1993, at 3:00 p.m., Joffre José Valencia Mero and his daughters, Ivonne Rocío Valencia Sánchez and Priscila Zobeida Valencia Sánchez, were detained by the police in Guayaquil at the home of Rosendo Torres, husband of Mr. Valencia’s other daughter. The police, who were heavily armed, violently entered without a search or arrest warrant in search of Rosendo Torres. The police accused the victims of being drug traffickers and took them to the Cuartel Modelo where they were held incommunicado for 12 days. During this time, they were subjected to verbal and physical assault, had to sleep on the floor—or many times standing up—and received threats they would be killed if they did not plead guilty to drug trafficking. During the first few days they were kept blindfolded and were not allowed to eat or bathe. On June 1, 1993, Mr. Valencia was sent to the Men’s Social Rehabilitation Center in Quito and his daughters were sent to the Women’s Prison in Quito.  </w:t>
            </w:r>
          </w:p>
          <w:p w14:paraId="4D76CB82" w14:textId="77777777" w:rsidR="00583C84" w:rsidRPr="00DD1E2F" w:rsidRDefault="00583C84" w:rsidP="0045789B">
            <w:pPr>
              <w:spacing w:after="0" w:line="240" w:lineRule="auto"/>
              <w:jc w:val="both"/>
              <w:rPr>
                <w:rFonts w:ascii="Cambria" w:hAnsi="Cambria"/>
                <w:color w:val="000000"/>
              </w:rPr>
            </w:pPr>
          </w:p>
          <w:p w14:paraId="616A279F"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bCs/>
                <w:color w:val="000000"/>
              </w:rPr>
              <w:t>Rights alleged</w:t>
            </w:r>
            <w:r w:rsidRPr="00DD1E2F">
              <w:rPr>
                <w:rFonts w:ascii="Cambria" w:hAnsi="Cambria"/>
                <w:bCs/>
                <w:color w:val="000000"/>
              </w:rPr>
              <w:t>:</w:t>
            </w:r>
            <w:r w:rsidRPr="00DD1E2F">
              <w:rPr>
                <w:rFonts w:ascii="Cambria" w:hAnsi="Cambria"/>
                <w:color w:val="000000"/>
              </w:rPr>
              <w:t xml:space="preserve"> The petitioners alleged violation of the rights provided for under Articles 5 (humane treatment), 7 (personal liberty), 8 (a fair trial), 11 (privacy), and 25 (judicial protection) [of the American Convention], in breach of the obligations provided for under Article 1(1) thereof, to the detriment of Mr. Joffre José Valencia Mero and his daughters, Ivonne Rocío Valencia Sánchez and Priscila Zobeida Valencia Sánchez.</w:t>
            </w:r>
          </w:p>
        </w:tc>
      </w:tr>
    </w:tbl>
    <w:p w14:paraId="5E67D0AF" w14:textId="77777777" w:rsidR="00583C84" w:rsidRPr="00DD1E2F" w:rsidRDefault="00583C84" w:rsidP="0045789B">
      <w:pPr>
        <w:spacing w:after="0" w:line="240" w:lineRule="auto"/>
        <w:contextualSpacing/>
        <w:jc w:val="both"/>
        <w:rPr>
          <w:rFonts w:ascii="Cambria" w:hAnsi="Cambria"/>
          <w:b/>
          <w:color w:val="000000"/>
        </w:rPr>
      </w:pPr>
    </w:p>
    <w:p w14:paraId="4FBDACDB" w14:textId="77777777" w:rsidR="00583C84" w:rsidRPr="00DD1E2F" w:rsidRDefault="00583C84" w:rsidP="00AD711F">
      <w:pPr>
        <w:pStyle w:val="LightGrid-Accent31"/>
        <w:numPr>
          <w:ilvl w:val="0"/>
          <w:numId w:val="63"/>
        </w:numPr>
        <w:spacing w:after="0" w:line="240" w:lineRule="auto"/>
        <w:ind w:left="-142" w:firstLine="851"/>
        <w:jc w:val="both"/>
        <w:rPr>
          <w:rFonts w:ascii="Cambria" w:hAnsi="Cambria" w:cs="Calibri Light"/>
          <w:b/>
          <w:color w:val="000000"/>
        </w:rPr>
      </w:pPr>
      <w:r w:rsidRPr="00DD1E2F">
        <w:rPr>
          <w:rFonts w:ascii="Cambria" w:hAnsi="Cambria"/>
          <w:b/>
          <w:color w:val="000000"/>
        </w:rPr>
        <w:t>PROCEDURAL ACTIVITY</w:t>
      </w:r>
    </w:p>
    <w:p w14:paraId="3A9D1AE3" w14:textId="77777777" w:rsidR="00583C84" w:rsidRPr="00DD1E2F" w:rsidRDefault="00583C84" w:rsidP="0045789B">
      <w:pPr>
        <w:pStyle w:val="LightGrid-Accent31"/>
        <w:spacing w:after="0" w:line="240" w:lineRule="auto"/>
        <w:ind w:left="-142" w:firstLine="851"/>
        <w:jc w:val="both"/>
        <w:rPr>
          <w:rFonts w:ascii="Cambria" w:hAnsi="Cambria" w:cs="Calibri Light"/>
          <w:b/>
          <w:color w:val="000000"/>
        </w:rPr>
      </w:pPr>
    </w:p>
    <w:p w14:paraId="381D3B53" w14:textId="77777777" w:rsidR="00583C84" w:rsidRPr="00DD1E2F" w:rsidRDefault="00583C84" w:rsidP="00AD711F">
      <w:pPr>
        <w:pStyle w:val="LightGrid-Accent31"/>
        <w:numPr>
          <w:ilvl w:val="0"/>
          <w:numId w:val="64"/>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November 12, 2002, the parties signed the friendly settlement agreement.</w:t>
      </w:r>
    </w:p>
    <w:p w14:paraId="5479B638" w14:textId="77777777" w:rsidR="00583C84" w:rsidRPr="00DD1E2F" w:rsidRDefault="00583C84" w:rsidP="0045789B">
      <w:pPr>
        <w:pStyle w:val="LightGrid-Accent31"/>
        <w:spacing w:after="0" w:line="240" w:lineRule="auto"/>
        <w:ind w:left="-142" w:firstLine="851"/>
        <w:contextualSpacing w:val="0"/>
        <w:jc w:val="both"/>
        <w:rPr>
          <w:rFonts w:ascii="Cambria" w:hAnsi="Cambria" w:cs="Calibri Light"/>
          <w:bCs/>
          <w:color w:val="000000"/>
        </w:rPr>
      </w:pPr>
    </w:p>
    <w:p w14:paraId="5C505EBB" w14:textId="77777777" w:rsidR="00583C84" w:rsidRPr="00DD1E2F" w:rsidRDefault="00583C84" w:rsidP="00AD711F">
      <w:pPr>
        <w:pStyle w:val="LightGrid-Accent31"/>
        <w:numPr>
          <w:ilvl w:val="0"/>
          <w:numId w:val="64"/>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October 10, 2003, the Commission approved the friendly settlement agreement by report No. 64/03.</w:t>
      </w:r>
    </w:p>
    <w:p w14:paraId="124F045A" w14:textId="77777777" w:rsidR="0092467B" w:rsidRPr="00DD1E2F" w:rsidRDefault="0092467B" w:rsidP="0045789B">
      <w:pPr>
        <w:pStyle w:val="LightGrid-Accent31"/>
        <w:spacing w:after="0" w:line="240" w:lineRule="auto"/>
        <w:ind w:left="709"/>
        <w:contextualSpacing w:val="0"/>
        <w:jc w:val="both"/>
        <w:rPr>
          <w:rFonts w:ascii="Cambria" w:hAnsi="Cambria" w:cs="Calibri Light"/>
          <w:bCs/>
          <w:color w:val="000000"/>
        </w:rPr>
      </w:pPr>
    </w:p>
    <w:p w14:paraId="7C66B10E" w14:textId="77777777" w:rsidR="00583C84" w:rsidRPr="00DD1E2F" w:rsidRDefault="00583C84" w:rsidP="00AD711F">
      <w:pPr>
        <w:pStyle w:val="LightGrid-Accent31"/>
        <w:numPr>
          <w:ilvl w:val="0"/>
          <w:numId w:val="63"/>
        </w:numPr>
        <w:spacing w:after="0" w:line="240" w:lineRule="auto"/>
        <w:ind w:left="-142" w:firstLine="851"/>
        <w:jc w:val="both"/>
        <w:rPr>
          <w:rFonts w:ascii="Cambria" w:hAnsi="Cambria" w:cs="Calibri Light"/>
          <w:b/>
          <w:color w:val="000000"/>
        </w:rPr>
      </w:pPr>
      <w:r w:rsidRPr="00DD1E2F">
        <w:rPr>
          <w:rFonts w:ascii="Cambria" w:hAnsi="Cambria" w:cs="Calibri Light"/>
          <w:b/>
          <w:color w:val="000000"/>
        </w:rPr>
        <w:lastRenderedPageBreak/>
        <w:t>ANALYSIS OF COMPLIANCE WITH THE CLAUSES OF THE FRIENDLY SETTLEMENT AGREEMENT</w:t>
      </w:r>
    </w:p>
    <w:p w14:paraId="0AA3676A" w14:textId="77777777" w:rsidR="00583C84" w:rsidRPr="00DD1E2F" w:rsidRDefault="00583C84" w:rsidP="0045789B">
      <w:pPr>
        <w:spacing w:after="0" w:line="240" w:lineRule="auto"/>
        <w:ind w:left="1080"/>
        <w:contextualSpacing/>
        <w:jc w:val="both"/>
        <w:rPr>
          <w:rFonts w:ascii="Cambria" w:hAnsi="Cambria"/>
          <w:b/>
          <w:bCs/>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9"/>
        <w:gridCol w:w="2168"/>
        <w:gridCol w:w="9"/>
      </w:tblGrid>
      <w:tr w:rsidR="0071332B" w:rsidRPr="00DD1E2F" w14:paraId="084B91DF" w14:textId="77777777" w:rsidTr="00EE07D8">
        <w:trPr>
          <w:gridAfter w:val="1"/>
          <w:wAfter w:w="9" w:type="dxa"/>
          <w:jc w:val="center"/>
        </w:trPr>
        <w:tc>
          <w:tcPr>
            <w:tcW w:w="71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314C4" w14:textId="77777777" w:rsidR="0071332B" w:rsidRPr="00DD1E2F" w:rsidRDefault="0071332B" w:rsidP="0045789B">
            <w:pPr>
              <w:spacing w:after="0" w:line="240" w:lineRule="auto"/>
              <w:jc w:val="center"/>
              <w:rPr>
                <w:rFonts w:ascii="Cambria" w:hAnsi="Cambria"/>
                <w:b/>
                <w:color w:val="000000"/>
              </w:rPr>
            </w:pPr>
            <w:r w:rsidRPr="00DD1E2F">
              <w:rPr>
                <w:rFonts w:ascii="Cambria" w:hAnsi="Cambria"/>
                <w:b/>
                <w:color w:val="000000"/>
              </w:rPr>
              <w:t>Agreement clause</w:t>
            </w:r>
          </w:p>
        </w:tc>
        <w:tc>
          <w:tcPr>
            <w:tcW w:w="21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007315" w14:textId="77777777" w:rsidR="0071332B" w:rsidRPr="00DD1E2F" w:rsidRDefault="0071332B" w:rsidP="0045789B">
            <w:pPr>
              <w:spacing w:after="0" w:line="240" w:lineRule="auto"/>
              <w:jc w:val="center"/>
              <w:rPr>
                <w:rFonts w:ascii="Cambria" w:hAnsi="Cambria"/>
                <w:b/>
                <w:color w:val="000000"/>
              </w:rPr>
            </w:pPr>
            <w:r w:rsidRPr="00DD1E2F">
              <w:rPr>
                <w:rFonts w:ascii="Cambria" w:hAnsi="Cambria"/>
                <w:b/>
                <w:color w:val="000000"/>
              </w:rPr>
              <w:t>State of compliance</w:t>
            </w:r>
          </w:p>
        </w:tc>
      </w:tr>
      <w:tr w:rsidR="0045789B" w:rsidRPr="00DD1E2F" w14:paraId="45EBFD89" w14:textId="77777777" w:rsidTr="00EE07D8">
        <w:trPr>
          <w:gridAfter w:val="1"/>
          <w:wAfter w:w="9" w:type="dxa"/>
          <w:jc w:val="center"/>
        </w:trPr>
        <w:tc>
          <w:tcPr>
            <w:tcW w:w="7179" w:type="dxa"/>
            <w:tcBorders>
              <w:top w:val="single" w:sz="4" w:space="0" w:color="auto"/>
              <w:left w:val="single" w:sz="4" w:space="0" w:color="auto"/>
              <w:bottom w:val="single" w:sz="4" w:space="0" w:color="auto"/>
              <w:right w:val="single" w:sz="4" w:space="0" w:color="auto"/>
            </w:tcBorders>
            <w:vAlign w:val="center"/>
          </w:tcPr>
          <w:p w14:paraId="5627D60D" w14:textId="77777777" w:rsidR="0045789B" w:rsidRPr="00DD1E2F" w:rsidRDefault="0045789B" w:rsidP="0045789B">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III.         STATE RESPONSIBILITY AND ACCEPTANCE</w:t>
            </w:r>
          </w:p>
          <w:p w14:paraId="514B99D9" w14:textId="77777777" w:rsidR="0045789B" w:rsidRPr="00DD1E2F" w:rsidRDefault="0045789B" w:rsidP="0045789B">
            <w:pPr>
              <w:spacing w:after="0" w:line="240" w:lineRule="auto"/>
              <w:jc w:val="both"/>
              <w:rPr>
                <w:rFonts w:ascii="Cambria" w:eastAsia="Times New Roman" w:hAnsi="Cambria"/>
                <w:color w:val="000000"/>
              </w:rPr>
            </w:pPr>
            <w:r w:rsidRPr="00DD1E2F">
              <w:rPr>
                <w:rFonts w:ascii="Cambria" w:eastAsia="Times New Roman" w:hAnsi="Cambria"/>
                <w:color w:val="000000"/>
              </w:rPr>
              <w:t>The Ecuadorian State recognizes its international responsibility for having violated the human rights of Mr. Joffre José Valencia Mero [of Ms. Ivonne Rocío Valencia Sánchez] [of Ms. Priscilla Zoreida Valencia Sánchez] as enshrined in Article 8 (Right to a Fair Trial), Article 7 (Right to Personal Liberty), and Article 25 (Judicial Protection) of the American Convention on Human Rights, in conjunction with the general obligation contained in Article 1(1) thereof, and in other international instruments, since the violations were committed by State agents and could not be disproved by the State, thus giving rise to State responsibility.</w:t>
            </w:r>
          </w:p>
          <w:p w14:paraId="5C59ED9A" w14:textId="77777777" w:rsidR="0045789B" w:rsidRPr="00DD1E2F" w:rsidRDefault="0045789B" w:rsidP="0045789B">
            <w:pPr>
              <w:spacing w:after="0" w:line="240" w:lineRule="auto"/>
              <w:jc w:val="both"/>
              <w:rPr>
                <w:rFonts w:ascii="Cambria" w:eastAsia="Times New Roman" w:hAnsi="Cambria"/>
                <w:color w:val="000000"/>
              </w:rPr>
            </w:pPr>
          </w:p>
          <w:p w14:paraId="00FD09A3" w14:textId="77777777" w:rsidR="0045789B" w:rsidRPr="00DD1E2F" w:rsidRDefault="0045789B" w:rsidP="0045789B">
            <w:pPr>
              <w:spacing w:after="0" w:line="240" w:lineRule="auto"/>
              <w:jc w:val="both"/>
              <w:rPr>
                <w:rFonts w:ascii="Cambria" w:eastAsia="Times New Roman" w:hAnsi="Cambria"/>
                <w:b/>
                <w:bCs/>
                <w:color w:val="000000"/>
              </w:rPr>
            </w:pPr>
            <w:r w:rsidRPr="00DD1E2F">
              <w:rPr>
                <w:rFonts w:ascii="Cambria" w:eastAsia="Times New Roman" w:hAnsi="Cambria"/>
                <w:color w:val="000000"/>
              </w:rPr>
              <w:t>Given the above, the Ecuadorian State accepts the facts in case No. 12.188 now before the Inter-American Commission on Human Rights and agrees to undertake the necessary reparatory steps to compensate the victims, or their successors, for the damages caused by those violations.</w:t>
            </w:r>
          </w:p>
        </w:tc>
        <w:tc>
          <w:tcPr>
            <w:tcW w:w="2168" w:type="dxa"/>
            <w:tcBorders>
              <w:top w:val="single" w:sz="4" w:space="0" w:color="auto"/>
              <w:left w:val="single" w:sz="4" w:space="0" w:color="auto"/>
              <w:bottom w:val="single" w:sz="4" w:space="0" w:color="auto"/>
              <w:right w:val="single" w:sz="4" w:space="0" w:color="auto"/>
            </w:tcBorders>
            <w:vAlign w:val="center"/>
          </w:tcPr>
          <w:p w14:paraId="066759C8" w14:textId="77777777" w:rsidR="0045789B" w:rsidRPr="00DD1E2F" w:rsidRDefault="0045789B" w:rsidP="0045789B">
            <w:pPr>
              <w:spacing w:after="0" w:line="240" w:lineRule="auto"/>
              <w:jc w:val="center"/>
              <w:rPr>
                <w:rFonts w:ascii="Cambria" w:hAnsi="Cambria"/>
                <w:b/>
                <w:color w:val="000000"/>
              </w:rPr>
            </w:pPr>
            <w:r w:rsidRPr="00DD1E2F">
              <w:rPr>
                <w:rFonts w:ascii="Cambria" w:hAnsi="Cambria"/>
                <w:b/>
                <w:color w:val="000000"/>
              </w:rPr>
              <w:t>Declarative</w:t>
            </w:r>
          </w:p>
        </w:tc>
      </w:tr>
      <w:tr w:rsidR="00583C84" w:rsidRPr="00DD1E2F" w14:paraId="4610DAF2" w14:textId="77777777" w:rsidTr="00EE07D8">
        <w:trPr>
          <w:gridAfter w:val="1"/>
          <w:wAfter w:w="9" w:type="dxa"/>
          <w:jc w:val="center"/>
        </w:trPr>
        <w:tc>
          <w:tcPr>
            <w:tcW w:w="7179" w:type="dxa"/>
            <w:tcBorders>
              <w:top w:val="single" w:sz="4" w:space="0" w:color="auto"/>
              <w:left w:val="single" w:sz="4" w:space="0" w:color="auto"/>
              <w:bottom w:val="single" w:sz="4" w:space="0" w:color="auto"/>
              <w:right w:val="single" w:sz="4" w:space="0" w:color="auto"/>
            </w:tcBorders>
            <w:vAlign w:val="center"/>
            <w:hideMark/>
          </w:tcPr>
          <w:p w14:paraId="096A58BB" w14:textId="77777777" w:rsidR="00583C84" w:rsidRPr="00DD1E2F" w:rsidRDefault="00583C84" w:rsidP="0045789B">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IV.   COMPENSATION</w:t>
            </w:r>
          </w:p>
          <w:p w14:paraId="4FDABDFF" w14:textId="77777777" w:rsidR="00583C84" w:rsidRPr="00DD1E2F" w:rsidRDefault="00583C84" w:rsidP="0045789B">
            <w:pPr>
              <w:spacing w:after="0" w:line="240" w:lineRule="auto"/>
              <w:jc w:val="both"/>
              <w:rPr>
                <w:rFonts w:ascii="Cambria" w:eastAsia="Times New Roman" w:hAnsi="Cambria"/>
                <w:color w:val="000000"/>
              </w:rPr>
            </w:pPr>
            <w:r w:rsidRPr="00DD1E2F">
              <w:rPr>
                <w:rFonts w:ascii="Cambria" w:eastAsia="Times New Roman" w:hAnsi="Cambria"/>
                <w:color w:val="000000"/>
              </w:rPr>
              <w:t>In view of the foregoing, the Ecuadorian State, through the Attorney General, as the sole judicial representative of the Ecuadorian State, according to Article 215 of the Constitution of Ecuador, promulgated in Official Register No. 1, and in force since August 11, 1998, is awarding Mr. Joffre José Valencia Mero, citizenship document No. 120027574-9 [is awarding Ms. Ivonne Valencia Sánchez, citizenship document No. 091197036-6] [is awarding Ms. Priscilla Zoreida Valencia Sánchez, citizenship document No. 091492945-0] lump sum compensatory damages of twenty-five thousand United States dollars (USD $25,000.00), to be paid from the National Budget. […]</w:t>
            </w:r>
          </w:p>
        </w:tc>
        <w:tc>
          <w:tcPr>
            <w:tcW w:w="2168" w:type="dxa"/>
            <w:tcBorders>
              <w:top w:val="single" w:sz="4" w:space="0" w:color="auto"/>
              <w:left w:val="single" w:sz="4" w:space="0" w:color="auto"/>
              <w:bottom w:val="single" w:sz="4" w:space="0" w:color="auto"/>
              <w:right w:val="single" w:sz="4" w:space="0" w:color="auto"/>
            </w:tcBorders>
            <w:vAlign w:val="center"/>
            <w:hideMark/>
          </w:tcPr>
          <w:p w14:paraId="15B7C518" w14:textId="77777777" w:rsidR="00583C84" w:rsidRPr="00DD1E2F" w:rsidRDefault="00583C84" w:rsidP="0045789B">
            <w:pPr>
              <w:spacing w:after="0" w:line="240" w:lineRule="auto"/>
              <w:jc w:val="center"/>
              <w:rPr>
                <w:rFonts w:ascii="Cambria" w:hAnsi="Cambria"/>
                <w:color w:val="000000"/>
              </w:rPr>
            </w:pPr>
            <w:r w:rsidRPr="00DD1E2F">
              <w:rPr>
                <w:rFonts w:ascii="Cambria" w:hAnsi="Cambria"/>
                <w:b/>
                <w:color w:val="000000"/>
              </w:rPr>
              <w:t>Total</w:t>
            </w:r>
            <w:r w:rsidRPr="00DD1E2F">
              <w:rPr>
                <w:rFonts w:ascii="Cambria" w:hAnsi="Cambria"/>
                <w:b/>
                <w:color w:val="000000"/>
                <w:vertAlign w:val="superscript"/>
              </w:rPr>
              <w:footnoteReference w:id="1"/>
            </w:r>
          </w:p>
        </w:tc>
      </w:tr>
      <w:tr w:rsidR="00EE07D8" w:rsidRPr="00DD1E2F" w14:paraId="1CBE7CD1" w14:textId="77777777" w:rsidTr="00EE07D8">
        <w:trPr>
          <w:trHeight w:val="3415"/>
          <w:jc w:val="center"/>
        </w:trPr>
        <w:tc>
          <w:tcPr>
            <w:tcW w:w="7179" w:type="dxa"/>
            <w:tcBorders>
              <w:top w:val="single" w:sz="4" w:space="0" w:color="auto"/>
              <w:left w:val="single" w:sz="4" w:space="0" w:color="auto"/>
              <w:bottom w:val="single" w:sz="4" w:space="0" w:color="auto"/>
              <w:right w:val="single" w:sz="4" w:space="0" w:color="auto"/>
            </w:tcBorders>
            <w:hideMark/>
          </w:tcPr>
          <w:p w14:paraId="0FAC5CB8" w14:textId="77777777" w:rsidR="00EE07D8" w:rsidRPr="00DD1E2F" w:rsidRDefault="00EE07D8" w:rsidP="0045789B">
            <w:pPr>
              <w:spacing w:after="0" w:line="240" w:lineRule="auto"/>
              <w:ind w:hanging="18"/>
              <w:jc w:val="both"/>
              <w:rPr>
                <w:rFonts w:ascii="Cambria" w:eastAsia="Times New Roman" w:hAnsi="Cambria"/>
                <w:b/>
                <w:color w:val="000000"/>
              </w:rPr>
            </w:pPr>
            <w:r w:rsidRPr="00DD1E2F">
              <w:rPr>
                <w:rFonts w:ascii="Cambria" w:eastAsia="Times New Roman" w:hAnsi="Cambria"/>
                <w:b/>
                <w:color w:val="000000"/>
              </w:rPr>
              <w:t xml:space="preserve">V. </w:t>
            </w:r>
            <w:r w:rsidRPr="00DD1E2F">
              <w:rPr>
                <w:rFonts w:ascii="Cambria" w:eastAsia="Times New Roman" w:hAnsi="Cambria"/>
                <w:b/>
                <w:bCs/>
                <w:color w:val="000000"/>
              </w:rPr>
              <w:t>PUNISHMENT OF THOSE RESPONSIBLE</w:t>
            </w:r>
          </w:p>
          <w:p w14:paraId="626DBA69" w14:textId="77777777" w:rsidR="00EE07D8" w:rsidRPr="00DD1E2F" w:rsidRDefault="00EE07D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 xml:space="preserve">The Ecuadorian State undertakes, to the extent possible, to bring both civil and criminal proceedings and to pursue administrative sanctions against those persons who, in the course of their official duties or the exercise of public power, are presumed to have participated in the reported violations. </w:t>
            </w:r>
          </w:p>
          <w:p w14:paraId="2695377F" w14:textId="77777777" w:rsidR="00EE07D8" w:rsidRPr="00DD1E2F" w:rsidRDefault="00EE07D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 </w:t>
            </w:r>
          </w:p>
          <w:p w14:paraId="457EC573" w14:textId="77777777" w:rsidR="00EE07D8" w:rsidRPr="00DD1E2F" w:rsidRDefault="00EE07D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The office of the Attorney General undertakes to encourage the Public Prosecutor of the State, the competent judicial organs, and the competent public or private agencies to provide legal evidence to determine the responsibility of those persons. If appropriate, prosecution will be pursued in accordance with the constitutional and legal framework of the Ecuadorian State.</w:t>
            </w:r>
          </w:p>
          <w:p w14:paraId="2B699D1A" w14:textId="77777777" w:rsidR="00EE07D8" w:rsidRPr="00DD1E2F" w:rsidRDefault="00EE07D8" w:rsidP="0045789B">
            <w:pPr>
              <w:spacing w:after="0" w:line="240" w:lineRule="auto"/>
              <w:ind w:hanging="18"/>
              <w:jc w:val="both"/>
              <w:rPr>
                <w:rFonts w:ascii="Cambria" w:eastAsia="Times New Roman" w:hAnsi="Cambria"/>
                <w:color w:val="000000"/>
              </w:rPr>
            </w:pPr>
          </w:p>
        </w:tc>
        <w:tc>
          <w:tcPr>
            <w:tcW w:w="2177" w:type="dxa"/>
            <w:gridSpan w:val="2"/>
            <w:tcBorders>
              <w:top w:val="single" w:sz="4" w:space="0" w:color="auto"/>
              <w:left w:val="single" w:sz="4" w:space="0" w:color="auto"/>
              <w:bottom w:val="single" w:sz="4" w:space="0" w:color="auto"/>
              <w:right w:val="single" w:sz="4" w:space="0" w:color="auto"/>
            </w:tcBorders>
            <w:vAlign w:val="center"/>
            <w:hideMark/>
          </w:tcPr>
          <w:p w14:paraId="0DBCBD80" w14:textId="77777777" w:rsidR="00EE07D8" w:rsidRPr="00DD1E2F" w:rsidRDefault="0045789B" w:rsidP="0045789B">
            <w:pPr>
              <w:autoSpaceDE w:val="0"/>
              <w:autoSpaceDN w:val="0"/>
              <w:adjustRightInd w:val="0"/>
              <w:spacing w:after="0" w:line="240" w:lineRule="auto"/>
              <w:jc w:val="center"/>
              <w:rPr>
                <w:rFonts w:ascii="Cambria" w:eastAsia="MS Mincho" w:hAnsi="Cambria"/>
                <w:b/>
                <w:bCs/>
                <w:color w:val="000000"/>
              </w:rPr>
            </w:pPr>
            <w:r w:rsidRPr="00DD1E2F">
              <w:rPr>
                <w:rFonts w:ascii="Cambria" w:eastAsia="MS Mincho" w:hAnsi="Cambria"/>
                <w:b/>
                <w:bCs/>
                <w:color w:val="000000"/>
              </w:rPr>
              <w:t>Noncompliance</w:t>
            </w:r>
            <w:r w:rsidR="00EE07D8" w:rsidRPr="00DD1E2F">
              <w:rPr>
                <w:rStyle w:val="FootnoteReference"/>
                <w:rFonts w:ascii="Cambria" w:eastAsia="MS Mincho" w:hAnsi="Cambria"/>
                <w:b/>
                <w:bCs/>
                <w:color w:val="000000"/>
              </w:rPr>
              <w:footnoteReference w:id="2"/>
            </w:r>
          </w:p>
        </w:tc>
      </w:tr>
    </w:tbl>
    <w:p w14:paraId="52C722EF" w14:textId="77777777" w:rsidR="00583C84" w:rsidRPr="00DD1E2F" w:rsidRDefault="00583C84" w:rsidP="0045789B">
      <w:pPr>
        <w:autoSpaceDE w:val="0"/>
        <w:autoSpaceDN w:val="0"/>
        <w:spacing w:after="0" w:line="240" w:lineRule="auto"/>
        <w:jc w:val="both"/>
        <w:rPr>
          <w:rFonts w:ascii="Cambria" w:hAnsi="Cambria"/>
          <w:color w:val="000000"/>
        </w:rPr>
      </w:pPr>
    </w:p>
    <w:p w14:paraId="3C940FD4" w14:textId="77777777" w:rsidR="00583C84" w:rsidRPr="00DD1E2F" w:rsidRDefault="00583C84" w:rsidP="00AD711F">
      <w:pPr>
        <w:pStyle w:val="ListParagraph"/>
        <w:numPr>
          <w:ilvl w:val="0"/>
          <w:numId w:val="63"/>
        </w:numPr>
        <w:autoSpaceDE w:val="0"/>
        <w:autoSpaceDN w:val="0"/>
        <w:adjustRightInd w:val="0"/>
        <w:spacing w:after="0" w:line="240" w:lineRule="auto"/>
        <w:ind w:left="-142" w:firstLine="851"/>
        <w:jc w:val="both"/>
        <w:rPr>
          <w:rFonts w:ascii="Cambria" w:hAnsi="Cambria"/>
          <w:color w:val="000000"/>
          <w:lang w:val="en-US"/>
        </w:rPr>
      </w:pPr>
      <w:r w:rsidRPr="00DD1E2F">
        <w:rPr>
          <w:rFonts w:ascii="Cambria" w:hAnsi="Cambria" w:cs="Calibri Light"/>
          <w:b/>
          <w:color w:val="000000"/>
          <w:lang w:val="en-US"/>
        </w:rPr>
        <w:lastRenderedPageBreak/>
        <w:t>LEVEL OF COMPLIANCE OF THE CASE</w:t>
      </w:r>
    </w:p>
    <w:p w14:paraId="17300C2A" w14:textId="77777777" w:rsidR="00583C84" w:rsidRPr="00DD1E2F" w:rsidRDefault="00583C84" w:rsidP="0045789B">
      <w:pPr>
        <w:autoSpaceDE w:val="0"/>
        <w:autoSpaceDN w:val="0"/>
        <w:spacing w:after="0" w:line="240" w:lineRule="auto"/>
        <w:jc w:val="both"/>
        <w:rPr>
          <w:rFonts w:ascii="Cambria" w:hAnsi="Cambria"/>
          <w:color w:val="000000"/>
        </w:rPr>
      </w:pPr>
    </w:p>
    <w:p w14:paraId="294F5A10" w14:textId="77777777" w:rsidR="00C931AE" w:rsidRPr="00DD1E2F" w:rsidRDefault="00583C84" w:rsidP="00AD711F">
      <w:pPr>
        <w:numPr>
          <w:ilvl w:val="0"/>
          <w:numId w:val="64"/>
        </w:numPr>
        <w:autoSpaceDE w:val="0"/>
        <w:autoSpaceDN w:val="0"/>
        <w:spacing w:after="0" w:line="240" w:lineRule="auto"/>
        <w:ind w:left="-142" w:firstLine="851"/>
        <w:jc w:val="both"/>
        <w:rPr>
          <w:rFonts w:ascii="Cambria" w:eastAsia="MS Mincho" w:hAnsi="Cambria"/>
          <w:color w:val="000000"/>
        </w:rPr>
      </w:pPr>
      <w:r w:rsidRPr="00DD1E2F">
        <w:rPr>
          <w:rFonts w:ascii="Cambria" w:eastAsia="MS Mincho" w:hAnsi="Cambria"/>
          <w:color w:val="000000"/>
        </w:rPr>
        <w:t xml:space="preserve">The Commission evaluated the petitioner’s request of December 3, 2015, to have the Commission cease monitoring the agreement and archive the case given the prescription of the criminal action and loss of contact with the victims in the case. Bearing in mind that this is not a case of grave human rights violations that are imprescriptible pursuant to settled case law of the Inter-American Court and Commission, the Commission </w:t>
      </w:r>
      <w:r w:rsidR="008F7FFD" w:rsidRPr="00DD1E2F">
        <w:rPr>
          <w:rFonts w:ascii="Cambria" w:eastAsia="MS Mincho" w:hAnsi="Cambria"/>
          <w:color w:val="000000"/>
        </w:rPr>
        <w:t>decided</w:t>
      </w:r>
      <w:r w:rsidRPr="00DD1E2F">
        <w:rPr>
          <w:rFonts w:ascii="Cambria" w:eastAsia="MS Mincho" w:hAnsi="Cambria"/>
          <w:color w:val="000000"/>
        </w:rPr>
        <w:t xml:space="preserve"> to </w:t>
      </w:r>
      <w:r w:rsidR="00F86C52" w:rsidRPr="00DD1E2F">
        <w:rPr>
          <w:rFonts w:ascii="Cambria" w:eastAsia="MS Mincho" w:hAnsi="Cambria"/>
          <w:color w:val="000000"/>
        </w:rPr>
        <w:t>note</w:t>
      </w:r>
      <w:r w:rsidRPr="00DD1E2F">
        <w:rPr>
          <w:rFonts w:ascii="Cambria" w:eastAsia="MS Mincho" w:hAnsi="Cambria"/>
          <w:color w:val="000000"/>
        </w:rPr>
        <w:t xml:space="preserve"> on </w:t>
      </w:r>
      <w:r w:rsidR="00F86C52" w:rsidRPr="00DD1E2F">
        <w:rPr>
          <w:rFonts w:ascii="Cambria" w:eastAsia="MS Mincho" w:hAnsi="Cambria"/>
          <w:color w:val="000000"/>
        </w:rPr>
        <w:t xml:space="preserve">the </w:t>
      </w:r>
      <w:r w:rsidRPr="00DD1E2F">
        <w:rPr>
          <w:rFonts w:ascii="Cambria" w:eastAsia="MS Mincho" w:hAnsi="Cambria"/>
          <w:color w:val="000000"/>
        </w:rPr>
        <w:t>record that the Ecuadorian State has failed to comply with the measure to bring the perpetrators to justice and compliance with the agreement remains partial.</w:t>
      </w:r>
    </w:p>
    <w:p w14:paraId="643ED121" w14:textId="77777777" w:rsidR="00583C84" w:rsidRPr="00DD1E2F" w:rsidRDefault="00583C84" w:rsidP="0045789B">
      <w:pPr>
        <w:autoSpaceDE w:val="0"/>
        <w:autoSpaceDN w:val="0"/>
        <w:spacing w:after="0" w:line="240" w:lineRule="auto"/>
        <w:jc w:val="both"/>
        <w:rPr>
          <w:rFonts w:ascii="Cambria" w:hAnsi="Cambria"/>
          <w:color w:val="000000"/>
        </w:rPr>
      </w:pPr>
    </w:p>
    <w:p w14:paraId="58E9DD77" w14:textId="77777777" w:rsidR="00583C84" w:rsidRPr="00DD1E2F" w:rsidRDefault="00583C84" w:rsidP="0045789B">
      <w:pPr>
        <w:pStyle w:val="LightGrid-Accent31"/>
        <w:spacing w:after="0" w:line="240" w:lineRule="auto"/>
        <w:ind w:left="426" w:firstLine="283"/>
        <w:jc w:val="both"/>
        <w:rPr>
          <w:rFonts w:ascii="Cambria" w:hAnsi="Cambria" w:cs="Calibri Light"/>
          <w:b/>
          <w:color w:val="000000"/>
        </w:rPr>
      </w:pPr>
      <w:r w:rsidRPr="00DD1E2F">
        <w:rPr>
          <w:rFonts w:ascii="Cambria" w:hAnsi="Cambria" w:cs="Calibri Light"/>
          <w:b/>
          <w:color w:val="000000"/>
        </w:rPr>
        <w:t xml:space="preserve">V.             INDIVIDUAL AND STRUCTURAL OUTCOMES OF THE CASE </w:t>
      </w:r>
    </w:p>
    <w:p w14:paraId="1EE20F73" w14:textId="77777777" w:rsidR="00583C84" w:rsidRPr="00DD1E2F" w:rsidRDefault="00583C84" w:rsidP="0045789B">
      <w:pPr>
        <w:spacing w:after="0" w:line="240" w:lineRule="auto"/>
        <w:ind w:left="1080"/>
        <w:contextualSpacing/>
        <w:jc w:val="both"/>
        <w:rPr>
          <w:rFonts w:ascii="Cambria" w:hAnsi="Cambria"/>
          <w:b/>
          <w:bCs/>
          <w:color w:val="000000"/>
        </w:rPr>
      </w:pPr>
    </w:p>
    <w:p w14:paraId="617773DC" w14:textId="77777777" w:rsidR="00583C84" w:rsidRPr="00DD1E2F" w:rsidRDefault="00583C84" w:rsidP="00AD711F">
      <w:pPr>
        <w:numPr>
          <w:ilvl w:val="0"/>
          <w:numId w:val="61"/>
        </w:numPr>
        <w:spacing w:after="0" w:line="240" w:lineRule="auto"/>
        <w:ind w:left="1440" w:hanging="720"/>
        <w:contextualSpacing/>
        <w:jc w:val="both"/>
        <w:rPr>
          <w:rFonts w:ascii="Cambria" w:hAnsi="Cambria"/>
          <w:b/>
          <w:bCs/>
          <w:color w:val="000000"/>
        </w:rPr>
      </w:pPr>
      <w:r w:rsidRPr="00DD1E2F">
        <w:rPr>
          <w:rFonts w:ascii="Cambria" w:hAnsi="Cambria"/>
          <w:b/>
          <w:bCs/>
          <w:color w:val="000000"/>
        </w:rPr>
        <w:t>Individual results in the case</w:t>
      </w:r>
    </w:p>
    <w:p w14:paraId="3EA4AAE5" w14:textId="77777777" w:rsidR="00583C84" w:rsidRPr="00DD1E2F" w:rsidRDefault="00583C84" w:rsidP="0045789B">
      <w:pPr>
        <w:spacing w:after="0" w:line="240" w:lineRule="auto"/>
        <w:ind w:left="720"/>
        <w:contextualSpacing/>
        <w:jc w:val="both"/>
        <w:rPr>
          <w:rFonts w:ascii="Cambria" w:hAnsi="Cambria"/>
          <w:b/>
          <w:bCs/>
          <w:color w:val="000000"/>
        </w:rPr>
      </w:pPr>
    </w:p>
    <w:p w14:paraId="4E3CE337" w14:textId="77777777" w:rsidR="00C931AE" w:rsidRPr="00DD1E2F" w:rsidRDefault="00583C84" w:rsidP="0045789B">
      <w:pPr>
        <w:numPr>
          <w:ilvl w:val="0"/>
          <w:numId w:val="3"/>
        </w:numPr>
        <w:spacing w:after="0" w:line="240" w:lineRule="auto"/>
        <w:ind w:hanging="11"/>
        <w:contextualSpacing/>
        <w:jc w:val="both"/>
        <w:rPr>
          <w:rFonts w:ascii="Cambria" w:hAnsi="Cambria"/>
          <w:color w:val="000000"/>
        </w:rPr>
      </w:pPr>
      <w:r w:rsidRPr="00DD1E2F">
        <w:rPr>
          <w:rFonts w:ascii="Cambria" w:hAnsi="Cambria"/>
          <w:color w:val="000000"/>
        </w:rPr>
        <w:t>The State paid financial compensation, as set forth under the agreement.</w:t>
      </w:r>
    </w:p>
    <w:p w14:paraId="10E58E86" w14:textId="77777777" w:rsidR="008837A8" w:rsidRDefault="008837A8" w:rsidP="004373C1">
      <w:pPr>
        <w:spacing w:after="0" w:line="240" w:lineRule="auto"/>
        <w:contextualSpacing/>
        <w:jc w:val="both"/>
        <w:rPr>
          <w:rFonts w:ascii="Cambria" w:hAnsi="Cambria"/>
          <w:color w:val="000000"/>
        </w:rPr>
      </w:pPr>
    </w:p>
    <w:p w14:paraId="5199607A" w14:textId="77777777" w:rsidR="004373C1" w:rsidRDefault="004373C1" w:rsidP="004373C1">
      <w:pPr>
        <w:spacing w:after="0" w:line="240" w:lineRule="auto"/>
        <w:contextualSpacing/>
        <w:jc w:val="both"/>
        <w:rPr>
          <w:rFonts w:ascii="Cambria" w:hAnsi="Cambria"/>
          <w:color w:val="000000"/>
        </w:rPr>
      </w:pPr>
    </w:p>
    <w:p w14:paraId="04171233" w14:textId="77777777" w:rsidR="008837A8" w:rsidRPr="00DD1E2F" w:rsidRDefault="008837A8" w:rsidP="0045789B">
      <w:pPr>
        <w:pStyle w:val="MediumGrid2-Accent11"/>
        <w:ind w:left="-270" w:right="-270"/>
        <w:jc w:val="center"/>
        <w:rPr>
          <w:rFonts w:ascii="Cambria" w:hAnsi="Cambria"/>
          <w:b/>
          <w:color w:val="000000"/>
          <w:lang w:val="en-US"/>
        </w:rPr>
      </w:pPr>
    </w:p>
    <w:sectPr w:rsidR="008837A8" w:rsidRPr="00DD1E2F" w:rsidSect="008E42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FEF0" w14:textId="77777777" w:rsidR="00834F0C" w:rsidRDefault="00834F0C" w:rsidP="00A343FF">
      <w:pPr>
        <w:spacing w:after="0" w:line="240" w:lineRule="auto"/>
      </w:pPr>
      <w:r>
        <w:separator/>
      </w:r>
    </w:p>
  </w:endnote>
  <w:endnote w:type="continuationSeparator" w:id="0">
    <w:p w14:paraId="2E188F64" w14:textId="77777777" w:rsidR="00834F0C" w:rsidRDefault="00834F0C"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1A24"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3A48"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2CB8A67D"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F93E" w14:textId="77777777" w:rsidR="006D7134" w:rsidRDefault="00003B60" w:rsidP="008F2248">
    <w:pPr>
      <w:pStyle w:val="Footer"/>
      <w:spacing w:line="360" w:lineRule="auto"/>
    </w:pPr>
    <w:r>
      <w:pict w14:anchorId="66FA426B">
        <v:rect id="_x0000_i1028" style="width:0;height:1.5pt" o:hralign="center" o:hrstd="t" o:hr="t" fillcolor="#a0a0a0" stroked="f"/>
      </w:pict>
    </w:r>
  </w:p>
  <w:p w14:paraId="5B4D91A5" w14:textId="77777777" w:rsidR="006D7134" w:rsidRDefault="00003B60" w:rsidP="006E2BD8">
    <w:pPr>
      <w:pStyle w:val="Footer"/>
      <w:jc w:val="center"/>
    </w:pPr>
    <w:r>
      <w:pict w14:anchorId="13D55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24.7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D4E5" w14:textId="77777777" w:rsidR="00834F0C" w:rsidRDefault="00834F0C" w:rsidP="00A343FF">
      <w:pPr>
        <w:spacing w:after="0" w:line="240" w:lineRule="auto"/>
      </w:pPr>
      <w:r>
        <w:separator/>
      </w:r>
    </w:p>
  </w:footnote>
  <w:footnote w:type="continuationSeparator" w:id="0">
    <w:p w14:paraId="59E659CB" w14:textId="77777777" w:rsidR="00834F0C" w:rsidRDefault="00834F0C" w:rsidP="00A343FF">
      <w:pPr>
        <w:spacing w:after="0" w:line="240" w:lineRule="auto"/>
      </w:pPr>
      <w:r>
        <w:continuationSeparator/>
      </w:r>
    </w:p>
  </w:footnote>
  <w:footnote w:id="1">
    <w:p w14:paraId="29D2E1F5" w14:textId="77777777" w:rsidR="006D7134" w:rsidRPr="00FE4EE5" w:rsidRDefault="006D7134" w:rsidP="00583C84">
      <w:pPr>
        <w:pStyle w:val="FootnoteText"/>
        <w:ind w:firstLine="709"/>
        <w:jc w:val="both"/>
        <w:rPr>
          <w:rFonts w:ascii="Cambria" w:hAnsi="Cambria"/>
          <w:color w:val="000000"/>
          <w:sz w:val="16"/>
          <w:szCs w:val="16"/>
          <w:lang w:val="es-AR"/>
        </w:rPr>
      </w:pPr>
      <w:r w:rsidRPr="00FE4EE5">
        <w:rPr>
          <w:rStyle w:val="FootnoteReference"/>
          <w:rFonts w:ascii="Cambria" w:hAnsi="Cambria"/>
          <w:color w:val="000000"/>
          <w:sz w:val="16"/>
          <w:szCs w:val="16"/>
        </w:rPr>
        <w:footnoteRef/>
      </w:r>
      <w:r w:rsidRPr="00FE4EE5">
        <w:rPr>
          <w:rFonts w:ascii="Cambria" w:hAnsi="Cambria"/>
          <w:color w:val="000000"/>
          <w:sz w:val="16"/>
          <w:szCs w:val="16"/>
          <w:lang w:val="es-AR"/>
        </w:rPr>
        <w:t xml:space="preserve"> Report No. 64/03, Case 12.188, Joffre José Valencia Mero, Priscila Zoreida Valencia Sánchez, Rocío Valencia Sánchez, October 10, 2003.</w:t>
      </w:r>
    </w:p>
  </w:footnote>
  <w:footnote w:id="2">
    <w:p w14:paraId="1A333ABD" w14:textId="77777777" w:rsidR="00EE07D8" w:rsidRPr="00A726E3" w:rsidRDefault="00EE07D8" w:rsidP="00583C84">
      <w:pPr>
        <w:pStyle w:val="FootnoteText"/>
        <w:ind w:firstLine="709"/>
        <w:jc w:val="both"/>
      </w:pPr>
      <w:r w:rsidRPr="00FE4EE5">
        <w:rPr>
          <w:rStyle w:val="FootnoteReference"/>
          <w:rFonts w:ascii="Cambria" w:hAnsi="Cambria"/>
          <w:sz w:val="16"/>
          <w:szCs w:val="16"/>
        </w:rPr>
        <w:footnoteRef/>
      </w:r>
      <w:r w:rsidRPr="00FE4EE5">
        <w:rPr>
          <w:rFonts w:ascii="Cambria" w:hAnsi="Cambria"/>
          <w:sz w:val="16"/>
          <w:szCs w:val="16"/>
        </w:rPr>
        <w:t xml:space="preserve"> See IACHR, Annual Report 2018, Chapter II, Section G. Status of Compliance with the Recommendations Issued by the IACHR in Merits Reports and Friendly Settlement Agreements Approved by the IACHR. Available at: </w:t>
      </w:r>
      <w:hyperlink r:id="rId1" w:history="1">
        <w:r w:rsidRPr="00FE4EE5">
          <w:rPr>
            <w:rStyle w:val="Hyperlink"/>
            <w:rFonts w:ascii="Cambria" w:hAnsi="Cambria"/>
            <w:sz w:val="16"/>
            <w:szCs w:val="16"/>
          </w:rPr>
          <w:t>http://www.oas.org/en/iachr/docs/annual/2018/docs/IA2018cap.2-en.pdf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F233"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FF7C" w14:textId="77777777" w:rsidR="006D7134" w:rsidRDefault="00003B60" w:rsidP="00DC7C8F">
    <w:pPr>
      <w:pStyle w:val="Header"/>
      <w:jc w:val="center"/>
    </w:pPr>
    <w:r>
      <w:pict w14:anchorId="1490D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9pt">
          <v:imagedata r:id="rId1" o:title="iachr-peq"/>
        </v:shape>
      </w:pict>
    </w:r>
  </w:p>
  <w:p w14:paraId="38D61808" w14:textId="77777777" w:rsidR="006D7134" w:rsidRDefault="00003B60">
    <w:pPr>
      <w:pStyle w:val="Header"/>
    </w:pPr>
    <w:r>
      <w:pict w14:anchorId="75523CF2">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5B8" w14:textId="77777777" w:rsidR="006D7134" w:rsidRDefault="00003B60" w:rsidP="00A61B5E">
    <w:pPr>
      <w:pStyle w:val="Header"/>
    </w:pPr>
    <w:r>
      <w:rPr>
        <w:noProof/>
      </w:rPr>
      <w:pict w14:anchorId="2E749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4ACC479E">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4E70279B" w14:textId="77777777" w:rsidR="006D7134" w:rsidRDefault="006D7134" w:rsidP="00A61B5E">
    <w:pPr>
      <w:pStyle w:val="Header"/>
    </w:pPr>
  </w:p>
  <w:p w14:paraId="3FAC5780" w14:textId="77777777" w:rsidR="006D7134" w:rsidRDefault="006D7134" w:rsidP="00A61B5E">
    <w:pPr>
      <w:pStyle w:val="Header"/>
    </w:pPr>
  </w:p>
  <w:p w14:paraId="51A59C72" w14:textId="77777777" w:rsidR="006D7134" w:rsidRDefault="00003B60" w:rsidP="00A61B5E">
    <w:pPr>
      <w:pStyle w:val="Header"/>
    </w:pPr>
    <w:r>
      <w:pict w14:anchorId="19E450B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1996119">
    <w:abstractNumId w:val="78"/>
  </w:num>
  <w:num w:numId="2" w16cid:durableId="758520500">
    <w:abstractNumId w:val="59"/>
  </w:num>
  <w:num w:numId="3" w16cid:durableId="535626534">
    <w:abstractNumId w:val="21"/>
  </w:num>
  <w:num w:numId="4" w16cid:durableId="1745839178">
    <w:abstractNumId w:val="52"/>
  </w:num>
  <w:num w:numId="5" w16cid:durableId="1133672489">
    <w:abstractNumId w:val="3"/>
  </w:num>
  <w:num w:numId="6" w16cid:durableId="2096393348">
    <w:abstractNumId w:val="44"/>
  </w:num>
  <w:num w:numId="7" w16cid:durableId="1425495212">
    <w:abstractNumId w:val="104"/>
  </w:num>
  <w:num w:numId="8" w16cid:durableId="18823303">
    <w:abstractNumId w:val="36"/>
  </w:num>
  <w:num w:numId="9" w16cid:durableId="1278172897">
    <w:abstractNumId w:val="0"/>
  </w:num>
  <w:num w:numId="10" w16cid:durableId="617179438">
    <w:abstractNumId w:val="30"/>
  </w:num>
  <w:num w:numId="11" w16cid:durableId="1747991715">
    <w:abstractNumId w:val="65"/>
  </w:num>
  <w:num w:numId="12" w16cid:durableId="168066657">
    <w:abstractNumId w:val="68"/>
  </w:num>
  <w:num w:numId="13" w16cid:durableId="841238687">
    <w:abstractNumId w:val="51"/>
  </w:num>
  <w:num w:numId="14" w16cid:durableId="886842050">
    <w:abstractNumId w:val="1"/>
  </w:num>
  <w:num w:numId="15" w16cid:durableId="713120870">
    <w:abstractNumId w:val="47"/>
  </w:num>
  <w:num w:numId="16" w16cid:durableId="170994402">
    <w:abstractNumId w:val="67"/>
  </w:num>
  <w:num w:numId="17" w16cid:durableId="1762215621">
    <w:abstractNumId w:val="48"/>
  </w:num>
  <w:num w:numId="18" w16cid:durableId="825708608">
    <w:abstractNumId w:val="100"/>
  </w:num>
  <w:num w:numId="19" w16cid:durableId="1883134017">
    <w:abstractNumId w:val="70"/>
  </w:num>
  <w:num w:numId="20" w16cid:durableId="207765753">
    <w:abstractNumId w:val="31"/>
  </w:num>
  <w:num w:numId="21" w16cid:durableId="1638755572">
    <w:abstractNumId w:val="9"/>
  </w:num>
  <w:num w:numId="22" w16cid:durableId="353921886">
    <w:abstractNumId w:val="32"/>
  </w:num>
  <w:num w:numId="23" w16cid:durableId="820585973">
    <w:abstractNumId w:val="2"/>
  </w:num>
  <w:num w:numId="24" w16cid:durableId="1499692311">
    <w:abstractNumId w:val="81"/>
  </w:num>
  <w:num w:numId="25" w16cid:durableId="961810076">
    <w:abstractNumId w:val="92"/>
  </w:num>
  <w:num w:numId="26" w16cid:durableId="898709059">
    <w:abstractNumId w:val="98"/>
  </w:num>
  <w:num w:numId="27" w16cid:durableId="18294427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2796624">
    <w:abstractNumId w:val="76"/>
  </w:num>
  <w:num w:numId="29" w16cid:durableId="2045053380">
    <w:abstractNumId w:val="16"/>
  </w:num>
  <w:num w:numId="30" w16cid:durableId="1721905835">
    <w:abstractNumId w:val="13"/>
  </w:num>
  <w:num w:numId="31" w16cid:durableId="418794267">
    <w:abstractNumId w:val="63"/>
  </w:num>
  <w:num w:numId="32" w16cid:durableId="472798157">
    <w:abstractNumId w:val="23"/>
  </w:num>
  <w:num w:numId="33" w16cid:durableId="629211545">
    <w:abstractNumId w:val="11"/>
  </w:num>
  <w:num w:numId="34" w16cid:durableId="50540349">
    <w:abstractNumId w:val="66"/>
  </w:num>
  <w:num w:numId="35" w16cid:durableId="1667396604">
    <w:abstractNumId w:val="5"/>
  </w:num>
  <w:num w:numId="36" w16cid:durableId="1496649104">
    <w:abstractNumId w:val="7"/>
  </w:num>
  <w:num w:numId="37" w16cid:durableId="180780443">
    <w:abstractNumId w:val="53"/>
  </w:num>
  <w:num w:numId="38" w16cid:durableId="1700740207">
    <w:abstractNumId w:val="54"/>
  </w:num>
  <w:num w:numId="39" w16cid:durableId="890188966">
    <w:abstractNumId w:val="27"/>
  </w:num>
  <w:num w:numId="40" w16cid:durableId="2115053479">
    <w:abstractNumId w:val="35"/>
  </w:num>
  <w:num w:numId="41" w16cid:durableId="1984693296">
    <w:abstractNumId w:val="77"/>
  </w:num>
  <w:num w:numId="42" w16cid:durableId="1622684164">
    <w:abstractNumId w:val="22"/>
  </w:num>
  <w:num w:numId="43" w16cid:durableId="2100520219">
    <w:abstractNumId w:val="64"/>
  </w:num>
  <w:num w:numId="44" w16cid:durableId="464586969">
    <w:abstractNumId w:val="24"/>
  </w:num>
  <w:num w:numId="45" w16cid:durableId="197938323">
    <w:abstractNumId w:val="87"/>
  </w:num>
  <w:num w:numId="46" w16cid:durableId="1663703009">
    <w:abstractNumId w:val="42"/>
  </w:num>
  <w:num w:numId="47" w16cid:durableId="1459177631">
    <w:abstractNumId w:val="61"/>
  </w:num>
  <w:num w:numId="48" w16cid:durableId="893931271">
    <w:abstractNumId w:val="99"/>
  </w:num>
  <w:num w:numId="49" w16cid:durableId="345982226">
    <w:abstractNumId w:val="90"/>
  </w:num>
  <w:num w:numId="50" w16cid:durableId="328142537">
    <w:abstractNumId w:val="40"/>
  </w:num>
  <w:num w:numId="51" w16cid:durableId="1813908458">
    <w:abstractNumId w:val="93"/>
  </w:num>
  <w:num w:numId="52" w16cid:durableId="908076503">
    <w:abstractNumId w:val="49"/>
  </w:num>
  <w:num w:numId="53" w16cid:durableId="1707176626">
    <w:abstractNumId w:val="83"/>
  </w:num>
  <w:num w:numId="54" w16cid:durableId="1441341946">
    <w:abstractNumId w:val="33"/>
  </w:num>
  <w:num w:numId="55" w16cid:durableId="811559452">
    <w:abstractNumId w:val="4"/>
  </w:num>
  <w:num w:numId="56" w16cid:durableId="2003312564">
    <w:abstractNumId w:val="28"/>
  </w:num>
  <w:num w:numId="57" w16cid:durableId="2007709256">
    <w:abstractNumId w:val="10"/>
  </w:num>
  <w:num w:numId="58" w16cid:durableId="547491956">
    <w:abstractNumId w:val="75"/>
  </w:num>
  <w:num w:numId="59" w16cid:durableId="1961373243">
    <w:abstractNumId w:val="55"/>
  </w:num>
  <w:num w:numId="60" w16cid:durableId="1476140752">
    <w:abstractNumId w:val="73"/>
  </w:num>
  <w:num w:numId="61" w16cid:durableId="9643842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5910114">
    <w:abstractNumId w:val="102"/>
  </w:num>
  <w:num w:numId="63" w16cid:durableId="1412461438">
    <w:abstractNumId w:val="82"/>
  </w:num>
  <w:num w:numId="64" w16cid:durableId="1904173472">
    <w:abstractNumId w:val="26"/>
  </w:num>
  <w:num w:numId="65" w16cid:durableId="2297340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61893311">
    <w:abstractNumId w:val="95"/>
  </w:num>
  <w:num w:numId="67" w16cid:durableId="659235444">
    <w:abstractNumId w:val="19"/>
  </w:num>
  <w:num w:numId="68" w16cid:durableId="32577176">
    <w:abstractNumId w:val="20"/>
  </w:num>
  <w:num w:numId="69" w16cid:durableId="1792359574">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2085357">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151203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8201212">
    <w:abstractNumId w:val="60"/>
  </w:num>
  <w:num w:numId="73" w16cid:durableId="7861221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811060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68497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8739897">
    <w:abstractNumId w:val="88"/>
  </w:num>
  <w:num w:numId="77" w16cid:durableId="5267169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550845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21284858">
    <w:abstractNumId w:val="72"/>
  </w:num>
  <w:num w:numId="80" w16cid:durableId="501700698">
    <w:abstractNumId w:val="6"/>
  </w:num>
  <w:num w:numId="81" w16cid:durableId="1066027344">
    <w:abstractNumId w:val="86"/>
  </w:num>
  <w:num w:numId="82" w16cid:durableId="890383567">
    <w:abstractNumId w:val="71"/>
  </w:num>
  <w:num w:numId="83" w16cid:durableId="1342077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180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01637323">
    <w:abstractNumId w:val="79"/>
  </w:num>
  <w:num w:numId="86" w16cid:durableId="1596554207">
    <w:abstractNumId w:val="17"/>
  </w:num>
  <w:num w:numId="87" w16cid:durableId="1922833398">
    <w:abstractNumId w:val="85"/>
  </w:num>
  <w:num w:numId="88" w16cid:durableId="1530219601">
    <w:abstractNumId w:val="15"/>
  </w:num>
  <w:num w:numId="89" w16cid:durableId="23949573">
    <w:abstractNumId w:val="69"/>
  </w:num>
  <w:num w:numId="90" w16cid:durableId="478183029">
    <w:abstractNumId w:val="46"/>
  </w:num>
  <w:num w:numId="91" w16cid:durableId="393505910">
    <w:abstractNumId w:val="91"/>
  </w:num>
  <w:num w:numId="92" w16cid:durableId="827088318">
    <w:abstractNumId w:val="43"/>
  </w:num>
  <w:num w:numId="93" w16cid:durableId="216474003">
    <w:abstractNumId w:val="8"/>
  </w:num>
  <w:num w:numId="94" w16cid:durableId="1225261360">
    <w:abstractNumId w:val="37"/>
  </w:num>
  <w:num w:numId="95" w16cid:durableId="1284071585">
    <w:abstractNumId w:val="38"/>
  </w:num>
  <w:num w:numId="96" w16cid:durableId="1161387713">
    <w:abstractNumId w:val="39"/>
  </w:num>
  <w:num w:numId="97" w16cid:durableId="1380207010">
    <w:abstractNumId w:val="12"/>
  </w:num>
  <w:num w:numId="98" w16cid:durableId="77799666">
    <w:abstractNumId w:val="89"/>
  </w:num>
  <w:num w:numId="99" w16cid:durableId="263415399">
    <w:abstractNumId w:val="74"/>
  </w:num>
  <w:num w:numId="100" w16cid:durableId="1510486055">
    <w:abstractNumId w:val="29"/>
  </w:num>
  <w:num w:numId="101" w16cid:durableId="2043701089">
    <w:abstractNumId w:val="103"/>
  </w:num>
  <w:num w:numId="102" w16cid:durableId="1213342889">
    <w:abstractNumId w:val="80"/>
  </w:num>
  <w:num w:numId="103" w16cid:durableId="368919119">
    <w:abstractNumId w:val="41"/>
  </w:num>
  <w:num w:numId="104" w16cid:durableId="582372629">
    <w:abstractNumId w:val="84"/>
  </w:num>
  <w:num w:numId="105" w16cid:durableId="1645157148">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03B60"/>
    <w:rsid w:val="0002150A"/>
    <w:rsid w:val="00021551"/>
    <w:rsid w:val="0002624B"/>
    <w:rsid w:val="00030763"/>
    <w:rsid w:val="000321E0"/>
    <w:rsid w:val="00047B56"/>
    <w:rsid w:val="0006009D"/>
    <w:rsid w:val="0006625E"/>
    <w:rsid w:val="0006762F"/>
    <w:rsid w:val="00096079"/>
    <w:rsid w:val="00096F88"/>
    <w:rsid w:val="000B0076"/>
    <w:rsid w:val="000B51B7"/>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76845"/>
    <w:rsid w:val="00393310"/>
    <w:rsid w:val="003B1772"/>
    <w:rsid w:val="003B4055"/>
    <w:rsid w:val="003B6168"/>
    <w:rsid w:val="003C2346"/>
    <w:rsid w:val="003C4836"/>
    <w:rsid w:val="003D5044"/>
    <w:rsid w:val="003E0DFA"/>
    <w:rsid w:val="003F186E"/>
    <w:rsid w:val="003F262C"/>
    <w:rsid w:val="00414974"/>
    <w:rsid w:val="00433F4F"/>
    <w:rsid w:val="004373C1"/>
    <w:rsid w:val="0045789B"/>
    <w:rsid w:val="0047146A"/>
    <w:rsid w:val="004722BC"/>
    <w:rsid w:val="00474650"/>
    <w:rsid w:val="00476696"/>
    <w:rsid w:val="00494C40"/>
    <w:rsid w:val="00495CA7"/>
    <w:rsid w:val="004A66BD"/>
    <w:rsid w:val="004B3074"/>
    <w:rsid w:val="004D2211"/>
    <w:rsid w:val="004E2FF2"/>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92456"/>
    <w:rsid w:val="007B0327"/>
    <w:rsid w:val="007B7762"/>
    <w:rsid w:val="007C2CC3"/>
    <w:rsid w:val="007C351D"/>
    <w:rsid w:val="007E2645"/>
    <w:rsid w:val="007E6A34"/>
    <w:rsid w:val="007F5F4E"/>
    <w:rsid w:val="00807BAA"/>
    <w:rsid w:val="00807FFD"/>
    <w:rsid w:val="00822FF4"/>
    <w:rsid w:val="0082548A"/>
    <w:rsid w:val="00834F0C"/>
    <w:rsid w:val="00841815"/>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A2279"/>
    <w:rsid w:val="00AA7906"/>
    <w:rsid w:val="00AB1BC7"/>
    <w:rsid w:val="00AC61DF"/>
    <w:rsid w:val="00AD711F"/>
    <w:rsid w:val="00AE1B0F"/>
    <w:rsid w:val="00AF3A07"/>
    <w:rsid w:val="00AF51F7"/>
    <w:rsid w:val="00B056D9"/>
    <w:rsid w:val="00B111C3"/>
    <w:rsid w:val="00B205A7"/>
    <w:rsid w:val="00B21783"/>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BF54F6"/>
    <w:rsid w:val="00C01947"/>
    <w:rsid w:val="00C17F04"/>
    <w:rsid w:val="00C359F1"/>
    <w:rsid w:val="00C37778"/>
    <w:rsid w:val="00C37954"/>
    <w:rsid w:val="00C402CB"/>
    <w:rsid w:val="00C57947"/>
    <w:rsid w:val="00C66C6D"/>
    <w:rsid w:val="00C931AE"/>
    <w:rsid w:val="00CA5D4D"/>
    <w:rsid w:val="00CB6344"/>
    <w:rsid w:val="00CC0727"/>
    <w:rsid w:val="00CC5D2E"/>
    <w:rsid w:val="00CC6DB2"/>
    <w:rsid w:val="00CE4346"/>
    <w:rsid w:val="00CF54E1"/>
    <w:rsid w:val="00D0510C"/>
    <w:rsid w:val="00D05BCC"/>
    <w:rsid w:val="00D26B92"/>
    <w:rsid w:val="00D277D6"/>
    <w:rsid w:val="00D32DD7"/>
    <w:rsid w:val="00D54D6F"/>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9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idh.org/annualrep/2003eng/Ecuador.12188.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18/docs/IA2018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5DFA40FF-0262-4D1A-88F1-6060B94341C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Links>
    <vt:vector size="12" baseType="variant">
      <vt:variant>
        <vt:i4>3342394</vt:i4>
      </vt:variant>
      <vt:variant>
        <vt:i4>0</vt:i4>
      </vt:variant>
      <vt:variant>
        <vt:i4>0</vt:i4>
      </vt:variant>
      <vt:variant>
        <vt:i4>5</vt:i4>
      </vt:variant>
      <vt:variant>
        <vt:lpwstr>http://cidh.org/annualrep/2003eng/Ecuador.12188.htm</vt:lpwstr>
      </vt:variant>
      <vt:variant>
        <vt:lpwstr/>
      </vt:variant>
      <vt:variant>
        <vt:i4>6094943</vt:i4>
      </vt:variant>
      <vt:variant>
        <vt:i4>0</vt:i4>
      </vt:variant>
      <vt:variant>
        <vt:i4>0</vt:i4>
      </vt:variant>
      <vt:variant>
        <vt:i4>5</vt:i4>
      </vt:variant>
      <vt:variant>
        <vt:lpwstr>http://www.oas.org/en/iachr/docs/annual/2018/docs/IA2018cap.2-en.pdf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2023-03-03T22:01:00Z</dcterms:created>
  <dcterms:modified xsi:type="dcterms:W3CDTF">2023-03-03T22:01:00Z</dcterms:modified>
</cp:coreProperties>
</file>