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1EBE6C41">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FEB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6"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54AC1FBF" w14:textId="77777777" w:rsidR="00040C3A" w:rsidRPr="007B5120" w:rsidRDefault="00040C3A" w:rsidP="00040C3A">
      <w:pPr>
        <w:tabs>
          <w:tab w:val="center" w:pos="5400"/>
        </w:tabs>
        <w:suppressAutoHyphens/>
        <w:jc w:val="both"/>
        <w:rPr>
          <w:rFonts w:asciiTheme="majorHAnsi" w:hAnsiTheme="majorHAnsi"/>
          <w:sz w:val="22"/>
          <w:szCs w:val="22"/>
          <w:lang w:val="en-GB"/>
        </w:rPr>
      </w:pPr>
    </w:p>
    <w:p w14:paraId="6A4AC464" w14:textId="77777777" w:rsidR="005128E4" w:rsidRPr="007B5120" w:rsidRDefault="005128E4" w:rsidP="00040C3A">
      <w:pPr>
        <w:tabs>
          <w:tab w:val="center" w:pos="5400"/>
        </w:tabs>
        <w:suppressAutoHyphens/>
        <w:rPr>
          <w:rFonts w:asciiTheme="majorHAnsi" w:hAnsiTheme="majorHAnsi"/>
          <w:sz w:val="22"/>
          <w:szCs w:val="22"/>
          <w:lang w:val="en-GB"/>
        </w:rPr>
      </w:pPr>
    </w:p>
    <w:p w14:paraId="515D20A5" w14:textId="77777777" w:rsidR="005128E4" w:rsidRPr="007B5120" w:rsidRDefault="005128E4" w:rsidP="00040C3A">
      <w:pPr>
        <w:tabs>
          <w:tab w:val="center" w:pos="5400"/>
        </w:tabs>
        <w:suppressAutoHyphens/>
        <w:rPr>
          <w:rFonts w:asciiTheme="majorHAnsi" w:hAnsiTheme="majorHAnsi"/>
          <w:sz w:val="22"/>
          <w:szCs w:val="22"/>
          <w:lang w:val="en-GB"/>
        </w:rPr>
      </w:pPr>
    </w:p>
    <w:p w14:paraId="7CBA3E7E" w14:textId="77777777" w:rsidR="005128E4" w:rsidRPr="007B5120" w:rsidRDefault="005128E4" w:rsidP="00040C3A">
      <w:pPr>
        <w:tabs>
          <w:tab w:val="center" w:pos="5400"/>
        </w:tabs>
        <w:suppressAutoHyphens/>
        <w:rPr>
          <w:rFonts w:asciiTheme="majorHAnsi" w:hAnsiTheme="majorHAnsi"/>
          <w:sz w:val="22"/>
          <w:szCs w:val="22"/>
          <w:lang w:val="en-GB"/>
        </w:rPr>
      </w:pPr>
    </w:p>
    <w:p w14:paraId="0FFC5ED6"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5FCF0358" w14:textId="77777777" w:rsidR="00040C3A" w:rsidRPr="007B5120" w:rsidRDefault="00040C3A" w:rsidP="005128E4">
      <w:pPr>
        <w:tabs>
          <w:tab w:val="center" w:pos="5400"/>
        </w:tabs>
        <w:suppressAutoHyphens/>
        <w:jc w:val="center"/>
        <w:rPr>
          <w:rFonts w:asciiTheme="majorHAnsi" w:hAnsiTheme="majorHAnsi"/>
          <w:sz w:val="22"/>
          <w:szCs w:val="22"/>
          <w:lang w:val="en-GB"/>
        </w:rPr>
      </w:pPr>
    </w:p>
    <w:p w14:paraId="23C02B60"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1E4CC4A3"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022074FD" w14:textId="77777777" w:rsidR="005B52B0" w:rsidRPr="007B5120" w:rsidRDefault="005B52B0" w:rsidP="005128E4">
      <w:pPr>
        <w:tabs>
          <w:tab w:val="center" w:pos="5400"/>
        </w:tabs>
        <w:suppressAutoHyphens/>
        <w:jc w:val="center"/>
        <w:rPr>
          <w:rFonts w:asciiTheme="majorHAnsi" w:hAnsiTheme="majorHAnsi"/>
          <w:sz w:val="22"/>
          <w:szCs w:val="22"/>
          <w:lang w:val="en-GB"/>
        </w:rPr>
      </w:pPr>
    </w:p>
    <w:p w14:paraId="3234C43C"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D58FFB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A574974"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11A9BA8A" w14:textId="77777777" w:rsidR="00040C3A" w:rsidRPr="007B5120" w:rsidRDefault="00E533FF" w:rsidP="00040C3A">
      <w:pPr>
        <w:tabs>
          <w:tab w:val="center" w:pos="5400"/>
        </w:tabs>
        <w:suppressAutoHyphens/>
        <w:jc w:val="center"/>
        <w:rPr>
          <w:rFonts w:asciiTheme="majorHAnsi" w:hAnsiTheme="majorHAnsi"/>
          <w:sz w:val="22"/>
          <w:szCs w:val="22"/>
          <w:lang w:val="en-GB"/>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F47196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F2ECE">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/1</w:t>
                            </w:r>
                            <w:r w:rsidR="00CB664B">
                              <w:rPr>
                                <w:rFonts w:asciiTheme="majorHAnsi" w:hAnsiTheme="majorHAnsi" w:cs="Arial"/>
                                <w:b/>
                                <w:bCs/>
                                <w:color w:val="0D0D0D" w:themeColor="text1" w:themeTint="F2"/>
                                <w:sz w:val="36"/>
                                <w:szCs w:val="40"/>
                              </w:rPr>
                              <w:t>8</w:t>
                            </w:r>
                          </w:p>
                          <w:p w14:paraId="081F51F3" w14:textId="1CD5110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B664B">
                              <w:rPr>
                                <w:rFonts w:asciiTheme="majorHAnsi" w:hAnsiTheme="majorHAnsi" w:cs="Arial"/>
                                <w:b/>
                                <w:bCs/>
                                <w:color w:val="0D0D0D" w:themeColor="text1" w:themeTint="F2"/>
                                <w:sz w:val="36"/>
                                <w:szCs w:val="40"/>
                              </w:rPr>
                              <w:t>354-08</w:t>
                            </w:r>
                          </w:p>
                          <w:p w14:paraId="34978E5A" w14:textId="3182AB2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4F9F60E" w14:textId="77777777" w:rsidR="00CB664B" w:rsidRDefault="00CB664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CARLOS ALBERTO MOYANO DIETRICH</w:t>
                            </w:r>
                          </w:p>
                          <w:p w14:paraId="48EBC31A" w14:textId="08D62875" w:rsidR="00F42B71" w:rsidRPr="004B625D" w:rsidRDefault="00CB664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F47196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F2ECE">
                        <w:rPr>
                          <w:rFonts w:asciiTheme="majorHAnsi" w:hAnsiTheme="majorHAnsi" w:cs="Arial"/>
                          <w:b/>
                          <w:bCs/>
                          <w:color w:val="0D0D0D" w:themeColor="text1" w:themeTint="F2"/>
                          <w:sz w:val="36"/>
                          <w:szCs w:val="40"/>
                        </w:rPr>
                        <w:t>55</w:t>
                      </w:r>
                      <w:r w:rsidR="00322450" w:rsidRPr="004B7EB6">
                        <w:rPr>
                          <w:rFonts w:asciiTheme="majorHAnsi" w:hAnsiTheme="majorHAnsi" w:cs="Arial"/>
                          <w:b/>
                          <w:bCs/>
                          <w:color w:val="0D0D0D" w:themeColor="text1" w:themeTint="F2"/>
                          <w:sz w:val="36"/>
                          <w:szCs w:val="40"/>
                        </w:rPr>
                        <w:t>/1</w:t>
                      </w:r>
                      <w:r w:rsidR="00CB664B">
                        <w:rPr>
                          <w:rFonts w:asciiTheme="majorHAnsi" w:hAnsiTheme="majorHAnsi" w:cs="Arial"/>
                          <w:b/>
                          <w:bCs/>
                          <w:color w:val="0D0D0D" w:themeColor="text1" w:themeTint="F2"/>
                          <w:sz w:val="36"/>
                          <w:szCs w:val="40"/>
                        </w:rPr>
                        <w:t>8</w:t>
                      </w:r>
                    </w:p>
                    <w:p w14:paraId="081F51F3" w14:textId="1CD5110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B664B">
                        <w:rPr>
                          <w:rFonts w:asciiTheme="majorHAnsi" w:hAnsiTheme="majorHAnsi" w:cs="Arial"/>
                          <w:b/>
                          <w:bCs/>
                          <w:color w:val="0D0D0D" w:themeColor="text1" w:themeTint="F2"/>
                          <w:sz w:val="36"/>
                          <w:szCs w:val="40"/>
                        </w:rPr>
                        <w:t>354-08</w:t>
                      </w:r>
                    </w:p>
                    <w:p w14:paraId="34978E5A" w14:textId="3182AB2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4F9F60E" w14:textId="77777777" w:rsidR="00CB664B" w:rsidRDefault="00CB664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CARLOS ALBERTO MOYANO DIETRICH</w:t>
                      </w:r>
                    </w:p>
                    <w:p w14:paraId="48EBC31A" w14:textId="08D62875" w:rsidR="00F42B71" w:rsidRPr="004B625D" w:rsidRDefault="00CB664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734CBA6" w:rsidR="00627C9F" w:rsidRPr="001E2009" w:rsidRDefault="009E566A" w:rsidP="009E566A">
                            <w:pPr>
                              <w:jc w:val="right"/>
                              <w:rPr>
                                <w:rFonts w:asciiTheme="minorHAnsi" w:hAnsiTheme="minorHAnsi"/>
                                <w:color w:val="FFFFFF" w:themeColor="background1"/>
                                <w:sz w:val="22"/>
                                <w:lang w:val="es-US"/>
                              </w:rPr>
                            </w:pPr>
                            <w:r w:rsidRPr="001E2009">
                              <w:rPr>
                                <w:rFonts w:asciiTheme="minorHAnsi" w:hAnsiTheme="minorHAnsi"/>
                                <w:color w:val="FFFFFF" w:themeColor="background1"/>
                                <w:sz w:val="22"/>
                                <w:lang w:val="es-US"/>
                              </w:rPr>
                              <w:t>OEA/</w:t>
                            </w:r>
                            <w:proofErr w:type="spellStart"/>
                            <w:r w:rsidRPr="001E2009">
                              <w:rPr>
                                <w:rFonts w:asciiTheme="minorHAnsi" w:hAnsiTheme="minorHAnsi"/>
                                <w:color w:val="FFFFFF" w:themeColor="background1"/>
                                <w:sz w:val="22"/>
                                <w:lang w:val="es-US"/>
                              </w:rPr>
                              <w:t>Ser.L</w:t>
                            </w:r>
                            <w:proofErr w:type="spellEnd"/>
                            <w:r w:rsidRPr="001E2009">
                              <w:rPr>
                                <w:rFonts w:asciiTheme="minorHAnsi" w:hAnsiTheme="minorHAnsi"/>
                                <w:color w:val="FFFFFF" w:themeColor="background1"/>
                                <w:sz w:val="22"/>
                                <w:lang w:val="es-US"/>
                              </w:rPr>
                              <w:t>/V/II.</w:t>
                            </w:r>
                            <w:r w:rsidR="00FF2ECE" w:rsidRPr="001E2009">
                              <w:rPr>
                                <w:rFonts w:asciiTheme="minorHAnsi" w:hAnsiTheme="minorHAnsi"/>
                                <w:color w:val="FFFFFF" w:themeColor="background1"/>
                                <w:sz w:val="22"/>
                                <w:lang w:val="es-US"/>
                              </w:rPr>
                              <w:t>168</w:t>
                            </w:r>
                          </w:p>
                          <w:p w14:paraId="4AA08A8C" w14:textId="7AB2A242" w:rsidR="00627C9F" w:rsidRPr="00FF2ECE" w:rsidRDefault="00CA6577" w:rsidP="009E566A">
                            <w:pPr>
                              <w:jc w:val="right"/>
                              <w:rPr>
                                <w:rFonts w:asciiTheme="minorHAnsi" w:hAnsiTheme="minorHAnsi"/>
                                <w:color w:val="FFFFFF" w:themeColor="background1"/>
                                <w:sz w:val="22"/>
                              </w:rPr>
                            </w:pPr>
                            <w:r w:rsidRPr="00FF2ECE">
                              <w:rPr>
                                <w:rFonts w:asciiTheme="minorHAnsi" w:hAnsiTheme="minorHAnsi"/>
                                <w:color w:val="FFFFFF" w:themeColor="background1"/>
                                <w:sz w:val="22"/>
                              </w:rPr>
                              <w:t>Doc</w:t>
                            </w:r>
                            <w:r w:rsidR="00FF2ECE" w:rsidRPr="00FF2ECE">
                              <w:rPr>
                                <w:rFonts w:asciiTheme="minorHAnsi" w:hAnsiTheme="minorHAnsi"/>
                                <w:color w:val="FFFFFF" w:themeColor="background1"/>
                                <w:sz w:val="22"/>
                              </w:rPr>
                              <w:t xml:space="preserve">. </w:t>
                            </w:r>
                            <w:r w:rsidR="00FF2ECE">
                              <w:rPr>
                                <w:rFonts w:asciiTheme="minorHAnsi" w:hAnsiTheme="minorHAnsi"/>
                                <w:color w:val="FFFFFF" w:themeColor="background1"/>
                                <w:sz w:val="22"/>
                              </w:rPr>
                              <w:t>65</w:t>
                            </w:r>
                          </w:p>
                          <w:p w14:paraId="0BEFF61A" w14:textId="5EA1DEAC" w:rsidR="00627C9F" w:rsidRPr="004B7EB6" w:rsidRDefault="001E2009" w:rsidP="009E566A">
                            <w:pPr>
                              <w:jc w:val="right"/>
                              <w:rPr>
                                <w:rFonts w:asciiTheme="minorHAnsi" w:hAnsiTheme="minorHAnsi"/>
                                <w:color w:val="FFFFFF" w:themeColor="background1"/>
                                <w:sz w:val="22"/>
                              </w:rPr>
                            </w:pPr>
                            <w:r>
                              <w:rPr>
                                <w:rFonts w:asciiTheme="minorHAnsi" w:hAnsiTheme="minorHAnsi"/>
                                <w:color w:val="FFFFFF" w:themeColor="background1"/>
                                <w:sz w:val="22"/>
                              </w:rPr>
                              <w:t>5</w:t>
                            </w:r>
                            <w:r>
                              <w:rPr>
                                <w:rFonts w:asciiTheme="minorHAnsi" w:hAnsiTheme="minorHAnsi"/>
                                <w:color w:val="FFFFFF" w:themeColor="background1"/>
                                <w:sz w:val="22"/>
                              </w:rPr>
                              <w:t xml:space="preserve"> </w:t>
                            </w:r>
                            <w:r w:rsidR="00FF2ECE">
                              <w:rPr>
                                <w:rFonts w:asciiTheme="minorHAnsi" w:hAnsiTheme="minorHAnsi"/>
                                <w:color w:val="FFFFFF" w:themeColor="background1"/>
                                <w:sz w:val="22"/>
                              </w:rPr>
                              <w:t>May</w:t>
                            </w:r>
                            <w:r w:rsidR="000C4365">
                              <w:rPr>
                                <w:rFonts w:asciiTheme="minorHAnsi" w:hAnsiTheme="minorHAnsi"/>
                                <w:color w:val="FFFFFF" w:themeColor="background1"/>
                                <w:sz w:val="22"/>
                              </w:rPr>
                              <w:t xml:space="preserve"> </w:t>
                            </w:r>
                            <w:r w:rsidR="00FF2ECE">
                              <w:rPr>
                                <w:rFonts w:asciiTheme="minorHAnsi" w:hAnsiTheme="minorHAnsi"/>
                                <w:color w:val="FFFFFF" w:themeColor="background1"/>
                                <w:sz w:val="22"/>
                              </w:rPr>
                              <w:t>2018</w:t>
                            </w:r>
                          </w:p>
                          <w:p w14:paraId="0FC103BD" w14:textId="7F9BDF1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F2ECE">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734CBA6" w:rsidR="00627C9F" w:rsidRPr="001E2009" w:rsidRDefault="009E566A" w:rsidP="009E566A">
                      <w:pPr>
                        <w:jc w:val="right"/>
                        <w:rPr>
                          <w:rFonts w:asciiTheme="minorHAnsi" w:hAnsiTheme="minorHAnsi"/>
                          <w:color w:val="FFFFFF" w:themeColor="background1"/>
                          <w:sz w:val="22"/>
                          <w:lang w:val="es-US"/>
                        </w:rPr>
                      </w:pPr>
                      <w:r w:rsidRPr="001E2009">
                        <w:rPr>
                          <w:rFonts w:asciiTheme="minorHAnsi" w:hAnsiTheme="minorHAnsi"/>
                          <w:color w:val="FFFFFF" w:themeColor="background1"/>
                          <w:sz w:val="22"/>
                          <w:lang w:val="es-US"/>
                        </w:rPr>
                        <w:t>OEA/</w:t>
                      </w:r>
                      <w:proofErr w:type="spellStart"/>
                      <w:r w:rsidRPr="001E2009">
                        <w:rPr>
                          <w:rFonts w:asciiTheme="minorHAnsi" w:hAnsiTheme="minorHAnsi"/>
                          <w:color w:val="FFFFFF" w:themeColor="background1"/>
                          <w:sz w:val="22"/>
                          <w:lang w:val="es-US"/>
                        </w:rPr>
                        <w:t>Ser.L</w:t>
                      </w:r>
                      <w:proofErr w:type="spellEnd"/>
                      <w:r w:rsidRPr="001E2009">
                        <w:rPr>
                          <w:rFonts w:asciiTheme="minorHAnsi" w:hAnsiTheme="minorHAnsi"/>
                          <w:color w:val="FFFFFF" w:themeColor="background1"/>
                          <w:sz w:val="22"/>
                          <w:lang w:val="es-US"/>
                        </w:rPr>
                        <w:t>/V/II.</w:t>
                      </w:r>
                      <w:r w:rsidR="00FF2ECE" w:rsidRPr="001E2009">
                        <w:rPr>
                          <w:rFonts w:asciiTheme="minorHAnsi" w:hAnsiTheme="minorHAnsi"/>
                          <w:color w:val="FFFFFF" w:themeColor="background1"/>
                          <w:sz w:val="22"/>
                          <w:lang w:val="es-US"/>
                        </w:rPr>
                        <w:t>168</w:t>
                      </w:r>
                    </w:p>
                    <w:p w14:paraId="4AA08A8C" w14:textId="7AB2A242" w:rsidR="00627C9F" w:rsidRPr="00FF2ECE" w:rsidRDefault="00CA6577" w:rsidP="009E566A">
                      <w:pPr>
                        <w:jc w:val="right"/>
                        <w:rPr>
                          <w:rFonts w:asciiTheme="minorHAnsi" w:hAnsiTheme="minorHAnsi"/>
                          <w:color w:val="FFFFFF" w:themeColor="background1"/>
                          <w:sz w:val="22"/>
                        </w:rPr>
                      </w:pPr>
                      <w:r w:rsidRPr="00FF2ECE">
                        <w:rPr>
                          <w:rFonts w:asciiTheme="minorHAnsi" w:hAnsiTheme="minorHAnsi"/>
                          <w:color w:val="FFFFFF" w:themeColor="background1"/>
                          <w:sz w:val="22"/>
                        </w:rPr>
                        <w:t>Doc</w:t>
                      </w:r>
                      <w:r w:rsidR="00FF2ECE" w:rsidRPr="00FF2ECE">
                        <w:rPr>
                          <w:rFonts w:asciiTheme="minorHAnsi" w:hAnsiTheme="minorHAnsi"/>
                          <w:color w:val="FFFFFF" w:themeColor="background1"/>
                          <w:sz w:val="22"/>
                        </w:rPr>
                        <w:t xml:space="preserve">. </w:t>
                      </w:r>
                      <w:r w:rsidR="00FF2ECE">
                        <w:rPr>
                          <w:rFonts w:asciiTheme="minorHAnsi" w:hAnsiTheme="minorHAnsi"/>
                          <w:color w:val="FFFFFF" w:themeColor="background1"/>
                          <w:sz w:val="22"/>
                        </w:rPr>
                        <w:t>65</w:t>
                      </w:r>
                    </w:p>
                    <w:p w14:paraId="0BEFF61A" w14:textId="5EA1DEAC" w:rsidR="00627C9F" w:rsidRPr="004B7EB6" w:rsidRDefault="001E2009" w:rsidP="009E566A">
                      <w:pPr>
                        <w:jc w:val="right"/>
                        <w:rPr>
                          <w:rFonts w:asciiTheme="minorHAnsi" w:hAnsiTheme="minorHAnsi"/>
                          <w:color w:val="FFFFFF" w:themeColor="background1"/>
                          <w:sz w:val="22"/>
                        </w:rPr>
                      </w:pPr>
                      <w:r>
                        <w:rPr>
                          <w:rFonts w:asciiTheme="minorHAnsi" w:hAnsiTheme="minorHAnsi"/>
                          <w:color w:val="FFFFFF" w:themeColor="background1"/>
                          <w:sz w:val="22"/>
                        </w:rPr>
                        <w:t>5</w:t>
                      </w:r>
                      <w:r>
                        <w:rPr>
                          <w:rFonts w:asciiTheme="minorHAnsi" w:hAnsiTheme="minorHAnsi"/>
                          <w:color w:val="FFFFFF" w:themeColor="background1"/>
                          <w:sz w:val="22"/>
                        </w:rPr>
                        <w:t xml:space="preserve"> </w:t>
                      </w:r>
                      <w:r w:rsidR="00FF2ECE">
                        <w:rPr>
                          <w:rFonts w:asciiTheme="minorHAnsi" w:hAnsiTheme="minorHAnsi"/>
                          <w:color w:val="FFFFFF" w:themeColor="background1"/>
                          <w:sz w:val="22"/>
                        </w:rPr>
                        <w:t>May</w:t>
                      </w:r>
                      <w:r w:rsidR="000C4365">
                        <w:rPr>
                          <w:rFonts w:asciiTheme="minorHAnsi" w:hAnsiTheme="minorHAnsi"/>
                          <w:color w:val="FFFFFF" w:themeColor="background1"/>
                          <w:sz w:val="22"/>
                        </w:rPr>
                        <w:t xml:space="preserve"> </w:t>
                      </w:r>
                      <w:r w:rsidR="00FF2ECE">
                        <w:rPr>
                          <w:rFonts w:asciiTheme="minorHAnsi" w:hAnsiTheme="minorHAnsi"/>
                          <w:color w:val="FFFFFF" w:themeColor="background1"/>
                          <w:sz w:val="22"/>
                        </w:rPr>
                        <w:t>2018</w:t>
                      </w:r>
                    </w:p>
                    <w:p w14:paraId="0FC103BD" w14:textId="7F9BDF1A"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F2ECE">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v:textbox>
              </v:shape>
            </w:pict>
          </mc:Fallback>
        </mc:AlternateContent>
      </w:r>
    </w:p>
    <w:p w14:paraId="3765F9F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5E33CE59" w14:textId="77777777" w:rsidR="00040C3A" w:rsidRPr="007B5120" w:rsidRDefault="00040C3A" w:rsidP="00040C3A">
      <w:pPr>
        <w:tabs>
          <w:tab w:val="center" w:pos="5400"/>
        </w:tabs>
        <w:suppressAutoHyphens/>
        <w:jc w:val="center"/>
        <w:rPr>
          <w:rFonts w:asciiTheme="majorHAnsi" w:hAnsiTheme="majorHAnsi" w:cs="Arial"/>
          <w:sz w:val="22"/>
          <w:szCs w:val="22"/>
          <w:lang w:val="en-GB"/>
        </w:rPr>
      </w:pPr>
    </w:p>
    <w:p w14:paraId="0480271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43677EE2"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747B776B"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3FA14379"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28A65FAF"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1B1978A"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650F503D"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17861C7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0EFEAEB7" w14:textId="77777777" w:rsidR="005128E4" w:rsidRPr="007B5120" w:rsidRDefault="005128E4" w:rsidP="00040C3A">
      <w:pPr>
        <w:tabs>
          <w:tab w:val="center" w:pos="5400"/>
        </w:tabs>
        <w:suppressAutoHyphens/>
        <w:jc w:val="center"/>
        <w:rPr>
          <w:rFonts w:asciiTheme="majorHAnsi" w:hAnsiTheme="majorHAnsi"/>
          <w:sz w:val="22"/>
          <w:szCs w:val="22"/>
          <w:lang w:val="en-GB"/>
        </w:rPr>
      </w:pPr>
    </w:p>
    <w:p w14:paraId="5B815FC5"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D43F8BD" w14:textId="77777777" w:rsidR="00040C3A" w:rsidRPr="007B5120" w:rsidRDefault="00040C3A" w:rsidP="00040C3A">
      <w:pPr>
        <w:tabs>
          <w:tab w:val="center" w:pos="5400"/>
        </w:tabs>
        <w:suppressAutoHyphens/>
        <w:jc w:val="center"/>
        <w:rPr>
          <w:rFonts w:asciiTheme="majorHAnsi" w:hAnsiTheme="majorHAnsi"/>
          <w:sz w:val="22"/>
          <w:szCs w:val="22"/>
          <w:lang w:val="en-GB"/>
        </w:rPr>
      </w:pPr>
    </w:p>
    <w:p w14:paraId="03AA1AE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FD75BF3"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73EF440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D12B191"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132D17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59B324C"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DE58CE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A5BB7C9"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BA67E7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6D4FBE3A"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2741AD16"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1D99DBC4"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290BF94"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2E847A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FF2ECE">
                              <w:rPr>
                                <w:rFonts w:asciiTheme="majorHAnsi" w:hAnsiTheme="majorHAnsi"/>
                                <w:color w:val="0D0D0D" w:themeColor="text1" w:themeTint="F2"/>
                                <w:sz w:val="18"/>
                                <w:szCs w:val="20"/>
                              </w:rPr>
                              <w:t>2127</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FF2ECE">
                              <w:rPr>
                                <w:rFonts w:asciiTheme="majorHAnsi" w:hAnsiTheme="majorHAnsi"/>
                                <w:color w:val="0D0D0D" w:themeColor="text1" w:themeTint="F2"/>
                                <w:sz w:val="18"/>
                                <w:szCs w:val="20"/>
                              </w:rPr>
                              <w:t>May 5</w:t>
                            </w:r>
                            <w:r w:rsidR="00CB664B">
                              <w:rPr>
                                <w:rFonts w:asciiTheme="majorHAnsi" w:hAnsiTheme="majorHAnsi"/>
                                <w:color w:val="0D0D0D" w:themeColor="text1" w:themeTint="F2"/>
                                <w:sz w:val="18"/>
                                <w:szCs w:val="20"/>
                              </w:rPr>
                              <w:t>, 2018</w:t>
                            </w:r>
                            <w:r w:rsidR="001E200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FF2ECE">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FF2EC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02E847A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proofErr w:type="gramStart"/>
                      <w:r w:rsidR="00FF2ECE">
                        <w:rPr>
                          <w:rFonts w:asciiTheme="majorHAnsi" w:hAnsiTheme="majorHAnsi"/>
                          <w:color w:val="0D0D0D" w:themeColor="text1" w:themeTint="F2"/>
                          <w:sz w:val="18"/>
                          <w:szCs w:val="20"/>
                        </w:rPr>
                        <w:t>2127</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w:t>
                      </w:r>
                      <w:r w:rsidR="00FF2ECE">
                        <w:rPr>
                          <w:rFonts w:asciiTheme="majorHAnsi" w:hAnsiTheme="majorHAnsi"/>
                          <w:color w:val="0D0D0D" w:themeColor="text1" w:themeTint="F2"/>
                          <w:sz w:val="18"/>
                          <w:szCs w:val="20"/>
                        </w:rPr>
                        <w:t>May 5</w:t>
                      </w:r>
                      <w:r w:rsidR="00CB664B">
                        <w:rPr>
                          <w:rFonts w:asciiTheme="majorHAnsi" w:hAnsiTheme="majorHAnsi"/>
                          <w:color w:val="0D0D0D" w:themeColor="text1" w:themeTint="F2"/>
                          <w:sz w:val="18"/>
                          <w:szCs w:val="20"/>
                        </w:rPr>
                        <w:t>, 2018</w:t>
                      </w:r>
                      <w:r w:rsidR="001E200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FF2ECE">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FF2EC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14:paraId="76124E4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3751FE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FAB54E7"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AE4FBFB"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4DA3B2C3" w14:textId="77777777" w:rsidR="002C1641" w:rsidRPr="007B5120" w:rsidRDefault="003C32BC" w:rsidP="00040C3A">
      <w:pPr>
        <w:tabs>
          <w:tab w:val="center" w:pos="5400"/>
        </w:tabs>
        <w:suppressAutoHyphens/>
        <w:jc w:val="center"/>
        <w:rPr>
          <w:rFonts w:asciiTheme="majorHAnsi" w:hAnsiTheme="majorHAnsi"/>
          <w:sz w:val="18"/>
          <w:szCs w:val="22"/>
          <w:lang w:val="en-GB"/>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36E80F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F2ECE">
                              <w:rPr>
                                <w:rFonts w:asciiTheme="majorHAnsi" w:hAnsiTheme="majorHAnsi"/>
                                <w:color w:val="595959" w:themeColor="text1" w:themeTint="A6"/>
                                <w:sz w:val="18"/>
                              </w:rPr>
                              <w:t>55</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B664B">
                              <w:rPr>
                                <w:rFonts w:asciiTheme="majorHAnsi" w:hAnsiTheme="majorHAnsi"/>
                                <w:color w:val="595959" w:themeColor="text1" w:themeTint="A6"/>
                                <w:sz w:val="18"/>
                              </w:rPr>
                              <w:t>354-08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6619C2">
                              <w:rPr>
                                <w:rFonts w:asciiTheme="majorHAnsi" w:hAnsiTheme="majorHAnsi"/>
                                <w:color w:val="595959" w:themeColor="text1" w:themeTint="A6"/>
                                <w:sz w:val="18"/>
                                <w:lang w:val="pt-BR"/>
                              </w:rPr>
                              <w:t>Admissibility</w:t>
                            </w:r>
                            <w:r w:rsidRPr="006619C2">
                              <w:rPr>
                                <w:rFonts w:asciiTheme="majorHAnsi" w:hAnsiTheme="majorHAnsi"/>
                                <w:color w:val="595959" w:themeColor="text1" w:themeTint="A6"/>
                                <w:sz w:val="18"/>
                                <w:lang w:val="pt-BR"/>
                              </w:rPr>
                              <w:t xml:space="preserve">. </w:t>
                            </w:r>
                            <w:r w:rsidR="00CB664B" w:rsidRPr="006619C2">
                              <w:rPr>
                                <w:rFonts w:asciiTheme="majorHAnsi" w:hAnsiTheme="majorHAnsi"/>
                                <w:color w:val="595959" w:themeColor="text1" w:themeTint="A6"/>
                                <w:sz w:val="18"/>
                                <w:lang w:val="pt-BR"/>
                              </w:rPr>
                              <w:t>Carlos Alberto Moyano Dietrich</w:t>
                            </w:r>
                            <w:r w:rsidRPr="006619C2">
                              <w:rPr>
                                <w:rFonts w:asciiTheme="majorHAnsi" w:hAnsiTheme="majorHAnsi"/>
                                <w:color w:val="595959" w:themeColor="text1" w:themeTint="A6"/>
                                <w:sz w:val="18"/>
                                <w:lang w:val="pt-BR"/>
                              </w:rPr>
                              <w:t xml:space="preserve">. </w:t>
                            </w:r>
                            <w:r w:rsidR="00CB664B">
                              <w:rPr>
                                <w:rFonts w:asciiTheme="majorHAnsi" w:hAnsiTheme="majorHAnsi"/>
                                <w:color w:val="595959" w:themeColor="text1" w:themeTint="A6"/>
                                <w:sz w:val="18"/>
                              </w:rPr>
                              <w:t>P</w:t>
                            </w:r>
                            <w:r w:rsidR="00F621C3">
                              <w:rPr>
                                <w:rFonts w:asciiTheme="majorHAnsi" w:hAnsiTheme="majorHAnsi"/>
                                <w:color w:val="595959" w:themeColor="text1" w:themeTint="A6"/>
                                <w:sz w:val="18"/>
                              </w:rPr>
                              <w:t>e</w:t>
                            </w:r>
                            <w:r w:rsidR="00CB664B">
                              <w:rPr>
                                <w:rFonts w:asciiTheme="majorHAnsi" w:hAnsiTheme="majorHAnsi"/>
                                <w:color w:val="595959" w:themeColor="text1" w:themeTint="A6"/>
                                <w:sz w:val="18"/>
                              </w:rPr>
                              <w:t>ru</w:t>
                            </w:r>
                            <w:r w:rsidR="00022CF5">
                              <w:rPr>
                                <w:rFonts w:asciiTheme="majorHAnsi" w:hAnsiTheme="majorHAnsi"/>
                                <w:color w:val="595959" w:themeColor="text1" w:themeTint="A6"/>
                                <w:sz w:val="18"/>
                              </w:rPr>
                              <w:t xml:space="preserve">. </w:t>
                            </w:r>
                            <w:r w:rsidR="00FF2ECE">
                              <w:rPr>
                                <w:rFonts w:asciiTheme="majorHAnsi" w:hAnsiTheme="majorHAnsi"/>
                                <w:color w:val="595959" w:themeColor="text1" w:themeTint="A6"/>
                                <w:sz w:val="18"/>
                              </w:rPr>
                              <w:t>May 5,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36E80F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F2ECE">
                        <w:rPr>
                          <w:rFonts w:asciiTheme="majorHAnsi" w:hAnsiTheme="majorHAnsi"/>
                          <w:color w:val="595959" w:themeColor="text1" w:themeTint="A6"/>
                          <w:sz w:val="18"/>
                        </w:rPr>
                        <w:t>55</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B664B">
                        <w:rPr>
                          <w:rFonts w:asciiTheme="majorHAnsi" w:hAnsiTheme="majorHAnsi"/>
                          <w:color w:val="595959" w:themeColor="text1" w:themeTint="A6"/>
                          <w:sz w:val="18"/>
                        </w:rPr>
                        <w:t>354-08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6619C2">
                        <w:rPr>
                          <w:rFonts w:asciiTheme="majorHAnsi" w:hAnsiTheme="majorHAnsi"/>
                          <w:color w:val="595959" w:themeColor="text1" w:themeTint="A6"/>
                          <w:sz w:val="18"/>
                          <w:lang w:val="pt-BR"/>
                        </w:rPr>
                        <w:t>Admissibility</w:t>
                      </w:r>
                      <w:r w:rsidRPr="006619C2">
                        <w:rPr>
                          <w:rFonts w:asciiTheme="majorHAnsi" w:hAnsiTheme="majorHAnsi"/>
                          <w:color w:val="595959" w:themeColor="text1" w:themeTint="A6"/>
                          <w:sz w:val="18"/>
                          <w:lang w:val="pt-BR"/>
                        </w:rPr>
                        <w:t xml:space="preserve">. </w:t>
                      </w:r>
                      <w:r w:rsidR="00CB664B" w:rsidRPr="006619C2">
                        <w:rPr>
                          <w:rFonts w:asciiTheme="majorHAnsi" w:hAnsiTheme="majorHAnsi"/>
                          <w:color w:val="595959" w:themeColor="text1" w:themeTint="A6"/>
                          <w:sz w:val="18"/>
                          <w:lang w:val="pt-BR"/>
                        </w:rPr>
                        <w:t>Carlos Alberto Moyano Dietrich</w:t>
                      </w:r>
                      <w:r w:rsidRPr="006619C2">
                        <w:rPr>
                          <w:rFonts w:asciiTheme="majorHAnsi" w:hAnsiTheme="majorHAnsi"/>
                          <w:color w:val="595959" w:themeColor="text1" w:themeTint="A6"/>
                          <w:sz w:val="18"/>
                          <w:lang w:val="pt-BR"/>
                        </w:rPr>
                        <w:t xml:space="preserve">. </w:t>
                      </w:r>
                      <w:r w:rsidR="00CB664B">
                        <w:rPr>
                          <w:rFonts w:asciiTheme="majorHAnsi" w:hAnsiTheme="majorHAnsi"/>
                          <w:color w:val="595959" w:themeColor="text1" w:themeTint="A6"/>
                          <w:sz w:val="18"/>
                        </w:rPr>
                        <w:t>P</w:t>
                      </w:r>
                      <w:r w:rsidR="00F621C3">
                        <w:rPr>
                          <w:rFonts w:asciiTheme="majorHAnsi" w:hAnsiTheme="majorHAnsi"/>
                          <w:color w:val="595959" w:themeColor="text1" w:themeTint="A6"/>
                          <w:sz w:val="18"/>
                        </w:rPr>
                        <w:t>e</w:t>
                      </w:r>
                      <w:r w:rsidR="00CB664B">
                        <w:rPr>
                          <w:rFonts w:asciiTheme="majorHAnsi" w:hAnsiTheme="majorHAnsi"/>
                          <w:color w:val="595959" w:themeColor="text1" w:themeTint="A6"/>
                          <w:sz w:val="18"/>
                        </w:rPr>
                        <w:t>ru</w:t>
                      </w:r>
                      <w:r w:rsidR="00022CF5">
                        <w:rPr>
                          <w:rFonts w:asciiTheme="majorHAnsi" w:hAnsiTheme="majorHAnsi"/>
                          <w:color w:val="595959" w:themeColor="text1" w:themeTint="A6"/>
                          <w:sz w:val="18"/>
                        </w:rPr>
                        <w:t xml:space="preserve">. </w:t>
                      </w:r>
                      <w:r w:rsidR="00FF2ECE">
                        <w:rPr>
                          <w:rFonts w:asciiTheme="majorHAnsi" w:hAnsiTheme="majorHAnsi"/>
                          <w:color w:val="595959" w:themeColor="text1" w:themeTint="A6"/>
                          <w:sz w:val="18"/>
                        </w:rPr>
                        <w:t>May 5,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5420A6FF" w14:textId="77777777" w:rsidR="002C1641" w:rsidRPr="007B5120" w:rsidRDefault="002C1641" w:rsidP="00040C3A">
      <w:pPr>
        <w:tabs>
          <w:tab w:val="center" w:pos="5400"/>
        </w:tabs>
        <w:suppressAutoHyphens/>
        <w:jc w:val="center"/>
        <w:rPr>
          <w:rFonts w:asciiTheme="majorHAnsi" w:hAnsiTheme="majorHAnsi"/>
          <w:sz w:val="18"/>
          <w:szCs w:val="22"/>
          <w:lang w:val="en-GB"/>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0B6D0713" w:rsidR="00F621C3" w:rsidRPr="000B6B7A" w:rsidRDefault="00CB664B" w:rsidP="009163FC">
            <w:pPr>
              <w:jc w:val="both"/>
              <w:rPr>
                <w:rFonts w:ascii="Cambria" w:hAnsi="Cambria"/>
                <w:bCs/>
                <w:sz w:val="20"/>
                <w:szCs w:val="20"/>
              </w:rPr>
            </w:pPr>
            <w:r>
              <w:rPr>
                <w:rFonts w:ascii="Cambria" w:hAnsi="Cambria"/>
                <w:bCs/>
                <w:sz w:val="20"/>
                <w:szCs w:val="20"/>
                <w:lang w:val="es-ES"/>
              </w:rPr>
              <w:t>Carlos Alberto Moyano Dietrich</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0E7EC5"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D6414CD" w:rsidR="00F621C3" w:rsidRPr="000B6B7A" w:rsidRDefault="00CB664B" w:rsidP="009163FC">
            <w:pPr>
              <w:jc w:val="both"/>
              <w:rPr>
                <w:rFonts w:ascii="Cambria" w:hAnsi="Cambria"/>
                <w:bCs/>
                <w:sz w:val="20"/>
                <w:szCs w:val="20"/>
              </w:rPr>
            </w:pPr>
            <w:r>
              <w:rPr>
                <w:rFonts w:ascii="Cambria" w:hAnsi="Cambria"/>
                <w:bCs/>
                <w:sz w:val="20"/>
                <w:szCs w:val="20"/>
                <w:lang w:val="es-ES"/>
              </w:rPr>
              <w:t>Carlos Alberto Moyano Dietrich</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BBD029C" w:rsidR="00F621C3" w:rsidRPr="000B6B7A" w:rsidRDefault="00CB664B" w:rsidP="009163FC">
            <w:pPr>
              <w:jc w:val="both"/>
              <w:rPr>
                <w:rFonts w:ascii="Cambria" w:hAnsi="Cambria"/>
                <w:bCs/>
                <w:sz w:val="20"/>
                <w:szCs w:val="20"/>
              </w:rPr>
            </w:pPr>
            <w:r>
              <w:rPr>
                <w:rFonts w:ascii="Cambria" w:hAnsi="Cambria"/>
                <w:bCs/>
                <w:sz w:val="20"/>
                <w:szCs w:val="20"/>
              </w:rPr>
              <w:t>Peru</w:t>
            </w:r>
            <w:r w:rsidR="00BA3ACE" w:rsidRPr="00BA3ACE">
              <w:rPr>
                <w:rFonts w:ascii="Cambria" w:hAnsi="Cambria"/>
                <w:bCs/>
                <w:sz w:val="20"/>
                <w:szCs w:val="20"/>
                <w:vertAlign w:val="superscript"/>
              </w:rPr>
              <w:t>1</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5E01012" w:rsidR="00E47F3D" w:rsidRPr="000B6B7A" w:rsidRDefault="004250C2" w:rsidP="009163FC">
            <w:pPr>
              <w:jc w:val="both"/>
              <w:rPr>
                <w:rFonts w:ascii="Cambria" w:hAnsi="Cambria"/>
                <w:bCs/>
                <w:sz w:val="20"/>
                <w:szCs w:val="20"/>
              </w:rPr>
            </w:pPr>
            <w:r>
              <w:rPr>
                <w:rFonts w:ascii="Cambria" w:hAnsi="Cambria"/>
                <w:bCs/>
                <w:sz w:val="20"/>
                <w:szCs w:val="20"/>
              </w:rPr>
              <w:t xml:space="preserve">Articles 11 </w:t>
            </w:r>
            <w:r w:rsidR="00521DA8">
              <w:rPr>
                <w:rFonts w:ascii="Cambria" w:hAnsi="Cambria"/>
                <w:bCs/>
                <w:sz w:val="20"/>
                <w:szCs w:val="20"/>
              </w:rPr>
              <w:t xml:space="preserve">(right to privacy), 21 (private property), 25 (judicial protection), and 26 (social, economic and cultural rights) </w:t>
            </w:r>
            <w:r>
              <w:rPr>
                <w:rFonts w:ascii="Cambria" w:hAnsi="Cambria"/>
                <w:bCs/>
                <w:sz w:val="20"/>
                <w:szCs w:val="20"/>
              </w:rPr>
              <w:t xml:space="preserve">of the </w:t>
            </w:r>
            <w:r w:rsidRPr="00CB664B">
              <w:rPr>
                <w:rFonts w:asciiTheme="majorHAnsi" w:hAnsiTheme="majorHAnsi"/>
                <w:bCs/>
                <w:sz w:val="20"/>
                <w:szCs w:val="20"/>
              </w:rPr>
              <w:t>American Convention</w:t>
            </w:r>
            <w:r>
              <w:rPr>
                <w:rFonts w:asciiTheme="majorHAnsi" w:hAnsiTheme="majorHAnsi"/>
                <w:bCs/>
                <w:sz w:val="20"/>
                <w:szCs w:val="20"/>
              </w:rPr>
              <w:t xml:space="preserve"> on Human Rights</w:t>
            </w:r>
            <w:r w:rsidRPr="004250C2">
              <w:rPr>
                <w:rFonts w:asciiTheme="majorHAnsi" w:hAnsiTheme="majorHAnsi"/>
                <w:bCs/>
                <w:sz w:val="20"/>
                <w:szCs w:val="20"/>
                <w:vertAlign w:val="superscript"/>
              </w:rPr>
              <w:t>2</w:t>
            </w:r>
            <w:r>
              <w:rPr>
                <w:rFonts w:asciiTheme="majorHAnsi" w:hAnsiTheme="majorHAnsi"/>
                <w:bCs/>
                <w:sz w:val="20"/>
                <w:szCs w:val="20"/>
                <w:vertAlign w:val="superscript"/>
              </w:rPr>
              <w:t xml:space="preserve"> </w:t>
            </w:r>
            <w:r w:rsidR="00521DA8">
              <w:rPr>
                <w:rFonts w:ascii="Cambria" w:hAnsi="Cambria"/>
                <w:bCs/>
                <w:sz w:val="20"/>
                <w:szCs w:val="20"/>
              </w:rPr>
              <w:t>regarding</w:t>
            </w:r>
            <w:r>
              <w:rPr>
                <w:rFonts w:ascii="Cambria" w:hAnsi="Cambria"/>
                <w:bCs/>
                <w:sz w:val="20"/>
                <w:szCs w:val="20"/>
              </w:rPr>
              <w:t xml:space="preserve"> articles 1.1 </w:t>
            </w:r>
            <w:r w:rsidR="00521DA8">
              <w:rPr>
                <w:rFonts w:ascii="Cambria" w:hAnsi="Cambria"/>
                <w:bCs/>
                <w:sz w:val="20"/>
                <w:szCs w:val="20"/>
              </w:rPr>
              <w:t>(obligation to resect rights) and 2 (</w:t>
            </w:r>
            <w:r w:rsidR="00521DA8" w:rsidRPr="004250C2">
              <w:rPr>
                <w:rFonts w:ascii="Cambria" w:hAnsi="Cambria"/>
                <w:bCs/>
                <w:sz w:val="20"/>
                <w:szCs w:val="20"/>
              </w:rPr>
              <w:t>domestic legal effects</w:t>
            </w:r>
            <w:r w:rsidR="00521DA8">
              <w:rPr>
                <w:rFonts w:ascii="Cambria" w:hAnsi="Cambria"/>
                <w:bCs/>
                <w:sz w:val="20"/>
                <w:szCs w:val="20"/>
              </w:rPr>
              <w:t>)</w:t>
            </w:r>
          </w:p>
        </w:tc>
      </w:tr>
    </w:tbl>
    <w:p w14:paraId="006E8D49" w14:textId="1493ACED"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BA3ACE" w:rsidRPr="00BA3ACE">
        <w:rPr>
          <w:rFonts w:asciiTheme="majorHAnsi" w:hAnsiTheme="majorHAnsi"/>
          <w:b/>
          <w:bCs/>
          <w:sz w:val="20"/>
          <w:szCs w:val="20"/>
          <w:vertAlign w:val="superscript"/>
        </w:rPr>
        <w:t>3</w:t>
      </w:r>
      <w:r w:rsidR="00653EA6" w:rsidRPr="00BA3ACE">
        <w:rPr>
          <w:rStyle w:val="FootnoteReference"/>
          <w:rFonts w:ascii="Cambria" w:hAnsi="Cambria"/>
          <w:b/>
          <w:color w:val="FFFFFF" w:themeColor="background1"/>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6FF70FE8" w:rsidR="00F621C3" w:rsidRPr="000B6B7A" w:rsidRDefault="004250C2" w:rsidP="009163FC">
            <w:pPr>
              <w:jc w:val="both"/>
              <w:rPr>
                <w:rFonts w:ascii="Cambria" w:hAnsi="Cambria"/>
                <w:bCs/>
                <w:sz w:val="20"/>
                <w:szCs w:val="20"/>
              </w:rPr>
            </w:pPr>
            <w:r>
              <w:rPr>
                <w:rFonts w:ascii="Cambria" w:hAnsi="Cambria"/>
                <w:bCs/>
                <w:sz w:val="20"/>
                <w:szCs w:val="20"/>
              </w:rPr>
              <w:t>March 26,</w:t>
            </w:r>
            <w:r w:rsidR="00CB664B">
              <w:rPr>
                <w:rFonts w:ascii="Cambria" w:hAnsi="Cambria"/>
                <w:bCs/>
                <w:sz w:val="20"/>
                <w:szCs w:val="20"/>
              </w:rPr>
              <w:t xml:space="preserve">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31E77EE0" w:rsidR="00F621C3" w:rsidRPr="000B6B7A" w:rsidRDefault="004250C2" w:rsidP="009163FC">
            <w:pPr>
              <w:jc w:val="both"/>
              <w:rPr>
                <w:rFonts w:ascii="Cambria" w:hAnsi="Cambria"/>
                <w:bCs/>
                <w:sz w:val="20"/>
                <w:szCs w:val="20"/>
              </w:rPr>
            </w:pPr>
            <w:r>
              <w:rPr>
                <w:rFonts w:ascii="Cambria" w:hAnsi="Cambria"/>
                <w:bCs/>
                <w:sz w:val="20"/>
                <w:szCs w:val="20"/>
              </w:rPr>
              <w:t xml:space="preserve">July 28, 2009; January 30 and August 19, </w:t>
            </w:r>
            <w:r w:rsidR="00CB664B">
              <w:rPr>
                <w:rFonts w:ascii="Cambria" w:hAnsi="Cambria"/>
                <w:bCs/>
                <w:sz w:val="20"/>
                <w:szCs w:val="20"/>
              </w:rPr>
              <w:t>2014</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8444862" w:rsidR="00F621C3" w:rsidRPr="000B6B7A" w:rsidRDefault="004250C2" w:rsidP="009163FC">
            <w:pPr>
              <w:jc w:val="both"/>
              <w:rPr>
                <w:rFonts w:ascii="Cambria" w:hAnsi="Cambria"/>
                <w:bCs/>
                <w:sz w:val="20"/>
                <w:szCs w:val="20"/>
              </w:rPr>
            </w:pPr>
            <w:r>
              <w:rPr>
                <w:rFonts w:ascii="Cambria" w:hAnsi="Cambria"/>
                <w:bCs/>
                <w:sz w:val="20"/>
                <w:szCs w:val="20"/>
              </w:rPr>
              <w:t xml:space="preserve">August 26, </w:t>
            </w:r>
            <w:r w:rsidR="00CB664B">
              <w:rPr>
                <w:rFonts w:ascii="Cambria" w:hAnsi="Cambria"/>
                <w:bCs/>
                <w:sz w:val="20"/>
                <w:szCs w:val="20"/>
              </w:rPr>
              <w:t>2016</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91BDCB1" w:rsidR="00F621C3" w:rsidRPr="000B6B7A" w:rsidRDefault="004250C2" w:rsidP="009163FC">
            <w:pPr>
              <w:jc w:val="both"/>
              <w:rPr>
                <w:rFonts w:ascii="Cambria" w:hAnsi="Cambria"/>
                <w:bCs/>
                <w:sz w:val="20"/>
                <w:szCs w:val="20"/>
              </w:rPr>
            </w:pPr>
            <w:r>
              <w:rPr>
                <w:rFonts w:ascii="Cambria" w:hAnsi="Cambria"/>
                <w:bCs/>
                <w:sz w:val="20"/>
                <w:szCs w:val="20"/>
              </w:rPr>
              <w:t xml:space="preserve">November 28, </w:t>
            </w:r>
            <w:r w:rsidR="00CB664B">
              <w:rPr>
                <w:rFonts w:ascii="Cambria" w:hAnsi="Cambria"/>
                <w:bCs/>
                <w:sz w:val="20"/>
                <w:szCs w:val="20"/>
              </w:rPr>
              <w:t>2016</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57BF5802" w:rsidR="003771A3" w:rsidRPr="000B6B7A" w:rsidRDefault="004250C2" w:rsidP="009163FC">
            <w:pPr>
              <w:jc w:val="both"/>
              <w:rPr>
                <w:rFonts w:ascii="Cambria" w:hAnsi="Cambria"/>
                <w:bCs/>
                <w:sz w:val="20"/>
                <w:szCs w:val="20"/>
              </w:rPr>
            </w:pPr>
            <w:r>
              <w:rPr>
                <w:rFonts w:ascii="Cambria" w:hAnsi="Cambria"/>
                <w:bCs/>
                <w:sz w:val="20"/>
                <w:szCs w:val="20"/>
              </w:rPr>
              <w:t xml:space="preserve">June 20, </w:t>
            </w:r>
            <w:r w:rsidR="00CB664B">
              <w:rPr>
                <w:rFonts w:ascii="Cambria" w:hAnsi="Cambria"/>
                <w:bCs/>
                <w:sz w:val="20"/>
                <w:szCs w:val="20"/>
              </w:rPr>
              <w:t>2017</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54F974A5" w:rsidR="003771A3" w:rsidRPr="000B6B7A" w:rsidRDefault="004250C2" w:rsidP="009163FC">
            <w:pPr>
              <w:jc w:val="both"/>
              <w:rPr>
                <w:rFonts w:ascii="Cambria" w:hAnsi="Cambria"/>
                <w:bCs/>
                <w:sz w:val="20"/>
                <w:szCs w:val="20"/>
              </w:rPr>
            </w:pPr>
            <w:r>
              <w:rPr>
                <w:rFonts w:ascii="Cambria" w:hAnsi="Cambria"/>
                <w:bCs/>
                <w:sz w:val="20"/>
                <w:szCs w:val="20"/>
              </w:rPr>
              <w:t xml:space="preserve">October 2, </w:t>
            </w:r>
            <w:r w:rsidR="00CB664B">
              <w:rPr>
                <w:rFonts w:ascii="Cambria" w:hAnsi="Cambria"/>
                <w:bCs/>
                <w:sz w:val="20"/>
                <w:szCs w:val="20"/>
              </w:rPr>
              <w:t>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6D2F01AE" w:rsidR="00F621C3" w:rsidRPr="000B6B7A" w:rsidRDefault="00CB66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22D17ECD" w:rsidR="00F621C3" w:rsidRPr="000B6B7A" w:rsidRDefault="00CB66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1C1C53D" w:rsidR="00F621C3" w:rsidRPr="000B6B7A" w:rsidRDefault="00CB664B"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07D023E" w:rsidR="00F621C3" w:rsidRPr="000B6B7A" w:rsidRDefault="00CB664B" w:rsidP="009163FC">
            <w:pPr>
              <w:jc w:val="both"/>
              <w:rPr>
                <w:rFonts w:asciiTheme="majorHAnsi" w:hAnsiTheme="majorHAnsi"/>
                <w:bCs/>
                <w:sz w:val="20"/>
                <w:szCs w:val="20"/>
              </w:rPr>
            </w:pPr>
            <w:r>
              <w:rPr>
                <w:rFonts w:asciiTheme="majorHAnsi" w:hAnsiTheme="majorHAnsi"/>
                <w:bCs/>
                <w:sz w:val="20"/>
                <w:szCs w:val="20"/>
              </w:rPr>
              <w:t xml:space="preserve">Yes, </w:t>
            </w:r>
            <w:r w:rsidRPr="00CB664B">
              <w:rPr>
                <w:rFonts w:asciiTheme="majorHAnsi" w:hAnsiTheme="majorHAnsi"/>
                <w:bCs/>
                <w:sz w:val="20"/>
                <w:szCs w:val="20"/>
              </w:rPr>
              <w:t>American Convention (instrument deposit made on 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72CD8A8" w:rsidR="00F621C3" w:rsidRPr="000B6B7A" w:rsidRDefault="00CB664B"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84C01E5" w:rsidR="00F621C3" w:rsidRPr="000B6B7A" w:rsidRDefault="00CB664B" w:rsidP="009163FC">
            <w:pPr>
              <w:jc w:val="both"/>
              <w:rPr>
                <w:rFonts w:ascii="Cambria" w:hAnsi="Cambria"/>
                <w:bCs/>
                <w:sz w:val="20"/>
                <w:szCs w:val="20"/>
              </w:rPr>
            </w:pPr>
            <w:r w:rsidRPr="00CB664B">
              <w:rPr>
                <w:rFonts w:ascii="Cambria" w:hAnsi="Cambria"/>
                <w:bCs/>
                <w:sz w:val="20"/>
                <w:szCs w:val="20"/>
              </w:rPr>
              <w:t>Articles 8</w:t>
            </w:r>
            <w:r w:rsidR="00521DA8" w:rsidRPr="00CB664B">
              <w:rPr>
                <w:rFonts w:ascii="Cambria" w:hAnsi="Cambria"/>
                <w:bCs/>
                <w:sz w:val="20"/>
                <w:szCs w:val="20"/>
              </w:rPr>
              <w:t xml:space="preserve"> (</w:t>
            </w:r>
            <w:r w:rsidR="00521DA8" w:rsidRPr="004250C2">
              <w:rPr>
                <w:rFonts w:ascii="Cambria" w:hAnsi="Cambria"/>
                <w:bCs/>
                <w:sz w:val="20"/>
                <w:szCs w:val="20"/>
              </w:rPr>
              <w:t>fair trial</w:t>
            </w:r>
            <w:r w:rsidR="00521DA8">
              <w:rPr>
                <w:rFonts w:ascii="Cambria" w:hAnsi="Cambria"/>
                <w:bCs/>
                <w:sz w:val="20"/>
                <w:szCs w:val="20"/>
              </w:rPr>
              <w:t>), 21 (private property), 25 (judicial p</w:t>
            </w:r>
            <w:r w:rsidR="00521DA8" w:rsidRPr="00CB664B">
              <w:rPr>
                <w:rFonts w:ascii="Cambria" w:hAnsi="Cambria"/>
                <w:bCs/>
                <w:sz w:val="20"/>
                <w:szCs w:val="20"/>
              </w:rPr>
              <w:t xml:space="preserve">rotection) and </w:t>
            </w:r>
            <w:r w:rsidR="00521DA8">
              <w:rPr>
                <w:rFonts w:ascii="Cambria" w:hAnsi="Cambria"/>
                <w:bCs/>
                <w:sz w:val="20"/>
                <w:szCs w:val="20"/>
              </w:rPr>
              <w:t>26 (economic, social and cultural r</w:t>
            </w:r>
            <w:r w:rsidR="00521DA8" w:rsidRPr="00CB664B">
              <w:rPr>
                <w:rFonts w:ascii="Cambria" w:hAnsi="Cambria"/>
                <w:bCs/>
                <w:sz w:val="20"/>
                <w:szCs w:val="20"/>
              </w:rPr>
              <w:t>ights</w:t>
            </w:r>
            <w:r w:rsidRPr="00CB664B">
              <w:rPr>
                <w:rFonts w:ascii="Cambria" w:hAnsi="Cambria"/>
                <w:bCs/>
                <w:sz w:val="20"/>
                <w:szCs w:val="20"/>
              </w:rPr>
              <w:t>) of the American Convention in</w:t>
            </w:r>
            <w:r w:rsidR="00BA3ACE">
              <w:rPr>
                <w:rFonts w:ascii="Cambria" w:hAnsi="Cambria"/>
                <w:bCs/>
                <w:sz w:val="20"/>
                <w:szCs w:val="20"/>
              </w:rPr>
              <w:t xml:space="preserve"> relation to its articles 1.</w:t>
            </w:r>
            <w:r w:rsidR="00521DA8">
              <w:rPr>
                <w:rFonts w:ascii="Cambria" w:hAnsi="Cambria"/>
                <w:bCs/>
                <w:sz w:val="20"/>
                <w:szCs w:val="20"/>
              </w:rPr>
              <w:t>1 (obligation to respect r</w:t>
            </w:r>
            <w:r w:rsidR="00521DA8" w:rsidRPr="00CB664B">
              <w:rPr>
                <w:rFonts w:ascii="Cambria" w:hAnsi="Cambria"/>
                <w:bCs/>
                <w:sz w:val="20"/>
                <w:szCs w:val="20"/>
              </w:rPr>
              <w:t>ights) and 2 (</w:t>
            </w:r>
            <w:r w:rsidR="00521DA8" w:rsidRPr="00BA3ACE">
              <w:rPr>
                <w:rFonts w:ascii="Cambria" w:hAnsi="Cambria"/>
                <w:bCs/>
                <w:sz w:val="20"/>
                <w:szCs w:val="20"/>
              </w:rPr>
              <w:t>domestic legal effects</w:t>
            </w:r>
            <w:r w:rsidR="00521DA8" w:rsidRPr="00CB664B">
              <w:rPr>
                <w:rFonts w:ascii="Cambria" w:hAnsi="Cambria"/>
                <w:bCs/>
                <w:sz w:val="20"/>
                <w:szCs w:val="20"/>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1B1CBE06" w:rsidR="00F621C3" w:rsidRPr="000B6B7A" w:rsidRDefault="00BA3ACE" w:rsidP="009163FC">
            <w:pPr>
              <w:rPr>
                <w:rFonts w:ascii="Cambria" w:hAnsi="Cambria"/>
                <w:bCs/>
                <w:sz w:val="20"/>
                <w:szCs w:val="20"/>
              </w:rPr>
            </w:pPr>
            <w:r>
              <w:rPr>
                <w:rFonts w:ascii="Cambria" w:hAnsi="Cambria"/>
                <w:bCs/>
                <w:sz w:val="20"/>
                <w:szCs w:val="20"/>
              </w:rPr>
              <w:t xml:space="preserve">Yes, October 11, </w:t>
            </w:r>
            <w:r w:rsidR="00CB664B">
              <w:rPr>
                <w:rFonts w:ascii="Cambria" w:hAnsi="Cambria"/>
                <w:bCs/>
                <w:sz w:val="20"/>
                <w:szCs w:val="20"/>
              </w:rPr>
              <w:t>2007</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08568572" w:rsidR="00F621C3" w:rsidRPr="000B6B7A" w:rsidRDefault="00CB664B" w:rsidP="009163FC">
            <w:pPr>
              <w:rPr>
                <w:rFonts w:asciiTheme="majorHAnsi" w:hAnsiTheme="majorHAnsi"/>
                <w:bCs/>
                <w:sz w:val="20"/>
                <w:szCs w:val="20"/>
              </w:rPr>
            </w:pPr>
            <w:r>
              <w:rPr>
                <w:rFonts w:asciiTheme="majorHAnsi" w:hAnsiTheme="majorHAnsi"/>
                <w:bCs/>
                <w:sz w:val="20"/>
                <w:szCs w:val="20"/>
              </w:rPr>
              <w:t>Yes,</w:t>
            </w:r>
            <w:r w:rsidR="0077347E">
              <w:t xml:space="preserve"> </w:t>
            </w:r>
            <w:r w:rsidR="0077347E" w:rsidRPr="0077347E">
              <w:rPr>
                <w:rFonts w:asciiTheme="majorHAnsi" w:hAnsiTheme="majorHAnsi"/>
                <w:bCs/>
                <w:sz w:val="20"/>
                <w:szCs w:val="20"/>
              </w:rPr>
              <w:t>March 26, 2008</w:t>
            </w:r>
          </w:p>
        </w:tc>
      </w:tr>
    </w:tbl>
    <w:p w14:paraId="030F3F08" w14:textId="77777777" w:rsidR="00210F4B" w:rsidRDefault="00210F4B" w:rsidP="007B5120">
      <w:pPr>
        <w:spacing w:before="240" w:after="240"/>
        <w:ind w:firstLine="720"/>
        <w:jc w:val="both"/>
        <w:rPr>
          <w:rFonts w:asciiTheme="majorHAnsi" w:hAnsiTheme="majorHAnsi"/>
          <w:b/>
          <w:sz w:val="20"/>
          <w:szCs w:val="20"/>
        </w:rPr>
      </w:pPr>
    </w:p>
    <w:p w14:paraId="3C14DC03" w14:textId="77777777" w:rsidR="000A12A5" w:rsidRDefault="000A12A5" w:rsidP="00F04937">
      <w:pPr>
        <w:rPr>
          <w:rFonts w:asciiTheme="majorHAnsi" w:hAnsiTheme="majorHAnsi"/>
          <w:b/>
          <w:sz w:val="20"/>
          <w:szCs w:val="20"/>
        </w:rPr>
      </w:pPr>
    </w:p>
    <w:p w14:paraId="10895352" w14:textId="65C36435" w:rsidR="00F04937" w:rsidRDefault="006619C2" w:rsidP="006619C2">
      <w:pPr>
        <w:ind w:firstLine="720"/>
        <w:rPr>
          <w:rFonts w:asciiTheme="majorHAnsi" w:hAnsiTheme="majorHAnsi"/>
          <w:b/>
          <w:sz w:val="20"/>
          <w:szCs w:val="20"/>
        </w:rPr>
      </w:pPr>
      <w:r>
        <w:rPr>
          <w:rFonts w:asciiTheme="majorHAnsi" w:hAnsiTheme="majorHAnsi"/>
          <w:b/>
          <w:sz w:val="20"/>
          <w:szCs w:val="20"/>
        </w:rPr>
        <w:lastRenderedPageBreak/>
        <w:t>V.</w:t>
      </w:r>
      <w:r>
        <w:rPr>
          <w:rFonts w:asciiTheme="majorHAnsi" w:hAnsiTheme="majorHAnsi"/>
          <w:b/>
          <w:sz w:val="20"/>
          <w:szCs w:val="20"/>
        </w:rPr>
        <w:tab/>
      </w:r>
      <w:r w:rsidR="00F04937" w:rsidRPr="00F04937">
        <w:rPr>
          <w:rFonts w:asciiTheme="majorHAnsi" w:hAnsiTheme="majorHAnsi"/>
          <w:b/>
          <w:sz w:val="20"/>
          <w:szCs w:val="20"/>
        </w:rPr>
        <w:t>ALLEGED FACTS</w:t>
      </w:r>
    </w:p>
    <w:p w14:paraId="45DE535D" w14:textId="77777777" w:rsidR="009A2A87" w:rsidRPr="00F04937" w:rsidRDefault="009A2A87" w:rsidP="00F04937">
      <w:pPr>
        <w:rPr>
          <w:rFonts w:asciiTheme="majorHAnsi" w:hAnsiTheme="majorHAnsi"/>
          <w:b/>
          <w:sz w:val="20"/>
          <w:szCs w:val="20"/>
        </w:rPr>
      </w:pPr>
    </w:p>
    <w:p w14:paraId="7F4E29F5" w14:textId="5AD6E86C" w:rsidR="00F0493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1.</w:t>
      </w:r>
      <w:r w:rsidR="0026161C">
        <w:rPr>
          <w:rFonts w:asciiTheme="majorHAnsi" w:hAnsiTheme="majorHAnsi"/>
          <w:sz w:val="20"/>
          <w:szCs w:val="20"/>
        </w:rPr>
        <w:tab/>
      </w:r>
      <w:r w:rsidRPr="000A12A5">
        <w:rPr>
          <w:rFonts w:asciiTheme="majorHAnsi" w:hAnsiTheme="majorHAnsi"/>
          <w:sz w:val="20"/>
          <w:szCs w:val="20"/>
        </w:rPr>
        <w:t xml:space="preserve"> Carlos Alberto Moyano Dietrich (hereinafter "the alleged victim" or "the petitioner"), alleges that the Peruvian State violated, among others, his rights to property, honor, and judicial protection. He argues that while he was serving as </w:t>
      </w:r>
      <w:r w:rsidR="001D140E" w:rsidRPr="000A12A5">
        <w:rPr>
          <w:rFonts w:asciiTheme="majorHAnsi" w:hAnsiTheme="majorHAnsi"/>
          <w:sz w:val="20"/>
          <w:szCs w:val="20"/>
        </w:rPr>
        <w:t xml:space="preserve">a </w:t>
      </w:r>
      <w:r w:rsidRPr="000A12A5">
        <w:rPr>
          <w:rFonts w:asciiTheme="majorHAnsi" w:hAnsiTheme="majorHAnsi"/>
          <w:sz w:val="20"/>
          <w:szCs w:val="20"/>
        </w:rPr>
        <w:t>captain of the Civil Guard (current National Police), he was illegally and arbitrarily dismissed as a result of Law 24.294 of "Police Reorganization", denying him any type of compensation and pension.</w:t>
      </w:r>
    </w:p>
    <w:p w14:paraId="7D30F365" w14:textId="77777777" w:rsidR="009A2A87" w:rsidRPr="000A12A5" w:rsidRDefault="009A2A87" w:rsidP="00A10633">
      <w:pPr>
        <w:jc w:val="both"/>
        <w:rPr>
          <w:rFonts w:asciiTheme="majorHAnsi" w:hAnsiTheme="majorHAnsi"/>
          <w:sz w:val="20"/>
          <w:szCs w:val="20"/>
        </w:rPr>
      </w:pPr>
    </w:p>
    <w:p w14:paraId="74AC8C8B" w14:textId="2ABB828D" w:rsidR="00F0493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 xml:space="preserve">2. </w:t>
      </w:r>
      <w:r w:rsidR="0026161C">
        <w:rPr>
          <w:rFonts w:asciiTheme="majorHAnsi" w:hAnsiTheme="majorHAnsi"/>
          <w:sz w:val="20"/>
          <w:szCs w:val="20"/>
        </w:rPr>
        <w:tab/>
      </w:r>
      <w:r w:rsidRPr="000A12A5">
        <w:rPr>
          <w:rFonts w:asciiTheme="majorHAnsi" w:hAnsiTheme="majorHAnsi"/>
          <w:sz w:val="20"/>
          <w:szCs w:val="20"/>
        </w:rPr>
        <w:t>The petitioner indicates that, following his admission to the Officer's School of the Civil Guard on April 1, 1968, on December 30, 1969, the "Police Statute" (Decree Law No. 18,081) came into force, which established in article 8 that the pensions are property of the police officer and that they could not be withdrawn except by judicial decision, establishing in article 39 a minimum of 7 years of service to obtain the pension. He notes that he also recognized in article 72 the conservation of acquired rights in labor matters. He adds that on January 1, 1973, Decree Law No. 19,846, referring to the economic rights of military and police personnel, went into effect, which increased the minimum number of years of service required to obtain a pension from 7 to 15.</w:t>
      </w:r>
      <w:r w:rsidR="009A2A87" w:rsidRPr="000A12A5">
        <w:rPr>
          <w:rFonts w:asciiTheme="majorHAnsi" w:hAnsiTheme="majorHAnsi"/>
          <w:sz w:val="20"/>
          <w:szCs w:val="20"/>
        </w:rPr>
        <w:t xml:space="preserve">  </w:t>
      </w:r>
    </w:p>
    <w:p w14:paraId="4FA9D3D5" w14:textId="77777777" w:rsidR="009A2A87" w:rsidRPr="000A12A5" w:rsidRDefault="009A2A87" w:rsidP="00A10633">
      <w:pPr>
        <w:jc w:val="both"/>
        <w:rPr>
          <w:rFonts w:asciiTheme="majorHAnsi" w:hAnsiTheme="majorHAnsi"/>
          <w:sz w:val="20"/>
          <w:szCs w:val="20"/>
        </w:rPr>
      </w:pPr>
    </w:p>
    <w:p w14:paraId="1A98AA1B" w14:textId="0A72991C" w:rsidR="00F0493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 xml:space="preserve">3. </w:t>
      </w:r>
      <w:r w:rsidR="0026161C">
        <w:rPr>
          <w:rFonts w:asciiTheme="majorHAnsi" w:hAnsiTheme="majorHAnsi"/>
          <w:sz w:val="20"/>
          <w:szCs w:val="20"/>
        </w:rPr>
        <w:tab/>
      </w:r>
      <w:r w:rsidRPr="000A12A5">
        <w:rPr>
          <w:rFonts w:asciiTheme="majorHAnsi" w:hAnsiTheme="majorHAnsi"/>
          <w:sz w:val="20"/>
          <w:szCs w:val="20"/>
        </w:rPr>
        <w:t xml:space="preserve">He refers that on February 4, 1986, after 14 years of service, while he was performing his duties in the city of Iquitos, and without prior notice or </w:t>
      </w:r>
      <w:r w:rsidR="00807D62">
        <w:rPr>
          <w:rFonts w:asciiTheme="majorHAnsi" w:hAnsiTheme="majorHAnsi"/>
          <w:sz w:val="20"/>
          <w:szCs w:val="20"/>
        </w:rPr>
        <w:t xml:space="preserve">administrative </w:t>
      </w:r>
      <w:proofErr w:type="gramStart"/>
      <w:r w:rsidR="00807D62">
        <w:rPr>
          <w:rFonts w:asciiTheme="majorHAnsi" w:hAnsiTheme="majorHAnsi"/>
          <w:sz w:val="20"/>
          <w:szCs w:val="20"/>
        </w:rPr>
        <w:t xml:space="preserve">inquiry </w:t>
      </w:r>
      <w:r w:rsidRPr="000A12A5">
        <w:rPr>
          <w:rFonts w:asciiTheme="majorHAnsi" w:hAnsiTheme="majorHAnsi"/>
          <w:sz w:val="20"/>
          <w:szCs w:val="20"/>
        </w:rPr>
        <w:t>,</w:t>
      </w:r>
      <w:proofErr w:type="gramEnd"/>
      <w:r w:rsidRPr="000A12A5">
        <w:rPr>
          <w:rFonts w:asciiTheme="majorHAnsi" w:hAnsiTheme="majorHAnsi"/>
          <w:sz w:val="20"/>
          <w:szCs w:val="20"/>
        </w:rPr>
        <w:t xml:space="preserve"> he was removed from his post, without compensation or pension, by application of Law 24,294, which delegated to the Executive Power the </w:t>
      </w:r>
      <w:r w:rsidR="000A12A5">
        <w:rPr>
          <w:rFonts w:asciiTheme="majorHAnsi" w:hAnsiTheme="majorHAnsi"/>
          <w:sz w:val="20"/>
          <w:szCs w:val="20"/>
        </w:rPr>
        <w:t>ability</w:t>
      </w:r>
      <w:r w:rsidRPr="000A12A5">
        <w:rPr>
          <w:rFonts w:asciiTheme="majorHAnsi" w:hAnsiTheme="majorHAnsi"/>
          <w:sz w:val="20"/>
          <w:szCs w:val="20"/>
        </w:rPr>
        <w:t xml:space="preserve"> to reorganize the Police Forces. It adds that on December 22, 1986, Law 24,617 came into force, which established that the resolutions adopted in the light of the Law of "Police Reorganization" would not be susceptible of administrative or judicial actions.</w:t>
      </w:r>
      <w:r w:rsidR="009A2A87" w:rsidRPr="000A12A5">
        <w:rPr>
          <w:rFonts w:asciiTheme="majorHAnsi" w:hAnsiTheme="majorHAnsi"/>
          <w:sz w:val="20"/>
          <w:szCs w:val="20"/>
        </w:rPr>
        <w:t xml:space="preserve">  </w:t>
      </w:r>
    </w:p>
    <w:p w14:paraId="7B4C9FA6" w14:textId="77777777" w:rsidR="009A2A87" w:rsidRPr="000A12A5" w:rsidRDefault="009A2A87" w:rsidP="00A10633">
      <w:pPr>
        <w:jc w:val="both"/>
        <w:rPr>
          <w:rFonts w:asciiTheme="majorHAnsi" w:hAnsiTheme="majorHAnsi"/>
          <w:sz w:val="20"/>
          <w:szCs w:val="20"/>
        </w:rPr>
      </w:pPr>
    </w:p>
    <w:p w14:paraId="6DC2A027" w14:textId="06861A89" w:rsidR="00F0493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 xml:space="preserve">4. </w:t>
      </w:r>
      <w:r w:rsidR="0026161C">
        <w:rPr>
          <w:rFonts w:asciiTheme="majorHAnsi" w:hAnsiTheme="majorHAnsi"/>
          <w:sz w:val="20"/>
          <w:szCs w:val="20"/>
        </w:rPr>
        <w:tab/>
      </w:r>
      <w:r w:rsidRPr="000A12A5">
        <w:rPr>
          <w:rFonts w:asciiTheme="majorHAnsi" w:hAnsiTheme="majorHAnsi"/>
          <w:sz w:val="20"/>
          <w:szCs w:val="20"/>
        </w:rPr>
        <w:t>He alleges that his unforeseen, illegal and arbitrary dismissal was reported to him through the media, especially by the newspaper "El Peruano," a situation that would have impaired his image before public opinion, affecting his dignity and honor. He adds that the same day of his dismissal, he and his family, consisting of his wife, his two minor children and his mother were violently evicted from their home located inside a Police Villa. He argues that this situation affected them not only economically, but also psychologically and socially, because they had to reduce food, school and medication costs, and their quality of life being drastically reduced. It also indicates that his salary and medical coverage were immediately suspended.</w:t>
      </w:r>
    </w:p>
    <w:p w14:paraId="45959951" w14:textId="77777777" w:rsidR="009A2A87" w:rsidRPr="000A12A5" w:rsidRDefault="009A2A87" w:rsidP="00A10633">
      <w:pPr>
        <w:jc w:val="both"/>
        <w:rPr>
          <w:rFonts w:asciiTheme="majorHAnsi" w:hAnsiTheme="majorHAnsi"/>
          <w:sz w:val="20"/>
          <w:szCs w:val="20"/>
        </w:rPr>
      </w:pPr>
    </w:p>
    <w:p w14:paraId="5E86E9E8" w14:textId="16456CA7" w:rsidR="00F0493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 xml:space="preserve">5. </w:t>
      </w:r>
      <w:r w:rsidR="0026161C">
        <w:rPr>
          <w:rFonts w:asciiTheme="majorHAnsi" w:hAnsiTheme="majorHAnsi"/>
          <w:sz w:val="20"/>
          <w:szCs w:val="20"/>
        </w:rPr>
        <w:tab/>
      </w:r>
      <w:r w:rsidRPr="000A12A5">
        <w:rPr>
          <w:rFonts w:asciiTheme="majorHAnsi" w:hAnsiTheme="majorHAnsi"/>
          <w:sz w:val="20"/>
          <w:szCs w:val="20"/>
        </w:rPr>
        <w:t xml:space="preserve">He points out that on May 5, 2003, following the return of democracy, he applied for a renewable retirement pension before the head of the National Police officers' pension department, requesting that the exception of Supreme Decree No. 0072-. 85-IN/DM of November 14, 1985 </w:t>
      </w:r>
      <w:r w:rsidR="001D6FA8" w:rsidRPr="001D6FA8">
        <w:rPr>
          <w:rFonts w:asciiTheme="majorHAnsi" w:hAnsiTheme="majorHAnsi"/>
          <w:sz w:val="20"/>
          <w:szCs w:val="20"/>
        </w:rPr>
        <w:t>be applied to him</w:t>
      </w:r>
      <w:r w:rsidR="001D6FA8">
        <w:rPr>
          <w:rFonts w:asciiTheme="majorHAnsi" w:hAnsiTheme="majorHAnsi"/>
          <w:sz w:val="20"/>
          <w:szCs w:val="20"/>
        </w:rPr>
        <w:t xml:space="preserve">, </w:t>
      </w:r>
      <w:r w:rsidRPr="000A12A5">
        <w:rPr>
          <w:rFonts w:asciiTheme="majorHAnsi" w:hAnsiTheme="majorHAnsi"/>
          <w:sz w:val="20"/>
          <w:szCs w:val="20"/>
        </w:rPr>
        <w:t>which established that, by exception and only for pensionable purposes, personnel retired under the Law of "Police Reorganization" should be included in the grounds of "age limit"</w:t>
      </w:r>
      <w:r w:rsidR="001D6FA8">
        <w:rPr>
          <w:rFonts w:asciiTheme="majorHAnsi" w:hAnsiTheme="majorHAnsi"/>
          <w:sz w:val="20"/>
          <w:szCs w:val="20"/>
        </w:rPr>
        <w:t>.</w:t>
      </w:r>
      <w:r w:rsidRPr="000A12A5">
        <w:rPr>
          <w:rFonts w:asciiTheme="majorHAnsi" w:hAnsiTheme="majorHAnsi"/>
          <w:sz w:val="20"/>
          <w:szCs w:val="20"/>
        </w:rPr>
        <w:t xml:space="preserve"> However, on December 26, 2003, the administrative body rejected the petition through Ministerial Resolution No. 1456-2004-IN/PNP, even though on September 1, 2003, the Police Ombudsman's Office had declared that the right was entitled constitutionally and legally to receive a renewable retirement pension. He refers to having appealed on January 13, </w:t>
      </w:r>
      <w:r w:rsidR="00534F10" w:rsidRPr="000A12A5">
        <w:rPr>
          <w:rFonts w:asciiTheme="majorHAnsi" w:hAnsiTheme="majorHAnsi"/>
          <w:sz w:val="20"/>
          <w:szCs w:val="20"/>
        </w:rPr>
        <w:t>2004 before the Ministry of the internal affairs</w:t>
      </w:r>
      <w:r w:rsidRPr="000A12A5">
        <w:rPr>
          <w:rFonts w:asciiTheme="majorHAnsi" w:hAnsiTheme="majorHAnsi"/>
          <w:sz w:val="20"/>
          <w:szCs w:val="20"/>
        </w:rPr>
        <w:t>, which on July 26, 2004, rejected his request.</w:t>
      </w:r>
    </w:p>
    <w:p w14:paraId="17279591" w14:textId="77777777" w:rsidR="009A2A87" w:rsidRPr="000A12A5" w:rsidRDefault="009A2A87" w:rsidP="00A10633">
      <w:pPr>
        <w:jc w:val="both"/>
        <w:rPr>
          <w:rFonts w:asciiTheme="majorHAnsi" w:hAnsiTheme="majorHAnsi"/>
          <w:sz w:val="20"/>
          <w:szCs w:val="20"/>
        </w:rPr>
      </w:pPr>
    </w:p>
    <w:p w14:paraId="54172C4F" w14:textId="2435E0EA" w:rsidR="00B06BB7" w:rsidRPr="000A12A5" w:rsidRDefault="00F04937" w:rsidP="006619C2">
      <w:pPr>
        <w:ind w:firstLine="720"/>
        <w:jc w:val="both"/>
        <w:rPr>
          <w:rFonts w:asciiTheme="majorHAnsi" w:hAnsiTheme="majorHAnsi"/>
          <w:sz w:val="20"/>
          <w:szCs w:val="20"/>
        </w:rPr>
      </w:pPr>
      <w:r w:rsidRPr="000A12A5">
        <w:rPr>
          <w:rFonts w:asciiTheme="majorHAnsi" w:hAnsiTheme="majorHAnsi"/>
          <w:sz w:val="20"/>
          <w:szCs w:val="20"/>
        </w:rPr>
        <w:t xml:space="preserve">6. </w:t>
      </w:r>
      <w:r w:rsidR="0026161C">
        <w:rPr>
          <w:rFonts w:asciiTheme="majorHAnsi" w:hAnsiTheme="majorHAnsi"/>
          <w:sz w:val="20"/>
          <w:szCs w:val="20"/>
        </w:rPr>
        <w:tab/>
      </w:r>
      <w:r w:rsidRPr="000A12A5">
        <w:rPr>
          <w:rFonts w:asciiTheme="majorHAnsi" w:hAnsiTheme="majorHAnsi"/>
          <w:sz w:val="20"/>
          <w:szCs w:val="20"/>
        </w:rPr>
        <w:t xml:space="preserve">The petitioner alleges that, since he did not obtain a favorable response through administrative channels, he filed a </w:t>
      </w:r>
      <w:r w:rsidR="001D6FA8">
        <w:rPr>
          <w:rFonts w:asciiTheme="majorHAnsi" w:hAnsiTheme="majorHAnsi"/>
          <w:sz w:val="20"/>
          <w:szCs w:val="20"/>
        </w:rPr>
        <w:t xml:space="preserve">remedy </w:t>
      </w:r>
      <w:r w:rsidRPr="000A12A5">
        <w:rPr>
          <w:rFonts w:asciiTheme="majorHAnsi" w:hAnsiTheme="majorHAnsi"/>
          <w:sz w:val="20"/>
          <w:szCs w:val="20"/>
        </w:rPr>
        <w:t xml:space="preserve">of </w:t>
      </w:r>
      <w:proofErr w:type="spellStart"/>
      <w:r w:rsidRPr="000A12A5">
        <w:rPr>
          <w:rFonts w:asciiTheme="majorHAnsi" w:hAnsiTheme="majorHAnsi"/>
          <w:i/>
          <w:sz w:val="20"/>
          <w:szCs w:val="20"/>
        </w:rPr>
        <w:t>amparo</w:t>
      </w:r>
      <w:proofErr w:type="spellEnd"/>
      <w:r w:rsidRPr="000A12A5">
        <w:rPr>
          <w:rFonts w:asciiTheme="majorHAnsi" w:hAnsiTheme="majorHAnsi"/>
          <w:sz w:val="20"/>
          <w:szCs w:val="20"/>
        </w:rPr>
        <w:t xml:space="preserve"> against the Ministry of the Inter</w:t>
      </w:r>
      <w:r w:rsidR="00534F10" w:rsidRPr="000A12A5">
        <w:rPr>
          <w:rFonts w:asciiTheme="majorHAnsi" w:hAnsiTheme="majorHAnsi"/>
          <w:sz w:val="20"/>
          <w:szCs w:val="20"/>
        </w:rPr>
        <w:t xml:space="preserve">nal </w:t>
      </w:r>
      <w:r w:rsidR="001D6FA8">
        <w:rPr>
          <w:rFonts w:asciiTheme="majorHAnsi" w:hAnsiTheme="majorHAnsi"/>
          <w:sz w:val="20"/>
          <w:szCs w:val="20"/>
        </w:rPr>
        <w:t>A</w:t>
      </w:r>
      <w:r w:rsidR="00534F10" w:rsidRPr="000A12A5">
        <w:rPr>
          <w:rFonts w:asciiTheme="majorHAnsi" w:hAnsiTheme="majorHAnsi"/>
          <w:sz w:val="20"/>
          <w:szCs w:val="20"/>
        </w:rPr>
        <w:t>ffairs</w:t>
      </w:r>
      <w:r w:rsidRPr="000A12A5">
        <w:rPr>
          <w:rFonts w:asciiTheme="majorHAnsi" w:hAnsiTheme="majorHAnsi"/>
          <w:sz w:val="20"/>
          <w:szCs w:val="20"/>
        </w:rPr>
        <w:t xml:space="preserve"> on August 13, 2004 before the Sixty-fifth Civil Court of Lima, requesting the granting of</w:t>
      </w:r>
      <w:r w:rsidR="00534F10" w:rsidRPr="000A12A5">
        <w:rPr>
          <w:rFonts w:asciiTheme="majorHAnsi" w:hAnsiTheme="majorHAnsi"/>
          <w:sz w:val="20"/>
          <w:szCs w:val="20"/>
        </w:rPr>
        <w:t xml:space="preserve"> a renewable retirement pension on</w:t>
      </w:r>
      <w:r w:rsidRPr="000A12A5">
        <w:rPr>
          <w:rFonts w:asciiTheme="majorHAnsi" w:hAnsiTheme="majorHAnsi"/>
          <w:sz w:val="20"/>
          <w:szCs w:val="20"/>
        </w:rPr>
        <w:t xml:space="preserve"> the basis that Supreme Decree No. 0072-85-IN/DM and Decree Law No. 18,081 would apply to it, since the economic rights recognized therein are rights acquired under the Constitution. On April 15, 2005, the court declared the complaint well-founded, stating that if the petitioner's pension benefits were not granted, his constitutional right to equality would be violated. </w:t>
      </w:r>
      <w:r w:rsidR="005C781C">
        <w:rPr>
          <w:rFonts w:asciiTheme="majorHAnsi" w:hAnsiTheme="majorHAnsi"/>
          <w:sz w:val="20"/>
          <w:szCs w:val="20"/>
        </w:rPr>
        <w:t>Against this</w:t>
      </w:r>
      <w:r w:rsidR="005C781C" w:rsidRPr="005C781C">
        <w:t xml:space="preserve"> </w:t>
      </w:r>
      <w:r w:rsidR="005C781C" w:rsidRPr="005C781C">
        <w:rPr>
          <w:rFonts w:asciiTheme="majorHAnsi" w:hAnsiTheme="majorHAnsi"/>
          <w:sz w:val="20"/>
          <w:szCs w:val="20"/>
        </w:rPr>
        <w:t>judgment,</w:t>
      </w:r>
      <w:r w:rsidR="005C781C">
        <w:rPr>
          <w:rFonts w:asciiTheme="majorHAnsi" w:hAnsiTheme="majorHAnsi"/>
          <w:sz w:val="20"/>
          <w:szCs w:val="20"/>
        </w:rPr>
        <w:t xml:space="preserve"> </w:t>
      </w:r>
      <w:r w:rsidRPr="000A12A5">
        <w:rPr>
          <w:rFonts w:asciiTheme="majorHAnsi" w:hAnsiTheme="majorHAnsi"/>
          <w:sz w:val="20"/>
          <w:szCs w:val="20"/>
        </w:rPr>
        <w:t xml:space="preserve">the Ministry of the </w:t>
      </w:r>
      <w:r w:rsidR="005C781C">
        <w:rPr>
          <w:rFonts w:asciiTheme="majorHAnsi" w:hAnsiTheme="majorHAnsi"/>
          <w:sz w:val="20"/>
          <w:szCs w:val="20"/>
        </w:rPr>
        <w:t>Internal A</w:t>
      </w:r>
      <w:r w:rsidR="005C781C" w:rsidRPr="005C781C">
        <w:rPr>
          <w:rFonts w:asciiTheme="majorHAnsi" w:hAnsiTheme="majorHAnsi"/>
          <w:sz w:val="20"/>
          <w:szCs w:val="20"/>
        </w:rPr>
        <w:t xml:space="preserve">ffairs </w:t>
      </w:r>
      <w:r w:rsidRPr="000A12A5">
        <w:rPr>
          <w:rFonts w:asciiTheme="majorHAnsi" w:hAnsiTheme="majorHAnsi"/>
          <w:sz w:val="20"/>
          <w:szCs w:val="20"/>
        </w:rPr>
        <w:t xml:space="preserve">appealed to the First Civil Chamber of the Superior Court of </w:t>
      </w:r>
      <w:r w:rsidR="00534F10" w:rsidRPr="000A12A5">
        <w:rPr>
          <w:rFonts w:asciiTheme="majorHAnsi" w:hAnsiTheme="majorHAnsi"/>
          <w:sz w:val="20"/>
          <w:szCs w:val="20"/>
        </w:rPr>
        <w:t>Lima that</w:t>
      </w:r>
      <w:r w:rsidRPr="000A12A5">
        <w:rPr>
          <w:rFonts w:asciiTheme="majorHAnsi" w:hAnsiTheme="majorHAnsi"/>
          <w:sz w:val="20"/>
          <w:szCs w:val="20"/>
        </w:rPr>
        <w:t xml:space="preserve"> on January 23, 2006 revoked the sentence, declaring the</w:t>
      </w:r>
      <w:r w:rsidR="005C781C" w:rsidRPr="005C781C">
        <w:t xml:space="preserve"> </w:t>
      </w:r>
      <w:r w:rsidR="005C781C" w:rsidRPr="005C781C">
        <w:rPr>
          <w:rFonts w:asciiTheme="majorHAnsi" w:hAnsiTheme="majorHAnsi"/>
          <w:sz w:val="20"/>
          <w:szCs w:val="20"/>
        </w:rPr>
        <w:t>complaint</w:t>
      </w:r>
      <w:r w:rsidRPr="000A12A5">
        <w:rPr>
          <w:rFonts w:asciiTheme="majorHAnsi" w:hAnsiTheme="majorHAnsi"/>
          <w:sz w:val="20"/>
          <w:szCs w:val="20"/>
        </w:rPr>
        <w:t xml:space="preserve"> inadmissible, </w:t>
      </w:r>
      <w:r w:rsidR="005C781C" w:rsidRPr="000A12A5">
        <w:rPr>
          <w:rFonts w:asciiTheme="majorHAnsi" w:hAnsiTheme="majorHAnsi"/>
          <w:sz w:val="20"/>
          <w:szCs w:val="20"/>
        </w:rPr>
        <w:t>because</w:t>
      </w:r>
      <w:r w:rsidRPr="000A12A5">
        <w:rPr>
          <w:rFonts w:asciiTheme="majorHAnsi" w:hAnsiTheme="majorHAnsi"/>
          <w:sz w:val="20"/>
          <w:szCs w:val="20"/>
        </w:rPr>
        <w:t xml:space="preserve"> the petitioner did not comply with the 15 years of service. For this reason, the petitioner filed an appeal for constitutional tort, which on August 14, 2006 was declared inadmissible by the Constitutional Court, considering that there was no violation of any right, based </w:t>
      </w:r>
      <w:r w:rsidRPr="000A12A5">
        <w:rPr>
          <w:rFonts w:asciiTheme="majorHAnsi" w:hAnsiTheme="majorHAnsi"/>
          <w:sz w:val="20"/>
          <w:szCs w:val="20"/>
        </w:rPr>
        <w:lastRenderedPageBreak/>
        <w:t>on the same previous argument. The petitioner reports that the notification of the ruling was made on October 11, 2007.</w:t>
      </w:r>
    </w:p>
    <w:p w14:paraId="6C64D6ED" w14:textId="77777777" w:rsidR="00534F10" w:rsidRPr="000A12A5" w:rsidRDefault="00534F10" w:rsidP="00A10633">
      <w:pPr>
        <w:jc w:val="both"/>
        <w:rPr>
          <w:rFonts w:asciiTheme="majorHAnsi" w:hAnsiTheme="majorHAnsi"/>
          <w:sz w:val="20"/>
          <w:szCs w:val="20"/>
        </w:rPr>
      </w:pPr>
    </w:p>
    <w:p w14:paraId="3AD184E7" w14:textId="2995B632"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7.</w:t>
      </w:r>
      <w:r w:rsidR="0026161C">
        <w:rPr>
          <w:rFonts w:asciiTheme="majorHAnsi" w:hAnsiTheme="majorHAnsi"/>
          <w:sz w:val="20"/>
          <w:szCs w:val="20"/>
        </w:rPr>
        <w:tab/>
      </w:r>
      <w:r w:rsidRPr="000A12A5">
        <w:rPr>
          <w:rFonts w:asciiTheme="majorHAnsi" w:hAnsiTheme="majorHAnsi"/>
          <w:sz w:val="20"/>
          <w:szCs w:val="20"/>
        </w:rPr>
        <w:t xml:space="preserve"> In addition, the petitioner accompanies information on at least 30 cases of former police officers who, upon retirement, had the same amount of services as him and for whose benefit the judicial authorities would have declared Supreme Decree No. 0072-85-IN- DM. Therefore, he claims to have suffered discrimination in respect of persons who were in the same situation.</w:t>
      </w:r>
    </w:p>
    <w:p w14:paraId="498FF906" w14:textId="77777777" w:rsidR="00A048A7" w:rsidRPr="000A12A5" w:rsidRDefault="00A048A7" w:rsidP="00A10633">
      <w:pPr>
        <w:jc w:val="both"/>
        <w:rPr>
          <w:rFonts w:asciiTheme="majorHAnsi" w:hAnsiTheme="majorHAnsi"/>
          <w:sz w:val="20"/>
          <w:szCs w:val="20"/>
        </w:rPr>
      </w:pPr>
    </w:p>
    <w:p w14:paraId="12E45834" w14:textId="68CE08BE"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8.</w:t>
      </w:r>
      <w:r w:rsidR="0026161C">
        <w:rPr>
          <w:rFonts w:asciiTheme="majorHAnsi" w:hAnsiTheme="majorHAnsi"/>
          <w:sz w:val="20"/>
          <w:szCs w:val="20"/>
        </w:rPr>
        <w:tab/>
      </w:r>
      <w:r w:rsidRPr="000A12A5">
        <w:rPr>
          <w:rFonts w:asciiTheme="majorHAnsi" w:hAnsiTheme="majorHAnsi"/>
          <w:sz w:val="20"/>
          <w:szCs w:val="20"/>
        </w:rPr>
        <w:t xml:space="preserve"> On its behalf, the State alleges that the petitioner did not exhaust domestic remedies and that the facts described do not constitute a violation of the rights guaranteed in the American Convention. Regarding the exhaustion of domestic remedies, it indicates that the petitioner should have gone to the ordinary proceedings, such as the administrative litigation process and, although he demands that the allegations suffered be repaired, he did not go to the indemnification process through civil </w:t>
      </w:r>
      <w:r w:rsidR="0077347E" w:rsidRPr="0077347E">
        <w:rPr>
          <w:rFonts w:asciiTheme="majorHAnsi" w:hAnsiTheme="majorHAnsi"/>
          <w:sz w:val="20"/>
          <w:szCs w:val="20"/>
        </w:rPr>
        <w:t>lawsuits</w:t>
      </w:r>
      <w:r w:rsidRPr="000A12A5">
        <w:rPr>
          <w:rFonts w:asciiTheme="majorHAnsi" w:hAnsiTheme="majorHAnsi"/>
          <w:sz w:val="20"/>
          <w:szCs w:val="20"/>
        </w:rPr>
        <w:t>. In addition, it indicates that the rules on social security were duly applied and that he did not prove that the Political Constitution of Peru reflects the doctrine of acquired rights. The State refers, in a sense contrary to the one alleged by the petitioner, that the Constitution adopts the criterion of the facts fulfilled and not that of the acquired rights. Therefore, it requests that the petition be declared inadmissible in all its extremes.</w:t>
      </w:r>
    </w:p>
    <w:p w14:paraId="148CEE38" w14:textId="13E83E31" w:rsidR="00A10633" w:rsidRPr="000B6B7A" w:rsidRDefault="00A10633" w:rsidP="0026161C">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006619C2">
        <w:rPr>
          <w:rFonts w:asciiTheme="majorHAnsi" w:eastAsia="Cambria" w:hAnsiTheme="majorHAnsi" w:cs="Cambria"/>
          <w:b/>
          <w:bCs/>
          <w:color w:val="000000"/>
          <w:sz w:val="20"/>
          <w:szCs w:val="20"/>
          <w:u w:color="000000"/>
          <w:lang w:eastAsia="es-ES"/>
        </w:rPr>
        <w:tab/>
      </w:r>
      <w:r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THEPETITION</w:t>
      </w:r>
      <w:r w:rsidRPr="000B6B7A">
        <w:rPr>
          <w:rFonts w:asciiTheme="majorHAnsi" w:eastAsia="Cambria" w:hAnsiTheme="majorHAnsi" w:cs="Cambria"/>
          <w:b/>
          <w:bCs/>
          <w:color w:val="000000"/>
          <w:sz w:val="20"/>
          <w:szCs w:val="20"/>
          <w:u w:color="000000"/>
          <w:lang w:eastAsia="es-ES"/>
        </w:rPr>
        <w:t xml:space="preserve"> </w:t>
      </w:r>
    </w:p>
    <w:p w14:paraId="10AF6CBC" w14:textId="1A17CBE3"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 xml:space="preserve">9. </w:t>
      </w:r>
      <w:r w:rsidR="0026161C">
        <w:rPr>
          <w:rFonts w:asciiTheme="majorHAnsi" w:hAnsiTheme="majorHAnsi"/>
          <w:sz w:val="20"/>
          <w:szCs w:val="20"/>
        </w:rPr>
        <w:tab/>
      </w:r>
      <w:r w:rsidRPr="000A12A5">
        <w:rPr>
          <w:rFonts w:asciiTheme="majorHAnsi" w:hAnsiTheme="majorHAnsi"/>
          <w:sz w:val="20"/>
          <w:szCs w:val="20"/>
        </w:rPr>
        <w:t xml:space="preserve">The petitioner alleges that he filed administrative remedies and an </w:t>
      </w:r>
      <w:r w:rsidRPr="000A12A5">
        <w:rPr>
          <w:rFonts w:asciiTheme="majorHAnsi" w:hAnsiTheme="majorHAnsi"/>
          <w:i/>
          <w:sz w:val="20"/>
          <w:szCs w:val="20"/>
        </w:rPr>
        <w:t>amparo</w:t>
      </w:r>
      <w:r w:rsidRPr="000A12A5">
        <w:rPr>
          <w:rFonts w:asciiTheme="majorHAnsi" w:hAnsiTheme="majorHAnsi"/>
          <w:sz w:val="20"/>
          <w:szCs w:val="20"/>
        </w:rPr>
        <w:t xml:space="preserve"> action through the judicial system, which concluded with the inadmissibility of the constitutional complaint filed before the Constitutional Court, whose decision was notified on October 11, 2007. The State on its behalf alleges that there was no exhaustion of domestic remedies since the petitioner did not appeal through the ordinary way in a contentious administrative proceeding and that he did not attempt to act through civil proceedings to obtain compensation.</w:t>
      </w:r>
    </w:p>
    <w:p w14:paraId="64A186AF" w14:textId="77777777" w:rsidR="009A2A87" w:rsidRPr="000A12A5" w:rsidRDefault="009A2A87" w:rsidP="00A10633">
      <w:pPr>
        <w:jc w:val="both"/>
        <w:rPr>
          <w:rFonts w:asciiTheme="majorHAnsi" w:hAnsiTheme="majorHAnsi"/>
          <w:sz w:val="20"/>
          <w:szCs w:val="20"/>
        </w:rPr>
      </w:pPr>
    </w:p>
    <w:p w14:paraId="34EB2178" w14:textId="5C6097E8"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 xml:space="preserve">10. </w:t>
      </w:r>
      <w:r w:rsidR="0026161C">
        <w:rPr>
          <w:rFonts w:asciiTheme="majorHAnsi" w:hAnsiTheme="majorHAnsi"/>
          <w:sz w:val="20"/>
          <w:szCs w:val="20"/>
        </w:rPr>
        <w:tab/>
      </w:r>
      <w:r w:rsidRPr="000A12A5">
        <w:rPr>
          <w:rFonts w:asciiTheme="majorHAnsi" w:hAnsiTheme="majorHAnsi"/>
          <w:sz w:val="20"/>
          <w:szCs w:val="20"/>
        </w:rPr>
        <w:t>The Commission reiterates that the requirement of exhaustion of domestic remedies does not imply that the alleged victims have an obligation to exhaust all available re</w:t>
      </w:r>
      <w:r w:rsidR="00B16BDB">
        <w:rPr>
          <w:rFonts w:asciiTheme="majorHAnsi" w:hAnsiTheme="majorHAnsi"/>
          <w:sz w:val="20"/>
          <w:szCs w:val="20"/>
        </w:rPr>
        <w:t>medies</w:t>
      </w:r>
      <w:r w:rsidRPr="000A12A5">
        <w:rPr>
          <w:rFonts w:asciiTheme="majorHAnsi" w:hAnsiTheme="majorHAnsi"/>
          <w:sz w:val="20"/>
          <w:szCs w:val="20"/>
        </w:rPr>
        <w:t xml:space="preserve"> at their disposal. In this regard, the Inter-American Commission has argued that "if the alleged victim raised the issue by any of the valid and adequate alternatives under domestic law and the State had the opportunity to remedy the matter in its jurisdiction, the purpose of the international rule is fulfilled.”</w:t>
      </w:r>
      <w:r w:rsidR="006619C2">
        <w:rPr>
          <w:rStyle w:val="FootnoteReference"/>
          <w:rFonts w:asciiTheme="majorHAnsi" w:hAnsiTheme="majorHAnsi"/>
          <w:sz w:val="20"/>
          <w:szCs w:val="20"/>
        </w:rPr>
        <w:footnoteReference w:id="3"/>
      </w:r>
      <w:r w:rsidRPr="000A12A5">
        <w:rPr>
          <w:rFonts w:asciiTheme="majorHAnsi" w:hAnsiTheme="majorHAnsi"/>
          <w:sz w:val="20"/>
          <w:szCs w:val="20"/>
        </w:rPr>
        <w:t xml:space="preserve"> In this case, the Commission observes, for the purposes of the admissibility analysis, that the alleged victim exhausted the administrative remedies and filed and exhausted in several instances the remedy of </w:t>
      </w:r>
      <w:r w:rsidRPr="000A12A5">
        <w:rPr>
          <w:rFonts w:asciiTheme="majorHAnsi" w:hAnsiTheme="majorHAnsi"/>
          <w:i/>
          <w:sz w:val="20"/>
          <w:szCs w:val="20"/>
        </w:rPr>
        <w:t>amparo</w:t>
      </w:r>
      <w:r w:rsidRPr="000A12A5">
        <w:rPr>
          <w:rFonts w:asciiTheme="majorHAnsi" w:hAnsiTheme="majorHAnsi"/>
          <w:sz w:val="20"/>
          <w:szCs w:val="20"/>
        </w:rPr>
        <w:t xml:space="preserve"> to assert his claim to obtain a pension and, therefore, the petition meets the requirement established in Article 46.1.a of the Convention.</w:t>
      </w:r>
    </w:p>
    <w:p w14:paraId="23B8CB75" w14:textId="77777777" w:rsidR="009A2A87" w:rsidRPr="000A12A5" w:rsidRDefault="009A2A87" w:rsidP="00A10633">
      <w:pPr>
        <w:jc w:val="both"/>
        <w:rPr>
          <w:rFonts w:asciiTheme="majorHAnsi" w:hAnsiTheme="majorHAnsi"/>
          <w:sz w:val="20"/>
          <w:szCs w:val="20"/>
        </w:rPr>
      </w:pPr>
    </w:p>
    <w:p w14:paraId="66A293E8" w14:textId="23F11FCC" w:rsidR="00534F10"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 xml:space="preserve">11. </w:t>
      </w:r>
      <w:r w:rsidR="0026161C">
        <w:rPr>
          <w:rFonts w:asciiTheme="majorHAnsi" w:hAnsiTheme="majorHAnsi"/>
          <w:sz w:val="20"/>
          <w:szCs w:val="20"/>
        </w:rPr>
        <w:tab/>
      </w:r>
      <w:r w:rsidRPr="000A12A5">
        <w:rPr>
          <w:rFonts w:asciiTheme="majorHAnsi" w:hAnsiTheme="majorHAnsi"/>
          <w:sz w:val="20"/>
          <w:szCs w:val="20"/>
        </w:rPr>
        <w:t xml:space="preserve">Regarding the deadline for submission, the petition was filed with the IACHR on March 26, 2008, and the remedies were exhausted on October 11, 2007, with the notification of inadmissibility of the constitutional tort claim, therefore, </w:t>
      </w:r>
      <w:r w:rsidR="0097283D">
        <w:rPr>
          <w:rFonts w:asciiTheme="majorHAnsi" w:hAnsiTheme="majorHAnsi"/>
          <w:sz w:val="20"/>
          <w:szCs w:val="20"/>
        </w:rPr>
        <w:t>t</w:t>
      </w:r>
      <w:r w:rsidRPr="000A12A5">
        <w:rPr>
          <w:rFonts w:asciiTheme="majorHAnsi" w:hAnsiTheme="majorHAnsi"/>
          <w:sz w:val="20"/>
          <w:szCs w:val="20"/>
        </w:rPr>
        <w:t>he Commission observes that the petition was submitted within a period of six months in compliance with the requirement established in Article 46.1.b of the Convention.</w:t>
      </w:r>
    </w:p>
    <w:p w14:paraId="452DEC44" w14:textId="72BD5853" w:rsidR="00A048A7" w:rsidRPr="00A048A7" w:rsidRDefault="00A10633" w:rsidP="00A1063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ANALYSIS OF COLORABLE CLAIM</w:t>
      </w:r>
    </w:p>
    <w:p w14:paraId="7C4D53C7" w14:textId="6C2280F1"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 xml:space="preserve">12. </w:t>
      </w:r>
      <w:r w:rsidR="0026161C">
        <w:rPr>
          <w:rFonts w:asciiTheme="majorHAnsi" w:hAnsiTheme="majorHAnsi"/>
          <w:sz w:val="20"/>
          <w:szCs w:val="20"/>
        </w:rPr>
        <w:tab/>
      </w:r>
      <w:r w:rsidRPr="000A12A5">
        <w:rPr>
          <w:rFonts w:asciiTheme="majorHAnsi" w:hAnsiTheme="majorHAnsi"/>
          <w:sz w:val="20"/>
          <w:szCs w:val="20"/>
        </w:rPr>
        <w:t xml:space="preserve">In view of the factual and legal elements presented by the parties and the nature of the matter brought to their attention, the IACHR considers that, if the alleged violation of pensionable rights and the consequent impairment of labor rights </w:t>
      </w:r>
      <w:r w:rsidR="0026161C">
        <w:rPr>
          <w:rFonts w:asciiTheme="majorHAnsi" w:hAnsiTheme="majorHAnsi"/>
          <w:sz w:val="20"/>
          <w:szCs w:val="20"/>
        </w:rPr>
        <w:t xml:space="preserve">and </w:t>
      </w:r>
      <w:r w:rsidRPr="000A12A5">
        <w:rPr>
          <w:rFonts w:asciiTheme="majorHAnsi" w:hAnsiTheme="majorHAnsi"/>
          <w:sz w:val="20"/>
          <w:szCs w:val="20"/>
        </w:rPr>
        <w:t>the property of the alleged victim</w:t>
      </w:r>
      <w:r w:rsidR="0026161C" w:rsidRPr="0026161C">
        <w:t xml:space="preserve"> </w:t>
      </w:r>
      <w:r w:rsidR="0026161C" w:rsidRPr="0026161C">
        <w:rPr>
          <w:rFonts w:asciiTheme="majorHAnsi" w:hAnsiTheme="majorHAnsi"/>
          <w:sz w:val="20"/>
          <w:szCs w:val="20"/>
        </w:rPr>
        <w:t>are proven</w:t>
      </w:r>
      <w:r w:rsidRPr="000A12A5">
        <w:rPr>
          <w:rFonts w:asciiTheme="majorHAnsi" w:hAnsiTheme="majorHAnsi"/>
          <w:sz w:val="20"/>
          <w:szCs w:val="20"/>
        </w:rPr>
        <w:t>, as well as the impossibility of acting against the Law of "Police Reorganization" and its consequences, could characterize violations to the rights protected in articles 8 (judicial guarantees), 21 (private property), 25 (protection judicial) and 26 (economic, social and cultural rights) of the American Convention</w:t>
      </w:r>
      <w:r w:rsidR="005A37B6">
        <w:rPr>
          <w:rFonts w:asciiTheme="majorHAnsi" w:hAnsiTheme="majorHAnsi"/>
          <w:sz w:val="20"/>
          <w:szCs w:val="20"/>
        </w:rPr>
        <w:t xml:space="preserve">, in light of Articles 6 (work), 7 (just, equitable, and satisfactory conditions of work) and 9 (social security) of the Additional </w:t>
      </w:r>
      <w:r w:rsidR="005A37B6">
        <w:rPr>
          <w:rFonts w:asciiTheme="majorHAnsi" w:hAnsiTheme="majorHAnsi"/>
          <w:sz w:val="20"/>
          <w:szCs w:val="20"/>
        </w:rPr>
        <w:lastRenderedPageBreak/>
        <w:t>Protocol to the American Convention on Human Rights in the Area of Economic, Social and Cultural Rights</w:t>
      </w:r>
      <w:r w:rsidRPr="000A12A5">
        <w:rPr>
          <w:rFonts w:asciiTheme="majorHAnsi" w:hAnsiTheme="majorHAnsi"/>
          <w:sz w:val="20"/>
          <w:szCs w:val="20"/>
        </w:rPr>
        <w:t>. The possible violations will be analyzed in connection with the general obligations set forth in articles 1.1 (obligation to respect rights) and 2 (duty to adopt provisions of domestic law) of the Convention.</w:t>
      </w:r>
    </w:p>
    <w:p w14:paraId="3D93F1EE" w14:textId="77777777" w:rsidR="00A048A7" w:rsidRPr="000A12A5" w:rsidRDefault="00A048A7" w:rsidP="00A10633">
      <w:pPr>
        <w:jc w:val="both"/>
        <w:rPr>
          <w:rFonts w:asciiTheme="majorHAnsi" w:hAnsiTheme="majorHAnsi"/>
          <w:sz w:val="20"/>
          <w:szCs w:val="20"/>
        </w:rPr>
      </w:pPr>
    </w:p>
    <w:p w14:paraId="6FB4FC05" w14:textId="005A32C0" w:rsidR="00A048A7" w:rsidRPr="000A12A5" w:rsidRDefault="00A048A7" w:rsidP="006619C2">
      <w:pPr>
        <w:ind w:firstLine="720"/>
        <w:jc w:val="both"/>
        <w:rPr>
          <w:rFonts w:asciiTheme="majorHAnsi" w:hAnsiTheme="majorHAnsi"/>
          <w:sz w:val="20"/>
          <w:szCs w:val="20"/>
        </w:rPr>
      </w:pPr>
      <w:r w:rsidRPr="000A12A5">
        <w:rPr>
          <w:rFonts w:asciiTheme="majorHAnsi" w:hAnsiTheme="majorHAnsi"/>
          <w:sz w:val="20"/>
          <w:szCs w:val="20"/>
        </w:rPr>
        <w:t xml:space="preserve">13. </w:t>
      </w:r>
      <w:r w:rsidR="0026161C">
        <w:rPr>
          <w:rFonts w:asciiTheme="majorHAnsi" w:hAnsiTheme="majorHAnsi"/>
          <w:sz w:val="20"/>
          <w:szCs w:val="20"/>
        </w:rPr>
        <w:tab/>
      </w:r>
      <w:r w:rsidRPr="000A12A5">
        <w:rPr>
          <w:rFonts w:asciiTheme="majorHAnsi" w:hAnsiTheme="majorHAnsi"/>
          <w:sz w:val="20"/>
          <w:szCs w:val="20"/>
        </w:rPr>
        <w:t xml:space="preserve">Regarding the claim on the alleged violation of Article 11 (honor and dignity) of the American Convention, the Commission observes that the petitioners have not offered allegations or sufficient support to allow </w:t>
      </w:r>
      <w:r w:rsidRPr="006619C2">
        <w:rPr>
          <w:rFonts w:asciiTheme="majorHAnsi" w:hAnsiTheme="majorHAnsi"/>
          <w:i/>
          <w:sz w:val="20"/>
          <w:szCs w:val="20"/>
        </w:rPr>
        <w:t>prima facie</w:t>
      </w:r>
      <w:r w:rsidRPr="000A12A5">
        <w:rPr>
          <w:rFonts w:asciiTheme="majorHAnsi" w:hAnsiTheme="majorHAnsi"/>
          <w:sz w:val="20"/>
          <w:szCs w:val="20"/>
        </w:rPr>
        <w:t xml:space="preserve"> consideration of their possible violation.</w:t>
      </w:r>
    </w:p>
    <w:p w14:paraId="11CE8846" w14:textId="77777777" w:rsidR="00A048A7" w:rsidRPr="000A12A5" w:rsidRDefault="00A048A7" w:rsidP="00A10633">
      <w:pPr>
        <w:jc w:val="both"/>
        <w:rPr>
          <w:rFonts w:asciiTheme="majorHAnsi" w:hAnsiTheme="majorHAnsi"/>
          <w:sz w:val="20"/>
          <w:szCs w:val="20"/>
        </w:rPr>
      </w:pPr>
    </w:p>
    <w:p w14:paraId="0D352D60" w14:textId="722A7A19" w:rsidR="00A048A7" w:rsidRDefault="006619C2" w:rsidP="006619C2">
      <w:pPr>
        <w:ind w:firstLine="360"/>
        <w:jc w:val="both"/>
        <w:rPr>
          <w:rFonts w:asciiTheme="majorHAnsi" w:hAnsiTheme="majorHAnsi"/>
          <w:b/>
          <w:sz w:val="20"/>
          <w:szCs w:val="20"/>
        </w:rPr>
      </w:pPr>
      <w:r>
        <w:rPr>
          <w:rFonts w:asciiTheme="majorHAnsi" w:hAnsiTheme="majorHAnsi"/>
          <w:b/>
          <w:sz w:val="20"/>
          <w:szCs w:val="20"/>
        </w:rPr>
        <w:t xml:space="preserve">        VIII.</w:t>
      </w:r>
      <w:r>
        <w:rPr>
          <w:rFonts w:asciiTheme="majorHAnsi" w:hAnsiTheme="majorHAnsi"/>
          <w:b/>
          <w:sz w:val="20"/>
          <w:szCs w:val="20"/>
        </w:rPr>
        <w:tab/>
      </w:r>
      <w:r w:rsidR="00A048A7" w:rsidRPr="00A048A7">
        <w:rPr>
          <w:rFonts w:asciiTheme="majorHAnsi" w:hAnsiTheme="majorHAnsi"/>
          <w:b/>
          <w:sz w:val="20"/>
          <w:szCs w:val="20"/>
        </w:rPr>
        <w:t>DECISION</w:t>
      </w:r>
    </w:p>
    <w:p w14:paraId="0FE31C47" w14:textId="77777777" w:rsidR="0026161C" w:rsidRPr="00A048A7" w:rsidRDefault="0026161C" w:rsidP="00A10633">
      <w:pPr>
        <w:jc w:val="both"/>
        <w:rPr>
          <w:rFonts w:asciiTheme="majorHAnsi" w:hAnsiTheme="majorHAnsi"/>
          <w:b/>
          <w:sz w:val="20"/>
          <w:szCs w:val="20"/>
        </w:rPr>
      </w:pPr>
    </w:p>
    <w:p w14:paraId="4C1A8288" w14:textId="4A4DF9E8" w:rsidR="00A048A7" w:rsidRDefault="00A10633" w:rsidP="00A10633">
      <w:pPr>
        <w:pStyle w:val="ListParagraph"/>
        <w:numPr>
          <w:ilvl w:val="0"/>
          <w:numId w:val="106"/>
        </w:numPr>
        <w:jc w:val="both"/>
        <w:rPr>
          <w:rFonts w:asciiTheme="majorHAnsi" w:hAnsiTheme="majorHAnsi"/>
          <w:sz w:val="20"/>
          <w:szCs w:val="20"/>
        </w:rPr>
      </w:pPr>
      <w:r w:rsidRPr="00A10633">
        <w:rPr>
          <w:rFonts w:asciiTheme="majorHAnsi" w:hAnsiTheme="majorHAnsi"/>
          <w:sz w:val="20"/>
          <w:szCs w:val="20"/>
        </w:rPr>
        <w:t>To find the instant petition admissible in relation to Articles 8, 21, 25 and 26 of the American Convention, in accordance with Articles 1.1 and 2 thereof;</w:t>
      </w:r>
      <w:r w:rsidR="006619C2">
        <w:rPr>
          <w:rFonts w:asciiTheme="majorHAnsi" w:hAnsiTheme="majorHAnsi"/>
          <w:sz w:val="20"/>
          <w:szCs w:val="20"/>
        </w:rPr>
        <w:t xml:space="preserve"> and</w:t>
      </w:r>
    </w:p>
    <w:p w14:paraId="3CECFF07" w14:textId="77777777" w:rsidR="00A10633" w:rsidRPr="00A10633" w:rsidRDefault="00A10633" w:rsidP="00A10633">
      <w:pPr>
        <w:pStyle w:val="ListParagraph"/>
        <w:jc w:val="both"/>
        <w:rPr>
          <w:rFonts w:asciiTheme="majorHAnsi" w:hAnsiTheme="majorHAnsi"/>
          <w:sz w:val="20"/>
          <w:szCs w:val="20"/>
        </w:rPr>
      </w:pPr>
    </w:p>
    <w:p w14:paraId="21E16D0C" w14:textId="5EA03C4B" w:rsidR="005A37B6" w:rsidRPr="005A37B6" w:rsidRDefault="00A10633" w:rsidP="004155E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619C2">
        <w:rPr>
          <w:rFonts w:asciiTheme="majorHAnsi" w:hAnsiTheme="majorHAnsi"/>
          <w:sz w:val="20"/>
          <w:szCs w:val="20"/>
        </w:rPr>
        <w:t xml:space="preserve">To find the instant petition </w:t>
      </w:r>
      <w:r w:rsidRPr="006619C2">
        <w:rPr>
          <w:rFonts w:asciiTheme="majorHAnsi" w:hAnsiTheme="majorHAnsi"/>
          <w:color w:val="auto"/>
          <w:sz w:val="20"/>
          <w:szCs w:val="20"/>
        </w:rPr>
        <w:t xml:space="preserve">inadmissible </w:t>
      </w:r>
      <w:r w:rsidRPr="006619C2">
        <w:rPr>
          <w:rFonts w:asciiTheme="majorHAnsi" w:hAnsiTheme="majorHAnsi"/>
          <w:sz w:val="20"/>
          <w:szCs w:val="20"/>
        </w:rPr>
        <w:t xml:space="preserve">in relation to </w:t>
      </w:r>
      <w:r w:rsidR="005A37B6">
        <w:rPr>
          <w:rFonts w:asciiTheme="majorHAnsi" w:hAnsiTheme="majorHAnsi"/>
          <w:sz w:val="20"/>
          <w:szCs w:val="20"/>
        </w:rPr>
        <w:t xml:space="preserve">Article </w:t>
      </w:r>
      <w:r w:rsidRPr="006619C2">
        <w:rPr>
          <w:rFonts w:asciiTheme="majorHAnsi" w:hAnsiTheme="majorHAnsi"/>
          <w:sz w:val="20"/>
          <w:szCs w:val="20"/>
        </w:rPr>
        <w:t>11 of the Convention</w:t>
      </w:r>
      <w:r w:rsidRPr="006619C2">
        <w:rPr>
          <w:rFonts w:eastAsia="Arial Unicode MS" w:cs="Times New Roman"/>
          <w:color w:val="auto"/>
          <w:sz w:val="20"/>
          <w:szCs w:val="20"/>
          <w:lang w:eastAsia="en-US"/>
        </w:rPr>
        <w:t xml:space="preserve">; </w:t>
      </w:r>
      <w:r w:rsidR="005A37B6">
        <w:rPr>
          <w:rFonts w:eastAsia="Arial Unicode MS" w:cs="Times New Roman"/>
          <w:color w:val="auto"/>
          <w:sz w:val="20"/>
          <w:szCs w:val="20"/>
          <w:lang w:eastAsia="en-US"/>
        </w:rPr>
        <w:t xml:space="preserve">and </w:t>
      </w:r>
    </w:p>
    <w:p w14:paraId="433A0ABE" w14:textId="7C5B88E9" w:rsidR="00A10633" w:rsidRPr="006619C2" w:rsidRDefault="005A37B6" w:rsidP="004155E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rFonts w:eastAsia="Arial Unicode MS" w:cs="Times New Roman"/>
          <w:color w:val="auto"/>
          <w:sz w:val="20"/>
          <w:szCs w:val="20"/>
          <w:lang w:eastAsia="en-US"/>
        </w:rPr>
        <w:t>T</w:t>
      </w:r>
      <w:r w:rsidR="00A10633" w:rsidRPr="006619C2">
        <w:rPr>
          <w:rFonts w:asciiTheme="majorHAnsi" w:hAnsiTheme="majorHAnsi"/>
          <w:sz w:val="20"/>
          <w:szCs w:val="20"/>
        </w:rPr>
        <w:t>o notify the parties of this decision; to continue with the analysis on the merits; and to publish this decision and include it in its Annual Report to the General Assembly of the Organization of American States.</w:t>
      </w:r>
    </w:p>
    <w:p w14:paraId="3637A3F8" w14:textId="27D49072" w:rsidR="00FF2ECE" w:rsidRPr="00365F2F" w:rsidRDefault="001E2009" w:rsidP="00FF2ECE">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00FF2ECE" w:rsidRPr="00365F2F">
        <w:rPr>
          <w:rFonts w:ascii="Cambria" w:hAnsi="Cambria"/>
          <w:spacing w:val="-2"/>
          <w:sz w:val="20"/>
        </w:rPr>
        <w:t xml:space="preserve">in the city of </w:t>
      </w:r>
      <w:r w:rsidR="00FF2ECE">
        <w:rPr>
          <w:rFonts w:ascii="Cambria" w:hAnsi="Cambria"/>
          <w:spacing w:val="-2"/>
          <w:sz w:val="20"/>
        </w:rPr>
        <w:t>Santo Domingo, Dominican Republic,</w:t>
      </w:r>
      <w:r w:rsidR="00FF2ECE" w:rsidRPr="00365F2F">
        <w:rPr>
          <w:rFonts w:ascii="Cambria" w:hAnsi="Cambria"/>
          <w:spacing w:val="-2"/>
          <w:sz w:val="20"/>
        </w:rPr>
        <w:t xml:space="preserve"> on the </w:t>
      </w:r>
      <w:r w:rsidR="00FF2ECE">
        <w:rPr>
          <w:rFonts w:ascii="Cambria" w:hAnsi="Cambria"/>
          <w:spacing w:val="-2"/>
          <w:sz w:val="20"/>
        </w:rPr>
        <w:t>5</w:t>
      </w:r>
      <w:r w:rsidR="00FF2ECE" w:rsidRPr="009C5D45">
        <w:rPr>
          <w:rFonts w:ascii="Cambria" w:hAnsi="Cambria"/>
          <w:spacing w:val="-2"/>
          <w:sz w:val="20"/>
          <w:vertAlign w:val="superscript"/>
        </w:rPr>
        <w:t>th</w:t>
      </w:r>
      <w:r w:rsidR="00FF2ECE">
        <w:rPr>
          <w:rFonts w:ascii="Cambria" w:hAnsi="Cambria"/>
          <w:spacing w:val="-2"/>
          <w:sz w:val="20"/>
        </w:rPr>
        <w:t xml:space="preserve"> </w:t>
      </w:r>
      <w:r w:rsidR="00FF2ECE" w:rsidRPr="00365F2F">
        <w:rPr>
          <w:rFonts w:ascii="Cambria" w:hAnsi="Cambria"/>
          <w:spacing w:val="-2"/>
          <w:sz w:val="20"/>
        </w:rPr>
        <w:t xml:space="preserve">day of the month of </w:t>
      </w:r>
      <w:r w:rsidR="00FF2ECE">
        <w:rPr>
          <w:rFonts w:ascii="Cambria" w:hAnsi="Cambria"/>
          <w:spacing w:val="-2"/>
          <w:sz w:val="20"/>
        </w:rPr>
        <w:t>May</w:t>
      </w:r>
      <w:r w:rsidR="00FF2ECE" w:rsidRPr="00365F2F">
        <w:rPr>
          <w:rFonts w:ascii="Cambria" w:hAnsi="Cambria"/>
          <w:spacing w:val="-2"/>
          <w:sz w:val="20"/>
        </w:rPr>
        <w:t>, 201</w:t>
      </w:r>
      <w:r w:rsidR="00FF2ECE">
        <w:rPr>
          <w:rFonts w:ascii="Cambria" w:hAnsi="Cambria"/>
          <w:spacing w:val="-2"/>
          <w:sz w:val="20"/>
        </w:rPr>
        <w:t>8</w:t>
      </w:r>
      <w:r w:rsidR="00FF2ECE" w:rsidRPr="00365F2F">
        <w:rPr>
          <w:rFonts w:ascii="Cambria" w:hAnsi="Cambria"/>
          <w:spacing w:val="-2"/>
          <w:sz w:val="20"/>
        </w:rPr>
        <w:t xml:space="preserve">. (Signed):  </w:t>
      </w:r>
      <w:r w:rsidR="00FF2ECE" w:rsidRPr="00F368A7">
        <w:rPr>
          <w:rFonts w:ascii="Cambria" w:hAnsi="Cambria"/>
          <w:sz w:val="20"/>
        </w:rPr>
        <w:t xml:space="preserve">Margarette May Macaulay, President; Esmeralda E. Arosemena Bernal de Troitiño, </w:t>
      </w:r>
      <w:r w:rsidR="00FF2ECE">
        <w:rPr>
          <w:rFonts w:ascii="Cambria" w:hAnsi="Cambria"/>
          <w:sz w:val="20"/>
        </w:rPr>
        <w:t>First Vice President</w:t>
      </w:r>
      <w:r w:rsidR="00FF2ECE" w:rsidRPr="00F368A7">
        <w:rPr>
          <w:rFonts w:ascii="Cambria" w:hAnsi="Cambria"/>
          <w:sz w:val="20"/>
        </w:rPr>
        <w:t>; Luis Ernesto Vargas Silva, Se</w:t>
      </w:r>
      <w:r w:rsidR="00FF2ECE">
        <w:rPr>
          <w:rFonts w:ascii="Cambria" w:hAnsi="Cambria"/>
          <w:sz w:val="20"/>
        </w:rPr>
        <w:t>cond Vice President</w:t>
      </w:r>
      <w:r w:rsidR="00FF2ECE" w:rsidRPr="00F368A7">
        <w:rPr>
          <w:rFonts w:ascii="Cambria" w:hAnsi="Cambria"/>
          <w:sz w:val="20"/>
        </w:rPr>
        <w:t>; Joel Herná</w:t>
      </w:r>
      <w:r w:rsidR="00FF2ECE">
        <w:rPr>
          <w:rFonts w:ascii="Cambria" w:hAnsi="Cambria"/>
          <w:sz w:val="20"/>
        </w:rPr>
        <w:t>ndez García, Antonia Urrejola, and</w:t>
      </w:r>
      <w:r w:rsidR="00FF2ECE" w:rsidRPr="00F368A7">
        <w:rPr>
          <w:rFonts w:ascii="Cambria" w:hAnsi="Cambria"/>
          <w:sz w:val="20"/>
        </w:rPr>
        <w:t xml:space="preserve"> Flávia Piovesan,</w:t>
      </w:r>
      <w:r w:rsidR="00FF2ECE">
        <w:rPr>
          <w:rFonts w:ascii="Cambria" w:hAnsi="Cambria" w:cs="Arial"/>
          <w:noProof/>
          <w:spacing w:val="-2"/>
          <w:sz w:val="20"/>
        </w:rPr>
        <w:t xml:space="preserve">  </w:t>
      </w:r>
      <w:r w:rsidR="00FF2ECE" w:rsidRPr="00365F2F">
        <w:rPr>
          <w:rFonts w:ascii="Cambria" w:hAnsi="Cambria"/>
          <w:spacing w:val="-2"/>
          <w:sz w:val="20"/>
        </w:rPr>
        <w:t>Commissioners.</w:t>
      </w:r>
    </w:p>
    <w:p w14:paraId="5026B4AD" w14:textId="77777777" w:rsidR="00A10633" w:rsidRPr="00A10633" w:rsidRDefault="00A10633" w:rsidP="00FF2E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9EAA" w16cid:durableId="1E94C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77D3" w14:textId="77777777" w:rsidR="000E7EC5" w:rsidRDefault="000E7EC5" w:rsidP="00036A8A">
      <w:r>
        <w:separator/>
      </w:r>
    </w:p>
  </w:endnote>
  <w:endnote w:type="continuationSeparator" w:id="0">
    <w:p w14:paraId="4D352D75" w14:textId="77777777" w:rsidR="000E7EC5" w:rsidRDefault="000E7EC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88F7" w14:textId="77777777" w:rsidR="006045A8" w:rsidRDefault="00604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E2A0F9D"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045A8">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04048" w14:textId="77777777" w:rsidR="000E7EC5" w:rsidRPr="00036A8A" w:rsidRDefault="000E7EC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12D02EE" w14:textId="77777777" w:rsidR="000E7EC5" w:rsidRPr="00036A8A" w:rsidRDefault="000E7EC5" w:rsidP="00036A8A">
      <w:pPr>
        <w:rPr>
          <w:rFonts w:asciiTheme="majorHAnsi" w:hAnsiTheme="majorHAnsi"/>
          <w:sz w:val="16"/>
          <w:szCs w:val="16"/>
        </w:rPr>
      </w:pPr>
      <w:r w:rsidRPr="00036A8A">
        <w:rPr>
          <w:rFonts w:asciiTheme="majorHAnsi" w:hAnsiTheme="majorHAnsi"/>
          <w:sz w:val="16"/>
          <w:szCs w:val="16"/>
        </w:rPr>
        <w:separator/>
      </w:r>
    </w:p>
    <w:p w14:paraId="26D63E27" w14:textId="77777777" w:rsidR="000E7EC5" w:rsidRPr="00036A8A" w:rsidRDefault="000E7EC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FF07C8D" w14:textId="77777777" w:rsidR="000E7EC5" w:rsidRPr="0093441A" w:rsidRDefault="000E7EC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5596629" w14:textId="247FFDBE" w:rsidR="00CB664B" w:rsidRPr="00CB664B" w:rsidRDefault="00653EA6" w:rsidP="00BA3ACE">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009A2A87">
        <w:rPr>
          <w:rFonts w:ascii="Cambria" w:hAnsi="Cambria"/>
          <w:sz w:val="16"/>
          <w:szCs w:val="16"/>
        </w:rPr>
        <w:t>I</w:t>
      </w:r>
      <w:r w:rsidR="00CB664B" w:rsidRPr="00CB664B">
        <w:rPr>
          <w:rFonts w:ascii="Cambria" w:hAnsi="Cambria"/>
          <w:sz w:val="16"/>
          <w:szCs w:val="16"/>
        </w:rPr>
        <w:t xml:space="preserve">n accordance with the provisions of Article 17.2.a of the Rules of Procedure of the Commission, Commissioner Francisco José </w:t>
      </w:r>
      <w:r w:rsidR="009A2A87">
        <w:rPr>
          <w:rFonts w:ascii="Cambria" w:hAnsi="Cambria"/>
          <w:sz w:val="16"/>
          <w:szCs w:val="16"/>
        </w:rPr>
        <w:t xml:space="preserve">                  </w:t>
      </w:r>
      <w:r w:rsidR="00BA3ACE">
        <w:rPr>
          <w:rFonts w:ascii="Cambria" w:hAnsi="Cambria"/>
          <w:sz w:val="16"/>
          <w:szCs w:val="16"/>
        </w:rPr>
        <w:t>Eguiguren Praeli, of</w:t>
      </w:r>
      <w:r w:rsidR="00CB664B" w:rsidRPr="00CB664B">
        <w:rPr>
          <w:rFonts w:ascii="Cambria" w:hAnsi="Cambria"/>
          <w:sz w:val="16"/>
          <w:szCs w:val="16"/>
        </w:rPr>
        <w:t xml:space="preserve"> Peruvian national</w:t>
      </w:r>
      <w:r w:rsidR="00BA3ACE">
        <w:rPr>
          <w:rFonts w:ascii="Cambria" w:hAnsi="Cambria"/>
          <w:sz w:val="16"/>
          <w:szCs w:val="16"/>
        </w:rPr>
        <w:t>ity</w:t>
      </w:r>
      <w:r w:rsidR="00CB664B" w:rsidRPr="00CB664B">
        <w:rPr>
          <w:rFonts w:ascii="Cambria" w:hAnsi="Cambria"/>
          <w:sz w:val="16"/>
          <w:szCs w:val="16"/>
        </w:rPr>
        <w:t>, did not participate in the debate or in the decision of the present case.</w:t>
      </w:r>
    </w:p>
    <w:p w14:paraId="41B0F01C" w14:textId="25807B3C" w:rsidR="00CB664B" w:rsidRPr="00CB664B" w:rsidRDefault="00BA3ACE" w:rsidP="00BA3ACE">
      <w:pPr>
        <w:pStyle w:val="FootnoteText"/>
        <w:ind w:firstLine="720"/>
        <w:rPr>
          <w:rFonts w:ascii="Cambria" w:hAnsi="Cambria"/>
          <w:sz w:val="16"/>
          <w:szCs w:val="16"/>
        </w:rPr>
      </w:pPr>
      <w:r w:rsidRPr="00BA3ACE">
        <w:rPr>
          <w:rFonts w:ascii="Cambria" w:hAnsi="Cambria"/>
          <w:sz w:val="16"/>
          <w:szCs w:val="16"/>
          <w:vertAlign w:val="superscript"/>
        </w:rPr>
        <w:t>2</w:t>
      </w:r>
      <w:r w:rsidR="00CB664B" w:rsidRPr="00CB664B">
        <w:rPr>
          <w:rFonts w:ascii="Cambria" w:hAnsi="Cambria"/>
          <w:sz w:val="16"/>
          <w:szCs w:val="16"/>
        </w:rPr>
        <w:t>Hereinafter "Convention" or "American Convention."</w:t>
      </w:r>
    </w:p>
    <w:p w14:paraId="4C64D862" w14:textId="1597A567" w:rsidR="00F04937" w:rsidRPr="000B6B7A" w:rsidRDefault="00BA3ACE" w:rsidP="00BA3ACE">
      <w:pPr>
        <w:pStyle w:val="FootnoteText"/>
        <w:ind w:firstLine="720"/>
        <w:rPr>
          <w:rFonts w:ascii="Cambria" w:hAnsi="Cambria"/>
          <w:sz w:val="16"/>
          <w:szCs w:val="16"/>
        </w:rPr>
      </w:pPr>
      <w:r w:rsidRPr="00BA3ACE">
        <w:rPr>
          <w:rFonts w:ascii="Cambria" w:hAnsi="Cambria"/>
          <w:sz w:val="16"/>
          <w:szCs w:val="16"/>
          <w:vertAlign w:val="superscript"/>
        </w:rPr>
        <w:t>3</w:t>
      </w:r>
      <w:r w:rsidR="00CB664B" w:rsidRPr="00CB664B">
        <w:rPr>
          <w:rFonts w:ascii="Cambria" w:hAnsi="Cambria"/>
          <w:sz w:val="16"/>
          <w:szCs w:val="16"/>
        </w:rPr>
        <w:t xml:space="preserve">The observations of each party were duly </w:t>
      </w:r>
      <w:r w:rsidR="006619C2">
        <w:rPr>
          <w:rFonts w:ascii="Cambria" w:hAnsi="Cambria"/>
          <w:sz w:val="16"/>
          <w:szCs w:val="16"/>
        </w:rPr>
        <w:t>submitted</w:t>
      </w:r>
      <w:r w:rsidR="00CB664B" w:rsidRPr="00CB664B">
        <w:rPr>
          <w:rFonts w:ascii="Cambria" w:hAnsi="Cambria"/>
          <w:sz w:val="16"/>
          <w:szCs w:val="16"/>
        </w:rPr>
        <w:t xml:space="preserve"> to the opposing party.</w:t>
      </w:r>
    </w:p>
  </w:footnote>
  <w:footnote w:id="3">
    <w:p w14:paraId="00B0863D" w14:textId="41F7B031" w:rsidR="006619C2" w:rsidRDefault="006619C2" w:rsidP="006619C2">
      <w:pPr>
        <w:pStyle w:val="FootnoteText"/>
        <w:ind w:firstLine="720"/>
        <w:jc w:val="both"/>
      </w:pPr>
      <w:r w:rsidRPr="006619C2">
        <w:rPr>
          <w:rStyle w:val="FootnoteReference"/>
          <w:rFonts w:asciiTheme="majorHAnsi" w:hAnsiTheme="majorHAnsi"/>
        </w:rPr>
        <w:footnoteRef/>
      </w:r>
      <w:r>
        <w:t xml:space="preserve"> </w:t>
      </w:r>
      <w:r w:rsidRPr="006619C2">
        <w:rPr>
          <w:rFonts w:asciiTheme="majorHAnsi" w:hAnsiTheme="majorHAnsi"/>
          <w:sz w:val="16"/>
          <w:szCs w:val="16"/>
        </w:rPr>
        <w:t xml:space="preserve">IACHR, Report N° 70/04, Petition 667/01, Admissibility, Jesús Manuel Naranjo Cárdenas Et Al., Pensioners of The Venezuelan Aviation Company – </w:t>
      </w:r>
      <w:proofErr w:type="spellStart"/>
      <w:r w:rsidRPr="006619C2">
        <w:rPr>
          <w:rFonts w:asciiTheme="majorHAnsi" w:hAnsiTheme="majorHAnsi"/>
          <w:sz w:val="16"/>
          <w:szCs w:val="16"/>
        </w:rPr>
        <w:t>Viasa</w:t>
      </w:r>
      <w:proofErr w:type="spellEnd"/>
      <w:r w:rsidRPr="006619C2">
        <w:rPr>
          <w:rFonts w:asciiTheme="majorHAnsi" w:hAnsiTheme="majorHAnsi"/>
          <w:sz w:val="16"/>
          <w:szCs w:val="16"/>
        </w:rPr>
        <w:t>, Venezuela, October 15, 2004, para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E7EC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B847" w14:textId="77777777" w:rsidR="006045A8" w:rsidRDefault="00604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402"/>
    <w:multiLevelType w:val="hybridMultilevel"/>
    <w:tmpl w:val="35FEBE80"/>
    <w:lvl w:ilvl="0" w:tplc="6D12C2F6">
      <w:start w:val="1"/>
      <w:numFmt w:val="decimal"/>
      <w:lvlText w:val="%1."/>
      <w:lvlJc w:val="left"/>
      <w:pPr>
        <w:ind w:left="720" w:hanging="360"/>
      </w:pPr>
      <w:rPr>
        <w:rFonts w:asciiTheme="majorHAnsi" w:hAnsiTheme="maj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1"/>
  </w:num>
  <w:num w:numId="54">
    <w:abstractNumId w:val="39"/>
  </w:num>
  <w:num w:numId="55">
    <w:abstractNumId w:val="40"/>
  </w:num>
  <w:num w:numId="56">
    <w:abstractNumId w:val="46"/>
  </w:num>
  <w:num w:numId="57">
    <w:abstractNumId w:val="2"/>
  </w:num>
  <w:num w:numId="58">
    <w:abstractNumId w:val="3"/>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4"/>
  </w:num>
  <w:num w:numId="101">
    <w:abstractNumId w:val="27"/>
  </w:num>
  <w:num w:numId="102">
    <w:abstractNumId w:val="49"/>
  </w:num>
  <w:num w:numId="103">
    <w:abstractNumId w:val="6"/>
  </w:num>
  <w:num w:numId="104">
    <w:abstractNumId w:val="12"/>
  </w:num>
  <w:num w:numId="105">
    <w:abstractNumId w:val="45"/>
  </w:num>
  <w:num w:numId="106">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es-CO"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26F5"/>
    <w:rsid w:val="00036A8A"/>
    <w:rsid w:val="00040C3A"/>
    <w:rsid w:val="000639C0"/>
    <w:rsid w:val="00070F3A"/>
    <w:rsid w:val="000716C5"/>
    <w:rsid w:val="00075E23"/>
    <w:rsid w:val="000906FD"/>
    <w:rsid w:val="00092F32"/>
    <w:rsid w:val="0009344A"/>
    <w:rsid w:val="000A12A5"/>
    <w:rsid w:val="000A575F"/>
    <w:rsid w:val="000C4365"/>
    <w:rsid w:val="000D10DB"/>
    <w:rsid w:val="000E7EC5"/>
    <w:rsid w:val="00104AB1"/>
    <w:rsid w:val="00124116"/>
    <w:rsid w:val="0013104F"/>
    <w:rsid w:val="00137EBA"/>
    <w:rsid w:val="00145EDC"/>
    <w:rsid w:val="00153084"/>
    <w:rsid w:val="001602AE"/>
    <w:rsid w:val="00167A34"/>
    <w:rsid w:val="001714B4"/>
    <w:rsid w:val="0018037F"/>
    <w:rsid w:val="001A5F27"/>
    <w:rsid w:val="001A65E4"/>
    <w:rsid w:val="001A7870"/>
    <w:rsid w:val="001C1B41"/>
    <w:rsid w:val="001D140E"/>
    <w:rsid w:val="001D6FA8"/>
    <w:rsid w:val="001E2009"/>
    <w:rsid w:val="001E366B"/>
    <w:rsid w:val="001F1902"/>
    <w:rsid w:val="00210E0E"/>
    <w:rsid w:val="00210F4B"/>
    <w:rsid w:val="00230163"/>
    <w:rsid w:val="0023351C"/>
    <w:rsid w:val="00247403"/>
    <w:rsid w:val="00247542"/>
    <w:rsid w:val="00257893"/>
    <w:rsid w:val="0026161C"/>
    <w:rsid w:val="00266092"/>
    <w:rsid w:val="00266B61"/>
    <w:rsid w:val="0026712A"/>
    <w:rsid w:val="002704DB"/>
    <w:rsid w:val="002760CE"/>
    <w:rsid w:val="002B5833"/>
    <w:rsid w:val="002B7A85"/>
    <w:rsid w:val="002C1641"/>
    <w:rsid w:val="002D2ADF"/>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250C2"/>
    <w:rsid w:val="00450A4A"/>
    <w:rsid w:val="00455CDC"/>
    <w:rsid w:val="004666FB"/>
    <w:rsid w:val="00466D0B"/>
    <w:rsid w:val="00467B7E"/>
    <w:rsid w:val="0049419D"/>
    <w:rsid w:val="004B2762"/>
    <w:rsid w:val="004B7EB6"/>
    <w:rsid w:val="004C2291"/>
    <w:rsid w:val="004C41DE"/>
    <w:rsid w:val="004C4B62"/>
    <w:rsid w:val="004D6025"/>
    <w:rsid w:val="004D72BC"/>
    <w:rsid w:val="004F6B67"/>
    <w:rsid w:val="00501399"/>
    <w:rsid w:val="00507BC4"/>
    <w:rsid w:val="005128E4"/>
    <w:rsid w:val="00521DA8"/>
    <w:rsid w:val="00525560"/>
    <w:rsid w:val="00534F10"/>
    <w:rsid w:val="005357A6"/>
    <w:rsid w:val="00544C49"/>
    <w:rsid w:val="0057402A"/>
    <w:rsid w:val="005771D0"/>
    <w:rsid w:val="005816E5"/>
    <w:rsid w:val="0059191A"/>
    <w:rsid w:val="005921FF"/>
    <w:rsid w:val="00592718"/>
    <w:rsid w:val="005A2B5F"/>
    <w:rsid w:val="005A37B6"/>
    <w:rsid w:val="005A6D0E"/>
    <w:rsid w:val="005B222D"/>
    <w:rsid w:val="005B52B0"/>
    <w:rsid w:val="005B6806"/>
    <w:rsid w:val="005C00F9"/>
    <w:rsid w:val="005C4225"/>
    <w:rsid w:val="005C781C"/>
    <w:rsid w:val="005F0F33"/>
    <w:rsid w:val="00600DEB"/>
    <w:rsid w:val="006045A8"/>
    <w:rsid w:val="00611B10"/>
    <w:rsid w:val="00613027"/>
    <w:rsid w:val="00627C9F"/>
    <w:rsid w:val="006311DA"/>
    <w:rsid w:val="006311E9"/>
    <w:rsid w:val="006318B2"/>
    <w:rsid w:val="00632354"/>
    <w:rsid w:val="00642810"/>
    <w:rsid w:val="00652333"/>
    <w:rsid w:val="00653EA6"/>
    <w:rsid w:val="006619C2"/>
    <w:rsid w:val="0068009E"/>
    <w:rsid w:val="006A17D2"/>
    <w:rsid w:val="006A73E6"/>
    <w:rsid w:val="006B2D5C"/>
    <w:rsid w:val="006C4EB1"/>
    <w:rsid w:val="006D4707"/>
    <w:rsid w:val="006E0166"/>
    <w:rsid w:val="006E7B34"/>
    <w:rsid w:val="00701B24"/>
    <w:rsid w:val="0071495F"/>
    <w:rsid w:val="0073798E"/>
    <w:rsid w:val="00745899"/>
    <w:rsid w:val="00752E54"/>
    <w:rsid w:val="007607C4"/>
    <w:rsid w:val="0076643F"/>
    <w:rsid w:val="0077347E"/>
    <w:rsid w:val="00781653"/>
    <w:rsid w:val="007A2F70"/>
    <w:rsid w:val="007B5120"/>
    <w:rsid w:val="007C3334"/>
    <w:rsid w:val="007C52BB"/>
    <w:rsid w:val="007D2B98"/>
    <w:rsid w:val="00803F1C"/>
    <w:rsid w:val="0080600E"/>
    <w:rsid w:val="00806F90"/>
    <w:rsid w:val="00807D62"/>
    <w:rsid w:val="00817612"/>
    <w:rsid w:val="00837C45"/>
    <w:rsid w:val="00853419"/>
    <w:rsid w:val="008550F3"/>
    <w:rsid w:val="00897E12"/>
    <w:rsid w:val="008D43BA"/>
    <w:rsid w:val="008E3759"/>
    <w:rsid w:val="009041DC"/>
    <w:rsid w:val="009104B4"/>
    <w:rsid w:val="009228DA"/>
    <w:rsid w:val="00925FCD"/>
    <w:rsid w:val="0093441A"/>
    <w:rsid w:val="00954BF7"/>
    <w:rsid w:val="0096706E"/>
    <w:rsid w:val="0097283D"/>
    <w:rsid w:val="00981FBA"/>
    <w:rsid w:val="009A2A87"/>
    <w:rsid w:val="009B381B"/>
    <w:rsid w:val="009D7611"/>
    <w:rsid w:val="009E53DE"/>
    <w:rsid w:val="009E566A"/>
    <w:rsid w:val="00A048A7"/>
    <w:rsid w:val="00A10633"/>
    <w:rsid w:val="00A12DBC"/>
    <w:rsid w:val="00A43458"/>
    <w:rsid w:val="00A528D1"/>
    <w:rsid w:val="00A66BE5"/>
    <w:rsid w:val="00AD37C1"/>
    <w:rsid w:val="00AE66EC"/>
    <w:rsid w:val="00AE6F91"/>
    <w:rsid w:val="00AF5571"/>
    <w:rsid w:val="00B06BB7"/>
    <w:rsid w:val="00B167E9"/>
    <w:rsid w:val="00B16BDB"/>
    <w:rsid w:val="00B179ED"/>
    <w:rsid w:val="00B314DB"/>
    <w:rsid w:val="00B31EBE"/>
    <w:rsid w:val="00B3718B"/>
    <w:rsid w:val="00B44B23"/>
    <w:rsid w:val="00B4632A"/>
    <w:rsid w:val="00B92E49"/>
    <w:rsid w:val="00BA276C"/>
    <w:rsid w:val="00BA3ACE"/>
    <w:rsid w:val="00BB306F"/>
    <w:rsid w:val="00BD232B"/>
    <w:rsid w:val="00BD2E42"/>
    <w:rsid w:val="00BD4B89"/>
    <w:rsid w:val="00BF6DDE"/>
    <w:rsid w:val="00C21762"/>
    <w:rsid w:val="00C24543"/>
    <w:rsid w:val="00C256A2"/>
    <w:rsid w:val="00C3492D"/>
    <w:rsid w:val="00C55560"/>
    <w:rsid w:val="00C66B72"/>
    <w:rsid w:val="00C9567A"/>
    <w:rsid w:val="00CA6577"/>
    <w:rsid w:val="00CB2660"/>
    <w:rsid w:val="00CB664B"/>
    <w:rsid w:val="00CC5E90"/>
    <w:rsid w:val="00CD046C"/>
    <w:rsid w:val="00CE5199"/>
    <w:rsid w:val="00CE66D5"/>
    <w:rsid w:val="00CF610C"/>
    <w:rsid w:val="00CF6F45"/>
    <w:rsid w:val="00D34786"/>
    <w:rsid w:val="00D40A1E"/>
    <w:rsid w:val="00D533C0"/>
    <w:rsid w:val="00D712D3"/>
    <w:rsid w:val="00D71422"/>
    <w:rsid w:val="00D7145E"/>
    <w:rsid w:val="00D75084"/>
    <w:rsid w:val="00D7558D"/>
    <w:rsid w:val="00D81D92"/>
    <w:rsid w:val="00D85004"/>
    <w:rsid w:val="00D93446"/>
    <w:rsid w:val="00DA7B5F"/>
    <w:rsid w:val="00DD4136"/>
    <w:rsid w:val="00DF078B"/>
    <w:rsid w:val="00DF350D"/>
    <w:rsid w:val="00E2019E"/>
    <w:rsid w:val="00E227C1"/>
    <w:rsid w:val="00E36261"/>
    <w:rsid w:val="00E43157"/>
    <w:rsid w:val="00E47F3D"/>
    <w:rsid w:val="00E533FF"/>
    <w:rsid w:val="00E709B3"/>
    <w:rsid w:val="00E7588C"/>
    <w:rsid w:val="00E850B6"/>
    <w:rsid w:val="00E8789F"/>
    <w:rsid w:val="00E977C4"/>
    <w:rsid w:val="00E97B71"/>
    <w:rsid w:val="00EB454D"/>
    <w:rsid w:val="00ED0D1B"/>
    <w:rsid w:val="00EE3522"/>
    <w:rsid w:val="00EF619B"/>
    <w:rsid w:val="00F00B55"/>
    <w:rsid w:val="00F04937"/>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2ECE"/>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BF6DDE"/>
    <w:rPr>
      <w:sz w:val="16"/>
      <w:szCs w:val="16"/>
    </w:rPr>
  </w:style>
  <w:style w:type="paragraph" w:styleId="CommentText">
    <w:name w:val="annotation text"/>
    <w:basedOn w:val="Normal"/>
    <w:link w:val="CommentTextChar"/>
    <w:uiPriority w:val="99"/>
    <w:semiHidden/>
    <w:unhideWhenUsed/>
    <w:rsid w:val="00BF6DDE"/>
    <w:rPr>
      <w:sz w:val="20"/>
      <w:szCs w:val="20"/>
    </w:rPr>
  </w:style>
  <w:style w:type="character" w:customStyle="1" w:styleId="CommentTextChar">
    <w:name w:val="Comment Text Char"/>
    <w:basedOn w:val="DefaultParagraphFont"/>
    <w:link w:val="CommentText"/>
    <w:uiPriority w:val="99"/>
    <w:semiHidden/>
    <w:rsid w:val="00BF6DDE"/>
    <w:rPr>
      <w:lang w:val="en-US" w:eastAsia="en-US"/>
    </w:rPr>
  </w:style>
  <w:style w:type="paragraph" w:styleId="CommentSubject">
    <w:name w:val="annotation subject"/>
    <w:basedOn w:val="CommentText"/>
    <w:next w:val="CommentText"/>
    <w:link w:val="CommentSubjectChar"/>
    <w:uiPriority w:val="99"/>
    <w:semiHidden/>
    <w:unhideWhenUsed/>
    <w:rsid w:val="00BF6DDE"/>
    <w:rPr>
      <w:b/>
      <w:bCs/>
    </w:rPr>
  </w:style>
  <w:style w:type="character" w:customStyle="1" w:styleId="CommentSubjectChar">
    <w:name w:val="Comment Subject Char"/>
    <w:basedOn w:val="CommentTextChar"/>
    <w:link w:val="CommentSubject"/>
    <w:uiPriority w:val="99"/>
    <w:semiHidden/>
    <w:rsid w:val="00BF6DD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2102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C34FE"/>
    <w:rsid w:val="004108B1"/>
    <w:rsid w:val="00413102"/>
    <w:rsid w:val="00566542"/>
    <w:rsid w:val="00676BF4"/>
    <w:rsid w:val="006D7504"/>
    <w:rsid w:val="009A7D8D"/>
    <w:rsid w:val="00AA2F87"/>
    <w:rsid w:val="00AB44F1"/>
    <w:rsid w:val="00E641BF"/>
    <w:rsid w:val="00E715BD"/>
    <w:rsid w:val="00EA0868"/>
    <w:rsid w:val="00EA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8DD0-E678-4829-A94E-D0DE18F1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55/18</dc:title>
  <dc:creator/>
  <cp:lastModifiedBy/>
  <cp:revision>1</cp:revision>
  <dcterms:created xsi:type="dcterms:W3CDTF">2019-01-05T11:37:00Z</dcterms:created>
  <dcterms:modified xsi:type="dcterms:W3CDTF">2019-01-05T11:37:00Z</dcterms:modified>
</cp:coreProperties>
</file>