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979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1353AD" w:rsidRDefault="001353A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1353AD" w:rsidRDefault="001353A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4159707D">
                <wp:simplePos x="0" y="0"/>
                <wp:positionH relativeFrom="column">
                  <wp:posOffset>1209675</wp:posOffset>
                </wp:positionH>
                <wp:positionV relativeFrom="paragraph">
                  <wp:posOffset>107315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D9D6D33" w:rsidR="001353AD" w:rsidRPr="004B7EB6" w:rsidRDefault="001353A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B6E92">
                              <w:rPr>
                                <w:rFonts w:asciiTheme="majorHAnsi" w:hAnsiTheme="majorHAnsi" w:cs="Arial"/>
                                <w:b/>
                                <w:bCs/>
                                <w:color w:val="0D0D0D" w:themeColor="text1" w:themeTint="F2"/>
                                <w:sz w:val="36"/>
                                <w:szCs w:val="40"/>
                              </w:rPr>
                              <w:t>137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757CBFAC" w:rsidR="001353AD" w:rsidRPr="004B7EB6" w:rsidRDefault="001353A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1154-08</w:t>
                            </w:r>
                          </w:p>
                          <w:p w14:paraId="34978E5A" w14:textId="6460FE64" w:rsidR="001353AD" w:rsidRPr="004B7EB6" w:rsidRDefault="001353A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1353AD" w:rsidRPr="004B7EB6" w:rsidRDefault="001353AD" w:rsidP="004B7EB6">
                            <w:pPr>
                              <w:spacing w:line="276" w:lineRule="auto"/>
                              <w:rPr>
                                <w:rFonts w:asciiTheme="majorHAnsi" w:hAnsiTheme="majorHAnsi" w:cs="Arial"/>
                                <w:color w:val="0D0D0D" w:themeColor="text1" w:themeTint="F2"/>
                                <w:szCs w:val="22"/>
                              </w:rPr>
                            </w:pPr>
                          </w:p>
                          <w:p w14:paraId="7A73D628" w14:textId="01DB0564" w:rsidR="001353AD" w:rsidRPr="00BD109D" w:rsidRDefault="001353AD" w:rsidP="00BD109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LEONARDO LÓPEZ AMANCIO</w:t>
                            </w:r>
                          </w:p>
                          <w:p w14:paraId="48EBC31A" w14:textId="74E47919" w:rsidR="001353AD" w:rsidRPr="004B625D" w:rsidRDefault="001353A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1353AD" w:rsidRPr="000C4365" w:rsidRDefault="001353AD"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8.4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" filled="f" stroked="f" strokeweight=".5pt">
                <v:textbox>
                  <w:txbxContent>
                    <w:p w14:paraId="6F7C2188" w14:textId="1D9D6D33" w:rsidR="001353AD" w:rsidRPr="004B7EB6" w:rsidRDefault="001353A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B6E92">
                        <w:rPr>
                          <w:rFonts w:asciiTheme="majorHAnsi" w:hAnsiTheme="majorHAnsi" w:cs="Arial"/>
                          <w:b/>
                          <w:bCs/>
                          <w:color w:val="0D0D0D" w:themeColor="text1" w:themeTint="F2"/>
                          <w:sz w:val="36"/>
                          <w:szCs w:val="40"/>
                        </w:rPr>
                        <w:t>137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757CBFAC" w:rsidR="001353AD" w:rsidRPr="004B7EB6" w:rsidRDefault="001353A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1154-08</w:t>
                      </w:r>
                    </w:p>
                    <w:p w14:paraId="34978E5A" w14:textId="6460FE64" w:rsidR="001353AD" w:rsidRPr="004B7EB6" w:rsidRDefault="001353A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1353AD" w:rsidRPr="004B7EB6" w:rsidRDefault="001353AD" w:rsidP="004B7EB6">
                      <w:pPr>
                        <w:spacing w:line="276" w:lineRule="auto"/>
                        <w:rPr>
                          <w:rFonts w:asciiTheme="majorHAnsi" w:hAnsiTheme="majorHAnsi" w:cs="Arial"/>
                          <w:color w:val="0D0D0D" w:themeColor="text1" w:themeTint="F2"/>
                          <w:szCs w:val="22"/>
                        </w:rPr>
                      </w:pPr>
                    </w:p>
                    <w:p w14:paraId="7A73D628" w14:textId="01DB0564" w:rsidR="001353AD" w:rsidRPr="00BD109D" w:rsidRDefault="001353AD" w:rsidP="00BD109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LEONARDO LÓPEZ AMANCIO</w:t>
                      </w:r>
                    </w:p>
                    <w:p w14:paraId="48EBC31A" w14:textId="74E47919" w:rsidR="001353AD" w:rsidRPr="004B625D" w:rsidRDefault="001353A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1353AD" w:rsidRPr="000C4365" w:rsidRDefault="001353AD"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AB62053" w:rsidR="001353AD" w:rsidRPr="007B6E92" w:rsidRDefault="001353AD" w:rsidP="009E566A">
                            <w:pPr>
                              <w:jc w:val="right"/>
                              <w:rPr>
                                <w:rFonts w:asciiTheme="minorHAnsi" w:hAnsiTheme="minorHAnsi"/>
                                <w:color w:val="FFFFFF" w:themeColor="background1"/>
                                <w:sz w:val="22"/>
                                <w:lang w:val="pt-BR"/>
                              </w:rPr>
                            </w:pPr>
                            <w:r w:rsidRPr="007B6E92">
                              <w:rPr>
                                <w:rFonts w:asciiTheme="minorHAnsi" w:hAnsiTheme="minorHAnsi"/>
                                <w:color w:val="FFFFFF" w:themeColor="background1"/>
                                <w:sz w:val="22"/>
                                <w:lang w:val="pt-BR"/>
                              </w:rPr>
                              <w:t>OEA/Ser.L/V/II.</w:t>
                            </w:r>
                          </w:p>
                          <w:p w14:paraId="4AA08A8C" w14:textId="7D59039F" w:rsidR="001353AD" w:rsidRPr="007B6E92" w:rsidRDefault="001353AD" w:rsidP="009E566A">
                            <w:pPr>
                              <w:jc w:val="right"/>
                              <w:rPr>
                                <w:rFonts w:asciiTheme="minorHAnsi" w:hAnsiTheme="minorHAnsi"/>
                                <w:color w:val="FFFFFF" w:themeColor="background1"/>
                                <w:sz w:val="22"/>
                              </w:rPr>
                            </w:pPr>
                            <w:r w:rsidRPr="007B6E92">
                              <w:rPr>
                                <w:rFonts w:asciiTheme="minorHAnsi" w:hAnsiTheme="minorHAnsi"/>
                                <w:color w:val="FFFFFF" w:themeColor="background1"/>
                                <w:sz w:val="22"/>
                              </w:rPr>
                              <w:t xml:space="preserve">Doc. </w:t>
                            </w:r>
                            <w:r w:rsidR="007B6E92">
                              <w:rPr>
                                <w:rFonts w:asciiTheme="minorHAnsi" w:hAnsiTheme="minorHAnsi"/>
                                <w:color w:val="FFFFFF" w:themeColor="background1"/>
                                <w:sz w:val="22"/>
                              </w:rPr>
                              <w:t>154</w:t>
                            </w:r>
                          </w:p>
                          <w:p w14:paraId="0BEFF61A" w14:textId="7C5A9A96" w:rsidR="001353AD" w:rsidRPr="007B6E92" w:rsidRDefault="001353AD" w:rsidP="009E566A">
                            <w:pPr>
                              <w:jc w:val="right"/>
                              <w:rPr>
                                <w:rFonts w:asciiTheme="minorHAnsi" w:hAnsiTheme="minorHAnsi"/>
                                <w:color w:val="FFFFFF" w:themeColor="background1"/>
                                <w:sz w:val="22"/>
                              </w:rPr>
                            </w:pPr>
                            <w:r w:rsidRPr="007B6E92">
                              <w:rPr>
                                <w:rFonts w:asciiTheme="minorHAnsi" w:hAnsiTheme="minorHAnsi"/>
                                <w:color w:val="FFFFFF" w:themeColor="background1"/>
                                <w:sz w:val="22"/>
                              </w:rPr>
                              <w:t xml:space="preserve"> </w:t>
                            </w:r>
                            <w:r w:rsidR="007B6E92">
                              <w:rPr>
                                <w:rFonts w:asciiTheme="minorHAnsi" w:hAnsiTheme="minorHAnsi"/>
                                <w:color w:val="FFFFFF" w:themeColor="background1"/>
                                <w:sz w:val="22"/>
                              </w:rPr>
                              <w:t>20 November</w:t>
                            </w:r>
                            <w:r w:rsidRPr="007B6E92">
                              <w:rPr>
                                <w:rFonts w:asciiTheme="minorHAnsi" w:hAnsiTheme="minorHAnsi"/>
                                <w:color w:val="FFFFFF" w:themeColor="background1"/>
                                <w:sz w:val="22"/>
                              </w:rPr>
                              <w:t xml:space="preserve"> 2018</w:t>
                            </w:r>
                          </w:p>
                          <w:p w14:paraId="0FC103BD" w14:textId="37986457" w:rsidR="001353AD" w:rsidRPr="007B6E92" w:rsidRDefault="001353AD" w:rsidP="009E566A">
                            <w:pPr>
                              <w:jc w:val="right"/>
                              <w:rPr>
                                <w:rFonts w:asciiTheme="minorHAnsi" w:hAnsiTheme="minorHAnsi"/>
                                <w:color w:val="FFFFFF" w:themeColor="background1"/>
                                <w:sz w:val="22"/>
                              </w:rPr>
                            </w:pPr>
                            <w:r w:rsidRPr="007B6E92">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AB62053" w:rsidR="001353AD" w:rsidRPr="007B6E92" w:rsidRDefault="001353AD" w:rsidP="009E566A">
                      <w:pPr>
                        <w:jc w:val="right"/>
                        <w:rPr>
                          <w:rFonts w:asciiTheme="minorHAnsi" w:hAnsiTheme="minorHAnsi"/>
                          <w:color w:val="FFFFFF" w:themeColor="background1"/>
                          <w:sz w:val="22"/>
                          <w:lang w:val="pt-BR"/>
                        </w:rPr>
                      </w:pPr>
                      <w:r w:rsidRPr="007B6E92">
                        <w:rPr>
                          <w:rFonts w:asciiTheme="minorHAnsi" w:hAnsiTheme="minorHAnsi"/>
                          <w:color w:val="FFFFFF" w:themeColor="background1"/>
                          <w:sz w:val="22"/>
                          <w:lang w:val="pt-BR"/>
                        </w:rPr>
                        <w:t>OEA/Ser.L/V/II.</w:t>
                      </w:r>
                    </w:p>
                    <w:p w14:paraId="4AA08A8C" w14:textId="7D59039F" w:rsidR="001353AD" w:rsidRPr="007B6E92" w:rsidRDefault="001353AD" w:rsidP="009E566A">
                      <w:pPr>
                        <w:jc w:val="right"/>
                        <w:rPr>
                          <w:rFonts w:asciiTheme="minorHAnsi" w:hAnsiTheme="minorHAnsi"/>
                          <w:color w:val="FFFFFF" w:themeColor="background1"/>
                          <w:sz w:val="22"/>
                        </w:rPr>
                      </w:pPr>
                      <w:r w:rsidRPr="007B6E92">
                        <w:rPr>
                          <w:rFonts w:asciiTheme="minorHAnsi" w:hAnsiTheme="minorHAnsi"/>
                          <w:color w:val="FFFFFF" w:themeColor="background1"/>
                          <w:sz w:val="22"/>
                        </w:rPr>
                        <w:t xml:space="preserve">Doc. </w:t>
                      </w:r>
                      <w:r w:rsidR="007B6E92">
                        <w:rPr>
                          <w:rFonts w:asciiTheme="minorHAnsi" w:hAnsiTheme="minorHAnsi"/>
                          <w:color w:val="FFFFFF" w:themeColor="background1"/>
                          <w:sz w:val="22"/>
                        </w:rPr>
                        <w:t>154</w:t>
                      </w:r>
                    </w:p>
                    <w:p w14:paraId="0BEFF61A" w14:textId="7C5A9A96" w:rsidR="001353AD" w:rsidRPr="007B6E92" w:rsidRDefault="001353AD" w:rsidP="009E566A">
                      <w:pPr>
                        <w:jc w:val="right"/>
                        <w:rPr>
                          <w:rFonts w:asciiTheme="minorHAnsi" w:hAnsiTheme="minorHAnsi"/>
                          <w:color w:val="FFFFFF" w:themeColor="background1"/>
                          <w:sz w:val="22"/>
                        </w:rPr>
                      </w:pPr>
                      <w:r w:rsidRPr="007B6E92">
                        <w:rPr>
                          <w:rFonts w:asciiTheme="minorHAnsi" w:hAnsiTheme="minorHAnsi"/>
                          <w:color w:val="FFFFFF" w:themeColor="background1"/>
                          <w:sz w:val="22"/>
                        </w:rPr>
                        <w:t xml:space="preserve"> </w:t>
                      </w:r>
                      <w:r w:rsidR="007B6E92">
                        <w:rPr>
                          <w:rFonts w:asciiTheme="minorHAnsi" w:hAnsiTheme="minorHAnsi"/>
                          <w:color w:val="FFFFFF" w:themeColor="background1"/>
                          <w:sz w:val="22"/>
                        </w:rPr>
                        <w:t>20 November</w:t>
                      </w:r>
                      <w:r w:rsidRPr="007B6E92">
                        <w:rPr>
                          <w:rFonts w:asciiTheme="minorHAnsi" w:hAnsiTheme="minorHAnsi"/>
                          <w:color w:val="FFFFFF" w:themeColor="background1"/>
                          <w:sz w:val="22"/>
                        </w:rPr>
                        <w:t xml:space="preserve"> 2018</w:t>
                      </w:r>
                    </w:p>
                    <w:p w14:paraId="0FC103BD" w14:textId="37986457" w:rsidR="001353AD" w:rsidRPr="007B6E92" w:rsidRDefault="001353AD" w:rsidP="009E566A">
                      <w:pPr>
                        <w:jc w:val="right"/>
                        <w:rPr>
                          <w:rFonts w:asciiTheme="minorHAnsi" w:hAnsiTheme="minorHAnsi"/>
                          <w:color w:val="FFFFFF" w:themeColor="background1"/>
                          <w:sz w:val="22"/>
                        </w:rPr>
                      </w:pPr>
                      <w:r w:rsidRPr="007B6E92">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EEB68E6" w:rsidR="001353AD" w:rsidRPr="003C32BC" w:rsidRDefault="001353A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B6E92">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7B6E92">
                              <w:rPr>
                                <w:rFonts w:asciiTheme="majorHAnsi" w:hAnsiTheme="majorHAnsi"/>
                                <w:color w:val="0D0D0D" w:themeColor="text1" w:themeTint="F2"/>
                                <w:sz w:val="18"/>
                                <w:szCs w:val="20"/>
                              </w:rPr>
                              <w:t>November 20</w:t>
                            </w:r>
                            <w:r>
                              <w:rPr>
                                <w:rFonts w:asciiTheme="majorHAnsi" w:hAnsiTheme="majorHAnsi"/>
                                <w:color w:val="0D0D0D" w:themeColor="text1" w:themeTint="F2"/>
                                <w:sz w:val="18"/>
                                <w:szCs w:val="20"/>
                              </w:rPr>
                              <w:t>, 2018</w:t>
                            </w:r>
                            <w:r w:rsidR="001C260A">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1EEB68E6" w:rsidR="001353AD" w:rsidRPr="003C32BC" w:rsidRDefault="001353A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B6E92">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7B6E92">
                        <w:rPr>
                          <w:rFonts w:asciiTheme="majorHAnsi" w:hAnsiTheme="majorHAnsi"/>
                          <w:color w:val="0D0D0D" w:themeColor="text1" w:themeTint="F2"/>
                          <w:sz w:val="18"/>
                          <w:szCs w:val="20"/>
                        </w:rPr>
                        <w:t>November 20</w:t>
                      </w:r>
                      <w:r>
                        <w:rPr>
                          <w:rFonts w:asciiTheme="majorHAnsi" w:hAnsiTheme="majorHAnsi"/>
                          <w:color w:val="0D0D0D" w:themeColor="text1" w:themeTint="F2"/>
                          <w:sz w:val="18"/>
                          <w:szCs w:val="20"/>
                        </w:rPr>
                        <w:t>, 2018</w:t>
                      </w:r>
                      <w:r w:rsidR="001C260A">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3F8F155" w:rsidR="001353AD" w:rsidRPr="003C32BC" w:rsidRDefault="001353A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7B6E92">
                              <w:rPr>
                                <w:rFonts w:asciiTheme="majorHAnsi" w:hAnsiTheme="majorHAnsi"/>
                                <w:color w:val="595959" w:themeColor="text1" w:themeTint="A6"/>
                                <w:sz w:val="18"/>
                              </w:rPr>
                              <w:t xml:space="preserve"> 137/18</w:t>
                            </w:r>
                            <w:r>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1154-08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7E7CF7">
                              <w:rPr>
                                <w:rFonts w:asciiTheme="majorHAnsi" w:hAnsiTheme="majorHAnsi"/>
                                <w:color w:val="595959" w:themeColor="text1" w:themeTint="A6"/>
                                <w:sz w:val="18"/>
                                <w:lang w:val="pt-BR"/>
                              </w:rPr>
                              <w:t xml:space="preserve">Inadmissibility. </w:t>
                            </w:r>
                            <w:r w:rsidRPr="007E7CF7">
                              <w:rPr>
                                <w:rFonts w:asciiTheme="majorHAnsi" w:hAnsiTheme="majorHAnsi"/>
                                <w:color w:val="595959" w:themeColor="text1" w:themeTint="A6"/>
                                <w:sz w:val="18"/>
                                <w:szCs w:val="18"/>
                                <w:lang w:val="pt-BR"/>
                              </w:rPr>
                              <w:t>Leonardo López Amancio</w:t>
                            </w:r>
                            <w:r w:rsidRPr="007E7CF7">
                              <w:rPr>
                                <w:rFonts w:asciiTheme="majorHAnsi" w:hAnsiTheme="majorHAnsi"/>
                                <w:color w:val="595959" w:themeColor="text1" w:themeTint="A6"/>
                                <w:sz w:val="18"/>
                                <w:lang w:val="pt-BR"/>
                              </w:rPr>
                              <w:t xml:space="preserve">. Peru. </w:t>
                            </w:r>
                            <w:r w:rsidR="007B6E92">
                              <w:rPr>
                                <w:rFonts w:asciiTheme="majorHAnsi" w:hAnsiTheme="majorHAnsi"/>
                                <w:color w:val="595959" w:themeColor="text1" w:themeTint="A6"/>
                                <w:sz w:val="18"/>
                              </w:rPr>
                              <w:t>November 20,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3F8F155" w:rsidR="001353AD" w:rsidRPr="003C32BC" w:rsidRDefault="001353A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w:t>
                      </w:r>
                      <w:r w:rsidR="007B6E92">
                        <w:rPr>
                          <w:rFonts w:asciiTheme="majorHAnsi" w:hAnsiTheme="majorHAnsi"/>
                          <w:color w:val="595959" w:themeColor="text1" w:themeTint="A6"/>
                          <w:sz w:val="18"/>
                        </w:rPr>
                        <w:t xml:space="preserve"> 137/18</w:t>
                      </w:r>
                      <w:r>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1154-08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7E7CF7">
                        <w:rPr>
                          <w:rFonts w:asciiTheme="majorHAnsi" w:hAnsiTheme="majorHAnsi"/>
                          <w:color w:val="595959" w:themeColor="text1" w:themeTint="A6"/>
                          <w:sz w:val="18"/>
                          <w:lang w:val="pt-BR"/>
                        </w:rPr>
                        <w:t xml:space="preserve">Inadmissibility. </w:t>
                      </w:r>
                      <w:r w:rsidRPr="007E7CF7">
                        <w:rPr>
                          <w:rFonts w:asciiTheme="majorHAnsi" w:hAnsiTheme="majorHAnsi"/>
                          <w:color w:val="595959" w:themeColor="text1" w:themeTint="A6"/>
                          <w:sz w:val="18"/>
                          <w:szCs w:val="18"/>
                          <w:lang w:val="pt-BR"/>
                        </w:rPr>
                        <w:t>Leonardo López Amancio</w:t>
                      </w:r>
                      <w:r w:rsidRPr="007E7CF7">
                        <w:rPr>
                          <w:rFonts w:asciiTheme="majorHAnsi" w:hAnsiTheme="majorHAnsi"/>
                          <w:color w:val="595959" w:themeColor="text1" w:themeTint="A6"/>
                          <w:sz w:val="18"/>
                          <w:lang w:val="pt-BR"/>
                        </w:rPr>
                        <w:t xml:space="preserve">. Peru. </w:t>
                      </w:r>
                      <w:r w:rsidR="007B6E92">
                        <w:rPr>
                          <w:rFonts w:asciiTheme="majorHAnsi" w:hAnsiTheme="majorHAnsi"/>
                          <w:color w:val="595959" w:themeColor="text1" w:themeTint="A6"/>
                          <w:sz w:val="18"/>
                        </w:rPr>
                        <w:t>November 20, 2018.</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1353AD" w:rsidRPr="004B7EB6" w:rsidRDefault="001353A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1353AD" w:rsidRPr="004B7EB6" w:rsidRDefault="001353A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1353AD" w:rsidRDefault="001353AD">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1353AD" w:rsidRDefault="001353AD">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891652">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643AAD9C" w:rsidR="00F621C3" w:rsidRPr="000B6B7A" w:rsidRDefault="00891652" w:rsidP="00891652">
            <w:pPr>
              <w:jc w:val="both"/>
              <w:rPr>
                <w:rFonts w:ascii="Cambria" w:hAnsi="Cambria"/>
                <w:bCs/>
                <w:sz w:val="20"/>
                <w:szCs w:val="20"/>
              </w:rPr>
            </w:pPr>
            <w:r w:rsidRPr="000931CC">
              <w:rPr>
                <w:rFonts w:ascii="Cambria" w:hAnsi="Cambria"/>
                <w:bCs/>
                <w:sz w:val="20"/>
                <w:szCs w:val="20"/>
                <w:lang w:val="es-ES_tradnl"/>
              </w:rPr>
              <w:t>Leonardo L</w:t>
            </w:r>
            <w:r>
              <w:rPr>
                <w:rFonts w:ascii="Cambria" w:hAnsi="Cambria"/>
                <w:bCs/>
                <w:sz w:val="20"/>
                <w:szCs w:val="20"/>
                <w:lang w:val="es-ES_tradnl"/>
              </w:rPr>
              <w:t>ó</w:t>
            </w:r>
            <w:r w:rsidRPr="000931CC">
              <w:rPr>
                <w:rFonts w:ascii="Cambria" w:hAnsi="Cambria"/>
                <w:bCs/>
                <w:sz w:val="20"/>
                <w:szCs w:val="20"/>
                <w:lang w:val="es-ES_tradnl"/>
              </w:rPr>
              <w:t>pez Amancio</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2F739D" w:rsidP="0089165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3A231CE1" w:rsidR="00F621C3" w:rsidRPr="000B6B7A" w:rsidRDefault="00891652" w:rsidP="00891652">
            <w:pPr>
              <w:jc w:val="both"/>
              <w:rPr>
                <w:rFonts w:ascii="Cambria" w:hAnsi="Cambria"/>
                <w:bCs/>
                <w:sz w:val="20"/>
                <w:szCs w:val="20"/>
              </w:rPr>
            </w:pPr>
            <w:r w:rsidRPr="000931CC">
              <w:rPr>
                <w:rFonts w:ascii="Cambria" w:hAnsi="Cambria"/>
                <w:bCs/>
                <w:sz w:val="20"/>
                <w:szCs w:val="20"/>
                <w:lang w:val="es-ES_tradnl"/>
              </w:rPr>
              <w:t>Leonardo L</w:t>
            </w:r>
            <w:r>
              <w:rPr>
                <w:rFonts w:ascii="Cambria" w:hAnsi="Cambria"/>
                <w:bCs/>
                <w:sz w:val="20"/>
                <w:szCs w:val="20"/>
                <w:lang w:val="es-ES_tradnl"/>
              </w:rPr>
              <w:t>ó</w:t>
            </w:r>
            <w:r w:rsidRPr="000931CC">
              <w:rPr>
                <w:rFonts w:ascii="Cambria" w:hAnsi="Cambria"/>
                <w:bCs/>
                <w:sz w:val="20"/>
                <w:szCs w:val="20"/>
                <w:lang w:val="es-ES_tradnl"/>
              </w:rPr>
              <w:t>pez Amancio</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AA40416" w:rsidR="00F621C3" w:rsidRPr="000B6B7A" w:rsidRDefault="00891652" w:rsidP="00891652">
            <w:pPr>
              <w:jc w:val="both"/>
              <w:rPr>
                <w:rFonts w:ascii="Cambria" w:hAnsi="Cambria"/>
                <w:bCs/>
                <w:sz w:val="20"/>
                <w:szCs w:val="20"/>
              </w:rPr>
            </w:pPr>
            <w:r>
              <w:rPr>
                <w:rFonts w:ascii="Cambria" w:hAnsi="Cambria"/>
                <w:bCs/>
                <w:sz w:val="20"/>
                <w:szCs w:val="20"/>
              </w:rPr>
              <w:t>Peru</w:t>
            </w:r>
            <w:r>
              <w:rPr>
                <w:rStyle w:val="FootnoteReference"/>
                <w:rFonts w:ascii="Cambria" w:hAnsi="Cambria"/>
                <w:bCs/>
                <w:sz w:val="20"/>
                <w:szCs w:val="20"/>
                <w:lang w:val="es-ES"/>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6231A702" w:rsidR="00E47F3D" w:rsidRPr="000B6B7A" w:rsidRDefault="00891652" w:rsidP="00E67417">
            <w:pPr>
              <w:jc w:val="both"/>
              <w:rPr>
                <w:rFonts w:ascii="Cambria" w:hAnsi="Cambria"/>
                <w:bCs/>
                <w:sz w:val="20"/>
                <w:szCs w:val="20"/>
              </w:rPr>
            </w:pPr>
            <w:r w:rsidRPr="00891652">
              <w:rPr>
                <w:rFonts w:ascii="Cambria" w:hAnsi="Cambria"/>
                <w:bCs/>
                <w:sz w:val="20"/>
                <w:szCs w:val="20"/>
              </w:rPr>
              <w:t>Articles 11 (protection of honor and dignity), 17 (protection of the family), 21 (private property) and 24 (equality before the law) of the American Convention on Human Rights</w:t>
            </w:r>
            <w:r>
              <w:rPr>
                <w:rStyle w:val="FootnoteReference"/>
                <w:rFonts w:ascii="Cambria" w:hAnsi="Cambria"/>
                <w:bCs/>
                <w:sz w:val="20"/>
                <w:szCs w:val="20"/>
                <w:lang w:val="es-ES"/>
              </w:rPr>
              <w:footnoteReference w:id="3"/>
            </w:r>
            <w:r w:rsidR="00E67417">
              <w:rPr>
                <w:rFonts w:ascii="Cambria" w:hAnsi="Cambria"/>
                <w:bCs/>
                <w:sz w:val="20"/>
                <w:szCs w:val="20"/>
              </w:rPr>
              <w:t xml:space="preserve"> in relation to A</w:t>
            </w:r>
            <w:r w:rsidRPr="00891652">
              <w:rPr>
                <w:rFonts w:ascii="Cambria" w:hAnsi="Cambria"/>
                <w:bCs/>
                <w:sz w:val="20"/>
                <w:szCs w:val="20"/>
              </w:rPr>
              <w:t xml:space="preserve">rticle 1.1 (obligation </w:t>
            </w:r>
            <w:r w:rsidR="00E67417">
              <w:rPr>
                <w:rFonts w:ascii="Cambria" w:hAnsi="Cambria"/>
                <w:bCs/>
                <w:sz w:val="20"/>
                <w:szCs w:val="20"/>
              </w:rPr>
              <w:t>to respect</w:t>
            </w:r>
            <w:r w:rsidRPr="00891652">
              <w:rPr>
                <w:rFonts w:ascii="Cambria" w:hAnsi="Cambria"/>
                <w:bCs/>
                <w:sz w:val="20"/>
                <w:szCs w:val="20"/>
              </w:rPr>
              <w:t xml:space="preserve"> rights)</w:t>
            </w:r>
          </w:p>
        </w:tc>
      </w:tr>
    </w:tbl>
    <w:p w14:paraId="006E8D49" w14:textId="175850A0"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7E7CF7">
        <w:rPr>
          <w:rFonts w:asciiTheme="majorHAnsi" w:hAnsiTheme="majorHAnsi"/>
          <w:b/>
          <w:bCs/>
          <w:sz w:val="20"/>
          <w:szCs w:val="20"/>
        </w:rPr>
        <w:t>DURE</w:t>
      </w:r>
      <w:r w:rsidRPr="000B6B7A">
        <w:rPr>
          <w:rFonts w:asciiTheme="majorHAnsi" w:hAnsiTheme="majorHAnsi"/>
          <w:b/>
          <w:bCs/>
          <w:sz w:val="20"/>
          <w:szCs w:val="20"/>
        </w:rPr>
        <w:t>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7B2101E2" w:rsidR="00F621C3" w:rsidRPr="000B6B7A" w:rsidRDefault="00891652" w:rsidP="00891652">
            <w:pPr>
              <w:jc w:val="both"/>
              <w:rPr>
                <w:rFonts w:ascii="Cambria" w:hAnsi="Cambria"/>
                <w:bCs/>
                <w:sz w:val="20"/>
                <w:szCs w:val="20"/>
              </w:rPr>
            </w:pPr>
            <w:r>
              <w:rPr>
                <w:rFonts w:ascii="Cambria" w:hAnsi="Cambria"/>
                <w:bCs/>
                <w:sz w:val="20"/>
                <w:szCs w:val="20"/>
              </w:rPr>
              <w:t>August 22, 2008</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1367C551" w:rsidR="00F621C3" w:rsidRPr="000B6B7A" w:rsidRDefault="00891652" w:rsidP="00891652">
            <w:pPr>
              <w:jc w:val="both"/>
              <w:rPr>
                <w:rFonts w:ascii="Cambria" w:hAnsi="Cambria"/>
                <w:bCs/>
                <w:sz w:val="20"/>
                <w:szCs w:val="20"/>
              </w:rPr>
            </w:pPr>
            <w:r>
              <w:rPr>
                <w:rFonts w:ascii="Cambria" w:hAnsi="Cambria"/>
                <w:bCs/>
                <w:sz w:val="20"/>
                <w:szCs w:val="20"/>
              </w:rPr>
              <w:t>April 15, 2014</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891652">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0F09758B" w:rsidR="00F621C3" w:rsidRPr="000B6B7A" w:rsidRDefault="00891652" w:rsidP="00891652">
            <w:pPr>
              <w:jc w:val="both"/>
              <w:rPr>
                <w:rFonts w:ascii="Cambria" w:hAnsi="Cambria"/>
                <w:bCs/>
                <w:sz w:val="20"/>
                <w:szCs w:val="20"/>
              </w:rPr>
            </w:pPr>
            <w:r>
              <w:rPr>
                <w:rFonts w:ascii="Cambria" w:hAnsi="Cambria"/>
                <w:bCs/>
                <w:sz w:val="20"/>
                <w:szCs w:val="20"/>
              </w:rPr>
              <w:t>July 16, 2014</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8EF030D" w:rsidR="003771A3" w:rsidRPr="000B6B7A" w:rsidRDefault="00891652" w:rsidP="00891652">
            <w:pPr>
              <w:jc w:val="both"/>
              <w:rPr>
                <w:rFonts w:ascii="Cambria" w:hAnsi="Cambria"/>
                <w:bCs/>
                <w:sz w:val="20"/>
                <w:szCs w:val="20"/>
              </w:rPr>
            </w:pPr>
            <w:r>
              <w:rPr>
                <w:rFonts w:ascii="Cambria" w:hAnsi="Cambria"/>
                <w:bCs/>
                <w:sz w:val="20"/>
                <w:szCs w:val="20"/>
              </w:rPr>
              <w:t>December 30, 2014; March 2, 2016; May 25 and 30,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891652">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5B39CA31" w:rsidR="00F621C3" w:rsidRPr="000B6B7A" w:rsidRDefault="00891652" w:rsidP="00891652">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891652">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30EA399" w:rsidR="00F621C3" w:rsidRPr="000B6B7A" w:rsidRDefault="00891652" w:rsidP="00891652">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891652">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73A710B3" w:rsidR="00F621C3" w:rsidRPr="000B6B7A" w:rsidRDefault="00891652" w:rsidP="00891652">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891652">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6B38A759" w:rsidR="00F621C3" w:rsidRPr="000B6B7A" w:rsidRDefault="00891652" w:rsidP="00891652">
            <w:pPr>
              <w:jc w:val="both"/>
              <w:rPr>
                <w:rFonts w:asciiTheme="majorHAnsi" w:hAnsiTheme="majorHAnsi"/>
                <w:bCs/>
                <w:sz w:val="20"/>
                <w:szCs w:val="20"/>
              </w:rPr>
            </w:pPr>
            <w:r>
              <w:rPr>
                <w:rFonts w:asciiTheme="majorHAnsi" w:hAnsiTheme="majorHAnsi"/>
                <w:bCs/>
                <w:sz w:val="20"/>
                <w:szCs w:val="20"/>
              </w:rPr>
              <w:t>Yes, American Convention (deposit of instrument on July 28,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891652">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7778F924" w:rsidR="00F621C3" w:rsidRPr="000B6B7A" w:rsidRDefault="00891652" w:rsidP="00891652">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891652">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76FAC4FF" w:rsidR="00F621C3" w:rsidRPr="000B6B7A" w:rsidRDefault="00891652" w:rsidP="00891652">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FB520A" w:rsidRDefault="00F621C3" w:rsidP="00891652">
            <w:pPr>
              <w:jc w:val="center"/>
              <w:rPr>
                <w:rFonts w:ascii="Cambria" w:hAnsi="Cambria"/>
                <w:b/>
                <w:bCs/>
                <w:color w:val="FFFFFF" w:themeColor="background1"/>
                <w:sz w:val="19"/>
                <w:szCs w:val="19"/>
              </w:rPr>
            </w:pPr>
            <w:r w:rsidRPr="00FB520A">
              <w:rPr>
                <w:rFonts w:ascii="Cambria" w:hAnsi="Cambria"/>
                <w:b/>
                <w:bCs/>
                <w:color w:val="FFFFFF" w:themeColor="background1"/>
                <w:sz w:val="19"/>
                <w:szCs w:val="19"/>
              </w:rPr>
              <w:t>Exhaustion of domestic remedies or applicability of an exception to the rule:</w:t>
            </w:r>
          </w:p>
        </w:tc>
        <w:tc>
          <w:tcPr>
            <w:tcW w:w="5670" w:type="dxa"/>
            <w:vAlign w:val="center"/>
          </w:tcPr>
          <w:p w14:paraId="2A98CE44" w14:textId="0D6472A3" w:rsidR="00F621C3" w:rsidRPr="000B6B7A" w:rsidRDefault="00891652" w:rsidP="00891652">
            <w:pPr>
              <w:rPr>
                <w:rFonts w:ascii="Cambria" w:hAnsi="Cambria"/>
                <w:bCs/>
                <w:sz w:val="20"/>
                <w:szCs w:val="20"/>
              </w:rPr>
            </w:pPr>
            <w:r>
              <w:rPr>
                <w:rFonts w:ascii="Cambria" w:hAnsi="Cambria"/>
                <w:bCs/>
                <w:sz w:val="20"/>
                <w:szCs w:val="20"/>
              </w:rPr>
              <w:t>Yes, January 31, 2008</w:t>
            </w:r>
          </w:p>
          <w:p w14:paraId="432DC56B" w14:textId="77777777" w:rsidR="00F621C3" w:rsidRPr="000B6B7A" w:rsidRDefault="00F621C3" w:rsidP="00891652">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891652">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18E7E67" w:rsidR="00F621C3" w:rsidRPr="000B6B7A" w:rsidRDefault="00891652" w:rsidP="00891652">
            <w:pPr>
              <w:rPr>
                <w:rFonts w:asciiTheme="majorHAnsi" w:hAnsiTheme="majorHAnsi"/>
                <w:bCs/>
                <w:sz w:val="20"/>
                <w:szCs w:val="20"/>
              </w:rPr>
            </w:pPr>
            <w:r>
              <w:rPr>
                <w:rFonts w:asciiTheme="majorHAnsi" w:hAnsiTheme="majorHAnsi"/>
                <w:bCs/>
                <w:sz w:val="20"/>
                <w:szCs w:val="20"/>
              </w:rPr>
              <w:t>No</w:t>
            </w:r>
          </w:p>
        </w:tc>
      </w:tr>
    </w:tbl>
    <w:p w14:paraId="183BAF32" w14:textId="77777777" w:rsidR="00FB520A" w:rsidRDefault="00FB520A" w:rsidP="00FB520A">
      <w:pPr>
        <w:ind w:firstLine="720"/>
        <w:rPr>
          <w:rFonts w:asciiTheme="majorHAnsi" w:hAnsiTheme="majorHAnsi"/>
          <w:b/>
          <w:sz w:val="20"/>
          <w:szCs w:val="20"/>
        </w:rPr>
      </w:pPr>
    </w:p>
    <w:p w14:paraId="629E2DE8" w14:textId="3219BE6D" w:rsidR="00F621C3" w:rsidRDefault="00F621C3" w:rsidP="00FB520A">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5816E5" w:rsidRPr="000B6B7A">
        <w:rPr>
          <w:rFonts w:asciiTheme="majorHAnsi" w:hAnsiTheme="majorHAnsi"/>
          <w:b/>
          <w:sz w:val="20"/>
          <w:szCs w:val="20"/>
        </w:rPr>
        <w:t>ALLEGED</w:t>
      </w:r>
      <w:r w:rsidR="007E7CF7">
        <w:rPr>
          <w:rFonts w:asciiTheme="majorHAnsi" w:hAnsiTheme="majorHAnsi"/>
          <w:b/>
          <w:sz w:val="20"/>
          <w:szCs w:val="20"/>
        </w:rPr>
        <w:t xml:space="preserve"> FACTS</w:t>
      </w:r>
    </w:p>
    <w:p w14:paraId="44BCD220" w14:textId="77777777" w:rsidR="00FB520A" w:rsidRPr="000B6B7A" w:rsidRDefault="00FB520A" w:rsidP="00FB520A">
      <w:pPr>
        <w:ind w:firstLine="720"/>
        <w:rPr>
          <w:rFonts w:asciiTheme="majorHAnsi" w:hAnsiTheme="majorHAnsi"/>
          <w:b/>
          <w:sz w:val="20"/>
          <w:szCs w:val="20"/>
        </w:rPr>
      </w:pPr>
    </w:p>
    <w:p w14:paraId="6953F7A4" w14:textId="4FFA5C03" w:rsidR="00F621C3" w:rsidRDefault="00891652" w:rsidP="00F16F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91652">
        <w:rPr>
          <w:rFonts w:ascii="Cambria" w:hAnsi="Cambria"/>
          <w:sz w:val="20"/>
          <w:szCs w:val="20"/>
        </w:rPr>
        <w:t xml:space="preserve">Mr. Leonardo López Amancio (hereinafter "the petitioner" or "Mr. López Amancio"), </w:t>
      </w:r>
      <w:r w:rsidR="002516F3">
        <w:rPr>
          <w:rFonts w:ascii="Cambria" w:hAnsi="Cambria"/>
          <w:sz w:val="20"/>
          <w:szCs w:val="20"/>
        </w:rPr>
        <w:t>who retired as a commander from</w:t>
      </w:r>
      <w:r w:rsidRPr="00891652">
        <w:rPr>
          <w:rFonts w:ascii="Cambria" w:hAnsi="Cambria"/>
          <w:sz w:val="20"/>
          <w:szCs w:val="20"/>
        </w:rPr>
        <w:t xml:space="preserve"> the National Police of Peru (hereinafter "the PNP"</w:t>
      </w:r>
      <w:r w:rsidR="00F16F26" w:rsidRPr="00F16F26">
        <w:rPr>
          <w:rFonts w:ascii="Cambria" w:hAnsi="Cambria"/>
          <w:sz w:val="20"/>
          <w:szCs w:val="20"/>
        </w:rPr>
        <w:t>, by the Spanish acronym</w:t>
      </w:r>
      <w:r w:rsidRPr="00891652">
        <w:rPr>
          <w:rFonts w:ascii="Cambria" w:hAnsi="Cambria"/>
          <w:sz w:val="20"/>
          <w:szCs w:val="20"/>
        </w:rPr>
        <w:t>)</w:t>
      </w:r>
      <w:r w:rsidR="002516F3">
        <w:rPr>
          <w:rFonts w:ascii="Cambria" w:hAnsi="Cambria"/>
          <w:sz w:val="20"/>
          <w:szCs w:val="20"/>
        </w:rPr>
        <w:t xml:space="preserve"> due to disability</w:t>
      </w:r>
      <w:r w:rsidRPr="00891652">
        <w:rPr>
          <w:rFonts w:ascii="Cambria" w:hAnsi="Cambria"/>
          <w:sz w:val="20"/>
          <w:szCs w:val="20"/>
        </w:rPr>
        <w:t xml:space="preserve">, alleges discrimination and violation of his right to private property </w:t>
      </w:r>
      <w:r w:rsidR="002516F3">
        <w:rPr>
          <w:rFonts w:ascii="Cambria" w:hAnsi="Cambria"/>
          <w:sz w:val="20"/>
          <w:szCs w:val="20"/>
        </w:rPr>
        <w:t>in the context</w:t>
      </w:r>
      <w:r w:rsidRPr="00891652">
        <w:rPr>
          <w:rFonts w:ascii="Cambria" w:hAnsi="Cambria"/>
          <w:sz w:val="20"/>
          <w:szCs w:val="20"/>
        </w:rPr>
        <w:t xml:space="preserve"> </w:t>
      </w:r>
      <w:r w:rsidR="002516F3">
        <w:rPr>
          <w:rFonts w:ascii="Cambria" w:hAnsi="Cambria"/>
          <w:sz w:val="20"/>
          <w:szCs w:val="20"/>
        </w:rPr>
        <w:t>of the calculation of his</w:t>
      </w:r>
      <w:r w:rsidRPr="00891652">
        <w:rPr>
          <w:rFonts w:ascii="Cambria" w:hAnsi="Cambria"/>
          <w:sz w:val="20"/>
          <w:szCs w:val="20"/>
        </w:rPr>
        <w:t xml:space="preserve"> compensation for </w:t>
      </w:r>
      <w:r w:rsidR="002516F3">
        <w:rPr>
          <w:rFonts w:ascii="Cambria" w:hAnsi="Cambria"/>
          <w:sz w:val="20"/>
          <w:szCs w:val="20"/>
        </w:rPr>
        <w:t>length of service (</w:t>
      </w:r>
      <w:r w:rsidRPr="00891652">
        <w:rPr>
          <w:rFonts w:ascii="Cambria" w:hAnsi="Cambria"/>
          <w:sz w:val="20"/>
          <w:szCs w:val="20"/>
        </w:rPr>
        <w:t xml:space="preserve">CTS). He maintains that the PNP </w:t>
      </w:r>
      <w:r w:rsidR="009B7E29">
        <w:rPr>
          <w:rFonts w:ascii="Cambria" w:hAnsi="Cambria"/>
          <w:sz w:val="20"/>
          <w:szCs w:val="20"/>
        </w:rPr>
        <w:t>incorrectly under</w:t>
      </w:r>
      <w:r w:rsidR="00885687">
        <w:rPr>
          <w:rFonts w:ascii="Cambria" w:hAnsi="Cambria"/>
          <w:sz w:val="20"/>
          <w:szCs w:val="20"/>
        </w:rPr>
        <w:t>-</w:t>
      </w:r>
      <w:r w:rsidR="009B7E29">
        <w:rPr>
          <w:rFonts w:ascii="Cambria" w:hAnsi="Cambria"/>
          <w:sz w:val="20"/>
          <w:szCs w:val="20"/>
        </w:rPr>
        <w:t>assessed</w:t>
      </w:r>
      <w:r w:rsidRPr="00891652">
        <w:rPr>
          <w:rFonts w:ascii="Cambria" w:hAnsi="Cambria"/>
          <w:sz w:val="20"/>
          <w:szCs w:val="20"/>
        </w:rPr>
        <w:t xml:space="preserve"> the compensation </w:t>
      </w:r>
      <w:r w:rsidR="009B7E29">
        <w:rPr>
          <w:rFonts w:ascii="Cambria" w:hAnsi="Cambria"/>
          <w:sz w:val="20"/>
          <w:szCs w:val="20"/>
        </w:rPr>
        <w:t>due</w:t>
      </w:r>
      <w:r w:rsidRPr="00891652">
        <w:rPr>
          <w:rFonts w:ascii="Cambria" w:hAnsi="Cambria"/>
          <w:sz w:val="20"/>
          <w:szCs w:val="20"/>
        </w:rPr>
        <w:t xml:space="preserve"> to him </w:t>
      </w:r>
      <w:r w:rsidR="006C0646">
        <w:rPr>
          <w:rFonts w:ascii="Cambria" w:hAnsi="Cambria"/>
          <w:sz w:val="20"/>
          <w:szCs w:val="20"/>
        </w:rPr>
        <w:t xml:space="preserve">for </w:t>
      </w:r>
      <w:r w:rsidRPr="00891652">
        <w:rPr>
          <w:rFonts w:ascii="Cambria" w:hAnsi="Cambria"/>
          <w:sz w:val="20"/>
          <w:szCs w:val="20"/>
        </w:rPr>
        <w:t xml:space="preserve">42 years </w:t>
      </w:r>
      <w:r w:rsidR="009B7E29">
        <w:rPr>
          <w:rFonts w:ascii="Cambria" w:hAnsi="Cambria"/>
          <w:sz w:val="20"/>
          <w:szCs w:val="20"/>
        </w:rPr>
        <w:t xml:space="preserve">of service </w:t>
      </w:r>
      <w:r w:rsidRPr="00891652">
        <w:rPr>
          <w:rFonts w:ascii="Cambria" w:hAnsi="Cambria"/>
          <w:sz w:val="20"/>
          <w:szCs w:val="20"/>
        </w:rPr>
        <w:t xml:space="preserve">in the institution. </w:t>
      </w:r>
      <w:r w:rsidR="001C55DB">
        <w:rPr>
          <w:rFonts w:ascii="Cambria" w:hAnsi="Cambria"/>
          <w:sz w:val="20"/>
          <w:szCs w:val="20"/>
        </w:rPr>
        <w:t>He</w:t>
      </w:r>
      <w:r w:rsidRPr="00891652">
        <w:rPr>
          <w:rFonts w:ascii="Cambria" w:hAnsi="Cambria"/>
          <w:sz w:val="20"/>
          <w:szCs w:val="20"/>
        </w:rPr>
        <w:t xml:space="preserve"> alleges that the erroneous calculation was made </w:t>
      </w:r>
      <w:r w:rsidR="001C55DB">
        <w:rPr>
          <w:rFonts w:ascii="Cambria" w:hAnsi="Cambria"/>
          <w:sz w:val="20"/>
          <w:szCs w:val="20"/>
        </w:rPr>
        <w:t xml:space="preserve">by the application of </w:t>
      </w:r>
      <w:r w:rsidRPr="00891652">
        <w:rPr>
          <w:rFonts w:ascii="Cambria" w:hAnsi="Cambria"/>
          <w:sz w:val="20"/>
          <w:szCs w:val="20"/>
        </w:rPr>
        <w:t xml:space="preserve">rules </w:t>
      </w:r>
      <w:r w:rsidR="001C55DB">
        <w:rPr>
          <w:rFonts w:ascii="Cambria" w:hAnsi="Cambria"/>
          <w:sz w:val="20"/>
          <w:szCs w:val="20"/>
        </w:rPr>
        <w:t>appropriate</w:t>
      </w:r>
      <w:r w:rsidRPr="00891652">
        <w:rPr>
          <w:rFonts w:ascii="Cambria" w:hAnsi="Cambria"/>
          <w:sz w:val="20"/>
          <w:szCs w:val="20"/>
        </w:rPr>
        <w:t xml:space="preserve"> to the common public sector, omitting the rules that govern </w:t>
      </w:r>
      <w:r w:rsidR="001C55DB">
        <w:rPr>
          <w:rFonts w:ascii="Cambria" w:hAnsi="Cambria"/>
          <w:sz w:val="20"/>
          <w:szCs w:val="20"/>
        </w:rPr>
        <w:t>the police</w:t>
      </w:r>
      <w:r>
        <w:rPr>
          <w:rFonts w:ascii="Cambria" w:hAnsi="Cambria"/>
          <w:sz w:val="20"/>
          <w:szCs w:val="20"/>
        </w:rPr>
        <w:t>.</w:t>
      </w:r>
    </w:p>
    <w:p w14:paraId="32940F2F" w14:textId="57494A75" w:rsidR="00891652" w:rsidRDefault="0089165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91652">
        <w:rPr>
          <w:rFonts w:ascii="Cambria" w:hAnsi="Cambria"/>
          <w:sz w:val="20"/>
          <w:szCs w:val="20"/>
        </w:rPr>
        <w:lastRenderedPageBreak/>
        <w:t xml:space="preserve">The petitioner indicates that on November 5, 1998, the PNP </w:t>
      </w:r>
      <w:r w:rsidR="00B26D37">
        <w:rPr>
          <w:rFonts w:ascii="Cambria" w:hAnsi="Cambria"/>
          <w:sz w:val="20"/>
          <w:szCs w:val="20"/>
        </w:rPr>
        <w:t>decided that he should take invalidity retirement</w:t>
      </w:r>
      <w:r w:rsidRPr="00891652">
        <w:rPr>
          <w:rFonts w:ascii="Cambria" w:hAnsi="Cambria"/>
          <w:sz w:val="20"/>
          <w:szCs w:val="20"/>
        </w:rPr>
        <w:t xml:space="preserve"> due to </w:t>
      </w:r>
      <w:r w:rsidR="00B26D37">
        <w:rPr>
          <w:rFonts w:ascii="Cambria" w:hAnsi="Cambria"/>
          <w:sz w:val="20"/>
          <w:szCs w:val="20"/>
        </w:rPr>
        <w:t>his condition</w:t>
      </w:r>
      <w:r w:rsidRPr="00891652">
        <w:rPr>
          <w:rFonts w:ascii="Cambria" w:hAnsi="Cambria"/>
          <w:sz w:val="20"/>
          <w:szCs w:val="20"/>
        </w:rPr>
        <w:t xml:space="preserve"> o</w:t>
      </w:r>
      <w:r w:rsidR="00B26D37">
        <w:rPr>
          <w:rFonts w:ascii="Cambria" w:hAnsi="Cambria"/>
          <w:sz w:val="20"/>
          <w:szCs w:val="20"/>
        </w:rPr>
        <w:t>f total and permanent disability</w:t>
      </w:r>
      <w:r w:rsidRPr="00891652">
        <w:rPr>
          <w:rFonts w:ascii="Cambria" w:hAnsi="Cambria"/>
          <w:sz w:val="20"/>
          <w:szCs w:val="20"/>
        </w:rPr>
        <w:t xml:space="preserve">. He explains that, as of December 1, 1998, he obtained his retirement pension and that he subsequently requested the payment of compensation </w:t>
      </w:r>
      <w:r w:rsidR="00B26D37">
        <w:rPr>
          <w:rFonts w:ascii="Cambria" w:hAnsi="Cambria"/>
          <w:sz w:val="20"/>
          <w:szCs w:val="20"/>
        </w:rPr>
        <w:t>for length of service</w:t>
      </w:r>
      <w:r w:rsidRPr="00891652">
        <w:rPr>
          <w:rFonts w:ascii="Cambria" w:hAnsi="Cambria"/>
          <w:sz w:val="20"/>
          <w:szCs w:val="20"/>
        </w:rPr>
        <w:t xml:space="preserve"> from the PNP's O</w:t>
      </w:r>
      <w:r w:rsidR="00B26D37">
        <w:rPr>
          <w:rFonts w:ascii="Cambria" w:hAnsi="Cambria"/>
          <w:sz w:val="20"/>
          <w:szCs w:val="20"/>
        </w:rPr>
        <w:t>ffice of Economy and Finance. He</w:t>
      </w:r>
      <w:r w:rsidRPr="00891652">
        <w:rPr>
          <w:rFonts w:ascii="Cambria" w:hAnsi="Cambria"/>
          <w:sz w:val="20"/>
          <w:szCs w:val="20"/>
        </w:rPr>
        <w:t xml:space="preserve"> indicates that on October 26, 1999, the PNP ordered the payment of 1,215.90 </w:t>
      </w:r>
      <w:r w:rsidR="00B26D37">
        <w:rPr>
          <w:rFonts w:ascii="Cambria" w:hAnsi="Cambria"/>
          <w:sz w:val="20"/>
          <w:szCs w:val="20"/>
        </w:rPr>
        <w:t>new soles (approximately USD $</w:t>
      </w:r>
      <w:r w:rsidRPr="00891652">
        <w:rPr>
          <w:rFonts w:ascii="Cambria" w:hAnsi="Cambria"/>
          <w:sz w:val="20"/>
          <w:szCs w:val="20"/>
        </w:rPr>
        <w:t>360 at the time). The petitioner alleges that the calculation was based on Supreme Decree No. 213-90-EF, which was never published in the Official Gazette</w:t>
      </w:r>
      <w:r>
        <w:rPr>
          <w:rFonts w:ascii="Cambria" w:hAnsi="Cambria"/>
          <w:sz w:val="20"/>
          <w:szCs w:val="20"/>
        </w:rPr>
        <w:t>.</w:t>
      </w:r>
    </w:p>
    <w:p w14:paraId="751748C6" w14:textId="03B62553" w:rsidR="00891652" w:rsidRDefault="005D672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 p</w:t>
      </w:r>
      <w:r w:rsidR="00891652" w:rsidRPr="00891652">
        <w:rPr>
          <w:rFonts w:ascii="Cambria" w:hAnsi="Cambria"/>
          <w:sz w:val="20"/>
          <w:szCs w:val="20"/>
        </w:rPr>
        <w:t>oints out that</w:t>
      </w:r>
      <w:r>
        <w:rPr>
          <w:rFonts w:ascii="Cambria" w:hAnsi="Cambria"/>
          <w:sz w:val="20"/>
          <w:szCs w:val="20"/>
        </w:rPr>
        <w:t xml:space="preserve"> on August 25, 2003, he filed an </w:t>
      </w:r>
      <w:r w:rsidRPr="00885687">
        <w:rPr>
          <w:rFonts w:ascii="Cambria" w:hAnsi="Cambria"/>
          <w:i/>
          <w:sz w:val="20"/>
          <w:szCs w:val="20"/>
        </w:rPr>
        <w:t>amparo</w:t>
      </w:r>
      <w:r>
        <w:rPr>
          <w:rFonts w:ascii="Cambria" w:hAnsi="Cambria"/>
          <w:sz w:val="20"/>
          <w:szCs w:val="20"/>
        </w:rPr>
        <w:t xml:space="preserve"> with</w:t>
      </w:r>
      <w:r w:rsidRPr="00891652">
        <w:rPr>
          <w:rFonts w:ascii="Cambria" w:hAnsi="Cambria"/>
          <w:sz w:val="20"/>
          <w:szCs w:val="20"/>
        </w:rPr>
        <w:t xml:space="preserve"> the Sixth Civil Chamber of the Superior Court of Justice of Lima</w:t>
      </w:r>
      <w:r>
        <w:rPr>
          <w:rFonts w:ascii="Cambria" w:hAnsi="Cambria"/>
          <w:sz w:val="20"/>
          <w:szCs w:val="20"/>
        </w:rPr>
        <w:t xml:space="preserve"> against the Office</w:t>
      </w:r>
      <w:r w:rsidR="00891652" w:rsidRPr="00891652">
        <w:rPr>
          <w:rFonts w:ascii="Cambria" w:hAnsi="Cambria"/>
          <w:sz w:val="20"/>
          <w:szCs w:val="20"/>
        </w:rPr>
        <w:t xml:space="preserve"> of Economy and Finance of the PNP, based on </w:t>
      </w:r>
      <w:r w:rsidR="00E33BCF">
        <w:rPr>
          <w:rFonts w:ascii="Cambria" w:hAnsi="Cambria"/>
          <w:sz w:val="20"/>
          <w:szCs w:val="20"/>
        </w:rPr>
        <w:t xml:space="preserve">the </w:t>
      </w:r>
      <w:r>
        <w:rPr>
          <w:rFonts w:ascii="Cambria" w:hAnsi="Cambria"/>
          <w:sz w:val="20"/>
          <w:szCs w:val="20"/>
        </w:rPr>
        <w:t>secret nature</w:t>
      </w:r>
      <w:r w:rsidR="00891652" w:rsidRPr="00891652">
        <w:rPr>
          <w:rFonts w:ascii="Cambria" w:hAnsi="Cambria"/>
          <w:sz w:val="20"/>
          <w:szCs w:val="20"/>
        </w:rPr>
        <w:t xml:space="preserve"> of Supreme Decree No. 213-90-EF. The petitioner states that on December 15, 2004, the Sixth Civil Chamber of the Superior Court accepted his claim, declaring the </w:t>
      </w:r>
      <w:r w:rsidR="00E33BCF">
        <w:rPr>
          <w:rFonts w:ascii="Cambria" w:hAnsi="Cambria"/>
          <w:sz w:val="20"/>
          <w:szCs w:val="20"/>
        </w:rPr>
        <w:t>assessment</w:t>
      </w:r>
      <w:r w:rsidR="00891652" w:rsidRPr="00891652">
        <w:rPr>
          <w:rFonts w:ascii="Cambria" w:hAnsi="Cambria"/>
          <w:sz w:val="20"/>
          <w:szCs w:val="20"/>
        </w:rPr>
        <w:t xml:space="preserve"> null and void because it was based on a rule whose publication </w:t>
      </w:r>
      <w:r w:rsidR="00E33BCF">
        <w:rPr>
          <w:rFonts w:ascii="Cambria" w:hAnsi="Cambria"/>
          <w:sz w:val="20"/>
          <w:szCs w:val="20"/>
        </w:rPr>
        <w:t>never existed</w:t>
      </w:r>
      <w:r w:rsidR="00891652" w:rsidRPr="00891652">
        <w:rPr>
          <w:rFonts w:ascii="Cambria" w:hAnsi="Cambria"/>
          <w:sz w:val="20"/>
          <w:szCs w:val="20"/>
        </w:rPr>
        <w:t xml:space="preserve">. Additionally, the Sixth Chamber ordered that a new </w:t>
      </w:r>
      <w:r w:rsidR="00E33BCF">
        <w:rPr>
          <w:rFonts w:ascii="Cambria" w:hAnsi="Cambria"/>
          <w:sz w:val="20"/>
          <w:szCs w:val="20"/>
        </w:rPr>
        <w:t>assessment</w:t>
      </w:r>
      <w:r w:rsidR="00891652" w:rsidRPr="00891652">
        <w:rPr>
          <w:rFonts w:ascii="Cambria" w:hAnsi="Cambria"/>
          <w:sz w:val="20"/>
          <w:szCs w:val="20"/>
        </w:rPr>
        <w:t xml:space="preserve"> be issued </w:t>
      </w:r>
      <w:r w:rsidR="00E33BCF">
        <w:rPr>
          <w:rFonts w:ascii="Cambria" w:hAnsi="Cambria"/>
          <w:sz w:val="20"/>
          <w:szCs w:val="20"/>
        </w:rPr>
        <w:t>recognizing</w:t>
      </w:r>
      <w:r w:rsidR="00891652" w:rsidRPr="00891652">
        <w:rPr>
          <w:rFonts w:ascii="Cambria" w:hAnsi="Cambria"/>
          <w:sz w:val="20"/>
          <w:szCs w:val="20"/>
        </w:rPr>
        <w:t xml:space="preserve"> the corresponding </w:t>
      </w:r>
      <w:r w:rsidR="00E33BCF">
        <w:rPr>
          <w:rFonts w:ascii="Cambria" w:hAnsi="Cambria"/>
          <w:sz w:val="20"/>
          <w:szCs w:val="20"/>
        </w:rPr>
        <w:t>length of service</w:t>
      </w:r>
      <w:r w:rsidR="00891652" w:rsidRPr="00891652">
        <w:rPr>
          <w:rFonts w:ascii="Cambria" w:hAnsi="Cambria"/>
          <w:sz w:val="20"/>
          <w:szCs w:val="20"/>
        </w:rPr>
        <w:t xml:space="preserve">, without </w:t>
      </w:r>
      <w:r w:rsidR="00E33BCF">
        <w:rPr>
          <w:rFonts w:ascii="Cambria" w:hAnsi="Cambria"/>
          <w:sz w:val="20"/>
          <w:szCs w:val="20"/>
        </w:rPr>
        <w:t>the application of</w:t>
      </w:r>
      <w:r w:rsidR="00891652" w:rsidRPr="00891652">
        <w:rPr>
          <w:rFonts w:ascii="Cambria" w:hAnsi="Cambria"/>
          <w:sz w:val="20"/>
          <w:szCs w:val="20"/>
        </w:rPr>
        <w:t xml:space="preserve"> Supreme Decree No. 213-90-EF</w:t>
      </w:r>
      <w:r w:rsidR="00891652">
        <w:rPr>
          <w:rFonts w:ascii="Cambria" w:hAnsi="Cambria"/>
          <w:sz w:val="20"/>
          <w:szCs w:val="20"/>
        </w:rPr>
        <w:t>.</w:t>
      </w:r>
    </w:p>
    <w:p w14:paraId="2716C7B0" w14:textId="63DF4D5C" w:rsidR="00891652" w:rsidRDefault="0089165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91652">
        <w:rPr>
          <w:rFonts w:ascii="Cambria" w:hAnsi="Cambria"/>
          <w:sz w:val="20"/>
          <w:szCs w:val="20"/>
        </w:rPr>
        <w:t xml:space="preserve">The petitioner indicates that the 51st Civil Court of Lima, </w:t>
      </w:r>
      <w:r w:rsidR="00C12CB2">
        <w:rPr>
          <w:rFonts w:ascii="Cambria" w:hAnsi="Cambria"/>
          <w:sz w:val="20"/>
          <w:szCs w:val="20"/>
        </w:rPr>
        <w:t>in fulfillment of the above decision</w:t>
      </w:r>
      <w:r w:rsidRPr="00891652">
        <w:rPr>
          <w:rFonts w:ascii="Cambria" w:hAnsi="Cambria"/>
          <w:sz w:val="20"/>
          <w:szCs w:val="20"/>
        </w:rPr>
        <w:t xml:space="preserve">, ordered the Department of Economy and Finance of the PNP to prepare a new </w:t>
      </w:r>
      <w:r w:rsidR="00C12CB2">
        <w:rPr>
          <w:rFonts w:ascii="Cambria" w:hAnsi="Cambria"/>
          <w:sz w:val="20"/>
          <w:szCs w:val="20"/>
        </w:rPr>
        <w:t>assessment</w:t>
      </w:r>
      <w:r w:rsidRPr="00891652">
        <w:rPr>
          <w:rFonts w:ascii="Cambria" w:hAnsi="Cambria"/>
          <w:sz w:val="20"/>
          <w:szCs w:val="20"/>
        </w:rPr>
        <w:t xml:space="preserve">. On July 8, 2006, the PNP issued a new </w:t>
      </w:r>
      <w:r w:rsidR="00C12CB2">
        <w:rPr>
          <w:rFonts w:ascii="Cambria" w:hAnsi="Cambria"/>
          <w:sz w:val="20"/>
          <w:szCs w:val="20"/>
        </w:rPr>
        <w:t>assessment</w:t>
      </w:r>
      <w:r w:rsidRPr="00891652">
        <w:rPr>
          <w:rFonts w:ascii="Cambria" w:hAnsi="Cambria"/>
          <w:sz w:val="20"/>
          <w:szCs w:val="20"/>
        </w:rPr>
        <w:t xml:space="preserve"> </w:t>
      </w:r>
      <w:r w:rsidR="00C12CB2">
        <w:rPr>
          <w:rFonts w:ascii="Cambria" w:hAnsi="Cambria"/>
          <w:sz w:val="20"/>
          <w:szCs w:val="20"/>
        </w:rPr>
        <w:t>on the basis of</w:t>
      </w:r>
      <w:r w:rsidRPr="00891652">
        <w:rPr>
          <w:rFonts w:ascii="Cambria" w:hAnsi="Cambria"/>
          <w:sz w:val="20"/>
          <w:szCs w:val="20"/>
        </w:rPr>
        <w:t xml:space="preserve"> Law No. 25,224 (referring to compensation </w:t>
      </w:r>
      <w:r w:rsidR="00C12CB2">
        <w:rPr>
          <w:rFonts w:ascii="Cambria" w:hAnsi="Cambria"/>
          <w:sz w:val="20"/>
          <w:szCs w:val="20"/>
        </w:rPr>
        <w:t>for length of service</w:t>
      </w:r>
      <w:r w:rsidRPr="00891652">
        <w:rPr>
          <w:rFonts w:ascii="Cambria" w:hAnsi="Cambria"/>
          <w:sz w:val="20"/>
          <w:szCs w:val="20"/>
        </w:rPr>
        <w:t xml:space="preserve"> to the personnel appointed at the time of cessation) and Legislative Decree No. 276 (Law on Bases </w:t>
      </w:r>
      <w:r w:rsidR="00C12CB2">
        <w:rPr>
          <w:rFonts w:ascii="Cambria" w:hAnsi="Cambria"/>
          <w:sz w:val="20"/>
          <w:szCs w:val="20"/>
        </w:rPr>
        <w:t>in</w:t>
      </w:r>
      <w:r w:rsidRPr="00891652">
        <w:rPr>
          <w:rFonts w:ascii="Cambria" w:hAnsi="Cambria"/>
          <w:sz w:val="20"/>
          <w:szCs w:val="20"/>
        </w:rPr>
        <w:t xml:space="preserve"> </w:t>
      </w:r>
      <w:r w:rsidR="00C12CB2">
        <w:rPr>
          <w:rFonts w:ascii="Cambria" w:hAnsi="Cambria"/>
          <w:sz w:val="20"/>
          <w:szCs w:val="20"/>
        </w:rPr>
        <w:t>A</w:t>
      </w:r>
      <w:r w:rsidRPr="00891652">
        <w:rPr>
          <w:rFonts w:ascii="Cambria" w:hAnsi="Cambria"/>
          <w:sz w:val="20"/>
          <w:szCs w:val="20"/>
        </w:rPr>
        <w:t xml:space="preserve">dministrative </w:t>
      </w:r>
      <w:r w:rsidR="00C12CB2">
        <w:rPr>
          <w:rFonts w:ascii="Cambria" w:hAnsi="Cambria"/>
          <w:sz w:val="20"/>
          <w:szCs w:val="20"/>
        </w:rPr>
        <w:t xml:space="preserve">Careers </w:t>
      </w:r>
      <w:r w:rsidRPr="00891652">
        <w:rPr>
          <w:rFonts w:ascii="Cambria" w:hAnsi="Cambria"/>
          <w:sz w:val="20"/>
          <w:szCs w:val="20"/>
        </w:rPr>
        <w:t xml:space="preserve">and </w:t>
      </w:r>
      <w:r w:rsidR="00C12CB2">
        <w:rPr>
          <w:rFonts w:ascii="Cambria" w:hAnsi="Cambria"/>
          <w:sz w:val="20"/>
          <w:szCs w:val="20"/>
        </w:rPr>
        <w:t>Public Sector Pay</w:t>
      </w:r>
      <w:r w:rsidRPr="00891652">
        <w:rPr>
          <w:rFonts w:ascii="Cambria" w:hAnsi="Cambria"/>
          <w:sz w:val="20"/>
          <w:szCs w:val="20"/>
        </w:rPr>
        <w:t xml:space="preserve">). The petitioner explains that </w:t>
      </w:r>
      <w:r w:rsidR="00C12CB2">
        <w:rPr>
          <w:rFonts w:ascii="Cambria" w:hAnsi="Cambria"/>
          <w:sz w:val="20"/>
          <w:szCs w:val="20"/>
        </w:rPr>
        <w:t>these rules establish</w:t>
      </w:r>
      <w:r w:rsidRPr="00891652">
        <w:rPr>
          <w:rFonts w:ascii="Cambria" w:hAnsi="Cambria"/>
          <w:sz w:val="20"/>
          <w:szCs w:val="20"/>
        </w:rPr>
        <w:t xml:space="preserve"> that the calculation of the CTS must be made based on a "</w:t>
      </w:r>
      <w:r w:rsidR="001353AD">
        <w:rPr>
          <w:rFonts w:ascii="Cambria" w:hAnsi="Cambria"/>
          <w:sz w:val="20"/>
          <w:szCs w:val="20"/>
        </w:rPr>
        <w:t>principal</w:t>
      </w:r>
      <w:r w:rsidR="00C12CB2">
        <w:rPr>
          <w:rFonts w:ascii="Cambria" w:hAnsi="Cambria"/>
          <w:sz w:val="20"/>
          <w:szCs w:val="20"/>
        </w:rPr>
        <w:t xml:space="preserve"> remuneration</w:t>
      </w:r>
      <w:r w:rsidRPr="00891652">
        <w:rPr>
          <w:rFonts w:ascii="Cambria" w:hAnsi="Cambria"/>
          <w:sz w:val="20"/>
          <w:szCs w:val="20"/>
        </w:rPr>
        <w:t xml:space="preserve">", set by law at 40.53 </w:t>
      </w:r>
      <w:r w:rsidR="00C12CB2">
        <w:rPr>
          <w:rFonts w:ascii="Cambria" w:hAnsi="Cambria"/>
          <w:sz w:val="20"/>
          <w:szCs w:val="20"/>
        </w:rPr>
        <w:t>new soles (approximately USD $</w:t>
      </w:r>
      <w:r w:rsidRPr="00891652">
        <w:rPr>
          <w:rFonts w:ascii="Cambria" w:hAnsi="Cambria"/>
          <w:sz w:val="20"/>
          <w:szCs w:val="20"/>
        </w:rPr>
        <w:t xml:space="preserve">12 at the time), multiplied by the years of service, </w:t>
      </w:r>
      <w:r w:rsidR="00C12CB2">
        <w:rPr>
          <w:rFonts w:ascii="Cambria" w:hAnsi="Cambria"/>
          <w:sz w:val="20"/>
          <w:szCs w:val="20"/>
        </w:rPr>
        <w:t>up to a maximum of</w:t>
      </w:r>
      <w:r w:rsidRPr="00891652">
        <w:rPr>
          <w:rFonts w:ascii="Cambria" w:hAnsi="Cambria"/>
          <w:sz w:val="20"/>
          <w:szCs w:val="20"/>
        </w:rPr>
        <w:t xml:space="preserve"> 30 years, resulting in</w:t>
      </w:r>
      <w:r w:rsidR="00C12CB2">
        <w:rPr>
          <w:rFonts w:ascii="Cambria" w:hAnsi="Cambria"/>
          <w:sz w:val="20"/>
          <w:szCs w:val="20"/>
        </w:rPr>
        <w:t xml:space="preserve"> a settlement of 1,215.90 new soles (approximately USD $</w:t>
      </w:r>
      <w:r w:rsidRPr="00891652">
        <w:rPr>
          <w:rFonts w:ascii="Cambria" w:hAnsi="Cambria"/>
          <w:sz w:val="20"/>
          <w:szCs w:val="20"/>
        </w:rPr>
        <w:t xml:space="preserve">360 at the time). He alleges that, </w:t>
      </w:r>
      <w:r w:rsidR="00C12CB2">
        <w:rPr>
          <w:rFonts w:ascii="Cambria" w:hAnsi="Cambria"/>
          <w:sz w:val="20"/>
          <w:szCs w:val="20"/>
        </w:rPr>
        <w:t>on becoming aware of the assessment</w:t>
      </w:r>
      <w:r w:rsidRPr="00891652">
        <w:rPr>
          <w:rFonts w:ascii="Cambria" w:hAnsi="Cambria"/>
          <w:sz w:val="20"/>
          <w:szCs w:val="20"/>
        </w:rPr>
        <w:t>, he submitted his observations to the 51</w:t>
      </w:r>
      <w:r w:rsidR="001353AD">
        <w:rPr>
          <w:rFonts w:ascii="Cambria" w:hAnsi="Cambria"/>
          <w:sz w:val="20"/>
          <w:szCs w:val="20"/>
        </w:rPr>
        <w:t>st</w:t>
      </w:r>
      <w:r w:rsidRPr="00891652">
        <w:rPr>
          <w:rFonts w:ascii="Cambria" w:hAnsi="Cambria"/>
          <w:sz w:val="20"/>
          <w:szCs w:val="20"/>
        </w:rPr>
        <w:t xml:space="preserve"> Civil Court of Lima requesting the preparation of a new </w:t>
      </w:r>
      <w:r w:rsidR="00C27F80">
        <w:rPr>
          <w:rFonts w:ascii="Cambria" w:hAnsi="Cambria"/>
          <w:sz w:val="20"/>
          <w:szCs w:val="20"/>
        </w:rPr>
        <w:t>calculation based on the Rules</w:t>
      </w:r>
      <w:r w:rsidRPr="00891652">
        <w:rPr>
          <w:rFonts w:ascii="Cambria" w:hAnsi="Cambria"/>
          <w:sz w:val="20"/>
          <w:szCs w:val="20"/>
        </w:rPr>
        <w:t xml:space="preserve"> of Law N</w:t>
      </w:r>
      <w:r w:rsidR="00C27F80">
        <w:rPr>
          <w:rFonts w:ascii="Cambria" w:hAnsi="Cambria"/>
          <w:sz w:val="20"/>
          <w:szCs w:val="20"/>
        </w:rPr>
        <w:t>o. 19,846 on Police Pensions. He</w:t>
      </w:r>
      <w:r w:rsidRPr="00891652">
        <w:rPr>
          <w:rFonts w:ascii="Cambria" w:hAnsi="Cambria"/>
          <w:sz w:val="20"/>
          <w:szCs w:val="20"/>
        </w:rPr>
        <w:t xml:space="preserve"> states th</w:t>
      </w:r>
      <w:r w:rsidR="00C27F80">
        <w:rPr>
          <w:rFonts w:ascii="Cambria" w:hAnsi="Cambria"/>
          <w:sz w:val="20"/>
          <w:szCs w:val="20"/>
        </w:rPr>
        <w:t>at, according to these Rules</w:t>
      </w:r>
      <w:r w:rsidRPr="00891652">
        <w:rPr>
          <w:rFonts w:ascii="Cambria" w:hAnsi="Cambria"/>
          <w:sz w:val="20"/>
          <w:szCs w:val="20"/>
        </w:rPr>
        <w:t xml:space="preserve">, calculation of compensation must be made based on the last pensionable remuneration obtained, which </w:t>
      </w:r>
      <w:r w:rsidR="00C27F80">
        <w:rPr>
          <w:rFonts w:ascii="Cambria" w:hAnsi="Cambria"/>
          <w:sz w:val="20"/>
          <w:szCs w:val="20"/>
        </w:rPr>
        <w:t>in his case was 1,657.48 new soles (approximately USD $</w:t>
      </w:r>
      <w:r w:rsidRPr="00891652">
        <w:rPr>
          <w:rFonts w:ascii="Cambria" w:hAnsi="Cambria"/>
          <w:sz w:val="20"/>
          <w:szCs w:val="20"/>
        </w:rPr>
        <w:t xml:space="preserve">492 at the time), multiplied by the number of years of service, which </w:t>
      </w:r>
      <w:r w:rsidR="00C27F80">
        <w:rPr>
          <w:rFonts w:ascii="Cambria" w:hAnsi="Cambria"/>
          <w:sz w:val="20"/>
          <w:szCs w:val="20"/>
        </w:rPr>
        <w:t>in his case would amount to</w:t>
      </w:r>
      <w:r w:rsidRPr="00891652">
        <w:rPr>
          <w:rFonts w:ascii="Cambria" w:hAnsi="Cambria"/>
          <w:sz w:val="20"/>
          <w:szCs w:val="20"/>
        </w:rPr>
        <w:t xml:space="preserve"> </w:t>
      </w:r>
      <w:r w:rsidR="00C27F80">
        <w:rPr>
          <w:rFonts w:ascii="Cambria" w:hAnsi="Cambria"/>
          <w:sz w:val="20"/>
          <w:szCs w:val="20"/>
        </w:rPr>
        <w:t>69,614.16 new</w:t>
      </w:r>
      <w:r w:rsidRPr="00891652">
        <w:rPr>
          <w:rFonts w:ascii="Cambria" w:hAnsi="Cambria"/>
          <w:sz w:val="20"/>
          <w:szCs w:val="20"/>
        </w:rPr>
        <w:t xml:space="preserve"> soles (approx</w:t>
      </w:r>
      <w:r w:rsidR="00C27F80">
        <w:rPr>
          <w:rFonts w:ascii="Cambria" w:hAnsi="Cambria"/>
          <w:sz w:val="20"/>
          <w:szCs w:val="20"/>
        </w:rPr>
        <w:t>imately USD $</w:t>
      </w:r>
      <w:r w:rsidRPr="00891652">
        <w:rPr>
          <w:rFonts w:ascii="Cambria" w:hAnsi="Cambria"/>
          <w:sz w:val="20"/>
          <w:szCs w:val="20"/>
        </w:rPr>
        <w:t>20,560 at the time).</w:t>
      </w:r>
    </w:p>
    <w:p w14:paraId="44184A33" w14:textId="232003D3" w:rsidR="00891652" w:rsidRDefault="008B538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 c</w:t>
      </w:r>
      <w:r w:rsidR="00891652" w:rsidRPr="00891652">
        <w:rPr>
          <w:rFonts w:ascii="Cambria" w:hAnsi="Cambria"/>
          <w:sz w:val="20"/>
          <w:szCs w:val="20"/>
        </w:rPr>
        <w:t xml:space="preserve">laims that </w:t>
      </w:r>
      <w:r>
        <w:rPr>
          <w:rFonts w:ascii="Cambria" w:hAnsi="Cambria"/>
          <w:sz w:val="20"/>
          <w:szCs w:val="20"/>
        </w:rPr>
        <w:t>on</w:t>
      </w:r>
      <w:r w:rsidRPr="00891652">
        <w:rPr>
          <w:rFonts w:ascii="Cambria" w:hAnsi="Cambria"/>
          <w:sz w:val="20"/>
          <w:szCs w:val="20"/>
        </w:rPr>
        <w:t xml:space="preserve"> September 12, 2006</w:t>
      </w:r>
      <w:r>
        <w:rPr>
          <w:rFonts w:ascii="Cambria" w:hAnsi="Cambria"/>
          <w:sz w:val="20"/>
          <w:szCs w:val="20"/>
        </w:rPr>
        <w:t>, the 51st Civil Court</w:t>
      </w:r>
      <w:r w:rsidR="00891652" w:rsidRPr="00891652">
        <w:rPr>
          <w:rFonts w:ascii="Cambria" w:hAnsi="Cambria"/>
          <w:sz w:val="20"/>
          <w:szCs w:val="20"/>
        </w:rPr>
        <w:t xml:space="preserve"> </w:t>
      </w:r>
      <w:r>
        <w:rPr>
          <w:rFonts w:ascii="Cambria" w:hAnsi="Cambria"/>
          <w:sz w:val="20"/>
          <w:szCs w:val="20"/>
        </w:rPr>
        <w:t>held his</w:t>
      </w:r>
      <w:r w:rsidR="00891652" w:rsidRPr="00891652">
        <w:rPr>
          <w:rFonts w:ascii="Cambria" w:hAnsi="Cambria"/>
          <w:sz w:val="20"/>
          <w:szCs w:val="20"/>
        </w:rPr>
        <w:t xml:space="preserve"> observations </w:t>
      </w:r>
      <w:r>
        <w:rPr>
          <w:rFonts w:ascii="Cambria" w:hAnsi="Cambria"/>
          <w:sz w:val="20"/>
          <w:szCs w:val="20"/>
        </w:rPr>
        <w:t>to be groundless and approved the assessment</w:t>
      </w:r>
      <w:r w:rsidR="00891652" w:rsidRPr="00891652">
        <w:rPr>
          <w:rFonts w:ascii="Cambria" w:hAnsi="Cambria"/>
          <w:sz w:val="20"/>
          <w:szCs w:val="20"/>
        </w:rPr>
        <w:t xml:space="preserve">, without considering that Law No. 25,224 expressly excludes public </w:t>
      </w:r>
      <w:r>
        <w:rPr>
          <w:rFonts w:ascii="Cambria" w:hAnsi="Cambria"/>
          <w:sz w:val="20"/>
          <w:szCs w:val="20"/>
        </w:rPr>
        <w:t>employees governed by their</w:t>
      </w:r>
      <w:r w:rsidR="00891652" w:rsidRPr="00891652">
        <w:rPr>
          <w:rFonts w:ascii="Cambria" w:hAnsi="Cambria"/>
          <w:sz w:val="20"/>
          <w:szCs w:val="20"/>
        </w:rPr>
        <w:t xml:space="preserve"> own regime, nor the obligation </w:t>
      </w:r>
      <w:r>
        <w:rPr>
          <w:rFonts w:ascii="Cambria" w:hAnsi="Cambria"/>
          <w:sz w:val="20"/>
          <w:szCs w:val="20"/>
        </w:rPr>
        <w:t>of</w:t>
      </w:r>
      <w:r w:rsidR="00891652" w:rsidRPr="00891652">
        <w:rPr>
          <w:rFonts w:ascii="Cambria" w:hAnsi="Cambria"/>
          <w:sz w:val="20"/>
          <w:szCs w:val="20"/>
        </w:rPr>
        <w:t xml:space="preserve"> the police authorities to </w:t>
      </w:r>
      <w:r>
        <w:rPr>
          <w:rFonts w:ascii="Cambria" w:hAnsi="Cambria"/>
          <w:sz w:val="20"/>
          <w:szCs w:val="20"/>
        </w:rPr>
        <w:t>apply</w:t>
      </w:r>
      <w:r w:rsidR="00891652" w:rsidRPr="00891652">
        <w:rPr>
          <w:rFonts w:ascii="Cambria" w:hAnsi="Cambria"/>
          <w:sz w:val="20"/>
          <w:szCs w:val="20"/>
        </w:rPr>
        <w:t xml:space="preserve"> Law No. 19,846. The petitioner states that he appealed to the Sixth Civil Chamber of the Superior Court of Justice of Lima, which on July 3, 200</w:t>
      </w:r>
      <w:r w:rsidR="001353AD">
        <w:rPr>
          <w:rFonts w:ascii="Cambria" w:hAnsi="Cambria"/>
          <w:sz w:val="20"/>
          <w:szCs w:val="20"/>
        </w:rPr>
        <w:t>,</w:t>
      </w:r>
      <w:r w:rsidR="00891652" w:rsidRPr="00891652">
        <w:rPr>
          <w:rFonts w:ascii="Cambria" w:hAnsi="Cambria"/>
          <w:sz w:val="20"/>
          <w:szCs w:val="20"/>
        </w:rPr>
        <w:t xml:space="preserve">7 </w:t>
      </w:r>
      <w:r>
        <w:rPr>
          <w:rFonts w:ascii="Cambria" w:hAnsi="Cambria"/>
          <w:sz w:val="20"/>
          <w:szCs w:val="20"/>
        </w:rPr>
        <w:t>upheld</w:t>
      </w:r>
      <w:r w:rsidR="00891652" w:rsidRPr="00891652">
        <w:rPr>
          <w:rFonts w:ascii="Cambria" w:hAnsi="Cambria"/>
          <w:sz w:val="20"/>
          <w:szCs w:val="20"/>
        </w:rPr>
        <w:t xml:space="preserve"> the decision of the 51st Civil Court, </w:t>
      </w:r>
      <w:r w:rsidR="001353AD">
        <w:rPr>
          <w:rFonts w:ascii="Cambria" w:hAnsi="Cambria"/>
          <w:sz w:val="20"/>
          <w:szCs w:val="20"/>
        </w:rPr>
        <w:t>finding</w:t>
      </w:r>
      <w:r w:rsidR="00891652" w:rsidRPr="00891652">
        <w:rPr>
          <w:rFonts w:ascii="Cambria" w:hAnsi="Cambria"/>
          <w:sz w:val="20"/>
          <w:szCs w:val="20"/>
        </w:rPr>
        <w:t xml:space="preserve"> that Law No. 19,846 does not </w:t>
      </w:r>
      <w:r w:rsidR="00F0270C">
        <w:rPr>
          <w:rFonts w:ascii="Cambria" w:hAnsi="Cambria"/>
          <w:sz w:val="20"/>
          <w:szCs w:val="20"/>
        </w:rPr>
        <w:t>apply to</w:t>
      </w:r>
      <w:r w:rsidR="00891652" w:rsidRPr="00891652">
        <w:rPr>
          <w:rFonts w:ascii="Cambria" w:hAnsi="Cambria"/>
          <w:sz w:val="20"/>
          <w:szCs w:val="20"/>
        </w:rPr>
        <w:t xml:space="preserve"> personnel who obtain a disability </w:t>
      </w:r>
      <w:r w:rsidR="00F0270C">
        <w:rPr>
          <w:rFonts w:ascii="Cambria" w:hAnsi="Cambria"/>
          <w:sz w:val="20"/>
          <w:szCs w:val="20"/>
        </w:rPr>
        <w:t>pension</w:t>
      </w:r>
      <w:r w:rsidR="00891652">
        <w:rPr>
          <w:rFonts w:ascii="Cambria" w:hAnsi="Cambria"/>
          <w:sz w:val="20"/>
          <w:szCs w:val="20"/>
        </w:rPr>
        <w:t>.</w:t>
      </w:r>
    </w:p>
    <w:p w14:paraId="18BB1EE6" w14:textId="03AAD1E7" w:rsidR="00891652" w:rsidRDefault="0089165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91652">
        <w:rPr>
          <w:rFonts w:ascii="Cambria" w:hAnsi="Cambria"/>
          <w:sz w:val="20"/>
          <w:szCs w:val="20"/>
        </w:rPr>
        <w:t xml:space="preserve">Mr. López Amancio indicates that he </w:t>
      </w:r>
      <w:r w:rsidR="00367514">
        <w:rPr>
          <w:rFonts w:ascii="Cambria" w:hAnsi="Cambria"/>
          <w:sz w:val="20"/>
          <w:szCs w:val="20"/>
        </w:rPr>
        <w:t>complained that the</w:t>
      </w:r>
      <w:r w:rsidRPr="00891652">
        <w:rPr>
          <w:rFonts w:ascii="Cambria" w:hAnsi="Cambria"/>
          <w:sz w:val="20"/>
          <w:szCs w:val="20"/>
        </w:rPr>
        <w:t xml:space="preserve"> judge of the 51st Civil Court Lima </w:t>
      </w:r>
      <w:r w:rsidR="00367514">
        <w:rPr>
          <w:rFonts w:ascii="Cambria" w:hAnsi="Cambria"/>
          <w:sz w:val="20"/>
          <w:szCs w:val="20"/>
        </w:rPr>
        <w:t>failed to comply</w:t>
      </w:r>
      <w:r w:rsidRPr="00891652">
        <w:rPr>
          <w:rFonts w:ascii="Cambria" w:hAnsi="Cambria"/>
          <w:sz w:val="20"/>
          <w:szCs w:val="20"/>
        </w:rPr>
        <w:t xml:space="preserve"> with the judgment of the Sixth Civil Chamber of the Superior Court and </w:t>
      </w:r>
      <w:r w:rsidR="001353AD">
        <w:rPr>
          <w:rFonts w:ascii="Cambria" w:hAnsi="Cambria"/>
          <w:sz w:val="20"/>
          <w:szCs w:val="20"/>
        </w:rPr>
        <w:t>failed to approve</w:t>
      </w:r>
      <w:r w:rsidR="00367514">
        <w:rPr>
          <w:rFonts w:ascii="Cambria" w:hAnsi="Cambria"/>
          <w:sz w:val="20"/>
          <w:szCs w:val="20"/>
        </w:rPr>
        <w:t xml:space="preserve"> the assessment</w:t>
      </w:r>
      <w:r w:rsidRPr="00891652">
        <w:rPr>
          <w:rFonts w:ascii="Cambria" w:hAnsi="Cambria"/>
          <w:sz w:val="20"/>
          <w:szCs w:val="20"/>
        </w:rPr>
        <w:t xml:space="preserve">. The petitioner states that on October 22, 2007, the Public Prosecutor's Office declared the complaint unfounded and ordered </w:t>
      </w:r>
      <w:r w:rsidR="00367514">
        <w:rPr>
          <w:rFonts w:ascii="Cambria" w:hAnsi="Cambria"/>
          <w:sz w:val="20"/>
          <w:szCs w:val="20"/>
        </w:rPr>
        <w:t>the matter to be archived</w:t>
      </w:r>
      <w:r w:rsidRPr="00891652">
        <w:rPr>
          <w:rFonts w:ascii="Cambria" w:hAnsi="Cambria"/>
          <w:sz w:val="20"/>
          <w:szCs w:val="20"/>
        </w:rPr>
        <w:t xml:space="preserve">. This decision was </w:t>
      </w:r>
      <w:r w:rsidR="00367514">
        <w:rPr>
          <w:rFonts w:ascii="Cambria" w:hAnsi="Cambria"/>
          <w:sz w:val="20"/>
          <w:szCs w:val="20"/>
        </w:rPr>
        <w:t>upheld</w:t>
      </w:r>
      <w:r w:rsidRPr="00891652">
        <w:rPr>
          <w:rFonts w:ascii="Cambria" w:hAnsi="Cambria"/>
          <w:sz w:val="20"/>
          <w:szCs w:val="20"/>
        </w:rPr>
        <w:t xml:space="preserve"> on June 12, 2008</w:t>
      </w:r>
      <w:r w:rsidR="00367514">
        <w:rPr>
          <w:rFonts w:ascii="Cambria" w:hAnsi="Cambria"/>
          <w:sz w:val="20"/>
          <w:szCs w:val="20"/>
        </w:rPr>
        <w:t>,</w:t>
      </w:r>
      <w:r w:rsidRPr="00891652">
        <w:rPr>
          <w:rFonts w:ascii="Cambria" w:hAnsi="Cambria"/>
          <w:sz w:val="20"/>
          <w:szCs w:val="20"/>
        </w:rPr>
        <w:t xml:space="preserve"> by the Supreme Public Prosecutor of Internal Control. Additionally, </w:t>
      </w:r>
      <w:r w:rsidR="00367514">
        <w:rPr>
          <w:rFonts w:ascii="Cambria" w:hAnsi="Cambria"/>
          <w:sz w:val="20"/>
          <w:szCs w:val="20"/>
        </w:rPr>
        <w:t>he states</w:t>
      </w:r>
      <w:r w:rsidR="004C3BA6">
        <w:rPr>
          <w:rFonts w:ascii="Cambria" w:hAnsi="Cambria"/>
          <w:sz w:val="20"/>
          <w:szCs w:val="20"/>
        </w:rPr>
        <w:t xml:space="preserve"> that he filed an action to have the decision of </w:t>
      </w:r>
      <w:r w:rsidRPr="00891652">
        <w:rPr>
          <w:rFonts w:ascii="Cambria" w:hAnsi="Cambria"/>
          <w:sz w:val="20"/>
          <w:szCs w:val="20"/>
        </w:rPr>
        <w:t xml:space="preserve">the judges of the Sixth Civil Chamber </w:t>
      </w:r>
      <w:r w:rsidR="004C3BA6">
        <w:rPr>
          <w:rFonts w:ascii="Cambria" w:hAnsi="Cambria"/>
          <w:sz w:val="20"/>
          <w:szCs w:val="20"/>
        </w:rPr>
        <w:t xml:space="preserve">declared null and void </w:t>
      </w:r>
      <w:r w:rsidRPr="00891652">
        <w:rPr>
          <w:rFonts w:ascii="Cambria" w:hAnsi="Cambria"/>
          <w:sz w:val="20"/>
          <w:szCs w:val="20"/>
        </w:rPr>
        <w:t>before the Fourth Civil Chamber of the Superior Court of Justice of Lima, whi</w:t>
      </w:r>
      <w:r w:rsidR="004C3BA6">
        <w:rPr>
          <w:rFonts w:ascii="Cambria" w:hAnsi="Cambria"/>
          <w:sz w:val="20"/>
          <w:szCs w:val="20"/>
        </w:rPr>
        <w:t>ch</w:t>
      </w:r>
      <w:r w:rsidR="00302D59">
        <w:rPr>
          <w:rFonts w:ascii="Cambria" w:hAnsi="Cambria"/>
          <w:sz w:val="20"/>
          <w:szCs w:val="20"/>
        </w:rPr>
        <w:t>,</w:t>
      </w:r>
      <w:r w:rsidR="004C3BA6">
        <w:rPr>
          <w:rFonts w:ascii="Cambria" w:hAnsi="Cambria"/>
          <w:sz w:val="20"/>
          <w:szCs w:val="20"/>
        </w:rPr>
        <w:t xml:space="preserve"> on July 11, 2012</w:t>
      </w:r>
      <w:r w:rsidR="00302D59">
        <w:rPr>
          <w:rFonts w:ascii="Cambria" w:hAnsi="Cambria"/>
          <w:sz w:val="20"/>
          <w:szCs w:val="20"/>
        </w:rPr>
        <w:t>,</w:t>
      </w:r>
      <w:r w:rsidR="004C3BA6">
        <w:rPr>
          <w:rFonts w:ascii="Cambria" w:hAnsi="Cambria"/>
          <w:sz w:val="20"/>
          <w:szCs w:val="20"/>
        </w:rPr>
        <w:t xml:space="preserve"> declared his</w:t>
      </w:r>
      <w:r w:rsidR="00DA4AF0">
        <w:rPr>
          <w:rFonts w:ascii="Cambria" w:hAnsi="Cambria"/>
          <w:sz w:val="20"/>
          <w:szCs w:val="20"/>
        </w:rPr>
        <w:t xml:space="preserve"> claim inadmissible. He</w:t>
      </w:r>
      <w:r w:rsidRPr="00891652">
        <w:rPr>
          <w:rFonts w:ascii="Cambria" w:hAnsi="Cambria"/>
          <w:sz w:val="20"/>
          <w:szCs w:val="20"/>
        </w:rPr>
        <w:t xml:space="preserve"> indicates that </w:t>
      </w:r>
      <w:r w:rsidR="00DA4AF0">
        <w:rPr>
          <w:rFonts w:ascii="Cambria" w:hAnsi="Cambria"/>
          <w:sz w:val="20"/>
          <w:szCs w:val="20"/>
        </w:rPr>
        <w:t>he appealed this decision</w:t>
      </w:r>
      <w:r w:rsidRPr="00891652">
        <w:rPr>
          <w:rFonts w:ascii="Cambria" w:hAnsi="Cambria"/>
          <w:sz w:val="20"/>
          <w:szCs w:val="20"/>
        </w:rPr>
        <w:t xml:space="preserve"> before the Constitutional and Social Law Chamber of the Supreme Court, which on August 8, 2013 </w:t>
      </w:r>
      <w:r w:rsidR="00DA4AF0">
        <w:rPr>
          <w:rFonts w:ascii="Cambria" w:hAnsi="Cambria"/>
          <w:sz w:val="20"/>
          <w:szCs w:val="20"/>
        </w:rPr>
        <w:t>upheld</w:t>
      </w:r>
      <w:r w:rsidRPr="00891652">
        <w:rPr>
          <w:rFonts w:ascii="Cambria" w:hAnsi="Cambria"/>
          <w:sz w:val="20"/>
          <w:szCs w:val="20"/>
        </w:rPr>
        <w:t xml:space="preserve"> the inadmissibility of the claim. </w:t>
      </w:r>
      <w:r w:rsidR="00DA4AF0">
        <w:rPr>
          <w:rFonts w:ascii="Cambria" w:hAnsi="Cambria"/>
          <w:sz w:val="20"/>
          <w:szCs w:val="20"/>
        </w:rPr>
        <w:t>H</w:t>
      </w:r>
      <w:r w:rsidRPr="00891652">
        <w:rPr>
          <w:rFonts w:ascii="Cambria" w:hAnsi="Cambria"/>
          <w:sz w:val="20"/>
          <w:szCs w:val="20"/>
        </w:rPr>
        <w:t xml:space="preserve">e claims to have filed an appeal </w:t>
      </w:r>
      <w:r w:rsidR="00DA4AF0">
        <w:rPr>
          <w:rFonts w:ascii="Cambria" w:hAnsi="Cambria"/>
          <w:sz w:val="20"/>
          <w:szCs w:val="20"/>
        </w:rPr>
        <w:t>against this decision</w:t>
      </w:r>
      <w:r w:rsidR="00DA4AF0" w:rsidRPr="00891652">
        <w:rPr>
          <w:rFonts w:ascii="Cambria" w:hAnsi="Cambria"/>
          <w:sz w:val="20"/>
          <w:szCs w:val="20"/>
        </w:rPr>
        <w:t xml:space="preserve"> </w:t>
      </w:r>
      <w:r w:rsidRPr="00891652">
        <w:rPr>
          <w:rFonts w:ascii="Cambria" w:hAnsi="Cambria"/>
          <w:sz w:val="20"/>
          <w:szCs w:val="20"/>
        </w:rPr>
        <w:t xml:space="preserve">for </w:t>
      </w:r>
      <w:r w:rsidR="00DA4AF0">
        <w:rPr>
          <w:rFonts w:ascii="Cambria" w:hAnsi="Cambria"/>
          <w:sz w:val="20"/>
          <w:szCs w:val="20"/>
        </w:rPr>
        <w:t>breach of his constitutional rights</w:t>
      </w:r>
      <w:r w:rsidRPr="00891652">
        <w:rPr>
          <w:rFonts w:ascii="Cambria" w:hAnsi="Cambria"/>
          <w:sz w:val="20"/>
          <w:szCs w:val="20"/>
        </w:rPr>
        <w:t>, which was declared inadmissible by the Constitutional Court</w:t>
      </w:r>
      <w:r w:rsidR="00DA4AF0">
        <w:rPr>
          <w:rFonts w:ascii="Cambria" w:hAnsi="Cambria"/>
          <w:sz w:val="20"/>
          <w:szCs w:val="20"/>
        </w:rPr>
        <w:t xml:space="preserve"> </w:t>
      </w:r>
      <w:r w:rsidR="00DA4AF0" w:rsidRPr="00891652">
        <w:rPr>
          <w:rFonts w:ascii="Cambria" w:hAnsi="Cambria"/>
          <w:sz w:val="20"/>
          <w:szCs w:val="20"/>
        </w:rPr>
        <w:t>on June 17, 2015</w:t>
      </w:r>
      <w:r>
        <w:rPr>
          <w:rFonts w:ascii="Cambria" w:hAnsi="Cambria"/>
          <w:sz w:val="20"/>
          <w:szCs w:val="20"/>
        </w:rPr>
        <w:t>.</w:t>
      </w:r>
    </w:p>
    <w:p w14:paraId="70F60B4C" w14:textId="49224878" w:rsidR="00891652" w:rsidRDefault="0089165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91652">
        <w:rPr>
          <w:rFonts w:ascii="Cambria" w:hAnsi="Cambria"/>
          <w:sz w:val="20"/>
          <w:szCs w:val="20"/>
        </w:rPr>
        <w:t xml:space="preserve">For its part, the State alleges that the judicial proceedings initiated by Mr. López Amancio </w:t>
      </w:r>
      <w:r w:rsidR="00787E20">
        <w:rPr>
          <w:rFonts w:ascii="Cambria" w:hAnsi="Cambria"/>
          <w:sz w:val="20"/>
          <w:szCs w:val="20"/>
        </w:rPr>
        <w:t>were conducted</w:t>
      </w:r>
      <w:r w:rsidRPr="00891652">
        <w:rPr>
          <w:rFonts w:ascii="Cambria" w:hAnsi="Cambria"/>
          <w:sz w:val="20"/>
          <w:szCs w:val="20"/>
        </w:rPr>
        <w:t xml:space="preserve"> within </w:t>
      </w:r>
      <w:r w:rsidR="00787E20">
        <w:rPr>
          <w:rFonts w:ascii="Cambria" w:hAnsi="Cambria"/>
          <w:sz w:val="20"/>
          <w:szCs w:val="20"/>
        </w:rPr>
        <w:t>a</w:t>
      </w:r>
      <w:r w:rsidRPr="00891652">
        <w:rPr>
          <w:rFonts w:ascii="Cambria" w:hAnsi="Cambria"/>
          <w:sz w:val="20"/>
          <w:szCs w:val="20"/>
        </w:rPr>
        <w:t xml:space="preserve"> framework of du</w:t>
      </w:r>
      <w:r w:rsidR="001353AD">
        <w:rPr>
          <w:rFonts w:ascii="Cambria" w:hAnsi="Cambria"/>
          <w:sz w:val="20"/>
          <w:szCs w:val="20"/>
        </w:rPr>
        <w:t>e process and in full respect for</w:t>
      </w:r>
      <w:r w:rsidRPr="00891652">
        <w:rPr>
          <w:rFonts w:ascii="Cambria" w:hAnsi="Cambria"/>
          <w:sz w:val="20"/>
          <w:szCs w:val="20"/>
        </w:rPr>
        <w:t xml:space="preserve"> the effective jurisdictional protection and that, therefore, the IACHR </w:t>
      </w:r>
      <w:r w:rsidR="001353AD">
        <w:rPr>
          <w:rFonts w:ascii="Cambria" w:hAnsi="Cambria"/>
          <w:sz w:val="20"/>
          <w:szCs w:val="20"/>
        </w:rPr>
        <w:t>cannot become</w:t>
      </w:r>
      <w:r w:rsidR="00787E20">
        <w:rPr>
          <w:rFonts w:ascii="Cambria" w:hAnsi="Cambria"/>
          <w:sz w:val="20"/>
          <w:szCs w:val="20"/>
        </w:rPr>
        <w:t xml:space="preserve"> a court of </w:t>
      </w:r>
      <w:r w:rsidRPr="00891652">
        <w:rPr>
          <w:rFonts w:ascii="Cambria" w:hAnsi="Cambria"/>
          <w:sz w:val="20"/>
          <w:szCs w:val="20"/>
        </w:rPr>
        <w:t xml:space="preserve">fourth instance </w:t>
      </w:r>
      <w:r w:rsidR="001353AD">
        <w:rPr>
          <w:rFonts w:ascii="Cambria" w:hAnsi="Cambria"/>
          <w:sz w:val="20"/>
          <w:szCs w:val="20"/>
        </w:rPr>
        <w:t>substituting</w:t>
      </w:r>
      <w:r w:rsidRPr="00891652">
        <w:rPr>
          <w:rFonts w:ascii="Cambria" w:hAnsi="Cambria"/>
          <w:sz w:val="20"/>
          <w:szCs w:val="20"/>
        </w:rPr>
        <w:t xml:space="preserve"> the internal judicial authorities in the interpretation of the scope of the rules of procedural law and applicable matters. </w:t>
      </w:r>
      <w:r w:rsidRPr="00891652">
        <w:rPr>
          <w:rFonts w:ascii="Cambria" w:hAnsi="Cambria"/>
          <w:sz w:val="20"/>
          <w:szCs w:val="20"/>
        </w:rPr>
        <w:lastRenderedPageBreak/>
        <w:t>The State maintains that the facts presented by the petitioner do not characterize a violation of the rights and obligations established in the American Convention</w:t>
      </w:r>
      <w:r>
        <w:rPr>
          <w:rFonts w:ascii="Cambria" w:hAnsi="Cambria"/>
          <w:sz w:val="20"/>
          <w:szCs w:val="20"/>
        </w:rPr>
        <w:t>.</w:t>
      </w:r>
    </w:p>
    <w:p w14:paraId="19618CDA" w14:textId="72CF539C" w:rsidR="00891652" w:rsidRPr="006318B2" w:rsidRDefault="0089165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91652">
        <w:rPr>
          <w:rFonts w:ascii="Cambria" w:hAnsi="Cambria"/>
          <w:sz w:val="20"/>
          <w:szCs w:val="20"/>
        </w:rPr>
        <w:t>In this regard, the State</w:t>
      </w:r>
      <w:r w:rsidR="00AC3D0C">
        <w:rPr>
          <w:rFonts w:ascii="Cambria" w:hAnsi="Cambria"/>
          <w:sz w:val="20"/>
          <w:szCs w:val="20"/>
        </w:rPr>
        <w:t xml:space="preserve"> alleges that the regulatory provisions of</w:t>
      </w:r>
      <w:r w:rsidR="00787E20">
        <w:rPr>
          <w:rFonts w:ascii="Cambria" w:hAnsi="Cambria"/>
          <w:sz w:val="20"/>
          <w:szCs w:val="20"/>
        </w:rPr>
        <w:t xml:space="preserve"> Law No. 19,846 </w:t>
      </w:r>
      <w:r w:rsidR="00EF766C">
        <w:rPr>
          <w:rFonts w:ascii="Cambria" w:hAnsi="Cambria"/>
          <w:sz w:val="20"/>
          <w:szCs w:val="20"/>
        </w:rPr>
        <w:t>govern</w:t>
      </w:r>
      <w:r w:rsidRPr="00891652">
        <w:rPr>
          <w:rFonts w:ascii="Cambria" w:hAnsi="Cambria"/>
          <w:sz w:val="20"/>
          <w:szCs w:val="20"/>
        </w:rPr>
        <w:t xml:space="preserve"> the situation of active police personnel who </w:t>
      </w:r>
      <w:r w:rsidR="00EF766C">
        <w:rPr>
          <w:rFonts w:ascii="Cambria" w:hAnsi="Cambria"/>
          <w:sz w:val="20"/>
          <w:szCs w:val="20"/>
        </w:rPr>
        <w:t>take</w:t>
      </w:r>
      <w:r w:rsidRPr="00891652">
        <w:rPr>
          <w:rFonts w:ascii="Cambria" w:hAnsi="Cambria"/>
          <w:sz w:val="20"/>
          <w:szCs w:val="20"/>
        </w:rPr>
        <w:t xml:space="preserve"> permanent retirement, expressly excluding those who </w:t>
      </w:r>
      <w:r w:rsidR="00EF766C">
        <w:rPr>
          <w:rFonts w:ascii="Cambria" w:hAnsi="Cambria"/>
          <w:sz w:val="20"/>
          <w:szCs w:val="20"/>
        </w:rPr>
        <w:t>have attained more than 15 years of service</w:t>
      </w:r>
      <w:r w:rsidRPr="00891652">
        <w:rPr>
          <w:rFonts w:ascii="Cambria" w:hAnsi="Cambria"/>
          <w:sz w:val="20"/>
          <w:szCs w:val="20"/>
        </w:rPr>
        <w:t xml:space="preserve"> and those who receive disability pensions. It points out that, therefore, the domestic courts applied Law No. 25,224 in the absence of any other provision </w:t>
      </w:r>
      <w:r w:rsidR="00EF766C">
        <w:rPr>
          <w:rFonts w:ascii="Cambria" w:hAnsi="Cambria"/>
          <w:sz w:val="20"/>
          <w:szCs w:val="20"/>
        </w:rPr>
        <w:t>governing</w:t>
      </w:r>
      <w:r w:rsidRPr="00891652">
        <w:rPr>
          <w:rFonts w:ascii="Cambria" w:hAnsi="Cambria"/>
          <w:sz w:val="20"/>
          <w:szCs w:val="20"/>
        </w:rPr>
        <w:t xml:space="preserve"> the benefit</w:t>
      </w:r>
      <w:r w:rsidR="00EF766C">
        <w:rPr>
          <w:rFonts w:ascii="Cambria" w:hAnsi="Cambria"/>
          <w:sz w:val="20"/>
          <w:szCs w:val="20"/>
        </w:rPr>
        <w:t xml:space="preserve"> requested by the petitioner. It</w:t>
      </w:r>
      <w:r w:rsidRPr="00891652">
        <w:rPr>
          <w:rFonts w:ascii="Cambria" w:hAnsi="Cambria"/>
          <w:sz w:val="20"/>
          <w:szCs w:val="20"/>
        </w:rPr>
        <w:t xml:space="preserve"> concludes that the petitioner </w:t>
      </w:r>
      <w:r w:rsidR="00EF766C">
        <w:rPr>
          <w:rFonts w:ascii="Cambria" w:hAnsi="Cambria"/>
          <w:sz w:val="20"/>
          <w:szCs w:val="20"/>
        </w:rPr>
        <w:t>has applied to</w:t>
      </w:r>
      <w:r w:rsidRPr="00891652">
        <w:rPr>
          <w:rFonts w:ascii="Cambria" w:hAnsi="Cambria"/>
          <w:sz w:val="20"/>
          <w:szCs w:val="20"/>
        </w:rPr>
        <w:t xml:space="preserve"> the IACHR as a fourth instance because he disagrees with the decisions of the national courts unfavorable to him</w:t>
      </w:r>
      <w:r>
        <w:rPr>
          <w:rFonts w:ascii="Cambria" w:hAnsi="Cambria"/>
          <w:sz w:val="20"/>
          <w:szCs w:val="20"/>
        </w:rPr>
        <w:t>.</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0B573A40" w:rsidR="00F621C3" w:rsidRDefault="0089165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91652">
        <w:rPr>
          <w:rFonts w:ascii="Cambria" w:hAnsi="Cambria"/>
          <w:sz w:val="20"/>
          <w:szCs w:val="20"/>
        </w:rPr>
        <w:t xml:space="preserve">The petitioner alleges that </w:t>
      </w:r>
      <w:r w:rsidR="0050252B">
        <w:rPr>
          <w:rFonts w:ascii="Cambria" w:hAnsi="Cambria"/>
          <w:sz w:val="20"/>
          <w:szCs w:val="20"/>
        </w:rPr>
        <w:t>he</w:t>
      </w:r>
      <w:r w:rsidRPr="00891652">
        <w:rPr>
          <w:rFonts w:ascii="Cambria" w:hAnsi="Cambria"/>
          <w:sz w:val="20"/>
          <w:szCs w:val="20"/>
        </w:rPr>
        <w:t xml:space="preserve"> filed a series of </w:t>
      </w:r>
      <w:r w:rsidRPr="0050252B">
        <w:rPr>
          <w:rFonts w:ascii="Cambria" w:hAnsi="Cambria"/>
          <w:i/>
          <w:sz w:val="20"/>
          <w:szCs w:val="20"/>
        </w:rPr>
        <w:t>amparo</w:t>
      </w:r>
      <w:r w:rsidR="0050252B">
        <w:rPr>
          <w:rFonts w:ascii="Cambria" w:hAnsi="Cambria"/>
          <w:sz w:val="20"/>
          <w:szCs w:val="20"/>
        </w:rPr>
        <w:t xml:space="preserve"> lawsuits to protect his</w:t>
      </w:r>
      <w:r w:rsidRPr="00891652">
        <w:rPr>
          <w:rFonts w:ascii="Cambria" w:hAnsi="Cambria"/>
          <w:sz w:val="20"/>
          <w:szCs w:val="20"/>
        </w:rPr>
        <w:t xml:space="preserve"> right to property and equality before the law against the CTS </w:t>
      </w:r>
      <w:r w:rsidR="007E3820">
        <w:rPr>
          <w:rFonts w:ascii="Cambria" w:hAnsi="Cambria"/>
          <w:sz w:val="20"/>
          <w:szCs w:val="20"/>
        </w:rPr>
        <w:t>assessments</w:t>
      </w:r>
      <w:r w:rsidRPr="00891652">
        <w:rPr>
          <w:rFonts w:ascii="Cambria" w:hAnsi="Cambria"/>
          <w:sz w:val="20"/>
          <w:szCs w:val="20"/>
        </w:rPr>
        <w:t xml:space="preserve"> made by the PNP. He also notes that he filed legal actions against the judges who allegedly </w:t>
      </w:r>
      <w:r w:rsidR="007E3820">
        <w:rPr>
          <w:rFonts w:ascii="Cambria" w:hAnsi="Cambria"/>
          <w:sz w:val="20"/>
          <w:szCs w:val="20"/>
        </w:rPr>
        <w:t>calculated</w:t>
      </w:r>
      <w:r w:rsidRPr="00891652">
        <w:rPr>
          <w:rFonts w:ascii="Cambria" w:hAnsi="Cambria"/>
          <w:sz w:val="20"/>
          <w:szCs w:val="20"/>
        </w:rPr>
        <w:t xml:space="preserve"> his CTS incorrectly, the last of which was dismissed on June 17, 2015</w:t>
      </w:r>
      <w:r w:rsidR="00837C76">
        <w:rPr>
          <w:rFonts w:ascii="Cambria" w:hAnsi="Cambria"/>
          <w:sz w:val="20"/>
          <w:szCs w:val="20"/>
        </w:rPr>
        <w:t>,</w:t>
      </w:r>
      <w:r w:rsidRPr="00891652">
        <w:rPr>
          <w:rFonts w:ascii="Cambria" w:hAnsi="Cambria"/>
          <w:sz w:val="20"/>
          <w:szCs w:val="20"/>
        </w:rPr>
        <w:t xml:space="preserve"> by the Constitutional Court. The State, for its part, does not present arguments regarding exhaustion and deadline requirements for filing</w:t>
      </w:r>
      <w:r>
        <w:rPr>
          <w:rFonts w:ascii="Cambria" w:hAnsi="Cambria"/>
          <w:sz w:val="20"/>
          <w:szCs w:val="20"/>
        </w:rPr>
        <w:t>.</w:t>
      </w:r>
    </w:p>
    <w:p w14:paraId="203A5F9C" w14:textId="03E8E23A" w:rsidR="00891652" w:rsidRDefault="0089165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91652">
        <w:rPr>
          <w:rFonts w:ascii="Cambria" w:hAnsi="Cambria"/>
          <w:sz w:val="20"/>
          <w:szCs w:val="20"/>
        </w:rPr>
        <w:t xml:space="preserve">According to the information available, on August 25, 2003, the petitioner filed an application for </w:t>
      </w:r>
      <w:r w:rsidRPr="00837C76">
        <w:rPr>
          <w:rFonts w:ascii="Cambria" w:hAnsi="Cambria"/>
          <w:i/>
          <w:sz w:val="20"/>
          <w:szCs w:val="20"/>
        </w:rPr>
        <w:t>amparo</w:t>
      </w:r>
      <w:r w:rsidRPr="00891652">
        <w:rPr>
          <w:rFonts w:ascii="Cambria" w:hAnsi="Cambria"/>
          <w:sz w:val="20"/>
          <w:szCs w:val="20"/>
        </w:rPr>
        <w:t xml:space="preserve"> against the decision of the </w:t>
      </w:r>
      <w:r w:rsidR="00837C76">
        <w:rPr>
          <w:rFonts w:ascii="Cambria" w:hAnsi="Cambria"/>
          <w:sz w:val="20"/>
          <w:szCs w:val="20"/>
        </w:rPr>
        <w:t>Office of Economy</w:t>
      </w:r>
      <w:r w:rsidRPr="00891652">
        <w:rPr>
          <w:rFonts w:ascii="Cambria" w:hAnsi="Cambria"/>
          <w:sz w:val="20"/>
          <w:szCs w:val="20"/>
        </w:rPr>
        <w:t xml:space="preserve"> and Finance of the PNP that </w:t>
      </w:r>
      <w:r w:rsidR="00837C76">
        <w:rPr>
          <w:rFonts w:ascii="Cambria" w:hAnsi="Cambria"/>
          <w:sz w:val="20"/>
          <w:szCs w:val="20"/>
        </w:rPr>
        <w:t>assessed</w:t>
      </w:r>
      <w:r w:rsidRPr="00891652">
        <w:rPr>
          <w:rFonts w:ascii="Cambria" w:hAnsi="Cambria"/>
          <w:sz w:val="20"/>
          <w:szCs w:val="20"/>
        </w:rPr>
        <w:t xml:space="preserve"> the amount of his CTS, which was </w:t>
      </w:r>
      <w:r w:rsidR="00837C76">
        <w:rPr>
          <w:rFonts w:ascii="Cambria" w:hAnsi="Cambria"/>
          <w:sz w:val="20"/>
          <w:szCs w:val="20"/>
        </w:rPr>
        <w:t>upheld</w:t>
      </w:r>
      <w:r w:rsidRPr="00891652">
        <w:rPr>
          <w:rFonts w:ascii="Cambria" w:hAnsi="Cambria"/>
          <w:sz w:val="20"/>
          <w:szCs w:val="20"/>
        </w:rPr>
        <w:t xml:space="preserve"> by the Sixth Civil Chamber of the Superior Court of Justice of Lima </w:t>
      </w:r>
      <w:r w:rsidR="00837C76">
        <w:rPr>
          <w:rFonts w:ascii="Cambria" w:hAnsi="Cambria"/>
          <w:sz w:val="20"/>
          <w:szCs w:val="20"/>
        </w:rPr>
        <w:t>ordering a new assessment to be made</w:t>
      </w:r>
      <w:r w:rsidRPr="00891652">
        <w:rPr>
          <w:rFonts w:ascii="Cambria" w:hAnsi="Cambria"/>
          <w:sz w:val="20"/>
          <w:szCs w:val="20"/>
        </w:rPr>
        <w:t>.</w:t>
      </w:r>
      <w:r w:rsidR="00AC3D0C">
        <w:rPr>
          <w:rFonts w:ascii="Cambria" w:hAnsi="Cambria"/>
          <w:sz w:val="20"/>
          <w:szCs w:val="20"/>
        </w:rPr>
        <w:t xml:space="preserve"> On September 12, 2006, the 51st</w:t>
      </w:r>
      <w:r w:rsidRPr="00891652">
        <w:rPr>
          <w:rFonts w:ascii="Cambria" w:hAnsi="Cambria"/>
          <w:sz w:val="20"/>
          <w:szCs w:val="20"/>
        </w:rPr>
        <w:t xml:space="preserve"> Civil Court of Lima approved a new </w:t>
      </w:r>
      <w:r w:rsidR="00837C76">
        <w:rPr>
          <w:rFonts w:ascii="Cambria" w:hAnsi="Cambria"/>
          <w:sz w:val="20"/>
          <w:szCs w:val="20"/>
        </w:rPr>
        <w:t>assessment</w:t>
      </w:r>
      <w:r w:rsidRPr="00891652">
        <w:rPr>
          <w:rFonts w:ascii="Cambria" w:hAnsi="Cambria"/>
          <w:sz w:val="20"/>
          <w:szCs w:val="20"/>
        </w:rPr>
        <w:t xml:space="preserve">. </w:t>
      </w:r>
      <w:r w:rsidR="00837C76">
        <w:rPr>
          <w:rFonts w:ascii="Cambria" w:hAnsi="Cambria"/>
          <w:sz w:val="20"/>
          <w:szCs w:val="20"/>
        </w:rPr>
        <w:t>The petitioner appealed this decision</w:t>
      </w:r>
      <w:r w:rsidR="00AC3D0C">
        <w:rPr>
          <w:rFonts w:ascii="Cambria" w:hAnsi="Cambria"/>
          <w:sz w:val="20"/>
          <w:szCs w:val="20"/>
        </w:rPr>
        <w:t>, which</w:t>
      </w:r>
      <w:r w:rsidRPr="00891652">
        <w:rPr>
          <w:rFonts w:ascii="Cambria" w:hAnsi="Cambria"/>
          <w:sz w:val="20"/>
          <w:szCs w:val="20"/>
        </w:rPr>
        <w:t xml:space="preserve"> was rejected by the Sixth Civil Chamber on July 3, 2007. Based on the information available, the Commission concludes that the domestic remedies used to remedy the </w:t>
      </w:r>
      <w:r w:rsidR="00837C76">
        <w:rPr>
          <w:rFonts w:ascii="Cambria" w:hAnsi="Cambria"/>
          <w:sz w:val="20"/>
          <w:szCs w:val="20"/>
        </w:rPr>
        <w:t>violation alleged by the petitioner</w:t>
      </w:r>
      <w:r w:rsidRPr="00891652">
        <w:rPr>
          <w:rFonts w:ascii="Cambria" w:hAnsi="Cambria"/>
          <w:sz w:val="20"/>
          <w:szCs w:val="20"/>
        </w:rPr>
        <w:t xml:space="preserve"> </w:t>
      </w:r>
      <w:r w:rsidR="00837C76">
        <w:rPr>
          <w:rFonts w:ascii="Cambria" w:hAnsi="Cambria"/>
          <w:sz w:val="20"/>
          <w:szCs w:val="20"/>
        </w:rPr>
        <w:t>before the</w:t>
      </w:r>
      <w:r w:rsidRPr="00891652">
        <w:rPr>
          <w:rFonts w:ascii="Cambria" w:hAnsi="Cambria"/>
          <w:sz w:val="20"/>
          <w:szCs w:val="20"/>
        </w:rPr>
        <w:t xml:space="preserve"> IACHR</w:t>
      </w:r>
      <w:r w:rsidR="00837C76">
        <w:rPr>
          <w:rFonts w:ascii="Cambria" w:hAnsi="Cambria"/>
          <w:sz w:val="20"/>
          <w:szCs w:val="20"/>
        </w:rPr>
        <w:t xml:space="preserve"> were exhausted by this decision</w:t>
      </w:r>
      <w:r w:rsidRPr="00891652">
        <w:rPr>
          <w:rFonts w:ascii="Cambria" w:hAnsi="Cambria"/>
          <w:sz w:val="20"/>
          <w:szCs w:val="20"/>
        </w:rPr>
        <w:t>, in compliance with the requirement established in Article 46.1.a of the Convention</w:t>
      </w:r>
      <w:r>
        <w:rPr>
          <w:rFonts w:ascii="Cambria" w:hAnsi="Cambria"/>
          <w:sz w:val="20"/>
          <w:szCs w:val="20"/>
        </w:rPr>
        <w:t>.</w:t>
      </w:r>
    </w:p>
    <w:p w14:paraId="1CD4D3AC" w14:textId="2B0F9D34" w:rsidR="00891652" w:rsidRDefault="001953D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53DA">
        <w:rPr>
          <w:rFonts w:ascii="Cambria" w:hAnsi="Cambria"/>
          <w:sz w:val="20"/>
          <w:szCs w:val="20"/>
        </w:rPr>
        <w:t xml:space="preserve">Regarding the </w:t>
      </w:r>
      <w:r w:rsidR="00837C76">
        <w:rPr>
          <w:rFonts w:ascii="Cambria" w:hAnsi="Cambria"/>
          <w:sz w:val="20"/>
          <w:szCs w:val="20"/>
        </w:rPr>
        <w:t>requirement of timeliness of filing</w:t>
      </w:r>
      <w:r w:rsidRPr="001953DA">
        <w:rPr>
          <w:rFonts w:ascii="Cambria" w:hAnsi="Cambria"/>
          <w:sz w:val="20"/>
          <w:szCs w:val="20"/>
        </w:rPr>
        <w:t xml:space="preserve">, the Commission notes that the last judicial decision in the context </w:t>
      </w:r>
      <w:r w:rsidR="00AC3D0C">
        <w:rPr>
          <w:rFonts w:ascii="Cambria" w:hAnsi="Cambria"/>
          <w:sz w:val="20"/>
          <w:szCs w:val="20"/>
        </w:rPr>
        <w:t>of the remedies pursued</w:t>
      </w:r>
      <w:r w:rsidRPr="001953DA">
        <w:rPr>
          <w:rFonts w:ascii="Cambria" w:hAnsi="Cambria"/>
          <w:sz w:val="20"/>
          <w:szCs w:val="20"/>
        </w:rPr>
        <w:t xml:space="preserve"> against the </w:t>
      </w:r>
      <w:r w:rsidR="00142AED">
        <w:rPr>
          <w:rFonts w:ascii="Cambria" w:hAnsi="Cambria"/>
          <w:sz w:val="20"/>
          <w:szCs w:val="20"/>
        </w:rPr>
        <w:t>assessment of</w:t>
      </w:r>
      <w:r w:rsidRPr="001953DA">
        <w:rPr>
          <w:rFonts w:ascii="Cambria" w:hAnsi="Cambria"/>
          <w:sz w:val="20"/>
          <w:szCs w:val="20"/>
        </w:rPr>
        <w:t xml:space="preserve"> CTS was issued on July 3, 2007. Although the parties do not indicate the date of </w:t>
      </w:r>
      <w:r w:rsidR="00142AED">
        <w:rPr>
          <w:rFonts w:ascii="Cambria" w:hAnsi="Cambria"/>
          <w:sz w:val="20"/>
          <w:szCs w:val="20"/>
        </w:rPr>
        <w:t>its notification</w:t>
      </w:r>
      <w:r w:rsidRPr="001953DA">
        <w:rPr>
          <w:rFonts w:ascii="Cambria" w:hAnsi="Cambria"/>
          <w:sz w:val="20"/>
          <w:szCs w:val="20"/>
        </w:rPr>
        <w:t xml:space="preserve">, from the copy of the judicial </w:t>
      </w:r>
      <w:r w:rsidR="00AC3D0C">
        <w:rPr>
          <w:rFonts w:ascii="Cambria" w:hAnsi="Cambria"/>
          <w:sz w:val="20"/>
          <w:szCs w:val="20"/>
        </w:rPr>
        <w:t>certification</w:t>
      </w:r>
      <w:r w:rsidRPr="001953DA">
        <w:rPr>
          <w:rFonts w:ascii="Cambria" w:hAnsi="Cambria"/>
          <w:sz w:val="20"/>
          <w:szCs w:val="20"/>
        </w:rPr>
        <w:t xml:space="preserve"> </w:t>
      </w:r>
      <w:r w:rsidR="00142AED">
        <w:rPr>
          <w:rFonts w:ascii="Cambria" w:hAnsi="Cambria"/>
          <w:sz w:val="20"/>
          <w:szCs w:val="20"/>
        </w:rPr>
        <w:t xml:space="preserve">of service </w:t>
      </w:r>
      <w:r w:rsidRPr="001953DA">
        <w:rPr>
          <w:rFonts w:ascii="Cambria" w:hAnsi="Cambria"/>
          <w:sz w:val="20"/>
          <w:szCs w:val="20"/>
        </w:rPr>
        <w:t xml:space="preserve">No. 03239-2006-0, it appears that the judgment was notified on January 31, 2008. Since the petition before the IACHR was received on August 22, 2008, </w:t>
      </w:r>
      <w:r w:rsidR="00142AED">
        <w:rPr>
          <w:rFonts w:ascii="Cambria" w:hAnsi="Cambria"/>
          <w:sz w:val="20"/>
          <w:szCs w:val="20"/>
        </w:rPr>
        <w:t>that is</w:t>
      </w:r>
      <w:r w:rsidRPr="001953DA">
        <w:rPr>
          <w:rFonts w:ascii="Cambria" w:hAnsi="Cambria"/>
          <w:sz w:val="20"/>
          <w:szCs w:val="20"/>
        </w:rPr>
        <w:t xml:space="preserve"> 6 months and 22 days after the notification of the last judicial decision, the Commission concludes that it does not comply with the period of 6 months established in Article 46.1.b of the Convention</w:t>
      </w:r>
      <w:r>
        <w:rPr>
          <w:rFonts w:ascii="Cambria" w:hAnsi="Cambria"/>
          <w:sz w:val="20"/>
          <w:szCs w:val="20"/>
        </w:rPr>
        <w:t>.</w:t>
      </w:r>
    </w:p>
    <w:p w14:paraId="378478A0" w14:textId="598011DD" w:rsidR="00F621C3" w:rsidRPr="00891652" w:rsidRDefault="00DC4D82" w:rsidP="008916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After </w:t>
      </w:r>
      <w:r w:rsidR="001953DA" w:rsidRPr="001953DA">
        <w:rPr>
          <w:rFonts w:ascii="Cambria" w:hAnsi="Cambria"/>
          <w:sz w:val="20"/>
          <w:szCs w:val="20"/>
        </w:rPr>
        <w:t xml:space="preserve">the decision of July 3, 2007, </w:t>
      </w:r>
      <w:r>
        <w:rPr>
          <w:rFonts w:ascii="Cambria" w:hAnsi="Cambria"/>
          <w:sz w:val="20"/>
          <w:szCs w:val="20"/>
        </w:rPr>
        <w:t xml:space="preserve">the Commission observes that </w:t>
      </w:r>
      <w:r w:rsidR="001953DA" w:rsidRPr="001953DA">
        <w:rPr>
          <w:rFonts w:ascii="Cambria" w:hAnsi="Cambria"/>
          <w:sz w:val="20"/>
          <w:szCs w:val="20"/>
        </w:rPr>
        <w:t>the petitioner filed a series of complaints against the judge of the 51st Civil Court and the judges of the Sixth C</w:t>
      </w:r>
      <w:r>
        <w:rPr>
          <w:rFonts w:ascii="Cambria" w:hAnsi="Cambria"/>
          <w:sz w:val="20"/>
          <w:szCs w:val="20"/>
        </w:rPr>
        <w:t>ivil Chamber, which were declared inadmissible</w:t>
      </w:r>
      <w:r w:rsidR="001953DA" w:rsidRPr="001953DA">
        <w:rPr>
          <w:rFonts w:ascii="Cambria" w:hAnsi="Cambria"/>
          <w:sz w:val="20"/>
          <w:szCs w:val="20"/>
        </w:rPr>
        <w:t>, the last dated June 17, 2015. In this regard, the IACHR reiterates that the domestic remedies that must be taken into account for the purpose of exhaustion of domestic remedies are those capable of resolving the legal situation infringed.</w:t>
      </w:r>
      <w:r w:rsidR="001953DA">
        <w:rPr>
          <w:rStyle w:val="FootnoteReference"/>
          <w:rFonts w:ascii="Cambria" w:hAnsi="Cambria"/>
          <w:sz w:val="20"/>
          <w:szCs w:val="20"/>
          <w:lang w:val="es-ES"/>
        </w:rPr>
        <w:footnoteReference w:id="5"/>
      </w:r>
      <w:r w:rsidR="001953DA" w:rsidRPr="001953DA">
        <w:rPr>
          <w:rFonts w:ascii="Cambria" w:hAnsi="Cambria"/>
          <w:sz w:val="20"/>
          <w:szCs w:val="20"/>
        </w:rPr>
        <w:t xml:space="preserve"> In this case, the Commission notes that the remedies filed after the July 3, 2007 ruling were of a disciplinary nature and </w:t>
      </w:r>
      <w:r w:rsidR="00AC3D0C">
        <w:rPr>
          <w:rFonts w:ascii="Cambria" w:hAnsi="Cambria"/>
          <w:sz w:val="20"/>
          <w:szCs w:val="20"/>
        </w:rPr>
        <w:t>had the purpose of</w:t>
      </w:r>
      <w:r w:rsidR="001953DA" w:rsidRPr="001953DA">
        <w:rPr>
          <w:rFonts w:ascii="Cambria" w:hAnsi="Cambria"/>
          <w:sz w:val="20"/>
          <w:szCs w:val="20"/>
        </w:rPr>
        <w:t xml:space="preserve"> </w:t>
      </w:r>
      <w:r w:rsidR="00AC3D0C">
        <w:rPr>
          <w:rFonts w:ascii="Cambria" w:hAnsi="Cambria"/>
          <w:sz w:val="20"/>
          <w:szCs w:val="20"/>
        </w:rPr>
        <w:t>imposing sanctions on the aforementioned judges.  Consequently, had these remedies been resolved in favor of the alleged victim they would not have remedied the situation brought before the IACHR in connection with the erroneous assessment</w:t>
      </w:r>
      <w:r w:rsidR="001953DA" w:rsidRPr="001953DA">
        <w:rPr>
          <w:rFonts w:ascii="Cambria" w:hAnsi="Cambria"/>
          <w:sz w:val="20"/>
          <w:szCs w:val="20"/>
        </w:rPr>
        <w:t xml:space="preserve"> of his CTS</w:t>
      </w:r>
      <w:r w:rsidR="001953DA">
        <w:rPr>
          <w:rFonts w:ascii="Cambria" w:hAnsi="Cambria"/>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B069E47" w14:textId="28FB1D2E"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To find the instant petition</w:t>
      </w:r>
      <w:r w:rsidRPr="007E7CF7">
        <w:rPr>
          <w:rFonts w:asciiTheme="majorHAnsi" w:hAnsiTheme="majorHAnsi"/>
          <w:color w:val="auto"/>
          <w:sz w:val="20"/>
          <w:szCs w:val="20"/>
        </w:rPr>
        <w:t xml:space="preserve"> inadmissible</w:t>
      </w:r>
      <w:r w:rsidRPr="000B6B7A">
        <w:rPr>
          <w:rFonts w:eastAsia="Arial Unicode MS" w:cs="Times New Roman"/>
          <w:color w:val="auto"/>
          <w:sz w:val="20"/>
          <w:szCs w:val="20"/>
          <w:lang w:eastAsia="en-US"/>
        </w:rPr>
        <w:t>;</w:t>
      </w:r>
      <w:r w:rsidR="001F1902">
        <w:rPr>
          <w:rFonts w:eastAsia="Arial Unicode MS" w:cs="Times New Roman"/>
          <w:color w:val="auto"/>
          <w:sz w:val="20"/>
          <w:szCs w:val="20"/>
          <w:lang w:eastAsia="en-US"/>
        </w:rPr>
        <w:t xml:space="preserve"> and</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2122B46A" w14:textId="204F0C7E" w:rsidR="00C55560" w:rsidRPr="007B6E92" w:rsidRDefault="00F621C3" w:rsidP="006A138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6E553606" w14:textId="1909B823" w:rsidR="007B6E92" w:rsidRPr="00A809F0" w:rsidRDefault="007B6E92" w:rsidP="007B6E92">
      <w:pPr>
        <w:ind w:firstLine="720"/>
        <w:jc w:val="both"/>
        <w:rPr>
          <w:rFonts w:ascii="Cambria" w:hAnsi="Cambria"/>
        </w:rPr>
      </w:pPr>
      <w:bookmarkStart w:id="1" w:name="_Hlk2413798"/>
      <w:r w:rsidRPr="00A809F0">
        <w:rPr>
          <w:rFonts w:ascii="Cambria" w:hAnsi="Cambria"/>
          <w:sz w:val="20"/>
          <w:szCs w:val="20"/>
        </w:rPr>
        <w:lastRenderedPageBreak/>
        <w:t xml:space="preserve">Approved by the Inter-American Commission on Human Rights on the </w:t>
      </w:r>
      <w:r>
        <w:rPr>
          <w:rFonts w:ascii="Cambria" w:hAnsi="Cambria"/>
          <w:sz w:val="20"/>
          <w:szCs w:val="20"/>
        </w:rPr>
        <w:t>20</w:t>
      </w:r>
      <w:r w:rsidRPr="007B6E92">
        <w:rPr>
          <w:rFonts w:ascii="Cambria" w:hAnsi="Cambria"/>
          <w:sz w:val="20"/>
          <w:szCs w:val="20"/>
          <w:vertAlign w:val="superscript"/>
        </w:rPr>
        <w:t>th</w:t>
      </w:r>
      <w:r>
        <w:rPr>
          <w:rFonts w:ascii="Cambria" w:hAnsi="Cambria"/>
          <w:sz w:val="20"/>
          <w:szCs w:val="20"/>
        </w:rPr>
        <w:t xml:space="preserve"> </w:t>
      </w:r>
      <w:r w:rsidRPr="00A809F0">
        <w:rPr>
          <w:rFonts w:ascii="Cambria" w:hAnsi="Cambria"/>
          <w:sz w:val="20"/>
          <w:szCs w:val="20"/>
        </w:rPr>
        <w:t xml:space="preserve">day of the month of </w:t>
      </w:r>
      <w:r>
        <w:rPr>
          <w:rFonts w:ascii="Cambria" w:hAnsi="Cambria"/>
          <w:sz w:val="20"/>
          <w:szCs w:val="20"/>
        </w:rPr>
        <w:t>November</w:t>
      </w:r>
      <w:r w:rsidRPr="00A809F0">
        <w:rPr>
          <w:rFonts w:ascii="Cambria" w:hAnsi="Cambria"/>
          <w:sz w:val="20"/>
          <w:szCs w:val="20"/>
        </w:rPr>
        <w:t>, 2018. (Signed):  Margarette May Macaulay, President; Esmeralda E. Arosemena Bernal de Troitiño, First Vice President; Luis Ernesto Vargas Silva, Second Vice President; Joel Hernández García, Antonia Urrejola, and Flávia Piovesan, Commissioners.</w:t>
      </w:r>
      <w:bookmarkEnd w:id="1"/>
    </w:p>
    <w:p w14:paraId="139F039C" w14:textId="77777777" w:rsidR="007B6E92" w:rsidRPr="006A138B" w:rsidRDefault="007B6E92" w:rsidP="007B6E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7B6E92" w:rsidRPr="006A138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0BA46" w14:textId="77777777" w:rsidR="002F739D" w:rsidRDefault="002F739D" w:rsidP="00036A8A">
      <w:r>
        <w:separator/>
      </w:r>
    </w:p>
  </w:endnote>
  <w:endnote w:type="continuationSeparator" w:id="0">
    <w:p w14:paraId="7FB22CFA" w14:textId="77777777" w:rsidR="002F739D" w:rsidRDefault="002F739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10FF" w14:textId="77777777" w:rsidR="00C25D32" w:rsidRDefault="00C25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1353AD" w:rsidRPr="006311DA" w:rsidRDefault="001353A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25D32">
          <w:rPr>
            <w:noProof/>
            <w:sz w:val="16"/>
          </w:rPr>
          <w:t>4</w:t>
        </w:r>
        <w:r w:rsidRPr="006311DA">
          <w:rPr>
            <w:noProof/>
            <w:sz w:val="16"/>
          </w:rPr>
          <w:fldChar w:fldCharType="end"/>
        </w:r>
      </w:p>
    </w:sdtContent>
  </w:sdt>
  <w:p w14:paraId="767961CB" w14:textId="77777777" w:rsidR="001353AD" w:rsidRDefault="00135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1353AD" w:rsidRDefault="001353AD">
    <w:pPr>
      <w:pStyle w:val="Footer"/>
      <w:jc w:val="center"/>
    </w:pPr>
  </w:p>
  <w:p w14:paraId="2699B8C1" w14:textId="77777777" w:rsidR="001353AD" w:rsidRDefault="00135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1F773" w14:textId="77777777" w:rsidR="002F739D" w:rsidRPr="00036A8A" w:rsidRDefault="002F739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E24BB0B" w14:textId="77777777" w:rsidR="002F739D" w:rsidRPr="00036A8A" w:rsidRDefault="002F739D" w:rsidP="00036A8A">
      <w:pPr>
        <w:rPr>
          <w:rFonts w:asciiTheme="majorHAnsi" w:hAnsiTheme="majorHAnsi"/>
          <w:sz w:val="16"/>
          <w:szCs w:val="16"/>
        </w:rPr>
      </w:pPr>
      <w:r w:rsidRPr="00036A8A">
        <w:rPr>
          <w:rFonts w:asciiTheme="majorHAnsi" w:hAnsiTheme="majorHAnsi"/>
          <w:sz w:val="16"/>
          <w:szCs w:val="16"/>
        </w:rPr>
        <w:separator/>
      </w:r>
    </w:p>
    <w:p w14:paraId="02285C42" w14:textId="77777777" w:rsidR="002F739D" w:rsidRPr="00036A8A" w:rsidRDefault="002F739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CDAFC03" w14:textId="77777777" w:rsidR="002F739D" w:rsidRPr="0093441A" w:rsidRDefault="002F739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13DB33C" w14:textId="4D0877E7" w:rsidR="001353AD" w:rsidRPr="007E7CF7" w:rsidRDefault="001353AD" w:rsidP="00891652">
      <w:pPr>
        <w:pStyle w:val="FootnoteText"/>
        <w:ind w:firstLine="720"/>
      </w:pPr>
      <w:r w:rsidRPr="00FA563E">
        <w:rPr>
          <w:rStyle w:val="FootnoteReference"/>
          <w:rFonts w:asciiTheme="majorHAnsi" w:hAnsiTheme="majorHAnsi"/>
          <w:sz w:val="16"/>
          <w:szCs w:val="16"/>
        </w:rPr>
        <w:footnoteRef/>
      </w:r>
      <w:r w:rsidRPr="007E7CF7">
        <w:t xml:space="preserve"> </w:t>
      </w:r>
      <w:r w:rsidRPr="007E7CF7">
        <w:rPr>
          <w:rFonts w:asciiTheme="majorHAnsi" w:hAnsiTheme="majorHAnsi"/>
          <w:sz w:val="16"/>
          <w:szCs w:val="16"/>
        </w:rPr>
        <w:t>Commissioner Francisco José Eguiguren Praeli, of Peruvian nationality, did not participate in either the discussion or decision in the present case, in accordance with Article 17.2.a) of the IACHR’s Rules of Procedure.</w:t>
      </w:r>
    </w:p>
  </w:footnote>
  <w:footnote w:id="3">
    <w:p w14:paraId="395B3585" w14:textId="4678E571" w:rsidR="001353AD" w:rsidRPr="007E7CF7" w:rsidRDefault="001353AD" w:rsidP="00891652">
      <w:pPr>
        <w:pStyle w:val="FootnoteText"/>
        <w:ind w:firstLine="720"/>
        <w:rPr>
          <w:rFonts w:asciiTheme="majorHAnsi" w:hAnsiTheme="majorHAnsi"/>
          <w:sz w:val="16"/>
          <w:szCs w:val="16"/>
        </w:rPr>
      </w:pPr>
      <w:r w:rsidRPr="00C25C4F">
        <w:rPr>
          <w:rStyle w:val="FootnoteReference"/>
          <w:sz w:val="16"/>
          <w:szCs w:val="16"/>
        </w:rPr>
        <w:footnoteRef/>
      </w:r>
      <w:r w:rsidRPr="007E7CF7">
        <w:rPr>
          <w:sz w:val="16"/>
          <w:szCs w:val="16"/>
        </w:rPr>
        <w:t xml:space="preserve"> </w:t>
      </w:r>
      <w:r w:rsidRPr="007E7CF7">
        <w:rPr>
          <w:rFonts w:asciiTheme="majorHAnsi" w:hAnsiTheme="majorHAnsi"/>
          <w:sz w:val="16"/>
          <w:szCs w:val="16"/>
        </w:rPr>
        <w:t>Hereinafter “the Convention” of “the American Convention”</w:t>
      </w:r>
    </w:p>
  </w:footnote>
  <w:footnote w:id="4">
    <w:p w14:paraId="6F51BDAF" w14:textId="5F4755E7" w:rsidR="001353AD" w:rsidRPr="000B6B7A" w:rsidRDefault="001353AD"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5">
    <w:p w14:paraId="65F26EAD" w14:textId="69DB7DC1" w:rsidR="001353AD" w:rsidRPr="005F46F5" w:rsidRDefault="001353AD" w:rsidP="001953DA">
      <w:pPr>
        <w:pStyle w:val="FootnoteText"/>
        <w:ind w:firstLine="720"/>
        <w:jc w:val="both"/>
        <w:rPr>
          <w:rFonts w:asciiTheme="majorHAnsi" w:hAnsiTheme="majorHAnsi"/>
          <w:color w:val="auto"/>
          <w:sz w:val="16"/>
          <w:szCs w:val="16"/>
          <w:lang w:val="es-ES"/>
        </w:rPr>
      </w:pPr>
      <w:r w:rsidRPr="005F46F5">
        <w:rPr>
          <w:rStyle w:val="FootnoteReference"/>
          <w:rFonts w:asciiTheme="majorHAnsi" w:hAnsiTheme="majorHAnsi"/>
          <w:color w:val="auto"/>
          <w:sz w:val="16"/>
          <w:szCs w:val="16"/>
        </w:rPr>
        <w:footnoteRef/>
      </w:r>
      <w:r w:rsidRPr="007E7CF7">
        <w:rPr>
          <w:rFonts w:asciiTheme="majorHAnsi" w:hAnsiTheme="majorHAnsi"/>
          <w:color w:val="auto"/>
          <w:sz w:val="16"/>
          <w:szCs w:val="16"/>
        </w:rPr>
        <w:t xml:space="preserve"> IACHR, Report Nº 84/08 (Admissibility), Petition 40-03, Blas Valencia Campos and others, Bolivia, October 30, 2008, para. </w:t>
      </w:r>
      <w:r>
        <w:rPr>
          <w:rFonts w:asciiTheme="majorHAnsi" w:hAnsiTheme="majorHAnsi"/>
          <w:color w:val="auto"/>
          <w:sz w:val="16"/>
          <w:szCs w:val="16"/>
          <w:lang w:val="es-ES_tradnl"/>
        </w:rPr>
        <w:t>53</w:t>
      </w:r>
      <w:r w:rsidRPr="005F46F5">
        <w:rPr>
          <w:rFonts w:asciiTheme="majorHAnsi" w:hAnsiTheme="majorHAnsi"/>
          <w:color w:val="auto"/>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1353AD" w:rsidRDefault="001353AD" w:rsidP="0089165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1353AD" w:rsidRDefault="00135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1353AD" w:rsidRDefault="001353AD"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1353AD" w:rsidRPr="00EC7D62" w:rsidRDefault="002F739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73C9" w14:textId="77777777" w:rsidR="00C25D32" w:rsidRDefault="00C25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66144"/>
    <w:rsid w:val="00070F3A"/>
    <w:rsid w:val="000716C5"/>
    <w:rsid w:val="00075E23"/>
    <w:rsid w:val="00092F32"/>
    <w:rsid w:val="0009344A"/>
    <w:rsid w:val="000A575F"/>
    <w:rsid w:val="000A6618"/>
    <w:rsid w:val="000C4365"/>
    <w:rsid w:val="000D10DB"/>
    <w:rsid w:val="00124116"/>
    <w:rsid w:val="0013104F"/>
    <w:rsid w:val="001353AD"/>
    <w:rsid w:val="00137EBA"/>
    <w:rsid w:val="00142AED"/>
    <w:rsid w:val="00145EDC"/>
    <w:rsid w:val="00153084"/>
    <w:rsid w:val="00167A34"/>
    <w:rsid w:val="001714B4"/>
    <w:rsid w:val="0018037F"/>
    <w:rsid w:val="001953DA"/>
    <w:rsid w:val="001A5F27"/>
    <w:rsid w:val="001A65E4"/>
    <w:rsid w:val="001A7870"/>
    <w:rsid w:val="001C1B41"/>
    <w:rsid w:val="001C260A"/>
    <w:rsid w:val="001C55DB"/>
    <w:rsid w:val="001E366B"/>
    <w:rsid w:val="001F1902"/>
    <w:rsid w:val="00210E0E"/>
    <w:rsid w:val="00210F4B"/>
    <w:rsid w:val="00230163"/>
    <w:rsid w:val="0023351C"/>
    <w:rsid w:val="00247403"/>
    <w:rsid w:val="00247542"/>
    <w:rsid w:val="002516F3"/>
    <w:rsid w:val="00257893"/>
    <w:rsid w:val="00266092"/>
    <w:rsid w:val="00266B61"/>
    <w:rsid w:val="0026712A"/>
    <w:rsid w:val="002704DB"/>
    <w:rsid w:val="002760CE"/>
    <w:rsid w:val="002B7A85"/>
    <w:rsid w:val="002C1641"/>
    <w:rsid w:val="002D7EA2"/>
    <w:rsid w:val="002E15DF"/>
    <w:rsid w:val="002E187C"/>
    <w:rsid w:val="002E6E57"/>
    <w:rsid w:val="002F739D"/>
    <w:rsid w:val="00301075"/>
    <w:rsid w:val="00302733"/>
    <w:rsid w:val="00302D59"/>
    <w:rsid w:val="00311A4F"/>
    <w:rsid w:val="00314078"/>
    <w:rsid w:val="00321AFD"/>
    <w:rsid w:val="00322450"/>
    <w:rsid w:val="003246B5"/>
    <w:rsid w:val="0033169F"/>
    <w:rsid w:val="003414AC"/>
    <w:rsid w:val="00356185"/>
    <w:rsid w:val="00360380"/>
    <w:rsid w:val="00367514"/>
    <w:rsid w:val="003771A3"/>
    <w:rsid w:val="00386CF0"/>
    <w:rsid w:val="003A4348"/>
    <w:rsid w:val="003B59B2"/>
    <w:rsid w:val="003C32BC"/>
    <w:rsid w:val="003E3E03"/>
    <w:rsid w:val="003F1BBF"/>
    <w:rsid w:val="004162B1"/>
    <w:rsid w:val="004165C2"/>
    <w:rsid w:val="00450A4A"/>
    <w:rsid w:val="004666FB"/>
    <w:rsid w:val="00466D0B"/>
    <w:rsid w:val="00467B7E"/>
    <w:rsid w:val="0049419D"/>
    <w:rsid w:val="004B2762"/>
    <w:rsid w:val="004B7EB6"/>
    <w:rsid w:val="004C3BA6"/>
    <w:rsid w:val="004C41DE"/>
    <w:rsid w:val="004C4B62"/>
    <w:rsid w:val="004D6025"/>
    <w:rsid w:val="004D72BC"/>
    <w:rsid w:val="004F6B67"/>
    <w:rsid w:val="00501399"/>
    <w:rsid w:val="0050252B"/>
    <w:rsid w:val="00507BC4"/>
    <w:rsid w:val="005128E4"/>
    <w:rsid w:val="00525560"/>
    <w:rsid w:val="005357A6"/>
    <w:rsid w:val="00544C49"/>
    <w:rsid w:val="00562B7D"/>
    <w:rsid w:val="0057402A"/>
    <w:rsid w:val="005771D0"/>
    <w:rsid w:val="005816E5"/>
    <w:rsid w:val="005849CC"/>
    <w:rsid w:val="0059191A"/>
    <w:rsid w:val="005921FF"/>
    <w:rsid w:val="00592718"/>
    <w:rsid w:val="005A6D0E"/>
    <w:rsid w:val="005B222D"/>
    <w:rsid w:val="005B52B0"/>
    <w:rsid w:val="005B6806"/>
    <w:rsid w:val="005C00F9"/>
    <w:rsid w:val="005C4225"/>
    <w:rsid w:val="005D6729"/>
    <w:rsid w:val="005F0F33"/>
    <w:rsid w:val="00600DEB"/>
    <w:rsid w:val="00613027"/>
    <w:rsid w:val="00627C9F"/>
    <w:rsid w:val="006311DA"/>
    <w:rsid w:val="006311E9"/>
    <w:rsid w:val="006318B2"/>
    <w:rsid w:val="00632354"/>
    <w:rsid w:val="00642810"/>
    <w:rsid w:val="00652333"/>
    <w:rsid w:val="00653EA6"/>
    <w:rsid w:val="0068009E"/>
    <w:rsid w:val="006A138B"/>
    <w:rsid w:val="006A17D2"/>
    <w:rsid w:val="006A73E6"/>
    <w:rsid w:val="006B2D5C"/>
    <w:rsid w:val="006C0646"/>
    <w:rsid w:val="006C4EB1"/>
    <w:rsid w:val="006D4707"/>
    <w:rsid w:val="006E0166"/>
    <w:rsid w:val="006E7B34"/>
    <w:rsid w:val="00701B24"/>
    <w:rsid w:val="0071495F"/>
    <w:rsid w:val="0073798E"/>
    <w:rsid w:val="00745899"/>
    <w:rsid w:val="007607C4"/>
    <w:rsid w:val="0076643F"/>
    <w:rsid w:val="00781653"/>
    <w:rsid w:val="00787E20"/>
    <w:rsid w:val="007A2F70"/>
    <w:rsid w:val="007B6E92"/>
    <w:rsid w:val="007C3334"/>
    <w:rsid w:val="007C52BB"/>
    <w:rsid w:val="007D2B98"/>
    <w:rsid w:val="007E3820"/>
    <w:rsid w:val="007E7CF7"/>
    <w:rsid w:val="00803F1C"/>
    <w:rsid w:val="0080600E"/>
    <w:rsid w:val="00817612"/>
    <w:rsid w:val="00821E8C"/>
    <w:rsid w:val="00837C45"/>
    <w:rsid w:val="00837C76"/>
    <w:rsid w:val="00853419"/>
    <w:rsid w:val="00885687"/>
    <w:rsid w:val="00891652"/>
    <w:rsid w:val="00897E12"/>
    <w:rsid w:val="008A6B5F"/>
    <w:rsid w:val="008B5381"/>
    <w:rsid w:val="008D43BA"/>
    <w:rsid w:val="008E3759"/>
    <w:rsid w:val="009041DC"/>
    <w:rsid w:val="009104B4"/>
    <w:rsid w:val="009228DA"/>
    <w:rsid w:val="00925FCD"/>
    <w:rsid w:val="0093441A"/>
    <w:rsid w:val="00954BF7"/>
    <w:rsid w:val="0096706E"/>
    <w:rsid w:val="0097722F"/>
    <w:rsid w:val="00981FBA"/>
    <w:rsid w:val="009B381B"/>
    <w:rsid w:val="009B7E29"/>
    <w:rsid w:val="009D7611"/>
    <w:rsid w:val="009E53DE"/>
    <w:rsid w:val="009E566A"/>
    <w:rsid w:val="00A12DBC"/>
    <w:rsid w:val="00A43458"/>
    <w:rsid w:val="00A528D1"/>
    <w:rsid w:val="00A66BE5"/>
    <w:rsid w:val="00AC3D0C"/>
    <w:rsid w:val="00AD37C1"/>
    <w:rsid w:val="00AE66EC"/>
    <w:rsid w:val="00AE6F91"/>
    <w:rsid w:val="00AF5571"/>
    <w:rsid w:val="00B06BB7"/>
    <w:rsid w:val="00B167E9"/>
    <w:rsid w:val="00B179ED"/>
    <w:rsid w:val="00B26D37"/>
    <w:rsid w:val="00B314DB"/>
    <w:rsid w:val="00B31EBE"/>
    <w:rsid w:val="00B3718B"/>
    <w:rsid w:val="00B44B23"/>
    <w:rsid w:val="00B4632A"/>
    <w:rsid w:val="00B92E49"/>
    <w:rsid w:val="00BA276C"/>
    <w:rsid w:val="00BB306F"/>
    <w:rsid w:val="00BD109D"/>
    <w:rsid w:val="00BD232B"/>
    <w:rsid w:val="00BD2E42"/>
    <w:rsid w:val="00BD4B89"/>
    <w:rsid w:val="00C12CB2"/>
    <w:rsid w:val="00C21762"/>
    <w:rsid w:val="00C24543"/>
    <w:rsid w:val="00C256A2"/>
    <w:rsid w:val="00C25D32"/>
    <w:rsid w:val="00C27F80"/>
    <w:rsid w:val="00C3492D"/>
    <w:rsid w:val="00C55560"/>
    <w:rsid w:val="00C638D1"/>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4AF0"/>
    <w:rsid w:val="00DA7B5F"/>
    <w:rsid w:val="00DC0058"/>
    <w:rsid w:val="00DC4D82"/>
    <w:rsid w:val="00DF078B"/>
    <w:rsid w:val="00DF350D"/>
    <w:rsid w:val="00E227C1"/>
    <w:rsid w:val="00E33BCF"/>
    <w:rsid w:val="00E43157"/>
    <w:rsid w:val="00E47F3D"/>
    <w:rsid w:val="00E533FF"/>
    <w:rsid w:val="00E67417"/>
    <w:rsid w:val="00E709B3"/>
    <w:rsid w:val="00E7588C"/>
    <w:rsid w:val="00E850B6"/>
    <w:rsid w:val="00E8789F"/>
    <w:rsid w:val="00E97B71"/>
    <w:rsid w:val="00EB454D"/>
    <w:rsid w:val="00ED0D1B"/>
    <w:rsid w:val="00EE3522"/>
    <w:rsid w:val="00EF619B"/>
    <w:rsid w:val="00EF766C"/>
    <w:rsid w:val="00F00B55"/>
    <w:rsid w:val="00F0270C"/>
    <w:rsid w:val="00F1380F"/>
    <w:rsid w:val="00F14F0E"/>
    <w:rsid w:val="00F15A3B"/>
    <w:rsid w:val="00F16F26"/>
    <w:rsid w:val="00F24C29"/>
    <w:rsid w:val="00F253CC"/>
    <w:rsid w:val="00F42B71"/>
    <w:rsid w:val="00F56BA5"/>
    <w:rsid w:val="00F621C3"/>
    <w:rsid w:val="00F644E6"/>
    <w:rsid w:val="00F9653B"/>
    <w:rsid w:val="00FB520A"/>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600A8D"/>
    <w:rsid w:val="0079595C"/>
    <w:rsid w:val="00AB44F1"/>
    <w:rsid w:val="00B76EA2"/>
    <w:rsid w:val="00C7704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3728-169D-4B41-9894-5DF4099B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9206</Characters>
  <Application>Microsoft Office Word</Application>
  <DocSecurity>0</DocSecurity>
  <Lines>153</Lines>
  <Paragraphs>39</Paragraphs>
  <ScaleCrop>false</ScaleCrop>
  <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137/18</dc:title>
  <dc:creator/>
  <cp:lastModifiedBy/>
  <cp:revision>1</cp:revision>
  <dcterms:created xsi:type="dcterms:W3CDTF">2019-03-13T17:16:00Z</dcterms:created>
  <dcterms:modified xsi:type="dcterms:W3CDTF">2019-03-13T17:16:00Z</dcterms:modified>
</cp:coreProperties>
</file>