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C3A" w:rsidRPr="006C6C80" w:rsidRDefault="006B26B2" w:rsidP="00B54921">
      <w:pPr>
        <w:tabs>
          <w:tab w:val="left" w:pos="720"/>
        </w:tabs>
        <w:jc w:val="both"/>
        <w:rPr>
          <w:rFonts w:asciiTheme="majorHAnsi" w:hAnsiTheme="majorHAnsi" w:cs="Univers"/>
          <w:b/>
          <w:bCs/>
          <w:sz w:val="22"/>
          <w:szCs w:val="22"/>
        </w:rPr>
      </w:pPr>
      <w:bookmarkStart w:id="0" w:name="_GoBack"/>
      <w:bookmarkEnd w:id="0"/>
      <w:r w:rsidRPr="006C6C80">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0370896B" wp14:editId="0F547416">
                <wp:simplePos x="0" y="0"/>
                <wp:positionH relativeFrom="column">
                  <wp:posOffset>-276045</wp:posOffset>
                </wp:positionH>
                <wp:positionV relativeFrom="paragraph">
                  <wp:posOffset>-423904</wp:posOffset>
                </wp:positionV>
                <wp:extent cx="1409700" cy="897763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5A3B19" id="Rectangle 1" o:spid="_x0000_s1026" style="position:absolute;margin-left:-21.75pt;margin-top:-33.4pt;width:111pt;height:706.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" fillcolor="#67ae3c" stroked="f" strokeweight="2pt">
                <v:path arrowok="t"/>
              </v:rect>
            </w:pict>
          </mc:Fallback>
        </mc:AlternateContent>
      </w:r>
      <w:r w:rsidR="003E6CA1" w:rsidRPr="006C6C80">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5F373DD4" wp14:editId="654BE0F4">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2077C" w:rsidRDefault="0052077C" w:rsidP="00AE5488">
                            <w:r>
                              <w:rPr>
                                <w:noProof/>
                              </w:rPr>
                              <w:drawing>
                                <wp:inline distT="0" distB="0" distL="0" distR="0" wp14:anchorId="7D8A23BD" wp14:editId="378A1554">
                                  <wp:extent cx="2522763" cy="485775"/>
                                  <wp:effectExtent l="0" t="0" r="0" b="0"/>
                                  <wp:docPr id="6" name="Picture 6"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373DD4"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rsidR="0052077C" w:rsidRDefault="0052077C" w:rsidP="00AE5488">
                      <w:r>
                        <w:rPr>
                          <w:noProof/>
                        </w:rPr>
                        <w:drawing>
                          <wp:inline distT="0" distB="0" distL="0" distR="0" wp14:anchorId="7D8A23BD" wp14:editId="378A1554">
                            <wp:extent cx="2522763" cy="485775"/>
                            <wp:effectExtent l="0" t="0" r="0" b="0"/>
                            <wp:docPr id="6" name="Picture 6"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v:textbox>
              </v:shape>
            </w:pict>
          </mc:Fallback>
        </mc:AlternateContent>
      </w:r>
    </w:p>
    <w:p w:rsidR="00040C3A" w:rsidRPr="006C6C80" w:rsidRDefault="00040C3A" w:rsidP="00B54921">
      <w:pPr>
        <w:tabs>
          <w:tab w:val="left" w:pos="720"/>
          <w:tab w:val="center" w:pos="5400"/>
        </w:tabs>
        <w:suppressAutoHyphens/>
        <w:jc w:val="both"/>
        <w:rPr>
          <w:rFonts w:asciiTheme="majorHAnsi" w:hAnsiTheme="majorHAnsi"/>
          <w:sz w:val="22"/>
          <w:szCs w:val="22"/>
        </w:rPr>
      </w:pPr>
    </w:p>
    <w:p w:rsidR="00040C3A" w:rsidRPr="006C6C80" w:rsidRDefault="00040C3A" w:rsidP="00B54921">
      <w:pPr>
        <w:tabs>
          <w:tab w:val="left" w:pos="720"/>
          <w:tab w:val="center" w:pos="5400"/>
        </w:tabs>
        <w:suppressAutoHyphens/>
        <w:jc w:val="both"/>
        <w:rPr>
          <w:rFonts w:asciiTheme="majorHAnsi" w:hAnsiTheme="majorHAnsi"/>
          <w:sz w:val="22"/>
          <w:szCs w:val="22"/>
        </w:rPr>
      </w:pPr>
    </w:p>
    <w:p w:rsidR="005128E4" w:rsidRPr="006C6C80" w:rsidRDefault="005128E4" w:rsidP="00B54921">
      <w:pPr>
        <w:tabs>
          <w:tab w:val="left" w:pos="720"/>
          <w:tab w:val="center" w:pos="5400"/>
        </w:tabs>
        <w:suppressAutoHyphens/>
        <w:rPr>
          <w:rFonts w:asciiTheme="majorHAnsi" w:hAnsiTheme="majorHAnsi"/>
          <w:sz w:val="22"/>
          <w:szCs w:val="22"/>
        </w:rPr>
      </w:pPr>
    </w:p>
    <w:p w:rsidR="005128E4" w:rsidRPr="006C6C80" w:rsidRDefault="005128E4" w:rsidP="00B54921">
      <w:pPr>
        <w:tabs>
          <w:tab w:val="left" w:pos="720"/>
          <w:tab w:val="center" w:pos="5400"/>
        </w:tabs>
        <w:suppressAutoHyphens/>
        <w:rPr>
          <w:rFonts w:asciiTheme="majorHAnsi" w:hAnsiTheme="majorHAnsi"/>
          <w:sz w:val="22"/>
          <w:szCs w:val="22"/>
        </w:rPr>
      </w:pPr>
    </w:p>
    <w:p w:rsidR="005128E4" w:rsidRPr="006C6C80" w:rsidRDefault="005128E4" w:rsidP="00B54921">
      <w:pPr>
        <w:tabs>
          <w:tab w:val="left" w:pos="720"/>
          <w:tab w:val="center" w:pos="5400"/>
        </w:tabs>
        <w:suppressAutoHyphens/>
        <w:rPr>
          <w:rFonts w:asciiTheme="majorHAnsi" w:hAnsiTheme="majorHAnsi"/>
          <w:sz w:val="22"/>
          <w:szCs w:val="22"/>
        </w:rPr>
      </w:pPr>
    </w:p>
    <w:p w:rsidR="00040C3A" w:rsidRPr="006C6C80" w:rsidRDefault="00040C3A" w:rsidP="00B54921">
      <w:pPr>
        <w:tabs>
          <w:tab w:val="left" w:pos="720"/>
          <w:tab w:val="center" w:pos="5400"/>
        </w:tabs>
        <w:suppressAutoHyphens/>
        <w:jc w:val="center"/>
        <w:rPr>
          <w:rFonts w:asciiTheme="majorHAnsi" w:hAnsiTheme="majorHAnsi"/>
          <w:sz w:val="22"/>
          <w:szCs w:val="22"/>
        </w:rPr>
      </w:pPr>
    </w:p>
    <w:p w:rsidR="00040C3A" w:rsidRPr="006C6C80" w:rsidRDefault="00040C3A" w:rsidP="00B54921">
      <w:pPr>
        <w:tabs>
          <w:tab w:val="left" w:pos="720"/>
          <w:tab w:val="center" w:pos="5400"/>
        </w:tabs>
        <w:suppressAutoHyphens/>
        <w:jc w:val="center"/>
        <w:rPr>
          <w:rFonts w:asciiTheme="majorHAnsi" w:hAnsiTheme="majorHAnsi"/>
          <w:sz w:val="22"/>
          <w:szCs w:val="22"/>
        </w:rPr>
      </w:pPr>
    </w:p>
    <w:p w:rsidR="005B52B0" w:rsidRPr="006C6C80" w:rsidRDefault="005B52B0" w:rsidP="00B54921">
      <w:pPr>
        <w:tabs>
          <w:tab w:val="left" w:pos="720"/>
          <w:tab w:val="center" w:pos="5400"/>
        </w:tabs>
        <w:suppressAutoHyphens/>
        <w:jc w:val="center"/>
        <w:rPr>
          <w:rFonts w:asciiTheme="majorHAnsi" w:hAnsiTheme="majorHAnsi"/>
          <w:sz w:val="22"/>
          <w:szCs w:val="22"/>
        </w:rPr>
      </w:pPr>
    </w:p>
    <w:p w:rsidR="005B52B0" w:rsidRPr="006C6C80" w:rsidRDefault="005B52B0" w:rsidP="00B54921">
      <w:pPr>
        <w:tabs>
          <w:tab w:val="left" w:pos="720"/>
          <w:tab w:val="center" w:pos="5400"/>
        </w:tabs>
        <w:suppressAutoHyphens/>
        <w:jc w:val="center"/>
        <w:rPr>
          <w:rFonts w:asciiTheme="majorHAnsi" w:hAnsiTheme="majorHAnsi"/>
          <w:sz w:val="22"/>
          <w:szCs w:val="22"/>
        </w:rPr>
      </w:pPr>
    </w:p>
    <w:p w:rsidR="005B52B0" w:rsidRPr="006C6C80" w:rsidRDefault="005B52B0" w:rsidP="00B54921">
      <w:pPr>
        <w:tabs>
          <w:tab w:val="left" w:pos="720"/>
          <w:tab w:val="center" w:pos="5400"/>
        </w:tabs>
        <w:suppressAutoHyphens/>
        <w:jc w:val="center"/>
        <w:rPr>
          <w:rFonts w:asciiTheme="majorHAnsi" w:hAnsiTheme="majorHAnsi"/>
          <w:sz w:val="22"/>
          <w:szCs w:val="22"/>
        </w:rPr>
      </w:pPr>
    </w:p>
    <w:p w:rsidR="00040C3A" w:rsidRPr="006C6C80" w:rsidRDefault="00040C3A" w:rsidP="00B54921">
      <w:pPr>
        <w:tabs>
          <w:tab w:val="left" w:pos="720"/>
          <w:tab w:val="center" w:pos="5400"/>
        </w:tabs>
        <w:suppressAutoHyphens/>
        <w:jc w:val="center"/>
        <w:rPr>
          <w:rFonts w:asciiTheme="majorHAnsi" w:hAnsiTheme="majorHAnsi"/>
          <w:sz w:val="22"/>
          <w:szCs w:val="22"/>
        </w:rPr>
      </w:pPr>
    </w:p>
    <w:p w:rsidR="00040C3A" w:rsidRPr="006C6C80" w:rsidRDefault="00040C3A" w:rsidP="00B54921">
      <w:pPr>
        <w:tabs>
          <w:tab w:val="left" w:pos="720"/>
          <w:tab w:val="center" w:pos="5400"/>
        </w:tabs>
        <w:suppressAutoHyphens/>
        <w:jc w:val="center"/>
        <w:rPr>
          <w:rFonts w:asciiTheme="majorHAnsi" w:hAnsiTheme="majorHAnsi"/>
          <w:sz w:val="22"/>
          <w:szCs w:val="22"/>
        </w:rPr>
      </w:pPr>
    </w:p>
    <w:p w:rsidR="00040C3A" w:rsidRPr="006C6C80" w:rsidRDefault="006B26B2" w:rsidP="00B54921">
      <w:pPr>
        <w:tabs>
          <w:tab w:val="left" w:pos="720"/>
          <w:tab w:val="center" w:pos="5400"/>
        </w:tabs>
        <w:suppressAutoHyphens/>
        <w:jc w:val="center"/>
        <w:rPr>
          <w:rFonts w:asciiTheme="majorHAnsi" w:hAnsiTheme="majorHAnsi"/>
          <w:sz w:val="22"/>
          <w:szCs w:val="22"/>
        </w:rPr>
      </w:pPr>
      <w:r w:rsidRPr="006C6C80">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3DBC3F29" wp14:editId="79CFD059">
                <wp:simplePos x="0" y="0"/>
                <wp:positionH relativeFrom="column">
                  <wp:posOffset>-200025</wp:posOffset>
                </wp:positionH>
                <wp:positionV relativeFrom="paragraph">
                  <wp:posOffset>157264</wp:posOffset>
                </wp:positionV>
                <wp:extent cx="1334135" cy="835025"/>
                <wp:effectExtent l="0" t="0" r="0" b="317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4135" cy="835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2077C" w:rsidRPr="005F55DC" w:rsidRDefault="000B279A" w:rsidP="006B26B2">
                            <w:pPr>
                              <w:jc w:val="right"/>
                              <w:rPr>
                                <w:rFonts w:asciiTheme="minorHAnsi" w:hAnsiTheme="minorHAnsi"/>
                                <w:color w:val="FFFFFF" w:themeColor="background1"/>
                                <w:sz w:val="22"/>
                                <w:lang w:val="es-CO"/>
                              </w:rPr>
                            </w:pPr>
                            <w:r>
                              <w:rPr>
                                <w:rFonts w:asciiTheme="minorHAnsi" w:hAnsiTheme="minorHAnsi"/>
                                <w:color w:val="FFFFFF" w:themeColor="background1"/>
                                <w:sz w:val="22"/>
                                <w:lang w:val="es-CO"/>
                              </w:rPr>
                              <w:t>OEA/</w:t>
                            </w:r>
                            <w:proofErr w:type="spellStart"/>
                            <w:r>
                              <w:rPr>
                                <w:rFonts w:asciiTheme="minorHAnsi" w:hAnsiTheme="minorHAnsi"/>
                                <w:color w:val="FFFFFF" w:themeColor="background1"/>
                                <w:sz w:val="22"/>
                                <w:lang w:val="es-CO"/>
                              </w:rPr>
                              <w:t>Ser.L</w:t>
                            </w:r>
                            <w:proofErr w:type="spellEnd"/>
                            <w:r>
                              <w:rPr>
                                <w:rFonts w:asciiTheme="minorHAnsi" w:hAnsiTheme="minorHAnsi"/>
                                <w:color w:val="FFFFFF" w:themeColor="background1"/>
                                <w:sz w:val="22"/>
                                <w:lang w:val="es-CO"/>
                              </w:rPr>
                              <w:t>/V/II.173</w:t>
                            </w:r>
                          </w:p>
                          <w:p w:rsidR="0052077C" w:rsidRPr="00706D7E" w:rsidRDefault="000B279A" w:rsidP="006B26B2">
                            <w:pPr>
                              <w:jc w:val="right"/>
                              <w:rPr>
                                <w:rFonts w:asciiTheme="minorHAnsi" w:hAnsiTheme="minorHAnsi"/>
                                <w:color w:val="FFFFFF" w:themeColor="background1"/>
                                <w:sz w:val="22"/>
                              </w:rPr>
                            </w:pPr>
                            <w:r>
                              <w:rPr>
                                <w:rFonts w:asciiTheme="minorHAnsi" w:hAnsiTheme="minorHAnsi"/>
                                <w:color w:val="FFFFFF" w:themeColor="background1"/>
                                <w:sz w:val="22"/>
                              </w:rPr>
                              <w:t>Doc. 172</w:t>
                            </w:r>
                          </w:p>
                          <w:p w:rsidR="0052077C" w:rsidRPr="004B7EB6" w:rsidRDefault="000B279A" w:rsidP="006B26B2">
                            <w:pPr>
                              <w:jc w:val="right"/>
                              <w:rPr>
                                <w:rFonts w:asciiTheme="minorHAnsi" w:hAnsiTheme="minorHAnsi"/>
                                <w:color w:val="FFFFFF" w:themeColor="background1"/>
                                <w:sz w:val="22"/>
                              </w:rPr>
                            </w:pPr>
                            <w:r>
                              <w:rPr>
                                <w:rFonts w:asciiTheme="minorHAnsi" w:hAnsiTheme="minorHAnsi"/>
                                <w:color w:val="FFFFFF" w:themeColor="background1"/>
                                <w:sz w:val="22"/>
                              </w:rPr>
                              <w:t>28 September</w:t>
                            </w:r>
                            <w:r w:rsidR="0052077C">
                              <w:rPr>
                                <w:rFonts w:asciiTheme="minorHAnsi" w:hAnsiTheme="minorHAnsi"/>
                                <w:color w:val="FFFFFF" w:themeColor="background1"/>
                                <w:sz w:val="22"/>
                              </w:rPr>
                              <w:t xml:space="preserve"> 2019</w:t>
                            </w:r>
                          </w:p>
                          <w:p w:rsidR="0052077C" w:rsidRPr="004B7EB6" w:rsidRDefault="0052077C" w:rsidP="006B26B2">
                            <w:pPr>
                              <w:jc w:val="right"/>
                              <w:rPr>
                                <w:rFonts w:asciiTheme="minorHAnsi" w:hAnsiTheme="minorHAnsi"/>
                                <w:color w:val="FFFFFF" w:themeColor="background1"/>
                                <w:sz w:val="22"/>
                              </w:rPr>
                            </w:pPr>
                            <w:r w:rsidRPr="004B7EB6">
                              <w:rPr>
                                <w:rFonts w:asciiTheme="minorHAnsi" w:hAnsiTheme="minorHAnsi"/>
                                <w:color w:val="FFFFFF" w:themeColor="background1"/>
                                <w:sz w:val="22"/>
                              </w:rPr>
                              <w:t xml:space="preserve">Original: </w:t>
                            </w:r>
                            <w:r w:rsidR="000B279A">
                              <w:rPr>
                                <w:rFonts w:asciiTheme="minorHAnsi" w:hAnsiTheme="minorHAnsi"/>
                                <w:color w:val="FFFFFF" w:themeColor="background1"/>
                                <w:sz w:val="22"/>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BC3F29" id="Text Box 13" o:spid="_x0000_s1027" type="#_x0000_t202" style="position:absolute;left:0;text-align:left;margin-left:-15.75pt;margin-top:12.4pt;width:105.05pt;height:65.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" filled="f" stroked="f" strokeweight=".5pt">
                <v:path arrowok="t"/>
                <v:textbox>
                  <w:txbxContent>
                    <w:p w:rsidR="0052077C" w:rsidRPr="005F55DC" w:rsidRDefault="000B279A" w:rsidP="006B26B2">
                      <w:pPr>
                        <w:jc w:val="right"/>
                        <w:rPr>
                          <w:rFonts w:asciiTheme="minorHAnsi" w:hAnsiTheme="minorHAnsi"/>
                          <w:color w:val="FFFFFF" w:themeColor="background1"/>
                          <w:sz w:val="22"/>
                          <w:lang w:val="es-CO"/>
                        </w:rPr>
                      </w:pPr>
                      <w:r>
                        <w:rPr>
                          <w:rFonts w:asciiTheme="minorHAnsi" w:hAnsiTheme="minorHAnsi"/>
                          <w:color w:val="FFFFFF" w:themeColor="background1"/>
                          <w:sz w:val="22"/>
                          <w:lang w:val="es-CO"/>
                        </w:rPr>
                        <w:t>OEA/</w:t>
                      </w:r>
                      <w:proofErr w:type="spellStart"/>
                      <w:r>
                        <w:rPr>
                          <w:rFonts w:asciiTheme="minorHAnsi" w:hAnsiTheme="minorHAnsi"/>
                          <w:color w:val="FFFFFF" w:themeColor="background1"/>
                          <w:sz w:val="22"/>
                          <w:lang w:val="es-CO"/>
                        </w:rPr>
                        <w:t>Ser.L</w:t>
                      </w:r>
                      <w:proofErr w:type="spellEnd"/>
                      <w:r>
                        <w:rPr>
                          <w:rFonts w:asciiTheme="minorHAnsi" w:hAnsiTheme="minorHAnsi"/>
                          <w:color w:val="FFFFFF" w:themeColor="background1"/>
                          <w:sz w:val="22"/>
                          <w:lang w:val="es-CO"/>
                        </w:rPr>
                        <w:t>/V/II.173</w:t>
                      </w:r>
                    </w:p>
                    <w:p w:rsidR="0052077C" w:rsidRPr="00706D7E" w:rsidRDefault="000B279A" w:rsidP="006B26B2">
                      <w:pPr>
                        <w:jc w:val="right"/>
                        <w:rPr>
                          <w:rFonts w:asciiTheme="minorHAnsi" w:hAnsiTheme="minorHAnsi"/>
                          <w:color w:val="FFFFFF" w:themeColor="background1"/>
                          <w:sz w:val="22"/>
                        </w:rPr>
                      </w:pPr>
                      <w:r>
                        <w:rPr>
                          <w:rFonts w:asciiTheme="minorHAnsi" w:hAnsiTheme="minorHAnsi"/>
                          <w:color w:val="FFFFFF" w:themeColor="background1"/>
                          <w:sz w:val="22"/>
                        </w:rPr>
                        <w:t>Doc. 172</w:t>
                      </w:r>
                    </w:p>
                    <w:p w:rsidR="0052077C" w:rsidRPr="004B7EB6" w:rsidRDefault="000B279A" w:rsidP="006B26B2">
                      <w:pPr>
                        <w:jc w:val="right"/>
                        <w:rPr>
                          <w:rFonts w:asciiTheme="minorHAnsi" w:hAnsiTheme="minorHAnsi"/>
                          <w:color w:val="FFFFFF" w:themeColor="background1"/>
                          <w:sz w:val="22"/>
                        </w:rPr>
                      </w:pPr>
                      <w:r>
                        <w:rPr>
                          <w:rFonts w:asciiTheme="minorHAnsi" w:hAnsiTheme="minorHAnsi"/>
                          <w:color w:val="FFFFFF" w:themeColor="background1"/>
                          <w:sz w:val="22"/>
                        </w:rPr>
                        <w:t>28 September</w:t>
                      </w:r>
                      <w:r w:rsidR="0052077C">
                        <w:rPr>
                          <w:rFonts w:asciiTheme="minorHAnsi" w:hAnsiTheme="minorHAnsi"/>
                          <w:color w:val="FFFFFF" w:themeColor="background1"/>
                          <w:sz w:val="22"/>
                        </w:rPr>
                        <w:t xml:space="preserve"> 2019</w:t>
                      </w:r>
                    </w:p>
                    <w:p w:rsidR="0052077C" w:rsidRPr="004B7EB6" w:rsidRDefault="0052077C" w:rsidP="006B26B2">
                      <w:pPr>
                        <w:jc w:val="right"/>
                        <w:rPr>
                          <w:rFonts w:asciiTheme="minorHAnsi" w:hAnsiTheme="minorHAnsi"/>
                          <w:color w:val="FFFFFF" w:themeColor="background1"/>
                          <w:sz w:val="22"/>
                        </w:rPr>
                      </w:pPr>
                      <w:r w:rsidRPr="004B7EB6">
                        <w:rPr>
                          <w:rFonts w:asciiTheme="minorHAnsi" w:hAnsiTheme="minorHAnsi"/>
                          <w:color w:val="FFFFFF" w:themeColor="background1"/>
                          <w:sz w:val="22"/>
                        </w:rPr>
                        <w:t xml:space="preserve">Original: </w:t>
                      </w:r>
                      <w:r w:rsidR="000B279A">
                        <w:rPr>
                          <w:rFonts w:asciiTheme="minorHAnsi" w:hAnsiTheme="minorHAnsi"/>
                          <w:color w:val="FFFFFF" w:themeColor="background1"/>
                          <w:sz w:val="22"/>
                        </w:rPr>
                        <w:t>Spanish</w:t>
                      </w:r>
                    </w:p>
                  </w:txbxContent>
                </v:textbox>
              </v:shape>
            </w:pict>
          </mc:Fallback>
        </mc:AlternateContent>
      </w:r>
      <w:r w:rsidR="003D3BC2" w:rsidRPr="006C6C80">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2B01E2E8" wp14:editId="026AB833">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2077C" w:rsidRPr="00882CDF" w:rsidRDefault="0052077C" w:rsidP="00997BC5">
                            <w:pPr>
                              <w:spacing w:line="276" w:lineRule="auto"/>
                              <w:rPr>
                                <w:rFonts w:asciiTheme="majorHAnsi" w:hAnsiTheme="majorHAnsi" w:cs="Arial"/>
                                <w:b/>
                                <w:bCs/>
                                <w:color w:val="0D0D0D" w:themeColor="text1" w:themeTint="F2"/>
                                <w:sz w:val="36"/>
                                <w:szCs w:val="22"/>
                              </w:rPr>
                            </w:pPr>
                            <w:r w:rsidRPr="00882CDF">
                              <w:rPr>
                                <w:rFonts w:asciiTheme="majorHAnsi" w:hAnsiTheme="majorHAnsi" w:cs="Arial"/>
                                <w:b/>
                                <w:bCs/>
                                <w:color w:val="0D0D0D" w:themeColor="text1" w:themeTint="F2"/>
                                <w:sz w:val="36"/>
                                <w:szCs w:val="22"/>
                              </w:rPr>
                              <w:t xml:space="preserve">REPORT </w:t>
                            </w:r>
                            <w:r w:rsidRPr="00882CDF">
                              <w:rPr>
                                <w:rFonts w:asciiTheme="majorHAnsi" w:hAnsiTheme="majorHAnsi" w:cs="Arial"/>
                                <w:b/>
                                <w:bCs/>
                                <w:color w:val="0D0D0D" w:themeColor="text1" w:themeTint="F2"/>
                                <w:sz w:val="36"/>
                                <w:szCs w:val="40"/>
                              </w:rPr>
                              <w:t>No.</w:t>
                            </w:r>
                            <w:r w:rsidR="000B279A">
                              <w:rPr>
                                <w:rFonts w:asciiTheme="majorHAnsi" w:hAnsiTheme="majorHAnsi" w:cs="Arial"/>
                                <w:b/>
                                <w:bCs/>
                                <w:color w:val="0D0D0D" w:themeColor="text1" w:themeTint="F2"/>
                                <w:sz w:val="36"/>
                                <w:szCs w:val="22"/>
                              </w:rPr>
                              <w:t xml:space="preserve"> 157</w:t>
                            </w:r>
                            <w:r w:rsidRPr="00882CDF">
                              <w:rPr>
                                <w:rFonts w:asciiTheme="majorHAnsi" w:hAnsiTheme="majorHAnsi" w:cs="Arial"/>
                                <w:b/>
                                <w:bCs/>
                                <w:color w:val="0D0D0D" w:themeColor="text1" w:themeTint="F2"/>
                                <w:sz w:val="36"/>
                                <w:szCs w:val="22"/>
                              </w:rPr>
                              <w:t>/19</w:t>
                            </w:r>
                          </w:p>
                          <w:p w:rsidR="0052077C" w:rsidRPr="008E2B8E" w:rsidRDefault="0052077C" w:rsidP="00997BC5">
                            <w:pPr>
                              <w:spacing w:line="276" w:lineRule="auto"/>
                              <w:rPr>
                                <w:rFonts w:asciiTheme="majorHAnsi" w:hAnsiTheme="majorHAnsi" w:cs="Arial"/>
                                <w:b/>
                                <w:color w:val="0D0D0D" w:themeColor="text1" w:themeTint="F2"/>
                                <w:sz w:val="36"/>
                                <w:szCs w:val="22"/>
                              </w:rPr>
                            </w:pPr>
                            <w:r w:rsidRPr="008E2B8E">
                              <w:rPr>
                                <w:rFonts w:asciiTheme="majorHAnsi" w:hAnsiTheme="majorHAnsi" w:cs="Arial"/>
                                <w:b/>
                                <w:color w:val="0D0D0D" w:themeColor="text1" w:themeTint="F2"/>
                                <w:sz w:val="36"/>
                                <w:szCs w:val="22"/>
                              </w:rPr>
                              <w:t>CASE 12.432</w:t>
                            </w:r>
                          </w:p>
                          <w:p w:rsidR="0052077C" w:rsidRPr="008E2B8E" w:rsidRDefault="0052077C" w:rsidP="000158FD">
                            <w:pPr>
                              <w:spacing w:line="276" w:lineRule="auto"/>
                              <w:rPr>
                                <w:rFonts w:asciiTheme="majorHAnsi" w:hAnsiTheme="majorHAnsi" w:cs="Arial"/>
                                <w:color w:val="0D0D0D" w:themeColor="text1" w:themeTint="F2"/>
                                <w:szCs w:val="22"/>
                              </w:rPr>
                            </w:pPr>
                            <w:r w:rsidRPr="008E2B8E">
                              <w:rPr>
                                <w:rFonts w:asciiTheme="majorHAnsi" w:hAnsiTheme="majorHAnsi" w:cs="Arial"/>
                                <w:color w:val="0D0D0D" w:themeColor="text1" w:themeTint="F2"/>
                                <w:szCs w:val="22"/>
                              </w:rPr>
                              <w:t>MERITS REPORT</w:t>
                            </w:r>
                          </w:p>
                          <w:p w:rsidR="0052077C" w:rsidRPr="008E2B8E" w:rsidRDefault="0052077C" w:rsidP="00997BC5">
                            <w:pPr>
                              <w:spacing w:line="276" w:lineRule="auto"/>
                              <w:rPr>
                                <w:rFonts w:asciiTheme="majorHAnsi" w:hAnsiTheme="majorHAnsi" w:cs="Arial"/>
                                <w:color w:val="0D0D0D" w:themeColor="text1" w:themeTint="F2"/>
                                <w:szCs w:val="22"/>
                              </w:rPr>
                            </w:pPr>
                            <w:bookmarkStart w:id="1" w:name="_ftnref1"/>
                          </w:p>
                          <w:p w:rsidR="0052077C" w:rsidRPr="00E875E7" w:rsidRDefault="0052077C" w:rsidP="00997BC5">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FORMER EMPLOYEES</w:t>
                            </w:r>
                            <w:r w:rsidRPr="00E875E7">
                              <w:rPr>
                                <w:rFonts w:asciiTheme="majorHAnsi" w:hAnsiTheme="majorHAnsi" w:cs="Arial"/>
                                <w:color w:val="0D0D0D" w:themeColor="text1" w:themeTint="F2"/>
                                <w:szCs w:val="22"/>
                              </w:rPr>
                              <w:t xml:space="preserve"> OF THE JUDICIARY</w:t>
                            </w:r>
                          </w:p>
                          <w:bookmarkEnd w:id="1"/>
                          <w:p w:rsidR="0052077C" w:rsidRPr="00E875E7" w:rsidRDefault="0052077C" w:rsidP="00997BC5">
                            <w:pPr>
                              <w:spacing w:line="276" w:lineRule="auto"/>
                              <w:rPr>
                                <w:rFonts w:asciiTheme="majorHAnsi" w:hAnsiTheme="majorHAnsi" w:cs="Arial"/>
                                <w:color w:val="0D0D0D" w:themeColor="text1" w:themeTint="F2"/>
                                <w:szCs w:val="22"/>
                              </w:rPr>
                            </w:pPr>
                            <w:r w:rsidRPr="00E875E7">
                              <w:rPr>
                                <w:rFonts w:asciiTheme="majorHAnsi" w:hAnsiTheme="majorHAnsi" w:cs="Arial"/>
                                <w:color w:val="0D0D0D" w:themeColor="text1" w:themeTint="F2"/>
                                <w:szCs w:val="22"/>
                              </w:rPr>
                              <w:t>GUATEMALA</w:t>
                            </w:r>
                          </w:p>
                          <w:p w:rsidR="0052077C" w:rsidRPr="00E875E7" w:rsidRDefault="0052077C" w:rsidP="007A5817">
                            <w:pPr>
                              <w:rPr>
                                <w:color w:val="0D0D0D" w:themeColor="text1" w:themeTint="F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01E2E8" id="Text Box 5" o:spid="_x0000_s1028"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" filled="f" stroked="f" strokeweight=".5pt">
                <v:textbox>
                  <w:txbxContent>
                    <w:p w:rsidR="0052077C" w:rsidRPr="00882CDF" w:rsidRDefault="0052077C" w:rsidP="00997BC5">
                      <w:pPr>
                        <w:spacing w:line="276" w:lineRule="auto"/>
                        <w:rPr>
                          <w:rFonts w:asciiTheme="majorHAnsi" w:hAnsiTheme="majorHAnsi" w:cs="Arial"/>
                          <w:b/>
                          <w:bCs/>
                          <w:color w:val="0D0D0D" w:themeColor="text1" w:themeTint="F2"/>
                          <w:sz w:val="36"/>
                          <w:szCs w:val="22"/>
                        </w:rPr>
                      </w:pPr>
                      <w:r w:rsidRPr="00882CDF">
                        <w:rPr>
                          <w:rFonts w:asciiTheme="majorHAnsi" w:hAnsiTheme="majorHAnsi" w:cs="Arial"/>
                          <w:b/>
                          <w:bCs/>
                          <w:color w:val="0D0D0D" w:themeColor="text1" w:themeTint="F2"/>
                          <w:sz w:val="36"/>
                          <w:szCs w:val="22"/>
                        </w:rPr>
                        <w:t xml:space="preserve">REPORT </w:t>
                      </w:r>
                      <w:r w:rsidRPr="00882CDF">
                        <w:rPr>
                          <w:rFonts w:asciiTheme="majorHAnsi" w:hAnsiTheme="majorHAnsi" w:cs="Arial"/>
                          <w:b/>
                          <w:bCs/>
                          <w:color w:val="0D0D0D" w:themeColor="text1" w:themeTint="F2"/>
                          <w:sz w:val="36"/>
                          <w:szCs w:val="40"/>
                        </w:rPr>
                        <w:t>No.</w:t>
                      </w:r>
                      <w:r w:rsidR="000B279A">
                        <w:rPr>
                          <w:rFonts w:asciiTheme="majorHAnsi" w:hAnsiTheme="majorHAnsi" w:cs="Arial"/>
                          <w:b/>
                          <w:bCs/>
                          <w:color w:val="0D0D0D" w:themeColor="text1" w:themeTint="F2"/>
                          <w:sz w:val="36"/>
                          <w:szCs w:val="22"/>
                        </w:rPr>
                        <w:t xml:space="preserve"> 157</w:t>
                      </w:r>
                      <w:r w:rsidRPr="00882CDF">
                        <w:rPr>
                          <w:rFonts w:asciiTheme="majorHAnsi" w:hAnsiTheme="majorHAnsi" w:cs="Arial"/>
                          <w:b/>
                          <w:bCs/>
                          <w:color w:val="0D0D0D" w:themeColor="text1" w:themeTint="F2"/>
                          <w:sz w:val="36"/>
                          <w:szCs w:val="22"/>
                        </w:rPr>
                        <w:t>/19</w:t>
                      </w:r>
                    </w:p>
                    <w:p w:rsidR="0052077C" w:rsidRPr="008E2B8E" w:rsidRDefault="0052077C" w:rsidP="00997BC5">
                      <w:pPr>
                        <w:spacing w:line="276" w:lineRule="auto"/>
                        <w:rPr>
                          <w:rFonts w:asciiTheme="majorHAnsi" w:hAnsiTheme="majorHAnsi" w:cs="Arial"/>
                          <w:b/>
                          <w:color w:val="0D0D0D" w:themeColor="text1" w:themeTint="F2"/>
                          <w:sz w:val="36"/>
                          <w:szCs w:val="22"/>
                        </w:rPr>
                      </w:pPr>
                      <w:r w:rsidRPr="008E2B8E">
                        <w:rPr>
                          <w:rFonts w:asciiTheme="majorHAnsi" w:hAnsiTheme="majorHAnsi" w:cs="Arial"/>
                          <w:b/>
                          <w:color w:val="0D0D0D" w:themeColor="text1" w:themeTint="F2"/>
                          <w:sz w:val="36"/>
                          <w:szCs w:val="22"/>
                        </w:rPr>
                        <w:t>CASE 12.432</w:t>
                      </w:r>
                    </w:p>
                    <w:p w:rsidR="0052077C" w:rsidRPr="008E2B8E" w:rsidRDefault="0052077C" w:rsidP="000158FD">
                      <w:pPr>
                        <w:spacing w:line="276" w:lineRule="auto"/>
                        <w:rPr>
                          <w:rFonts w:asciiTheme="majorHAnsi" w:hAnsiTheme="majorHAnsi" w:cs="Arial"/>
                          <w:color w:val="0D0D0D" w:themeColor="text1" w:themeTint="F2"/>
                          <w:szCs w:val="22"/>
                        </w:rPr>
                      </w:pPr>
                      <w:r w:rsidRPr="008E2B8E">
                        <w:rPr>
                          <w:rFonts w:asciiTheme="majorHAnsi" w:hAnsiTheme="majorHAnsi" w:cs="Arial"/>
                          <w:color w:val="0D0D0D" w:themeColor="text1" w:themeTint="F2"/>
                          <w:szCs w:val="22"/>
                        </w:rPr>
                        <w:t>MERITS REPORT</w:t>
                      </w:r>
                    </w:p>
                    <w:p w:rsidR="0052077C" w:rsidRPr="008E2B8E" w:rsidRDefault="0052077C" w:rsidP="00997BC5">
                      <w:pPr>
                        <w:spacing w:line="276" w:lineRule="auto"/>
                        <w:rPr>
                          <w:rFonts w:asciiTheme="majorHAnsi" w:hAnsiTheme="majorHAnsi" w:cs="Arial"/>
                          <w:color w:val="0D0D0D" w:themeColor="text1" w:themeTint="F2"/>
                          <w:szCs w:val="22"/>
                        </w:rPr>
                      </w:pPr>
                      <w:bookmarkStart w:id="2" w:name="_ftnref1"/>
                    </w:p>
                    <w:p w:rsidR="0052077C" w:rsidRPr="00E875E7" w:rsidRDefault="0052077C" w:rsidP="00997BC5">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FORMER EMPLOYEES</w:t>
                      </w:r>
                      <w:r w:rsidRPr="00E875E7">
                        <w:rPr>
                          <w:rFonts w:asciiTheme="majorHAnsi" w:hAnsiTheme="majorHAnsi" w:cs="Arial"/>
                          <w:color w:val="0D0D0D" w:themeColor="text1" w:themeTint="F2"/>
                          <w:szCs w:val="22"/>
                        </w:rPr>
                        <w:t xml:space="preserve"> OF THE JUDICIARY</w:t>
                      </w:r>
                    </w:p>
                    <w:bookmarkEnd w:id="2"/>
                    <w:p w:rsidR="0052077C" w:rsidRPr="00E875E7" w:rsidRDefault="0052077C" w:rsidP="00997BC5">
                      <w:pPr>
                        <w:spacing w:line="276" w:lineRule="auto"/>
                        <w:rPr>
                          <w:rFonts w:asciiTheme="majorHAnsi" w:hAnsiTheme="majorHAnsi" w:cs="Arial"/>
                          <w:color w:val="0D0D0D" w:themeColor="text1" w:themeTint="F2"/>
                          <w:szCs w:val="22"/>
                        </w:rPr>
                      </w:pPr>
                      <w:r w:rsidRPr="00E875E7">
                        <w:rPr>
                          <w:rFonts w:asciiTheme="majorHAnsi" w:hAnsiTheme="majorHAnsi" w:cs="Arial"/>
                          <w:color w:val="0D0D0D" w:themeColor="text1" w:themeTint="F2"/>
                          <w:szCs w:val="22"/>
                        </w:rPr>
                        <w:t>GUATEMALA</w:t>
                      </w:r>
                    </w:p>
                    <w:p w:rsidR="0052077C" w:rsidRPr="00E875E7" w:rsidRDefault="0052077C" w:rsidP="007A5817">
                      <w:pPr>
                        <w:rPr>
                          <w:color w:val="0D0D0D" w:themeColor="text1" w:themeTint="F2"/>
                        </w:rPr>
                      </w:pPr>
                    </w:p>
                  </w:txbxContent>
                </v:textbox>
              </v:shape>
            </w:pict>
          </mc:Fallback>
        </mc:AlternateContent>
      </w:r>
      <w:r w:rsidR="004E2649" w:rsidRPr="006C6C80">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53292ECE" wp14:editId="6DF56A1B">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2077C" w:rsidRPr="004E2649" w:rsidRDefault="0052077C"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OEA/Ser.L/V/II.XX</w:t>
                            </w:r>
                          </w:p>
                          <w:p w:rsidR="0052077C" w:rsidRPr="004E2649" w:rsidRDefault="0052077C"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Doc. XX</w:t>
                            </w:r>
                          </w:p>
                          <w:p w:rsidR="0052077C" w:rsidRPr="00882CDF" w:rsidRDefault="0052077C" w:rsidP="007A5817">
                            <w:pPr>
                              <w:spacing w:line="276" w:lineRule="auto"/>
                              <w:jc w:val="right"/>
                              <w:rPr>
                                <w:rFonts w:asciiTheme="minorHAnsi" w:hAnsiTheme="minorHAnsi"/>
                                <w:color w:val="FFFFFF" w:themeColor="background1"/>
                                <w:sz w:val="22"/>
                                <w:lang w:val="es-VE"/>
                              </w:rPr>
                            </w:pPr>
                            <w:r w:rsidRPr="00882CDF">
                              <w:rPr>
                                <w:rFonts w:asciiTheme="minorHAnsi" w:hAnsiTheme="minorHAnsi"/>
                                <w:color w:val="FFFFFF" w:themeColor="background1"/>
                                <w:sz w:val="22"/>
                                <w:lang w:val="es-VE"/>
                              </w:rPr>
                              <w:t>XX de xx 20XX</w:t>
                            </w:r>
                          </w:p>
                          <w:p w:rsidR="0052077C" w:rsidRPr="007C756A" w:rsidRDefault="0052077C" w:rsidP="007A5817">
                            <w:pPr>
                              <w:spacing w:line="276" w:lineRule="auto"/>
                              <w:jc w:val="right"/>
                              <w:rPr>
                                <w:rFonts w:asciiTheme="minorHAnsi" w:hAnsiTheme="minorHAnsi"/>
                                <w:color w:val="FFFFFF" w:themeColor="background1"/>
                                <w:sz w:val="22"/>
                                <w:lang w:val="es-US"/>
                              </w:rPr>
                            </w:pPr>
                            <w:r w:rsidRPr="007C756A">
                              <w:rPr>
                                <w:rFonts w:asciiTheme="minorHAnsi" w:hAnsiTheme="minorHAnsi"/>
                                <w:color w:val="FFFFFF" w:themeColor="background1"/>
                                <w:sz w:val="22"/>
                                <w:lang w:val="es-US"/>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292ECE" id="Text Box 8" o:spid="_x0000_s1029"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MSSnVJ+&#10;AgAAagUAAA4AAAAAAAAAAAAAAAAALgIAAGRycy9lMm9Eb2MueG1sUEsBAi0AFAAGAAgAAAAhAKlP&#10;pHfhAAAACgEAAA8AAAAAAAAAAAAAAAAA2AQAAGRycy9kb3ducmV2LnhtbFBLBQYAAAAABAAEAPMA&#10;AADmBQAAAAA=&#10;" filled="f" stroked="f" strokeweight=".5pt">
                <v:textbox>
                  <w:txbxContent>
                    <w:p w:rsidR="0052077C" w:rsidRPr="004E2649" w:rsidRDefault="0052077C"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OEA/Ser.L/V/II.XX</w:t>
                      </w:r>
                    </w:p>
                    <w:p w:rsidR="0052077C" w:rsidRPr="004E2649" w:rsidRDefault="0052077C"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Doc. XX</w:t>
                      </w:r>
                    </w:p>
                    <w:p w:rsidR="0052077C" w:rsidRPr="00882CDF" w:rsidRDefault="0052077C" w:rsidP="007A5817">
                      <w:pPr>
                        <w:spacing w:line="276" w:lineRule="auto"/>
                        <w:jc w:val="right"/>
                        <w:rPr>
                          <w:rFonts w:asciiTheme="minorHAnsi" w:hAnsiTheme="minorHAnsi"/>
                          <w:color w:val="FFFFFF" w:themeColor="background1"/>
                          <w:sz w:val="22"/>
                          <w:lang w:val="es-VE"/>
                        </w:rPr>
                      </w:pPr>
                      <w:r w:rsidRPr="00882CDF">
                        <w:rPr>
                          <w:rFonts w:asciiTheme="minorHAnsi" w:hAnsiTheme="minorHAnsi"/>
                          <w:color w:val="FFFFFF" w:themeColor="background1"/>
                          <w:sz w:val="22"/>
                          <w:lang w:val="es-VE"/>
                        </w:rPr>
                        <w:t>XX de xx 20XX</w:t>
                      </w:r>
                    </w:p>
                    <w:p w:rsidR="0052077C" w:rsidRPr="007C756A" w:rsidRDefault="0052077C" w:rsidP="007A5817">
                      <w:pPr>
                        <w:spacing w:line="276" w:lineRule="auto"/>
                        <w:jc w:val="right"/>
                        <w:rPr>
                          <w:rFonts w:asciiTheme="minorHAnsi" w:hAnsiTheme="minorHAnsi"/>
                          <w:color w:val="FFFFFF" w:themeColor="background1"/>
                          <w:sz w:val="22"/>
                          <w:lang w:val="es-US"/>
                        </w:rPr>
                      </w:pPr>
                      <w:r w:rsidRPr="007C756A">
                        <w:rPr>
                          <w:rFonts w:asciiTheme="minorHAnsi" w:hAnsiTheme="minorHAnsi"/>
                          <w:color w:val="FFFFFF" w:themeColor="background1"/>
                          <w:sz w:val="22"/>
                          <w:lang w:val="es-US"/>
                        </w:rPr>
                        <w:t>Original: español</w:t>
                      </w:r>
                    </w:p>
                  </w:txbxContent>
                </v:textbox>
              </v:shape>
            </w:pict>
          </mc:Fallback>
        </mc:AlternateContent>
      </w:r>
    </w:p>
    <w:p w:rsidR="00040C3A" w:rsidRPr="006C6C80" w:rsidRDefault="00040C3A" w:rsidP="00B54921">
      <w:pPr>
        <w:tabs>
          <w:tab w:val="left" w:pos="720"/>
          <w:tab w:val="center" w:pos="5400"/>
        </w:tabs>
        <w:suppressAutoHyphens/>
        <w:jc w:val="center"/>
        <w:rPr>
          <w:rFonts w:asciiTheme="majorHAnsi" w:hAnsiTheme="majorHAnsi"/>
          <w:sz w:val="22"/>
          <w:szCs w:val="22"/>
        </w:rPr>
      </w:pPr>
    </w:p>
    <w:p w:rsidR="00040C3A" w:rsidRPr="006C6C80" w:rsidRDefault="00040C3A" w:rsidP="00B54921">
      <w:pPr>
        <w:tabs>
          <w:tab w:val="left" w:pos="720"/>
          <w:tab w:val="center" w:pos="5400"/>
        </w:tabs>
        <w:suppressAutoHyphens/>
        <w:jc w:val="center"/>
        <w:rPr>
          <w:rFonts w:asciiTheme="majorHAnsi" w:hAnsiTheme="majorHAnsi"/>
          <w:sz w:val="22"/>
          <w:szCs w:val="22"/>
        </w:rPr>
      </w:pPr>
    </w:p>
    <w:p w:rsidR="00040C3A" w:rsidRPr="006C6C80" w:rsidRDefault="00040C3A" w:rsidP="00B54921">
      <w:pPr>
        <w:tabs>
          <w:tab w:val="left" w:pos="720"/>
          <w:tab w:val="center" w:pos="5400"/>
        </w:tabs>
        <w:suppressAutoHyphens/>
        <w:jc w:val="center"/>
        <w:rPr>
          <w:rFonts w:asciiTheme="majorHAnsi" w:hAnsiTheme="majorHAnsi" w:cs="Arial"/>
          <w:sz w:val="22"/>
          <w:szCs w:val="22"/>
        </w:rPr>
      </w:pPr>
    </w:p>
    <w:p w:rsidR="00040C3A" w:rsidRPr="006C6C80" w:rsidRDefault="00040C3A" w:rsidP="00B54921">
      <w:pPr>
        <w:tabs>
          <w:tab w:val="left" w:pos="720"/>
          <w:tab w:val="center" w:pos="5400"/>
        </w:tabs>
        <w:suppressAutoHyphens/>
        <w:jc w:val="center"/>
        <w:rPr>
          <w:rFonts w:asciiTheme="majorHAnsi" w:hAnsiTheme="majorHAnsi"/>
          <w:sz w:val="22"/>
          <w:szCs w:val="22"/>
        </w:rPr>
      </w:pPr>
    </w:p>
    <w:p w:rsidR="00040C3A" w:rsidRPr="006C6C80" w:rsidRDefault="00040C3A" w:rsidP="00B54921">
      <w:pPr>
        <w:tabs>
          <w:tab w:val="left" w:pos="720"/>
          <w:tab w:val="center" w:pos="5400"/>
        </w:tabs>
        <w:suppressAutoHyphens/>
        <w:jc w:val="center"/>
        <w:rPr>
          <w:rFonts w:asciiTheme="majorHAnsi" w:hAnsiTheme="majorHAnsi"/>
          <w:sz w:val="22"/>
          <w:szCs w:val="22"/>
        </w:rPr>
      </w:pPr>
    </w:p>
    <w:p w:rsidR="00040C3A" w:rsidRPr="006C6C80" w:rsidRDefault="00040C3A" w:rsidP="00B54921">
      <w:pPr>
        <w:tabs>
          <w:tab w:val="left" w:pos="720"/>
          <w:tab w:val="center" w:pos="5400"/>
        </w:tabs>
        <w:suppressAutoHyphens/>
        <w:jc w:val="center"/>
        <w:rPr>
          <w:rFonts w:asciiTheme="majorHAnsi" w:hAnsiTheme="majorHAnsi"/>
          <w:sz w:val="22"/>
          <w:szCs w:val="22"/>
        </w:rPr>
      </w:pPr>
    </w:p>
    <w:p w:rsidR="00040C3A" w:rsidRPr="006C6C80" w:rsidRDefault="00040C3A" w:rsidP="00B54921">
      <w:pPr>
        <w:tabs>
          <w:tab w:val="left" w:pos="720"/>
          <w:tab w:val="center" w:pos="5400"/>
        </w:tabs>
        <w:suppressAutoHyphens/>
        <w:jc w:val="center"/>
        <w:rPr>
          <w:rFonts w:asciiTheme="majorHAnsi" w:hAnsiTheme="majorHAnsi"/>
          <w:sz w:val="22"/>
          <w:szCs w:val="22"/>
        </w:rPr>
      </w:pPr>
    </w:p>
    <w:p w:rsidR="005128E4" w:rsidRPr="006C6C80" w:rsidRDefault="005128E4" w:rsidP="00B54921">
      <w:pPr>
        <w:tabs>
          <w:tab w:val="left" w:pos="720"/>
          <w:tab w:val="center" w:pos="5400"/>
        </w:tabs>
        <w:suppressAutoHyphens/>
        <w:jc w:val="center"/>
        <w:rPr>
          <w:rFonts w:asciiTheme="majorHAnsi" w:hAnsiTheme="majorHAnsi"/>
          <w:sz w:val="22"/>
          <w:szCs w:val="22"/>
        </w:rPr>
      </w:pPr>
    </w:p>
    <w:p w:rsidR="00040C3A" w:rsidRPr="006C6C80" w:rsidRDefault="00040C3A" w:rsidP="00B54921">
      <w:pPr>
        <w:tabs>
          <w:tab w:val="left" w:pos="720"/>
          <w:tab w:val="center" w:pos="5400"/>
        </w:tabs>
        <w:suppressAutoHyphens/>
        <w:jc w:val="center"/>
        <w:rPr>
          <w:rFonts w:asciiTheme="majorHAnsi" w:hAnsiTheme="majorHAnsi"/>
          <w:sz w:val="22"/>
          <w:szCs w:val="22"/>
        </w:rPr>
      </w:pPr>
    </w:p>
    <w:p w:rsidR="005128E4" w:rsidRPr="006C6C80" w:rsidRDefault="005128E4" w:rsidP="00B54921">
      <w:pPr>
        <w:tabs>
          <w:tab w:val="left" w:pos="720"/>
          <w:tab w:val="center" w:pos="5400"/>
        </w:tabs>
        <w:suppressAutoHyphens/>
        <w:jc w:val="center"/>
        <w:rPr>
          <w:rFonts w:asciiTheme="majorHAnsi" w:hAnsiTheme="majorHAnsi"/>
          <w:sz w:val="22"/>
          <w:szCs w:val="22"/>
        </w:rPr>
      </w:pPr>
    </w:p>
    <w:p w:rsidR="005128E4" w:rsidRPr="006C6C80" w:rsidRDefault="005128E4" w:rsidP="00B54921">
      <w:pPr>
        <w:tabs>
          <w:tab w:val="left" w:pos="720"/>
          <w:tab w:val="center" w:pos="5400"/>
        </w:tabs>
        <w:suppressAutoHyphens/>
        <w:jc w:val="center"/>
        <w:rPr>
          <w:rFonts w:asciiTheme="majorHAnsi" w:hAnsiTheme="majorHAnsi"/>
          <w:sz w:val="22"/>
          <w:szCs w:val="22"/>
        </w:rPr>
      </w:pPr>
    </w:p>
    <w:p w:rsidR="005128E4" w:rsidRPr="006C6C80" w:rsidRDefault="005128E4" w:rsidP="00B54921">
      <w:pPr>
        <w:tabs>
          <w:tab w:val="left" w:pos="720"/>
          <w:tab w:val="center" w:pos="5400"/>
        </w:tabs>
        <w:suppressAutoHyphens/>
        <w:jc w:val="center"/>
        <w:rPr>
          <w:rFonts w:asciiTheme="majorHAnsi" w:hAnsiTheme="majorHAnsi"/>
          <w:sz w:val="22"/>
          <w:szCs w:val="22"/>
        </w:rPr>
      </w:pPr>
    </w:p>
    <w:p w:rsidR="00040C3A" w:rsidRPr="006C6C80" w:rsidRDefault="00040C3A" w:rsidP="00B54921">
      <w:pPr>
        <w:tabs>
          <w:tab w:val="left" w:pos="720"/>
          <w:tab w:val="center" w:pos="5400"/>
        </w:tabs>
        <w:suppressAutoHyphens/>
        <w:jc w:val="center"/>
        <w:rPr>
          <w:rFonts w:asciiTheme="majorHAnsi" w:hAnsiTheme="majorHAnsi"/>
          <w:sz w:val="22"/>
          <w:szCs w:val="22"/>
        </w:rPr>
      </w:pPr>
    </w:p>
    <w:p w:rsidR="00040C3A" w:rsidRPr="006C6C80" w:rsidRDefault="00040C3A" w:rsidP="00B54921">
      <w:pPr>
        <w:tabs>
          <w:tab w:val="left" w:pos="720"/>
          <w:tab w:val="center" w:pos="5400"/>
        </w:tabs>
        <w:suppressAutoHyphens/>
        <w:jc w:val="center"/>
        <w:rPr>
          <w:rFonts w:asciiTheme="majorHAnsi" w:hAnsiTheme="majorHAnsi"/>
          <w:sz w:val="22"/>
          <w:szCs w:val="22"/>
        </w:rPr>
      </w:pPr>
    </w:p>
    <w:p w:rsidR="00A50FCF" w:rsidRPr="006C6C80" w:rsidRDefault="00A50FCF" w:rsidP="00B54921">
      <w:pPr>
        <w:tabs>
          <w:tab w:val="left" w:pos="720"/>
          <w:tab w:val="center" w:pos="5400"/>
        </w:tabs>
        <w:suppressAutoHyphens/>
        <w:jc w:val="center"/>
        <w:rPr>
          <w:rFonts w:asciiTheme="majorHAnsi" w:hAnsiTheme="majorHAnsi"/>
          <w:sz w:val="18"/>
          <w:szCs w:val="22"/>
        </w:rPr>
      </w:pPr>
    </w:p>
    <w:p w:rsidR="00A50FCF" w:rsidRPr="006C6C80" w:rsidRDefault="00A50FCF" w:rsidP="00B54921">
      <w:pPr>
        <w:tabs>
          <w:tab w:val="left" w:pos="720"/>
          <w:tab w:val="center" w:pos="5400"/>
        </w:tabs>
        <w:suppressAutoHyphens/>
        <w:jc w:val="center"/>
        <w:rPr>
          <w:rFonts w:asciiTheme="majorHAnsi" w:hAnsiTheme="majorHAnsi"/>
          <w:sz w:val="18"/>
          <w:szCs w:val="22"/>
        </w:rPr>
      </w:pPr>
    </w:p>
    <w:p w:rsidR="00A50FCF" w:rsidRPr="006C6C80" w:rsidRDefault="00A50FCF" w:rsidP="00B54921">
      <w:pPr>
        <w:tabs>
          <w:tab w:val="left" w:pos="720"/>
          <w:tab w:val="center" w:pos="5400"/>
        </w:tabs>
        <w:suppressAutoHyphens/>
        <w:jc w:val="center"/>
        <w:rPr>
          <w:rFonts w:asciiTheme="majorHAnsi" w:hAnsiTheme="majorHAnsi"/>
          <w:sz w:val="18"/>
          <w:szCs w:val="22"/>
        </w:rPr>
      </w:pPr>
    </w:p>
    <w:p w:rsidR="00A50FCF" w:rsidRPr="006C6C80" w:rsidRDefault="00A50FCF" w:rsidP="00B54921">
      <w:pPr>
        <w:tabs>
          <w:tab w:val="left" w:pos="720"/>
          <w:tab w:val="center" w:pos="5400"/>
        </w:tabs>
        <w:suppressAutoHyphens/>
        <w:jc w:val="center"/>
        <w:rPr>
          <w:rFonts w:asciiTheme="majorHAnsi" w:hAnsiTheme="majorHAnsi"/>
          <w:sz w:val="18"/>
          <w:szCs w:val="22"/>
        </w:rPr>
      </w:pPr>
    </w:p>
    <w:p w:rsidR="00A50FCF" w:rsidRPr="006C6C80" w:rsidRDefault="00A50FCF" w:rsidP="00B54921">
      <w:pPr>
        <w:tabs>
          <w:tab w:val="left" w:pos="720"/>
          <w:tab w:val="center" w:pos="5400"/>
        </w:tabs>
        <w:suppressAutoHyphens/>
        <w:jc w:val="center"/>
        <w:rPr>
          <w:rFonts w:asciiTheme="majorHAnsi" w:hAnsiTheme="majorHAnsi"/>
          <w:sz w:val="18"/>
          <w:szCs w:val="22"/>
        </w:rPr>
      </w:pPr>
    </w:p>
    <w:p w:rsidR="00A50FCF" w:rsidRPr="006C6C80" w:rsidRDefault="00A50FCF" w:rsidP="00B54921">
      <w:pPr>
        <w:tabs>
          <w:tab w:val="left" w:pos="720"/>
          <w:tab w:val="center" w:pos="5400"/>
        </w:tabs>
        <w:suppressAutoHyphens/>
        <w:jc w:val="center"/>
        <w:rPr>
          <w:rFonts w:asciiTheme="majorHAnsi" w:hAnsiTheme="majorHAnsi"/>
          <w:sz w:val="18"/>
          <w:szCs w:val="22"/>
        </w:rPr>
      </w:pPr>
    </w:p>
    <w:p w:rsidR="00A50FCF" w:rsidRPr="006C6C80" w:rsidRDefault="00A50FCF" w:rsidP="00B54921">
      <w:pPr>
        <w:tabs>
          <w:tab w:val="left" w:pos="720"/>
          <w:tab w:val="center" w:pos="5400"/>
        </w:tabs>
        <w:suppressAutoHyphens/>
        <w:jc w:val="center"/>
        <w:rPr>
          <w:rFonts w:asciiTheme="majorHAnsi" w:hAnsiTheme="majorHAnsi"/>
          <w:sz w:val="18"/>
          <w:szCs w:val="22"/>
        </w:rPr>
      </w:pPr>
    </w:p>
    <w:p w:rsidR="00A50FCF" w:rsidRPr="006C6C80" w:rsidRDefault="00A50FCF" w:rsidP="00B54921">
      <w:pPr>
        <w:tabs>
          <w:tab w:val="left" w:pos="720"/>
          <w:tab w:val="center" w:pos="5400"/>
        </w:tabs>
        <w:suppressAutoHyphens/>
        <w:jc w:val="center"/>
        <w:rPr>
          <w:rFonts w:asciiTheme="majorHAnsi" w:hAnsiTheme="majorHAnsi"/>
          <w:sz w:val="18"/>
          <w:szCs w:val="22"/>
        </w:rPr>
      </w:pPr>
    </w:p>
    <w:p w:rsidR="00A50FCF" w:rsidRPr="006C6C80" w:rsidRDefault="00A50FCF" w:rsidP="00B54921">
      <w:pPr>
        <w:tabs>
          <w:tab w:val="left" w:pos="720"/>
          <w:tab w:val="center" w:pos="5400"/>
        </w:tabs>
        <w:suppressAutoHyphens/>
        <w:jc w:val="center"/>
        <w:rPr>
          <w:rFonts w:asciiTheme="majorHAnsi" w:hAnsiTheme="majorHAnsi"/>
          <w:sz w:val="18"/>
          <w:szCs w:val="22"/>
        </w:rPr>
      </w:pPr>
    </w:p>
    <w:p w:rsidR="00A50FCF" w:rsidRPr="006C6C80" w:rsidRDefault="00A50FCF" w:rsidP="00B54921">
      <w:pPr>
        <w:tabs>
          <w:tab w:val="left" w:pos="720"/>
          <w:tab w:val="center" w:pos="5400"/>
        </w:tabs>
        <w:suppressAutoHyphens/>
        <w:jc w:val="center"/>
        <w:rPr>
          <w:rFonts w:asciiTheme="majorHAnsi" w:hAnsiTheme="majorHAnsi"/>
          <w:sz w:val="18"/>
          <w:szCs w:val="22"/>
        </w:rPr>
      </w:pPr>
    </w:p>
    <w:p w:rsidR="00A50FCF" w:rsidRPr="006C6C80" w:rsidRDefault="00A50FCF" w:rsidP="00B54921">
      <w:pPr>
        <w:tabs>
          <w:tab w:val="left" w:pos="720"/>
          <w:tab w:val="center" w:pos="5400"/>
        </w:tabs>
        <w:suppressAutoHyphens/>
        <w:jc w:val="center"/>
        <w:rPr>
          <w:rFonts w:asciiTheme="majorHAnsi" w:hAnsiTheme="majorHAnsi"/>
          <w:sz w:val="18"/>
          <w:szCs w:val="22"/>
        </w:rPr>
      </w:pPr>
    </w:p>
    <w:p w:rsidR="00A50FCF" w:rsidRPr="006C6C80" w:rsidRDefault="00A50FCF" w:rsidP="00B54921">
      <w:pPr>
        <w:tabs>
          <w:tab w:val="left" w:pos="720"/>
          <w:tab w:val="center" w:pos="5400"/>
        </w:tabs>
        <w:suppressAutoHyphens/>
        <w:jc w:val="center"/>
        <w:rPr>
          <w:rFonts w:asciiTheme="majorHAnsi" w:hAnsiTheme="majorHAnsi"/>
          <w:sz w:val="18"/>
          <w:szCs w:val="22"/>
        </w:rPr>
      </w:pPr>
    </w:p>
    <w:p w:rsidR="00A50FCF" w:rsidRPr="006C6C80" w:rsidRDefault="00A50FCF" w:rsidP="00B54921">
      <w:pPr>
        <w:tabs>
          <w:tab w:val="left" w:pos="720"/>
          <w:tab w:val="center" w:pos="5400"/>
        </w:tabs>
        <w:suppressAutoHyphens/>
        <w:jc w:val="center"/>
        <w:rPr>
          <w:rFonts w:asciiTheme="majorHAnsi" w:hAnsiTheme="majorHAnsi"/>
          <w:sz w:val="18"/>
          <w:szCs w:val="22"/>
        </w:rPr>
      </w:pPr>
    </w:p>
    <w:p w:rsidR="00A50FCF" w:rsidRPr="006C6C80" w:rsidRDefault="00A50FCF" w:rsidP="00B54921">
      <w:pPr>
        <w:tabs>
          <w:tab w:val="left" w:pos="720"/>
          <w:tab w:val="center" w:pos="5400"/>
        </w:tabs>
        <w:suppressAutoHyphens/>
        <w:jc w:val="center"/>
        <w:rPr>
          <w:rFonts w:asciiTheme="majorHAnsi" w:hAnsiTheme="majorHAnsi"/>
          <w:sz w:val="18"/>
          <w:szCs w:val="22"/>
        </w:rPr>
      </w:pPr>
    </w:p>
    <w:p w:rsidR="00A50FCF" w:rsidRPr="006C6C80" w:rsidRDefault="0090270B" w:rsidP="00B54921">
      <w:pPr>
        <w:tabs>
          <w:tab w:val="left" w:pos="720"/>
          <w:tab w:val="center" w:pos="5400"/>
        </w:tabs>
        <w:suppressAutoHyphens/>
        <w:jc w:val="center"/>
        <w:rPr>
          <w:rFonts w:asciiTheme="majorHAnsi" w:hAnsiTheme="majorHAnsi"/>
          <w:sz w:val="18"/>
          <w:szCs w:val="22"/>
        </w:rPr>
      </w:pPr>
      <w:r w:rsidRPr="006C6C80">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7AF47368" wp14:editId="0EFC68A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2077C" w:rsidRPr="00E875E7" w:rsidRDefault="0052077C" w:rsidP="00247403">
                            <w:pPr>
                              <w:tabs>
                                <w:tab w:val="center" w:pos="5400"/>
                              </w:tabs>
                              <w:suppressAutoHyphens/>
                              <w:spacing w:before="60"/>
                              <w:rPr>
                                <w:rFonts w:asciiTheme="majorHAnsi" w:hAnsiTheme="majorHAnsi" w:cs="Univers"/>
                                <w:color w:val="0D0D0D" w:themeColor="text1" w:themeTint="F2"/>
                                <w:sz w:val="18"/>
                                <w:szCs w:val="20"/>
                              </w:rPr>
                            </w:pPr>
                            <w:r w:rsidRPr="00E875E7">
                              <w:rPr>
                                <w:rFonts w:asciiTheme="majorHAnsi" w:hAnsiTheme="majorHAnsi"/>
                                <w:color w:val="0D0D0D" w:themeColor="text1" w:themeTint="F2"/>
                                <w:sz w:val="18"/>
                                <w:szCs w:val="20"/>
                              </w:rPr>
                              <w:t xml:space="preserve">Approved by the </w:t>
                            </w:r>
                            <w:r w:rsidR="000B279A">
                              <w:rPr>
                                <w:rFonts w:asciiTheme="majorHAnsi" w:hAnsiTheme="majorHAnsi"/>
                                <w:color w:val="0D0D0D" w:themeColor="text1" w:themeTint="F2"/>
                                <w:sz w:val="18"/>
                                <w:szCs w:val="20"/>
                              </w:rPr>
                              <w:t>Commission at its session No. 2154 held on September 28, 2019</w:t>
                            </w:r>
                            <w:r w:rsidRPr="00E875E7">
                              <w:rPr>
                                <w:rFonts w:asciiTheme="majorHAnsi" w:hAnsiTheme="majorHAnsi"/>
                                <w:color w:val="0D0D0D" w:themeColor="text1" w:themeTint="F2"/>
                                <w:sz w:val="18"/>
                                <w:szCs w:val="20"/>
                              </w:rPr>
                              <w:br/>
                            </w:r>
                            <w:r w:rsidR="000B279A">
                              <w:rPr>
                                <w:rFonts w:asciiTheme="majorHAnsi" w:hAnsiTheme="majorHAnsi" w:cs="Univers"/>
                                <w:color w:val="0D0D0D" w:themeColor="text1" w:themeTint="F2"/>
                                <w:sz w:val="18"/>
                                <w:szCs w:val="20"/>
                              </w:rPr>
                              <w:t>173</w:t>
                            </w:r>
                            <w:r w:rsidRPr="00E875E7">
                              <w:rPr>
                                <w:rFonts w:asciiTheme="majorHAnsi" w:hAnsiTheme="majorHAnsi" w:cs="Univers"/>
                                <w:color w:val="0D0D0D" w:themeColor="text1" w:themeTint="F2"/>
                                <w:sz w:val="18"/>
                                <w:szCs w:val="20"/>
                              </w:rPr>
                              <w:t xml:space="preserve"> </w:t>
                            </w:r>
                            <w:r w:rsidR="000B279A">
                              <w:rPr>
                                <w:rFonts w:asciiTheme="majorHAnsi" w:hAnsiTheme="majorHAnsi" w:cs="Univers"/>
                                <w:color w:val="0D0D0D" w:themeColor="text1" w:themeTint="F2"/>
                                <w:sz w:val="18"/>
                                <w:szCs w:val="20"/>
                              </w:rPr>
                              <w:t>period of</w:t>
                            </w:r>
                            <w:r w:rsidRPr="00E875E7">
                              <w:rPr>
                                <w:rFonts w:asciiTheme="majorHAnsi" w:hAnsiTheme="majorHAnsi" w:cs="Univers"/>
                                <w:color w:val="0D0D0D" w:themeColor="text1" w:themeTint="F2"/>
                                <w:sz w:val="18"/>
                                <w:szCs w:val="20"/>
                              </w:rPr>
                              <w:t xml:space="preserve"> session</w:t>
                            </w:r>
                            <w:r w:rsidR="000B279A">
                              <w:rPr>
                                <w:rFonts w:asciiTheme="majorHAnsi" w:hAnsiTheme="majorHAnsi" w:cs="Univers"/>
                                <w:color w:val="0D0D0D" w:themeColor="text1" w:themeTint="F2"/>
                                <w:sz w:val="18"/>
                                <w:szCs w:val="20"/>
                              </w:rPr>
                              <w:t>s.</w:t>
                            </w:r>
                          </w:p>
                          <w:p w:rsidR="0052077C" w:rsidRPr="00E875E7" w:rsidRDefault="0052077C" w:rsidP="00247403">
                            <w:pPr>
                              <w:tabs>
                                <w:tab w:val="center" w:pos="5400"/>
                              </w:tabs>
                              <w:suppressAutoHyphens/>
                              <w:spacing w:before="60"/>
                              <w:rPr>
                                <w:rFonts w:asciiTheme="minorHAnsi" w:hAnsiTheme="minorHAnsi" w:cs="Univers"/>
                                <w:color w:val="0D0D0D" w:themeColor="text1" w:themeTint="F2"/>
                                <w:sz w:val="20"/>
                                <w:szCs w:val="20"/>
                              </w:rPr>
                            </w:pPr>
                          </w:p>
                          <w:p w:rsidR="0052077C" w:rsidRPr="00E875E7" w:rsidRDefault="0052077C" w:rsidP="0059191A">
                            <w:pPr>
                              <w:tabs>
                                <w:tab w:val="center" w:pos="5400"/>
                              </w:tabs>
                              <w:suppressAutoHyphens/>
                              <w:spacing w:before="60"/>
                              <w:rPr>
                                <w:rFonts w:ascii="Calibri" w:hAnsi="Calibri"/>
                                <w:color w:val="FFFFFF" w:themeColor="background1"/>
                                <w:spacing w:val="-2"/>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F47368" id="Text Box 7" o:spid="_x0000_s1030"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BJ68kN9AgAA&#10;aQUAAA4AAAAAAAAAAAAAAAAALgIAAGRycy9lMm9Eb2MueG1sUEsBAi0AFAAGAAgAAAAhADRfRQzf&#10;AAAACQEAAA8AAAAAAAAAAAAAAAAA1wQAAGRycy9kb3ducmV2LnhtbFBLBQYAAAAABAAEAPMAAADj&#10;BQAAAAA=&#10;" filled="f" stroked="f" strokeweight=".5pt">
                <v:textbox>
                  <w:txbxContent>
                    <w:p w:rsidR="0052077C" w:rsidRPr="00E875E7" w:rsidRDefault="0052077C" w:rsidP="00247403">
                      <w:pPr>
                        <w:tabs>
                          <w:tab w:val="center" w:pos="5400"/>
                        </w:tabs>
                        <w:suppressAutoHyphens/>
                        <w:spacing w:before="60"/>
                        <w:rPr>
                          <w:rFonts w:asciiTheme="majorHAnsi" w:hAnsiTheme="majorHAnsi" w:cs="Univers"/>
                          <w:color w:val="0D0D0D" w:themeColor="text1" w:themeTint="F2"/>
                          <w:sz w:val="18"/>
                          <w:szCs w:val="20"/>
                        </w:rPr>
                      </w:pPr>
                      <w:r w:rsidRPr="00E875E7">
                        <w:rPr>
                          <w:rFonts w:asciiTheme="majorHAnsi" w:hAnsiTheme="majorHAnsi"/>
                          <w:color w:val="0D0D0D" w:themeColor="text1" w:themeTint="F2"/>
                          <w:sz w:val="18"/>
                          <w:szCs w:val="20"/>
                        </w:rPr>
                        <w:t xml:space="preserve">Approved by the </w:t>
                      </w:r>
                      <w:r w:rsidR="000B279A">
                        <w:rPr>
                          <w:rFonts w:asciiTheme="majorHAnsi" w:hAnsiTheme="majorHAnsi"/>
                          <w:color w:val="0D0D0D" w:themeColor="text1" w:themeTint="F2"/>
                          <w:sz w:val="18"/>
                          <w:szCs w:val="20"/>
                        </w:rPr>
                        <w:t>Commission at its session No. 2154 held on September 28, 2019</w:t>
                      </w:r>
                      <w:r w:rsidRPr="00E875E7">
                        <w:rPr>
                          <w:rFonts w:asciiTheme="majorHAnsi" w:hAnsiTheme="majorHAnsi"/>
                          <w:color w:val="0D0D0D" w:themeColor="text1" w:themeTint="F2"/>
                          <w:sz w:val="18"/>
                          <w:szCs w:val="20"/>
                        </w:rPr>
                        <w:br/>
                      </w:r>
                      <w:r w:rsidR="000B279A">
                        <w:rPr>
                          <w:rFonts w:asciiTheme="majorHAnsi" w:hAnsiTheme="majorHAnsi" w:cs="Univers"/>
                          <w:color w:val="0D0D0D" w:themeColor="text1" w:themeTint="F2"/>
                          <w:sz w:val="18"/>
                          <w:szCs w:val="20"/>
                        </w:rPr>
                        <w:t>173</w:t>
                      </w:r>
                      <w:r w:rsidRPr="00E875E7">
                        <w:rPr>
                          <w:rFonts w:asciiTheme="majorHAnsi" w:hAnsiTheme="majorHAnsi" w:cs="Univers"/>
                          <w:color w:val="0D0D0D" w:themeColor="text1" w:themeTint="F2"/>
                          <w:sz w:val="18"/>
                          <w:szCs w:val="20"/>
                        </w:rPr>
                        <w:t xml:space="preserve"> </w:t>
                      </w:r>
                      <w:r w:rsidR="000B279A">
                        <w:rPr>
                          <w:rFonts w:asciiTheme="majorHAnsi" w:hAnsiTheme="majorHAnsi" w:cs="Univers"/>
                          <w:color w:val="0D0D0D" w:themeColor="text1" w:themeTint="F2"/>
                          <w:sz w:val="18"/>
                          <w:szCs w:val="20"/>
                        </w:rPr>
                        <w:t>period of</w:t>
                      </w:r>
                      <w:r w:rsidRPr="00E875E7">
                        <w:rPr>
                          <w:rFonts w:asciiTheme="majorHAnsi" w:hAnsiTheme="majorHAnsi" w:cs="Univers"/>
                          <w:color w:val="0D0D0D" w:themeColor="text1" w:themeTint="F2"/>
                          <w:sz w:val="18"/>
                          <w:szCs w:val="20"/>
                        </w:rPr>
                        <w:t xml:space="preserve"> session</w:t>
                      </w:r>
                      <w:r w:rsidR="000B279A">
                        <w:rPr>
                          <w:rFonts w:asciiTheme="majorHAnsi" w:hAnsiTheme="majorHAnsi" w:cs="Univers"/>
                          <w:color w:val="0D0D0D" w:themeColor="text1" w:themeTint="F2"/>
                          <w:sz w:val="18"/>
                          <w:szCs w:val="20"/>
                        </w:rPr>
                        <w:t>s.</w:t>
                      </w:r>
                    </w:p>
                    <w:p w:rsidR="0052077C" w:rsidRPr="00E875E7" w:rsidRDefault="0052077C" w:rsidP="00247403">
                      <w:pPr>
                        <w:tabs>
                          <w:tab w:val="center" w:pos="5400"/>
                        </w:tabs>
                        <w:suppressAutoHyphens/>
                        <w:spacing w:before="60"/>
                        <w:rPr>
                          <w:rFonts w:asciiTheme="minorHAnsi" w:hAnsiTheme="minorHAnsi" w:cs="Univers"/>
                          <w:color w:val="0D0D0D" w:themeColor="text1" w:themeTint="F2"/>
                          <w:sz w:val="20"/>
                          <w:szCs w:val="20"/>
                        </w:rPr>
                      </w:pPr>
                    </w:p>
                    <w:p w:rsidR="0052077C" w:rsidRPr="00E875E7" w:rsidRDefault="0052077C" w:rsidP="0059191A">
                      <w:pPr>
                        <w:tabs>
                          <w:tab w:val="center" w:pos="5400"/>
                        </w:tabs>
                        <w:suppressAutoHyphens/>
                        <w:spacing w:before="60"/>
                        <w:rPr>
                          <w:rFonts w:ascii="Calibri" w:hAnsi="Calibri"/>
                          <w:color w:val="FFFFFF" w:themeColor="background1"/>
                          <w:spacing w:val="-2"/>
                          <w:sz w:val="16"/>
                        </w:rPr>
                      </w:pPr>
                    </w:p>
                  </w:txbxContent>
                </v:textbox>
              </v:shape>
            </w:pict>
          </mc:Fallback>
        </mc:AlternateContent>
      </w:r>
    </w:p>
    <w:p w:rsidR="00A50FCF" w:rsidRPr="006C6C80" w:rsidRDefault="00A50FCF" w:rsidP="00B54921">
      <w:pPr>
        <w:tabs>
          <w:tab w:val="left" w:pos="720"/>
          <w:tab w:val="center" w:pos="5400"/>
        </w:tabs>
        <w:suppressAutoHyphens/>
        <w:jc w:val="center"/>
        <w:rPr>
          <w:rFonts w:asciiTheme="majorHAnsi" w:hAnsiTheme="majorHAnsi"/>
          <w:sz w:val="18"/>
          <w:szCs w:val="22"/>
        </w:rPr>
      </w:pPr>
    </w:p>
    <w:p w:rsidR="00A50FCF" w:rsidRPr="006C6C80" w:rsidRDefault="00A50FCF" w:rsidP="00B54921">
      <w:pPr>
        <w:tabs>
          <w:tab w:val="left" w:pos="720"/>
          <w:tab w:val="center" w:pos="5400"/>
        </w:tabs>
        <w:suppressAutoHyphens/>
        <w:jc w:val="center"/>
        <w:rPr>
          <w:rFonts w:asciiTheme="majorHAnsi" w:hAnsiTheme="majorHAnsi"/>
          <w:sz w:val="18"/>
          <w:szCs w:val="22"/>
        </w:rPr>
      </w:pPr>
    </w:p>
    <w:p w:rsidR="00A50FCF" w:rsidRPr="006C6C80" w:rsidRDefault="00A50FCF" w:rsidP="00B54921">
      <w:pPr>
        <w:tabs>
          <w:tab w:val="left" w:pos="720"/>
          <w:tab w:val="center" w:pos="5400"/>
        </w:tabs>
        <w:suppressAutoHyphens/>
        <w:jc w:val="center"/>
        <w:rPr>
          <w:rFonts w:asciiTheme="majorHAnsi" w:hAnsiTheme="majorHAnsi"/>
          <w:sz w:val="18"/>
          <w:szCs w:val="22"/>
        </w:rPr>
      </w:pPr>
    </w:p>
    <w:p w:rsidR="00A50FCF" w:rsidRPr="006C6C80" w:rsidRDefault="00A50FCF" w:rsidP="00B54921">
      <w:pPr>
        <w:tabs>
          <w:tab w:val="left" w:pos="720"/>
          <w:tab w:val="center" w:pos="5400"/>
        </w:tabs>
        <w:suppressAutoHyphens/>
        <w:jc w:val="center"/>
        <w:rPr>
          <w:rFonts w:asciiTheme="majorHAnsi" w:hAnsiTheme="majorHAnsi"/>
          <w:sz w:val="18"/>
          <w:szCs w:val="22"/>
        </w:rPr>
      </w:pPr>
    </w:p>
    <w:p w:rsidR="00A50FCF" w:rsidRPr="006C6C80" w:rsidRDefault="0090270B" w:rsidP="00B54921">
      <w:pPr>
        <w:tabs>
          <w:tab w:val="left" w:pos="720"/>
          <w:tab w:val="center" w:pos="5400"/>
        </w:tabs>
        <w:suppressAutoHyphens/>
        <w:jc w:val="center"/>
        <w:rPr>
          <w:rFonts w:asciiTheme="majorHAnsi" w:hAnsiTheme="majorHAnsi"/>
          <w:sz w:val="18"/>
          <w:szCs w:val="22"/>
        </w:rPr>
      </w:pPr>
      <w:r w:rsidRPr="006C6C80">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04486D1F" wp14:editId="698F018C">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2077C" w:rsidRPr="00133DD1" w:rsidRDefault="0052077C" w:rsidP="00113F73">
                            <w:pPr>
                              <w:spacing w:line="276" w:lineRule="auto"/>
                              <w:rPr>
                                <w:rFonts w:asciiTheme="majorHAnsi" w:hAnsiTheme="majorHAnsi"/>
                                <w:color w:val="595959" w:themeColor="text1" w:themeTint="A6"/>
                                <w:sz w:val="18"/>
                                <w:szCs w:val="18"/>
                              </w:rPr>
                            </w:pPr>
                            <w:r w:rsidRPr="00882CDF">
                              <w:rPr>
                                <w:rFonts w:asciiTheme="majorHAnsi" w:hAnsiTheme="majorHAnsi"/>
                                <w:b/>
                                <w:color w:val="595959" w:themeColor="text1" w:themeTint="A6"/>
                                <w:sz w:val="18"/>
                                <w:szCs w:val="18"/>
                              </w:rPr>
                              <w:t>Cite as:</w:t>
                            </w:r>
                            <w:r w:rsidR="000B279A">
                              <w:rPr>
                                <w:rFonts w:asciiTheme="majorHAnsi" w:hAnsiTheme="majorHAnsi"/>
                                <w:color w:val="595959" w:themeColor="text1" w:themeTint="A6"/>
                                <w:sz w:val="18"/>
                                <w:szCs w:val="18"/>
                              </w:rPr>
                              <w:t xml:space="preserve"> IACHR. Report No. 157/19</w:t>
                            </w:r>
                            <w:r w:rsidRPr="00882CDF">
                              <w:rPr>
                                <w:rFonts w:asciiTheme="majorHAnsi" w:hAnsiTheme="majorHAnsi"/>
                                <w:color w:val="595959" w:themeColor="text1" w:themeTint="A6"/>
                                <w:sz w:val="18"/>
                                <w:szCs w:val="18"/>
                              </w:rPr>
                              <w:t xml:space="preserve">. </w:t>
                            </w:r>
                            <w:r w:rsidRPr="00E875E7">
                              <w:rPr>
                                <w:rFonts w:asciiTheme="majorHAnsi" w:hAnsiTheme="majorHAnsi"/>
                                <w:color w:val="595959" w:themeColor="text1" w:themeTint="A6"/>
                                <w:sz w:val="18"/>
                                <w:szCs w:val="18"/>
                              </w:rPr>
                              <w:t xml:space="preserve">Case 12.432. Merits. </w:t>
                            </w:r>
                            <w:r>
                              <w:rPr>
                                <w:rFonts w:asciiTheme="majorHAnsi" w:hAnsiTheme="majorHAnsi"/>
                                <w:color w:val="595959" w:themeColor="text1" w:themeTint="A6"/>
                                <w:sz w:val="18"/>
                                <w:szCs w:val="18"/>
                              </w:rPr>
                              <w:t>Former Employees</w:t>
                            </w:r>
                            <w:r w:rsidRPr="00E875E7">
                              <w:rPr>
                                <w:rFonts w:asciiTheme="majorHAnsi" w:hAnsiTheme="majorHAnsi"/>
                                <w:color w:val="595959" w:themeColor="text1" w:themeTint="A6"/>
                                <w:sz w:val="18"/>
                                <w:szCs w:val="18"/>
                              </w:rPr>
                              <w:t xml:space="preserve"> of the Judiciary. </w:t>
                            </w:r>
                            <w:r w:rsidR="000B279A">
                              <w:rPr>
                                <w:rFonts w:asciiTheme="majorHAnsi" w:hAnsiTheme="majorHAnsi"/>
                                <w:color w:val="595959" w:themeColor="text1" w:themeTint="A6"/>
                                <w:sz w:val="18"/>
                                <w:szCs w:val="18"/>
                              </w:rPr>
                              <w:t xml:space="preserve">Guatemala. September 28, 2019.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486D1F" id="Text Box 10" o:spid="_x0000_s1031"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" filled="f" stroked="f" strokeweight=".5pt">
                <v:textbox>
                  <w:txbxContent>
                    <w:p w:rsidR="0052077C" w:rsidRPr="00133DD1" w:rsidRDefault="0052077C" w:rsidP="00113F73">
                      <w:pPr>
                        <w:spacing w:line="276" w:lineRule="auto"/>
                        <w:rPr>
                          <w:rFonts w:asciiTheme="majorHAnsi" w:hAnsiTheme="majorHAnsi"/>
                          <w:color w:val="595959" w:themeColor="text1" w:themeTint="A6"/>
                          <w:sz w:val="18"/>
                          <w:szCs w:val="18"/>
                        </w:rPr>
                      </w:pPr>
                      <w:r w:rsidRPr="00882CDF">
                        <w:rPr>
                          <w:rFonts w:asciiTheme="majorHAnsi" w:hAnsiTheme="majorHAnsi"/>
                          <w:b/>
                          <w:color w:val="595959" w:themeColor="text1" w:themeTint="A6"/>
                          <w:sz w:val="18"/>
                          <w:szCs w:val="18"/>
                        </w:rPr>
                        <w:t>Cite as:</w:t>
                      </w:r>
                      <w:r w:rsidR="000B279A">
                        <w:rPr>
                          <w:rFonts w:asciiTheme="majorHAnsi" w:hAnsiTheme="majorHAnsi"/>
                          <w:color w:val="595959" w:themeColor="text1" w:themeTint="A6"/>
                          <w:sz w:val="18"/>
                          <w:szCs w:val="18"/>
                        </w:rPr>
                        <w:t xml:space="preserve"> IACHR. Report No. 157/19</w:t>
                      </w:r>
                      <w:r w:rsidRPr="00882CDF">
                        <w:rPr>
                          <w:rFonts w:asciiTheme="majorHAnsi" w:hAnsiTheme="majorHAnsi"/>
                          <w:color w:val="595959" w:themeColor="text1" w:themeTint="A6"/>
                          <w:sz w:val="18"/>
                          <w:szCs w:val="18"/>
                        </w:rPr>
                        <w:t xml:space="preserve">. </w:t>
                      </w:r>
                      <w:r w:rsidRPr="00E875E7">
                        <w:rPr>
                          <w:rFonts w:asciiTheme="majorHAnsi" w:hAnsiTheme="majorHAnsi"/>
                          <w:color w:val="595959" w:themeColor="text1" w:themeTint="A6"/>
                          <w:sz w:val="18"/>
                          <w:szCs w:val="18"/>
                        </w:rPr>
                        <w:t xml:space="preserve">Case 12.432. Merits. </w:t>
                      </w:r>
                      <w:r>
                        <w:rPr>
                          <w:rFonts w:asciiTheme="majorHAnsi" w:hAnsiTheme="majorHAnsi"/>
                          <w:color w:val="595959" w:themeColor="text1" w:themeTint="A6"/>
                          <w:sz w:val="18"/>
                          <w:szCs w:val="18"/>
                        </w:rPr>
                        <w:t>Former Employees</w:t>
                      </w:r>
                      <w:r w:rsidRPr="00E875E7">
                        <w:rPr>
                          <w:rFonts w:asciiTheme="majorHAnsi" w:hAnsiTheme="majorHAnsi"/>
                          <w:color w:val="595959" w:themeColor="text1" w:themeTint="A6"/>
                          <w:sz w:val="18"/>
                          <w:szCs w:val="18"/>
                        </w:rPr>
                        <w:t xml:space="preserve"> of the Judiciary. </w:t>
                      </w:r>
                      <w:r w:rsidR="000B279A">
                        <w:rPr>
                          <w:rFonts w:asciiTheme="majorHAnsi" w:hAnsiTheme="majorHAnsi"/>
                          <w:color w:val="595959" w:themeColor="text1" w:themeTint="A6"/>
                          <w:sz w:val="18"/>
                          <w:szCs w:val="18"/>
                        </w:rPr>
                        <w:t xml:space="preserve">Guatemala. September 28, 2019. </w:t>
                      </w:r>
                    </w:p>
                  </w:txbxContent>
                </v:textbox>
              </v:shape>
            </w:pict>
          </mc:Fallback>
        </mc:AlternateContent>
      </w:r>
    </w:p>
    <w:p w:rsidR="00A50FCF" w:rsidRPr="006C6C80" w:rsidRDefault="00A50FCF" w:rsidP="00B54921">
      <w:pPr>
        <w:tabs>
          <w:tab w:val="left" w:pos="720"/>
          <w:tab w:val="center" w:pos="5400"/>
        </w:tabs>
        <w:suppressAutoHyphens/>
        <w:jc w:val="center"/>
        <w:rPr>
          <w:rFonts w:asciiTheme="majorHAnsi" w:hAnsiTheme="majorHAnsi"/>
          <w:sz w:val="18"/>
          <w:szCs w:val="22"/>
        </w:rPr>
      </w:pPr>
    </w:p>
    <w:p w:rsidR="0070697F" w:rsidRPr="006C6C80" w:rsidRDefault="00D306D1" w:rsidP="000A4810">
      <w:pPr>
        <w:tabs>
          <w:tab w:val="left" w:pos="720"/>
          <w:tab w:val="center" w:pos="5400"/>
        </w:tabs>
        <w:suppressAutoHyphens/>
        <w:rPr>
          <w:rFonts w:asciiTheme="majorHAnsi" w:hAnsiTheme="majorHAnsi"/>
          <w:b/>
          <w:sz w:val="20"/>
        </w:rPr>
        <w:sectPr w:rsidR="0070697F" w:rsidRPr="006C6C80" w:rsidSect="00C054DF">
          <w:headerReference w:type="even" r:id="rId9"/>
          <w:headerReference w:type="default" r:id="rId10"/>
          <w:footerReference w:type="even" r:id="rId11"/>
          <w:footerReference w:type="default" r:id="rId12"/>
          <w:headerReference w:type="first" r:id="rId13"/>
          <w:footerReference w:type="first" r:id="rId14"/>
          <w:type w:val="oddPage"/>
          <w:pgSz w:w="12240" w:h="15840"/>
          <w:pgMar w:top="1440" w:right="1440" w:bottom="1440" w:left="1440" w:header="720" w:footer="720" w:gutter="0"/>
          <w:pgNumType w:start="0"/>
          <w:cols w:space="720"/>
          <w:titlePg/>
          <w:docGrid w:linePitch="326"/>
        </w:sectPr>
      </w:pPr>
      <w:r w:rsidRPr="006C6C80">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2E3B360C" wp14:editId="30952A33">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2077C" w:rsidRPr="00D72DC6" w:rsidRDefault="0052077C" w:rsidP="00F02AD1">
                            <w:pPr>
                              <w:rPr>
                                <w:color w:val="FFFFFF" w:themeColor="background1"/>
                                <w14:textFill>
                                  <w14:noFill/>
                                </w14:textFill>
                              </w:rPr>
                            </w:pPr>
                            <w:r>
                              <w:rPr>
                                <w:noProof/>
                                <w:color w:val="FFFFFF" w:themeColor="background1"/>
                              </w:rPr>
                              <w:drawing>
                                <wp:inline distT="0" distB="0" distL="0" distR="0">
                                  <wp:extent cx="1837690" cy="469265"/>
                                  <wp:effectExtent l="0" t="0" r="0" b="698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OEA-ENG-Main-01.png"/>
                                          <pic:cNvPicPr/>
                                        </pic:nvPicPr>
                                        <pic:blipFill>
                                          <a:blip r:embed="rId15">
                                            <a:extLst>
                                              <a:ext uri="{28A0092B-C50C-407E-A947-70E740481C1C}">
                                                <a14:useLocalDpi xmlns:a14="http://schemas.microsoft.com/office/drawing/2010/main" val="0"/>
                                              </a:ext>
                                            </a:extLst>
                                          </a:blip>
                                          <a:stretch>
                                            <a:fillRect/>
                                          </a:stretch>
                                        </pic:blipFill>
                                        <pic:spPr>
                                          <a:xfrm>
                                            <a:off x="0" y="0"/>
                                            <a:ext cx="1837690"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3B360C" id="Text Box 9" o:spid="_x0000_s1032" type="#_x0000_t202" style="position:absolute;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" fillcolor="white [3201]" stroked="f" strokeweight=".5pt">
                <v:textbox>
                  <w:txbxContent>
                    <w:p w:rsidR="0052077C" w:rsidRPr="00D72DC6" w:rsidRDefault="0052077C" w:rsidP="00F02AD1">
                      <w:pPr>
                        <w:rPr>
                          <w:color w:val="FFFFFF" w:themeColor="background1"/>
                          <w14:textFill>
                            <w14:noFill/>
                          </w14:textFill>
                        </w:rPr>
                      </w:pPr>
                      <w:r>
                        <w:rPr>
                          <w:noProof/>
                          <w:color w:val="FFFFFF" w:themeColor="background1"/>
                        </w:rPr>
                        <w:drawing>
                          <wp:inline distT="0" distB="0" distL="0" distR="0">
                            <wp:extent cx="1837690" cy="469265"/>
                            <wp:effectExtent l="0" t="0" r="0" b="698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OEA-ENG-Main-01.png"/>
                                    <pic:cNvPicPr/>
                                  </pic:nvPicPr>
                                  <pic:blipFill>
                                    <a:blip r:embed="rId15">
                                      <a:extLst>
                                        <a:ext uri="{28A0092B-C50C-407E-A947-70E740481C1C}">
                                          <a14:useLocalDpi xmlns:a14="http://schemas.microsoft.com/office/drawing/2010/main" val="0"/>
                                        </a:ext>
                                      </a:extLst>
                                    </a:blip>
                                    <a:stretch>
                                      <a:fillRect/>
                                    </a:stretch>
                                  </pic:blipFill>
                                  <pic:spPr>
                                    <a:xfrm>
                                      <a:off x="0" y="0"/>
                                      <a:ext cx="1837690" cy="469265"/>
                                    </a:xfrm>
                                    <a:prstGeom prst="rect">
                                      <a:avLst/>
                                    </a:prstGeom>
                                  </pic:spPr>
                                </pic:pic>
                              </a:graphicData>
                            </a:graphic>
                          </wp:inline>
                        </w:drawing>
                      </w:r>
                    </w:p>
                  </w:txbxContent>
                </v:textbox>
              </v:shape>
            </w:pict>
          </mc:Fallback>
        </mc:AlternateContent>
      </w:r>
      <w:r w:rsidRPr="006C6C8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6580B713" wp14:editId="15FC37DC">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2077C" w:rsidRPr="004B7EB6" w:rsidRDefault="0052077C"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80B713" id="Text Box 4" o:spid="_x0000_s1033" type="#_x0000_t202" style="position:absolute;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BZ&#10;HasJgQIAAGkFAAAOAAAAAAAAAAAAAAAAAC4CAABkcnMvZTJvRG9jLnhtbFBLAQItABQABgAIAAAA&#10;IQBdLTBP4gAAAAsBAAAPAAAAAAAAAAAAAAAAANsEAABkcnMvZG93bnJldi54bWxQSwUGAAAAAAQA&#10;BADzAAAA6gUAAAAA&#10;" filled="f" stroked="f" strokeweight=".5pt">
                <v:textbox>
                  <w:txbxContent>
                    <w:p w:rsidR="0052077C" w:rsidRPr="004B7EB6" w:rsidRDefault="0052077C"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rsidR="008D768D" w:rsidRPr="006C6C80" w:rsidRDefault="008D768D" w:rsidP="00B54921">
      <w:pPr>
        <w:tabs>
          <w:tab w:val="left" w:pos="720"/>
          <w:tab w:val="center" w:pos="5400"/>
        </w:tabs>
        <w:suppressAutoHyphens/>
        <w:spacing w:line="276" w:lineRule="auto"/>
        <w:rPr>
          <w:rFonts w:asciiTheme="majorHAnsi" w:hAnsiTheme="majorHAnsi"/>
          <w:sz w:val="20"/>
          <w:szCs w:val="20"/>
        </w:rPr>
      </w:pPr>
    </w:p>
    <w:sdt>
      <w:sdtPr>
        <w:rPr>
          <w:rFonts w:ascii="Times New Roman" w:eastAsia="Arial Unicode MS" w:hAnsi="Times New Roman" w:cs="Times New Roman"/>
          <w:b w:val="0"/>
          <w:bCs w:val="0"/>
          <w:color w:val="auto"/>
          <w:sz w:val="24"/>
          <w:szCs w:val="24"/>
          <w:bdr w:val="nil"/>
          <w:lang w:eastAsia="en-US"/>
        </w:rPr>
        <w:id w:val="629979927"/>
        <w:docPartObj>
          <w:docPartGallery w:val="Table of Contents"/>
          <w:docPartUnique/>
        </w:docPartObj>
      </w:sdtPr>
      <w:sdtEndPr/>
      <w:sdtContent>
        <w:p w:rsidR="00B00A5C" w:rsidRPr="006C6C80" w:rsidRDefault="00B00A5C" w:rsidP="00B0202B">
          <w:pPr>
            <w:pStyle w:val="TOCHeading"/>
            <w:tabs>
              <w:tab w:val="left" w:pos="720"/>
              <w:tab w:val="left" w:pos="1440"/>
            </w:tabs>
          </w:pPr>
        </w:p>
        <w:p w:rsidR="00F246C8" w:rsidRPr="00F246C8" w:rsidRDefault="00B00A5C" w:rsidP="00B0202B">
          <w:pPr>
            <w:pStyle w:val="TOC1"/>
            <w:tabs>
              <w:tab w:val="left" w:pos="720"/>
              <w:tab w:val="left" w:pos="1440"/>
              <w:tab w:val="right" w:leader="dot" w:pos="9350"/>
            </w:tabs>
            <w:rPr>
              <w:rFonts w:asciiTheme="majorHAnsi" w:eastAsiaTheme="minorEastAsia" w:hAnsiTheme="majorHAnsi" w:cstheme="minorBidi"/>
              <w:noProof/>
              <w:sz w:val="20"/>
              <w:szCs w:val="20"/>
              <w:bdr w:val="none" w:sz="0" w:space="0" w:color="auto"/>
            </w:rPr>
          </w:pPr>
          <w:r w:rsidRPr="00F246C8">
            <w:rPr>
              <w:rFonts w:asciiTheme="majorHAnsi" w:hAnsiTheme="majorHAnsi"/>
              <w:sz w:val="20"/>
              <w:szCs w:val="20"/>
            </w:rPr>
            <w:fldChar w:fldCharType="begin"/>
          </w:r>
          <w:r w:rsidRPr="00F246C8">
            <w:rPr>
              <w:rFonts w:asciiTheme="majorHAnsi" w:hAnsiTheme="majorHAnsi"/>
              <w:sz w:val="20"/>
              <w:szCs w:val="20"/>
            </w:rPr>
            <w:instrText xml:space="preserve"> TOC \o "1-3" \h \z \u </w:instrText>
          </w:r>
          <w:r w:rsidRPr="00F246C8">
            <w:rPr>
              <w:rFonts w:asciiTheme="majorHAnsi" w:hAnsiTheme="majorHAnsi"/>
              <w:sz w:val="20"/>
              <w:szCs w:val="20"/>
            </w:rPr>
            <w:fldChar w:fldCharType="separate"/>
          </w:r>
          <w:hyperlink w:anchor="_Toc18936457" w:history="1">
            <w:r w:rsidR="00F246C8" w:rsidRPr="00F246C8">
              <w:rPr>
                <w:rStyle w:val="Hyperlink"/>
                <w:rFonts w:asciiTheme="majorHAnsi" w:hAnsiTheme="majorHAnsi"/>
                <w:b/>
                <w:noProof/>
                <w:sz w:val="20"/>
                <w:szCs w:val="20"/>
              </w:rPr>
              <w:t>I.</w:t>
            </w:r>
            <w:r w:rsidR="00F246C8" w:rsidRPr="00F246C8">
              <w:rPr>
                <w:rFonts w:asciiTheme="majorHAnsi" w:eastAsiaTheme="minorEastAsia" w:hAnsiTheme="majorHAnsi" w:cstheme="minorBidi"/>
                <w:b/>
                <w:noProof/>
                <w:sz w:val="20"/>
                <w:szCs w:val="20"/>
                <w:bdr w:val="none" w:sz="0" w:space="0" w:color="auto"/>
              </w:rPr>
              <w:tab/>
            </w:r>
            <w:r w:rsidR="00F246C8" w:rsidRPr="00F246C8">
              <w:rPr>
                <w:rStyle w:val="Hyperlink"/>
                <w:rFonts w:asciiTheme="majorHAnsi" w:hAnsiTheme="majorHAnsi"/>
                <w:b/>
                <w:noProof/>
                <w:sz w:val="20"/>
                <w:szCs w:val="20"/>
              </w:rPr>
              <w:t>INTRODUCTION</w:t>
            </w:r>
            <w:r w:rsidR="00F246C8" w:rsidRPr="00F246C8">
              <w:rPr>
                <w:rFonts w:asciiTheme="majorHAnsi" w:hAnsiTheme="majorHAnsi"/>
                <w:noProof/>
                <w:webHidden/>
                <w:sz w:val="20"/>
                <w:szCs w:val="20"/>
              </w:rPr>
              <w:tab/>
            </w:r>
            <w:r w:rsidR="00F246C8" w:rsidRPr="00F246C8">
              <w:rPr>
                <w:rFonts w:asciiTheme="majorHAnsi" w:hAnsiTheme="majorHAnsi"/>
                <w:noProof/>
                <w:webHidden/>
                <w:sz w:val="20"/>
                <w:szCs w:val="20"/>
              </w:rPr>
              <w:fldChar w:fldCharType="begin"/>
            </w:r>
            <w:r w:rsidR="00F246C8" w:rsidRPr="00F246C8">
              <w:rPr>
                <w:rFonts w:asciiTheme="majorHAnsi" w:hAnsiTheme="majorHAnsi"/>
                <w:noProof/>
                <w:webHidden/>
                <w:sz w:val="20"/>
                <w:szCs w:val="20"/>
              </w:rPr>
              <w:instrText xml:space="preserve"> PAGEREF _Toc18936457 \h </w:instrText>
            </w:r>
            <w:r w:rsidR="00F246C8" w:rsidRPr="00F246C8">
              <w:rPr>
                <w:rFonts w:asciiTheme="majorHAnsi" w:hAnsiTheme="majorHAnsi"/>
                <w:noProof/>
                <w:webHidden/>
                <w:sz w:val="20"/>
                <w:szCs w:val="20"/>
              </w:rPr>
            </w:r>
            <w:r w:rsidR="00F246C8" w:rsidRPr="00F246C8">
              <w:rPr>
                <w:rFonts w:asciiTheme="majorHAnsi" w:hAnsiTheme="majorHAnsi"/>
                <w:noProof/>
                <w:webHidden/>
                <w:sz w:val="20"/>
                <w:szCs w:val="20"/>
              </w:rPr>
              <w:fldChar w:fldCharType="separate"/>
            </w:r>
            <w:r w:rsidR="00F246C8" w:rsidRPr="00F246C8">
              <w:rPr>
                <w:rFonts w:asciiTheme="majorHAnsi" w:hAnsiTheme="majorHAnsi"/>
                <w:noProof/>
                <w:webHidden/>
                <w:sz w:val="20"/>
                <w:szCs w:val="20"/>
              </w:rPr>
              <w:t>2</w:t>
            </w:r>
            <w:r w:rsidR="00F246C8" w:rsidRPr="00F246C8">
              <w:rPr>
                <w:rFonts w:asciiTheme="majorHAnsi" w:hAnsiTheme="majorHAnsi"/>
                <w:noProof/>
                <w:webHidden/>
                <w:sz w:val="20"/>
                <w:szCs w:val="20"/>
              </w:rPr>
              <w:fldChar w:fldCharType="end"/>
            </w:r>
          </w:hyperlink>
        </w:p>
        <w:p w:rsidR="00F246C8" w:rsidRPr="00F246C8" w:rsidRDefault="003F0F3A" w:rsidP="00B0202B">
          <w:pPr>
            <w:pStyle w:val="TOC1"/>
            <w:tabs>
              <w:tab w:val="left" w:pos="720"/>
              <w:tab w:val="left" w:pos="1440"/>
              <w:tab w:val="right" w:leader="dot" w:pos="9350"/>
            </w:tabs>
            <w:rPr>
              <w:rFonts w:asciiTheme="majorHAnsi" w:eastAsiaTheme="minorEastAsia" w:hAnsiTheme="majorHAnsi" w:cstheme="minorBidi"/>
              <w:noProof/>
              <w:sz w:val="20"/>
              <w:szCs w:val="20"/>
              <w:bdr w:val="none" w:sz="0" w:space="0" w:color="auto"/>
            </w:rPr>
          </w:pPr>
          <w:hyperlink w:anchor="_Toc18936458" w:history="1">
            <w:r w:rsidR="00F246C8" w:rsidRPr="00F246C8">
              <w:rPr>
                <w:rStyle w:val="Hyperlink"/>
                <w:rFonts w:asciiTheme="majorHAnsi" w:hAnsiTheme="majorHAnsi"/>
                <w:b/>
                <w:noProof/>
                <w:sz w:val="20"/>
                <w:szCs w:val="20"/>
              </w:rPr>
              <w:t>II.</w:t>
            </w:r>
            <w:r w:rsidR="00F246C8" w:rsidRPr="00F246C8">
              <w:rPr>
                <w:rFonts w:asciiTheme="majorHAnsi" w:eastAsiaTheme="minorEastAsia" w:hAnsiTheme="majorHAnsi" w:cstheme="minorBidi"/>
                <w:b/>
                <w:noProof/>
                <w:sz w:val="20"/>
                <w:szCs w:val="20"/>
                <w:bdr w:val="none" w:sz="0" w:space="0" w:color="auto"/>
              </w:rPr>
              <w:tab/>
            </w:r>
            <w:r w:rsidR="00F246C8" w:rsidRPr="00F246C8">
              <w:rPr>
                <w:rStyle w:val="Hyperlink"/>
                <w:rFonts w:asciiTheme="majorHAnsi" w:hAnsiTheme="majorHAnsi"/>
                <w:b/>
                <w:noProof/>
                <w:sz w:val="20"/>
                <w:szCs w:val="20"/>
              </w:rPr>
              <w:t>POSITIONS OF THE PARTIES</w:t>
            </w:r>
            <w:r w:rsidR="00F246C8" w:rsidRPr="00F246C8">
              <w:rPr>
                <w:rFonts w:asciiTheme="majorHAnsi" w:hAnsiTheme="majorHAnsi"/>
                <w:noProof/>
                <w:webHidden/>
                <w:sz w:val="20"/>
                <w:szCs w:val="20"/>
              </w:rPr>
              <w:tab/>
            </w:r>
            <w:r w:rsidR="00F246C8" w:rsidRPr="00F246C8">
              <w:rPr>
                <w:rFonts w:asciiTheme="majorHAnsi" w:hAnsiTheme="majorHAnsi"/>
                <w:noProof/>
                <w:webHidden/>
                <w:sz w:val="20"/>
                <w:szCs w:val="20"/>
              </w:rPr>
              <w:fldChar w:fldCharType="begin"/>
            </w:r>
            <w:r w:rsidR="00F246C8" w:rsidRPr="00F246C8">
              <w:rPr>
                <w:rFonts w:asciiTheme="majorHAnsi" w:hAnsiTheme="majorHAnsi"/>
                <w:noProof/>
                <w:webHidden/>
                <w:sz w:val="20"/>
                <w:szCs w:val="20"/>
              </w:rPr>
              <w:instrText xml:space="preserve"> PAGEREF _Toc18936458 \h </w:instrText>
            </w:r>
            <w:r w:rsidR="00F246C8" w:rsidRPr="00F246C8">
              <w:rPr>
                <w:rFonts w:asciiTheme="majorHAnsi" w:hAnsiTheme="majorHAnsi"/>
                <w:noProof/>
                <w:webHidden/>
                <w:sz w:val="20"/>
                <w:szCs w:val="20"/>
              </w:rPr>
            </w:r>
            <w:r w:rsidR="00F246C8" w:rsidRPr="00F246C8">
              <w:rPr>
                <w:rFonts w:asciiTheme="majorHAnsi" w:hAnsiTheme="majorHAnsi"/>
                <w:noProof/>
                <w:webHidden/>
                <w:sz w:val="20"/>
                <w:szCs w:val="20"/>
              </w:rPr>
              <w:fldChar w:fldCharType="separate"/>
            </w:r>
            <w:r w:rsidR="00F246C8" w:rsidRPr="00F246C8">
              <w:rPr>
                <w:rFonts w:asciiTheme="majorHAnsi" w:hAnsiTheme="majorHAnsi"/>
                <w:noProof/>
                <w:webHidden/>
                <w:sz w:val="20"/>
                <w:szCs w:val="20"/>
              </w:rPr>
              <w:t>2</w:t>
            </w:r>
            <w:r w:rsidR="00F246C8" w:rsidRPr="00F246C8">
              <w:rPr>
                <w:rFonts w:asciiTheme="majorHAnsi" w:hAnsiTheme="majorHAnsi"/>
                <w:noProof/>
                <w:webHidden/>
                <w:sz w:val="20"/>
                <w:szCs w:val="20"/>
              </w:rPr>
              <w:fldChar w:fldCharType="end"/>
            </w:r>
          </w:hyperlink>
        </w:p>
        <w:p w:rsidR="00F246C8" w:rsidRPr="00F246C8" w:rsidRDefault="003F0F3A" w:rsidP="00B0202B">
          <w:pPr>
            <w:pStyle w:val="TOC2"/>
            <w:tabs>
              <w:tab w:val="left" w:pos="720"/>
            </w:tabs>
            <w:rPr>
              <w:rFonts w:asciiTheme="majorHAnsi" w:eastAsiaTheme="minorEastAsia" w:hAnsiTheme="majorHAnsi" w:cstheme="minorBidi"/>
              <w:noProof/>
              <w:sz w:val="20"/>
              <w:szCs w:val="20"/>
              <w:bdr w:val="none" w:sz="0" w:space="0" w:color="auto"/>
            </w:rPr>
          </w:pPr>
          <w:hyperlink w:anchor="_Toc18936459" w:history="1">
            <w:r w:rsidR="00F246C8" w:rsidRPr="00F246C8">
              <w:rPr>
                <w:rStyle w:val="Hyperlink"/>
                <w:rFonts w:asciiTheme="majorHAnsi" w:hAnsiTheme="majorHAnsi"/>
                <w:noProof/>
                <w:sz w:val="20"/>
                <w:szCs w:val="20"/>
              </w:rPr>
              <w:t>A.</w:t>
            </w:r>
            <w:r w:rsidR="00F246C8" w:rsidRPr="00F246C8">
              <w:rPr>
                <w:rFonts w:asciiTheme="majorHAnsi" w:eastAsiaTheme="minorEastAsia" w:hAnsiTheme="majorHAnsi" w:cstheme="minorBidi"/>
                <w:noProof/>
                <w:sz w:val="20"/>
                <w:szCs w:val="20"/>
                <w:bdr w:val="none" w:sz="0" w:space="0" w:color="auto"/>
              </w:rPr>
              <w:tab/>
            </w:r>
            <w:r w:rsidR="00F246C8" w:rsidRPr="00F246C8">
              <w:rPr>
                <w:rStyle w:val="Hyperlink"/>
                <w:rFonts w:asciiTheme="majorHAnsi" w:hAnsiTheme="majorHAnsi"/>
                <w:noProof/>
                <w:sz w:val="20"/>
                <w:szCs w:val="20"/>
              </w:rPr>
              <w:t>Petitioners</w:t>
            </w:r>
            <w:r w:rsidR="00F246C8" w:rsidRPr="00F246C8">
              <w:rPr>
                <w:rFonts w:asciiTheme="majorHAnsi" w:hAnsiTheme="majorHAnsi"/>
                <w:noProof/>
                <w:webHidden/>
                <w:sz w:val="20"/>
                <w:szCs w:val="20"/>
              </w:rPr>
              <w:tab/>
            </w:r>
            <w:r w:rsidR="00F246C8" w:rsidRPr="00F246C8">
              <w:rPr>
                <w:rFonts w:asciiTheme="majorHAnsi" w:hAnsiTheme="majorHAnsi"/>
                <w:noProof/>
                <w:webHidden/>
                <w:sz w:val="20"/>
                <w:szCs w:val="20"/>
              </w:rPr>
              <w:fldChar w:fldCharType="begin"/>
            </w:r>
            <w:r w:rsidR="00F246C8" w:rsidRPr="00F246C8">
              <w:rPr>
                <w:rFonts w:asciiTheme="majorHAnsi" w:hAnsiTheme="majorHAnsi"/>
                <w:noProof/>
                <w:webHidden/>
                <w:sz w:val="20"/>
                <w:szCs w:val="20"/>
              </w:rPr>
              <w:instrText xml:space="preserve"> PAGEREF _Toc18936459 \h </w:instrText>
            </w:r>
            <w:r w:rsidR="00F246C8" w:rsidRPr="00F246C8">
              <w:rPr>
                <w:rFonts w:asciiTheme="majorHAnsi" w:hAnsiTheme="majorHAnsi"/>
                <w:noProof/>
                <w:webHidden/>
                <w:sz w:val="20"/>
                <w:szCs w:val="20"/>
              </w:rPr>
            </w:r>
            <w:r w:rsidR="00F246C8" w:rsidRPr="00F246C8">
              <w:rPr>
                <w:rFonts w:asciiTheme="majorHAnsi" w:hAnsiTheme="majorHAnsi"/>
                <w:noProof/>
                <w:webHidden/>
                <w:sz w:val="20"/>
                <w:szCs w:val="20"/>
              </w:rPr>
              <w:fldChar w:fldCharType="separate"/>
            </w:r>
            <w:r w:rsidR="00F246C8" w:rsidRPr="00F246C8">
              <w:rPr>
                <w:rFonts w:asciiTheme="majorHAnsi" w:hAnsiTheme="majorHAnsi"/>
                <w:noProof/>
                <w:webHidden/>
                <w:sz w:val="20"/>
                <w:szCs w:val="20"/>
              </w:rPr>
              <w:t>2</w:t>
            </w:r>
            <w:r w:rsidR="00F246C8" w:rsidRPr="00F246C8">
              <w:rPr>
                <w:rFonts w:asciiTheme="majorHAnsi" w:hAnsiTheme="majorHAnsi"/>
                <w:noProof/>
                <w:webHidden/>
                <w:sz w:val="20"/>
                <w:szCs w:val="20"/>
              </w:rPr>
              <w:fldChar w:fldCharType="end"/>
            </w:r>
          </w:hyperlink>
        </w:p>
        <w:p w:rsidR="00F246C8" w:rsidRPr="00F246C8" w:rsidRDefault="003F0F3A" w:rsidP="00B0202B">
          <w:pPr>
            <w:pStyle w:val="TOC2"/>
            <w:tabs>
              <w:tab w:val="left" w:pos="720"/>
            </w:tabs>
            <w:rPr>
              <w:rFonts w:asciiTheme="majorHAnsi" w:eastAsiaTheme="minorEastAsia" w:hAnsiTheme="majorHAnsi" w:cstheme="minorBidi"/>
              <w:noProof/>
              <w:sz w:val="20"/>
              <w:szCs w:val="20"/>
              <w:bdr w:val="none" w:sz="0" w:space="0" w:color="auto"/>
            </w:rPr>
          </w:pPr>
          <w:hyperlink w:anchor="_Toc18936460" w:history="1">
            <w:r w:rsidR="00F246C8" w:rsidRPr="00F246C8">
              <w:rPr>
                <w:rStyle w:val="Hyperlink"/>
                <w:rFonts w:asciiTheme="majorHAnsi" w:hAnsiTheme="majorHAnsi"/>
                <w:noProof/>
                <w:sz w:val="20"/>
                <w:szCs w:val="20"/>
              </w:rPr>
              <w:t>B.</w:t>
            </w:r>
            <w:r w:rsidR="00F246C8" w:rsidRPr="00F246C8">
              <w:rPr>
                <w:rFonts w:asciiTheme="majorHAnsi" w:eastAsiaTheme="minorEastAsia" w:hAnsiTheme="majorHAnsi" w:cstheme="minorBidi"/>
                <w:noProof/>
                <w:sz w:val="20"/>
                <w:szCs w:val="20"/>
                <w:bdr w:val="none" w:sz="0" w:space="0" w:color="auto"/>
              </w:rPr>
              <w:tab/>
            </w:r>
            <w:r w:rsidR="00F246C8" w:rsidRPr="00F246C8">
              <w:rPr>
                <w:rStyle w:val="Hyperlink"/>
                <w:rFonts w:asciiTheme="majorHAnsi" w:hAnsiTheme="majorHAnsi"/>
                <w:noProof/>
                <w:sz w:val="20"/>
                <w:szCs w:val="20"/>
              </w:rPr>
              <w:t>State</w:t>
            </w:r>
            <w:r w:rsidR="00F246C8" w:rsidRPr="00F246C8">
              <w:rPr>
                <w:rFonts w:asciiTheme="majorHAnsi" w:hAnsiTheme="majorHAnsi"/>
                <w:noProof/>
                <w:webHidden/>
                <w:sz w:val="20"/>
                <w:szCs w:val="20"/>
              </w:rPr>
              <w:tab/>
            </w:r>
            <w:r w:rsidR="00F246C8" w:rsidRPr="00F246C8">
              <w:rPr>
                <w:rFonts w:asciiTheme="majorHAnsi" w:hAnsiTheme="majorHAnsi"/>
                <w:noProof/>
                <w:webHidden/>
                <w:sz w:val="20"/>
                <w:szCs w:val="20"/>
              </w:rPr>
              <w:fldChar w:fldCharType="begin"/>
            </w:r>
            <w:r w:rsidR="00F246C8" w:rsidRPr="00F246C8">
              <w:rPr>
                <w:rFonts w:asciiTheme="majorHAnsi" w:hAnsiTheme="majorHAnsi"/>
                <w:noProof/>
                <w:webHidden/>
                <w:sz w:val="20"/>
                <w:szCs w:val="20"/>
              </w:rPr>
              <w:instrText xml:space="preserve"> PAGEREF _Toc18936460 \h </w:instrText>
            </w:r>
            <w:r w:rsidR="00F246C8" w:rsidRPr="00F246C8">
              <w:rPr>
                <w:rFonts w:asciiTheme="majorHAnsi" w:hAnsiTheme="majorHAnsi"/>
                <w:noProof/>
                <w:webHidden/>
                <w:sz w:val="20"/>
                <w:szCs w:val="20"/>
              </w:rPr>
            </w:r>
            <w:r w:rsidR="00F246C8" w:rsidRPr="00F246C8">
              <w:rPr>
                <w:rFonts w:asciiTheme="majorHAnsi" w:hAnsiTheme="majorHAnsi"/>
                <w:noProof/>
                <w:webHidden/>
                <w:sz w:val="20"/>
                <w:szCs w:val="20"/>
              </w:rPr>
              <w:fldChar w:fldCharType="separate"/>
            </w:r>
            <w:r w:rsidR="00F246C8" w:rsidRPr="00F246C8">
              <w:rPr>
                <w:rFonts w:asciiTheme="majorHAnsi" w:hAnsiTheme="majorHAnsi"/>
                <w:noProof/>
                <w:webHidden/>
                <w:sz w:val="20"/>
                <w:szCs w:val="20"/>
              </w:rPr>
              <w:t>4</w:t>
            </w:r>
            <w:r w:rsidR="00F246C8" w:rsidRPr="00F246C8">
              <w:rPr>
                <w:rFonts w:asciiTheme="majorHAnsi" w:hAnsiTheme="majorHAnsi"/>
                <w:noProof/>
                <w:webHidden/>
                <w:sz w:val="20"/>
                <w:szCs w:val="20"/>
              </w:rPr>
              <w:fldChar w:fldCharType="end"/>
            </w:r>
          </w:hyperlink>
        </w:p>
        <w:p w:rsidR="00F246C8" w:rsidRPr="00F246C8" w:rsidRDefault="003F0F3A" w:rsidP="00B0202B">
          <w:pPr>
            <w:pStyle w:val="TOC1"/>
            <w:tabs>
              <w:tab w:val="left" w:pos="720"/>
              <w:tab w:val="left" w:pos="1440"/>
              <w:tab w:val="right" w:leader="dot" w:pos="9350"/>
            </w:tabs>
            <w:rPr>
              <w:rFonts w:asciiTheme="majorHAnsi" w:eastAsiaTheme="minorEastAsia" w:hAnsiTheme="majorHAnsi" w:cstheme="minorBidi"/>
              <w:noProof/>
              <w:sz w:val="20"/>
              <w:szCs w:val="20"/>
              <w:bdr w:val="none" w:sz="0" w:space="0" w:color="auto"/>
            </w:rPr>
          </w:pPr>
          <w:hyperlink w:anchor="_Toc18936461" w:history="1">
            <w:r w:rsidR="00F246C8" w:rsidRPr="00F246C8">
              <w:rPr>
                <w:rStyle w:val="Hyperlink"/>
                <w:rFonts w:asciiTheme="majorHAnsi" w:hAnsiTheme="majorHAnsi"/>
                <w:b/>
                <w:noProof/>
                <w:sz w:val="20"/>
                <w:szCs w:val="20"/>
              </w:rPr>
              <w:t>III.</w:t>
            </w:r>
            <w:r w:rsidR="00F246C8" w:rsidRPr="00F246C8">
              <w:rPr>
                <w:rFonts w:asciiTheme="majorHAnsi" w:eastAsiaTheme="minorEastAsia" w:hAnsiTheme="majorHAnsi" w:cstheme="minorBidi"/>
                <w:b/>
                <w:noProof/>
                <w:sz w:val="20"/>
                <w:szCs w:val="20"/>
                <w:bdr w:val="none" w:sz="0" w:space="0" w:color="auto"/>
              </w:rPr>
              <w:tab/>
            </w:r>
            <w:r w:rsidR="00F246C8" w:rsidRPr="00F246C8">
              <w:rPr>
                <w:rStyle w:val="Hyperlink"/>
                <w:rFonts w:asciiTheme="majorHAnsi" w:hAnsiTheme="majorHAnsi"/>
                <w:b/>
                <w:noProof/>
                <w:sz w:val="20"/>
                <w:szCs w:val="20"/>
              </w:rPr>
              <w:t>DETERMINATIONS OF FACT</w:t>
            </w:r>
            <w:r w:rsidR="00F246C8" w:rsidRPr="00F246C8">
              <w:rPr>
                <w:rFonts w:asciiTheme="majorHAnsi" w:hAnsiTheme="majorHAnsi"/>
                <w:noProof/>
                <w:webHidden/>
                <w:sz w:val="20"/>
                <w:szCs w:val="20"/>
              </w:rPr>
              <w:tab/>
            </w:r>
            <w:r w:rsidR="00F246C8" w:rsidRPr="00F246C8">
              <w:rPr>
                <w:rFonts w:asciiTheme="majorHAnsi" w:hAnsiTheme="majorHAnsi"/>
                <w:noProof/>
                <w:webHidden/>
                <w:sz w:val="20"/>
                <w:szCs w:val="20"/>
              </w:rPr>
              <w:fldChar w:fldCharType="begin"/>
            </w:r>
            <w:r w:rsidR="00F246C8" w:rsidRPr="00F246C8">
              <w:rPr>
                <w:rFonts w:asciiTheme="majorHAnsi" w:hAnsiTheme="majorHAnsi"/>
                <w:noProof/>
                <w:webHidden/>
                <w:sz w:val="20"/>
                <w:szCs w:val="20"/>
              </w:rPr>
              <w:instrText xml:space="preserve"> PAGEREF _Toc18936461 \h </w:instrText>
            </w:r>
            <w:r w:rsidR="00F246C8" w:rsidRPr="00F246C8">
              <w:rPr>
                <w:rFonts w:asciiTheme="majorHAnsi" w:hAnsiTheme="majorHAnsi"/>
                <w:noProof/>
                <w:webHidden/>
                <w:sz w:val="20"/>
                <w:szCs w:val="20"/>
              </w:rPr>
            </w:r>
            <w:r w:rsidR="00F246C8" w:rsidRPr="00F246C8">
              <w:rPr>
                <w:rFonts w:asciiTheme="majorHAnsi" w:hAnsiTheme="majorHAnsi"/>
                <w:noProof/>
                <w:webHidden/>
                <w:sz w:val="20"/>
                <w:szCs w:val="20"/>
              </w:rPr>
              <w:fldChar w:fldCharType="separate"/>
            </w:r>
            <w:r w:rsidR="00F246C8" w:rsidRPr="00F246C8">
              <w:rPr>
                <w:rFonts w:asciiTheme="majorHAnsi" w:hAnsiTheme="majorHAnsi"/>
                <w:noProof/>
                <w:webHidden/>
                <w:sz w:val="20"/>
                <w:szCs w:val="20"/>
              </w:rPr>
              <w:t>5</w:t>
            </w:r>
            <w:r w:rsidR="00F246C8" w:rsidRPr="00F246C8">
              <w:rPr>
                <w:rFonts w:asciiTheme="majorHAnsi" w:hAnsiTheme="majorHAnsi"/>
                <w:noProof/>
                <w:webHidden/>
                <w:sz w:val="20"/>
                <w:szCs w:val="20"/>
              </w:rPr>
              <w:fldChar w:fldCharType="end"/>
            </w:r>
          </w:hyperlink>
        </w:p>
        <w:p w:rsidR="00F246C8" w:rsidRPr="00F246C8" w:rsidRDefault="003F0F3A" w:rsidP="00B0202B">
          <w:pPr>
            <w:pStyle w:val="TOC2"/>
            <w:tabs>
              <w:tab w:val="left" w:pos="720"/>
            </w:tabs>
            <w:rPr>
              <w:rFonts w:asciiTheme="majorHAnsi" w:eastAsiaTheme="minorEastAsia" w:hAnsiTheme="majorHAnsi" w:cstheme="minorBidi"/>
              <w:noProof/>
              <w:sz w:val="20"/>
              <w:szCs w:val="20"/>
              <w:bdr w:val="none" w:sz="0" w:space="0" w:color="auto"/>
            </w:rPr>
          </w:pPr>
          <w:hyperlink w:anchor="_Toc18936462" w:history="1">
            <w:r w:rsidR="00F246C8" w:rsidRPr="00F246C8">
              <w:rPr>
                <w:rStyle w:val="Hyperlink"/>
                <w:rFonts w:asciiTheme="majorHAnsi" w:hAnsiTheme="majorHAnsi"/>
                <w:noProof/>
                <w:sz w:val="20"/>
                <w:szCs w:val="20"/>
              </w:rPr>
              <w:t>A.</w:t>
            </w:r>
            <w:r w:rsidR="00F246C8" w:rsidRPr="00F246C8">
              <w:rPr>
                <w:rFonts w:asciiTheme="majorHAnsi" w:eastAsiaTheme="minorEastAsia" w:hAnsiTheme="majorHAnsi" w:cstheme="minorBidi"/>
                <w:noProof/>
                <w:sz w:val="20"/>
                <w:szCs w:val="20"/>
                <w:bdr w:val="none" w:sz="0" w:space="0" w:color="auto"/>
              </w:rPr>
              <w:tab/>
            </w:r>
            <w:r w:rsidR="00F246C8" w:rsidRPr="00F246C8">
              <w:rPr>
                <w:rStyle w:val="Hyperlink"/>
                <w:rFonts w:asciiTheme="majorHAnsi" w:hAnsiTheme="majorHAnsi"/>
                <w:noProof/>
                <w:sz w:val="20"/>
                <w:szCs w:val="20"/>
              </w:rPr>
              <w:t>Relevant regulatory framework</w:t>
            </w:r>
            <w:r w:rsidR="00F246C8" w:rsidRPr="00F246C8">
              <w:rPr>
                <w:rFonts w:asciiTheme="majorHAnsi" w:hAnsiTheme="majorHAnsi"/>
                <w:noProof/>
                <w:webHidden/>
                <w:sz w:val="20"/>
                <w:szCs w:val="20"/>
              </w:rPr>
              <w:tab/>
            </w:r>
            <w:r w:rsidR="00F246C8" w:rsidRPr="00F246C8">
              <w:rPr>
                <w:rFonts w:asciiTheme="majorHAnsi" w:hAnsiTheme="majorHAnsi"/>
                <w:noProof/>
                <w:webHidden/>
                <w:sz w:val="20"/>
                <w:szCs w:val="20"/>
              </w:rPr>
              <w:fldChar w:fldCharType="begin"/>
            </w:r>
            <w:r w:rsidR="00F246C8" w:rsidRPr="00F246C8">
              <w:rPr>
                <w:rFonts w:asciiTheme="majorHAnsi" w:hAnsiTheme="majorHAnsi"/>
                <w:noProof/>
                <w:webHidden/>
                <w:sz w:val="20"/>
                <w:szCs w:val="20"/>
              </w:rPr>
              <w:instrText xml:space="preserve"> PAGEREF _Toc18936462 \h </w:instrText>
            </w:r>
            <w:r w:rsidR="00F246C8" w:rsidRPr="00F246C8">
              <w:rPr>
                <w:rFonts w:asciiTheme="majorHAnsi" w:hAnsiTheme="majorHAnsi"/>
                <w:noProof/>
                <w:webHidden/>
                <w:sz w:val="20"/>
                <w:szCs w:val="20"/>
              </w:rPr>
            </w:r>
            <w:r w:rsidR="00F246C8" w:rsidRPr="00F246C8">
              <w:rPr>
                <w:rFonts w:asciiTheme="majorHAnsi" w:hAnsiTheme="majorHAnsi"/>
                <w:noProof/>
                <w:webHidden/>
                <w:sz w:val="20"/>
                <w:szCs w:val="20"/>
              </w:rPr>
              <w:fldChar w:fldCharType="separate"/>
            </w:r>
            <w:r w:rsidR="00F246C8" w:rsidRPr="00F246C8">
              <w:rPr>
                <w:rFonts w:asciiTheme="majorHAnsi" w:hAnsiTheme="majorHAnsi"/>
                <w:noProof/>
                <w:webHidden/>
                <w:sz w:val="20"/>
                <w:szCs w:val="20"/>
              </w:rPr>
              <w:t>5</w:t>
            </w:r>
            <w:r w:rsidR="00F246C8" w:rsidRPr="00F246C8">
              <w:rPr>
                <w:rFonts w:asciiTheme="majorHAnsi" w:hAnsiTheme="majorHAnsi"/>
                <w:noProof/>
                <w:webHidden/>
                <w:sz w:val="20"/>
                <w:szCs w:val="20"/>
              </w:rPr>
              <w:fldChar w:fldCharType="end"/>
            </w:r>
          </w:hyperlink>
        </w:p>
        <w:p w:rsidR="00F246C8" w:rsidRPr="00F246C8" w:rsidRDefault="003F0F3A" w:rsidP="00B0202B">
          <w:pPr>
            <w:pStyle w:val="TOC2"/>
            <w:tabs>
              <w:tab w:val="left" w:pos="720"/>
            </w:tabs>
            <w:rPr>
              <w:rFonts w:asciiTheme="majorHAnsi" w:eastAsiaTheme="minorEastAsia" w:hAnsiTheme="majorHAnsi" w:cstheme="minorBidi"/>
              <w:noProof/>
              <w:sz w:val="20"/>
              <w:szCs w:val="20"/>
              <w:bdr w:val="none" w:sz="0" w:space="0" w:color="auto"/>
            </w:rPr>
          </w:pPr>
          <w:hyperlink w:anchor="_Toc18936463" w:history="1">
            <w:r w:rsidR="00F246C8" w:rsidRPr="00F246C8">
              <w:rPr>
                <w:rStyle w:val="Hyperlink"/>
                <w:rFonts w:asciiTheme="majorHAnsi" w:hAnsiTheme="majorHAnsi"/>
                <w:noProof/>
                <w:sz w:val="20"/>
                <w:szCs w:val="20"/>
              </w:rPr>
              <w:t>A.</w:t>
            </w:r>
            <w:r w:rsidR="00F246C8" w:rsidRPr="00F246C8">
              <w:rPr>
                <w:rFonts w:asciiTheme="majorHAnsi" w:eastAsiaTheme="minorEastAsia" w:hAnsiTheme="majorHAnsi" w:cstheme="minorBidi"/>
                <w:noProof/>
                <w:sz w:val="20"/>
                <w:szCs w:val="20"/>
                <w:bdr w:val="none" w:sz="0" w:space="0" w:color="auto"/>
              </w:rPr>
              <w:tab/>
            </w:r>
            <w:r w:rsidR="00F246C8" w:rsidRPr="00F246C8">
              <w:rPr>
                <w:rStyle w:val="Hyperlink"/>
                <w:rFonts w:asciiTheme="majorHAnsi" w:hAnsiTheme="majorHAnsi"/>
                <w:noProof/>
                <w:sz w:val="20"/>
                <w:szCs w:val="20"/>
              </w:rPr>
              <w:t>The alleged victims</w:t>
            </w:r>
            <w:r w:rsidR="00F246C8" w:rsidRPr="00F246C8">
              <w:rPr>
                <w:rFonts w:asciiTheme="majorHAnsi" w:hAnsiTheme="majorHAnsi"/>
                <w:noProof/>
                <w:webHidden/>
                <w:sz w:val="20"/>
                <w:szCs w:val="20"/>
              </w:rPr>
              <w:tab/>
            </w:r>
            <w:r w:rsidR="00F246C8" w:rsidRPr="00F246C8">
              <w:rPr>
                <w:rFonts w:asciiTheme="majorHAnsi" w:hAnsiTheme="majorHAnsi"/>
                <w:noProof/>
                <w:webHidden/>
                <w:sz w:val="20"/>
                <w:szCs w:val="20"/>
              </w:rPr>
              <w:fldChar w:fldCharType="begin"/>
            </w:r>
            <w:r w:rsidR="00F246C8" w:rsidRPr="00F246C8">
              <w:rPr>
                <w:rFonts w:asciiTheme="majorHAnsi" w:hAnsiTheme="majorHAnsi"/>
                <w:noProof/>
                <w:webHidden/>
                <w:sz w:val="20"/>
                <w:szCs w:val="20"/>
              </w:rPr>
              <w:instrText xml:space="preserve"> PAGEREF _Toc18936463 \h </w:instrText>
            </w:r>
            <w:r w:rsidR="00F246C8" w:rsidRPr="00F246C8">
              <w:rPr>
                <w:rFonts w:asciiTheme="majorHAnsi" w:hAnsiTheme="majorHAnsi"/>
                <w:noProof/>
                <w:webHidden/>
                <w:sz w:val="20"/>
                <w:szCs w:val="20"/>
              </w:rPr>
            </w:r>
            <w:r w:rsidR="00F246C8" w:rsidRPr="00F246C8">
              <w:rPr>
                <w:rFonts w:asciiTheme="majorHAnsi" w:hAnsiTheme="majorHAnsi"/>
                <w:noProof/>
                <w:webHidden/>
                <w:sz w:val="20"/>
                <w:szCs w:val="20"/>
              </w:rPr>
              <w:fldChar w:fldCharType="separate"/>
            </w:r>
            <w:r w:rsidR="00F246C8" w:rsidRPr="00F246C8">
              <w:rPr>
                <w:rFonts w:asciiTheme="majorHAnsi" w:hAnsiTheme="majorHAnsi"/>
                <w:noProof/>
                <w:webHidden/>
                <w:sz w:val="20"/>
                <w:szCs w:val="20"/>
              </w:rPr>
              <w:t>6</w:t>
            </w:r>
            <w:r w:rsidR="00F246C8" w:rsidRPr="00F246C8">
              <w:rPr>
                <w:rFonts w:asciiTheme="majorHAnsi" w:hAnsiTheme="majorHAnsi"/>
                <w:noProof/>
                <w:webHidden/>
                <w:sz w:val="20"/>
                <w:szCs w:val="20"/>
              </w:rPr>
              <w:fldChar w:fldCharType="end"/>
            </w:r>
          </w:hyperlink>
        </w:p>
        <w:p w:rsidR="00F246C8" w:rsidRPr="00F246C8" w:rsidRDefault="003F0F3A" w:rsidP="00B0202B">
          <w:pPr>
            <w:pStyle w:val="TOC2"/>
            <w:tabs>
              <w:tab w:val="left" w:pos="720"/>
            </w:tabs>
            <w:rPr>
              <w:rFonts w:asciiTheme="majorHAnsi" w:eastAsiaTheme="minorEastAsia" w:hAnsiTheme="majorHAnsi" w:cstheme="minorBidi"/>
              <w:noProof/>
              <w:sz w:val="20"/>
              <w:szCs w:val="20"/>
              <w:bdr w:val="none" w:sz="0" w:space="0" w:color="auto"/>
            </w:rPr>
          </w:pPr>
          <w:hyperlink w:anchor="_Toc18936464" w:history="1">
            <w:r w:rsidR="00F246C8" w:rsidRPr="00F246C8">
              <w:rPr>
                <w:rStyle w:val="Hyperlink"/>
                <w:rFonts w:asciiTheme="majorHAnsi" w:hAnsiTheme="majorHAnsi"/>
                <w:noProof/>
                <w:sz w:val="20"/>
                <w:szCs w:val="20"/>
              </w:rPr>
              <w:t>B.</w:t>
            </w:r>
            <w:r w:rsidR="00F246C8" w:rsidRPr="00F246C8">
              <w:rPr>
                <w:rFonts w:asciiTheme="majorHAnsi" w:eastAsiaTheme="minorEastAsia" w:hAnsiTheme="majorHAnsi" w:cstheme="minorBidi"/>
                <w:noProof/>
                <w:sz w:val="20"/>
                <w:szCs w:val="20"/>
                <w:bdr w:val="none" w:sz="0" w:space="0" w:color="auto"/>
              </w:rPr>
              <w:tab/>
            </w:r>
            <w:r w:rsidR="00F246C8" w:rsidRPr="00F246C8">
              <w:rPr>
                <w:rStyle w:val="Hyperlink"/>
                <w:rFonts w:asciiTheme="majorHAnsi" w:hAnsiTheme="majorHAnsi"/>
                <w:noProof/>
                <w:sz w:val="20"/>
                <w:szCs w:val="20"/>
              </w:rPr>
              <w:t>Proceedings initiated by the alleged victims</w:t>
            </w:r>
            <w:r w:rsidR="00F246C8" w:rsidRPr="00F246C8">
              <w:rPr>
                <w:rFonts w:asciiTheme="majorHAnsi" w:hAnsiTheme="majorHAnsi"/>
                <w:noProof/>
                <w:webHidden/>
                <w:sz w:val="20"/>
                <w:szCs w:val="20"/>
              </w:rPr>
              <w:tab/>
            </w:r>
            <w:r w:rsidR="00F246C8" w:rsidRPr="00F246C8">
              <w:rPr>
                <w:rFonts w:asciiTheme="majorHAnsi" w:hAnsiTheme="majorHAnsi"/>
                <w:noProof/>
                <w:webHidden/>
                <w:sz w:val="20"/>
                <w:szCs w:val="20"/>
              </w:rPr>
              <w:fldChar w:fldCharType="begin"/>
            </w:r>
            <w:r w:rsidR="00F246C8" w:rsidRPr="00F246C8">
              <w:rPr>
                <w:rFonts w:asciiTheme="majorHAnsi" w:hAnsiTheme="majorHAnsi"/>
                <w:noProof/>
                <w:webHidden/>
                <w:sz w:val="20"/>
                <w:szCs w:val="20"/>
              </w:rPr>
              <w:instrText xml:space="preserve"> PAGEREF _Toc18936464 \h </w:instrText>
            </w:r>
            <w:r w:rsidR="00F246C8" w:rsidRPr="00F246C8">
              <w:rPr>
                <w:rFonts w:asciiTheme="majorHAnsi" w:hAnsiTheme="majorHAnsi"/>
                <w:noProof/>
                <w:webHidden/>
                <w:sz w:val="20"/>
                <w:szCs w:val="20"/>
              </w:rPr>
            </w:r>
            <w:r w:rsidR="00F246C8" w:rsidRPr="00F246C8">
              <w:rPr>
                <w:rFonts w:asciiTheme="majorHAnsi" w:hAnsiTheme="majorHAnsi"/>
                <w:noProof/>
                <w:webHidden/>
                <w:sz w:val="20"/>
                <w:szCs w:val="20"/>
              </w:rPr>
              <w:fldChar w:fldCharType="separate"/>
            </w:r>
            <w:r w:rsidR="00F246C8" w:rsidRPr="00F246C8">
              <w:rPr>
                <w:rFonts w:asciiTheme="majorHAnsi" w:hAnsiTheme="majorHAnsi"/>
                <w:noProof/>
                <w:webHidden/>
                <w:sz w:val="20"/>
                <w:szCs w:val="20"/>
              </w:rPr>
              <w:t>6</w:t>
            </w:r>
            <w:r w:rsidR="00F246C8" w:rsidRPr="00F246C8">
              <w:rPr>
                <w:rFonts w:asciiTheme="majorHAnsi" w:hAnsiTheme="majorHAnsi"/>
                <w:noProof/>
                <w:webHidden/>
                <w:sz w:val="20"/>
                <w:szCs w:val="20"/>
              </w:rPr>
              <w:fldChar w:fldCharType="end"/>
            </w:r>
          </w:hyperlink>
        </w:p>
        <w:p w:rsidR="00F246C8" w:rsidRPr="00F246C8" w:rsidRDefault="003F0F3A" w:rsidP="00B0202B">
          <w:pPr>
            <w:pStyle w:val="TOC3"/>
            <w:tabs>
              <w:tab w:val="left" w:pos="720"/>
              <w:tab w:val="left" w:pos="2160"/>
            </w:tabs>
            <w:rPr>
              <w:rFonts w:asciiTheme="majorHAnsi" w:eastAsiaTheme="minorEastAsia" w:hAnsiTheme="majorHAnsi" w:cstheme="minorBidi"/>
              <w:noProof/>
              <w:sz w:val="20"/>
              <w:szCs w:val="20"/>
              <w:bdr w:val="none" w:sz="0" w:space="0" w:color="auto"/>
            </w:rPr>
          </w:pPr>
          <w:hyperlink w:anchor="_Toc18936465" w:history="1">
            <w:r w:rsidR="00F246C8" w:rsidRPr="00F246C8">
              <w:rPr>
                <w:rStyle w:val="Hyperlink"/>
                <w:rFonts w:asciiTheme="majorHAnsi" w:hAnsiTheme="majorHAnsi"/>
                <w:noProof/>
                <w:sz w:val="20"/>
                <w:szCs w:val="20"/>
              </w:rPr>
              <w:t>1.</w:t>
            </w:r>
            <w:r w:rsidR="00F246C8" w:rsidRPr="00F246C8">
              <w:rPr>
                <w:rFonts w:asciiTheme="majorHAnsi" w:eastAsiaTheme="minorEastAsia" w:hAnsiTheme="majorHAnsi" w:cstheme="minorBidi"/>
                <w:noProof/>
                <w:sz w:val="20"/>
                <w:szCs w:val="20"/>
                <w:bdr w:val="none" w:sz="0" w:space="0" w:color="auto"/>
              </w:rPr>
              <w:tab/>
            </w:r>
            <w:r w:rsidR="00F246C8" w:rsidRPr="00F246C8">
              <w:rPr>
                <w:rStyle w:val="Hyperlink"/>
                <w:rFonts w:asciiTheme="majorHAnsi" w:hAnsiTheme="majorHAnsi"/>
                <w:noProof/>
                <w:sz w:val="20"/>
                <w:szCs w:val="20"/>
              </w:rPr>
              <w:t>Background</w:t>
            </w:r>
            <w:r w:rsidR="00F246C8" w:rsidRPr="00F246C8">
              <w:rPr>
                <w:rFonts w:asciiTheme="majorHAnsi" w:hAnsiTheme="majorHAnsi"/>
                <w:noProof/>
                <w:webHidden/>
                <w:sz w:val="20"/>
                <w:szCs w:val="20"/>
              </w:rPr>
              <w:tab/>
            </w:r>
            <w:r w:rsidR="00F246C8" w:rsidRPr="00F246C8">
              <w:rPr>
                <w:rFonts w:asciiTheme="majorHAnsi" w:hAnsiTheme="majorHAnsi"/>
                <w:noProof/>
                <w:webHidden/>
                <w:sz w:val="20"/>
                <w:szCs w:val="20"/>
              </w:rPr>
              <w:fldChar w:fldCharType="begin"/>
            </w:r>
            <w:r w:rsidR="00F246C8" w:rsidRPr="00F246C8">
              <w:rPr>
                <w:rFonts w:asciiTheme="majorHAnsi" w:hAnsiTheme="majorHAnsi"/>
                <w:noProof/>
                <w:webHidden/>
                <w:sz w:val="20"/>
                <w:szCs w:val="20"/>
              </w:rPr>
              <w:instrText xml:space="preserve"> PAGEREF _Toc18936465 \h </w:instrText>
            </w:r>
            <w:r w:rsidR="00F246C8" w:rsidRPr="00F246C8">
              <w:rPr>
                <w:rFonts w:asciiTheme="majorHAnsi" w:hAnsiTheme="majorHAnsi"/>
                <w:noProof/>
                <w:webHidden/>
                <w:sz w:val="20"/>
                <w:szCs w:val="20"/>
              </w:rPr>
            </w:r>
            <w:r w:rsidR="00F246C8" w:rsidRPr="00F246C8">
              <w:rPr>
                <w:rFonts w:asciiTheme="majorHAnsi" w:hAnsiTheme="majorHAnsi"/>
                <w:noProof/>
                <w:webHidden/>
                <w:sz w:val="20"/>
                <w:szCs w:val="20"/>
              </w:rPr>
              <w:fldChar w:fldCharType="separate"/>
            </w:r>
            <w:r w:rsidR="00F246C8" w:rsidRPr="00F246C8">
              <w:rPr>
                <w:rFonts w:asciiTheme="majorHAnsi" w:hAnsiTheme="majorHAnsi"/>
                <w:noProof/>
                <w:webHidden/>
                <w:sz w:val="20"/>
                <w:szCs w:val="20"/>
              </w:rPr>
              <w:t>6</w:t>
            </w:r>
            <w:r w:rsidR="00F246C8" w:rsidRPr="00F246C8">
              <w:rPr>
                <w:rFonts w:asciiTheme="majorHAnsi" w:hAnsiTheme="majorHAnsi"/>
                <w:noProof/>
                <w:webHidden/>
                <w:sz w:val="20"/>
                <w:szCs w:val="20"/>
              </w:rPr>
              <w:fldChar w:fldCharType="end"/>
            </w:r>
          </w:hyperlink>
        </w:p>
        <w:p w:rsidR="00F246C8" w:rsidRPr="00F246C8" w:rsidRDefault="003F0F3A" w:rsidP="00B0202B">
          <w:pPr>
            <w:pStyle w:val="TOC3"/>
            <w:tabs>
              <w:tab w:val="left" w:pos="720"/>
              <w:tab w:val="left" w:pos="2160"/>
            </w:tabs>
            <w:rPr>
              <w:rFonts w:asciiTheme="majorHAnsi" w:eastAsiaTheme="minorEastAsia" w:hAnsiTheme="majorHAnsi" w:cstheme="minorBidi"/>
              <w:noProof/>
              <w:sz w:val="20"/>
              <w:szCs w:val="20"/>
              <w:bdr w:val="none" w:sz="0" w:space="0" w:color="auto"/>
            </w:rPr>
          </w:pPr>
          <w:hyperlink w:anchor="_Toc18936466" w:history="1">
            <w:r w:rsidR="00F246C8" w:rsidRPr="00F246C8">
              <w:rPr>
                <w:rStyle w:val="Hyperlink"/>
                <w:rFonts w:asciiTheme="majorHAnsi" w:hAnsiTheme="majorHAnsi"/>
                <w:noProof/>
                <w:sz w:val="20"/>
                <w:szCs w:val="20"/>
              </w:rPr>
              <w:t>2.</w:t>
            </w:r>
            <w:r w:rsidR="00F246C8" w:rsidRPr="00F246C8">
              <w:rPr>
                <w:rFonts w:asciiTheme="majorHAnsi" w:eastAsiaTheme="minorEastAsia" w:hAnsiTheme="majorHAnsi" w:cstheme="minorBidi"/>
                <w:noProof/>
                <w:sz w:val="20"/>
                <w:szCs w:val="20"/>
                <w:bdr w:val="none" w:sz="0" w:space="0" w:color="auto"/>
              </w:rPr>
              <w:tab/>
            </w:r>
            <w:r w:rsidR="00F246C8" w:rsidRPr="00F246C8">
              <w:rPr>
                <w:rStyle w:val="Hyperlink"/>
                <w:rFonts w:asciiTheme="majorHAnsi" w:hAnsiTheme="majorHAnsi"/>
                <w:noProof/>
                <w:sz w:val="20"/>
                <w:szCs w:val="20"/>
              </w:rPr>
              <w:t>Holding the strike</w:t>
            </w:r>
            <w:r w:rsidR="00F246C8" w:rsidRPr="00F246C8">
              <w:rPr>
                <w:rFonts w:asciiTheme="majorHAnsi" w:hAnsiTheme="majorHAnsi"/>
                <w:noProof/>
                <w:webHidden/>
                <w:sz w:val="20"/>
                <w:szCs w:val="20"/>
              </w:rPr>
              <w:tab/>
            </w:r>
            <w:r w:rsidR="00F246C8" w:rsidRPr="00F246C8">
              <w:rPr>
                <w:rFonts w:asciiTheme="majorHAnsi" w:hAnsiTheme="majorHAnsi"/>
                <w:noProof/>
                <w:webHidden/>
                <w:sz w:val="20"/>
                <w:szCs w:val="20"/>
              </w:rPr>
              <w:fldChar w:fldCharType="begin"/>
            </w:r>
            <w:r w:rsidR="00F246C8" w:rsidRPr="00F246C8">
              <w:rPr>
                <w:rFonts w:asciiTheme="majorHAnsi" w:hAnsiTheme="majorHAnsi"/>
                <w:noProof/>
                <w:webHidden/>
                <w:sz w:val="20"/>
                <w:szCs w:val="20"/>
              </w:rPr>
              <w:instrText xml:space="preserve"> PAGEREF _Toc18936466 \h </w:instrText>
            </w:r>
            <w:r w:rsidR="00F246C8" w:rsidRPr="00F246C8">
              <w:rPr>
                <w:rFonts w:asciiTheme="majorHAnsi" w:hAnsiTheme="majorHAnsi"/>
                <w:noProof/>
                <w:webHidden/>
                <w:sz w:val="20"/>
                <w:szCs w:val="20"/>
              </w:rPr>
            </w:r>
            <w:r w:rsidR="00F246C8" w:rsidRPr="00F246C8">
              <w:rPr>
                <w:rFonts w:asciiTheme="majorHAnsi" w:hAnsiTheme="majorHAnsi"/>
                <w:noProof/>
                <w:webHidden/>
                <w:sz w:val="20"/>
                <w:szCs w:val="20"/>
              </w:rPr>
              <w:fldChar w:fldCharType="separate"/>
            </w:r>
            <w:r w:rsidR="00F246C8" w:rsidRPr="00F246C8">
              <w:rPr>
                <w:rFonts w:asciiTheme="majorHAnsi" w:hAnsiTheme="majorHAnsi"/>
                <w:noProof/>
                <w:webHidden/>
                <w:sz w:val="20"/>
                <w:szCs w:val="20"/>
              </w:rPr>
              <w:t>7</w:t>
            </w:r>
            <w:r w:rsidR="00F246C8" w:rsidRPr="00F246C8">
              <w:rPr>
                <w:rFonts w:asciiTheme="majorHAnsi" w:hAnsiTheme="majorHAnsi"/>
                <w:noProof/>
                <w:webHidden/>
                <w:sz w:val="20"/>
                <w:szCs w:val="20"/>
              </w:rPr>
              <w:fldChar w:fldCharType="end"/>
            </w:r>
          </w:hyperlink>
        </w:p>
        <w:p w:rsidR="00F246C8" w:rsidRPr="00F246C8" w:rsidRDefault="003F0F3A" w:rsidP="00B0202B">
          <w:pPr>
            <w:pStyle w:val="TOC3"/>
            <w:tabs>
              <w:tab w:val="left" w:pos="720"/>
              <w:tab w:val="left" w:pos="2160"/>
            </w:tabs>
            <w:rPr>
              <w:rFonts w:asciiTheme="majorHAnsi" w:eastAsiaTheme="minorEastAsia" w:hAnsiTheme="majorHAnsi" w:cstheme="minorBidi"/>
              <w:noProof/>
              <w:sz w:val="20"/>
              <w:szCs w:val="20"/>
              <w:bdr w:val="none" w:sz="0" w:space="0" w:color="auto"/>
            </w:rPr>
          </w:pPr>
          <w:hyperlink w:anchor="_Toc18936467" w:history="1">
            <w:r w:rsidR="00F246C8" w:rsidRPr="00F246C8">
              <w:rPr>
                <w:rStyle w:val="Hyperlink"/>
                <w:rFonts w:asciiTheme="majorHAnsi" w:hAnsiTheme="majorHAnsi"/>
                <w:noProof/>
                <w:sz w:val="20"/>
                <w:szCs w:val="20"/>
              </w:rPr>
              <w:t>3.</w:t>
            </w:r>
            <w:r w:rsidR="00F246C8" w:rsidRPr="00F246C8">
              <w:rPr>
                <w:rFonts w:asciiTheme="majorHAnsi" w:eastAsiaTheme="minorEastAsia" w:hAnsiTheme="majorHAnsi" w:cstheme="minorBidi"/>
                <w:noProof/>
                <w:sz w:val="20"/>
                <w:szCs w:val="20"/>
                <w:bdr w:val="none" w:sz="0" w:space="0" w:color="auto"/>
              </w:rPr>
              <w:tab/>
            </w:r>
            <w:r w:rsidR="00F246C8" w:rsidRPr="00F246C8">
              <w:rPr>
                <w:rStyle w:val="Hyperlink"/>
                <w:rFonts w:asciiTheme="majorHAnsi" w:hAnsiTheme="majorHAnsi"/>
                <w:noProof/>
                <w:sz w:val="20"/>
                <w:szCs w:val="20"/>
              </w:rPr>
              <w:t>Declaring the strike’s illegitimacy</w:t>
            </w:r>
            <w:r w:rsidR="00F246C8" w:rsidRPr="00F246C8">
              <w:rPr>
                <w:rFonts w:asciiTheme="majorHAnsi" w:hAnsiTheme="majorHAnsi"/>
                <w:noProof/>
                <w:webHidden/>
                <w:sz w:val="20"/>
                <w:szCs w:val="20"/>
              </w:rPr>
              <w:tab/>
            </w:r>
            <w:r w:rsidR="00F246C8" w:rsidRPr="00F246C8">
              <w:rPr>
                <w:rFonts w:asciiTheme="majorHAnsi" w:hAnsiTheme="majorHAnsi"/>
                <w:noProof/>
                <w:webHidden/>
                <w:sz w:val="20"/>
                <w:szCs w:val="20"/>
              </w:rPr>
              <w:fldChar w:fldCharType="begin"/>
            </w:r>
            <w:r w:rsidR="00F246C8" w:rsidRPr="00F246C8">
              <w:rPr>
                <w:rFonts w:asciiTheme="majorHAnsi" w:hAnsiTheme="majorHAnsi"/>
                <w:noProof/>
                <w:webHidden/>
                <w:sz w:val="20"/>
                <w:szCs w:val="20"/>
              </w:rPr>
              <w:instrText xml:space="preserve"> PAGEREF _Toc18936467 \h </w:instrText>
            </w:r>
            <w:r w:rsidR="00F246C8" w:rsidRPr="00F246C8">
              <w:rPr>
                <w:rFonts w:asciiTheme="majorHAnsi" w:hAnsiTheme="majorHAnsi"/>
                <w:noProof/>
                <w:webHidden/>
                <w:sz w:val="20"/>
                <w:szCs w:val="20"/>
              </w:rPr>
            </w:r>
            <w:r w:rsidR="00F246C8" w:rsidRPr="00F246C8">
              <w:rPr>
                <w:rFonts w:asciiTheme="majorHAnsi" w:hAnsiTheme="majorHAnsi"/>
                <w:noProof/>
                <w:webHidden/>
                <w:sz w:val="20"/>
                <w:szCs w:val="20"/>
              </w:rPr>
              <w:fldChar w:fldCharType="separate"/>
            </w:r>
            <w:r w:rsidR="00F246C8" w:rsidRPr="00F246C8">
              <w:rPr>
                <w:rFonts w:asciiTheme="majorHAnsi" w:hAnsiTheme="majorHAnsi"/>
                <w:noProof/>
                <w:webHidden/>
                <w:sz w:val="20"/>
                <w:szCs w:val="20"/>
              </w:rPr>
              <w:t>8</w:t>
            </w:r>
            <w:r w:rsidR="00F246C8" w:rsidRPr="00F246C8">
              <w:rPr>
                <w:rFonts w:asciiTheme="majorHAnsi" w:hAnsiTheme="majorHAnsi"/>
                <w:noProof/>
                <w:webHidden/>
                <w:sz w:val="20"/>
                <w:szCs w:val="20"/>
              </w:rPr>
              <w:fldChar w:fldCharType="end"/>
            </w:r>
          </w:hyperlink>
        </w:p>
        <w:p w:rsidR="00F246C8" w:rsidRPr="00F246C8" w:rsidRDefault="003F0F3A" w:rsidP="00B0202B">
          <w:pPr>
            <w:pStyle w:val="TOC3"/>
            <w:tabs>
              <w:tab w:val="left" w:pos="720"/>
              <w:tab w:val="left" w:pos="2160"/>
            </w:tabs>
            <w:rPr>
              <w:rFonts w:asciiTheme="majorHAnsi" w:eastAsiaTheme="minorEastAsia" w:hAnsiTheme="majorHAnsi" w:cstheme="minorBidi"/>
              <w:noProof/>
              <w:sz w:val="20"/>
              <w:szCs w:val="20"/>
              <w:bdr w:val="none" w:sz="0" w:space="0" w:color="auto"/>
            </w:rPr>
          </w:pPr>
          <w:hyperlink w:anchor="_Toc18936468" w:history="1">
            <w:r w:rsidR="00F246C8" w:rsidRPr="00F246C8">
              <w:rPr>
                <w:rStyle w:val="Hyperlink"/>
                <w:rFonts w:asciiTheme="majorHAnsi" w:hAnsiTheme="majorHAnsi"/>
                <w:noProof/>
                <w:sz w:val="20"/>
                <w:szCs w:val="20"/>
              </w:rPr>
              <w:t>4.</w:t>
            </w:r>
            <w:r w:rsidR="00F246C8" w:rsidRPr="00F246C8">
              <w:rPr>
                <w:rFonts w:asciiTheme="majorHAnsi" w:eastAsiaTheme="minorEastAsia" w:hAnsiTheme="majorHAnsi" w:cstheme="minorBidi"/>
                <w:noProof/>
                <w:sz w:val="20"/>
                <w:szCs w:val="20"/>
                <w:bdr w:val="none" w:sz="0" w:space="0" w:color="auto"/>
              </w:rPr>
              <w:tab/>
            </w:r>
            <w:r w:rsidR="00F246C8" w:rsidRPr="00F246C8">
              <w:rPr>
                <w:rStyle w:val="Hyperlink"/>
                <w:rFonts w:asciiTheme="majorHAnsi" w:hAnsiTheme="majorHAnsi"/>
                <w:noProof/>
                <w:sz w:val="20"/>
                <w:szCs w:val="20"/>
              </w:rPr>
              <w:t>Remedies to challenge the ruling of the strike’s unlawfulness</w:t>
            </w:r>
            <w:r w:rsidR="00F246C8" w:rsidRPr="00F246C8">
              <w:rPr>
                <w:rFonts w:asciiTheme="majorHAnsi" w:hAnsiTheme="majorHAnsi"/>
                <w:noProof/>
                <w:webHidden/>
                <w:sz w:val="20"/>
                <w:szCs w:val="20"/>
              </w:rPr>
              <w:tab/>
            </w:r>
            <w:r w:rsidR="00F246C8" w:rsidRPr="00F246C8">
              <w:rPr>
                <w:rFonts w:asciiTheme="majorHAnsi" w:hAnsiTheme="majorHAnsi"/>
                <w:noProof/>
                <w:webHidden/>
                <w:sz w:val="20"/>
                <w:szCs w:val="20"/>
              </w:rPr>
              <w:fldChar w:fldCharType="begin"/>
            </w:r>
            <w:r w:rsidR="00F246C8" w:rsidRPr="00F246C8">
              <w:rPr>
                <w:rFonts w:asciiTheme="majorHAnsi" w:hAnsiTheme="majorHAnsi"/>
                <w:noProof/>
                <w:webHidden/>
                <w:sz w:val="20"/>
                <w:szCs w:val="20"/>
              </w:rPr>
              <w:instrText xml:space="preserve"> PAGEREF _Toc18936468 \h </w:instrText>
            </w:r>
            <w:r w:rsidR="00F246C8" w:rsidRPr="00F246C8">
              <w:rPr>
                <w:rFonts w:asciiTheme="majorHAnsi" w:hAnsiTheme="majorHAnsi"/>
                <w:noProof/>
                <w:webHidden/>
                <w:sz w:val="20"/>
                <w:szCs w:val="20"/>
              </w:rPr>
            </w:r>
            <w:r w:rsidR="00F246C8" w:rsidRPr="00F246C8">
              <w:rPr>
                <w:rFonts w:asciiTheme="majorHAnsi" w:hAnsiTheme="majorHAnsi"/>
                <w:noProof/>
                <w:webHidden/>
                <w:sz w:val="20"/>
                <w:szCs w:val="20"/>
              </w:rPr>
              <w:fldChar w:fldCharType="separate"/>
            </w:r>
            <w:r w:rsidR="00F246C8" w:rsidRPr="00F246C8">
              <w:rPr>
                <w:rFonts w:asciiTheme="majorHAnsi" w:hAnsiTheme="majorHAnsi"/>
                <w:noProof/>
                <w:webHidden/>
                <w:sz w:val="20"/>
                <w:szCs w:val="20"/>
              </w:rPr>
              <w:t>8</w:t>
            </w:r>
            <w:r w:rsidR="00F246C8" w:rsidRPr="00F246C8">
              <w:rPr>
                <w:rFonts w:asciiTheme="majorHAnsi" w:hAnsiTheme="majorHAnsi"/>
                <w:noProof/>
                <w:webHidden/>
                <w:sz w:val="20"/>
                <w:szCs w:val="20"/>
              </w:rPr>
              <w:fldChar w:fldCharType="end"/>
            </w:r>
          </w:hyperlink>
        </w:p>
        <w:p w:rsidR="00F246C8" w:rsidRPr="00F246C8" w:rsidRDefault="003F0F3A" w:rsidP="00B0202B">
          <w:pPr>
            <w:pStyle w:val="TOC3"/>
            <w:tabs>
              <w:tab w:val="left" w:pos="720"/>
              <w:tab w:val="left" w:pos="2160"/>
            </w:tabs>
            <w:rPr>
              <w:rFonts w:asciiTheme="majorHAnsi" w:eastAsiaTheme="minorEastAsia" w:hAnsiTheme="majorHAnsi" w:cstheme="minorBidi"/>
              <w:noProof/>
              <w:sz w:val="20"/>
              <w:szCs w:val="20"/>
              <w:bdr w:val="none" w:sz="0" w:space="0" w:color="auto"/>
            </w:rPr>
          </w:pPr>
          <w:hyperlink w:anchor="_Toc18936469" w:history="1">
            <w:r w:rsidR="00F246C8" w:rsidRPr="00F246C8">
              <w:rPr>
                <w:rStyle w:val="Hyperlink"/>
                <w:rFonts w:asciiTheme="majorHAnsi" w:hAnsiTheme="majorHAnsi"/>
                <w:noProof/>
                <w:sz w:val="20"/>
                <w:szCs w:val="20"/>
              </w:rPr>
              <w:t>5.</w:t>
            </w:r>
            <w:r w:rsidR="00F246C8" w:rsidRPr="00F246C8">
              <w:rPr>
                <w:rFonts w:asciiTheme="majorHAnsi" w:eastAsiaTheme="minorEastAsia" w:hAnsiTheme="majorHAnsi" w:cstheme="minorBidi"/>
                <w:noProof/>
                <w:sz w:val="20"/>
                <w:szCs w:val="20"/>
                <w:bdr w:val="none" w:sz="0" w:space="0" w:color="auto"/>
              </w:rPr>
              <w:tab/>
            </w:r>
            <w:r w:rsidR="00F246C8" w:rsidRPr="00F246C8">
              <w:rPr>
                <w:rStyle w:val="Hyperlink"/>
                <w:rFonts w:asciiTheme="majorHAnsi" w:hAnsiTheme="majorHAnsi"/>
                <w:noProof/>
                <w:sz w:val="20"/>
                <w:szCs w:val="20"/>
              </w:rPr>
              <w:t>Dismissals by the Supreme Court of Justice and subsequent motions of appeal</w:t>
            </w:r>
            <w:r w:rsidR="00F246C8" w:rsidRPr="00F246C8">
              <w:rPr>
                <w:rFonts w:asciiTheme="majorHAnsi" w:hAnsiTheme="majorHAnsi"/>
                <w:noProof/>
                <w:webHidden/>
                <w:sz w:val="20"/>
                <w:szCs w:val="20"/>
              </w:rPr>
              <w:tab/>
            </w:r>
            <w:r w:rsidR="00F246C8" w:rsidRPr="00F246C8">
              <w:rPr>
                <w:rFonts w:asciiTheme="majorHAnsi" w:hAnsiTheme="majorHAnsi"/>
                <w:noProof/>
                <w:webHidden/>
                <w:sz w:val="20"/>
                <w:szCs w:val="20"/>
              </w:rPr>
              <w:fldChar w:fldCharType="begin"/>
            </w:r>
            <w:r w:rsidR="00F246C8" w:rsidRPr="00F246C8">
              <w:rPr>
                <w:rFonts w:asciiTheme="majorHAnsi" w:hAnsiTheme="majorHAnsi"/>
                <w:noProof/>
                <w:webHidden/>
                <w:sz w:val="20"/>
                <w:szCs w:val="20"/>
              </w:rPr>
              <w:instrText xml:space="preserve"> PAGEREF _Toc18936469 \h </w:instrText>
            </w:r>
            <w:r w:rsidR="00F246C8" w:rsidRPr="00F246C8">
              <w:rPr>
                <w:rFonts w:asciiTheme="majorHAnsi" w:hAnsiTheme="majorHAnsi"/>
                <w:noProof/>
                <w:webHidden/>
                <w:sz w:val="20"/>
                <w:szCs w:val="20"/>
              </w:rPr>
            </w:r>
            <w:r w:rsidR="00F246C8" w:rsidRPr="00F246C8">
              <w:rPr>
                <w:rFonts w:asciiTheme="majorHAnsi" w:hAnsiTheme="majorHAnsi"/>
                <w:noProof/>
                <w:webHidden/>
                <w:sz w:val="20"/>
                <w:szCs w:val="20"/>
              </w:rPr>
              <w:fldChar w:fldCharType="separate"/>
            </w:r>
            <w:r w:rsidR="00F246C8" w:rsidRPr="00F246C8">
              <w:rPr>
                <w:rFonts w:asciiTheme="majorHAnsi" w:hAnsiTheme="majorHAnsi"/>
                <w:noProof/>
                <w:webHidden/>
                <w:sz w:val="20"/>
                <w:szCs w:val="20"/>
              </w:rPr>
              <w:t>10</w:t>
            </w:r>
            <w:r w:rsidR="00F246C8" w:rsidRPr="00F246C8">
              <w:rPr>
                <w:rFonts w:asciiTheme="majorHAnsi" w:hAnsiTheme="majorHAnsi"/>
                <w:noProof/>
                <w:webHidden/>
                <w:sz w:val="20"/>
                <w:szCs w:val="20"/>
              </w:rPr>
              <w:fldChar w:fldCharType="end"/>
            </w:r>
          </w:hyperlink>
        </w:p>
        <w:p w:rsidR="00F246C8" w:rsidRPr="00F246C8" w:rsidRDefault="003F0F3A" w:rsidP="00B0202B">
          <w:pPr>
            <w:pStyle w:val="TOC1"/>
            <w:tabs>
              <w:tab w:val="left" w:pos="720"/>
              <w:tab w:val="left" w:pos="1440"/>
              <w:tab w:val="right" w:leader="dot" w:pos="9350"/>
            </w:tabs>
            <w:rPr>
              <w:rFonts w:asciiTheme="majorHAnsi" w:eastAsiaTheme="minorEastAsia" w:hAnsiTheme="majorHAnsi" w:cstheme="minorBidi"/>
              <w:noProof/>
              <w:sz w:val="20"/>
              <w:szCs w:val="20"/>
              <w:bdr w:val="none" w:sz="0" w:space="0" w:color="auto"/>
            </w:rPr>
          </w:pPr>
          <w:hyperlink w:anchor="_Toc18936470" w:history="1">
            <w:r w:rsidR="00F246C8" w:rsidRPr="00F246C8">
              <w:rPr>
                <w:rStyle w:val="Hyperlink"/>
                <w:rFonts w:asciiTheme="majorHAnsi" w:hAnsiTheme="majorHAnsi"/>
                <w:b/>
                <w:noProof/>
                <w:sz w:val="20"/>
                <w:szCs w:val="20"/>
              </w:rPr>
              <w:t>IV.</w:t>
            </w:r>
            <w:r w:rsidR="00F246C8" w:rsidRPr="00F246C8">
              <w:rPr>
                <w:rFonts w:asciiTheme="majorHAnsi" w:eastAsiaTheme="minorEastAsia" w:hAnsiTheme="majorHAnsi" w:cstheme="minorBidi"/>
                <w:b/>
                <w:noProof/>
                <w:sz w:val="20"/>
                <w:szCs w:val="20"/>
                <w:bdr w:val="none" w:sz="0" w:space="0" w:color="auto"/>
              </w:rPr>
              <w:tab/>
            </w:r>
            <w:r w:rsidR="00F246C8" w:rsidRPr="00F246C8">
              <w:rPr>
                <w:rStyle w:val="Hyperlink"/>
                <w:rFonts w:asciiTheme="majorHAnsi" w:hAnsiTheme="majorHAnsi"/>
                <w:b/>
                <w:noProof/>
                <w:sz w:val="20"/>
                <w:szCs w:val="20"/>
              </w:rPr>
              <w:t>DETERMINATIONS OF LAW</w:t>
            </w:r>
            <w:r w:rsidR="00F246C8" w:rsidRPr="00F246C8">
              <w:rPr>
                <w:rFonts w:asciiTheme="majorHAnsi" w:hAnsiTheme="majorHAnsi"/>
                <w:noProof/>
                <w:webHidden/>
                <w:sz w:val="20"/>
                <w:szCs w:val="20"/>
              </w:rPr>
              <w:tab/>
            </w:r>
            <w:r w:rsidR="00F246C8" w:rsidRPr="00F246C8">
              <w:rPr>
                <w:rFonts w:asciiTheme="majorHAnsi" w:hAnsiTheme="majorHAnsi"/>
                <w:noProof/>
                <w:webHidden/>
                <w:sz w:val="20"/>
                <w:szCs w:val="20"/>
              </w:rPr>
              <w:fldChar w:fldCharType="begin"/>
            </w:r>
            <w:r w:rsidR="00F246C8" w:rsidRPr="00F246C8">
              <w:rPr>
                <w:rFonts w:asciiTheme="majorHAnsi" w:hAnsiTheme="majorHAnsi"/>
                <w:noProof/>
                <w:webHidden/>
                <w:sz w:val="20"/>
                <w:szCs w:val="20"/>
              </w:rPr>
              <w:instrText xml:space="preserve"> PAGEREF _Toc18936470 \h </w:instrText>
            </w:r>
            <w:r w:rsidR="00F246C8" w:rsidRPr="00F246C8">
              <w:rPr>
                <w:rFonts w:asciiTheme="majorHAnsi" w:hAnsiTheme="majorHAnsi"/>
                <w:noProof/>
                <w:webHidden/>
                <w:sz w:val="20"/>
                <w:szCs w:val="20"/>
              </w:rPr>
            </w:r>
            <w:r w:rsidR="00F246C8" w:rsidRPr="00F246C8">
              <w:rPr>
                <w:rFonts w:asciiTheme="majorHAnsi" w:hAnsiTheme="majorHAnsi"/>
                <w:noProof/>
                <w:webHidden/>
                <w:sz w:val="20"/>
                <w:szCs w:val="20"/>
              </w:rPr>
              <w:fldChar w:fldCharType="separate"/>
            </w:r>
            <w:r w:rsidR="00F246C8" w:rsidRPr="00F246C8">
              <w:rPr>
                <w:rFonts w:asciiTheme="majorHAnsi" w:hAnsiTheme="majorHAnsi"/>
                <w:noProof/>
                <w:webHidden/>
                <w:sz w:val="20"/>
                <w:szCs w:val="20"/>
              </w:rPr>
              <w:t>12</w:t>
            </w:r>
            <w:r w:rsidR="00F246C8" w:rsidRPr="00F246C8">
              <w:rPr>
                <w:rFonts w:asciiTheme="majorHAnsi" w:hAnsiTheme="majorHAnsi"/>
                <w:noProof/>
                <w:webHidden/>
                <w:sz w:val="20"/>
                <w:szCs w:val="20"/>
              </w:rPr>
              <w:fldChar w:fldCharType="end"/>
            </w:r>
          </w:hyperlink>
        </w:p>
        <w:p w:rsidR="00F246C8" w:rsidRPr="00F246C8" w:rsidRDefault="003F0F3A" w:rsidP="00B0202B">
          <w:pPr>
            <w:pStyle w:val="TOC2"/>
            <w:tabs>
              <w:tab w:val="left" w:pos="720"/>
            </w:tabs>
            <w:rPr>
              <w:rFonts w:asciiTheme="majorHAnsi" w:eastAsiaTheme="minorEastAsia" w:hAnsiTheme="majorHAnsi" w:cstheme="minorBidi"/>
              <w:noProof/>
              <w:sz w:val="20"/>
              <w:szCs w:val="20"/>
              <w:bdr w:val="none" w:sz="0" w:space="0" w:color="auto"/>
            </w:rPr>
          </w:pPr>
          <w:hyperlink w:anchor="_Toc18936471" w:history="1">
            <w:r w:rsidR="00F246C8" w:rsidRPr="00F246C8">
              <w:rPr>
                <w:rStyle w:val="Hyperlink"/>
                <w:rFonts w:asciiTheme="majorHAnsi" w:hAnsiTheme="majorHAnsi"/>
                <w:noProof/>
                <w:sz w:val="20"/>
                <w:szCs w:val="20"/>
              </w:rPr>
              <w:t>A.</w:t>
            </w:r>
            <w:r w:rsidR="00F246C8" w:rsidRPr="00F246C8">
              <w:rPr>
                <w:rFonts w:asciiTheme="majorHAnsi" w:eastAsiaTheme="minorEastAsia" w:hAnsiTheme="majorHAnsi" w:cstheme="minorBidi"/>
                <w:noProof/>
                <w:sz w:val="20"/>
                <w:szCs w:val="20"/>
                <w:bdr w:val="none" w:sz="0" w:space="0" w:color="auto"/>
              </w:rPr>
              <w:tab/>
            </w:r>
            <w:r w:rsidR="00F246C8" w:rsidRPr="00F246C8">
              <w:rPr>
                <w:rStyle w:val="Hyperlink"/>
                <w:rFonts w:asciiTheme="majorHAnsi" w:hAnsiTheme="majorHAnsi"/>
                <w:noProof/>
                <w:sz w:val="20"/>
                <w:szCs w:val="20"/>
              </w:rPr>
              <w:t>General considerations on the guarantees applicable to proceedings of administrative sanctions</w:t>
            </w:r>
            <w:r w:rsidR="00F246C8" w:rsidRPr="00F246C8">
              <w:rPr>
                <w:rFonts w:asciiTheme="majorHAnsi" w:hAnsiTheme="majorHAnsi"/>
                <w:noProof/>
                <w:webHidden/>
                <w:sz w:val="20"/>
                <w:szCs w:val="20"/>
              </w:rPr>
              <w:tab/>
            </w:r>
            <w:r w:rsidR="00F246C8" w:rsidRPr="00F246C8">
              <w:rPr>
                <w:rFonts w:asciiTheme="majorHAnsi" w:hAnsiTheme="majorHAnsi"/>
                <w:noProof/>
                <w:webHidden/>
                <w:sz w:val="20"/>
                <w:szCs w:val="20"/>
              </w:rPr>
              <w:fldChar w:fldCharType="begin"/>
            </w:r>
            <w:r w:rsidR="00F246C8" w:rsidRPr="00F246C8">
              <w:rPr>
                <w:rFonts w:asciiTheme="majorHAnsi" w:hAnsiTheme="majorHAnsi"/>
                <w:noProof/>
                <w:webHidden/>
                <w:sz w:val="20"/>
                <w:szCs w:val="20"/>
              </w:rPr>
              <w:instrText xml:space="preserve"> PAGEREF _Toc18936471 \h </w:instrText>
            </w:r>
            <w:r w:rsidR="00F246C8" w:rsidRPr="00F246C8">
              <w:rPr>
                <w:rFonts w:asciiTheme="majorHAnsi" w:hAnsiTheme="majorHAnsi"/>
                <w:noProof/>
                <w:webHidden/>
                <w:sz w:val="20"/>
                <w:szCs w:val="20"/>
              </w:rPr>
            </w:r>
            <w:r w:rsidR="00F246C8" w:rsidRPr="00F246C8">
              <w:rPr>
                <w:rFonts w:asciiTheme="majorHAnsi" w:hAnsiTheme="majorHAnsi"/>
                <w:noProof/>
                <w:webHidden/>
                <w:sz w:val="20"/>
                <w:szCs w:val="20"/>
              </w:rPr>
              <w:fldChar w:fldCharType="separate"/>
            </w:r>
            <w:r w:rsidR="00F246C8" w:rsidRPr="00F246C8">
              <w:rPr>
                <w:rFonts w:asciiTheme="majorHAnsi" w:hAnsiTheme="majorHAnsi"/>
                <w:noProof/>
                <w:webHidden/>
                <w:sz w:val="20"/>
                <w:szCs w:val="20"/>
              </w:rPr>
              <w:t>12</w:t>
            </w:r>
            <w:r w:rsidR="00F246C8" w:rsidRPr="00F246C8">
              <w:rPr>
                <w:rFonts w:asciiTheme="majorHAnsi" w:hAnsiTheme="majorHAnsi"/>
                <w:noProof/>
                <w:webHidden/>
                <w:sz w:val="20"/>
                <w:szCs w:val="20"/>
              </w:rPr>
              <w:fldChar w:fldCharType="end"/>
            </w:r>
          </w:hyperlink>
        </w:p>
        <w:p w:rsidR="00F246C8" w:rsidRPr="00F246C8" w:rsidRDefault="003F0F3A" w:rsidP="00B0202B">
          <w:pPr>
            <w:pStyle w:val="TOC2"/>
            <w:tabs>
              <w:tab w:val="left" w:pos="720"/>
            </w:tabs>
            <w:rPr>
              <w:rFonts w:asciiTheme="majorHAnsi" w:eastAsiaTheme="minorEastAsia" w:hAnsiTheme="majorHAnsi" w:cstheme="minorBidi"/>
              <w:noProof/>
              <w:sz w:val="20"/>
              <w:szCs w:val="20"/>
              <w:bdr w:val="none" w:sz="0" w:space="0" w:color="auto"/>
            </w:rPr>
          </w:pPr>
          <w:hyperlink w:anchor="_Toc18936472" w:history="1">
            <w:r w:rsidR="00F246C8" w:rsidRPr="00F246C8">
              <w:rPr>
                <w:rStyle w:val="Hyperlink"/>
                <w:rFonts w:asciiTheme="majorHAnsi" w:hAnsiTheme="majorHAnsi"/>
                <w:noProof/>
                <w:sz w:val="20"/>
                <w:szCs w:val="20"/>
              </w:rPr>
              <w:t>B.</w:t>
            </w:r>
            <w:r w:rsidR="00F246C8" w:rsidRPr="00F246C8">
              <w:rPr>
                <w:rFonts w:asciiTheme="majorHAnsi" w:eastAsiaTheme="minorEastAsia" w:hAnsiTheme="majorHAnsi" w:cstheme="minorBidi"/>
                <w:noProof/>
                <w:sz w:val="20"/>
                <w:szCs w:val="20"/>
                <w:bdr w:val="none" w:sz="0" w:space="0" w:color="auto"/>
              </w:rPr>
              <w:tab/>
            </w:r>
            <w:r w:rsidR="00F246C8" w:rsidRPr="00F246C8">
              <w:rPr>
                <w:rStyle w:val="Hyperlink"/>
                <w:rFonts w:asciiTheme="majorHAnsi" w:hAnsiTheme="majorHAnsi"/>
                <w:noProof/>
                <w:sz w:val="20"/>
                <w:szCs w:val="20"/>
              </w:rPr>
              <w:t>Right to be heard and right of defense</w:t>
            </w:r>
            <w:r w:rsidR="00F246C8" w:rsidRPr="00F246C8">
              <w:rPr>
                <w:rFonts w:asciiTheme="majorHAnsi" w:hAnsiTheme="majorHAnsi"/>
                <w:noProof/>
                <w:webHidden/>
                <w:sz w:val="20"/>
                <w:szCs w:val="20"/>
              </w:rPr>
              <w:tab/>
            </w:r>
            <w:r w:rsidR="00F246C8" w:rsidRPr="00F246C8">
              <w:rPr>
                <w:rFonts w:asciiTheme="majorHAnsi" w:hAnsiTheme="majorHAnsi"/>
                <w:noProof/>
                <w:webHidden/>
                <w:sz w:val="20"/>
                <w:szCs w:val="20"/>
              </w:rPr>
              <w:fldChar w:fldCharType="begin"/>
            </w:r>
            <w:r w:rsidR="00F246C8" w:rsidRPr="00F246C8">
              <w:rPr>
                <w:rFonts w:asciiTheme="majorHAnsi" w:hAnsiTheme="majorHAnsi"/>
                <w:noProof/>
                <w:webHidden/>
                <w:sz w:val="20"/>
                <w:szCs w:val="20"/>
              </w:rPr>
              <w:instrText xml:space="preserve"> PAGEREF _Toc18936472 \h </w:instrText>
            </w:r>
            <w:r w:rsidR="00F246C8" w:rsidRPr="00F246C8">
              <w:rPr>
                <w:rFonts w:asciiTheme="majorHAnsi" w:hAnsiTheme="majorHAnsi"/>
                <w:noProof/>
                <w:webHidden/>
                <w:sz w:val="20"/>
                <w:szCs w:val="20"/>
              </w:rPr>
            </w:r>
            <w:r w:rsidR="00F246C8" w:rsidRPr="00F246C8">
              <w:rPr>
                <w:rFonts w:asciiTheme="majorHAnsi" w:hAnsiTheme="majorHAnsi"/>
                <w:noProof/>
                <w:webHidden/>
                <w:sz w:val="20"/>
                <w:szCs w:val="20"/>
              </w:rPr>
              <w:fldChar w:fldCharType="separate"/>
            </w:r>
            <w:r w:rsidR="00F246C8" w:rsidRPr="00F246C8">
              <w:rPr>
                <w:rFonts w:asciiTheme="majorHAnsi" w:hAnsiTheme="majorHAnsi"/>
                <w:noProof/>
                <w:webHidden/>
                <w:sz w:val="20"/>
                <w:szCs w:val="20"/>
              </w:rPr>
              <w:t>13</w:t>
            </w:r>
            <w:r w:rsidR="00F246C8" w:rsidRPr="00F246C8">
              <w:rPr>
                <w:rFonts w:asciiTheme="majorHAnsi" w:hAnsiTheme="majorHAnsi"/>
                <w:noProof/>
                <w:webHidden/>
                <w:sz w:val="20"/>
                <w:szCs w:val="20"/>
              </w:rPr>
              <w:fldChar w:fldCharType="end"/>
            </w:r>
          </w:hyperlink>
        </w:p>
        <w:p w:rsidR="00F246C8" w:rsidRPr="00F246C8" w:rsidRDefault="003F0F3A" w:rsidP="00B0202B">
          <w:pPr>
            <w:pStyle w:val="TOC2"/>
            <w:tabs>
              <w:tab w:val="left" w:pos="720"/>
            </w:tabs>
            <w:rPr>
              <w:rFonts w:asciiTheme="majorHAnsi" w:eastAsiaTheme="minorEastAsia" w:hAnsiTheme="majorHAnsi" w:cstheme="minorBidi"/>
              <w:noProof/>
              <w:sz w:val="20"/>
              <w:szCs w:val="20"/>
              <w:bdr w:val="none" w:sz="0" w:space="0" w:color="auto"/>
            </w:rPr>
          </w:pPr>
          <w:hyperlink w:anchor="_Toc18936473" w:history="1">
            <w:r w:rsidR="00F246C8" w:rsidRPr="00F246C8">
              <w:rPr>
                <w:rStyle w:val="Hyperlink"/>
                <w:rFonts w:asciiTheme="majorHAnsi" w:hAnsiTheme="majorHAnsi"/>
                <w:noProof/>
                <w:sz w:val="20"/>
                <w:szCs w:val="20"/>
              </w:rPr>
              <w:t>C.</w:t>
            </w:r>
            <w:r w:rsidR="00F246C8" w:rsidRPr="00F246C8">
              <w:rPr>
                <w:rFonts w:asciiTheme="majorHAnsi" w:eastAsiaTheme="minorEastAsia" w:hAnsiTheme="majorHAnsi" w:cstheme="minorBidi"/>
                <w:noProof/>
                <w:sz w:val="20"/>
                <w:szCs w:val="20"/>
                <w:bdr w:val="none" w:sz="0" w:space="0" w:color="auto"/>
              </w:rPr>
              <w:tab/>
            </w:r>
            <w:r w:rsidR="00F246C8" w:rsidRPr="00F246C8">
              <w:rPr>
                <w:rStyle w:val="Hyperlink"/>
                <w:rFonts w:asciiTheme="majorHAnsi" w:hAnsiTheme="majorHAnsi"/>
                <w:noProof/>
                <w:sz w:val="20"/>
                <w:szCs w:val="20"/>
              </w:rPr>
              <w:t>The right to strike</w:t>
            </w:r>
            <w:r w:rsidR="00F246C8" w:rsidRPr="00F246C8">
              <w:rPr>
                <w:rFonts w:asciiTheme="majorHAnsi" w:hAnsiTheme="majorHAnsi"/>
                <w:noProof/>
                <w:webHidden/>
                <w:sz w:val="20"/>
                <w:szCs w:val="20"/>
              </w:rPr>
              <w:tab/>
            </w:r>
            <w:r w:rsidR="00F246C8" w:rsidRPr="00F246C8">
              <w:rPr>
                <w:rFonts w:asciiTheme="majorHAnsi" w:hAnsiTheme="majorHAnsi"/>
                <w:noProof/>
                <w:webHidden/>
                <w:sz w:val="20"/>
                <w:szCs w:val="20"/>
              </w:rPr>
              <w:fldChar w:fldCharType="begin"/>
            </w:r>
            <w:r w:rsidR="00F246C8" w:rsidRPr="00F246C8">
              <w:rPr>
                <w:rFonts w:asciiTheme="majorHAnsi" w:hAnsiTheme="majorHAnsi"/>
                <w:noProof/>
                <w:webHidden/>
                <w:sz w:val="20"/>
                <w:szCs w:val="20"/>
              </w:rPr>
              <w:instrText xml:space="preserve"> PAGEREF _Toc18936473 \h </w:instrText>
            </w:r>
            <w:r w:rsidR="00F246C8" w:rsidRPr="00F246C8">
              <w:rPr>
                <w:rFonts w:asciiTheme="majorHAnsi" w:hAnsiTheme="majorHAnsi"/>
                <w:noProof/>
                <w:webHidden/>
                <w:sz w:val="20"/>
                <w:szCs w:val="20"/>
              </w:rPr>
            </w:r>
            <w:r w:rsidR="00F246C8" w:rsidRPr="00F246C8">
              <w:rPr>
                <w:rFonts w:asciiTheme="majorHAnsi" w:hAnsiTheme="majorHAnsi"/>
                <w:noProof/>
                <w:webHidden/>
                <w:sz w:val="20"/>
                <w:szCs w:val="20"/>
              </w:rPr>
              <w:fldChar w:fldCharType="separate"/>
            </w:r>
            <w:r w:rsidR="00F246C8" w:rsidRPr="00F246C8">
              <w:rPr>
                <w:rFonts w:asciiTheme="majorHAnsi" w:hAnsiTheme="majorHAnsi"/>
                <w:noProof/>
                <w:webHidden/>
                <w:sz w:val="20"/>
                <w:szCs w:val="20"/>
              </w:rPr>
              <w:t>14</w:t>
            </w:r>
            <w:r w:rsidR="00F246C8" w:rsidRPr="00F246C8">
              <w:rPr>
                <w:rFonts w:asciiTheme="majorHAnsi" w:hAnsiTheme="majorHAnsi"/>
                <w:noProof/>
                <w:webHidden/>
                <w:sz w:val="20"/>
                <w:szCs w:val="20"/>
              </w:rPr>
              <w:fldChar w:fldCharType="end"/>
            </w:r>
          </w:hyperlink>
        </w:p>
        <w:p w:rsidR="00F246C8" w:rsidRPr="00F246C8" w:rsidRDefault="003F0F3A" w:rsidP="00B0202B">
          <w:pPr>
            <w:pStyle w:val="TOC2"/>
            <w:tabs>
              <w:tab w:val="left" w:pos="720"/>
            </w:tabs>
            <w:rPr>
              <w:rFonts w:asciiTheme="majorHAnsi" w:eastAsiaTheme="minorEastAsia" w:hAnsiTheme="majorHAnsi" w:cstheme="minorBidi"/>
              <w:noProof/>
              <w:sz w:val="20"/>
              <w:szCs w:val="20"/>
              <w:bdr w:val="none" w:sz="0" w:space="0" w:color="auto"/>
            </w:rPr>
          </w:pPr>
          <w:hyperlink w:anchor="_Toc18936474" w:history="1">
            <w:r w:rsidR="00F246C8" w:rsidRPr="00F246C8">
              <w:rPr>
                <w:rStyle w:val="Hyperlink"/>
                <w:rFonts w:asciiTheme="majorHAnsi" w:hAnsiTheme="majorHAnsi"/>
                <w:noProof/>
                <w:sz w:val="20"/>
                <w:szCs w:val="20"/>
              </w:rPr>
              <w:t>D.</w:t>
            </w:r>
            <w:r w:rsidR="00F246C8" w:rsidRPr="00F246C8">
              <w:rPr>
                <w:rFonts w:asciiTheme="majorHAnsi" w:eastAsiaTheme="minorEastAsia" w:hAnsiTheme="majorHAnsi" w:cstheme="minorBidi"/>
                <w:noProof/>
                <w:sz w:val="20"/>
                <w:szCs w:val="20"/>
                <w:bdr w:val="none" w:sz="0" w:space="0" w:color="auto"/>
              </w:rPr>
              <w:tab/>
            </w:r>
            <w:r w:rsidR="00F246C8" w:rsidRPr="00F246C8">
              <w:rPr>
                <w:rStyle w:val="Hyperlink"/>
                <w:rFonts w:asciiTheme="majorHAnsi" w:hAnsiTheme="majorHAnsi"/>
                <w:noProof/>
                <w:sz w:val="20"/>
                <w:szCs w:val="20"/>
              </w:rPr>
              <w:t>The right to judicial protection</w:t>
            </w:r>
            <w:r w:rsidR="00F246C8" w:rsidRPr="00F246C8">
              <w:rPr>
                <w:rFonts w:asciiTheme="majorHAnsi" w:hAnsiTheme="majorHAnsi"/>
                <w:noProof/>
                <w:webHidden/>
                <w:sz w:val="20"/>
                <w:szCs w:val="20"/>
              </w:rPr>
              <w:tab/>
            </w:r>
            <w:r w:rsidR="00F246C8" w:rsidRPr="00F246C8">
              <w:rPr>
                <w:rFonts w:asciiTheme="majorHAnsi" w:hAnsiTheme="majorHAnsi"/>
                <w:noProof/>
                <w:webHidden/>
                <w:sz w:val="20"/>
                <w:szCs w:val="20"/>
              </w:rPr>
              <w:fldChar w:fldCharType="begin"/>
            </w:r>
            <w:r w:rsidR="00F246C8" w:rsidRPr="00F246C8">
              <w:rPr>
                <w:rFonts w:asciiTheme="majorHAnsi" w:hAnsiTheme="majorHAnsi"/>
                <w:noProof/>
                <w:webHidden/>
                <w:sz w:val="20"/>
                <w:szCs w:val="20"/>
              </w:rPr>
              <w:instrText xml:space="preserve"> PAGEREF _Toc18936474 \h </w:instrText>
            </w:r>
            <w:r w:rsidR="00F246C8" w:rsidRPr="00F246C8">
              <w:rPr>
                <w:rFonts w:asciiTheme="majorHAnsi" w:hAnsiTheme="majorHAnsi"/>
                <w:noProof/>
                <w:webHidden/>
                <w:sz w:val="20"/>
                <w:szCs w:val="20"/>
              </w:rPr>
            </w:r>
            <w:r w:rsidR="00F246C8" w:rsidRPr="00F246C8">
              <w:rPr>
                <w:rFonts w:asciiTheme="majorHAnsi" w:hAnsiTheme="majorHAnsi"/>
                <w:noProof/>
                <w:webHidden/>
                <w:sz w:val="20"/>
                <w:szCs w:val="20"/>
              </w:rPr>
              <w:fldChar w:fldCharType="separate"/>
            </w:r>
            <w:r w:rsidR="00F246C8" w:rsidRPr="00F246C8">
              <w:rPr>
                <w:rFonts w:asciiTheme="majorHAnsi" w:hAnsiTheme="majorHAnsi"/>
                <w:noProof/>
                <w:webHidden/>
                <w:sz w:val="20"/>
                <w:szCs w:val="20"/>
              </w:rPr>
              <w:t>18</w:t>
            </w:r>
            <w:r w:rsidR="00F246C8" w:rsidRPr="00F246C8">
              <w:rPr>
                <w:rFonts w:asciiTheme="majorHAnsi" w:hAnsiTheme="majorHAnsi"/>
                <w:noProof/>
                <w:webHidden/>
                <w:sz w:val="20"/>
                <w:szCs w:val="20"/>
              </w:rPr>
              <w:fldChar w:fldCharType="end"/>
            </w:r>
          </w:hyperlink>
        </w:p>
        <w:p w:rsidR="00F246C8" w:rsidRPr="00F246C8" w:rsidRDefault="003F0F3A" w:rsidP="00B0202B">
          <w:pPr>
            <w:pStyle w:val="TOC1"/>
            <w:tabs>
              <w:tab w:val="left" w:pos="720"/>
              <w:tab w:val="left" w:pos="1440"/>
              <w:tab w:val="right" w:leader="dot" w:pos="9350"/>
            </w:tabs>
            <w:rPr>
              <w:rFonts w:asciiTheme="majorHAnsi" w:eastAsiaTheme="minorEastAsia" w:hAnsiTheme="majorHAnsi" w:cstheme="minorBidi"/>
              <w:noProof/>
              <w:sz w:val="20"/>
              <w:szCs w:val="20"/>
              <w:bdr w:val="none" w:sz="0" w:space="0" w:color="auto"/>
            </w:rPr>
          </w:pPr>
          <w:hyperlink w:anchor="_Toc18936475" w:history="1">
            <w:r w:rsidR="00F246C8" w:rsidRPr="00C77CAC">
              <w:rPr>
                <w:rStyle w:val="Hyperlink"/>
                <w:rFonts w:asciiTheme="majorHAnsi" w:hAnsiTheme="majorHAnsi"/>
                <w:b/>
                <w:noProof/>
                <w:sz w:val="20"/>
                <w:szCs w:val="20"/>
              </w:rPr>
              <w:t>V.</w:t>
            </w:r>
            <w:r w:rsidR="00F246C8" w:rsidRPr="00C77CAC">
              <w:rPr>
                <w:rFonts w:asciiTheme="majorHAnsi" w:eastAsiaTheme="minorEastAsia" w:hAnsiTheme="majorHAnsi" w:cstheme="minorBidi"/>
                <w:b/>
                <w:noProof/>
                <w:sz w:val="20"/>
                <w:szCs w:val="20"/>
                <w:bdr w:val="none" w:sz="0" w:space="0" w:color="auto"/>
              </w:rPr>
              <w:tab/>
            </w:r>
            <w:r w:rsidR="00F246C8" w:rsidRPr="00C77CAC">
              <w:rPr>
                <w:rStyle w:val="Hyperlink"/>
                <w:rFonts w:asciiTheme="majorHAnsi" w:hAnsiTheme="majorHAnsi"/>
                <w:b/>
                <w:noProof/>
                <w:sz w:val="20"/>
                <w:szCs w:val="20"/>
              </w:rPr>
              <w:t>CONCLUSIONS AND RECOMMENDATIONS</w:t>
            </w:r>
            <w:r w:rsidR="00F246C8" w:rsidRPr="00F246C8">
              <w:rPr>
                <w:rFonts w:asciiTheme="majorHAnsi" w:hAnsiTheme="majorHAnsi"/>
                <w:noProof/>
                <w:webHidden/>
                <w:sz w:val="20"/>
                <w:szCs w:val="20"/>
              </w:rPr>
              <w:tab/>
            </w:r>
            <w:r w:rsidR="00F246C8" w:rsidRPr="00F246C8">
              <w:rPr>
                <w:rFonts w:asciiTheme="majorHAnsi" w:hAnsiTheme="majorHAnsi"/>
                <w:noProof/>
                <w:webHidden/>
                <w:sz w:val="20"/>
                <w:szCs w:val="20"/>
              </w:rPr>
              <w:fldChar w:fldCharType="begin"/>
            </w:r>
            <w:r w:rsidR="00F246C8" w:rsidRPr="00F246C8">
              <w:rPr>
                <w:rFonts w:asciiTheme="majorHAnsi" w:hAnsiTheme="majorHAnsi"/>
                <w:noProof/>
                <w:webHidden/>
                <w:sz w:val="20"/>
                <w:szCs w:val="20"/>
              </w:rPr>
              <w:instrText xml:space="preserve"> PAGEREF _Toc18936475 \h </w:instrText>
            </w:r>
            <w:r w:rsidR="00F246C8" w:rsidRPr="00F246C8">
              <w:rPr>
                <w:rFonts w:asciiTheme="majorHAnsi" w:hAnsiTheme="majorHAnsi"/>
                <w:noProof/>
                <w:webHidden/>
                <w:sz w:val="20"/>
                <w:szCs w:val="20"/>
              </w:rPr>
            </w:r>
            <w:r w:rsidR="00F246C8" w:rsidRPr="00F246C8">
              <w:rPr>
                <w:rFonts w:asciiTheme="majorHAnsi" w:hAnsiTheme="majorHAnsi"/>
                <w:noProof/>
                <w:webHidden/>
                <w:sz w:val="20"/>
                <w:szCs w:val="20"/>
              </w:rPr>
              <w:fldChar w:fldCharType="separate"/>
            </w:r>
            <w:r w:rsidR="00F246C8" w:rsidRPr="00F246C8">
              <w:rPr>
                <w:rFonts w:asciiTheme="majorHAnsi" w:hAnsiTheme="majorHAnsi"/>
                <w:noProof/>
                <w:webHidden/>
                <w:sz w:val="20"/>
                <w:szCs w:val="20"/>
              </w:rPr>
              <w:t>19</w:t>
            </w:r>
            <w:r w:rsidR="00F246C8" w:rsidRPr="00F246C8">
              <w:rPr>
                <w:rFonts w:asciiTheme="majorHAnsi" w:hAnsiTheme="majorHAnsi"/>
                <w:noProof/>
                <w:webHidden/>
                <w:sz w:val="20"/>
                <w:szCs w:val="20"/>
              </w:rPr>
              <w:fldChar w:fldCharType="end"/>
            </w:r>
          </w:hyperlink>
        </w:p>
        <w:p w:rsidR="00B00A5C" w:rsidRPr="006C6C80" w:rsidRDefault="00B00A5C" w:rsidP="00B0202B">
          <w:pPr>
            <w:tabs>
              <w:tab w:val="left" w:pos="720"/>
              <w:tab w:val="left" w:pos="1440"/>
            </w:tabs>
          </w:pPr>
          <w:r w:rsidRPr="00F246C8">
            <w:rPr>
              <w:rFonts w:asciiTheme="majorHAnsi" w:hAnsiTheme="majorHAnsi"/>
              <w:b/>
              <w:bCs/>
              <w:sz w:val="20"/>
              <w:szCs w:val="20"/>
            </w:rPr>
            <w:fldChar w:fldCharType="end"/>
          </w:r>
        </w:p>
      </w:sdtContent>
    </w:sdt>
    <w:p w:rsidR="00E909AA" w:rsidRPr="006C6C80" w:rsidRDefault="006125C3" w:rsidP="00B0202B">
      <w:pPr>
        <w:tabs>
          <w:tab w:val="left" w:pos="720"/>
          <w:tab w:val="left" w:pos="1440"/>
          <w:tab w:val="right" w:leader="dot" w:pos="9350"/>
        </w:tabs>
        <w:spacing w:after="100"/>
        <w:rPr>
          <w:rFonts w:asciiTheme="majorHAnsi" w:eastAsia="Times New Roman" w:hAnsiTheme="majorHAnsi"/>
          <w:b/>
          <w:sz w:val="20"/>
          <w:szCs w:val="20"/>
          <w:bdr w:val="none" w:sz="0" w:space="0" w:color="auto"/>
        </w:rPr>
      </w:pPr>
      <w:r w:rsidRPr="006C6C80">
        <w:rPr>
          <w:rFonts w:asciiTheme="majorHAnsi" w:hAnsiTheme="majorHAnsi"/>
          <w:b/>
          <w:sz w:val="20"/>
          <w:szCs w:val="20"/>
        </w:rPr>
        <w:fldChar w:fldCharType="begin"/>
      </w:r>
      <w:r w:rsidRPr="006C6C80">
        <w:rPr>
          <w:rFonts w:asciiTheme="majorHAnsi" w:hAnsiTheme="majorHAnsi"/>
          <w:b/>
          <w:sz w:val="20"/>
          <w:szCs w:val="20"/>
        </w:rPr>
        <w:instrText xml:space="preserve"> TOC \o "1-7" \h \z \u </w:instrText>
      </w:r>
      <w:r w:rsidRPr="006C6C80">
        <w:rPr>
          <w:rFonts w:asciiTheme="majorHAnsi" w:hAnsiTheme="majorHAnsi"/>
          <w:b/>
          <w:sz w:val="20"/>
          <w:szCs w:val="20"/>
        </w:rPr>
        <w:fldChar w:fldCharType="separate"/>
      </w:r>
    </w:p>
    <w:p w:rsidR="006125C3" w:rsidRPr="006C6C80" w:rsidRDefault="006125C3" w:rsidP="00B0202B">
      <w:pPr>
        <w:tabs>
          <w:tab w:val="left" w:pos="720"/>
          <w:tab w:val="left" w:pos="1440"/>
          <w:tab w:val="right" w:leader="dot" w:pos="9350"/>
        </w:tabs>
        <w:spacing w:after="100"/>
        <w:ind w:left="720" w:hanging="720"/>
        <w:rPr>
          <w:rFonts w:asciiTheme="majorHAnsi" w:eastAsia="Times New Roman" w:hAnsiTheme="majorHAnsi"/>
          <w:b/>
          <w:sz w:val="20"/>
          <w:szCs w:val="20"/>
          <w:bdr w:val="none" w:sz="0" w:space="0" w:color="auto"/>
        </w:rPr>
      </w:pPr>
    </w:p>
    <w:p w:rsidR="008D768D" w:rsidRPr="006C6C80" w:rsidRDefault="006125C3" w:rsidP="00B0202B">
      <w:pPr>
        <w:tabs>
          <w:tab w:val="left" w:pos="720"/>
          <w:tab w:val="center" w:pos="5400"/>
        </w:tabs>
        <w:suppressAutoHyphens/>
        <w:spacing w:line="276" w:lineRule="auto"/>
        <w:rPr>
          <w:rFonts w:asciiTheme="majorHAnsi" w:hAnsiTheme="majorHAnsi"/>
          <w:sz w:val="20"/>
          <w:szCs w:val="20"/>
        </w:rPr>
      </w:pPr>
      <w:r w:rsidRPr="006C6C80">
        <w:rPr>
          <w:rFonts w:asciiTheme="majorHAnsi" w:hAnsiTheme="majorHAnsi"/>
          <w:b/>
          <w:sz w:val="20"/>
          <w:szCs w:val="20"/>
        </w:rPr>
        <w:fldChar w:fldCharType="end"/>
      </w:r>
    </w:p>
    <w:p w:rsidR="001C6592" w:rsidRPr="006C6C80" w:rsidRDefault="00722C9F" w:rsidP="00B0202B">
      <w:pPr>
        <w:tabs>
          <w:tab w:val="left" w:pos="720"/>
        </w:tabs>
        <w:rPr>
          <w:rFonts w:ascii="Cambria" w:hAnsi="Cambria" w:cs="Calibri"/>
          <w:sz w:val="20"/>
          <w:szCs w:val="20"/>
        </w:rPr>
      </w:pPr>
      <w:r w:rsidRPr="006C6C80">
        <w:rPr>
          <w:rFonts w:ascii="Cambria" w:hAnsi="Cambria" w:cs="Calibri"/>
          <w:sz w:val="20"/>
          <w:szCs w:val="20"/>
        </w:rPr>
        <w:br w:type="page"/>
      </w:r>
    </w:p>
    <w:p w:rsidR="00D12193" w:rsidRPr="006C6C80" w:rsidRDefault="008E2B8E" w:rsidP="00B54921">
      <w:pPr>
        <w:pStyle w:val="Heading1"/>
        <w:numPr>
          <w:ilvl w:val="0"/>
          <w:numId w:val="57"/>
        </w:numPr>
        <w:tabs>
          <w:tab w:val="left" w:pos="360"/>
          <w:tab w:val="left" w:pos="720"/>
        </w:tabs>
        <w:ind w:left="720"/>
        <w:rPr>
          <w:lang w:val="en-US"/>
        </w:rPr>
      </w:pPr>
      <w:bookmarkStart w:id="3" w:name="_Toc18936457"/>
      <w:r w:rsidRPr="006C6C80">
        <w:rPr>
          <w:lang w:val="en-US"/>
        </w:rPr>
        <w:lastRenderedPageBreak/>
        <w:t>INTRODUCTION</w:t>
      </w:r>
      <w:bookmarkEnd w:id="3"/>
    </w:p>
    <w:p w:rsidR="005C4CA5" w:rsidRPr="006C6C80" w:rsidRDefault="005C4CA5" w:rsidP="00B54921">
      <w:pPr>
        <w:tabs>
          <w:tab w:val="left" w:pos="720"/>
        </w:tabs>
        <w:suppressAutoHyphens/>
        <w:ind w:left="360"/>
        <w:rPr>
          <w:rFonts w:asciiTheme="majorHAnsi" w:hAnsiTheme="majorHAnsi"/>
          <w:b/>
          <w:sz w:val="20"/>
          <w:szCs w:val="20"/>
        </w:rPr>
      </w:pPr>
    </w:p>
    <w:p w:rsidR="005C4459" w:rsidRPr="006C6C80" w:rsidRDefault="008E2B8E" w:rsidP="00B54921">
      <w:pPr>
        <w:pStyle w:val="parrafos"/>
        <w:numPr>
          <w:ilvl w:val="0"/>
          <w:numId w:val="56"/>
        </w:numPr>
        <w:tabs>
          <w:tab w:val="left" w:pos="720"/>
        </w:tabs>
        <w:ind w:left="0" w:firstLine="0"/>
        <w:rPr>
          <w:rFonts w:ascii="Cambria" w:hAnsi="Cambria"/>
          <w:lang w:val="en-US"/>
        </w:rPr>
      </w:pPr>
      <w:r w:rsidRPr="006C6C80">
        <w:rPr>
          <w:rFonts w:ascii="Cambria" w:hAnsi="Cambria"/>
          <w:lang w:val="en-US"/>
        </w:rPr>
        <w:t>On September</w:t>
      </w:r>
      <w:r w:rsidR="005C4CA5" w:rsidRPr="006C6C80">
        <w:rPr>
          <w:rFonts w:ascii="Cambria" w:hAnsi="Cambria"/>
          <w:lang w:val="en-US"/>
        </w:rPr>
        <w:t xml:space="preserve"> </w:t>
      </w:r>
      <w:r w:rsidR="00011678" w:rsidRPr="006C6C80">
        <w:rPr>
          <w:rFonts w:ascii="Cambria" w:hAnsi="Cambria"/>
          <w:lang w:val="en-US"/>
        </w:rPr>
        <w:t>7</w:t>
      </w:r>
      <w:r w:rsidRPr="006C6C80">
        <w:rPr>
          <w:rFonts w:ascii="Cambria" w:hAnsi="Cambria"/>
          <w:lang w:val="en-US"/>
        </w:rPr>
        <w:t>,</w:t>
      </w:r>
      <w:r w:rsidR="005C4CA5" w:rsidRPr="006C6C80">
        <w:rPr>
          <w:rFonts w:ascii="Cambria" w:hAnsi="Cambria"/>
          <w:lang w:val="en-US"/>
        </w:rPr>
        <w:t xml:space="preserve"> </w:t>
      </w:r>
      <w:r w:rsidR="00011678" w:rsidRPr="006C6C80">
        <w:rPr>
          <w:rFonts w:ascii="Cambria" w:hAnsi="Cambria"/>
          <w:lang w:val="en-US"/>
        </w:rPr>
        <w:t>2000</w:t>
      </w:r>
      <w:r w:rsidRPr="006C6C80">
        <w:rPr>
          <w:rFonts w:ascii="Cambria" w:hAnsi="Cambria"/>
          <w:lang w:val="en-US"/>
        </w:rPr>
        <w:t>, the Inter-American Commission on Human Rights</w:t>
      </w:r>
      <w:r w:rsidR="005C4CA5" w:rsidRPr="006C6C80">
        <w:rPr>
          <w:rFonts w:ascii="Cambria" w:hAnsi="Cambria"/>
          <w:lang w:val="en-US"/>
        </w:rPr>
        <w:t xml:space="preserve"> (</w:t>
      </w:r>
      <w:r w:rsidRPr="006C6C80">
        <w:rPr>
          <w:rFonts w:ascii="Cambria" w:hAnsi="Cambria"/>
          <w:lang w:val="en-US"/>
        </w:rPr>
        <w:t>hereinafter</w:t>
      </w:r>
      <w:r w:rsidR="005C4CA5" w:rsidRPr="006C6C80">
        <w:rPr>
          <w:rFonts w:ascii="Cambria" w:hAnsi="Cambria"/>
          <w:lang w:val="en-US"/>
        </w:rPr>
        <w:t xml:space="preserve"> “</w:t>
      </w:r>
      <w:r w:rsidRPr="006C6C80">
        <w:rPr>
          <w:rFonts w:ascii="Cambria" w:hAnsi="Cambria"/>
          <w:lang w:val="en-US"/>
        </w:rPr>
        <w:t>the Inter-American Commission,” “the Commission,” or “the IACHR</w:t>
      </w:r>
      <w:r w:rsidR="005C4CA5" w:rsidRPr="006C6C80">
        <w:rPr>
          <w:rFonts w:ascii="Cambria" w:hAnsi="Cambria"/>
          <w:lang w:val="en-US"/>
        </w:rPr>
        <w:t>”) rec</w:t>
      </w:r>
      <w:r w:rsidRPr="006C6C80">
        <w:rPr>
          <w:rFonts w:ascii="Cambria" w:hAnsi="Cambria"/>
          <w:lang w:val="en-US"/>
        </w:rPr>
        <w:t>eived a petition filed by the Human Rights</w:t>
      </w:r>
      <w:r w:rsidR="00F562B4" w:rsidRPr="006C6C80">
        <w:rPr>
          <w:rFonts w:ascii="Cambria" w:hAnsi="Cambria"/>
          <w:lang w:val="en-US"/>
        </w:rPr>
        <w:t xml:space="preserve"> Legal Action Center</w:t>
      </w:r>
      <w:r w:rsidRPr="006C6C80">
        <w:rPr>
          <w:rFonts w:ascii="Cambria" w:hAnsi="Cambria"/>
          <w:lang w:val="en-US"/>
        </w:rPr>
        <w:t xml:space="preserve"> (</w:t>
      </w:r>
      <w:r w:rsidR="00011678" w:rsidRPr="006C6C80">
        <w:rPr>
          <w:rFonts w:ascii="Cambria" w:hAnsi="Cambria"/>
          <w:i/>
          <w:lang w:val="en-US"/>
        </w:rPr>
        <w:t xml:space="preserve">Centro para </w:t>
      </w:r>
      <w:proofErr w:type="spellStart"/>
      <w:r w:rsidR="00402801" w:rsidRPr="006C6C80">
        <w:rPr>
          <w:rFonts w:ascii="Cambria" w:hAnsi="Cambria"/>
          <w:i/>
          <w:lang w:val="en-US"/>
        </w:rPr>
        <w:t>Acción</w:t>
      </w:r>
      <w:proofErr w:type="spellEnd"/>
      <w:r w:rsidRPr="006C6C80">
        <w:rPr>
          <w:rFonts w:ascii="Cambria" w:hAnsi="Cambria"/>
          <w:i/>
          <w:lang w:val="en-US"/>
        </w:rPr>
        <w:t xml:space="preserve"> Legal </w:t>
      </w:r>
      <w:proofErr w:type="spellStart"/>
      <w:r w:rsidRPr="006C6C80">
        <w:rPr>
          <w:rFonts w:ascii="Cambria" w:hAnsi="Cambria"/>
          <w:i/>
          <w:lang w:val="en-US"/>
        </w:rPr>
        <w:t>en</w:t>
      </w:r>
      <w:proofErr w:type="spellEnd"/>
      <w:r w:rsidRPr="006C6C80">
        <w:rPr>
          <w:rFonts w:ascii="Cambria" w:hAnsi="Cambria"/>
          <w:i/>
          <w:lang w:val="en-US"/>
        </w:rPr>
        <w:t xml:space="preserve"> Derechos </w:t>
      </w:r>
      <w:proofErr w:type="spellStart"/>
      <w:r w:rsidRPr="006C6C80">
        <w:rPr>
          <w:rFonts w:ascii="Cambria" w:hAnsi="Cambria"/>
          <w:i/>
          <w:lang w:val="en-US"/>
        </w:rPr>
        <w:t>Humanos</w:t>
      </w:r>
      <w:proofErr w:type="spellEnd"/>
      <w:r w:rsidRPr="006C6C80">
        <w:rPr>
          <w:rFonts w:ascii="Cambria" w:hAnsi="Cambria"/>
          <w:i/>
          <w:lang w:val="en-US"/>
        </w:rPr>
        <w:t>—</w:t>
      </w:r>
      <w:r w:rsidR="00011678" w:rsidRPr="006C6C80">
        <w:rPr>
          <w:rFonts w:ascii="Cambria" w:hAnsi="Cambria"/>
          <w:i/>
          <w:lang w:val="en-US"/>
        </w:rPr>
        <w:t>CALDH</w:t>
      </w:r>
      <w:r w:rsidR="00011678" w:rsidRPr="006C6C80">
        <w:rPr>
          <w:rFonts w:ascii="Cambria" w:hAnsi="Cambria"/>
          <w:lang w:val="en-US"/>
        </w:rPr>
        <w:t>)</w:t>
      </w:r>
      <w:r w:rsidR="005C4CA5" w:rsidRPr="006C6C80">
        <w:rPr>
          <w:rFonts w:ascii="Cambria" w:hAnsi="Cambria"/>
          <w:lang w:val="en-US"/>
        </w:rPr>
        <w:t xml:space="preserve"> (</w:t>
      </w:r>
      <w:r w:rsidRPr="006C6C80">
        <w:rPr>
          <w:rFonts w:ascii="Cambria" w:hAnsi="Cambria"/>
          <w:lang w:val="en-US"/>
        </w:rPr>
        <w:t>hereinafter “the petitioner</w:t>
      </w:r>
      <w:r w:rsidR="004E0961" w:rsidRPr="006C6C80">
        <w:rPr>
          <w:rFonts w:ascii="Cambria" w:hAnsi="Cambria"/>
          <w:lang w:val="en-US"/>
        </w:rPr>
        <w:t>s</w:t>
      </w:r>
      <w:r w:rsidRPr="006C6C80">
        <w:rPr>
          <w:rFonts w:ascii="Cambria" w:hAnsi="Cambria"/>
          <w:lang w:val="en-US"/>
        </w:rPr>
        <w:t>”) alleging the international responsibility of the Republic of Guatemala</w:t>
      </w:r>
      <w:r w:rsidR="00255222" w:rsidRPr="006C6C80">
        <w:rPr>
          <w:rFonts w:ascii="Cambria" w:hAnsi="Cambria"/>
          <w:lang w:val="en-US"/>
        </w:rPr>
        <w:t xml:space="preserve"> </w:t>
      </w:r>
      <w:r w:rsidR="005C4CA5" w:rsidRPr="006C6C80">
        <w:rPr>
          <w:rFonts w:ascii="Cambria" w:hAnsi="Cambria"/>
          <w:lang w:val="en-US"/>
        </w:rPr>
        <w:t>(</w:t>
      </w:r>
      <w:r w:rsidRPr="006C6C80">
        <w:rPr>
          <w:rFonts w:ascii="Cambria" w:hAnsi="Cambria"/>
          <w:lang w:val="en-US"/>
        </w:rPr>
        <w:t xml:space="preserve">hereinafter “the </w:t>
      </w:r>
      <w:r w:rsidR="00934B00" w:rsidRPr="006C6C80">
        <w:rPr>
          <w:rFonts w:ascii="Cambria" w:hAnsi="Cambria"/>
          <w:lang w:val="en-US"/>
        </w:rPr>
        <w:t>s</w:t>
      </w:r>
      <w:r w:rsidRPr="006C6C80">
        <w:rPr>
          <w:rFonts w:ascii="Cambria" w:hAnsi="Cambria"/>
          <w:lang w:val="en-US"/>
        </w:rPr>
        <w:t>tate,</w:t>
      </w:r>
      <w:r w:rsidR="00011678" w:rsidRPr="006C6C80">
        <w:rPr>
          <w:rFonts w:ascii="Cambria" w:hAnsi="Cambria"/>
          <w:lang w:val="en-US"/>
        </w:rPr>
        <w:t>” “</w:t>
      </w:r>
      <w:r w:rsidRPr="006C6C80">
        <w:rPr>
          <w:rFonts w:ascii="Cambria" w:hAnsi="Cambria"/>
          <w:lang w:val="en-US"/>
        </w:rPr>
        <w:t>the Guatemalan state,</w:t>
      </w:r>
      <w:r w:rsidR="00011678" w:rsidRPr="006C6C80">
        <w:rPr>
          <w:rFonts w:ascii="Cambria" w:hAnsi="Cambria"/>
          <w:lang w:val="en-US"/>
        </w:rPr>
        <w:t>” o</w:t>
      </w:r>
      <w:r w:rsidRPr="006C6C80">
        <w:rPr>
          <w:rFonts w:ascii="Cambria" w:hAnsi="Cambria"/>
          <w:lang w:val="en-US"/>
        </w:rPr>
        <w:t>r</w:t>
      </w:r>
      <w:r w:rsidR="00011678" w:rsidRPr="006C6C80">
        <w:rPr>
          <w:rFonts w:ascii="Cambria" w:hAnsi="Cambria"/>
          <w:lang w:val="en-US"/>
        </w:rPr>
        <w:t xml:space="preserve"> “Guatemala</w:t>
      </w:r>
      <w:r w:rsidRPr="006C6C80">
        <w:rPr>
          <w:rFonts w:ascii="Cambria" w:hAnsi="Cambria"/>
          <w:lang w:val="en-US"/>
        </w:rPr>
        <w:t xml:space="preserve">”) to the detriment of the former employees of the </w:t>
      </w:r>
      <w:r w:rsidR="00934B00" w:rsidRPr="006C6C80">
        <w:rPr>
          <w:rFonts w:ascii="Cambria" w:hAnsi="Cambria"/>
          <w:lang w:val="en-US"/>
        </w:rPr>
        <w:t>J</w:t>
      </w:r>
      <w:r w:rsidRPr="006C6C80">
        <w:rPr>
          <w:rFonts w:ascii="Cambria" w:hAnsi="Cambria"/>
          <w:lang w:val="en-US"/>
        </w:rPr>
        <w:t xml:space="preserve">udiciary for alleged dismissal because </w:t>
      </w:r>
      <w:r w:rsidR="00745005" w:rsidRPr="006C6C80">
        <w:rPr>
          <w:rFonts w:ascii="Cambria" w:hAnsi="Cambria"/>
          <w:lang w:val="en-US"/>
        </w:rPr>
        <w:t>they exercised</w:t>
      </w:r>
      <w:r w:rsidRPr="006C6C80">
        <w:rPr>
          <w:rFonts w:ascii="Cambria" w:hAnsi="Cambria"/>
          <w:lang w:val="en-US"/>
        </w:rPr>
        <w:t xml:space="preserve"> their right to strike</w:t>
      </w:r>
      <w:r w:rsidR="00831BE5" w:rsidRPr="006C6C80">
        <w:rPr>
          <w:rFonts w:ascii="Cambria" w:hAnsi="Cambria"/>
          <w:lang w:val="en-US"/>
        </w:rPr>
        <w:t xml:space="preserve">. </w:t>
      </w:r>
    </w:p>
    <w:p w:rsidR="005C4459" w:rsidRPr="006C6C80" w:rsidRDefault="005C4459" w:rsidP="00B54921">
      <w:pPr>
        <w:pStyle w:val="parrafos"/>
        <w:tabs>
          <w:tab w:val="left" w:pos="720"/>
        </w:tabs>
        <w:rPr>
          <w:rFonts w:ascii="Cambria" w:hAnsi="Cambria"/>
          <w:lang w:val="en-US"/>
        </w:rPr>
      </w:pPr>
    </w:p>
    <w:p w:rsidR="005B6FCB" w:rsidRPr="006C6C80" w:rsidRDefault="00745005" w:rsidP="00B54921">
      <w:pPr>
        <w:pStyle w:val="parrafos"/>
        <w:numPr>
          <w:ilvl w:val="0"/>
          <w:numId w:val="56"/>
        </w:numPr>
        <w:tabs>
          <w:tab w:val="left" w:pos="720"/>
        </w:tabs>
        <w:ind w:left="0" w:firstLine="0"/>
        <w:rPr>
          <w:rFonts w:ascii="Cambria" w:hAnsi="Cambria"/>
          <w:lang w:val="en-US"/>
        </w:rPr>
      </w:pPr>
      <w:r w:rsidRPr="006C6C80">
        <w:rPr>
          <w:rFonts w:ascii="Cambria" w:hAnsi="Cambria"/>
          <w:lang w:val="en-US"/>
        </w:rPr>
        <w:t>The Commission a</w:t>
      </w:r>
      <w:r w:rsidR="00934B00" w:rsidRPr="006C6C80">
        <w:rPr>
          <w:rFonts w:ascii="Cambria" w:hAnsi="Cambria"/>
          <w:lang w:val="en-US"/>
        </w:rPr>
        <w:t xml:space="preserve">pproved </w:t>
      </w:r>
      <w:r w:rsidRPr="006C6C80">
        <w:rPr>
          <w:rFonts w:ascii="Cambria" w:hAnsi="Cambria"/>
          <w:lang w:val="en-US"/>
        </w:rPr>
        <w:t>admissibility report</w:t>
      </w:r>
      <w:r w:rsidR="009014A4" w:rsidRPr="006C6C80">
        <w:rPr>
          <w:rFonts w:ascii="Cambria" w:hAnsi="Cambria"/>
          <w:lang w:val="en-US"/>
        </w:rPr>
        <w:t xml:space="preserve"> No. </w:t>
      </w:r>
      <w:r w:rsidR="005C1C28" w:rsidRPr="006C6C80">
        <w:rPr>
          <w:rFonts w:ascii="Cambria" w:hAnsi="Cambria"/>
          <w:lang w:val="en-US"/>
        </w:rPr>
        <w:t>78</w:t>
      </w:r>
      <w:r w:rsidR="009014A4" w:rsidRPr="006C6C80">
        <w:rPr>
          <w:rFonts w:ascii="Cambria" w:hAnsi="Cambria"/>
          <w:lang w:val="en-US"/>
        </w:rPr>
        <w:t>/</w:t>
      </w:r>
      <w:r w:rsidR="005C1C28" w:rsidRPr="006C6C80">
        <w:rPr>
          <w:rFonts w:ascii="Cambria" w:hAnsi="Cambria"/>
          <w:lang w:val="en-US"/>
        </w:rPr>
        <w:t>03</w:t>
      </w:r>
      <w:r w:rsidRPr="006C6C80">
        <w:rPr>
          <w:rFonts w:ascii="Cambria" w:hAnsi="Cambria"/>
          <w:lang w:val="en-US"/>
        </w:rPr>
        <w:t xml:space="preserve"> of October</w:t>
      </w:r>
      <w:r w:rsidR="009014A4" w:rsidRPr="006C6C80">
        <w:rPr>
          <w:rFonts w:ascii="Cambria" w:hAnsi="Cambria"/>
          <w:lang w:val="en-US"/>
        </w:rPr>
        <w:t xml:space="preserve"> </w:t>
      </w:r>
      <w:r w:rsidR="005C1C28" w:rsidRPr="006C6C80">
        <w:rPr>
          <w:rFonts w:ascii="Cambria" w:hAnsi="Cambria"/>
          <w:lang w:val="en-US"/>
        </w:rPr>
        <w:t>22</w:t>
      </w:r>
      <w:r w:rsidRPr="006C6C80">
        <w:rPr>
          <w:rFonts w:ascii="Cambria" w:hAnsi="Cambria"/>
          <w:lang w:val="en-US"/>
        </w:rPr>
        <w:t>,</w:t>
      </w:r>
      <w:r w:rsidR="009014A4" w:rsidRPr="006C6C80">
        <w:rPr>
          <w:rFonts w:ascii="Cambria" w:hAnsi="Cambria"/>
          <w:lang w:val="en-US"/>
        </w:rPr>
        <w:t xml:space="preserve"> </w:t>
      </w:r>
      <w:r w:rsidR="005C1C28" w:rsidRPr="006C6C80">
        <w:rPr>
          <w:rFonts w:ascii="Cambria" w:hAnsi="Cambria"/>
          <w:lang w:val="en-US"/>
        </w:rPr>
        <w:t>2003</w:t>
      </w:r>
      <w:r w:rsidRPr="006C6C80">
        <w:rPr>
          <w:rFonts w:ascii="Cambria" w:hAnsi="Cambria"/>
          <w:lang w:val="en-US"/>
        </w:rPr>
        <w:t>.</w:t>
      </w:r>
      <w:r w:rsidR="009014A4" w:rsidRPr="006C6C80">
        <w:rPr>
          <w:rStyle w:val="FootnoteReference"/>
          <w:rFonts w:ascii="Cambria" w:hAnsi="Cambria"/>
          <w:lang w:val="en-US"/>
        </w:rPr>
        <w:footnoteReference w:id="2"/>
      </w:r>
      <w:r w:rsidR="00AF7988" w:rsidRPr="006C6C80">
        <w:rPr>
          <w:rFonts w:ascii="Cambria" w:hAnsi="Cambria"/>
          <w:lang w:val="en-US"/>
        </w:rPr>
        <w:t xml:space="preserve"> </w:t>
      </w:r>
      <w:r w:rsidRPr="006C6C80">
        <w:rPr>
          <w:rFonts w:ascii="Cambria" w:hAnsi="Cambria"/>
          <w:lang w:val="en-US"/>
        </w:rPr>
        <w:t>On October</w:t>
      </w:r>
      <w:r w:rsidR="009014A4" w:rsidRPr="006C6C80">
        <w:rPr>
          <w:rFonts w:ascii="Cambria" w:hAnsi="Cambria"/>
          <w:lang w:val="en-US"/>
        </w:rPr>
        <w:t xml:space="preserve"> </w:t>
      </w:r>
      <w:r w:rsidR="00FE520C" w:rsidRPr="006C6C80">
        <w:rPr>
          <w:rFonts w:ascii="Cambria" w:hAnsi="Cambria"/>
          <w:lang w:val="en-US"/>
        </w:rPr>
        <w:t>27</w:t>
      </w:r>
      <w:r w:rsidRPr="006C6C80">
        <w:rPr>
          <w:rFonts w:ascii="Cambria" w:hAnsi="Cambria"/>
          <w:lang w:val="en-US"/>
        </w:rPr>
        <w:t>,</w:t>
      </w:r>
      <w:r w:rsidR="009014A4" w:rsidRPr="006C6C80">
        <w:rPr>
          <w:rFonts w:ascii="Cambria" w:hAnsi="Cambria"/>
          <w:lang w:val="en-US"/>
        </w:rPr>
        <w:t xml:space="preserve"> </w:t>
      </w:r>
      <w:r w:rsidR="00F77676" w:rsidRPr="006C6C80">
        <w:rPr>
          <w:rFonts w:ascii="Cambria" w:hAnsi="Cambria"/>
          <w:lang w:val="en-US"/>
        </w:rPr>
        <w:t>2003</w:t>
      </w:r>
      <w:r w:rsidRPr="006C6C80">
        <w:rPr>
          <w:rFonts w:ascii="Cambria" w:hAnsi="Cambria"/>
          <w:lang w:val="en-US"/>
        </w:rPr>
        <w:t xml:space="preserve">, the Commission notified said report to the parties and </w:t>
      </w:r>
      <w:r w:rsidR="00973C79" w:rsidRPr="006C6C80">
        <w:rPr>
          <w:rFonts w:ascii="Cambria" w:hAnsi="Cambria"/>
          <w:lang w:val="en-US"/>
        </w:rPr>
        <w:t>indicated it was available</w:t>
      </w:r>
      <w:r w:rsidR="00934B00" w:rsidRPr="006C6C80">
        <w:rPr>
          <w:rFonts w:ascii="Cambria" w:hAnsi="Cambria"/>
          <w:lang w:val="en-US"/>
        </w:rPr>
        <w:t xml:space="preserve"> to reach a friendly solution, but</w:t>
      </w:r>
      <w:r w:rsidR="00973C79" w:rsidRPr="006C6C80">
        <w:rPr>
          <w:rFonts w:ascii="Cambria" w:hAnsi="Cambria"/>
          <w:lang w:val="en-US"/>
        </w:rPr>
        <w:t xml:space="preserve"> the conditions to initiate said proceeding</w:t>
      </w:r>
      <w:r w:rsidR="00FE520C" w:rsidRPr="006C6C80">
        <w:rPr>
          <w:rFonts w:ascii="Cambria" w:hAnsi="Cambria"/>
          <w:lang w:val="en-US"/>
        </w:rPr>
        <w:t xml:space="preserve"> </w:t>
      </w:r>
      <w:r w:rsidR="00973C79" w:rsidRPr="006C6C80">
        <w:rPr>
          <w:rFonts w:ascii="Cambria" w:hAnsi="Cambria"/>
          <w:lang w:val="en-US"/>
        </w:rPr>
        <w:t>were not met</w:t>
      </w:r>
      <w:r w:rsidR="009014A4" w:rsidRPr="006C6C80">
        <w:rPr>
          <w:rFonts w:ascii="Cambria" w:hAnsi="Cambria"/>
          <w:lang w:val="en-US"/>
        </w:rPr>
        <w:t xml:space="preserve">. </w:t>
      </w:r>
      <w:r w:rsidR="00F562B4" w:rsidRPr="006C6C80">
        <w:rPr>
          <w:rFonts w:ascii="Cambria" w:hAnsi="Cambria"/>
          <w:lang w:val="en-US"/>
        </w:rPr>
        <w:t xml:space="preserve">The parties benefited from the regulatory delays to </w:t>
      </w:r>
      <w:r w:rsidR="00934B00" w:rsidRPr="006C6C80">
        <w:rPr>
          <w:rFonts w:ascii="Cambria" w:hAnsi="Cambria"/>
          <w:lang w:val="en-US"/>
        </w:rPr>
        <w:t>submit</w:t>
      </w:r>
      <w:r w:rsidR="00F562B4" w:rsidRPr="006C6C80">
        <w:rPr>
          <w:rFonts w:ascii="Cambria" w:hAnsi="Cambria"/>
          <w:lang w:val="en-US"/>
        </w:rPr>
        <w:t xml:space="preserve"> their additional observations on the merits. All the information that was received was duly forwarded to both parties</w:t>
      </w:r>
      <w:r w:rsidR="009014A4" w:rsidRPr="006C6C80">
        <w:rPr>
          <w:rFonts w:ascii="Cambria" w:hAnsi="Cambria"/>
          <w:lang w:val="en-US"/>
        </w:rPr>
        <w:t xml:space="preserve">. </w:t>
      </w:r>
    </w:p>
    <w:p w:rsidR="007C756A" w:rsidRPr="006C6C80" w:rsidRDefault="007C756A" w:rsidP="00B54921">
      <w:pPr>
        <w:pStyle w:val="ListParagraph"/>
        <w:tabs>
          <w:tab w:val="left" w:pos="720"/>
        </w:tabs>
        <w:suppressAutoHyphens/>
        <w:ind w:left="1080"/>
        <w:rPr>
          <w:rFonts w:asciiTheme="majorHAnsi" w:hAnsiTheme="majorHAnsi"/>
          <w:b/>
          <w:sz w:val="20"/>
          <w:szCs w:val="20"/>
        </w:rPr>
      </w:pPr>
    </w:p>
    <w:p w:rsidR="00D12193" w:rsidRPr="006C6C80" w:rsidRDefault="00831BE5" w:rsidP="00B54921">
      <w:pPr>
        <w:pStyle w:val="Heading1"/>
        <w:numPr>
          <w:ilvl w:val="0"/>
          <w:numId w:val="57"/>
        </w:numPr>
        <w:tabs>
          <w:tab w:val="left" w:pos="360"/>
          <w:tab w:val="left" w:pos="720"/>
        </w:tabs>
        <w:ind w:left="720"/>
        <w:rPr>
          <w:lang w:val="en-US"/>
        </w:rPr>
      </w:pPr>
      <w:bookmarkStart w:id="4" w:name="_Toc18936458"/>
      <w:r w:rsidRPr="006C6C80">
        <w:rPr>
          <w:lang w:val="en-US"/>
        </w:rPr>
        <w:t>POSI</w:t>
      </w:r>
      <w:r w:rsidR="00F562B4" w:rsidRPr="006C6C80">
        <w:rPr>
          <w:lang w:val="en-US"/>
        </w:rPr>
        <w:t>TIONS OF THE PARTIES</w:t>
      </w:r>
      <w:bookmarkEnd w:id="4"/>
    </w:p>
    <w:p w:rsidR="0008768F" w:rsidRPr="006C6C80" w:rsidRDefault="0008768F" w:rsidP="00B54921">
      <w:pPr>
        <w:tabs>
          <w:tab w:val="left" w:pos="720"/>
        </w:tabs>
        <w:suppressAutoHyphens/>
        <w:rPr>
          <w:rFonts w:asciiTheme="majorHAnsi" w:hAnsiTheme="majorHAnsi"/>
          <w:sz w:val="20"/>
          <w:szCs w:val="20"/>
        </w:rPr>
      </w:pPr>
    </w:p>
    <w:p w:rsidR="00D12193" w:rsidRPr="006C6C80" w:rsidRDefault="0022273F" w:rsidP="00B54921">
      <w:pPr>
        <w:pStyle w:val="Heading2"/>
        <w:numPr>
          <w:ilvl w:val="0"/>
          <w:numId w:val="58"/>
        </w:numPr>
        <w:tabs>
          <w:tab w:val="left" w:pos="720"/>
        </w:tabs>
        <w:ind w:left="360"/>
        <w:rPr>
          <w:lang w:val="en-US"/>
        </w:rPr>
      </w:pPr>
      <w:bookmarkStart w:id="5" w:name="_Toc18936459"/>
      <w:r w:rsidRPr="006C6C80">
        <w:rPr>
          <w:lang w:val="en-US"/>
        </w:rPr>
        <w:t>P</w:t>
      </w:r>
      <w:r w:rsidR="00F562B4" w:rsidRPr="006C6C80">
        <w:rPr>
          <w:lang w:val="en-US"/>
        </w:rPr>
        <w:t>etitioner</w:t>
      </w:r>
      <w:r w:rsidR="00E333C2">
        <w:rPr>
          <w:lang w:val="en-US"/>
        </w:rPr>
        <w:t>s</w:t>
      </w:r>
      <w:bookmarkEnd w:id="5"/>
    </w:p>
    <w:p w:rsidR="00391C32" w:rsidRPr="006C6C80" w:rsidRDefault="00391C32" w:rsidP="00B5492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Theme="majorHAnsi" w:hAnsiTheme="majorHAnsi" w:cs="Arial"/>
          <w:color w:val="000000" w:themeColor="text1"/>
          <w:sz w:val="20"/>
          <w:szCs w:val="20"/>
        </w:rPr>
      </w:pPr>
    </w:p>
    <w:p w:rsidR="005C4459" w:rsidRPr="006C6C80" w:rsidRDefault="00F562B4" w:rsidP="00B54921">
      <w:pPr>
        <w:pStyle w:val="parrafos"/>
        <w:numPr>
          <w:ilvl w:val="0"/>
          <w:numId w:val="56"/>
        </w:numPr>
        <w:tabs>
          <w:tab w:val="left" w:pos="720"/>
        </w:tabs>
        <w:ind w:left="0" w:firstLine="0"/>
        <w:rPr>
          <w:rFonts w:cs="Arial"/>
          <w:lang w:val="en-US"/>
        </w:rPr>
      </w:pPr>
      <w:r w:rsidRPr="006C6C80">
        <w:rPr>
          <w:rFonts w:cs="Arial"/>
          <w:lang w:val="en-US"/>
        </w:rPr>
        <w:t>The petitioner</w:t>
      </w:r>
      <w:r w:rsidR="004E0961" w:rsidRPr="006C6C80">
        <w:rPr>
          <w:rFonts w:cs="Arial"/>
          <w:lang w:val="en-US"/>
        </w:rPr>
        <w:t>s</w:t>
      </w:r>
      <w:r w:rsidRPr="006C6C80">
        <w:rPr>
          <w:rFonts w:cs="Arial"/>
          <w:lang w:val="en-US"/>
        </w:rPr>
        <w:t xml:space="preserve"> indicated that, in August</w:t>
      </w:r>
      <w:r w:rsidR="00933C8D" w:rsidRPr="006C6C80">
        <w:rPr>
          <w:rFonts w:cs="Arial"/>
          <w:lang w:val="en-US"/>
        </w:rPr>
        <w:t xml:space="preserve"> 1992</w:t>
      </w:r>
      <w:r w:rsidRPr="006C6C80">
        <w:rPr>
          <w:rFonts w:cs="Arial"/>
          <w:lang w:val="en-US"/>
        </w:rPr>
        <w:t>, the Judiciary Workers Union (</w:t>
      </w:r>
      <w:proofErr w:type="spellStart"/>
      <w:r w:rsidR="00021EDE" w:rsidRPr="006C6C80">
        <w:rPr>
          <w:rFonts w:cs="Arial"/>
          <w:i/>
          <w:lang w:val="en-US"/>
        </w:rPr>
        <w:t>Sindicato</w:t>
      </w:r>
      <w:proofErr w:type="spellEnd"/>
      <w:r w:rsidR="00021EDE" w:rsidRPr="006C6C80">
        <w:rPr>
          <w:rFonts w:cs="Arial"/>
          <w:i/>
          <w:lang w:val="en-US"/>
        </w:rPr>
        <w:t xml:space="preserve"> de </w:t>
      </w:r>
      <w:proofErr w:type="spellStart"/>
      <w:r w:rsidR="00021EDE" w:rsidRPr="006C6C80">
        <w:rPr>
          <w:rFonts w:cs="Arial"/>
          <w:i/>
          <w:lang w:val="en-US"/>
        </w:rPr>
        <w:t>Trabajadores</w:t>
      </w:r>
      <w:proofErr w:type="spellEnd"/>
      <w:r w:rsidR="00021EDE" w:rsidRPr="006C6C80">
        <w:rPr>
          <w:rFonts w:cs="Arial"/>
          <w:i/>
          <w:lang w:val="en-US"/>
        </w:rPr>
        <w:t xml:space="preserve"> </w:t>
      </w:r>
      <w:proofErr w:type="gramStart"/>
      <w:r w:rsidR="00021EDE" w:rsidRPr="006C6C80">
        <w:rPr>
          <w:rFonts w:cs="Arial"/>
          <w:i/>
          <w:lang w:val="en-US"/>
        </w:rPr>
        <w:t>del</w:t>
      </w:r>
      <w:proofErr w:type="gramEnd"/>
      <w:r w:rsidR="00021EDE" w:rsidRPr="006C6C80">
        <w:rPr>
          <w:rFonts w:cs="Arial"/>
          <w:i/>
          <w:lang w:val="en-US"/>
        </w:rPr>
        <w:t xml:space="preserve"> </w:t>
      </w:r>
      <w:proofErr w:type="spellStart"/>
      <w:r w:rsidR="00021EDE" w:rsidRPr="006C6C80">
        <w:rPr>
          <w:rFonts w:cs="Arial"/>
          <w:i/>
          <w:lang w:val="en-US"/>
        </w:rPr>
        <w:t>Organismo</w:t>
      </w:r>
      <w:proofErr w:type="spellEnd"/>
      <w:r w:rsidR="00021EDE" w:rsidRPr="006C6C80">
        <w:rPr>
          <w:rFonts w:cs="Arial"/>
          <w:i/>
          <w:lang w:val="en-US"/>
        </w:rPr>
        <w:t xml:space="preserve"> </w:t>
      </w:r>
      <w:r w:rsidR="00021EDE" w:rsidRPr="006C6C80">
        <w:rPr>
          <w:rFonts w:ascii="Cambria" w:hAnsi="Cambria"/>
          <w:i/>
          <w:lang w:val="en-US"/>
        </w:rPr>
        <w:t>Judicial</w:t>
      </w:r>
      <w:r w:rsidRPr="006C6C80">
        <w:rPr>
          <w:rFonts w:ascii="Cambria" w:hAnsi="Cambria"/>
          <w:i/>
          <w:lang w:val="en-US"/>
        </w:rPr>
        <w:t>—</w:t>
      </w:r>
      <w:r w:rsidR="00A96077" w:rsidRPr="006C6C80">
        <w:rPr>
          <w:rFonts w:cs="Arial"/>
          <w:i/>
          <w:lang w:val="en-US"/>
        </w:rPr>
        <w:t>STOJ</w:t>
      </w:r>
      <w:r w:rsidRPr="006C6C80">
        <w:rPr>
          <w:rFonts w:cs="Arial"/>
          <w:lang w:val="en-US"/>
        </w:rPr>
        <w:t>) (</w:t>
      </w:r>
      <w:r w:rsidR="003178A7">
        <w:rPr>
          <w:rFonts w:cs="Arial"/>
          <w:lang w:val="en-US"/>
        </w:rPr>
        <w:t>hereinafter the “STOJ” or “the U</w:t>
      </w:r>
      <w:r w:rsidRPr="006C6C80">
        <w:rPr>
          <w:rFonts w:cs="Arial"/>
          <w:lang w:val="en-US"/>
        </w:rPr>
        <w:t>nion</w:t>
      </w:r>
      <w:r w:rsidR="00A96077" w:rsidRPr="006C6C80">
        <w:rPr>
          <w:rFonts w:cs="Arial"/>
          <w:lang w:val="en-US"/>
        </w:rPr>
        <w:t>”)</w:t>
      </w:r>
      <w:r w:rsidR="00F22CAE" w:rsidRPr="006C6C80">
        <w:rPr>
          <w:rFonts w:cs="Arial"/>
          <w:lang w:val="en-US"/>
        </w:rPr>
        <w:t xml:space="preserve"> and the Judiciary</w:t>
      </w:r>
      <w:r w:rsidR="00246B3C" w:rsidRPr="006C6C80">
        <w:rPr>
          <w:rFonts w:cs="Arial"/>
          <w:lang w:val="en-US"/>
        </w:rPr>
        <w:t xml:space="preserve"> (</w:t>
      </w:r>
      <w:proofErr w:type="spellStart"/>
      <w:r w:rsidR="00E333C2">
        <w:rPr>
          <w:rFonts w:cs="Arial"/>
          <w:i/>
          <w:lang w:val="en-US"/>
        </w:rPr>
        <w:t>O</w:t>
      </w:r>
      <w:r w:rsidR="008664C4" w:rsidRPr="006C6C80">
        <w:rPr>
          <w:rFonts w:cs="Arial"/>
          <w:i/>
          <w:lang w:val="en-US"/>
        </w:rPr>
        <w:t>rga</w:t>
      </w:r>
      <w:r w:rsidR="00E333C2">
        <w:rPr>
          <w:rFonts w:cs="Arial"/>
          <w:i/>
          <w:lang w:val="en-US"/>
        </w:rPr>
        <w:t>nismo</w:t>
      </w:r>
      <w:proofErr w:type="spellEnd"/>
      <w:r w:rsidR="00E333C2">
        <w:rPr>
          <w:rFonts w:cs="Arial"/>
          <w:i/>
          <w:lang w:val="en-US"/>
        </w:rPr>
        <w:t xml:space="preserve"> J</w:t>
      </w:r>
      <w:r w:rsidR="008664C4" w:rsidRPr="006C6C80">
        <w:rPr>
          <w:rFonts w:cs="Arial"/>
          <w:i/>
          <w:lang w:val="en-US"/>
        </w:rPr>
        <w:t>udicial</w:t>
      </w:r>
      <w:r w:rsidR="0016152B" w:rsidRPr="006C6C80">
        <w:rPr>
          <w:rFonts w:cs="Arial"/>
          <w:lang w:val="en-US"/>
        </w:rPr>
        <w:t>, hereinafter</w:t>
      </w:r>
      <w:r w:rsidR="00246B3C" w:rsidRPr="006C6C80">
        <w:rPr>
          <w:rFonts w:cs="Arial"/>
          <w:lang w:val="en-US"/>
        </w:rPr>
        <w:t xml:space="preserve"> </w:t>
      </w:r>
      <w:r w:rsidR="0016152B" w:rsidRPr="006C6C80">
        <w:rPr>
          <w:rFonts w:cs="Arial"/>
          <w:lang w:val="en-US"/>
        </w:rPr>
        <w:t xml:space="preserve">“the </w:t>
      </w:r>
      <w:r w:rsidR="00886724" w:rsidRPr="006C6C80">
        <w:rPr>
          <w:rFonts w:cs="Arial"/>
          <w:lang w:val="en-US"/>
        </w:rPr>
        <w:t>OJ”)</w:t>
      </w:r>
      <w:r w:rsidR="00021EDE" w:rsidRPr="006C6C80">
        <w:rPr>
          <w:rFonts w:cs="Arial"/>
          <w:lang w:val="en-US"/>
        </w:rPr>
        <w:t xml:space="preserve"> s</w:t>
      </w:r>
      <w:r w:rsidR="008664C4" w:rsidRPr="006C6C80">
        <w:rPr>
          <w:rFonts w:cs="Arial"/>
          <w:lang w:val="en-US"/>
        </w:rPr>
        <w:t>igned a Collective Working Conditions Agreement</w:t>
      </w:r>
      <w:r w:rsidR="00021EDE" w:rsidRPr="006C6C80">
        <w:rPr>
          <w:rFonts w:cs="Arial"/>
          <w:lang w:val="en-US"/>
        </w:rPr>
        <w:t xml:space="preserve">. </w:t>
      </w:r>
      <w:r w:rsidR="004E0961" w:rsidRPr="006C6C80">
        <w:rPr>
          <w:rFonts w:cs="Arial"/>
          <w:lang w:val="en-US"/>
        </w:rPr>
        <w:t>They</w:t>
      </w:r>
      <w:r w:rsidR="008664C4" w:rsidRPr="006C6C80">
        <w:rPr>
          <w:rFonts w:cs="Arial"/>
          <w:lang w:val="en-US"/>
        </w:rPr>
        <w:t xml:space="preserve"> indicated th</w:t>
      </w:r>
      <w:r w:rsidR="00736DEF" w:rsidRPr="006C6C80">
        <w:rPr>
          <w:rFonts w:cs="Arial"/>
          <w:lang w:val="en-US"/>
        </w:rPr>
        <w:t xml:space="preserve">at the </w:t>
      </w:r>
      <w:r w:rsidR="004E0961" w:rsidRPr="006C6C80">
        <w:rPr>
          <w:rFonts w:cs="Arial"/>
          <w:lang w:val="en-US"/>
        </w:rPr>
        <w:t xml:space="preserve">two-year </w:t>
      </w:r>
      <w:r w:rsidR="00736DEF" w:rsidRPr="006C6C80">
        <w:rPr>
          <w:rFonts w:cs="Arial"/>
          <w:lang w:val="en-US"/>
        </w:rPr>
        <w:t>agreement came into force</w:t>
      </w:r>
      <w:r w:rsidR="008664C4" w:rsidRPr="006C6C80">
        <w:rPr>
          <w:rFonts w:cs="Arial"/>
          <w:lang w:val="en-US"/>
        </w:rPr>
        <w:t xml:space="preserve"> in November</w:t>
      </w:r>
      <w:r w:rsidR="00021EDE" w:rsidRPr="006C6C80">
        <w:rPr>
          <w:rFonts w:cs="Arial"/>
          <w:lang w:val="en-US"/>
        </w:rPr>
        <w:t xml:space="preserve"> 1992. </w:t>
      </w:r>
      <w:r w:rsidR="004E0961" w:rsidRPr="006C6C80">
        <w:rPr>
          <w:rFonts w:cs="Arial"/>
          <w:lang w:val="en-US"/>
        </w:rPr>
        <w:t>They</w:t>
      </w:r>
      <w:r w:rsidR="008664C4" w:rsidRPr="006C6C80">
        <w:rPr>
          <w:rFonts w:cs="Arial"/>
          <w:lang w:val="en-US"/>
        </w:rPr>
        <w:t xml:space="preserve"> </w:t>
      </w:r>
      <w:r w:rsidR="00934B00" w:rsidRPr="006C6C80">
        <w:rPr>
          <w:rFonts w:cs="Arial"/>
          <w:lang w:val="en-US"/>
        </w:rPr>
        <w:t xml:space="preserve">stated </w:t>
      </w:r>
      <w:r w:rsidR="008664C4" w:rsidRPr="006C6C80">
        <w:rPr>
          <w:rFonts w:cs="Arial"/>
          <w:lang w:val="en-US"/>
        </w:rPr>
        <w:t xml:space="preserve">that, after this </w:t>
      </w:r>
      <w:r w:rsidR="00934B00" w:rsidRPr="006C6C80">
        <w:rPr>
          <w:rFonts w:cs="Arial"/>
          <w:lang w:val="en-US"/>
        </w:rPr>
        <w:t xml:space="preserve">period </w:t>
      </w:r>
      <w:r w:rsidR="008664C4" w:rsidRPr="006C6C80">
        <w:rPr>
          <w:rFonts w:cs="Arial"/>
          <w:lang w:val="en-US"/>
        </w:rPr>
        <w:t xml:space="preserve">had </w:t>
      </w:r>
      <w:r w:rsidR="004E0961" w:rsidRPr="006C6C80">
        <w:rPr>
          <w:rFonts w:cs="Arial"/>
          <w:lang w:val="en-US"/>
        </w:rPr>
        <w:t>e</w:t>
      </w:r>
      <w:r w:rsidR="008664C4" w:rsidRPr="006C6C80">
        <w:rPr>
          <w:rFonts w:cs="Arial"/>
          <w:lang w:val="en-US"/>
        </w:rPr>
        <w:t>lapsed, on October 18, 1994, the petitioner</w:t>
      </w:r>
      <w:r w:rsidR="004E0961" w:rsidRPr="006C6C80">
        <w:rPr>
          <w:rFonts w:cs="Arial"/>
          <w:lang w:val="en-US"/>
        </w:rPr>
        <w:t>s</w:t>
      </w:r>
      <w:r w:rsidR="008664C4" w:rsidRPr="006C6C80">
        <w:rPr>
          <w:rFonts w:cs="Arial"/>
          <w:lang w:val="en-US"/>
        </w:rPr>
        <w:t xml:space="preserve"> denounced</w:t>
      </w:r>
      <w:r w:rsidR="004E0961" w:rsidRPr="006C6C80">
        <w:rPr>
          <w:rFonts w:cs="Arial"/>
          <w:lang w:val="en-US"/>
        </w:rPr>
        <w:t xml:space="preserve"> the above-mentioned agreement to</w:t>
      </w:r>
      <w:r w:rsidR="008664C4" w:rsidRPr="006C6C80">
        <w:rPr>
          <w:rFonts w:cs="Arial"/>
          <w:lang w:val="en-US"/>
        </w:rPr>
        <w:t xml:space="preserve"> the General </w:t>
      </w:r>
      <w:r w:rsidR="004E0961" w:rsidRPr="006C6C80">
        <w:rPr>
          <w:rFonts w:cs="Arial"/>
          <w:lang w:val="en-US"/>
        </w:rPr>
        <w:t>Labor Inspectorate</w:t>
      </w:r>
      <w:r w:rsidR="008664C4" w:rsidRPr="006C6C80">
        <w:rPr>
          <w:rFonts w:cs="Arial"/>
          <w:lang w:val="en-US"/>
        </w:rPr>
        <w:t xml:space="preserve"> for the purpose of negotiating a new working instrument</w:t>
      </w:r>
      <w:r w:rsidR="00021EDE" w:rsidRPr="006C6C80">
        <w:rPr>
          <w:rFonts w:cs="Arial"/>
          <w:lang w:val="en-US"/>
        </w:rPr>
        <w:t>.</w:t>
      </w:r>
    </w:p>
    <w:p w:rsidR="005C4459" w:rsidRPr="006C6C80" w:rsidRDefault="005C4459" w:rsidP="00B54921">
      <w:pPr>
        <w:pStyle w:val="parrafos"/>
        <w:tabs>
          <w:tab w:val="left" w:pos="720"/>
        </w:tabs>
        <w:rPr>
          <w:rFonts w:cs="Arial"/>
          <w:lang w:val="en-US"/>
        </w:rPr>
      </w:pPr>
    </w:p>
    <w:p w:rsidR="005C4459" w:rsidRPr="006C6C80" w:rsidRDefault="004E0961" w:rsidP="00B54921">
      <w:pPr>
        <w:pStyle w:val="parrafos"/>
        <w:numPr>
          <w:ilvl w:val="0"/>
          <w:numId w:val="56"/>
        </w:numPr>
        <w:tabs>
          <w:tab w:val="left" w:pos="720"/>
        </w:tabs>
        <w:ind w:left="0" w:firstLine="0"/>
        <w:rPr>
          <w:rFonts w:cs="Arial"/>
          <w:lang w:val="en-US"/>
        </w:rPr>
      </w:pPr>
      <w:r w:rsidRPr="006C6C80">
        <w:rPr>
          <w:rFonts w:cs="Arial"/>
          <w:lang w:val="en-US"/>
        </w:rPr>
        <w:t>They</w:t>
      </w:r>
      <w:r w:rsidR="008664C4" w:rsidRPr="006C6C80">
        <w:rPr>
          <w:rFonts w:cs="Arial"/>
          <w:lang w:val="en-US"/>
        </w:rPr>
        <w:t xml:space="preserve"> argued that after unproductive bargaining with the Judiciary </w:t>
      </w:r>
      <w:r w:rsidR="001E35B9" w:rsidRPr="006C6C80">
        <w:rPr>
          <w:rFonts w:cs="Arial"/>
          <w:lang w:val="en-US"/>
        </w:rPr>
        <w:t>to</w:t>
      </w:r>
      <w:r w:rsidR="008664C4" w:rsidRPr="006C6C80">
        <w:rPr>
          <w:rFonts w:cs="Arial"/>
          <w:lang w:val="en-US"/>
        </w:rPr>
        <w:t xml:space="preserve"> agree on a new collective agreement, according to the law, </w:t>
      </w:r>
      <w:r w:rsidR="00736DEF" w:rsidRPr="006C6C80">
        <w:rPr>
          <w:rFonts w:cs="Arial"/>
          <w:lang w:val="en-US"/>
        </w:rPr>
        <w:t xml:space="preserve">it </w:t>
      </w:r>
      <w:r w:rsidR="001E35B9" w:rsidRPr="006C6C80">
        <w:rPr>
          <w:rFonts w:cs="Arial"/>
          <w:lang w:val="en-US"/>
        </w:rPr>
        <w:t>filed an “economic and social dispute</w:t>
      </w:r>
      <w:r w:rsidR="00934B00" w:rsidRPr="006C6C80">
        <w:rPr>
          <w:rFonts w:cs="Arial"/>
          <w:lang w:val="en-US"/>
        </w:rPr>
        <w:t>” with</w:t>
      </w:r>
      <w:r w:rsidR="00736DEF" w:rsidRPr="006C6C80">
        <w:rPr>
          <w:rFonts w:cs="Arial"/>
          <w:lang w:val="en-US"/>
        </w:rPr>
        <w:t xml:space="preserve"> the</w:t>
      </w:r>
      <w:r w:rsidRPr="006C6C80">
        <w:rPr>
          <w:rFonts w:cs="Arial"/>
          <w:lang w:val="en-US"/>
        </w:rPr>
        <w:t xml:space="preserve"> </w:t>
      </w:r>
      <w:r w:rsidR="00934B00" w:rsidRPr="006C6C80">
        <w:rPr>
          <w:rFonts w:cs="Arial"/>
          <w:lang w:val="en-US"/>
        </w:rPr>
        <w:t>F</w:t>
      </w:r>
      <w:r w:rsidRPr="006C6C80">
        <w:rPr>
          <w:rFonts w:cs="Arial"/>
          <w:lang w:val="en-US"/>
        </w:rPr>
        <w:t xml:space="preserve">irst </w:t>
      </w:r>
      <w:r w:rsidR="00934B00" w:rsidRPr="006C6C80">
        <w:rPr>
          <w:rFonts w:cs="Arial"/>
          <w:lang w:val="en-US"/>
        </w:rPr>
        <w:t>C</w:t>
      </w:r>
      <w:r w:rsidRPr="006C6C80">
        <w:rPr>
          <w:rFonts w:cs="Arial"/>
          <w:lang w:val="en-US"/>
        </w:rPr>
        <w:t xml:space="preserve">hamber of the </w:t>
      </w:r>
      <w:r w:rsidR="00736DEF" w:rsidRPr="006C6C80">
        <w:rPr>
          <w:rFonts w:cs="Arial"/>
          <w:lang w:val="en-US"/>
        </w:rPr>
        <w:t>Labor and Social Welfare</w:t>
      </w:r>
      <w:r w:rsidRPr="006C6C80">
        <w:rPr>
          <w:rFonts w:cs="Arial"/>
          <w:lang w:val="en-US"/>
        </w:rPr>
        <w:t xml:space="preserve"> Appeals Court</w:t>
      </w:r>
      <w:r w:rsidR="000517BC" w:rsidRPr="006C6C80">
        <w:rPr>
          <w:rFonts w:cs="Arial"/>
          <w:lang w:val="en-US"/>
        </w:rPr>
        <w:t xml:space="preserve">, </w:t>
      </w:r>
      <w:r w:rsidR="00736DEF" w:rsidRPr="006C6C80">
        <w:rPr>
          <w:rFonts w:cs="Arial"/>
          <w:lang w:val="en-US"/>
        </w:rPr>
        <w:t xml:space="preserve">which </w:t>
      </w:r>
      <w:r w:rsidR="001E35B9" w:rsidRPr="006C6C80">
        <w:rPr>
          <w:rFonts w:cs="Arial"/>
          <w:lang w:val="en-US"/>
        </w:rPr>
        <w:t>takes over</w:t>
      </w:r>
      <w:r w:rsidR="00736DEF" w:rsidRPr="006C6C80">
        <w:rPr>
          <w:rFonts w:cs="Arial"/>
          <w:lang w:val="en-US"/>
        </w:rPr>
        <w:t xml:space="preserve"> when the parties have not reached an agreement on the terms of the collective</w:t>
      </w:r>
      <w:r w:rsidR="001E35B9" w:rsidRPr="006C6C80">
        <w:rPr>
          <w:rFonts w:cs="Arial"/>
          <w:lang w:val="en-US"/>
        </w:rPr>
        <w:t xml:space="preserve"> working conditions</w:t>
      </w:r>
      <w:r w:rsidR="00736DEF" w:rsidRPr="006C6C80">
        <w:rPr>
          <w:rFonts w:cs="Arial"/>
          <w:lang w:val="en-US"/>
        </w:rPr>
        <w:t xml:space="preserve"> agreement and is aimed at discussing the case directly, setting </w:t>
      </w:r>
      <w:r w:rsidR="001E35B9" w:rsidRPr="006C6C80">
        <w:rPr>
          <w:rFonts w:cs="Arial"/>
          <w:lang w:val="en-US"/>
        </w:rPr>
        <w:t>a time-limit of 30 days for bargaining</w:t>
      </w:r>
      <w:r w:rsidR="00C27B7E" w:rsidRPr="006C6C80">
        <w:rPr>
          <w:rFonts w:ascii="Cambria" w:hAnsi="Cambria"/>
          <w:lang w:val="en-US"/>
        </w:rPr>
        <w:t>.</w:t>
      </w:r>
      <w:r w:rsidR="009B30D1" w:rsidRPr="006C6C80">
        <w:rPr>
          <w:rFonts w:ascii="Cambria" w:hAnsi="Cambria"/>
          <w:lang w:val="en-US"/>
        </w:rPr>
        <w:t xml:space="preserve"> </w:t>
      </w:r>
      <w:r w:rsidR="00736DEF" w:rsidRPr="006C6C80">
        <w:rPr>
          <w:rFonts w:ascii="Cambria" w:hAnsi="Cambria"/>
          <w:lang w:val="en-US"/>
        </w:rPr>
        <w:t xml:space="preserve">On November 21, 1994, </w:t>
      </w:r>
      <w:r w:rsidR="001E35B9" w:rsidRPr="006C6C80">
        <w:rPr>
          <w:rFonts w:ascii="Cambria" w:hAnsi="Cambria"/>
          <w:lang w:val="en-US"/>
        </w:rPr>
        <w:t>said</w:t>
      </w:r>
      <w:r w:rsidR="00736DEF" w:rsidRPr="006C6C80">
        <w:rPr>
          <w:rFonts w:ascii="Cambria" w:hAnsi="Cambria"/>
          <w:lang w:val="en-US"/>
        </w:rPr>
        <w:t xml:space="preserve"> Court ruled that the petition was admissible</w:t>
      </w:r>
      <w:r w:rsidR="00610511" w:rsidRPr="006C6C80">
        <w:rPr>
          <w:rFonts w:ascii="Cambria" w:hAnsi="Cambria"/>
          <w:lang w:val="en-US"/>
        </w:rPr>
        <w:t xml:space="preserve">. </w:t>
      </w:r>
      <w:r w:rsidR="00B102A0" w:rsidRPr="006C6C80">
        <w:rPr>
          <w:rFonts w:ascii="Cambria" w:hAnsi="Cambria"/>
          <w:lang w:val="en-US"/>
        </w:rPr>
        <w:t xml:space="preserve"> </w:t>
      </w:r>
      <w:r w:rsidR="00736DEF" w:rsidRPr="006C6C80">
        <w:rPr>
          <w:rFonts w:ascii="Cambria" w:hAnsi="Cambria"/>
          <w:lang w:val="en-US"/>
        </w:rPr>
        <w:t>In addition</w:t>
      </w:r>
      <w:r w:rsidR="0056182C" w:rsidRPr="006C6C80">
        <w:rPr>
          <w:rFonts w:ascii="Cambria" w:hAnsi="Cambria"/>
          <w:lang w:val="en-US"/>
        </w:rPr>
        <w:t>,</w:t>
      </w:r>
      <w:r w:rsidR="00736DEF" w:rsidRPr="006C6C80">
        <w:rPr>
          <w:rFonts w:ascii="Cambria" w:hAnsi="Cambria"/>
          <w:lang w:val="en-US"/>
        </w:rPr>
        <w:t xml:space="preserve"> the petitioner</w:t>
      </w:r>
      <w:r w:rsidR="001E35B9" w:rsidRPr="006C6C80">
        <w:rPr>
          <w:rFonts w:ascii="Cambria" w:hAnsi="Cambria"/>
          <w:lang w:val="en-US"/>
        </w:rPr>
        <w:t>s</w:t>
      </w:r>
      <w:r w:rsidR="00736DEF" w:rsidRPr="006C6C80">
        <w:rPr>
          <w:rFonts w:ascii="Cambria" w:hAnsi="Cambria"/>
          <w:lang w:val="en-US"/>
        </w:rPr>
        <w:t xml:space="preserve"> subsequently indicated that the Judiciary, represented by the Office of the Attorney General of the Nation, filed various challenges for the purpose of preventing the collective </w:t>
      </w:r>
      <w:r w:rsidR="001E35B9" w:rsidRPr="006C6C80">
        <w:rPr>
          <w:rFonts w:ascii="Cambria" w:hAnsi="Cambria"/>
          <w:lang w:val="en-US"/>
        </w:rPr>
        <w:t>dispute</w:t>
      </w:r>
      <w:r w:rsidR="00736DEF" w:rsidRPr="006C6C80">
        <w:rPr>
          <w:rFonts w:ascii="Cambria" w:hAnsi="Cambria"/>
          <w:lang w:val="en-US"/>
        </w:rPr>
        <w:t xml:space="preserve"> from </w:t>
      </w:r>
      <w:r w:rsidR="006C6C80">
        <w:rPr>
          <w:rFonts w:ascii="Cambria" w:hAnsi="Cambria"/>
          <w:lang w:val="en-US"/>
        </w:rPr>
        <w:t>being pursued.</w:t>
      </w:r>
    </w:p>
    <w:p w:rsidR="005C4459" w:rsidRPr="006C6C80" w:rsidRDefault="005C4459" w:rsidP="00B54921">
      <w:pPr>
        <w:pStyle w:val="ListParagraph"/>
        <w:tabs>
          <w:tab w:val="left" w:pos="720"/>
        </w:tabs>
      </w:pPr>
    </w:p>
    <w:p w:rsidR="005C4459" w:rsidRPr="006C6C80" w:rsidRDefault="001E35B9" w:rsidP="00B54921">
      <w:pPr>
        <w:pStyle w:val="parrafos"/>
        <w:numPr>
          <w:ilvl w:val="0"/>
          <w:numId w:val="56"/>
        </w:numPr>
        <w:tabs>
          <w:tab w:val="left" w:pos="720"/>
        </w:tabs>
        <w:ind w:left="0" w:firstLine="0"/>
        <w:rPr>
          <w:rFonts w:cs="Arial"/>
          <w:lang w:val="en-US"/>
        </w:rPr>
      </w:pPr>
      <w:r w:rsidRPr="006C6C80">
        <w:rPr>
          <w:rFonts w:ascii="Cambria" w:hAnsi="Cambria"/>
          <w:lang w:val="en-US"/>
        </w:rPr>
        <w:t>They</w:t>
      </w:r>
      <w:r w:rsidR="00736DEF" w:rsidRPr="006C6C80">
        <w:rPr>
          <w:rFonts w:ascii="Cambria" w:hAnsi="Cambria"/>
          <w:lang w:val="en-US"/>
        </w:rPr>
        <w:t xml:space="preserve"> pointed out that, on November 28,</w:t>
      </w:r>
      <w:r w:rsidR="00610511" w:rsidRPr="006C6C80">
        <w:rPr>
          <w:rFonts w:ascii="Cambria" w:hAnsi="Cambria"/>
          <w:lang w:val="en-US"/>
        </w:rPr>
        <w:t xml:space="preserve"> 199</w:t>
      </w:r>
      <w:r w:rsidR="00E336EF" w:rsidRPr="006C6C80">
        <w:rPr>
          <w:rFonts w:ascii="Cambria" w:hAnsi="Cambria"/>
          <w:lang w:val="en-US"/>
        </w:rPr>
        <w:t>5</w:t>
      </w:r>
      <w:r w:rsidR="00736DEF" w:rsidRPr="006C6C80">
        <w:rPr>
          <w:rFonts w:ascii="Cambria" w:hAnsi="Cambria"/>
          <w:lang w:val="en-US"/>
        </w:rPr>
        <w:t xml:space="preserve">, the </w:t>
      </w:r>
      <w:r w:rsidR="006C6C80">
        <w:rPr>
          <w:rFonts w:ascii="Cambria" w:hAnsi="Cambria"/>
          <w:lang w:val="en-US"/>
        </w:rPr>
        <w:t>F</w:t>
      </w:r>
      <w:r w:rsidRPr="006C6C80">
        <w:rPr>
          <w:rFonts w:ascii="Cambria" w:hAnsi="Cambria"/>
          <w:lang w:val="en-US"/>
        </w:rPr>
        <w:t xml:space="preserve">irst </w:t>
      </w:r>
      <w:r w:rsidR="006C6C80">
        <w:rPr>
          <w:rFonts w:ascii="Cambria" w:hAnsi="Cambria"/>
          <w:lang w:val="en-US"/>
        </w:rPr>
        <w:t>C</w:t>
      </w:r>
      <w:r w:rsidRPr="006C6C80">
        <w:rPr>
          <w:rFonts w:ascii="Cambria" w:hAnsi="Cambria"/>
          <w:lang w:val="en-US"/>
        </w:rPr>
        <w:t>hamber of the</w:t>
      </w:r>
      <w:r w:rsidR="00736DEF" w:rsidRPr="006C6C80">
        <w:rPr>
          <w:rFonts w:ascii="Cambria" w:hAnsi="Cambria"/>
          <w:lang w:val="en-US"/>
        </w:rPr>
        <w:t xml:space="preserve"> Labor and Social Welfare</w:t>
      </w:r>
      <w:r w:rsidRPr="006C6C80">
        <w:rPr>
          <w:rFonts w:ascii="Cambria" w:hAnsi="Cambria"/>
          <w:lang w:val="en-US"/>
        </w:rPr>
        <w:t xml:space="preserve"> Appeals Court</w:t>
      </w:r>
      <w:r w:rsidR="00261802" w:rsidRPr="006C6C80">
        <w:rPr>
          <w:rFonts w:ascii="Cambria" w:hAnsi="Cambria"/>
          <w:lang w:val="en-US"/>
        </w:rPr>
        <w:t xml:space="preserve"> ruled that direct proceedings had been </w:t>
      </w:r>
      <w:r w:rsidR="00736DEF" w:rsidRPr="006C6C80">
        <w:rPr>
          <w:rFonts w:ascii="Cambria" w:hAnsi="Cambria"/>
          <w:lang w:val="en-US"/>
        </w:rPr>
        <w:t xml:space="preserve">exhausted and, therefore, on December 12, 1995, a Court of </w:t>
      </w:r>
      <w:r w:rsidR="0056182C" w:rsidRPr="006C6C80">
        <w:rPr>
          <w:rFonts w:ascii="Cambria" w:hAnsi="Cambria"/>
          <w:lang w:val="en-US"/>
        </w:rPr>
        <w:t>Conciliation</w:t>
      </w:r>
      <w:r w:rsidR="00736DEF" w:rsidRPr="006C6C80">
        <w:rPr>
          <w:rFonts w:ascii="Cambria" w:hAnsi="Cambria"/>
          <w:lang w:val="en-US"/>
        </w:rPr>
        <w:t xml:space="preserve"> was establish</w:t>
      </w:r>
      <w:r w:rsidRPr="006C6C80">
        <w:rPr>
          <w:rFonts w:ascii="Cambria" w:hAnsi="Cambria"/>
          <w:lang w:val="en-US"/>
        </w:rPr>
        <w:t>ed</w:t>
      </w:r>
      <w:r w:rsidR="00736DEF" w:rsidRPr="006C6C80">
        <w:rPr>
          <w:rFonts w:ascii="Cambria" w:hAnsi="Cambria"/>
          <w:lang w:val="en-US"/>
        </w:rPr>
        <w:t>, a pro</w:t>
      </w:r>
      <w:r w:rsidRPr="006C6C80">
        <w:rPr>
          <w:rFonts w:ascii="Cambria" w:hAnsi="Cambria"/>
          <w:lang w:val="en-US"/>
        </w:rPr>
        <w:t xml:space="preserve">cedure required by law when </w:t>
      </w:r>
      <w:r w:rsidR="00736DEF" w:rsidRPr="006C6C80">
        <w:rPr>
          <w:rFonts w:ascii="Cambria" w:hAnsi="Cambria"/>
          <w:lang w:val="en-US"/>
        </w:rPr>
        <w:t xml:space="preserve">direct recourse is unsuccessful. </w:t>
      </w:r>
      <w:r w:rsidRPr="006C6C80">
        <w:rPr>
          <w:rFonts w:ascii="Cambria" w:hAnsi="Cambria"/>
          <w:lang w:val="en-US"/>
        </w:rPr>
        <w:t>They</w:t>
      </w:r>
      <w:r w:rsidR="00736DEF" w:rsidRPr="006C6C80">
        <w:rPr>
          <w:rFonts w:ascii="Cambria" w:hAnsi="Cambria"/>
          <w:lang w:val="en-US"/>
        </w:rPr>
        <w:t xml:space="preserve"> indicate</w:t>
      </w:r>
      <w:r w:rsidRPr="006C6C80">
        <w:rPr>
          <w:rFonts w:ascii="Cambria" w:hAnsi="Cambria"/>
          <w:lang w:val="en-US"/>
        </w:rPr>
        <w:t>d</w:t>
      </w:r>
      <w:r w:rsidR="00736DEF" w:rsidRPr="006C6C80">
        <w:rPr>
          <w:rFonts w:ascii="Cambria" w:hAnsi="Cambria"/>
          <w:lang w:val="en-US"/>
        </w:rPr>
        <w:t xml:space="preserve"> that, on February 14, 1996, the Court of </w:t>
      </w:r>
      <w:r w:rsidR="0056182C" w:rsidRPr="006C6C80">
        <w:rPr>
          <w:rFonts w:ascii="Cambria" w:hAnsi="Cambria"/>
          <w:lang w:val="en-US"/>
        </w:rPr>
        <w:t>Conciliation</w:t>
      </w:r>
      <w:r w:rsidR="00736DEF" w:rsidRPr="006C6C80">
        <w:rPr>
          <w:rFonts w:ascii="Cambria" w:hAnsi="Cambria"/>
          <w:lang w:val="en-US"/>
        </w:rPr>
        <w:t xml:space="preserve"> made recommendations to the parties, suggesting certain modifications to the new draft of the proposed agreement</w:t>
      </w:r>
      <w:r w:rsidR="004C6DC2" w:rsidRPr="006C6C80">
        <w:rPr>
          <w:rFonts w:ascii="Cambria" w:hAnsi="Cambria"/>
          <w:lang w:val="en-US"/>
        </w:rPr>
        <w:t>.</w:t>
      </w:r>
    </w:p>
    <w:p w:rsidR="005C4459" w:rsidRPr="006C6C80" w:rsidRDefault="005C4459" w:rsidP="00B54921">
      <w:pPr>
        <w:pStyle w:val="ListParagraph"/>
        <w:tabs>
          <w:tab w:val="left" w:pos="720"/>
        </w:tabs>
      </w:pPr>
    </w:p>
    <w:p w:rsidR="005C4459" w:rsidRPr="006C6C80" w:rsidRDefault="001E35B9" w:rsidP="00B54921">
      <w:pPr>
        <w:pStyle w:val="parrafos"/>
        <w:numPr>
          <w:ilvl w:val="0"/>
          <w:numId w:val="56"/>
        </w:numPr>
        <w:tabs>
          <w:tab w:val="left" w:pos="720"/>
        </w:tabs>
        <w:ind w:left="0" w:firstLine="0"/>
        <w:rPr>
          <w:rFonts w:cs="Arial"/>
          <w:lang w:val="en-US"/>
        </w:rPr>
      </w:pPr>
      <w:r w:rsidRPr="006C6C80">
        <w:rPr>
          <w:rFonts w:ascii="Cambria" w:hAnsi="Cambria"/>
          <w:lang w:val="en-US"/>
        </w:rPr>
        <w:t>They</w:t>
      </w:r>
      <w:r w:rsidR="00736DEF" w:rsidRPr="006C6C80">
        <w:rPr>
          <w:rFonts w:ascii="Cambria" w:hAnsi="Cambria"/>
          <w:lang w:val="en-US"/>
        </w:rPr>
        <w:t xml:space="preserve"> in</w:t>
      </w:r>
      <w:r w:rsidR="00934011" w:rsidRPr="006C6C80">
        <w:rPr>
          <w:rFonts w:ascii="Cambria" w:hAnsi="Cambria"/>
          <w:lang w:val="en-US"/>
        </w:rPr>
        <w:t>d</w:t>
      </w:r>
      <w:r w:rsidR="00736DEF" w:rsidRPr="006C6C80">
        <w:rPr>
          <w:rFonts w:ascii="Cambria" w:hAnsi="Cambria"/>
          <w:lang w:val="en-US"/>
        </w:rPr>
        <w:t xml:space="preserve">icated that, on February 15, 1996, the Court ruled that the </w:t>
      </w:r>
      <w:r w:rsidR="0056182C" w:rsidRPr="006C6C80">
        <w:rPr>
          <w:rFonts w:ascii="Cambria" w:hAnsi="Cambria"/>
          <w:lang w:val="en-US"/>
        </w:rPr>
        <w:t>conciliation</w:t>
      </w:r>
      <w:r w:rsidR="00736DEF" w:rsidRPr="006C6C80">
        <w:rPr>
          <w:rFonts w:ascii="Cambria" w:hAnsi="Cambria"/>
          <w:lang w:val="en-US"/>
        </w:rPr>
        <w:t xml:space="preserve"> proceeding had concluded, </w:t>
      </w:r>
      <w:r w:rsidRPr="006C6C80">
        <w:rPr>
          <w:rFonts w:ascii="Cambria" w:hAnsi="Cambria"/>
          <w:lang w:val="en-US"/>
        </w:rPr>
        <w:t xml:space="preserve">because the parties had failed to </w:t>
      </w:r>
      <w:r w:rsidR="00934011" w:rsidRPr="006C6C80">
        <w:rPr>
          <w:rFonts w:ascii="Cambria" w:hAnsi="Cambria"/>
          <w:lang w:val="en-US"/>
        </w:rPr>
        <w:t>agree</w:t>
      </w:r>
      <w:r w:rsidRPr="006C6C80">
        <w:rPr>
          <w:rFonts w:ascii="Cambria" w:hAnsi="Cambria"/>
          <w:lang w:val="en-US"/>
        </w:rPr>
        <w:t xml:space="preserve"> to follow</w:t>
      </w:r>
      <w:r w:rsidR="00934011" w:rsidRPr="006C6C80">
        <w:rPr>
          <w:rFonts w:ascii="Cambria" w:hAnsi="Cambria"/>
          <w:lang w:val="en-US"/>
        </w:rPr>
        <w:t xml:space="preserve"> the recommendations from the proposals made by said court</w:t>
      </w:r>
      <w:r w:rsidR="00311850" w:rsidRPr="006C6C80">
        <w:rPr>
          <w:rFonts w:ascii="Cambria" w:hAnsi="Cambria"/>
          <w:lang w:val="en-US"/>
        </w:rPr>
        <w:t>.</w:t>
      </w:r>
    </w:p>
    <w:p w:rsidR="005C4459" w:rsidRPr="006C6C80" w:rsidRDefault="005C4459" w:rsidP="00B54921">
      <w:pPr>
        <w:pStyle w:val="parrafos"/>
        <w:tabs>
          <w:tab w:val="left" w:pos="720"/>
        </w:tabs>
        <w:rPr>
          <w:rFonts w:cs="Arial"/>
          <w:lang w:val="en-US"/>
        </w:rPr>
      </w:pPr>
    </w:p>
    <w:p w:rsidR="005C4459" w:rsidRPr="006C6C80" w:rsidRDefault="001E35B9" w:rsidP="00B54921">
      <w:pPr>
        <w:pStyle w:val="parrafos"/>
        <w:numPr>
          <w:ilvl w:val="0"/>
          <w:numId w:val="56"/>
        </w:numPr>
        <w:tabs>
          <w:tab w:val="left" w:pos="720"/>
        </w:tabs>
        <w:ind w:left="0" w:firstLine="0"/>
        <w:rPr>
          <w:rFonts w:cs="Arial"/>
          <w:lang w:val="en-US"/>
        </w:rPr>
      </w:pPr>
      <w:r w:rsidRPr="006C6C80">
        <w:rPr>
          <w:rFonts w:ascii="Cambria" w:hAnsi="Cambria"/>
          <w:lang w:val="en-US"/>
        </w:rPr>
        <w:t>They</w:t>
      </w:r>
      <w:r w:rsidR="00934011" w:rsidRPr="006C6C80">
        <w:rPr>
          <w:rFonts w:ascii="Cambria" w:hAnsi="Cambria"/>
          <w:lang w:val="en-US"/>
        </w:rPr>
        <w:t xml:space="preserve"> argued that, on February 16, 1886, the Union submitted a </w:t>
      </w:r>
      <w:r w:rsidR="0056182C" w:rsidRPr="006C6C80">
        <w:rPr>
          <w:rFonts w:ascii="Cambria" w:hAnsi="Cambria"/>
          <w:lang w:val="en-US"/>
        </w:rPr>
        <w:t>brief to the First Chamber</w:t>
      </w:r>
      <w:r w:rsidRPr="006C6C80">
        <w:rPr>
          <w:rFonts w:ascii="Cambria" w:hAnsi="Cambria"/>
          <w:lang w:val="en-US"/>
        </w:rPr>
        <w:t xml:space="preserve"> of the Labor </w:t>
      </w:r>
      <w:r w:rsidR="00934011" w:rsidRPr="006C6C80">
        <w:rPr>
          <w:rFonts w:ascii="Cambria" w:hAnsi="Cambria"/>
          <w:lang w:val="en-US"/>
        </w:rPr>
        <w:t xml:space="preserve">and Social Welfare </w:t>
      </w:r>
      <w:r w:rsidRPr="006C6C80">
        <w:rPr>
          <w:rFonts w:ascii="Cambria" w:hAnsi="Cambria"/>
          <w:lang w:val="en-US"/>
        </w:rPr>
        <w:t xml:space="preserve">Appeals </w:t>
      </w:r>
      <w:r w:rsidR="00934011" w:rsidRPr="006C6C80">
        <w:rPr>
          <w:rFonts w:ascii="Cambria" w:hAnsi="Cambria"/>
          <w:lang w:val="en-US"/>
        </w:rPr>
        <w:t>Court so t</w:t>
      </w:r>
      <w:r w:rsidR="00881967" w:rsidRPr="006C6C80">
        <w:rPr>
          <w:rFonts w:ascii="Cambria" w:hAnsi="Cambria"/>
          <w:lang w:val="en-US"/>
        </w:rPr>
        <w:t>hat the General Labor Inspect</w:t>
      </w:r>
      <w:r w:rsidRPr="006C6C80">
        <w:rPr>
          <w:rFonts w:ascii="Cambria" w:hAnsi="Cambria"/>
          <w:lang w:val="en-US"/>
        </w:rPr>
        <w:t>orate</w:t>
      </w:r>
      <w:r w:rsidR="00934011" w:rsidRPr="006C6C80">
        <w:rPr>
          <w:rFonts w:ascii="Cambria" w:hAnsi="Cambria"/>
          <w:lang w:val="en-US"/>
        </w:rPr>
        <w:t xml:space="preserve"> would proceed to ascertain, by counting, if the employees who started the labor </w:t>
      </w:r>
      <w:r w:rsidRPr="006C6C80">
        <w:rPr>
          <w:rFonts w:ascii="Cambria" w:hAnsi="Cambria"/>
          <w:lang w:val="en-US"/>
        </w:rPr>
        <w:t>dispute</w:t>
      </w:r>
      <w:r w:rsidR="00934011" w:rsidRPr="006C6C80">
        <w:rPr>
          <w:rFonts w:ascii="Cambria" w:hAnsi="Cambria"/>
          <w:lang w:val="en-US"/>
        </w:rPr>
        <w:t xml:space="preserve"> </w:t>
      </w:r>
      <w:r w:rsidR="00B36E05">
        <w:rPr>
          <w:rFonts w:ascii="Cambria" w:hAnsi="Cambria"/>
          <w:lang w:val="en-US"/>
        </w:rPr>
        <w:t>accounted for</w:t>
      </w:r>
      <w:r w:rsidR="00934011" w:rsidRPr="006C6C80">
        <w:rPr>
          <w:rFonts w:ascii="Cambria" w:hAnsi="Cambria"/>
          <w:lang w:val="en-US"/>
        </w:rPr>
        <w:t xml:space="preserve"> at least two thirds of the Judiciary in order to declare that the strike was </w:t>
      </w:r>
      <w:r w:rsidR="0056182C" w:rsidRPr="006C6C80">
        <w:rPr>
          <w:rFonts w:ascii="Cambria" w:hAnsi="Cambria"/>
          <w:lang w:val="en-US"/>
        </w:rPr>
        <w:t>lawful</w:t>
      </w:r>
      <w:r w:rsidR="00934011" w:rsidRPr="006C6C80">
        <w:rPr>
          <w:rFonts w:ascii="Cambria" w:hAnsi="Cambria"/>
          <w:lang w:val="en-US"/>
        </w:rPr>
        <w:t xml:space="preserve"> as required by the Labor Code</w:t>
      </w:r>
      <w:r w:rsidR="00830459" w:rsidRPr="006C6C80">
        <w:rPr>
          <w:rFonts w:ascii="Cambria" w:hAnsi="Cambria"/>
          <w:lang w:val="en-US"/>
        </w:rPr>
        <w:t>.</w:t>
      </w:r>
    </w:p>
    <w:p w:rsidR="00934011" w:rsidRPr="006C6C80" w:rsidRDefault="00934011" w:rsidP="00934011">
      <w:pPr>
        <w:pStyle w:val="parrafos"/>
        <w:tabs>
          <w:tab w:val="left" w:pos="720"/>
        </w:tabs>
        <w:rPr>
          <w:rFonts w:cs="Arial"/>
          <w:lang w:val="en-US"/>
        </w:rPr>
      </w:pPr>
    </w:p>
    <w:p w:rsidR="005C4459" w:rsidRPr="006C6C80" w:rsidRDefault="001E35B9" w:rsidP="00B54921">
      <w:pPr>
        <w:pStyle w:val="parrafos"/>
        <w:numPr>
          <w:ilvl w:val="0"/>
          <w:numId w:val="56"/>
        </w:numPr>
        <w:tabs>
          <w:tab w:val="left" w:pos="720"/>
        </w:tabs>
        <w:ind w:left="0" w:firstLine="0"/>
        <w:rPr>
          <w:rFonts w:cs="Arial"/>
          <w:lang w:val="en-US"/>
        </w:rPr>
      </w:pPr>
      <w:r w:rsidRPr="006C6C80">
        <w:rPr>
          <w:rFonts w:ascii="Cambria" w:hAnsi="Cambria"/>
          <w:lang w:val="en-US"/>
        </w:rPr>
        <w:t>They</w:t>
      </w:r>
      <w:r w:rsidR="00934011" w:rsidRPr="006C6C80">
        <w:rPr>
          <w:rFonts w:ascii="Cambria" w:hAnsi="Cambria"/>
          <w:lang w:val="en-US"/>
        </w:rPr>
        <w:t xml:space="preserve"> pointed out that subsequently the Judiciary filed a brief indicat</w:t>
      </w:r>
      <w:r w:rsidRPr="006C6C80">
        <w:rPr>
          <w:rFonts w:ascii="Cambria" w:hAnsi="Cambria"/>
          <w:lang w:val="en-US"/>
        </w:rPr>
        <w:t>ing</w:t>
      </w:r>
      <w:r w:rsidR="00934011" w:rsidRPr="006C6C80">
        <w:rPr>
          <w:rFonts w:ascii="Cambria" w:hAnsi="Cambria"/>
          <w:lang w:val="en-US"/>
        </w:rPr>
        <w:t xml:space="preserve"> that </w:t>
      </w:r>
      <w:r w:rsidRPr="006C6C80">
        <w:rPr>
          <w:rFonts w:ascii="Cambria" w:hAnsi="Cambria"/>
          <w:lang w:val="en-US"/>
        </w:rPr>
        <w:t>the only way to settle the dispute</w:t>
      </w:r>
      <w:r w:rsidR="00934011" w:rsidRPr="006C6C80">
        <w:rPr>
          <w:rFonts w:ascii="Cambria" w:hAnsi="Cambria"/>
          <w:lang w:val="en-US"/>
        </w:rPr>
        <w:t xml:space="preserve"> was by means of arbitration</w:t>
      </w:r>
      <w:r w:rsidR="00A845F7" w:rsidRPr="006C6C80">
        <w:rPr>
          <w:rFonts w:ascii="Cambria" w:hAnsi="Cambria"/>
          <w:lang w:val="en-US"/>
        </w:rPr>
        <w:t xml:space="preserve">. </w:t>
      </w:r>
    </w:p>
    <w:p w:rsidR="005C4459" w:rsidRPr="006C6C80" w:rsidRDefault="005C4459" w:rsidP="00B54921">
      <w:pPr>
        <w:pStyle w:val="parrafos"/>
        <w:tabs>
          <w:tab w:val="left" w:pos="720"/>
        </w:tabs>
        <w:rPr>
          <w:rFonts w:cs="Arial"/>
          <w:lang w:val="en-US"/>
        </w:rPr>
      </w:pPr>
    </w:p>
    <w:p w:rsidR="005C4459" w:rsidRPr="006C6C80" w:rsidRDefault="001E35B9" w:rsidP="00B54921">
      <w:pPr>
        <w:pStyle w:val="parrafos"/>
        <w:numPr>
          <w:ilvl w:val="0"/>
          <w:numId w:val="56"/>
        </w:numPr>
        <w:tabs>
          <w:tab w:val="left" w:pos="720"/>
        </w:tabs>
        <w:ind w:left="0" w:firstLine="0"/>
        <w:rPr>
          <w:rFonts w:cs="Arial"/>
          <w:lang w:val="en-US"/>
        </w:rPr>
      </w:pPr>
      <w:r w:rsidRPr="006C6C80">
        <w:rPr>
          <w:rFonts w:ascii="Cambria" w:hAnsi="Cambria"/>
          <w:lang w:val="en-US"/>
        </w:rPr>
        <w:lastRenderedPageBreak/>
        <w:t>They</w:t>
      </w:r>
      <w:r w:rsidR="00934011" w:rsidRPr="006C6C80">
        <w:rPr>
          <w:rFonts w:ascii="Cambria" w:hAnsi="Cambria"/>
          <w:lang w:val="en-US"/>
        </w:rPr>
        <w:t xml:space="preserve"> alleged that, on March 19, 1996, </w:t>
      </w:r>
      <w:r w:rsidR="00C4756E">
        <w:rPr>
          <w:rFonts w:ascii="Cambria" w:hAnsi="Cambria"/>
          <w:lang w:val="en-US"/>
        </w:rPr>
        <w:t>although</w:t>
      </w:r>
      <w:r w:rsidR="00934011" w:rsidRPr="006C6C80">
        <w:rPr>
          <w:rFonts w:ascii="Cambria" w:hAnsi="Cambria"/>
          <w:lang w:val="en-US"/>
        </w:rPr>
        <w:t xml:space="preserve"> the </w:t>
      </w:r>
      <w:r w:rsidRPr="006C6C80">
        <w:rPr>
          <w:rFonts w:ascii="Cambria" w:hAnsi="Cambria"/>
          <w:lang w:val="en-US"/>
        </w:rPr>
        <w:t>strike’s</w:t>
      </w:r>
      <w:r w:rsidR="00C4756E">
        <w:rPr>
          <w:rFonts w:ascii="Cambria" w:hAnsi="Cambria"/>
          <w:lang w:val="en-US"/>
        </w:rPr>
        <w:t xml:space="preserve"> </w:t>
      </w:r>
      <w:r w:rsidR="00934011" w:rsidRPr="006C6C80">
        <w:rPr>
          <w:rFonts w:ascii="Cambria" w:hAnsi="Cambria"/>
          <w:lang w:val="en-US"/>
        </w:rPr>
        <w:t xml:space="preserve">legitimacy had </w:t>
      </w:r>
      <w:r w:rsidR="00C4756E">
        <w:rPr>
          <w:rFonts w:ascii="Cambria" w:hAnsi="Cambria"/>
          <w:lang w:val="en-US"/>
        </w:rPr>
        <w:t>not yet been decided on by the F</w:t>
      </w:r>
      <w:r w:rsidR="00044A81" w:rsidRPr="006C6C80">
        <w:rPr>
          <w:rFonts w:ascii="Cambria" w:hAnsi="Cambria"/>
          <w:lang w:val="en-US"/>
        </w:rPr>
        <w:t xml:space="preserve">irst </w:t>
      </w:r>
      <w:r w:rsidR="00C4756E">
        <w:rPr>
          <w:rFonts w:ascii="Cambria" w:hAnsi="Cambria"/>
          <w:lang w:val="en-US"/>
        </w:rPr>
        <w:t>C</w:t>
      </w:r>
      <w:r w:rsidR="00044A81" w:rsidRPr="006C6C80">
        <w:rPr>
          <w:rFonts w:ascii="Cambria" w:hAnsi="Cambria"/>
          <w:lang w:val="en-US"/>
        </w:rPr>
        <w:t>hamber of the Appeal</w:t>
      </w:r>
      <w:r w:rsidR="00C4756E">
        <w:rPr>
          <w:rFonts w:ascii="Cambria" w:hAnsi="Cambria"/>
          <w:lang w:val="en-US"/>
        </w:rPr>
        <w:t>s</w:t>
      </w:r>
      <w:r w:rsidR="00044A81" w:rsidRPr="006C6C80">
        <w:rPr>
          <w:rFonts w:ascii="Cambria" w:hAnsi="Cambria"/>
          <w:lang w:val="en-US"/>
        </w:rPr>
        <w:t xml:space="preserve"> Court</w:t>
      </w:r>
      <w:r w:rsidR="00A120F1" w:rsidRPr="006C6C80">
        <w:rPr>
          <w:rFonts w:ascii="Cambria" w:hAnsi="Cambria"/>
          <w:lang w:val="en-US"/>
        </w:rPr>
        <w:t>, c</w:t>
      </w:r>
      <w:r w:rsidR="00934011" w:rsidRPr="006C6C80">
        <w:rPr>
          <w:rFonts w:ascii="Cambria" w:hAnsi="Cambria"/>
          <w:lang w:val="en-US"/>
        </w:rPr>
        <w:t>ertain</w:t>
      </w:r>
      <w:r w:rsidR="00C4756E">
        <w:rPr>
          <w:rFonts w:ascii="Cambria" w:hAnsi="Cambria"/>
          <w:lang w:val="en-US"/>
        </w:rPr>
        <w:t xml:space="preserve"> workers </w:t>
      </w:r>
      <w:r w:rsidR="00934011" w:rsidRPr="006C6C80">
        <w:rPr>
          <w:rFonts w:ascii="Cambria" w:hAnsi="Cambria"/>
          <w:lang w:val="en-US"/>
        </w:rPr>
        <w:t>of the STOJ went on strike</w:t>
      </w:r>
      <w:r w:rsidR="00044A81" w:rsidRPr="006C6C80">
        <w:rPr>
          <w:rFonts w:ascii="Cambria" w:hAnsi="Cambria"/>
          <w:lang w:val="en-US"/>
        </w:rPr>
        <w:t xml:space="preserve">, which extended to April 2 of </w:t>
      </w:r>
      <w:r w:rsidR="00934011" w:rsidRPr="006C6C80">
        <w:rPr>
          <w:rFonts w:ascii="Cambria" w:hAnsi="Cambria"/>
          <w:lang w:val="en-US"/>
        </w:rPr>
        <w:t>that same year</w:t>
      </w:r>
      <w:r w:rsidR="00295975" w:rsidRPr="006C6C80">
        <w:rPr>
          <w:rFonts w:ascii="Cambria" w:hAnsi="Cambria"/>
          <w:lang w:val="en-US"/>
        </w:rPr>
        <w:t>.</w:t>
      </w:r>
      <w:r w:rsidR="00C66564" w:rsidRPr="006C6C80">
        <w:rPr>
          <w:rFonts w:ascii="Cambria" w:hAnsi="Cambria"/>
          <w:lang w:val="en-US"/>
        </w:rPr>
        <w:t xml:space="preserve"> </w:t>
      </w:r>
      <w:r w:rsidR="00044A81" w:rsidRPr="006C6C80">
        <w:rPr>
          <w:rFonts w:ascii="Cambria" w:hAnsi="Cambria"/>
          <w:lang w:val="en-US"/>
        </w:rPr>
        <w:t>They</w:t>
      </w:r>
      <w:r w:rsidR="00934011" w:rsidRPr="006C6C80">
        <w:rPr>
          <w:rFonts w:ascii="Cambria" w:hAnsi="Cambria"/>
          <w:lang w:val="en-US"/>
        </w:rPr>
        <w:t xml:space="preserve"> indicated that, as a result, the Judiciary decided to stop paying the </w:t>
      </w:r>
      <w:r w:rsidR="00C4756E">
        <w:rPr>
          <w:rFonts w:ascii="Cambria" w:hAnsi="Cambria"/>
          <w:lang w:val="en-US"/>
        </w:rPr>
        <w:t>wages</w:t>
      </w:r>
      <w:r w:rsidR="00934011" w:rsidRPr="006C6C80">
        <w:rPr>
          <w:rFonts w:ascii="Cambria" w:hAnsi="Cambria"/>
          <w:lang w:val="en-US"/>
        </w:rPr>
        <w:t xml:space="preserve"> of the </w:t>
      </w:r>
      <w:r w:rsidR="009653AB">
        <w:rPr>
          <w:rFonts w:ascii="Cambria" w:hAnsi="Cambria"/>
          <w:lang w:val="en-US"/>
        </w:rPr>
        <w:t>striking employees</w:t>
      </w:r>
      <w:r w:rsidR="00255222" w:rsidRPr="006C6C80">
        <w:rPr>
          <w:rFonts w:ascii="Cambria" w:hAnsi="Cambria"/>
          <w:lang w:val="en-US"/>
        </w:rPr>
        <w:t xml:space="preserve">. </w:t>
      </w:r>
      <w:r w:rsidR="00044A81" w:rsidRPr="006C6C80">
        <w:rPr>
          <w:rFonts w:ascii="Cambria" w:hAnsi="Cambria"/>
          <w:lang w:val="en-US"/>
        </w:rPr>
        <w:t>They</w:t>
      </w:r>
      <w:r w:rsidR="00934011" w:rsidRPr="006C6C80">
        <w:rPr>
          <w:rFonts w:ascii="Cambria" w:hAnsi="Cambria"/>
          <w:lang w:val="en-US"/>
        </w:rPr>
        <w:t xml:space="preserve"> alleged that, in view of </w:t>
      </w:r>
      <w:r w:rsidR="009653AB">
        <w:rPr>
          <w:rFonts w:ascii="Cambria" w:hAnsi="Cambria"/>
          <w:lang w:val="en-US"/>
        </w:rPr>
        <w:t>this measure, the Union filed a motion</w:t>
      </w:r>
      <w:r w:rsidR="00934011" w:rsidRPr="006C6C80">
        <w:rPr>
          <w:rFonts w:ascii="Cambria" w:hAnsi="Cambria"/>
          <w:lang w:val="en-US"/>
        </w:rPr>
        <w:t xml:space="preserve"> for protection on constitutional grounds </w:t>
      </w:r>
      <w:r w:rsidR="00C4756E">
        <w:rPr>
          <w:rFonts w:ascii="Cambria" w:hAnsi="Cambria"/>
          <w:lang w:val="en-US"/>
        </w:rPr>
        <w:t>(</w:t>
      </w:r>
      <w:proofErr w:type="spellStart"/>
      <w:r w:rsidR="00C4756E" w:rsidRPr="00C4756E">
        <w:rPr>
          <w:rFonts w:ascii="Cambria" w:hAnsi="Cambria"/>
          <w:i/>
          <w:lang w:val="en-US"/>
        </w:rPr>
        <w:t>amparo</w:t>
      </w:r>
      <w:proofErr w:type="spellEnd"/>
      <w:r w:rsidR="00C4756E">
        <w:rPr>
          <w:rFonts w:ascii="Cambria" w:hAnsi="Cambria"/>
          <w:lang w:val="en-US"/>
        </w:rPr>
        <w:t>) with the Constitutional</w:t>
      </w:r>
      <w:r w:rsidR="00934011" w:rsidRPr="006C6C80">
        <w:rPr>
          <w:rFonts w:ascii="Cambria" w:hAnsi="Cambria"/>
          <w:lang w:val="en-US"/>
        </w:rPr>
        <w:t xml:space="preserve"> Court</w:t>
      </w:r>
      <w:r w:rsidR="00A96077" w:rsidRPr="006C6C80">
        <w:rPr>
          <w:rFonts w:ascii="Cambria" w:hAnsi="Cambria"/>
          <w:lang w:val="en-US"/>
        </w:rPr>
        <w:t xml:space="preserve">, </w:t>
      </w:r>
      <w:r w:rsidR="00934011" w:rsidRPr="006C6C80">
        <w:rPr>
          <w:rFonts w:ascii="Cambria" w:hAnsi="Cambria"/>
          <w:lang w:val="en-US"/>
        </w:rPr>
        <w:t>which ruled in its favor on April 2,</w:t>
      </w:r>
      <w:r w:rsidR="00A96077" w:rsidRPr="006C6C80">
        <w:rPr>
          <w:rFonts w:ascii="Cambria" w:hAnsi="Cambria"/>
          <w:lang w:val="en-US"/>
        </w:rPr>
        <w:t xml:space="preserve"> </w:t>
      </w:r>
      <w:r w:rsidR="00934011" w:rsidRPr="006C6C80">
        <w:rPr>
          <w:rFonts w:ascii="Cambria" w:hAnsi="Cambria"/>
          <w:lang w:val="en-US"/>
        </w:rPr>
        <w:t xml:space="preserve">1996, ordering said Court to pay the </w:t>
      </w:r>
      <w:r w:rsidR="00C4756E">
        <w:rPr>
          <w:rFonts w:ascii="Cambria" w:hAnsi="Cambria"/>
          <w:lang w:val="en-US"/>
        </w:rPr>
        <w:t>wages</w:t>
      </w:r>
      <w:r w:rsidR="009653AB">
        <w:rPr>
          <w:rFonts w:ascii="Cambria" w:hAnsi="Cambria"/>
          <w:lang w:val="en-US"/>
        </w:rPr>
        <w:t xml:space="preserve"> that had been withheld from</w:t>
      </w:r>
      <w:r w:rsidR="00934011" w:rsidRPr="006C6C80">
        <w:rPr>
          <w:rFonts w:ascii="Cambria" w:hAnsi="Cambria"/>
          <w:lang w:val="en-US"/>
        </w:rPr>
        <w:t xml:space="preserve"> the employees during March 1996</w:t>
      </w:r>
      <w:r w:rsidR="00711B38" w:rsidRPr="006C6C80">
        <w:rPr>
          <w:rFonts w:ascii="Cambria" w:hAnsi="Cambria"/>
          <w:lang w:val="en-US"/>
        </w:rPr>
        <w:t>,</w:t>
      </w:r>
      <w:r w:rsidR="00C4756E">
        <w:rPr>
          <w:rFonts w:ascii="Cambria" w:hAnsi="Cambria"/>
          <w:lang w:val="en-US"/>
        </w:rPr>
        <w:t xml:space="preserve"> provided</w:t>
      </w:r>
      <w:r w:rsidR="00711B38" w:rsidRPr="006C6C80">
        <w:rPr>
          <w:rFonts w:ascii="Cambria" w:hAnsi="Cambria"/>
          <w:lang w:val="en-US"/>
        </w:rPr>
        <w:t xml:space="preserve"> they w</w:t>
      </w:r>
      <w:r w:rsidR="00044A81" w:rsidRPr="006C6C80">
        <w:rPr>
          <w:rFonts w:ascii="Cambria" w:hAnsi="Cambria"/>
          <w:lang w:val="en-US"/>
        </w:rPr>
        <w:t>ent</w:t>
      </w:r>
      <w:r w:rsidR="00711B38" w:rsidRPr="006C6C80">
        <w:rPr>
          <w:rFonts w:ascii="Cambria" w:hAnsi="Cambria"/>
          <w:lang w:val="en-US"/>
        </w:rPr>
        <w:t xml:space="preserve"> back to work immediately</w:t>
      </w:r>
      <w:r w:rsidR="00255222" w:rsidRPr="006C6C80">
        <w:rPr>
          <w:rFonts w:ascii="Cambria" w:hAnsi="Cambria"/>
          <w:lang w:val="en-US"/>
        </w:rPr>
        <w:t xml:space="preserve">. </w:t>
      </w:r>
      <w:r w:rsidR="00044A81" w:rsidRPr="006C6C80">
        <w:rPr>
          <w:rFonts w:ascii="Cambria" w:hAnsi="Cambria"/>
          <w:lang w:val="en-US"/>
        </w:rPr>
        <w:t>They</w:t>
      </w:r>
      <w:r w:rsidR="00711B38" w:rsidRPr="006C6C80">
        <w:rPr>
          <w:rFonts w:ascii="Cambria" w:hAnsi="Cambria"/>
          <w:lang w:val="en-US"/>
        </w:rPr>
        <w:t xml:space="preserve"> pointed out th</w:t>
      </w:r>
      <w:r w:rsidR="00C4756E">
        <w:rPr>
          <w:rFonts w:ascii="Cambria" w:hAnsi="Cambria"/>
          <w:lang w:val="en-US"/>
        </w:rPr>
        <w:t xml:space="preserve">at, because of the above, the </w:t>
      </w:r>
      <w:r w:rsidR="009653AB">
        <w:rPr>
          <w:rFonts w:ascii="Cambria" w:hAnsi="Cambria"/>
          <w:lang w:val="en-US"/>
        </w:rPr>
        <w:t xml:space="preserve">striking </w:t>
      </w:r>
      <w:r w:rsidR="00C4756E">
        <w:rPr>
          <w:rFonts w:ascii="Cambria" w:hAnsi="Cambria"/>
          <w:lang w:val="en-US"/>
        </w:rPr>
        <w:t>employees</w:t>
      </w:r>
      <w:r w:rsidR="00711B38" w:rsidRPr="006C6C80">
        <w:rPr>
          <w:rFonts w:ascii="Cambria" w:hAnsi="Cambria"/>
          <w:lang w:val="en-US"/>
        </w:rPr>
        <w:t xml:space="preserve"> went back to work on April 8,</w:t>
      </w:r>
      <w:r w:rsidR="00812924" w:rsidRPr="006C6C80">
        <w:rPr>
          <w:rFonts w:ascii="Cambria" w:hAnsi="Cambria"/>
          <w:lang w:val="en-US"/>
        </w:rPr>
        <w:t xml:space="preserve"> 1996.  </w:t>
      </w:r>
    </w:p>
    <w:p w:rsidR="005C4459" w:rsidRPr="006C6C80" w:rsidRDefault="005C4459" w:rsidP="00B54921">
      <w:pPr>
        <w:pStyle w:val="ListParagraph"/>
        <w:tabs>
          <w:tab w:val="left" w:pos="720"/>
        </w:tabs>
      </w:pPr>
    </w:p>
    <w:p w:rsidR="005C4459" w:rsidRPr="006C6C80" w:rsidRDefault="00AC70B5" w:rsidP="00B54921">
      <w:pPr>
        <w:pStyle w:val="parrafos"/>
        <w:numPr>
          <w:ilvl w:val="0"/>
          <w:numId w:val="56"/>
        </w:numPr>
        <w:tabs>
          <w:tab w:val="left" w:pos="720"/>
        </w:tabs>
        <w:ind w:left="0" w:firstLine="0"/>
        <w:rPr>
          <w:rFonts w:cs="Arial"/>
          <w:lang w:val="en-US"/>
        </w:rPr>
      </w:pPr>
      <w:r w:rsidRPr="006C6C80">
        <w:rPr>
          <w:rFonts w:ascii="Cambria" w:hAnsi="Cambria"/>
          <w:lang w:val="en-US"/>
        </w:rPr>
        <w:t>The petitioner</w:t>
      </w:r>
      <w:r w:rsidR="00044A81" w:rsidRPr="006C6C80">
        <w:rPr>
          <w:rFonts w:ascii="Cambria" w:hAnsi="Cambria"/>
          <w:lang w:val="en-US"/>
        </w:rPr>
        <w:t>s</w:t>
      </w:r>
      <w:r w:rsidRPr="006C6C80">
        <w:rPr>
          <w:rFonts w:ascii="Cambria" w:hAnsi="Cambria"/>
          <w:lang w:val="en-US"/>
        </w:rPr>
        <w:t xml:space="preserve"> pointed </w:t>
      </w:r>
      <w:r w:rsidR="009653AB">
        <w:rPr>
          <w:rFonts w:ascii="Cambria" w:hAnsi="Cambria"/>
          <w:lang w:val="en-US"/>
        </w:rPr>
        <w:t>out that, on May 13, 1996, the F</w:t>
      </w:r>
      <w:r w:rsidR="00044A81" w:rsidRPr="006C6C80">
        <w:rPr>
          <w:rFonts w:ascii="Cambria" w:hAnsi="Cambria"/>
          <w:lang w:val="en-US"/>
        </w:rPr>
        <w:t xml:space="preserve">irst </w:t>
      </w:r>
      <w:r w:rsidR="009653AB">
        <w:rPr>
          <w:rFonts w:ascii="Cambria" w:hAnsi="Cambria"/>
          <w:lang w:val="en-US"/>
        </w:rPr>
        <w:t>C</w:t>
      </w:r>
      <w:r w:rsidRPr="006C6C80">
        <w:rPr>
          <w:rFonts w:ascii="Cambria" w:hAnsi="Cambria"/>
          <w:lang w:val="en-US"/>
        </w:rPr>
        <w:t>hamber of the Labor and So</w:t>
      </w:r>
      <w:r w:rsidR="00044A81" w:rsidRPr="006C6C80">
        <w:rPr>
          <w:rFonts w:ascii="Cambria" w:hAnsi="Cambria"/>
          <w:lang w:val="en-US"/>
        </w:rPr>
        <w:t>cial Welfare Appeals Court ruled</w:t>
      </w:r>
      <w:r w:rsidRPr="006C6C80">
        <w:rPr>
          <w:rFonts w:ascii="Cambria" w:hAnsi="Cambria"/>
          <w:lang w:val="en-US"/>
        </w:rPr>
        <w:t xml:space="preserve"> that the strik</w:t>
      </w:r>
      <w:r w:rsidR="009844E3">
        <w:rPr>
          <w:rFonts w:ascii="Cambria" w:hAnsi="Cambria"/>
          <w:lang w:val="en-US"/>
        </w:rPr>
        <w:t>e action</w:t>
      </w:r>
      <w:r w:rsidRPr="006C6C80">
        <w:rPr>
          <w:rFonts w:ascii="Cambria" w:hAnsi="Cambria"/>
          <w:lang w:val="en-US"/>
        </w:rPr>
        <w:t xml:space="preserve"> spearheaded by the STOJ between March 19 and April 2, 1996 was illegitimate and that the </w:t>
      </w:r>
      <w:r w:rsidR="00044A81" w:rsidRPr="006C6C80">
        <w:rPr>
          <w:rFonts w:ascii="Cambria" w:hAnsi="Cambria"/>
          <w:lang w:val="en-US"/>
        </w:rPr>
        <w:t>Supreme Court of Justice (</w:t>
      </w:r>
      <w:r w:rsidR="00044A81" w:rsidRPr="006C6C80">
        <w:rPr>
          <w:rFonts w:ascii="Cambria" w:hAnsi="Cambria"/>
          <w:i/>
          <w:lang w:val="en-US"/>
        </w:rPr>
        <w:t xml:space="preserve">Corte Suprema de </w:t>
      </w:r>
      <w:proofErr w:type="spellStart"/>
      <w:r w:rsidR="00044A81" w:rsidRPr="006C6C80">
        <w:rPr>
          <w:rFonts w:ascii="Cambria" w:hAnsi="Cambria"/>
          <w:i/>
          <w:lang w:val="en-US"/>
        </w:rPr>
        <w:t>Justicia</w:t>
      </w:r>
      <w:proofErr w:type="spellEnd"/>
      <w:r w:rsidR="00044A81" w:rsidRPr="006C6C80">
        <w:rPr>
          <w:rFonts w:ascii="Cambria" w:hAnsi="Cambria"/>
          <w:i/>
          <w:lang w:val="en-US"/>
        </w:rPr>
        <w:t>—</w:t>
      </w:r>
      <w:r w:rsidRPr="006C6C80">
        <w:rPr>
          <w:rFonts w:ascii="Cambria" w:hAnsi="Cambria"/>
          <w:i/>
          <w:lang w:val="en-US"/>
        </w:rPr>
        <w:t>CSJ</w:t>
      </w:r>
      <w:r w:rsidR="00044A81" w:rsidRPr="006C6C80">
        <w:rPr>
          <w:rFonts w:ascii="Cambria" w:hAnsi="Cambria"/>
          <w:lang w:val="en-US"/>
        </w:rPr>
        <w:t>)</w:t>
      </w:r>
      <w:r w:rsidRPr="006C6C80">
        <w:rPr>
          <w:rFonts w:ascii="Cambria" w:hAnsi="Cambria"/>
          <w:lang w:val="en-US"/>
        </w:rPr>
        <w:t xml:space="preserve"> had 20 days to determine who had participate</w:t>
      </w:r>
      <w:r w:rsidR="00044A81" w:rsidRPr="006C6C80">
        <w:rPr>
          <w:rFonts w:ascii="Cambria" w:hAnsi="Cambria"/>
          <w:lang w:val="en-US"/>
        </w:rPr>
        <w:t>d</w:t>
      </w:r>
      <w:r w:rsidR="009653AB">
        <w:rPr>
          <w:rFonts w:ascii="Cambria" w:hAnsi="Cambria"/>
          <w:lang w:val="en-US"/>
        </w:rPr>
        <w:t xml:space="preserve"> in the strike and</w:t>
      </w:r>
      <w:r w:rsidRPr="006C6C80">
        <w:rPr>
          <w:rFonts w:ascii="Cambria" w:hAnsi="Cambria"/>
          <w:lang w:val="en-US"/>
        </w:rPr>
        <w:t xml:space="preserve"> terminate their contracts</w:t>
      </w:r>
      <w:r w:rsidR="00BA2AE3" w:rsidRPr="006C6C80">
        <w:rPr>
          <w:lang w:val="en-US"/>
        </w:rPr>
        <w:t xml:space="preserve">. </w:t>
      </w:r>
      <w:r w:rsidRPr="006C6C80">
        <w:rPr>
          <w:lang w:val="en-US"/>
        </w:rPr>
        <w:t xml:space="preserve">It indicated </w:t>
      </w:r>
      <w:r w:rsidR="00044A81" w:rsidRPr="006C6C80">
        <w:rPr>
          <w:lang w:val="en-US"/>
        </w:rPr>
        <w:t>that the CSJ drafted a list bearing</w:t>
      </w:r>
      <w:r w:rsidRPr="006C6C80">
        <w:rPr>
          <w:lang w:val="en-US"/>
        </w:rPr>
        <w:t xml:space="preserve"> various inconsistencies, </w:t>
      </w:r>
      <w:r w:rsidR="006D0972" w:rsidRPr="006C6C80">
        <w:rPr>
          <w:lang w:val="en-US"/>
        </w:rPr>
        <w:t>because persons who had not participated in the strike appeared on the list</w:t>
      </w:r>
      <w:r w:rsidR="00E97CFA" w:rsidRPr="006C6C80">
        <w:rPr>
          <w:lang w:val="en-US"/>
        </w:rPr>
        <w:t xml:space="preserve">. </w:t>
      </w:r>
    </w:p>
    <w:p w:rsidR="005C4459" w:rsidRPr="006C6C80" w:rsidRDefault="005C4459" w:rsidP="00B54921">
      <w:pPr>
        <w:pStyle w:val="ListParagraph"/>
        <w:tabs>
          <w:tab w:val="left" w:pos="720"/>
        </w:tabs>
      </w:pPr>
    </w:p>
    <w:p w:rsidR="005C4459" w:rsidRPr="006C6C80" w:rsidRDefault="006D0972" w:rsidP="00B54921">
      <w:pPr>
        <w:pStyle w:val="parrafos"/>
        <w:numPr>
          <w:ilvl w:val="0"/>
          <w:numId w:val="56"/>
        </w:numPr>
        <w:tabs>
          <w:tab w:val="left" w:pos="720"/>
        </w:tabs>
        <w:ind w:left="0" w:firstLine="0"/>
        <w:rPr>
          <w:rFonts w:cs="Arial"/>
          <w:lang w:val="en-US"/>
        </w:rPr>
      </w:pPr>
      <w:r w:rsidRPr="006C6C80">
        <w:rPr>
          <w:lang w:val="en-US"/>
        </w:rPr>
        <w:t>The petitioner</w:t>
      </w:r>
      <w:r w:rsidR="00044A81" w:rsidRPr="006C6C80">
        <w:rPr>
          <w:lang w:val="en-US"/>
        </w:rPr>
        <w:t>s</w:t>
      </w:r>
      <w:r w:rsidRPr="006C6C80">
        <w:rPr>
          <w:lang w:val="en-US"/>
        </w:rPr>
        <w:t xml:space="preserve"> argued that, as of the year 1996 and for more than two years thereafter, they filed a serie</w:t>
      </w:r>
      <w:r w:rsidR="00044A81" w:rsidRPr="006C6C80">
        <w:rPr>
          <w:lang w:val="en-US"/>
        </w:rPr>
        <w:t>s of appeals to recuse all the c</w:t>
      </w:r>
      <w:r w:rsidRPr="006C6C80">
        <w:rPr>
          <w:lang w:val="en-US"/>
        </w:rPr>
        <w:t xml:space="preserve">hambers of the </w:t>
      </w:r>
      <w:r w:rsidR="00044A81" w:rsidRPr="006C6C80">
        <w:rPr>
          <w:lang w:val="en-US"/>
        </w:rPr>
        <w:t xml:space="preserve">Appeals </w:t>
      </w:r>
      <w:r w:rsidR="003178A7">
        <w:rPr>
          <w:lang w:val="en-US"/>
        </w:rPr>
        <w:t>Courts that had heard the proceedings on</w:t>
      </w:r>
      <w:r w:rsidR="00C70C59">
        <w:rPr>
          <w:lang w:val="en-US"/>
        </w:rPr>
        <w:t xml:space="preserve"> the strike as</w:t>
      </w:r>
      <w:r w:rsidRPr="006C6C80">
        <w:rPr>
          <w:lang w:val="en-US"/>
        </w:rPr>
        <w:t xml:space="preserve"> they deemed that their im</w:t>
      </w:r>
      <w:r w:rsidR="00C70C59">
        <w:rPr>
          <w:lang w:val="en-US"/>
        </w:rPr>
        <w:t>partiality had been compromised</w:t>
      </w:r>
      <w:r w:rsidRPr="006C6C80">
        <w:rPr>
          <w:lang w:val="en-US"/>
        </w:rPr>
        <w:t xml:space="preserve"> </w:t>
      </w:r>
      <w:r w:rsidR="00044A81" w:rsidRPr="006C6C80">
        <w:rPr>
          <w:lang w:val="en-US"/>
        </w:rPr>
        <w:t>because</w:t>
      </w:r>
      <w:r w:rsidRPr="006C6C80">
        <w:rPr>
          <w:lang w:val="en-US"/>
        </w:rPr>
        <w:t xml:space="preserve"> they were </w:t>
      </w:r>
      <w:r w:rsidR="0081284E">
        <w:rPr>
          <w:lang w:val="en-US"/>
        </w:rPr>
        <w:t>answerable to</w:t>
      </w:r>
      <w:r w:rsidRPr="006C6C80">
        <w:rPr>
          <w:lang w:val="en-US"/>
        </w:rPr>
        <w:t xml:space="preserve"> the Supreme Court of Justice</w:t>
      </w:r>
      <w:r w:rsidR="008852B6" w:rsidRPr="006C6C80">
        <w:rPr>
          <w:lang w:val="en-US"/>
        </w:rPr>
        <w:t xml:space="preserve">. </w:t>
      </w:r>
    </w:p>
    <w:p w:rsidR="005C4459" w:rsidRPr="006C6C80" w:rsidRDefault="005C4459" w:rsidP="00B54921">
      <w:pPr>
        <w:pStyle w:val="ListParagraph"/>
        <w:tabs>
          <w:tab w:val="left" w:pos="720"/>
        </w:tabs>
      </w:pPr>
    </w:p>
    <w:p w:rsidR="005C4459" w:rsidRPr="006C6C80" w:rsidRDefault="00044A81" w:rsidP="00B54921">
      <w:pPr>
        <w:pStyle w:val="parrafos"/>
        <w:numPr>
          <w:ilvl w:val="0"/>
          <w:numId w:val="56"/>
        </w:numPr>
        <w:tabs>
          <w:tab w:val="left" w:pos="720"/>
        </w:tabs>
        <w:ind w:left="0" w:firstLine="0"/>
        <w:rPr>
          <w:rFonts w:cs="Arial"/>
          <w:lang w:val="en-US"/>
        </w:rPr>
      </w:pPr>
      <w:r w:rsidRPr="006C6C80">
        <w:rPr>
          <w:lang w:val="en-US"/>
        </w:rPr>
        <w:t>They</w:t>
      </w:r>
      <w:r w:rsidR="00EB0E74" w:rsidRPr="006C6C80">
        <w:rPr>
          <w:lang w:val="en-US"/>
        </w:rPr>
        <w:t xml:space="preserve"> indicated that, as a result of the above, there was no competent court to settle the dispute, because the Supreme Court of Justice, which should have resolve</w:t>
      </w:r>
      <w:r w:rsidRPr="006C6C80">
        <w:rPr>
          <w:lang w:val="en-US"/>
        </w:rPr>
        <w:t>d</w:t>
      </w:r>
      <w:r w:rsidR="00EB0E74" w:rsidRPr="006C6C80">
        <w:rPr>
          <w:lang w:val="en-US"/>
        </w:rPr>
        <w:t xml:space="preserve"> the recusals</w:t>
      </w:r>
      <w:r w:rsidR="00B4300F" w:rsidRPr="006C6C80">
        <w:rPr>
          <w:lang w:val="en-US"/>
        </w:rPr>
        <w:t xml:space="preserve">, </w:t>
      </w:r>
      <w:r w:rsidR="00EB0E74" w:rsidRPr="006C6C80">
        <w:rPr>
          <w:lang w:val="en-US"/>
        </w:rPr>
        <w:t xml:space="preserve">was itself involved in the </w:t>
      </w:r>
      <w:r w:rsidR="00747D1A">
        <w:rPr>
          <w:lang w:val="en-US"/>
        </w:rPr>
        <w:t>dispute</w:t>
      </w:r>
      <w:r w:rsidR="005572BA" w:rsidRPr="006C6C80">
        <w:rPr>
          <w:lang w:val="en-US"/>
        </w:rPr>
        <w:t>.</w:t>
      </w:r>
    </w:p>
    <w:p w:rsidR="005C4459" w:rsidRPr="006C6C80" w:rsidRDefault="005C4459" w:rsidP="00B54921">
      <w:pPr>
        <w:pStyle w:val="ListParagraph"/>
        <w:tabs>
          <w:tab w:val="left" w:pos="720"/>
        </w:tabs>
      </w:pPr>
    </w:p>
    <w:p w:rsidR="005C4459" w:rsidRPr="006C6C80" w:rsidRDefault="00044A81" w:rsidP="00B54921">
      <w:pPr>
        <w:pStyle w:val="parrafos"/>
        <w:numPr>
          <w:ilvl w:val="0"/>
          <w:numId w:val="56"/>
        </w:numPr>
        <w:tabs>
          <w:tab w:val="left" w:pos="720"/>
        </w:tabs>
        <w:ind w:left="0" w:firstLine="0"/>
        <w:rPr>
          <w:rFonts w:cs="Arial"/>
          <w:lang w:val="en-US"/>
        </w:rPr>
      </w:pPr>
      <w:r w:rsidRPr="006C6C80">
        <w:rPr>
          <w:lang w:val="en-US"/>
        </w:rPr>
        <w:t>They</w:t>
      </w:r>
      <w:r w:rsidR="00EB0E74" w:rsidRPr="006C6C80">
        <w:rPr>
          <w:lang w:val="en-US"/>
        </w:rPr>
        <w:t xml:space="preserve"> indicated that, on December </w:t>
      </w:r>
      <w:r w:rsidR="008852B6" w:rsidRPr="006C6C80">
        <w:rPr>
          <w:lang w:val="en-US"/>
        </w:rPr>
        <w:t>15</w:t>
      </w:r>
      <w:r w:rsidR="00EB0E74" w:rsidRPr="006C6C80">
        <w:rPr>
          <w:lang w:val="en-US"/>
        </w:rPr>
        <w:t>,</w:t>
      </w:r>
      <w:r w:rsidR="008852B6" w:rsidRPr="006C6C80">
        <w:rPr>
          <w:lang w:val="en-US"/>
        </w:rPr>
        <w:t xml:space="preserve"> 1997</w:t>
      </w:r>
      <w:r w:rsidR="00EB0E74" w:rsidRPr="006C6C80">
        <w:rPr>
          <w:lang w:val="en-US"/>
        </w:rPr>
        <w:t xml:space="preserve">, a series of modifications to the </w:t>
      </w:r>
      <w:r w:rsidR="0081626C" w:rsidRPr="006C6C80">
        <w:rPr>
          <w:lang w:val="en-US"/>
        </w:rPr>
        <w:t>Basic Law on the Judiciary, which established, among other matters, that recusal does not provide the effects of suspension, thus making it possible for the judging court to continue hearing</w:t>
      </w:r>
      <w:r w:rsidRPr="006C6C80">
        <w:rPr>
          <w:lang w:val="en-US"/>
        </w:rPr>
        <w:t xml:space="preserve"> the proceedings even when it has been</w:t>
      </w:r>
      <w:r w:rsidR="0081626C" w:rsidRPr="006C6C80">
        <w:rPr>
          <w:lang w:val="en-US"/>
        </w:rPr>
        <w:t xml:space="preserve"> recused and added that the judgments of the </w:t>
      </w:r>
      <w:r w:rsidRPr="006C6C80">
        <w:rPr>
          <w:lang w:val="en-US"/>
        </w:rPr>
        <w:t>c</w:t>
      </w:r>
      <w:r w:rsidR="0081626C" w:rsidRPr="006C6C80">
        <w:rPr>
          <w:lang w:val="en-US"/>
        </w:rPr>
        <w:t xml:space="preserve">hamber of the </w:t>
      </w:r>
      <w:r w:rsidRPr="006C6C80">
        <w:rPr>
          <w:lang w:val="en-US"/>
        </w:rPr>
        <w:t xml:space="preserve">Appeals </w:t>
      </w:r>
      <w:r w:rsidR="0081626C" w:rsidRPr="006C6C80">
        <w:rPr>
          <w:lang w:val="en-US"/>
        </w:rPr>
        <w:t>Court in the matter of procedural amendments were final and not subject to appeal</w:t>
      </w:r>
      <w:r w:rsidR="007A73F5" w:rsidRPr="006C6C80">
        <w:rPr>
          <w:rFonts w:ascii="Cambria" w:hAnsi="Cambria"/>
          <w:lang w:val="en-US"/>
        </w:rPr>
        <w:t xml:space="preserve">. </w:t>
      </w:r>
    </w:p>
    <w:p w:rsidR="005C4459" w:rsidRPr="006C6C80" w:rsidRDefault="005C4459" w:rsidP="00B54921">
      <w:pPr>
        <w:pStyle w:val="ListParagraph"/>
        <w:tabs>
          <w:tab w:val="left" w:pos="720"/>
        </w:tabs>
      </w:pPr>
    </w:p>
    <w:p w:rsidR="005C4459" w:rsidRPr="006C6C80" w:rsidRDefault="00044A81" w:rsidP="00B54921">
      <w:pPr>
        <w:pStyle w:val="parrafos"/>
        <w:numPr>
          <w:ilvl w:val="0"/>
          <w:numId w:val="56"/>
        </w:numPr>
        <w:tabs>
          <w:tab w:val="left" w:pos="720"/>
        </w:tabs>
        <w:ind w:left="0" w:firstLine="0"/>
        <w:rPr>
          <w:rFonts w:cs="Arial"/>
          <w:lang w:val="en-US"/>
        </w:rPr>
      </w:pPr>
      <w:r w:rsidRPr="006C6C80">
        <w:rPr>
          <w:rFonts w:ascii="Cambria" w:hAnsi="Cambria"/>
          <w:lang w:val="en-US"/>
        </w:rPr>
        <w:t>They stated that, on March 1</w:t>
      </w:r>
      <w:r w:rsidR="00DE45B7" w:rsidRPr="006C6C80">
        <w:rPr>
          <w:rFonts w:ascii="Cambria" w:hAnsi="Cambria"/>
          <w:lang w:val="en-US"/>
        </w:rPr>
        <w:t>7</w:t>
      </w:r>
      <w:r w:rsidRPr="006C6C80">
        <w:rPr>
          <w:rFonts w:ascii="Cambria" w:hAnsi="Cambria"/>
          <w:lang w:val="en-US"/>
        </w:rPr>
        <w:t>,</w:t>
      </w:r>
      <w:r w:rsidR="00DE45B7" w:rsidRPr="006C6C80">
        <w:rPr>
          <w:rFonts w:ascii="Cambria" w:hAnsi="Cambria"/>
          <w:lang w:val="en-US"/>
        </w:rPr>
        <w:t xml:space="preserve"> 1999</w:t>
      </w:r>
      <w:r w:rsidRPr="006C6C80">
        <w:rPr>
          <w:rFonts w:ascii="Cambria" w:hAnsi="Cambria"/>
          <w:lang w:val="en-US"/>
        </w:rPr>
        <w:t>, the</w:t>
      </w:r>
      <w:r w:rsidR="00DE45B7" w:rsidRPr="006C6C80">
        <w:rPr>
          <w:rFonts w:ascii="Cambria" w:hAnsi="Cambria"/>
          <w:lang w:val="en-US"/>
        </w:rPr>
        <w:t xml:space="preserve"> CSJ</w:t>
      </w:r>
      <w:r w:rsidRPr="006C6C80">
        <w:rPr>
          <w:rFonts w:ascii="Cambria" w:hAnsi="Cambria"/>
          <w:lang w:val="en-US"/>
        </w:rPr>
        <w:t>, when enforcing the new Law on the Judiciary, refused to hear the cas</w:t>
      </w:r>
      <w:r w:rsidR="007E540C" w:rsidRPr="006C6C80">
        <w:rPr>
          <w:rFonts w:ascii="Cambria" w:hAnsi="Cambria"/>
          <w:lang w:val="en-US"/>
        </w:rPr>
        <w:t>e</w:t>
      </w:r>
      <w:r w:rsidRPr="006C6C80">
        <w:rPr>
          <w:rFonts w:ascii="Cambria" w:hAnsi="Cambria"/>
          <w:lang w:val="en-US"/>
        </w:rPr>
        <w:t xml:space="preserve"> because the action being challenged had been ruled upon by a </w:t>
      </w:r>
      <w:r w:rsidR="00D82B90">
        <w:rPr>
          <w:rFonts w:ascii="Cambria" w:hAnsi="Cambria"/>
          <w:lang w:val="en-US"/>
        </w:rPr>
        <w:t>court comprising several judges (</w:t>
      </w:r>
      <w:r w:rsidR="00D82B90" w:rsidRPr="00D82B90">
        <w:rPr>
          <w:rFonts w:ascii="Cambria" w:hAnsi="Cambria"/>
          <w:i/>
          <w:lang w:val="en-US"/>
        </w:rPr>
        <w:t xml:space="preserve">tribunal </w:t>
      </w:r>
      <w:proofErr w:type="spellStart"/>
      <w:r w:rsidR="00D82B90" w:rsidRPr="00D82B90">
        <w:rPr>
          <w:rFonts w:ascii="Cambria" w:hAnsi="Cambria"/>
          <w:i/>
          <w:lang w:val="en-US"/>
        </w:rPr>
        <w:t>colegiado</w:t>
      </w:r>
      <w:proofErr w:type="spellEnd"/>
      <w:r w:rsidR="00D82B90">
        <w:rPr>
          <w:rFonts w:ascii="Cambria" w:hAnsi="Cambria"/>
          <w:lang w:val="en-US"/>
        </w:rPr>
        <w:t>)</w:t>
      </w:r>
      <w:r w:rsidRPr="006C6C80">
        <w:rPr>
          <w:rFonts w:ascii="Cambria" w:hAnsi="Cambria"/>
          <w:lang w:val="en-US"/>
        </w:rPr>
        <w:t xml:space="preserve"> and therefore it was not susceptible to appeal.</w:t>
      </w:r>
      <w:r w:rsidR="00DE45B7" w:rsidRPr="006C6C80">
        <w:rPr>
          <w:rFonts w:ascii="Cambria" w:hAnsi="Cambria"/>
          <w:lang w:val="en-US"/>
        </w:rPr>
        <w:t xml:space="preserve"> </w:t>
      </w:r>
      <w:r w:rsidR="007E540C" w:rsidRPr="006C6C80">
        <w:rPr>
          <w:rFonts w:ascii="Cambria" w:hAnsi="Cambria"/>
          <w:lang w:val="en-US"/>
        </w:rPr>
        <w:t xml:space="preserve">They pointed out that, in view of this refusal, on July 8, 1999, they filed an appeal </w:t>
      </w:r>
      <w:r w:rsidR="00636777">
        <w:rPr>
          <w:rFonts w:ascii="Cambria" w:hAnsi="Cambria"/>
          <w:lang w:val="en-US"/>
        </w:rPr>
        <w:t xml:space="preserve">for </w:t>
      </w:r>
      <w:proofErr w:type="spellStart"/>
      <w:r w:rsidR="00636777" w:rsidRPr="00636777">
        <w:rPr>
          <w:rFonts w:ascii="Cambria" w:hAnsi="Cambria"/>
          <w:i/>
          <w:lang w:val="en-US"/>
        </w:rPr>
        <w:t>amparo</w:t>
      </w:r>
      <w:proofErr w:type="spellEnd"/>
      <w:r w:rsidR="007E540C" w:rsidRPr="006C6C80">
        <w:rPr>
          <w:rFonts w:ascii="Cambria" w:hAnsi="Cambria"/>
          <w:lang w:val="en-US"/>
        </w:rPr>
        <w:t xml:space="preserve">, which was turned down by the </w:t>
      </w:r>
      <w:r w:rsidR="00C4756E">
        <w:rPr>
          <w:rFonts w:ascii="Cambria" w:hAnsi="Cambria"/>
          <w:lang w:val="en-US"/>
        </w:rPr>
        <w:t>Constitutional Court</w:t>
      </w:r>
      <w:r w:rsidR="007E540C" w:rsidRPr="006C6C80">
        <w:rPr>
          <w:rFonts w:ascii="Cambria" w:hAnsi="Cambria"/>
          <w:lang w:val="en-US"/>
        </w:rPr>
        <w:t>. On August</w:t>
      </w:r>
      <w:r w:rsidR="007A73F5" w:rsidRPr="006C6C80">
        <w:rPr>
          <w:rFonts w:ascii="Cambria" w:hAnsi="Cambria"/>
          <w:lang w:val="en-US"/>
        </w:rPr>
        <w:t xml:space="preserve"> </w:t>
      </w:r>
      <w:r w:rsidR="00354188" w:rsidRPr="006C6C80">
        <w:rPr>
          <w:rFonts w:ascii="Cambria" w:hAnsi="Cambria"/>
          <w:lang w:val="en-US"/>
        </w:rPr>
        <w:t>23</w:t>
      </w:r>
      <w:r w:rsidR="007E540C" w:rsidRPr="006C6C80">
        <w:rPr>
          <w:rFonts w:ascii="Cambria" w:hAnsi="Cambria"/>
          <w:lang w:val="en-US"/>
        </w:rPr>
        <w:t>,</w:t>
      </w:r>
      <w:r w:rsidR="00354188" w:rsidRPr="006C6C80">
        <w:rPr>
          <w:rFonts w:ascii="Cambria" w:hAnsi="Cambria"/>
          <w:lang w:val="en-US"/>
        </w:rPr>
        <w:t xml:space="preserve"> 1999</w:t>
      </w:r>
      <w:r w:rsidR="007E540C" w:rsidRPr="006C6C80">
        <w:rPr>
          <w:rFonts w:ascii="Cambria" w:hAnsi="Cambria"/>
          <w:lang w:val="en-US"/>
        </w:rPr>
        <w:t xml:space="preserve">, </w:t>
      </w:r>
      <w:r w:rsidR="00073C1E" w:rsidRPr="006C6C80">
        <w:rPr>
          <w:rFonts w:ascii="Cambria" w:hAnsi="Cambria"/>
          <w:lang w:val="en-US"/>
        </w:rPr>
        <w:t xml:space="preserve">the judgment ruling that the strike was </w:t>
      </w:r>
      <w:r w:rsidR="0056182C" w:rsidRPr="006C6C80">
        <w:rPr>
          <w:rFonts w:ascii="Cambria" w:hAnsi="Cambria"/>
          <w:lang w:val="en-US"/>
        </w:rPr>
        <w:t>unlawful</w:t>
      </w:r>
      <w:r w:rsidR="00073C1E" w:rsidRPr="006C6C80">
        <w:rPr>
          <w:rFonts w:ascii="Cambria" w:hAnsi="Cambria"/>
          <w:lang w:val="en-US"/>
        </w:rPr>
        <w:t xml:space="preserve"> was upheld</w:t>
      </w:r>
      <w:r w:rsidR="007A73F5" w:rsidRPr="006C6C80">
        <w:rPr>
          <w:rFonts w:ascii="Cambria" w:hAnsi="Cambria"/>
          <w:lang w:val="en-US"/>
        </w:rPr>
        <w:t xml:space="preserve">. </w:t>
      </w:r>
    </w:p>
    <w:p w:rsidR="005C4459" w:rsidRPr="006C6C80" w:rsidRDefault="005C4459" w:rsidP="00B54921">
      <w:pPr>
        <w:pStyle w:val="ListParagraph"/>
        <w:tabs>
          <w:tab w:val="left" w:pos="720"/>
        </w:tabs>
      </w:pPr>
    </w:p>
    <w:p w:rsidR="005C4459" w:rsidRPr="006C6C80" w:rsidRDefault="00073C1E" w:rsidP="001361E8">
      <w:pPr>
        <w:pStyle w:val="parrafos"/>
        <w:numPr>
          <w:ilvl w:val="0"/>
          <w:numId w:val="56"/>
        </w:numPr>
        <w:tabs>
          <w:tab w:val="left" w:pos="720"/>
        </w:tabs>
        <w:ind w:left="0" w:firstLine="0"/>
        <w:rPr>
          <w:rFonts w:cs="Arial"/>
          <w:lang w:val="en-US"/>
        </w:rPr>
      </w:pPr>
      <w:r w:rsidRPr="006C6C80">
        <w:rPr>
          <w:rFonts w:ascii="Cambria" w:hAnsi="Cambria"/>
          <w:lang w:val="en-US"/>
        </w:rPr>
        <w:t>They indicated that, on September 1,</w:t>
      </w:r>
      <w:r w:rsidR="007A73F5" w:rsidRPr="006C6C80">
        <w:rPr>
          <w:rFonts w:ascii="Cambria" w:hAnsi="Cambria"/>
          <w:lang w:val="en-US"/>
        </w:rPr>
        <w:t xml:space="preserve"> 1999</w:t>
      </w:r>
      <w:r w:rsidRPr="006C6C80">
        <w:rPr>
          <w:rFonts w:ascii="Cambria" w:hAnsi="Cambria"/>
          <w:lang w:val="en-US"/>
        </w:rPr>
        <w:t>, the CSJ proceeded to mov</w:t>
      </w:r>
      <w:r w:rsidR="00747D1A">
        <w:rPr>
          <w:rFonts w:ascii="Cambria" w:hAnsi="Cambria"/>
          <w:lang w:val="en-US"/>
        </w:rPr>
        <w:t>e</w:t>
      </w:r>
      <w:r w:rsidRPr="006C6C80">
        <w:rPr>
          <w:rFonts w:ascii="Cambria" w:hAnsi="Cambria"/>
          <w:lang w:val="en-US"/>
        </w:rPr>
        <w:t xml:space="preserve"> forward with the dismissal of 508 employees. They alleged that, among them, there were members of the Judiciary who benefited from the principle of job security be</w:t>
      </w:r>
      <w:r w:rsidR="003178A7">
        <w:rPr>
          <w:rFonts w:ascii="Cambria" w:hAnsi="Cambria"/>
          <w:lang w:val="en-US"/>
        </w:rPr>
        <w:t>cause they were members of the U</w:t>
      </w:r>
      <w:r w:rsidRPr="006C6C80">
        <w:rPr>
          <w:rFonts w:ascii="Cambria" w:hAnsi="Cambria"/>
          <w:lang w:val="en-US"/>
        </w:rPr>
        <w:t xml:space="preserve">nion’s </w:t>
      </w:r>
      <w:r w:rsidR="00747D1A">
        <w:rPr>
          <w:rFonts w:ascii="Cambria" w:hAnsi="Cambria"/>
          <w:lang w:val="en-US"/>
        </w:rPr>
        <w:t>Executive Committee</w:t>
      </w:r>
      <w:r w:rsidRPr="006C6C80">
        <w:rPr>
          <w:rFonts w:ascii="Cambria" w:hAnsi="Cambria"/>
          <w:lang w:val="en-US"/>
        </w:rPr>
        <w:t xml:space="preserve"> and </w:t>
      </w:r>
      <w:r w:rsidR="00747D1A">
        <w:rPr>
          <w:rFonts w:ascii="Cambria" w:hAnsi="Cambria"/>
          <w:lang w:val="en-US"/>
        </w:rPr>
        <w:t>Advisory Board</w:t>
      </w:r>
      <w:r w:rsidR="007A73F5" w:rsidRPr="006C6C80">
        <w:rPr>
          <w:rFonts w:ascii="Cambria" w:hAnsi="Cambria"/>
          <w:lang w:val="en-US"/>
        </w:rPr>
        <w:t>.</w:t>
      </w:r>
      <w:r w:rsidR="00FC73BC" w:rsidRPr="006C6C80">
        <w:rPr>
          <w:rFonts w:ascii="Cambria" w:hAnsi="Cambria"/>
          <w:lang w:val="en-US"/>
        </w:rPr>
        <w:t xml:space="preserve"> </w:t>
      </w:r>
      <w:r w:rsidRPr="006C6C80">
        <w:rPr>
          <w:rFonts w:ascii="Cambria" w:hAnsi="Cambria"/>
          <w:lang w:val="en-US"/>
        </w:rPr>
        <w:t>They pointed out that, among the persons dismissed, there were employees who did not participate in the strike. They indicated that, on September</w:t>
      </w:r>
      <w:r w:rsidR="007A73F5" w:rsidRPr="006C6C80">
        <w:rPr>
          <w:rFonts w:ascii="Cambria" w:hAnsi="Cambria"/>
          <w:lang w:val="en-US"/>
        </w:rPr>
        <w:t xml:space="preserve"> 24</w:t>
      </w:r>
      <w:r w:rsidRPr="006C6C80">
        <w:rPr>
          <w:rFonts w:ascii="Cambria" w:hAnsi="Cambria"/>
          <w:lang w:val="en-US"/>
        </w:rPr>
        <w:t>,</w:t>
      </w:r>
      <w:r w:rsidR="007A73F5" w:rsidRPr="006C6C80">
        <w:rPr>
          <w:rFonts w:ascii="Cambria" w:hAnsi="Cambria"/>
          <w:lang w:val="en-US"/>
        </w:rPr>
        <w:t xml:space="preserve"> 1999</w:t>
      </w:r>
      <w:r w:rsidRPr="006C6C80">
        <w:rPr>
          <w:rFonts w:ascii="Cambria" w:hAnsi="Cambria"/>
          <w:lang w:val="en-US"/>
        </w:rPr>
        <w:t xml:space="preserve">, they filed an appeal </w:t>
      </w:r>
      <w:r w:rsidR="00636777">
        <w:rPr>
          <w:rFonts w:ascii="Cambria" w:hAnsi="Cambria"/>
          <w:lang w:val="en-US"/>
        </w:rPr>
        <w:t xml:space="preserve">for </w:t>
      </w:r>
      <w:proofErr w:type="spellStart"/>
      <w:r w:rsidR="00636777" w:rsidRPr="00636777">
        <w:rPr>
          <w:rFonts w:ascii="Cambria" w:hAnsi="Cambria"/>
          <w:i/>
          <w:lang w:val="en-US"/>
        </w:rPr>
        <w:t>amparo</w:t>
      </w:r>
      <w:proofErr w:type="spellEnd"/>
      <w:r w:rsidRPr="006C6C80">
        <w:rPr>
          <w:rFonts w:ascii="Cambria" w:hAnsi="Cambria"/>
          <w:lang w:val="en-US"/>
        </w:rPr>
        <w:t xml:space="preserve"> with the </w:t>
      </w:r>
      <w:r w:rsidR="00C4756E">
        <w:rPr>
          <w:rFonts w:ascii="Cambria" w:hAnsi="Cambria"/>
          <w:lang w:val="en-US"/>
        </w:rPr>
        <w:t>Constitutional Court</w:t>
      </w:r>
      <w:r w:rsidRPr="006C6C80">
        <w:rPr>
          <w:rFonts w:ascii="Cambria" w:hAnsi="Cambria"/>
          <w:lang w:val="en-US"/>
        </w:rPr>
        <w:t>, which turned it down on February 29, 2000</w:t>
      </w:r>
      <w:r w:rsidR="007A73F5" w:rsidRPr="006C6C80">
        <w:rPr>
          <w:rFonts w:ascii="Cambria" w:hAnsi="Cambria"/>
          <w:lang w:val="en-US"/>
        </w:rPr>
        <w:t xml:space="preserve">. </w:t>
      </w:r>
    </w:p>
    <w:p w:rsidR="005C4459" w:rsidRPr="006C6C80" w:rsidRDefault="005C4459" w:rsidP="00B54921">
      <w:pPr>
        <w:pStyle w:val="parrafos"/>
        <w:tabs>
          <w:tab w:val="left" w:pos="720"/>
        </w:tabs>
        <w:rPr>
          <w:rFonts w:cs="Arial"/>
          <w:lang w:val="en-US"/>
        </w:rPr>
      </w:pPr>
    </w:p>
    <w:p w:rsidR="005C4459" w:rsidRPr="006C6C80" w:rsidRDefault="00073C1E" w:rsidP="00B54921">
      <w:pPr>
        <w:pStyle w:val="parrafos"/>
        <w:numPr>
          <w:ilvl w:val="0"/>
          <w:numId w:val="56"/>
        </w:numPr>
        <w:tabs>
          <w:tab w:val="left" w:pos="720"/>
        </w:tabs>
        <w:ind w:left="0" w:firstLine="0"/>
        <w:rPr>
          <w:rFonts w:cs="Arial"/>
          <w:lang w:val="en-US"/>
        </w:rPr>
      </w:pPr>
      <w:r w:rsidRPr="006C6C80">
        <w:rPr>
          <w:rFonts w:ascii="Cambria" w:hAnsi="Cambria"/>
          <w:lang w:val="en-US"/>
        </w:rPr>
        <w:t>They also indicated that, after a series of protests, in November 1999, the Judiciary proceeded to rehire more than 400 former employe</w:t>
      </w:r>
      <w:r w:rsidR="00133DD1" w:rsidRPr="006C6C80">
        <w:rPr>
          <w:rFonts w:ascii="Cambria" w:hAnsi="Cambria"/>
          <w:lang w:val="en-US"/>
        </w:rPr>
        <w:t>e</w:t>
      </w:r>
      <w:r w:rsidRPr="006C6C80">
        <w:rPr>
          <w:rFonts w:ascii="Cambria" w:hAnsi="Cambria"/>
          <w:lang w:val="en-US"/>
        </w:rPr>
        <w:t xml:space="preserve">s of the </w:t>
      </w:r>
      <w:r w:rsidR="00EA2D27">
        <w:rPr>
          <w:rFonts w:ascii="Cambria" w:hAnsi="Cambria"/>
          <w:lang w:val="en-US"/>
        </w:rPr>
        <w:t>508 who</w:t>
      </w:r>
      <w:r w:rsidR="00FC0736" w:rsidRPr="006C6C80">
        <w:rPr>
          <w:rFonts w:ascii="Cambria" w:hAnsi="Cambria"/>
          <w:lang w:val="en-US"/>
        </w:rPr>
        <w:t xml:space="preserve"> had been dismissed for having allegedly participated in the strike</w:t>
      </w:r>
      <w:r w:rsidR="00497693" w:rsidRPr="006C6C80">
        <w:rPr>
          <w:rFonts w:ascii="Cambria" w:hAnsi="Cambria"/>
          <w:lang w:val="en-US"/>
        </w:rPr>
        <w:t xml:space="preserve">. </w:t>
      </w:r>
    </w:p>
    <w:p w:rsidR="005C4459" w:rsidRPr="006C6C80" w:rsidRDefault="005C4459" w:rsidP="00B54921">
      <w:pPr>
        <w:pStyle w:val="ListParagraph"/>
        <w:tabs>
          <w:tab w:val="left" w:pos="720"/>
        </w:tabs>
      </w:pPr>
    </w:p>
    <w:p w:rsidR="005C4459" w:rsidRPr="006C6C80" w:rsidRDefault="00FC0736" w:rsidP="00286B80">
      <w:pPr>
        <w:pStyle w:val="parrafos"/>
        <w:numPr>
          <w:ilvl w:val="0"/>
          <w:numId w:val="56"/>
        </w:numPr>
        <w:tabs>
          <w:tab w:val="left" w:pos="720"/>
        </w:tabs>
        <w:ind w:left="0" w:firstLine="0"/>
        <w:rPr>
          <w:rFonts w:cs="Arial"/>
          <w:lang w:val="en-US"/>
        </w:rPr>
      </w:pPr>
      <w:r w:rsidRPr="006C6C80">
        <w:rPr>
          <w:lang w:val="en-US"/>
        </w:rPr>
        <w:t xml:space="preserve">They alleged the need to modify the regulatory framework for labor in order to provide employees of the Judiciary with procedures different from those of other </w:t>
      </w:r>
      <w:r w:rsidR="00EA2D27">
        <w:rPr>
          <w:lang w:val="en-US"/>
        </w:rPr>
        <w:t xml:space="preserve">government </w:t>
      </w:r>
      <w:r w:rsidRPr="006C6C80">
        <w:rPr>
          <w:lang w:val="en-US"/>
        </w:rPr>
        <w:t>workers, bec</w:t>
      </w:r>
      <w:r w:rsidR="00133DD1" w:rsidRPr="006C6C80">
        <w:rPr>
          <w:lang w:val="en-US"/>
        </w:rPr>
        <w:t>au</w:t>
      </w:r>
      <w:r w:rsidRPr="006C6C80">
        <w:rPr>
          <w:lang w:val="en-US"/>
        </w:rPr>
        <w:t>se in this case judge and employer are the same person</w:t>
      </w:r>
      <w:r w:rsidR="00DE45B7" w:rsidRPr="006C6C80">
        <w:rPr>
          <w:lang w:val="en-US"/>
        </w:rPr>
        <w:t>.</w:t>
      </w:r>
    </w:p>
    <w:p w:rsidR="00FC0736" w:rsidRPr="006C6C80" w:rsidRDefault="00FC0736" w:rsidP="00FC0736">
      <w:pPr>
        <w:pStyle w:val="ListParagraph"/>
        <w:rPr>
          <w:rFonts w:cs="Arial"/>
        </w:rPr>
      </w:pPr>
    </w:p>
    <w:p w:rsidR="005C4459" w:rsidRPr="006C6C80" w:rsidRDefault="00FC0736" w:rsidP="00B54921">
      <w:pPr>
        <w:pStyle w:val="parrafos"/>
        <w:numPr>
          <w:ilvl w:val="0"/>
          <w:numId w:val="56"/>
        </w:numPr>
        <w:tabs>
          <w:tab w:val="left" w:pos="720"/>
        </w:tabs>
        <w:ind w:left="0" w:firstLine="0"/>
        <w:rPr>
          <w:rFonts w:cs="Arial"/>
          <w:lang w:val="en-US"/>
        </w:rPr>
      </w:pPr>
      <w:r w:rsidRPr="006C6C80">
        <w:rPr>
          <w:lang w:val="en-US"/>
        </w:rPr>
        <w:t>As for the law, the petitioners argued that the state violated their rights to</w:t>
      </w:r>
      <w:r w:rsidR="003903FC" w:rsidRPr="006C6C80">
        <w:rPr>
          <w:lang w:val="en-US"/>
        </w:rPr>
        <w:t xml:space="preserve"> </w:t>
      </w:r>
      <w:r w:rsidRPr="006C6C80">
        <w:rPr>
          <w:b/>
          <w:lang w:val="en-US"/>
        </w:rPr>
        <w:t>a fair trial</w:t>
      </w:r>
      <w:r w:rsidRPr="006C6C80">
        <w:rPr>
          <w:lang w:val="en-US"/>
        </w:rPr>
        <w:t xml:space="preserve"> and</w:t>
      </w:r>
      <w:r w:rsidR="003903FC" w:rsidRPr="006C6C80">
        <w:rPr>
          <w:lang w:val="en-US"/>
        </w:rPr>
        <w:t xml:space="preserve"> </w:t>
      </w:r>
      <w:r w:rsidRPr="006C6C80">
        <w:rPr>
          <w:b/>
          <w:lang w:val="en-US"/>
        </w:rPr>
        <w:t>judicial protection</w:t>
      </w:r>
      <w:r w:rsidR="003903FC" w:rsidRPr="006C6C80">
        <w:rPr>
          <w:lang w:val="en-US"/>
        </w:rPr>
        <w:t>, as</w:t>
      </w:r>
      <w:r w:rsidRPr="006C6C80">
        <w:rPr>
          <w:lang w:val="en-US"/>
        </w:rPr>
        <w:t xml:space="preserve"> well as their rights to</w:t>
      </w:r>
      <w:r w:rsidR="003903FC" w:rsidRPr="006C6C80">
        <w:rPr>
          <w:lang w:val="en-US"/>
        </w:rPr>
        <w:t xml:space="preserve"> </w:t>
      </w:r>
      <w:r w:rsidR="00C163D9" w:rsidRPr="006C6C80">
        <w:rPr>
          <w:b/>
          <w:lang w:val="en-US"/>
        </w:rPr>
        <w:t>freedom of association</w:t>
      </w:r>
      <w:r w:rsidRPr="006C6C80">
        <w:rPr>
          <w:lang w:val="en-US"/>
        </w:rPr>
        <w:t xml:space="preserve"> and</w:t>
      </w:r>
      <w:r w:rsidR="003903FC" w:rsidRPr="006C6C80">
        <w:rPr>
          <w:lang w:val="en-US"/>
        </w:rPr>
        <w:t xml:space="preserve"> </w:t>
      </w:r>
      <w:r w:rsidRPr="006C6C80">
        <w:rPr>
          <w:b/>
          <w:lang w:val="en-US"/>
        </w:rPr>
        <w:t>equality before the law</w:t>
      </w:r>
      <w:r w:rsidR="00BA6F38" w:rsidRPr="006C6C80">
        <w:rPr>
          <w:lang w:val="en-US"/>
        </w:rPr>
        <w:t>.</w:t>
      </w:r>
    </w:p>
    <w:p w:rsidR="005C4459" w:rsidRPr="006C6C80" w:rsidRDefault="005C4459" w:rsidP="00B54921">
      <w:pPr>
        <w:pStyle w:val="ListParagraph"/>
        <w:tabs>
          <w:tab w:val="left" w:pos="720"/>
        </w:tabs>
      </w:pPr>
    </w:p>
    <w:p w:rsidR="005C4459" w:rsidRPr="006C6C80" w:rsidRDefault="00FC0736" w:rsidP="00B54921">
      <w:pPr>
        <w:pStyle w:val="parrafos"/>
        <w:numPr>
          <w:ilvl w:val="0"/>
          <w:numId w:val="56"/>
        </w:numPr>
        <w:tabs>
          <w:tab w:val="left" w:pos="720"/>
        </w:tabs>
        <w:ind w:left="0" w:firstLine="0"/>
        <w:rPr>
          <w:rFonts w:cs="Arial"/>
          <w:lang w:val="en-US"/>
        </w:rPr>
      </w:pPr>
      <w:r w:rsidRPr="006C6C80">
        <w:rPr>
          <w:lang w:val="en-US"/>
        </w:rPr>
        <w:lastRenderedPageBreak/>
        <w:t xml:space="preserve">As for the right to </w:t>
      </w:r>
      <w:r w:rsidR="00A569D3" w:rsidRPr="006C6C80">
        <w:rPr>
          <w:b/>
          <w:lang w:val="en-US"/>
        </w:rPr>
        <w:t>a</w:t>
      </w:r>
      <w:r w:rsidRPr="006C6C80">
        <w:rPr>
          <w:b/>
          <w:lang w:val="en-US"/>
        </w:rPr>
        <w:t xml:space="preserve"> fair trial</w:t>
      </w:r>
      <w:r w:rsidR="00F466EC" w:rsidRPr="006C6C80">
        <w:rPr>
          <w:lang w:val="en-US"/>
        </w:rPr>
        <w:t xml:space="preserve">, </w:t>
      </w:r>
      <w:r w:rsidRPr="006C6C80">
        <w:rPr>
          <w:lang w:val="en-US"/>
        </w:rPr>
        <w:t>they alleged that the guarantees of independence and impartiality were breached because the CSJ acted as both judge and</w:t>
      </w:r>
      <w:r w:rsidR="00AA15CB" w:rsidRPr="006C6C80">
        <w:rPr>
          <w:lang w:val="en-US"/>
        </w:rPr>
        <w:t xml:space="preserve"> jury</w:t>
      </w:r>
      <w:r w:rsidR="00F466EC" w:rsidRPr="006C6C80">
        <w:rPr>
          <w:lang w:val="en-US"/>
        </w:rPr>
        <w:t xml:space="preserve">, </w:t>
      </w:r>
      <w:r w:rsidR="00AA15CB" w:rsidRPr="006C6C80">
        <w:rPr>
          <w:lang w:val="en-US"/>
        </w:rPr>
        <w:t xml:space="preserve">as it was one of the parties to the dispute; nevertheless it decided ruled on certain </w:t>
      </w:r>
      <w:r w:rsidR="00EA2D27">
        <w:rPr>
          <w:lang w:val="en-US"/>
        </w:rPr>
        <w:t>motions</w:t>
      </w:r>
      <w:r w:rsidR="00AA15CB" w:rsidRPr="006C6C80">
        <w:rPr>
          <w:lang w:val="en-US"/>
        </w:rPr>
        <w:t xml:space="preserve"> filed in connection with the dispute</w:t>
      </w:r>
      <w:r w:rsidR="00CE70B1" w:rsidRPr="006C6C80">
        <w:rPr>
          <w:lang w:val="en-US"/>
        </w:rPr>
        <w:t>.</w:t>
      </w:r>
      <w:r w:rsidR="002271CF" w:rsidRPr="006C6C80">
        <w:rPr>
          <w:lang w:val="en-US"/>
        </w:rPr>
        <w:t xml:space="preserve"> </w:t>
      </w:r>
      <w:r w:rsidR="00AA15CB" w:rsidRPr="006C6C80">
        <w:rPr>
          <w:lang w:val="en-US"/>
        </w:rPr>
        <w:t>It added that, in addition, the CSJ act</w:t>
      </w:r>
      <w:r w:rsidR="00EA2D27">
        <w:rPr>
          <w:lang w:val="en-US"/>
        </w:rPr>
        <w:t>ed</w:t>
      </w:r>
      <w:r w:rsidR="00AA15CB" w:rsidRPr="006C6C80">
        <w:rPr>
          <w:lang w:val="en-US"/>
        </w:rPr>
        <w:t xml:space="preserve"> arbitrarily when drafting the lists of employees who participated in the strike</w:t>
      </w:r>
      <w:r w:rsidR="003F4C8A" w:rsidRPr="006C6C80">
        <w:rPr>
          <w:lang w:val="en-US"/>
        </w:rPr>
        <w:t>,</w:t>
      </w:r>
      <w:r w:rsidR="00C66564" w:rsidRPr="006C6C80">
        <w:rPr>
          <w:lang w:val="en-US"/>
        </w:rPr>
        <w:t xml:space="preserve"> </w:t>
      </w:r>
      <w:r w:rsidR="00EA2D27">
        <w:rPr>
          <w:lang w:val="en-US"/>
        </w:rPr>
        <w:t>without adequately differentiating</w:t>
      </w:r>
      <w:r w:rsidR="00AA15CB" w:rsidRPr="006C6C80">
        <w:rPr>
          <w:lang w:val="en-US"/>
        </w:rPr>
        <w:t xml:space="preserve"> those who did not participate in the strike from those who did participate</w:t>
      </w:r>
      <w:r w:rsidR="003F4C8A" w:rsidRPr="006C6C80">
        <w:rPr>
          <w:lang w:val="en-US"/>
        </w:rPr>
        <w:t>.</w:t>
      </w:r>
      <w:r w:rsidR="00C66564" w:rsidRPr="006C6C80">
        <w:rPr>
          <w:lang w:val="en-US"/>
        </w:rPr>
        <w:t xml:space="preserve"> </w:t>
      </w:r>
    </w:p>
    <w:p w:rsidR="005C4459" w:rsidRPr="006C6C80" w:rsidRDefault="005C4459" w:rsidP="00B54921">
      <w:pPr>
        <w:pStyle w:val="ListParagraph"/>
        <w:tabs>
          <w:tab w:val="left" w:pos="720"/>
        </w:tabs>
      </w:pPr>
    </w:p>
    <w:p w:rsidR="005C4459" w:rsidRPr="006C6C80" w:rsidRDefault="00AA15CB" w:rsidP="00B54921">
      <w:pPr>
        <w:pStyle w:val="parrafos"/>
        <w:numPr>
          <w:ilvl w:val="0"/>
          <w:numId w:val="56"/>
        </w:numPr>
        <w:tabs>
          <w:tab w:val="left" w:pos="720"/>
        </w:tabs>
        <w:ind w:left="0" w:firstLine="0"/>
        <w:rPr>
          <w:rFonts w:cs="Arial"/>
          <w:lang w:val="en-US"/>
        </w:rPr>
      </w:pPr>
      <w:r w:rsidRPr="006C6C80">
        <w:rPr>
          <w:lang w:val="en-US"/>
        </w:rPr>
        <w:t xml:space="preserve">In addition, they argued that these rights were breached because the state </w:t>
      </w:r>
      <w:r w:rsidR="00207C08" w:rsidRPr="006C6C80">
        <w:rPr>
          <w:lang w:val="en-US"/>
        </w:rPr>
        <w:t xml:space="preserve">retroactively </w:t>
      </w:r>
      <w:r w:rsidRPr="006C6C80">
        <w:rPr>
          <w:lang w:val="en-US"/>
        </w:rPr>
        <w:t xml:space="preserve">applied Decree 35-96 </w:t>
      </w:r>
      <w:r w:rsidR="00207C08" w:rsidRPr="006C6C80">
        <w:rPr>
          <w:lang w:val="en-US"/>
        </w:rPr>
        <w:t xml:space="preserve">which amended Article 4 of the Law on Unionization and </w:t>
      </w:r>
      <w:r w:rsidR="003178A7">
        <w:rPr>
          <w:lang w:val="en-US"/>
        </w:rPr>
        <w:t>Strike Regulations for State Employees</w:t>
      </w:r>
      <w:r w:rsidR="00207C08" w:rsidRPr="006C6C80">
        <w:rPr>
          <w:lang w:val="en-US"/>
        </w:rPr>
        <w:t>, including the administration of justice and related institutions into the definition of essential public services. They indicated that the decree was published on May 27, 1996, and it was enforced with respect to the strike starting on March 19 and ending on April 2 of that same year</w:t>
      </w:r>
      <w:r w:rsidR="003A37E6" w:rsidRPr="006C6C80">
        <w:rPr>
          <w:lang w:val="en-US"/>
        </w:rPr>
        <w:t>.</w:t>
      </w:r>
    </w:p>
    <w:p w:rsidR="005C4459" w:rsidRPr="006C6C80" w:rsidRDefault="005C4459" w:rsidP="00B54921">
      <w:pPr>
        <w:pStyle w:val="ListParagraph"/>
        <w:tabs>
          <w:tab w:val="left" w:pos="720"/>
        </w:tabs>
        <w:rPr>
          <w:bdr w:val="none" w:sz="0" w:space="0" w:color="auto" w:frame="1"/>
        </w:rPr>
      </w:pPr>
    </w:p>
    <w:p w:rsidR="005C4459" w:rsidRPr="006C6C80" w:rsidRDefault="00207C08" w:rsidP="00B54921">
      <w:pPr>
        <w:pStyle w:val="parrafos"/>
        <w:numPr>
          <w:ilvl w:val="0"/>
          <w:numId w:val="56"/>
        </w:numPr>
        <w:tabs>
          <w:tab w:val="left" w:pos="720"/>
        </w:tabs>
        <w:ind w:left="0" w:firstLine="0"/>
        <w:rPr>
          <w:rFonts w:cs="Arial"/>
          <w:lang w:val="en-US"/>
        </w:rPr>
      </w:pPr>
      <w:r w:rsidRPr="006C6C80">
        <w:rPr>
          <w:bdr w:val="none" w:sz="0" w:space="0" w:color="auto" w:frame="1"/>
          <w:lang w:val="en-US"/>
        </w:rPr>
        <w:t>They argued that the</w:t>
      </w:r>
      <w:r w:rsidR="00BA6F38" w:rsidRPr="006C6C80">
        <w:rPr>
          <w:bdr w:val="none" w:sz="0" w:space="0" w:color="auto" w:frame="1"/>
          <w:lang w:val="en-US"/>
        </w:rPr>
        <w:t xml:space="preserve"> </w:t>
      </w:r>
      <w:r w:rsidRPr="006C6C80">
        <w:rPr>
          <w:b/>
          <w:bdr w:val="none" w:sz="0" w:space="0" w:color="auto" w:frame="1"/>
          <w:lang w:val="en-US"/>
        </w:rPr>
        <w:t xml:space="preserve">duty of </w:t>
      </w:r>
      <w:r w:rsidR="00EA2D27">
        <w:rPr>
          <w:b/>
          <w:bdr w:val="none" w:sz="0" w:space="0" w:color="auto" w:frame="1"/>
          <w:lang w:val="en-US"/>
        </w:rPr>
        <w:t>stating reasons</w:t>
      </w:r>
      <w:r w:rsidRPr="006C6C80">
        <w:rPr>
          <w:bdr w:val="none" w:sz="0" w:space="0" w:color="auto" w:frame="1"/>
          <w:lang w:val="en-US"/>
        </w:rPr>
        <w:t xml:space="preserve"> was violated because</w:t>
      </w:r>
      <w:r w:rsidR="00BA6F38" w:rsidRPr="006C6C80">
        <w:rPr>
          <w:bdr w:val="none" w:sz="0" w:space="0" w:color="auto" w:frame="1"/>
          <w:lang w:val="en-US"/>
        </w:rPr>
        <w:t xml:space="preserve"> 72 </w:t>
      </w:r>
      <w:r w:rsidRPr="006C6C80">
        <w:rPr>
          <w:bdr w:val="none" w:sz="0" w:space="0" w:color="auto" w:frame="1"/>
          <w:lang w:val="en-US"/>
        </w:rPr>
        <w:t xml:space="preserve">employees filed appeals for reconsideration in response to their dismissal, and 14 other employees filed other </w:t>
      </w:r>
      <w:r w:rsidR="00EA2D27">
        <w:rPr>
          <w:bdr w:val="none" w:sz="0" w:space="0" w:color="auto" w:frame="1"/>
          <w:lang w:val="en-US"/>
        </w:rPr>
        <w:t>motions</w:t>
      </w:r>
      <w:r w:rsidRPr="006C6C80">
        <w:rPr>
          <w:bdr w:val="none" w:sz="0" w:space="0" w:color="auto" w:frame="1"/>
          <w:lang w:val="en-US"/>
        </w:rPr>
        <w:t xml:space="preserve"> such as regular labor hearings for reinstatement or protection and all were </w:t>
      </w:r>
      <w:r w:rsidR="00EA2D27">
        <w:rPr>
          <w:bdr w:val="none" w:sz="0" w:space="0" w:color="auto" w:frame="1"/>
          <w:lang w:val="en-US"/>
        </w:rPr>
        <w:t xml:space="preserve">dismissed </w:t>
      </w:r>
      <w:r w:rsidRPr="006C6C80">
        <w:rPr>
          <w:bdr w:val="none" w:sz="0" w:space="0" w:color="auto" w:frame="1"/>
          <w:lang w:val="en-US"/>
        </w:rPr>
        <w:t>without any adequate indication of the reasons for the refusal</w:t>
      </w:r>
      <w:r w:rsidR="00BA6F38" w:rsidRPr="006C6C80">
        <w:rPr>
          <w:bdr w:val="none" w:sz="0" w:space="0" w:color="auto" w:frame="1"/>
          <w:lang w:val="en-US"/>
        </w:rPr>
        <w:t>.</w:t>
      </w:r>
    </w:p>
    <w:p w:rsidR="005C4459" w:rsidRPr="006C6C80" w:rsidRDefault="005C4459" w:rsidP="00B54921">
      <w:pPr>
        <w:pStyle w:val="ListParagraph"/>
        <w:tabs>
          <w:tab w:val="left" w:pos="720"/>
        </w:tabs>
      </w:pPr>
    </w:p>
    <w:p w:rsidR="005C4459" w:rsidRPr="006C6C80" w:rsidRDefault="00207C08" w:rsidP="00B54921">
      <w:pPr>
        <w:pStyle w:val="parrafos"/>
        <w:numPr>
          <w:ilvl w:val="0"/>
          <w:numId w:val="56"/>
        </w:numPr>
        <w:tabs>
          <w:tab w:val="left" w:pos="720"/>
        </w:tabs>
        <w:ind w:left="0" w:firstLine="0"/>
        <w:rPr>
          <w:rFonts w:cs="Arial"/>
          <w:lang w:val="en-US"/>
        </w:rPr>
      </w:pPr>
      <w:r w:rsidRPr="006C6C80">
        <w:rPr>
          <w:lang w:val="en-US"/>
        </w:rPr>
        <w:t>They pointed out that the state violated the</w:t>
      </w:r>
      <w:r w:rsidR="00A569D3" w:rsidRPr="006C6C80">
        <w:rPr>
          <w:lang w:val="en-US"/>
        </w:rPr>
        <w:t xml:space="preserve"> </w:t>
      </w:r>
      <w:r w:rsidRPr="006C6C80">
        <w:rPr>
          <w:b/>
          <w:lang w:val="en-US"/>
        </w:rPr>
        <w:t>right to judicial protection</w:t>
      </w:r>
      <w:r w:rsidR="00A569D3" w:rsidRPr="006C6C80">
        <w:rPr>
          <w:b/>
          <w:lang w:val="en-US"/>
        </w:rPr>
        <w:t xml:space="preserve"> </w:t>
      </w:r>
      <w:r w:rsidRPr="006C6C80">
        <w:rPr>
          <w:lang w:val="en-US"/>
        </w:rPr>
        <w:t>when it failed to provide a rapid and effective remedy for protecting their rights in an independent and impartial court</w:t>
      </w:r>
      <w:r w:rsidR="00A569D3" w:rsidRPr="006C6C80">
        <w:rPr>
          <w:lang w:val="en-US"/>
        </w:rPr>
        <w:t xml:space="preserve">. </w:t>
      </w:r>
    </w:p>
    <w:p w:rsidR="005C4459" w:rsidRPr="006C6C80" w:rsidRDefault="005C4459" w:rsidP="00B54921">
      <w:pPr>
        <w:pStyle w:val="ListParagraph"/>
        <w:tabs>
          <w:tab w:val="left" w:pos="720"/>
        </w:tabs>
      </w:pPr>
    </w:p>
    <w:p w:rsidR="004007F8" w:rsidRPr="006C6C80" w:rsidRDefault="00207C08" w:rsidP="00B54921">
      <w:pPr>
        <w:pStyle w:val="parrafos"/>
        <w:numPr>
          <w:ilvl w:val="0"/>
          <w:numId w:val="56"/>
        </w:numPr>
        <w:tabs>
          <w:tab w:val="left" w:pos="720"/>
        </w:tabs>
        <w:ind w:left="0" w:firstLine="0"/>
        <w:rPr>
          <w:rFonts w:cs="Arial"/>
          <w:lang w:val="en-US"/>
        </w:rPr>
      </w:pPr>
      <w:r w:rsidRPr="006C6C80">
        <w:rPr>
          <w:lang w:val="en-US"/>
        </w:rPr>
        <w:t>They stated that the state violated their rights to</w:t>
      </w:r>
      <w:r w:rsidR="005C298D" w:rsidRPr="006C6C80">
        <w:rPr>
          <w:lang w:val="en-US"/>
        </w:rPr>
        <w:t xml:space="preserve"> </w:t>
      </w:r>
      <w:r w:rsidRPr="006C6C80">
        <w:rPr>
          <w:b/>
          <w:lang w:val="en-US"/>
        </w:rPr>
        <w:t>freedom of ass</w:t>
      </w:r>
      <w:r w:rsidR="00C239C6">
        <w:rPr>
          <w:b/>
          <w:lang w:val="en-US"/>
        </w:rPr>
        <w:t>ociation</w:t>
      </w:r>
      <w:r w:rsidRPr="006C6C80">
        <w:rPr>
          <w:lang w:val="en-US"/>
        </w:rPr>
        <w:t xml:space="preserve"> and </w:t>
      </w:r>
      <w:r w:rsidRPr="006C6C80">
        <w:rPr>
          <w:b/>
          <w:lang w:val="en-US"/>
        </w:rPr>
        <w:t>equality before the law</w:t>
      </w:r>
      <w:r w:rsidR="00990966" w:rsidRPr="006C6C80">
        <w:rPr>
          <w:lang w:val="en-US"/>
        </w:rPr>
        <w:t xml:space="preserve">. </w:t>
      </w:r>
      <w:r w:rsidRPr="006C6C80">
        <w:rPr>
          <w:lang w:val="en-US"/>
        </w:rPr>
        <w:t xml:space="preserve">They also indicated, regarding this, that the state violated the right to job </w:t>
      </w:r>
      <w:proofErr w:type="spellStart"/>
      <w:r w:rsidR="00C239C6">
        <w:rPr>
          <w:lang w:val="en-US"/>
        </w:rPr>
        <w:t>irremovability</w:t>
      </w:r>
      <w:proofErr w:type="spellEnd"/>
      <w:r w:rsidR="00C239C6">
        <w:rPr>
          <w:lang w:val="en-US"/>
        </w:rPr>
        <w:t xml:space="preserve"> e</w:t>
      </w:r>
      <w:r w:rsidRPr="006C6C80">
        <w:rPr>
          <w:lang w:val="en-US"/>
        </w:rPr>
        <w:t xml:space="preserve">njoyed by the members of the </w:t>
      </w:r>
      <w:r w:rsidR="003178A7">
        <w:rPr>
          <w:lang w:val="en-US"/>
        </w:rPr>
        <w:t>U</w:t>
      </w:r>
      <w:r w:rsidRPr="006C6C80">
        <w:rPr>
          <w:lang w:val="en-US"/>
        </w:rPr>
        <w:t xml:space="preserve">nion’s </w:t>
      </w:r>
      <w:r w:rsidR="00747D1A">
        <w:rPr>
          <w:lang w:val="en-US"/>
        </w:rPr>
        <w:t>Executive Committee and Advisory Board</w:t>
      </w:r>
      <w:r w:rsidR="00F87FE9" w:rsidRPr="006C6C80">
        <w:rPr>
          <w:lang w:val="en-US"/>
        </w:rPr>
        <w:t>.</w:t>
      </w:r>
      <w:r w:rsidR="004007F8" w:rsidRPr="006C6C80">
        <w:rPr>
          <w:lang w:val="en-US"/>
        </w:rPr>
        <w:t xml:space="preserve"> </w:t>
      </w:r>
      <w:r w:rsidRPr="006C6C80">
        <w:rPr>
          <w:lang w:val="en-US"/>
        </w:rPr>
        <w:t>They added that the</w:t>
      </w:r>
      <w:r w:rsidR="00667AA6" w:rsidRPr="006C6C80">
        <w:rPr>
          <w:lang w:val="en-US"/>
        </w:rPr>
        <w:t xml:space="preserve"> </w:t>
      </w:r>
      <w:r w:rsidR="00667AA6" w:rsidRPr="006C6C80">
        <w:rPr>
          <w:b/>
          <w:lang w:val="en-US"/>
        </w:rPr>
        <w:t>princip</w:t>
      </w:r>
      <w:r w:rsidRPr="006C6C80">
        <w:rPr>
          <w:b/>
          <w:lang w:val="en-US"/>
        </w:rPr>
        <w:t>le of equality</w:t>
      </w:r>
      <w:r w:rsidR="003178A7">
        <w:rPr>
          <w:lang w:val="en-US"/>
        </w:rPr>
        <w:t xml:space="preserve"> was violated because the U</w:t>
      </w:r>
      <w:r w:rsidRPr="006C6C80">
        <w:rPr>
          <w:lang w:val="en-US"/>
        </w:rPr>
        <w:t>nion’s leaders were discriminated against as no</w:t>
      </w:r>
      <w:r w:rsidR="002301AE" w:rsidRPr="006C6C80">
        <w:rPr>
          <w:lang w:val="en-US"/>
        </w:rPr>
        <w:t xml:space="preserve">ne of them were rehired and union </w:t>
      </w:r>
      <w:r w:rsidRPr="006C6C80">
        <w:rPr>
          <w:lang w:val="en-US"/>
        </w:rPr>
        <w:t xml:space="preserve">members </w:t>
      </w:r>
      <w:r w:rsidR="002301AE" w:rsidRPr="006C6C80">
        <w:rPr>
          <w:lang w:val="en-US"/>
        </w:rPr>
        <w:t>who were rehired were stigmatized</w:t>
      </w:r>
      <w:r w:rsidR="00667AA6" w:rsidRPr="006C6C80">
        <w:rPr>
          <w:lang w:val="en-US"/>
        </w:rPr>
        <w:t xml:space="preserve">. </w:t>
      </w:r>
    </w:p>
    <w:p w:rsidR="00B03B9D" w:rsidRPr="006C6C80" w:rsidRDefault="00B03B9D" w:rsidP="00B54921">
      <w:pPr>
        <w:tabs>
          <w:tab w:val="left" w:pos="720"/>
        </w:tabs>
        <w:rPr>
          <w:color w:val="000000" w:themeColor="text1"/>
          <w:sz w:val="20"/>
          <w:szCs w:val="20"/>
        </w:rPr>
      </w:pPr>
    </w:p>
    <w:p w:rsidR="00B03B9D" w:rsidRPr="006C6C80" w:rsidRDefault="005B1FA3" w:rsidP="00B54921">
      <w:pPr>
        <w:pStyle w:val="Heading2"/>
        <w:numPr>
          <w:ilvl w:val="0"/>
          <w:numId w:val="58"/>
        </w:numPr>
        <w:tabs>
          <w:tab w:val="left" w:pos="720"/>
        </w:tabs>
        <w:ind w:left="360"/>
        <w:rPr>
          <w:lang w:val="en-US"/>
        </w:rPr>
      </w:pPr>
      <w:bookmarkStart w:id="6" w:name="_Toc18936460"/>
      <w:r w:rsidRPr="006C6C80">
        <w:rPr>
          <w:lang w:val="en-US"/>
        </w:rPr>
        <w:t>State</w:t>
      </w:r>
      <w:bookmarkEnd w:id="6"/>
    </w:p>
    <w:p w:rsidR="00DF7DB4" w:rsidRPr="006C6C80" w:rsidRDefault="00DF7DB4" w:rsidP="00B5492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color w:val="000000" w:themeColor="text1"/>
          <w:sz w:val="20"/>
          <w:szCs w:val="20"/>
        </w:rPr>
      </w:pPr>
    </w:p>
    <w:p w:rsidR="005C4459" w:rsidRPr="006C6C80" w:rsidRDefault="0040024A" w:rsidP="00B54921">
      <w:pPr>
        <w:pStyle w:val="parrafos"/>
        <w:numPr>
          <w:ilvl w:val="0"/>
          <w:numId w:val="56"/>
        </w:numPr>
        <w:tabs>
          <w:tab w:val="left" w:pos="720"/>
        </w:tabs>
        <w:ind w:left="0" w:firstLine="0"/>
        <w:rPr>
          <w:rFonts w:ascii="Cambria" w:hAnsi="Cambria"/>
          <w:lang w:val="en-US"/>
        </w:rPr>
      </w:pPr>
      <w:r w:rsidRPr="006C6C80">
        <w:rPr>
          <w:rFonts w:ascii="Cambria" w:hAnsi="Cambria"/>
          <w:lang w:val="en-US"/>
        </w:rPr>
        <w:t>Th</w:t>
      </w:r>
      <w:r w:rsidR="005B1FA3" w:rsidRPr="006C6C80">
        <w:rPr>
          <w:rFonts w:ascii="Cambria" w:hAnsi="Cambria"/>
          <w:lang w:val="en-US"/>
        </w:rPr>
        <w:t>e</w:t>
      </w:r>
      <w:r w:rsidRPr="006C6C80">
        <w:rPr>
          <w:rFonts w:ascii="Cambria" w:hAnsi="Cambria"/>
          <w:lang w:val="en-US"/>
        </w:rPr>
        <w:t xml:space="preserve"> </w:t>
      </w:r>
      <w:r w:rsidR="005B1FA3" w:rsidRPr="006C6C80">
        <w:rPr>
          <w:rFonts w:ascii="Cambria" w:hAnsi="Cambria"/>
          <w:lang w:val="en-US"/>
        </w:rPr>
        <w:t xml:space="preserve">state of </w:t>
      </w:r>
      <w:r w:rsidR="00535FDD" w:rsidRPr="006C6C80">
        <w:rPr>
          <w:rFonts w:ascii="Cambria" w:hAnsi="Cambria"/>
          <w:lang w:val="en-US"/>
        </w:rPr>
        <w:t xml:space="preserve">Guatemala </w:t>
      </w:r>
      <w:r w:rsidR="00FF7789" w:rsidRPr="006C6C80">
        <w:rPr>
          <w:rFonts w:ascii="Cambria" w:hAnsi="Cambria"/>
          <w:lang w:val="en-US"/>
        </w:rPr>
        <w:t>argu</w:t>
      </w:r>
      <w:r w:rsidR="005B1FA3" w:rsidRPr="006C6C80">
        <w:rPr>
          <w:rFonts w:ascii="Cambria" w:hAnsi="Cambria"/>
          <w:lang w:val="en-US"/>
        </w:rPr>
        <w:t>ed that none of the rights referred to by the petitioners were violated and that the domestic court rulings adhered to the principles of the National Constitution and the American Convention</w:t>
      </w:r>
      <w:r w:rsidR="00FF7789" w:rsidRPr="006C6C80">
        <w:rPr>
          <w:rFonts w:ascii="Cambria" w:hAnsi="Cambria"/>
          <w:lang w:val="en-US"/>
        </w:rPr>
        <w:t xml:space="preserve">. </w:t>
      </w:r>
    </w:p>
    <w:p w:rsidR="005C4459" w:rsidRPr="006C6C80" w:rsidRDefault="005C4459" w:rsidP="00B54921">
      <w:pPr>
        <w:pStyle w:val="parrafos"/>
        <w:tabs>
          <w:tab w:val="left" w:pos="720"/>
        </w:tabs>
        <w:rPr>
          <w:rFonts w:ascii="Cambria" w:hAnsi="Cambria"/>
          <w:lang w:val="en-US"/>
        </w:rPr>
      </w:pPr>
    </w:p>
    <w:p w:rsidR="005C4459" w:rsidRPr="006C6C80" w:rsidRDefault="005B1FA3" w:rsidP="00B54921">
      <w:pPr>
        <w:pStyle w:val="parrafos"/>
        <w:numPr>
          <w:ilvl w:val="0"/>
          <w:numId w:val="56"/>
        </w:numPr>
        <w:tabs>
          <w:tab w:val="left" w:pos="720"/>
        </w:tabs>
        <w:ind w:left="0" w:firstLine="0"/>
        <w:rPr>
          <w:rFonts w:ascii="Cambria" w:hAnsi="Cambria"/>
          <w:lang w:val="en-US"/>
        </w:rPr>
      </w:pPr>
      <w:r w:rsidRPr="006C6C80">
        <w:rPr>
          <w:rFonts w:ascii="Cambria" w:hAnsi="Cambria"/>
          <w:lang w:val="en-US"/>
        </w:rPr>
        <w:t>With respect to</w:t>
      </w:r>
      <w:r w:rsidR="00BA6F38" w:rsidRPr="006C6C80">
        <w:rPr>
          <w:rFonts w:ascii="Cambria" w:hAnsi="Cambria"/>
          <w:lang w:val="en-US"/>
        </w:rPr>
        <w:t xml:space="preserve"> </w:t>
      </w:r>
      <w:r w:rsidRPr="006C6C80">
        <w:rPr>
          <w:rFonts w:ascii="Cambria" w:hAnsi="Cambria"/>
          <w:b/>
          <w:lang w:val="en-US"/>
        </w:rPr>
        <w:t>a fair trial</w:t>
      </w:r>
      <w:r w:rsidR="00BA6F38" w:rsidRPr="006C6C80">
        <w:rPr>
          <w:rFonts w:ascii="Cambria" w:hAnsi="Cambria"/>
          <w:lang w:val="en-US"/>
        </w:rPr>
        <w:t xml:space="preserve">, </w:t>
      </w:r>
      <w:r w:rsidR="00EB3270" w:rsidRPr="006C6C80">
        <w:rPr>
          <w:rFonts w:ascii="Cambria" w:hAnsi="Cambria"/>
          <w:lang w:val="en-US"/>
        </w:rPr>
        <w:t>spec</w:t>
      </w:r>
      <w:r w:rsidRPr="006C6C80">
        <w:rPr>
          <w:rFonts w:ascii="Cambria" w:hAnsi="Cambria"/>
          <w:lang w:val="en-US"/>
        </w:rPr>
        <w:t>ifically, regarding the allegation relative to the absence of independence and impartiality of the Supreme Court of Justice, it indicated that it did not act as judge and jury. Regarding this, it stated that the Supreme Court of Justice judges themselves recused themselves from hearing the proceedings, pursuant to national law</w:t>
      </w:r>
      <w:r w:rsidR="00693395" w:rsidRPr="006C6C80">
        <w:rPr>
          <w:rFonts w:ascii="Cambria" w:hAnsi="Cambria"/>
          <w:lang w:val="en-US"/>
        </w:rPr>
        <w:t xml:space="preserve">. </w:t>
      </w:r>
      <w:r w:rsidRPr="006C6C80">
        <w:rPr>
          <w:rFonts w:ascii="Cambria" w:hAnsi="Cambria"/>
          <w:lang w:val="en-US"/>
        </w:rPr>
        <w:t>It added that the judges of the</w:t>
      </w:r>
      <w:r w:rsidR="0007740C" w:rsidRPr="006C6C80">
        <w:rPr>
          <w:rFonts w:ascii="Cambria" w:hAnsi="Cambria"/>
          <w:lang w:val="en-US"/>
        </w:rPr>
        <w:t xml:space="preserve"> CSJ </w:t>
      </w:r>
      <w:r w:rsidRPr="006C6C80">
        <w:rPr>
          <w:rFonts w:ascii="Cambria" w:hAnsi="Cambria"/>
          <w:lang w:val="en-US"/>
        </w:rPr>
        <w:t>only reviewed the dispute as representatives of the emplo</w:t>
      </w:r>
      <w:r w:rsidR="00AA3098">
        <w:rPr>
          <w:rFonts w:ascii="Cambria" w:hAnsi="Cambria"/>
          <w:lang w:val="en-US"/>
        </w:rPr>
        <w:t xml:space="preserve">yer-state </w:t>
      </w:r>
      <w:r w:rsidR="00614B81">
        <w:rPr>
          <w:rFonts w:ascii="Cambria" w:hAnsi="Cambria"/>
          <w:lang w:val="en-US"/>
        </w:rPr>
        <w:t>when ruling on and</w:t>
      </w:r>
      <w:r w:rsidRPr="006C6C80">
        <w:rPr>
          <w:rFonts w:ascii="Cambria" w:hAnsi="Cambria"/>
          <w:lang w:val="en-US"/>
        </w:rPr>
        <w:t xml:space="preserve"> implementing, on September 1, 1999, the dismissals that had been authorized on May 13, 1996 by an impartial, independ</w:t>
      </w:r>
      <w:r w:rsidR="00614B81">
        <w:rPr>
          <w:rFonts w:ascii="Cambria" w:hAnsi="Cambria"/>
          <w:lang w:val="en-US"/>
        </w:rPr>
        <w:t>ent, and competent court, namely, the F</w:t>
      </w:r>
      <w:r w:rsidRPr="006C6C80">
        <w:rPr>
          <w:rFonts w:ascii="Cambria" w:hAnsi="Cambria"/>
          <w:lang w:val="en-US"/>
        </w:rPr>
        <w:t xml:space="preserve">irst </w:t>
      </w:r>
      <w:r w:rsidR="00614B81">
        <w:rPr>
          <w:rFonts w:ascii="Cambria" w:hAnsi="Cambria"/>
          <w:lang w:val="en-US"/>
        </w:rPr>
        <w:t>C</w:t>
      </w:r>
      <w:r w:rsidRPr="006C6C80">
        <w:rPr>
          <w:rFonts w:ascii="Cambria" w:hAnsi="Cambria"/>
          <w:lang w:val="en-US"/>
        </w:rPr>
        <w:t>hamber of the Labor and Social Welfare Appeals Court</w:t>
      </w:r>
      <w:r w:rsidR="0007740C" w:rsidRPr="006C6C80">
        <w:rPr>
          <w:rFonts w:ascii="Cambria" w:hAnsi="Cambria"/>
          <w:lang w:val="en-US"/>
        </w:rPr>
        <w:t>.</w:t>
      </w:r>
    </w:p>
    <w:p w:rsidR="005C4459" w:rsidRPr="006C6C80" w:rsidRDefault="005C4459" w:rsidP="00B54921">
      <w:pPr>
        <w:pStyle w:val="ListParagraph"/>
        <w:tabs>
          <w:tab w:val="left" w:pos="720"/>
        </w:tabs>
      </w:pPr>
    </w:p>
    <w:p w:rsidR="005C4459" w:rsidRPr="006C6C80" w:rsidRDefault="005B1FA3" w:rsidP="00B54921">
      <w:pPr>
        <w:pStyle w:val="parrafos"/>
        <w:numPr>
          <w:ilvl w:val="0"/>
          <w:numId w:val="56"/>
        </w:numPr>
        <w:tabs>
          <w:tab w:val="left" w:pos="720"/>
        </w:tabs>
        <w:ind w:left="0" w:firstLine="0"/>
        <w:rPr>
          <w:rFonts w:ascii="Cambria" w:hAnsi="Cambria"/>
          <w:lang w:val="en-US"/>
        </w:rPr>
      </w:pPr>
      <w:r w:rsidRPr="006C6C80">
        <w:rPr>
          <w:rFonts w:ascii="Cambria" w:hAnsi="Cambria"/>
          <w:lang w:val="en-US"/>
        </w:rPr>
        <w:t>In connect</w:t>
      </w:r>
      <w:r w:rsidR="0040024A" w:rsidRPr="006C6C80">
        <w:rPr>
          <w:rFonts w:ascii="Cambria" w:hAnsi="Cambria"/>
          <w:lang w:val="en-US"/>
        </w:rPr>
        <w:t>ion</w:t>
      </w:r>
      <w:r w:rsidRPr="006C6C80">
        <w:rPr>
          <w:rFonts w:ascii="Cambria" w:hAnsi="Cambria"/>
          <w:lang w:val="en-US"/>
        </w:rPr>
        <w:t xml:space="preserve"> with the alle</w:t>
      </w:r>
      <w:r w:rsidR="0040024A" w:rsidRPr="006C6C80">
        <w:rPr>
          <w:rFonts w:ascii="Cambria" w:hAnsi="Cambria"/>
          <w:lang w:val="en-US"/>
        </w:rPr>
        <w:t>gation made by the petitioners for</w:t>
      </w:r>
      <w:r w:rsidRPr="006C6C80">
        <w:rPr>
          <w:rFonts w:ascii="Cambria" w:hAnsi="Cambria"/>
          <w:lang w:val="en-US"/>
        </w:rPr>
        <w:t xml:space="preserve"> the need to establish another court </w:t>
      </w:r>
      <w:r w:rsidR="003178A7">
        <w:rPr>
          <w:rFonts w:ascii="Cambria" w:hAnsi="Cambria"/>
          <w:lang w:val="en-US"/>
        </w:rPr>
        <w:t>to hear the dispute between the Union’s</w:t>
      </w:r>
      <w:r w:rsidR="00614B81">
        <w:rPr>
          <w:rFonts w:ascii="Cambria" w:hAnsi="Cambria"/>
          <w:lang w:val="en-US"/>
        </w:rPr>
        <w:t xml:space="preserve"> </w:t>
      </w:r>
      <w:r w:rsidRPr="006C6C80">
        <w:rPr>
          <w:rFonts w:ascii="Cambria" w:hAnsi="Cambria"/>
          <w:lang w:val="en-US"/>
        </w:rPr>
        <w:t>workers</w:t>
      </w:r>
      <w:r w:rsidR="00614B81">
        <w:rPr>
          <w:rFonts w:ascii="Cambria" w:hAnsi="Cambria"/>
          <w:lang w:val="en-US"/>
        </w:rPr>
        <w:t xml:space="preserve"> and the Ju</w:t>
      </w:r>
      <w:r w:rsidRPr="006C6C80">
        <w:rPr>
          <w:rFonts w:ascii="Cambria" w:hAnsi="Cambria"/>
          <w:lang w:val="en-US"/>
        </w:rPr>
        <w:t>diciary</w:t>
      </w:r>
      <w:r w:rsidR="0040024A" w:rsidRPr="006C6C80">
        <w:rPr>
          <w:rFonts w:ascii="Cambria" w:hAnsi="Cambria"/>
          <w:lang w:val="en-US"/>
        </w:rPr>
        <w:t>, the state argued that creating a special court would violate the principle of equality for all judicial proceedings</w:t>
      </w:r>
      <w:r w:rsidR="00E079D2" w:rsidRPr="006C6C80">
        <w:rPr>
          <w:rFonts w:ascii="Cambria" w:hAnsi="Cambria"/>
          <w:lang w:val="en-US"/>
        </w:rPr>
        <w:t xml:space="preserve">. </w:t>
      </w:r>
      <w:r w:rsidR="0040024A" w:rsidRPr="006C6C80">
        <w:rPr>
          <w:rFonts w:ascii="Cambria" w:hAnsi="Cambria"/>
          <w:lang w:val="en-US"/>
        </w:rPr>
        <w:t>It pointed out that the National Constitution establishes that all regular courts shall hear all disputes under private law to which the state, the municipality, or any other decentralized or autonomous entity are a party</w:t>
      </w:r>
      <w:r w:rsidR="004F569A" w:rsidRPr="006C6C80">
        <w:rPr>
          <w:rFonts w:ascii="Cambria" w:hAnsi="Cambria"/>
          <w:lang w:val="en-US"/>
        </w:rPr>
        <w:t>.</w:t>
      </w:r>
    </w:p>
    <w:p w:rsidR="005C4459" w:rsidRPr="006C6C80" w:rsidRDefault="005C4459" w:rsidP="00B54921">
      <w:pPr>
        <w:pStyle w:val="ListParagraph"/>
        <w:tabs>
          <w:tab w:val="left" w:pos="720"/>
        </w:tabs>
      </w:pPr>
    </w:p>
    <w:p w:rsidR="005C4459" w:rsidRPr="006C6C80" w:rsidRDefault="0040024A" w:rsidP="00B54921">
      <w:pPr>
        <w:pStyle w:val="parrafos"/>
        <w:numPr>
          <w:ilvl w:val="0"/>
          <w:numId w:val="56"/>
        </w:numPr>
        <w:tabs>
          <w:tab w:val="left" w:pos="720"/>
        </w:tabs>
        <w:ind w:left="0" w:firstLine="0"/>
        <w:rPr>
          <w:rFonts w:ascii="Cambria" w:hAnsi="Cambria"/>
          <w:lang w:val="en-US"/>
        </w:rPr>
      </w:pPr>
      <w:r w:rsidRPr="006C6C80">
        <w:rPr>
          <w:rFonts w:ascii="Cambria" w:hAnsi="Cambria"/>
          <w:lang w:val="en-US"/>
        </w:rPr>
        <w:t xml:space="preserve">It added that it was the </w:t>
      </w:r>
      <w:r w:rsidR="00C4756E">
        <w:rPr>
          <w:rFonts w:ascii="Cambria" w:hAnsi="Cambria"/>
          <w:lang w:val="en-US"/>
        </w:rPr>
        <w:t>Constitutional Court</w:t>
      </w:r>
      <w:r w:rsidRPr="006C6C80">
        <w:rPr>
          <w:rFonts w:ascii="Cambria" w:hAnsi="Cambria"/>
          <w:lang w:val="en-US"/>
        </w:rPr>
        <w:t xml:space="preserve"> that was in charg</w:t>
      </w:r>
      <w:r w:rsidR="00614B81">
        <w:rPr>
          <w:rFonts w:ascii="Cambria" w:hAnsi="Cambria"/>
          <w:lang w:val="en-US"/>
        </w:rPr>
        <w:t>e</w:t>
      </w:r>
      <w:r w:rsidRPr="006C6C80">
        <w:rPr>
          <w:rFonts w:ascii="Cambria" w:hAnsi="Cambria"/>
          <w:lang w:val="en-US"/>
        </w:rPr>
        <w:t xml:space="preserve"> of reviewing human rights violations submitted by the petitioners and that s</w:t>
      </w:r>
      <w:r w:rsidR="00614B81">
        <w:rPr>
          <w:rFonts w:ascii="Cambria" w:hAnsi="Cambria"/>
          <w:lang w:val="en-US"/>
        </w:rPr>
        <w:t>aid body is completely separate</w:t>
      </w:r>
      <w:r w:rsidRPr="006C6C80">
        <w:rPr>
          <w:rFonts w:ascii="Cambria" w:hAnsi="Cambria"/>
          <w:lang w:val="en-US"/>
        </w:rPr>
        <w:t xml:space="preserve"> from the Judiciary</w:t>
      </w:r>
      <w:r w:rsidR="0007740C" w:rsidRPr="006C6C80">
        <w:rPr>
          <w:rFonts w:ascii="Cambria" w:hAnsi="Cambria"/>
          <w:lang w:val="en-US"/>
        </w:rPr>
        <w:t>.</w:t>
      </w:r>
      <w:r w:rsidR="007858FD" w:rsidRPr="006C6C80">
        <w:rPr>
          <w:rFonts w:ascii="Cambria" w:hAnsi="Cambria"/>
          <w:lang w:val="en-US"/>
        </w:rPr>
        <w:t xml:space="preserve"> </w:t>
      </w:r>
      <w:r w:rsidRPr="006C6C80">
        <w:rPr>
          <w:rFonts w:ascii="Cambria" w:hAnsi="Cambria"/>
          <w:lang w:val="en-US"/>
        </w:rPr>
        <w:t xml:space="preserve">It finally stated that, regarding the </w:t>
      </w:r>
      <w:r w:rsidR="0056182C" w:rsidRPr="006C6C80">
        <w:rPr>
          <w:rFonts w:ascii="Cambria" w:hAnsi="Cambria"/>
          <w:lang w:val="en-US"/>
        </w:rPr>
        <w:t>lawfulness</w:t>
      </w:r>
      <w:r w:rsidRPr="006C6C80">
        <w:rPr>
          <w:rFonts w:ascii="Cambria" w:hAnsi="Cambria"/>
          <w:lang w:val="en-US"/>
        </w:rPr>
        <w:t xml:space="preserve"> of the dismissals, it is the </w:t>
      </w:r>
      <w:r w:rsidR="00C4756E">
        <w:rPr>
          <w:rFonts w:ascii="Cambria" w:hAnsi="Cambria"/>
          <w:lang w:val="en-US"/>
        </w:rPr>
        <w:t>Constitutional Court</w:t>
      </w:r>
      <w:r w:rsidRPr="006C6C80">
        <w:rPr>
          <w:rFonts w:ascii="Cambria" w:hAnsi="Cambria"/>
          <w:lang w:val="en-US"/>
        </w:rPr>
        <w:t>, and not the Supreme Court of Justice, that takes the final decision</w:t>
      </w:r>
      <w:r w:rsidR="00693395" w:rsidRPr="006C6C80">
        <w:rPr>
          <w:rFonts w:ascii="Cambria" w:hAnsi="Cambria"/>
          <w:lang w:val="en-US"/>
        </w:rPr>
        <w:t>.</w:t>
      </w:r>
      <w:r w:rsidR="00C66564" w:rsidRPr="006C6C80">
        <w:rPr>
          <w:rFonts w:ascii="Cambria" w:hAnsi="Cambria"/>
          <w:lang w:val="en-US"/>
        </w:rPr>
        <w:t xml:space="preserve"> </w:t>
      </w:r>
    </w:p>
    <w:p w:rsidR="005C4459" w:rsidRPr="006C6C80" w:rsidRDefault="005C4459" w:rsidP="00B54921">
      <w:pPr>
        <w:pStyle w:val="ListParagraph"/>
        <w:tabs>
          <w:tab w:val="left" w:pos="720"/>
        </w:tabs>
      </w:pPr>
    </w:p>
    <w:p w:rsidR="005C4459" w:rsidRPr="006C6C80" w:rsidRDefault="0040024A" w:rsidP="00B54921">
      <w:pPr>
        <w:pStyle w:val="parrafos"/>
        <w:numPr>
          <w:ilvl w:val="0"/>
          <w:numId w:val="56"/>
        </w:numPr>
        <w:tabs>
          <w:tab w:val="left" w:pos="720"/>
        </w:tabs>
        <w:ind w:left="0" w:firstLine="0"/>
        <w:rPr>
          <w:rFonts w:ascii="Cambria" w:hAnsi="Cambria"/>
          <w:lang w:val="en-US"/>
        </w:rPr>
      </w:pPr>
      <w:r w:rsidRPr="006C6C80">
        <w:rPr>
          <w:rFonts w:ascii="Cambria" w:hAnsi="Cambria"/>
          <w:lang w:val="en-US"/>
        </w:rPr>
        <w:t>Furthermore, regarding</w:t>
      </w:r>
      <w:r w:rsidR="004450D2" w:rsidRPr="006C6C80">
        <w:rPr>
          <w:rFonts w:ascii="Cambria" w:hAnsi="Cambria"/>
          <w:lang w:val="en-US"/>
        </w:rPr>
        <w:t xml:space="preserve"> </w:t>
      </w:r>
      <w:r w:rsidRPr="006C6C80">
        <w:rPr>
          <w:rFonts w:ascii="Cambria" w:hAnsi="Cambria"/>
          <w:b/>
          <w:lang w:val="en-US"/>
        </w:rPr>
        <w:t>judicial protection</w:t>
      </w:r>
      <w:r w:rsidR="004450D2" w:rsidRPr="006C6C80">
        <w:rPr>
          <w:rFonts w:ascii="Cambria" w:hAnsi="Cambria"/>
          <w:lang w:val="en-US"/>
        </w:rPr>
        <w:t>, i</w:t>
      </w:r>
      <w:r w:rsidRPr="006C6C80">
        <w:rPr>
          <w:rFonts w:ascii="Cambria" w:hAnsi="Cambria"/>
          <w:lang w:val="en-US"/>
        </w:rPr>
        <w:t>t indicated that the petitioners had the opportunity to take advantage</w:t>
      </w:r>
      <w:r w:rsidR="00614B81">
        <w:rPr>
          <w:rFonts w:ascii="Cambria" w:hAnsi="Cambria"/>
          <w:lang w:val="en-US"/>
        </w:rPr>
        <w:t xml:space="preserve"> of</w:t>
      </w:r>
      <w:r w:rsidRPr="006C6C80">
        <w:rPr>
          <w:rFonts w:ascii="Cambria" w:hAnsi="Cambria"/>
          <w:lang w:val="en-US"/>
        </w:rPr>
        <w:t xml:space="preserve"> all the re</w:t>
      </w:r>
      <w:r w:rsidR="00614B81">
        <w:rPr>
          <w:rFonts w:ascii="Cambria" w:hAnsi="Cambria"/>
          <w:lang w:val="en-US"/>
        </w:rPr>
        <w:t>courses</w:t>
      </w:r>
      <w:r w:rsidRPr="006C6C80">
        <w:rPr>
          <w:rFonts w:ascii="Cambria" w:hAnsi="Cambria"/>
          <w:lang w:val="en-US"/>
        </w:rPr>
        <w:t xml:space="preserve"> available under domestic law, which were ruled upon by a competent court</w:t>
      </w:r>
      <w:r w:rsidR="004450D2" w:rsidRPr="006C6C80">
        <w:rPr>
          <w:rFonts w:ascii="Cambria" w:hAnsi="Cambria"/>
          <w:lang w:val="en-US"/>
        </w:rPr>
        <w:t>.</w:t>
      </w:r>
      <w:r w:rsidR="00C66564" w:rsidRPr="006C6C80">
        <w:rPr>
          <w:rFonts w:ascii="Cambria" w:hAnsi="Cambria"/>
          <w:lang w:val="en-US"/>
        </w:rPr>
        <w:t xml:space="preserve"> </w:t>
      </w:r>
    </w:p>
    <w:p w:rsidR="005C4459" w:rsidRPr="006C6C80" w:rsidRDefault="005C4459" w:rsidP="00B54921">
      <w:pPr>
        <w:pStyle w:val="ListParagraph"/>
        <w:tabs>
          <w:tab w:val="left" w:pos="720"/>
        </w:tabs>
      </w:pPr>
    </w:p>
    <w:p w:rsidR="005C4459" w:rsidRPr="006C6C80" w:rsidRDefault="0040024A" w:rsidP="00B54921">
      <w:pPr>
        <w:pStyle w:val="parrafos"/>
        <w:numPr>
          <w:ilvl w:val="0"/>
          <w:numId w:val="56"/>
        </w:numPr>
        <w:tabs>
          <w:tab w:val="left" w:pos="720"/>
        </w:tabs>
        <w:ind w:left="0" w:firstLine="0"/>
        <w:rPr>
          <w:rFonts w:ascii="Cambria" w:hAnsi="Cambria"/>
          <w:lang w:val="en-US"/>
        </w:rPr>
      </w:pPr>
      <w:r w:rsidRPr="006C6C80">
        <w:rPr>
          <w:rFonts w:ascii="Cambria" w:hAnsi="Cambria"/>
          <w:lang w:val="en-US"/>
        </w:rPr>
        <w:lastRenderedPageBreak/>
        <w:t>It added that a</w:t>
      </w:r>
      <w:r w:rsidR="00614B81">
        <w:rPr>
          <w:rFonts w:ascii="Cambria" w:hAnsi="Cambria"/>
          <w:lang w:val="en-US"/>
        </w:rPr>
        <w:t>l</w:t>
      </w:r>
      <w:r w:rsidRPr="006C6C80">
        <w:rPr>
          <w:rFonts w:ascii="Cambria" w:hAnsi="Cambria"/>
          <w:lang w:val="en-US"/>
        </w:rPr>
        <w:t xml:space="preserve">l the dismissed employees had the right to go before a labor court to remedy any </w:t>
      </w:r>
      <w:r w:rsidR="0056182C" w:rsidRPr="006C6C80">
        <w:rPr>
          <w:rFonts w:ascii="Cambria" w:hAnsi="Cambria"/>
          <w:lang w:val="en-US"/>
        </w:rPr>
        <w:t>unlawfulness</w:t>
      </w:r>
      <w:r w:rsidRPr="006C6C80">
        <w:rPr>
          <w:rFonts w:ascii="Cambria" w:hAnsi="Cambria"/>
          <w:lang w:val="en-US"/>
        </w:rPr>
        <w:t xml:space="preserve"> that might have been committed to their detriment</w:t>
      </w:r>
      <w:r w:rsidR="00C86195" w:rsidRPr="006C6C80">
        <w:rPr>
          <w:rFonts w:ascii="Cambria" w:hAnsi="Cambria"/>
          <w:lang w:val="en-US"/>
        </w:rPr>
        <w:t>.</w:t>
      </w:r>
      <w:r w:rsidR="00C66564" w:rsidRPr="006C6C80">
        <w:rPr>
          <w:rFonts w:ascii="Cambria" w:hAnsi="Cambria"/>
          <w:lang w:val="en-US"/>
        </w:rPr>
        <w:t xml:space="preserve"> </w:t>
      </w:r>
      <w:r w:rsidR="00F22CF1" w:rsidRPr="006C6C80">
        <w:rPr>
          <w:rFonts w:ascii="Cambria" w:hAnsi="Cambria"/>
          <w:lang w:val="en-US"/>
        </w:rPr>
        <w:t>I</w:t>
      </w:r>
      <w:r w:rsidRPr="006C6C80">
        <w:rPr>
          <w:rFonts w:ascii="Cambria" w:hAnsi="Cambria"/>
          <w:lang w:val="en-US"/>
        </w:rPr>
        <w:t>t in</w:t>
      </w:r>
      <w:r w:rsidR="006E31DC" w:rsidRPr="006C6C80">
        <w:rPr>
          <w:rFonts w:ascii="Cambria" w:hAnsi="Cambria"/>
          <w:lang w:val="en-US"/>
        </w:rPr>
        <w:t>dicated that three years had elapsed fro</w:t>
      </w:r>
      <w:r w:rsidR="00881967" w:rsidRPr="006C6C80">
        <w:rPr>
          <w:rFonts w:ascii="Cambria" w:hAnsi="Cambria"/>
          <w:lang w:val="en-US"/>
        </w:rPr>
        <w:t>m</w:t>
      </w:r>
      <w:r w:rsidR="006E31DC" w:rsidRPr="006C6C80">
        <w:rPr>
          <w:rFonts w:ascii="Cambria" w:hAnsi="Cambria"/>
          <w:lang w:val="en-US"/>
        </w:rPr>
        <w:t xml:space="preserve"> </w:t>
      </w:r>
      <w:r w:rsidR="00276156">
        <w:rPr>
          <w:rFonts w:ascii="Cambria" w:hAnsi="Cambria"/>
          <w:lang w:val="en-US"/>
        </w:rPr>
        <w:t xml:space="preserve">the time </w:t>
      </w:r>
      <w:r w:rsidR="006E31DC" w:rsidRPr="006C6C80">
        <w:rPr>
          <w:rFonts w:ascii="Cambria" w:hAnsi="Cambria"/>
          <w:lang w:val="en-US"/>
        </w:rPr>
        <w:t>the</w:t>
      </w:r>
      <w:r w:rsidRPr="006C6C80">
        <w:rPr>
          <w:rFonts w:ascii="Cambria" w:hAnsi="Cambria"/>
          <w:lang w:val="en-US"/>
        </w:rPr>
        <w:t xml:space="preserve"> </w:t>
      </w:r>
      <w:r w:rsidR="006E31DC" w:rsidRPr="006C6C80">
        <w:rPr>
          <w:rFonts w:ascii="Cambria" w:hAnsi="Cambria"/>
          <w:lang w:val="en-US"/>
        </w:rPr>
        <w:t xml:space="preserve">order declaring </w:t>
      </w:r>
      <w:r w:rsidR="00276156">
        <w:rPr>
          <w:rFonts w:ascii="Cambria" w:hAnsi="Cambria"/>
          <w:lang w:val="en-US"/>
        </w:rPr>
        <w:t xml:space="preserve">that </w:t>
      </w:r>
      <w:r w:rsidR="006E31DC" w:rsidRPr="006C6C80">
        <w:rPr>
          <w:rFonts w:ascii="Cambria" w:hAnsi="Cambria"/>
          <w:lang w:val="en-US"/>
        </w:rPr>
        <w:t xml:space="preserve">the strike was </w:t>
      </w:r>
      <w:r w:rsidR="0056182C" w:rsidRPr="006C6C80">
        <w:rPr>
          <w:rFonts w:ascii="Cambria" w:hAnsi="Cambria"/>
          <w:lang w:val="en-US"/>
        </w:rPr>
        <w:t>unlawful</w:t>
      </w:r>
      <w:r w:rsidR="006E31DC" w:rsidRPr="006C6C80">
        <w:rPr>
          <w:rFonts w:ascii="Cambria" w:hAnsi="Cambria"/>
          <w:lang w:val="en-US"/>
        </w:rPr>
        <w:t xml:space="preserve"> was issued on May 13, </w:t>
      </w:r>
      <w:r w:rsidR="00BA2E4A" w:rsidRPr="006C6C80">
        <w:rPr>
          <w:rFonts w:ascii="Cambria" w:hAnsi="Cambria"/>
          <w:lang w:val="en-US"/>
        </w:rPr>
        <w:t xml:space="preserve">1996 </w:t>
      </w:r>
      <w:r w:rsidR="00276156">
        <w:rPr>
          <w:rFonts w:ascii="Cambria" w:hAnsi="Cambria"/>
          <w:lang w:val="en-US"/>
        </w:rPr>
        <w:t>to</w:t>
      </w:r>
      <w:r w:rsidR="006E31DC" w:rsidRPr="006C6C80">
        <w:rPr>
          <w:rFonts w:ascii="Cambria" w:hAnsi="Cambria"/>
          <w:lang w:val="en-US"/>
        </w:rPr>
        <w:t xml:space="preserve"> its implementation on August 23, </w:t>
      </w:r>
      <w:r w:rsidR="00BA2E4A" w:rsidRPr="006C6C80">
        <w:rPr>
          <w:rFonts w:ascii="Cambria" w:hAnsi="Cambria"/>
          <w:lang w:val="en-US"/>
        </w:rPr>
        <w:t xml:space="preserve">1999. </w:t>
      </w:r>
      <w:r w:rsidR="006E31DC" w:rsidRPr="006C6C80">
        <w:rPr>
          <w:rFonts w:ascii="Cambria" w:hAnsi="Cambria"/>
          <w:lang w:val="en-US"/>
        </w:rPr>
        <w:t xml:space="preserve">It indicated that, during this time, the </w:t>
      </w:r>
      <w:r w:rsidR="003178A7">
        <w:rPr>
          <w:rFonts w:ascii="Cambria" w:hAnsi="Cambria"/>
          <w:lang w:val="en-US"/>
        </w:rPr>
        <w:t>U</w:t>
      </w:r>
      <w:r w:rsidR="006E31DC" w:rsidRPr="006C6C80">
        <w:rPr>
          <w:rFonts w:ascii="Cambria" w:hAnsi="Cambria"/>
          <w:lang w:val="en-US"/>
        </w:rPr>
        <w:t xml:space="preserve">nion filed all the </w:t>
      </w:r>
      <w:r w:rsidR="00276156">
        <w:rPr>
          <w:rFonts w:ascii="Cambria" w:hAnsi="Cambria"/>
          <w:lang w:val="en-US"/>
        </w:rPr>
        <w:t>motions to</w:t>
      </w:r>
      <w:r w:rsidR="006E31DC" w:rsidRPr="006C6C80">
        <w:rPr>
          <w:rFonts w:ascii="Cambria" w:hAnsi="Cambria"/>
          <w:lang w:val="en-US"/>
        </w:rPr>
        <w:t xml:space="preserve"> challeng</w:t>
      </w:r>
      <w:r w:rsidR="00276156">
        <w:rPr>
          <w:rFonts w:ascii="Cambria" w:hAnsi="Cambria"/>
          <w:lang w:val="en-US"/>
        </w:rPr>
        <w:t>e</w:t>
      </w:r>
      <w:r w:rsidR="006E31DC" w:rsidRPr="006C6C80">
        <w:rPr>
          <w:rFonts w:ascii="Cambria" w:hAnsi="Cambria"/>
          <w:lang w:val="en-US"/>
        </w:rPr>
        <w:t xml:space="preserve"> the order and </w:t>
      </w:r>
      <w:r w:rsidR="00276156">
        <w:rPr>
          <w:rFonts w:ascii="Cambria" w:hAnsi="Cambria"/>
          <w:lang w:val="en-US"/>
        </w:rPr>
        <w:t>file</w:t>
      </w:r>
      <w:r w:rsidR="003178A7">
        <w:rPr>
          <w:rFonts w:ascii="Cambria" w:hAnsi="Cambria"/>
          <w:lang w:val="en-US"/>
        </w:rPr>
        <w:t>d</w:t>
      </w:r>
      <w:r w:rsidR="00276156">
        <w:rPr>
          <w:rFonts w:ascii="Cambria" w:hAnsi="Cambria"/>
          <w:lang w:val="en-US"/>
        </w:rPr>
        <w:t xml:space="preserve"> </w:t>
      </w:r>
      <w:r w:rsidR="006E31DC" w:rsidRPr="006C6C80">
        <w:rPr>
          <w:rFonts w:ascii="Cambria" w:hAnsi="Cambria"/>
          <w:lang w:val="en-US"/>
        </w:rPr>
        <w:t xml:space="preserve">proceedings for protection on constitutional grounds, for which it was summoned and heard in the corresponding </w:t>
      </w:r>
      <w:r w:rsidR="002E17C5" w:rsidRPr="006C6C80">
        <w:rPr>
          <w:rFonts w:ascii="Cambria" w:hAnsi="Cambria"/>
          <w:lang w:val="en-US"/>
        </w:rPr>
        <w:t>standard</w:t>
      </w:r>
      <w:r w:rsidR="006E31DC" w:rsidRPr="006C6C80">
        <w:rPr>
          <w:rFonts w:ascii="Cambria" w:hAnsi="Cambria"/>
          <w:lang w:val="en-US"/>
        </w:rPr>
        <w:t xml:space="preserve"> and special courts</w:t>
      </w:r>
      <w:r w:rsidR="00BA2E4A" w:rsidRPr="006C6C80">
        <w:rPr>
          <w:rFonts w:ascii="Cambria" w:hAnsi="Cambria"/>
          <w:lang w:val="en-US"/>
        </w:rPr>
        <w:t>.</w:t>
      </w:r>
    </w:p>
    <w:p w:rsidR="005C4459" w:rsidRPr="006C6C80" w:rsidRDefault="005C4459" w:rsidP="00B54921">
      <w:pPr>
        <w:pStyle w:val="ListParagraph"/>
        <w:tabs>
          <w:tab w:val="left" w:pos="720"/>
        </w:tabs>
      </w:pPr>
    </w:p>
    <w:p w:rsidR="005C4459" w:rsidRPr="006C6C80" w:rsidRDefault="00C163D9" w:rsidP="00B54921">
      <w:pPr>
        <w:pStyle w:val="parrafos"/>
        <w:numPr>
          <w:ilvl w:val="0"/>
          <w:numId w:val="56"/>
        </w:numPr>
        <w:tabs>
          <w:tab w:val="left" w:pos="720"/>
        </w:tabs>
        <w:ind w:left="0" w:firstLine="0"/>
        <w:rPr>
          <w:rFonts w:ascii="Cambria" w:hAnsi="Cambria"/>
          <w:lang w:val="en-US"/>
        </w:rPr>
      </w:pPr>
      <w:r w:rsidRPr="006C6C80">
        <w:rPr>
          <w:rFonts w:ascii="Cambria" w:hAnsi="Cambria"/>
          <w:lang w:val="en-US"/>
        </w:rPr>
        <w:t>Regarding the</w:t>
      </w:r>
      <w:r w:rsidR="00C57174" w:rsidRPr="006C6C80">
        <w:rPr>
          <w:rFonts w:ascii="Cambria" w:hAnsi="Cambria"/>
          <w:lang w:val="en-US"/>
        </w:rPr>
        <w:t xml:space="preserve"> </w:t>
      </w:r>
      <w:r w:rsidRPr="006C6C80">
        <w:rPr>
          <w:rFonts w:ascii="Cambria" w:hAnsi="Cambria"/>
          <w:b/>
          <w:lang w:val="en-US"/>
        </w:rPr>
        <w:t>rights to freedom of association</w:t>
      </w:r>
      <w:r w:rsidRPr="006C6C80">
        <w:rPr>
          <w:rFonts w:ascii="Cambria" w:hAnsi="Cambria"/>
          <w:lang w:val="en-US"/>
        </w:rPr>
        <w:t xml:space="preserve"> and </w:t>
      </w:r>
      <w:r w:rsidRPr="006C6C80">
        <w:rPr>
          <w:rFonts w:ascii="Cambria" w:hAnsi="Cambria"/>
          <w:b/>
          <w:lang w:val="en-US"/>
        </w:rPr>
        <w:t>equality before the law</w:t>
      </w:r>
      <w:r w:rsidR="00F95083" w:rsidRPr="006C6C80">
        <w:rPr>
          <w:rFonts w:ascii="Cambria" w:hAnsi="Cambria"/>
          <w:b/>
          <w:lang w:val="en-US"/>
        </w:rPr>
        <w:t xml:space="preserve">, </w:t>
      </w:r>
      <w:r w:rsidRPr="006C6C80">
        <w:rPr>
          <w:rFonts w:ascii="Cambria" w:hAnsi="Cambria"/>
          <w:lang w:val="en-US"/>
        </w:rPr>
        <w:t>the state indicated</w:t>
      </w:r>
      <w:r w:rsidR="00276156">
        <w:rPr>
          <w:rFonts w:ascii="Cambria" w:hAnsi="Cambria"/>
          <w:lang w:val="en-US"/>
        </w:rPr>
        <w:t xml:space="preserve"> that the ruling issued by the F</w:t>
      </w:r>
      <w:r w:rsidRPr="006C6C80">
        <w:rPr>
          <w:rFonts w:ascii="Cambria" w:hAnsi="Cambria"/>
          <w:lang w:val="en-US"/>
        </w:rPr>
        <w:t xml:space="preserve">irst </w:t>
      </w:r>
      <w:r w:rsidR="00276156">
        <w:rPr>
          <w:rFonts w:ascii="Cambria" w:hAnsi="Cambria"/>
          <w:lang w:val="en-US"/>
        </w:rPr>
        <w:t>C</w:t>
      </w:r>
      <w:r w:rsidRPr="006C6C80">
        <w:rPr>
          <w:rFonts w:ascii="Cambria" w:hAnsi="Cambria"/>
          <w:lang w:val="en-US"/>
        </w:rPr>
        <w:t xml:space="preserve">hamber of the Labor and Social Welfare Appeals Court granted the state the legitimacy to proceed with the dismissals and did not </w:t>
      </w:r>
      <w:r w:rsidR="008C7D77">
        <w:rPr>
          <w:rFonts w:ascii="Cambria" w:hAnsi="Cambria"/>
          <w:lang w:val="en-US"/>
        </w:rPr>
        <w:t>establish</w:t>
      </w:r>
      <w:r w:rsidRPr="006C6C80">
        <w:rPr>
          <w:rFonts w:ascii="Cambria" w:hAnsi="Cambria"/>
          <w:lang w:val="en-US"/>
        </w:rPr>
        <w:t xml:space="preserve"> any diff</w:t>
      </w:r>
      <w:r w:rsidR="00276156">
        <w:rPr>
          <w:rFonts w:ascii="Cambria" w:hAnsi="Cambria"/>
          <w:lang w:val="en-US"/>
        </w:rPr>
        <w:t xml:space="preserve">erence or exception between </w:t>
      </w:r>
      <w:r w:rsidR="003178A7">
        <w:rPr>
          <w:rFonts w:ascii="Cambria" w:hAnsi="Cambria"/>
          <w:lang w:val="en-US"/>
        </w:rPr>
        <w:t>the U</w:t>
      </w:r>
      <w:r w:rsidR="00276156">
        <w:rPr>
          <w:rFonts w:ascii="Cambria" w:hAnsi="Cambria"/>
          <w:lang w:val="en-US"/>
        </w:rPr>
        <w:t>nio</w:t>
      </w:r>
      <w:r w:rsidRPr="006C6C80">
        <w:rPr>
          <w:rFonts w:ascii="Cambria" w:hAnsi="Cambria"/>
          <w:lang w:val="en-US"/>
        </w:rPr>
        <w:t>n</w:t>
      </w:r>
      <w:r w:rsidR="003178A7">
        <w:rPr>
          <w:rFonts w:ascii="Cambria" w:hAnsi="Cambria"/>
          <w:lang w:val="en-US"/>
        </w:rPr>
        <w:t>’s</w:t>
      </w:r>
      <w:r w:rsidRPr="006C6C80">
        <w:rPr>
          <w:rFonts w:ascii="Cambria" w:hAnsi="Cambria"/>
          <w:lang w:val="en-US"/>
        </w:rPr>
        <w:t xml:space="preserve"> leaders and the other employees</w:t>
      </w:r>
      <w:r w:rsidR="004B7DB7" w:rsidRPr="006C6C80">
        <w:rPr>
          <w:rFonts w:ascii="Cambria" w:hAnsi="Cambria"/>
          <w:lang w:val="en-US"/>
        </w:rPr>
        <w:t>.</w:t>
      </w:r>
    </w:p>
    <w:p w:rsidR="005C4459" w:rsidRPr="006C6C80" w:rsidRDefault="005C4459" w:rsidP="00B54921">
      <w:pPr>
        <w:pStyle w:val="ListParagraph"/>
        <w:tabs>
          <w:tab w:val="left" w:pos="720"/>
        </w:tabs>
      </w:pPr>
    </w:p>
    <w:p w:rsidR="000A1EBE" w:rsidRPr="006C6C80" w:rsidRDefault="00C163D9" w:rsidP="00B54921">
      <w:pPr>
        <w:pStyle w:val="parrafos"/>
        <w:numPr>
          <w:ilvl w:val="0"/>
          <w:numId w:val="56"/>
        </w:numPr>
        <w:tabs>
          <w:tab w:val="left" w:pos="720"/>
        </w:tabs>
        <w:ind w:left="0" w:firstLine="0"/>
        <w:rPr>
          <w:rFonts w:ascii="Cambria" w:hAnsi="Cambria"/>
          <w:lang w:val="en-US"/>
        </w:rPr>
      </w:pPr>
      <w:r w:rsidRPr="006C6C80">
        <w:rPr>
          <w:rFonts w:ascii="Cambria" w:hAnsi="Cambria"/>
          <w:lang w:val="en-US"/>
        </w:rPr>
        <w:t>The state concluded by indicating that it abided by all Guatemalan laws</w:t>
      </w:r>
      <w:r w:rsidR="00142E6C" w:rsidRPr="006C6C80">
        <w:rPr>
          <w:rFonts w:ascii="Cambria" w:hAnsi="Cambria"/>
          <w:lang w:val="en-US"/>
        </w:rPr>
        <w:t xml:space="preserve"> </w:t>
      </w:r>
      <w:r w:rsidRPr="006C6C80">
        <w:rPr>
          <w:rFonts w:ascii="Cambria" w:hAnsi="Cambria"/>
          <w:lang w:val="en-US"/>
        </w:rPr>
        <w:t>when it declared the illegitimacy of the strike promote by the STOJ, because it prevented the population from having the right and access to justice, which is guaranteed by the Political Constitution</w:t>
      </w:r>
      <w:r w:rsidR="00142E6C" w:rsidRPr="006C6C80">
        <w:rPr>
          <w:rFonts w:ascii="Cambria" w:hAnsi="Cambria"/>
          <w:lang w:val="en-US"/>
        </w:rPr>
        <w:t xml:space="preserve">. </w:t>
      </w:r>
    </w:p>
    <w:p w:rsidR="001C6592" w:rsidRPr="006C6C80" w:rsidRDefault="001C6592" w:rsidP="00B5492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color w:val="000000" w:themeColor="text1"/>
          <w:sz w:val="20"/>
          <w:szCs w:val="20"/>
        </w:rPr>
      </w:pPr>
    </w:p>
    <w:p w:rsidR="00E958F1" w:rsidRPr="006C6C80" w:rsidRDefault="00E958F1" w:rsidP="00B54921">
      <w:pPr>
        <w:pStyle w:val="Heading1"/>
        <w:numPr>
          <w:ilvl w:val="0"/>
          <w:numId w:val="57"/>
        </w:numPr>
        <w:tabs>
          <w:tab w:val="left" w:pos="720"/>
        </w:tabs>
        <w:ind w:left="360" w:hanging="360"/>
        <w:rPr>
          <w:lang w:val="en-US"/>
        </w:rPr>
      </w:pPr>
      <w:bookmarkStart w:id="7" w:name="_Toc527017122"/>
      <w:bookmarkStart w:id="8" w:name="_Toc18936461"/>
      <w:r w:rsidRPr="006C6C80">
        <w:rPr>
          <w:lang w:val="en-US"/>
        </w:rPr>
        <w:t>DETERMINA</w:t>
      </w:r>
      <w:r w:rsidR="00C163D9" w:rsidRPr="006C6C80">
        <w:rPr>
          <w:lang w:val="en-US"/>
        </w:rPr>
        <w:t>TIONS OF FACT</w:t>
      </w:r>
      <w:bookmarkEnd w:id="7"/>
      <w:bookmarkEnd w:id="8"/>
    </w:p>
    <w:p w:rsidR="003A3E60" w:rsidRPr="006C6C80" w:rsidRDefault="003A3E60" w:rsidP="00B5492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lang w:eastAsia="es-ES"/>
        </w:rPr>
      </w:pPr>
    </w:p>
    <w:p w:rsidR="00E958F1" w:rsidRPr="006C6C80" w:rsidRDefault="00C163D9" w:rsidP="00B54921">
      <w:pPr>
        <w:pStyle w:val="Heading2"/>
        <w:numPr>
          <w:ilvl w:val="0"/>
          <w:numId w:val="63"/>
        </w:numPr>
        <w:tabs>
          <w:tab w:val="left" w:pos="720"/>
        </w:tabs>
        <w:ind w:left="360"/>
        <w:rPr>
          <w:lang w:val="en-US"/>
        </w:rPr>
      </w:pPr>
      <w:bookmarkStart w:id="9" w:name="_Toc527017124"/>
      <w:bookmarkStart w:id="10" w:name="_Toc18936462"/>
      <w:r w:rsidRPr="006C6C80">
        <w:rPr>
          <w:lang w:val="en-US"/>
        </w:rPr>
        <w:t>Relevant regulatory framework</w:t>
      </w:r>
      <w:bookmarkEnd w:id="9"/>
      <w:bookmarkEnd w:id="10"/>
    </w:p>
    <w:p w:rsidR="00E958F1" w:rsidRPr="006C6C80" w:rsidRDefault="00E958F1" w:rsidP="00B54921">
      <w:pPr>
        <w:pStyle w:val="ListParagraph"/>
        <w:tabs>
          <w:tab w:val="left" w:pos="720"/>
        </w:tabs>
        <w:ind w:left="994"/>
        <w:jc w:val="both"/>
        <w:rPr>
          <w:rFonts w:asciiTheme="majorHAnsi" w:eastAsia="Arial Unicode MS" w:hAnsiTheme="majorHAnsi" w:cs="Times New Roman"/>
          <w:color w:val="000000" w:themeColor="text1"/>
          <w:sz w:val="20"/>
          <w:szCs w:val="20"/>
          <w:lang w:eastAsia="en-US"/>
        </w:rPr>
      </w:pPr>
    </w:p>
    <w:p w:rsidR="00E67B58" w:rsidRPr="006C6C80" w:rsidRDefault="00C163D9" w:rsidP="00B54921">
      <w:pPr>
        <w:pStyle w:val="parrafos"/>
        <w:numPr>
          <w:ilvl w:val="0"/>
          <w:numId w:val="56"/>
        </w:numPr>
        <w:tabs>
          <w:tab w:val="left" w:pos="720"/>
        </w:tabs>
        <w:ind w:left="0" w:firstLine="0"/>
        <w:rPr>
          <w:lang w:val="en-US"/>
        </w:rPr>
      </w:pPr>
      <w:r w:rsidRPr="006C6C80">
        <w:rPr>
          <w:lang w:val="en-US"/>
        </w:rPr>
        <w:t>The Commission took note that the present case involves a labor dispute governed by the Labor Code and the Collective Working Agreement itself signed by the Union and the Guatemalan Judiciary</w:t>
      </w:r>
      <w:r w:rsidR="000A2C61" w:rsidRPr="006C6C80">
        <w:rPr>
          <w:lang w:val="en-US"/>
        </w:rPr>
        <w:t xml:space="preserve">. </w:t>
      </w:r>
    </w:p>
    <w:p w:rsidR="00E67B58" w:rsidRPr="006C6C80" w:rsidRDefault="00E67B58" w:rsidP="00B54921">
      <w:pPr>
        <w:pStyle w:val="parrafos"/>
        <w:tabs>
          <w:tab w:val="left" w:pos="720"/>
        </w:tabs>
        <w:rPr>
          <w:lang w:val="en-US"/>
        </w:rPr>
      </w:pPr>
    </w:p>
    <w:p w:rsidR="00E958F1" w:rsidRPr="006C6C80" w:rsidRDefault="00C163D9" w:rsidP="00B54921">
      <w:pPr>
        <w:pStyle w:val="parrafos"/>
        <w:numPr>
          <w:ilvl w:val="0"/>
          <w:numId w:val="56"/>
        </w:numPr>
        <w:tabs>
          <w:tab w:val="left" w:pos="720"/>
        </w:tabs>
        <w:ind w:left="0" w:firstLine="0"/>
        <w:rPr>
          <w:lang w:val="en-US"/>
        </w:rPr>
      </w:pPr>
      <w:r w:rsidRPr="006C6C80">
        <w:rPr>
          <w:lang w:val="en-US"/>
        </w:rPr>
        <w:t>The most relevant standards of the Labor Code are transcribed below</w:t>
      </w:r>
      <w:r w:rsidR="00F752CE" w:rsidRPr="006C6C80">
        <w:rPr>
          <w:lang w:val="en-US"/>
        </w:rPr>
        <w:t>:</w:t>
      </w:r>
      <w:r w:rsidR="006745D3" w:rsidRPr="006C6C80">
        <w:rPr>
          <w:lang w:val="en-US"/>
        </w:rPr>
        <w:t xml:space="preserve"> </w:t>
      </w:r>
    </w:p>
    <w:p w:rsidR="00E958F1" w:rsidRPr="006C6C80" w:rsidRDefault="00E958F1" w:rsidP="00B5492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right="864"/>
        <w:jc w:val="both"/>
        <w:rPr>
          <w:rFonts w:asciiTheme="majorHAnsi" w:hAnsiTheme="majorHAnsi"/>
          <w:sz w:val="20"/>
          <w:szCs w:val="20"/>
        </w:rPr>
      </w:pPr>
    </w:p>
    <w:p w:rsidR="00CF387F" w:rsidRPr="006C6C80" w:rsidRDefault="00E958F1" w:rsidP="00B5492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360" w:right="360"/>
        <w:jc w:val="both"/>
        <w:rPr>
          <w:rFonts w:ascii="Cambria" w:eastAsia="Cambria" w:hAnsi="Cambria" w:cs="Cambria"/>
          <w:color w:val="000000"/>
          <w:sz w:val="18"/>
          <w:u w:color="000000"/>
          <w:lang w:eastAsia="es-ES"/>
        </w:rPr>
      </w:pPr>
      <w:r w:rsidRPr="006C6C80">
        <w:rPr>
          <w:rFonts w:ascii="Cambria" w:eastAsia="Cambria" w:hAnsi="Cambria" w:cs="Cambria"/>
          <w:color w:val="000000"/>
          <w:sz w:val="18"/>
          <w:u w:color="000000"/>
          <w:lang w:eastAsia="es-ES"/>
        </w:rPr>
        <w:t>Art</w:t>
      </w:r>
      <w:r w:rsidR="00C163D9" w:rsidRPr="006C6C80">
        <w:rPr>
          <w:rFonts w:ascii="Cambria" w:eastAsia="Cambria" w:hAnsi="Cambria" w:cs="Cambria"/>
          <w:color w:val="000000"/>
          <w:sz w:val="18"/>
          <w:u w:color="000000"/>
          <w:lang w:eastAsia="es-ES"/>
        </w:rPr>
        <w:t>icle</w:t>
      </w:r>
      <w:r w:rsidR="008D4F9F">
        <w:rPr>
          <w:rFonts w:ascii="Cambria" w:eastAsia="Cambria" w:hAnsi="Cambria" w:cs="Cambria"/>
          <w:color w:val="000000"/>
          <w:sz w:val="18"/>
          <w:u w:color="000000"/>
          <w:lang w:eastAsia="es-ES"/>
        </w:rPr>
        <w:t xml:space="preserve"> 51. </w:t>
      </w:r>
      <w:r w:rsidR="000D2F3F" w:rsidRPr="006C6C80">
        <w:rPr>
          <w:rFonts w:ascii="Cambria" w:eastAsia="Cambria" w:hAnsi="Cambria" w:cs="Cambria"/>
          <w:color w:val="000000"/>
          <w:sz w:val="18"/>
          <w:u w:color="000000"/>
          <w:lang w:eastAsia="es-ES"/>
        </w:rPr>
        <w:t xml:space="preserve">(…) To negotiate a collective working conditions agreement, the respective </w:t>
      </w:r>
      <w:r w:rsidR="00941770" w:rsidRPr="006C6C80">
        <w:rPr>
          <w:rFonts w:ascii="Cambria" w:eastAsia="Cambria" w:hAnsi="Cambria" w:cs="Cambria"/>
          <w:color w:val="000000"/>
          <w:sz w:val="18"/>
          <w:u w:color="000000"/>
          <w:lang w:eastAsia="es-ES"/>
        </w:rPr>
        <w:t>union</w:t>
      </w:r>
      <w:r w:rsidR="000D2F3F" w:rsidRPr="006C6C80">
        <w:rPr>
          <w:rFonts w:ascii="Cambria" w:eastAsia="Cambria" w:hAnsi="Cambria" w:cs="Cambria"/>
          <w:color w:val="000000"/>
          <w:sz w:val="18"/>
          <w:u w:color="000000"/>
          <w:lang w:eastAsia="es-ES"/>
        </w:rPr>
        <w:t xml:space="preserve"> or employer shall transmit to the other party, for its consideration, </w:t>
      </w:r>
      <w:r w:rsidR="008C7D77">
        <w:rPr>
          <w:rFonts w:ascii="Cambria" w:eastAsia="Cambria" w:hAnsi="Cambria" w:cs="Cambria"/>
          <w:color w:val="000000"/>
          <w:sz w:val="18"/>
          <w:u w:color="000000"/>
          <w:lang w:eastAsia="es-ES"/>
        </w:rPr>
        <w:t>via</w:t>
      </w:r>
      <w:r w:rsidR="000D2F3F" w:rsidRPr="006C6C80">
        <w:rPr>
          <w:rFonts w:ascii="Cambria" w:eastAsia="Cambria" w:hAnsi="Cambria" w:cs="Cambria"/>
          <w:color w:val="000000"/>
          <w:sz w:val="18"/>
          <w:u w:color="000000"/>
          <w:lang w:eastAsia="es-ES"/>
        </w:rPr>
        <w:t xml:space="preserve"> the closest administrative authority for labor affairs, the draft agreement so that it can discussed directly or with the intervention of an administrative authority in labor affairs or any other friendly </w:t>
      </w:r>
      <w:r w:rsidR="00941770" w:rsidRPr="006C6C80">
        <w:rPr>
          <w:rFonts w:ascii="Cambria" w:eastAsia="Cambria" w:hAnsi="Cambria" w:cs="Cambria"/>
          <w:color w:val="000000"/>
          <w:sz w:val="18"/>
          <w:u w:color="000000"/>
          <w:lang w:eastAsia="es-ES"/>
        </w:rPr>
        <w:t>arbitrator</w:t>
      </w:r>
      <w:r w:rsidRPr="006C6C80">
        <w:rPr>
          <w:rFonts w:ascii="Cambria" w:eastAsia="Cambria" w:hAnsi="Cambria" w:cs="Cambria"/>
          <w:color w:val="000000"/>
          <w:sz w:val="18"/>
          <w:u w:color="000000"/>
          <w:lang w:eastAsia="es-ES"/>
        </w:rPr>
        <w:t xml:space="preserve">. </w:t>
      </w:r>
      <w:r w:rsidR="00941770" w:rsidRPr="006C6C80">
        <w:rPr>
          <w:rFonts w:ascii="Cambria" w:eastAsia="Cambria" w:hAnsi="Cambria" w:cs="Cambria"/>
          <w:color w:val="000000"/>
          <w:sz w:val="18"/>
          <w:u w:color="000000"/>
          <w:lang w:eastAsia="es-ES"/>
        </w:rPr>
        <w:t>If, 30 days after the request was filed by the respective union or employer, the parties have not reached a full agreement on their stipulations, any one of them may go to the labor court</w:t>
      </w:r>
      <w:r w:rsidR="008C7D77">
        <w:rPr>
          <w:rFonts w:ascii="Cambria" w:eastAsia="Cambria" w:hAnsi="Cambria" w:cs="Cambria"/>
          <w:color w:val="000000"/>
          <w:sz w:val="18"/>
          <w:u w:color="000000"/>
          <w:lang w:eastAsia="es-ES"/>
        </w:rPr>
        <w:t>s</w:t>
      </w:r>
      <w:r w:rsidR="00941770" w:rsidRPr="006C6C80">
        <w:rPr>
          <w:rFonts w:ascii="Cambria" w:eastAsia="Cambria" w:hAnsi="Cambria" w:cs="Cambria"/>
          <w:color w:val="000000"/>
          <w:sz w:val="18"/>
          <w:u w:color="000000"/>
          <w:lang w:eastAsia="es-ES"/>
        </w:rPr>
        <w:t>, presenting the corresponding collective dispute, so tha</w:t>
      </w:r>
      <w:r w:rsidR="008C7D77">
        <w:rPr>
          <w:rFonts w:ascii="Cambria" w:eastAsia="Cambria" w:hAnsi="Cambria" w:cs="Cambria"/>
          <w:color w:val="000000"/>
          <w:sz w:val="18"/>
          <w:u w:color="000000"/>
          <w:lang w:eastAsia="es-ES"/>
        </w:rPr>
        <w:t xml:space="preserve">t the item or items subject to </w:t>
      </w:r>
      <w:r w:rsidR="00941770" w:rsidRPr="006C6C80">
        <w:rPr>
          <w:rFonts w:ascii="Cambria" w:eastAsia="Cambria" w:hAnsi="Cambria" w:cs="Cambria"/>
          <w:color w:val="000000"/>
          <w:sz w:val="18"/>
          <w:u w:color="000000"/>
          <w:lang w:eastAsia="es-ES"/>
        </w:rPr>
        <w:t>disagreement can be settled</w:t>
      </w:r>
      <w:r w:rsidRPr="006C6C80">
        <w:rPr>
          <w:rFonts w:ascii="Cambria" w:eastAsia="Cambria" w:hAnsi="Cambria" w:cs="Cambria"/>
          <w:color w:val="000000"/>
          <w:sz w:val="18"/>
          <w:u w:color="000000"/>
          <w:lang w:eastAsia="es-ES"/>
        </w:rPr>
        <w:t>. (…)</w:t>
      </w:r>
    </w:p>
    <w:p w:rsidR="00CF387F" w:rsidRPr="006C6C80" w:rsidRDefault="00CF387F" w:rsidP="00B5492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360" w:right="360"/>
        <w:jc w:val="both"/>
        <w:rPr>
          <w:rFonts w:ascii="Cambria" w:eastAsia="Cambria" w:hAnsi="Cambria" w:cs="Cambria"/>
          <w:color w:val="000000"/>
          <w:sz w:val="18"/>
          <w:u w:color="000000"/>
          <w:lang w:eastAsia="es-ES"/>
        </w:rPr>
      </w:pPr>
    </w:p>
    <w:p w:rsidR="00ED7AFC" w:rsidRPr="006C6C80" w:rsidRDefault="00CF387F" w:rsidP="00B5492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360" w:right="360"/>
        <w:jc w:val="both"/>
        <w:rPr>
          <w:rFonts w:ascii="Cambria" w:eastAsia="Cambria" w:hAnsi="Cambria" w:cs="Cambria"/>
          <w:color w:val="000000"/>
          <w:sz w:val="18"/>
          <w:u w:color="000000"/>
          <w:lang w:eastAsia="es-ES"/>
        </w:rPr>
      </w:pPr>
      <w:r w:rsidRPr="006C6C80">
        <w:rPr>
          <w:rFonts w:ascii="Cambria" w:eastAsia="Cambria" w:hAnsi="Cambria" w:cs="Cambria"/>
          <w:color w:val="000000"/>
          <w:sz w:val="18"/>
          <w:u w:color="000000"/>
          <w:lang w:eastAsia="es-ES"/>
        </w:rPr>
        <w:t>Art</w:t>
      </w:r>
      <w:r w:rsidR="00941770" w:rsidRPr="006C6C80">
        <w:rPr>
          <w:rFonts w:ascii="Cambria" w:eastAsia="Cambria" w:hAnsi="Cambria" w:cs="Cambria"/>
          <w:color w:val="000000"/>
          <w:sz w:val="18"/>
          <w:u w:color="000000"/>
          <w:lang w:eastAsia="es-ES"/>
        </w:rPr>
        <w:t>icle</w:t>
      </w:r>
      <w:r w:rsidRPr="006C6C80">
        <w:rPr>
          <w:rFonts w:ascii="Cambria" w:eastAsia="Cambria" w:hAnsi="Cambria" w:cs="Cambria"/>
          <w:color w:val="000000"/>
          <w:sz w:val="18"/>
          <w:u w:color="000000"/>
          <w:lang w:eastAsia="es-ES"/>
        </w:rPr>
        <w:t xml:space="preserve"> 223</w:t>
      </w:r>
      <w:r w:rsidR="00ED7AFC" w:rsidRPr="006C6C80">
        <w:rPr>
          <w:rFonts w:ascii="Cambria" w:eastAsia="Cambria" w:hAnsi="Cambria" w:cs="Cambria"/>
          <w:color w:val="000000"/>
          <w:sz w:val="18"/>
          <w:u w:color="000000"/>
          <w:lang w:eastAsia="es-ES"/>
        </w:rPr>
        <w:t xml:space="preserve">. </w:t>
      </w:r>
      <w:r w:rsidR="00941770" w:rsidRPr="006C6C80">
        <w:rPr>
          <w:rFonts w:ascii="Cambria" w:eastAsia="Cambria" w:hAnsi="Cambria" w:cs="Cambria"/>
          <w:color w:val="000000"/>
          <w:sz w:val="18"/>
          <w:u w:color="000000"/>
          <w:lang w:eastAsia="es-ES"/>
        </w:rPr>
        <w:t>Th</w:t>
      </w:r>
      <w:r w:rsidR="008C7D77">
        <w:rPr>
          <w:rFonts w:ascii="Cambria" w:eastAsia="Cambria" w:hAnsi="Cambria" w:cs="Cambria"/>
          <w:color w:val="000000"/>
          <w:sz w:val="18"/>
          <w:u w:color="000000"/>
          <w:lang w:eastAsia="es-ES"/>
        </w:rPr>
        <w:t>e following rules govern th</w:t>
      </w:r>
      <w:r w:rsidR="00941770" w:rsidRPr="006C6C80">
        <w:rPr>
          <w:rFonts w:ascii="Cambria" w:eastAsia="Cambria" w:hAnsi="Cambria" w:cs="Cambria"/>
          <w:color w:val="000000"/>
          <w:sz w:val="18"/>
          <w:u w:color="000000"/>
          <w:lang w:eastAsia="es-ES"/>
        </w:rPr>
        <w:t xml:space="preserve">e functioning and membership of the </w:t>
      </w:r>
      <w:r w:rsidR="00747D1A">
        <w:rPr>
          <w:rFonts w:ascii="Cambria" w:eastAsia="Cambria" w:hAnsi="Cambria" w:cs="Cambria"/>
          <w:color w:val="000000"/>
          <w:sz w:val="18"/>
          <w:u w:color="000000"/>
          <w:lang w:eastAsia="es-ES"/>
        </w:rPr>
        <w:t>Executive Committee</w:t>
      </w:r>
      <w:r w:rsidR="00941770" w:rsidRPr="006C6C80">
        <w:rPr>
          <w:rFonts w:ascii="Cambria" w:eastAsia="Cambria" w:hAnsi="Cambria" w:cs="Cambria"/>
          <w:color w:val="000000"/>
          <w:sz w:val="18"/>
          <w:u w:color="000000"/>
          <w:lang w:eastAsia="es-ES"/>
        </w:rPr>
        <w:t>:</w:t>
      </w:r>
      <w:r w:rsidR="00AA4B66" w:rsidRPr="006C6C80">
        <w:rPr>
          <w:rFonts w:ascii="Cambria" w:eastAsia="Cambria" w:hAnsi="Cambria" w:cs="Cambria"/>
          <w:color w:val="000000"/>
          <w:sz w:val="18"/>
          <w:u w:color="000000"/>
          <w:lang w:eastAsia="es-ES"/>
        </w:rPr>
        <w:t xml:space="preserve"> </w:t>
      </w:r>
    </w:p>
    <w:p w:rsidR="00ED7AFC" w:rsidRPr="006C6C80" w:rsidRDefault="00ED7AFC" w:rsidP="00B5492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360" w:right="360"/>
        <w:jc w:val="both"/>
        <w:rPr>
          <w:rFonts w:ascii="Cambria" w:eastAsia="Cambria" w:hAnsi="Cambria" w:cs="Cambria"/>
          <w:color w:val="000000"/>
          <w:sz w:val="18"/>
          <w:u w:color="000000"/>
          <w:lang w:eastAsia="es-ES"/>
        </w:rPr>
      </w:pPr>
    </w:p>
    <w:p w:rsidR="00E958F1" w:rsidRPr="006C6C80" w:rsidRDefault="00CF387F" w:rsidP="00F4442D">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360" w:right="360"/>
        <w:jc w:val="both"/>
        <w:rPr>
          <w:rFonts w:ascii="Cambria" w:eastAsia="Cambria" w:hAnsi="Cambria" w:cs="Cambria"/>
          <w:color w:val="000000"/>
          <w:sz w:val="18"/>
          <w:u w:color="000000"/>
          <w:lang w:eastAsia="es-ES"/>
        </w:rPr>
      </w:pPr>
      <w:r w:rsidRPr="006C6C80">
        <w:rPr>
          <w:rFonts w:ascii="Cambria" w:eastAsia="Cambria" w:hAnsi="Cambria" w:cs="Cambria"/>
          <w:color w:val="000000"/>
          <w:sz w:val="18"/>
          <w:u w:color="000000"/>
          <w:lang w:eastAsia="es-ES"/>
        </w:rPr>
        <w:t xml:space="preserve">(…) d) </w:t>
      </w:r>
      <w:r w:rsidR="00AA4B66" w:rsidRPr="006C6C80">
        <w:rPr>
          <w:rFonts w:ascii="Cambria" w:eastAsia="Cambria" w:hAnsi="Cambria" w:cs="Cambria"/>
          <w:color w:val="000000"/>
          <w:sz w:val="18"/>
          <w:u w:color="000000"/>
          <w:lang w:eastAsia="es-ES"/>
        </w:rPr>
        <w:t xml:space="preserve">the members of the </w:t>
      </w:r>
      <w:r w:rsidR="00747D1A">
        <w:rPr>
          <w:rFonts w:ascii="Cambria" w:eastAsia="Cambria" w:hAnsi="Cambria" w:cs="Cambria"/>
          <w:color w:val="000000"/>
          <w:sz w:val="18"/>
          <w:u w:color="000000"/>
          <w:lang w:eastAsia="es-ES"/>
        </w:rPr>
        <w:t>Executive Committee</w:t>
      </w:r>
      <w:r w:rsidRPr="006C6C80">
        <w:rPr>
          <w:rFonts w:ascii="Cambria" w:eastAsia="Cambria" w:hAnsi="Cambria" w:cs="Cambria"/>
          <w:color w:val="000000"/>
          <w:sz w:val="18"/>
          <w:u w:color="000000"/>
          <w:lang w:eastAsia="es-ES"/>
        </w:rPr>
        <w:t xml:space="preserve"> [</w:t>
      </w:r>
      <w:r w:rsidR="00AA4B66" w:rsidRPr="006C6C80">
        <w:rPr>
          <w:rFonts w:ascii="Cambria" w:eastAsia="Cambria" w:hAnsi="Cambria" w:cs="Cambria"/>
          <w:color w:val="000000"/>
          <w:sz w:val="18"/>
          <w:u w:color="000000"/>
          <w:lang w:eastAsia="es-ES"/>
        </w:rPr>
        <w:t xml:space="preserve">of the union] benefit from </w:t>
      </w:r>
      <w:proofErr w:type="spellStart"/>
      <w:r w:rsidR="00AA4B66" w:rsidRPr="006C6C80">
        <w:rPr>
          <w:rFonts w:ascii="Cambria" w:eastAsia="Cambria" w:hAnsi="Cambria" w:cs="Cambria"/>
          <w:color w:val="000000"/>
          <w:sz w:val="18"/>
          <w:u w:color="000000"/>
          <w:lang w:eastAsia="es-ES"/>
        </w:rPr>
        <w:t>irremovability</w:t>
      </w:r>
      <w:proofErr w:type="spellEnd"/>
      <w:r w:rsidR="00AA4B66" w:rsidRPr="006C6C80">
        <w:rPr>
          <w:rFonts w:ascii="Cambria" w:eastAsia="Cambria" w:hAnsi="Cambria" w:cs="Cambria"/>
          <w:color w:val="000000"/>
          <w:sz w:val="18"/>
          <w:u w:color="000000"/>
          <w:lang w:eastAsia="es-ES"/>
        </w:rPr>
        <w:t xml:space="preserve"> from the job they are performing during the entire time they are in office and up to 12 months after they have finished discharging their duties in </w:t>
      </w:r>
      <w:r w:rsidR="008C7D77">
        <w:rPr>
          <w:rFonts w:ascii="Cambria" w:eastAsia="Cambria" w:hAnsi="Cambria" w:cs="Cambria"/>
          <w:color w:val="000000"/>
          <w:sz w:val="18"/>
          <w:u w:color="000000"/>
          <w:lang w:eastAsia="es-ES"/>
        </w:rPr>
        <w:t>said office.</w:t>
      </w:r>
      <w:r w:rsidR="00AA4B66" w:rsidRPr="006C6C80">
        <w:rPr>
          <w:rFonts w:ascii="Cambria" w:eastAsia="Cambria" w:hAnsi="Cambria" w:cs="Cambria"/>
          <w:color w:val="000000"/>
          <w:sz w:val="18"/>
          <w:u w:color="000000"/>
          <w:lang w:eastAsia="es-ES"/>
        </w:rPr>
        <w:t xml:space="preserve"> These members cannot be dismissed unless they </w:t>
      </w:r>
      <w:r w:rsidR="00EC591F" w:rsidRPr="006C6C80">
        <w:rPr>
          <w:rFonts w:ascii="Cambria" w:eastAsia="Cambria" w:hAnsi="Cambria" w:cs="Cambria"/>
          <w:color w:val="000000"/>
          <w:sz w:val="18"/>
          <w:u w:color="000000"/>
          <w:lang w:eastAsia="es-ES"/>
        </w:rPr>
        <w:t>give just cause for their dismissal, to be duly substantiated by the employer in a regular proceeding with the competent Labor Court.</w:t>
      </w:r>
      <w:r w:rsidRPr="006C6C80">
        <w:rPr>
          <w:rFonts w:ascii="Cambria" w:eastAsia="Cambria" w:hAnsi="Cambria" w:cs="Cambria"/>
          <w:color w:val="000000"/>
          <w:sz w:val="18"/>
          <w:u w:color="000000"/>
          <w:vertAlign w:val="superscript"/>
          <w:lang w:eastAsia="es-ES"/>
        </w:rPr>
        <w:footnoteReference w:id="3"/>
      </w:r>
    </w:p>
    <w:p w:rsidR="0044013E" w:rsidRPr="006C6C80" w:rsidRDefault="0044013E" w:rsidP="00B5492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360" w:right="360"/>
        <w:jc w:val="both"/>
        <w:rPr>
          <w:rFonts w:ascii="Cambria" w:eastAsia="Cambria" w:hAnsi="Cambria" w:cs="Cambria"/>
          <w:color w:val="000000"/>
          <w:sz w:val="18"/>
          <w:u w:color="000000"/>
          <w:lang w:eastAsia="es-ES"/>
        </w:rPr>
      </w:pPr>
    </w:p>
    <w:p w:rsidR="00E958F1" w:rsidRPr="006C6C80" w:rsidRDefault="00E958F1" w:rsidP="00B5492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360" w:right="360"/>
        <w:jc w:val="both"/>
        <w:rPr>
          <w:rFonts w:ascii="Cambria" w:eastAsia="Cambria" w:hAnsi="Cambria" w:cs="Cambria"/>
          <w:color w:val="000000"/>
          <w:sz w:val="18"/>
          <w:u w:color="000000"/>
          <w:lang w:eastAsia="es-ES"/>
        </w:rPr>
      </w:pPr>
      <w:r w:rsidRPr="006C6C80">
        <w:rPr>
          <w:rFonts w:ascii="Cambria" w:eastAsia="Cambria" w:hAnsi="Cambria" w:cs="Cambria"/>
          <w:color w:val="000000"/>
          <w:sz w:val="18"/>
          <w:u w:color="000000"/>
          <w:lang w:eastAsia="es-ES"/>
        </w:rPr>
        <w:t>Art</w:t>
      </w:r>
      <w:r w:rsidR="00EC591F" w:rsidRPr="006C6C80">
        <w:rPr>
          <w:rFonts w:ascii="Cambria" w:eastAsia="Cambria" w:hAnsi="Cambria" w:cs="Cambria"/>
          <w:color w:val="000000"/>
          <w:sz w:val="18"/>
          <w:u w:color="000000"/>
          <w:lang w:eastAsia="es-ES"/>
        </w:rPr>
        <w:t>icle</w:t>
      </w:r>
      <w:r w:rsidRPr="006C6C80">
        <w:rPr>
          <w:rFonts w:ascii="Cambria" w:eastAsia="Cambria" w:hAnsi="Cambria" w:cs="Cambria"/>
          <w:color w:val="000000"/>
          <w:sz w:val="18"/>
          <w:u w:color="000000"/>
          <w:lang w:eastAsia="es-ES"/>
        </w:rPr>
        <w:t xml:space="preserve"> 241. </w:t>
      </w:r>
      <w:r w:rsidR="00453A30" w:rsidRPr="006C6C80">
        <w:rPr>
          <w:rFonts w:ascii="Cambria" w:eastAsia="Cambria" w:hAnsi="Cambria" w:cs="Cambria"/>
          <w:color w:val="000000"/>
          <w:sz w:val="18"/>
          <w:u w:color="000000"/>
          <w:lang w:eastAsia="es-ES"/>
        </w:rPr>
        <w:t>For a strike to be declared lawful</w:t>
      </w:r>
      <w:r w:rsidR="00EC591F" w:rsidRPr="006C6C80">
        <w:rPr>
          <w:rFonts w:ascii="Cambria" w:eastAsia="Cambria" w:hAnsi="Cambria" w:cs="Cambria"/>
          <w:color w:val="000000"/>
          <w:sz w:val="18"/>
          <w:u w:color="000000"/>
          <w:lang w:eastAsia="es-ES"/>
        </w:rPr>
        <w:t>, the workers must</w:t>
      </w:r>
      <w:r w:rsidRPr="006C6C80">
        <w:rPr>
          <w:rFonts w:ascii="Cambria" w:eastAsia="Cambria" w:hAnsi="Cambria" w:cs="Cambria"/>
          <w:color w:val="000000"/>
          <w:sz w:val="18"/>
          <w:u w:color="000000"/>
          <w:lang w:eastAsia="es-ES"/>
        </w:rPr>
        <w:t xml:space="preserve">: </w:t>
      </w:r>
    </w:p>
    <w:p w:rsidR="0044013E" w:rsidRPr="006C6C80" w:rsidRDefault="0044013E" w:rsidP="00B5492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left="360" w:right="360"/>
        <w:jc w:val="both"/>
        <w:rPr>
          <w:rFonts w:ascii="Cambria" w:eastAsia="Cambria" w:hAnsi="Cambria" w:cs="Cambria"/>
          <w:color w:val="000000"/>
          <w:sz w:val="18"/>
          <w:u w:color="000000"/>
          <w:lang w:eastAsia="es-ES"/>
        </w:rPr>
      </w:pPr>
    </w:p>
    <w:p w:rsidR="00E958F1" w:rsidRPr="006C6C80" w:rsidRDefault="00EC591F" w:rsidP="00B5492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left="360" w:right="360"/>
        <w:jc w:val="both"/>
        <w:rPr>
          <w:rFonts w:ascii="Cambria" w:eastAsia="Cambria" w:hAnsi="Cambria" w:cs="Cambria"/>
          <w:color w:val="000000"/>
          <w:sz w:val="18"/>
          <w:u w:color="000000"/>
          <w:lang w:eastAsia="es-ES"/>
        </w:rPr>
      </w:pPr>
      <w:r w:rsidRPr="006C6C80">
        <w:rPr>
          <w:rFonts w:ascii="Cambria" w:eastAsia="Cambria" w:hAnsi="Cambria" w:cs="Cambria"/>
          <w:color w:val="000000"/>
          <w:sz w:val="18"/>
          <w:u w:color="000000"/>
          <w:lang w:eastAsia="es-ES"/>
        </w:rPr>
        <w:t xml:space="preserve">a) </w:t>
      </w:r>
      <w:proofErr w:type="gramStart"/>
      <w:r w:rsidRPr="006C6C80">
        <w:rPr>
          <w:rFonts w:ascii="Cambria" w:eastAsia="Cambria" w:hAnsi="Cambria" w:cs="Cambria"/>
          <w:color w:val="000000"/>
          <w:sz w:val="18"/>
          <w:u w:color="000000"/>
          <w:lang w:eastAsia="es-ES"/>
        </w:rPr>
        <w:t>strictly</w:t>
      </w:r>
      <w:proofErr w:type="gramEnd"/>
      <w:r w:rsidRPr="006C6C80">
        <w:rPr>
          <w:rFonts w:ascii="Cambria" w:eastAsia="Cambria" w:hAnsi="Cambria" w:cs="Cambria"/>
          <w:color w:val="000000"/>
          <w:sz w:val="18"/>
          <w:u w:color="000000"/>
          <w:lang w:eastAsia="es-ES"/>
        </w:rPr>
        <w:t xml:space="preserve"> adhere to the provision of the first paragraph of Article 239</w:t>
      </w:r>
      <w:r w:rsidR="00E958F1" w:rsidRPr="006C6C80">
        <w:rPr>
          <w:rFonts w:ascii="Cambria" w:eastAsia="Cambria" w:hAnsi="Cambria" w:cs="Cambria"/>
          <w:color w:val="000000"/>
          <w:sz w:val="18"/>
          <w:u w:color="000000"/>
          <w:lang w:eastAsia="es-ES"/>
        </w:rPr>
        <w:t xml:space="preserve">; </w:t>
      </w:r>
    </w:p>
    <w:p w:rsidR="00E958F1" w:rsidRPr="006C6C80" w:rsidRDefault="00E958F1" w:rsidP="00B5492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left="360" w:right="360"/>
        <w:jc w:val="both"/>
        <w:rPr>
          <w:rFonts w:ascii="Cambria" w:eastAsia="Cambria" w:hAnsi="Cambria" w:cs="Cambria"/>
          <w:color w:val="000000"/>
          <w:sz w:val="18"/>
          <w:u w:color="000000"/>
          <w:lang w:eastAsia="es-ES"/>
        </w:rPr>
      </w:pPr>
      <w:r w:rsidRPr="006C6C80">
        <w:rPr>
          <w:rFonts w:ascii="Cambria" w:eastAsia="Cambria" w:hAnsi="Cambria" w:cs="Cambria"/>
          <w:color w:val="000000"/>
          <w:sz w:val="18"/>
          <w:u w:color="000000"/>
          <w:lang w:eastAsia="es-ES"/>
        </w:rPr>
        <w:t xml:space="preserve">b) </w:t>
      </w:r>
      <w:proofErr w:type="gramStart"/>
      <w:r w:rsidR="00EC591F" w:rsidRPr="006C6C80">
        <w:rPr>
          <w:rFonts w:ascii="Cambria" w:eastAsia="Cambria" w:hAnsi="Cambria" w:cs="Cambria"/>
          <w:color w:val="000000"/>
          <w:sz w:val="18"/>
          <w:u w:color="000000"/>
          <w:lang w:eastAsia="es-ES"/>
        </w:rPr>
        <w:t>exhaust</w:t>
      </w:r>
      <w:proofErr w:type="gramEnd"/>
      <w:r w:rsidR="00EC591F" w:rsidRPr="006C6C80">
        <w:rPr>
          <w:rFonts w:ascii="Cambria" w:eastAsia="Cambria" w:hAnsi="Cambria" w:cs="Cambria"/>
          <w:color w:val="000000"/>
          <w:sz w:val="18"/>
          <w:u w:color="000000"/>
          <w:lang w:eastAsia="es-ES"/>
        </w:rPr>
        <w:t xml:space="preserve"> </w:t>
      </w:r>
      <w:r w:rsidR="00C4756E">
        <w:rPr>
          <w:rFonts w:ascii="Cambria" w:eastAsia="Cambria" w:hAnsi="Cambria" w:cs="Cambria"/>
          <w:color w:val="000000"/>
          <w:sz w:val="18"/>
          <w:u w:color="000000"/>
          <w:lang w:eastAsia="es-ES"/>
        </w:rPr>
        <w:t>c</w:t>
      </w:r>
      <w:r w:rsidR="0056182C" w:rsidRPr="006C6C80">
        <w:rPr>
          <w:rFonts w:ascii="Cambria" w:eastAsia="Cambria" w:hAnsi="Cambria" w:cs="Cambria"/>
          <w:color w:val="000000"/>
          <w:sz w:val="18"/>
          <w:u w:color="000000"/>
          <w:lang w:eastAsia="es-ES"/>
        </w:rPr>
        <w:t>onciliation</w:t>
      </w:r>
      <w:r w:rsidR="00EC591F" w:rsidRPr="006C6C80">
        <w:rPr>
          <w:rFonts w:ascii="Cambria" w:eastAsia="Cambria" w:hAnsi="Cambria" w:cs="Cambria"/>
          <w:color w:val="000000"/>
          <w:sz w:val="18"/>
          <w:u w:color="000000"/>
          <w:lang w:eastAsia="es-ES"/>
        </w:rPr>
        <w:t xml:space="preserve"> proceedings; and</w:t>
      </w:r>
      <w:r w:rsidRPr="006C6C80">
        <w:rPr>
          <w:rFonts w:ascii="Cambria" w:eastAsia="Cambria" w:hAnsi="Cambria" w:cs="Cambria"/>
          <w:color w:val="000000"/>
          <w:sz w:val="18"/>
          <w:u w:color="000000"/>
          <w:lang w:eastAsia="es-ES"/>
        </w:rPr>
        <w:t xml:space="preserve"> </w:t>
      </w:r>
    </w:p>
    <w:p w:rsidR="00E958F1" w:rsidRPr="006C6C80" w:rsidRDefault="00E958F1" w:rsidP="00B5492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left="360" w:right="360"/>
        <w:jc w:val="both"/>
        <w:rPr>
          <w:rFonts w:ascii="Cambria" w:eastAsia="Cambria" w:hAnsi="Cambria" w:cs="Cambria"/>
          <w:color w:val="000000"/>
          <w:sz w:val="18"/>
          <w:u w:color="000000"/>
          <w:lang w:eastAsia="es-ES"/>
        </w:rPr>
      </w:pPr>
      <w:r w:rsidRPr="006C6C80">
        <w:rPr>
          <w:rFonts w:ascii="Cambria" w:eastAsia="Cambria" w:hAnsi="Cambria" w:cs="Cambria"/>
          <w:color w:val="000000"/>
          <w:sz w:val="18"/>
          <w:u w:color="000000"/>
          <w:lang w:eastAsia="es-ES"/>
        </w:rPr>
        <w:t xml:space="preserve">c) </w:t>
      </w:r>
      <w:proofErr w:type="gramStart"/>
      <w:r w:rsidR="008C7D77">
        <w:rPr>
          <w:rFonts w:ascii="Cambria" w:eastAsia="Cambria" w:hAnsi="Cambria" w:cs="Cambria"/>
          <w:color w:val="000000"/>
          <w:sz w:val="18"/>
          <w:u w:color="000000"/>
          <w:lang w:eastAsia="es-ES"/>
        </w:rPr>
        <w:t>include</w:t>
      </w:r>
      <w:proofErr w:type="gramEnd"/>
      <w:r w:rsidR="00EC591F" w:rsidRPr="006C6C80">
        <w:rPr>
          <w:rFonts w:ascii="Cambria" w:eastAsia="Cambria" w:hAnsi="Cambria" w:cs="Cambria"/>
          <w:color w:val="000000"/>
          <w:sz w:val="18"/>
          <w:u w:color="000000"/>
          <w:lang w:eastAsia="es-ES"/>
        </w:rPr>
        <w:t xml:space="preserve"> at least two thirds of the persons who are working in the respective company or production center and who have started working there formally before the socio-economic collective dispute arose.</w:t>
      </w:r>
      <w:r w:rsidRPr="006C6C80">
        <w:rPr>
          <w:rFonts w:eastAsia="Cambria" w:cs="Cambria"/>
          <w:sz w:val="18"/>
          <w:u w:color="000000"/>
          <w:vertAlign w:val="superscript"/>
          <w:lang w:eastAsia="es-ES"/>
        </w:rPr>
        <w:footnoteReference w:id="4"/>
      </w:r>
    </w:p>
    <w:p w:rsidR="00E958F1" w:rsidRPr="006C6C80" w:rsidRDefault="00E958F1" w:rsidP="00B54921">
      <w:pPr>
        <w:tabs>
          <w:tab w:val="left" w:pos="720"/>
        </w:tabs>
        <w:ind w:left="360" w:right="360"/>
        <w:jc w:val="both"/>
        <w:rPr>
          <w:rFonts w:ascii="Cambria" w:eastAsia="Cambria" w:hAnsi="Cambria" w:cs="Cambria"/>
          <w:color w:val="000000"/>
          <w:sz w:val="18"/>
          <w:u w:color="000000"/>
          <w:lang w:eastAsia="es-ES"/>
        </w:rPr>
      </w:pPr>
    </w:p>
    <w:p w:rsidR="00E958F1" w:rsidRPr="006C6C80" w:rsidRDefault="00E958F1" w:rsidP="00B54921">
      <w:pPr>
        <w:tabs>
          <w:tab w:val="left" w:pos="720"/>
        </w:tabs>
        <w:ind w:left="360" w:right="360"/>
        <w:jc w:val="both"/>
        <w:rPr>
          <w:rFonts w:ascii="Cambria" w:eastAsia="Cambria" w:hAnsi="Cambria" w:cs="Cambria"/>
          <w:color w:val="000000"/>
          <w:sz w:val="18"/>
          <w:u w:color="000000"/>
          <w:lang w:eastAsia="es-ES"/>
        </w:rPr>
      </w:pPr>
      <w:r w:rsidRPr="006C6C80">
        <w:rPr>
          <w:rFonts w:ascii="Cambria" w:eastAsia="Cambria" w:hAnsi="Cambria" w:cs="Cambria"/>
          <w:color w:val="000000"/>
          <w:sz w:val="18"/>
          <w:u w:color="000000"/>
          <w:lang w:eastAsia="es-ES"/>
        </w:rPr>
        <w:t>Art</w:t>
      </w:r>
      <w:r w:rsidR="00EC591F" w:rsidRPr="006C6C80">
        <w:rPr>
          <w:rFonts w:ascii="Cambria" w:eastAsia="Cambria" w:hAnsi="Cambria" w:cs="Cambria"/>
          <w:color w:val="000000"/>
          <w:sz w:val="18"/>
          <w:u w:color="000000"/>
          <w:lang w:eastAsia="es-ES"/>
        </w:rPr>
        <w:t xml:space="preserve">icle 244. </w:t>
      </w:r>
      <w:r w:rsidR="00133DD1" w:rsidRPr="006C6C80">
        <w:rPr>
          <w:rFonts w:ascii="Cambria" w:eastAsia="Cambria" w:hAnsi="Cambria" w:cs="Cambria"/>
          <w:color w:val="000000"/>
          <w:sz w:val="18"/>
          <w:u w:color="000000"/>
          <w:lang w:eastAsia="es-ES"/>
        </w:rPr>
        <w:t>When a strike</w:t>
      </w:r>
      <w:r w:rsidR="00EC591F" w:rsidRPr="006C6C80">
        <w:rPr>
          <w:rFonts w:ascii="Cambria" w:eastAsia="Cambria" w:hAnsi="Cambria" w:cs="Cambria"/>
          <w:color w:val="000000"/>
          <w:sz w:val="18"/>
          <w:u w:color="000000"/>
          <w:lang w:eastAsia="es-ES"/>
        </w:rPr>
        <w:t xml:space="preserve"> is declared </w:t>
      </w:r>
      <w:r w:rsidR="0056182C" w:rsidRPr="006C6C80">
        <w:rPr>
          <w:rFonts w:ascii="Cambria" w:eastAsia="Cambria" w:hAnsi="Cambria" w:cs="Cambria"/>
          <w:color w:val="000000"/>
          <w:sz w:val="18"/>
          <w:u w:color="000000"/>
          <w:lang w:eastAsia="es-ES"/>
        </w:rPr>
        <w:t>unlawful</w:t>
      </w:r>
      <w:r w:rsidR="00EC591F" w:rsidRPr="006C6C80">
        <w:rPr>
          <w:rFonts w:ascii="Cambria" w:eastAsia="Cambria" w:hAnsi="Cambria" w:cs="Cambria"/>
          <w:color w:val="000000"/>
          <w:sz w:val="18"/>
          <w:u w:color="000000"/>
          <w:lang w:eastAsia="es-ES"/>
        </w:rPr>
        <w:t xml:space="preserve"> and the workers carry it out, the Court must give the employer a delay of 20 days during which the latter, without incurring any liability, can terminate the labor contracts of those workers </w:t>
      </w:r>
      <w:r w:rsidR="00C4756E">
        <w:rPr>
          <w:rFonts w:ascii="Cambria" w:eastAsia="Cambria" w:hAnsi="Cambria" w:cs="Cambria"/>
          <w:color w:val="000000"/>
          <w:sz w:val="18"/>
          <w:u w:color="000000"/>
          <w:lang w:eastAsia="es-ES"/>
        </w:rPr>
        <w:t xml:space="preserve">who </w:t>
      </w:r>
      <w:r w:rsidR="00EC591F" w:rsidRPr="006C6C80">
        <w:rPr>
          <w:rFonts w:ascii="Cambria" w:eastAsia="Cambria" w:hAnsi="Cambria" w:cs="Cambria"/>
          <w:color w:val="000000"/>
          <w:sz w:val="18"/>
          <w:u w:color="000000"/>
          <w:lang w:eastAsia="es-ES"/>
        </w:rPr>
        <w:t>are on strike</w:t>
      </w:r>
      <w:r w:rsidRPr="006C6C80">
        <w:rPr>
          <w:rFonts w:ascii="Cambria" w:eastAsia="Cambria" w:hAnsi="Cambria" w:cs="Cambria"/>
          <w:color w:val="000000"/>
          <w:sz w:val="18"/>
          <w:u w:color="000000"/>
          <w:lang w:eastAsia="es-ES"/>
        </w:rPr>
        <w:t xml:space="preserve">. </w:t>
      </w:r>
      <w:r w:rsidR="0056182C" w:rsidRPr="006C6C80">
        <w:rPr>
          <w:rFonts w:ascii="Cambria" w:eastAsia="Cambria" w:hAnsi="Cambria" w:cs="Cambria"/>
          <w:color w:val="000000"/>
          <w:sz w:val="18"/>
          <w:u w:color="000000"/>
          <w:lang w:eastAsia="es-ES"/>
        </w:rPr>
        <w:t>The sam</w:t>
      </w:r>
      <w:r w:rsidR="00EC591F" w:rsidRPr="006C6C80">
        <w:rPr>
          <w:rFonts w:ascii="Cambria" w:eastAsia="Cambria" w:hAnsi="Cambria" w:cs="Cambria"/>
          <w:color w:val="000000"/>
          <w:sz w:val="18"/>
          <w:u w:color="000000"/>
          <w:lang w:eastAsia="es-ES"/>
        </w:rPr>
        <w:t>e rules apply in the case of de facto or illegitimate strikes</w:t>
      </w:r>
      <w:r w:rsidRPr="006C6C80">
        <w:rPr>
          <w:rFonts w:ascii="Cambria" w:eastAsia="Cambria" w:hAnsi="Cambria" w:cs="Cambria"/>
          <w:color w:val="000000"/>
          <w:sz w:val="18"/>
          <w:u w:color="000000"/>
          <w:lang w:eastAsia="es-ES"/>
        </w:rPr>
        <w:t xml:space="preserve"> (…)</w:t>
      </w:r>
      <w:r w:rsidR="0044013E" w:rsidRPr="006C6C80">
        <w:rPr>
          <w:rFonts w:ascii="Cambria" w:eastAsia="Cambria" w:hAnsi="Cambria" w:cs="Cambria"/>
          <w:color w:val="000000"/>
          <w:sz w:val="18"/>
          <w:u w:color="000000"/>
          <w:lang w:eastAsia="es-ES"/>
        </w:rPr>
        <w:t>.</w:t>
      </w:r>
    </w:p>
    <w:p w:rsidR="0012364B" w:rsidRPr="006C6C80" w:rsidRDefault="0012364B" w:rsidP="00B54921">
      <w:pPr>
        <w:tabs>
          <w:tab w:val="left" w:pos="720"/>
        </w:tabs>
        <w:ind w:left="360" w:right="360"/>
        <w:jc w:val="both"/>
        <w:rPr>
          <w:rFonts w:ascii="Cambria" w:eastAsia="Cambria" w:hAnsi="Cambria" w:cs="Cambria"/>
          <w:color w:val="000000"/>
          <w:sz w:val="18"/>
          <w:u w:color="000000"/>
          <w:lang w:eastAsia="es-ES"/>
        </w:rPr>
      </w:pPr>
    </w:p>
    <w:p w:rsidR="0012364B" w:rsidRPr="006C6C80" w:rsidRDefault="00EC591F" w:rsidP="00B54921">
      <w:pPr>
        <w:tabs>
          <w:tab w:val="left" w:pos="720"/>
        </w:tabs>
        <w:ind w:left="360" w:right="360"/>
        <w:jc w:val="both"/>
        <w:rPr>
          <w:rFonts w:ascii="Cambria" w:eastAsia="Cambria" w:hAnsi="Cambria" w:cs="Cambria"/>
          <w:color w:val="000000"/>
          <w:sz w:val="18"/>
          <w:u w:color="000000"/>
          <w:lang w:eastAsia="es-ES"/>
        </w:rPr>
      </w:pPr>
      <w:r w:rsidRPr="006C6C80">
        <w:rPr>
          <w:rFonts w:ascii="Cambria" w:eastAsia="Cambria" w:hAnsi="Cambria" w:cs="Cambria"/>
          <w:color w:val="000000"/>
          <w:sz w:val="18"/>
          <w:u w:color="000000"/>
          <w:lang w:eastAsia="es-ES"/>
        </w:rPr>
        <w:t xml:space="preserve">Article 394. If no agreement is reached or commitment made </w:t>
      </w:r>
      <w:r w:rsidR="00F13CF3" w:rsidRPr="006C6C80">
        <w:rPr>
          <w:rFonts w:ascii="Cambria" w:eastAsia="Cambria" w:hAnsi="Cambria" w:cs="Cambria"/>
          <w:color w:val="000000"/>
          <w:sz w:val="18"/>
          <w:u w:color="000000"/>
          <w:lang w:eastAsia="es-ES"/>
        </w:rPr>
        <w:t xml:space="preserve">to resort to arbitration, any of the delegates may request, within </w:t>
      </w:r>
      <w:r w:rsidRPr="006C6C80">
        <w:rPr>
          <w:rFonts w:ascii="Cambria" w:eastAsia="Cambria" w:hAnsi="Cambria" w:cs="Cambria"/>
          <w:color w:val="000000"/>
          <w:sz w:val="18"/>
          <w:u w:color="000000"/>
          <w:lang w:eastAsia="es-ES"/>
        </w:rPr>
        <w:t xml:space="preserve">24 hours after the failure to achieve </w:t>
      </w:r>
      <w:r w:rsidR="0056182C" w:rsidRPr="006C6C80">
        <w:rPr>
          <w:rFonts w:ascii="Cambria" w:eastAsia="Cambria" w:hAnsi="Cambria" w:cs="Cambria"/>
          <w:color w:val="000000"/>
          <w:sz w:val="18"/>
          <w:u w:color="000000"/>
          <w:lang w:eastAsia="es-ES"/>
        </w:rPr>
        <w:t>conciliation</w:t>
      </w:r>
      <w:r w:rsidRPr="006C6C80">
        <w:rPr>
          <w:rFonts w:ascii="Cambria" w:eastAsia="Cambria" w:hAnsi="Cambria" w:cs="Cambria"/>
          <w:color w:val="000000"/>
          <w:sz w:val="18"/>
          <w:u w:color="000000"/>
          <w:lang w:eastAsia="es-ES"/>
        </w:rPr>
        <w:t>, the respective Labor and Social W</w:t>
      </w:r>
      <w:r w:rsidR="00F13CF3" w:rsidRPr="006C6C80">
        <w:rPr>
          <w:rFonts w:ascii="Cambria" w:eastAsia="Cambria" w:hAnsi="Cambria" w:cs="Cambria"/>
          <w:color w:val="000000"/>
          <w:sz w:val="18"/>
          <w:u w:color="000000"/>
          <w:lang w:eastAsia="es-ES"/>
        </w:rPr>
        <w:t>elfare judge to</w:t>
      </w:r>
      <w:r w:rsidR="0056182C" w:rsidRPr="006C6C80">
        <w:rPr>
          <w:rFonts w:ascii="Cambria" w:eastAsia="Cambria" w:hAnsi="Cambria" w:cs="Cambria"/>
          <w:color w:val="000000"/>
          <w:sz w:val="18"/>
          <w:u w:color="000000"/>
          <w:lang w:eastAsia="es-ES"/>
        </w:rPr>
        <w:t xml:space="preserve"> rule on the lawfulness or unlawfulness</w:t>
      </w:r>
      <w:r w:rsidRPr="006C6C80">
        <w:rPr>
          <w:rFonts w:ascii="Cambria" w:eastAsia="Cambria" w:hAnsi="Cambria" w:cs="Cambria"/>
          <w:color w:val="000000"/>
          <w:sz w:val="18"/>
          <w:u w:color="000000"/>
          <w:lang w:eastAsia="es-ES"/>
        </w:rPr>
        <w:t xml:space="preserve"> of the </w:t>
      </w:r>
      <w:r w:rsidR="0056182C" w:rsidRPr="006C6C80">
        <w:rPr>
          <w:rFonts w:ascii="Cambria" w:eastAsia="Cambria" w:hAnsi="Cambria" w:cs="Cambria"/>
          <w:color w:val="000000"/>
          <w:sz w:val="18"/>
          <w:u w:color="000000"/>
          <w:lang w:eastAsia="es-ES"/>
        </w:rPr>
        <w:t xml:space="preserve">strike action, </w:t>
      </w:r>
      <w:r w:rsidRPr="006C6C80">
        <w:rPr>
          <w:rFonts w:ascii="Cambria" w:eastAsia="Cambria" w:hAnsi="Cambria" w:cs="Cambria"/>
          <w:color w:val="000000"/>
          <w:sz w:val="18"/>
          <w:u w:color="000000"/>
          <w:lang w:eastAsia="es-ES"/>
        </w:rPr>
        <w:t xml:space="preserve">a ruling that must be waited for before engaging in the </w:t>
      </w:r>
      <w:r w:rsidRPr="006C6C80">
        <w:rPr>
          <w:rFonts w:ascii="Cambria" w:eastAsia="Cambria" w:hAnsi="Cambria" w:cs="Cambria"/>
          <w:color w:val="000000"/>
          <w:sz w:val="18"/>
          <w:u w:color="000000"/>
          <w:lang w:eastAsia="es-ES"/>
        </w:rPr>
        <w:lastRenderedPageBreak/>
        <w:t>strike or work stoppage</w:t>
      </w:r>
      <w:r w:rsidR="0012364B" w:rsidRPr="006C6C80">
        <w:rPr>
          <w:rFonts w:ascii="Cambria" w:eastAsia="Cambria" w:hAnsi="Cambria" w:cs="Cambria"/>
          <w:color w:val="000000"/>
          <w:sz w:val="18"/>
          <w:u w:color="000000"/>
          <w:lang w:eastAsia="es-ES"/>
        </w:rPr>
        <w:t xml:space="preserve">. </w:t>
      </w:r>
      <w:r w:rsidR="00F13CF3" w:rsidRPr="006C6C80">
        <w:rPr>
          <w:rFonts w:ascii="Cambria" w:eastAsia="Cambria" w:hAnsi="Cambria" w:cs="Cambria"/>
          <w:color w:val="000000"/>
          <w:sz w:val="18"/>
          <w:u w:color="000000"/>
          <w:lang w:eastAsia="es-ES"/>
        </w:rPr>
        <w:t>The corresponding orde</w:t>
      </w:r>
      <w:r w:rsidR="008C7D77">
        <w:rPr>
          <w:rFonts w:ascii="Cambria" w:eastAsia="Cambria" w:hAnsi="Cambria" w:cs="Cambria"/>
          <w:color w:val="000000"/>
          <w:sz w:val="18"/>
          <w:u w:color="000000"/>
          <w:lang w:eastAsia="es-ES"/>
        </w:rPr>
        <w:t>r shall be issued</w:t>
      </w:r>
      <w:r w:rsidR="00F83F77">
        <w:rPr>
          <w:rFonts w:ascii="Cambria" w:eastAsia="Cambria" w:hAnsi="Cambria" w:cs="Cambria"/>
          <w:color w:val="000000"/>
          <w:sz w:val="18"/>
          <w:u w:color="000000"/>
          <w:lang w:eastAsia="es-ES"/>
        </w:rPr>
        <w:t xml:space="preserve"> unless</w:t>
      </w:r>
      <w:r w:rsidR="00F13CF3" w:rsidRPr="006C6C80">
        <w:rPr>
          <w:rFonts w:ascii="Cambria" w:eastAsia="Cambria" w:hAnsi="Cambria" w:cs="Cambria"/>
          <w:color w:val="000000"/>
          <w:sz w:val="18"/>
          <w:u w:color="000000"/>
          <w:lang w:eastAsia="es-ES"/>
        </w:rPr>
        <w:t xml:space="preserve"> </w:t>
      </w:r>
      <w:r w:rsidR="00DF192A">
        <w:rPr>
          <w:rFonts w:ascii="Cambria" w:eastAsia="Cambria" w:hAnsi="Cambria" w:cs="Cambria"/>
          <w:color w:val="000000"/>
          <w:sz w:val="18"/>
          <w:u w:color="000000"/>
          <w:lang w:eastAsia="es-ES"/>
        </w:rPr>
        <w:t xml:space="preserve">without detriment to </w:t>
      </w:r>
      <w:r w:rsidR="00F13CF3" w:rsidRPr="006C6C80">
        <w:rPr>
          <w:rFonts w:ascii="Cambria" w:eastAsia="Cambria" w:hAnsi="Cambria" w:cs="Cambria"/>
          <w:color w:val="000000"/>
          <w:sz w:val="18"/>
          <w:u w:color="000000"/>
          <w:lang w:eastAsia="es-ES"/>
        </w:rPr>
        <w:t>subsequent causes chang</w:t>
      </w:r>
      <w:r w:rsidR="00DF192A">
        <w:rPr>
          <w:rFonts w:ascii="Cambria" w:eastAsia="Cambria" w:hAnsi="Cambria" w:cs="Cambria"/>
          <w:color w:val="000000"/>
          <w:sz w:val="18"/>
          <w:u w:color="000000"/>
          <w:lang w:eastAsia="es-ES"/>
        </w:rPr>
        <w:t xml:space="preserve">ing </w:t>
      </w:r>
      <w:r w:rsidR="00F13CF3" w:rsidRPr="006C6C80">
        <w:rPr>
          <w:rFonts w:ascii="Cambria" w:eastAsia="Cambria" w:hAnsi="Cambria" w:cs="Cambria"/>
          <w:color w:val="000000"/>
          <w:sz w:val="18"/>
          <w:u w:color="000000"/>
          <w:lang w:eastAsia="es-ES"/>
        </w:rPr>
        <w:t>the qualification that is given</w:t>
      </w:r>
      <w:r w:rsidR="00117B99" w:rsidRPr="006C6C80">
        <w:rPr>
          <w:rFonts w:ascii="Cambria" w:eastAsia="Cambria" w:hAnsi="Cambria" w:cs="Cambria"/>
          <w:color w:val="000000"/>
          <w:sz w:val="18"/>
          <w:u w:color="000000"/>
          <w:lang w:eastAsia="es-ES"/>
        </w:rPr>
        <w:t xml:space="preserve"> </w:t>
      </w:r>
      <w:r w:rsidR="00F13CF3" w:rsidRPr="006C6C80">
        <w:rPr>
          <w:rFonts w:ascii="Cambria" w:eastAsia="Cambria" w:hAnsi="Cambria" w:cs="Cambria"/>
          <w:color w:val="000000"/>
          <w:sz w:val="18"/>
          <w:u w:color="000000"/>
          <w:lang w:eastAsia="es-ES"/>
        </w:rPr>
        <w:t xml:space="preserve">and in which </w:t>
      </w:r>
      <w:r w:rsidR="002C73F2">
        <w:rPr>
          <w:rFonts w:ascii="Cambria" w:eastAsia="Cambria" w:hAnsi="Cambria" w:cs="Cambria"/>
          <w:color w:val="000000"/>
          <w:sz w:val="18"/>
          <w:u w:color="000000"/>
          <w:lang w:eastAsia="es-ES"/>
        </w:rPr>
        <w:t xml:space="preserve">case </w:t>
      </w:r>
      <w:r w:rsidR="00F13CF3" w:rsidRPr="006C6C80">
        <w:rPr>
          <w:rFonts w:ascii="Cambria" w:eastAsia="Cambria" w:hAnsi="Cambria" w:cs="Cambria"/>
          <w:color w:val="000000"/>
          <w:sz w:val="18"/>
          <w:u w:color="000000"/>
          <w:lang w:eastAsia="es-ES"/>
        </w:rPr>
        <w:t>a ruling shall be made about whether or not the requirements set forth</w:t>
      </w:r>
      <w:r w:rsidR="00F83F77">
        <w:rPr>
          <w:rFonts w:ascii="Cambria" w:eastAsia="Cambria" w:hAnsi="Cambria" w:cs="Cambria"/>
          <w:color w:val="000000"/>
          <w:sz w:val="18"/>
          <w:u w:color="000000"/>
          <w:lang w:eastAsia="es-ES"/>
        </w:rPr>
        <w:t xml:space="preserve"> in Articles 241 and 246</w:t>
      </w:r>
      <w:r w:rsidR="0012364B" w:rsidRPr="006C6C80">
        <w:rPr>
          <w:rFonts w:ascii="Cambria" w:eastAsia="Cambria" w:hAnsi="Cambria" w:cs="Cambria"/>
          <w:color w:val="000000"/>
          <w:sz w:val="18"/>
          <w:u w:color="000000"/>
          <w:lang w:eastAsia="es-ES"/>
        </w:rPr>
        <w:t xml:space="preserve"> </w:t>
      </w:r>
      <w:r w:rsidR="00F13CF3" w:rsidRPr="006C6C80">
        <w:rPr>
          <w:rFonts w:ascii="Cambria" w:eastAsia="Cambria" w:hAnsi="Cambria" w:cs="Cambria"/>
          <w:color w:val="000000"/>
          <w:sz w:val="18"/>
          <w:u w:color="000000"/>
          <w:lang w:eastAsia="es-ES"/>
        </w:rPr>
        <w:t>have been met.</w:t>
      </w:r>
      <w:r w:rsidR="00E67B58" w:rsidRPr="006C6C80">
        <w:rPr>
          <w:rStyle w:val="FootnoteReference"/>
          <w:rFonts w:ascii="Cambria" w:eastAsia="Cambria" w:hAnsi="Cambria" w:cs="Cambria"/>
          <w:color w:val="000000"/>
          <w:sz w:val="18"/>
          <w:u w:color="000000"/>
          <w:lang w:eastAsia="es-ES"/>
        </w:rPr>
        <w:footnoteReference w:id="5"/>
      </w:r>
    </w:p>
    <w:p w:rsidR="009F59DD" w:rsidRPr="006C6C80" w:rsidRDefault="009F59DD" w:rsidP="00F4442D">
      <w:pPr>
        <w:tabs>
          <w:tab w:val="left" w:pos="720"/>
        </w:tabs>
        <w:ind w:right="864"/>
        <w:jc w:val="both"/>
        <w:rPr>
          <w:rFonts w:asciiTheme="majorHAnsi" w:hAnsiTheme="majorHAnsi"/>
          <w:color w:val="000000" w:themeColor="text1"/>
          <w:sz w:val="20"/>
          <w:szCs w:val="20"/>
        </w:rPr>
      </w:pPr>
    </w:p>
    <w:p w:rsidR="0006219D" w:rsidRPr="006C6C80" w:rsidRDefault="00F13CF3" w:rsidP="00B54921">
      <w:pPr>
        <w:pStyle w:val="Heading2"/>
        <w:numPr>
          <w:ilvl w:val="0"/>
          <w:numId w:val="59"/>
        </w:numPr>
        <w:tabs>
          <w:tab w:val="left" w:pos="360"/>
          <w:tab w:val="left" w:pos="720"/>
        </w:tabs>
        <w:ind w:hanging="1440"/>
        <w:rPr>
          <w:lang w:val="en-US"/>
        </w:rPr>
      </w:pPr>
      <w:bookmarkStart w:id="11" w:name="_Toc18936463"/>
      <w:bookmarkStart w:id="12" w:name="_Toc527017125"/>
      <w:r w:rsidRPr="006C6C80">
        <w:rPr>
          <w:lang w:val="en-US"/>
        </w:rPr>
        <w:t>The alleged victims</w:t>
      </w:r>
      <w:bookmarkEnd w:id="11"/>
    </w:p>
    <w:p w:rsidR="0006219D" w:rsidRPr="006C6C80" w:rsidRDefault="0006219D" w:rsidP="00B54921">
      <w:pPr>
        <w:tabs>
          <w:tab w:val="left" w:pos="720"/>
        </w:tabs>
        <w:rPr>
          <w:lang w:eastAsia="es-ES"/>
        </w:rPr>
      </w:pPr>
    </w:p>
    <w:p w:rsidR="0006219D" w:rsidRPr="006C6C80" w:rsidRDefault="00F13CF3" w:rsidP="00B54921">
      <w:pPr>
        <w:pStyle w:val="parrafos"/>
        <w:numPr>
          <w:ilvl w:val="0"/>
          <w:numId w:val="56"/>
        </w:numPr>
        <w:tabs>
          <w:tab w:val="left" w:pos="720"/>
        </w:tabs>
        <w:ind w:left="0" w:firstLine="0"/>
        <w:rPr>
          <w:lang w:val="en-US" w:eastAsia="es-ES"/>
        </w:rPr>
      </w:pPr>
      <w:r w:rsidRPr="006C6C80">
        <w:rPr>
          <w:lang w:val="en-US"/>
        </w:rPr>
        <w:t>The IACHR recalls that, in its Admissibility Report 7</w:t>
      </w:r>
      <w:r w:rsidR="0006219D" w:rsidRPr="006C6C80">
        <w:rPr>
          <w:lang w:val="en-US"/>
        </w:rPr>
        <w:t>8/03</w:t>
      </w:r>
      <w:r w:rsidRPr="006C6C80">
        <w:rPr>
          <w:lang w:val="en-US"/>
        </w:rPr>
        <w:t>, it declared that the petition was admissible with respect to 94 persons. The IACHR shall conduct its review of said universe of victims and attaches to the present report the list of persons that it deems are victims on the basis of the following analysis</w:t>
      </w:r>
      <w:r w:rsidR="00472B9F" w:rsidRPr="006C6C80">
        <w:rPr>
          <w:lang w:val="en-US"/>
        </w:rPr>
        <w:t xml:space="preserve">. </w:t>
      </w:r>
    </w:p>
    <w:p w:rsidR="00E67B58" w:rsidRPr="006C6C80" w:rsidRDefault="00E67B58" w:rsidP="00B54921">
      <w:pPr>
        <w:pStyle w:val="parrafos"/>
        <w:tabs>
          <w:tab w:val="left" w:pos="720"/>
        </w:tabs>
        <w:rPr>
          <w:lang w:val="en-US" w:eastAsia="es-ES"/>
        </w:rPr>
      </w:pPr>
    </w:p>
    <w:p w:rsidR="00E958F1" w:rsidRPr="006C6C80" w:rsidRDefault="00E958F1" w:rsidP="00B54921">
      <w:pPr>
        <w:pStyle w:val="Heading2"/>
        <w:numPr>
          <w:ilvl w:val="0"/>
          <w:numId w:val="59"/>
        </w:numPr>
        <w:tabs>
          <w:tab w:val="left" w:pos="360"/>
          <w:tab w:val="left" w:pos="720"/>
        </w:tabs>
        <w:ind w:hanging="1440"/>
        <w:rPr>
          <w:lang w:val="en-US"/>
        </w:rPr>
      </w:pPr>
      <w:bookmarkStart w:id="13" w:name="_Toc18936464"/>
      <w:r w:rsidRPr="006C6C80">
        <w:rPr>
          <w:lang w:val="en-US"/>
        </w:rPr>
        <w:t>Proc</w:t>
      </w:r>
      <w:r w:rsidR="00F13CF3" w:rsidRPr="006C6C80">
        <w:rPr>
          <w:lang w:val="en-US"/>
        </w:rPr>
        <w:t>eedings initiated by the alleged victims</w:t>
      </w:r>
      <w:bookmarkEnd w:id="12"/>
      <w:bookmarkEnd w:id="13"/>
    </w:p>
    <w:p w:rsidR="00E958F1" w:rsidRPr="006C6C80" w:rsidRDefault="00E958F1" w:rsidP="00B54921">
      <w:pPr>
        <w:tabs>
          <w:tab w:val="left" w:pos="720"/>
        </w:tabs>
        <w:rPr>
          <w:lang w:eastAsia="es-ES"/>
        </w:rPr>
      </w:pPr>
    </w:p>
    <w:p w:rsidR="009B1F8A" w:rsidRPr="006C6C80" w:rsidRDefault="00117B99" w:rsidP="00B54921">
      <w:pPr>
        <w:pStyle w:val="Heading3"/>
        <w:numPr>
          <w:ilvl w:val="0"/>
          <w:numId w:val="60"/>
        </w:numPr>
        <w:tabs>
          <w:tab w:val="left" w:pos="360"/>
          <w:tab w:val="left" w:pos="720"/>
        </w:tabs>
        <w:ind w:left="1440" w:hanging="1440"/>
        <w:rPr>
          <w:lang w:val="en-US"/>
        </w:rPr>
      </w:pPr>
      <w:bookmarkStart w:id="14" w:name="_Toc18936465"/>
      <w:r w:rsidRPr="006C6C80">
        <w:rPr>
          <w:lang w:val="en-US"/>
        </w:rPr>
        <w:t>Background</w:t>
      </w:r>
      <w:bookmarkEnd w:id="14"/>
    </w:p>
    <w:p w:rsidR="00E958F1" w:rsidRPr="006C6C80" w:rsidRDefault="00E958F1" w:rsidP="00B54921">
      <w:pPr>
        <w:tabs>
          <w:tab w:val="left" w:pos="720"/>
        </w:tabs>
      </w:pPr>
    </w:p>
    <w:p w:rsidR="003F677F" w:rsidRPr="006C6C80" w:rsidRDefault="00117B99" w:rsidP="00B54921">
      <w:pPr>
        <w:pStyle w:val="parrafos"/>
        <w:numPr>
          <w:ilvl w:val="0"/>
          <w:numId w:val="56"/>
        </w:numPr>
        <w:tabs>
          <w:tab w:val="left" w:pos="720"/>
        </w:tabs>
        <w:ind w:left="0" w:firstLine="0"/>
        <w:rPr>
          <w:lang w:val="en-US"/>
        </w:rPr>
      </w:pPr>
      <w:r w:rsidRPr="006C6C80">
        <w:rPr>
          <w:lang w:val="en-US"/>
        </w:rPr>
        <w:t xml:space="preserve">According to </w:t>
      </w:r>
      <w:r w:rsidR="000D64AF" w:rsidRPr="006C6C80">
        <w:rPr>
          <w:lang w:val="en-US"/>
        </w:rPr>
        <w:t xml:space="preserve">available </w:t>
      </w:r>
      <w:r w:rsidRPr="006C6C80">
        <w:rPr>
          <w:lang w:val="en-US"/>
        </w:rPr>
        <w:t>information</w:t>
      </w:r>
      <w:r w:rsidR="000D64AF" w:rsidRPr="006C6C80">
        <w:rPr>
          <w:lang w:val="en-US"/>
        </w:rPr>
        <w:t>, on August 17, 1992, the Judiciary Workers Union entered into a two-year collective working conditions agreement with the Judiciary.</w:t>
      </w:r>
      <w:r w:rsidR="00F30279" w:rsidRPr="006C6C80">
        <w:rPr>
          <w:rStyle w:val="FootnoteReference"/>
          <w:lang w:val="en-US"/>
        </w:rPr>
        <w:footnoteReference w:id="6"/>
      </w:r>
    </w:p>
    <w:p w:rsidR="003F677F" w:rsidRPr="006C6C80" w:rsidRDefault="003F677F" w:rsidP="00B54921">
      <w:pPr>
        <w:pStyle w:val="parrafos"/>
        <w:tabs>
          <w:tab w:val="left" w:pos="720"/>
        </w:tabs>
        <w:rPr>
          <w:lang w:val="en-US"/>
        </w:rPr>
      </w:pPr>
    </w:p>
    <w:p w:rsidR="003F677F" w:rsidRPr="006C6C80" w:rsidRDefault="000D64AF" w:rsidP="00B54921">
      <w:pPr>
        <w:pStyle w:val="parrafos"/>
        <w:numPr>
          <w:ilvl w:val="0"/>
          <w:numId w:val="56"/>
        </w:numPr>
        <w:tabs>
          <w:tab w:val="left" w:pos="720"/>
        </w:tabs>
        <w:ind w:left="0" w:firstLine="0"/>
        <w:rPr>
          <w:lang w:val="en-US"/>
        </w:rPr>
      </w:pPr>
      <w:r w:rsidRPr="006C6C80">
        <w:rPr>
          <w:lang w:val="en-US"/>
        </w:rPr>
        <w:t>O</w:t>
      </w:r>
      <w:r w:rsidR="005D1794">
        <w:rPr>
          <w:lang w:val="en-US"/>
        </w:rPr>
        <w:t>n O</w:t>
      </w:r>
      <w:r w:rsidRPr="006C6C80">
        <w:rPr>
          <w:lang w:val="en-US"/>
        </w:rPr>
        <w:t>ctober</w:t>
      </w:r>
      <w:r w:rsidR="00266377" w:rsidRPr="006C6C80">
        <w:rPr>
          <w:lang w:val="en-US"/>
        </w:rPr>
        <w:t xml:space="preserve"> 18</w:t>
      </w:r>
      <w:r w:rsidRPr="006C6C80">
        <w:rPr>
          <w:lang w:val="en-US"/>
        </w:rPr>
        <w:t>,</w:t>
      </w:r>
      <w:r w:rsidR="00266377" w:rsidRPr="006C6C80">
        <w:rPr>
          <w:lang w:val="en-US"/>
        </w:rPr>
        <w:t xml:space="preserve"> 1994</w:t>
      </w:r>
      <w:r w:rsidR="00DF192A">
        <w:rPr>
          <w:lang w:val="en-US"/>
        </w:rPr>
        <w:t>, the U</w:t>
      </w:r>
      <w:r w:rsidRPr="006C6C80">
        <w:rPr>
          <w:lang w:val="en-US"/>
        </w:rPr>
        <w:t>nion denounced this agreement at the General Labor Inspectorate for the purpose of starting</w:t>
      </w:r>
      <w:r w:rsidR="00DF192A">
        <w:rPr>
          <w:lang w:val="en-US"/>
        </w:rPr>
        <w:t xml:space="preserve"> negotiations </w:t>
      </w:r>
      <w:r w:rsidRPr="006C6C80">
        <w:rPr>
          <w:lang w:val="en-US"/>
        </w:rPr>
        <w:t>directly in order to sign a new agreement</w:t>
      </w:r>
      <w:r w:rsidR="00A11511" w:rsidRPr="006C6C80">
        <w:rPr>
          <w:lang w:val="en-US"/>
        </w:rPr>
        <w:t xml:space="preserve">. </w:t>
      </w:r>
      <w:r w:rsidRPr="006C6C80">
        <w:rPr>
          <w:lang w:val="en-US"/>
        </w:rPr>
        <w:t>On November</w:t>
      </w:r>
      <w:r w:rsidR="00266377" w:rsidRPr="006C6C80">
        <w:rPr>
          <w:lang w:val="en-US"/>
        </w:rPr>
        <w:t xml:space="preserve"> 21</w:t>
      </w:r>
      <w:r w:rsidRPr="006C6C80">
        <w:rPr>
          <w:lang w:val="en-US"/>
        </w:rPr>
        <w:t>,</w:t>
      </w:r>
      <w:r w:rsidR="00CD2D88" w:rsidRPr="006C6C80">
        <w:rPr>
          <w:lang w:val="en-US"/>
        </w:rPr>
        <w:t xml:space="preserve"> 1995</w:t>
      </w:r>
      <w:r w:rsidRPr="006C6C80">
        <w:rPr>
          <w:lang w:val="en-US"/>
        </w:rPr>
        <w:t xml:space="preserve">, it </w:t>
      </w:r>
      <w:r w:rsidR="005D1794">
        <w:rPr>
          <w:lang w:val="en-US"/>
        </w:rPr>
        <w:t>filed</w:t>
      </w:r>
      <w:r w:rsidR="007F3505">
        <w:rPr>
          <w:lang w:val="en-US"/>
        </w:rPr>
        <w:t xml:space="preserve"> </w:t>
      </w:r>
      <w:r w:rsidRPr="006C6C80">
        <w:rPr>
          <w:lang w:val="en-US"/>
        </w:rPr>
        <w:t>a soci</w:t>
      </w:r>
      <w:r w:rsidR="005D1794">
        <w:rPr>
          <w:lang w:val="en-US"/>
        </w:rPr>
        <w:t xml:space="preserve">al and </w:t>
      </w:r>
      <w:r w:rsidRPr="006C6C80">
        <w:rPr>
          <w:lang w:val="en-US"/>
        </w:rPr>
        <w:t xml:space="preserve">economic dispute </w:t>
      </w:r>
      <w:r w:rsidR="005D1794">
        <w:rPr>
          <w:lang w:val="en-US"/>
        </w:rPr>
        <w:t>with</w:t>
      </w:r>
      <w:r w:rsidRPr="006C6C80">
        <w:rPr>
          <w:lang w:val="en-US"/>
        </w:rPr>
        <w:t xml:space="preserve"> the </w:t>
      </w:r>
      <w:r w:rsidR="00DF192A">
        <w:rPr>
          <w:lang w:val="en-US"/>
        </w:rPr>
        <w:t>F</w:t>
      </w:r>
      <w:r w:rsidRPr="006C6C80">
        <w:rPr>
          <w:lang w:val="en-US"/>
        </w:rPr>
        <w:t xml:space="preserve">irst </w:t>
      </w:r>
      <w:r w:rsidR="00DF192A">
        <w:rPr>
          <w:lang w:val="en-US"/>
        </w:rPr>
        <w:t>C</w:t>
      </w:r>
      <w:r w:rsidRPr="006C6C80">
        <w:rPr>
          <w:lang w:val="en-US"/>
        </w:rPr>
        <w:t>hamber of the Labor and Social Welfare Appeals Court</w:t>
      </w:r>
      <w:r w:rsidR="007F3505">
        <w:rPr>
          <w:lang w:val="en-US"/>
        </w:rPr>
        <w:t>. On November 28, 1995, the F</w:t>
      </w:r>
      <w:r w:rsidR="00C70475" w:rsidRPr="006C6C80">
        <w:rPr>
          <w:lang w:val="en-US"/>
        </w:rPr>
        <w:t xml:space="preserve">irst </w:t>
      </w:r>
      <w:r w:rsidR="007F3505">
        <w:rPr>
          <w:lang w:val="en-US"/>
        </w:rPr>
        <w:t>C</w:t>
      </w:r>
      <w:r w:rsidR="00C70475" w:rsidRPr="006C6C80">
        <w:rPr>
          <w:lang w:val="en-US"/>
        </w:rPr>
        <w:t xml:space="preserve">hamber of the Appeals Court ruled that direct </w:t>
      </w:r>
      <w:r w:rsidR="007F3505">
        <w:rPr>
          <w:lang w:val="en-US"/>
        </w:rPr>
        <w:t>remedies</w:t>
      </w:r>
      <w:r w:rsidR="00C70475" w:rsidRPr="006C6C80">
        <w:rPr>
          <w:lang w:val="en-US"/>
        </w:rPr>
        <w:t xml:space="preserve"> had been exhausted</w:t>
      </w:r>
      <w:r w:rsidR="00001C4F" w:rsidRPr="006C6C80">
        <w:rPr>
          <w:lang w:val="en-US"/>
        </w:rPr>
        <w:t>.</w:t>
      </w:r>
      <w:r w:rsidR="00DC3080" w:rsidRPr="006C6C80">
        <w:rPr>
          <w:rStyle w:val="FootnoteReference"/>
          <w:lang w:val="en-US"/>
        </w:rPr>
        <w:footnoteReference w:id="7"/>
      </w:r>
    </w:p>
    <w:p w:rsidR="003F677F" w:rsidRPr="006C6C80" w:rsidRDefault="003F677F" w:rsidP="00B54921">
      <w:pPr>
        <w:pStyle w:val="ListParagraph"/>
        <w:tabs>
          <w:tab w:val="left" w:pos="720"/>
        </w:tabs>
      </w:pPr>
    </w:p>
    <w:p w:rsidR="003F677F" w:rsidRPr="006C6C80" w:rsidRDefault="00BE4EB3" w:rsidP="00B54921">
      <w:pPr>
        <w:pStyle w:val="parrafos"/>
        <w:numPr>
          <w:ilvl w:val="0"/>
          <w:numId w:val="56"/>
        </w:numPr>
        <w:tabs>
          <w:tab w:val="left" w:pos="720"/>
        </w:tabs>
        <w:ind w:left="0" w:firstLine="0"/>
        <w:rPr>
          <w:lang w:val="en-US"/>
        </w:rPr>
      </w:pPr>
      <w:r w:rsidRPr="006C6C80">
        <w:rPr>
          <w:lang w:val="en-US"/>
        </w:rPr>
        <w:t>On December 1</w:t>
      </w:r>
      <w:r w:rsidR="00E958F1" w:rsidRPr="006C6C80">
        <w:rPr>
          <w:lang w:val="en-US"/>
        </w:rPr>
        <w:t>2</w:t>
      </w:r>
      <w:r w:rsidRPr="006C6C80">
        <w:rPr>
          <w:lang w:val="en-US"/>
        </w:rPr>
        <w:t>,</w:t>
      </w:r>
      <w:r w:rsidR="00E958F1" w:rsidRPr="006C6C80">
        <w:rPr>
          <w:lang w:val="en-US"/>
        </w:rPr>
        <w:t xml:space="preserve"> 1995</w:t>
      </w:r>
      <w:r w:rsidR="00EC484F" w:rsidRPr="006C6C80">
        <w:rPr>
          <w:lang w:val="en-US"/>
        </w:rPr>
        <w:t xml:space="preserve">, </w:t>
      </w:r>
      <w:r w:rsidRPr="006C6C80">
        <w:rPr>
          <w:lang w:val="en-US"/>
        </w:rPr>
        <w:t xml:space="preserve">after failure of the bargaining, a </w:t>
      </w:r>
      <w:r w:rsidR="0056182C" w:rsidRPr="006C6C80">
        <w:rPr>
          <w:lang w:val="en-US"/>
        </w:rPr>
        <w:t>Conciliation</w:t>
      </w:r>
      <w:r w:rsidR="007F3505">
        <w:rPr>
          <w:lang w:val="en-US"/>
        </w:rPr>
        <w:t xml:space="preserve"> Court was established, consisting</w:t>
      </w:r>
      <w:r w:rsidRPr="006C6C80">
        <w:rPr>
          <w:lang w:val="en-US"/>
        </w:rPr>
        <w:t xml:space="preserve"> of three judges of the </w:t>
      </w:r>
      <w:r w:rsidR="00206C3E">
        <w:rPr>
          <w:lang w:val="en-US"/>
        </w:rPr>
        <w:t>F</w:t>
      </w:r>
      <w:r w:rsidRPr="006C6C80">
        <w:rPr>
          <w:lang w:val="en-US"/>
        </w:rPr>
        <w:t xml:space="preserve">irst </w:t>
      </w:r>
      <w:r w:rsidR="00206C3E">
        <w:rPr>
          <w:lang w:val="en-US"/>
        </w:rPr>
        <w:t>C</w:t>
      </w:r>
      <w:r w:rsidRPr="006C6C80">
        <w:rPr>
          <w:lang w:val="en-US"/>
        </w:rPr>
        <w:t>hamber of the Labor and Social Welfare Court, a delegate from the workers, and a delegate from the employers.</w:t>
      </w:r>
      <w:r w:rsidR="00AD4668" w:rsidRPr="006C6C80">
        <w:rPr>
          <w:rStyle w:val="FootnoteReference"/>
          <w:lang w:val="en-US"/>
        </w:rPr>
        <w:footnoteReference w:id="8"/>
      </w:r>
      <w:r w:rsidRPr="006C6C80">
        <w:rPr>
          <w:lang w:val="en-US"/>
        </w:rPr>
        <w:t xml:space="preserve"> On February </w:t>
      </w:r>
      <w:r w:rsidR="00CD2D88" w:rsidRPr="006C6C80">
        <w:rPr>
          <w:lang w:val="en-US"/>
        </w:rPr>
        <w:t>14</w:t>
      </w:r>
      <w:r w:rsidRPr="006C6C80">
        <w:rPr>
          <w:lang w:val="en-US"/>
        </w:rPr>
        <w:t xml:space="preserve">, </w:t>
      </w:r>
      <w:r w:rsidR="00CD2D88" w:rsidRPr="006C6C80">
        <w:rPr>
          <w:lang w:val="en-US"/>
        </w:rPr>
        <w:t>1996</w:t>
      </w:r>
      <w:r w:rsidRPr="006C6C80">
        <w:rPr>
          <w:lang w:val="en-US"/>
        </w:rPr>
        <w:t>, said court issued a series of recommendations relative to the draft collective agreement.</w:t>
      </w:r>
      <w:r w:rsidR="00F6780D" w:rsidRPr="006C6C80">
        <w:rPr>
          <w:rStyle w:val="FootnoteReference"/>
          <w:lang w:val="en-US"/>
        </w:rPr>
        <w:footnoteReference w:id="9"/>
      </w:r>
      <w:r w:rsidR="004C3D7A" w:rsidRPr="006C6C80">
        <w:rPr>
          <w:lang w:val="en-US"/>
        </w:rPr>
        <w:t xml:space="preserve"> </w:t>
      </w:r>
      <w:r w:rsidR="00647A1E" w:rsidRPr="006C6C80">
        <w:rPr>
          <w:lang w:val="en-US"/>
        </w:rPr>
        <w:t>Final</w:t>
      </w:r>
      <w:r w:rsidRPr="006C6C80">
        <w:rPr>
          <w:lang w:val="en-US"/>
        </w:rPr>
        <w:t xml:space="preserve">ly, on February 15, 1996, </w:t>
      </w:r>
      <w:r w:rsidR="0077580A" w:rsidRPr="006C6C80">
        <w:rPr>
          <w:lang w:val="en-US"/>
        </w:rPr>
        <w:t xml:space="preserve">the Court terminated the </w:t>
      </w:r>
      <w:r w:rsidR="0056182C" w:rsidRPr="006C6C80">
        <w:rPr>
          <w:lang w:val="en-US"/>
        </w:rPr>
        <w:t>conciliation</w:t>
      </w:r>
      <w:r w:rsidR="0077580A" w:rsidRPr="006C6C80">
        <w:rPr>
          <w:lang w:val="en-US"/>
        </w:rPr>
        <w:t xml:space="preserve"> process.</w:t>
      </w:r>
      <w:r w:rsidR="008C18BC" w:rsidRPr="006C6C80">
        <w:rPr>
          <w:rStyle w:val="FootnoteReference"/>
          <w:lang w:val="en-US"/>
        </w:rPr>
        <w:footnoteReference w:id="10"/>
      </w:r>
      <w:r w:rsidR="00F279BE" w:rsidRPr="006C6C80">
        <w:rPr>
          <w:lang w:val="en-US"/>
        </w:rPr>
        <w:t xml:space="preserve"> </w:t>
      </w:r>
    </w:p>
    <w:p w:rsidR="003F677F" w:rsidRPr="006C6C80" w:rsidRDefault="003F677F" w:rsidP="00B54921">
      <w:pPr>
        <w:pStyle w:val="ListParagraph"/>
        <w:tabs>
          <w:tab w:val="left" w:pos="720"/>
        </w:tabs>
      </w:pPr>
    </w:p>
    <w:p w:rsidR="003F677F" w:rsidRPr="006C6C80" w:rsidRDefault="0077580A" w:rsidP="00B54921">
      <w:pPr>
        <w:pStyle w:val="parrafos"/>
        <w:numPr>
          <w:ilvl w:val="0"/>
          <w:numId w:val="56"/>
        </w:numPr>
        <w:tabs>
          <w:tab w:val="left" w:pos="720"/>
        </w:tabs>
        <w:ind w:left="0" w:firstLine="0"/>
        <w:rPr>
          <w:lang w:val="en-US"/>
        </w:rPr>
      </w:pPr>
      <w:r w:rsidRPr="006C6C80">
        <w:rPr>
          <w:lang w:val="en-US"/>
        </w:rPr>
        <w:t>As indicated by the petitioners</w:t>
      </w:r>
      <w:r w:rsidR="00F279BE" w:rsidRPr="006C6C80">
        <w:rPr>
          <w:lang w:val="en-US"/>
        </w:rPr>
        <w:t xml:space="preserve">, </w:t>
      </w:r>
      <w:r w:rsidRPr="006C6C80">
        <w:rPr>
          <w:lang w:val="en-US"/>
        </w:rPr>
        <w:t>on February</w:t>
      </w:r>
      <w:r w:rsidR="00FD0A0D" w:rsidRPr="006C6C80">
        <w:rPr>
          <w:lang w:val="en-US"/>
        </w:rPr>
        <w:t xml:space="preserve"> </w:t>
      </w:r>
      <w:r w:rsidR="004C6DC2" w:rsidRPr="006C6C80">
        <w:rPr>
          <w:lang w:val="en-US"/>
        </w:rPr>
        <w:t>16</w:t>
      </w:r>
      <w:r w:rsidRPr="006C6C80">
        <w:rPr>
          <w:lang w:val="en-US"/>
        </w:rPr>
        <w:t>,</w:t>
      </w:r>
      <w:r w:rsidR="004C6DC2" w:rsidRPr="006C6C80">
        <w:rPr>
          <w:lang w:val="en-US"/>
        </w:rPr>
        <w:t xml:space="preserve"> 1996</w:t>
      </w:r>
      <w:r w:rsidRPr="006C6C80">
        <w:rPr>
          <w:lang w:val="en-US"/>
        </w:rPr>
        <w:t>, they submitted a brief to the</w:t>
      </w:r>
      <w:r w:rsidR="007F3505">
        <w:rPr>
          <w:lang w:val="en-US"/>
        </w:rPr>
        <w:t xml:space="preserve"> F</w:t>
      </w:r>
      <w:r w:rsidRPr="006C6C80">
        <w:rPr>
          <w:lang w:val="en-US"/>
        </w:rPr>
        <w:t xml:space="preserve">irst </w:t>
      </w:r>
      <w:r w:rsidR="007F3505">
        <w:rPr>
          <w:lang w:val="en-US"/>
        </w:rPr>
        <w:t>C</w:t>
      </w:r>
      <w:r w:rsidRPr="006C6C80">
        <w:rPr>
          <w:lang w:val="en-US"/>
        </w:rPr>
        <w:t xml:space="preserve">hamber of the Appeals Court requesting it </w:t>
      </w:r>
      <w:r w:rsidR="007F3505">
        <w:rPr>
          <w:lang w:val="en-US"/>
        </w:rPr>
        <w:t xml:space="preserve">to </w:t>
      </w:r>
      <w:r w:rsidRPr="006C6C80">
        <w:rPr>
          <w:lang w:val="en-US"/>
        </w:rPr>
        <w:t xml:space="preserve">order the General Inspectorate to </w:t>
      </w:r>
      <w:r w:rsidR="007F3505">
        <w:rPr>
          <w:lang w:val="en-US"/>
        </w:rPr>
        <w:t>determine</w:t>
      </w:r>
      <w:r w:rsidRPr="006C6C80">
        <w:rPr>
          <w:lang w:val="en-US"/>
        </w:rPr>
        <w:t xml:space="preserve">, by counting, whether the workers who entered into the labor dispute </w:t>
      </w:r>
      <w:r w:rsidR="00B36E05">
        <w:rPr>
          <w:lang w:val="en-US"/>
        </w:rPr>
        <w:t xml:space="preserve">accounted for </w:t>
      </w:r>
      <w:r w:rsidRPr="006C6C80">
        <w:rPr>
          <w:lang w:val="en-US"/>
        </w:rPr>
        <w:t xml:space="preserve">at least two thirds of the Judiciary and as a result </w:t>
      </w:r>
      <w:r w:rsidR="007F3505">
        <w:rPr>
          <w:lang w:val="en-US"/>
        </w:rPr>
        <w:t xml:space="preserve">to </w:t>
      </w:r>
      <w:r w:rsidRPr="006C6C80">
        <w:rPr>
          <w:lang w:val="en-US"/>
        </w:rPr>
        <w:t xml:space="preserve">declare the strike’s </w:t>
      </w:r>
      <w:r w:rsidR="0056182C" w:rsidRPr="006C6C80">
        <w:rPr>
          <w:lang w:val="en-US"/>
        </w:rPr>
        <w:t>lawfulness</w:t>
      </w:r>
      <w:r w:rsidRPr="006C6C80">
        <w:rPr>
          <w:lang w:val="en-US"/>
        </w:rPr>
        <w:t xml:space="preserve"> as required by the Labor Code.</w:t>
      </w:r>
      <w:r w:rsidR="00B37CF2" w:rsidRPr="006C6C80">
        <w:rPr>
          <w:rStyle w:val="FootnoteReference"/>
          <w:lang w:val="en-US"/>
        </w:rPr>
        <w:footnoteReference w:id="11"/>
      </w:r>
    </w:p>
    <w:p w:rsidR="003F677F" w:rsidRPr="006C6C80" w:rsidRDefault="003F677F" w:rsidP="00B54921">
      <w:pPr>
        <w:pStyle w:val="ListParagraph"/>
        <w:tabs>
          <w:tab w:val="left" w:pos="720"/>
        </w:tabs>
      </w:pPr>
    </w:p>
    <w:p w:rsidR="003F677F" w:rsidRPr="006C6C80" w:rsidRDefault="007F3505" w:rsidP="00B54921">
      <w:pPr>
        <w:pStyle w:val="parrafos"/>
        <w:numPr>
          <w:ilvl w:val="0"/>
          <w:numId w:val="56"/>
        </w:numPr>
        <w:tabs>
          <w:tab w:val="left" w:pos="720"/>
        </w:tabs>
        <w:ind w:left="0" w:firstLine="0"/>
        <w:rPr>
          <w:lang w:val="en-US"/>
        </w:rPr>
      </w:pPr>
      <w:r>
        <w:rPr>
          <w:lang w:val="en-US"/>
        </w:rPr>
        <w:t>On the same day, the First C</w:t>
      </w:r>
      <w:r w:rsidR="0077580A" w:rsidRPr="006C6C80">
        <w:rPr>
          <w:lang w:val="en-US"/>
        </w:rPr>
        <w:t xml:space="preserve">hamber of the Labor and Social Welfare Appeals Court ruled that the </w:t>
      </w:r>
      <w:r>
        <w:rPr>
          <w:lang w:val="en-US"/>
        </w:rPr>
        <w:t>motion</w:t>
      </w:r>
      <w:r w:rsidR="0077580A" w:rsidRPr="006C6C80">
        <w:rPr>
          <w:lang w:val="en-US"/>
        </w:rPr>
        <w:t xml:space="preserve"> was admissible and order</w:t>
      </w:r>
      <w:r>
        <w:rPr>
          <w:lang w:val="en-US"/>
        </w:rPr>
        <w:t xml:space="preserve">ed </w:t>
      </w:r>
      <w:r w:rsidR="0077580A" w:rsidRPr="006C6C80">
        <w:rPr>
          <w:lang w:val="en-US"/>
        </w:rPr>
        <w:t xml:space="preserve">the General Labor Inspectorate “to order its staff of Labor Inspectors to count the number of Judiciary employees who support the </w:t>
      </w:r>
      <w:r w:rsidR="009844E3">
        <w:rPr>
          <w:lang w:val="en-US"/>
        </w:rPr>
        <w:t>action</w:t>
      </w:r>
      <w:r w:rsidR="0077580A" w:rsidRPr="006C6C80">
        <w:rPr>
          <w:lang w:val="en-US"/>
        </w:rPr>
        <w:t xml:space="preserve"> and those who do not in all the courts of Republic</w:t>
      </w:r>
      <w:r w:rsidR="006800FF" w:rsidRPr="006C6C80">
        <w:rPr>
          <w:lang w:val="en-US"/>
        </w:rPr>
        <w:t xml:space="preserve"> and all the administrative servi</w:t>
      </w:r>
      <w:r>
        <w:rPr>
          <w:lang w:val="en-US"/>
        </w:rPr>
        <w:t>ces and agencies of all kinds and</w:t>
      </w:r>
      <w:r w:rsidR="006800FF" w:rsidRPr="006C6C80">
        <w:rPr>
          <w:lang w:val="en-US"/>
        </w:rPr>
        <w:t xml:space="preserve"> ranks</w:t>
      </w:r>
      <w:r>
        <w:rPr>
          <w:lang w:val="en-US"/>
        </w:rPr>
        <w:t xml:space="preserve"> making up</w:t>
      </w:r>
      <w:r w:rsidR="006800FF" w:rsidRPr="006C6C80">
        <w:rPr>
          <w:lang w:val="en-US"/>
        </w:rPr>
        <w:t xml:space="preserve"> the Judiciary.</w:t>
      </w:r>
      <w:r w:rsidR="00E13A36" w:rsidRPr="006C6C80">
        <w:rPr>
          <w:lang w:val="en-US"/>
        </w:rPr>
        <w:t>”</w:t>
      </w:r>
      <w:r w:rsidR="00B337A8" w:rsidRPr="006C6C80">
        <w:rPr>
          <w:rStyle w:val="FootnoteReference"/>
          <w:lang w:val="en-US"/>
        </w:rPr>
        <w:footnoteReference w:id="12"/>
      </w:r>
    </w:p>
    <w:p w:rsidR="003F677F" w:rsidRPr="006C6C80" w:rsidRDefault="003F677F" w:rsidP="00B54921">
      <w:pPr>
        <w:pStyle w:val="ListParagraph"/>
        <w:tabs>
          <w:tab w:val="left" w:pos="720"/>
        </w:tabs>
      </w:pPr>
    </w:p>
    <w:p w:rsidR="003F677F" w:rsidRPr="006C6C80" w:rsidRDefault="006800FF" w:rsidP="00B54921">
      <w:pPr>
        <w:pStyle w:val="parrafos"/>
        <w:numPr>
          <w:ilvl w:val="0"/>
          <w:numId w:val="56"/>
        </w:numPr>
        <w:tabs>
          <w:tab w:val="left" w:pos="720"/>
        </w:tabs>
        <w:ind w:left="0" w:firstLine="0"/>
        <w:rPr>
          <w:lang w:val="en-US"/>
        </w:rPr>
      </w:pPr>
      <w:r w:rsidRPr="006C6C80">
        <w:rPr>
          <w:lang w:val="en-US"/>
        </w:rPr>
        <w:t>On February</w:t>
      </w:r>
      <w:r w:rsidR="004C6DC2" w:rsidRPr="006C6C80">
        <w:rPr>
          <w:lang w:val="en-US"/>
        </w:rPr>
        <w:t xml:space="preserve"> 19</w:t>
      </w:r>
      <w:r w:rsidRPr="006C6C80">
        <w:rPr>
          <w:lang w:val="en-US"/>
        </w:rPr>
        <w:t>,</w:t>
      </w:r>
      <w:r w:rsidR="004C6DC2" w:rsidRPr="006C6C80">
        <w:rPr>
          <w:lang w:val="en-US"/>
        </w:rPr>
        <w:t xml:space="preserve"> </w:t>
      </w:r>
      <w:r w:rsidR="007C08FA" w:rsidRPr="006C6C80">
        <w:rPr>
          <w:lang w:val="en-US"/>
        </w:rPr>
        <w:t>1996</w:t>
      </w:r>
      <w:r w:rsidRPr="006C6C80">
        <w:rPr>
          <w:lang w:val="en-US"/>
        </w:rPr>
        <w:t>, the Judiciary filed a</w:t>
      </w:r>
      <w:r w:rsidR="007F3505">
        <w:rPr>
          <w:lang w:val="en-US"/>
        </w:rPr>
        <w:t xml:space="preserve"> motion for annulment because of</w:t>
      </w:r>
      <w:r w:rsidRPr="006C6C80">
        <w:rPr>
          <w:lang w:val="en-US"/>
        </w:rPr>
        <w:t xml:space="preserve"> violation of the law against the rulings that declare</w:t>
      </w:r>
      <w:r w:rsidR="00B36E05">
        <w:rPr>
          <w:lang w:val="en-US"/>
        </w:rPr>
        <w:t>d that</w:t>
      </w:r>
      <w:r w:rsidRPr="006C6C80">
        <w:rPr>
          <w:lang w:val="en-US"/>
        </w:rPr>
        <w:t xml:space="preserve"> counting </w:t>
      </w:r>
      <w:r w:rsidR="00B36E05">
        <w:rPr>
          <w:lang w:val="en-US"/>
        </w:rPr>
        <w:t xml:space="preserve">was </w:t>
      </w:r>
      <w:r w:rsidRPr="006C6C80">
        <w:rPr>
          <w:lang w:val="en-US"/>
        </w:rPr>
        <w:t>admissible</w:t>
      </w:r>
      <w:r w:rsidR="00B36E05">
        <w:rPr>
          <w:lang w:val="en-US"/>
        </w:rPr>
        <w:t xml:space="preserve"> in order</w:t>
      </w:r>
      <w:r w:rsidRPr="006C6C80">
        <w:rPr>
          <w:lang w:val="en-US"/>
        </w:rPr>
        <w:t xml:space="preserve"> to </w:t>
      </w:r>
      <w:r w:rsidR="00B36E05">
        <w:rPr>
          <w:lang w:val="en-US"/>
        </w:rPr>
        <w:t>achieve</w:t>
      </w:r>
      <w:r w:rsidRPr="006C6C80">
        <w:rPr>
          <w:lang w:val="en-US"/>
        </w:rPr>
        <w:t xml:space="preserve"> a l</w:t>
      </w:r>
      <w:r w:rsidR="007F3505">
        <w:rPr>
          <w:lang w:val="en-US"/>
        </w:rPr>
        <w:t>awful</w:t>
      </w:r>
      <w:r w:rsidRPr="006C6C80">
        <w:rPr>
          <w:lang w:val="en-US"/>
        </w:rPr>
        <w:t xml:space="preserve"> strike.</w:t>
      </w:r>
      <w:r w:rsidR="00E958F1" w:rsidRPr="006C6C80">
        <w:rPr>
          <w:rStyle w:val="FootnoteReference"/>
          <w:lang w:val="en-US"/>
        </w:rPr>
        <w:footnoteReference w:id="13"/>
      </w:r>
      <w:r w:rsidRPr="006C6C80">
        <w:rPr>
          <w:lang w:val="en-US"/>
        </w:rPr>
        <w:t xml:space="preserve"> On February 20, </w:t>
      </w:r>
      <w:r w:rsidRPr="006C6C80">
        <w:rPr>
          <w:lang w:val="en-US"/>
        </w:rPr>
        <w:lastRenderedPageBreak/>
        <w:t xml:space="preserve">1996, the Judiciary submitted a new brief requesting </w:t>
      </w:r>
      <w:r w:rsidR="007F3505">
        <w:rPr>
          <w:lang w:val="en-US"/>
        </w:rPr>
        <w:t>that the</w:t>
      </w:r>
      <w:r w:rsidRPr="006C6C80">
        <w:rPr>
          <w:lang w:val="en-US"/>
        </w:rPr>
        <w:t xml:space="preserve"> harm</w:t>
      </w:r>
      <w:r w:rsidR="007F3505">
        <w:rPr>
          <w:lang w:val="en-US"/>
        </w:rPr>
        <w:t xml:space="preserve"> that a strike by the Judiciary Workers Union would bring to Guatemala must be taken into account</w:t>
      </w:r>
      <w:r w:rsidRPr="006C6C80">
        <w:rPr>
          <w:lang w:val="en-US"/>
        </w:rPr>
        <w:t>.</w:t>
      </w:r>
      <w:r w:rsidR="00E958F1" w:rsidRPr="006C6C80">
        <w:rPr>
          <w:rStyle w:val="FootnoteReference"/>
          <w:lang w:val="en-US"/>
        </w:rPr>
        <w:footnoteReference w:id="14"/>
      </w:r>
    </w:p>
    <w:p w:rsidR="003F677F" w:rsidRPr="006C6C80" w:rsidRDefault="003F677F" w:rsidP="00472B9F">
      <w:pPr>
        <w:tabs>
          <w:tab w:val="left" w:pos="720"/>
        </w:tabs>
      </w:pPr>
    </w:p>
    <w:p w:rsidR="003F677F" w:rsidRPr="006C6C80" w:rsidRDefault="006800FF" w:rsidP="00B54921">
      <w:pPr>
        <w:pStyle w:val="parrafos"/>
        <w:numPr>
          <w:ilvl w:val="0"/>
          <w:numId w:val="56"/>
        </w:numPr>
        <w:tabs>
          <w:tab w:val="left" w:pos="720"/>
        </w:tabs>
        <w:ind w:left="0" w:firstLine="0"/>
        <w:rPr>
          <w:lang w:val="en-US"/>
        </w:rPr>
      </w:pPr>
      <w:r w:rsidRPr="006C6C80">
        <w:rPr>
          <w:lang w:val="en-US"/>
        </w:rPr>
        <w:t>On February</w:t>
      </w:r>
      <w:r w:rsidR="002C1841" w:rsidRPr="006C6C80">
        <w:rPr>
          <w:lang w:val="en-US"/>
        </w:rPr>
        <w:t xml:space="preserve"> 23</w:t>
      </w:r>
      <w:r w:rsidRPr="006C6C80">
        <w:rPr>
          <w:lang w:val="en-US"/>
        </w:rPr>
        <w:t>,</w:t>
      </w:r>
      <w:r w:rsidR="002C1841" w:rsidRPr="006C6C80">
        <w:rPr>
          <w:lang w:val="en-US"/>
        </w:rPr>
        <w:t xml:space="preserve"> 1996</w:t>
      </w:r>
      <w:r w:rsidR="007F3505">
        <w:rPr>
          <w:lang w:val="en-US"/>
        </w:rPr>
        <w:t>, the F</w:t>
      </w:r>
      <w:r w:rsidRPr="006C6C80">
        <w:rPr>
          <w:lang w:val="en-US"/>
        </w:rPr>
        <w:t xml:space="preserve">irst </w:t>
      </w:r>
      <w:r w:rsidR="007F3505">
        <w:rPr>
          <w:lang w:val="en-US"/>
        </w:rPr>
        <w:t>C</w:t>
      </w:r>
      <w:r w:rsidRPr="006C6C80">
        <w:rPr>
          <w:lang w:val="en-US"/>
        </w:rPr>
        <w:t>hamber of the Labor and Social Welfare</w:t>
      </w:r>
      <w:r w:rsidR="007F3505">
        <w:rPr>
          <w:lang w:val="en-US"/>
        </w:rPr>
        <w:t xml:space="preserve"> Appeals Court ruled that the motion</w:t>
      </w:r>
      <w:r w:rsidRPr="006C6C80">
        <w:rPr>
          <w:lang w:val="en-US"/>
        </w:rPr>
        <w:t xml:space="preserve"> for </w:t>
      </w:r>
      <w:r w:rsidR="007F3505">
        <w:rPr>
          <w:lang w:val="en-US"/>
        </w:rPr>
        <w:t>annulment</w:t>
      </w:r>
      <w:r w:rsidRPr="006C6C80">
        <w:rPr>
          <w:lang w:val="en-US"/>
        </w:rPr>
        <w:t xml:space="preserve"> filed by the Judiciary was inadmissible.</w:t>
      </w:r>
      <w:r w:rsidR="00984C41" w:rsidRPr="006C6C80">
        <w:rPr>
          <w:rStyle w:val="FootnoteReference"/>
          <w:lang w:val="en-US"/>
        </w:rPr>
        <w:footnoteReference w:id="15"/>
      </w:r>
    </w:p>
    <w:p w:rsidR="003F677F" w:rsidRPr="006C6C80" w:rsidRDefault="003F677F" w:rsidP="00B54921">
      <w:pPr>
        <w:pStyle w:val="ListParagraph"/>
        <w:tabs>
          <w:tab w:val="left" w:pos="720"/>
        </w:tabs>
      </w:pPr>
    </w:p>
    <w:p w:rsidR="003F677F" w:rsidRPr="006C6C80" w:rsidRDefault="006800FF" w:rsidP="00B54921">
      <w:pPr>
        <w:pStyle w:val="parrafos"/>
        <w:numPr>
          <w:ilvl w:val="0"/>
          <w:numId w:val="56"/>
        </w:numPr>
        <w:tabs>
          <w:tab w:val="left" w:pos="720"/>
        </w:tabs>
        <w:ind w:left="0" w:firstLine="0"/>
        <w:rPr>
          <w:lang w:val="en-US"/>
        </w:rPr>
      </w:pPr>
      <w:r w:rsidRPr="006C6C80">
        <w:rPr>
          <w:lang w:val="en-US"/>
        </w:rPr>
        <w:t>Subsequently, the state filed an appeal against the previous ruling of the Supreme Court of Justice.</w:t>
      </w:r>
      <w:r w:rsidR="00C8328F" w:rsidRPr="006C6C80">
        <w:rPr>
          <w:rStyle w:val="FootnoteReference"/>
          <w:lang w:val="en-US"/>
        </w:rPr>
        <w:footnoteReference w:id="16"/>
      </w:r>
      <w:r w:rsidR="00FD0A0D" w:rsidRPr="006C6C80">
        <w:rPr>
          <w:lang w:val="en-US"/>
        </w:rPr>
        <w:t xml:space="preserve"> </w:t>
      </w:r>
      <w:r w:rsidRPr="006C6C80">
        <w:rPr>
          <w:lang w:val="en-US"/>
        </w:rPr>
        <w:t>Likewise, it was recorded that Gen</w:t>
      </w:r>
      <w:r w:rsidR="00120735">
        <w:rPr>
          <w:lang w:val="en-US"/>
        </w:rPr>
        <w:t>eral Inspectorate consulted the First C</w:t>
      </w:r>
      <w:r w:rsidRPr="006C6C80">
        <w:rPr>
          <w:lang w:val="en-US"/>
        </w:rPr>
        <w:t>hamber to determine whether or not it should proceed with the counting.</w:t>
      </w:r>
      <w:r w:rsidR="00AF3F2C" w:rsidRPr="006C6C80">
        <w:rPr>
          <w:rStyle w:val="FootnoteReference"/>
          <w:lang w:val="en-US"/>
        </w:rPr>
        <w:footnoteReference w:id="17"/>
      </w:r>
    </w:p>
    <w:p w:rsidR="003F677F" w:rsidRPr="006C6C80" w:rsidRDefault="003F677F" w:rsidP="00B54921">
      <w:pPr>
        <w:pStyle w:val="ListParagraph"/>
        <w:tabs>
          <w:tab w:val="left" w:pos="720"/>
        </w:tabs>
      </w:pPr>
    </w:p>
    <w:p w:rsidR="00C150DC" w:rsidRPr="006C6C80" w:rsidRDefault="006800FF" w:rsidP="00B54921">
      <w:pPr>
        <w:pStyle w:val="parrafos"/>
        <w:numPr>
          <w:ilvl w:val="0"/>
          <w:numId w:val="56"/>
        </w:numPr>
        <w:tabs>
          <w:tab w:val="left" w:pos="720"/>
        </w:tabs>
        <w:ind w:left="0" w:firstLine="0"/>
        <w:rPr>
          <w:lang w:val="en-US"/>
        </w:rPr>
      </w:pPr>
      <w:r w:rsidRPr="006C6C80">
        <w:rPr>
          <w:lang w:val="en-US"/>
        </w:rPr>
        <w:t>On February</w:t>
      </w:r>
      <w:r w:rsidR="00FD0A0D" w:rsidRPr="006C6C80">
        <w:rPr>
          <w:lang w:val="en-US"/>
        </w:rPr>
        <w:t xml:space="preserve"> 26</w:t>
      </w:r>
      <w:r w:rsidRPr="006C6C80">
        <w:rPr>
          <w:lang w:val="en-US"/>
        </w:rPr>
        <w:t xml:space="preserve">, </w:t>
      </w:r>
      <w:r w:rsidR="00FD0A0D" w:rsidRPr="006C6C80">
        <w:rPr>
          <w:lang w:val="en-US"/>
        </w:rPr>
        <w:t>1996</w:t>
      </w:r>
      <w:r w:rsidR="00120735">
        <w:rPr>
          <w:lang w:val="en-US"/>
        </w:rPr>
        <w:t>, the First C</w:t>
      </w:r>
      <w:r w:rsidRPr="006C6C80">
        <w:rPr>
          <w:lang w:val="en-US"/>
        </w:rPr>
        <w:t xml:space="preserve">hamber of the Labor and Social Welfare Appeals Court ruled that the counting should be </w:t>
      </w:r>
      <w:r w:rsidR="00B36E05">
        <w:rPr>
          <w:lang w:val="en-US"/>
        </w:rPr>
        <w:t>halted</w:t>
      </w:r>
      <w:r w:rsidRPr="006C6C80">
        <w:rPr>
          <w:lang w:val="en-US"/>
        </w:rPr>
        <w:t xml:space="preserve"> until the challenges filed by the state were resolved.</w:t>
      </w:r>
      <w:r w:rsidR="00942754" w:rsidRPr="006C6C80">
        <w:rPr>
          <w:rStyle w:val="FootnoteReference"/>
          <w:lang w:val="en-US"/>
        </w:rPr>
        <w:footnoteReference w:id="18"/>
      </w:r>
    </w:p>
    <w:p w:rsidR="00CA6207" w:rsidRPr="006C6C80" w:rsidRDefault="00CA6207" w:rsidP="00B5492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pPr>
    </w:p>
    <w:p w:rsidR="009A4DF9" w:rsidRPr="006C6C80" w:rsidRDefault="006800FF" w:rsidP="00B54921">
      <w:pPr>
        <w:pStyle w:val="Heading3"/>
        <w:numPr>
          <w:ilvl w:val="0"/>
          <w:numId w:val="60"/>
        </w:numPr>
        <w:tabs>
          <w:tab w:val="left" w:pos="720"/>
        </w:tabs>
        <w:ind w:left="360"/>
        <w:rPr>
          <w:lang w:val="en-US"/>
        </w:rPr>
      </w:pPr>
      <w:bookmarkStart w:id="15" w:name="_Toc18936466"/>
      <w:r w:rsidRPr="006C6C80">
        <w:rPr>
          <w:lang w:val="en-US"/>
        </w:rPr>
        <w:t>Holding the strike</w:t>
      </w:r>
      <w:bookmarkEnd w:id="15"/>
    </w:p>
    <w:p w:rsidR="00E958F1" w:rsidRPr="006C6C80" w:rsidRDefault="00E958F1" w:rsidP="00B54921">
      <w:pPr>
        <w:pStyle w:val="ListParagraph"/>
        <w:tabs>
          <w:tab w:val="left" w:pos="720"/>
        </w:tabs>
        <w:rPr>
          <w:rFonts w:asciiTheme="majorHAnsi" w:hAnsiTheme="majorHAnsi"/>
          <w:sz w:val="20"/>
          <w:szCs w:val="20"/>
        </w:rPr>
      </w:pPr>
    </w:p>
    <w:p w:rsidR="003F677F" w:rsidRPr="006C6C80" w:rsidRDefault="006800FF" w:rsidP="00B54921">
      <w:pPr>
        <w:pStyle w:val="parrafos"/>
        <w:numPr>
          <w:ilvl w:val="0"/>
          <w:numId w:val="56"/>
        </w:numPr>
        <w:tabs>
          <w:tab w:val="left" w:pos="720"/>
        </w:tabs>
        <w:ind w:left="0" w:firstLine="0"/>
        <w:rPr>
          <w:lang w:val="en-US"/>
        </w:rPr>
      </w:pPr>
      <w:r w:rsidRPr="006C6C80">
        <w:rPr>
          <w:lang w:val="en-US"/>
        </w:rPr>
        <w:t>Between March</w:t>
      </w:r>
      <w:r w:rsidR="005A0CD2" w:rsidRPr="006C6C80">
        <w:rPr>
          <w:lang w:val="en-US"/>
        </w:rPr>
        <w:t xml:space="preserve"> 19</w:t>
      </w:r>
      <w:r w:rsidRPr="006C6C80">
        <w:rPr>
          <w:lang w:val="en-US"/>
        </w:rPr>
        <w:t xml:space="preserve"> and April</w:t>
      </w:r>
      <w:r w:rsidR="0030762E" w:rsidRPr="006C6C80">
        <w:rPr>
          <w:lang w:val="en-US"/>
        </w:rPr>
        <w:t xml:space="preserve"> 2,</w:t>
      </w:r>
      <w:r w:rsidR="001C6592" w:rsidRPr="006C6C80">
        <w:rPr>
          <w:lang w:val="en-US"/>
        </w:rPr>
        <w:t xml:space="preserve"> 1996</w:t>
      </w:r>
      <w:r w:rsidR="0030762E" w:rsidRPr="006C6C80">
        <w:rPr>
          <w:lang w:val="en-US"/>
        </w:rPr>
        <w:t>, members of the Judiciary Workers Union held a strike</w:t>
      </w:r>
      <w:r w:rsidR="001C6592" w:rsidRPr="006C6C80">
        <w:rPr>
          <w:lang w:val="en-US"/>
        </w:rPr>
        <w:t xml:space="preserve">. </w:t>
      </w:r>
      <w:r w:rsidR="0030762E" w:rsidRPr="006C6C80">
        <w:rPr>
          <w:lang w:val="en-US"/>
        </w:rPr>
        <w:t>At tha</w:t>
      </w:r>
      <w:r w:rsidR="00B36E05">
        <w:rPr>
          <w:lang w:val="en-US"/>
        </w:rPr>
        <w:t>t time, the counting remained a</w:t>
      </w:r>
      <w:r w:rsidR="0030762E" w:rsidRPr="006C6C80">
        <w:rPr>
          <w:lang w:val="en-US"/>
        </w:rPr>
        <w:t>t a standstill because its legitimacy had not been declared.</w:t>
      </w:r>
      <w:r w:rsidR="005A2B6A" w:rsidRPr="006C6C80">
        <w:rPr>
          <w:rStyle w:val="FootnoteReference"/>
          <w:lang w:val="en-US"/>
        </w:rPr>
        <w:footnoteReference w:id="19"/>
      </w:r>
    </w:p>
    <w:p w:rsidR="003F677F" w:rsidRPr="006C6C80" w:rsidRDefault="003F677F" w:rsidP="00B54921">
      <w:pPr>
        <w:pStyle w:val="parrafos"/>
        <w:tabs>
          <w:tab w:val="left" w:pos="720"/>
        </w:tabs>
        <w:rPr>
          <w:lang w:val="en-US"/>
        </w:rPr>
      </w:pPr>
    </w:p>
    <w:p w:rsidR="003F677F" w:rsidRPr="006C6C80" w:rsidRDefault="0030762E" w:rsidP="00B54921">
      <w:pPr>
        <w:pStyle w:val="parrafos"/>
        <w:numPr>
          <w:ilvl w:val="0"/>
          <w:numId w:val="56"/>
        </w:numPr>
        <w:tabs>
          <w:tab w:val="left" w:pos="720"/>
        </w:tabs>
        <w:ind w:left="0" w:firstLine="0"/>
        <w:rPr>
          <w:lang w:val="en-US"/>
        </w:rPr>
      </w:pPr>
      <w:r w:rsidRPr="006C6C80">
        <w:rPr>
          <w:lang w:val="en-US"/>
        </w:rPr>
        <w:t xml:space="preserve">As reported by the petitioners, because of this strike, the Judiciary decided to stop paying the wages of the </w:t>
      </w:r>
      <w:r w:rsidR="00120735">
        <w:rPr>
          <w:lang w:val="en-US"/>
        </w:rPr>
        <w:t xml:space="preserve">striking </w:t>
      </w:r>
      <w:r w:rsidRPr="006C6C80">
        <w:rPr>
          <w:lang w:val="en-US"/>
        </w:rPr>
        <w:t xml:space="preserve">employees, as a result of which they in turn filed a motion for protection on constitutional grounds with the </w:t>
      </w:r>
      <w:r w:rsidR="00C4756E">
        <w:rPr>
          <w:lang w:val="en-US"/>
        </w:rPr>
        <w:t>Constitutional Court</w:t>
      </w:r>
      <w:r w:rsidRPr="006C6C80">
        <w:rPr>
          <w:lang w:val="en-US"/>
        </w:rPr>
        <w:t>.</w:t>
      </w:r>
      <w:r w:rsidR="00301856" w:rsidRPr="006C6C80">
        <w:rPr>
          <w:rStyle w:val="FootnoteReference"/>
          <w:lang w:val="en-US"/>
        </w:rPr>
        <w:footnoteReference w:id="20"/>
      </w:r>
    </w:p>
    <w:p w:rsidR="003F677F" w:rsidRPr="006C6C80" w:rsidRDefault="003F677F" w:rsidP="00B54921">
      <w:pPr>
        <w:pStyle w:val="ListParagraph"/>
        <w:tabs>
          <w:tab w:val="left" w:pos="720"/>
        </w:tabs>
      </w:pPr>
    </w:p>
    <w:p w:rsidR="009713B0" w:rsidRPr="006C6C80" w:rsidRDefault="0030762E" w:rsidP="00B54921">
      <w:pPr>
        <w:pStyle w:val="parrafos"/>
        <w:numPr>
          <w:ilvl w:val="0"/>
          <w:numId w:val="56"/>
        </w:numPr>
        <w:tabs>
          <w:tab w:val="left" w:pos="720"/>
        </w:tabs>
        <w:ind w:left="0" w:firstLine="0"/>
        <w:rPr>
          <w:lang w:val="en-US"/>
        </w:rPr>
      </w:pPr>
      <w:r w:rsidRPr="006C6C80">
        <w:rPr>
          <w:lang w:val="en-US"/>
        </w:rPr>
        <w:t>On April</w:t>
      </w:r>
      <w:r w:rsidR="00C8328F" w:rsidRPr="006C6C80">
        <w:rPr>
          <w:lang w:val="en-US"/>
        </w:rPr>
        <w:t xml:space="preserve"> 2</w:t>
      </w:r>
      <w:r w:rsidRPr="006C6C80">
        <w:rPr>
          <w:lang w:val="en-US"/>
        </w:rPr>
        <w:t>,</w:t>
      </w:r>
      <w:r w:rsidR="00C8328F" w:rsidRPr="006C6C80">
        <w:rPr>
          <w:lang w:val="en-US"/>
        </w:rPr>
        <w:t xml:space="preserve"> 1996</w:t>
      </w:r>
      <w:r w:rsidRPr="006C6C80">
        <w:rPr>
          <w:lang w:val="en-US"/>
        </w:rPr>
        <w:t xml:space="preserve">, the </w:t>
      </w:r>
      <w:r w:rsidR="00C4756E">
        <w:rPr>
          <w:lang w:val="en-US"/>
        </w:rPr>
        <w:t>Constitutional Court</w:t>
      </w:r>
      <w:r w:rsidRPr="006C6C80">
        <w:rPr>
          <w:lang w:val="en-US"/>
        </w:rPr>
        <w:t xml:space="preserve"> granted a provisional safeguard for the alleged victims and order</w:t>
      </w:r>
      <w:r w:rsidR="00120735">
        <w:rPr>
          <w:lang w:val="en-US"/>
        </w:rPr>
        <w:t>ed</w:t>
      </w:r>
      <w:r w:rsidRPr="006C6C80">
        <w:rPr>
          <w:lang w:val="en-US"/>
        </w:rPr>
        <w:t xml:space="preserve"> payment of the wages of those employees who went back to work</w:t>
      </w:r>
      <w:r w:rsidR="009713B0" w:rsidRPr="006C6C80">
        <w:rPr>
          <w:lang w:val="en-US"/>
        </w:rPr>
        <w:t xml:space="preserve">, </w:t>
      </w:r>
      <w:r w:rsidRPr="006C6C80">
        <w:rPr>
          <w:lang w:val="en-US"/>
        </w:rPr>
        <w:t>on the basis of the following term</w:t>
      </w:r>
      <w:r w:rsidR="00120735">
        <w:rPr>
          <w:lang w:val="en-US"/>
        </w:rPr>
        <w:t>s</w:t>
      </w:r>
      <w:r w:rsidR="009713B0" w:rsidRPr="006C6C80">
        <w:rPr>
          <w:lang w:val="en-US"/>
        </w:rPr>
        <w:t>:</w:t>
      </w:r>
    </w:p>
    <w:p w:rsidR="008C6036" w:rsidRPr="006C6C80" w:rsidRDefault="00C8328F" w:rsidP="00B5492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Theme="majorHAnsi" w:hAnsiTheme="majorHAnsi"/>
          <w:sz w:val="20"/>
          <w:szCs w:val="20"/>
        </w:rPr>
      </w:pPr>
      <w:r w:rsidRPr="006C6C80">
        <w:rPr>
          <w:rFonts w:asciiTheme="majorHAnsi" w:hAnsiTheme="majorHAnsi"/>
          <w:sz w:val="20"/>
          <w:szCs w:val="20"/>
        </w:rPr>
        <w:t xml:space="preserve"> </w:t>
      </w:r>
    </w:p>
    <w:p w:rsidR="00B838FC" w:rsidRPr="006C6C80" w:rsidRDefault="008C6036" w:rsidP="00B5492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360" w:right="360"/>
        <w:jc w:val="both"/>
        <w:rPr>
          <w:rFonts w:asciiTheme="majorHAnsi" w:hAnsiTheme="majorHAnsi"/>
          <w:sz w:val="18"/>
          <w:szCs w:val="18"/>
        </w:rPr>
      </w:pPr>
      <w:r w:rsidRPr="006C6C80">
        <w:rPr>
          <w:rFonts w:asciiTheme="majorHAnsi" w:hAnsiTheme="majorHAnsi"/>
          <w:sz w:val="18"/>
          <w:szCs w:val="18"/>
        </w:rPr>
        <w:t>V)</w:t>
      </w:r>
      <w:r w:rsidR="00C8328F" w:rsidRPr="006C6C80">
        <w:rPr>
          <w:rFonts w:asciiTheme="majorHAnsi" w:hAnsiTheme="majorHAnsi"/>
          <w:sz w:val="18"/>
          <w:szCs w:val="18"/>
        </w:rPr>
        <w:t xml:space="preserve"> (…)</w:t>
      </w:r>
      <w:r w:rsidRPr="006C6C80">
        <w:rPr>
          <w:rFonts w:asciiTheme="majorHAnsi" w:hAnsiTheme="majorHAnsi"/>
          <w:sz w:val="18"/>
          <w:szCs w:val="18"/>
        </w:rPr>
        <w:t xml:space="preserve"> </w:t>
      </w:r>
      <w:r w:rsidR="0030762E" w:rsidRPr="006C6C80">
        <w:rPr>
          <w:rFonts w:asciiTheme="majorHAnsi" w:hAnsiTheme="majorHAnsi"/>
          <w:sz w:val="18"/>
          <w:szCs w:val="18"/>
        </w:rPr>
        <w:t xml:space="preserve">as a result it must pay the wages pertaining to the month of March 1996 to the </w:t>
      </w:r>
      <w:r w:rsidR="00662CCC">
        <w:rPr>
          <w:rFonts w:asciiTheme="majorHAnsi" w:hAnsiTheme="majorHAnsi"/>
          <w:sz w:val="18"/>
          <w:szCs w:val="18"/>
        </w:rPr>
        <w:t xml:space="preserve">Judiciary </w:t>
      </w:r>
      <w:r w:rsidR="0030762E" w:rsidRPr="006C6C80">
        <w:rPr>
          <w:rFonts w:asciiTheme="majorHAnsi" w:hAnsiTheme="majorHAnsi"/>
          <w:sz w:val="18"/>
          <w:szCs w:val="18"/>
        </w:rPr>
        <w:t xml:space="preserve">employees who immediately go back to work </w:t>
      </w:r>
      <w:r w:rsidR="004A148A">
        <w:rPr>
          <w:rFonts w:asciiTheme="majorHAnsi" w:hAnsiTheme="majorHAnsi"/>
          <w:sz w:val="18"/>
          <w:szCs w:val="18"/>
        </w:rPr>
        <w:t xml:space="preserve">and effectively discharge the </w:t>
      </w:r>
      <w:r w:rsidR="0030762E" w:rsidRPr="006C6C80">
        <w:rPr>
          <w:rFonts w:asciiTheme="majorHAnsi" w:hAnsiTheme="majorHAnsi"/>
          <w:sz w:val="18"/>
          <w:szCs w:val="18"/>
        </w:rPr>
        <w:t xml:space="preserve">duties pertaining to their jobs, without detriment to what the competent courts hearing the collective dispute might rule, on the basis of their legal powers, and whose procedures the parties must strictly </w:t>
      </w:r>
      <w:r w:rsidR="004A148A">
        <w:rPr>
          <w:rFonts w:asciiTheme="majorHAnsi" w:hAnsiTheme="majorHAnsi"/>
          <w:sz w:val="18"/>
          <w:szCs w:val="18"/>
        </w:rPr>
        <w:t>comply with</w:t>
      </w:r>
      <w:r w:rsidR="00EA0DA6" w:rsidRPr="006C6C80">
        <w:rPr>
          <w:rFonts w:asciiTheme="majorHAnsi" w:hAnsiTheme="majorHAnsi"/>
          <w:sz w:val="18"/>
          <w:szCs w:val="18"/>
        </w:rPr>
        <w:t>.</w:t>
      </w:r>
      <w:r w:rsidRPr="006C6C80">
        <w:rPr>
          <w:rStyle w:val="FootnoteReference"/>
          <w:rFonts w:asciiTheme="majorHAnsi" w:hAnsiTheme="majorHAnsi"/>
          <w:sz w:val="18"/>
          <w:szCs w:val="18"/>
        </w:rPr>
        <w:footnoteReference w:id="21"/>
      </w:r>
    </w:p>
    <w:p w:rsidR="00E958F1" w:rsidRPr="006C6C80" w:rsidRDefault="00E958F1" w:rsidP="00B54921">
      <w:pPr>
        <w:pStyle w:val="ListParagraph"/>
        <w:tabs>
          <w:tab w:val="left" w:pos="720"/>
        </w:tabs>
        <w:rPr>
          <w:rFonts w:asciiTheme="majorHAnsi" w:hAnsiTheme="majorHAnsi"/>
          <w:sz w:val="20"/>
          <w:szCs w:val="20"/>
        </w:rPr>
      </w:pPr>
    </w:p>
    <w:p w:rsidR="003F677F" w:rsidRPr="006C6C80" w:rsidRDefault="00B82D05" w:rsidP="00B54921">
      <w:pPr>
        <w:pStyle w:val="parrafos"/>
        <w:numPr>
          <w:ilvl w:val="0"/>
          <w:numId w:val="56"/>
        </w:numPr>
        <w:tabs>
          <w:tab w:val="left" w:pos="720"/>
        </w:tabs>
        <w:ind w:left="0" w:firstLine="0"/>
        <w:rPr>
          <w:b/>
          <w:lang w:val="en-US"/>
        </w:rPr>
      </w:pPr>
      <w:r w:rsidRPr="006C6C80">
        <w:rPr>
          <w:lang w:val="en-US"/>
        </w:rPr>
        <w:t>The state asserted, without providing any document to substantiate it, that the Supreme Court of Justice paid the wages.</w:t>
      </w:r>
      <w:r w:rsidR="00E958F1" w:rsidRPr="006C6C80">
        <w:rPr>
          <w:rStyle w:val="FootnoteReference"/>
          <w:lang w:val="en-US"/>
        </w:rPr>
        <w:footnoteReference w:id="22"/>
      </w:r>
      <w:r w:rsidR="00E958F1" w:rsidRPr="006C6C80">
        <w:rPr>
          <w:lang w:val="en-US"/>
        </w:rPr>
        <w:t xml:space="preserve"> </w:t>
      </w:r>
      <w:r w:rsidRPr="006C6C80">
        <w:rPr>
          <w:lang w:val="en-US"/>
        </w:rPr>
        <w:t xml:space="preserve">As </w:t>
      </w:r>
      <w:r w:rsidR="004A148A">
        <w:rPr>
          <w:lang w:val="en-US"/>
        </w:rPr>
        <w:t xml:space="preserve">for </w:t>
      </w:r>
      <w:r w:rsidRPr="006C6C80">
        <w:rPr>
          <w:lang w:val="en-US"/>
        </w:rPr>
        <w:t>the petitioners, they contended that only five of them received their wages for the corresponding strike days.</w:t>
      </w:r>
      <w:r w:rsidR="00E958F1" w:rsidRPr="006C6C80">
        <w:rPr>
          <w:rStyle w:val="FootnoteReference"/>
          <w:lang w:val="en-US"/>
        </w:rPr>
        <w:footnoteReference w:id="23"/>
      </w:r>
    </w:p>
    <w:p w:rsidR="003F677F" w:rsidRPr="006C6C80" w:rsidRDefault="003F677F" w:rsidP="00B54921">
      <w:pPr>
        <w:pStyle w:val="parrafos"/>
        <w:tabs>
          <w:tab w:val="left" w:pos="720"/>
        </w:tabs>
        <w:rPr>
          <w:b/>
          <w:lang w:val="en-US"/>
        </w:rPr>
      </w:pPr>
    </w:p>
    <w:p w:rsidR="004A4541" w:rsidRPr="006C6C80" w:rsidRDefault="00B82D05" w:rsidP="00B54921">
      <w:pPr>
        <w:pStyle w:val="parrafos"/>
        <w:numPr>
          <w:ilvl w:val="0"/>
          <w:numId w:val="56"/>
        </w:numPr>
        <w:tabs>
          <w:tab w:val="left" w:pos="720"/>
        </w:tabs>
        <w:ind w:left="0" w:firstLine="0"/>
        <w:rPr>
          <w:b/>
          <w:lang w:val="en-US"/>
        </w:rPr>
      </w:pPr>
      <w:r w:rsidRPr="006C6C80">
        <w:rPr>
          <w:lang w:val="en-US"/>
        </w:rPr>
        <w:t>On April 2,</w:t>
      </w:r>
      <w:r w:rsidR="003A3E0D" w:rsidRPr="006C6C80">
        <w:rPr>
          <w:lang w:val="en-US"/>
        </w:rPr>
        <w:t xml:space="preserve"> 1996</w:t>
      </w:r>
      <w:r w:rsidRPr="006C6C80">
        <w:rPr>
          <w:lang w:val="en-US"/>
        </w:rPr>
        <w:t xml:space="preserve">, the Civil Chamber of the Supreme Court of Justice ruled that the </w:t>
      </w:r>
      <w:r w:rsidR="004A148A">
        <w:rPr>
          <w:lang w:val="en-US"/>
        </w:rPr>
        <w:t>motion</w:t>
      </w:r>
      <w:r w:rsidRPr="006C6C80">
        <w:rPr>
          <w:lang w:val="en-US"/>
        </w:rPr>
        <w:t xml:space="preserve"> of appeal filed against the February 23, 1996 ruling of the </w:t>
      </w:r>
      <w:r w:rsidR="004A148A">
        <w:rPr>
          <w:lang w:val="en-US"/>
        </w:rPr>
        <w:t>F</w:t>
      </w:r>
      <w:r w:rsidRPr="006C6C80">
        <w:rPr>
          <w:lang w:val="en-US"/>
        </w:rPr>
        <w:t xml:space="preserve">irst </w:t>
      </w:r>
      <w:r w:rsidR="004A148A">
        <w:rPr>
          <w:lang w:val="en-US"/>
        </w:rPr>
        <w:t>C</w:t>
      </w:r>
      <w:r w:rsidRPr="006C6C80">
        <w:rPr>
          <w:lang w:val="en-US"/>
        </w:rPr>
        <w:t>hamber of the Labor and Social Welfare Appeals Court was inadmissible</w:t>
      </w:r>
      <w:r w:rsidR="004A4541" w:rsidRPr="006C6C80">
        <w:rPr>
          <w:lang w:val="en-US"/>
        </w:rPr>
        <w:t xml:space="preserve">. </w:t>
      </w:r>
      <w:r w:rsidRPr="006C6C80">
        <w:rPr>
          <w:lang w:val="en-US"/>
        </w:rPr>
        <w:t>The Court argued as follows</w:t>
      </w:r>
      <w:r w:rsidR="00882FBB" w:rsidRPr="006C6C80">
        <w:rPr>
          <w:lang w:val="en-US"/>
        </w:rPr>
        <w:t xml:space="preserve">: </w:t>
      </w:r>
    </w:p>
    <w:p w:rsidR="003A3E0D" w:rsidRPr="006C6C80" w:rsidRDefault="003A3E0D" w:rsidP="00B5492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Theme="majorHAnsi" w:hAnsiTheme="majorHAnsi"/>
          <w:b/>
          <w:sz w:val="20"/>
          <w:szCs w:val="20"/>
        </w:rPr>
      </w:pPr>
    </w:p>
    <w:p w:rsidR="003A3E0D" w:rsidRPr="006C6C80" w:rsidRDefault="00B82D05" w:rsidP="00B5492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360" w:right="360"/>
        <w:jc w:val="both"/>
        <w:rPr>
          <w:rFonts w:asciiTheme="majorHAnsi" w:hAnsiTheme="majorHAnsi"/>
          <w:sz w:val="18"/>
          <w:szCs w:val="18"/>
        </w:rPr>
      </w:pPr>
      <w:r w:rsidRPr="006C6C80">
        <w:rPr>
          <w:rFonts w:asciiTheme="majorHAnsi" w:hAnsiTheme="majorHAnsi"/>
          <w:sz w:val="18"/>
          <w:szCs w:val="18"/>
        </w:rPr>
        <w:t>(…) The Court for the case proceeded</w:t>
      </w:r>
      <w:r w:rsidR="00985357" w:rsidRPr="006C6C80">
        <w:rPr>
          <w:rFonts w:asciiTheme="majorHAnsi" w:hAnsiTheme="majorHAnsi"/>
          <w:sz w:val="18"/>
          <w:szCs w:val="18"/>
        </w:rPr>
        <w:t>,</w:t>
      </w:r>
      <w:r w:rsidRPr="006C6C80">
        <w:rPr>
          <w:rFonts w:asciiTheme="majorHAnsi" w:hAnsiTheme="majorHAnsi"/>
          <w:sz w:val="18"/>
          <w:szCs w:val="18"/>
        </w:rPr>
        <w:t xml:space="preserve"> pursuant to the provisions of Article </w:t>
      </w:r>
      <w:r w:rsidR="003A3E0D" w:rsidRPr="006C6C80">
        <w:rPr>
          <w:rFonts w:asciiTheme="majorHAnsi" w:hAnsiTheme="majorHAnsi"/>
          <w:sz w:val="18"/>
          <w:szCs w:val="18"/>
        </w:rPr>
        <w:t xml:space="preserve">394 </w:t>
      </w:r>
      <w:r w:rsidRPr="006C6C80">
        <w:rPr>
          <w:rFonts w:asciiTheme="majorHAnsi" w:hAnsiTheme="majorHAnsi"/>
          <w:sz w:val="18"/>
          <w:szCs w:val="18"/>
        </w:rPr>
        <w:t xml:space="preserve">of the Labor Code, to order that the General Labor Inspectorate conduct a count of the Judiciary employees supporting the </w:t>
      </w:r>
      <w:r w:rsidR="009844E3">
        <w:rPr>
          <w:rFonts w:asciiTheme="majorHAnsi" w:hAnsiTheme="majorHAnsi"/>
          <w:sz w:val="18"/>
          <w:szCs w:val="18"/>
        </w:rPr>
        <w:t>action</w:t>
      </w:r>
      <w:r w:rsidRPr="006C6C80">
        <w:rPr>
          <w:rFonts w:asciiTheme="majorHAnsi" w:hAnsiTheme="majorHAnsi"/>
          <w:sz w:val="18"/>
          <w:szCs w:val="18"/>
        </w:rPr>
        <w:t xml:space="preserve"> and those who d</w:t>
      </w:r>
      <w:r w:rsidR="004A148A">
        <w:rPr>
          <w:rFonts w:asciiTheme="majorHAnsi" w:hAnsiTheme="majorHAnsi"/>
          <w:sz w:val="18"/>
          <w:szCs w:val="18"/>
        </w:rPr>
        <w:t>id</w:t>
      </w:r>
      <w:r w:rsidRPr="006C6C80">
        <w:rPr>
          <w:rFonts w:asciiTheme="majorHAnsi" w:hAnsiTheme="majorHAnsi"/>
          <w:sz w:val="18"/>
          <w:szCs w:val="18"/>
        </w:rPr>
        <w:t xml:space="preserve"> not, so as to be in </w:t>
      </w:r>
      <w:r w:rsidR="004A148A">
        <w:rPr>
          <w:rFonts w:asciiTheme="majorHAnsi" w:hAnsiTheme="majorHAnsi"/>
          <w:sz w:val="18"/>
          <w:szCs w:val="18"/>
        </w:rPr>
        <w:t>a position</w:t>
      </w:r>
      <w:r w:rsidRPr="006C6C80">
        <w:rPr>
          <w:rFonts w:asciiTheme="majorHAnsi" w:hAnsiTheme="majorHAnsi"/>
          <w:sz w:val="18"/>
          <w:szCs w:val="18"/>
        </w:rPr>
        <w:t xml:space="preserve"> to rule</w:t>
      </w:r>
      <w:r w:rsidR="004A148A">
        <w:rPr>
          <w:rFonts w:asciiTheme="majorHAnsi" w:hAnsiTheme="majorHAnsi"/>
          <w:sz w:val="18"/>
          <w:szCs w:val="18"/>
        </w:rPr>
        <w:t xml:space="preserve"> on</w:t>
      </w:r>
      <w:r w:rsidRPr="006C6C80">
        <w:rPr>
          <w:rFonts w:asciiTheme="majorHAnsi" w:hAnsiTheme="majorHAnsi"/>
          <w:sz w:val="18"/>
          <w:szCs w:val="18"/>
        </w:rPr>
        <w:t xml:space="preserve"> the above-mentioned petition</w:t>
      </w:r>
      <w:r w:rsidR="00985357" w:rsidRPr="006C6C80">
        <w:rPr>
          <w:rFonts w:asciiTheme="majorHAnsi" w:hAnsiTheme="majorHAnsi"/>
          <w:sz w:val="18"/>
          <w:szCs w:val="18"/>
        </w:rPr>
        <w:t xml:space="preserve">. Because it proceeded as indicated, the </w:t>
      </w:r>
      <w:r w:rsidR="004A148A">
        <w:rPr>
          <w:rFonts w:asciiTheme="majorHAnsi" w:hAnsiTheme="majorHAnsi"/>
          <w:sz w:val="18"/>
          <w:szCs w:val="18"/>
        </w:rPr>
        <w:t xml:space="preserve">lower </w:t>
      </w:r>
      <w:r w:rsidR="00985357" w:rsidRPr="006C6C80">
        <w:rPr>
          <w:rFonts w:asciiTheme="majorHAnsi" w:hAnsiTheme="majorHAnsi"/>
          <w:sz w:val="18"/>
          <w:szCs w:val="18"/>
        </w:rPr>
        <w:t>court</w:t>
      </w:r>
      <w:r w:rsidR="00C27206" w:rsidRPr="006C6C80">
        <w:rPr>
          <w:rFonts w:asciiTheme="majorHAnsi" w:hAnsiTheme="majorHAnsi"/>
          <w:sz w:val="18"/>
          <w:szCs w:val="18"/>
        </w:rPr>
        <w:t xml:space="preserve"> a</w:t>
      </w:r>
      <w:r w:rsidR="004A148A">
        <w:rPr>
          <w:rFonts w:asciiTheme="majorHAnsi" w:hAnsiTheme="majorHAnsi"/>
          <w:sz w:val="18"/>
          <w:szCs w:val="18"/>
        </w:rPr>
        <w:t>ligned</w:t>
      </w:r>
      <w:r w:rsidR="00985357" w:rsidRPr="006C6C80">
        <w:rPr>
          <w:rFonts w:asciiTheme="majorHAnsi" w:hAnsiTheme="majorHAnsi"/>
          <w:sz w:val="18"/>
          <w:szCs w:val="18"/>
        </w:rPr>
        <w:t xml:space="preserve"> its conduct to comply with the law </w:t>
      </w:r>
      <w:r w:rsidR="004A148A">
        <w:rPr>
          <w:rFonts w:asciiTheme="majorHAnsi" w:hAnsiTheme="majorHAnsi"/>
          <w:sz w:val="18"/>
          <w:szCs w:val="18"/>
        </w:rPr>
        <w:t>on</w:t>
      </w:r>
      <w:r w:rsidR="00985357" w:rsidRPr="006C6C80">
        <w:rPr>
          <w:rFonts w:asciiTheme="majorHAnsi" w:hAnsiTheme="majorHAnsi"/>
          <w:sz w:val="18"/>
          <w:szCs w:val="18"/>
        </w:rPr>
        <w:t xml:space="preserve"> the matter</w:t>
      </w:r>
      <w:r w:rsidR="004A148A">
        <w:rPr>
          <w:rFonts w:asciiTheme="majorHAnsi" w:hAnsiTheme="majorHAnsi"/>
          <w:sz w:val="18"/>
          <w:szCs w:val="18"/>
        </w:rPr>
        <w:t>,</w:t>
      </w:r>
      <w:r w:rsidR="00985357" w:rsidRPr="006C6C80">
        <w:rPr>
          <w:rFonts w:asciiTheme="majorHAnsi" w:hAnsiTheme="majorHAnsi"/>
          <w:sz w:val="18"/>
          <w:szCs w:val="18"/>
        </w:rPr>
        <w:t xml:space="preserve"> and therefore it did not infringe the contents </w:t>
      </w:r>
      <w:r w:rsidR="00985357" w:rsidRPr="006C6C80">
        <w:rPr>
          <w:rFonts w:asciiTheme="majorHAnsi" w:hAnsiTheme="majorHAnsi"/>
          <w:sz w:val="18"/>
          <w:szCs w:val="18"/>
        </w:rPr>
        <w:lastRenderedPageBreak/>
        <w:t xml:space="preserve">of the constitutional and </w:t>
      </w:r>
      <w:r w:rsidR="006110E5">
        <w:rPr>
          <w:rFonts w:asciiTheme="majorHAnsi" w:hAnsiTheme="majorHAnsi"/>
          <w:sz w:val="18"/>
          <w:szCs w:val="18"/>
        </w:rPr>
        <w:t>statutory laws</w:t>
      </w:r>
      <w:r w:rsidR="00985357" w:rsidRPr="006C6C80">
        <w:rPr>
          <w:rFonts w:asciiTheme="majorHAnsi" w:hAnsiTheme="majorHAnsi"/>
          <w:sz w:val="18"/>
          <w:szCs w:val="18"/>
        </w:rPr>
        <w:t xml:space="preserve"> </w:t>
      </w:r>
      <w:r w:rsidR="008429CE" w:rsidRPr="006C6C80">
        <w:rPr>
          <w:rFonts w:asciiTheme="majorHAnsi" w:hAnsiTheme="majorHAnsi"/>
          <w:sz w:val="18"/>
          <w:szCs w:val="18"/>
        </w:rPr>
        <w:t>invoked by the appellant, nor was there any breach of the law that would require overturning what had been ruled</w:t>
      </w:r>
      <w:r w:rsidR="003A3E0D" w:rsidRPr="006C6C80">
        <w:rPr>
          <w:rFonts w:asciiTheme="majorHAnsi" w:hAnsiTheme="majorHAnsi"/>
          <w:sz w:val="18"/>
          <w:szCs w:val="18"/>
        </w:rPr>
        <w:t>.</w:t>
      </w:r>
    </w:p>
    <w:p w:rsidR="003A3E0D" w:rsidRPr="006C6C80" w:rsidRDefault="003A3E0D" w:rsidP="00B5492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360" w:right="360"/>
        <w:jc w:val="both"/>
        <w:rPr>
          <w:rFonts w:asciiTheme="majorHAnsi" w:hAnsiTheme="majorHAnsi"/>
          <w:sz w:val="18"/>
          <w:szCs w:val="18"/>
        </w:rPr>
      </w:pPr>
    </w:p>
    <w:p w:rsidR="00E958F1" w:rsidRPr="006C6C80" w:rsidRDefault="003A3E0D" w:rsidP="00B5492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360" w:right="360"/>
        <w:jc w:val="both"/>
        <w:rPr>
          <w:rFonts w:asciiTheme="majorHAnsi" w:hAnsiTheme="majorHAnsi"/>
          <w:sz w:val="18"/>
          <w:szCs w:val="18"/>
        </w:rPr>
      </w:pPr>
      <w:r w:rsidRPr="006C6C80">
        <w:rPr>
          <w:rFonts w:asciiTheme="majorHAnsi" w:hAnsiTheme="majorHAnsi"/>
          <w:sz w:val="18"/>
          <w:szCs w:val="18"/>
        </w:rPr>
        <w:t>(…)</w:t>
      </w:r>
      <w:r w:rsidR="008429CE" w:rsidRPr="006C6C80">
        <w:rPr>
          <w:rFonts w:asciiTheme="majorHAnsi" w:hAnsiTheme="majorHAnsi"/>
          <w:sz w:val="18"/>
          <w:szCs w:val="18"/>
        </w:rPr>
        <w:t xml:space="preserve"> It is also deemed that the </w:t>
      </w:r>
      <w:r w:rsidR="006110E5">
        <w:rPr>
          <w:rFonts w:asciiTheme="majorHAnsi" w:hAnsiTheme="majorHAnsi"/>
          <w:sz w:val="18"/>
          <w:szCs w:val="18"/>
        </w:rPr>
        <w:t>motions</w:t>
      </w:r>
      <w:r w:rsidR="008429CE" w:rsidRPr="006C6C80">
        <w:rPr>
          <w:rFonts w:asciiTheme="majorHAnsi" w:hAnsiTheme="majorHAnsi"/>
          <w:sz w:val="18"/>
          <w:szCs w:val="18"/>
        </w:rPr>
        <w:t xml:space="preserve"> for submitting the collective dispu</w:t>
      </w:r>
      <w:r w:rsidR="006110E5">
        <w:rPr>
          <w:rFonts w:asciiTheme="majorHAnsi" w:hAnsiTheme="majorHAnsi"/>
          <w:sz w:val="18"/>
          <w:szCs w:val="18"/>
        </w:rPr>
        <w:t>te to arbitration proceedings were</w:t>
      </w:r>
      <w:r w:rsidR="008429CE" w:rsidRPr="006C6C80">
        <w:rPr>
          <w:rFonts w:asciiTheme="majorHAnsi" w:hAnsiTheme="majorHAnsi"/>
          <w:sz w:val="18"/>
          <w:szCs w:val="18"/>
        </w:rPr>
        <w:t xml:space="preserve"> filed prematurely because, when </w:t>
      </w:r>
      <w:r w:rsidR="00D07A25" w:rsidRPr="006C6C80">
        <w:rPr>
          <w:rFonts w:asciiTheme="majorHAnsi" w:hAnsiTheme="majorHAnsi"/>
          <w:sz w:val="18"/>
          <w:szCs w:val="18"/>
        </w:rPr>
        <w:t>carrying out the actions ordered</w:t>
      </w:r>
      <w:r w:rsidR="006110E5">
        <w:rPr>
          <w:rFonts w:asciiTheme="majorHAnsi" w:hAnsiTheme="majorHAnsi"/>
          <w:sz w:val="18"/>
          <w:szCs w:val="18"/>
        </w:rPr>
        <w:t>, the Chamber must rule on the U</w:t>
      </w:r>
      <w:r w:rsidR="00D07A25" w:rsidRPr="006C6C80">
        <w:rPr>
          <w:rFonts w:asciiTheme="majorHAnsi" w:hAnsiTheme="majorHAnsi"/>
          <w:sz w:val="18"/>
          <w:szCs w:val="18"/>
        </w:rPr>
        <w:t>nion’s intent and, in addition, on the nature of the service of administering justice, in connection with the provisions of the second paragraph of Article 116 of the Political Constitution of the Republic.</w:t>
      </w:r>
      <w:r w:rsidRPr="006C6C80">
        <w:rPr>
          <w:rStyle w:val="FootnoteReference"/>
          <w:rFonts w:asciiTheme="majorHAnsi" w:hAnsiTheme="majorHAnsi"/>
          <w:sz w:val="18"/>
          <w:szCs w:val="18"/>
        </w:rPr>
        <w:footnoteReference w:id="24"/>
      </w:r>
    </w:p>
    <w:p w:rsidR="00306F0C" w:rsidRPr="006C6C80" w:rsidRDefault="00306F0C" w:rsidP="00B5492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Theme="majorHAnsi" w:hAnsiTheme="majorHAnsi"/>
          <w:b/>
          <w:sz w:val="20"/>
          <w:szCs w:val="20"/>
        </w:rPr>
      </w:pPr>
    </w:p>
    <w:p w:rsidR="00306F0C" w:rsidRPr="006C6C80" w:rsidRDefault="00D07A25" w:rsidP="00306F0C">
      <w:pPr>
        <w:pStyle w:val="Heading3"/>
        <w:numPr>
          <w:ilvl w:val="0"/>
          <w:numId w:val="60"/>
        </w:numPr>
        <w:tabs>
          <w:tab w:val="left" w:pos="720"/>
        </w:tabs>
        <w:ind w:left="360"/>
        <w:rPr>
          <w:lang w:val="en-US"/>
        </w:rPr>
      </w:pPr>
      <w:bookmarkStart w:id="16" w:name="_Toc18936467"/>
      <w:r w:rsidRPr="006C6C80">
        <w:rPr>
          <w:lang w:val="en-US"/>
        </w:rPr>
        <w:t>Declaring the strike’s illegitimacy</w:t>
      </w:r>
      <w:bookmarkEnd w:id="16"/>
    </w:p>
    <w:p w:rsidR="00306F0C" w:rsidRPr="006C6C80" w:rsidRDefault="00306F0C" w:rsidP="00306F0C">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Theme="majorHAnsi" w:hAnsiTheme="majorHAnsi"/>
          <w:b/>
          <w:sz w:val="20"/>
          <w:szCs w:val="20"/>
        </w:rPr>
      </w:pPr>
    </w:p>
    <w:p w:rsidR="003F677F" w:rsidRPr="006C6C80" w:rsidRDefault="00D07A25" w:rsidP="00B54921">
      <w:pPr>
        <w:pStyle w:val="parrafos"/>
        <w:numPr>
          <w:ilvl w:val="0"/>
          <w:numId w:val="56"/>
        </w:numPr>
        <w:tabs>
          <w:tab w:val="left" w:pos="720"/>
        </w:tabs>
        <w:ind w:left="0" w:firstLine="0"/>
        <w:rPr>
          <w:b/>
          <w:lang w:val="en-US"/>
        </w:rPr>
      </w:pPr>
      <w:r w:rsidRPr="006C6C80">
        <w:rPr>
          <w:lang w:val="en-US"/>
        </w:rPr>
        <w:t>On April 23,</w:t>
      </w:r>
      <w:r w:rsidR="00E958F1" w:rsidRPr="006C6C80">
        <w:rPr>
          <w:lang w:val="en-US"/>
        </w:rPr>
        <w:t xml:space="preserve"> 1996</w:t>
      </w:r>
      <w:r w:rsidRPr="006C6C80">
        <w:rPr>
          <w:lang w:val="en-US"/>
        </w:rPr>
        <w:t>, the Office of the Attorney General of the Nation fi</w:t>
      </w:r>
      <w:r w:rsidR="006110E5">
        <w:rPr>
          <w:lang w:val="en-US"/>
        </w:rPr>
        <w:t>led preliminary proceedings</w:t>
      </w:r>
      <w:r w:rsidRPr="006C6C80">
        <w:rPr>
          <w:lang w:val="en-US"/>
        </w:rPr>
        <w:t xml:space="preserve"> with the First Chamber of the Labor and Social Welfare Appeals Court for the purpose of securing a declaration of illegitimacy and </w:t>
      </w:r>
      <w:r w:rsidR="0056182C" w:rsidRPr="006C6C80">
        <w:rPr>
          <w:lang w:val="en-US"/>
        </w:rPr>
        <w:t>unlawfulness</w:t>
      </w:r>
      <w:r w:rsidRPr="006C6C80">
        <w:rPr>
          <w:lang w:val="en-US"/>
        </w:rPr>
        <w:t xml:space="preserve"> of the strike produced by</w:t>
      </w:r>
      <w:r w:rsidR="006110E5">
        <w:rPr>
          <w:lang w:val="en-US"/>
        </w:rPr>
        <w:t xml:space="preserve"> the</w:t>
      </w:r>
      <w:r w:rsidRPr="006C6C80">
        <w:rPr>
          <w:lang w:val="en-US"/>
        </w:rPr>
        <w:t xml:space="preserve"> </w:t>
      </w:r>
      <w:r w:rsidR="00E958F1" w:rsidRPr="006C6C80">
        <w:rPr>
          <w:lang w:val="en-US"/>
        </w:rPr>
        <w:t>STOJ</w:t>
      </w:r>
      <w:r w:rsidRPr="006C6C80">
        <w:rPr>
          <w:lang w:val="en-US"/>
        </w:rPr>
        <w:t>.</w:t>
      </w:r>
      <w:r w:rsidR="000B1FAE" w:rsidRPr="006C6C80">
        <w:rPr>
          <w:rStyle w:val="FootnoteReference"/>
          <w:lang w:val="en-US"/>
        </w:rPr>
        <w:footnoteReference w:id="25"/>
      </w:r>
    </w:p>
    <w:p w:rsidR="003F677F" w:rsidRPr="006C6C80" w:rsidRDefault="003F677F" w:rsidP="00B54921">
      <w:pPr>
        <w:pStyle w:val="parrafos"/>
        <w:tabs>
          <w:tab w:val="left" w:pos="720"/>
        </w:tabs>
        <w:rPr>
          <w:b/>
          <w:lang w:val="en-US"/>
        </w:rPr>
      </w:pPr>
    </w:p>
    <w:p w:rsidR="00B65256" w:rsidRPr="006C6C80" w:rsidRDefault="00D07A25" w:rsidP="00B54921">
      <w:pPr>
        <w:pStyle w:val="parrafos"/>
        <w:numPr>
          <w:ilvl w:val="0"/>
          <w:numId w:val="56"/>
        </w:numPr>
        <w:tabs>
          <w:tab w:val="left" w:pos="720"/>
        </w:tabs>
        <w:ind w:left="0" w:firstLine="0"/>
        <w:rPr>
          <w:b/>
          <w:lang w:val="en-US"/>
        </w:rPr>
      </w:pPr>
      <w:r w:rsidRPr="006C6C80">
        <w:rPr>
          <w:lang w:val="en-US"/>
        </w:rPr>
        <w:t>On May</w:t>
      </w:r>
      <w:r w:rsidR="0057325E" w:rsidRPr="006C6C80">
        <w:rPr>
          <w:lang w:val="en-US"/>
        </w:rPr>
        <w:t xml:space="preserve"> 13</w:t>
      </w:r>
      <w:r w:rsidRPr="006C6C80">
        <w:rPr>
          <w:lang w:val="en-US"/>
        </w:rPr>
        <w:t>, 1</w:t>
      </w:r>
      <w:r w:rsidR="0057325E" w:rsidRPr="006C6C80">
        <w:rPr>
          <w:lang w:val="en-US"/>
        </w:rPr>
        <w:t>996</w:t>
      </w:r>
      <w:r w:rsidR="006110E5">
        <w:rPr>
          <w:lang w:val="en-US"/>
        </w:rPr>
        <w:t>, the F</w:t>
      </w:r>
      <w:r w:rsidRPr="006C6C80">
        <w:rPr>
          <w:lang w:val="en-US"/>
        </w:rPr>
        <w:t xml:space="preserve">irst </w:t>
      </w:r>
      <w:r w:rsidR="006110E5">
        <w:rPr>
          <w:lang w:val="en-US"/>
        </w:rPr>
        <w:t>C</w:t>
      </w:r>
      <w:r w:rsidRPr="006C6C80">
        <w:rPr>
          <w:lang w:val="en-US"/>
        </w:rPr>
        <w:t>hamber of the Labor and Social Welfare Appeals Court rule</w:t>
      </w:r>
      <w:r w:rsidR="009C3CBA" w:rsidRPr="006C6C80">
        <w:rPr>
          <w:lang w:val="en-US"/>
        </w:rPr>
        <w:t>d</w:t>
      </w:r>
      <w:r w:rsidRPr="006C6C80">
        <w:rPr>
          <w:lang w:val="en-US"/>
        </w:rPr>
        <w:t xml:space="preserve"> that the</w:t>
      </w:r>
      <w:r w:rsidR="009C3CBA" w:rsidRPr="006C6C80">
        <w:rPr>
          <w:lang w:val="en-US"/>
        </w:rPr>
        <w:t xml:space="preserve"> </w:t>
      </w:r>
      <w:r w:rsidR="006110E5">
        <w:rPr>
          <w:lang w:val="en-US"/>
        </w:rPr>
        <w:t xml:space="preserve">preliminary </w:t>
      </w:r>
      <w:r w:rsidR="009C3CBA" w:rsidRPr="006C6C80">
        <w:rPr>
          <w:lang w:val="en-US"/>
        </w:rPr>
        <w:t>proceedings pending with the Office of the Attorney General of the Nation</w:t>
      </w:r>
      <w:r w:rsidRPr="006C6C80">
        <w:rPr>
          <w:lang w:val="en-US"/>
        </w:rPr>
        <w:t xml:space="preserve"> </w:t>
      </w:r>
      <w:r w:rsidR="009C3CBA" w:rsidRPr="006C6C80">
        <w:rPr>
          <w:lang w:val="en-US"/>
        </w:rPr>
        <w:t>were admissible and, as a result, it determined that the strike</w:t>
      </w:r>
      <w:r w:rsidR="006110E5">
        <w:rPr>
          <w:lang w:val="en-US"/>
        </w:rPr>
        <w:t xml:space="preserve"> action</w:t>
      </w:r>
      <w:r w:rsidR="009C3CBA" w:rsidRPr="006C6C80">
        <w:rPr>
          <w:lang w:val="en-US"/>
        </w:rPr>
        <w:t xml:space="preserve"> supported by the members of the </w:t>
      </w:r>
      <w:r w:rsidR="006110E5">
        <w:rPr>
          <w:lang w:val="en-US"/>
        </w:rPr>
        <w:t>U</w:t>
      </w:r>
      <w:r w:rsidR="009C3CBA" w:rsidRPr="006C6C80">
        <w:rPr>
          <w:lang w:val="en-US"/>
        </w:rPr>
        <w:t>nion was illegitimate</w:t>
      </w:r>
      <w:r w:rsidRPr="006C6C80">
        <w:rPr>
          <w:lang w:val="en-US"/>
        </w:rPr>
        <w:t xml:space="preserve"> </w:t>
      </w:r>
      <w:r w:rsidR="009C3CBA" w:rsidRPr="006C6C80">
        <w:rPr>
          <w:lang w:val="en-US"/>
        </w:rPr>
        <w:t>and notified that the Supreme Court of Justice had 20 days to determine who had participated in the strike and implement the dismissals.</w:t>
      </w:r>
      <w:r w:rsidR="00B65256" w:rsidRPr="006C6C80">
        <w:rPr>
          <w:rStyle w:val="FootnoteReference"/>
          <w:lang w:val="en-US"/>
        </w:rPr>
        <w:footnoteReference w:id="26"/>
      </w:r>
      <w:r w:rsidR="0057325E" w:rsidRPr="006C6C80">
        <w:rPr>
          <w:lang w:val="en-US"/>
        </w:rPr>
        <w:t xml:space="preserve"> </w:t>
      </w:r>
      <w:r w:rsidR="009C3CBA" w:rsidRPr="006C6C80">
        <w:rPr>
          <w:lang w:val="en-US"/>
        </w:rPr>
        <w:t>That Chamber determined that</w:t>
      </w:r>
      <w:r w:rsidR="0057325E" w:rsidRPr="006C6C80">
        <w:rPr>
          <w:lang w:val="en-US"/>
        </w:rPr>
        <w:t>:</w:t>
      </w:r>
    </w:p>
    <w:p w:rsidR="00B65256" w:rsidRPr="006C6C80" w:rsidRDefault="00B65256" w:rsidP="00B5492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right="720"/>
        <w:jc w:val="both"/>
        <w:rPr>
          <w:rFonts w:asciiTheme="majorHAnsi" w:hAnsiTheme="majorHAnsi"/>
          <w:sz w:val="20"/>
          <w:szCs w:val="20"/>
        </w:rPr>
      </w:pPr>
    </w:p>
    <w:p w:rsidR="00B15F70" w:rsidRPr="006C6C80" w:rsidRDefault="00163ACC" w:rsidP="00B5492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360" w:right="360"/>
        <w:jc w:val="both"/>
        <w:rPr>
          <w:rFonts w:asciiTheme="majorHAnsi" w:hAnsiTheme="majorHAnsi"/>
          <w:sz w:val="18"/>
          <w:szCs w:val="18"/>
        </w:rPr>
      </w:pPr>
      <w:r w:rsidRPr="006C6C80">
        <w:rPr>
          <w:rFonts w:asciiTheme="majorHAnsi" w:hAnsiTheme="majorHAnsi"/>
          <w:sz w:val="18"/>
          <w:szCs w:val="18"/>
        </w:rPr>
        <w:t xml:space="preserve">VI. </w:t>
      </w:r>
      <w:r w:rsidR="009C3CBA" w:rsidRPr="006C6C80">
        <w:rPr>
          <w:rFonts w:asciiTheme="majorHAnsi" w:hAnsiTheme="majorHAnsi"/>
          <w:sz w:val="18"/>
          <w:szCs w:val="18"/>
        </w:rPr>
        <w:t xml:space="preserve">In the instant case, </w:t>
      </w:r>
      <w:r w:rsidR="00F410BE" w:rsidRPr="006C6C80">
        <w:rPr>
          <w:rFonts w:asciiTheme="majorHAnsi" w:hAnsiTheme="majorHAnsi"/>
          <w:sz w:val="18"/>
          <w:szCs w:val="18"/>
        </w:rPr>
        <w:t xml:space="preserve">the collective </w:t>
      </w:r>
      <w:r w:rsidR="009844E3">
        <w:rPr>
          <w:rFonts w:asciiTheme="majorHAnsi" w:hAnsiTheme="majorHAnsi"/>
          <w:sz w:val="18"/>
          <w:szCs w:val="18"/>
        </w:rPr>
        <w:t xml:space="preserve">work stoppage </w:t>
      </w:r>
      <w:r w:rsidR="00F410BE" w:rsidRPr="006C6C80">
        <w:rPr>
          <w:rFonts w:asciiTheme="majorHAnsi" w:hAnsiTheme="majorHAnsi"/>
          <w:sz w:val="18"/>
          <w:szCs w:val="18"/>
        </w:rPr>
        <w:t xml:space="preserve">by part of a given group of Judiciary employees is a public fact that is widely known because it was disseminated by all the media and </w:t>
      </w:r>
      <w:r w:rsidR="009844E3">
        <w:rPr>
          <w:rFonts w:asciiTheme="majorHAnsi" w:hAnsiTheme="majorHAnsi"/>
          <w:sz w:val="18"/>
          <w:szCs w:val="18"/>
        </w:rPr>
        <w:t>confirmed</w:t>
      </w:r>
      <w:r w:rsidR="00F410BE" w:rsidRPr="006C6C80">
        <w:rPr>
          <w:rFonts w:asciiTheme="majorHAnsi" w:hAnsiTheme="majorHAnsi"/>
          <w:sz w:val="18"/>
          <w:szCs w:val="18"/>
        </w:rPr>
        <w:t xml:space="preserve"> personally by the court. It led to the interruption of the public service of </w:t>
      </w:r>
      <w:r w:rsidR="00F052FB">
        <w:rPr>
          <w:rFonts w:asciiTheme="majorHAnsi" w:hAnsiTheme="majorHAnsi"/>
          <w:sz w:val="18"/>
          <w:szCs w:val="18"/>
        </w:rPr>
        <w:t xml:space="preserve">the </w:t>
      </w:r>
      <w:r w:rsidR="00F410BE" w:rsidRPr="006C6C80">
        <w:rPr>
          <w:rFonts w:asciiTheme="majorHAnsi" w:hAnsiTheme="majorHAnsi"/>
          <w:sz w:val="18"/>
          <w:szCs w:val="18"/>
        </w:rPr>
        <w:t xml:space="preserve">administration of justice (…) without </w:t>
      </w:r>
      <w:r w:rsidR="009844E3">
        <w:rPr>
          <w:rFonts w:asciiTheme="majorHAnsi" w:hAnsiTheme="majorHAnsi"/>
          <w:sz w:val="18"/>
          <w:szCs w:val="18"/>
        </w:rPr>
        <w:t xml:space="preserve">having obtained </w:t>
      </w:r>
      <w:r w:rsidR="00F410BE" w:rsidRPr="006C6C80">
        <w:rPr>
          <w:rFonts w:asciiTheme="majorHAnsi" w:hAnsiTheme="majorHAnsi"/>
          <w:sz w:val="18"/>
          <w:szCs w:val="18"/>
        </w:rPr>
        <w:t>for that purpose</w:t>
      </w:r>
      <w:r w:rsidR="009844E3">
        <w:rPr>
          <w:rFonts w:asciiTheme="majorHAnsi" w:hAnsiTheme="majorHAnsi"/>
          <w:sz w:val="18"/>
          <w:szCs w:val="18"/>
        </w:rPr>
        <w:t xml:space="preserve"> </w:t>
      </w:r>
      <w:r w:rsidR="00F410BE" w:rsidRPr="006C6C80">
        <w:rPr>
          <w:rFonts w:asciiTheme="majorHAnsi" w:hAnsiTheme="majorHAnsi"/>
          <w:sz w:val="18"/>
          <w:szCs w:val="18"/>
        </w:rPr>
        <w:t>from the present court in charge of processing the coll</w:t>
      </w:r>
      <w:r w:rsidR="00F052FB">
        <w:rPr>
          <w:rFonts w:asciiTheme="majorHAnsi" w:hAnsiTheme="majorHAnsi"/>
          <w:sz w:val="18"/>
          <w:szCs w:val="18"/>
        </w:rPr>
        <w:t>ective dispute, a prior ruling on the characterization of</w:t>
      </w:r>
      <w:r w:rsidR="00F410BE" w:rsidRPr="006C6C80">
        <w:rPr>
          <w:rFonts w:asciiTheme="majorHAnsi" w:hAnsiTheme="majorHAnsi"/>
          <w:sz w:val="18"/>
          <w:szCs w:val="18"/>
        </w:rPr>
        <w:t xml:space="preserve"> the </w:t>
      </w:r>
      <w:r w:rsidR="009844E3">
        <w:rPr>
          <w:rFonts w:asciiTheme="majorHAnsi" w:hAnsiTheme="majorHAnsi"/>
          <w:sz w:val="18"/>
          <w:szCs w:val="18"/>
        </w:rPr>
        <w:t>strike action</w:t>
      </w:r>
      <w:r w:rsidR="00F410BE" w:rsidRPr="006C6C80">
        <w:rPr>
          <w:rFonts w:asciiTheme="majorHAnsi" w:hAnsiTheme="majorHAnsi"/>
          <w:sz w:val="18"/>
          <w:szCs w:val="18"/>
        </w:rPr>
        <w:t xml:space="preserve"> that the Judiciary Workers Union was attempting to carry out</w:t>
      </w:r>
      <w:r w:rsidR="00B15F70" w:rsidRPr="006C6C80">
        <w:rPr>
          <w:rFonts w:asciiTheme="majorHAnsi" w:hAnsiTheme="majorHAnsi"/>
          <w:sz w:val="18"/>
          <w:szCs w:val="18"/>
        </w:rPr>
        <w:t xml:space="preserve"> (…)</w:t>
      </w:r>
    </w:p>
    <w:p w:rsidR="00B65256" w:rsidRPr="006C6C80" w:rsidRDefault="00B65256" w:rsidP="00B5492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360" w:right="360"/>
        <w:jc w:val="both"/>
        <w:rPr>
          <w:rFonts w:asciiTheme="majorHAnsi" w:hAnsiTheme="majorHAnsi"/>
          <w:sz w:val="18"/>
          <w:szCs w:val="18"/>
        </w:rPr>
      </w:pPr>
    </w:p>
    <w:p w:rsidR="00163ACC" w:rsidRPr="006C6C80" w:rsidRDefault="00163ACC" w:rsidP="00AD65AB">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360" w:right="360"/>
        <w:jc w:val="both"/>
        <w:rPr>
          <w:rFonts w:asciiTheme="majorHAnsi" w:hAnsiTheme="majorHAnsi"/>
          <w:sz w:val="18"/>
          <w:szCs w:val="18"/>
        </w:rPr>
      </w:pPr>
      <w:r w:rsidRPr="006C6C80">
        <w:rPr>
          <w:rFonts w:asciiTheme="majorHAnsi" w:hAnsiTheme="majorHAnsi"/>
          <w:sz w:val="18"/>
          <w:szCs w:val="18"/>
        </w:rPr>
        <w:t>(…)</w:t>
      </w:r>
      <w:r w:rsidR="008D0F82" w:rsidRPr="006C6C80">
        <w:rPr>
          <w:rFonts w:asciiTheme="majorHAnsi" w:hAnsiTheme="majorHAnsi"/>
          <w:sz w:val="18"/>
          <w:szCs w:val="18"/>
        </w:rPr>
        <w:t xml:space="preserve"> In </w:t>
      </w:r>
      <w:r w:rsidR="00B76789">
        <w:rPr>
          <w:rFonts w:asciiTheme="majorHAnsi" w:hAnsiTheme="majorHAnsi"/>
          <w:sz w:val="18"/>
          <w:szCs w:val="18"/>
        </w:rPr>
        <w:t>the case at hand, it merely falls to this court, under the aforesaid provision, to set a period of twenty days for the employer, since the power to terminate labor contracts is the employer’s, with respect to workers who effectively took strike action, and that is a situation that must be established administratively and exactly by working through the lists that were submitted as evidence, since an examination thereof indicates certain imprecision that could negatively affect the rights of employees who did not suspend work and are included on the list</w:t>
      </w:r>
      <w:r w:rsidRPr="006C6C80">
        <w:rPr>
          <w:rFonts w:asciiTheme="majorHAnsi" w:hAnsiTheme="majorHAnsi"/>
          <w:sz w:val="18"/>
          <w:szCs w:val="18"/>
        </w:rPr>
        <w:t xml:space="preserve">. </w:t>
      </w:r>
    </w:p>
    <w:p w:rsidR="00163ACC" w:rsidRPr="006C6C80" w:rsidRDefault="00163ACC" w:rsidP="00B5492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360" w:right="360"/>
        <w:jc w:val="both"/>
        <w:rPr>
          <w:rFonts w:asciiTheme="majorHAnsi" w:hAnsiTheme="majorHAnsi"/>
          <w:sz w:val="18"/>
          <w:szCs w:val="18"/>
        </w:rPr>
      </w:pPr>
    </w:p>
    <w:p w:rsidR="00B65256" w:rsidRPr="006C6C80" w:rsidRDefault="00AD65AB" w:rsidP="00B5492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360" w:right="360"/>
        <w:jc w:val="both"/>
        <w:rPr>
          <w:sz w:val="18"/>
          <w:szCs w:val="18"/>
        </w:rPr>
      </w:pPr>
      <w:r w:rsidRPr="006C6C80">
        <w:rPr>
          <w:rFonts w:asciiTheme="majorHAnsi" w:hAnsiTheme="majorHAnsi"/>
          <w:sz w:val="18"/>
          <w:szCs w:val="18"/>
        </w:rPr>
        <w:t>THEREFORE</w:t>
      </w:r>
      <w:r w:rsidR="00163ACC" w:rsidRPr="006C6C80">
        <w:rPr>
          <w:rFonts w:asciiTheme="majorHAnsi" w:hAnsiTheme="majorHAnsi"/>
          <w:sz w:val="18"/>
          <w:szCs w:val="18"/>
        </w:rPr>
        <w:t xml:space="preserve">: </w:t>
      </w:r>
      <w:r w:rsidRPr="006C6C80">
        <w:rPr>
          <w:rFonts w:asciiTheme="majorHAnsi" w:hAnsiTheme="majorHAnsi"/>
          <w:sz w:val="18"/>
          <w:szCs w:val="18"/>
        </w:rPr>
        <w:t>The present chamber, on the gro</w:t>
      </w:r>
      <w:r w:rsidR="004901F0" w:rsidRPr="006C6C80">
        <w:rPr>
          <w:rFonts w:asciiTheme="majorHAnsi" w:hAnsiTheme="majorHAnsi"/>
          <w:sz w:val="18"/>
          <w:szCs w:val="18"/>
        </w:rPr>
        <w:t xml:space="preserve">unds of the above-mentioned </w:t>
      </w:r>
      <w:r w:rsidRPr="006C6C80">
        <w:rPr>
          <w:rFonts w:asciiTheme="majorHAnsi" w:hAnsiTheme="majorHAnsi"/>
          <w:sz w:val="18"/>
          <w:szCs w:val="18"/>
        </w:rPr>
        <w:t>considerations and laws</w:t>
      </w:r>
      <w:r w:rsidR="004901F0" w:rsidRPr="006C6C80">
        <w:rPr>
          <w:rFonts w:asciiTheme="majorHAnsi" w:hAnsiTheme="majorHAnsi"/>
          <w:sz w:val="18"/>
          <w:szCs w:val="18"/>
        </w:rPr>
        <w:t xml:space="preserve">: I. DECLARES THAT THE DE FACTO STRIKE </w:t>
      </w:r>
      <w:r w:rsidR="009844E3">
        <w:rPr>
          <w:rFonts w:asciiTheme="majorHAnsi" w:hAnsiTheme="majorHAnsi"/>
          <w:sz w:val="18"/>
          <w:szCs w:val="18"/>
        </w:rPr>
        <w:t>ACTION</w:t>
      </w:r>
      <w:r w:rsidR="004901F0" w:rsidRPr="006C6C80">
        <w:rPr>
          <w:rFonts w:asciiTheme="majorHAnsi" w:hAnsiTheme="majorHAnsi"/>
          <w:sz w:val="18"/>
          <w:szCs w:val="18"/>
        </w:rPr>
        <w:t xml:space="preserve"> IS UNLAWFUL as su</w:t>
      </w:r>
      <w:r w:rsidR="009844E3">
        <w:rPr>
          <w:rFonts w:asciiTheme="majorHAnsi" w:hAnsiTheme="majorHAnsi"/>
          <w:sz w:val="18"/>
          <w:szCs w:val="18"/>
        </w:rPr>
        <w:t xml:space="preserve">pported by groups of Judiciary </w:t>
      </w:r>
      <w:r w:rsidR="00F052FB">
        <w:rPr>
          <w:rFonts w:asciiTheme="majorHAnsi" w:hAnsiTheme="majorHAnsi"/>
          <w:sz w:val="18"/>
          <w:szCs w:val="18"/>
        </w:rPr>
        <w:t>employees</w:t>
      </w:r>
      <w:r w:rsidR="004901F0" w:rsidRPr="006C6C80">
        <w:rPr>
          <w:rFonts w:asciiTheme="majorHAnsi" w:hAnsiTheme="majorHAnsi"/>
          <w:sz w:val="18"/>
          <w:szCs w:val="18"/>
        </w:rPr>
        <w:t xml:space="preserve"> from the nineteenth of March to the seventh of April of the prese</w:t>
      </w:r>
      <w:r w:rsidR="009844E3">
        <w:rPr>
          <w:rFonts w:asciiTheme="majorHAnsi" w:hAnsiTheme="majorHAnsi"/>
          <w:sz w:val="18"/>
          <w:szCs w:val="18"/>
        </w:rPr>
        <w:t>n</w:t>
      </w:r>
      <w:r w:rsidR="004901F0" w:rsidRPr="006C6C80">
        <w:rPr>
          <w:rFonts w:asciiTheme="majorHAnsi" w:hAnsiTheme="majorHAnsi"/>
          <w:sz w:val="18"/>
          <w:szCs w:val="18"/>
        </w:rPr>
        <w:t xml:space="preserve">t year and as a result, that the case pending in the Office of the Attorney General of the Nation against the Judiciary Workers Union </w:t>
      </w:r>
      <w:r w:rsidR="009844E3">
        <w:rPr>
          <w:rFonts w:asciiTheme="majorHAnsi" w:hAnsiTheme="majorHAnsi"/>
          <w:sz w:val="18"/>
          <w:szCs w:val="18"/>
        </w:rPr>
        <w:t>is</w:t>
      </w:r>
      <w:r w:rsidR="004901F0" w:rsidRPr="006C6C80">
        <w:rPr>
          <w:rFonts w:asciiTheme="majorHAnsi" w:hAnsiTheme="majorHAnsi"/>
          <w:sz w:val="18"/>
          <w:szCs w:val="18"/>
        </w:rPr>
        <w:t xml:space="preserve"> ADMISSIBLE.</w:t>
      </w:r>
      <w:r w:rsidR="00B65256" w:rsidRPr="006C6C80">
        <w:rPr>
          <w:rStyle w:val="FootnoteReference"/>
          <w:rFonts w:asciiTheme="majorHAnsi" w:hAnsiTheme="majorHAnsi"/>
          <w:sz w:val="18"/>
          <w:szCs w:val="18"/>
        </w:rPr>
        <w:footnoteReference w:id="27"/>
      </w:r>
    </w:p>
    <w:p w:rsidR="006A09FF" w:rsidRPr="006C6C80" w:rsidRDefault="006A09FF" w:rsidP="00B5492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Theme="majorHAnsi" w:hAnsiTheme="majorHAnsi"/>
          <w:sz w:val="20"/>
          <w:szCs w:val="20"/>
        </w:rPr>
      </w:pPr>
    </w:p>
    <w:p w:rsidR="00D2039D" w:rsidRPr="006C6C80" w:rsidRDefault="00D2039D" w:rsidP="00B54921">
      <w:pPr>
        <w:pStyle w:val="Heading3"/>
        <w:numPr>
          <w:ilvl w:val="0"/>
          <w:numId w:val="60"/>
        </w:numPr>
        <w:tabs>
          <w:tab w:val="left" w:pos="720"/>
        </w:tabs>
        <w:ind w:left="360"/>
        <w:rPr>
          <w:lang w:val="en-US"/>
        </w:rPr>
      </w:pPr>
      <w:bookmarkStart w:id="17" w:name="_Toc18936468"/>
      <w:r w:rsidRPr="006C6C80">
        <w:rPr>
          <w:lang w:val="en-US"/>
        </w:rPr>
        <w:t>R</w:t>
      </w:r>
      <w:r w:rsidR="004901F0" w:rsidRPr="006C6C80">
        <w:rPr>
          <w:lang w:val="en-US"/>
        </w:rPr>
        <w:t>emedies to challenge the ruling of the strike’s unlawfulness</w:t>
      </w:r>
      <w:bookmarkEnd w:id="17"/>
    </w:p>
    <w:p w:rsidR="00D2039D" w:rsidRPr="006C6C80" w:rsidRDefault="00D2039D" w:rsidP="00B5492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Theme="majorHAnsi" w:hAnsiTheme="majorHAnsi"/>
          <w:sz w:val="20"/>
          <w:szCs w:val="20"/>
        </w:rPr>
      </w:pPr>
    </w:p>
    <w:p w:rsidR="003F677F" w:rsidRPr="006C6C80" w:rsidRDefault="004901F0" w:rsidP="00B54921">
      <w:pPr>
        <w:pStyle w:val="parrafos"/>
        <w:numPr>
          <w:ilvl w:val="0"/>
          <w:numId w:val="56"/>
        </w:numPr>
        <w:tabs>
          <w:tab w:val="left" w:pos="720"/>
        </w:tabs>
        <w:ind w:left="0" w:firstLine="0"/>
        <w:rPr>
          <w:b/>
          <w:lang w:val="en-US"/>
        </w:rPr>
      </w:pPr>
      <w:r w:rsidRPr="006C6C80">
        <w:rPr>
          <w:lang w:val="en-US"/>
        </w:rPr>
        <w:t>On May</w:t>
      </w:r>
      <w:r w:rsidR="00DE1A74" w:rsidRPr="006C6C80">
        <w:rPr>
          <w:lang w:val="en-US"/>
        </w:rPr>
        <w:t xml:space="preserve"> 23</w:t>
      </w:r>
      <w:r w:rsidRPr="006C6C80">
        <w:rPr>
          <w:lang w:val="en-US"/>
        </w:rPr>
        <w:t>, 1</w:t>
      </w:r>
      <w:r w:rsidR="00DE1A74" w:rsidRPr="006C6C80">
        <w:rPr>
          <w:lang w:val="en-US"/>
        </w:rPr>
        <w:t>996</w:t>
      </w:r>
      <w:r w:rsidR="009844E3">
        <w:rPr>
          <w:lang w:val="en-US"/>
        </w:rPr>
        <w:t xml:space="preserve">, </w:t>
      </w:r>
      <w:r w:rsidRPr="006C6C80">
        <w:rPr>
          <w:lang w:val="en-US"/>
        </w:rPr>
        <w:t xml:space="preserve">the Workers Union filed a motion for </w:t>
      </w:r>
      <w:proofErr w:type="spellStart"/>
      <w:r w:rsidR="00F052FB" w:rsidRPr="00F052FB">
        <w:rPr>
          <w:i/>
          <w:lang w:val="en-US"/>
        </w:rPr>
        <w:t>amparo</w:t>
      </w:r>
      <w:proofErr w:type="spellEnd"/>
      <w:r w:rsidR="00F052FB">
        <w:rPr>
          <w:lang w:val="en-US"/>
        </w:rPr>
        <w:t xml:space="preserve"> against the</w:t>
      </w:r>
      <w:r w:rsidRPr="006C6C80">
        <w:rPr>
          <w:lang w:val="en-US"/>
        </w:rPr>
        <w:t xml:space="preserve"> May 13, 1996 </w:t>
      </w:r>
      <w:r w:rsidR="00F052FB">
        <w:rPr>
          <w:lang w:val="en-US"/>
        </w:rPr>
        <w:t>judgment of</w:t>
      </w:r>
      <w:r w:rsidRPr="006C6C80">
        <w:rPr>
          <w:lang w:val="en-US"/>
        </w:rPr>
        <w:t xml:space="preserve"> the First Chamber of the Labor and Social Welfare Appeals Court where the workers’ strike was ruled unlawful.</w:t>
      </w:r>
      <w:r w:rsidR="001B44C6" w:rsidRPr="006C6C80">
        <w:rPr>
          <w:rStyle w:val="FootnoteReference"/>
          <w:lang w:val="en-US"/>
        </w:rPr>
        <w:footnoteReference w:id="28"/>
      </w:r>
    </w:p>
    <w:p w:rsidR="003F677F" w:rsidRPr="006C6C80" w:rsidRDefault="003F677F" w:rsidP="00B54921">
      <w:pPr>
        <w:pStyle w:val="parrafos"/>
        <w:tabs>
          <w:tab w:val="left" w:pos="720"/>
        </w:tabs>
        <w:rPr>
          <w:b/>
          <w:lang w:val="en-US"/>
        </w:rPr>
      </w:pPr>
    </w:p>
    <w:p w:rsidR="00ED085F" w:rsidRPr="006C6C80" w:rsidRDefault="004901F0" w:rsidP="00B54921">
      <w:pPr>
        <w:pStyle w:val="parrafos"/>
        <w:numPr>
          <w:ilvl w:val="0"/>
          <w:numId w:val="56"/>
        </w:numPr>
        <w:tabs>
          <w:tab w:val="left" w:pos="720"/>
        </w:tabs>
        <w:ind w:left="0" w:firstLine="0"/>
        <w:rPr>
          <w:b/>
          <w:lang w:val="en-US"/>
        </w:rPr>
      </w:pPr>
      <w:r w:rsidRPr="006C6C80">
        <w:rPr>
          <w:lang w:val="en-US"/>
        </w:rPr>
        <w:t xml:space="preserve">On February 18, </w:t>
      </w:r>
      <w:r w:rsidR="00ED085F" w:rsidRPr="006C6C80">
        <w:rPr>
          <w:lang w:val="en-US"/>
        </w:rPr>
        <w:t>1997</w:t>
      </w:r>
      <w:r w:rsidRPr="006C6C80">
        <w:rPr>
          <w:lang w:val="en-US"/>
        </w:rPr>
        <w:t>, the Chamber</w:t>
      </w:r>
      <w:r w:rsidR="00206C3E">
        <w:rPr>
          <w:lang w:val="en-US"/>
        </w:rPr>
        <w:t xml:space="preserve"> of Amparo</w:t>
      </w:r>
      <w:r w:rsidRPr="006C6C80">
        <w:rPr>
          <w:lang w:val="en-US"/>
        </w:rPr>
        <w:t xml:space="preserve"> Appeals and Preliminary Trials of the Supreme Court of Justice ruled that the </w:t>
      </w:r>
      <w:r w:rsidR="00636777">
        <w:rPr>
          <w:lang w:val="en-US"/>
        </w:rPr>
        <w:t xml:space="preserve">motion for </w:t>
      </w:r>
      <w:proofErr w:type="spellStart"/>
      <w:r w:rsidR="00636777" w:rsidRPr="00636777">
        <w:rPr>
          <w:i/>
          <w:lang w:val="en-US"/>
        </w:rPr>
        <w:t>amparo</w:t>
      </w:r>
      <w:proofErr w:type="spellEnd"/>
      <w:r w:rsidRPr="006C6C80">
        <w:rPr>
          <w:lang w:val="en-US"/>
        </w:rPr>
        <w:t xml:space="preserve"> was inadmissible, on the basis of the following reasoning</w:t>
      </w:r>
      <w:r w:rsidR="00E62159" w:rsidRPr="006C6C80">
        <w:rPr>
          <w:lang w:val="en-US"/>
        </w:rPr>
        <w:t>:</w:t>
      </w:r>
    </w:p>
    <w:p w:rsidR="00E62159" w:rsidRPr="006C6C80" w:rsidRDefault="00E62159" w:rsidP="00B5492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576" w:right="720"/>
        <w:jc w:val="both"/>
        <w:rPr>
          <w:rFonts w:asciiTheme="majorHAnsi" w:hAnsiTheme="majorHAnsi"/>
          <w:sz w:val="20"/>
          <w:szCs w:val="20"/>
        </w:rPr>
      </w:pPr>
    </w:p>
    <w:p w:rsidR="00DE1A74" w:rsidRPr="006C6C80" w:rsidRDefault="004901F0" w:rsidP="00B5492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360" w:right="360"/>
        <w:jc w:val="both"/>
        <w:rPr>
          <w:rFonts w:asciiTheme="majorHAnsi" w:hAnsiTheme="majorHAnsi"/>
          <w:sz w:val="18"/>
          <w:szCs w:val="18"/>
        </w:rPr>
      </w:pPr>
      <w:r w:rsidRPr="006C6C80">
        <w:rPr>
          <w:rFonts w:asciiTheme="majorHAnsi" w:hAnsiTheme="majorHAnsi"/>
          <w:sz w:val="18"/>
          <w:szCs w:val="18"/>
        </w:rPr>
        <w:t>Reading the transcri</w:t>
      </w:r>
      <w:r w:rsidR="00282D1B" w:rsidRPr="006C6C80">
        <w:rPr>
          <w:rFonts w:asciiTheme="majorHAnsi" w:hAnsiTheme="majorHAnsi"/>
          <w:sz w:val="18"/>
          <w:szCs w:val="18"/>
        </w:rPr>
        <w:t>bed arguments</w:t>
      </w:r>
      <w:r w:rsidR="00AD5517">
        <w:rPr>
          <w:rFonts w:asciiTheme="majorHAnsi" w:hAnsiTheme="majorHAnsi"/>
          <w:sz w:val="18"/>
          <w:szCs w:val="18"/>
        </w:rPr>
        <w:t xml:space="preserve"> shows that they are confusing for</w:t>
      </w:r>
      <w:r w:rsidR="00282D1B" w:rsidRPr="006C6C80">
        <w:rPr>
          <w:rFonts w:asciiTheme="majorHAnsi" w:hAnsiTheme="majorHAnsi"/>
          <w:sz w:val="18"/>
          <w:szCs w:val="18"/>
        </w:rPr>
        <w:t xml:space="preserve"> lack of clarity and because of that, the appeal being filed cannot succeed for the following reasons</w:t>
      </w:r>
      <w:r w:rsidR="001B44C6" w:rsidRPr="006C6C80">
        <w:rPr>
          <w:rFonts w:asciiTheme="majorHAnsi" w:hAnsiTheme="majorHAnsi"/>
          <w:sz w:val="18"/>
          <w:szCs w:val="18"/>
        </w:rPr>
        <w:t xml:space="preserve">: </w:t>
      </w:r>
      <w:r w:rsidR="001C0601" w:rsidRPr="006C6C80">
        <w:rPr>
          <w:rFonts w:asciiTheme="majorHAnsi" w:hAnsiTheme="majorHAnsi"/>
          <w:sz w:val="18"/>
          <w:szCs w:val="18"/>
        </w:rPr>
        <w:t xml:space="preserve">a) </w:t>
      </w:r>
      <w:r w:rsidR="00AD5517">
        <w:rPr>
          <w:rFonts w:asciiTheme="majorHAnsi" w:hAnsiTheme="majorHAnsi"/>
          <w:sz w:val="18"/>
          <w:szCs w:val="18"/>
        </w:rPr>
        <w:t>the appellant states that</w:t>
      </w:r>
      <w:r w:rsidR="00282D1B" w:rsidRPr="006C6C80">
        <w:rPr>
          <w:rFonts w:asciiTheme="majorHAnsi" w:hAnsiTheme="majorHAnsi"/>
          <w:sz w:val="18"/>
          <w:szCs w:val="18"/>
        </w:rPr>
        <w:t xml:space="preserve">, because the ruling of May 13, 1996 violated the right guaranteed by the Constitution and </w:t>
      </w:r>
      <w:r w:rsidR="00AD5517">
        <w:rPr>
          <w:rFonts w:asciiTheme="majorHAnsi" w:hAnsiTheme="majorHAnsi"/>
          <w:sz w:val="18"/>
          <w:szCs w:val="18"/>
        </w:rPr>
        <w:t>the law</w:t>
      </w:r>
      <w:r w:rsidR="00282D1B" w:rsidRPr="006C6C80">
        <w:rPr>
          <w:rFonts w:asciiTheme="majorHAnsi" w:hAnsiTheme="majorHAnsi"/>
          <w:sz w:val="18"/>
          <w:szCs w:val="18"/>
        </w:rPr>
        <w:t>. Nevertheless, it failed to indicate clearly and precisely what said violations</w:t>
      </w:r>
      <w:r w:rsidR="00DE1A74" w:rsidRPr="006C6C80">
        <w:rPr>
          <w:rFonts w:asciiTheme="majorHAnsi" w:hAnsiTheme="majorHAnsi"/>
          <w:sz w:val="18"/>
          <w:szCs w:val="18"/>
        </w:rPr>
        <w:t xml:space="preserve"> </w:t>
      </w:r>
      <w:r w:rsidR="00282D1B" w:rsidRPr="006C6C80">
        <w:rPr>
          <w:rFonts w:asciiTheme="majorHAnsi" w:hAnsiTheme="majorHAnsi"/>
          <w:sz w:val="18"/>
          <w:szCs w:val="18"/>
        </w:rPr>
        <w:t xml:space="preserve">consisted of </w:t>
      </w:r>
      <w:r w:rsidR="00DE1A74" w:rsidRPr="006C6C80">
        <w:rPr>
          <w:rFonts w:asciiTheme="majorHAnsi" w:hAnsiTheme="majorHAnsi"/>
          <w:sz w:val="18"/>
          <w:szCs w:val="18"/>
        </w:rPr>
        <w:t>(…)</w:t>
      </w:r>
    </w:p>
    <w:p w:rsidR="001C0601" w:rsidRPr="006C6C80" w:rsidRDefault="00DE1A74" w:rsidP="00B5492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360" w:right="360"/>
        <w:jc w:val="both"/>
        <w:rPr>
          <w:rFonts w:asciiTheme="majorHAnsi" w:hAnsiTheme="majorHAnsi"/>
          <w:sz w:val="18"/>
          <w:szCs w:val="18"/>
        </w:rPr>
      </w:pPr>
      <w:r w:rsidRPr="006C6C80">
        <w:rPr>
          <w:rFonts w:asciiTheme="majorHAnsi" w:hAnsiTheme="majorHAnsi"/>
          <w:sz w:val="18"/>
          <w:szCs w:val="18"/>
        </w:rPr>
        <w:lastRenderedPageBreak/>
        <w:t xml:space="preserve">b) </w:t>
      </w:r>
      <w:r w:rsidR="007F1384" w:rsidRPr="006C6C80">
        <w:rPr>
          <w:rFonts w:asciiTheme="majorHAnsi" w:hAnsiTheme="majorHAnsi"/>
          <w:sz w:val="18"/>
          <w:szCs w:val="18"/>
        </w:rPr>
        <w:t xml:space="preserve">The appellant argues that the right to constitutional defense and what is </w:t>
      </w:r>
      <w:r w:rsidR="00AD5517">
        <w:rPr>
          <w:rFonts w:asciiTheme="majorHAnsi" w:hAnsiTheme="majorHAnsi"/>
          <w:sz w:val="18"/>
          <w:szCs w:val="18"/>
        </w:rPr>
        <w:t>required</w:t>
      </w:r>
      <w:r w:rsidR="007F1384" w:rsidRPr="006C6C80">
        <w:rPr>
          <w:rFonts w:asciiTheme="majorHAnsi" w:hAnsiTheme="majorHAnsi"/>
          <w:sz w:val="18"/>
          <w:szCs w:val="18"/>
        </w:rPr>
        <w:t xml:space="preserve"> in Article 15 of the Law on the Judiciary was violated because the magistrates comprising the First Chamber of the Labor and Social Wel</w:t>
      </w:r>
      <w:r w:rsidR="00453A30" w:rsidRPr="006C6C80">
        <w:rPr>
          <w:rFonts w:asciiTheme="majorHAnsi" w:hAnsiTheme="majorHAnsi"/>
          <w:sz w:val="18"/>
          <w:szCs w:val="18"/>
        </w:rPr>
        <w:t>f</w:t>
      </w:r>
      <w:r w:rsidR="000A1650">
        <w:rPr>
          <w:rFonts w:asciiTheme="majorHAnsi" w:hAnsiTheme="majorHAnsi"/>
          <w:sz w:val="18"/>
          <w:szCs w:val="18"/>
        </w:rPr>
        <w:t>are Appeals Court are liable</w:t>
      </w:r>
      <w:r w:rsidR="007F1384" w:rsidRPr="006C6C80">
        <w:rPr>
          <w:rFonts w:asciiTheme="majorHAnsi" w:hAnsiTheme="majorHAnsi"/>
          <w:sz w:val="18"/>
          <w:szCs w:val="18"/>
        </w:rPr>
        <w:t xml:space="preserve"> for having delayed the administration of justice</w:t>
      </w:r>
      <w:r w:rsidR="006C0C0E" w:rsidRPr="006C6C80">
        <w:rPr>
          <w:rFonts w:asciiTheme="majorHAnsi" w:hAnsiTheme="majorHAnsi"/>
          <w:sz w:val="18"/>
          <w:szCs w:val="18"/>
        </w:rPr>
        <w:t xml:space="preserve"> (…). </w:t>
      </w:r>
      <w:r w:rsidR="007F1384" w:rsidRPr="006C6C80">
        <w:rPr>
          <w:rFonts w:asciiTheme="majorHAnsi" w:hAnsiTheme="majorHAnsi"/>
          <w:sz w:val="18"/>
          <w:szCs w:val="18"/>
        </w:rPr>
        <w:t xml:space="preserve">Regarding this, the present Chamber </w:t>
      </w:r>
      <w:r w:rsidR="000A1650">
        <w:rPr>
          <w:rFonts w:asciiTheme="majorHAnsi" w:hAnsiTheme="majorHAnsi"/>
          <w:sz w:val="18"/>
          <w:szCs w:val="18"/>
        </w:rPr>
        <w:t>confirms</w:t>
      </w:r>
      <w:r w:rsidR="007F1384" w:rsidRPr="006C6C80">
        <w:rPr>
          <w:rFonts w:asciiTheme="majorHAnsi" w:hAnsiTheme="majorHAnsi"/>
          <w:sz w:val="18"/>
          <w:szCs w:val="18"/>
        </w:rPr>
        <w:t xml:space="preserve"> that the appellant failed to provide documentary evidence that the magistrates of the </w:t>
      </w:r>
      <w:r w:rsidR="000A1650">
        <w:rPr>
          <w:rFonts w:asciiTheme="majorHAnsi" w:hAnsiTheme="majorHAnsi"/>
          <w:sz w:val="18"/>
          <w:szCs w:val="18"/>
        </w:rPr>
        <w:t xml:space="preserve">above-mentioned </w:t>
      </w:r>
      <w:r w:rsidR="007F1384" w:rsidRPr="006C6C80">
        <w:rPr>
          <w:rFonts w:asciiTheme="majorHAnsi" w:hAnsiTheme="majorHAnsi"/>
          <w:sz w:val="18"/>
          <w:szCs w:val="18"/>
        </w:rPr>
        <w:t xml:space="preserve">chamber </w:t>
      </w:r>
      <w:r w:rsidR="000A1650">
        <w:rPr>
          <w:rFonts w:asciiTheme="majorHAnsi" w:hAnsiTheme="majorHAnsi"/>
          <w:sz w:val="18"/>
          <w:szCs w:val="18"/>
        </w:rPr>
        <w:t>are liable for</w:t>
      </w:r>
      <w:r w:rsidR="007F1384" w:rsidRPr="006C6C80">
        <w:rPr>
          <w:rFonts w:asciiTheme="majorHAnsi" w:hAnsiTheme="majorHAnsi"/>
          <w:sz w:val="18"/>
          <w:szCs w:val="18"/>
        </w:rPr>
        <w:t xml:space="preserve"> t</w:t>
      </w:r>
      <w:r w:rsidR="000A1650">
        <w:rPr>
          <w:rFonts w:asciiTheme="majorHAnsi" w:hAnsiTheme="majorHAnsi"/>
          <w:sz w:val="18"/>
          <w:szCs w:val="18"/>
        </w:rPr>
        <w:t>he delay referred to. Nor did the appellant</w:t>
      </w:r>
      <w:r w:rsidR="007F1384" w:rsidRPr="006C6C80">
        <w:rPr>
          <w:rFonts w:asciiTheme="majorHAnsi" w:hAnsiTheme="majorHAnsi"/>
          <w:sz w:val="18"/>
          <w:szCs w:val="18"/>
        </w:rPr>
        <w:t xml:space="preserve"> prove that the alleged delay led to the breach of the rights of the Judiciary employees and prevented them from filing remedies</w:t>
      </w:r>
      <w:r w:rsidR="001B44C6" w:rsidRPr="006C6C80">
        <w:rPr>
          <w:rFonts w:asciiTheme="majorHAnsi" w:hAnsiTheme="majorHAnsi"/>
          <w:sz w:val="18"/>
          <w:szCs w:val="18"/>
        </w:rPr>
        <w:t xml:space="preserve">. </w:t>
      </w:r>
    </w:p>
    <w:p w:rsidR="001C0601" w:rsidRPr="006C6C80" w:rsidRDefault="001C0601" w:rsidP="00B5492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360" w:right="360"/>
        <w:jc w:val="both"/>
        <w:rPr>
          <w:rFonts w:asciiTheme="majorHAnsi" w:hAnsiTheme="majorHAnsi"/>
          <w:sz w:val="18"/>
          <w:szCs w:val="18"/>
        </w:rPr>
      </w:pPr>
      <w:r w:rsidRPr="006C6C80">
        <w:rPr>
          <w:rFonts w:asciiTheme="majorHAnsi" w:hAnsiTheme="majorHAnsi"/>
          <w:sz w:val="18"/>
          <w:szCs w:val="18"/>
        </w:rPr>
        <w:t xml:space="preserve">c) </w:t>
      </w:r>
      <w:r w:rsidR="007F1384" w:rsidRPr="006C6C80">
        <w:rPr>
          <w:rFonts w:asciiTheme="majorHAnsi" w:hAnsiTheme="majorHAnsi"/>
          <w:sz w:val="18"/>
          <w:szCs w:val="18"/>
        </w:rPr>
        <w:t xml:space="preserve">Nor was it in any way evident that the magistrates of the First Chamber of the Labor and Social Welfare Appeals Court, when ruling that the </w:t>
      </w:r>
      <w:r w:rsidR="007F1384" w:rsidRPr="000A1650">
        <w:rPr>
          <w:rFonts w:asciiTheme="majorHAnsi" w:hAnsiTheme="majorHAnsi"/>
          <w:i/>
          <w:sz w:val="18"/>
          <w:szCs w:val="18"/>
        </w:rPr>
        <w:t>de facto</w:t>
      </w:r>
      <w:r w:rsidR="007F1384" w:rsidRPr="006C6C80">
        <w:rPr>
          <w:rFonts w:asciiTheme="majorHAnsi" w:hAnsiTheme="majorHAnsi"/>
          <w:sz w:val="18"/>
          <w:szCs w:val="18"/>
        </w:rPr>
        <w:t xml:space="preserve"> strike </w:t>
      </w:r>
      <w:r w:rsidR="009844E3">
        <w:rPr>
          <w:rFonts w:asciiTheme="majorHAnsi" w:hAnsiTheme="majorHAnsi"/>
          <w:sz w:val="18"/>
          <w:szCs w:val="18"/>
        </w:rPr>
        <w:t>action</w:t>
      </w:r>
      <w:r w:rsidR="007F1384" w:rsidRPr="006C6C80">
        <w:rPr>
          <w:rFonts w:asciiTheme="majorHAnsi" w:hAnsiTheme="majorHAnsi"/>
          <w:sz w:val="18"/>
          <w:szCs w:val="18"/>
        </w:rPr>
        <w:t xml:space="preserve"> was unlawful, had acted in the interest of and in collusion with the S</w:t>
      </w:r>
      <w:r w:rsidR="000A1650">
        <w:rPr>
          <w:rFonts w:asciiTheme="majorHAnsi" w:hAnsiTheme="majorHAnsi"/>
          <w:sz w:val="18"/>
          <w:szCs w:val="18"/>
        </w:rPr>
        <w:t>upreme Court of Justice</w:t>
      </w:r>
      <w:r w:rsidR="007F1384" w:rsidRPr="006C6C80">
        <w:rPr>
          <w:rFonts w:asciiTheme="majorHAnsi" w:hAnsiTheme="majorHAnsi"/>
          <w:sz w:val="18"/>
          <w:szCs w:val="18"/>
        </w:rPr>
        <w:t xml:space="preserve"> to harm the Judiciary employees</w:t>
      </w:r>
      <w:r w:rsidRPr="006C6C80">
        <w:rPr>
          <w:rFonts w:asciiTheme="majorHAnsi" w:hAnsiTheme="majorHAnsi"/>
          <w:sz w:val="18"/>
          <w:szCs w:val="18"/>
        </w:rPr>
        <w:t xml:space="preserve"> (…)</w:t>
      </w:r>
    </w:p>
    <w:p w:rsidR="00DE1A74" w:rsidRPr="006C6C80" w:rsidRDefault="007F1384" w:rsidP="00B5492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360" w:right="360"/>
        <w:jc w:val="both"/>
        <w:rPr>
          <w:rFonts w:asciiTheme="majorHAnsi" w:hAnsiTheme="majorHAnsi"/>
          <w:b/>
          <w:sz w:val="18"/>
          <w:szCs w:val="18"/>
        </w:rPr>
      </w:pPr>
      <w:r w:rsidRPr="006C6C80">
        <w:rPr>
          <w:rFonts w:asciiTheme="majorHAnsi" w:hAnsiTheme="majorHAnsi"/>
          <w:sz w:val="18"/>
          <w:szCs w:val="18"/>
        </w:rPr>
        <w:t>Because it is obviously inadmis</w:t>
      </w:r>
      <w:r w:rsidR="00DA14CB" w:rsidRPr="006C6C80">
        <w:rPr>
          <w:rFonts w:asciiTheme="majorHAnsi" w:hAnsiTheme="majorHAnsi"/>
          <w:sz w:val="18"/>
          <w:szCs w:val="18"/>
        </w:rPr>
        <w:t>s</w:t>
      </w:r>
      <w:r w:rsidRPr="006C6C80">
        <w:rPr>
          <w:rFonts w:asciiTheme="majorHAnsi" w:hAnsiTheme="majorHAnsi"/>
          <w:sz w:val="18"/>
          <w:szCs w:val="18"/>
        </w:rPr>
        <w:t xml:space="preserve">ible, the appeal </w:t>
      </w:r>
      <w:r w:rsidR="00636777">
        <w:rPr>
          <w:rFonts w:asciiTheme="majorHAnsi" w:hAnsiTheme="majorHAnsi"/>
          <w:sz w:val="18"/>
          <w:szCs w:val="18"/>
        </w:rPr>
        <w:t xml:space="preserve">for </w:t>
      </w:r>
      <w:proofErr w:type="spellStart"/>
      <w:r w:rsidR="00636777" w:rsidRPr="00636777">
        <w:rPr>
          <w:rFonts w:asciiTheme="majorHAnsi" w:hAnsiTheme="majorHAnsi"/>
          <w:i/>
          <w:sz w:val="18"/>
          <w:szCs w:val="18"/>
        </w:rPr>
        <w:t>amparo</w:t>
      </w:r>
      <w:proofErr w:type="spellEnd"/>
      <w:r w:rsidRPr="006C6C80">
        <w:rPr>
          <w:rFonts w:asciiTheme="majorHAnsi" w:hAnsiTheme="majorHAnsi"/>
          <w:sz w:val="18"/>
          <w:szCs w:val="18"/>
        </w:rPr>
        <w:t xml:space="preserve"> filed by th</w:t>
      </w:r>
      <w:r w:rsidR="000A1650">
        <w:rPr>
          <w:rFonts w:asciiTheme="majorHAnsi" w:hAnsiTheme="majorHAnsi"/>
          <w:sz w:val="18"/>
          <w:szCs w:val="18"/>
        </w:rPr>
        <w:t>e Judiciary employees via</w:t>
      </w:r>
      <w:r w:rsidRPr="006C6C80">
        <w:rPr>
          <w:rFonts w:asciiTheme="majorHAnsi" w:hAnsiTheme="majorHAnsi"/>
          <w:sz w:val="18"/>
          <w:szCs w:val="18"/>
        </w:rPr>
        <w:t xml:space="preserve"> their leg</w:t>
      </w:r>
      <w:r w:rsidR="00DA14CB" w:rsidRPr="006C6C80">
        <w:rPr>
          <w:rFonts w:asciiTheme="majorHAnsi" w:hAnsiTheme="majorHAnsi"/>
          <w:sz w:val="18"/>
          <w:szCs w:val="18"/>
        </w:rPr>
        <w:t>al representative is dismissed.</w:t>
      </w:r>
      <w:r w:rsidR="001C0601" w:rsidRPr="006C6C80">
        <w:rPr>
          <w:rStyle w:val="FootnoteReference"/>
          <w:rFonts w:asciiTheme="majorHAnsi" w:hAnsiTheme="majorHAnsi"/>
          <w:sz w:val="18"/>
          <w:szCs w:val="18"/>
        </w:rPr>
        <w:footnoteReference w:id="29"/>
      </w:r>
    </w:p>
    <w:p w:rsidR="00DE1A74" w:rsidRPr="006C6C80" w:rsidRDefault="00DE1A74" w:rsidP="00B5492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Theme="majorHAnsi" w:hAnsiTheme="majorHAnsi"/>
          <w:sz w:val="20"/>
          <w:szCs w:val="20"/>
        </w:rPr>
      </w:pPr>
    </w:p>
    <w:p w:rsidR="00E62159" w:rsidRPr="006C6C80" w:rsidRDefault="002E2D5B" w:rsidP="00B54921">
      <w:pPr>
        <w:pStyle w:val="parrafos"/>
        <w:numPr>
          <w:ilvl w:val="0"/>
          <w:numId w:val="56"/>
        </w:numPr>
        <w:tabs>
          <w:tab w:val="left" w:pos="720"/>
        </w:tabs>
        <w:ind w:left="0" w:firstLine="0"/>
        <w:rPr>
          <w:lang w:val="en-US"/>
        </w:rPr>
      </w:pPr>
      <w:r w:rsidRPr="006C6C80">
        <w:rPr>
          <w:lang w:val="en-US"/>
        </w:rPr>
        <w:t xml:space="preserve">On that same day, the Workers Union appealed the judgment and, on June 19, 1997, the </w:t>
      </w:r>
      <w:r w:rsidR="00C4756E">
        <w:rPr>
          <w:lang w:val="en-US"/>
        </w:rPr>
        <w:t>Constitutional Court</w:t>
      </w:r>
      <w:r w:rsidRPr="006C6C80">
        <w:rPr>
          <w:lang w:val="en-US"/>
        </w:rPr>
        <w:t xml:space="preserve"> upheld the judgment being appealed, indicating as follows</w:t>
      </w:r>
      <w:r w:rsidR="005D276F" w:rsidRPr="006C6C80">
        <w:rPr>
          <w:lang w:val="en-US"/>
        </w:rPr>
        <w:t>:</w:t>
      </w:r>
    </w:p>
    <w:p w:rsidR="00F76581" w:rsidRPr="006C6C80" w:rsidRDefault="00F76581" w:rsidP="00B5492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Theme="majorHAnsi" w:hAnsiTheme="majorHAnsi"/>
          <w:b/>
          <w:sz w:val="20"/>
          <w:szCs w:val="20"/>
        </w:rPr>
      </w:pPr>
    </w:p>
    <w:p w:rsidR="00F76581" w:rsidRPr="006C6C80" w:rsidRDefault="0018540A" w:rsidP="00B5492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360" w:right="360"/>
        <w:jc w:val="both"/>
        <w:rPr>
          <w:rFonts w:asciiTheme="majorHAnsi" w:hAnsiTheme="majorHAnsi"/>
          <w:sz w:val="18"/>
          <w:szCs w:val="18"/>
        </w:rPr>
      </w:pPr>
      <w:r w:rsidRPr="006C6C80">
        <w:rPr>
          <w:rFonts w:asciiTheme="majorHAnsi" w:hAnsiTheme="majorHAnsi"/>
          <w:sz w:val="18"/>
          <w:szCs w:val="18"/>
        </w:rPr>
        <w:t xml:space="preserve">(…) </w:t>
      </w:r>
      <w:r w:rsidR="00222E35" w:rsidRPr="006C6C80">
        <w:rPr>
          <w:rFonts w:asciiTheme="majorHAnsi" w:hAnsiTheme="majorHAnsi"/>
          <w:sz w:val="18"/>
          <w:szCs w:val="18"/>
        </w:rPr>
        <w:t>The authority being challenged in the ruling of May 13 of that same year</w:t>
      </w:r>
      <w:r w:rsidR="00817223" w:rsidRPr="006C6C80">
        <w:rPr>
          <w:rFonts w:asciiTheme="majorHAnsi" w:hAnsiTheme="majorHAnsi"/>
          <w:sz w:val="18"/>
          <w:szCs w:val="18"/>
        </w:rPr>
        <w:t xml:space="preserve"> dismissed the motion for annul</w:t>
      </w:r>
      <w:r w:rsidR="00222E35" w:rsidRPr="006C6C80">
        <w:rPr>
          <w:rFonts w:asciiTheme="majorHAnsi" w:hAnsiTheme="majorHAnsi"/>
          <w:sz w:val="18"/>
          <w:szCs w:val="18"/>
        </w:rPr>
        <w:t>ment that was filed and, on that same date, ordered the act</w:t>
      </w:r>
      <w:r w:rsidR="000A1650">
        <w:rPr>
          <w:rFonts w:asciiTheme="majorHAnsi" w:hAnsiTheme="majorHAnsi"/>
          <w:sz w:val="18"/>
          <w:szCs w:val="18"/>
        </w:rPr>
        <w:t>ion</w:t>
      </w:r>
      <w:r w:rsidR="00222E35" w:rsidRPr="006C6C80">
        <w:rPr>
          <w:rFonts w:asciiTheme="majorHAnsi" w:hAnsiTheme="majorHAnsi"/>
          <w:sz w:val="18"/>
          <w:szCs w:val="18"/>
        </w:rPr>
        <w:t xml:space="preserve"> being challenged by declaring that the </w:t>
      </w:r>
      <w:r w:rsidR="00222E35" w:rsidRPr="000A1650">
        <w:rPr>
          <w:rFonts w:asciiTheme="majorHAnsi" w:hAnsiTheme="majorHAnsi"/>
          <w:i/>
          <w:sz w:val="18"/>
          <w:szCs w:val="18"/>
        </w:rPr>
        <w:t>de fact</w:t>
      </w:r>
      <w:r w:rsidR="009844E3" w:rsidRPr="000A1650">
        <w:rPr>
          <w:rFonts w:asciiTheme="majorHAnsi" w:hAnsiTheme="majorHAnsi"/>
          <w:i/>
          <w:sz w:val="18"/>
          <w:szCs w:val="18"/>
        </w:rPr>
        <w:t>o</w:t>
      </w:r>
      <w:r w:rsidR="00222E35" w:rsidRPr="006C6C80">
        <w:rPr>
          <w:rFonts w:asciiTheme="majorHAnsi" w:hAnsiTheme="majorHAnsi"/>
          <w:sz w:val="18"/>
          <w:szCs w:val="18"/>
        </w:rPr>
        <w:t xml:space="preserve"> strike </w:t>
      </w:r>
      <w:r w:rsidR="009844E3">
        <w:rPr>
          <w:rFonts w:asciiTheme="majorHAnsi" w:hAnsiTheme="majorHAnsi"/>
          <w:sz w:val="18"/>
          <w:szCs w:val="18"/>
        </w:rPr>
        <w:t>carried out</w:t>
      </w:r>
      <w:r w:rsidR="00222E35" w:rsidRPr="006C6C80">
        <w:rPr>
          <w:rFonts w:asciiTheme="majorHAnsi" w:hAnsiTheme="majorHAnsi"/>
          <w:sz w:val="18"/>
          <w:szCs w:val="18"/>
        </w:rPr>
        <w:t xml:space="preserve"> by the workers was unlawful. Both ruling</w:t>
      </w:r>
      <w:r w:rsidR="00817223" w:rsidRPr="006C6C80">
        <w:rPr>
          <w:rFonts w:asciiTheme="majorHAnsi" w:hAnsiTheme="majorHAnsi"/>
          <w:sz w:val="18"/>
          <w:szCs w:val="18"/>
        </w:rPr>
        <w:t>s, the one dismissing the annul</w:t>
      </w:r>
      <w:r w:rsidR="00222E35" w:rsidRPr="006C6C80">
        <w:rPr>
          <w:rFonts w:asciiTheme="majorHAnsi" w:hAnsiTheme="majorHAnsi"/>
          <w:sz w:val="18"/>
          <w:szCs w:val="18"/>
        </w:rPr>
        <w:t xml:space="preserve">ment requested and the one declaring </w:t>
      </w:r>
      <w:r w:rsidR="009844E3">
        <w:rPr>
          <w:rFonts w:asciiTheme="majorHAnsi" w:hAnsiTheme="majorHAnsi"/>
          <w:sz w:val="18"/>
          <w:szCs w:val="18"/>
        </w:rPr>
        <w:t>that the action w</w:t>
      </w:r>
      <w:r w:rsidR="00222E35" w:rsidRPr="006C6C80">
        <w:rPr>
          <w:rFonts w:asciiTheme="majorHAnsi" w:hAnsiTheme="majorHAnsi"/>
          <w:sz w:val="18"/>
          <w:szCs w:val="18"/>
        </w:rPr>
        <w:t>as unlawful were notified to the appellant on the fourteenth day of the same month and year</w:t>
      </w:r>
      <w:r w:rsidR="00F76581" w:rsidRPr="006C6C80">
        <w:rPr>
          <w:rFonts w:asciiTheme="majorHAnsi" w:hAnsiTheme="majorHAnsi"/>
          <w:sz w:val="18"/>
          <w:szCs w:val="18"/>
        </w:rPr>
        <w:t>.</w:t>
      </w:r>
    </w:p>
    <w:p w:rsidR="006F1AB5" w:rsidRPr="006C6C80" w:rsidRDefault="006F1AB5" w:rsidP="00B5492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360" w:right="360"/>
        <w:jc w:val="both"/>
        <w:rPr>
          <w:rFonts w:asciiTheme="majorHAnsi" w:hAnsiTheme="majorHAnsi"/>
          <w:sz w:val="18"/>
          <w:szCs w:val="18"/>
        </w:rPr>
      </w:pPr>
    </w:p>
    <w:p w:rsidR="0018540A" w:rsidRPr="006C6C80" w:rsidRDefault="00222E35" w:rsidP="00B5492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360" w:right="360"/>
        <w:jc w:val="both"/>
        <w:rPr>
          <w:rFonts w:asciiTheme="majorHAnsi" w:hAnsiTheme="majorHAnsi"/>
          <w:sz w:val="18"/>
          <w:szCs w:val="18"/>
        </w:rPr>
      </w:pPr>
      <w:r w:rsidRPr="006C6C80">
        <w:rPr>
          <w:rFonts w:asciiTheme="majorHAnsi" w:hAnsiTheme="majorHAnsi"/>
          <w:sz w:val="18"/>
          <w:szCs w:val="18"/>
        </w:rPr>
        <w:t>It is deemed that the authority being challenged should not have issued the last two rulings on the same date because, by doing so, it violated Article 365 of the Labor Code</w:t>
      </w:r>
      <w:r w:rsidR="001133C9" w:rsidRPr="006C6C80">
        <w:rPr>
          <w:rFonts w:asciiTheme="majorHAnsi" w:hAnsiTheme="majorHAnsi"/>
          <w:sz w:val="18"/>
          <w:szCs w:val="18"/>
        </w:rPr>
        <w:t>, on the basis of which it is inferred, according to its interpretation, that it is po</w:t>
      </w:r>
      <w:r w:rsidR="00817223" w:rsidRPr="006C6C80">
        <w:rPr>
          <w:rFonts w:asciiTheme="majorHAnsi" w:hAnsiTheme="majorHAnsi"/>
          <w:sz w:val="18"/>
          <w:szCs w:val="18"/>
        </w:rPr>
        <w:t>s</w:t>
      </w:r>
      <w:r w:rsidR="001133C9" w:rsidRPr="006C6C80">
        <w:rPr>
          <w:rFonts w:asciiTheme="majorHAnsi" w:hAnsiTheme="majorHAnsi"/>
          <w:sz w:val="18"/>
          <w:szCs w:val="18"/>
        </w:rPr>
        <w:t xml:space="preserve">sible, within twenty-four hours the notification, </w:t>
      </w:r>
      <w:r w:rsidR="00636777">
        <w:rPr>
          <w:rFonts w:asciiTheme="majorHAnsi" w:hAnsiTheme="majorHAnsi"/>
          <w:sz w:val="18"/>
          <w:szCs w:val="18"/>
        </w:rPr>
        <w:t xml:space="preserve">for </w:t>
      </w:r>
      <w:r w:rsidR="001133C9" w:rsidRPr="006C6C80">
        <w:rPr>
          <w:rFonts w:asciiTheme="majorHAnsi" w:hAnsiTheme="majorHAnsi"/>
          <w:sz w:val="18"/>
          <w:szCs w:val="18"/>
        </w:rPr>
        <w:t>the aggrieved party</w:t>
      </w:r>
      <w:r w:rsidR="00636777">
        <w:rPr>
          <w:rFonts w:asciiTheme="majorHAnsi" w:hAnsiTheme="majorHAnsi"/>
          <w:sz w:val="18"/>
          <w:szCs w:val="18"/>
        </w:rPr>
        <w:t xml:space="preserve"> to</w:t>
      </w:r>
      <w:r w:rsidR="001133C9" w:rsidRPr="006C6C80">
        <w:rPr>
          <w:rFonts w:asciiTheme="majorHAnsi" w:hAnsiTheme="majorHAnsi"/>
          <w:sz w:val="18"/>
          <w:szCs w:val="18"/>
        </w:rPr>
        <w:t xml:space="preserve"> files </w:t>
      </w:r>
      <w:r w:rsidR="00636777">
        <w:rPr>
          <w:rFonts w:asciiTheme="majorHAnsi" w:hAnsiTheme="majorHAnsi"/>
          <w:sz w:val="18"/>
          <w:szCs w:val="18"/>
        </w:rPr>
        <w:t>an</w:t>
      </w:r>
      <w:r w:rsidR="001133C9" w:rsidRPr="006C6C80">
        <w:rPr>
          <w:rFonts w:asciiTheme="majorHAnsi" w:hAnsiTheme="majorHAnsi"/>
          <w:sz w:val="18"/>
          <w:szCs w:val="18"/>
        </w:rPr>
        <w:t xml:space="preserve"> appeal and it would not be until after this delay had elapsed that the parties would have used it or, in the event they had not used it, until it had been resolved</w:t>
      </w:r>
      <w:r w:rsidR="000A1650">
        <w:rPr>
          <w:rFonts w:asciiTheme="majorHAnsi" w:hAnsiTheme="majorHAnsi"/>
          <w:sz w:val="18"/>
          <w:szCs w:val="18"/>
        </w:rPr>
        <w:t>, w</w:t>
      </w:r>
      <w:r w:rsidR="001133C9" w:rsidRPr="006C6C80">
        <w:rPr>
          <w:rFonts w:asciiTheme="majorHAnsi" w:hAnsiTheme="majorHAnsi"/>
          <w:sz w:val="18"/>
          <w:szCs w:val="18"/>
        </w:rPr>
        <w:t xml:space="preserve">hen the ruling that is susceptible to being challenged becomes final and only then can the following ruling be </w:t>
      </w:r>
      <w:r w:rsidR="000A1650">
        <w:rPr>
          <w:rFonts w:asciiTheme="majorHAnsi" w:hAnsiTheme="majorHAnsi"/>
          <w:sz w:val="18"/>
          <w:szCs w:val="18"/>
        </w:rPr>
        <w:t>issued</w:t>
      </w:r>
      <w:r w:rsidR="001133C9" w:rsidRPr="006C6C80">
        <w:rPr>
          <w:rFonts w:asciiTheme="majorHAnsi" w:hAnsiTheme="majorHAnsi"/>
          <w:sz w:val="18"/>
          <w:szCs w:val="18"/>
        </w:rPr>
        <w:t>.</w:t>
      </w:r>
    </w:p>
    <w:p w:rsidR="001133C9" w:rsidRPr="006C6C80" w:rsidRDefault="001133C9" w:rsidP="00B5492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360" w:right="360"/>
        <w:jc w:val="both"/>
        <w:rPr>
          <w:rFonts w:asciiTheme="majorHAnsi" w:hAnsiTheme="majorHAnsi"/>
          <w:sz w:val="18"/>
          <w:szCs w:val="18"/>
        </w:rPr>
      </w:pPr>
    </w:p>
    <w:p w:rsidR="00F76581" w:rsidRPr="006C6C80" w:rsidRDefault="001133C9" w:rsidP="00B5492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360" w:right="360"/>
        <w:jc w:val="both"/>
        <w:rPr>
          <w:rFonts w:asciiTheme="majorHAnsi" w:hAnsiTheme="majorHAnsi"/>
          <w:sz w:val="18"/>
          <w:szCs w:val="18"/>
        </w:rPr>
      </w:pPr>
      <w:r w:rsidRPr="006C6C80">
        <w:rPr>
          <w:rFonts w:asciiTheme="majorHAnsi" w:hAnsiTheme="majorHAnsi"/>
          <w:sz w:val="18"/>
          <w:szCs w:val="18"/>
        </w:rPr>
        <w:t>Despite what was considered above, it must be pointed out that, if the appellant observed that the action of the authority being challenged entailed a violation of the law it should have used the ordinary remedy (a</w:t>
      </w:r>
      <w:r w:rsidR="000A1650">
        <w:rPr>
          <w:rFonts w:asciiTheme="majorHAnsi" w:hAnsiTheme="majorHAnsi"/>
          <w:sz w:val="18"/>
          <w:szCs w:val="18"/>
        </w:rPr>
        <w:t>nnulment) as provided for by</w:t>
      </w:r>
      <w:r w:rsidRPr="006C6C80">
        <w:rPr>
          <w:rFonts w:asciiTheme="majorHAnsi" w:hAnsiTheme="majorHAnsi"/>
          <w:sz w:val="18"/>
          <w:szCs w:val="18"/>
        </w:rPr>
        <w:t xml:space="preserve"> law to challenge the ruling being </w:t>
      </w:r>
      <w:r w:rsidR="000A1650">
        <w:rPr>
          <w:rFonts w:asciiTheme="majorHAnsi" w:hAnsiTheme="majorHAnsi"/>
          <w:sz w:val="18"/>
          <w:szCs w:val="18"/>
        </w:rPr>
        <w:t>questioned and by not doing so the appellant</w:t>
      </w:r>
      <w:r w:rsidRPr="006C6C80">
        <w:rPr>
          <w:rFonts w:asciiTheme="majorHAnsi" w:hAnsiTheme="majorHAnsi"/>
          <w:sz w:val="18"/>
          <w:szCs w:val="18"/>
        </w:rPr>
        <w:t xml:space="preserve"> failed to observe the principle of definitiveness which subjects the petition for protection on constitutional grounds to prior exhaustion of ordinary remedies</w:t>
      </w:r>
      <w:r w:rsidR="00F76581" w:rsidRPr="006C6C80">
        <w:rPr>
          <w:rFonts w:asciiTheme="majorHAnsi" w:hAnsiTheme="majorHAnsi"/>
          <w:sz w:val="18"/>
          <w:szCs w:val="18"/>
        </w:rPr>
        <w:t xml:space="preserve"> (…).  </w:t>
      </w:r>
      <w:r w:rsidR="00636777">
        <w:rPr>
          <w:rFonts w:asciiTheme="majorHAnsi" w:hAnsiTheme="majorHAnsi"/>
          <w:sz w:val="18"/>
          <w:szCs w:val="18"/>
        </w:rPr>
        <w:t xml:space="preserve">Because of that, the appeal for </w:t>
      </w:r>
      <w:proofErr w:type="spellStart"/>
      <w:r w:rsidR="00636777" w:rsidRPr="00636777">
        <w:rPr>
          <w:rFonts w:asciiTheme="majorHAnsi" w:hAnsiTheme="majorHAnsi"/>
          <w:i/>
          <w:sz w:val="18"/>
          <w:szCs w:val="18"/>
        </w:rPr>
        <w:t>amparo</w:t>
      </w:r>
      <w:proofErr w:type="spellEnd"/>
      <w:r w:rsidRPr="006C6C80">
        <w:rPr>
          <w:rFonts w:asciiTheme="majorHAnsi" w:hAnsiTheme="majorHAnsi"/>
          <w:sz w:val="18"/>
          <w:szCs w:val="18"/>
        </w:rPr>
        <w:t xml:space="preserve"> is obviously inadmissible, because of which it must be dismissed.</w:t>
      </w:r>
      <w:r w:rsidR="00E53D77" w:rsidRPr="006C6C80">
        <w:rPr>
          <w:rStyle w:val="FootnoteReference"/>
          <w:rFonts w:asciiTheme="majorHAnsi" w:hAnsiTheme="majorHAnsi"/>
          <w:sz w:val="18"/>
          <w:szCs w:val="18"/>
        </w:rPr>
        <w:footnoteReference w:id="30"/>
      </w:r>
    </w:p>
    <w:p w:rsidR="003F677F" w:rsidRPr="006C6C80" w:rsidRDefault="003F677F" w:rsidP="006C0C0E">
      <w:pPr>
        <w:tabs>
          <w:tab w:val="left" w:pos="720"/>
        </w:tabs>
      </w:pPr>
    </w:p>
    <w:p w:rsidR="003F677F" w:rsidRPr="006C6C80" w:rsidRDefault="001133C9" w:rsidP="00B54921">
      <w:pPr>
        <w:pStyle w:val="parrafos"/>
        <w:numPr>
          <w:ilvl w:val="0"/>
          <w:numId w:val="56"/>
        </w:numPr>
        <w:tabs>
          <w:tab w:val="left" w:pos="720"/>
        </w:tabs>
        <w:ind w:left="0" w:firstLine="0"/>
        <w:rPr>
          <w:lang w:val="en-US"/>
        </w:rPr>
      </w:pPr>
      <w:r w:rsidRPr="006C6C80">
        <w:rPr>
          <w:lang w:val="en-US"/>
        </w:rPr>
        <w:t>On February</w:t>
      </w:r>
      <w:r w:rsidR="00252115" w:rsidRPr="006C6C80">
        <w:rPr>
          <w:lang w:val="en-US"/>
        </w:rPr>
        <w:t xml:space="preserve"> 23</w:t>
      </w:r>
      <w:r w:rsidRPr="006C6C80">
        <w:rPr>
          <w:lang w:val="en-US"/>
        </w:rPr>
        <w:t>,</w:t>
      </w:r>
      <w:r w:rsidR="00252115" w:rsidRPr="006C6C80">
        <w:rPr>
          <w:lang w:val="en-US"/>
        </w:rPr>
        <w:t xml:space="preserve"> 1999</w:t>
      </w:r>
      <w:r w:rsidRPr="006C6C80">
        <w:rPr>
          <w:lang w:val="en-US"/>
        </w:rPr>
        <w:t>, the First Chamber of the Labor and Social Welfare Appeals Court granted</w:t>
      </w:r>
      <w:r w:rsidR="00252115" w:rsidRPr="006C6C80">
        <w:rPr>
          <w:lang w:val="en-US"/>
        </w:rPr>
        <w:t xml:space="preserve"> </w:t>
      </w:r>
      <w:r w:rsidRPr="006C6C80">
        <w:rPr>
          <w:lang w:val="en-US"/>
        </w:rPr>
        <w:t xml:space="preserve">the motion for the appeal filed by the petitioners against the ruling of May 13, 1996, because of which it had to be </w:t>
      </w:r>
      <w:r w:rsidR="00453A30" w:rsidRPr="006C6C80">
        <w:rPr>
          <w:lang w:val="en-US"/>
        </w:rPr>
        <w:t>h</w:t>
      </w:r>
      <w:r w:rsidRPr="006C6C80">
        <w:rPr>
          <w:lang w:val="en-US"/>
        </w:rPr>
        <w:t>eard by the Supreme Court of Justice</w:t>
      </w:r>
      <w:r w:rsidR="00D2039D" w:rsidRPr="006C6C80">
        <w:rPr>
          <w:lang w:val="en-US"/>
        </w:rPr>
        <w:t>.</w:t>
      </w:r>
    </w:p>
    <w:p w:rsidR="003F677F" w:rsidRPr="006C6C80" w:rsidRDefault="003F677F" w:rsidP="00B54921">
      <w:pPr>
        <w:pStyle w:val="ListParagraph"/>
        <w:tabs>
          <w:tab w:val="left" w:pos="720"/>
        </w:tabs>
      </w:pPr>
    </w:p>
    <w:p w:rsidR="00CA6207" w:rsidRPr="006C6C80" w:rsidRDefault="001133C9" w:rsidP="00B54921">
      <w:pPr>
        <w:pStyle w:val="parrafos"/>
        <w:numPr>
          <w:ilvl w:val="0"/>
          <w:numId w:val="56"/>
        </w:numPr>
        <w:tabs>
          <w:tab w:val="left" w:pos="720"/>
        </w:tabs>
        <w:ind w:left="0" w:firstLine="0"/>
        <w:rPr>
          <w:lang w:val="en-US"/>
        </w:rPr>
      </w:pPr>
      <w:r w:rsidRPr="006C6C80">
        <w:rPr>
          <w:lang w:val="en-US"/>
        </w:rPr>
        <w:t>On March</w:t>
      </w:r>
      <w:r w:rsidR="00D2039D" w:rsidRPr="006C6C80">
        <w:rPr>
          <w:lang w:val="en-US"/>
        </w:rPr>
        <w:t xml:space="preserve"> 17</w:t>
      </w:r>
      <w:r w:rsidRPr="006C6C80">
        <w:rPr>
          <w:lang w:val="en-US"/>
        </w:rPr>
        <w:t>,</w:t>
      </w:r>
      <w:r w:rsidR="00D2039D" w:rsidRPr="006C6C80">
        <w:rPr>
          <w:lang w:val="en-US"/>
        </w:rPr>
        <w:t xml:space="preserve"> 1999</w:t>
      </w:r>
      <w:r w:rsidRPr="006C6C80">
        <w:rPr>
          <w:lang w:val="en-US"/>
        </w:rPr>
        <w:t>, the Supreme Court of Justice decided it would not hear the moti</w:t>
      </w:r>
      <w:r w:rsidR="00D82B90">
        <w:rPr>
          <w:lang w:val="en-US"/>
        </w:rPr>
        <w:t>on for appeal arguing that the ruling</w:t>
      </w:r>
      <w:r w:rsidRPr="006C6C80">
        <w:rPr>
          <w:lang w:val="en-US"/>
        </w:rPr>
        <w:t xml:space="preserve"> being challenged was issued by a </w:t>
      </w:r>
      <w:r w:rsidR="00D82B90">
        <w:rPr>
          <w:lang w:val="en-US"/>
        </w:rPr>
        <w:t>court comprising several judges (</w:t>
      </w:r>
      <w:r w:rsidR="00D82B90" w:rsidRPr="00D82B90">
        <w:rPr>
          <w:i/>
          <w:lang w:val="en-US"/>
        </w:rPr>
        <w:t xml:space="preserve">tribunal </w:t>
      </w:r>
      <w:proofErr w:type="spellStart"/>
      <w:r w:rsidR="00D82B90" w:rsidRPr="00D82B90">
        <w:rPr>
          <w:i/>
          <w:lang w:val="en-US"/>
        </w:rPr>
        <w:t>colegiado</w:t>
      </w:r>
      <w:proofErr w:type="spellEnd"/>
      <w:r w:rsidR="00D82B90">
        <w:rPr>
          <w:lang w:val="en-US"/>
        </w:rPr>
        <w:t>)</w:t>
      </w:r>
      <w:r w:rsidR="003B5648" w:rsidRPr="006C6C80">
        <w:rPr>
          <w:lang w:val="en-US"/>
        </w:rPr>
        <w:t xml:space="preserve"> and, therefore, it could not be appealed. Regarding this, it stated the following</w:t>
      </w:r>
      <w:r w:rsidR="00E21CC8" w:rsidRPr="006C6C80">
        <w:rPr>
          <w:lang w:val="en-US"/>
        </w:rPr>
        <w:t>:</w:t>
      </w:r>
    </w:p>
    <w:p w:rsidR="003F677F" w:rsidRPr="006C6C80" w:rsidRDefault="003F677F" w:rsidP="00B54921">
      <w:pPr>
        <w:pStyle w:val="parrafos"/>
        <w:tabs>
          <w:tab w:val="left" w:pos="720"/>
        </w:tabs>
        <w:rPr>
          <w:lang w:val="en-US"/>
        </w:rPr>
      </w:pPr>
    </w:p>
    <w:p w:rsidR="009620DB" w:rsidRPr="006C6C80" w:rsidRDefault="007D0C5D" w:rsidP="00B5492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360" w:right="360"/>
        <w:jc w:val="both"/>
        <w:rPr>
          <w:rFonts w:asciiTheme="majorHAnsi" w:hAnsiTheme="majorHAnsi"/>
          <w:sz w:val="18"/>
          <w:szCs w:val="18"/>
        </w:rPr>
      </w:pPr>
      <w:r w:rsidRPr="006C6C80">
        <w:rPr>
          <w:rFonts w:asciiTheme="majorHAnsi" w:hAnsiTheme="majorHAnsi"/>
          <w:sz w:val="18"/>
          <w:szCs w:val="18"/>
        </w:rPr>
        <w:t>That the final part of the first paragraph of Article</w:t>
      </w:r>
      <w:r w:rsidR="00E21CC8" w:rsidRPr="006C6C80">
        <w:rPr>
          <w:rFonts w:asciiTheme="majorHAnsi" w:hAnsiTheme="majorHAnsi"/>
          <w:sz w:val="18"/>
          <w:szCs w:val="18"/>
        </w:rPr>
        <w:t xml:space="preserve"> 140 </w:t>
      </w:r>
      <w:r w:rsidRPr="006C6C80">
        <w:rPr>
          <w:rFonts w:asciiTheme="majorHAnsi" w:hAnsiTheme="majorHAnsi"/>
          <w:sz w:val="18"/>
          <w:szCs w:val="18"/>
        </w:rPr>
        <w:t>of the Law on the Judiciary (amended by Article 10 of Decree</w:t>
      </w:r>
      <w:r w:rsidR="00E21CC8" w:rsidRPr="006C6C80">
        <w:rPr>
          <w:rFonts w:asciiTheme="majorHAnsi" w:hAnsiTheme="majorHAnsi"/>
          <w:sz w:val="18"/>
          <w:szCs w:val="18"/>
        </w:rPr>
        <w:t xml:space="preserve"> 112-97 </w:t>
      </w:r>
      <w:r w:rsidRPr="006C6C80">
        <w:rPr>
          <w:rFonts w:asciiTheme="majorHAnsi" w:hAnsiTheme="majorHAnsi"/>
          <w:sz w:val="18"/>
          <w:szCs w:val="18"/>
        </w:rPr>
        <w:t>of the Congress of the Republic) establishes the following: “The ruling can be appealed except in those cases in which the laws governing special matters exclude t</w:t>
      </w:r>
      <w:r w:rsidR="00F06B3D">
        <w:rPr>
          <w:rFonts w:asciiTheme="majorHAnsi" w:hAnsiTheme="majorHAnsi"/>
          <w:sz w:val="18"/>
          <w:szCs w:val="18"/>
        </w:rPr>
        <w:t>his remedy or when it involves prelim</w:t>
      </w:r>
      <w:r w:rsidR="00D82B90">
        <w:rPr>
          <w:rFonts w:asciiTheme="majorHAnsi" w:hAnsiTheme="majorHAnsi"/>
          <w:sz w:val="18"/>
          <w:szCs w:val="18"/>
        </w:rPr>
        <w:t>i</w:t>
      </w:r>
      <w:r w:rsidR="00F06B3D">
        <w:rPr>
          <w:rFonts w:asciiTheme="majorHAnsi" w:hAnsiTheme="majorHAnsi"/>
          <w:sz w:val="18"/>
          <w:szCs w:val="18"/>
        </w:rPr>
        <w:t>nary proceedings</w:t>
      </w:r>
      <w:r w:rsidRPr="006C6C80">
        <w:rPr>
          <w:rFonts w:asciiTheme="majorHAnsi" w:hAnsiTheme="majorHAnsi"/>
          <w:sz w:val="18"/>
          <w:szCs w:val="18"/>
        </w:rPr>
        <w:t xml:space="preserve"> ruled </w:t>
      </w:r>
      <w:r w:rsidR="00D82B90">
        <w:rPr>
          <w:rFonts w:asciiTheme="majorHAnsi" w:hAnsiTheme="majorHAnsi"/>
          <w:sz w:val="18"/>
          <w:szCs w:val="18"/>
        </w:rPr>
        <w:t>o</w:t>
      </w:r>
      <w:r w:rsidRPr="006C6C80">
        <w:rPr>
          <w:rFonts w:asciiTheme="majorHAnsi" w:hAnsiTheme="majorHAnsi"/>
          <w:sz w:val="18"/>
          <w:szCs w:val="18"/>
        </w:rPr>
        <w:t xml:space="preserve">n by </w:t>
      </w:r>
      <w:r w:rsidR="00D82B90">
        <w:rPr>
          <w:rFonts w:asciiTheme="majorHAnsi" w:hAnsiTheme="majorHAnsi"/>
          <w:sz w:val="18"/>
          <w:szCs w:val="18"/>
        </w:rPr>
        <w:t>courts comprising several judges (</w:t>
      </w:r>
      <w:r w:rsidR="00D82B90" w:rsidRPr="00D82B90">
        <w:rPr>
          <w:rFonts w:asciiTheme="majorHAnsi" w:hAnsiTheme="majorHAnsi"/>
          <w:i/>
          <w:sz w:val="18"/>
          <w:szCs w:val="18"/>
        </w:rPr>
        <w:t xml:space="preserve">tribunal </w:t>
      </w:r>
      <w:proofErr w:type="spellStart"/>
      <w:r w:rsidR="00D82B90" w:rsidRPr="00D82B90">
        <w:rPr>
          <w:rFonts w:asciiTheme="majorHAnsi" w:hAnsiTheme="majorHAnsi"/>
          <w:i/>
          <w:sz w:val="18"/>
          <w:szCs w:val="18"/>
        </w:rPr>
        <w:t>colegiado</w:t>
      </w:r>
      <w:proofErr w:type="spellEnd"/>
      <w:r w:rsidR="00D82B90">
        <w:rPr>
          <w:rFonts w:asciiTheme="majorHAnsi" w:hAnsiTheme="majorHAnsi"/>
          <w:sz w:val="18"/>
          <w:szCs w:val="18"/>
        </w:rPr>
        <w:t xml:space="preserve">) </w:t>
      </w:r>
      <w:r w:rsidRPr="006C6C80">
        <w:rPr>
          <w:rFonts w:asciiTheme="majorHAnsi" w:hAnsiTheme="majorHAnsi"/>
          <w:sz w:val="18"/>
          <w:szCs w:val="18"/>
        </w:rPr>
        <w:t>and because, in the case being examined herein</w:t>
      </w:r>
      <w:r w:rsidR="00AF5C4D">
        <w:rPr>
          <w:rFonts w:asciiTheme="majorHAnsi" w:hAnsiTheme="majorHAnsi"/>
          <w:sz w:val="18"/>
          <w:szCs w:val="18"/>
        </w:rPr>
        <w:t>,</w:t>
      </w:r>
      <w:r w:rsidRPr="006C6C80">
        <w:rPr>
          <w:rFonts w:asciiTheme="majorHAnsi" w:hAnsiTheme="majorHAnsi"/>
          <w:sz w:val="18"/>
          <w:szCs w:val="18"/>
        </w:rPr>
        <w:t xml:space="preserve"> it has been observed that the ruling being challenged by an appeal was issued by a </w:t>
      </w:r>
      <w:r w:rsidR="00D82B90">
        <w:rPr>
          <w:rFonts w:asciiTheme="majorHAnsi" w:hAnsiTheme="majorHAnsi"/>
          <w:sz w:val="18"/>
          <w:szCs w:val="18"/>
        </w:rPr>
        <w:t>court of several judges</w:t>
      </w:r>
      <w:r w:rsidRPr="006C6C80">
        <w:rPr>
          <w:rFonts w:asciiTheme="majorHAnsi" w:hAnsiTheme="majorHAnsi"/>
          <w:sz w:val="18"/>
          <w:szCs w:val="18"/>
        </w:rPr>
        <w:t>, that is, the First Chamber of the Labor and Social Welfare Appeals Court, it is concluded that the ruling was not admissible for appeal, because of which the present Court is not able to hear the above-mentioned appeal and it must be rul</w:t>
      </w:r>
      <w:r w:rsidR="00F06B3D">
        <w:rPr>
          <w:rFonts w:asciiTheme="majorHAnsi" w:hAnsiTheme="majorHAnsi"/>
          <w:sz w:val="18"/>
          <w:szCs w:val="18"/>
        </w:rPr>
        <w:t>ed</w:t>
      </w:r>
      <w:r w:rsidRPr="006C6C80">
        <w:rPr>
          <w:rFonts w:asciiTheme="majorHAnsi" w:hAnsiTheme="majorHAnsi"/>
          <w:sz w:val="18"/>
          <w:szCs w:val="18"/>
        </w:rPr>
        <w:t xml:space="preserve"> in accordance with the law.</w:t>
      </w:r>
      <w:r w:rsidR="00E21CC8" w:rsidRPr="006C6C80">
        <w:rPr>
          <w:rFonts w:asciiTheme="majorHAnsi" w:hAnsiTheme="majorHAnsi"/>
          <w:sz w:val="18"/>
          <w:szCs w:val="18"/>
          <w:vertAlign w:val="superscript"/>
        </w:rPr>
        <w:footnoteReference w:id="31"/>
      </w:r>
    </w:p>
    <w:p w:rsidR="009620DB" w:rsidRPr="006C6C80" w:rsidRDefault="009620DB" w:rsidP="00B54921">
      <w:pPr>
        <w:pStyle w:val="ListParagraph"/>
        <w:tabs>
          <w:tab w:val="left" w:pos="720"/>
        </w:tabs>
        <w:rPr>
          <w:rFonts w:asciiTheme="majorHAnsi" w:hAnsiTheme="majorHAnsi"/>
          <w:sz w:val="20"/>
          <w:szCs w:val="20"/>
        </w:rPr>
      </w:pPr>
    </w:p>
    <w:p w:rsidR="003F677F" w:rsidRPr="006C6C80" w:rsidRDefault="007D0C5D" w:rsidP="00B54921">
      <w:pPr>
        <w:pStyle w:val="parrafos"/>
        <w:numPr>
          <w:ilvl w:val="0"/>
          <w:numId w:val="56"/>
        </w:numPr>
        <w:tabs>
          <w:tab w:val="left" w:pos="720"/>
        </w:tabs>
        <w:ind w:left="0" w:firstLine="0"/>
        <w:rPr>
          <w:lang w:val="en-US"/>
        </w:rPr>
      </w:pPr>
      <w:r w:rsidRPr="006C6C80">
        <w:rPr>
          <w:lang w:val="en-US"/>
        </w:rPr>
        <w:t xml:space="preserve">On March </w:t>
      </w:r>
      <w:r w:rsidR="008C7F1F" w:rsidRPr="006C6C80">
        <w:rPr>
          <w:lang w:val="en-US"/>
        </w:rPr>
        <w:t>20</w:t>
      </w:r>
      <w:r w:rsidRPr="006C6C80">
        <w:rPr>
          <w:lang w:val="en-US"/>
        </w:rPr>
        <w:t>,</w:t>
      </w:r>
      <w:r w:rsidR="00D2039D" w:rsidRPr="006C6C80">
        <w:rPr>
          <w:lang w:val="en-US"/>
        </w:rPr>
        <w:t xml:space="preserve"> 1999</w:t>
      </w:r>
      <w:r w:rsidRPr="006C6C80">
        <w:rPr>
          <w:lang w:val="en-US"/>
        </w:rPr>
        <w:t xml:space="preserve">, the petitioners filed a motion </w:t>
      </w:r>
      <w:r w:rsidR="005D7EBA">
        <w:rPr>
          <w:lang w:val="en-US"/>
        </w:rPr>
        <w:t xml:space="preserve">for </w:t>
      </w:r>
      <w:proofErr w:type="spellStart"/>
      <w:r w:rsidR="005D7EBA" w:rsidRPr="005D7EBA">
        <w:rPr>
          <w:i/>
          <w:lang w:val="en-US"/>
        </w:rPr>
        <w:t>amparo</w:t>
      </w:r>
      <w:proofErr w:type="spellEnd"/>
      <w:r w:rsidRPr="006C6C80">
        <w:rPr>
          <w:lang w:val="en-US"/>
        </w:rPr>
        <w:t xml:space="preserve"> with the </w:t>
      </w:r>
      <w:r w:rsidR="00C4756E">
        <w:rPr>
          <w:lang w:val="en-US"/>
        </w:rPr>
        <w:t>Constitutional Court</w:t>
      </w:r>
      <w:r w:rsidRPr="006C6C80">
        <w:rPr>
          <w:lang w:val="en-US"/>
        </w:rPr>
        <w:t xml:space="preserve">, arguing that the Law on the Judiciary is not applicable because their right to appeal is contained in Article 6 of the Law on </w:t>
      </w:r>
      <w:r w:rsidRPr="006C6C80">
        <w:rPr>
          <w:lang w:val="en-US"/>
        </w:rPr>
        <w:lastRenderedPageBreak/>
        <w:t xml:space="preserve">Unionization and </w:t>
      </w:r>
      <w:r w:rsidR="003178A7">
        <w:rPr>
          <w:lang w:val="en-US"/>
        </w:rPr>
        <w:t>Strike Regulations for State Employees</w:t>
      </w:r>
      <w:r w:rsidRPr="006C6C80">
        <w:rPr>
          <w:lang w:val="en-US"/>
        </w:rPr>
        <w:t xml:space="preserve"> and must</w:t>
      </w:r>
      <w:r w:rsidR="00F06B3D">
        <w:rPr>
          <w:lang w:val="en-US"/>
        </w:rPr>
        <w:t xml:space="preserve"> be governed by the special law</w:t>
      </w:r>
      <w:r w:rsidRPr="006C6C80">
        <w:rPr>
          <w:lang w:val="en-US"/>
        </w:rPr>
        <w:t xml:space="preserve"> for the case, which is this </w:t>
      </w:r>
      <w:r w:rsidR="00FB5EC7" w:rsidRPr="006C6C80">
        <w:rPr>
          <w:lang w:val="en-US"/>
        </w:rPr>
        <w:t>latter</w:t>
      </w:r>
      <w:r w:rsidR="00760472" w:rsidRPr="006C6C80">
        <w:rPr>
          <w:lang w:val="en-US"/>
        </w:rPr>
        <w:t xml:space="preserve">. </w:t>
      </w:r>
    </w:p>
    <w:p w:rsidR="003F677F" w:rsidRPr="006C6C80" w:rsidRDefault="003F677F" w:rsidP="00B54921">
      <w:pPr>
        <w:pStyle w:val="parrafos"/>
        <w:tabs>
          <w:tab w:val="left" w:pos="720"/>
        </w:tabs>
        <w:rPr>
          <w:lang w:val="en-US"/>
        </w:rPr>
      </w:pPr>
    </w:p>
    <w:p w:rsidR="00252603" w:rsidRPr="006C6C80" w:rsidRDefault="00FB5EC7" w:rsidP="00B54921">
      <w:pPr>
        <w:pStyle w:val="parrafos"/>
        <w:numPr>
          <w:ilvl w:val="0"/>
          <w:numId w:val="56"/>
        </w:numPr>
        <w:tabs>
          <w:tab w:val="left" w:pos="720"/>
        </w:tabs>
        <w:ind w:left="0" w:firstLine="0"/>
        <w:rPr>
          <w:lang w:val="en-US"/>
        </w:rPr>
      </w:pPr>
      <w:r w:rsidRPr="006C6C80">
        <w:rPr>
          <w:lang w:val="en-US"/>
        </w:rPr>
        <w:t>On July</w:t>
      </w:r>
      <w:r w:rsidR="00A72B90" w:rsidRPr="006C6C80">
        <w:rPr>
          <w:lang w:val="en-US"/>
        </w:rPr>
        <w:t xml:space="preserve"> </w:t>
      </w:r>
      <w:r w:rsidR="00D94164" w:rsidRPr="006C6C80">
        <w:rPr>
          <w:lang w:val="en-US"/>
        </w:rPr>
        <w:t>8</w:t>
      </w:r>
      <w:r w:rsidRPr="006C6C80">
        <w:rPr>
          <w:lang w:val="en-US"/>
        </w:rPr>
        <w:t>,</w:t>
      </w:r>
      <w:r w:rsidR="00D94164" w:rsidRPr="006C6C80">
        <w:rPr>
          <w:lang w:val="en-US"/>
        </w:rPr>
        <w:t xml:space="preserve"> 1999</w:t>
      </w:r>
      <w:r w:rsidRPr="006C6C80">
        <w:rPr>
          <w:lang w:val="en-US"/>
        </w:rPr>
        <w:t xml:space="preserve">, the </w:t>
      </w:r>
      <w:r w:rsidR="00C4756E">
        <w:rPr>
          <w:lang w:val="en-US"/>
        </w:rPr>
        <w:t>Constitutional Court</w:t>
      </w:r>
      <w:r w:rsidR="00D94164" w:rsidRPr="006C6C80">
        <w:rPr>
          <w:lang w:val="en-US"/>
        </w:rPr>
        <w:t xml:space="preserve"> </w:t>
      </w:r>
      <w:r w:rsidRPr="006C6C80">
        <w:rPr>
          <w:lang w:val="en-US"/>
        </w:rPr>
        <w:t>d</w:t>
      </w:r>
      <w:r w:rsidR="005D7EBA">
        <w:rPr>
          <w:lang w:val="en-US"/>
        </w:rPr>
        <w:t xml:space="preserve">ismissed the motion for appeal for </w:t>
      </w:r>
      <w:proofErr w:type="spellStart"/>
      <w:r w:rsidR="005D7EBA" w:rsidRPr="005D7EBA">
        <w:rPr>
          <w:i/>
          <w:lang w:val="en-US"/>
        </w:rPr>
        <w:t>amparo</w:t>
      </w:r>
      <w:proofErr w:type="spellEnd"/>
      <w:r w:rsidRPr="006C6C80">
        <w:rPr>
          <w:lang w:val="en-US"/>
        </w:rPr>
        <w:t>. Regarding this, it argued that:</w:t>
      </w:r>
    </w:p>
    <w:p w:rsidR="00252603" w:rsidRPr="006C6C80" w:rsidRDefault="00252603" w:rsidP="00B5492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Theme="majorHAnsi" w:hAnsiTheme="majorHAnsi"/>
          <w:sz w:val="20"/>
          <w:szCs w:val="20"/>
        </w:rPr>
      </w:pPr>
    </w:p>
    <w:p w:rsidR="00760472" w:rsidRPr="006C6C80" w:rsidRDefault="00760472" w:rsidP="00B5492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360" w:right="360"/>
        <w:jc w:val="both"/>
        <w:rPr>
          <w:rFonts w:asciiTheme="majorHAnsi" w:hAnsiTheme="majorHAnsi"/>
          <w:sz w:val="18"/>
          <w:szCs w:val="18"/>
        </w:rPr>
      </w:pPr>
      <w:r w:rsidRPr="006C6C80">
        <w:rPr>
          <w:rFonts w:asciiTheme="majorHAnsi" w:hAnsiTheme="majorHAnsi"/>
          <w:sz w:val="18"/>
          <w:szCs w:val="18"/>
        </w:rPr>
        <w:t xml:space="preserve">(…) </w:t>
      </w:r>
      <w:r w:rsidR="00FB5EC7" w:rsidRPr="006C6C80">
        <w:rPr>
          <w:rFonts w:asciiTheme="majorHAnsi" w:hAnsiTheme="majorHAnsi"/>
          <w:sz w:val="18"/>
          <w:szCs w:val="18"/>
        </w:rPr>
        <w:t>Of the two positions set forth in the instant case, that of the appel</w:t>
      </w:r>
      <w:r w:rsidR="00C9299B" w:rsidRPr="006C6C80">
        <w:rPr>
          <w:rFonts w:asciiTheme="majorHAnsi" w:hAnsiTheme="majorHAnsi"/>
          <w:sz w:val="18"/>
          <w:szCs w:val="18"/>
        </w:rPr>
        <w:t>l</w:t>
      </w:r>
      <w:r w:rsidR="00FB5EC7" w:rsidRPr="006C6C80">
        <w:rPr>
          <w:rFonts w:asciiTheme="majorHAnsi" w:hAnsiTheme="majorHAnsi"/>
          <w:sz w:val="18"/>
          <w:szCs w:val="18"/>
        </w:rPr>
        <w:t>ant and that of the authority being appealed</w:t>
      </w:r>
      <w:r w:rsidR="00C9299B" w:rsidRPr="006C6C80">
        <w:rPr>
          <w:rFonts w:asciiTheme="majorHAnsi" w:hAnsiTheme="majorHAnsi"/>
          <w:sz w:val="18"/>
          <w:szCs w:val="18"/>
        </w:rPr>
        <w:t>, it is that of t</w:t>
      </w:r>
      <w:r w:rsidR="00F06B3D">
        <w:rPr>
          <w:rFonts w:asciiTheme="majorHAnsi" w:hAnsiTheme="majorHAnsi"/>
          <w:sz w:val="18"/>
          <w:szCs w:val="18"/>
        </w:rPr>
        <w:t>he latter that the Court finds aligned</w:t>
      </w:r>
      <w:r w:rsidR="00C9299B" w:rsidRPr="006C6C80">
        <w:rPr>
          <w:rFonts w:asciiTheme="majorHAnsi" w:hAnsiTheme="majorHAnsi"/>
          <w:sz w:val="18"/>
          <w:szCs w:val="18"/>
        </w:rPr>
        <w:t xml:space="preserve"> with the law</w:t>
      </w:r>
      <w:r w:rsidRPr="006C6C80">
        <w:rPr>
          <w:rFonts w:asciiTheme="majorHAnsi" w:hAnsiTheme="majorHAnsi"/>
          <w:sz w:val="18"/>
          <w:szCs w:val="18"/>
        </w:rPr>
        <w:t xml:space="preserve">, </w:t>
      </w:r>
      <w:r w:rsidR="00C9299B" w:rsidRPr="006C6C80">
        <w:rPr>
          <w:rFonts w:asciiTheme="majorHAnsi" w:hAnsiTheme="majorHAnsi"/>
          <w:sz w:val="18"/>
          <w:szCs w:val="18"/>
        </w:rPr>
        <w:t>because neither Decree</w:t>
      </w:r>
      <w:r w:rsidRPr="006C6C80">
        <w:rPr>
          <w:rFonts w:asciiTheme="majorHAnsi" w:hAnsiTheme="majorHAnsi"/>
          <w:sz w:val="18"/>
          <w:szCs w:val="18"/>
        </w:rPr>
        <w:t xml:space="preserve"> 71-86 cit</w:t>
      </w:r>
      <w:r w:rsidR="00C9299B" w:rsidRPr="006C6C80">
        <w:rPr>
          <w:rFonts w:asciiTheme="majorHAnsi" w:hAnsiTheme="majorHAnsi"/>
          <w:sz w:val="18"/>
          <w:szCs w:val="18"/>
        </w:rPr>
        <w:t xml:space="preserve">ed above nor the Labor Code establish, for the </w:t>
      </w:r>
      <w:r w:rsidRPr="006C6C80">
        <w:rPr>
          <w:rFonts w:asciiTheme="majorHAnsi" w:hAnsiTheme="majorHAnsi"/>
          <w:sz w:val="18"/>
          <w:szCs w:val="18"/>
        </w:rPr>
        <w:t>a</w:t>
      </w:r>
      <w:r w:rsidR="00C9299B" w:rsidRPr="006C6C80">
        <w:rPr>
          <w:rFonts w:asciiTheme="majorHAnsi" w:hAnsiTheme="majorHAnsi"/>
          <w:sz w:val="18"/>
          <w:szCs w:val="18"/>
        </w:rPr>
        <w:t xml:space="preserve">ccessory matter of stating that a strike is unlawful, a specific procedure in the </w:t>
      </w:r>
      <w:r w:rsidR="00F06B3D">
        <w:rPr>
          <w:rFonts w:asciiTheme="majorHAnsi" w:hAnsiTheme="majorHAnsi"/>
          <w:sz w:val="18"/>
          <w:szCs w:val="18"/>
        </w:rPr>
        <w:t>central</w:t>
      </w:r>
      <w:r w:rsidR="00C9299B" w:rsidRPr="006C6C80">
        <w:rPr>
          <w:rFonts w:asciiTheme="majorHAnsi" w:hAnsiTheme="majorHAnsi"/>
          <w:sz w:val="18"/>
          <w:szCs w:val="18"/>
        </w:rPr>
        <w:t xml:space="preserve"> collective dispute, because of which it is the </w:t>
      </w:r>
      <w:r w:rsidR="00F06B3D">
        <w:rPr>
          <w:rFonts w:asciiTheme="majorHAnsi" w:hAnsiTheme="majorHAnsi"/>
          <w:sz w:val="18"/>
          <w:szCs w:val="18"/>
        </w:rPr>
        <w:t>mandatory</w:t>
      </w:r>
      <w:r w:rsidR="00C9299B" w:rsidRPr="006C6C80">
        <w:rPr>
          <w:rFonts w:asciiTheme="majorHAnsi" w:hAnsiTheme="majorHAnsi"/>
          <w:sz w:val="18"/>
          <w:szCs w:val="18"/>
        </w:rPr>
        <w:t xml:space="preserve"> part of the Law on the Judiciary </w:t>
      </w:r>
      <w:r w:rsidR="00F06B3D">
        <w:rPr>
          <w:rFonts w:asciiTheme="majorHAnsi" w:hAnsiTheme="majorHAnsi"/>
          <w:sz w:val="18"/>
          <w:szCs w:val="18"/>
        </w:rPr>
        <w:t>that</w:t>
      </w:r>
      <w:r w:rsidR="00C9299B" w:rsidRPr="006C6C80">
        <w:rPr>
          <w:rFonts w:asciiTheme="majorHAnsi" w:hAnsiTheme="majorHAnsi"/>
          <w:sz w:val="18"/>
          <w:szCs w:val="18"/>
        </w:rPr>
        <w:t xml:space="preserve"> the actions and decisions taken in this proceeding must be subject to, unless some of them </w:t>
      </w:r>
      <w:r w:rsidR="00F06B3D">
        <w:rPr>
          <w:rFonts w:asciiTheme="majorHAnsi" w:hAnsiTheme="majorHAnsi"/>
          <w:sz w:val="18"/>
          <w:szCs w:val="18"/>
        </w:rPr>
        <w:t>are</w:t>
      </w:r>
      <w:r w:rsidR="00C9299B" w:rsidRPr="006C6C80">
        <w:rPr>
          <w:rFonts w:asciiTheme="majorHAnsi" w:hAnsiTheme="majorHAnsi"/>
          <w:sz w:val="18"/>
          <w:szCs w:val="18"/>
        </w:rPr>
        <w:t xml:space="preserve"> governed by special laws</w:t>
      </w:r>
      <w:r w:rsidRPr="006C6C80">
        <w:rPr>
          <w:rFonts w:asciiTheme="majorHAnsi" w:hAnsiTheme="majorHAnsi"/>
          <w:sz w:val="18"/>
          <w:szCs w:val="18"/>
        </w:rPr>
        <w:t xml:space="preserve">. </w:t>
      </w:r>
    </w:p>
    <w:p w:rsidR="00760472" w:rsidRPr="006C6C80" w:rsidRDefault="00760472" w:rsidP="00B5492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360" w:right="360"/>
        <w:jc w:val="both"/>
        <w:rPr>
          <w:rFonts w:asciiTheme="majorHAnsi" w:hAnsiTheme="majorHAnsi"/>
          <w:sz w:val="18"/>
          <w:szCs w:val="18"/>
        </w:rPr>
      </w:pPr>
    </w:p>
    <w:p w:rsidR="001E3C2D" w:rsidRPr="006C6C80" w:rsidRDefault="00C9299B" w:rsidP="00B5492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360" w:right="360"/>
        <w:jc w:val="both"/>
        <w:rPr>
          <w:rFonts w:asciiTheme="majorHAnsi" w:hAnsiTheme="majorHAnsi"/>
          <w:sz w:val="18"/>
          <w:szCs w:val="18"/>
        </w:rPr>
      </w:pPr>
      <w:r w:rsidRPr="006C6C80">
        <w:rPr>
          <w:rFonts w:asciiTheme="majorHAnsi" w:hAnsiTheme="majorHAnsi"/>
          <w:sz w:val="18"/>
          <w:szCs w:val="18"/>
        </w:rPr>
        <w:t>In the role challenging the decision involved in the background to the present action, which a</w:t>
      </w:r>
      <w:r w:rsidR="008D433C">
        <w:rPr>
          <w:rFonts w:asciiTheme="majorHAnsi" w:hAnsiTheme="majorHAnsi"/>
          <w:sz w:val="18"/>
          <w:szCs w:val="18"/>
        </w:rPr>
        <w:t>ccepted</w:t>
      </w:r>
      <w:r w:rsidRPr="006C6C80">
        <w:rPr>
          <w:rFonts w:asciiTheme="majorHAnsi" w:hAnsiTheme="majorHAnsi"/>
          <w:sz w:val="18"/>
          <w:szCs w:val="18"/>
        </w:rPr>
        <w:t xml:space="preserve"> the proceeding of the strike’s unlawfulness, attention must be paid to what is set forth in the last paragraph of Article 140 quoted above, which e</w:t>
      </w:r>
      <w:r w:rsidR="00D82B90">
        <w:rPr>
          <w:rFonts w:asciiTheme="majorHAnsi" w:hAnsiTheme="majorHAnsi"/>
          <w:sz w:val="18"/>
          <w:szCs w:val="18"/>
        </w:rPr>
        <w:t>xpressly admits no appeal</w:t>
      </w:r>
      <w:r w:rsidRPr="006C6C80">
        <w:rPr>
          <w:rFonts w:asciiTheme="majorHAnsi" w:hAnsiTheme="majorHAnsi"/>
          <w:sz w:val="18"/>
          <w:szCs w:val="18"/>
        </w:rPr>
        <w:t xml:space="preserve"> against final ruling</w:t>
      </w:r>
      <w:r w:rsidR="008D433C">
        <w:rPr>
          <w:rFonts w:asciiTheme="majorHAnsi" w:hAnsiTheme="majorHAnsi"/>
          <w:sz w:val="18"/>
          <w:szCs w:val="18"/>
        </w:rPr>
        <w:t>s</w:t>
      </w:r>
      <w:r w:rsidRPr="006C6C80">
        <w:rPr>
          <w:rFonts w:asciiTheme="majorHAnsi" w:hAnsiTheme="majorHAnsi"/>
          <w:sz w:val="18"/>
          <w:szCs w:val="18"/>
        </w:rPr>
        <w:t xml:space="preserve"> </w:t>
      </w:r>
      <w:r w:rsidR="00D82B90">
        <w:rPr>
          <w:rFonts w:asciiTheme="majorHAnsi" w:hAnsiTheme="majorHAnsi"/>
          <w:sz w:val="18"/>
          <w:szCs w:val="18"/>
        </w:rPr>
        <w:t>handed down by courts comprising several judges (</w:t>
      </w:r>
      <w:proofErr w:type="spellStart"/>
      <w:r w:rsidR="00D82B90" w:rsidRPr="00D82B90">
        <w:rPr>
          <w:rFonts w:asciiTheme="majorHAnsi" w:hAnsiTheme="majorHAnsi"/>
          <w:i/>
          <w:sz w:val="18"/>
          <w:szCs w:val="18"/>
        </w:rPr>
        <w:t>tribunal</w:t>
      </w:r>
      <w:r w:rsidR="00D82B90">
        <w:rPr>
          <w:rFonts w:asciiTheme="majorHAnsi" w:hAnsiTheme="majorHAnsi"/>
          <w:i/>
          <w:sz w:val="18"/>
          <w:szCs w:val="18"/>
        </w:rPr>
        <w:t>es</w:t>
      </w:r>
      <w:proofErr w:type="spellEnd"/>
      <w:r w:rsidR="00D82B90" w:rsidRPr="00D82B90">
        <w:rPr>
          <w:rFonts w:asciiTheme="majorHAnsi" w:hAnsiTheme="majorHAnsi"/>
          <w:i/>
          <w:sz w:val="18"/>
          <w:szCs w:val="18"/>
        </w:rPr>
        <w:t xml:space="preserve"> </w:t>
      </w:r>
      <w:proofErr w:type="spellStart"/>
      <w:r w:rsidR="00D82B90" w:rsidRPr="00D82B90">
        <w:rPr>
          <w:rFonts w:asciiTheme="majorHAnsi" w:hAnsiTheme="majorHAnsi"/>
          <w:i/>
          <w:sz w:val="18"/>
          <w:szCs w:val="18"/>
        </w:rPr>
        <w:t>colegiado</w:t>
      </w:r>
      <w:r w:rsidR="00D82B90">
        <w:rPr>
          <w:rFonts w:asciiTheme="majorHAnsi" w:hAnsiTheme="majorHAnsi"/>
          <w:i/>
          <w:sz w:val="18"/>
          <w:szCs w:val="18"/>
        </w:rPr>
        <w:t>s</w:t>
      </w:r>
      <w:proofErr w:type="spellEnd"/>
      <w:r w:rsidR="00D82B90">
        <w:rPr>
          <w:rFonts w:asciiTheme="majorHAnsi" w:hAnsiTheme="majorHAnsi"/>
          <w:sz w:val="18"/>
          <w:szCs w:val="18"/>
        </w:rPr>
        <w:t xml:space="preserve">) </w:t>
      </w:r>
      <w:r w:rsidR="008D433C">
        <w:rPr>
          <w:rFonts w:asciiTheme="majorHAnsi" w:hAnsiTheme="majorHAnsi"/>
          <w:sz w:val="18"/>
          <w:szCs w:val="18"/>
        </w:rPr>
        <w:t>by means of that proceeding</w:t>
      </w:r>
      <w:r w:rsidR="001E3C2D" w:rsidRPr="006C6C80">
        <w:rPr>
          <w:rFonts w:asciiTheme="majorHAnsi" w:hAnsiTheme="majorHAnsi"/>
          <w:sz w:val="18"/>
          <w:szCs w:val="18"/>
        </w:rPr>
        <w:t xml:space="preserve"> (…)</w:t>
      </w:r>
      <w:r w:rsidR="00DC3969" w:rsidRPr="006C6C80">
        <w:rPr>
          <w:rFonts w:asciiTheme="majorHAnsi" w:hAnsiTheme="majorHAnsi"/>
          <w:sz w:val="18"/>
          <w:szCs w:val="18"/>
        </w:rPr>
        <w:t>.</w:t>
      </w:r>
      <w:r w:rsidR="001E3C2D" w:rsidRPr="006C6C80">
        <w:rPr>
          <w:rStyle w:val="FootnoteReference"/>
          <w:rFonts w:asciiTheme="majorHAnsi" w:hAnsiTheme="majorHAnsi"/>
          <w:sz w:val="18"/>
          <w:szCs w:val="18"/>
        </w:rPr>
        <w:footnoteReference w:id="32"/>
      </w:r>
    </w:p>
    <w:p w:rsidR="00252603" w:rsidRPr="006C6C80" w:rsidRDefault="00252603" w:rsidP="00B5492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pPr>
    </w:p>
    <w:p w:rsidR="006C0C0E" w:rsidRPr="006C6C80" w:rsidRDefault="00DC3969" w:rsidP="006C0C0E">
      <w:pPr>
        <w:pStyle w:val="Heading3"/>
        <w:numPr>
          <w:ilvl w:val="0"/>
          <w:numId w:val="60"/>
        </w:numPr>
        <w:tabs>
          <w:tab w:val="left" w:pos="720"/>
        </w:tabs>
        <w:ind w:left="360"/>
        <w:rPr>
          <w:lang w:val="en-US"/>
        </w:rPr>
      </w:pPr>
      <w:bookmarkStart w:id="18" w:name="_Toc18936469"/>
      <w:r w:rsidRPr="006C6C80">
        <w:rPr>
          <w:lang w:val="en-US"/>
        </w:rPr>
        <w:t>Dismissals by the Supreme Court of Justice and subsequent motions of appeal</w:t>
      </w:r>
      <w:bookmarkEnd w:id="18"/>
    </w:p>
    <w:p w:rsidR="006C0C0E" w:rsidRPr="006C6C80" w:rsidRDefault="006C0C0E" w:rsidP="00B5492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pPr>
    </w:p>
    <w:p w:rsidR="00442D18" w:rsidRPr="006C6C80" w:rsidRDefault="00DC3969" w:rsidP="00B54921">
      <w:pPr>
        <w:pStyle w:val="parrafos"/>
        <w:numPr>
          <w:ilvl w:val="0"/>
          <w:numId w:val="56"/>
        </w:numPr>
        <w:tabs>
          <w:tab w:val="left" w:pos="720"/>
        </w:tabs>
        <w:ind w:left="0" w:firstLine="0"/>
        <w:rPr>
          <w:lang w:val="en-US"/>
        </w:rPr>
      </w:pPr>
      <w:r w:rsidRPr="006C6C80">
        <w:rPr>
          <w:lang w:val="en-US"/>
        </w:rPr>
        <w:t>On September</w:t>
      </w:r>
      <w:r w:rsidR="00436C85" w:rsidRPr="006C6C80">
        <w:rPr>
          <w:lang w:val="en-US"/>
        </w:rPr>
        <w:t xml:space="preserve"> 1</w:t>
      </w:r>
      <w:r w:rsidRPr="006C6C80">
        <w:rPr>
          <w:lang w:val="en-US"/>
        </w:rPr>
        <w:t>,</w:t>
      </w:r>
      <w:r w:rsidR="00436C85" w:rsidRPr="006C6C80">
        <w:rPr>
          <w:lang w:val="en-US"/>
        </w:rPr>
        <w:t xml:space="preserve"> 1999</w:t>
      </w:r>
      <w:r w:rsidRPr="006C6C80">
        <w:rPr>
          <w:lang w:val="en-US"/>
        </w:rPr>
        <w:t>, the Supreme Court of Justice proceeded to dismiss the 404 employe</w:t>
      </w:r>
      <w:r w:rsidR="00DD132D" w:rsidRPr="006C6C80">
        <w:rPr>
          <w:lang w:val="en-US"/>
        </w:rPr>
        <w:t>e</w:t>
      </w:r>
      <w:r w:rsidRPr="006C6C80">
        <w:rPr>
          <w:lang w:val="en-US"/>
        </w:rPr>
        <w:t>s who had participated in the strike.</w:t>
      </w:r>
      <w:r w:rsidR="00436C85" w:rsidRPr="006C6C80">
        <w:rPr>
          <w:rStyle w:val="FootnoteReference"/>
          <w:lang w:val="en-US"/>
        </w:rPr>
        <w:footnoteReference w:id="33"/>
      </w:r>
      <w:r w:rsidRPr="006C6C80">
        <w:rPr>
          <w:lang w:val="en-US"/>
        </w:rPr>
        <w:t xml:space="preserve"> The Court indicated that, in order to take this decisi</w:t>
      </w:r>
      <w:r w:rsidR="00DD132D" w:rsidRPr="006C6C80">
        <w:rPr>
          <w:lang w:val="en-US"/>
        </w:rPr>
        <w:t>o</w:t>
      </w:r>
      <w:r w:rsidRPr="006C6C80">
        <w:rPr>
          <w:lang w:val="en-US"/>
        </w:rPr>
        <w:t>n, it took into account the following aspects</w:t>
      </w:r>
      <w:r w:rsidR="00C51B67" w:rsidRPr="006C6C80">
        <w:rPr>
          <w:lang w:val="en-US"/>
        </w:rPr>
        <w:t>:</w:t>
      </w:r>
    </w:p>
    <w:p w:rsidR="00C51B67" w:rsidRPr="006C6C80" w:rsidRDefault="00C51B67" w:rsidP="00B5492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Theme="majorHAnsi" w:hAnsiTheme="majorHAnsi"/>
          <w:sz w:val="20"/>
          <w:szCs w:val="20"/>
        </w:rPr>
      </w:pPr>
    </w:p>
    <w:p w:rsidR="00C51B67" w:rsidRPr="006C6C80" w:rsidRDefault="00DD132D" w:rsidP="008D4F9F">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360"/>
        </w:tabs>
        <w:ind w:left="360" w:right="360" w:firstLine="0"/>
        <w:jc w:val="both"/>
        <w:rPr>
          <w:rFonts w:asciiTheme="majorHAnsi" w:hAnsiTheme="majorHAnsi"/>
          <w:sz w:val="18"/>
          <w:szCs w:val="18"/>
        </w:rPr>
      </w:pPr>
      <w:r w:rsidRPr="006C6C80">
        <w:rPr>
          <w:rFonts w:asciiTheme="majorHAnsi" w:hAnsiTheme="majorHAnsi"/>
          <w:sz w:val="18"/>
          <w:szCs w:val="18"/>
        </w:rPr>
        <w:t>The attitude adopted by the employees who went on strike prevented the population from exercising the right and access to justice as guaranteed by the Political Constitution of the Republic of Guatemala, because it involved bringing the public services of the administration of justice to a standstill for twenty days</w:t>
      </w:r>
      <w:r w:rsidR="00C51B67" w:rsidRPr="006C6C80">
        <w:rPr>
          <w:rFonts w:asciiTheme="majorHAnsi" w:hAnsiTheme="majorHAnsi"/>
          <w:sz w:val="18"/>
          <w:szCs w:val="18"/>
        </w:rPr>
        <w:t xml:space="preserve"> (…)</w:t>
      </w:r>
    </w:p>
    <w:p w:rsidR="00C51B67" w:rsidRPr="006C6C80" w:rsidRDefault="00DD132D" w:rsidP="008D4F9F">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360"/>
        </w:tabs>
        <w:ind w:left="360" w:right="360" w:firstLine="0"/>
        <w:jc w:val="both"/>
        <w:rPr>
          <w:rFonts w:asciiTheme="majorHAnsi" w:hAnsiTheme="majorHAnsi"/>
          <w:sz w:val="18"/>
          <w:szCs w:val="18"/>
        </w:rPr>
      </w:pPr>
      <w:r w:rsidRPr="006C6C80">
        <w:rPr>
          <w:rFonts w:asciiTheme="majorHAnsi" w:hAnsiTheme="majorHAnsi"/>
          <w:sz w:val="18"/>
          <w:szCs w:val="18"/>
        </w:rPr>
        <w:t>The harm to justice because of the above-mentioned unlawful strike was a blow to the rule of law</w:t>
      </w:r>
      <w:r w:rsidR="00C51B67" w:rsidRPr="006C6C80">
        <w:rPr>
          <w:rFonts w:asciiTheme="majorHAnsi" w:hAnsiTheme="majorHAnsi"/>
          <w:sz w:val="18"/>
          <w:szCs w:val="18"/>
        </w:rPr>
        <w:t>.</w:t>
      </w:r>
    </w:p>
    <w:p w:rsidR="00C51B67" w:rsidRPr="006C6C80" w:rsidRDefault="00DD132D" w:rsidP="008D4F9F">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360"/>
        </w:tabs>
        <w:ind w:left="360" w:right="360" w:firstLine="0"/>
        <w:jc w:val="both"/>
        <w:rPr>
          <w:rFonts w:asciiTheme="majorHAnsi" w:hAnsiTheme="majorHAnsi"/>
          <w:sz w:val="18"/>
          <w:szCs w:val="18"/>
        </w:rPr>
      </w:pPr>
      <w:r w:rsidRPr="006C6C80">
        <w:rPr>
          <w:rFonts w:asciiTheme="majorHAnsi" w:hAnsiTheme="majorHAnsi"/>
          <w:sz w:val="18"/>
          <w:szCs w:val="18"/>
        </w:rPr>
        <w:t xml:space="preserve">The employees who participated in the unlawful strike put particular interests above public ones, and the main party </w:t>
      </w:r>
      <w:r w:rsidR="008D433C">
        <w:rPr>
          <w:rFonts w:asciiTheme="majorHAnsi" w:hAnsiTheme="majorHAnsi"/>
          <w:sz w:val="18"/>
          <w:szCs w:val="18"/>
        </w:rPr>
        <w:t>impacted</w:t>
      </w:r>
      <w:r w:rsidRPr="006C6C80">
        <w:rPr>
          <w:rFonts w:asciiTheme="majorHAnsi" w:hAnsiTheme="majorHAnsi"/>
          <w:sz w:val="18"/>
          <w:szCs w:val="18"/>
        </w:rPr>
        <w:t xml:space="preserve"> was the people of Guatemala</w:t>
      </w:r>
      <w:r w:rsidR="00C51B67" w:rsidRPr="006C6C80">
        <w:rPr>
          <w:rFonts w:asciiTheme="majorHAnsi" w:hAnsiTheme="majorHAnsi"/>
          <w:sz w:val="18"/>
          <w:szCs w:val="18"/>
        </w:rPr>
        <w:t xml:space="preserve"> (…)</w:t>
      </w:r>
    </w:p>
    <w:p w:rsidR="00252603" w:rsidRPr="006C6C80" w:rsidRDefault="00C51B67" w:rsidP="008D4F9F">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360"/>
        </w:tabs>
        <w:ind w:left="360" w:right="360" w:firstLine="0"/>
        <w:jc w:val="both"/>
        <w:rPr>
          <w:rFonts w:asciiTheme="majorHAnsi" w:hAnsiTheme="majorHAnsi"/>
          <w:sz w:val="18"/>
          <w:szCs w:val="18"/>
        </w:rPr>
      </w:pPr>
      <w:r w:rsidRPr="006C6C80">
        <w:rPr>
          <w:rFonts w:asciiTheme="majorHAnsi" w:hAnsiTheme="majorHAnsi"/>
          <w:sz w:val="18"/>
          <w:szCs w:val="18"/>
        </w:rPr>
        <w:t>(…)</w:t>
      </w:r>
      <w:r w:rsidR="00DD132D" w:rsidRPr="006C6C80">
        <w:rPr>
          <w:rFonts w:asciiTheme="majorHAnsi" w:hAnsiTheme="majorHAnsi"/>
          <w:sz w:val="18"/>
          <w:szCs w:val="18"/>
        </w:rPr>
        <w:t xml:space="preserve"> the measures, also </w:t>
      </w:r>
      <w:r w:rsidR="00DD132D" w:rsidRPr="008D433C">
        <w:rPr>
          <w:rFonts w:asciiTheme="majorHAnsi" w:hAnsiTheme="majorHAnsi"/>
          <w:i/>
          <w:sz w:val="18"/>
          <w:szCs w:val="18"/>
        </w:rPr>
        <w:t>de facto,</w:t>
      </w:r>
      <w:r w:rsidR="00DD132D" w:rsidRPr="006C6C80">
        <w:rPr>
          <w:rFonts w:asciiTheme="majorHAnsi" w:hAnsiTheme="majorHAnsi"/>
          <w:sz w:val="18"/>
          <w:szCs w:val="18"/>
        </w:rPr>
        <w:t xml:space="preserve"> that accompanied the strike and which would have merited special punishment on their own, such as</w:t>
      </w:r>
      <w:r w:rsidRPr="006C6C80">
        <w:rPr>
          <w:rFonts w:asciiTheme="majorHAnsi" w:hAnsiTheme="majorHAnsi"/>
          <w:sz w:val="18"/>
          <w:szCs w:val="18"/>
        </w:rPr>
        <w:t xml:space="preserve">: </w:t>
      </w:r>
      <w:proofErr w:type="spellStart"/>
      <w:r w:rsidRPr="006C6C80">
        <w:rPr>
          <w:rFonts w:asciiTheme="majorHAnsi" w:hAnsiTheme="majorHAnsi"/>
          <w:sz w:val="18"/>
          <w:szCs w:val="18"/>
        </w:rPr>
        <w:t>i</w:t>
      </w:r>
      <w:proofErr w:type="spellEnd"/>
      <w:r w:rsidR="00DD132D" w:rsidRPr="006C6C80">
        <w:rPr>
          <w:rFonts w:asciiTheme="majorHAnsi" w:hAnsiTheme="majorHAnsi"/>
          <w:sz w:val="18"/>
          <w:szCs w:val="18"/>
        </w:rPr>
        <w:t>)</w:t>
      </w:r>
      <w:r w:rsidRPr="006C6C80">
        <w:rPr>
          <w:rFonts w:asciiTheme="majorHAnsi" w:hAnsiTheme="majorHAnsi"/>
          <w:sz w:val="18"/>
          <w:szCs w:val="18"/>
        </w:rPr>
        <w:t xml:space="preserve"> </w:t>
      </w:r>
      <w:r w:rsidR="00DD132D" w:rsidRPr="006C6C80">
        <w:rPr>
          <w:rFonts w:asciiTheme="majorHAnsi" w:hAnsiTheme="majorHAnsi"/>
          <w:sz w:val="18"/>
          <w:szCs w:val="18"/>
        </w:rPr>
        <w:t xml:space="preserve">Taking </w:t>
      </w:r>
      <w:r w:rsidR="008C229F" w:rsidRPr="006C6C80">
        <w:rPr>
          <w:rFonts w:asciiTheme="majorHAnsi" w:hAnsiTheme="majorHAnsi"/>
          <w:sz w:val="18"/>
          <w:szCs w:val="18"/>
        </w:rPr>
        <w:t>court</w:t>
      </w:r>
      <w:r w:rsidR="00DD132D" w:rsidRPr="006C6C80">
        <w:rPr>
          <w:rFonts w:asciiTheme="majorHAnsi" w:hAnsiTheme="majorHAnsi"/>
          <w:sz w:val="18"/>
          <w:szCs w:val="18"/>
        </w:rPr>
        <w:t xml:space="preserve"> proceeding</w:t>
      </w:r>
      <w:r w:rsidR="008C229F" w:rsidRPr="006C6C80">
        <w:rPr>
          <w:rFonts w:asciiTheme="majorHAnsi" w:hAnsiTheme="majorHAnsi"/>
          <w:sz w:val="18"/>
          <w:szCs w:val="18"/>
        </w:rPr>
        <w:t xml:space="preserve"> documents</w:t>
      </w:r>
      <w:r w:rsidR="00DD132D" w:rsidRPr="006C6C80">
        <w:rPr>
          <w:rFonts w:asciiTheme="majorHAnsi" w:hAnsiTheme="majorHAnsi"/>
          <w:sz w:val="18"/>
          <w:szCs w:val="18"/>
        </w:rPr>
        <w:t xml:space="preserve"> and </w:t>
      </w:r>
      <w:r w:rsidR="008C229F" w:rsidRPr="006C6C80">
        <w:rPr>
          <w:rFonts w:asciiTheme="majorHAnsi" w:hAnsiTheme="majorHAnsi"/>
          <w:sz w:val="18"/>
          <w:szCs w:val="18"/>
        </w:rPr>
        <w:t>using</w:t>
      </w:r>
      <w:r w:rsidR="00DD132D" w:rsidRPr="006C6C80">
        <w:rPr>
          <w:rFonts w:asciiTheme="majorHAnsi" w:hAnsiTheme="majorHAnsi"/>
          <w:sz w:val="18"/>
          <w:szCs w:val="18"/>
        </w:rPr>
        <w:t xml:space="preserve"> them as barricades to prevent access to judges, magistrates, and users, as</w:t>
      </w:r>
      <w:r w:rsidR="008D433C">
        <w:rPr>
          <w:rFonts w:asciiTheme="majorHAnsi" w:hAnsiTheme="majorHAnsi"/>
          <w:sz w:val="18"/>
          <w:szCs w:val="18"/>
        </w:rPr>
        <w:t xml:space="preserve"> well as placing the proceeding documents</w:t>
      </w:r>
      <w:r w:rsidR="00DD132D" w:rsidRPr="006C6C80">
        <w:rPr>
          <w:rFonts w:asciiTheme="majorHAnsi" w:hAnsiTheme="majorHAnsi"/>
          <w:sz w:val="18"/>
          <w:szCs w:val="18"/>
        </w:rPr>
        <w:t xml:space="preserve"> in the elevators of the Building of the Courts. i</w:t>
      </w:r>
      <w:r w:rsidR="00896927" w:rsidRPr="006C6C80">
        <w:rPr>
          <w:rFonts w:asciiTheme="majorHAnsi" w:hAnsiTheme="majorHAnsi"/>
          <w:sz w:val="18"/>
          <w:szCs w:val="18"/>
        </w:rPr>
        <w:t>i</w:t>
      </w:r>
      <w:r w:rsidR="00DD132D" w:rsidRPr="006C6C80">
        <w:rPr>
          <w:rFonts w:asciiTheme="majorHAnsi" w:hAnsiTheme="majorHAnsi"/>
          <w:sz w:val="18"/>
          <w:szCs w:val="18"/>
        </w:rPr>
        <w:t>)</w:t>
      </w:r>
      <w:r w:rsidR="00896927" w:rsidRPr="006C6C80">
        <w:rPr>
          <w:rFonts w:asciiTheme="majorHAnsi" w:hAnsiTheme="majorHAnsi"/>
          <w:sz w:val="18"/>
          <w:szCs w:val="18"/>
        </w:rPr>
        <w:t xml:space="preserve"> </w:t>
      </w:r>
      <w:r w:rsidR="008C229F" w:rsidRPr="006C6C80">
        <w:rPr>
          <w:rFonts w:asciiTheme="majorHAnsi" w:hAnsiTheme="majorHAnsi"/>
          <w:sz w:val="18"/>
          <w:szCs w:val="18"/>
        </w:rPr>
        <w:t>Attempting</w:t>
      </w:r>
      <w:r w:rsidR="00DD132D" w:rsidRPr="006C6C80">
        <w:rPr>
          <w:rFonts w:asciiTheme="majorHAnsi" w:hAnsiTheme="majorHAnsi"/>
          <w:sz w:val="18"/>
          <w:szCs w:val="18"/>
        </w:rPr>
        <w:t xml:space="preserve"> to open the door o</w:t>
      </w:r>
      <w:r w:rsidR="008D433C">
        <w:rPr>
          <w:rFonts w:asciiTheme="majorHAnsi" w:hAnsiTheme="majorHAnsi"/>
          <w:sz w:val="18"/>
          <w:szCs w:val="18"/>
        </w:rPr>
        <w:t>f the Plenary Chamber where this</w:t>
      </w:r>
      <w:r w:rsidR="00DD132D" w:rsidRPr="006C6C80">
        <w:rPr>
          <w:rFonts w:asciiTheme="majorHAnsi" w:hAnsiTheme="majorHAnsi"/>
          <w:sz w:val="18"/>
          <w:szCs w:val="18"/>
        </w:rPr>
        <w:t xml:space="preserve"> Supreme Court of Justice was holding its session. iii)</w:t>
      </w:r>
      <w:r w:rsidR="00896927" w:rsidRPr="006C6C80">
        <w:rPr>
          <w:rFonts w:asciiTheme="majorHAnsi" w:hAnsiTheme="majorHAnsi"/>
          <w:sz w:val="18"/>
          <w:szCs w:val="18"/>
        </w:rPr>
        <w:t xml:space="preserve"> </w:t>
      </w:r>
      <w:r w:rsidR="00DD132D" w:rsidRPr="006C6C80">
        <w:rPr>
          <w:rFonts w:asciiTheme="majorHAnsi" w:hAnsiTheme="majorHAnsi"/>
          <w:sz w:val="18"/>
          <w:szCs w:val="18"/>
        </w:rPr>
        <w:t>Knocking on the above-mentioned door.</w:t>
      </w:r>
      <w:r w:rsidR="008C229F" w:rsidRPr="006C6C80">
        <w:rPr>
          <w:rFonts w:asciiTheme="majorHAnsi" w:hAnsiTheme="majorHAnsi"/>
          <w:sz w:val="18"/>
          <w:szCs w:val="18"/>
        </w:rPr>
        <w:t xml:space="preserve"> </w:t>
      </w:r>
      <w:proofErr w:type="gramStart"/>
      <w:r w:rsidR="00DD132D" w:rsidRPr="006C6C80">
        <w:rPr>
          <w:rFonts w:asciiTheme="majorHAnsi" w:hAnsiTheme="majorHAnsi"/>
          <w:sz w:val="18"/>
          <w:szCs w:val="18"/>
        </w:rPr>
        <w:t>i</w:t>
      </w:r>
      <w:r w:rsidR="00896927" w:rsidRPr="006C6C80">
        <w:rPr>
          <w:rFonts w:asciiTheme="majorHAnsi" w:hAnsiTheme="majorHAnsi"/>
          <w:sz w:val="18"/>
          <w:szCs w:val="18"/>
        </w:rPr>
        <w:t>v</w:t>
      </w:r>
      <w:r w:rsidR="00DD132D" w:rsidRPr="006C6C80">
        <w:rPr>
          <w:rFonts w:asciiTheme="majorHAnsi" w:hAnsiTheme="majorHAnsi"/>
          <w:sz w:val="18"/>
          <w:szCs w:val="18"/>
        </w:rPr>
        <w:t>)</w:t>
      </w:r>
      <w:r w:rsidR="008C229F" w:rsidRPr="006C6C80">
        <w:rPr>
          <w:rFonts w:asciiTheme="majorHAnsi" w:hAnsiTheme="majorHAnsi"/>
          <w:sz w:val="18"/>
          <w:szCs w:val="18"/>
        </w:rPr>
        <w:t xml:space="preserve"> Disrupting</w:t>
      </w:r>
      <w:proofErr w:type="gramEnd"/>
      <w:r w:rsidR="008C229F" w:rsidRPr="006C6C80">
        <w:rPr>
          <w:rFonts w:asciiTheme="majorHAnsi" w:hAnsiTheme="majorHAnsi"/>
          <w:sz w:val="18"/>
          <w:szCs w:val="18"/>
        </w:rPr>
        <w:t xml:space="preserve"> </w:t>
      </w:r>
      <w:r w:rsidR="008D433C">
        <w:rPr>
          <w:rFonts w:asciiTheme="majorHAnsi" w:hAnsiTheme="majorHAnsi"/>
          <w:sz w:val="18"/>
          <w:szCs w:val="18"/>
        </w:rPr>
        <w:t>this Court’s</w:t>
      </w:r>
      <w:r w:rsidR="008C229F" w:rsidRPr="006C6C80">
        <w:rPr>
          <w:rFonts w:asciiTheme="majorHAnsi" w:hAnsiTheme="majorHAnsi"/>
          <w:sz w:val="18"/>
          <w:szCs w:val="18"/>
        </w:rPr>
        <w:t xml:space="preserve"> sessions, using loudspeakers and insulting authorities</w:t>
      </w:r>
      <w:r w:rsidR="00896927" w:rsidRPr="006C6C80">
        <w:rPr>
          <w:rFonts w:asciiTheme="majorHAnsi" w:hAnsiTheme="majorHAnsi"/>
          <w:sz w:val="18"/>
          <w:szCs w:val="18"/>
        </w:rPr>
        <w:t xml:space="preserve">. </w:t>
      </w:r>
      <w:r w:rsidR="008C229F" w:rsidRPr="006C6C80">
        <w:rPr>
          <w:rFonts w:asciiTheme="majorHAnsi" w:hAnsiTheme="majorHAnsi"/>
          <w:sz w:val="18"/>
          <w:szCs w:val="18"/>
        </w:rPr>
        <w:t>v)</w:t>
      </w:r>
      <w:r w:rsidR="00896927" w:rsidRPr="006C6C80">
        <w:rPr>
          <w:rFonts w:asciiTheme="majorHAnsi" w:hAnsiTheme="majorHAnsi"/>
          <w:sz w:val="18"/>
          <w:szCs w:val="18"/>
        </w:rPr>
        <w:t xml:space="preserve"> </w:t>
      </w:r>
      <w:r w:rsidR="008C229F" w:rsidRPr="006C6C80">
        <w:rPr>
          <w:rFonts w:asciiTheme="majorHAnsi" w:hAnsiTheme="majorHAnsi"/>
          <w:sz w:val="18"/>
          <w:szCs w:val="18"/>
        </w:rPr>
        <w:t>Resorting to threats against employees who wished to continue prov</w:t>
      </w:r>
      <w:r w:rsidR="008D433C">
        <w:rPr>
          <w:rFonts w:asciiTheme="majorHAnsi" w:hAnsiTheme="majorHAnsi"/>
          <w:sz w:val="18"/>
          <w:szCs w:val="18"/>
        </w:rPr>
        <w:t>id</w:t>
      </w:r>
      <w:r w:rsidR="008C229F" w:rsidRPr="006C6C80">
        <w:rPr>
          <w:rFonts w:asciiTheme="majorHAnsi" w:hAnsiTheme="majorHAnsi"/>
          <w:sz w:val="18"/>
          <w:szCs w:val="18"/>
        </w:rPr>
        <w:t>ing their services.</w:t>
      </w:r>
      <w:r w:rsidR="006C0C0E" w:rsidRPr="006C6C80">
        <w:rPr>
          <w:rStyle w:val="FootnoteReference"/>
          <w:sz w:val="18"/>
          <w:szCs w:val="18"/>
        </w:rPr>
        <w:footnoteReference w:id="34"/>
      </w:r>
    </w:p>
    <w:p w:rsidR="000859A2" w:rsidRPr="006C6C80" w:rsidRDefault="000859A2" w:rsidP="008C229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Theme="majorHAnsi" w:hAnsiTheme="majorHAnsi"/>
          <w:sz w:val="20"/>
          <w:szCs w:val="20"/>
        </w:rPr>
      </w:pPr>
    </w:p>
    <w:p w:rsidR="00511849" w:rsidRPr="006C6C80" w:rsidRDefault="008C229F" w:rsidP="00511849">
      <w:pPr>
        <w:pStyle w:val="parrafos"/>
        <w:numPr>
          <w:ilvl w:val="0"/>
          <w:numId w:val="56"/>
        </w:numPr>
        <w:tabs>
          <w:tab w:val="left" w:pos="720"/>
        </w:tabs>
        <w:ind w:left="0" w:firstLine="0"/>
        <w:rPr>
          <w:lang w:val="en-US"/>
        </w:rPr>
      </w:pPr>
      <w:r w:rsidRPr="006C6C80">
        <w:rPr>
          <w:lang w:val="en-US"/>
        </w:rPr>
        <w:t xml:space="preserve">Subsequently, </w:t>
      </w:r>
      <w:r w:rsidR="00511849" w:rsidRPr="006C6C80">
        <w:rPr>
          <w:lang w:val="en-US"/>
        </w:rPr>
        <w:t xml:space="preserve">72 </w:t>
      </w:r>
      <w:r w:rsidR="003178A7">
        <w:rPr>
          <w:lang w:val="en-US"/>
        </w:rPr>
        <w:t>members of the U</w:t>
      </w:r>
      <w:r w:rsidR="00E21F02" w:rsidRPr="006C6C80">
        <w:rPr>
          <w:lang w:val="en-US"/>
        </w:rPr>
        <w:t xml:space="preserve">nion filed motions for reconsideration as it was understood that the lists were not adequately </w:t>
      </w:r>
      <w:r w:rsidR="00AB4458">
        <w:rPr>
          <w:lang w:val="en-US"/>
        </w:rPr>
        <w:t>worked through</w:t>
      </w:r>
      <w:r w:rsidR="00511849" w:rsidRPr="006C6C80">
        <w:rPr>
          <w:lang w:val="en-US"/>
        </w:rPr>
        <w:t xml:space="preserve">. </w:t>
      </w:r>
      <w:r w:rsidR="00E21F02" w:rsidRPr="006C6C80">
        <w:rPr>
          <w:lang w:val="en-US"/>
        </w:rPr>
        <w:t>In particular, the petitioners reported that 20 employees submitted evidence proving that they worked during the time of the strike</w:t>
      </w:r>
      <w:r w:rsidR="00511849" w:rsidRPr="006C6C80">
        <w:rPr>
          <w:lang w:val="en-US"/>
        </w:rPr>
        <w:t xml:space="preserve">. </w:t>
      </w:r>
      <w:r w:rsidR="00E21F02" w:rsidRPr="006C6C80">
        <w:rPr>
          <w:lang w:val="en-US"/>
        </w:rPr>
        <w:t xml:space="preserve">The Commission has information that 18 </w:t>
      </w:r>
      <w:r w:rsidR="003178A7">
        <w:rPr>
          <w:lang w:val="en-US"/>
        </w:rPr>
        <w:t>U</w:t>
      </w:r>
      <w:r w:rsidR="00E21F02" w:rsidRPr="006C6C80">
        <w:rPr>
          <w:lang w:val="en-US"/>
        </w:rPr>
        <w:t>nion members</w:t>
      </w:r>
      <w:r w:rsidR="00511849" w:rsidRPr="006C6C80">
        <w:rPr>
          <w:rStyle w:val="FootnoteReference"/>
          <w:lang w:val="en-US"/>
        </w:rPr>
        <w:footnoteReference w:id="35"/>
      </w:r>
      <w:r w:rsidR="00E21F02" w:rsidRPr="006C6C80">
        <w:rPr>
          <w:lang w:val="en-US"/>
        </w:rPr>
        <w:t xml:space="preserve"> submitted evidence indicating they worked during the time of the strike.</w:t>
      </w:r>
      <w:r w:rsidR="00511849" w:rsidRPr="006C6C80">
        <w:rPr>
          <w:rStyle w:val="FootnoteReference"/>
          <w:lang w:val="en-US"/>
        </w:rPr>
        <w:footnoteReference w:id="36"/>
      </w:r>
    </w:p>
    <w:p w:rsidR="00511849" w:rsidRPr="006C6C80" w:rsidRDefault="00511849" w:rsidP="00511849">
      <w:pPr>
        <w:pStyle w:val="parrafos"/>
        <w:tabs>
          <w:tab w:val="left" w:pos="720"/>
        </w:tabs>
        <w:rPr>
          <w:lang w:val="en-US"/>
        </w:rPr>
      </w:pPr>
    </w:p>
    <w:p w:rsidR="00511849" w:rsidRPr="006C6C80" w:rsidRDefault="00E21F02" w:rsidP="00511849">
      <w:pPr>
        <w:pStyle w:val="parrafos"/>
        <w:numPr>
          <w:ilvl w:val="0"/>
          <w:numId w:val="56"/>
        </w:numPr>
        <w:tabs>
          <w:tab w:val="left" w:pos="720"/>
        </w:tabs>
        <w:ind w:left="0" w:firstLine="0"/>
        <w:rPr>
          <w:lang w:val="en-US"/>
        </w:rPr>
      </w:pPr>
      <w:r w:rsidRPr="006C6C80">
        <w:rPr>
          <w:lang w:val="en-US"/>
        </w:rPr>
        <w:t xml:space="preserve">On September 6, </w:t>
      </w:r>
      <w:r w:rsidR="00511849" w:rsidRPr="006C6C80">
        <w:rPr>
          <w:lang w:val="en-US"/>
        </w:rPr>
        <w:t>1999</w:t>
      </w:r>
      <w:r w:rsidRPr="006C6C80">
        <w:rPr>
          <w:lang w:val="en-US"/>
        </w:rPr>
        <w:t xml:space="preserve">, the Supreme Court of Justice enlarged and corrected the ruling of September 1 of the same year. On the basis of this ruling, the Supreme Court of Justice noted that certain </w:t>
      </w:r>
      <w:r w:rsidR="003178A7">
        <w:rPr>
          <w:lang w:val="en-US"/>
        </w:rPr>
        <w:t>U</w:t>
      </w:r>
      <w:r w:rsidRPr="006C6C80">
        <w:rPr>
          <w:lang w:val="en-US"/>
        </w:rPr>
        <w:t xml:space="preserve">nion members who </w:t>
      </w:r>
      <w:r w:rsidR="00AB4458">
        <w:rPr>
          <w:lang w:val="en-US"/>
        </w:rPr>
        <w:t>had been included o</w:t>
      </w:r>
      <w:r w:rsidRPr="006C6C80">
        <w:rPr>
          <w:lang w:val="en-US"/>
        </w:rPr>
        <w:t xml:space="preserve">n the list of </w:t>
      </w:r>
      <w:r w:rsidR="00661EB0">
        <w:rPr>
          <w:lang w:val="en-US"/>
        </w:rPr>
        <w:t xml:space="preserve">striking </w:t>
      </w:r>
      <w:r w:rsidRPr="006C6C80">
        <w:rPr>
          <w:lang w:val="en-US"/>
        </w:rPr>
        <w:t>employees had been mistakenly id</w:t>
      </w:r>
      <w:r w:rsidR="00934892" w:rsidRPr="006C6C80">
        <w:rPr>
          <w:lang w:val="en-US"/>
        </w:rPr>
        <w:t>entified individually</w:t>
      </w:r>
      <w:r w:rsidR="0043359F">
        <w:rPr>
          <w:lang w:val="en-US"/>
        </w:rPr>
        <w:t xml:space="preserve">, whether because of </w:t>
      </w:r>
      <w:r w:rsidRPr="006C6C80">
        <w:rPr>
          <w:lang w:val="en-US"/>
        </w:rPr>
        <w:t xml:space="preserve">an error made </w:t>
      </w:r>
      <w:r w:rsidR="0043359F">
        <w:rPr>
          <w:lang w:val="en-US"/>
        </w:rPr>
        <w:t>about the jo</w:t>
      </w:r>
      <w:r w:rsidRPr="006C6C80">
        <w:rPr>
          <w:lang w:val="en-US"/>
        </w:rPr>
        <w:t xml:space="preserve">b they held or </w:t>
      </w:r>
      <w:r w:rsidR="0043359F">
        <w:rPr>
          <w:lang w:val="en-US"/>
        </w:rPr>
        <w:t>because of</w:t>
      </w:r>
      <w:r w:rsidRPr="006C6C80">
        <w:rPr>
          <w:lang w:val="en-US"/>
        </w:rPr>
        <w:t xml:space="preserve"> the court in which they worked</w:t>
      </w:r>
      <w:r w:rsidR="00511849" w:rsidRPr="006C6C80">
        <w:rPr>
          <w:lang w:val="en-US"/>
        </w:rPr>
        <w:t xml:space="preserve">. </w:t>
      </w:r>
      <w:r w:rsidRPr="006C6C80">
        <w:rPr>
          <w:lang w:val="en-US"/>
        </w:rPr>
        <w:t xml:space="preserve">Likewise, the Court included </w:t>
      </w:r>
      <w:r w:rsidR="0043359F">
        <w:rPr>
          <w:lang w:val="en-US"/>
        </w:rPr>
        <w:t xml:space="preserve">names of </w:t>
      </w:r>
      <w:r w:rsidRPr="006C6C80">
        <w:rPr>
          <w:lang w:val="en-US"/>
        </w:rPr>
        <w:t>more persons</w:t>
      </w:r>
      <w:r w:rsidR="00934892" w:rsidRPr="006C6C80">
        <w:rPr>
          <w:lang w:val="en-US"/>
        </w:rPr>
        <w:t xml:space="preserve"> who participated in the strike.</w:t>
      </w:r>
      <w:r w:rsidRPr="006C6C80">
        <w:rPr>
          <w:lang w:val="en-US"/>
        </w:rPr>
        <w:t xml:space="preserve"> In particular, it indicated the following</w:t>
      </w:r>
      <w:r w:rsidR="00511849" w:rsidRPr="006C6C80">
        <w:rPr>
          <w:lang w:val="en-US"/>
        </w:rPr>
        <w:t>:</w:t>
      </w:r>
    </w:p>
    <w:p w:rsidR="00511849" w:rsidRPr="006C6C80" w:rsidRDefault="00511849" w:rsidP="00511849">
      <w:pPr>
        <w:pStyle w:val="NormalWeb"/>
        <w:tabs>
          <w:tab w:val="left" w:pos="720"/>
        </w:tabs>
        <w:ind w:left="360" w:right="360"/>
        <w:jc w:val="both"/>
        <w:rPr>
          <w:rFonts w:ascii="Cambria" w:hAnsi="Cambria"/>
          <w:sz w:val="18"/>
          <w:szCs w:val="18"/>
          <w:lang w:val="en-US"/>
        </w:rPr>
      </w:pPr>
      <w:r w:rsidRPr="006C6C80">
        <w:rPr>
          <w:rFonts w:ascii="Cambria" w:hAnsi="Cambria"/>
          <w:sz w:val="18"/>
          <w:szCs w:val="18"/>
          <w:lang w:val="en-US"/>
        </w:rPr>
        <w:lastRenderedPageBreak/>
        <w:t xml:space="preserve">A) </w:t>
      </w:r>
      <w:proofErr w:type="gramStart"/>
      <w:r w:rsidR="00934892" w:rsidRPr="006C6C80">
        <w:rPr>
          <w:rFonts w:ascii="Cambria" w:hAnsi="Cambria"/>
          <w:sz w:val="18"/>
          <w:szCs w:val="18"/>
          <w:lang w:val="en-US"/>
        </w:rPr>
        <w:t>that</w:t>
      </w:r>
      <w:proofErr w:type="gramEnd"/>
      <w:r w:rsidR="00934892" w:rsidRPr="006C6C80">
        <w:rPr>
          <w:rFonts w:ascii="Cambria" w:hAnsi="Cambria"/>
          <w:sz w:val="18"/>
          <w:szCs w:val="18"/>
          <w:lang w:val="en-US"/>
        </w:rPr>
        <w:t xml:space="preserve"> </w:t>
      </w:r>
      <w:r w:rsidRPr="006C6C80">
        <w:rPr>
          <w:rFonts w:ascii="Cambria" w:hAnsi="Cambria"/>
          <w:sz w:val="18"/>
          <w:szCs w:val="18"/>
          <w:lang w:val="en-US"/>
        </w:rPr>
        <w:t xml:space="preserve">Gloria Marina Moya Ruiz, </w:t>
      </w:r>
      <w:proofErr w:type="spellStart"/>
      <w:r w:rsidRPr="006C6C80">
        <w:rPr>
          <w:rFonts w:ascii="Cambria" w:hAnsi="Cambria"/>
          <w:sz w:val="18"/>
          <w:szCs w:val="18"/>
          <w:lang w:val="en-US"/>
        </w:rPr>
        <w:t>Ol</w:t>
      </w:r>
      <w:r w:rsidR="00934892" w:rsidRPr="006C6C80">
        <w:rPr>
          <w:rFonts w:ascii="Cambria" w:hAnsi="Cambria"/>
          <w:sz w:val="18"/>
          <w:szCs w:val="18"/>
          <w:lang w:val="en-US"/>
        </w:rPr>
        <w:t>iverio</w:t>
      </w:r>
      <w:proofErr w:type="spellEnd"/>
      <w:r w:rsidR="00934892" w:rsidRPr="006C6C80">
        <w:rPr>
          <w:rFonts w:ascii="Cambria" w:hAnsi="Cambria"/>
          <w:sz w:val="18"/>
          <w:szCs w:val="18"/>
          <w:lang w:val="en-US"/>
        </w:rPr>
        <w:t xml:space="preserve"> Edmundo Roldan </w:t>
      </w:r>
      <w:proofErr w:type="spellStart"/>
      <w:r w:rsidR="00934892" w:rsidRPr="006C6C80">
        <w:rPr>
          <w:rFonts w:ascii="Cambria" w:hAnsi="Cambria"/>
          <w:sz w:val="18"/>
          <w:szCs w:val="18"/>
          <w:lang w:val="en-US"/>
        </w:rPr>
        <w:t>Castañeda</w:t>
      </w:r>
      <w:proofErr w:type="spellEnd"/>
      <w:r w:rsidR="00934892" w:rsidRPr="006C6C80">
        <w:rPr>
          <w:rFonts w:ascii="Cambria" w:hAnsi="Cambria"/>
          <w:sz w:val="18"/>
          <w:szCs w:val="18"/>
          <w:lang w:val="en-US"/>
        </w:rPr>
        <w:t>, and</w:t>
      </w:r>
      <w:r w:rsidRPr="006C6C80">
        <w:rPr>
          <w:rFonts w:ascii="Cambria" w:hAnsi="Cambria"/>
          <w:sz w:val="18"/>
          <w:szCs w:val="18"/>
          <w:lang w:val="en-US"/>
        </w:rPr>
        <w:t xml:space="preserve"> Sergio Alfredo </w:t>
      </w:r>
      <w:proofErr w:type="spellStart"/>
      <w:r w:rsidRPr="006C6C80">
        <w:rPr>
          <w:rFonts w:ascii="Cambria" w:hAnsi="Cambria"/>
          <w:sz w:val="18"/>
          <w:szCs w:val="18"/>
          <w:lang w:val="en-US"/>
        </w:rPr>
        <w:t>Tobías</w:t>
      </w:r>
      <w:proofErr w:type="spellEnd"/>
      <w:r w:rsidRPr="006C6C80">
        <w:rPr>
          <w:rFonts w:ascii="Cambria" w:hAnsi="Cambria"/>
          <w:sz w:val="18"/>
          <w:szCs w:val="18"/>
          <w:lang w:val="en-US"/>
        </w:rPr>
        <w:t xml:space="preserve"> Vazquez </w:t>
      </w:r>
      <w:r w:rsidR="00934892" w:rsidRPr="006C6C80">
        <w:rPr>
          <w:rFonts w:ascii="Cambria" w:hAnsi="Cambria"/>
          <w:sz w:val="18"/>
          <w:szCs w:val="18"/>
          <w:lang w:val="en-US"/>
        </w:rPr>
        <w:t xml:space="preserve">do not work in the Justice of the Peace Court of the municipality of </w:t>
      </w:r>
      <w:proofErr w:type="spellStart"/>
      <w:r w:rsidRPr="006C6C80">
        <w:rPr>
          <w:rFonts w:ascii="Cambria" w:hAnsi="Cambria"/>
          <w:sz w:val="18"/>
          <w:szCs w:val="18"/>
          <w:lang w:val="en-US"/>
        </w:rPr>
        <w:t>Acatenango</w:t>
      </w:r>
      <w:proofErr w:type="spellEnd"/>
      <w:r w:rsidR="00934892" w:rsidRPr="006C6C80">
        <w:rPr>
          <w:rFonts w:ascii="Cambria" w:hAnsi="Cambria"/>
          <w:sz w:val="18"/>
          <w:szCs w:val="18"/>
          <w:lang w:val="en-US"/>
        </w:rPr>
        <w:t xml:space="preserve"> in the department of</w:t>
      </w:r>
      <w:r w:rsidRPr="006C6C80">
        <w:rPr>
          <w:rFonts w:ascii="Cambria" w:hAnsi="Cambria"/>
          <w:sz w:val="18"/>
          <w:szCs w:val="18"/>
          <w:lang w:val="en-US"/>
        </w:rPr>
        <w:t xml:space="preserve"> Chimaltenango, </w:t>
      </w:r>
      <w:r w:rsidR="00934892" w:rsidRPr="006C6C80">
        <w:rPr>
          <w:rFonts w:ascii="Cambria" w:hAnsi="Cambria"/>
          <w:sz w:val="18"/>
          <w:szCs w:val="18"/>
          <w:lang w:val="en-US"/>
        </w:rPr>
        <w:t>but rather in the Justice of the Peace Court of the municipality of</w:t>
      </w:r>
      <w:r w:rsidRPr="006C6C80">
        <w:rPr>
          <w:rFonts w:ascii="Cambria" w:hAnsi="Cambria"/>
          <w:sz w:val="18"/>
          <w:szCs w:val="18"/>
          <w:lang w:val="en-US"/>
        </w:rPr>
        <w:t xml:space="preserve"> </w:t>
      </w:r>
      <w:proofErr w:type="spellStart"/>
      <w:r w:rsidRPr="006C6C80">
        <w:rPr>
          <w:rFonts w:ascii="Cambria" w:hAnsi="Cambria"/>
          <w:sz w:val="18"/>
          <w:szCs w:val="18"/>
          <w:lang w:val="en-US"/>
        </w:rPr>
        <w:t>Patzicia</w:t>
      </w:r>
      <w:proofErr w:type="spellEnd"/>
      <w:r w:rsidRPr="006C6C80">
        <w:rPr>
          <w:rFonts w:ascii="Cambria" w:hAnsi="Cambria"/>
          <w:sz w:val="18"/>
          <w:szCs w:val="18"/>
          <w:lang w:val="en-US"/>
        </w:rPr>
        <w:t xml:space="preserve"> </w:t>
      </w:r>
      <w:r w:rsidR="00934892" w:rsidRPr="006C6C80">
        <w:rPr>
          <w:rFonts w:ascii="Cambria" w:hAnsi="Cambria"/>
          <w:sz w:val="18"/>
          <w:szCs w:val="18"/>
          <w:lang w:val="en-US"/>
        </w:rPr>
        <w:t>in the same department</w:t>
      </w:r>
      <w:r w:rsidRPr="006C6C80">
        <w:rPr>
          <w:rFonts w:ascii="Cambria" w:hAnsi="Cambria"/>
          <w:sz w:val="18"/>
          <w:szCs w:val="18"/>
          <w:lang w:val="en-US"/>
        </w:rPr>
        <w:t xml:space="preserve"> (…)</w:t>
      </w:r>
    </w:p>
    <w:p w:rsidR="00511849" w:rsidRPr="006C6C80" w:rsidRDefault="00511849" w:rsidP="00511849">
      <w:pPr>
        <w:pStyle w:val="NormalWeb"/>
        <w:tabs>
          <w:tab w:val="left" w:pos="720"/>
        </w:tabs>
        <w:ind w:left="360" w:right="360"/>
        <w:jc w:val="both"/>
        <w:rPr>
          <w:rFonts w:ascii="Cambria" w:hAnsi="Cambria"/>
          <w:sz w:val="18"/>
          <w:szCs w:val="18"/>
          <w:lang w:val="en-US"/>
        </w:rPr>
      </w:pPr>
      <w:r w:rsidRPr="006C6C80">
        <w:rPr>
          <w:rFonts w:ascii="Cambria" w:hAnsi="Cambria"/>
          <w:sz w:val="18"/>
          <w:szCs w:val="18"/>
          <w:lang w:val="en-US"/>
        </w:rPr>
        <w:t xml:space="preserve">B)  (…) </w:t>
      </w:r>
      <w:r w:rsidR="00934892" w:rsidRPr="006C6C80">
        <w:rPr>
          <w:rFonts w:ascii="Cambria" w:hAnsi="Cambria"/>
          <w:sz w:val="18"/>
          <w:szCs w:val="18"/>
          <w:lang w:val="en-US"/>
        </w:rPr>
        <w:t xml:space="preserve">to include other employees who had participated in the above-mentioned unlawful action </w:t>
      </w:r>
      <w:r w:rsidRPr="006C6C80">
        <w:rPr>
          <w:rFonts w:ascii="Cambria" w:hAnsi="Cambria"/>
          <w:sz w:val="18"/>
          <w:szCs w:val="18"/>
          <w:lang w:val="en-US"/>
        </w:rPr>
        <w:t>[</w:t>
      </w:r>
      <w:r w:rsidR="00934892" w:rsidRPr="006C6C80">
        <w:rPr>
          <w:rFonts w:ascii="Cambria" w:hAnsi="Cambria"/>
          <w:sz w:val="18"/>
          <w:szCs w:val="18"/>
          <w:lang w:val="en-US"/>
        </w:rPr>
        <w:t>the strike</w:t>
      </w:r>
      <w:r w:rsidRPr="006C6C80">
        <w:rPr>
          <w:rFonts w:ascii="Cambria" w:hAnsi="Cambria"/>
          <w:sz w:val="18"/>
          <w:szCs w:val="18"/>
          <w:lang w:val="en-US"/>
        </w:rPr>
        <w:t xml:space="preserve">] </w:t>
      </w:r>
      <w:r w:rsidR="00934892" w:rsidRPr="006C6C80">
        <w:rPr>
          <w:rFonts w:ascii="Cambria" w:hAnsi="Cambria"/>
          <w:sz w:val="18"/>
          <w:szCs w:val="18"/>
          <w:lang w:val="en-US"/>
        </w:rPr>
        <w:t>because it was proven on the basis of the respective documentation, thus also including</w:t>
      </w:r>
      <w:r w:rsidRPr="006C6C80">
        <w:rPr>
          <w:rFonts w:ascii="Cambria" w:hAnsi="Cambria"/>
          <w:sz w:val="18"/>
          <w:szCs w:val="18"/>
          <w:lang w:val="en-US"/>
        </w:rPr>
        <w:t xml:space="preserve">: Glenda </w:t>
      </w:r>
      <w:proofErr w:type="spellStart"/>
      <w:r w:rsidRPr="006C6C80">
        <w:rPr>
          <w:rFonts w:ascii="Cambria" w:hAnsi="Cambria"/>
          <w:sz w:val="18"/>
          <w:szCs w:val="18"/>
          <w:lang w:val="en-US"/>
        </w:rPr>
        <w:t>Nineth</w:t>
      </w:r>
      <w:proofErr w:type="spellEnd"/>
      <w:r w:rsidRPr="006C6C80">
        <w:rPr>
          <w:rFonts w:ascii="Cambria" w:hAnsi="Cambria"/>
          <w:sz w:val="18"/>
          <w:szCs w:val="18"/>
          <w:lang w:val="en-US"/>
        </w:rPr>
        <w:t xml:space="preserve"> Figueroa Caceres de Garcia, Of</w:t>
      </w:r>
      <w:r w:rsidR="00934892" w:rsidRPr="006C6C80">
        <w:rPr>
          <w:rFonts w:ascii="Cambria" w:hAnsi="Cambria"/>
          <w:sz w:val="18"/>
          <w:szCs w:val="18"/>
          <w:lang w:val="en-US"/>
        </w:rPr>
        <w:t xml:space="preserve">ficer III, </w:t>
      </w:r>
      <w:proofErr w:type="gramStart"/>
      <w:r w:rsidRPr="006C6C80">
        <w:rPr>
          <w:rFonts w:ascii="Cambria" w:hAnsi="Cambria"/>
          <w:sz w:val="18"/>
          <w:szCs w:val="18"/>
          <w:lang w:val="en-US"/>
        </w:rPr>
        <w:t>Civil</w:t>
      </w:r>
      <w:proofErr w:type="gramEnd"/>
      <w:r w:rsidR="00934892" w:rsidRPr="006C6C80">
        <w:rPr>
          <w:rFonts w:ascii="Cambria" w:hAnsi="Cambria"/>
          <w:sz w:val="18"/>
          <w:szCs w:val="18"/>
          <w:lang w:val="en-US"/>
        </w:rPr>
        <w:t xml:space="preserve"> Court</w:t>
      </w:r>
      <w:r w:rsidRPr="006C6C80">
        <w:rPr>
          <w:rFonts w:ascii="Cambria" w:hAnsi="Cambria"/>
          <w:sz w:val="18"/>
          <w:szCs w:val="18"/>
          <w:lang w:val="en-US"/>
        </w:rPr>
        <w:t>/Eco.</w:t>
      </w:r>
      <w:r w:rsidR="00934892" w:rsidRPr="006C6C80">
        <w:rPr>
          <w:rFonts w:ascii="Cambria" w:hAnsi="Cambria"/>
          <w:sz w:val="18"/>
          <w:szCs w:val="18"/>
          <w:lang w:val="en-US"/>
        </w:rPr>
        <w:t xml:space="preserve"> </w:t>
      </w:r>
      <w:proofErr w:type="spellStart"/>
      <w:r w:rsidRPr="006C6C80">
        <w:rPr>
          <w:rFonts w:ascii="Cambria" w:hAnsi="Cambria"/>
          <w:sz w:val="18"/>
          <w:szCs w:val="18"/>
          <w:lang w:val="en-US"/>
        </w:rPr>
        <w:t>Coac</w:t>
      </w:r>
      <w:proofErr w:type="spellEnd"/>
      <w:r w:rsidRPr="006C6C80">
        <w:rPr>
          <w:rFonts w:ascii="Cambria" w:hAnsi="Cambria"/>
          <w:sz w:val="18"/>
          <w:szCs w:val="18"/>
          <w:lang w:val="en-US"/>
        </w:rPr>
        <w:t>.</w:t>
      </w:r>
      <w:r w:rsidR="00934892" w:rsidRPr="006C6C80">
        <w:rPr>
          <w:rFonts w:ascii="Cambria" w:hAnsi="Cambria"/>
          <w:sz w:val="18"/>
          <w:szCs w:val="18"/>
          <w:lang w:val="en-US"/>
        </w:rPr>
        <w:t xml:space="preserve"> Such; </w:t>
      </w:r>
      <w:proofErr w:type="spellStart"/>
      <w:r w:rsidR="00934892" w:rsidRPr="006C6C80">
        <w:rPr>
          <w:rFonts w:ascii="Cambria" w:hAnsi="Cambria"/>
          <w:sz w:val="18"/>
          <w:szCs w:val="18"/>
          <w:lang w:val="en-US"/>
        </w:rPr>
        <w:t>Edgard</w:t>
      </w:r>
      <w:proofErr w:type="spellEnd"/>
      <w:r w:rsidR="00934892" w:rsidRPr="006C6C80">
        <w:rPr>
          <w:rFonts w:ascii="Cambria" w:hAnsi="Cambria"/>
          <w:sz w:val="18"/>
          <w:szCs w:val="18"/>
          <w:lang w:val="en-US"/>
        </w:rPr>
        <w:t xml:space="preserve"> Rolando Lopez, Officer</w:t>
      </w:r>
      <w:r w:rsidRPr="006C6C80">
        <w:rPr>
          <w:rFonts w:ascii="Cambria" w:hAnsi="Cambria"/>
          <w:sz w:val="18"/>
          <w:szCs w:val="18"/>
          <w:lang w:val="en-US"/>
        </w:rPr>
        <w:t xml:space="preserve"> III,</w:t>
      </w:r>
      <w:r w:rsidR="00934892" w:rsidRPr="006C6C80">
        <w:rPr>
          <w:rFonts w:ascii="Cambria" w:hAnsi="Cambria"/>
          <w:sz w:val="18"/>
          <w:szCs w:val="18"/>
          <w:lang w:val="en-US"/>
        </w:rPr>
        <w:t xml:space="preserve"> Civil Court/Eco. </w:t>
      </w:r>
      <w:proofErr w:type="spellStart"/>
      <w:r w:rsidR="00934892" w:rsidRPr="006C6C80">
        <w:rPr>
          <w:rFonts w:ascii="Cambria" w:hAnsi="Cambria"/>
          <w:sz w:val="18"/>
          <w:szCs w:val="18"/>
          <w:lang w:val="en-US"/>
        </w:rPr>
        <w:t>Coac</w:t>
      </w:r>
      <w:proofErr w:type="spellEnd"/>
      <w:r w:rsidR="00934892" w:rsidRPr="006C6C80">
        <w:rPr>
          <w:rFonts w:ascii="Cambria" w:hAnsi="Cambria"/>
          <w:sz w:val="18"/>
          <w:szCs w:val="18"/>
          <w:lang w:val="en-US"/>
        </w:rPr>
        <w:t xml:space="preserve">. </w:t>
      </w:r>
      <w:proofErr w:type="spellStart"/>
      <w:r w:rsidR="00934892" w:rsidRPr="006C6C80">
        <w:rPr>
          <w:rFonts w:ascii="Cambria" w:hAnsi="Cambria"/>
          <w:sz w:val="18"/>
          <w:szCs w:val="18"/>
          <w:lang w:val="en-US"/>
        </w:rPr>
        <w:t>Chiq</w:t>
      </w:r>
      <w:proofErr w:type="spellEnd"/>
      <w:r w:rsidRPr="006C6C80">
        <w:rPr>
          <w:rFonts w:ascii="Cambria" w:hAnsi="Cambria"/>
          <w:sz w:val="18"/>
          <w:szCs w:val="18"/>
          <w:lang w:val="en-US"/>
        </w:rPr>
        <w:t xml:space="preserve">; Juan Manuel Hernandez </w:t>
      </w:r>
      <w:proofErr w:type="spellStart"/>
      <w:r w:rsidR="00934892" w:rsidRPr="006C6C80">
        <w:rPr>
          <w:rFonts w:ascii="Cambria" w:hAnsi="Cambria"/>
          <w:sz w:val="18"/>
          <w:szCs w:val="18"/>
          <w:lang w:val="en-US"/>
        </w:rPr>
        <w:t>Landaverde</w:t>
      </w:r>
      <w:proofErr w:type="spellEnd"/>
      <w:r w:rsidR="00934892" w:rsidRPr="006C6C80">
        <w:rPr>
          <w:rFonts w:ascii="Cambria" w:hAnsi="Cambria"/>
          <w:sz w:val="18"/>
          <w:szCs w:val="18"/>
          <w:lang w:val="en-US"/>
        </w:rPr>
        <w:t xml:space="preserve">, </w:t>
      </w:r>
      <w:proofErr w:type="spellStart"/>
      <w:r w:rsidR="00934892" w:rsidRPr="006C6C80">
        <w:rPr>
          <w:rFonts w:ascii="Cambria" w:hAnsi="Cambria"/>
          <w:sz w:val="18"/>
          <w:szCs w:val="18"/>
          <w:lang w:val="en-US"/>
        </w:rPr>
        <w:t>Srio</w:t>
      </w:r>
      <w:proofErr w:type="spellEnd"/>
      <w:r w:rsidR="00934892" w:rsidRPr="006C6C80">
        <w:rPr>
          <w:rFonts w:ascii="Cambria" w:hAnsi="Cambria"/>
          <w:sz w:val="18"/>
          <w:szCs w:val="18"/>
          <w:lang w:val="en-US"/>
        </w:rPr>
        <w:t>, Instanc</w:t>
      </w:r>
      <w:r w:rsidR="00724801">
        <w:rPr>
          <w:rFonts w:ascii="Cambria" w:hAnsi="Cambria"/>
          <w:sz w:val="18"/>
          <w:szCs w:val="18"/>
          <w:lang w:val="en-US"/>
        </w:rPr>
        <w:t>e</w:t>
      </w:r>
      <w:r w:rsidR="00934892" w:rsidRPr="006C6C80">
        <w:rPr>
          <w:rFonts w:ascii="Cambria" w:hAnsi="Cambria"/>
          <w:sz w:val="18"/>
          <w:szCs w:val="18"/>
          <w:lang w:val="en-US"/>
        </w:rPr>
        <w:t xml:space="preserve"> I, Court of Sentencing</w:t>
      </w:r>
      <w:r w:rsidRPr="006C6C80">
        <w:rPr>
          <w:rFonts w:ascii="Cambria" w:hAnsi="Cambria"/>
          <w:sz w:val="18"/>
          <w:szCs w:val="18"/>
          <w:lang w:val="en-US"/>
        </w:rPr>
        <w:t xml:space="preserve"> </w:t>
      </w:r>
      <w:proofErr w:type="spellStart"/>
      <w:r w:rsidRPr="006C6C80">
        <w:rPr>
          <w:rFonts w:ascii="Cambria" w:hAnsi="Cambria"/>
          <w:sz w:val="18"/>
          <w:szCs w:val="18"/>
          <w:lang w:val="en-US"/>
        </w:rPr>
        <w:t>Q</w:t>
      </w:r>
      <w:r w:rsidR="00934892" w:rsidRPr="006C6C80">
        <w:rPr>
          <w:rFonts w:ascii="Cambria" w:hAnsi="Cambria"/>
          <w:sz w:val="18"/>
          <w:szCs w:val="18"/>
          <w:lang w:val="en-US"/>
        </w:rPr>
        <w:t>uet</w:t>
      </w:r>
      <w:proofErr w:type="spellEnd"/>
      <w:r w:rsidR="00934892" w:rsidRPr="006C6C80">
        <w:rPr>
          <w:rFonts w:ascii="Cambria" w:hAnsi="Cambria"/>
          <w:sz w:val="18"/>
          <w:szCs w:val="18"/>
          <w:lang w:val="en-US"/>
        </w:rPr>
        <w:t xml:space="preserve">; Juan Jose </w:t>
      </w:r>
      <w:proofErr w:type="spellStart"/>
      <w:r w:rsidR="00934892" w:rsidRPr="006C6C80">
        <w:rPr>
          <w:rFonts w:ascii="Cambria" w:hAnsi="Cambria"/>
          <w:sz w:val="18"/>
          <w:szCs w:val="18"/>
          <w:lang w:val="en-US"/>
        </w:rPr>
        <w:t>Psquiy</w:t>
      </w:r>
      <w:proofErr w:type="spellEnd"/>
      <w:r w:rsidR="00934892" w:rsidRPr="006C6C80">
        <w:rPr>
          <w:rFonts w:ascii="Cambria" w:hAnsi="Cambria"/>
          <w:sz w:val="18"/>
          <w:szCs w:val="18"/>
          <w:lang w:val="en-US"/>
        </w:rPr>
        <w:t xml:space="preserve"> </w:t>
      </w:r>
      <w:proofErr w:type="spellStart"/>
      <w:r w:rsidR="00934892" w:rsidRPr="006C6C80">
        <w:rPr>
          <w:rFonts w:ascii="Cambria" w:hAnsi="Cambria"/>
          <w:sz w:val="18"/>
          <w:szCs w:val="18"/>
          <w:lang w:val="en-US"/>
        </w:rPr>
        <w:t>Coyoy</w:t>
      </w:r>
      <w:proofErr w:type="spellEnd"/>
      <w:r w:rsidR="00934892" w:rsidRPr="006C6C80">
        <w:rPr>
          <w:rFonts w:ascii="Cambria" w:hAnsi="Cambria"/>
          <w:sz w:val="18"/>
          <w:szCs w:val="18"/>
          <w:lang w:val="en-US"/>
        </w:rPr>
        <w:t>, Officer</w:t>
      </w:r>
      <w:r w:rsidRPr="006C6C80">
        <w:rPr>
          <w:rFonts w:ascii="Cambria" w:hAnsi="Cambria"/>
          <w:sz w:val="18"/>
          <w:szCs w:val="18"/>
          <w:lang w:val="en-US"/>
        </w:rPr>
        <w:t xml:space="preserve"> III, </w:t>
      </w:r>
      <w:r w:rsidR="00934892" w:rsidRPr="006C6C80">
        <w:rPr>
          <w:rFonts w:ascii="Cambria" w:hAnsi="Cambria"/>
          <w:sz w:val="18"/>
          <w:szCs w:val="18"/>
          <w:lang w:val="en-US"/>
        </w:rPr>
        <w:t>Court of Sentencing</w:t>
      </w:r>
      <w:r w:rsidRPr="006C6C80">
        <w:rPr>
          <w:rFonts w:ascii="Cambria" w:hAnsi="Cambria"/>
          <w:sz w:val="18"/>
          <w:szCs w:val="18"/>
          <w:lang w:val="en-US"/>
        </w:rPr>
        <w:t xml:space="preserve"> </w:t>
      </w:r>
      <w:proofErr w:type="spellStart"/>
      <w:r w:rsidRPr="006C6C80">
        <w:rPr>
          <w:rFonts w:ascii="Cambria" w:hAnsi="Cambria"/>
          <w:sz w:val="18"/>
          <w:szCs w:val="18"/>
          <w:lang w:val="en-US"/>
        </w:rPr>
        <w:t>Quet</w:t>
      </w:r>
      <w:proofErr w:type="spellEnd"/>
      <w:r w:rsidRPr="006C6C80">
        <w:rPr>
          <w:rFonts w:ascii="Cambria" w:hAnsi="Cambria"/>
          <w:sz w:val="18"/>
          <w:szCs w:val="18"/>
          <w:lang w:val="en-US"/>
        </w:rPr>
        <w:t xml:space="preserve">; Edwin </w:t>
      </w:r>
      <w:proofErr w:type="spellStart"/>
      <w:r w:rsidRPr="006C6C80">
        <w:rPr>
          <w:rFonts w:ascii="Cambria" w:hAnsi="Cambria"/>
          <w:sz w:val="18"/>
          <w:szCs w:val="18"/>
          <w:lang w:val="en-US"/>
        </w:rPr>
        <w:t>Osberto</w:t>
      </w:r>
      <w:proofErr w:type="spellEnd"/>
      <w:r w:rsidRPr="006C6C80">
        <w:rPr>
          <w:rFonts w:ascii="Cambria" w:hAnsi="Cambria"/>
          <w:sz w:val="18"/>
          <w:szCs w:val="18"/>
          <w:lang w:val="en-US"/>
        </w:rPr>
        <w:t xml:space="preserve"> Granados </w:t>
      </w:r>
      <w:proofErr w:type="spellStart"/>
      <w:r w:rsidRPr="006C6C80">
        <w:rPr>
          <w:rFonts w:ascii="Cambria" w:hAnsi="Cambria"/>
          <w:sz w:val="18"/>
          <w:szCs w:val="18"/>
          <w:lang w:val="en-US"/>
        </w:rPr>
        <w:t>Loarca</w:t>
      </w:r>
      <w:proofErr w:type="spellEnd"/>
      <w:r w:rsidRPr="006C6C80">
        <w:rPr>
          <w:rFonts w:ascii="Cambria" w:hAnsi="Cambria"/>
          <w:sz w:val="18"/>
          <w:szCs w:val="18"/>
          <w:lang w:val="en-US"/>
        </w:rPr>
        <w:t>, Of</w:t>
      </w:r>
      <w:r w:rsidR="00934892" w:rsidRPr="006C6C80">
        <w:rPr>
          <w:rFonts w:ascii="Cambria" w:hAnsi="Cambria"/>
          <w:sz w:val="18"/>
          <w:szCs w:val="18"/>
          <w:lang w:val="en-US"/>
        </w:rPr>
        <w:t>ficer</w:t>
      </w:r>
      <w:r w:rsidRPr="006C6C80">
        <w:rPr>
          <w:rFonts w:ascii="Cambria" w:hAnsi="Cambria"/>
          <w:sz w:val="18"/>
          <w:szCs w:val="18"/>
          <w:lang w:val="en-US"/>
        </w:rPr>
        <w:t xml:space="preserve"> III, </w:t>
      </w:r>
      <w:r w:rsidR="00934892" w:rsidRPr="006C6C80">
        <w:rPr>
          <w:rFonts w:ascii="Cambria" w:hAnsi="Cambria"/>
          <w:sz w:val="18"/>
          <w:szCs w:val="18"/>
          <w:lang w:val="en-US"/>
        </w:rPr>
        <w:t>Court of Sentencing</w:t>
      </w:r>
      <w:r w:rsidRPr="006C6C80">
        <w:rPr>
          <w:rFonts w:ascii="Cambria" w:hAnsi="Cambria"/>
          <w:sz w:val="18"/>
          <w:szCs w:val="18"/>
          <w:lang w:val="en-US"/>
        </w:rPr>
        <w:t xml:space="preserve"> </w:t>
      </w:r>
      <w:proofErr w:type="spellStart"/>
      <w:r w:rsidRPr="006C6C80">
        <w:rPr>
          <w:rFonts w:ascii="Cambria" w:hAnsi="Cambria"/>
          <w:sz w:val="18"/>
          <w:szCs w:val="18"/>
          <w:lang w:val="en-US"/>
        </w:rPr>
        <w:t>Quet</w:t>
      </w:r>
      <w:proofErr w:type="spellEnd"/>
      <w:r w:rsidRPr="006C6C80">
        <w:rPr>
          <w:rFonts w:ascii="Cambria" w:hAnsi="Cambria"/>
          <w:sz w:val="18"/>
          <w:szCs w:val="18"/>
          <w:lang w:val="en-US"/>
        </w:rPr>
        <w:t>.</w:t>
      </w:r>
    </w:p>
    <w:p w:rsidR="00511849" w:rsidRPr="006C6C80" w:rsidRDefault="00511849" w:rsidP="00511849">
      <w:pPr>
        <w:pStyle w:val="NormalWeb"/>
        <w:tabs>
          <w:tab w:val="left" w:pos="720"/>
        </w:tabs>
        <w:ind w:left="360" w:right="360"/>
        <w:jc w:val="both"/>
        <w:rPr>
          <w:rFonts w:ascii="Cambria" w:hAnsi="Cambria"/>
          <w:sz w:val="18"/>
          <w:szCs w:val="18"/>
          <w:lang w:val="en-US"/>
        </w:rPr>
      </w:pPr>
      <w:r w:rsidRPr="006C6C80">
        <w:rPr>
          <w:rFonts w:ascii="Cambria" w:hAnsi="Cambria"/>
          <w:sz w:val="18"/>
          <w:szCs w:val="18"/>
          <w:lang w:val="en-US"/>
        </w:rPr>
        <w:t xml:space="preserve">C) </w:t>
      </w:r>
      <w:r w:rsidR="00934892" w:rsidRPr="006C6C80">
        <w:rPr>
          <w:rFonts w:ascii="Cambria" w:hAnsi="Cambria"/>
          <w:sz w:val="18"/>
          <w:szCs w:val="18"/>
          <w:lang w:val="en-US"/>
        </w:rPr>
        <w:t>Because it was noted that the employee</w:t>
      </w:r>
      <w:r w:rsidRPr="006C6C80">
        <w:rPr>
          <w:rFonts w:ascii="Cambria" w:hAnsi="Cambria"/>
          <w:sz w:val="18"/>
          <w:szCs w:val="18"/>
          <w:lang w:val="en-US"/>
        </w:rPr>
        <w:t xml:space="preserve"> </w:t>
      </w:r>
      <w:r w:rsidR="00FA5860">
        <w:rPr>
          <w:rFonts w:ascii="Cambria" w:hAnsi="Cambria"/>
          <w:sz w:val="18"/>
          <w:szCs w:val="18"/>
          <w:lang w:val="en-US"/>
        </w:rPr>
        <w:t xml:space="preserve">Mario </w:t>
      </w:r>
      <w:r w:rsidRPr="006C6C80">
        <w:rPr>
          <w:rFonts w:ascii="Cambria" w:hAnsi="Cambria"/>
          <w:sz w:val="18"/>
          <w:szCs w:val="18"/>
          <w:lang w:val="en-US"/>
        </w:rPr>
        <w:t xml:space="preserve">Rene </w:t>
      </w:r>
      <w:proofErr w:type="spellStart"/>
      <w:r w:rsidRPr="006C6C80">
        <w:rPr>
          <w:rFonts w:ascii="Cambria" w:hAnsi="Cambria"/>
          <w:sz w:val="18"/>
          <w:szCs w:val="18"/>
          <w:lang w:val="en-US"/>
        </w:rPr>
        <w:t>Calderón</w:t>
      </w:r>
      <w:proofErr w:type="spellEnd"/>
      <w:r w:rsidRPr="006C6C80">
        <w:rPr>
          <w:rFonts w:ascii="Cambria" w:hAnsi="Cambria"/>
          <w:sz w:val="18"/>
          <w:szCs w:val="18"/>
          <w:lang w:val="en-US"/>
        </w:rPr>
        <w:t xml:space="preserve"> Sala</w:t>
      </w:r>
      <w:r w:rsidR="00934892" w:rsidRPr="006C6C80">
        <w:rPr>
          <w:rFonts w:ascii="Cambria" w:hAnsi="Cambria"/>
          <w:sz w:val="18"/>
          <w:szCs w:val="18"/>
          <w:lang w:val="en-US"/>
        </w:rPr>
        <w:t xml:space="preserve">zar was dismissed as </w:t>
      </w:r>
      <w:r w:rsidR="00FA5860">
        <w:rPr>
          <w:rFonts w:ascii="Cambria" w:hAnsi="Cambria"/>
          <w:sz w:val="18"/>
          <w:szCs w:val="18"/>
          <w:lang w:val="en-US"/>
        </w:rPr>
        <w:t>Clerk</w:t>
      </w:r>
      <w:r w:rsidRPr="006C6C80">
        <w:rPr>
          <w:rFonts w:ascii="Cambria" w:hAnsi="Cambria"/>
          <w:sz w:val="18"/>
          <w:szCs w:val="18"/>
          <w:lang w:val="en-US"/>
        </w:rPr>
        <w:t xml:space="preserve"> III </w:t>
      </w:r>
      <w:r w:rsidR="00934892" w:rsidRPr="006C6C80">
        <w:rPr>
          <w:rFonts w:ascii="Cambria" w:hAnsi="Cambria"/>
          <w:sz w:val="18"/>
          <w:szCs w:val="18"/>
          <w:lang w:val="en-US"/>
        </w:rPr>
        <w:t xml:space="preserve">of the Archive of Protocols, in the respective ruling of said Presidency and that it was proven that he is now discharging his duties as </w:t>
      </w:r>
      <w:r w:rsidR="00074EE3">
        <w:rPr>
          <w:rFonts w:ascii="Cambria" w:hAnsi="Cambria"/>
          <w:sz w:val="18"/>
          <w:szCs w:val="18"/>
          <w:lang w:val="en-US"/>
        </w:rPr>
        <w:t>Clerk</w:t>
      </w:r>
      <w:r w:rsidR="00934892" w:rsidRPr="006C6C80">
        <w:rPr>
          <w:rFonts w:ascii="Cambria" w:hAnsi="Cambria"/>
          <w:sz w:val="18"/>
          <w:szCs w:val="18"/>
          <w:lang w:val="en-US"/>
        </w:rPr>
        <w:t xml:space="preserve"> II in the Justice of the Peace Court of </w:t>
      </w:r>
      <w:r w:rsidRPr="006C6C80">
        <w:rPr>
          <w:rFonts w:ascii="Cambria" w:hAnsi="Cambria"/>
          <w:sz w:val="18"/>
          <w:szCs w:val="18"/>
          <w:lang w:val="en-US"/>
        </w:rPr>
        <w:t xml:space="preserve">Magdalena </w:t>
      </w:r>
      <w:proofErr w:type="spellStart"/>
      <w:r w:rsidRPr="006C6C80">
        <w:rPr>
          <w:rFonts w:ascii="Cambria" w:hAnsi="Cambria"/>
          <w:sz w:val="18"/>
          <w:szCs w:val="18"/>
          <w:lang w:val="en-US"/>
        </w:rPr>
        <w:t>Milpas</w:t>
      </w:r>
      <w:proofErr w:type="spellEnd"/>
      <w:r w:rsidRPr="006C6C80">
        <w:rPr>
          <w:rFonts w:ascii="Cambria" w:hAnsi="Cambria"/>
          <w:sz w:val="18"/>
          <w:szCs w:val="18"/>
          <w:lang w:val="en-US"/>
        </w:rPr>
        <w:t xml:space="preserve"> </w:t>
      </w:r>
      <w:proofErr w:type="spellStart"/>
      <w:r w:rsidRPr="006C6C80">
        <w:rPr>
          <w:rFonts w:ascii="Cambria" w:hAnsi="Cambria"/>
          <w:sz w:val="18"/>
          <w:szCs w:val="18"/>
          <w:lang w:val="en-US"/>
        </w:rPr>
        <w:t>Altas</w:t>
      </w:r>
      <w:proofErr w:type="spellEnd"/>
      <w:r w:rsidR="00934892" w:rsidRPr="006C6C80">
        <w:rPr>
          <w:rFonts w:ascii="Cambria" w:hAnsi="Cambria"/>
          <w:sz w:val="18"/>
          <w:szCs w:val="18"/>
          <w:lang w:val="en-US"/>
        </w:rPr>
        <w:t xml:space="preserve"> in the department</w:t>
      </w:r>
      <w:r w:rsidRPr="006C6C80">
        <w:rPr>
          <w:rFonts w:ascii="Cambria" w:hAnsi="Cambria"/>
          <w:sz w:val="18"/>
          <w:szCs w:val="18"/>
          <w:lang w:val="en-US"/>
        </w:rPr>
        <w:t xml:space="preserve"> Sacatepéquez </w:t>
      </w:r>
      <w:r w:rsidR="00A25842" w:rsidRPr="006C6C80">
        <w:rPr>
          <w:rFonts w:ascii="Cambria" w:hAnsi="Cambria"/>
          <w:sz w:val="18"/>
          <w:szCs w:val="18"/>
          <w:lang w:val="en-US"/>
        </w:rPr>
        <w:t>he must be dismissed from his job in the latter Court of Justice.</w:t>
      </w:r>
      <w:r w:rsidRPr="006C6C80">
        <w:rPr>
          <w:rStyle w:val="FootnoteReference"/>
          <w:rFonts w:ascii="Cambria" w:hAnsi="Cambria"/>
          <w:sz w:val="18"/>
          <w:szCs w:val="18"/>
          <w:lang w:val="en-US"/>
        </w:rPr>
        <w:footnoteReference w:id="37"/>
      </w:r>
    </w:p>
    <w:p w:rsidR="009620DB" w:rsidRPr="006C6C80" w:rsidRDefault="00A25842" w:rsidP="00B54921">
      <w:pPr>
        <w:pStyle w:val="parrafos"/>
        <w:numPr>
          <w:ilvl w:val="0"/>
          <w:numId w:val="56"/>
        </w:numPr>
        <w:tabs>
          <w:tab w:val="left" w:pos="720"/>
        </w:tabs>
        <w:ind w:left="0" w:firstLine="0"/>
        <w:rPr>
          <w:lang w:val="en-US"/>
        </w:rPr>
      </w:pPr>
      <w:r w:rsidRPr="006C6C80">
        <w:rPr>
          <w:lang w:val="en-US"/>
        </w:rPr>
        <w:t>On September</w:t>
      </w:r>
      <w:r w:rsidR="00A72B90" w:rsidRPr="006C6C80">
        <w:rPr>
          <w:lang w:val="en-US"/>
        </w:rPr>
        <w:t xml:space="preserve"> 25</w:t>
      </w:r>
      <w:r w:rsidRPr="006C6C80">
        <w:rPr>
          <w:lang w:val="en-US"/>
        </w:rPr>
        <w:t>,</w:t>
      </w:r>
      <w:r w:rsidR="00A72B90" w:rsidRPr="006C6C80">
        <w:rPr>
          <w:lang w:val="en-US"/>
        </w:rPr>
        <w:t xml:space="preserve"> 1999</w:t>
      </w:r>
      <w:r w:rsidRPr="006C6C80">
        <w:rPr>
          <w:lang w:val="en-US"/>
        </w:rPr>
        <w:t xml:space="preserve">, the petitioners filed </w:t>
      </w:r>
      <w:r w:rsidR="008D48E9" w:rsidRPr="006C6C80">
        <w:rPr>
          <w:lang w:val="en-US"/>
        </w:rPr>
        <w:t xml:space="preserve">a motion </w:t>
      </w:r>
      <w:r w:rsidR="00200A52">
        <w:rPr>
          <w:lang w:val="en-US"/>
        </w:rPr>
        <w:t xml:space="preserve">for </w:t>
      </w:r>
      <w:proofErr w:type="spellStart"/>
      <w:r w:rsidR="00200A52" w:rsidRPr="00200A52">
        <w:rPr>
          <w:i/>
          <w:lang w:val="en-US"/>
        </w:rPr>
        <w:t>amparo</w:t>
      </w:r>
      <w:proofErr w:type="spellEnd"/>
      <w:r w:rsidR="008D48E9" w:rsidRPr="006C6C80">
        <w:rPr>
          <w:lang w:val="en-US"/>
        </w:rPr>
        <w:t xml:space="preserve"> with the </w:t>
      </w:r>
      <w:r w:rsidR="00C4756E">
        <w:rPr>
          <w:lang w:val="en-US"/>
        </w:rPr>
        <w:t>Constitutional Court</w:t>
      </w:r>
      <w:r w:rsidR="00A72B90" w:rsidRPr="006C6C80">
        <w:rPr>
          <w:lang w:val="en-US"/>
        </w:rPr>
        <w:t xml:space="preserve">. </w:t>
      </w:r>
      <w:r w:rsidR="00262526" w:rsidRPr="006C6C80">
        <w:rPr>
          <w:lang w:val="en-US"/>
        </w:rPr>
        <w:t>In the context of this remedy, they argued that</w:t>
      </w:r>
      <w:r w:rsidR="00B72038" w:rsidRPr="006C6C80">
        <w:rPr>
          <w:lang w:val="en-US"/>
        </w:rPr>
        <w:t xml:space="preserve">: </w:t>
      </w:r>
    </w:p>
    <w:p w:rsidR="009620DB" w:rsidRPr="006C6C80" w:rsidRDefault="009620DB" w:rsidP="00B54921">
      <w:pPr>
        <w:pStyle w:val="ListParagraph"/>
        <w:tabs>
          <w:tab w:val="left" w:pos="720"/>
        </w:tabs>
        <w:rPr>
          <w:rFonts w:asciiTheme="majorHAnsi" w:hAnsiTheme="majorHAnsi"/>
          <w:sz w:val="20"/>
          <w:szCs w:val="20"/>
        </w:rPr>
      </w:pPr>
    </w:p>
    <w:p w:rsidR="001255B8" w:rsidRPr="006C6C80" w:rsidRDefault="00C964CF" w:rsidP="00B5492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360" w:right="360"/>
        <w:jc w:val="both"/>
        <w:rPr>
          <w:sz w:val="18"/>
          <w:szCs w:val="18"/>
        </w:rPr>
      </w:pPr>
      <w:r w:rsidRPr="006C6C80">
        <w:rPr>
          <w:rFonts w:asciiTheme="majorHAnsi" w:hAnsiTheme="majorHAnsi"/>
          <w:sz w:val="18"/>
          <w:szCs w:val="18"/>
        </w:rPr>
        <w:t>B) Article 12 of the Political Constitution of the Republic is violated by the magistrates comprising the Supreme Court of Justice because this article establishes constitu</w:t>
      </w:r>
      <w:r w:rsidR="00074EE3">
        <w:rPr>
          <w:rFonts w:asciiTheme="majorHAnsi" w:hAnsiTheme="majorHAnsi"/>
          <w:sz w:val="18"/>
          <w:szCs w:val="18"/>
        </w:rPr>
        <w:t xml:space="preserve">tional guarantees of due process </w:t>
      </w:r>
      <w:r w:rsidRPr="006C6C80">
        <w:rPr>
          <w:rFonts w:asciiTheme="majorHAnsi" w:hAnsiTheme="majorHAnsi"/>
          <w:sz w:val="18"/>
          <w:szCs w:val="18"/>
        </w:rPr>
        <w:t xml:space="preserve">of law and the right </w:t>
      </w:r>
      <w:r w:rsidR="00074EE3">
        <w:rPr>
          <w:rFonts w:asciiTheme="majorHAnsi" w:hAnsiTheme="majorHAnsi"/>
          <w:sz w:val="18"/>
          <w:szCs w:val="18"/>
        </w:rPr>
        <w:t>of</w:t>
      </w:r>
      <w:r w:rsidRPr="006C6C80">
        <w:rPr>
          <w:rFonts w:asciiTheme="majorHAnsi" w:hAnsiTheme="majorHAnsi"/>
          <w:sz w:val="18"/>
          <w:szCs w:val="18"/>
        </w:rPr>
        <w:t xml:space="preserve"> defense, and because this Court issue</w:t>
      </w:r>
      <w:r w:rsidR="00074EE3">
        <w:rPr>
          <w:rFonts w:asciiTheme="majorHAnsi" w:hAnsiTheme="majorHAnsi"/>
          <w:sz w:val="18"/>
          <w:szCs w:val="18"/>
        </w:rPr>
        <w:t>d</w:t>
      </w:r>
      <w:r w:rsidRPr="006C6C80">
        <w:rPr>
          <w:rFonts w:asciiTheme="majorHAnsi" w:hAnsiTheme="majorHAnsi"/>
          <w:sz w:val="18"/>
          <w:szCs w:val="18"/>
        </w:rPr>
        <w:t xml:space="preserve"> the ruling of September 1 of the present year ordering the dismissal of 508 employees of the Judiciary, including among them the leaders of the Union of this body, without previously giving them a hearing as provided for in Article 22 of the Collective Working Conditions Agreement in the case of the former</w:t>
      </w:r>
      <w:r w:rsidR="00074EE3">
        <w:rPr>
          <w:rFonts w:asciiTheme="majorHAnsi" w:hAnsiTheme="majorHAnsi"/>
          <w:sz w:val="18"/>
          <w:szCs w:val="18"/>
        </w:rPr>
        <w:t>,</w:t>
      </w:r>
      <w:r w:rsidRPr="006C6C80">
        <w:rPr>
          <w:rFonts w:asciiTheme="majorHAnsi" w:hAnsiTheme="majorHAnsi"/>
          <w:sz w:val="18"/>
          <w:szCs w:val="18"/>
        </w:rPr>
        <w:t xml:space="preserve"> and fail</w:t>
      </w:r>
      <w:r w:rsidR="00074EE3">
        <w:rPr>
          <w:rFonts w:asciiTheme="majorHAnsi" w:hAnsiTheme="majorHAnsi"/>
          <w:sz w:val="18"/>
          <w:szCs w:val="18"/>
        </w:rPr>
        <w:t>ing</w:t>
      </w:r>
      <w:r w:rsidRPr="006C6C80">
        <w:rPr>
          <w:rFonts w:asciiTheme="majorHAnsi" w:hAnsiTheme="majorHAnsi"/>
          <w:sz w:val="18"/>
          <w:szCs w:val="18"/>
        </w:rPr>
        <w:t xml:space="preserve"> to abide by the principle of union</w:t>
      </w:r>
      <w:r w:rsidR="00193811">
        <w:rPr>
          <w:rFonts w:asciiTheme="majorHAnsi" w:hAnsiTheme="majorHAnsi"/>
          <w:sz w:val="18"/>
          <w:szCs w:val="18"/>
        </w:rPr>
        <w:t xml:space="preserve"> job</w:t>
      </w:r>
      <w:r w:rsidRPr="006C6C80">
        <w:rPr>
          <w:rFonts w:asciiTheme="majorHAnsi" w:hAnsiTheme="majorHAnsi"/>
          <w:sz w:val="18"/>
          <w:szCs w:val="18"/>
        </w:rPr>
        <w:t xml:space="preserve"> </w:t>
      </w:r>
      <w:proofErr w:type="spellStart"/>
      <w:r w:rsidRPr="006C6C80">
        <w:rPr>
          <w:rFonts w:asciiTheme="majorHAnsi" w:hAnsiTheme="majorHAnsi"/>
          <w:sz w:val="18"/>
          <w:szCs w:val="18"/>
        </w:rPr>
        <w:t>irremovability</w:t>
      </w:r>
      <w:proofErr w:type="spellEnd"/>
      <w:r w:rsidRPr="006C6C80">
        <w:rPr>
          <w:rFonts w:asciiTheme="majorHAnsi" w:hAnsiTheme="majorHAnsi"/>
          <w:sz w:val="18"/>
          <w:szCs w:val="18"/>
        </w:rPr>
        <w:t xml:space="preserve"> as set forth in Article 12 of that instrument</w:t>
      </w:r>
      <w:r w:rsidR="00453A30" w:rsidRPr="006C6C80">
        <w:rPr>
          <w:rFonts w:asciiTheme="majorHAnsi" w:hAnsiTheme="majorHAnsi"/>
          <w:sz w:val="18"/>
          <w:szCs w:val="18"/>
        </w:rPr>
        <w:t xml:space="preserve"> </w:t>
      </w:r>
      <w:r w:rsidRPr="006C6C80">
        <w:rPr>
          <w:rFonts w:asciiTheme="majorHAnsi" w:hAnsiTheme="majorHAnsi"/>
          <w:sz w:val="18"/>
          <w:szCs w:val="18"/>
        </w:rPr>
        <w:t>on collective formation in the case of the latter.</w:t>
      </w:r>
      <w:r w:rsidR="00484266" w:rsidRPr="006C6C80">
        <w:rPr>
          <w:rStyle w:val="FootnoteReference"/>
          <w:rFonts w:asciiTheme="majorHAnsi" w:hAnsiTheme="majorHAnsi"/>
          <w:sz w:val="18"/>
          <w:szCs w:val="18"/>
        </w:rPr>
        <w:footnoteReference w:id="38"/>
      </w:r>
    </w:p>
    <w:p w:rsidR="009620DB" w:rsidRPr="006C6C80" w:rsidRDefault="009620DB" w:rsidP="00B5492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Theme="majorHAnsi" w:hAnsiTheme="majorHAnsi"/>
          <w:i/>
          <w:sz w:val="20"/>
          <w:szCs w:val="20"/>
        </w:rPr>
      </w:pPr>
    </w:p>
    <w:p w:rsidR="00436C85" w:rsidRPr="006C6C80" w:rsidRDefault="00C964CF" w:rsidP="00B54921">
      <w:pPr>
        <w:pStyle w:val="parrafos"/>
        <w:numPr>
          <w:ilvl w:val="0"/>
          <w:numId w:val="56"/>
        </w:numPr>
        <w:tabs>
          <w:tab w:val="left" w:pos="720"/>
        </w:tabs>
        <w:ind w:left="0" w:firstLine="0"/>
        <w:rPr>
          <w:i/>
          <w:lang w:val="en-US"/>
        </w:rPr>
      </w:pPr>
      <w:r w:rsidRPr="006C6C80">
        <w:rPr>
          <w:lang w:val="en-US"/>
        </w:rPr>
        <w:t>On February</w:t>
      </w:r>
      <w:r w:rsidR="00436C85" w:rsidRPr="006C6C80">
        <w:rPr>
          <w:lang w:val="en-US"/>
        </w:rPr>
        <w:t xml:space="preserve"> 29</w:t>
      </w:r>
      <w:r w:rsidRPr="006C6C80">
        <w:rPr>
          <w:lang w:val="en-US"/>
        </w:rPr>
        <w:t>,</w:t>
      </w:r>
      <w:r w:rsidR="00436C85" w:rsidRPr="006C6C80">
        <w:rPr>
          <w:lang w:val="en-US"/>
        </w:rPr>
        <w:t xml:space="preserve"> 2000</w:t>
      </w:r>
      <w:r w:rsidRPr="006C6C80">
        <w:rPr>
          <w:lang w:val="en-US"/>
        </w:rPr>
        <w:t xml:space="preserve">, the </w:t>
      </w:r>
      <w:r w:rsidR="00C4756E">
        <w:rPr>
          <w:lang w:val="en-US"/>
        </w:rPr>
        <w:t>Constitutional Court</w:t>
      </w:r>
      <w:r w:rsidR="00200A52">
        <w:rPr>
          <w:lang w:val="en-US"/>
        </w:rPr>
        <w:t xml:space="preserve"> dismissed the appeal for </w:t>
      </w:r>
      <w:proofErr w:type="spellStart"/>
      <w:r w:rsidR="00200A52" w:rsidRPr="00200A52">
        <w:rPr>
          <w:i/>
          <w:lang w:val="en-US"/>
        </w:rPr>
        <w:t>amparo</w:t>
      </w:r>
      <w:proofErr w:type="spellEnd"/>
      <w:r w:rsidR="00436C85" w:rsidRPr="006C6C80">
        <w:rPr>
          <w:lang w:val="en-US"/>
        </w:rPr>
        <w:t xml:space="preserve"> </w:t>
      </w:r>
      <w:r w:rsidRPr="006C6C80">
        <w:rPr>
          <w:lang w:val="en-US"/>
        </w:rPr>
        <w:t>that was filed. The Court determined that</w:t>
      </w:r>
      <w:r w:rsidR="00B72038" w:rsidRPr="006C6C80">
        <w:rPr>
          <w:lang w:val="en-US"/>
        </w:rPr>
        <w:t>:</w:t>
      </w:r>
    </w:p>
    <w:p w:rsidR="0043599A" w:rsidRPr="006C6C80" w:rsidRDefault="00B904D2" w:rsidP="00B54921">
      <w:pPr>
        <w:pStyle w:val="NormalWeb"/>
        <w:tabs>
          <w:tab w:val="left" w:pos="720"/>
        </w:tabs>
        <w:spacing w:before="240" w:beforeAutospacing="0"/>
        <w:ind w:left="360" w:right="360"/>
        <w:jc w:val="both"/>
        <w:rPr>
          <w:rFonts w:asciiTheme="majorHAnsi" w:hAnsiTheme="majorHAnsi"/>
          <w:sz w:val="18"/>
          <w:szCs w:val="18"/>
          <w:lang w:val="en-US"/>
        </w:rPr>
      </w:pPr>
      <w:r w:rsidRPr="006C6C80">
        <w:rPr>
          <w:rFonts w:asciiTheme="majorHAnsi" w:hAnsiTheme="majorHAnsi"/>
          <w:sz w:val="18"/>
          <w:szCs w:val="18"/>
          <w:lang w:val="en-US"/>
        </w:rPr>
        <w:t xml:space="preserve">(…) </w:t>
      </w:r>
      <w:r w:rsidR="00C964CF" w:rsidRPr="006C6C80">
        <w:rPr>
          <w:rFonts w:asciiTheme="majorHAnsi" w:hAnsiTheme="majorHAnsi"/>
          <w:sz w:val="18"/>
          <w:szCs w:val="18"/>
          <w:lang w:val="en-US"/>
        </w:rPr>
        <w:t>On the basis of the examination of the background, it was established that the authority b</w:t>
      </w:r>
      <w:r w:rsidR="008831B0" w:rsidRPr="006C6C80">
        <w:rPr>
          <w:rFonts w:asciiTheme="majorHAnsi" w:hAnsiTheme="majorHAnsi"/>
          <w:sz w:val="18"/>
          <w:szCs w:val="18"/>
          <w:lang w:val="en-US"/>
        </w:rPr>
        <w:t>eing challenged took the decisio</w:t>
      </w:r>
      <w:r w:rsidR="00C964CF" w:rsidRPr="006C6C80">
        <w:rPr>
          <w:rFonts w:asciiTheme="majorHAnsi" w:hAnsiTheme="majorHAnsi"/>
          <w:sz w:val="18"/>
          <w:szCs w:val="18"/>
          <w:lang w:val="en-US"/>
        </w:rPr>
        <w:t xml:space="preserve">n of dismissing several of its employees, including members of the </w:t>
      </w:r>
      <w:r w:rsidR="00747D1A">
        <w:rPr>
          <w:rFonts w:asciiTheme="majorHAnsi" w:hAnsiTheme="majorHAnsi"/>
          <w:sz w:val="18"/>
          <w:szCs w:val="18"/>
          <w:lang w:val="en-US"/>
        </w:rPr>
        <w:t>Executive Committee</w:t>
      </w:r>
      <w:r w:rsidR="00C964CF" w:rsidRPr="006C6C80">
        <w:rPr>
          <w:rFonts w:asciiTheme="majorHAnsi" w:hAnsiTheme="majorHAnsi"/>
          <w:sz w:val="18"/>
          <w:szCs w:val="18"/>
          <w:lang w:val="en-US"/>
        </w:rPr>
        <w:t xml:space="preserve"> of the</w:t>
      </w:r>
      <w:r w:rsidR="00193811">
        <w:rPr>
          <w:rFonts w:asciiTheme="majorHAnsi" w:hAnsiTheme="majorHAnsi"/>
          <w:sz w:val="18"/>
          <w:szCs w:val="18"/>
          <w:lang w:val="en-US"/>
        </w:rPr>
        <w:t xml:space="preserve"> Workers</w:t>
      </w:r>
      <w:r w:rsidR="00C964CF" w:rsidRPr="006C6C80">
        <w:rPr>
          <w:rFonts w:asciiTheme="majorHAnsi" w:hAnsiTheme="majorHAnsi"/>
          <w:sz w:val="18"/>
          <w:szCs w:val="18"/>
          <w:lang w:val="en-US"/>
        </w:rPr>
        <w:t xml:space="preserve"> Union of that body, because, as the appointing authority it was required to implement what had been decided by the Labor Chamber which heard the case by virtue of which it was declared that the</w:t>
      </w:r>
      <w:r w:rsidR="009844E3">
        <w:rPr>
          <w:rFonts w:asciiTheme="majorHAnsi" w:hAnsiTheme="majorHAnsi"/>
          <w:sz w:val="18"/>
          <w:szCs w:val="18"/>
          <w:lang w:val="en-US"/>
        </w:rPr>
        <w:t xml:space="preserve"> action</w:t>
      </w:r>
      <w:r w:rsidR="00C964CF" w:rsidRPr="006C6C80">
        <w:rPr>
          <w:rFonts w:asciiTheme="majorHAnsi" w:hAnsiTheme="majorHAnsi"/>
          <w:sz w:val="18"/>
          <w:szCs w:val="18"/>
          <w:lang w:val="en-US"/>
        </w:rPr>
        <w:t xml:space="preserve"> being promoted by the Union was unlawful</w:t>
      </w:r>
      <w:r w:rsidRPr="006C6C80">
        <w:rPr>
          <w:rFonts w:asciiTheme="majorHAnsi" w:hAnsiTheme="majorHAnsi"/>
          <w:sz w:val="18"/>
          <w:szCs w:val="18"/>
          <w:lang w:val="en-US"/>
        </w:rPr>
        <w:t xml:space="preserve">. </w:t>
      </w:r>
      <w:r w:rsidR="00C964CF" w:rsidRPr="006C6C80">
        <w:rPr>
          <w:rFonts w:asciiTheme="majorHAnsi" w:hAnsiTheme="majorHAnsi"/>
          <w:sz w:val="18"/>
          <w:szCs w:val="18"/>
          <w:lang w:val="en-US"/>
        </w:rPr>
        <w:t xml:space="preserve">Because that ruling was a final ruling and, on that basis, had fully established </w:t>
      </w:r>
      <w:r w:rsidR="00F771E5" w:rsidRPr="006C6C80">
        <w:rPr>
          <w:rFonts w:asciiTheme="majorHAnsi" w:hAnsiTheme="majorHAnsi"/>
          <w:sz w:val="18"/>
          <w:szCs w:val="18"/>
          <w:lang w:val="en-US"/>
        </w:rPr>
        <w:t>the ca</w:t>
      </w:r>
      <w:r w:rsidR="00C964CF" w:rsidRPr="006C6C80">
        <w:rPr>
          <w:rFonts w:asciiTheme="majorHAnsi" w:hAnsiTheme="majorHAnsi"/>
          <w:sz w:val="18"/>
          <w:szCs w:val="18"/>
          <w:lang w:val="en-US"/>
        </w:rPr>
        <w:t xml:space="preserve">use for </w:t>
      </w:r>
      <w:r w:rsidR="00F771E5" w:rsidRPr="006C6C80">
        <w:rPr>
          <w:rFonts w:asciiTheme="majorHAnsi" w:hAnsiTheme="majorHAnsi"/>
          <w:sz w:val="18"/>
          <w:szCs w:val="18"/>
          <w:lang w:val="en-US"/>
        </w:rPr>
        <w:t>dismissal, it was unnecessary</w:t>
      </w:r>
      <w:r w:rsidR="00C964CF" w:rsidRPr="006C6C80">
        <w:rPr>
          <w:rFonts w:asciiTheme="majorHAnsi" w:hAnsiTheme="majorHAnsi"/>
          <w:sz w:val="18"/>
          <w:szCs w:val="18"/>
          <w:lang w:val="en-US"/>
        </w:rPr>
        <w:t xml:space="preserve"> to </w:t>
      </w:r>
      <w:r w:rsidR="00193811">
        <w:rPr>
          <w:rFonts w:asciiTheme="majorHAnsi" w:hAnsiTheme="majorHAnsi"/>
          <w:sz w:val="18"/>
          <w:szCs w:val="18"/>
          <w:lang w:val="en-US"/>
        </w:rPr>
        <w:t xml:space="preserve">file preliminary proceedings </w:t>
      </w:r>
      <w:r w:rsidR="00F771E5" w:rsidRPr="006C6C80">
        <w:rPr>
          <w:rFonts w:asciiTheme="majorHAnsi" w:hAnsiTheme="majorHAnsi"/>
          <w:sz w:val="18"/>
          <w:szCs w:val="18"/>
          <w:lang w:val="en-US"/>
        </w:rPr>
        <w:t xml:space="preserve">of dismissal or </w:t>
      </w:r>
      <w:r w:rsidR="00193811">
        <w:rPr>
          <w:rFonts w:asciiTheme="majorHAnsi" w:hAnsiTheme="majorHAnsi"/>
          <w:sz w:val="18"/>
          <w:szCs w:val="18"/>
          <w:lang w:val="en-US"/>
        </w:rPr>
        <w:t xml:space="preserve">a </w:t>
      </w:r>
      <w:r w:rsidR="00F771E5" w:rsidRPr="006C6C80">
        <w:rPr>
          <w:rFonts w:asciiTheme="majorHAnsi" w:hAnsiTheme="majorHAnsi"/>
          <w:sz w:val="18"/>
          <w:szCs w:val="18"/>
          <w:lang w:val="en-US"/>
        </w:rPr>
        <w:t xml:space="preserve">regular trial to determine the contracts according to the case, because the power to terminate labor relationships had already been granted by the competent judicial authority, </w:t>
      </w:r>
      <w:r w:rsidR="00193811">
        <w:rPr>
          <w:rFonts w:asciiTheme="majorHAnsi" w:hAnsiTheme="majorHAnsi"/>
          <w:sz w:val="18"/>
          <w:szCs w:val="18"/>
          <w:lang w:val="en-US"/>
        </w:rPr>
        <w:t>since</w:t>
      </w:r>
      <w:r w:rsidR="00F771E5" w:rsidRPr="006C6C80">
        <w:rPr>
          <w:rFonts w:asciiTheme="majorHAnsi" w:hAnsiTheme="majorHAnsi"/>
          <w:sz w:val="18"/>
          <w:szCs w:val="18"/>
          <w:lang w:val="en-US"/>
        </w:rPr>
        <w:t xml:space="preserve"> it had ruled that the strike was unlawful and </w:t>
      </w:r>
      <w:r w:rsidR="00193811">
        <w:rPr>
          <w:rFonts w:asciiTheme="majorHAnsi" w:hAnsiTheme="majorHAnsi"/>
          <w:sz w:val="18"/>
          <w:szCs w:val="18"/>
          <w:lang w:val="en-US"/>
        </w:rPr>
        <w:t>as a result</w:t>
      </w:r>
      <w:r w:rsidR="00F771E5" w:rsidRPr="006C6C80">
        <w:rPr>
          <w:rFonts w:asciiTheme="majorHAnsi" w:hAnsiTheme="majorHAnsi"/>
          <w:sz w:val="18"/>
          <w:szCs w:val="18"/>
          <w:lang w:val="en-US"/>
        </w:rPr>
        <w:t xml:space="preserve"> concluded that the consequence that pertained to that action was the dismissal of the striking employees, with the only limitation that it should be </w:t>
      </w:r>
      <w:r w:rsidR="00193811">
        <w:rPr>
          <w:rFonts w:asciiTheme="majorHAnsi" w:hAnsiTheme="majorHAnsi"/>
          <w:sz w:val="18"/>
          <w:szCs w:val="18"/>
          <w:lang w:val="en-US"/>
        </w:rPr>
        <w:t xml:space="preserve">previously </w:t>
      </w:r>
      <w:r w:rsidR="00F771E5" w:rsidRPr="006C6C80">
        <w:rPr>
          <w:rFonts w:asciiTheme="majorHAnsi" w:hAnsiTheme="majorHAnsi"/>
          <w:sz w:val="18"/>
          <w:szCs w:val="18"/>
          <w:lang w:val="en-US"/>
        </w:rPr>
        <w:t>administratively proven that they ha</w:t>
      </w:r>
      <w:r w:rsidR="00193811">
        <w:rPr>
          <w:rFonts w:asciiTheme="majorHAnsi" w:hAnsiTheme="majorHAnsi"/>
          <w:sz w:val="18"/>
          <w:szCs w:val="18"/>
          <w:lang w:val="en-US"/>
        </w:rPr>
        <w:t xml:space="preserve">d gone </w:t>
      </w:r>
      <w:r w:rsidR="00F771E5" w:rsidRPr="006C6C80">
        <w:rPr>
          <w:rFonts w:asciiTheme="majorHAnsi" w:hAnsiTheme="majorHAnsi"/>
          <w:sz w:val="18"/>
          <w:szCs w:val="18"/>
          <w:lang w:val="en-US"/>
        </w:rPr>
        <w:t>on strike and because it</w:t>
      </w:r>
      <w:r w:rsidR="00193811">
        <w:rPr>
          <w:rFonts w:asciiTheme="majorHAnsi" w:hAnsiTheme="majorHAnsi"/>
          <w:sz w:val="18"/>
          <w:szCs w:val="18"/>
          <w:lang w:val="en-US"/>
        </w:rPr>
        <w:t>s course of action</w:t>
      </w:r>
      <w:r w:rsidR="00F771E5" w:rsidRPr="006C6C80">
        <w:rPr>
          <w:rFonts w:asciiTheme="majorHAnsi" w:hAnsiTheme="majorHAnsi"/>
          <w:sz w:val="18"/>
          <w:szCs w:val="18"/>
          <w:lang w:val="en-US"/>
        </w:rPr>
        <w:t xml:space="preserve"> is to abide by the provisions of the final court ruling, the p</w:t>
      </w:r>
      <w:r w:rsidR="00193811">
        <w:rPr>
          <w:rFonts w:asciiTheme="majorHAnsi" w:hAnsiTheme="majorHAnsi"/>
          <w:sz w:val="18"/>
          <w:szCs w:val="18"/>
          <w:lang w:val="en-US"/>
        </w:rPr>
        <w:t>resent Court deems that it has respected court proceedings</w:t>
      </w:r>
      <w:r w:rsidR="00F771E5" w:rsidRPr="006C6C80">
        <w:rPr>
          <w:rFonts w:asciiTheme="majorHAnsi" w:hAnsiTheme="majorHAnsi"/>
          <w:sz w:val="18"/>
          <w:szCs w:val="18"/>
          <w:lang w:val="en-US"/>
        </w:rPr>
        <w:t xml:space="preserve"> and is not violating the constitution at all</w:t>
      </w:r>
      <w:r w:rsidR="0043599A" w:rsidRPr="006C6C80">
        <w:rPr>
          <w:rFonts w:asciiTheme="majorHAnsi" w:hAnsiTheme="majorHAnsi"/>
          <w:sz w:val="18"/>
          <w:szCs w:val="18"/>
          <w:lang w:val="en-US"/>
        </w:rPr>
        <w:t xml:space="preserve">. </w:t>
      </w:r>
    </w:p>
    <w:p w:rsidR="00436C85" w:rsidRPr="006C6C80" w:rsidRDefault="00F771E5" w:rsidP="00B54921">
      <w:pPr>
        <w:pStyle w:val="NormalWeb"/>
        <w:tabs>
          <w:tab w:val="left" w:pos="720"/>
        </w:tabs>
        <w:spacing w:before="240" w:beforeAutospacing="0"/>
        <w:ind w:left="360" w:right="360"/>
        <w:jc w:val="both"/>
        <w:rPr>
          <w:rFonts w:asciiTheme="majorHAnsi" w:hAnsiTheme="majorHAnsi"/>
          <w:sz w:val="18"/>
          <w:szCs w:val="18"/>
          <w:lang w:val="en-US"/>
        </w:rPr>
      </w:pPr>
      <w:r w:rsidRPr="006C6C80">
        <w:rPr>
          <w:rFonts w:asciiTheme="majorHAnsi" w:hAnsiTheme="majorHAnsi"/>
          <w:sz w:val="18"/>
          <w:szCs w:val="18"/>
          <w:lang w:val="en-US"/>
        </w:rPr>
        <w:t>Under other circumstances, the personal situation of the members of the</w:t>
      </w:r>
      <w:r w:rsidR="00193811">
        <w:rPr>
          <w:rFonts w:asciiTheme="majorHAnsi" w:hAnsiTheme="majorHAnsi"/>
          <w:sz w:val="18"/>
          <w:szCs w:val="18"/>
          <w:lang w:val="en-US"/>
        </w:rPr>
        <w:t xml:space="preserve"> Union’s</w:t>
      </w:r>
      <w:r w:rsidRPr="006C6C80">
        <w:rPr>
          <w:rFonts w:asciiTheme="majorHAnsi" w:hAnsiTheme="majorHAnsi"/>
          <w:sz w:val="18"/>
          <w:szCs w:val="18"/>
          <w:lang w:val="en-US"/>
        </w:rPr>
        <w:t xml:space="preserve"> Executive </w:t>
      </w:r>
      <w:r w:rsidR="00193811">
        <w:rPr>
          <w:rFonts w:asciiTheme="majorHAnsi" w:hAnsiTheme="majorHAnsi"/>
          <w:sz w:val="18"/>
          <w:szCs w:val="18"/>
          <w:lang w:val="en-US"/>
        </w:rPr>
        <w:t>Committee</w:t>
      </w:r>
      <w:r w:rsidRPr="006C6C80">
        <w:rPr>
          <w:rFonts w:asciiTheme="majorHAnsi" w:hAnsiTheme="majorHAnsi"/>
          <w:sz w:val="18"/>
          <w:szCs w:val="18"/>
          <w:lang w:val="en-US"/>
        </w:rPr>
        <w:t xml:space="preserve"> and its branches would have merited a different treatment; nevertheless, because in this case it came from a union </w:t>
      </w:r>
      <w:r w:rsidR="009844E3">
        <w:rPr>
          <w:rFonts w:asciiTheme="majorHAnsi" w:hAnsiTheme="majorHAnsi"/>
          <w:sz w:val="18"/>
          <w:szCs w:val="18"/>
          <w:lang w:val="en-US"/>
        </w:rPr>
        <w:t>action</w:t>
      </w:r>
      <w:r w:rsidRPr="006C6C80">
        <w:rPr>
          <w:rFonts w:asciiTheme="majorHAnsi" w:hAnsiTheme="majorHAnsi"/>
          <w:sz w:val="18"/>
          <w:szCs w:val="18"/>
          <w:lang w:val="en-US"/>
        </w:rPr>
        <w:t xml:space="preserve"> whose unlawfulness was fully ruled </w:t>
      </w:r>
      <w:r w:rsidR="009844E3">
        <w:rPr>
          <w:rFonts w:asciiTheme="majorHAnsi" w:hAnsiTheme="majorHAnsi"/>
          <w:sz w:val="18"/>
          <w:szCs w:val="18"/>
          <w:lang w:val="en-US"/>
        </w:rPr>
        <w:t>upon, the legal rights of organized labor</w:t>
      </w:r>
      <w:r w:rsidRPr="006C6C80">
        <w:rPr>
          <w:rFonts w:asciiTheme="majorHAnsi" w:hAnsiTheme="majorHAnsi"/>
          <w:sz w:val="18"/>
          <w:szCs w:val="18"/>
          <w:lang w:val="en-US"/>
        </w:rPr>
        <w:t xml:space="preserve"> as provided for in Article 223, subp</w:t>
      </w:r>
      <w:r w:rsidR="009844E3">
        <w:rPr>
          <w:rFonts w:asciiTheme="majorHAnsi" w:hAnsiTheme="majorHAnsi"/>
          <w:sz w:val="18"/>
          <w:szCs w:val="18"/>
          <w:lang w:val="en-US"/>
        </w:rPr>
        <w:t>aragraph d) of the Labor Code are</w:t>
      </w:r>
      <w:r w:rsidRPr="006C6C80">
        <w:rPr>
          <w:rFonts w:asciiTheme="majorHAnsi" w:hAnsiTheme="majorHAnsi"/>
          <w:sz w:val="18"/>
          <w:szCs w:val="18"/>
          <w:lang w:val="en-US"/>
        </w:rPr>
        <w:t xml:space="preserve"> not applicable </w:t>
      </w:r>
      <w:r w:rsidR="0043599A" w:rsidRPr="006C6C80">
        <w:rPr>
          <w:rFonts w:asciiTheme="majorHAnsi" w:hAnsiTheme="majorHAnsi"/>
          <w:sz w:val="18"/>
          <w:szCs w:val="18"/>
          <w:lang w:val="en-US"/>
        </w:rPr>
        <w:t>(…)</w:t>
      </w:r>
      <w:r w:rsidRPr="006C6C80">
        <w:rPr>
          <w:rFonts w:asciiTheme="majorHAnsi" w:hAnsiTheme="majorHAnsi"/>
          <w:sz w:val="18"/>
          <w:szCs w:val="18"/>
          <w:lang w:val="en-US"/>
        </w:rPr>
        <w:t>.</w:t>
      </w:r>
      <w:r w:rsidR="00436C85" w:rsidRPr="006C6C80">
        <w:rPr>
          <w:rStyle w:val="FootnoteReference"/>
          <w:rFonts w:asciiTheme="majorHAnsi" w:hAnsiTheme="majorHAnsi"/>
          <w:sz w:val="18"/>
          <w:szCs w:val="18"/>
          <w:lang w:val="en-US"/>
        </w:rPr>
        <w:footnoteReference w:id="39"/>
      </w:r>
    </w:p>
    <w:p w:rsidR="00CA6207" w:rsidRPr="006C6C80" w:rsidRDefault="00F771E5" w:rsidP="00B54921">
      <w:pPr>
        <w:pStyle w:val="parrafos"/>
        <w:numPr>
          <w:ilvl w:val="0"/>
          <w:numId w:val="56"/>
        </w:numPr>
        <w:tabs>
          <w:tab w:val="left" w:pos="720"/>
        </w:tabs>
        <w:ind w:left="0" w:firstLine="0"/>
        <w:rPr>
          <w:lang w:val="en-US"/>
        </w:rPr>
      </w:pPr>
      <w:r w:rsidRPr="006C6C80">
        <w:rPr>
          <w:lang w:val="en-US"/>
        </w:rPr>
        <w:t>The IACHR takes note that a magistrate issue</w:t>
      </w:r>
      <w:r w:rsidR="003F0FB3" w:rsidRPr="006C6C80">
        <w:rPr>
          <w:lang w:val="en-US"/>
        </w:rPr>
        <w:t>d</w:t>
      </w:r>
      <w:r w:rsidRPr="006C6C80">
        <w:rPr>
          <w:lang w:val="en-US"/>
        </w:rPr>
        <w:t xml:space="preserve"> a dis</w:t>
      </w:r>
      <w:r w:rsidR="009844E3">
        <w:rPr>
          <w:lang w:val="en-US"/>
        </w:rPr>
        <w:t>senting</w:t>
      </w:r>
      <w:r w:rsidRPr="006C6C80">
        <w:rPr>
          <w:lang w:val="en-US"/>
        </w:rPr>
        <w:t xml:space="preserve"> vote arguing that “the way in which they were dismissed violates due process </w:t>
      </w:r>
      <w:r w:rsidR="009844E3">
        <w:rPr>
          <w:lang w:val="en-US"/>
        </w:rPr>
        <w:t>of law for dismissing</w:t>
      </w:r>
      <w:r w:rsidRPr="006C6C80">
        <w:rPr>
          <w:lang w:val="en-US"/>
        </w:rPr>
        <w:t xml:space="preserve"> an employee of the Judiciary as established in Article 22 of the Collective Working Conditions Agreement</w:t>
      </w:r>
      <w:r w:rsidR="009844E3">
        <w:rPr>
          <w:lang w:val="en-US"/>
        </w:rPr>
        <w:t>.</w:t>
      </w:r>
      <w:r w:rsidR="003F0FB3" w:rsidRPr="006C6C80">
        <w:rPr>
          <w:lang w:val="en-US"/>
        </w:rPr>
        <w:t xml:space="preserve"> </w:t>
      </w:r>
      <w:r w:rsidR="004B2634" w:rsidRPr="006C6C80">
        <w:rPr>
          <w:lang w:val="en-US"/>
        </w:rPr>
        <w:t xml:space="preserve">(…) </w:t>
      </w:r>
      <w:r w:rsidR="009844E3">
        <w:rPr>
          <w:lang w:val="en-US"/>
        </w:rPr>
        <w:t>[T]</w:t>
      </w:r>
      <w:r w:rsidR="003F0FB3" w:rsidRPr="006C6C80">
        <w:rPr>
          <w:lang w:val="en-US"/>
        </w:rPr>
        <w:t xml:space="preserve">he </w:t>
      </w:r>
      <w:r w:rsidR="009653AB">
        <w:rPr>
          <w:lang w:val="en-US"/>
        </w:rPr>
        <w:t>appointing</w:t>
      </w:r>
      <w:r w:rsidR="003F0FB3" w:rsidRPr="006C6C80">
        <w:rPr>
          <w:lang w:val="en-US"/>
        </w:rPr>
        <w:t xml:space="preserve"> authority could well have made the employee the object of a subsequent dismissal </w:t>
      </w:r>
      <w:r w:rsidR="009653AB">
        <w:rPr>
          <w:lang w:val="en-US"/>
        </w:rPr>
        <w:t>in the case referred to for the purpose of observing</w:t>
      </w:r>
      <w:r w:rsidR="003F0FB3" w:rsidRPr="006C6C80">
        <w:rPr>
          <w:lang w:val="en-US"/>
        </w:rPr>
        <w:t xml:space="preserve"> due process </w:t>
      </w:r>
      <w:r w:rsidR="003F0FB3" w:rsidRPr="006C6C80">
        <w:rPr>
          <w:lang w:val="en-US"/>
        </w:rPr>
        <w:lastRenderedPageBreak/>
        <w:t xml:space="preserve">of law by conducting the hearing it would have granted </w:t>
      </w:r>
      <w:r w:rsidR="009653AB">
        <w:rPr>
          <w:lang w:val="en-US"/>
        </w:rPr>
        <w:t xml:space="preserve">whereby it </w:t>
      </w:r>
      <w:r w:rsidR="003F0FB3" w:rsidRPr="006C6C80">
        <w:rPr>
          <w:lang w:val="en-US"/>
        </w:rPr>
        <w:t xml:space="preserve">could have removed said </w:t>
      </w:r>
      <w:proofErr w:type="gramStart"/>
      <w:r w:rsidR="003F0FB3" w:rsidRPr="006C6C80">
        <w:rPr>
          <w:lang w:val="en-US"/>
        </w:rPr>
        <w:t>cause</w:t>
      </w:r>
      <w:proofErr w:type="gramEnd"/>
      <w:r w:rsidR="003F0FB3" w:rsidRPr="006C6C80">
        <w:rPr>
          <w:lang w:val="en-US"/>
        </w:rPr>
        <w:t xml:space="preserve"> </w:t>
      </w:r>
      <w:r w:rsidR="009653AB">
        <w:rPr>
          <w:lang w:val="en-US"/>
        </w:rPr>
        <w:t xml:space="preserve">by </w:t>
      </w:r>
      <w:r w:rsidR="003F0FB3" w:rsidRPr="006C6C80">
        <w:rPr>
          <w:lang w:val="en-US"/>
        </w:rPr>
        <w:t xml:space="preserve">demonstrating </w:t>
      </w:r>
      <w:r w:rsidR="009653AB">
        <w:rPr>
          <w:lang w:val="en-US"/>
        </w:rPr>
        <w:t>his</w:t>
      </w:r>
      <w:r w:rsidR="00810EFC">
        <w:rPr>
          <w:lang w:val="en-US"/>
        </w:rPr>
        <w:t xml:space="preserve"> or her</w:t>
      </w:r>
      <w:r w:rsidR="003F0FB3" w:rsidRPr="006C6C80">
        <w:rPr>
          <w:lang w:val="en-US"/>
        </w:rPr>
        <w:t xml:space="preserve"> possible non</w:t>
      </w:r>
      <w:r w:rsidR="009653AB">
        <w:rPr>
          <w:lang w:val="en-US"/>
        </w:rPr>
        <w:t>-</w:t>
      </w:r>
      <w:r w:rsidR="003F0FB3" w:rsidRPr="006C6C80">
        <w:rPr>
          <w:lang w:val="en-US"/>
        </w:rPr>
        <w:t>participation in the strike, thus avoiding unfair dismissals.</w:t>
      </w:r>
      <w:r w:rsidR="00436C85" w:rsidRPr="006C6C80">
        <w:rPr>
          <w:lang w:val="en-US"/>
        </w:rPr>
        <w:t>”</w:t>
      </w:r>
      <w:r w:rsidR="00436C85" w:rsidRPr="006C6C80">
        <w:rPr>
          <w:rStyle w:val="FootnoteReference"/>
          <w:lang w:val="en-US"/>
        </w:rPr>
        <w:footnoteReference w:id="40"/>
      </w:r>
    </w:p>
    <w:p w:rsidR="0005191F" w:rsidRPr="006C6C80" w:rsidRDefault="0005191F" w:rsidP="00B54921">
      <w:pPr>
        <w:pStyle w:val="parrafos"/>
        <w:tabs>
          <w:tab w:val="left" w:pos="720"/>
        </w:tabs>
        <w:rPr>
          <w:lang w:val="en-US"/>
        </w:rPr>
      </w:pPr>
    </w:p>
    <w:p w:rsidR="00BA73C5" w:rsidRPr="006C6C80" w:rsidRDefault="003F0FB3" w:rsidP="00511849">
      <w:pPr>
        <w:pStyle w:val="parrafos"/>
        <w:numPr>
          <w:ilvl w:val="0"/>
          <w:numId w:val="56"/>
        </w:numPr>
        <w:tabs>
          <w:tab w:val="left" w:pos="720"/>
        </w:tabs>
        <w:ind w:left="0" w:firstLine="0"/>
        <w:rPr>
          <w:lang w:val="en-US"/>
        </w:rPr>
      </w:pPr>
      <w:r w:rsidRPr="006C6C80">
        <w:rPr>
          <w:lang w:val="en-US"/>
        </w:rPr>
        <w:t>According to available information, of the total alleged victims who were dismissed, 28 were later reinstated.</w:t>
      </w:r>
      <w:r w:rsidR="00242785" w:rsidRPr="006C6C80">
        <w:rPr>
          <w:rStyle w:val="FootnoteReference"/>
          <w:lang w:val="en-US"/>
        </w:rPr>
        <w:footnoteReference w:id="41"/>
      </w:r>
      <w:r w:rsidRPr="006C6C80">
        <w:rPr>
          <w:lang w:val="en-US"/>
        </w:rPr>
        <w:t xml:space="preserve"> The petitioners argued that none of the six members of the</w:t>
      </w:r>
      <w:r w:rsidR="00810EFC">
        <w:rPr>
          <w:lang w:val="en-US"/>
        </w:rPr>
        <w:t xml:space="preserve"> Union’s Executive Committee</w:t>
      </w:r>
      <w:r w:rsidRPr="006C6C80">
        <w:rPr>
          <w:lang w:val="en-US"/>
        </w:rPr>
        <w:t xml:space="preserve"> were rehired.</w:t>
      </w:r>
      <w:r w:rsidR="00E958F1" w:rsidRPr="006C6C80">
        <w:rPr>
          <w:rStyle w:val="FootnoteReference"/>
          <w:lang w:val="en-US"/>
        </w:rPr>
        <w:footnoteReference w:id="42"/>
      </w:r>
      <w:r w:rsidR="003D184A" w:rsidRPr="006C6C80">
        <w:rPr>
          <w:lang w:val="en-US"/>
        </w:rPr>
        <w:t xml:space="preserve"> </w:t>
      </w:r>
      <w:r w:rsidR="00597339" w:rsidRPr="006C6C80">
        <w:rPr>
          <w:lang w:val="en-US"/>
        </w:rPr>
        <w:t>Th</w:t>
      </w:r>
      <w:r w:rsidRPr="006C6C80">
        <w:rPr>
          <w:lang w:val="en-US"/>
        </w:rPr>
        <w:t>e</w:t>
      </w:r>
      <w:r w:rsidR="00597339" w:rsidRPr="006C6C80">
        <w:rPr>
          <w:lang w:val="en-US"/>
        </w:rPr>
        <w:t xml:space="preserve"> </w:t>
      </w:r>
      <w:r w:rsidRPr="006C6C80">
        <w:rPr>
          <w:lang w:val="en-US"/>
        </w:rPr>
        <w:t>state did not dispute said information.</w:t>
      </w:r>
    </w:p>
    <w:p w:rsidR="00810EFC" w:rsidRPr="006C6C80" w:rsidRDefault="00810EFC" w:rsidP="00511849">
      <w:pPr>
        <w:pStyle w:val="parrafos"/>
        <w:tabs>
          <w:tab w:val="left" w:pos="720"/>
        </w:tabs>
        <w:rPr>
          <w:lang w:val="en-US"/>
        </w:rPr>
      </w:pPr>
    </w:p>
    <w:p w:rsidR="005572BA" w:rsidRPr="006C6C80" w:rsidRDefault="005572BA" w:rsidP="00B54921">
      <w:pPr>
        <w:pStyle w:val="Heading1"/>
        <w:numPr>
          <w:ilvl w:val="0"/>
          <w:numId w:val="57"/>
        </w:numPr>
        <w:tabs>
          <w:tab w:val="left" w:pos="720"/>
        </w:tabs>
        <w:ind w:left="360" w:hanging="360"/>
        <w:rPr>
          <w:lang w:val="en-US"/>
        </w:rPr>
      </w:pPr>
      <w:bookmarkStart w:id="19" w:name="_Toc18936470"/>
      <w:r w:rsidRPr="006C6C80">
        <w:rPr>
          <w:lang w:val="en-US"/>
        </w:rPr>
        <w:t>DETERMINA</w:t>
      </w:r>
      <w:r w:rsidR="003F0FB3" w:rsidRPr="006C6C80">
        <w:rPr>
          <w:lang w:val="en-US"/>
        </w:rPr>
        <w:t>TIONS OF LAW</w:t>
      </w:r>
      <w:bookmarkEnd w:id="19"/>
    </w:p>
    <w:p w:rsidR="005572BA" w:rsidRPr="006C6C80" w:rsidRDefault="005572BA" w:rsidP="00B5492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Theme="majorHAnsi" w:hAnsiTheme="majorHAnsi"/>
          <w:sz w:val="20"/>
          <w:szCs w:val="20"/>
        </w:rPr>
      </w:pPr>
    </w:p>
    <w:p w:rsidR="002C55BC" w:rsidRPr="006C6C80" w:rsidRDefault="003F0FB3" w:rsidP="00B54921">
      <w:pPr>
        <w:pStyle w:val="Heading2"/>
        <w:keepNext/>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s>
        <w:suppressAutoHyphens w:val="0"/>
        <w:ind w:left="720" w:hanging="720"/>
        <w:jc w:val="both"/>
        <w:rPr>
          <w:lang w:val="en-US"/>
        </w:rPr>
      </w:pPr>
      <w:bookmarkStart w:id="20" w:name="_Toc18936471"/>
      <w:r w:rsidRPr="006C6C80">
        <w:rPr>
          <w:lang w:val="en-US"/>
        </w:rPr>
        <w:t>General considerations on the guarantees applicable to proceedings of administrative sanctions</w:t>
      </w:r>
      <w:bookmarkEnd w:id="20"/>
    </w:p>
    <w:p w:rsidR="002C55BC" w:rsidRPr="006C6C80" w:rsidRDefault="002C55BC" w:rsidP="00B54921">
      <w:pPr>
        <w:tabs>
          <w:tab w:val="left" w:pos="720"/>
        </w:tabs>
        <w:rPr>
          <w:lang w:eastAsia="es-ES"/>
        </w:rPr>
      </w:pPr>
    </w:p>
    <w:p w:rsidR="0025752E" w:rsidRPr="006C6C80" w:rsidRDefault="003F0FB3" w:rsidP="00B54921">
      <w:pPr>
        <w:pStyle w:val="parrafos"/>
        <w:numPr>
          <w:ilvl w:val="0"/>
          <w:numId w:val="56"/>
        </w:numPr>
        <w:tabs>
          <w:tab w:val="left" w:pos="720"/>
        </w:tabs>
        <w:ind w:left="0" w:firstLine="0"/>
        <w:rPr>
          <w:rFonts w:ascii="Cambria" w:eastAsia="Cambria" w:hAnsi="Cambria" w:cs="Cambria"/>
          <w:b/>
          <w:u w:color="000000"/>
          <w:lang w:val="en-US" w:eastAsia="es-ES"/>
        </w:rPr>
      </w:pPr>
      <w:r w:rsidRPr="006C6C80">
        <w:rPr>
          <w:rFonts w:ascii="Cambria" w:hAnsi="Cambria"/>
          <w:lang w:val="en-US"/>
        </w:rPr>
        <w:t>The Commission rec</w:t>
      </w:r>
      <w:r w:rsidR="00597339" w:rsidRPr="006C6C80">
        <w:rPr>
          <w:rFonts w:ascii="Cambria" w:hAnsi="Cambria"/>
          <w:lang w:val="en-US"/>
        </w:rPr>
        <w:t>a</w:t>
      </w:r>
      <w:r w:rsidRPr="006C6C80">
        <w:rPr>
          <w:rFonts w:ascii="Cambria" w:hAnsi="Cambria"/>
          <w:lang w:val="en-US"/>
        </w:rPr>
        <w:t>lls that both bodies of the inter-American system have indicated that the guarantees set forth in Article 8 of the American Convention are not confined to criminal proceedings, but are applicable to proceedings of another nature</w:t>
      </w:r>
      <w:r w:rsidR="00810EFC">
        <w:rPr>
          <w:rFonts w:ascii="Cambria" w:hAnsi="Cambria"/>
          <w:lang w:val="en-US"/>
        </w:rPr>
        <w:t xml:space="preserve"> as well</w:t>
      </w:r>
      <w:r w:rsidRPr="006C6C80">
        <w:rPr>
          <w:rFonts w:ascii="Cambria" w:hAnsi="Cambria"/>
          <w:lang w:val="en-US"/>
        </w:rPr>
        <w:t>.</w:t>
      </w:r>
      <w:r w:rsidR="002C55BC" w:rsidRPr="006C6C80">
        <w:rPr>
          <w:rFonts w:ascii="Cambria" w:hAnsi="Cambria"/>
          <w:vertAlign w:val="superscript"/>
          <w:lang w:val="en-US" w:eastAsia="es-ES"/>
        </w:rPr>
        <w:footnoteReference w:id="43"/>
      </w:r>
      <w:r w:rsidR="002C55BC" w:rsidRPr="006C6C80">
        <w:rPr>
          <w:rFonts w:ascii="Cambria" w:hAnsi="Cambria"/>
          <w:lang w:val="en-US" w:eastAsia="es-ES"/>
        </w:rPr>
        <w:t xml:space="preserve"> </w:t>
      </w:r>
      <w:r w:rsidR="003F051A" w:rsidRPr="006C6C80">
        <w:rPr>
          <w:rFonts w:ascii="Cambria" w:hAnsi="Cambria"/>
          <w:lang w:val="en-US" w:eastAsia="es-ES"/>
        </w:rPr>
        <w:t xml:space="preserve">Specifically, when dealing with proceedings </w:t>
      </w:r>
      <w:r w:rsidR="00B81578">
        <w:rPr>
          <w:rFonts w:ascii="Cambria" w:hAnsi="Cambria"/>
          <w:lang w:val="en-US" w:eastAsia="es-ES"/>
        </w:rPr>
        <w:t>pertaining to</w:t>
      </w:r>
      <w:r w:rsidR="003F051A" w:rsidRPr="006C6C80">
        <w:rPr>
          <w:rFonts w:ascii="Cambria" w:hAnsi="Cambria"/>
          <w:lang w:val="en-US" w:eastAsia="es-ES"/>
        </w:rPr>
        <w:t xml:space="preserve"> sanctions, </w:t>
      </w:r>
      <w:r w:rsidR="00810EFC">
        <w:rPr>
          <w:rFonts w:ascii="Cambria" w:hAnsi="Cambria"/>
          <w:lang w:val="en-US" w:eastAsia="es-ES"/>
        </w:rPr>
        <w:t>both bodies have indicated that</w:t>
      </w:r>
      <w:r w:rsidR="003F051A" w:rsidRPr="006C6C80">
        <w:rPr>
          <w:rFonts w:ascii="Cambria" w:hAnsi="Cambria"/>
          <w:lang w:val="en-US" w:eastAsia="es-ES"/>
        </w:rPr>
        <w:t xml:space="preserve"> the guarantees set forth in Article 8.2 of the American Convention are applicable by analogy.</w:t>
      </w:r>
      <w:r w:rsidR="002C55BC" w:rsidRPr="006C6C80">
        <w:rPr>
          <w:rFonts w:ascii="Cambria" w:hAnsi="Cambria"/>
          <w:vertAlign w:val="superscript"/>
          <w:lang w:val="en-US" w:eastAsia="es-ES"/>
        </w:rPr>
        <w:footnoteReference w:id="44"/>
      </w:r>
      <w:r w:rsidR="002C55BC" w:rsidRPr="006C6C80">
        <w:rPr>
          <w:rFonts w:ascii="Cambria" w:eastAsia="Cambria" w:hAnsi="Cambria" w:cs="Cambria"/>
          <w:b/>
          <w:u w:color="000000"/>
          <w:lang w:val="en-US" w:eastAsia="es-ES"/>
        </w:rPr>
        <w:t xml:space="preserve"> </w:t>
      </w:r>
      <w:r w:rsidR="003F051A" w:rsidRPr="006C6C80">
        <w:rPr>
          <w:rFonts w:ascii="Cambria" w:eastAsia="Cambria" w:hAnsi="Cambria" w:cs="Cambria"/>
          <w:u w:color="000000"/>
          <w:lang w:val="en-US" w:eastAsia="es-ES"/>
        </w:rPr>
        <w:t>Likewise, the princi</w:t>
      </w:r>
      <w:r w:rsidR="003E16C3" w:rsidRPr="006C6C80">
        <w:rPr>
          <w:rFonts w:ascii="Cambria" w:eastAsia="Cambria" w:hAnsi="Cambria" w:cs="Cambria"/>
          <w:u w:color="000000"/>
          <w:lang w:val="en-US" w:eastAsia="es-ES"/>
        </w:rPr>
        <w:t>ple</w:t>
      </w:r>
      <w:r w:rsidR="00810EFC">
        <w:rPr>
          <w:rFonts w:ascii="Cambria" w:eastAsia="Cambria" w:hAnsi="Cambria" w:cs="Cambria"/>
          <w:u w:color="000000"/>
          <w:lang w:val="en-US" w:eastAsia="es-ES"/>
        </w:rPr>
        <w:t xml:space="preserve"> of </w:t>
      </w:r>
      <w:r w:rsidR="00B81578">
        <w:rPr>
          <w:rFonts w:ascii="Cambria" w:eastAsia="Cambria" w:hAnsi="Cambria" w:cs="Cambria"/>
          <w:u w:color="000000"/>
          <w:lang w:val="en-US" w:eastAsia="es-ES"/>
        </w:rPr>
        <w:t>legality</w:t>
      </w:r>
      <w:r w:rsidR="003F051A" w:rsidRPr="006C6C80">
        <w:rPr>
          <w:rFonts w:ascii="Cambria" w:eastAsia="Cambria" w:hAnsi="Cambria" w:cs="Cambria"/>
          <w:u w:color="000000"/>
          <w:lang w:val="en-US" w:eastAsia="es-ES"/>
        </w:rPr>
        <w:t xml:space="preserve"> is applicable to discip</w:t>
      </w:r>
      <w:r w:rsidR="00B81578">
        <w:rPr>
          <w:rFonts w:ascii="Cambria" w:eastAsia="Cambria" w:hAnsi="Cambria" w:cs="Cambria"/>
          <w:u w:color="000000"/>
          <w:lang w:val="en-US" w:eastAsia="es-ES"/>
        </w:rPr>
        <w:t>linary proceedings which are “an expression of the punitive powers of the State”</w:t>
      </w:r>
      <w:r w:rsidR="00B81578">
        <w:rPr>
          <w:rFonts w:ascii="Cambria" w:hAnsi="Cambria" w:cs="Verdana"/>
          <w:lang w:val="en-US"/>
        </w:rPr>
        <w:t xml:space="preserve"> because they</w:t>
      </w:r>
      <w:r w:rsidR="003F051A" w:rsidRPr="006C6C80">
        <w:rPr>
          <w:rFonts w:ascii="Cambria" w:hAnsi="Cambria" w:cs="Verdana"/>
          <w:lang w:val="en-US"/>
        </w:rPr>
        <w:t xml:space="preserve"> entail </w:t>
      </w:r>
      <w:r w:rsidR="00B81578">
        <w:rPr>
          <w:rFonts w:ascii="Cambria" w:hAnsi="Cambria" w:cs="Verdana"/>
          <w:lang w:val="en-US"/>
        </w:rPr>
        <w:t>impairment or</w:t>
      </w:r>
      <w:r w:rsidR="003F051A" w:rsidRPr="006C6C80">
        <w:rPr>
          <w:rFonts w:ascii="Cambria" w:hAnsi="Cambria" w:cs="Verdana"/>
          <w:lang w:val="en-US"/>
        </w:rPr>
        <w:t xml:space="preserve"> alteration of </w:t>
      </w:r>
      <w:r w:rsidR="00A47251">
        <w:rPr>
          <w:rFonts w:ascii="Cambria" w:hAnsi="Cambria" w:cs="Verdana"/>
          <w:lang w:val="en-US"/>
        </w:rPr>
        <w:t>human rights</w:t>
      </w:r>
      <w:r w:rsidR="003F051A" w:rsidRPr="006C6C80">
        <w:rPr>
          <w:rFonts w:ascii="Cambria" w:hAnsi="Cambria" w:cs="Verdana"/>
          <w:lang w:val="en-US"/>
        </w:rPr>
        <w:t xml:space="preserve"> as a result of unlawful conduct.</w:t>
      </w:r>
      <w:r w:rsidR="002C55BC" w:rsidRPr="006C6C80">
        <w:rPr>
          <w:rFonts w:ascii="Cambria" w:hAnsi="Cambria" w:cs="Verdana"/>
          <w:vertAlign w:val="superscript"/>
          <w:lang w:val="en-US"/>
        </w:rPr>
        <w:footnoteReference w:id="45"/>
      </w:r>
    </w:p>
    <w:p w:rsidR="0025752E" w:rsidRPr="006C6C80" w:rsidRDefault="0025752E" w:rsidP="00B54921">
      <w:pPr>
        <w:pStyle w:val="parrafos"/>
        <w:tabs>
          <w:tab w:val="left" w:pos="720"/>
        </w:tabs>
        <w:rPr>
          <w:rFonts w:ascii="Cambria" w:eastAsia="Cambria" w:hAnsi="Cambria" w:cs="Cambria"/>
          <w:b/>
          <w:u w:color="000000"/>
          <w:lang w:val="en-US" w:eastAsia="es-ES"/>
        </w:rPr>
      </w:pPr>
    </w:p>
    <w:p w:rsidR="002C55BC" w:rsidRPr="006C6C80" w:rsidRDefault="00B63630" w:rsidP="00B54921">
      <w:pPr>
        <w:pStyle w:val="parrafos"/>
        <w:numPr>
          <w:ilvl w:val="0"/>
          <w:numId w:val="56"/>
        </w:numPr>
        <w:tabs>
          <w:tab w:val="left" w:pos="720"/>
        </w:tabs>
        <w:ind w:left="0" w:firstLine="0"/>
        <w:rPr>
          <w:rFonts w:ascii="Cambria" w:eastAsia="Cambria" w:hAnsi="Cambria" w:cs="Cambria"/>
          <w:b/>
          <w:u w:color="000000"/>
          <w:lang w:val="en-US" w:eastAsia="es-ES"/>
        </w:rPr>
      </w:pPr>
      <w:r w:rsidRPr="006C6C80">
        <w:rPr>
          <w:rFonts w:ascii="Cambria" w:hAnsi="Cambria"/>
          <w:lang w:val="en-US" w:eastAsia="es-ES"/>
        </w:rPr>
        <w:t>In line with the above, to determine which of the guarantees the state had the obligation to grant in the concrete case, it is necessary to refer to the character of the process in question. The instant case focuses on the dismissal of 93 employees of the Judiciary of Guatemala</w:t>
      </w:r>
      <w:r w:rsidR="00453A30" w:rsidRPr="006C6C80">
        <w:rPr>
          <w:rFonts w:ascii="Cambria" w:hAnsi="Cambria"/>
          <w:lang w:val="en-US" w:eastAsia="es-ES"/>
        </w:rPr>
        <w:t xml:space="preserve"> </w:t>
      </w:r>
      <w:r w:rsidRPr="006C6C80">
        <w:rPr>
          <w:rFonts w:ascii="Cambria" w:hAnsi="Cambria"/>
          <w:lang w:val="en-US" w:eastAsia="es-ES"/>
        </w:rPr>
        <w:t>because of a strike that took place in 1</w:t>
      </w:r>
      <w:r w:rsidR="00B82080" w:rsidRPr="006C6C80">
        <w:rPr>
          <w:lang w:val="en-US"/>
        </w:rPr>
        <w:t xml:space="preserve">996. </w:t>
      </w:r>
      <w:r w:rsidR="00344D6A" w:rsidRPr="006C6C80">
        <w:rPr>
          <w:lang w:val="en-US"/>
        </w:rPr>
        <w:t>T</w:t>
      </w:r>
      <w:r w:rsidRPr="006C6C80">
        <w:rPr>
          <w:lang w:val="en-US"/>
        </w:rPr>
        <w:t>aki</w:t>
      </w:r>
      <w:r w:rsidR="00A47251">
        <w:rPr>
          <w:lang w:val="en-US"/>
        </w:rPr>
        <w:t>ng into account the applicable laws</w:t>
      </w:r>
      <w:r w:rsidRPr="006C6C80">
        <w:rPr>
          <w:lang w:val="en-US"/>
        </w:rPr>
        <w:t>, the contents of the domestic rulings issued regarding the case</w:t>
      </w:r>
      <w:r w:rsidR="00A47251">
        <w:rPr>
          <w:lang w:val="en-US"/>
        </w:rPr>
        <w:t>,</w:t>
      </w:r>
      <w:r w:rsidRPr="006C6C80">
        <w:rPr>
          <w:lang w:val="en-US"/>
        </w:rPr>
        <w:t xml:space="preserve"> and the </w:t>
      </w:r>
      <w:r w:rsidR="008F2C29">
        <w:rPr>
          <w:lang w:val="en-US"/>
        </w:rPr>
        <w:t>purpose of the proceedings</w:t>
      </w:r>
      <w:r w:rsidRPr="006C6C80">
        <w:rPr>
          <w:lang w:val="en-US"/>
        </w:rPr>
        <w:t>, the Commission deems that it involved a punitive procedure and, therefore, the applicable guarantees include, by analogy and</w:t>
      </w:r>
      <w:r w:rsidR="00344D6A" w:rsidRPr="006C6C80">
        <w:rPr>
          <w:lang w:val="en-US"/>
        </w:rPr>
        <w:t xml:space="preserve"> </w:t>
      </w:r>
      <w:r w:rsidR="00344D6A" w:rsidRPr="006C6C80">
        <w:rPr>
          <w:i/>
          <w:lang w:val="en-US"/>
        </w:rPr>
        <w:t>mutatis mutandis</w:t>
      </w:r>
      <w:r w:rsidRPr="006C6C80">
        <w:rPr>
          <w:lang w:val="en-US"/>
        </w:rPr>
        <w:t>, those relative to a criminal proceeding</w:t>
      </w:r>
      <w:r w:rsidR="00344D6A" w:rsidRPr="006C6C80">
        <w:rPr>
          <w:lang w:val="en-US"/>
        </w:rPr>
        <w:t xml:space="preserve">. </w:t>
      </w:r>
    </w:p>
    <w:p w:rsidR="00344D6A" w:rsidRPr="006C6C80" w:rsidRDefault="00344D6A" w:rsidP="00B5492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eastAsia="Cambria" w:hAnsi="Cambria" w:cs="Cambria"/>
          <w:b/>
          <w:sz w:val="20"/>
          <w:szCs w:val="20"/>
          <w:u w:color="000000"/>
          <w:lang w:eastAsia="es-ES"/>
        </w:rPr>
      </w:pPr>
    </w:p>
    <w:p w:rsidR="003E0566" w:rsidRPr="006C6C80" w:rsidRDefault="003B5C34" w:rsidP="00B54921">
      <w:pPr>
        <w:pStyle w:val="Heading2"/>
        <w:keepNext/>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s>
        <w:suppressAutoHyphens w:val="0"/>
        <w:ind w:left="720" w:hanging="720"/>
        <w:jc w:val="both"/>
        <w:rPr>
          <w:lang w:val="en-US"/>
        </w:rPr>
      </w:pPr>
      <w:bookmarkStart w:id="21" w:name="_Toc18936472"/>
      <w:r>
        <w:rPr>
          <w:lang w:val="en-US"/>
        </w:rPr>
        <w:t>Right to be heard and right of</w:t>
      </w:r>
      <w:r w:rsidR="00B63630" w:rsidRPr="006C6C80">
        <w:rPr>
          <w:lang w:val="en-US"/>
        </w:rPr>
        <w:t xml:space="preserve"> defense</w:t>
      </w:r>
      <w:r w:rsidR="006A658F" w:rsidRPr="006C6C80">
        <w:rPr>
          <w:rStyle w:val="FootnoteReference"/>
          <w:lang w:val="en-US"/>
        </w:rPr>
        <w:footnoteReference w:id="46"/>
      </w:r>
      <w:bookmarkEnd w:id="21"/>
    </w:p>
    <w:p w:rsidR="00171DEB" w:rsidRPr="006C6C80" w:rsidRDefault="00171DEB" w:rsidP="00B54921">
      <w:pPr>
        <w:tabs>
          <w:tab w:val="left" w:pos="720"/>
        </w:tabs>
        <w:rPr>
          <w:rFonts w:asciiTheme="majorHAnsi" w:eastAsia="Cambria" w:hAnsiTheme="majorHAnsi" w:cs="Cambria"/>
          <w:b/>
          <w:color w:val="000000"/>
          <w:sz w:val="20"/>
          <w:szCs w:val="20"/>
          <w:u w:color="000000"/>
          <w:lang w:eastAsia="es-ES"/>
        </w:rPr>
      </w:pPr>
    </w:p>
    <w:p w:rsidR="0025752E" w:rsidRPr="006C6C80" w:rsidRDefault="00B63630" w:rsidP="00B54921">
      <w:pPr>
        <w:pStyle w:val="parrafos"/>
        <w:numPr>
          <w:ilvl w:val="0"/>
          <w:numId w:val="56"/>
        </w:numPr>
        <w:tabs>
          <w:tab w:val="left" w:pos="720"/>
        </w:tabs>
        <w:ind w:left="0" w:firstLine="0"/>
        <w:rPr>
          <w:bCs/>
          <w:lang w:val="en-US"/>
        </w:rPr>
      </w:pPr>
      <w:r w:rsidRPr="006C6C80">
        <w:rPr>
          <w:lang w:val="en-US"/>
        </w:rPr>
        <w:lastRenderedPageBreak/>
        <w:t xml:space="preserve">The right to </w:t>
      </w:r>
      <w:r w:rsidR="00F769C1" w:rsidRPr="006C6C80">
        <w:rPr>
          <w:lang w:val="en-US"/>
        </w:rPr>
        <w:t>a hearing</w:t>
      </w:r>
      <w:r w:rsidR="006A658F" w:rsidRPr="006C6C80">
        <w:rPr>
          <w:lang w:val="en-US"/>
        </w:rPr>
        <w:t xml:space="preserve"> (</w:t>
      </w:r>
      <w:r w:rsidRPr="006C6C80">
        <w:rPr>
          <w:lang w:val="en-US"/>
        </w:rPr>
        <w:t>Article</w:t>
      </w:r>
      <w:r w:rsidR="006A658F" w:rsidRPr="006C6C80">
        <w:rPr>
          <w:lang w:val="en-US"/>
        </w:rPr>
        <w:t xml:space="preserve"> 8.1 </w:t>
      </w:r>
      <w:r w:rsidR="00F769C1" w:rsidRPr="006C6C80">
        <w:rPr>
          <w:lang w:val="en-US"/>
        </w:rPr>
        <w:t>of the Convention) means</w:t>
      </w:r>
      <w:r w:rsidRPr="006C6C80">
        <w:rPr>
          <w:lang w:val="en-US"/>
        </w:rPr>
        <w:t xml:space="preserve"> every</w:t>
      </w:r>
      <w:r w:rsidR="00F769C1" w:rsidRPr="006C6C80">
        <w:rPr>
          <w:lang w:val="en-US"/>
        </w:rPr>
        <w:t xml:space="preserve"> person</w:t>
      </w:r>
      <w:r w:rsidRPr="006C6C80">
        <w:rPr>
          <w:lang w:val="en-US"/>
        </w:rPr>
        <w:t xml:space="preserve">’s right to have access to the court or state body </w:t>
      </w:r>
      <w:r w:rsidR="00F769C1" w:rsidRPr="006C6C80">
        <w:rPr>
          <w:lang w:val="en-US"/>
        </w:rPr>
        <w:t>in charge of determining</w:t>
      </w:r>
      <w:r w:rsidRPr="006C6C80">
        <w:rPr>
          <w:lang w:val="en-US"/>
        </w:rPr>
        <w:t xml:space="preserve"> his or her rights and obligations.</w:t>
      </w:r>
      <w:r w:rsidR="006A658F" w:rsidRPr="006C6C80">
        <w:rPr>
          <w:rStyle w:val="FootnoteReference"/>
          <w:lang w:val="en-US"/>
        </w:rPr>
        <w:footnoteReference w:id="47"/>
      </w:r>
      <w:r w:rsidR="00363AB4" w:rsidRPr="006C6C80">
        <w:rPr>
          <w:lang w:val="en-US"/>
        </w:rPr>
        <w:t xml:space="preserve"> As for the right of</w:t>
      </w:r>
      <w:r w:rsidRPr="006C6C80">
        <w:rPr>
          <w:lang w:val="en-US"/>
        </w:rPr>
        <w:t xml:space="preserve"> defense</w:t>
      </w:r>
      <w:r w:rsidR="00F769C1" w:rsidRPr="006C6C80">
        <w:rPr>
          <w:lang w:val="en-US"/>
        </w:rPr>
        <w:t>, it includes the obligation of prior notification in detail to the accused of the charges against him or her</w:t>
      </w:r>
      <w:r w:rsidR="006A658F" w:rsidRPr="006C6C80">
        <w:rPr>
          <w:lang w:val="en-US"/>
        </w:rPr>
        <w:t xml:space="preserve"> (</w:t>
      </w:r>
      <w:r w:rsidRPr="006C6C80">
        <w:rPr>
          <w:lang w:val="en-US"/>
        </w:rPr>
        <w:t>Article</w:t>
      </w:r>
      <w:r w:rsidR="006A658F" w:rsidRPr="006C6C80">
        <w:rPr>
          <w:lang w:val="en-US"/>
        </w:rPr>
        <w:t xml:space="preserve"> 8.2 </w:t>
      </w:r>
      <w:r w:rsidRPr="006C6C80">
        <w:rPr>
          <w:lang w:val="en-US"/>
        </w:rPr>
        <w:t>(</w:t>
      </w:r>
      <w:r w:rsidR="006A658F" w:rsidRPr="006C6C80">
        <w:rPr>
          <w:lang w:val="en-US"/>
        </w:rPr>
        <w:t>b</w:t>
      </w:r>
      <w:r w:rsidRPr="006C6C80">
        <w:rPr>
          <w:lang w:val="en-US"/>
        </w:rPr>
        <w:t>) of the Convention</w:t>
      </w:r>
      <w:r w:rsidR="006A658F" w:rsidRPr="006C6C80">
        <w:rPr>
          <w:lang w:val="en-US"/>
        </w:rPr>
        <w:t>), as</w:t>
      </w:r>
      <w:r w:rsidRPr="006C6C80">
        <w:rPr>
          <w:lang w:val="en-US"/>
        </w:rPr>
        <w:t xml:space="preserve"> well as granting the accused person adequate time and means</w:t>
      </w:r>
      <w:r w:rsidR="003E16C3" w:rsidRPr="006C6C80">
        <w:rPr>
          <w:lang w:val="en-US"/>
        </w:rPr>
        <w:t xml:space="preserve"> for the preparation of</w:t>
      </w:r>
      <w:r w:rsidRPr="006C6C80">
        <w:rPr>
          <w:lang w:val="en-US"/>
        </w:rPr>
        <w:t xml:space="preserve"> his or her defense (Article</w:t>
      </w:r>
      <w:r w:rsidR="006A658F" w:rsidRPr="006C6C80">
        <w:rPr>
          <w:lang w:val="en-US"/>
        </w:rPr>
        <w:t xml:space="preserve"> 8.2</w:t>
      </w:r>
      <w:r w:rsidRPr="006C6C80">
        <w:rPr>
          <w:lang w:val="en-US"/>
        </w:rPr>
        <w:t>(</w:t>
      </w:r>
      <w:r w:rsidR="006A658F" w:rsidRPr="006C6C80">
        <w:rPr>
          <w:lang w:val="en-US"/>
        </w:rPr>
        <w:t>c</w:t>
      </w:r>
      <w:r w:rsidRPr="006C6C80">
        <w:rPr>
          <w:lang w:val="en-US"/>
        </w:rPr>
        <w:t>) of the Convention</w:t>
      </w:r>
      <w:r w:rsidR="006A658F" w:rsidRPr="006C6C80">
        <w:rPr>
          <w:lang w:val="en-US"/>
        </w:rPr>
        <w:t xml:space="preserve">). </w:t>
      </w:r>
      <w:r w:rsidRPr="006C6C80">
        <w:rPr>
          <w:lang w:val="en-US"/>
        </w:rPr>
        <w:t>Both rights</w:t>
      </w:r>
      <w:r w:rsidR="00520954" w:rsidRPr="006C6C80">
        <w:rPr>
          <w:lang w:val="en-US"/>
        </w:rPr>
        <w:t>—to</w:t>
      </w:r>
      <w:r w:rsidR="00F769C1" w:rsidRPr="006C6C80">
        <w:rPr>
          <w:lang w:val="en-US"/>
        </w:rPr>
        <w:t xml:space="preserve"> a hearing a</w:t>
      </w:r>
      <w:r w:rsidR="00363AB4" w:rsidRPr="006C6C80">
        <w:rPr>
          <w:lang w:val="en-US"/>
        </w:rPr>
        <w:t>nd</w:t>
      </w:r>
      <w:r w:rsidR="00520954" w:rsidRPr="006C6C80">
        <w:rPr>
          <w:lang w:val="en-US"/>
        </w:rPr>
        <w:t xml:space="preserve"> defense—are related to each other, because “</w:t>
      </w:r>
      <w:r w:rsidR="00F769C1" w:rsidRPr="006C6C80">
        <w:rPr>
          <w:lang w:val="en-US"/>
        </w:rPr>
        <w:t>to provide a hearing to a person</w:t>
      </w:r>
      <w:r w:rsidR="00520954" w:rsidRPr="006C6C80">
        <w:rPr>
          <w:lang w:val="en-US"/>
        </w:rPr>
        <w:t xml:space="preserve"> under investigation </w:t>
      </w:r>
      <w:r w:rsidR="00F769C1" w:rsidRPr="006C6C80">
        <w:rPr>
          <w:lang w:val="en-US"/>
        </w:rPr>
        <w:t>implies permitting him to defend himself adequately</w:t>
      </w:r>
      <w:r w:rsidR="00520954" w:rsidRPr="006C6C80">
        <w:rPr>
          <w:lang w:val="en-US"/>
        </w:rPr>
        <w:t>.</w:t>
      </w:r>
      <w:r w:rsidR="006A658F" w:rsidRPr="006C6C80">
        <w:rPr>
          <w:lang w:val="en-US"/>
        </w:rPr>
        <w:t>”</w:t>
      </w:r>
      <w:r w:rsidR="006A658F" w:rsidRPr="006C6C80">
        <w:rPr>
          <w:rStyle w:val="FootnoteReference"/>
          <w:lang w:val="en-US"/>
        </w:rPr>
        <w:footnoteReference w:id="48"/>
      </w:r>
      <w:r w:rsidR="006A658F" w:rsidRPr="006C6C80">
        <w:rPr>
          <w:bCs/>
          <w:lang w:val="en-US"/>
        </w:rPr>
        <w:t xml:space="preserve"> </w:t>
      </w:r>
      <w:r w:rsidR="00520954" w:rsidRPr="006C6C80">
        <w:rPr>
          <w:bCs/>
          <w:lang w:val="en-US"/>
        </w:rPr>
        <w:t xml:space="preserve">The right to </w:t>
      </w:r>
      <w:r w:rsidR="0048187A" w:rsidRPr="006C6C80">
        <w:rPr>
          <w:bCs/>
          <w:lang w:val="en-US"/>
        </w:rPr>
        <w:t>a hearing does not imply that it must necessarily be exercised</w:t>
      </w:r>
      <w:r w:rsidR="00520954" w:rsidRPr="006C6C80">
        <w:rPr>
          <w:bCs/>
          <w:lang w:val="en-US"/>
        </w:rPr>
        <w:t xml:space="preserve"> orally and it can be substantiated in writing.</w:t>
      </w:r>
      <w:r w:rsidR="006A658F" w:rsidRPr="006C6C80">
        <w:rPr>
          <w:rStyle w:val="FootnoteReference"/>
          <w:rFonts w:cs="Verdana"/>
          <w:lang w:val="en-US"/>
        </w:rPr>
        <w:footnoteReference w:id="49"/>
      </w:r>
      <w:r w:rsidR="00520954" w:rsidRPr="006C6C80">
        <w:rPr>
          <w:rFonts w:cs="Verdana"/>
          <w:lang w:val="en-US"/>
        </w:rPr>
        <w:t xml:space="preserve"> The authority in charge of the disciplinary process must conduct itself in line with the procedure set forth for the purpose and </w:t>
      </w:r>
      <w:r w:rsidR="00363AB4" w:rsidRPr="006C6C80">
        <w:rPr>
          <w:rFonts w:cs="Verdana"/>
          <w:lang w:val="en-US"/>
        </w:rPr>
        <w:t xml:space="preserve">make it possible for the right of </w:t>
      </w:r>
      <w:r w:rsidR="00520954" w:rsidRPr="006C6C80">
        <w:rPr>
          <w:rFonts w:cs="Verdana"/>
          <w:lang w:val="en-US"/>
        </w:rPr>
        <w:t>defense to be exercised.</w:t>
      </w:r>
      <w:r w:rsidR="006A658F" w:rsidRPr="006C6C80">
        <w:rPr>
          <w:rStyle w:val="FootnoteReference"/>
          <w:lang w:val="en-US"/>
        </w:rPr>
        <w:footnoteReference w:id="50"/>
      </w:r>
      <w:r w:rsidR="00520954" w:rsidRPr="006C6C80">
        <w:rPr>
          <w:rFonts w:cs="Verdana"/>
          <w:lang w:val="en-US"/>
        </w:rPr>
        <w:t xml:space="preserve"> This right is affected, for example, when the duration of the delay granted to exercise the defense is not adequate, considering the examination of the case and evidence.</w:t>
      </w:r>
      <w:r w:rsidR="006A658F" w:rsidRPr="006C6C80">
        <w:rPr>
          <w:rStyle w:val="FootnoteReference"/>
          <w:lang w:val="en-US"/>
        </w:rPr>
        <w:footnoteReference w:id="51"/>
      </w:r>
    </w:p>
    <w:p w:rsidR="0025752E" w:rsidRPr="006C6C80" w:rsidRDefault="0025752E" w:rsidP="00B54921">
      <w:pPr>
        <w:pStyle w:val="parrafos"/>
        <w:tabs>
          <w:tab w:val="left" w:pos="720"/>
        </w:tabs>
        <w:rPr>
          <w:bCs/>
          <w:lang w:val="en-US"/>
        </w:rPr>
      </w:pPr>
    </w:p>
    <w:p w:rsidR="0025752E" w:rsidRPr="006C6C80" w:rsidRDefault="00520954" w:rsidP="00B54921">
      <w:pPr>
        <w:pStyle w:val="parrafos"/>
        <w:numPr>
          <w:ilvl w:val="0"/>
          <w:numId w:val="56"/>
        </w:numPr>
        <w:tabs>
          <w:tab w:val="left" w:pos="720"/>
        </w:tabs>
        <w:ind w:left="0" w:firstLine="0"/>
        <w:rPr>
          <w:bCs/>
          <w:lang w:val="en-US"/>
        </w:rPr>
      </w:pPr>
      <w:r w:rsidRPr="006C6C80">
        <w:rPr>
          <w:lang w:val="en-US"/>
        </w:rPr>
        <w:t xml:space="preserve">In the case of </w:t>
      </w:r>
      <w:proofErr w:type="spellStart"/>
      <w:r w:rsidR="00171DEB" w:rsidRPr="006C6C80">
        <w:rPr>
          <w:i/>
          <w:iCs/>
          <w:lang w:val="en-US"/>
        </w:rPr>
        <w:t>Baena</w:t>
      </w:r>
      <w:proofErr w:type="spellEnd"/>
      <w:r w:rsidR="00171DEB" w:rsidRPr="006C6C80">
        <w:rPr>
          <w:i/>
          <w:iCs/>
          <w:lang w:val="en-US"/>
        </w:rPr>
        <w:t xml:space="preserve"> Ricardo</w:t>
      </w:r>
      <w:r w:rsidRPr="006C6C80">
        <w:rPr>
          <w:i/>
          <w:iCs/>
          <w:lang w:val="en-US"/>
        </w:rPr>
        <w:t xml:space="preserve"> et al. v.</w:t>
      </w:r>
      <w:r w:rsidR="00AC03E9" w:rsidRPr="006C6C80">
        <w:rPr>
          <w:i/>
          <w:iCs/>
          <w:lang w:val="en-US"/>
        </w:rPr>
        <w:t xml:space="preserve"> Panam</w:t>
      </w:r>
      <w:r w:rsidRPr="006C6C80">
        <w:rPr>
          <w:i/>
          <w:iCs/>
          <w:lang w:val="en-US"/>
        </w:rPr>
        <w:t>a,</w:t>
      </w:r>
      <w:r w:rsidRPr="006C6C80">
        <w:rPr>
          <w:lang w:val="en-US"/>
        </w:rPr>
        <w:t xml:space="preserve"> the Court stated that the right to a fair trial had been violated because of the removal of 270 employees without granting them the opportunity to submit allegations and evidence to defend themselves before their dismissal</w:t>
      </w:r>
      <w:r w:rsidR="00171DEB" w:rsidRPr="006C6C80">
        <w:rPr>
          <w:lang w:val="en-US"/>
        </w:rPr>
        <w:t xml:space="preserve">. </w:t>
      </w:r>
      <w:r w:rsidRPr="006C6C80">
        <w:rPr>
          <w:lang w:val="en-US"/>
        </w:rPr>
        <w:t>Regarding this, the Court considered the following</w:t>
      </w:r>
      <w:r w:rsidR="00171DEB" w:rsidRPr="006C6C80">
        <w:rPr>
          <w:lang w:val="en-US"/>
        </w:rPr>
        <w:t>:</w:t>
      </w:r>
    </w:p>
    <w:p w:rsidR="0025752E" w:rsidRPr="006C6C80" w:rsidRDefault="0025752E" w:rsidP="00B54921">
      <w:pPr>
        <w:pStyle w:val="ListParagraph"/>
        <w:tabs>
          <w:tab w:val="left" w:pos="720"/>
        </w:tabs>
        <w:rPr>
          <w:sz w:val="18"/>
        </w:rPr>
      </w:pPr>
    </w:p>
    <w:p w:rsidR="00171DEB" w:rsidRPr="006C6C80" w:rsidRDefault="006030F6" w:rsidP="00B54921">
      <w:pPr>
        <w:pStyle w:val="parrafos"/>
        <w:tabs>
          <w:tab w:val="left" w:pos="720"/>
        </w:tabs>
        <w:ind w:left="360" w:right="360"/>
        <w:rPr>
          <w:bCs/>
          <w:lang w:val="en-US"/>
        </w:rPr>
      </w:pPr>
      <w:r w:rsidRPr="006C6C80">
        <w:rPr>
          <w:rFonts w:ascii="Cambria" w:eastAsia="Cambria" w:hAnsi="Cambria" w:cs="Cambria"/>
          <w:color w:val="000000"/>
          <w:sz w:val="18"/>
          <w:szCs w:val="24"/>
          <w:u w:color="000000"/>
          <w:lang w:val="en-US" w:eastAsia="es-ES"/>
        </w:rPr>
        <w:t>The victims of this cause</w:t>
      </w:r>
      <w:r w:rsidR="00520954" w:rsidRPr="006C6C80">
        <w:rPr>
          <w:rFonts w:ascii="Cambria" w:eastAsia="Cambria" w:hAnsi="Cambria" w:cs="Cambria"/>
          <w:color w:val="000000"/>
          <w:sz w:val="18"/>
          <w:szCs w:val="24"/>
          <w:u w:color="000000"/>
          <w:lang w:val="en-US" w:eastAsia="es-ES"/>
        </w:rPr>
        <w:t xml:space="preserve"> were not subjected to </w:t>
      </w:r>
      <w:r w:rsidR="00171DEB" w:rsidRPr="006C6C80">
        <w:rPr>
          <w:rFonts w:ascii="Cambria" w:eastAsia="Cambria" w:hAnsi="Cambria" w:cs="Cambria"/>
          <w:color w:val="000000"/>
          <w:sz w:val="18"/>
          <w:szCs w:val="24"/>
          <w:u w:color="000000"/>
          <w:lang w:val="en-US" w:eastAsia="es-ES"/>
        </w:rPr>
        <w:t>a</w:t>
      </w:r>
      <w:r w:rsidR="00520954" w:rsidRPr="006C6C80">
        <w:rPr>
          <w:rFonts w:ascii="Cambria" w:eastAsia="Cambria" w:hAnsi="Cambria" w:cs="Cambria"/>
          <w:color w:val="000000"/>
          <w:sz w:val="18"/>
          <w:szCs w:val="24"/>
          <w:u w:color="000000"/>
          <w:lang w:val="en-US" w:eastAsia="es-ES"/>
        </w:rPr>
        <w:t>n administrative proce</w:t>
      </w:r>
      <w:r w:rsidRPr="006C6C80">
        <w:rPr>
          <w:rFonts w:ascii="Cambria" w:eastAsia="Cambria" w:hAnsi="Cambria" w:cs="Cambria"/>
          <w:color w:val="000000"/>
          <w:sz w:val="18"/>
          <w:szCs w:val="24"/>
          <w:u w:color="000000"/>
          <w:lang w:val="en-US" w:eastAsia="es-ES"/>
        </w:rPr>
        <w:t>eding prior to the dismissal</w:t>
      </w:r>
      <w:r w:rsidR="00520954" w:rsidRPr="006C6C80">
        <w:rPr>
          <w:rFonts w:ascii="Cambria" w:eastAsia="Cambria" w:hAnsi="Cambria" w:cs="Cambria"/>
          <w:color w:val="000000"/>
          <w:sz w:val="18"/>
          <w:szCs w:val="24"/>
          <w:u w:color="000000"/>
          <w:lang w:val="en-US" w:eastAsia="es-ES"/>
        </w:rPr>
        <w:t xml:space="preserve"> sanction</w:t>
      </w:r>
      <w:r w:rsidR="00171DEB" w:rsidRPr="006C6C80">
        <w:rPr>
          <w:rFonts w:ascii="Cambria" w:eastAsia="Cambria" w:hAnsi="Cambria" w:cs="Cambria"/>
          <w:color w:val="000000"/>
          <w:sz w:val="18"/>
          <w:szCs w:val="24"/>
          <w:u w:color="000000"/>
          <w:lang w:val="en-US" w:eastAsia="es-ES"/>
        </w:rPr>
        <w:t xml:space="preserve">. </w:t>
      </w:r>
      <w:r w:rsidR="00520954" w:rsidRPr="006C6C80">
        <w:rPr>
          <w:rFonts w:ascii="Cambria" w:eastAsia="Cambria" w:hAnsi="Cambria" w:cs="Cambria"/>
          <w:color w:val="000000"/>
          <w:sz w:val="18"/>
          <w:szCs w:val="24"/>
          <w:u w:color="000000"/>
          <w:lang w:val="en-US" w:eastAsia="es-ES"/>
        </w:rPr>
        <w:t xml:space="preserve">The President of the Republic determined that there </w:t>
      </w:r>
      <w:r w:rsidRPr="006C6C80">
        <w:rPr>
          <w:rFonts w:ascii="Cambria" w:eastAsia="Cambria" w:hAnsi="Cambria" w:cs="Cambria"/>
          <w:color w:val="000000"/>
          <w:sz w:val="18"/>
          <w:szCs w:val="24"/>
          <w:u w:color="000000"/>
          <w:lang w:val="en-US" w:eastAsia="es-ES"/>
        </w:rPr>
        <w:t xml:space="preserve">was a link </w:t>
      </w:r>
      <w:r w:rsidR="00520954" w:rsidRPr="006C6C80">
        <w:rPr>
          <w:rFonts w:ascii="Cambria" w:eastAsia="Cambria" w:hAnsi="Cambria" w:cs="Cambria"/>
          <w:color w:val="000000"/>
          <w:sz w:val="18"/>
          <w:szCs w:val="24"/>
          <w:u w:color="000000"/>
          <w:lang w:val="en-US" w:eastAsia="es-ES"/>
        </w:rPr>
        <w:t xml:space="preserve">between the work stoppage of the state </w:t>
      </w:r>
      <w:r w:rsidRPr="006C6C80">
        <w:rPr>
          <w:rFonts w:ascii="Cambria" w:eastAsia="Cambria" w:hAnsi="Cambria" w:cs="Cambria"/>
          <w:color w:val="000000"/>
          <w:sz w:val="18"/>
          <w:szCs w:val="24"/>
          <w:u w:color="000000"/>
          <w:lang w:val="en-US" w:eastAsia="es-ES"/>
        </w:rPr>
        <w:t xml:space="preserve">workers and the movement of </w:t>
      </w:r>
      <w:proofErr w:type="gramStart"/>
      <w:r w:rsidRPr="006C6C80">
        <w:rPr>
          <w:rFonts w:ascii="Cambria" w:eastAsia="Cambria" w:hAnsi="Cambria" w:cs="Cambria"/>
          <w:color w:val="000000"/>
          <w:sz w:val="18"/>
          <w:szCs w:val="24"/>
          <w:u w:color="000000"/>
          <w:lang w:val="en-US" w:eastAsia="es-ES"/>
        </w:rPr>
        <w:t>c</w:t>
      </w:r>
      <w:r w:rsidR="00520954" w:rsidRPr="006C6C80">
        <w:rPr>
          <w:rFonts w:ascii="Cambria" w:eastAsia="Cambria" w:hAnsi="Cambria" w:cs="Cambria"/>
          <w:color w:val="000000"/>
          <w:sz w:val="18"/>
          <w:szCs w:val="24"/>
          <w:u w:color="000000"/>
          <w:lang w:val="en-US" w:eastAsia="es-ES"/>
        </w:rPr>
        <w:t>olonel</w:t>
      </w:r>
      <w:proofErr w:type="gramEnd"/>
      <w:r w:rsidR="00520954" w:rsidRPr="006C6C80">
        <w:rPr>
          <w:rFonts w:ascii="Cambria" w:eastAsia="Cambria" w:hAnsi="Cambria" w:cs="Cambria"/>
          <w:color w:val="000000"/>
          <w:sz w:val="18"/>
          <w:szCs w:val="24"/>
          <w:u w:color="000000"/>
          <w:lang w:val="en-US" w:eastAsia="es-ES"/>
        </w:rPr>
        <w:t xml:space="preserve"> Eduardo Herrera</w:t>
      </w:r>
      <w:r w:rsidRPr="006C6C80">
        <w:rPr>
          <w:rFonts w:ascii="Cambria" w:eastAsia="Cambria" w:hAnsi="Cambria" w:cs="Cambria"/>
          <w:color w:val="000000"/>
          <w:sz w:val="18"/>
          <w:szCs w:val="24"/>
          <w:u w:color="000000"/>
          <w:lang w:val="en-US" w:eastAsia="es-ES"/>
        </w:rPr>
        <w:t>-</w:t>
      </w:r>
      <w:proofErr w:type="spellStart"/>
      <w:r w:rsidR="00520954" w:rsidRPr="006C6C80">
        <w:rPr>
          <w:rFonts w:ascii="Cambria" w:eastAsia="Cambria" w:hAnsi="Cambria" w:cs="Cambria"/>
          <w:color w:val="000000"/>
          <w:sz w:val="18"/>
          <w:szCs w:val="24"/>
          <w:u w:color="000000"/>
          <w:lang w:val="en-US" w:eastAsia="es-ES"/>
        </w:rPr>
        <w:t>Hassán</w:t>
      </w:r>
      <w:proofErr w:type="spellEnd"/>
      <w:r w:rsidR="00520954" w:rsidRPr="006C6C80">
        <w:rPr>
          <w:rFonts w:ascii="Cambria" w:eastAsia="Cambria" w:hAnsi="Cambria" w:cs="Cambria"/>
          <w:color w:val="000000"/>
          <w:sz w:val="18"/>
          <w:szCs w:val="24"/>
          <w:u w:color="000000"/>
          <w:lang w:val="en-US" w:eastAsia="es-ES"/>
        </w:rPr>
        <w:t xml:space="preserve"> and, on </w:t>
      </w:r>
      <w:r w:rsidRPr="006C6C80">
        <w:rPr>
          <w:rFonts w:ascii="Cambria" w:eastAsia="Cambria" w:hAnsi="Cambria" w:cs="Cambria"/>
          <w:color w:val="000000"/>
          <w:sz w:val="18"/>
          <w:szCs w:val="24"/>
          <w:u w:color="000000"/>
          <w:lang w:val="en-US" w:eastAsia="es-ES"/>
        </w:rPr>
        <w:t>such</w:t>
      </w:r>
      <w:r w:rsidR="00520954" w:rsidRPr="006C6C80">
        <w:rPr>
          <w:rFonts w:ascii="Cambria" w:eastAsia="Cambria" w:hAnsi="Cambria" w:cs="Cambria"/>
          <w:color w:val="000000"/>
          <w:sz w:val="18"/>
          <w:szCs w:val="24"/>
          <w:u w:color="000000"/>
          <w:lang w:val="en-US" w:eastAsia="es-ES"/>
        </w:rPr>
        <w:t xml:space="preserve"> basis, </w:t>
      </w:r>
      <w:r w:rsidRPr="006C6C80">
        <w:rPr>
          <w:rFonts w:ascii="Cambria" w:eastAsia="Cambria" w:hAnsi="Cambria" w:cs="Cambria"/>
          <w:color w:val="000000"/>
          <w:sz w:val="18"/>
          <w:szCs w:val="24"/>
          <w:u w:color="000000"/>
          <w:lang w:val="en-US" w:eastAsia="es-ES"/>
        </w:rPr>
        <w:t xml:space="preserve">he </w:t>
      </w:r>
      <w:r w:rsidR="00520954" w:rsidRPr="006C6C80">
        <w:rPr>
          <w:rFonts w:ascii="Cambria" w:eastAsia="Cambria" w:hAnsi="Cambria" w:cs="Cambria"/>
          <w:color w:val="000000"/>
          <w:sz w:val="18"/>
          <w:szCs w:val="24"/>
          <w:u w:color="000000"/>
          <w:lang w:val="en-US" w:eastAsia="es-ES"/>
        </w:rPr>
        <w:t xml:space="preserve">ordered </w:t>
      </w:r>
      <w:r w:rsidRPr="006C6C80">
        <w:rPr>
          <w:rFonts w:ascii="Cambria" w:eastAsia="Cambria" w:hAnsi="Cambria" w:cs="Cambria"/>
          <w:color w:val="000000"/>
          <w:sz w:val="18"/>
          <w:szCs w:val="24"/>
          <w:u w:color="000000"/>
          <w:lang w:val="en-US" w:eastAsia="es-ES"/>
        </w:rPr>
        <w:t>that the workers</w:t>
      </w:r>
      <w:r w:rsidR="00520954" w:rsidRPr="006C6C80">
        <w:rPr>
          <w:rFonts w:ascii="Cambria" w:eastAsia="Cambria" w:hAnsi="Cambria" w:cs="Cambria"/>
          <w:color w:val="000000"/>
          <w:sz w:val="18"/>
          <w:szCs w:val="24"/>
          <w:u w:color="000000"/>
          <w:lang w:val="en-US" w:eastAsia="es-ES"/>
        </w:rPr>
        <w:t xml:space="preserve"> who had </w:t>
      </w:r>
      <w:r w:rsidRPr="006C6C80">
        <w:rPr>
          <w:rFonts w:ascii="Cambria" w:eastAsia="Cambria" w:hAnsi="Cambria" w:cs="Cambria"/>
          <w:color w:val="000000"/>
          <w:sz w:val="18"/>
          <w:szCs w:val="24"/>
          <w:u w:color="000000"/>
          <w:lang w:val="en-US" w:eastAsia="es-ES"/>
        </w:rPr>
        <w:t xml:space="preserve">taken part </w:t>
      </w:r>
      <w:r w:rsidR="006A53CD" w:rsidRPr="006C6C80">
        <w:rPr>
          <w:rFonts w:ascii="Cambria" w:eastAsia="Cambria" w:hAnsi="Cambria" w:cs="Cambria"/>
          <w:color w:val="000000"/>
          <w:sz w:val="18"/>
          <w:szCs w:val="24"/>
          <w:u w:color="000000"/>
          <w:lang w:val="en-US" w:eastAsia="es-ES"/>
        </w:rPr>
        <w:t xml:space="preserve">in said </w:t>
      </w:r>
      <w:r w:rsidRPr="006C6C80">
        <w:rPr>
          <w:rFonts w:ascii="Cambria" w:eastAsia="Cambria" w:hAnsi="Cambria" w:cs="Cambria"/>
          <w:color w:val="000000"/>
          <w:sz w:val="18"/>
          <w:szCs w:val="24"/>
          <w:u w:color="000000"/>
          <w:lang w:val="en-US" w:eastAsia="es-ES"/>
        </w:rPr>
        <w:t xml:space="preserve">work </w:t>
      </w:r>
      <w:r w:rsidR="006A53CD" w:rsidRPr="006C6C80">
        <w:rPr>
          <w:rFonts w:ascii="Cambria" w:eastAsia="Cambria" w:hAnsi="Cambria" w:cs="Cambria"/>
          <w:color w:val="000000"/>
          <w:sz w:val="18"/>
          <w:szCs w:val="24"/>
          <w:u w:color="000000"/>
          <w:lang w:val="en-US" w:eastAsia="es-ES"/>
        </w:rPr>
        <w:t>stoppage</w:t>
      </w:r>
      <w:r w:rsidRPr="006C6C80">
        <w:rPr>
          <w:rFonts w:ascii="Cambria" w:eastAsia="Cambria" w:hAnsi="Cambria" w:cs="Cambria"/>
          <w:color w:val="000000"/>
          <w:sz w:val="18"/>
          <w:szCs w:val="24"/>
          <w:u w:color="000000"/>
          <w:lang w:val="en-US" w:eastAsia="es-ES"/>
        </w:rPr>
        <w:t xml:space="preserve"> be dismissed, in presumption of their</w:t>
      </w:r>
      <w:r w:rsidR="006A53CD" w:rsidRPr="006C6C80">
        <w:rPr>
          <w:rFonts w:ascii="Cambria" w:eastAsia="Cambria" w:hAnsi="Cambria" w:cs="Cambria"/>
          <w:color w:val="000000"/>
          <w:sz w:val="18"/>
          <w:szCs w:val="24"/>
          <w:u w:color="000000"/>
          <w:lang w:val="en-US" w:eastAsia="es-ES"/>
        </w:rPr>
        <w:t xml:space="preserve"> guilt</w:t>
      </w:r>
      <w:r w:rsidR="00171DEB" w:rsidRPr="006C6C80">
        <w:rPr>
          <w:rFonts w:ascii="Cambria" w:eastAsia="Cambria" w:hAnsi="Cambria" w:cs="Cambria"/>
          <w:color w:val="000000"/>
          <w:sz w:val="18"/>
          <w:szCs w:val="24"/>
          <w:u w:color="000000"/>
          <w:lang w:val="en-US" w:eastAsia="es-ES"/>
        </w:rPr>
        <w:t xml:space="preserve">. </w:t>
      </w:r>
      <w:r w:rsidRPr="006C6C80">
        <w:rPr>
          <w:rFonts w:ascii="Cambria" w:eastAsia="Cambria" w:hAnsi="Cambria" w:cs="Cambria"/>
          <w:color w:val="000000"/>
          <w:sz w:val="18"/>
          <w:szCs w:val="24"/>
          <w:u w:color="000000"/>
          <w:lang w:val="en-US" w:eastAsia="es-ES"/>
        </w:rPr>
        <w:t xml:space="preserve">Even the method used </w:t>
      </w:r>
      <w:r w:rsidR="006A53CD" w:rsidRPr="006C6C80">
        <w:rPr>
          <w:rFonts w:ascii="Cambria" w:eastAsia="Cambria" w:hAnsi="Cambria" w:cs="Cambria"/>
          <w:color w:val="000000"/>
          <w:sz w:val="18"/>
          <w:szCs w:val="24"/>
          <w:u w:color="000000"/>
          <w:lang w:val="en-US" w:eastAsia="es-ES"/>
        </w:rPr>
        <w:t>to determine who had participated in the organi</w:t>
      </w:r>
      <w:r w:rsidR="002B074D" w:rsidRPr="006C6C80">
        <w:rPr>
          <w:rFonts w:ascii="Cambria" w:eastAsia="Cambria" w:hAnsi="Cambria" w:cs="Cambria"/>
          <w:color w:val="000000"/>
          <w:sz w:val="18"/>
          <w:szCs w:val="24"/>
          <w:u w:color="000000"/>
          <w:lang w:val="en-US" w:eastAsia="es-ES"/>
        </w:rPr>
        <w:t>z</w:t>
      </w:r>
      <w:r w:rsidR="006A53CD" w:rsidRPr="006C6C80">
        <w:rPr>
          <w:rFonts w:ascii="Cambria" w:eastAsia="Cambria" w:hAnsi="Cambria" w:cs="Cambria"/>
          <w:color w:val="000000"/>
          <w:sz w:val="18"/>
          <w:szCs w:val="24"/>
          <w:u w:color="000000"/>
          <w:lang w:val="en-US" w:eastAsia="es-ES"/>
        </w:rPr>
        <w:t xml:space="preserve">ation, </w:t>
      </w:r>
      <w:r w:rsidRPr="006C6C80">
        <w:rPr>
          <w:rFonts w:ascii="Cambria" w:eastAsia="Cambria" w:hAnsi="Cambria" w:cs="Cambria"/>
          <w:color w:val="000000"/>
          <w:sz w:val="18"/>
          <w:szCs w:val="24"/>
          <w:u w:color="000000"/>
          <w:lang w:val="en-US" w:eastAsia="es-ES"/>
        </w:rPr>
        <w:t>convocation or implementation</w:t>
      </w:r>
      <w:r w:rsidR="006A53CD" w:rsidRPr="006C6C80">
        <w:rPr>
          <w:rFonts w:ascii="Cambria" w:eastAsia="Cambria" w:hAnsi="Cambria" w:cs="Cambria"/>
          <w:color w:val="000000"/>
          <w:sz w:val="18"/>
          <w:szCs w:val="24"/>
          <w:u w:color="000000"/>
          <w:lang w:val="en-US" w:eastAsia="es-ES"/>
        </w:rPr>
        <w:t xml:space="preserve"> of the national </w:t>
      </w:r>
      <w:r w:rsidRPr="006C6C80">
        <w:rPr>
          <w:rFonts w:ascii="Cambria" w:eastAsia="Cambria" w:hAnsi="Cambria" w:cs="Cambria"/>
          <w:color w:val="000000"/>
          <w:sz w:val="18"/>
          <w:szCs w:val="24"/>
          <w:u w:color="000000"/>
          <w:lang w:val="en-US" w:eastAsia="es-ES"/>
        </w:rPr>
        <w:t>work stoppage</w:t>
      </w:r>
      <w:r w:rsidR="006A53CD" w:rsidRPr="006C6C80">
        <w:rPr>
          <w:rFonts w:ascii="Cambria" w:eastAsia="Cambria" w:hAnsi="Cambria" w:cs="Cambria"/>
          <w:color w:val="000000"/>
          <w:sz w:val="18"/>
          <w:szCs w:val="24"/>
          <w:u w:color="000000"/>
          <w:lang w:val="en-US" w:eastAsia="es-ES"/>
        </w:rPr>
        <w:t xml:space="preserve"> held December</w:t>
      </w:r>
      <w:r w:rsidR="00171DEB" w:rsidRPr="006C6C80">
        <w:rPr>
          <w:rFonts w:ascii="Cambria" w:eastAsia="Cambria" w:hAnsi="Cambria" w:cs="Cambria"/>
          <w:color w:val="000000"/>
          <w:sz w:val="18"/>
          <w:szCs w:val="24"/>
          <w:u w:color="000000"/>
          <w:lang w:val="en-US" w:eastAsia="es-ES"/>
        </w:rPr>
        <w:t xml:space="preserve"> 5</w:t>
      </w:r>
      <w:r w:rsidR="006A53CD" w:rsidRPr="006C6C80">
        <w:rPr>
          <w:rFonts w:ascii="Cambria" w:eastAsia="Cambria" w:hAnsi="Cambria" w:cs="Cambria"/>
          <w:color w:val="000000"/>
          <w:sz w:val="18"/>
          <w:szCs w:val="24"/>
          <w:u w:color="000000"/>
          <w:lang w:val="en-US" w:eastAsia="es-ES"/>
        </w:rPr>
        <w:t>,</w:t>
      </w:r>
      <w:r w:rsidR="00171DEB" w:rsidRPr="006C6C80">
        <w:rPr>
          <w:rFonts w:ascii="Cambria" w:eastAsia="Cambria" w:hAnsi="Cambria" w:cs="Cambria"/>
          <w:color w:val="000000"/>
          <w:sz w:val="18"/>
          <w:szCs w:val="24"/>
          <w:u w:color="000000"/>
          <w:lang w:val="en-US" w:eastAsia="es-ES"/>
        </w:rPr>
        <w:t xml:space="preserve"> 1990, </w:t>
      </w:r>
      <w:r w:rsidR="006A53CD" w:rsidRPr="006C6C80">
        <w:rPr>
          <w:rFonts w:ascii="Cambria" w:eastAsia="Cambria" w:hAnsi="Cambria" w:cs="Cambria"/>
          <w:color w:val="000000"/>
          <w:sz w:val="18"/>
          <w:szCs w:val="24"/>
          <w:u w:color="000000"/>
          <w:lang w:val="en-US" w:eastAsia="es-ES"/>
        </w:rPr>
        <w:t>that is, the identification of th</w:t>
      </w:r>
      <w:r w:rsidRPr="006C6C80">
        <w:rPr>
          <w:rFonts w:ascii="Cambria" w:eastAsia="Cambria" w:hAnsi="Cambria" w:cs="Cambria"/>
          <w:color w:val="000000"/>
          <w:sz w:val="18"/>
          <w:szCs w:val="24"/>
          <w:u w:color="000000"/>
          <w:lang w:val="en-US" w:eastAsia="es-ES"/>
        </w:rPr>
        <w:t>os</w:t>
      </w:r>
      <w:r w:rsidR="006A53CD" w:rsidRPr="006C6C80">
        <w:rPr>
          <w:rFonts w:ascii="Cambria" w:eastAsia="Cambria" w:hAnsi="Cambria" w:cs="Cambria"/>
          <w:color w:val="000000"/>
          <w:sz w:val="18"/>
          <w:szCs w:val="24"/>
          <w:u w:color="000000"/>
          <w:lang w:val="en-US" w:eastAsia="es-ES"/>
        </w:rPr>
        <w:t>e charged</w:t>
      </w:r>
      <w:r w:rsidRPr="006C6C80">
        <w:rPr>
          <w:rFonts w:ascii="Cambria" w:eastAsia="Cambria" w:hAnsi="Cambria" w:cs="Cambria"/>
          <w:color w:val="000000"/>
          <w:sz w:val="18"/>
          <w:szCs w:val="24"/>
          <w:u w:color="000000"/>
          <w:lang w:val="en-US" w:eastAsia="es-ES"/>
        </w:rPr>
        <w:t>,</w:t>
      </w:r>
      <w:r w:rsidR="006A53CD" w:rsidRPr="006C6C80">
        <w:rPr>
          <w:rFonts w:ascii="Cambria" w:eastAsia="Cambria" w:hAnsi="Cambria" w:cs="Cambria"/>
          <w:color w:val="000000"/>
          <w:sz w:val="18"/>
          <w:szCs w:val="24"/>
          <w:u w:color="000000"/>
          <w:lang w:val="en-US" w:eastAsia="es-ES"/>
        </w:rPr>
        <w:t xml:space="preserve"> by the </w:t>
      </w:r>
      <w:r w:rsidRPr="006C6C80">
        <w:rPr>
          <w:rFonts w:ascii="Cambria" w:eastAsia="Cambria" w:hAnsi="Cambria" w:cs="Cambria"/>
          <w:color w:val="000000"/>
          <w:sz w:val="18"/>
          <w:szCs w:val="24"/>
          <w:u w:color="000000"/>
          <w:lang w:val="en-US" w:eastAsia="es-ES"/>
        </w:rPr>
        <w:t>official</w:t>
      </w:r>
      <w:r w:rsidR="006A53CD" w:rsidRPr="006C6C80">
        <w:rPr>
          <w:rFonts w:ascii="Cambria" w:eastAsia="Cambria" w:hAnsi="Cambria" w:cs="Cambria"/>
          <w:color w:val="000000"/>
          <w:sz w:val="18"/>
          <w:szCs w:val="24"/>
          <w:u w:color="000000"/>
          <w:lang w:val="en-US" w:eastAsia="es-ES"/>
        </w:rPr>
        <w:t xml:space="preserve"> of each institution, </w:t>
      </w:r>
      <w:r w:rsidRPr="006C6C80">
        <w:rPr>
          <w:rFonts w:ascii="Cambria" w:eastAsia="Cambria" w:hAnsi="Cambria" w:cs="Cambria"/>
          <w:color w:val="000000"/>
          <w:sz w:val="18"/>
          <w:szCs w:val="24"/>
          <w:u w:color="000000"/>
          <w:lang w:val="en-US" w:eastAsia="es-ES"/>
        </w:rPr>
        <w:t xml:space="preserve">using </w:t>
      </w:r>
      <w:r w:rsidR="006A53CD" w:rsidRPr="006C6C80">
        <w:rPr>
          <w:rFonts w:ascii="Cambria" w:eastAsia="Cambria" w:hAnsi="Cambria" w:cs="Cambria"/>
          <w:color w:val="000000"/>
          <w:sz w:val="18"/>
          <w:szCs w:val="24"/>
          <w:u w:color="000000"/>
          <w:lang w:val="en-US" w:eastAsia="es-ES"/>
        </w:rPr>
        <w:t xml:space="preserve">in some cases “reports” </w:t>
      </w:r>
      <w:r w:rsidRPr="006C6C80">
        <w:rPr>
          <w:rFonts w:ascii="Cambria" w:eastAsia="Cambria" w:hAnsi="Cambria" w:cs="Cambria"/>
          <w:color w:val="000000"/>
          <w:sz w:val="18"/>
          <w:szCs w:val="24"/>
          <w:u w:color="000000"/>
          <w:lang w:val="en-US" w:eastAsia="es-ES"/>
        </w:rPr>
        <w:t>prepared by different</w:t>
      </w:r>
      <w:r w:rsidR="006A53CD" w:rsidRPr="006C6C80">
        <w:rPr>
          <w:rFonts w:ascii="Cambria" w:eastAsia="Cambria" w:hAnsi="Cambria" w:cs="Cambria"/>
          <w:color w:val="000000"/>
          <w:sz w:val="18"/>
          <w:szCs w:val="24"/>
          <w:u w:color="000000"/>
          <w:lang w:val="en-US" w:eastAsia="es-ES"/>
        </w:rPr>
        <w:t xml:space="preserve"> heads </w:t>
      </w:r>
      <w:r w:rsidRPr="006C6C80">
        <w:rPr>
          <w:rFonts w:ascii="Cambria" w:eastAsia="Cambria" w:hAnsi="Cambria" w:cs="Cambria"/>
          <w:color w:val="000000"/>
          <w:sz w:val="18"/>
          <w:szCs w:val="24"/>
          <w:u w:color="000000"/>
          <w:lang w:val="en-US" w:eastAsia="es-ES"/>
        </w:rPr>
        <w:t>at the institution</w:t>
      </w:r>
      <w:r w:rsidR="006A53CD" w:rsidRPr="006C6C80">
        <w:rPr>
          <w:rFonts w:ascii="Cambria" w:eastAsia="Cambria" w:hAnsi="Cambria" w:cs="Cambria"/>
          <w:color w:val="000000"/>
          <w:sz w:val="18"/>
          <w:szCs w:val="24"/>
          <w:u w:color="000000"/>
          <w:lang w:val="en-US" w:eastAsia="es-ES"/>
        </w:rPr>
        <w:t xml:space="preserve">, </w:t>
      </w:r>
      <w:r w:rsidRPr="006C6C80">
        <w:rPr>
          <w:rFonts w:ascii="Cambria" w:eastAsia="Cambria" w:hAnsi="Cambria" w:cs="Cambria"/>
          <w:color w:val="000000"/>
          <w:sz w:val="18"/>
          <w:szCs w:val="24"/>
          <w:u w:color="000000"/>
          <w:lang w:val="en-US" w:eastAsia="es-ES"/>
        </w:rPr>
        <w:t xml:space="preserve">was a denial to the workers of a </w:t>
      </w:r>
      <w:r w:rsidR="006A53CD" w:rsidRPr="006C6C80">
        <w:rPr>
          <w:rFonts w:ascii="Cambria" w:eastAsia="Cambria" w:hAnsi="Cambria" w:cs="Cambria"/>
          <w:color w:val="000000"/>
          <w:sz w:val="18"/>
          <w:szCs w:val="24"/>
          <w:u w:color="000000"/>
          <w:lang w:val="en-US" w:eastAsia="es-ES"/>
        </w:rPr>
        <w:t>formal proceeding</w:t>
      </w:r>
      <w:r w:rsidRPr="006C6C80">
        <w:rPr>
          <w:rFonts w:ascii="Cambria" w:eastAsia="Cambria" w:hAnsi="Cambria" w:cs="Cambria"/>
          <w:color w:val="000000"/>
          <w:sz w:val="18"/>
          <w:szCs w:val="24"/>
          <w:u w:color="000000"/>
          <w:lang w:val="en-US" w:eastAsia="es-ES"/>
        </w:rPr>
        <w:t xml:space="preserve"> prior to</w:t>
      </w:r>
      <w:r w:rsidR="006A53CD" w:rsidRPr="006C6C80">
        <w:rPr>
          <w:rFonts w:ascii="Cambria" w:eastAsia="Cambria" w:hAnsi="Cambria" w:cs="Cambria"/>
          <w:color w:val="000000"/>
          <w:sz w:val="18"/>
          <w:szCs w:val="24"/>
          <w:u w:color="000000"/>
          <w:lang w:val="en-US" w:eastAsia="es-ES"/>
        </w:rPr>
        <w:t xml:space="preserve"> dismissal</w:t>
      </w:r>
      <w:r w:rsidR="00171DEB" w:rsidRPr="006C6C80">
        <w:rPr>
          <w:rFonts w:ascii="Cambria" w:eastAsia="Cambria" w:hAnsi="Cambria" w:cs="Cambria"/>
          <w:color w:val="000000"/>
          <w:sz w:val="18"/>
          <w:szCs w:val="24"/>
          <w:u w:color="000000"/>
          <w:lang w:val="en-US" w:eastAsia="es-ES"/>
        </w:rPr>
        <w:t xml:space="preserve">. </w:t>
      </w:r>
      <w:r w:rsidR="006A53CD" w:rsidRPr="006C6C80">
        <w:rPr>
          <w:rFonts w:ascii="Cambria" w:eastAsia="Cambria" w:hAnsi="Cambria" w:cs="Cambria"/>
          <w:color w:val="000000"/>
          <w:sz w:val="18"/>
          <w:szCs w:val="24"/>
          <w:u w:color="000000"/>
          <w:lang w:val="en-US" w:eastAsia="es-ES"/>
        </w:rPr>
        <w:t>Once</w:t>
      </w:r>
      <w:r w:rsidRPr="006C6C80">
        <w:rPr>
          <w:rFonts w:ascii="Cambria" w:eastAsia="Cambria" w:hAnsi="Cambria" w:cs="Cambria"/>
          <w:color w:val="000000"/>
          <w:sz w:val="18"/>
          <w:szCs w:val="24"/>
          <w:u w:color="000000"/>
          <w:lang w:val="en-US" w:eastAsia="es-ES"/>
        </w:rPr>
        <w:t xml:space="preserve"> the worker who had supposedly violated the rule was</w:t>
      </w:r>
      <w:r w:rsidR="006A53CD" w:rsidRPr="006C6C80">
        <w:rPr>
          <w:rFonts w:ascii="Cambria" w:eastAsia="Cambria" w:hAnsi="Cambria" w:cs="Cambria"/>
          <w:color w:val="000000"/>
          <w:sz w:val="18"/>
          <w:szCs w:val="24"/>
          <w:u w:color="000000"/>
          <w:lang w:val="en-US" w:eastAsia="es-ES"/>
        </w:rPr>
        <w:t xml:space="preserve"> identified, </w:t>
      </w:r>
      <w:r w:rsidRPr="006C6C80">
        <w:rPr>
          <w:rFonts w:ascii="Cambria" w:eastAsia="Cambria" w:hAnsi="Cambria" w:cs="Cambria"/>
          <w:color w:val="000000"/>
          <w:sz w:val="18"/>
          <w:szCs w:val="24"/>
          <w:u w:color="000000"/>
          <w:lang w:val="en-US" w:eastAsia="es-ES"/>
        </w:rPr>
        <w:t xml:space="preserve">she or he was dismissed by the </w:t>
      </w:r>
      <w:r w:rsidR="006A53CD" w:rsidRPr="006C6C80">
        <w:rPr>
          <w:rFonts w:ascii="Cambria" w:eastAsia="Cambria" w:hAnsi="Cambria" w:cs="Cambria"/>
          <w:color w:val="000000"/>
          <w:sz w:val="18"/>
          <w:szCs w:val="24"/>
          <w:u w:color="000000"/>
          <w:lang w:val="en-US" w:eastAsia="es-ES"/>
        </w:rPr>
        <w:t>deliver</w:t>
      </w:r>
      <w:r w:rsidRPr="006C6C80">
        <w:rPr>
          <w:rFonts w:ascii="Cambria" w:eastAsia="Cambria" w:hAnsi="Cambria" w:cs="Cambria"/>
          <w:color w:val="000000"/>
          <w:sz w:val="18"/>
          <w:szCs w:val="24"/>
          <w:u w:color="000000"/>
          <w:lang w:val="en-US" w:eastAsia="es-ES"/>
        </w:rPr>
        <w:t>y of</w:t>
      </w:r>
      <w:r w:rsidR="006A53CD" w:rsidRPr="006C6C80">
        <w:rPr>
          <w:rFonts w:ascii="Cambria" w:eastAsia="Cambria" w:hAnsi="Cambria" w:cs="Cambria"/>
          <w:color w:val="000000"/>
          <w:sz w:val="18"/>
          <w:szCs w:val="24"/>
          <w:u w:color="000000"/>
          <w:lang w:val="en-US" w:eastAsia="es-ES"/>
        </w:rPr>
        <w:t xml:space="preserve"> a letter, without </w:t>
      </w:r>
      <w:r w:rsidRPr="006C6C80">
        <w:rPr>
          <w:rFonts w:ascii="Cambria" w:eastAsia="Cambria" w:hAnsi="Cambria" w:cs="Cambria"/>
          <w:color w:val="000000"/>
          <w:sz w:val="18"/>
          <w:szCs w:val="24"/>
          <w:u w:color="000000"/>
          <w:lang w:val="en-US" w:eastAsia="es-ES"/>
        </w:rPr>
        <w:t>being allowed to present arguments an</w:t>
      </w:r>
      <w:r w:rsidR="002B074D" w:rsidRPr="006C6C80">
        <w:rPr>
          <w:rFonts w:ascii="Cambria" w:eastAsia="Cambria" w:hAnsi="Cambria" w:cs="Cambria"/>
          <w:color w:val="000000"/>
          <w:sz w:val="18"/>
          <w:szCs w:val="24"/>
          <w:u w:color="000000"/>
          <w:lang w:val="en-US" w:eastAsia="es-ES"/>
        </w:rPr>
        <w:t>d evidence for her or his defens</w:t>
      </w:r>
      <w:r w:rsidRPr="006C6C80">
        <w:rPr>
          <w:rFonts w:ascii="Cambria" w:eastAsia="Cambria" w:hAnsi="Cambria" w:cs="Cambria"/>
          <w:color w:val="000000"/>
          <w:sz w:val="18"/>
          <w:szCs w:val="24"/>
          <w:u w:color="000000"/>
          <w:lang w:val="en-US" w:eastAsia="es-ES"/>
        </w:rPr>
        <w:t>e</w:t>
      </w:r>
      <w:r w:rsidR="00171DEB" w:rsidRPr="006C6C80">
        <w:rPr>
          <w:rFonts w:ascii="Cambria" w:eastAsia="Cambria" w:hAnsi="Cambria" w:cs="Cambria"/>
          <w:color w:val="000000"/>
          <w:sz w:val="18"/>
          <w:szCs w:val="24"/>
          <w:u w:color="000000"/>
          <w:lang w:val="en-US" w:eastAsia="es-ES"/>
        </w:rPr>
        <w:t xml:space="preserve"> (…)</w:t>
      </w:r>
      <w:r w:rsidR="006A53CD" w:rsidRPr="006C6C80">
        <w:rPr>
          <w:rFonts w:ascii="Cambria" w:eastAsia="Cambria" w:hAnsi="Cambria" w:cs="Cambria"/>
          <w:color w:val="000000"/>
          <w:sz w:val="18"/>
          <w:szCs w:val="24"/>
          <w:u w:color="000000"/>
          <w:lang w:val="en-US" w:eastAsia="es-ES"/>
        </w:rPr>
        <w:t>.</w:t>
      </w:r>
      <w:r w:rsidR="00171DEB" w:rsidRPr="006C6C80">
        <w:rPr>
          <w:szCs w:val="24"/>
          <w:u w:color="000000"/>
          <w:vertAlign w:val="superscript"/>
          <w:lang w:val="en-US" w:eastAsia="es-ES"/>
        </w:rPr>
        <w:footnoteReference w:id="52"/>
      </w:r>
    </w:p>
    <w:p w:rsidR="00171DEB" w:rsidRPr="006C6C80" w:rsidRDefault="00171DEB" w:rsidP="00B5492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Theme="majorHAnsi" w:hAnsiTheme="majorHAnsi"/>
          <w:color w:val="000000" w:themeColor="text1"/>
          <w:sz w:val="20"/>
          <w:szCs w:val="20"/>
        </w:rPr>
      </w:pPr>
    </w:p>
    <w:p w:rsidR="00923219" w:rsidRPr="006C6C80" w:rsidRDefault="006A53CD" w:rsidP="00B54921">
      <w:pPr>
        <w:pStyle w:val="parrafos"/>
        <w:numPr>
          <w:ilvl w:val="0"/>
          <w:numId w:val="56"/>
        </w:numPr>
        <w:tabs>
          <w:tab w:val="left" w:pos="720"/>
        </w:tabs>
        <w:ind w:left="0" w:firstLine="0"/>
        <w:rPr>
          <w:lang w:val="en-US"/>
        </w:rPr>
      </w:pPr>
      <w:r w:rsidRPr="006C6C80">
        <w:rPr>
          <w:lang w:val="en-US"/>
        </w:rPr>
        <w:t xml:space="preserve">In the instant case, the IACHR recalls that after ruling that the strike was unlawful, on May 13, 1996, the First Chamber of the Labor and Social Welfare Appeals Court set a time-limit of twenty days for the Judiciary to terminate the labor contracts of the </w:t>
      </w:r>
      <w:r w:rsidR="003B5C34">
        <w:rPr>
          <w:lang w:val="en-US"/>
        </w:rPr>
        <w:t xml:space="preserve">striking </w:t>
      </w:r>
      <w:r w:rsidRPr="006C6C80">
        <w:rPr>
          <w:lang w:val="en-US"/>
        </w:rPr>
        <w:t>employees, and on September 1, 1999, the Supreme Court of Justice proceeded to implement the dismissal of four hundred four employees, including the alleged victims</w:t>
      </w:r>
      <w:r w:rsidR="00650A82" w:rsidRPr="006C6C80">
        <w:rPr>
          <w:lang w:val="en-US"/>
        </w:rPr>
        <w:t xml:space="preserve">. </w:t>
      </w:r>
    </w:p>
    <w:p w:rsidR="004A6BB4" w:rsidRPr="006C6C80" w:rsidRDefault="004A6BB4" w:rsidP="00B54921">
      <w:pPr>
        <w:pStyle w:val="parrafos"/>
        <w:tabs>
          <w:tab w:val="left" w:pos="720"/>
        </w:tabs>
        <w:rPr>
          <w:lang w:val="en-US"/>
        </w:rPr>
      </w:pPr>
    </w:p>
    <w:p w:rsidR="00C416C2" w:rsidRPr="006C6C80" w:rsidRDefault="006A53CD" w:rsidP="00B54921">
      <w:pPr>
        <w:pStyle w:val="parrafos"/>
        <w:numPr>
          <w:ilvl w:val="0"/>
          <w:numId w:val="56"/>
        </w:numPr>
        <w:tabs>
          <w:tab w:val="left" w:pos="720"/>
        </w:tabs>
        <w:ind w:left="0" w:firstLine="0"/>
        <w:rPr>
          <w:lang w:val="en-US"/>
        </w:rPr>
      </w:pPr>
      <w:r w:rsidRPr="006C6C80">
        <w:rPr>
          <w:lang w:val="en-US"/>
        </w:rPr>
        <w:t>The Commission underscores that the alleged victims were not subjected to an administrative procedure prior to the sanction of dismissal</w:t>
      </w:r>
      <w:r w:rsidR="006A618A">
        <w:rPr>
          <w:lang w:val="en-US"/>
        </w:rPr>
        <w:t>,</w:t>
      </w:r>
      <w:r w:rsidRPr="006C6C80">
        <w:rPr>
          <w:lang w:val="en-US"/>
        </w:rPr>
        <w:t xml:space="preserve"> and therefore they were not notified of the start of a disciplinary procedure against them nor did they have the opportunity to defend themselves regarding this</w:t>
      </w:r>
      <w:r w:rsidR="004A6BB4" w:rsidRPr="006C6C80">
        <w:rPr>
          <w:lang w:val="en-US"/>
        </w:rPr>
        <w:t xml:space="preserve">. </w:t>
      </w:r>
      <w:r w:rsidR="00D81718" w:rsidRPr="006C6C80">
        <w:rPr>
          <w:lang w:val="en-US"/>
        </w:rPr>
        <w:t>This led to the dismissal of at least 27 employees who had not participated in the strike because their name</w:t>
      </w:r>
      <w:r w:rsidR="00AB4458">
        <w:rPr>
          <w:lang w:val="en-US"/>
        </w:rPr>
        <w:t>s had been mistakenly included o</w:t>
      </w:r>
      <w:r w:rsidR="00D81718" w:rsidRPr="006C6C80">
        <w:rPr>
          <w:lang w:val="en-US"/>
        </w:rPr>
        <w:t>n the lists of strikers.</w:t>
      </w:r>
    </w:p>
    <w:p w:rsidR="00C416C2" w:rsidRPr="006C6C80" w:rsidRDefault="00C416C2" w:rsidP="00B54921">
      <w:pPr>
        <w:pStyle w:val="ListParagraph"/>
        <w:tabs>
          <w:tab w:val="left" w:pos="720"/>
        </w:tabs>
      </w:pPr>
    </w:p>
    <w:p w:rsidR="0046072D" w:rsidRPr="006C6C80" w:rsidRDefault="00D81718" w:rsidP="00B54921">
      <w:pPr>
        <w:pStyle w:val="parrafos"/>
        <w:numPr>
          <w:ilvl w:val="0"/>
          <w:numId w:val="56"/>
        </w:numPr>
        <w:tabs>
          <w:tab w:val="left" w:pos="720"/>
        </w:tabs>
        <w:ind w:left="0" w:firstLine="0"/>
        <w:rPr>
          <w:lang w:val="en-US"/>
        </w:rPr>
      </w:pPr>
      <w:r w:rsidRPr="006C6C80">
        <w:rPr>
          <w:lang w:val="en-US"/>
        </w:rPr>
        <w:t>The IACHR</w:t>
      </w:r>
      <w:r w:rsidR="00CD6BAA" w:rsidRPr="006C6C80">
        <w:rPr>
          <w:lang w:val="en-US"/>
        </w:rPr>
        <w:t xml:space="preserve"> highlights that, although out of a </w:t>
      </w:r>
      <w:r w:rsidRPr="006C6C80">
        <w:rPr>
          <w:lang w:val="en-US"/>
        </w:rPr>
        <w:t>total of 93</w:t>
      </w:r>
      <w:r w:rsidR="00CD6BAA" w:rsidRPr="006C6C80">
        <w:rPr>
          <w:lang w:val="en-US"/>
        </w:rPr>
        <w:t xml:space="preserve"> alleged victims, 28 were rehired, 65 were not, in spite of the fact that their dismissal took place in a proce</w:t>
      </w:r>
      <w:r w:rsidR="006A618A">
        <w:rPr>
          <w:lang w:val="en-US"/>
        </w:rPr>
        <w:t>eding</w:t>
      </w:r>
      <w:r w:rsidR="00CD6BAA" w:rsidRPr="006C6C80">
        <w:rPr>
          <w:lang w:val="en-US"/>
        </w:rPr>
        <w:t xml:space="preserve"> without any</w:t>
      </w:r>
      <w:r w:rsidR="005738D0" w:rsidRPr="006C6C80">
        <w:rPr>
          <w:lang w:val="en-US"/>
        </w:rPr>
        <w:t xml:space="preserve"> of</w:t>
      </w:r>
      <w:r w:rsidR="00CD6BAA" w:rsidRPr="006C6C80">
        <w:rPr>
          <w:lang w:val="en-US"/>
        </w:rPr>
        <w:t xml:space="preserve"> the guarantees of due process of law</w:t>
      </w:r>
      <w:r w:rsidR="00450207" w:rsidRPr="006C6C80">
        <w:rPr>
          <w:lang w:val="en-US"/>
        </w:rPr>
        <w:t xml:space="preserve">. </w:t>
      </w:r>
      <w:r w:rsidR="00CD6BAA" w:rsidRPr="006C6C80">
        <w:rPr>
          <w:lang w:val="en-US"/>
        </w:rPr>
        <w:t xml:space="preserve">The Commission considers that the argument whereby it was not necessary to conduct a prior procedure with the guarantees of due process </w:t>
      </w:r>
      <w:r w:rsidR="006A618A">
        <w:rPr>
          <w:lang w:val="en-US"/>
        </w:rPr>
        <w:t>because the cause of dismissal had already been provided for</w:t>
      </w:r>
      <w:r w:rsidR="00CD6BAA" w:rsidRPr="006C6C80">
        <w:rPr>
          <w:lang w:val="en-US"/>
        </w:rPr>
        <w:t xml:space="preserve"> in the applicable </w:t>
      </w:r>
      <w:r w:rsidR="006A618A">
        <w:rPr>
          <w:lang w:val="en-US"/>
        </w:rPr>
        <w:t>law</w:t>
      </w:r>
      <w:r w:rsidR="00CD6BAA" w:rsidRPr="006C6C80">
        <w:rPr>
          <w:lang w:val="en-US"/>
        </w:rPr>
        <w:t xml:space="preserve"> and was a direct consequence of the ruling on the strike’s unlawfulness </w:t>
      </w:r>
      <w:r w:rsidR="006A618A">
        <w:rPr>
          <w:lang w:val="en-US"/>
        </w:rPr>
        <w:t xml:space="preserve">does not provide </w:t>
      </w:r>
      <w:r w:rsidR="006A618A">
        <w:rPr>
          <w:lang w:val="en-US"/>
        </w:rPr>
        <w:lastRenderedPageBreak/>
        <w:t>grounds</w:t>
      </w:r>
      <w:r w:rsidR="00CD6BAA" w:rsidRPr="006C6C80">
        <w:rPr>
          <w:lang w:val="en-US"/>
        </w:rPr>
        <w:t xml:space="preserve"> for depriving the victims of their possibility to defend themselves about whether or not they were </w:t>
      </w:r>
      <w:r w:rsidR="006A618A">
        <w:rPr>
          <w:lang w:val="en-US"/>
        </w:rPr>
        <w:t>involved</w:t>
      </w:r>
      <w:r w:rsidR="00CD6BAA" w:rsidRPr="006C6C80">
        <w:rPr>
          <w:lang w:val="en-US"/>
        </w:rPr>
        <w:t xml:space="preserve"> in the above-mentioned case and whether or not the</w:t>
      </w:r>
      <w:r w:rsidR="0046072D" w:rsidRPr="006C6C80">
        <w:rPr>
          <w:lang w:val="en-US"/>
        </w:rPr>
        <w:t xml:space="preserve"> </w:t>
      </w:r>
      <w:r w:rsidR="00CD6BAA" w:rsidRPr="006C6C80">
        <w:rPr>
          <w:lang w:val="en-US"/>
        </w:rPr>
        <w:t>case should entail a sanction</w:t>
      </w:r>
      <w:r w:rsidR="0046072D" w:rsidRPr="006C6C80">
        <w:rPr>
          <w:lang w:val="en-US"/>
        </w:rPr>
        <w:t xml:space="preserve">. </w:t>
      </w:r>
      <w:r w:rsidR="00CD6BAA" w:rsidRPr="006C6C80">
        <w:rPr>
          <w:lang w:val="en-US"/>
        </w:rPr>
        <w:t>This is even more evident</w:t>
      </w:r>
      <w:r w:rsidR="006A618A">
        <w:rPr>
          <w:lang w:val="en-US"/>
        </w:rPr>
        <w:t xml:space="preserve"> when</w:t>
      </w:r>
      <w:r w:rsidR="00CD6BAA" w:rsidRPr="006C6C80">
        <w:rPr>
          <w:lang w:val="en-US"/>
        </w:rPr>
        <w:t xml:space="preserve"> taking into account that the imposition of the sanction was not mandatory acco</w:t>
      </w:r>
      <w:r w:rsidR="006A618A">
        <w:rPr>
          <w:lang w:val="en-US"/>
        </w:rPr>
        <w:t>rding to the applicable law</w:t>
      </w:r>
      <w:r w:rsidR="0046072D" w:rsidRPr="006C6C80">
        <w:rPr>
          <w:lang w:val="en-US"/>
        </w:rPr>
        <w:t xml:space="preserve">, </w:t>
      </w:r>
      <w:r w:rsidR="005738D0" w:rsidRPr="006C6C80">
        <w:rPr>
          <w:lang w:val="en-US"/>
        </w:rPr>
        <w:t>but rath</w:t>
      </w:r>
      <w:r w:rsidR="00CD6BAA" w:rsidRPr="006C6C80">
        <w:rPr>
          <w:lang w:val="en-US"/>
        </w:rPr>
        <w:t xml:space="preserve">er that it was a power, </w:t>
      </w:r>
      <w:r w:rsidR="006A618A">
        <w:rPr>
          <w:lang w:val="en-US"/>
        </w:rPr>
        <w:t>all the more reason for requiring its review</w:t>
      </w:r>
      <w:r w:rsidR="005738D0" w:rsidRPr="006C6C80">
        <w:rPr>
          <w:lang w:val="en-US"/>
        </w:rPr>
        <w:t xml:space="preserve"> in the framework of a proceeding with due guarantees according to the terms </w:t>
      </w:r>
      <w:r w:rsidR="006A618A">
        <w:rPr>
          <w:lang w:val="en-US"/>
        </w:rPr>
        <w:t xml:space="preserve">indicated </w:t>
      </w:r>
      <w:r w:rsidR="005738D0" w:rsidRPr="006C6C80">
        <w:rPr>
          <w:lang w:val="en-US"/>
        </w:rPr>
        <w:t>above</w:t>
      </w:r>
      <w:r w:rsidR="0046072D" w:rsidRPr="006C6C80">
        <w:rPr>
          <w:lang w:val="en-US"/>
        </w:rPr>
        <w:t xml:space="preserve">. </w:t>
      </w:r>
    </w:p>
    <w:p w:rsidR="0046072D" w:rsidRPr="006C6C80" w:rsidRDefault="0046072D" w:rsidP="0046072D">
      <w:pPr>
        <w:pStyle w:val="ListParagraph"/>
      </w:pPr>
    </w:p>
    <w:p w:rsidR="0000255A" w:rsidRPr="006C6C80" w:rsidRDefault="005738D0" w:rsidP="00B54921">
      <w:pPr>
        <w:pStyle w:val="parrafos"/>
        <w:numPr>
          <w:ilvl w:val="0"/>
          <w:numId w:val="56"/>
        </w:numPr>
        <w:tabs>
          <w:tab w:val="left" w:pos="720"/>
        </w:tabs>
        <w:ind w:left="0" w:firstLine="0"/>
        <w:rPr>
          <w:lang w:val="en-US"/>
        </w:rPr>
      </w:pPr>
      <w:r w:rsidRPr="006C6C80">
        <w:rPr>
          <w:lang w:val="en-US"/>
        </w:rPr>
        <w:t xml:space="preserve">By virtue of what has been indicated, the Commission concludes that the state violated the right to be heard, as well as the right </w:t>
      </w:r>
      <w:r w:rsidR="006A618A">
        <w:rPr>
          <w:lang w:val="en-US"/>
        </w:rPr>
        <w:t>of</w:t>
      </w:r>
      <w:r w:rsidRPr="006C6C80">
        <w:rPr>
          <w:lang w:val="en-US"/>
        </w:rPr>
        <w:t xml:space="preserve"> defense, as established in Articles</w:t>
      </w:r>
      <w:r w:rsidRPr="006C6C80">
        <w:rPr>
          <w:rFonts w:cs="Verdana"/>
          <w:lang w:val="en-US"/>
        </w:rPr>
        <w:t xml:space="preserve"> 8.1 and</w:t>
      </w:r>
      <w:r w:rsidR="0000255A" w:rsidRPr="006C6C80">
        <w:rPr>
          <w:rFonts w:cs="Verdana"/>
          <w:lang w:val="en-US"/>
        </w:rPr>
        <w:t xml:space="preserve"> 8.2 </w:t>
      </w:r>
      <w:r w:rsidRPr="006C6C80">
        <w:rPr>
          <w:rFonts w:cs="Verdana"/>
          <w:lang w:val="en-US"/>
        </w:rPr>
        <w:t>(</w:t>
      </w:r>
      <w:r w:rsidR="0000255A" w:rsidRPr="006C6C80">
        <w:rPr>
          <w:rFonts w:cs="Verdana"/>
          <w:lang w:val="en-US"/>
        </w:rPr>
        <w:t xml:space="preserve">b) </w:t>
      </w:r>
      <w:r w:rsidRPr="006C6C80">
        <w:rPr>
          <w:rFonts w:cs="Verdana"/>
          <w:lang w:val="en-US"/>
        </w:rPr>
        <w:t>and</w:t>
      </w:r>
      <w:r w:rsidR="0000255A" w:rsidRPr="006C6C80">
        <w:rPr>
          <w:rFonts w:cs="Verdana"/>
          <w:lang w:val="en-US"/>
        </w:rPr>
        <w:t xml:space="preserve"> </w:t>
      </w:r>
      <w:r w:rsidRPr="006C6C80">
        <w:rPr>
          <w:rFonts w:cs="Verdana"/>
          <w:lang w:val="en-US"/>
        </w:rPr>
        <w:t>(</w:t>
      </w:r>
      <w:r w:rsidR="0000255A" w:rsidRPr="006C6C80">
        <w:rPr>
          <w:rFonts w:cs="Verdana"/>
          <w:lang w:val="en-US"/>
        </w:rPr>
        <w:t xml:space="preserve">c) </w:t>
      </w:r>
      <w:r w:rsidRPr="006C6C80">
        <w:rPr>
          <w:rFonts w:cs="Verdana"/>
          <w:lang w:val="en-US"/>
        </w:rPr>
        <w:t>of the American Convention, in connection with the obligations set forth in Article</w:t>
      </w:r>
      <w:r w:rsidR="0000255A" w:rsidRPr="006C6C80">
        <w:rPr>
          <w:rFonts w:cs="Verdana"/>
          <w:lang w:val="en-US"/>
        </w:rPr>
        <w:t xml:space="preserve"> 1.1 </w:t>
      </w:r>
      <w:r w:rsidRPr="006C6C80">
        <w:rPr>
          <w:rFonts w:cs="Verdana"/>
          <w:lang w:val="en-US"/>
        </w:rPr>
        <w:t>of the same instrument, to the detriment of the 65 employees of the Judiciary who were dismissed from their jobs and who were not later rehired</w:t>
      </w:r>
      <w:r w:rsidR="00E515E1" w:rsidRPr="006C6C80">
        <w:rPr>
          <w:rFonts w:cs="Verdana"/>
          <w:lang w:val="en-US"/>
        </w:rPr>
        <w:t xml:space="preserve">. </w:t>
      </w:r>
    </w:p>
    <w:p w:rsidR="00130FA6" w:rsidRPr="006C6C80" w:rsidRDefault="00130FA6" w:rsidP="00130FA6">
      <w:pPr>
        <w:pStyle w:val="ListParagraph"/>
      </w:pPr>
    </w:p>
    <w:p w:rsidR="00130FA6" w:rsidRPr="006C6C80" w:rsidRDefault="005738D0" w:rsidP="00B54921">
      <w:pPr>
        <w:pStyle w:val="parrafos"/>
        <w:numPr>
          <w:ilvl w:val="0"/>
          <w:numId w:val="56"/>
        </w:numPr>
        <w:tabs>
          <w:tab w:val="left" w:pos="720"/>
        </w:tabs>
        <w:ind w:left="0" w:firstLine="0"/>
        <w:rPr>
          <w:lang w:val="en-US"/>
        </w:rPr>
      </w:pPr>
      <w:r w:rsidRPr="006C6C80">
        <w:rPr>
          <w:lang w:val="en-US"/>
        </w:rPr>
        <w:t>As for the allegation regarding the absence of independence and impartiality of the Supreme Court of Justice to hear the dispute, the Commission observes that, although as the employer it was a party clearly interested in the outcome of the proceeding, the reasons for which said Court dismissed the motion to appeal had to do with the fact that said motion did not proceed against the action being appealed</w:t>
      </w:r>
      <w:r w:rsidR="00C31AC4" w:rsidRPr="006C6C80">
        <w:rPr>
          <w:lang w:val="en-US"/>
        </w:rPr>
        <w:t>.</w:t>
      </w:r>
      <w:r w:rsidRPr="006C6C80">
        <w:rPr>
          <w:lang w:val="en-US"/>
        </w:rPr>
        <w:t xml:space="preserve"> As a result, the Commission understands that, under domestic law, the Supreme Court of Justice was not called upon to provide substantive rulings on the dispute</w:t>
      </w:r>
      <w:r w:rsidR="00180A17">
        <w:rPr>
          <w:lang w:val="en-US"/>
        </w:rPr>
        <w:t>,</w:t>
      </w:r>
      <w:r w:rsidRPr="006C6C80">
        <w:rPr>
          <w:lang w:val="en-US"/>
        </w:rPr>
        <w:t xml:space="preserve"> and therefore</w:t>
      </w:r>
      <w:r w:rsidR="00C31AC4" w:rsidRPr="006C6C80">
        <w:rPr>
          <w:lang w:val="en-US"/>
        </w:rPr>
        <w:t xml:space="preserve"> </w:t>
      </w:r>
      <w:r w:rsidRPr="006C6C80">
        <w:rPr>
          <w:lang w:val="en-US"/>
        </w:rPr>
        <w:t>it does not find that the Court’s intervention, under the circumstance</w:t>
      </w:r>
      <w:r w:rsidR="00BF631E" w:rsidRPr="006C6C80">
        <w:rPr>
          <w:lang w:val="en-US"/>
        </w:rPr>
        <w:t>s</w:t>
      </w:r>
      <w:r w:rsidRPr="006C6C80">
        <w:rPr>
          <w:lang w:val="en-US"/>
        </w:rPr>
        <w:t xml:space="preserve"> of the case, would have undermine</w:t>
      </w:r>
      <w:r w:rsidR="006C6A6C">
        <w:rPr>
          <w:lang w:val="en-US"/>
        </w:rPr>
        <w:t>d</w:t>
      </w:r>
      <w:r w:rsidRPr="006C6C80">
        <w:rPr>
          <w:lang w:val="en-US"/>
        </w:rPr>
        <w:t xml:space="preserve"> the principles of independence and impartiality</w:t>
      </w:r>
      <w:r w:rsidR="00892E4F" w:rsidRPr="006C6C80">
        <w:rPr>
          <w:lang w:val="en-US"/>
        </w:rPr>
        <w:t xml:space="preserve">. </w:t>
      </w:r>
    </w:p>
    <w:p w:rsidR="00FD0030" w:rsidRDefault="00FD0030" w:rsidP="00B54921">
      <w:pPr>
        <w:tabs>
          <w:tab w:val="left" w:pos="720"/>
        </w:tabs>
        <w:rPr>
          <w:lang w:eastAsia="es-ES"/>
        </w:rPr>
      </w:pPr>
    </w:p>
    <w:p w:rsidR="008B1405" w:rsidRPr="006C6C80" w:rsidRDefault="00BF631E" w:rsidP="00B54921">
      <w:pPr>
        <w:pStyle w:val="Heading2"/>
        <w:keepNext/>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s>
        <w:suppressAutoHyphens w:val="0"/>
        <w:ind w:left="720" w:hanging="720"/>
        <w:jc w:val="both"/>
        <w:rPr>
          <w:lang w:val="en-US"/>
        </w:rPr>
      </w:pPr>
      <w:bookmarkStart w:id="22" w:name="_Toc18936473"/>
      <w:r w:rsidRPr="006C6C80">
        <w:rPr>
          <w:lang w:val="en-US"/>
        </w:rPr>
        <w:t>The right to strike</w:t>
      </w:r>
      <w:r w:rsidR="005D34E0" w:rsidRPr="006C6C80">
        <w:rPr>
          <w:rStyle w:val="FootnoteReference"/>
          <w:lang w:val="en-US"/>
        </w:rPr>
        <w:footnoteReference w:id="53"/>
      </w:r>
      <w:bookmarkEnd w:id="22"/>
      <w:r w:rsidR="005D34E0" w:rsidRPr="006C6C80">
        <w:rPr>
          <w:lang w:val="en-US"/>
        </w:rPr>
        <w:t xml:space="preserve"> </w:t>
      </w:r>
      <w:r w:rsidR="009061A7">
        <w:rPr>
          <w:lang w:val="en-US"/>
        </w:rPr>
        <w:t>and the right to work</w:t>
      </w:r>
    </w:p>
    <w:p w:rsidR="00A97927" w:rsidRPr="006C6C80" w:rsidRDefault="00A97927" w:rsidP="00BF631E">
      <w:pPr>
        <w:tabs>
          <w:tab w:val="left" w:pos="1135"/>
        </w:tabs>
        <w:rPr>
          <w:sz w:val="20"/>
          <w:szCs w:val="20"/>
        </w:rPr>
      </w:pPr>
    </w:p>
    <w:p w:rsidR="0025752E" w:rsidRPr="006C6C80" w:rsidRDefault="00BF631E" w:rsidP="00B54921">
      <w:pPr>
        <w:pStyle w:val="parrafos"/>
        <w:numPr>
          <w:ilvl w:val="0"/>
          <w:numId w:val="56"/>
        </w:numPr>
        <w:tabs>
          <w:tab w:val="left" w:pos="720"/>
        </w:tabs>
        <w:ind w:left="0" w:firstLine="0"/>
        <w:rPr>
          <w:lang w:val="en-US"/>
        </w:rPr>
      </w:pPr>
      <w:r w:rsidRPr="006C6C80">
        <w:rPr>
          <w:lang w:val="en-US"/>
        </w:rPr>
        <w:t xml:space="preserve">Article </w:t>
      </w:r>
      <w:r w:rsidR="00BE0B86" w:rsidRPr="006C6C80">
        <w:rPr>
          <w:lang w:val="en-US"/>
        </w:rPr>
        <w:t xml:space="preserve">26 </w:t>
      </w:r>
      <w:r w:rsidR="00414B1F" w:rsidRPr="006C6C80">
        <w:rPr>
          <w:lang w:val="en-US"/>
        </w:rPr>
        <w:t>of the American Convention establishes an obligation for states parties to</w:t>
      </w:r>
      <w:r w:rsidR="00A15692">
        <w:rPr>
          <w:lang w:val="en-US"/>
        </w:rPr>
        <w:t xml:space="preserve"> achieve progressively the realization of </w:t>
      </w:r>
      <w:r w:rsidR="00414B1F" w:rsidRPr="006C6C80">
        <w:rPr>
          <w:lang w:val="en-US"/>
        </w:rPr>
        <w:t>the rights contained in said norm. Both bodies of the inter-American system have reaffirmed their competence to rule on possible violations of Article</w:t>
      </w:r>
      <w:r w:rsidR="00BE0B86" w:rsidRPr="006C6C80">
        <w:rPr>
          <w:rFonts w:cs="Arial"/>
          <w:snapToGrid w:val="0"/>
          <w:lang w:val="en-US"/>
        </w:rPr>
        <w:t xml:space="preserve"> 26 </w:t>
      </w:r>
      <w:r w:rsidR="00414B1F" w:rsidRPr="006C6C80">
        <w:rPr>
          <w:rFonts w:cs="Arial"/>
          <w:snapToGrid w:val="0"/>
          <w:lang w:val="en-US"/>
        </w:rPr>
        <w:t>of the American Convention in the framework of the system of individual petitions and cases</w:t>
      </w:r>
      <w:r w:rsidR="00BE0B86" w:rsidRPr="006C6C80">
        <w:rPr>
          <w:rFonts w:cs="Arial"/>
          <w:i/>
          <w:snapToGrid w:val="0"/>
          <w:lang w:val="en-US"/>
        </w:rPr>
        <w:t xml:space="preserve">. </w:t>
      </w:r>
      <w:r w:rsidR="00414B1F" w:rsidRPr="006C6C80">
        <w:rPr>
          <w:bdr w:val="none" w:sz="0" w:space="0" w:color="auto" w:frame="1"/>
          <w:lang w:val="en-US"/>
        </w:rPr>
        <w:t>In its rulings on the matter</w:t>
      </w:r>
      <w:r w:rsidR="00BE0B86" w:rsidRPr="006C6C80">
        <w:rPr>
          <w:bdr w:val="none" w:sz="0" w:space="0" w:color="auto" w:frame="1"/>
          <w:lang w:val="en-US"/>
        </w:rPr>
        <w:t xml:space="preserve">, </w:t>
      </w:r>
      <w:r w:rsidR="00414B1F" w:rsidRPr="006C6C80">
        <w:rPr>
          <w:bdr w:val="none" w:sz="0" w:space="0" w:color="auto" w:frame="1"/>
          <w:lang w:val="en-US"/>
        </w:rPr>
        <w:t>the Court has emphasized the interdependence and indivisibility of economic, social, and cultural rights with respect to civil and political rights.</w:t>
      </w:r>
      <w:r w:rsidR="00BE0B86" w:rsidRPr="006C6C80">
        <w:rPr>
          <w:rStyle w:val="FootnoteReference"/>
          <w:rFonts w:cs="Arial"/>
          <w:snapToGrid w:val="0"/>
          <w:bdr w:val="none" w:sz="0" w:space="0" w:color="auto" w:frame="1"/>
          <w:lang w:val="en-US"/>
        </w:rPr>
        <w:footnoteReference w:id="54"/>
      </w:r>
    </w:p>
    <w:p w:rsidR="00D10578" w:rsidRPr="006C6C80" w:rsidRDefault="00D10578" w:rsidP="00D10578">
      <w:pPr>
        <w:pStyle w:val="parrafos"/>
        <w:tabs>
          <w:tab w:val="left" w:pos="720"/>
        </w:tabs>
        <w:rPr>
          <w:lang w:val="en-US"/>
        </w:rPr>
      </w:pPr>
    </w:p>
    <w:p w:rsidR="00D10578" w:rsidRPr="006C6C80" w:rsidRDefault="00414B1F" w:rsidP="00C35054">
      <w:pPr>
        <w:pStyle w:val="parrafos"/>
        <w:numPr>
          <w:ilvl w:val="0"/>
          <w:numId w:val="56"/>
        </w:numPr>
        <w:tabs>
          <w:tab w:val="left" w:pos="720"/>
        </w:tabs>
        <w:ind w:left="0" w:firstLine="0"/>
        <w:rPr>
          <w:lang w:val="en-US"/>
        </w:rPr>
      </w:pPr>
      <w:r w:rsidRPr="006C6C80">
        <w:rPr>
          <w:lang w:val="en-US"/>
        </w:rPr>
        <w:t>The Commission starts by highlight</w:t>
      </w:r>
      <w:r w:rsidR="00C76E29" w:rsidRPr="006C6C80">
        <w:rPr>
          <w:lang w:val="en-US"/>
        </w:rPr>
        <w:t>ing</w:t>
      </w:r>
      <w:r w:rsidRPr="006C6C80">
        <w:rPr>
          <w:lang w:val="en-US"/>
        </w:rPr>
        <w:t xml:space="preserve"> that the right to strike is protected by Article 26 of the American Convention, whereas Article 45, subparagraph (c) of the OAS Charter expressly integrates it when it provides that: </w:t>
      </w:r>
      <w:r w:rsidRPr="006C6C80">
        <w:rPr>
          <w:color w:val="auto"/>
          <w:lang w:val="en-US"/>
        </w:rPr>
        <w:t>“</w:t>
      </w:r>
      <w:r w:rsidR="00CB1114" w:rsidRPr="006C6C80">
        <w:rPr>
          <w:color w:val="auto"/>
          <w:shd w:val="clear" w:color="auto" w:fill="FFFFFF"/>
          <w:lang w:val="en-US"/>
        </w:rPr>
        <w:t>Employers and workers, both rural and urban, have the right to associate themselves freely for the defense and promotion of their interests, including the right to collective bargaining and the workers' right to strike</w:t>
      </w:r>
      <w:r w:rsidR="00D325AD" w:rsidRPr="006C6C80">
        <w:rPr>
          <w:color w:val="auto"/>
          <w:lang w:val="en-US"/>
        </w:rPr>
        <w:t>.</w:t>
      </w:r>
      <w:r w:rsidR="00C35054" w:rsidRPr="006C6C80">
        <w:rPr>
          <w:color w:val="auto"/>
          <w:lang w:val="en-US"/>
        </w:rPr>
        <w:t>”</w:t>
      </w:r>
      <w:r w:rsidR="00C35054" w:rsidRPr="006C6C80">
        <w:rPr>
          <w:rStyle w:val="FootnoteReference"/>
          <w:lang w:val="en-US" w:eastAsia="es-ES"/>
        </w:rPr>
        <w:footnoteReference w:id="55"/>
      </w:r>
    </w:p>
    <w:p w:rsidR="0025752E" w:rsidRPr="006C6C80" w:rsidRDefault="00AB4458" w:rsidP="00AB4458">
      <w:pPr>
        <w:pStyle w:val="parrafos"/>
        <w:tabs>
          <w:tab w:val="clear" w:pos="360"/>
          <w:tab w:val="left" w:pos="3004"/>
        </w:tabs>
        <w:rPr>
          <w:lang w:val="en-US"/>
        </w:rPr>
      </w:pPr>
      <w:r>
        <w:rPr>
          <w:lang w:val="en-US"/>
        </w:rPr>
        <w:tab/>
      </w:r>
    </w:p>
    <w:p w:rsidR="0025752E" w:rsidRPr="006C6C80" w:rsidRDefault="00D325AD" w:rsidP="00B54921">
      <w:pPr>
        <w:pStyle w:val="parrafos"/>
        <w:numPr>
          <w:ilvl w:val="0"/>
          <w:numId w:val="56"/>
        </w:numPr>
        <w:tabs>
          <w:tab w:val="left" w:pos="720"/>
        </w:tabs>
        <w:ind w:left="0" w:firstLine="0"/>
        <w:rPr>
          <w:lang w:val="en-US"/>
        </w:rPr>
      </w:pPr>
      <w:r w:rsidRPr="006C6C80">
        <w:rPr>
          <w:lang w:val="en-US"/>
        </w:rPr>
        <w:t>Once established, it must be determined if the state concerned failed to fulfill its obligation to “</w:t>
      </w:r>
      <w:r w:rsidR="00704A4F">
        <w:rPr>
          <w:lang w:val="en-US"/>
        </w:rPr>
        <w:t xml:space="preserve">achieve </w:t>
      </w:r>
      <w:r w:rsidRPr="006C6C80">
        <w:rPr>
          <w:lang w:val="en-US"/>
        </w:rPr>
        <w:t xml:space="preserve">progressively” the full </w:t>
      </w:r>
      <w:r w:rsidR="00704A4F">
        <w:rPr>
          <w:lang w:val="en-US"/>
        </w:rPr>
        <w:t>realization</w:t>
      </w:r>
      <w:r w:rsidRPr="006C6C80">
        <w:rPr>
          <w:lang w:val="en-US"/>
        </w:rPr>
        <w:t xml:space="preserve"> of said right or those general obligations to respect and guarantee it. At this second level of review, the nature and scope of the obligations enforceable upon the state under Articles </w:t>
      </w:r>
      <w:r w:rsidR="006E3921" w:rsidRPr="006C6C80">
        <w:rPr>
          <w:lang w:val="en-US"/>
        </w:rPr>
        <w:t>1.1, 2</w:t>
      </w:r>
      <w:r w:rsidRPr="006C6C80">
        <w:rPr>
          <w:lang w:val="en-US"/>
        </w:rPr>
        <w:t>, and</w:t>
      </w:r>
      <w:r w:rsidR="006E3921" w:rsidRPr="006C6C80">
        <w:rPr>
          <w:lang w:val="en-US"/>
        </w:rPr>
        <w:t xml:space="preserve"> 26 </w:t>
      </w:r>
      <w:r w:rsidRPr="006C6C80">
        <w:rPr>
          <w:lang w:val="en-US"/>
        </w:rPr>
        <w:t>of the Convention, as well as the contents of the right concerned, must be taken into consideration.</w:t>
      </w:r>
      <w:r w:rsidR="006E3921" w:rsidRPr="006C6C80">
        <w:rPr>
          <w:rStyle w:val="FootnoteReference"/>
          <w:lang w:val="en-US"/>
        </w:rPr>
        <w:footnoteReference w:id="56"/>
      </w:r>
    </w:p>
    <w:p w:rsidR="0025752E" w:rsidRPr="006C6C80" w:rsidRDefault="0025752E" w:rsidP="00B54921">
      <w:pPr>
        <w:pStyle w:val="ListParagraph"/>
        <w:tabs>
          <w:tab w:val="left" w:pos="720"/>
        </w:tabs>
        <w:rPr>
          <w:rFonts w:cs="Arial"/>
          <w:snapToGrid w:val="0"/>
        </w:rPr>
      </w:pPr>
    </w:p>
    <w:p w:rsidR="0025752E" w:rsidRPr="006C6C80" w:rsidRDefault="00D325AD" w:rsidP="00673575">
      <w:pPr>
        <w:pStyle w:val="parrafos"/>
        <w:numPr>
          <w:ilvl w:val="0"/>
          <w:numId w:val="56"/>
        </w:numPr>
        <w:tabs>
          <w:tab w:val="left" w:pos="720"/>
        </w:tabs>
        <w:ind w:left="0" w:firstLine="0"/>
        <w:rPr>
          <w:lang w:val="en-US"/>
        </w:rPr>
      </w:pPr>
      <w:r w:rsidRPr="006C6C80">
        <w:rPr>
          <w:rFonts w:cs="Arial"/>
          <w:snapToGrid w:val="0"/>
          <w:lang w:val="en-US"/>
        </w:rPr>
        <w:t>The Commission has indicated that Article</w:t>
      </w:r>
      <w:r w:rsidR="006E3921" w:rsidRPr="006C6C80">
        <w:rPr>
          <w:rFonts w:cs="Arial"/>
          <w:snapToGrid w:val="0"/>
          <w:lang w:val="en-US"/>
        </w:rPr>
        <w:t xml:space="preserve"> 26 </w:t>
      </w:r>
      <w:r w:rsidRPr="006C6C80">
        <w:rPr>
          <w:rFonts w:cs="Arial"/>
          <w:snapToGrid w:val="0"/>
          <w:lang w:val="en-US"/>
        </w:rPr>
        <w:t>of the American Convention imposes va</w:t>
      </w:r>
      <w:r w:rsidR="00704A4F">
        <w:rPr>
          <w:rFonts w:cs="Arial"/>
          <w:snapToGrid w:val="0"/>
          <w:lang w:val="en-US"/>
        </w:rPr>
        <w:t xml:space="preserve">rious obligations on the states, which </w:t>
      </w:r>
      <w:r w:rsidRPr="006C6C80">
        <w:rPr>
          <w:rFonts w:cs="Arial"/>
          <w:snapToGrid w:val="0"/>
          <w:lang w:val="en-US"/>
        </w:rPr>
        <w:t>are not confine</w:t>
      </w:r>
      <w:r w:rsidR="00704A4F">
        <w:rPr>
          <w:rFonts w:cs="Arial"/>
          <w:snapToGrid w:val="0"/>
          <w:lang w:val="en-US"/>
        </w:rPr>
        <w:t xml:space="preserve">d to a prohibition of </w:t>
      </w:r>
      <w:proofErr w:type="spellStart"/>
      <w:r w:rsidR="00704A4F">
        <w:rPr>
          <w:rFonts w:cs="Arial"/>
          <w:snapToGrid w:val="0"/>
          <w:lang w:val="en-US"/>
        </w:rPr>
        <w:t>regressivity</w:t>
      </w:r>
      <w:proofErr w:type="spellEnd"/>
      <w:r w:rsidRPr="006C6C80">
        <w:rPr>
          <w:rFonts w:cs="Arial"/>
          <w:snapToGrid w:val="0"/>
          <w:lang w:val="en-US"/>
        </w:rPr>
        <w:t xml:space="preserve">, which is correlative </w:t>
      </w:r>
      <w:r w:rsidR="00704A4F">
        <w:rPr>
          <w:rFonts w:cs="Arial"/>
          <w:snapToGrid w:val="0"/>
          <w:lang w:val="en-US"/>
        </w:rPr>
        <w:t>t</w:t>
      </w:r>
      <w:r w:rsidR="003641E7">
        <w:rPr>
          <w:rFonts w:cs="Arial"/>
          <w:snapToGrid w:val="0"/>
          <w:lang w:val="en-US"/>
        </w:rPr>
        <w:t>o the obligation of progressiv</w:t>
      </w:r>
      <w:r w:rsidR="00704A4F">
        <w:rPr>
          <w:rFonts w:cs="Arial"/>
          <w:snapToGrid w:val="0"/>
          <w:lang w:val="en-US"/>
        </w:rPr>
        <w:t>ity</w:t>
      </w:r>
      <w:r w:rsidRPr="006C6C80">
        <w:rPr>
          <w:rFonts w:cs="Arial"/>
          <w:snapToGrid w:val="0"/>
          <w:lang w:val="en-US"/>
        </w:rPr>
        <w:t xml:space="preserve">, but cannot be construed as the only obligation that is justiciable in the inter-American system </w:t>
      </w:r>
      <w:r w:rsidRPr="006C6C80">
        <w:rPr>
          <w:rFonts w:cs="Arial"/>
          <w:snapToGrid w:val="0"/>
          <w:lang w:val="en-US"/>
        </w:rPr>
        <w:lastRenderedPageBreak/>
        <w:t xml:space="preserve">under this norm. Thus, the Commission asserts that, bearing in mind the interpretative framework of Article 29 of the American Convention, Article 26, seen in the light of Articles </w:t>
      </w:r>
      <w:r w:rsidR="006E3921" w:rsidRPr="006C6C80">
        <w:rPr>
          <w:rFonts w:cs="Arial"/>
          <w:snapToGrid w:val="0"/>
          <w:lang w:val="en-US"/>
        </w:rPr>
        <w:t xml:space="preserve">1.1 </w:t>
      </w:r>
      <w:r w:rsidRPr="006C6C80">
        <w:rPr>
          <w:rFonts w:cs="Arial"/>
          <w:snapToGrid w:val="0"/>
          <w:lang w:val="en-US"/>
        </w:rPr>
        <w:t>and 2 of the same instrument</w:t>
      </w:r>
      <w:r w:rsidR="006E3921" w:rsidRPr="006C6C80">
        <w:rPr>
          <w:rFonts w:cs="Arial"/>
          <w:snapToGrid w:val="0"/>
          <w:lang w:val="en-US"/>
        </w:rPr>
        <w:t xml:space="preserve">, </w:t>
      </w:r>
      <w:r w:rsidR="005C2DE6" w:rsidRPr="006C6C80">
        <w:rPr>
          <w:rFonts w:cs="Arial"/>
          <w:snapToGrid w:val="0"/>
          <w:lang w:val="en-US"/>
        </w:rPr>
        <w:t xml:space="preserve">at least </w:t>
      </w:r>
      <w:r w:rsidRPr="006C6C80">
        <w:rPr>
          <w:rFonts w:cs="Arial"/>
          <w:snapToGrid w:val="0"/>
          <w:lang w:val="en-US"/>
        </w:rPr>
        <w:t>the following immediately enforceable obligations</w:t>
      </w:r>
      <w:r w:rsidR="005C2DE6" w:rsidRPr="006C6C80">
        <w:rPr>
          <w:rFonts w:cs="Arial"/>
          <w:snapToGrid w:val="0"/>
          <w:lang w:val="en-US"/>
        </w:rPr>
        <w:t xml:space="preserve"> are derived</w:t>
      </w:r>
      <w:r w:rsidR="006E3921" w:rsidRPr="006C6C80">
        <w:rPr>
          <w:rFonts w:cs="Arial"/>
          <w:snapToGrid w:val="0"/>
          <w:lang w:val="en-US"/>
        </w:rPr>
        <w:t xml:space="preserve">: </w:t>
      </w:r>
      <w:proofErr w:type="spellStart"/>
      <w:r w:rsidR="006E3921" w:rsidRPr="006C6C80">
        <w:rPr>
          <w:rFonts w:cs="Arial"/>
          <w:snapToGrid w:val="0"/>
          <w:lang w:val="en-US"/>
        </w:rPr>
        <w:t>i</w:t>
      </w:r>
      <w:proofErr w:type="spellEnd"/>
      <w:r w:rsidR="006E3921" w:rsidRPr="006C6C80">
        <w:rPr>
          <w:rFonts w:cs="Arial"/>
          <w:snapToGrid w:val="0"/>
          <w:lang w:val="en-US"/>
        </w:rPr>
        <w:t xml:space="preserve">) </w:t>
      </w:r>
      <w:r w:rsidR="005C2DE6" w:rsidRPr="006C6C80">
        <w:rPr>
          <w:rFonts w:cs="Arial"/>
          <w:snapToGrid w:val="0"/>
          <w:lang w:val="en-US"/>
        </w:rPr>
        <w:t>general obligations of respect and guarantee</w:t>
      </w:r>
      <w:r w:rsidR="006E3921" w:rsidRPr="006C6C80">
        <w:rPr>
          <w:rFonts w:cs="Arial"/>
          <w:snapToGrid w:val="0"/>
          <w:lang w:val="en-US"/>
        </w:rPr>
        <w:t>, ii) ap</w:t>
      </w:r>
      <w:r w:rsidR="005C2DE6" w:rsidRPr="006C6C80">
        <w:rPr>
          <w:rFonts w:cs="Arial"/>
          <w:snapToGrid w:val="0"/>
          <w:lang w:val="en-US"/>
        </w:rPr>
        <w:t>plication of the principle of non-discrimination with respect to economic, social, and cultural rights</w:t>
      </w:r>
      <w:r w:rsidR="006E3921" w:rsidRPr="006C6C80">
        <w:rPr>
          <w:rFonts w:cs="Arial"/>
          <w:snapToGrid w:val="0"/>
          <w:lang w:val="en-US"/>
        </w:rPr>
        <w:t xml:space="preserve">, iii) </w:t>
      </w:r>
      <w:r w:rsidR="005C2DE6" w:rsidRPr="006C6C80">
        <w:rPr>
          <w:rFonts w:cs="Arial"/>
          <w:snapToGrid w:val="0"/>
          <w:lang w:val="en-US"/>
        </w:rPr>
        <w:t>obligations to take steps or adopt measures to achieve the enjoyment of the rights incorporated into said article; and iv) to provide offer suitable and effective resources for their protection</w:t>
      </w:r>
      <w:r w:rsidR="006E3921" w:rsidRPr="006C6C80">
        <w:rPr>
          <w:rFonts w:cs="Arial"/>
          <w:snapToGrid w:val="0"/>
          <w:lang w:val="en-US"/>
        </w:rPr>
        <w:t xml:space="preserve">. </w:t>
      </w:r>
      <w:r w:rsidR="005C2DE6" w:rsidRPr="006C6C80">
        <w:rPr>
          <w:rFonts w:cs="Arial"/>
          <w:snapToGrid w:val="0"/>
          <w:lang w:val="en-US"/>
        </w:rPr>
        <w:t>The methods or sources of analysis that are relevant for each one of these obligations must be established in keeping with the circumstances inherent to each case.</w:t>
      </w:r>
      <w:r w:rsidR="006E3921" w:rsidRPr="006C6C80">
        <w:rPr>
          <w:rStyle w:val="FootnoteReference"/>
          <w:rFonts w:cs="Arial"/>
          <w:snapToGrid w:val="0"/>
          <w:lang w:val="en-US"/>
        </w:rPr>
        <w:footnoteReference w:id="57"/>
      </w:r>
      <w:r w:rsidR="006E3921" w:rsidRPr="006C6C80">
        <w:rPr>
          <w:rFonts w:cs="Arial"/>
          <w:snapToGrid w:val="0"/>
          <w:lang w:val="en-US"/>
        </w:rPr>
        <w:t xml:space="preserve"> </w:t>
      </w:r>
      <w:r w:rsidR="005C2DE6" w:rsidRPr="006C6C80">
        <w:rPr>
          <w:rFonts w:cs="Arial"/>
          <w:snapToGrid w:val="0"/>
          <w:lang w:val="en-US"/>
        </w:rPr>
        <w:t>In addition, the state has bas</w:t>
      </w:r>
      <w:r w:rsidR="000845B8" w:rsidRPr="006C6C80">
        <w:rPr>
          <w:rFonts w:cs="Arial"/>
          <w:snapToGrid w:val="0"/>
          <w:lang w:val="en-US"/>
        </w:rPr>
        <w:t>ic obligations that must meet the essential contents</w:t>
      </w:r>
      <w:r w:rsidR="005C2DE6" w:rsidRPr="006C6C80">
        <w:rPr>
          <w:rFonts w:cs="Arial"/>
          <w:snapToGrid w:val="0"/>
          <w:lang w:val="en-US"/>
        </w:rPr>
        <w:t xml:space="preserve"> of said rights</w:t>
      </w:r>
      <w:r w:rsidR="006E3921" w:rsidRPr="006C6C80">
        <w:rPr>
          <w:rFonts w:cs="Arial"/>
          <w:shd w:val="clear" w:color="auto" w:fill="FFFFFF"/>
          <w:lang w:val="en-US"/>
        </w:rPr>
        <w:t xml:space="preserve">, </w:t>
      </w:r>
      <w:r w:rsidR="005C2DE6" w:rsidRPr="006C6C80">
        <w:rPr>
          <w:rFonts w:cs="Arial"/>
          <w:shd w:val="clear" w:color="auto" w:fill="FFFFFF"/>
          <w:lang w:val="en-US"/>
        </w:rPr>
        <w:t xml:space="preserve">which are not subject to progressive </w:t>
      </w:r>
      <w:r w:rsidR="009C37E7">
        <w:rPr>
          <w:rFonts w:cs="Arial"/>
          <w:shd w:val="clear" w:color="auto" w:fill="FFFFFF"/>
          <w:lang w:val="en-US"/>
        </w:rPr>
        <w:t>realization</w:t>
      </w:r>
      <w:r w:rsidR="005C2DE6" w:rsidRPr="006C6C80">
        <w:rPr>
          <w:rFonts w:cs="Arial"/>
          <w:shd w:val="clear" w:color="auto" w:fill="FFFFFF"/>
          <w:lang w:val="en-US"/>
        </w:rPr>
        <w:t xml:space="preserve"> but rather they are of an immediate nature.</w:t>
      </w:r>
      <w:r w:rsidR="006E3921" w:rsidRPr="006C6C80">
        <w:rPr>
          <w:rStyle w:val="FootnoteReference"/>
          <w:rFonts w:cs="Arial"/>
          <w:snapToGrid w:val="0"/>
          <w:lang w:val="en-US"/>
        </w:rPr>
        <w:footnoteReference w:id="58"/>
      </w:r>
    </w:p>
    <w:p w:rsidR="0025752E" w:rsidRPr="006C6C80" w:rsidRDefault="0025752E" w:rsidP="00B54921">
      <w:pPr>
        <w:pStyle w:val="parrafos"/>
        <w:tabs>
          <w:tab w:val="left" w:pos="720"/>
        </w:tabs>
        <w:rPr>
          <w:lang w:val="en-US"/>
        </w:rPr>
      </w:pPr>
    </w:p>
    <w:p w:rsidR="0025752E" w:rsidRPr="006C6C80" w:rsidRDefault="005C2DE6" w:rsidP="00B54921">
      <w:pPr>
        <w:pStyle w:val="parrafos"/>
        <w:numPr>
          <w:ilvl w:val="0"/>
          <w:numId w:val="56"/>
        </w:numPr>
        <w:tabs>
          <w:tab w:val="left" w:pos="720"/>
        </w:tabs>
        <w:ind w:left="0" w:firstLine="0"/>
        <w:rPr>
          <w:lang w:val="en-US"/>
        </w:rPr>
      </w:pPr>
      <w:r w:rsidRPr="006C6C80">
        <w:rPr>
          <w:lang w:val="en-US"/>
        </w:rPr>
        <w:t>Beyond the direct reference to the right to strike by the OAS Chart</w:t>
      </w:r>
      <w:r w:rsidR="00191ED4">
        <w:rPr>
          <w:lang w:val="en-US"/>
        </w:rPr>
        <w:t>er</w:t>
      </w:r>
      <w:r w:rsidRPr="006C6C80">
        <w:rPr>
          <w:lang w:val="en-US"/>
        </w:rPr>
        <w:t>, the IACHR deems that it must take into account the sources, principles, and criteria of international law to set the scope and contents of said right, taking into account Article 29 of the American Convention, which expressly refers to the norms of international law for their interpretation and enforcement.</w:t>
      </w:r>
      <w:r w:rsidR="00F85317" w:rsidRPr="006C6C80">
        <w:rPr>
          <w:rStyle w:val="FootnoteReference"/>
          <w:lang w:val="en-US"/>
        </w:rPr>
        <w:footnoteReference w:id="59"/>
      </w:r>
    </w:p>
    <w:p w:rsidR="0025752E" w:rsidRPr="006C6C80" w:rsidRDefault="0025752E" w:rsidP="00B54921">
      <w:pPr>
        <w:pStyle w:val="ListParagraph"/>
        <w:tabs>
          <w:tab w:val="left" w:pos="720"/>
        </w:tabs>
      </w:pPr>
    </w:p>
    <w:p w:rsidR="0025752E" w:rsidRPr="006C6C80" w:rsidRDefault="005C2DE6" w:rsidP="00B54921">
      <w:pPr>
        <w:pStyle w:val="parrafos"/>
        <w:numPr>
          <w:ilvl w:val="0"/>
          <w:numId w:val="56"/>
        </w:numPr>
        <w:tabs>
          <w:tab w:val="left" w:pos="720"/>
        </w:tabs>
        <w:ind w:left="0" w:firstLine="0"/>
        <w:rPr>
          <w:lang w:val="en-US"/>
        </w:rPr>
      </w:pPr>
      <w:r w:rsidRPr="006C6C80">
        <w:rPr>
          <w:lang w:val="en-US"/>
        </w:rPr>
        <w:t>Regard</w:t>
      </w:r>
      <w:r w:rsidR="003768E2" w:rsidRPr="006C6C80">
        <w:rPr>
          <w:lang w:val="en-US"/>
        </w:rPr>
        <w:t>ing this, the ILO Committee o</w:t>
      </w:r>
      <w:r w:rsidRPr="006C6C80">
        <w:rPr>
          <w:lang w:val="en-US"/>
        </w:rPr>
        <w:t xml:space="preserve">n Freedom </w:t>
      </w:r>
      <w:r w:rsidR="003768E2" w:rsidRPr="006C6C80">
        <w:rPr>
          <w:lang w:val="en-US"/>
        </w:rPr>
        <w:t xml:space="preserve">of Association </w:t>
      </w:r>
      <w:r w:rsidRPr="006C6C80">
        <w:rPr>
          <w:lang w:val="en-US"/>
        </w:rPr>
        <w:t xml:space="preserve">has indicated that “the right to strike </w:t>
      </w:r>
      <w:r w:rsidR="003768E2" w:rsidRPr="006C6C80">
        <w:rPr>
          <w:lang w:val="en-US"/>
        </w:rPr>
        <w:t>is one of the essential legitimate means through which workers and their organizations may promote and defend their economic and social interests</w:t>
      </w:r>
      <w:r w:rsidRPr="006C6C80">
        <w:rPr>
          <w:lang w:val="en-US"/>
        </w:rPr>
        <w:t xml:space="preserve">. The right to strike </w:t>
      </w:r>
      <w:r w:rsidR="003768E2" w:rsidRPr="006C6C80">
        <w:rPr>
          <w:lang w:val="en-US"/>
        </w:rPr>
        <w:t>may</w:t>
      </w:r>
      <w:r w:rsidRPr="006C6C80">
        <w:rPr>
          <w:lang w:val="en-US"/>
        </w:rPr>
        <w:t xml:space="preserve"> only</w:t>
      </w:r>
      <w:r w:rsidR="008040FC" w:rsidRPr="006C6C80">
        <w:rPr>
          <w:lang w:val="en-US"/>
        </w:rPr>
        <w:t xml:space="preserve"> be</w:t>
      </w:r>
      <w:r w:rsidRPr="006C6C80">
        <w:rPr>
          <w:lang w:val="en-US"/>
        </w:rPr>
        <w:t xml:space="preserve"> restrict</w:t>
      </w:r>
      <w:r w:rsidR="008040FC" w:rsidRPr="006C6C80">
        <w:rPr>
          <w:lang w:val="en-US"/>
        </w:rPr>
        <w:t>ed</w:t>
      </w:r>
      <w:r w:rsidRPr="006C6C80">
        <w:rPr>
          <w:lang w:val="en-US"/>
        </w:rPr>
        <w:t xml:space="preserve"> or </w:t>
      </w:r>
      <w:r w:rsidR="003768E2" w:rsidRPr="006C6C80">
        <w:rPr>
          <w:lang w:val="en-US"/>
        </w:rPr>
        <w:t>prohibited</w:t>
      </w:r>
      <w:r w:rsidR="008040FC" w:rsidRPr="006C6C80">
        <w:rPr>
          <w:lang w:val="en-US"/>
        </w:rPr>
        <w:t xml:space="preserve"> in the following cases</w:t>
      </w:r>
      <w:r w:rsidR="004F3556" w:rsidRPr="006C6C80">
        <w:rPr>
          <w:lang w:val="en-US"/>
        </w:rPr>
        <w:t xml:space="preserve">: </w:t>
      </w:r>
      <w:r w:rsidR="003768E2" w:rsidRPr="006C6C80">
        <w:rPr>
          <w:lang w:val="en-US"/>
        </w:rPr>
        <w:t>(</w:t>
      </w:r>
      <w:r w:rsidR="004F3556" w:rsidRPr="006C6C80">
        <w:rPr>
          <w:lang w:val="en-US"/>
        </w:rPr>
        <w:t xml:space="preserve">1) </w:t>
      </w:r>
      <w:r w:rsidR="008040FC" w:rsidRPr="006C6C80">
        <w:rPr>
          <w:lang w:val="en-US"/>
        </w:rPr>
        <w:t>in public</w:t>
      </w:r>
      <w:r w:rsidR="003768E2" w:rsidRPr="006C6C80">
        <w:rPr>
          <w:lang w:val="en-US"/>
        </w:rPr>
        <w:t xml:space="preserve"> service only for public servants exercising authority in the name of the State</w:t>
      </w:r>
      <w:r w:rsidR="008040FC" w:rsidRPr="006C6C80">
        <w:rPr>
          <w:lang w:val="en-US"/>
        </w:rPr>
        <w:t>;</w:t>
      </w:r>
      <w:r w:rsidR="004F3556" w:rsidRPr="006C6C80">
        <w:rPr>
          <w:lang w:val="en-US"/>
        </w:rPr>
        <w:t xml:space="preserve"> </w:t>
      </w:r>
      <w:r w:rsidR="003768E2" w:rsidRPr="006C6C80">
        <w:rPr>
          <w:lang w:val="en-US"/>
        </w:rPr>
        <w:t>(</w:t>
      </w:r>
      <w:r w:rsidR="004F3556" w:rsidRPr="006C6C80">
        <w:rPr>
          <w:lang w:val="en-US"/>
        </w:rPr>
        <w:t xml:space="preserve">2) </w:t>
      </w:r>
      <w:r w:rsidR="008040FC" w:rsidRPr="006C6C80">
        <w:rPr>
          <w:lang w:val="en-US"/>
        </w:rPr>
        <w:t xml:space="preserve">in </w:t>
      </w:r>
      <w:r w:rsidR="003768E2" w:rsidRPr="006C6C80">
        <w:rPr>
          <w:lang w:val="en-US"/>
        </w:rPr>
        <w:t>essential</w:t>
      </w:r>
      <w:r w:rsidR="008040FC" w:rsidRPr="006C6C80">
        <w:rPr>
          <w:lang w:val="en-US"/>
        </w:rPr>
        <w:t xml:space="preserve"> services in the strict sense of the term (that is, services</w:t>
      </w:r>
      <w:r w:rsidR="003768E2" w:rsidRPr="006C6C80">
        <w:rPr>
          <w:lang w:val="en-US"/>
        </w:rPr>
        <w:t xml:space="preserve"> </w:t>
      </w:r>
      <w:r w:rsidR="00F678B0">
        <w:rPr>
          <w:lang w:val="en-US"/>
        </w:rPr>
        <w:t>t</w:t>
      </w:r>
      <w:r w:rsidR="003768E2" w:rsidRPr="006C6C80">
        <w:rPr>
          <w:lang w:val="en-US"/>
        </w:rPr>
        <w:t xml:space="preserve">he </w:t>
      </w:r>
      <w:r w:rsidR="008040FC" w:rsidRPr="006C6C80">
        <w:rPr>
          <w:lang w:val="en-US"/>
        </w:rPr>
        <w:t>interruption</w:t>
      </w:r>
      <w:r w:rsidR="003768E2" w:rsidRPr="006C6C80">
        <w:rPr>
          <w:lang w:val="en-US"/>
        </w:rPr>
        <w:t xml:space="preserve"> of which would endanger the life</w:t>
      </w:r>
      <w:r w:rsidR="008040FC" w:rsidRPr="006C6C80">
        <w:rPr>
          <w:lang w:val="en-US"/>
        </w:rPr>
        <w:t>,</w:t>
      </w:r>
      <w:r w:rsidR="003768E2" w:rsidRPr="006C6C80">
        <w:rPr>
          <w:lang w:val="en-US"/>
        </w:rPr>
        <w:t xml:space="preserve"> personal</w:t>
      </w:r>
      <w:r w:rsidR="008040FC" w:rsidRPr="006C6C80">
        <w:rPr>
          <w:lang w:val="en-US"/>
        </w:rPr>
        <w:t xml:space="preserve"> safety or health </w:t>
      </w:r>
      <w:r w:rsidR="003768E2" w:rsidRPr="006C6C80">
        <w:rPr>
          <w:lang w:val="en-US"/>
        </w:rPr>
        <w:t>of the whole or</w:t>
      </w:r>
      <w:r w:rsidR="008040FC" w:rsidRPr="006C6C80">
        <w:rPr>
          <w:lang w:val="en-US"/>
        </w:rPr>
        <w:t xml:space="preserve"> part of the population</w:t>
      </w:r>
      <w:r w:rsidR="004F3556" w:rsidRPr="006C6C80">
        <w:rPr>
          <w:lang w:val="en-US"/>
        </w:rPr>
        <w:t>); o</w:t>
      </w:r>
      <w:r w:rsidR="008040FC" w:rsidRPr="006C6C80">
        <w:rPr>
          <w:lang w:val="en-US"/>
        </w:rPr>
        <w:t>r</w:t>
      </w:r>
      <w:r w:rsidR="004F3556" w:rsidRPr="006C6C80">
        <w:rPr>
          <w:lang w:val="en-US"/>
        </w:rPr>
        <w:t xml:space="preserve"> 3) </w:t>
      </w:r>
      <w:r w:rsidR="008040FC" w:rsidRPr="006C6C80">
        <w:rPr>
          <w:lang w:val="en-US"/>
        </w:rPr>
        <w:t xml:space="preserve">in </w:t>
      </w:r>
      <w:r w:rsidR="003768E2" w:rsidRPr="006C6C80">
        <w:rPr>
          <w:lang w:val="en-US"/>
        </w:rPr>
        <w:t xml:space="preserve">the event of an </w:t>
      </w:r>
      <w:r w:rsidR="008040FC" w:rsidRPr="006C6C80">
        <w:rPr>
          <w:lang w:val="en-US"/>
        </w:rPr>
        <w:t xml:space="preserve">acute national </w:t>
      </w:r>
      <w:r w:rsidR="003768E2" w:rsidRPr="006C6C80">
        <w:rPr>
          <w:lang w:val="en-US"/>
        </w:rPr>
        <w:t>emergency</w:t>
      </w:r>
      <w:r w:rsidR="008040FC" w:rsidRPr="006C6C80">
        <w:rPr>
          <w:lang w:val="en-US"/>
        </w:rPr>
        <w:t xml:space="preserve"> and for </w:t>
      </w:r>
      <w:r w:rsidR="003768E2" w:rsidRPr="006C6C80">
        <w:rPr>
          <w:lang w:val="en-US"/>
        </w:rPr>
        <w:t>a limited period of time</w:t>
      </w:r>
      <w:r w:rsidR="008040FC" w:rsidRPr="006C6C80">
        <w:rPr>
          <w:lang w:val="en-US"/>
        </w:rPr>
        <w:t>.</w:t>
      </w:r>
      <w:r w:rsidR="004F3556" w:rsidRPr="006C6C80">
        <w:rPr>
          <w:lang w:val="en-US"/>
        </w:rPr>
        <w:t>”</w:t>
      </w:r>
      <w:r w:rsidR="004F3556" w:rsidRPr="006C6C80">
        <w:rPr>
          <w:rStyle w:val="FootnoteReference"/>
          <w:lang w:val="en-US"/>
        </w:rPr>
        <w:footnoteReference w:id="60"/>
      </w:r>
    </w:p>
    <w:p w:rsidR="0025752E" w:rsidRPr="006C6C80" w:rsidRDefault="0025752E" w:rsidP="00B54921">
      <w:pPr>
        <w:pStyle w:val="ListParagraph"/>
        <w:tabs>
          <w:tab w:val="left" w:pos="720"/>
        </w:tabs>
      </w:pPr>
    </w:p>
    <w:p w:rsidR="0025752E" w:rsidRPr="006C6C80" w:rsidRDefault="008040FC" w:rsidP="00B54921">
      <w:pPr>
        <w:pStyle w:val="parrafos"/>
        <w:numPr>
          <w:ilvl w:val="0"/>
          <w:numId w:val="56"/>
        </w:numPr>
        <w:tabs>
          <w:tab w:val="left" w:pos="720"/>
        </w:tabs>
        <w:ind w:left="0" w:firstLine="0"/>
        <w:rPr>
          <w:lang w:val="en-US"/>
        </w:rPr>
      </w:pPr>
      <w:r w:rsidRPr="006C6C80">
        <w:rPr>
          <w:lang w:val="en-US"/>
        </w:rPr>
        <w:t>As for the Commi</w:t>
      </w:r>
      <w:r w:rsidR="00F678B0">
        <w:rPr>
          <w:lang w:val="en-US"/>
        </w:rPr>
        <w:t>ttee</w:t>
      </w:r>
      <w:r w:rsidRPr="006C6C80">
        <w:rPr>
          <w:lang w:val="en-US"/>
        </w:rPr>
        <w:t xml:space="preserve"> of Experts</w:t>
      </w:r>
      <w:r w:rsidR="00882CDF">
        <w:rPr>
          <w:lang w:val="en-US"/>
        </w:rPr>
        <w:t xml:space="preserve"> of the ILO</w:t>
      </w:r>
      <w:r w:rsidRPr="006C6C80">
        <w:rPr>
          <w:lang w:val="en-US"/>
        </w:rPr>
        <w:t>, it has indicated that striking is a basic right that employees and their organizations have available to defend their interests</w:t>
      </w:r>
      <w:r w:rsidR="005E3547" w:rsidRPr="006C6C80">
        <w:rPr>
          <w:lang w:val="en-US"/>
        </w:rPr>
        <w:t xml:space="preserve">. </w:t>
      </w:r>
      <w:r w:rsidRPr="006C6C80">
        <w:rPr>
          <w:lang w:val="en-US"/>
        </w:rPr>
        <w:t>It is not an end in itself but rather the last resort that workers organizations have available, because their consequences are grave not only for the employers but also for the workers, their famil</w:t>
      </w:r>
      <w:r w:rsidR="006612CD" w:rsidRPr="006C6C80">
        <w:rPr>
          <w:lang w:val="en-US"/>
        </w:rPr>
        <w:t>i</w:t>
      </w:r>
      <w:r w:rsidRPr="006C6C80">
        <w:rPr>
          <w:lang w:val="en-US"/>
        </w:rPr>
        <w:t>es, and the organizations them</w:t>
      </w:r>
      <w:r w:rsidR="006612CD" w:rsidRPr="006C6C80">
        <w:rPr>
          <w:lang w:val="en-US"/>
        </w:rPr>
        <w:t>s</w:t>
      </w:r>
      <w:r w:rsidRPr="006C6C80">
        <w:rPr>
          <w:lang w:val="en-US"/>
        </w:rPr>
        <w:t xml:space="preserve">elves and that said right arises from Articles 3 and 10 of ILO Convention 87. </w:t>
      </w:r>
      <w:r w:rsidR="00F678B0">
        <w:rPr>
          <w:lang w:val="en-US"/>
        </w:rPr>
        <w:t>Likewise, it has indicated that, if domestic legislation prohibits</w:t>
      </w:r>
      <w:r w:rsidRPr="006C6C80">
        <w:rPr>
          <w:lang w:val="en-US"/>
        </w:rPr>
        <w:t xml:space="preserve"> strikes when collective agreements are in force, this restriction must be compensated for by the right to resort to an impartial and rapid arbitration procedure to examine the individual or collective complaints on the interpretation or </w:t>
      </w:r>
      <w:r w:rsidR="00F678B0">
        <w:rPr>
          <w:lang w:val="en-US"/>
        </w:rPr>
        <w:t>enforcement</w:t>
      </w:r>
      <w:r w:rsidRPr="006C6C80">
        <w:rPr>
          <w:lang w:val="en-US"/>
        </w:rPr>
        <w:t xml:space="preserve"> of the collective agreements.</w:t>
      </w:r>
      <w:r w:rsidR="005B4ED6" w:rsidRPr="006C6C80">
        <w:rPr>
          <w:rStyle w:val="FootnoteReference"/>
          <w:lang w:val="en-US"/>
        </w:rPr>
        <w:footnoteReference w:id="61"/>
      </w:r>
    </w:p>
    <w:p w:rsidR="00A55ABA" w:rsidRPr="006C6C80" w:rsidRDefault="00A55ABA" w:rsidP="00B54921">
      <w:pPr>
        <w:pStyle w:val="parrafos"/>
        <w:tabs>
          <w:tab w:val="left" w:pos="720"/>
        </w:tabs>
        <w:rPr>
          <w:lang w:val="en-US"/>
        </w:rPr>
      </w:pPr>
    </w:p>
    <w:p w:rsidR="0025752E" w:rsidRPr="006C6C80" w:rsidRDefault="00705772" w:rsidP="00B54921">
      <w:pPr>
        <w:pStyle w:val="parrafos"/>
        <w:numPr>
          <w:ilvl w:val="0"/>
          <w:numId w:val="56"/>
        </w:numPr>
        <w:tabs>
          <w:tab w:val="left" w:pos="720"/>
        </w:tabs>
        <w:ind w:left="0" w:firstLine="0"/>
        <w:rPr>
          <w:lang w:val="en-US"/>
        </w:rPr>
      </w:pPr>
      <w:r w:rsidRPr="006C6C80">
        <w:rPr>
          <w:lang w:val="en-US"/>
        </w:rPr>
        <w:t>Lik</w:t>
      </w:r>
      <w:r w:rsidR="0098180F" w:rsidRPr="006C6C80">
        <w:rPr>
          <w:lang w:val="en-US"/>
        </w:rPr>
        <w:t>ewise, the European</w:t>
      </w:r>
      <w:r w:rsidRPr="006C6C80">
        <w:rPr>
          <w:lang w:val="en-US"/>
        </w:rPr>
        <w:t xml:space="preserve"> Court</w:t>
      </w:r>
      <w:r w:rsidR="0098180F" w:rsidRPr="006C6C80">
        <w:rPr>
          <w:lang w:val="en-US"/>
        </w:rPr>
        <w:t xml:space="preserve"> of Human Rights</w:t>
      </w:r>
      <w:r w:rsidR="00F678B0">
        <w:rPr>
          <w:lang w:val="en-US"/>
        </w:rPr>
        <w:t>, in the c</w:t>
      </w:r>
      <w:r w:rsidRPr="006C6C80">
        <w:rPr>
          <w:lang w:val="en-US"/>
        </w:rPr>
        <w:t xml:space="preserve">ase of </w:t>
      </w:r>
      <w:proofErr w:type="spellStart"/>
      <w:r w:rsidR="0033207F" w:rsidRPr="006C6C80">
        <w:rPr>
          <w:lang w:val="en-US"/>
        </w:rPr>
        <w:t>Ogvnevenko</w:t>
      </w:r>
      <w:proofErr w:type="spellEnd"/>
      <w:r w:rsidR="0033207F" w:rsidRPr="006C6C80">
        <w:rPr>
          <w:lang w:val="en-US"/>
        </w:rPr>
        <w:t xml:space="preserve"> </w:t>
      </w:r>
      <w:r w:rsidRPr="006C6C80">
        <w:rPr>
          <w:lang w:val="en-US"/>
        </w:rPr>
        <w:t>v.</w:t>
      </w:r>
      <w:r w:rsidR="0033207F" w:rsidRPr="006C6C80">
        <w:rPr>
          <w:lang w:val="en-US"/>
        </w:rPr>
        <w:t xml:space="preserve"> Rus</w:t>
      </w:r>
      <w:r w:rsidRPr="006C6C80">
        <w:rPr>
          <w:lang w:val="en-US"/>
        </w:rPr>
        <w:t>s</w:t>
      </w:r>
      <w:r w:rsidR="0033207F" w:rsidRPr="006C6C80">
        <w:rPr>
          <w:lang w:val="en-US"/>
        </w:rPr>
        <w:t>ia</w:t>
      </w:r>
      <w:r w:rsidR="00300701" w:rsidRPr="006C6C80">
        <w:rPr>
          <w:lang w:val="en-US"/>
        </w:rPr>
        <w:t>,</w:t>
      </w:r>
      <w:r w:rsidR="0033207F" w:rsidRPr="006C6C80">
        <w:rPr>
          <w:lang w:val="en-US"/>
        </w:rPr>
        <w:t xml:space="preserve"> reiter</w:t>
      </w:r>
      <w:r w:rsidRPr="006C6C80">
        <w:rPr>
          <w:lang w:val="en-US"/>
        </w:rPr>
        <w:t xml:space="preserve">ated that </w:t>
      </w:r>
      <w:r w:rsidR="00300701" w:rsidRPr="006C6C80">
        <w:rPr>
          <w:lang w:val="en-US"/>
        </w:rPr>
        <w:t>strike action</w:t>
      </w:r>
      <w:r w:rsidRPr="006C6C80">
        <w:rPr>
          <w:lang w:val="en-US"/>
        </w:rPr>
        <w:t xml:space="preserve"> is protected by Article 11 of the European Convention, which refers to the freedom of assembly and association, and indicated that </w:t>
      </w:r>
      <w:r w:rsidR="00300701" w:rsidRPr="006C6C80">
        <w:rPr>
          <w:lang w:val="en-US"/>
        </w:rPr>
        <w:t>the right to strike</w:t>
      </w:r>
      <w:r w:rsidRPr="006C6C80">
        <w:rPr>
          <w:lang w:val="en-US"/>
        </w:rPr>
        <w:t xml:space="preserve"> is not absolute and </w:t>
      </w:r>
      <w:r w:rsidR="00300701" w:rsidRPr="006C6C80">
        <w:rPr>
          <w:lang w:val="en-US"/>
        </w:rPr>
        <w:t>may be subject under national law to regulation.</w:t>
      </w:r>
      <w:r w:rsidR="0033207F" w:rsidRPr="006C6C80">
        <w:rPr>
          <w:lang w:val="en-US"/>
        </w:rPr>
        <w:t xml:space="preserve"> </w:t>
      </w:r>
      <w:r w:rsidRPr="006C6C80">
        <w:rPr>
          <w:lang w:val="en-US"/>
        </w:rPr>
        <w:t xml:space="preserve">It </w:t>
      </w:r>
      <w:r w:rsidR="00300701" w:rsidRPr="006C6C80">
        <w:rPr>
          <w:lang w:val="en-US"/>
        </w:rPr>
        <w:t>stated that said article does not exclude any occupational group</w:t>
      </w:r>
      <w:r w:rsidR="00386139" w:rsidRPr="006C6C80">
        <w:rPr>
          <w:lang w:val="en-US"/>
        </w:rPr>
        <w:t xml:space="preserve"> from its scope and that </w:t>
      </w:r>
      <w:r w:rsidR="00300701" w:rsidRPr="006C6C80">
        <w:rPr>
          <w:lang w:val="en-US"/>
        </w:rPr>
        <w:t>only convincing reasons can justify restrictions on this right</w:t>
      </w:r>
      <w:r w:rsidR="00386139" w:rsidRPr="006C6C80">
        <w:rPr>
          <w:lang w:val="en-US"/>
        </w:rPr>
        <w:t>.</w:t>
      </w:r>
      <w:r w:rsidR="002E28E3" w:rsidRPr="006C6C80">
        <w:rPr>
          <w:rStyle w:val="FootnoteReference"/>
          <w:lang w:val="en-US"/>
        </w:rPr>
        <w:footnoteReference w:id="62"/>
      </w:r>
    </w:p>
    <w:p w:rsidR="00A55ABA" w:rsidRPr="006C6C80" w:rsidRDefault="00A55ABA" w:rsidP="00B54921">
      <w:pPr>
        <w:pStyle w:val="parrafos"/>
        <w:tabs>
          <w:tab w:val="left" w:pos="720"/>
        </w:tabs>
        <w:rPr>
          <w:lang w:val="en-US"/>
        </w:rPr>
      </w:pPr>
    </w:p>
    <w:p w:rsidR="00882CDF" w:rsidRDefault="00386139" w:rsidP="00882CDF">
      <w:pPr>
        <w:pStyle w:val="parrafos"/>
        <w:numPr>
          <w:ilvl w:val="0"/>
          <w:numId w:val="56"/>
        </w:numPr>
        <w:tabs>
          <w:tab w:val="left" w:pos="720"/>
        </w:tabs>
        <w:ind w:left="0" w:firstLine="0"/>
        <w:rPr>
          <w:lang w:val="en-US"/>
        </w:rPr>
      </w:pPr>
      <w:r w:rsidRPr="006C6C80">
        <w:rPr>
          <w:lang w:val="en-US"/>
        </w:rPr>
        <w:t>Likewise, the European</w:t>
      </w:r>
      <w:r w:rsidR="00300701" w:rsidRPr="006C6C80">
        <w:rPr>
          <w:lang w:val="en-US"/>
        </w:rPr>
        <w:t xml:space="preserve"> Committee </w:t>
      </w:r>
      <w:r w:rsidRPr="006C6C80">
        <w:rPr>
          <w:lang w:val="en-US"/>
        </w:rPr>
        <w:t>of Social R</w:t>
      </w:r>
      <w:r w:rsidR="00C14643" w:rsidRPr="006C6C80">
        <w:rPr>
          <w:lang w:val="en-US"/>
        </w:rPr>
        <w:t>ights has recognized workers’</w:t>
      </w:r>
      <w:r w:rsidRPr="006C6C80">
        <w:rPr>
          <w:lang w:val="en-US"/>
        </w:rPr>
        <w:t xml:space="preserve"> right</w:t>
      </w:r>
      <w:r w:rsidR="00C14643" w:rsidRPr="006C6C80">
        <w:rPr>
          <w:lang w:val="en-US"/>
        </w:rPr>
        <w:t xml:space="preserve"> to strike</w:t>
      </w:r>
      <w:r w:rsidR="002A3226" w:rsidRPr="006C6C80">
        <w:rPr>
          <w:lang w:val="en-US"/>
        </w:rPr>
        <w:t xml:space="preserve"> and has indicated that sub</w:t>
      </w:r>
      <w:r w:rsidR="00E01AAB" w:rsidRPr="006C6C80">
        <w:rPr>
          <w:lang w:val="en-US"/>
        </w:rPr>
        <w:t xml:space="preserve">jecting the exercise of the right to strike </w:t>
      </w:r>
      <w:r w:rsidR="002A3226" w:rsidRPr="006C6C80">
        <w:rPr>
          <w:lang w:val="en-US"/>
        </w:rPr>
        <w:t xml:space="preserve">to prior approval by a </w:t>
      </w:r>
      <w:r w:rsidR="00E01AAB" w:rsidRPr="006C6C80">
        <w:rPr>
          <w:lang w:val="en-US"/>
        </w:rPr>
        <w:t>certain percentage of workers is in conformity w</w:t>
      </w:r>
      <w:r w:rsidR="002A3226" w:rsidRPr="006C6C80">
        <w:rPr>
          <w:lang w:val="en-US"/>
        </w:rPr>
        <w:t>ith Article</w:t>
      </w:r>
      <w:r w:rsidR="00437159" w:rsidRPr="006C6C80">
        <w:rPr>
          <w:lang w:val="en-US"/>
        </w:rPr>
        <w:t xml:space="preserve"> 6.4 </w:t>
      </w:r>
      <w:r w:rsidR="002A3226" w:rsidRPr="006C6C80">
        <w:rPr>
          <w:lang w:val="en-US"/>
        </w:rPr>
        <w:t>of the European Social Charter</w:t>
      </w:r>
      <w:r w:rsidR="00E01AAB" w:rsidRPr="006C6C80">
        <w:rPr>
          <w:lang w:val="en-US"/>
        </w:rPr>
        <w:t>, provided that the ballot method</w:t>
      </w:r>
      <w:r w:rsidR="002A3226" w:rsidRPr="006C6C80">
        <w:rPr>
          <w:lang w:val="en-US"/>
        </w:rPr>
        <w:t xml:space="preserve">, </w:t>
      </w:r>
      <w:r w:rsidR="00E01AAB" w:rsidRPr="006C6C80">
        <w:rPr>
          <w:lang w:val="en-US"/>
        </w:rPr>
        <w:t xml:space="preserve">the </w:t>
      </w:r>
      <w:r w:rsidR="002A3226" w:rsidRPr="006C6C80">
        <w:rPr>
          <w:lang w:val="en-US"/>
        </w:rPr>
        <w:t xml:space="preserve">quorum, and </w:t>
      </w:r>
      <w:r w:rsidR="00E01AAB" w:rsidRPr="006C6C80">
        <w:rPr>
          <w:lang w:val="en-US"/>
        </w:rPr>
        <w:t xml:space="preserve">the </w:t>
      </w:r>
      <w:r w:rsidR="002A3226" w:rsidRPr="006C6C80">
        <w:rPr>
          <w:lang w:val="en-US"/>
        </w:rPr>
        <w:t xml:space="preserve">majority required </w:t>
      </w:r>
      <w:r w:rsidR="00E01AAB" w:rsidRPr="006C6C80">
        <w:rPr>
          <w:lang w:val="en-US"/>
        </w:rPr>
        <w:t>are not such that the exercise of the right to strike is excessively limited</w:t>
      </w:r>
      <w:r w:rsidR="002A3226" w:rsidRPr="006C6C80">
        <w:rPr>
          <w:lang w:val="en-US"/>
        </w:rPr>
        <w:t>.</w:t>
      </w:r>
      <w:r w:rsidR="00437159" w:rsidRPr="006C6C80">
        <w:rPr>
          <w:rStyle w:val="FootnoteReference"/>
          <w:lang w:val="en-US"/>
        </w:rPr>
        <w:footnoteReference w:id="63"/>
      </w:r>
    </w:p>
    <w:p w:rsidR="00882CDF" w:rsidRPr="00882CDF" w:rsidRDefault="00882CDF" w:rsidP="00882CDF">
      <w:pPr>
        <w:pStyle w:val="parrafos"/>
        <w:tabs>
          <w:tab w:val="left" w:pos="720"/>
        </w:tabs>
        <w:rPr>
          <w:lang w:val="en-US"/>
        </w:rPr>
      </w:pPr>
    </w:p>
    <w:p w:rsidR="00882CDF" w:rsidRDefault="00882CDF" w:rsidP="00882CDF">
      <w:pPr>
        <w:pStyle w:val="parrafos"/>
        <w:numPr>
          <w:ilvl w:val="0"/>
          <w:numId w:val="56"/>
        </w:numPr>
        <w:tabs>
          <w:tab w:val="left" w:pos="720"/>
        </w:tabs>
        <w:ind w:left="0" w:firstLine="0"/>
        <w:rPr>
          <w:lang w:val="en-US"/>
        </w:rPr>
      </w:pPr>
      <w:r w:rsidRPr="00882CDF">
        <w:rPr>
          <w:lang w:val="en-US"/>
        </w:rPr>
        <w:t>In sum, it is clear to the IACHR that the protection of the right to strike, together with freedom of association and collective bargaining, are fundamental pillars to guarantee the right to work and its fair and equitable conditions as it is a right to which workers and their organizations may appeal in defense of their economic, social and professional interests</w:t>
      </w:r>
      <w:r w:rsidRPr="00882CDF">
        <w:rPr>
          <w:vertAlign w:val="superscript"/>
          <w:lang w:val="en-US"/>
        </w:rPr>
        <w:footnoteReference w:id="64"/>
      </w:r>
      <w:r w:rsidRPr="00882CDF">
        <w:rPr>
          <w:lang w:val="en-US"/>
        </w:rPr>
        <w:t>. Taking into account that the exercise of the right to strike consists in the collective suspension of labor activity in a voluntary and peaceful manner, usually in order to obtain some kind of improvement related to certain socio-economic or labor conditions, the IACHR underlines the instrumental component of such a right for the achievement of other fundamental rights within the labor sphere, the balance in relations between employers and workers, the resolution of collective labor disputes and the materialization of respect for human dignity and labor rights; it becomes the channel of the participatory democratic principle within the sphere of work.</w:t>
      </w:r>
    </w:p>
    <w:p w:rsidR="00882CDF" w:rsidRDefault="00882CDF" w:rsidP="00882CDF">
      <w:pPr>
        <w:pStyle w:val="ListParagraph"/>
      </w:pPr>
    </w:p>
    <w:p w:rsidR="00882CDF" w:rsidRDefault="00882CDF" w:rsidP="00882CDF">
      <w:pPr>
        <w:pStyle w:val="parrafos"/>
        <w:numPr>
          <w:ilvl w:val="0"/>
          <w:numId w:val="56"/>
        </w:numPr>
        <w:tabs>
          <w:tab w:val="left" w:pos="720"/>
        </w:tabs>
        <w:ind w:left="0" w:firstLine="0"/>
        <w:rPr>
          <w:lang w:val="en-US"/>
        </w:rPr>
      </w:pPr>
      <w:r w:rsidRPr="00882CDF">
        <w:rPr>
          <w:lang w:val="en-US"/>
        </w:rPr>
        <w:t xml:space="preserve">While the right to strike is not absolute, and can be limited by law, the restrictions must take into account the purpose of that right; so that workers do </w:t>
      </w:r>
      <w:r w:rsidR="006D02FE">
        <w:rPr>
          <w:lang w:val="en-US"/>
        </w:rPr>
        <w:t xml:space="preserve">not face </w:t>
      </w:r>
      <w:r w:rsidRPr="00882CDF">
        <w:rPr>
          <w:lang w:val="en-US"/>
        </w:rPr>
        <w:t xml:space="preserve">unduly </w:t>
      </w:r>
      <w:r w:rsidR="006D02FE">
        <w:rPr>
          <w:lang w:val="en-US"/>
        </w:rPr>
        <w:t>restrictions to its right or that it becomes</w:t>
      </w:r>
      <w:r w:rsidRPr="00882CDF">
        <w:rPr>
          <w:lang w:val="en-US"/>
        </w:rPr>
        <w:t xml:space="preserve"> inoperative in practice. The IACHR understands that the right to strike, as well as </w:t>
      </w:r>
      <w:r w:rsidR="006D02FE">
        <w:rPr>
          <w:lang w:val="en-US"/>
        </w:rPr>
        <w:t xml:space="preserve">the </w:t>
      </w:r>
      <w:r w:rsidRPr="00882CDF">
        <w:rPr>
          <w:lang w:val="en-US"/>
        </w:rPr>
        <w:t xml:space="preserve">freedom of association and the right to collective bargaining, can be described as a freedom as long as it is necessary for the State to refrain from unduly interfering with the exercise of said right and to ensure that the conditions and guarantees necessary for its effective realization exist. The IACHR observes that the enjoyment of the right to strike is a prerequisite, and at the same time, the result of the enjoyment of other human rights; for example, it may allow </w:t>
      </w:r>
      <w:r w:rsidR="006D02FE">
        <w:rPr>
          <w:lang w:val="en-US"/>
        </w:rPr>
        <w:t xml:space="preserve">to </w:t>
      </w:r>
      <w:r w:rsidRPr="00882CDF">
        <w:rPr>
          <w:lang w:val="en-US"/>
        </w:rPr>
        <w:t xml:space="preserve">make visible irregular or unsatisfactory work practices that then </w:t>
      </w:r>
      <w:r w:rsidR="006D02FE">
        <w:rPr>
          <w:lang w:val="en-US"/>
        </w:rPr>
        <w:t xml:space="preserve">can </w:t>
      </w:r>
      <w:r w:rsidRPr="00882CDF">
        <w:rPr>
          <w:lang w:val="en-US"/>
        </w:rPr>
        <w:t xml:space="preserve">lead to </w:t>
      </w:r>
      <w:r w:rsidR="006D02FE">
        <w:rPr>
          <w:lang w:val="en-US"/>
        </w:rPr>
        <w:t xml:space="preserve">changes for </w:t>
      </w:r>
      <w:r w:rsidRPr="00882CDF">
        <w:rPr>
          <w:lang w:val="en-US"/>
        </w:rPr>
        <w:t>the realization of the right to work and its fair and equitable conditions. At the same time, it can be a corollary of the exercise of the rights of freedom of expression and assembly, as it is a collective transitory manifestation in defense of the interests of workers, and therefore be directly related, according to the facts of each case, to said rights.</w:t>
      </w:r>
    </w:p>
    <w:p w:rsidR="00882CDF" w:rsidRDefault="00882CDF" w:rsidP="00882CDF">
      <w:pPr>
        <w:pStyle w:val="parrafos"/>
        <w:tabs>
          <w:tab w:val="left" w:pos="720"/>
        </w:tabs>
        <w:rPr>
          <w:lang w:val="en-US"/>
        </w:rPr>
      </w:pPr>
    </w:p>
    <w:p w:rsidR="00882CDF" w:rsidRPr="006D02FE" w:rsidRDefault="00882CDF" w:rsidP="00882CDF">
      <w:pPr>
        <w:pStyle w:val="parrafos"/>
        <w:numPr>
          <w:ilvl w:val="0"/>
          <w:numId w:val="56"/>
        </w:numPr>
        <w:tabs>
          <w:tab w:val="left" w:pos="720"/>
        </w:tabs>
        <w:ind w:left="0" w:firstLine="0"/>
        <w:rPr>
          <w:lang w:val="en-US"/>
        </w:rPr>
      </w:pPr>
      <w:r w:rsidRPr="00882CDF">
        <w:rPr>
          <w:lang w:val="en-US"/>
        </w:rPr>
        <w:t>On that basis, and as the rights of freedom of association and collective bargaining, the IACHR also considers that it is important to specify that the element of progressivity presented within Article 26 of the ACHR, which can usually affect the evaluation of certain components of economic and social rights, does not generate substantive consequences on the analysis of the right to strike due to the way in which such a right is materialized in practice. Hence, the threshold to allow limitations related to the obligation of progressivity of the States in relation to the right to strike must be much stricter and higher, and by no means should imply the lack of protection of workers against acts of discrimination, interference or retaliation in the exercise of their rights in the workplace.</w:t>
      </w:r>
    </w:p>
    <w:p w:rsidR="00882CDF" w:rsidRPr="006C6C80" w:rsidRDefault="00882CDF" w:rsidP="00882CDF">
      <w:pPr>
        <w:tabs>
          <w:tab w:val="left" w:pos="720"/>
        </w:tabs>
      </w:pPr>
    </w:p>
    <w:p w:rsidR="0025752E" w:rsidRPr="006C6C80" w:rsidRDefault="002A3226" w:rsidP="00B54921">
      <w:pPr>
        <w:pStyle w:val="parrafos"/>
        <w:numPr>
          <w:ilvl w:val="0"/>
          <w:numId w:val="56"/>
        </w:numPr>
        <w:tabs>
          <w:tab w:val="left" w:pos="720"/>
        </w:tabs>
        <w:ind w:left="0" w:firstLine="0"/>
        <w:rPr>
          <w:lang w:val="en-US"/>
        </w:rPr>
      </w:pPr>
      <w:r w:rsidRPr="006C6C80">
        <w:rPr>
          <w:lang w:val="en-US"/>
        </w:rPr>
        <w:t>The Commission recalls that the instant case refers to 93 employees of the Judiciary who were dismissed from their jobs for having participated in a strike between March 19 and April 2, 1996, when the lawfulness of the strike had not yet been ruled on</w:t>
      </w:r>
      <w:r w:rsidR="000D10AC" w:rsidRPr="006C6C80">
        <w:rPr>
          <w:lang w:val="en-US"/>
        </w:rPr>
        <w:t xml:space="preserve">. </w:t>
      </w:r>
      <w:r w:rsidRPr="006C6C80">
        <w:rPr>
          <w:lang w:val="en-US"/>
        </w:rPr>
        <w:t>The IACHR takes note that, for declaring the lawfulness of a strike, it was necessary, pursuant to the Labor Code, for the</w:t>
      </w:r>
      <w:r w:rsidR="00F678B0">
        <w:rPr>
          <w:lang w:val="en-US"/>
        </w:rPr>
        <w:t xml:space="preserve"> striking</w:t>
      </w:r>
      <w:r w:rsidRPr="006C6C80">
        <w:rPr>
          <w:lang w:val="en-US"/>
        </w:rPr>
        <w:t xml:space="preserve"> employees to </w:t>
      </w:r>
      <w:r w:rsidR="00F678B0">
        <w:rPr>
          <w:lang w:val="en-US"/>
        </w:rPr>
        <w:t>account for</w:t>
      </w:r>
      <w:r w:rsidRPr="006C6C80">
        <w:rPr>
          <w:lang w:val="en-US"/>
        </w:rPr>
        <w:t xml:space="preserve"> at least two thirds of the total number of employees of the Judiciary</w:t>
      </w:r>
      <w:r w:rsidR="002E12CB" w:rsidRPr="006C6C80">
        <w:rPr>
          <w:lang w:val="en-US"/>
        </w:rPr>
        <w:t xml:space="preserve">. </w:t>
      </w:r>
    </w:p>
    <w:p w:rsidR="00A55ABA" w:rsidRPr="006C6C80" w:rsidRDefault="00A55ABA" w:rsidP="00B54921">
      <w:pPr>
        <w:tabs>
          <w:tab w:val="left" w:pos="720"/>
        </w:tabs>
      </w:pPr>
    </w:p>
    <w:p w:rsidR="00B54921" w:rsidRPr="006C6C80" w:rsidRDefault="002A3226" w:rsidP="00B54921">
      <w:pPr>
        <w:pStyle w:val="parrafos"/>
        <w:numPr>
          <w:ilvl w:val="0"/>
          <w:numId w:val="56"/>
        </w:numPr>
        <w:tabs>
          <w:tab w:val="left" w:pos="720"/>
        </w:tabs>
        <w:ind w:left="0" w:firstLine="0"/>
        <w:rPr>
          <w:lang w:val="en-US"/>
        </w:rPr>
      </w:pPr>
      <w:r w:rsidRPr="006C6C80">
        <w:rPr>
          <w:lang w:val="en-US"/>
        </w:rPr>
        <w:t>The ILO Commi</w:t>
      </w:r>
      <w:r w:rsidR="00E01AAB" w:rsidRPr="006C6C80">
        <w:rPr>
          <w:lang w:val="en-US"/>
        </w:rPr>
        <w:t>ttee</w:t>
      </w:r>
      <w:r w:rsidRPr="006C6C80">
        <w:rPr>
          <w:lang w:val="en-US"/>
        </w:rPr>
        <w:t xml:space="preserve"> of Experts had already ruled, on various occasions, </w:t>
      </w:r>
      <w:r w:rsidR="00517513">
        <w:rPr>
          <w:lang w:val="en-US"/>
        </w:rPr>
        <w:t>that</w:t>
      </w:r>
      <w:r w:rsidRPr="006C6C80">
        <w:rPr>
          <w:lang w:val="en-US"/>
        </w:rPr>
        <w:t xml:space="preserve"> Article</w:t>
      </w:r>
      <w:r w:rsidR="002E12CB" w:rsidRPr="006C6C80">
        <w:rPr>
          <w:lang w:val="en-US" w:eastAsia="es-ES"/>
        </w:rPr>
        <w:t xml:space="preserve"> 241 </w:t>
      </w:r>
      <w:r w:rsidRPr="006C6C80">
        <w:rPr>
          <w:lang w:val="en-US" w:eastAsia="es-ES"/>
        </w:rPr>
        <w:t>(c) of the Labor Code of Guatemala in force at the time of the incidents, which established that, to undertake a lawful strike</w:t>
      </w:r>
      <w:r w:rsidR="00F678B0">
        <w:rPr>
          <w:lang w:val="en-US" w:eastAsia="es-ES"/>
        </w:rPr>
        <w:t>,</w:t>
      </w:r>
      <w:r w:rsidRPr="006C6C80">
        <w:rPr>
          <w:lang w:val="en-US" w:eastAsia="es-ES"/>
        </w:rPr>
        <w:t xml:space="preserve"> the employees had to </w:t>
      </w:r>
      <w:r w:rsidR="00F678B0">
        <w:rPr>
          <w:lang w:val="en-US" w:eastAsia="es-ES"/>
        </w:rPr>
        <w:t>account for</w:t>
      </w:r>
      <w:r w:rsidRPr="006C6C80">
        <w:rPr>
          <w:lang w:val="en-US" w:eastAsia="es-ES"/>
        </w:rPr>
        <w:t xml:space="preserve"> at least two thirds of the company or production center, </w:t>
      </w:r>
      <w:r w:rsidR="00517513">
        <w:rPr>
          <w:lang w:val="en-US" w:eastAsia="es-ES"/>
        </w:rPr>
        <w:t xml:space="preserve">was incompatible </w:t>
      </w:r>
      <w:r w:rsidRPr="006C6C80">
        <w:rPr>
          <w:lang w:val="en-US" w:eastAsia="es-ES"/>
        </w:rPr>
        <w:t xml:space="preserve">with </w:t>
      </w:r>
      <w:r w:rsidR="00517513">
        <w:rPr>
          <w:lang w:val="en-US" w:eastAsia="es-ES"/>
        </w:rPr>
        <w:t xml:space="preserve">the ILO Freedom of Association and Protection of the Right to Organize </w:t>
      </w:r>
      <w:r w:rsidRPr="006C6C80">
        <w:rPr>
          <w:lang w:val="en-US" w:eastAsia="es-ES"/>
        </w:rPr>
        <w:t xml:space="preserve">Convention 87 </w:t>
      </w:r>
      <w:r w:rsidR="00517513">
        <w:rPr>
          <w:lang w:val="en-US" w:eastAsia="es-ES"/>
        </w:rPr>
        <w:t xml:space="preserve">because of the </w:t>
      </w:r>
      <w:r w:rsidRPr="006C6C80">
        <w:rPr>
          <w:lang w:val="en-US" w:eastAsia="es-ES"/>
        </w:rPr>
        <w:t>high number required for holding a lawful strike</w:t>
      </w:r>
      <w:r w:rsidR="003F568D" w:rsidRPr="006C6C80">
        <w:rPr>
          <w:lang w:val="en-US" w:eastAsia="es-ES"/>
        </w:rPr>
        <w:t>.</w:t>
      </w:r>
      <w:r w:rsidR="002E12CB" w:rsidRPr="006C6C80">
        <w:rPr>
          <w:rStyle w:val="FootnoteReference"/>
          <w:lang w:val="en-US" w:eastAsia="es-ES"/>
        </w:rPr>
        <w:footnoteReference w:id="65"/>
      </w:r>
    </w:p>
    <w:p w:rsidR="00B54921" w:rsidRPr="006C6C80" w:rsidRDefault="00B54921" w:rsidP="00B54921">
      <w:pPr>
        <w:pStyle w:val="parrafos"/>
        <w:tabs>
          <w:tab w:val="left" w:pos="720"/>
        </w:tabs>
        <w:rPr>
          <w:lang w:val="en-US"/>
        </w:rPr>
      </w:pPr>
    </w:p>
    <w:p w:rsidR="0025752E" w:rsidRPr="006C6C80" w:rsidRDefault="00517513" w:rsidP="00254F59">
      <w:pPr>
        <w:pStyle w:val="parrafos"/>
        <w:numPr>
          <w:ilvl w:val="0"/>
          <w:numId w:val="56"/>
        </w:numPr>
        <w:tabs>
          <w:tab w:val="left" w:pos="450"/>
        </w:tabs>
        <w:ind w:left="0" w:firstLine="0"/>
        <w:rPr>
          <w:lang w:val="en-US"/>
        </w:rPr>
      </w:pPr>
      <w:r>
        <w:rPr>
          <w:lang w:val="en-US"/>
        </w:rPr>
        <w:t>Said Committee</w:t>
      </w:r>
      <w:r w:rsidR="003F568D" w:rsidRPr="006C6C80">
        <w:rPr>
          <w:lang w:val="en-US"/>
        </w:rPr>
        <w:t xml:space="preserve"> has indicated that, if a state deems it relevant to </w:t>
      </w:r>
      <w:r>
        <w:rPr>
          <w:lang w:val="en-US"/>
        </w:rPr>
        <w:t>establish</w:t>
      </w:r>
      <w:r w:rsidR="003F568D" w:rsidRPr="006C6C80">
        <w:rPr>
          <w:lang w:val="en-US"/>
        </w:rPr>
        <w:t>, by law, that, in order to decide on a strike, the voting of the workers is necessary,</w:t>
      </w:r>
      <w:r w:rsidR="000F0671" w:rsidRPr="006C6C80">
        <w:rPr>
          <w:vertAlign w:val="superscript"/>
          <w:lang w:val="en-US"/>
        </w:rPr>
        <w:footnoteReference w:id="66"/>
      </w:r>
      <w:r w:rsidR="00B13CC2" w:rsidRPr="006C6C80">
        <w:rPr>
          <w:lang w:val="en-US"/>
        </w:rPr>
        <w:t xml:space="preserve"> </w:t>
      </w:r>
      <w:r w:rsidR="003F568D" w:rsidRPr="006C6C80">
        <w:rPr>
          <w:lang w:val="en-US"/>
        </w:rPr>
        <w:t>the required number must consist of a simple majority of the workers attending the vote and that the quorum for this must be set reasonably.</w:t>
      </w:r>
      <w:r w:rsidR="00D55402" w:rsidRPr="006C6C80">
        <w:rPr>
          <w:vertAlign w:val="superscript"/>
          <w:lang w:val="en-US" w:eastAsia="es-ES"/>
        </w:rPr>
        <w:footnoteReference w:id="67"/>
      </w:r>
    </w:p>
    <w:p w:rsidR="0025752E" w:rsidRPr="006C6C80" w:rsidRDefault="0025752E" w:rsidP="00B54921">
      <w:pPr>
        <w:pStyle w:val="ListParagraph"/>
        <w:tabs>
          <w:tab w:val="left" w:pos="720"/>
        </w:tabs>
      </w:pPr>
    </w:p>
    <w:p w:rsidR="00254F59" w:rsidRPr="006C6C80" w:rsidRDefault="003F568D" w:rsidP="00254F59">
      <w:pPr>
        <w:pStyle w:val="parrafos"/>
        <w:numPr>
          <w:ilvl w:val="0"/>
          <w:numId w:val="56"/>
        </w:numPr>
        <w:tabs>
          <w:tab w:val="left" w:pos="450"/>
        </w:tabs>
        <w:ind w:left="0" w:firstLine="0"/>
        <w:rPr>
          <w:lang w:val="en-US"/>
        </w:rPr>
      </w:pPr>
      <w:r w:rsidRPr="006C6C80">
        <w:rPr>
          <w:lang w:val="en-US"/>
        </w:rPr>
        <w:t>The IACHR shall assess whether or not said legal constraint on the right to strike turned out to be acceptable in terms of the treaty concerned.</w:t>
      </w:r>
      <w:r w:rsidR="006E2973" w:rsidRPr="006C6C80">
        <w:rPr>
          <w:lang w:val="en-US"/>
        </w:rPr>
        <w:t xml:space="preserve"> </w:t>
      </w:r>
      <w:r w:rsidRPr="006C6C80">
        <w:rPr>
          <w:lang w:val="en-US"/>
        </w:rPr>
        <w:t xml:space="preserve">The IACHR recalls that, in order to determine whether or not the </w:t>
      </w:r>
      <w:r w:rsidR="003D46A0" w:rsidRPr="006C6C80">
        <w:rPr>
          <w:lang w:val="en-US"/>
        </w:rPr>
        <w:t>restriction of</w:t>
      </w:r>
      <w:r w:rsidRPr="006C6C80">
        <w:rPr>
          <w:lang w:val="en-US"/>
        </w:rPr>
        <w:t xml:space="preserve"> a right is acceptable in terms of the treaty concerned, both the Commission and the Court have resorted to a scaled judgment of proportionality, which includes the following elements</w:t>
      </w:r>
      <w:r w:rsidR="006E2973" w:rsidRPr="006C6C80">
        <w:rPr>
          <w:lang w:val="en-US"/>
        </w:rPr>
        <w:t>: (</w:t>
      </w:r>
      <w:proofErr w:type="spellStart"/>
      <w:r w:rsidR="006E2973" w:rsidRPr="006C6C80">
        <w:rPr>
          <w:lang w:val="en-US"/>
        </w:rPr>
        <w:t>i</w:t>
      </w:r>
      <w:proofErr w:type="spellEnd"/>
      <w:r w:rsidR="006E2973" w:rsidRPr="006C6C80">
        <w:rPr>
          <w:lang w:val="en-US"/>
        </w:rPr>
        <w:t xml:space="preserve">) </w:t>
      </w:r>
      <w:r w:rsidR="003406A6" w:rsidRPr="006C6C80">
        <w:rPr>
          <w:lang w:val="en-US"/>
        </w:rPr>
        <w:t xml:space="preserve">the existence of a legitimate </w:t>
      </w:r>
      <w:r w:rsidR="004212E0" w:rsidRPr="006C6C80">
        <w:rPr>
          <w:lang w:val="en-US"/>
        </w:rPr>
        <w:t>goal</w:t>
      </w:r>
      <w:r w:rsidR="003406A6" w:rsidRPr="006C6C80">
        <w:rPr>
          <w:lang w:val="en-US"/>
        </w:rPr>
        <w:t>;</w:t>
      </w:r>
      <w:r w:rsidR="006E2973" w:rsidRPr="006C6C80">
        <w:rPr>
          <w:lang w:val="en-US"/>
        </w:rPr>
        <w:t xml:space="preserve"> (ii) </w:t>
      </w:r>
      <w:r w:rsidR="003406A6" w:rsidRPr="006C6C80">
        <w:rPr>
          <w:lang w:val="en-US"/>
        </w:rPr>
        <w:t xml:space="preserve">suitability, that is, the determination of whether or not there is a logical </w:t>
      </w:r>
      <w:r w:rsidR="000B2F79" w:rsidRPr="006C6C80">
        <w:rPr>
          <w:lang w:val="en-US"/>
        </w:rPr>
        <w:t xml:space="preserve">means-to-end </w:t>
      </w:r>
      <w:r w:rsidR="003406A6" w:rsidRPr="006C6C80">
        <w:rPr>
          <w:lang w:val="en-US"/>
        </w:rPr>
        <w:t xml:space="preserve">relationship between the </w:t>
      </w:r>
      <w:r w:rsidR="000B2F79" w:rsidRPr="006C6C80">
        <w:rPr>
          <w:lang w:val="en-US"/>
        </w:rPr>
        <w:t>goal sought and the distinction</w:t>
      </w:r>
      <w:r w:rsidR="006E2973" w:rsidRPr="006C6C80">
        <w:rPr>
          <w:lang w:val="en-US"/>
        </w:rPr>
        <w:t xml:space="preserve">; (iii) </w:t>
      </w:r>
      <w:r w:rsidR="004212E0" w:rsidRPr="006C6C80">
        <w:rPr>
          <w:lang w:val="en-US"/>
        </w:rPr>
        <w:t>necessity,</w:t>
      </w:r>
      <w:r w:rsidR="003406A6" w:rsidRPr="006C6C80">
        <w:rPr>
          <w:lang w:val="en-US"/>
        </w:rPr>
        <w:t xml:space="preserve"> that is, to determine if there are less restrictive but equa</w:t>
      </w:r>
      <w:r w:rsidR="000B2F79" w:rsidRPr="006C6C80">
        <w:rPr>
          <w:lang w:val="en-US"/>
        </w:rPr>
        <w:t>lly</w:t>
      </w:r>
      <w:r w:rsidR="003406A6" w:rsidRPr="006C6C80">
        <w:rPr>
          <w:lang w:val="en-US"/>
        </w:rPr>
        <w:t xml:space="preserve"> suitable alternatives</w:t>
      </w:r>
      <w:r w:rsidR="006E2973" w:rsidRPr="006C6C80">
        <w:rPr>
          <w:lang w:val="en-US"/>
        </w:rPr>
        <w:t xml:space="preserve">; </w:t>
      </w:r>
      <w:r w:rsidR="003406A6" w:rsidRPr="006C6C80">
        <w:rPr>
          <w:lang w:val="en-US"/>
        </w:rPr>
        <w:t>and</w:t>
      </w:r>
      <w:r w:rsidR="006E2973" w:rsidRPr="006C6C80">
        <w:rPr>
          <w:lang w:val="en-US"/>
        </w:rPr>
        <w:t xml:space="preserve"> (iv) </w:t>
      </w:r>
      <w:r w:rsidR="003406A6" w:rsidRPr="006C6C80">
        <w:rPr>
          <w:lang w:val="en-US"/>
        </w:rPr>
        <w:t>proportionality in the strict sense of the word, that is, striking a balance between the interest</w:t>
      </w:r>
      <w:r w:rsidR="000B2F79" w:rsidRPr="006C6C80">
        <w:rPr>
          <w:lang w:val="en-US"/>
        </w:rPr>
        <w:t>s</w:t>
      </w:r>
      <w:r w:rsidR="003406A6" w:rsidRPr="006C6C80">
        <w:rPr>
          <w:lang w:val="en-US"/>
        </w:rPr>
        <w:t xml:space="preserve"> at stake and the </w:t>
      </w:r>
      <w:r w:rsidR="000B2F79" w:rsidRPr="006C6C80">
        <w:rPr>
          <w:lang w:val="en-US"/>
        </w:rPr>
        <w:t>level</w:t>
      </w:r>
      <w:r w:rsidR="003406A6" w:rsidRPr="006C6C80">
        <w:rPr>
          <w:lang w:val="en-US"/>
        </w:rPr>
        <w:t xml:space="preserve"> of sacrifice</w:t>
      </w:r>
      <w:r w:rsidR="000B2F79" w:rsidRPr="006C6C80">
        <w:rPr>
          <w:lang w:val="en-US"/>
        </w:rPr>
        <w:t xml:space="preserve"> required from one party compared to the level of benefit of the other</w:t>
      </w:r>
      <w:r w:rsidR="003406A6" w:rsidRPr="006C6C80">
        <w:rPr>
          <w:lang w:val="en-US"/>
        </w:rPr>
        <w:t>.</w:t>
      </w:r>
      <w:r w:rsidR="006E2973" w:rsidRPr="006C6C80">
        <w:rPr>
          <w:rStyle w:val="FootnoteReference"/>
          <w:lang w:val="en-US"/>
        </w:rPr>
        <w:footnoteReference w:id="68"/>
      </w:r>
    </w:p>
    <w:p w:rsidR="00254F59" w:rsidRPr="006C6C80" w:rsidRDefault="00254F59" w:rsidP="00254F59">
      <w:pPr>
        <w:pStyle w:val="ListParagraph"/>
      </w:pPr>
    </w:p>
    <w:p w:rsidR="00254F59" w:rsidRPr="006C6C80" w:rsidRDefault="00232C01" w:rsidP="00254F59">
      <w:pPr>
        <w:pStyle w:val="parrafos"/>
        <w:numPr>
          <w:ilvl w:val="0"/>
          <w:numId w:val="56"/>
        </w:numPr>
        <w:tabs>
          <w:tab w:val="left" w:pos="450"/>
        </w:tabs>
        <w:ind w:left="0" w:firstLine="0"/>
        <w:rPr>
          <w:lang w:val="en-US"/>
        </w:rPr>
      </w:pPr>
      <w:r w:rsidRPr="006C6C80">
        <w:rPr>
          <w:lang w:val="en-US"/>
        </w:rPr>
        <w:t xml:space="preserve">As for the legitimate </w:t>
      </w:r>
      <w:r w:rsidR="004212E0" w:rsidRPr="006C6C80">
        <w:rPr>
          <w:lang w:val="en-US"/>
        </w:rPr>
        <w:t>goal</w:t>
      </w:r>
      <w:r w:rsidRPr="006C6C80">
        <w:rPr>
          <w:lang w:val="en-US"/>
        </w:rPr>
        <w:t>, the IACHR beli</w:t>
      </w:r>
      <w:r w:rsidR="0098180F" w:rsidRPr="006C6C80">
        <w:rPr>
          <w:lang w:val="en-US"/>
        </w:rPr>
        <w:t>e</w:t>
      </w:r>
      <w:r w:rsidRPr="006C6C80">
        <w:rPr>
          <w:lang w:val="en-US"/>
        </w:rPr>
        <w:t>ves that, in pr</w:t>
      </w:r>
      <w:r w:rsidR="004212E0" w:rsidRPr="006C6C80">
        <w:rPr>
          <w:lang w:val="en-US"/>
        </w:rPr>
        <w:t>inciple, the requirements for prior</w:t>
      </w:r>
      <w:r w:rsidRPr="006C6C80">
        <w:rPr>
          <w:lang w:val="en-US"/>
        </w:rPr>
        <w:t xml:space="preserve"> voting by </w:t>
      </w:r>
      <w:r w:rsidR="004212E0" w:rsidRPr="006C6C80">
        <w:rPr>
          <w:lang w:val="en-US"/>
        </w:rPr>
        <w:t xml:space="preserve">the </w:t>
      </w:r>
      <w:r w:rsidRPr="006C6C80">
        <w:rPr>
          <w:lang w:val="en-US"/>
        </w:rPr>
        <w:t xml:space="preserve">workers to undertake strikes is aimed at ensuring that they benefit from the collective endorsement of the workers in their call for labor rights, which is a legitimate </w:t>
      </w:r>
      <w:r w:rsidR="004212E0" w:rsidRPr="006C6C80">
        <w:rPr>
          <w:lang w:val="en-US"/>
        </w:rPr>
        <w:t>goal</w:t>
      </w:r>
      <w:r w:rsidR="009A2DE6" w:rsidRPr="006C6C80">
        <w:rPr>
          <w:lang w:val="en-US"/>
        </w:rPr>
        <w:t xml:space="preserve">. </w:t>
      </w:r>
      <w:r w:rsidRPr="006C6C80">
        <w:rPr>
          <w:lang w:val="en-US"/>
        </w:rPr>
        <w:t>Furthermore, in terms of suitability</w:t>
      </w:r>
      <w:r w:rsidR="009A2DE6" w:rsidRPr="006C6C80">
        <w:rPr>
          <w:lang w:val="en-US"/>
        </w:rPr>
        <w:t xml:space="preserve">, </w:t>
      </w:r>
      <w:r w:rsidRPr="006C6C80">
        <w:rPr>
          <w:lang w:val="en-US"/>
        </w:rPr>
        <w:t>the IACHR considers that the measure contributes, to a ce</w:t>
      </w:r>
      <w:r w:rsidR="004212E0" w:rsidRPr="006C6C80">
        <w:rPr>
          <w:lang w:val="en-US"/>
        </w:rPr>
        <w:t>rtain extent, to securing the goal</w:t>
      </w:r>
      <w:r w:rsidRPr="006C6C80">
        <w:rPr>
          <w:lang w:val="en-US"/>
        </w:rPr>
        <w:t xml:space="preserve"> indicated because the meaning of the voting highlights the will to go on strike</w:t>
      </w:r>
      <w:r w:rsidR="009A2DE6" w:rsidRPr="006C6C80">
        <w:rPr>
          <w:lang w:val="en-US"/>
        </w:rPr>
        <w:t>.</w:t>
      </w:r>
    </w:p>
    <w:p w:rsidR="00254F59" w:rsidRPr="006C6C80" w:rsidRDefault="00254F59" w:rsidP="00254F59">
      <w:pPr>
        <w:pStyle w:val="ListParagraph"/>
      </w:pPr>
    </w:p>
    <w:p w:rsidR="006D02FE" w:rsidRDefault="00232C01" w:rsidP="006D02FE">
      <w:pPr>
        <w:pStyle w:val="parrafos"/>
        <w:numPr>
          <w:ilvl w:val="0"/>
          <w:numId w:val="56"/>
        </w:numPr>
        <w:tabs>
          <w:tab w:val="left" w:pos="450"/>
        </w:tabs>
        <w:ind w:left="0" w:firstLine="0"/>
        <w:rPr>
          <w:lang w:val="en-US"/>
        </w:rPr>
      </w:pPr>
      <w:r w:rsidRPr="006C6C80">
        <w:rPr>
          <w:lang w:val="en-US"/>
        </w:rPr>
        <w:t>Regarding the requirement of ne</w:t>
      </w:r>
      <w:r w:rsidR="00597339" w:rsidRPr="006C6C80">
        <w:rPr>
          <w:lang w:val="en-US"/>
        </w:rPr>
        <w:t>cessity</w:t>
      </w:r>
      <w:r w:rsidRPr="006C6C80">
        <w:rPr>
          <w:lang w:val="en-US"/>
        </w:rPr>
        <w:t xml:space="preserve">, the IACHR underscores that there are less restrictive measures to achieve the </w:t>
      </w:r>
      <w:r w:rsidR="004212E0" w:rsidRPr="006C6C80">
        <w:rPr>
          <w:lang w:val="en-US"/>
        </w:rPr>
        <w:t>goal</w:t>
      </w:r>
      <w:r w:rsidRPr="006C6C80">
        <w:rPr>
          <w:lang w:val="en-US"/>
        </w:rPr>
        <w:t xml:space="preserve"> proposed, such as establishing simple </w:t>
      </w:r>
      <w:r w:rsidR="00597339" w:rsidRPr="006C6C80">
        <w:rPr>
          <w:lang w:val="en-US"/>
        </w:rPr>
        <w:t>or relative majorities</w:t>
      </w:r>
      <w:r w:rsidR="006D02FE">
        <w:rPr>
          <w:lang w:val="en-US"/>
        </w:rPr>
        <w:t xml:space="preserve"> of the workers present in the vote, </w:t>
      </w:r>
      <w:r w:rsidR="00597339" w:rsidRPr="006D02FE">
        <w:rPr>
          <w:lang w:val="en-US"/>
        </w:rPr>
        <w:t>as set forth by the ILO Commi</w:t>
      </w:r>
      <w:r w:rsidR="004212E0" w:rsidRPr="006D02FE">
        <w:rPr>
          <w:lang w:val="en-US"/>
        </w:rPr>
        <w:t>ttee</w:t>
      </w:r>
      <w:r w:rsidR="00597339" w:rsidRPr="006D02FE">
        <w:rPr>
          <w:lang w:val="en-US"/>
        </w:rPr>
        <w:t xml:space="preserve"> of Experts. Taking into account that the requirement of necessity has not been met, it would not be necessary to review the requirement of proportionality in the strict sense; however, the Commission notes that the requirement th</w:t>
      </w:r>
      <w:r w:rsidR="009844E3" w:rsidRPr="006D02FE">
        <w:rPr>
          <w:lang w:val="en-US"/>
        </w:rPr>
        <w:t>at</w:t>
      </w:r>
      <w:r w:rsidR="00517513" w:rsidRPr="006D02FE">
        <w:rPr>
          <w:lang w:val="en-US"/>
        </w:rPr>
        <w:t xml:space="preserve"> workers account for</w:t>
      </w:r>
      <w:r w:rsidR="00597339" w:rsidRPr="006D02FE">
        <w:rPr>
          <w:lang w:val="en-US"/>
        </w:rPr>
        <w:t xml:space="preserve"> at least two thirds of the total employees</w:t>
      </w:r>
      <w:r w:rsidR="004212E0" w:rsidRPr="006D02FE">
        <w:rPr>
          <w:lang w:val="en-US"/>
        </w:rPr>
        <w:t xml:space="preserve"> of the Judiciary constituted a</w:t>
      </w:r>
      <w:r w:rsidR="00597339" w:rsidRPr="006D02FE">
        <w:rPr>
          <w:lang w:val="en-US"/>
        </w:rPr>
        <w:t xml:space="preserve"> severe restriction on </w:t>
      </w:r>
      <w:r w:rsidR="003D46A0" w:rsidRPr="006D02FE">
        <w:rPr>
          <w:lang w:val="en-US"/>
        </w:rPr>
        <w:t>the right to strike which could be construed, in practice, as rendering it meaningless.</w:t>
      </w:r>
    </w:p>
    <w:p w:rsidR="006D02FE" w:rsidRDefault="006D02FE" w:rsidP="006D02FE">
      <w:pPr>
        <w:pStyle w:val="ListParagraph"/>
      </w:pPr>
    </w:p>
    <w:p w:rsidR="006D02FE" w:rsidRPr="00447C5D" w:rsidRDefault="006D02FE" w:rsidP="00447C5D">
      <w:pPr>
        <w:pStyle w:val="parrafos"/>
        <w:numPr>
          <w:ilvl w:val="0"/>
          <w:numId w:val="56"/>
        </w:numPr>
        <w:tabs>
          <w:tab w:val="left" w:pos="450"/>
        </w:tabs>
        <w:ind w:left="0" w:firstLine="0"/>
        <w:rPr>
          <w:lang w:val="en-US"/>
        </w:rPr>
      </w:pPr>
      <w:r w:rsidRPr="006D02FE">
        <w:rPr>
          <w:lang w:val="en-US"/>
        </w:rPr>
        <w:t>Considering that the majority requirement referred to in the preceding paragraphs does not comply with the principle of proportionality, and that the consideration of said requirement was inherent and fundamental to the pronouncement of the legality of the strike by a competent body, for the IACHR it becomes unnecessary to assess whether the workers did not wait for said pronouncement to carry out the strike since in any case, the decision on the legality or not of the strike would have been based on a requirement that does not comp</w:t>
      </w:r>
      <w:r>
        <w:rPr>
          <w:lang w:val="en-US"/>
        </w:rPr>
        <w:t>ly with international standards.</w:t>
      </w:r>
    </w:p>
    <w:p w:rsidR="006D02FE" w:rsidRPr="00F246C8" w:rsidRDefault="006D02FE" w:rsidP="00F246C8">
      <w:pPr>
        <w:pStyle w:val="parrafos"/>
        <w:numPr>
          <w:ilvl w:val="0"/>
          <w:numId w:val="56"/>
        </w:numPr>
        <w:tabs>
          <w:tab w:val="left" w:pos="450"/>
        </w:tabs>
        <w:ind w:left="0" w:firstLine="0"/>
        <w:rPr>
          <w:lang w:val="en-US"/>
        </w:rPr>
      </w:pPr>
      <w:r w:rsidRPr="006D02FE">
        <w:rPr>
          <w:lang w:val="en-US"/>
        </w:rPr>
        <w:t>Likewise, for the IACHR it does not go unnoticed that the direct consequence of declaring the strike illegal was the collective dismissal of the workers identified in this petition. In that sense, considering that for the IACHR the State violated the right to strike, and that the corresponding authorities based the dismissals on the execution of the strike, there are also sufficient elements to declare the violation of the right to work</w:t>
      </w:r>
      <w:r w:rsidRPr="00F246C8">
        <w:rPr>
          <w:vertAlign w:val="superscript"/>
          <w:lang w:val="en-US"/>
        </w:rPr>
        <w:footnoteReference w:id="69"/>
      </w:r>
      <w:r w:rsidRPr="006D02FE">
        <w:rPr>
          <w:lang w:val="en-US"/>
        </w:rPr>
        <w:t xml:space="preserve"> of the dismissed workers identified in this report.</w:t>
      </w:r>
    </w:p>
    <w:p w:rsidR="006D02FE" w:rsidRPr="006C6C80" w:rsidRDefault="006D02FE" w:rsidP="00254F59">
      <w:pPr>
        <w:pStyle w:val="ListParagraph"/>
      </w:pPr>
    </w:p>
    <w:p w:rsidR="00F246C8" w:rsidRDefault="00597339" w:rsidP="00F246C8">
      <w:pPr>
        <w:pStyle w:val="parrafos"/>
        <w:numPr>
          <w:ilvl w:val="0"/>
          <w:numId w:val="56"/>
        </w:numPr>
        <w:tabs>
          <w:tab w:val="left" w:pos="450"/>
        </w:tabs>
        <w:ind w:left="0" w:firstLine="0"/>
        <w:rPr>
          <w:lang w:val="en-US"/>
        </w:rPr>
      </w:pPr>
      <w:r w:rsidRPr="006C6C80">
        <w:rPr>
          <w:lang w:val="en-US"/>
        </w:rPr>
        <w:t>Notwithstanding the above</w:t>
      </w:r>
      <w:r w:rsidR="00905A09" w:rsidRPr="006C6C80">
        <w:rPr>
          <w:lang w:val="en-US"/>
        </w:rPr>
        <w:t xml:space="preserve">, </w:t>
      </w:r>
      <w:r w:rsidRPr="006C6C80">
        <w:rPr>
          <w:lang w:val="en-US"/>
        </w:rPr>
        <w:t xml:space="preserve">the Commission notes that the state remedied this violation </w:t>
      </w:r>
      <w:r w:rsidR="003D46A0" w:rsidRPr="006C6C80">
        <w:rPr>
          <w:lang w:val="en-US"/>
        </w:rPr>
        <w:t>against</w:t>
      </w:r>
      <w:r w:rsidRPr="006C6C80">
        <w:rPr>
          <w:lang w:val="en-US"/>
        </w:rPr>
        <w:t xml:space="preserve"> 28 persons, who were rehired and whose names appear on the list that is attached to the present report</w:t>
      </w:r>
      <w:r w:rsidR="00905A09" w:rsidRPr="006C6C80">
        <w:rPr>
          <w:lang w:val="en-US"/>
        </w:rPr>
        <w:t>.</w:t>
      </w:r>
    </w:p>
    <w:p w:rsidR="00F246C8" w:rsidRDefault="00F246C8" w:rsidP="00F246C8">
      <w:pPr>
        <w:pStyle w:val="ListParagraph"/>
      </w:pPr>
    </w:p>
    <w:p w:rsidR="00254F59" w:rsidRPr="00F246C8" w:rsidRDefault="00F246C8" w:rsidP="00F246C8">
      <w:pPr>
        <w:pStyle w:val="parrafos"/>
        <w:numPr>
          <w:ilvl w:val="0"/>
          <w:numId w:val="56"/>
        </w:numPr>
        <w:tabs>
          <w:tab w:val="left" w:pos="450"/>
        </w:tabs>
        <w:ind w:left="0" w:firstLine="0"/>
        <w:rPr>
          <w:lang w:val="en-US"/>
        </w:rPr>
      </w:pPr>
      <w:r w:rsidRPr="00F246C8">
        <w:rPr>
          <w:lang w:val="en-US"/>
        </w:rPr>
        <w:t>Based on the foregoing considerations, the Commission concludes that the State violated the rights to strike and work contained in Article 26 of the American Convention in relation to the obligations established in Articles 1.1 and 2 of the same instrument, to the detriment of the 65 workers who were dismissed for participating in it.</w:t>
      </w:r>
    </w:p>
    <w:p w:rsidR="00E70B91" w:rsidRDefault="00E70B91" w:rsidP="006526FC">
      <w:pPr>
        <w:tabs>
          <w:tab w:val="left" w:pos="720"/>
        </w:tabs>
      </w:pPr>
    </w:p>
    <w:p w:rsidR="00A55ABA" w:rsidRPr="006C6C80" w:rsidRDefault="009F6C1E" w:rsidP="00B54921">
      <w:pPr>
        <w:pStyle w:val="Heading2"/>
        <w:keepNext/>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s>
        <w:suppressAutoHyphens w:val="0"/>
        <w:ind w:left="720" w:hanging="720"/>
        <w:jc w:val="both"/>
        <w:rPr>
          <w:lang w:val="en-US"/>
        </w:rPr>
      </w:pPr>
      <w:bookmarkStart w:id="23" w:name="_Toc18936474"/>
      <w:r w:rsidRPr="006C6C80">
        <w:rPr>
          <w:lang w:val="en-US"/>
        </w:rPr>
        <w:lastRenderedPageBreak/>
        <w:t>The right to judicial protection</w:t>
      </w:r>
      <w:r w:rsidR="005345E0" w:rsidRPr="006C6C80">
        <w:rPr>
          <w:vertAlign w:val="superscript"/>
          <w:lang w:val="en-US"/>
        </w:rPr>
        <w:footnoteReference w:id="70"/>
      </w:r>
      <w:bookmarkEnd w:id="23"/>
      <w:r w:rsidR="00A55ABA" w:rsidRPr="006C6C80">
        <w:rPr>
          <w:lang w:val="en-US"/>
        </w:rPr>
        <w:t xml:space="preserve"> </w:t>
      </w:r>
    </w:p>
    <w:p w:rsidR="00254F59" w:rsidRPr="006C6C80" w:rsidRDefault="00254F59" w:rsidP="00254F59">
      <w:pPr>
        <w:pStyle w:val="parrafos"/>
        <w:tabs>
          <w:tab w:val="left" w:pos="450"/>
        </w:tabs>
        <w:rPr>
          <w:lang w:val="en-US"/>
        </w:rPr>
      </w:pPr>
    </w:p>
    <w:p w:rsidR="005345E0" w:rsidRPr="006C6C80" w:rsidRDefault="009F6C1E" w:rsidP="005345E0">
      <w:pPr>
        <w:pStyle w:val="parrafos"/>
        <w:numPr>
          <w:ilvl w:val="0"/>
          <w:numId w:val="56"/>
        </w:numPr>
        <w:tabs>
          <w:tab w:val="left" w:pos="450"/>
        </w:tabs>
        <w:ind w:left="0" w:firstLine="0"/>
        <w:rPr>
          <w:rFonts w:ascii="Cambria" w:hAnsi="Cambria"/>
          <w:lang w:val="en-US"/>
        </w:rPr>
      </w:pPr>
      <w:r w:rsidRPr="006C6C80">
        <w:rPr>
          <w:rFonts w:ascii="Cambria" w:hAnsi="Cambria"/>
          <w:lang w:val="en-US"/>
        </w:rPr>
        <w:t>The IACHR recall that the state has the general obligation of providing effective judicial remedies to persons who allege they are victims of human rights violations</w:t>
      </w:r>
      <w:r w:rsidR="005345E0" w:rsidRPr="006C6C80">
        <w:rPr>
          <w:rFonts w:ascii="Cambria" w:hAnsi="Cambria"/>
          <w:lang w:val="en-US"/>
        </w:rPr>
        <w:t xml:space="preserve"> (</w:t>
      </w:r>
      <w:r w:rsidRPr="006C6C80">
        <w:rPr>
          <w:rFonts w:ascii="Cambria" w:hAnsi="Cambria"/>
          <w:lang w:val="en-US"/>
        </w:rPr>
        <w:t>Article</w:t>
      </w:r>
      <w:r w:rsidR="005345E0" w:rsidRPr="006C6C80">
        <w:rPr>
          <w:rFonts w:ascii="Cambria" w:hAnsi="Cambria"/>
          <w:lang w:val="en-US"/>
        </w:rPr>
        <w:t xml:space="preserve"> 25), </w:t>
      </w:r>
      <w:r w:rsidRPr="006C6C80">
        <w:rPr>
          <w:rFonts w:ascii="Cambria" w:hAnsi="Cambria"/>
          <w:lang w:val="en-US"/>
        </w:rPr>
        <w:t>which must be substantiated according to the rules of due process of law</w:t>
      </w:r>
      <w:r w:rsidR="005345E0" w:rsidRPr="006C6C80">
        <w:rPr>
          <w:rFonts w:ascii="Cambria" w:hAnsi="Cambria"/>
          <w:lang w:val="en-US"/>
        </w:rPr>
        <w:t xml:space="preserve"> (</w:t>
      </w:r>
      <w:r w:rsidRPr="006C6C80">
        <w:rPr>
          <w:rFonts w:ascii="Cambria" w:hAnsi="Cambria"/>
          <w:lang w:val="en-US"/>
        </w:rPr>
        <w:t>Article</w:t>
      </w:r>
      <w:r w:rsidR="005345E0" w:rsidRPr="006C6C80">
        <w:rPr>
          <w:rFonts w:ascii="Cambria" w:hAnsi="Cambria"/>
          <w:lang w:val="en-US"/>
        </w:rPr>
        <w:t xml:space="preserve"> 8.1).</w:t>
      </w:r>
      <w:r w:rsidR="005345E0" w:rsidRPr="006C6C80">
        <w:rPr>
          <w:rFonts w:ascii="Times New Roman" w:hAnsi="Times New Roman"/>
          <w:lang w:val="en-US"/>
        </w:rPr>
        <w:t xml:space="preserve"> </w:t>
      </w:r>
      <w:r w:rsidRPr="006C6C80">
        <w:rPr>
          <w:rFonts w:ascii="Times New Roman" w:hAnsi="Times New Roman"/>
          <w:lang w:val="en-US"/>
        </w:rPr>
        <w:t>So</w:t>
      </w:r>
      <w:r w:rsidR="006B5A18" w:rsidRPr="006C6C80">
        <w:rPr>
          <w:rFonts w:ascii="Times New Roman" w:hAnsi="Times New Roman"/>
          <w:lang w:val="en-US"/>
        </w:rPr>
        <w:t xml:space="preserve"> that remedy can be effective, it is not enough that it is established in the law, but it must be truly appropriate to establish whether there has been a violation of human rights and to provide everything necessary to remedy it</w:t>
      </w:r>
      <w:r w:rsidRPr="006C6C80">
        <w:rPr>
          <w:rFonts w:ascii="Cambria" w:hAnsi="Cambria"/>
          <w:lang w:val="en-US"/>
        </w:rPr>
        <w:t>.</w:t>
      </w:r>
      <w:r w:rsidR="005345E0" w:rsidRPr="006C6C80">
        <w:rPr>
          <w:rFonts w:ascii="Cambria" w:hAnsi="Cambria"/>
          <w:vertAlign w:val="superscript"/>
          <w:lang w:val="en-US"/>
        </w:rPr>
        <w:footnoteReference w:id="71"/>
      </w:r>
      <w:r w:rsidRPr="006C6C80">
        <w:rPr>
          <w:rFonts w:ascii="Cambria" w:hAnsi="Cambria"/>
          <w:lang w:val="en-US"/>
        </w:rPr>
        <w:t xml:space="preserve"> When assessing the remedies, there must be an examination of whether or not the decisions in the judicial proceedings effectively contributed to putting an end to a human rights violation situation</w:t>
      </w:r>
      <w:r w:rsidR="005345E0" w:rsidRPr="006C6C80">
        <w:rPr>
          <w:rFonts w:ascii="Cambria" w:hAnsi="Cambria"/>
          <w:lang w:val="en-US"/>
        </w:rPr>
        <w:t xml:space="preserve">, </w:t>
      </w:r>
      <w:r w:rsidRPr="006C6C80">
        <w:rPr>
          <w:rFonts w:ascii="Cambria" w:hAnsi="Cambria"/>
          <w:lang w:val="en-US"/>
        </w:rPr>
        <w:t>to ensuring non-repetition of the damaging actions, and to guarantee</w:t>
      </w:r>
      <w:r w:rsidR="006B5A18" w:rsidRPr="006C6C80">
        <w:rPr>
          <w:rFonts w:ascii="Cambria" w:hAnsi="Cambria"/>
          <w:lang w:val="en-US"/>
        </w:rPr>
        <w:t>ing</w:t>
      </w:r>
      <w:r w:rsidRPr="006C6C80">
        <w:rPr>
          <w:rFonts w:ascii="Cambria" w:hAnsi="Cambria"/>
          <w:lang w:val="en-US"/>
        </w:rPr>
        <w:t xml:space="preserve"> the free and full exercise of the rights protected by the Convention.</w:t>
      </w:r>
      <w:r w:rsidR="005345E0" w:rsidRPr="006C6C80">
        <w:rPr>
          <w:rStyle w:val="FootnoteReference"/>
          <w:rFonts w:ascii="Cambria" w:hAnsi="Cambria"/>
          <w:lang w:val="en-US"/>
        </w:rPr>
        <w:footnoteReference w:id="72"/>
      </w:r>
    </w:p>
    <w:p w:rsidR="005345E0" w:rsidRPr="006C6C80" w:rsidRDefault="005345E0" w:rsidP="005345E0">
      <w:pPr>
        <w:pStyle w:val="parrafos"/>
        <w:tabs>
          <w:tab w:val="left" w:pos="450"/>
        </w:tabs>
        <w:rPr>
          <w:rFonts w:ascii="Cambria" w:hAnsi="Cambria"/>
          <w:lang w:val="en-US"/>
        </w:rPr>
      </w:pPr>
    </w:p>
    <w:p w:rsidR="00472E6E" w:rsidRPr="006C6C80" w:rsidRDefault="009F6C1E" w:rsidP="005345E0">
      <w:pPr>
        <w:pStyle w:val="parrafos"/>
        <w:numPr>
          <w:ilvl w:val="0"/>
          <w:numId w:val="56"/>
        </w:numPr>
        <w:tabs>
          <w:tab w:val="left" w:pos="450"/>
        </w:tabs>
        <w:ind w:left="0" w:firstLine="0"/>
        <w:rPr>
          <w:rFonts w:ascii="Cambria" w:hAnsi="Cambria"/>
          <w:lang w:val="en-US"/>
        </w:rPr>
      </w:pPr>
      <w:r w:rsidRPr="006C6C80">
        <w:rPr>
          <w:rFonts w:ascii="Cambria" w:hAnsi="Cambria"/>
          <w:lang w:val="en-US"/>
        </w:rPr>
        <w:t>In the instan</w:t>
      </w:r>
      <w:r w:rsidR="000A0278">
        <w:rPr>
          <w:rFonts w:ascii="Cambria" w:hAnsi="Cambria"/>
          <w:lang w:val="en-US"/>
        </w:rPr>
        <w:t>t</w:t>
      </w:r>
      <w:r w:rsidRPr="006C6C80">
        <w:rPr>
          <w:rFonts w:ascii="Cambria" w:hAnsi="Cambria"/>
          <w:lang w:val="en-US"/>
        </w:rPr>
        <w:t xml:space="preserve"> case, the IACHR observes that the alleged victims filed a series of appeals against the decision of May 13, 1996 that declared that the strike was unlawful</w:t>
      </w:r>
      <w:r w:rsidR="000A0278">
        <w:rPr>
          <w:rFonts w:ascii="Cambria" w:hAnsi="Cambria"/>
          <w:lang w:val="en-US"/>
        </w:rPr>
        <w:t>,</w:t>
      </w:r>
      <w:r w:rsidRPr="006C6C80">
        <w:rPr>
          <w:rFonts w:ascii="Cambria" w:hAnsi="Cambria"/>
          <w:lang w:val="en-US"/>
        </w:rPr>
        <w:t xml:space="preserve"> arguing violations of their right to a d</w:t>
      </w:r>
      <w:r w:rsidR="00200A52">
        <w:rPr>
          <w:rFonts w:ascii="Cambria" w:hAnsi="Cambria"/>
          <w:lang w:val="en-US"/>
        </w:rPr>
        <w:t xml:space="preserve">efense, among which an appeal for </w:t>
      </w:r>
      <w:proofErr w:type="spellStart"/>
      <w:r w:rsidR="00200A52" w:rsidRPr="00200A52">
        <w:rPr>
          <w:rFonts w:ascii="Cambria" w:hAnsi="Cambria"/>
          <w:i/>
          <w:lang w:val="en-US"/>
        </w:rPr>
        <w:t>amparo</w:t>
      </w:r>
      <w:proofErr w:type="spellEnd"/>
      <w:r w:rsidRPr="006C6C80">
        <w:rPr>
          <w:rFonts w:ascii="Cambria" w:hAnsi="Cambria"/>
          <w:lang w:val="en-US"/>
        </w:rPr>
        <w:t xml:space="preserve"> with the Chamber of </w:t>
      </w:r>
      <w:r w:rsidR="00206C3E">
        <w:rPr>
          <w:rFonts w:ascii="Cambria" w:hAnsi="Cambria"/>
          <w:lang w:val="en-US"/>
        </w:rPr>
        <w:t>Amparo</w:t>
      </w:r>
      <w:r w:rsidR="000A0278">
        <w:rPr>
          <w:rFonts w:ascii="Cambria" w:hAnsi="Cambria"/>
          <w:lang w:val="en-US"/>
        </w:rPr>
        <w:t xml:space="preserve"> Appeal</w:t>
      </w:r>
      <w:r w:rsidR="00206C3E">
        <w:rPr>
          <w:rFonts w:ascii="Cambria" w:hAnsi="Cambria"/>
          <w:lang w:val="en-US"/>
        </w:rPr>
        <w:t>s</w:t>
      </w:r>
      <w:r w:rsidRPr="006C6C80">
        <w:rPr>
          <w:rFonts w:ascii="Cambria" w:hAnsi="Cambria"/>
          <w:lang w:val="en-US"/>
        </w:rPr>
        <w:t xml:space="preserve"> and Preliminary Trials of the Suprem</w:t>
      </w:r>
      <w:r w:rsidR="00200A52">
        <w:rPr>
          <w:rFonts w:ascii="Cambria" w:hAnsi="Cambria"/>
          <w:lang w:val="en-US"/>
        </w:rPr>
        <w:t xml:space="preserve">e Court of Justice, an appeal for </w:t>
      </w:r>
      <w:proofErr w:type="spellStart"/>
      <w:r w:rsidR="00200A52" w:rsidRPr="00200A52">
        <w:rPr>
          <w:rFonts w:ascii="Cambria" w:hAnsi="Cambria"/>
          <w:i/>
          <w:lang w:val="en-US"/>
        </w:rPr>
        <w:t>amparo</w:t>
      </w:r>
      <w:proofErr w:type="spellEnd"/>
      <w:r w:rsidRPr="006C6C80">
        <w:rPr>
          <w:rFonts w:ascii="Cambria" w:hAnsi="Cambria"/>
          <w:lang w:val="en-US"/>
        </w:rPr>
        <w:t xml:space="preserve"> with the </w:t>
      </w:r>
      <w:r w:rsidR="00C4756E">
        <w:rPr>
          <w:rFonts w:ascii="Cambria" w:hAnsi="Cambria"/>
          <w:lang w:val="en-US"/>
        </w:rPr>
        <w:t>Constitutional Court</w:t>
      </w:r>
      <w:r w:rsidRPr="006C6C80">
        <w:rPr>
          <w:rFonts w:ascii="Cambria" w:hAnsi="Cambria"/>
          <w:lang w:val="en-US"/>
        </w:rPr>
        <w:t xml:space="preserve">, </w:t>
      </w:r>
      <w:r w:rsidR="000A0278">
        <w:rPr>
          <w:rFonts w:ascii="Cambria" w:hAnsi="Cambria"/>
          <w:lang w:val="en-US"/>
        </w:rPr>
        <w:t>and enlargement of the appeal</w:t>
      </w:r>
      <w:r w:rsidRPr="006C6C80">
        <w:rPr>
          <w:rFonts w:ascii="Cambria" w:hAnsi="Cambria"/>
          <w:lang w:val="en-US"/>
        </w:rPr>
        <w:t xml:space="preserve"> with this same body.</w:t>
      </w:r>
    </w:p>
    <w:p w:rsidR="005C5FD2" w:rsidRPr="006C6C80" w:rsidRDefault="005C5FD2" w:rsidP="005C5FD2">
      <w:pPr>
        <w:pStyle w:val="ListParagraph"/>
      </w:pPr>
    </w:p>
    <w:p w:rsidR="005C5FD2" w:rsidRPr="006C6C80" w:rsidRDefault="009F6C1E" w:rsidP="005345E0">
      <w:pPr>
        <w:pStyle w:val="parrafos"/>
        <w:numPr>
          <w:ilvl w:val="0"/>
          <w:numId w:val="56"/>
        </w:numPr>
        <w:tabs>
          <w:tab w:val="left" w:pos="450"/>
        </w:tabs>
        <w:ind w:left="0" w:firstLine="0"/>
        <w:rPr>
          <w:rFonts w:ascii="Cambria" w:hAnsi="Cambria"/>
          <w:lang w:val="en-US"/>
        </w:rPr>
      </w:pPr>
      <w:r w:rsidRPr="006C6C80">
        <w:rPr>
          <w:rFonts w:ascii="Cambria" w:hAnsi="Cambria"/>
          <w:lang w:val="en-US"/>
        </w:rPr>
        <w:t xml:space="preserve">Likewise, the petitioners filed a series of motions against the order of dismissals issued by the Supreme Court of Justice on September 1, </w:t>
      </w:r>
      <w:r w:rsidR="00AE29A4" w:rsidRPr="006C6C80">
        <w:rPr>
          <w:rFonts w:ascii="Cambria" w:hAnsi="Cambria"/>
          <w:lang w:val="en-US"/>
        </w:rPr>
        <w:t xml:space="preserve">1999, </w:t>
      </w:r>
      <w:r w:rsidRPr="006C6C80">
        <w:rPr>
          <w:rFonts w:ascii="Cambria" w:hAnsi="Cambria"/>
          <w:lang w:val="en-US"/>
        </w:rPr>
        <w:t xml:space="preserve">among which an appeal with the </w:t>
      </w:r>
      <w:r w:rsidR="00C4756E">
        <w:rPr>
          <w:rFonts w:ascii="Cambria" w:hAnsi="Cambria"/>
          <w:lang w:val="en-US"/>
        </w:rPr>
        <w:t>Constitutional Court</w:t>
      </w:r>
      <w:r w:rsidR="00AE29A4" w:rsidRPr="006C6C80">
        <w:rPr>
          <w:rFonts w:ascii="Cambria" w:hAnsi="Cambria"/>
          <w:lang w:val="en-US"/>
        </w:rPr>
        <w:t>, argu</w:t>
      </w:r>
      <w:r w:rsidR="0091321E" w:rsidRPr="006C6C80">
        <w:rPr>
          <w:rFonts w:ascii="Cambria" w:hAnsi="Cambria"/>
          <w:lang w:val="en-US"/>
        </w:rPr>
        <w:t>ing that the right of the dismissed employees to due process of law and the</w:t>
      </w:r>
      <w:r w:rsidR="000A0278">
        <w:rPr>
          <w:rFonts w:ascii="Cambria" w:hAnsi="Cambria"/>
          <w:lang w:val="en-US"/>
        </w:rPr>
        <w:t>ir</w:t>
      </w:r>
      <w:r w:rsidR="0091321E" w:rsidRPr="006C6C80">
        <w:rPr>
          <w:rFonts w:ascii="Cambria" w:hAnsi="Cambria"/>
          <w:lang w:val="en-US"/>
        </w:rPr>
        <w:t xml:space="preserve"> right </w:t>
      </w:r>
      <w:r w:rsidR="000A0278">
        <w:rPr>
          <w:rFonts w:ascii="Cambria" w:hAnsi="Cambria"/>
          <w:lang w:val="en-US"/>
        </w:rPr>
        <w:t>of</w:t>
      </w:r>
      <w:r w:rsidR="0091321E" w:rsidRPr="006C6C80">
        <w:rPr>
          <w:rFonts w:ascii="Cambria" w:hAnsi="Cambria"/>
          <w:lang w:val="en-US"/>
        </w:rPr>
        <w:t xml:space="preserve"> defense were violated because they did not benefit from any hearing prior to their dismissal</w:t>
      </w:r>
      <w:r w:rsidR="00331A1E" w:rsidRPr="006C6C80">
        <w:rPr>
          <w:rFonts w:ascii="Cambria" w:hAnsi="Cambria"/>
          <w:lang w:val="en-US"/>
        </w:rPr>
        <w:t>.</w:t>
      </w:r>
    </w:p>
    <w:p w:rsidR="0031359B" w:rsidRPr="006C6C80" w:rsidRDefault="0031359B" w:rsidP="0031359B">
      <w:pPr>
        <w:pStyle w:val="ListParagraph"/>
      </w:pPr>
    </w:p>
    <w:p w:rsidR="0003041E" w:rsidRPr="006C6C80" w:rsidRDefault="0091321E" w:rsidP="005345E0">
      <w:pPr>
        <w:pStyle w:val="parrafos"/>
        <w:numPr>
          <w:ilvl w:val="0"/>
          <w:numId w:val="56"/>
        </w:numPr>
        <w:tabs>
          <w:tab w:val="left" w:pos="450"/>
        </w:tabs>
        <w:ind w:left="0" w:firstLine="0"/>
        <w:rPr>
          <w:rFonts w:ascii="Cambria" w:hAnsi="Cambria"/>
          <w:lang w:val="en-US"/>
        </w:rPr>
      </w:pPr>
      <w:r w:rsidRPr="006C6C80">
        <w:rPr>
          <w:rFonts w:ascii="Cambria" w:hAnsi="Cambria"/>
          <w:lang w:val="en-US"/>
        </w:rPr>
        <w:t>Finally, the Commission noted that, after filing motions for reconsideration and other motions, 28 persons were rehired</w:t>
      </w:r>
      <w:r w:rsidR="0003041E" w:rsidRPr="006C6C80">
        <w:rPr>
          <w:rFonts w:ascii="Cambria" w:hAnsi="Cambria"/>
          <w:lang w:val="en-US"/>
        </w:rPr>
        <w:t>.</w:t>
      </w:r>
    </w:p>
    <w:p w:rsidR="006526FC" w:rsidRPr="006C6C80" w:rsidRDefault="006526FC" w:rsidP="006526FC">
      <w:pPr>
        <w:pStyle w:val="ListParagraph"/>
      </w:pPr>
    </w:p>
    <w:p w:rsidR="006526FC" w:rsidRDefault="0091321E" w:rsidP="005345E0">
      <w:pPr>
        <w:pStyle w:val="parrafos"/>
        <w:numPr>
          <w:ilvl w:val="0"/>
          <w:numId w:val="56"/>
        </w:numPr>
        <w:tabs>
          <w:tab w:val="left" w:pos="450"/>
        </w:tabs>
        <w:ind w:left="0" w:firstLine="0"/>
        <w:rPr>
          <w:rFonts w:ascii="Cambria" w:hAnsi="Cambria"/>
          <w:lang w:val="en-US"/>
        </w:rPr>
      </w:pPr>
      <w:r w:rsidRPr="006C6C80">
        <w:rPr>
          <w:rFonts w:ascii="Cambria" w:hAnsi="Cambria"/>
          <w:lang w:val="en-US"/>
        </w:rPr>
        <w:t xml:space="preserve">The Commission deems that, in view of the above, 65 of the alleged victims did not benefit from any effective remedy to redress the violations of their human rights, specifically the right to due process of law, </w:t>
      </w:r>
      <w:r w:rsidR="006C6C80">
        <w:rPr>
          <w:rFonts w:ascii="Cambria" w:hAnsi="Cambria"/>
          <w:lang w:val="en-US"/>
        </w:rPr>
        <w:t>right of</w:t>
      </w:r>
      <w:r w:rsidRPr="006C6C80">
        <w:rPr>
          <w:rFonts w:ascii="Cambria" w:hAnsi="Cambria"/>
          <w:lang w:val="en-US"/>
        </w:rPr>
        <w:t xml:space="preserve"> defense, and </w:t>
      </w:r>
      <w:r w:rsidR="006C6C80">
        <w:rPr>
          <w:rFonts w:ascii="Cambria" w:hAnsi="Cambria"/>
          <w:lang w:val="en-US"/>
        </w:rPr>
        <w:t xml:space="preserve">right </w:t>
      </w:r>
      <w:r w:rsidRPr="006C6C80">
        <w:rPr>
          <w:rFonts w:ascii="Cambria" w:hAnsi="Cambria"/>
          <w:lang w:val="en-US"/>
        </w:rPr>
        <w:t>to strike according to the terms examined in the present report</w:t>
      </w:r>
      <w:r w:rsidR="00E03D9E" w:rsidRPr="006C6C80">
        <w:rPr>
          <w:rFonts w:ascii="Cambria" w:hAnsi="Cambria"/>
          <w:lang w:val="en-US"/>
        </w:rPr>
        <w:t xml:space="preserve">. </w:t>
      </w:r>
      <w:r w:rsidRPr="006C6C80">
        <w:rPr>
          <w:rFonts w:ascii="Cambria" w:hAnsi="Cambria"/>
          <w:lang w:val="en-US"/>
        </w:rPr>
        <w:t>By virtue of the above</w:t>
      </w:r>
      <w:r w:rsidR="0003041E" w:rsidRPr="006C6C80">
        <w:rPr>
          <w:rFonts w:ascii="Cambria" w:hAnsi="Cambria"/>
          <w:lang w:val="en-US"/>
        </w:rPr>
        <w:t xml:space="preserve">, </w:t>
      </w:r>
      <w:r w:rsidRPr="006C6C80">
        <w:rPr>
          <w:rFonts w:ascii="Cambria" w:hAnsi="Cambria"/>
          <w:lang w:val="en-US"/>
        </w:rPr>
        <w:t>the IACHR concludes that the state violated the right to judicial protection as set forth in Article</w:t>
      </w:r>
      <w:r w:rsidR="009A064A" w:rsidRPr="006C6C80">
        <w:rPr>
          <w:rFonts w:ascii="Cambria" w:hAnsi="Cambria"/>
          <w:lang w:val="en-US"/>
        </w:rPr>
        <w:t xml:space="preserve"> 25.1 </w:t>
      </w:r>
      <w:r w:rsidRPr="006C6C80">
        <w:rPr>
          <w:rFonts w:ascii="Cambria" w:hAnsi="Cambria"/>
          <w:lang w:val="en-US"/>
        </w:rPr>
        <w:t>of the American Convention in connection with Article</w:t>
      </w:r>
      <w:r w:rsidR="009A064A" w:rsidRPr="006C6C80">
        <w:rPr>
          <w:rFonts w:ascii="Cambria" w:hAnsi="Cambria"/>
          <w:lang w:val="en-US"/>
        </w:rPr>
        <w:t xml:space="preserve"> 1.1 </w:t>
      </w:r>
      <w:r w:rsidRPr="006C6C80">
        <w:rPr>
          <w:rFonts w:ascii="Cambria" w:hAnsi="Cambria"/>
          <w:lang w:val="en-US"/>
        </w:rPr>
        <w:t xml:space="preserve">of the same instrument, to the detriment of the 65 employees whose names are identified in the </w:t>
      </w:r>
      <w:r w:rsidR="009A064A" w:rsidRPr="006C6C80">
        <w:rPr>
          <w:rFonts w:ascii="Cambria" w:hAnsi="Cambria"/>
          <w:lang w:val="en-US"/>
        </w:rPr>
        <w:t>an</w:t>
      </w:r>
      <w:r w:rsidRPr="006C6C80">
        <w:rPr>
          <w:rFonts w:ascii="Cambria" w:hAnsi="Cambria"/>
          <w:lang w:val="en-US"/>
        </w:rPr>
        <w:t>n</w:t>
      </w:r>
      <w:r w:rsidR="009A064A" w:rsidRPr="006C6C80">
        <w:rPr>
          <w:rFonts w:ascii="Cambria" w:hAnsi="Cambria"/>
          <w:lang w:val="en-US"/>
        </w:rPr>
        <w:t>ex</w:t>
      </w:r>
      <w:r w:rsidRPr="006C6C80">
        <w:rPr>
          <w:rFonts w:ascii="Cambria" w:hAnsi="Cambria"/>
          <w:lang w:val="en-US"/>
        </w:rPr>
        <w:t xml:space="preserve"> to the present report</w:t>
      </w:r>
      <w:r w:rsidR="009A064A" w:rsidRPr="006C6C80">
        <w:rPr>
          <w:rFonts w:ascii="Cambria" w:hAnsi="Cambria"/>
          <w:lang w:val="en-US"/>
        </w:rPr>
        <w:t xml:space="preserve">. </w:t>
      </w:r>
    </w:p>
    <w:p w:rsidR="00331A1E" w:rsidRPr="006C6C80" w:rsidRDefault="00331A1E" w:rsidP="0031359B">
      <w:pPr>
        <w:pStyle w:val="parrafos"/>
        <w:tabs>
          <w:tab w:val="left" w:pos="450"/>
        </w:tabs>
        <w:rPr>
          <w:rFonts w:ascii="Cambria" w:hAnsi="Cambria"/>
          <w:lang w:val="en-US"/>
        </w:rPr>
      </w:pPr>
    </w:p>
    <w:p w:rsidR="00C7707E" w:rsidRPr="006C6C80" w:rsidRDefault="0022110D" w:rsidP="00C7707E">
      <w:pPr>
        <w:pStyle w:val="Heading1"/>
        <w:numPr>
          <w:ilvl w:val="0"/>
          <w:numId w:val="57"/>
        </w:numPr>
        <w:tabs>
          <w:tab w:val="left" w:pos="720"/>
        </w:tabs>
        <w:ind w:left="360" w:hanging="360"/>
        <w:rPr>
          <w:lang w:val="en-US"/>
        </w:rPr>
      </w:pPr>
      <w:bookmarkStart w:id="24" w:name="_Toc18936475"/>
      <w:r w:rsidRPr="006C6C80">
        <w:rPr>
          <w:lang w:val="en-US"/>
        </w:rPr>
        <w:t xml:space="preserve">CONCLUSIONS </w:t>
      </w:r>
      <w:r w:rsidR="0091321E" w:rsidRPr="006C6C80">
        <w:rPr>
          <w:lang w:val="en-US"/>
        </w:rPr>
        <w:t>AND</w:t>
      </w:r>
      <w:r w:rsidRPr="006C6C80">
        <w:rPr>
          <w:lang w:val="en-US"/>
        </w:rPr>
        <w:t xml:space="preserve"> RECOM</w:t>
      </w:r>
      <w:r w:rsidR="0091321E" w:rsidRPr="006C6C80">
        <w:rPr>
          <w:lang w:val="en-US"/>
        </w:rPr>
        <w:t>M</w:t>
      </w:r>
      <w:r w:rsidRPr="006C6C80">
        <w:rPr>
          <w:lang w:val="en-US"/>
        </w:rPr>
        <w:t>ENDA</w:t>
      </w:r>
      <w:r w:rsidR="0091321E" w:rsidRPr="006C6C80">
        <w:rPr>
          <w:lang w:val="en-US"/>
        </w:rPr>
        <w:t>TIONS</w:t>
      </w:r>
      <w:bookmarkEnd w:id="24"/>
    </w:p>
    <w:p w:rsidR="00047B91" w:rsidRPr="006C6C80" w:rsidRDefault="00047B91" w:rsidP="00047B91">
      <w:pPr>
        <w:tabs>
          <w:tab w:val="left" w:pos="567"/>
          <w:tab w:val="left" w:pos="1440"/>
        </w:tabs>
        <w:jc w:val="both"/>
        <w:rPr>
          <w:rFonts w:ascii="Cambria" w:hAnsi="Cambria"/>
          <w:sz w:val="20"/>
          <w:szCs w:val="20"/>
        </w:rPr>
      </w:pPr>
    </w:p>
    <w:p w:rsidR="00D8148D" w:rsidRPr="006C6C80" w:rsidRDefault="0091321E" w:rsidP="00047B91">
      <w:pPr>
        <w:pStyle w:val="parrafos"/>
        <w:numPr>
          <w:ilvl w:val="0"/>
          <w:numId w:val="56"/>
        </w:numPr>
        <w:tabs>
          <w:tab w:val="left" w:pos="450"/>
        </w:tabs>
        <w:ind w:left="0" w:firstLine="0"/>
        <w:rPr>
          <w:rFonts w:ascii="Cambria" w:hAnsi="Cambria"/>
          <w:lang w:val="en-US"/>
        </w:rPr>
      </w:pPr>
      <w:r w:rsidRPr="006C6C80">
        <w:rPr>
          <w:rFonts w:ascii="Cambria" w:hAnsi="Cambria"/>
          <w:lang w:val="en-US"/>
        </w:rPr>
        <w:t>By virtue of what was indicated above, the Commission concludes that the Guatemalan state is responsible for violating the rights established in Articles</w:t>
      </w:r>
      <w:r w:rsidR="00047B91" w:rsidRPr="006C6C80">
        <w:rPr>
          <w:rFonts w:ascii="Cambria" w:hAnsi="Cambria"/>
          <w:lang w:val="en-US"/>
        </w:rPr>
        <w:t xml:space="preserve"> 8.1</w:t>
      </w:r>
      <w:r w:rsidR="00D8148D" w:rsidRPr="006C6C80">
        <w:rPr>
          <w:rFonts w:ascii="Cambria" w:hAnsi="Cambria"/>
          <w:lang w:val="en-US"/>
        </w:rPr>
        <w:t>, 8.2 b), 8.2 c), 25.1</w:t>
      </w:r>
      <w:r w:rsidRPr="006C6C80">
        <w:rPr>
          <w:rFonts w:ascii="Cambria" w:hAnsi="Cambria"/>
          <w:lang w:val="en-US"/>
        </w:rPr>
        <w:t>, and</w:t>
      </w:r>
      <w:r w:rsidR="00D8148D" w:rsidRPr="006C6C80">
        <w:rPr>
          <w:rFonts w:ascii="Cambria" w:hAnsi="Cambria"/>
          <w:lang w:val="en-US"/>
        </w:rPr>
        <w:t xml:space="preserve"> 26 </w:t>
      </w:r>
      <w:r w:rsidRPr="006C6C80">
        <w:rPr>
          <w:rFonts w:ascii="Cambria" w:hAnsi="Cambria"/>
          <w:lang w:val="en-US"/>
        </w:rPr>
        <w:t>of the American Convention in connection with Articles</w:t>
      </w:r>
      <w:r w:rsidR="00D8148D" w:rsidRPr="006C6C80">
        <w:rPr>
          <w:rFonts w:ascii="Cambria" w:hAnsi="Cambria"/>
          <w:lang w:val="en-US"/>
        </w:rPr>
        <w:t xml:space="preserve"> 1.1 </w:t>
      </w:r>
      <w:r w:rsidRPr="006C6C80">
        <w:rPr>
          <w:rFonts w:ascii="Cambria" w:hAnsi="Cambria"/>
          <w:lang w:val="en-US"/>
        </w:rPr>
        <w:t>and</w:t>
      </w:r>
      <w:r w:rsidR="00D8148D" w:rsidRPr="006C6C80">
        <w:rPr>
          <w:rFonts w:ascii="Cambria" w:hAnsi="Cambria"/>
          <w:lang w:val="en-US"/>
        </w:rPr>
        <w:t xml:space="preserve"> 2 </w:t>
      </w:r>
      <w:r w:rsidRPr="006C6C80">
        <w:rPr>
          <w:rFonts w:ascii="Cambria" w:hAnsi="Cambria"/>
          <w:lang w:val="en-US"/>
        </w:rPr>
        <w:t>of the same instrument</w:t>
      </w:r>
      <w:r w:rsidR="00D8148D" w:rsidRPr="006C6C80">
        <w:rPr>
          <w:rFonts w:ascii="Cambria" w:hAnsi="Cambria"/>
          <w:lang w:val="en-US"/>
        </w:rPr>
        <w:t xml:space="preserve">, </w:t>
      </w:r>
      <w:r w:rsidRPr="006C6C80">
        <w:rPr>
          <w:rFonts w:ascii="Cambria" w:hAnsi="Cambria"/>
          <w:lang w:val="en-US"/>
        </w:rPr>
        <w:t>to the detriment of the sixty-five employees who are identified in the annex to the present report</w:t>
      </w:r>
      <w:r w:rsidR="00D8148D" w:rsidRPr="006C6C80">
        <w:rPr>
          <w:rFonts w:ascii="Cambria" w:hAnsi="Cambria"/>
          <w:lang w:val="en-US"/>
        </w:rPr>
        <w:t xml:space="preserve">. </w:t>
      </w:r>
    </w:p>
    <w:p w:rsidR="00047B91" w:rsidRPr="006C6C80" w:rsidRDefault="00047B91" w:rsidP="00047B91">
      <w:pPr>
        <w:pStyle w:val="parrafos"/>
        <w:tabs>
          <w:tab w:val="left" w:pos="450"/>
        </w:tabs>
        <w:rPr>
          <w:rFonts w:ascii="Cambria" w:hAnsi="Cambria"/>
          <w:lang w:val="en-US"/>
        </w:rPr>
      </w:pPr>
    </w:p>
    <w:p w:rsidR="00047B91" w:rsidRPr="006C6C80" w:rsidRDefault="0091321E" w:rsidP="00047B91">
      <w:pPr>
        <w:pStyle w:val="parrafos"/>
        <w:numPr>
          <w:ilvl w:val="0"/>
          <w:numId w:val="56"/>
        </w:numPr>
        <w:tabs>
          <w:tab w:val="left" w:pos="450"/>
        </w:tabs>
        <w:ind w:left="0" w:firstLine="0"/>
        <w:rPr>
          <w:rFonts w:ascii="Cambria" w:hAnsi="Cambria"/>
          <w:lang w:val="en-US"/>
        </w:rPr>
      </w:pPr>
      <w:r w:rsidRPr="006C6C80">
        <w:rPr>
          <w:rFonts w:ascii="Cambria" w:hAnsi="Cambria"/>
          <w:lang w:val="en-US"/>
        </w:rPr>
        <w:t>On the basis of the review and conclusions of the present report</w:t>
      </w:r>
      <w:r w:rsidR="00047B91" w:rsidRPr="006C6C80">
        <w:rPr>
          <w:rFonts w:ascii="Cambria" w:hAnsi="Cambria"/>
          <w:lang w:val="en-US"/>
        </w:rPr>
        <w:t>,</w:t>
      </w:r>
    </w:p>
    <w:p w:rsidR="00047B91" w:rsidRDefault="00047B91" w:rsidP="00047B91">
      <w:pPr>
        <w:tabs>
          <w:tab w:val="left" w:pos="1440"/>
        </w:tabs>
        <w:jc w:val="both"/>
        <w:rPr>
          <w:rFonts w:ascii="Cambria" w:hAnsi="Cambria"/>
          <w:sz w:val="20"/>
          <w:szCs w:val="20"/>
        </w:rPr>
      </w:pPr>
    </w:p>
    <w:p w:rsidR="000A0278" w:rsidRPr="006C6C80" w:rsidRDefault="000A0278" w:rsidP="00047B91">
      <w:pPr>
        <w:tabs>
          <w:tab w:val="left" w:pos="1440"/>
        </w:tabs>
        <w:jc w:val="both"/>
        <w:rPr>
          <w:rFonts w:ascii="Cambria" w:hAnsi="Cambria"/>
          <w:sz w:val="20"/>
          <w:szCs w:val="20"/>
        </w:rPr>
      </w:pPr>
    </w:p>
    <w:p w:rsidR="002058D1" w:rsidRDefault="002058D1" w:rsidP="000A0278">
      <w:pPr>
        <w:jc w:val="both"/>
        <w:rPr>
          <w:rFonts w:ascii="Cambria" w:hAnsi="Cambria"/>
          <w:b/>
          <w:bCs/>
          <w:sz w:val="20"/>
          <w:szCs w:val="20"/>
        </w:rPr>
        <w:sectPr w:rsidR="002058D1" w:rsidSect="00997CF5">
          <w:type w:val="oddPage"/>
          <w:pgSz w:w="12240" w:h="15840"/>
          <w:pgMar w:top="1440" w:right="1440" w:bottom="1440" w:left="1440" w:header="720" w:footer="720" w:gutter="0"/>
          <w:pgNumType w:start="1"/>
          <w:cols w:space="720"/>
          <w:titlePg/>
          <w:docGrid w:linePitch="326"/>
        </w:sectPr>
      </w:pPr>
    </w:p>
    <w:p w:rsidR="00047B91" w:rsidRPr="006C6C80" w:rsidRDefault="0091321E" w:rsidP="000A0278">
      <w:pPr>
        <w:jc w:val="both"/>
        <w:rPr>
          <w:rFonts w:ascii="Cambria" w:hAnsi="Cambria"/>
          <w:sz w:val="20"/>
          <w:szCs w:val="20"/>
        </w:rPr>
      </w:pPr>
      <w:r w:rsidRPr="006C6C80">
        <w:rPr>
          <w:rFonts w:ascii="Cambria" w:hAnsi="Cambria"/>
          <w:b/>
          <w:bCs/>
          <w:sz w:val="20"/>
          <w:szCs w:val="20"/>
        </w:rPr>
        <w:lastRenderedPageBreak/>
        <w:t>THE INTER-AMERICAN COMMISSION ON HUMAN RIGHTS RECOMMENDS TO THE STATE OF GUATEMALA</w:t>
      </w:r>
      <w:r w:rsidR="00047B91" w:rsidRPr="006C6C80">
        <w:rPr>
          <w:rFonts w:ascii="Cambria" w:hAnsi="Cambria"/>
          <w:b/>
          <w:bCs/>
          <w:sz w:val="20"/>
          <w:szCs w:val="20"/>
        </w:rPr>
        <w:t>:</w:t>
      </w:r>
    </w:p>
    <w:p w:rsidR="00047B91" w:rsidRPr="006C6C80" w:rsidRDefault="00047B91" w:rsidP="00047B91">
      <w:pPr>
        <w:pStyle w:val="BodyText3"/>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9360"/>
        </w:tabs>
        <w:spacing w:after="0"/>
        <w:jc w:val="both"/>
        <w:rPr>
          <w:sz w:val="20"/>
          <w:szCs w:val="20"/>
        </w:rPr>
      </w:pPr>
    </w:p>
    <w:p w:rsidR="00047B91" w:rsidRPr="006C6C80" w:rsidRDefault="0091321E" w:rsidP="00047B91">
      <w:pPr>
        <w:pStyle w:val="BodyText3"/>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tabs>
          <w:tab w:val="clear" w:pos="1860"/>
          <w:tab w:val="num" w:pos="0"/>
          <w:tab w:val="left" w:pos="720"/>
          <w:tab w:val="left" w:pos="1440"/>
          <w:tab w:val="left" w:pos="9360"/>
        </w:tabs>
        <w:spacing w:after="0"/>
        <w:ind w:left="0" w:firstLine="0"/>
        <w:jc w:val="both"/>
        <w:rPr>
          <w:rFonts w:ascii="Cambria" w:hAnsi="Cambria"/>
          <w:color w:val="000000" w:themeColor="text1"/>
          <w:sz w:val="20"/>
          <w:szCs w:val="20"/>
        </w:rPr>
      </w:pPr>
      <w:r w:rsidRPr="006C6C80">
        <w:rPr>
          <w:rFonts w:ascii="Cambria" w:hAnsi="Cambria"/>
          <w:color w:val="000000" w:themeColor="text1"/>
          <w:sz w:val="20"/>
          <w:szCs w:val="20"/>
        </w:rPr>
        <w:t>To provide comprehensive reparations to the human rights violation</w:t>
      </w:r>
      <w:r w:rsidR="00D673EE" w:rsidRPr="006C6C80">
        <w:rPr>
          <w:rFonts w:ascii="Cambria" w:hAnsi="Cambria"/>
          <w:color w:val="000000" w:themeColor="text1"/>
          <w:sz w:val="20"/>
          <w:szCs w:val="20"/>
        </w:rPr>
        <w:t xml:space="preserve"> stated in the present report, including both pecuniary and non-pecuniary aspects</w:t>
      </w:r>
      <w:r w:rsidR="00047B91" w:rsidRPr="006C6C80">
        <w:rPr>
          <w:rFonts w:ascii="Cambria" w:hAnsi="Cambria"/>
          <w:color w:val="000000" w:themeColor="text1"/>
          <w:sz w:val="20"/>
          <w:szCs w:val="20"/>
        </w:rPr>
        <w:t xml:space="preserve">. </w:t>
      </w:r>
    </w:p>
    <w:p w:rsidR="00047B91" w:rsidRPr="006C6C80" w:rsidRDefault="00047B91" w:rsidP="00047B91">
      <w:pPr>
        <w:pStyle w:val="BodyText3"/>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9360"/>
        </w:tabs>
        <w:spacing w:after="0"/>
        <w:jc w:val="both"/>
        <w:rPr>
          <w:rFonts w:ascii="Cambria" w:hAnsi="Cambria"/>
          <w:color w:val="000000" w:themeColor="text1"/>
          <w:sz w:val="20"/>
          <w:szCs w:val="20"/>
        </w:rPr>
      </w:pPr>
    </w:p>
    <w:p w:rsidR="00047B91" w:rsidRPr="006C6C80" w:rsidRDefault="00D673EE" w:rsidP="00B54921">
      <w:pPr>
        <w:pStyle w:val="BodyText3"/>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tabs>
          <w:tab w:val="clear" w:pos="1860"/>
          <w:tab w:val="num" w:pos="0"/>
          <w:tab w:val="left" w:pos="720"/>
          <w:tab w:val="left" w:pos="1440"/>
          <w:tab w:val="left" w:pos="9360"/>
        </w:tabs>
        <w:spacing w:after="0"/>
        <w:ind w:left="0" w:firstLine="0"/>
        <w:jc w:val="both"/>
        <w:rPr>
          <w:rFonts w:ascii="Cambria" w:hAnsi="Cambria"/>
          <w:color w:val="000000" w:themeColor="text1"/>
          <w:sz w:val="20"/>
          <w:szCs w:val="20"/>
        </w:rPr>
      </w:pPr>
      <w:r w:rsidRPr="006C6C80">
        <w:rPr>
          <w:rFonts w:ascii="Cambria" w:hAnsi="Cambria"/>
          <w:color w:val="000000" w:themeColor="text1"/>
          <w:sz w:val="20"/>
          <w:szCs w:val="20"/>
        </w:rPr>
        <w:t>To adopt measures of non-repetition, which are necessary to prevent, in the future, similar inciden</w:t>
      </w:r>
      <w:r w:rsidR="000A0278">
        <w:rPr>
          <w:rFonts w:ascii="Cambria" w:hAnsi="Cambria"/>
          <w:color w:val="000000" w:themeColor="text1"/>
          <w:sz w:val="20"/>
          <w:szCs w:val="20"/>
        </w:rPr>
        <w:t>ts. In particular, to ensure</w:t>
      </w:r>
      <w:r w:rsidRPr="006C6C80">
        <w:rPr>
          <w:rFonts w:ascii="Cambria" w:hAnsi="Cambria"/>
          <w:color w:val="000000" w:themeColor="text1"/>
          <w:sz w:val="20"/>
          <w:szCs w:val="20"/>
        </w:rPr>
        <w:t xml:space="preserve"> enforcement of the rules of due process in the framework of the dismissal of </w:t>
      </w:r>
      <w:r w:rsidR="000A0278">
        <w:rPr>
          <w:rFonts w:ascii="Cambria" w:hAnsi="Cambria"/>
          <w:color w:val="000000" w:themeColor="text1"/>
          <w:sz w:val="20"/>
          <w:szCs w:val="20"/>
        </w:rPr>
        <w:t>public</w:t>
      </w:r>
      <w:r w:rsidRPr="006C6C80">
        <w:rPr>
          <w:rFonts w:ascii="Cambria" w:hAnsi="Cambria"/>
          <w:color w:val="000000" w:themeColor="text1"/>
          <w:sz w:val="20"/>
          <w:szCs w:val="20"/>
        </w:rPr>
        <w:t xml:space="preserve"> servants, in line with the standards indicated in the present report. Likewise, the state must adjust its domestic law and practices so that restrictions on the right of workers to strike requiring a prior vote from the latter will abide by international standards</w:t>
      </w:r>
      <w:r w:rsidR="00FF0C9E" w:rsidRPr="006C6C80">
        <w:rPr>
          <w:rFonts w:ascii="Cambria" w:hAnsi="Cambria"/>
          <w:color w:val="000000" w:themeColor="text1"/>
          <w:sz w:val="20"/>
          <w:szCs w:val="20"/>
        </w:rPr>
        <w:t>.</w:t>
      </w:r>
    </w:p>
    <w:sectPr w:rsidR="00047B91" w:rsidRPr="006C6C80" w:rsidSect="002058D1">
      <w:pgSz w:w="12240" w:h="15840"/>
      <w:pgMar w:top="1440" w:right="1440" w:bottom="1440" w:left="1440" w:header="720" w:footer="720" w:gutter="0"/>
      <w:pgNumType w:start="1"/>
      <w:cols w:space="720"/>
      <w:titlePg/>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2BF45AE" w16cid:durableId="20E3089D"/>
  <w16cid:commentId w16cid:paraId="7D1ACE72" w16cid:durableId="20E309A8"/>
  <w16cid:commentId w16cid:paraId="684E6607" w16cid:durableId="20E309CD"/>
  <w16cid:commentId w16cid:paraId="12B611CC" w16cid:durableId="20E30A03"/>
  <w16cid:commentId w16cid:paraId="4EF97CE5" w16cid:durableId="20E30D96"/>
  <w16cid:commentId w16cid:paraId="4BBC3FD6" w16cid:durableId="20E30E67"/>
  <w16cid:commentId w16cid:paraId="35A69785" w16cid:durableId="20E30FF5"/>
  <w16cid:commentId w16cid:paraId="4A5BBA5E" w16cid:durableId="20E313C1"/>
  <w16cid:commentId w16cid:paraId="24A4A379" w16cid:durableId="20E31492"/>
  <w16cid:commentId w16cid:paraId="7B61ADAE" w16cid:durableId="20E316B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0F3A" w:rsidRDefault="003F0F3A">
      <w:r>
        <w:separator/>
      </w:r>
    </w:p>
  </w:endnote>
  <w:endnote w:type="continuationSeparator" w:id="0">
    <w:p w:rsidR="003F0F3A" w:rsidRDefault="003F0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PalatinoLinotype-Roman">
    <w:charset w:val="00"/>
    <w:family w:val="auto"/>
    <w:pitch w:val="variable"/>
    <w:sig w:usb0="E0000287" w:usb1="40000013" w:usb2="00000000" w:usb3="00000000" w:csb0="0000019F" w:csb1="00000000"/>
  </w:font>
  <w:font w:name="PalatinoLinotype-Italic">
    <w:charset w:val="00"/>
    <w:family w:val="auto"/>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2C4" w:rsidRDefault="003A32C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5294112"/>
      <w:docPartObj>
        <w:docPartGallery w:val="Page Numbers (Bottom of Page)"/>
        <w:docPartUnique/>
      </w:docPartObj>
    </w:sdtPr>
    <w:sdtEndPr>
      <w:rPr>
        <w:noProof/>
        <w:sz w:val="16"/>
        <w:szCs w:val="22"/>
      </w:rPr>
    </w:sdtEndPr>
    <w:sdtContent>
      <w:p w:rsidR="0052077C" w:rsidRPr="00934A2C" w:rsidRDefault="0052077C">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3A32C4">
          <w:rPr>
            <w:noProof/>
            <w:sz w:val="16"/>
            <w:szCs w:val="22"/>
          </w:rPr>
          <w:t>3</w:t>
        </w:r>
        <w:r w:rsidRPr="00934A2C">
          <w:rPr>
            <w:noProof/>
            <w:sz w:val="16"/>
            <w:szCs w:val="22"/>
          </w:rPr>
          <w:fldChar w:fldCharType="end"/>
        </w:r>
      </w:p>
    </w:sdtContent>
  </w:sdt>
  <w:p w:rsidR="0052077C" w:rsidRDefault="0052077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077C" w:rsidRPr="00934A2C" w:rsidRDefault="0052077C">
    <w:pPr>
      <w:pStyle w:val="Footer"/>
      <w:jc w:val="center"/>
      <w:rPr>
        <w:sz w:val="16"/>
        <w:szCs w:val="22"/>
      </w:rPr>
    </w:pPr>
  </w:p>
  <w:p w:rsidR="0052077C" w:rsidRDefault="005207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0F3A" w:rsidRPr="000F35ED" w:rsidRDefault="003F0F3A">
      <w:pPr>
        <w:rPr>
          <w:rFonts w:asciiTheme="majorHAnsi" w:hAnsiTheme="majorHAnsi"/>
          <w:sz w:val="16"/>
          <w:szCs w:val="16"/>
        </w:rPr>
      </w:pPr>
      <w:r w:rsidRPr="000F35ED">
        <w:rPr>
          <w:rFonts w:asciiTheme="majorHAnsi" w:hAnsiTheme="majorHAnsi"/>
          <w:sz w:val="16"/>
          <w:szCs w:val="16"/>
        </w:rPr>
        <w:separator/>
      </w:r>
    </w:p>
  </w:footnote>
  <w:footnote w:type="continuationSeparator" w:id="0">
    <w:p w:rsidR="003F0F3A" w:rsidRPr="000F35ED" w:rsidRDefault="003F0F3A" w:rsidP="000F35ED">
      <w:pPr>
        <w:rPr>
          <w:rFonts w:asciiTheme="majorHAnsi" w:hAnsiTheme="majorHAnsi"/>
          <w:sz w:val="16"/>
          <w:szCs w:val="16"/>
        </w:rPr>
      </w:pPr>
      <w:r w:rsidRPr="000F35ED">
        <w:rPr>
          <w:rFonts w:asciiTheme="majorHAnsi" w:hAnsiTheme="majorHAnsi"/>
          <w:sz w:val="16"/>
          <w:szCs w:val="16"/>
        </w:rPr>
        <w:separator/>
      </w:r>
    </w:p>
    <w:p w:rsidR="003F0F3A" w:rsidRPr="000F35ED" w:rsidRDefault="003F0F3A"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rsidR="003F0F3A" w:rsidRPr="000F35ED" w:rsidRDefault="003F0F3A"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rsidR="0052077C" w:rsidRPr="006C6C80" w:rsidRDefault="0052077C" w:rsidP="00557337">
      <w:pPr>
        <w:pStyle w:val="FootnoteText"/>
        <w:jc w:val="both"/>
        <w:rPr>
          <w:rFonts w:asciiTheme="majorHAnsi" w:hAnsiTheme="majorHAnsi"/>
          <w:color w:val="000000" w:themeColor="text1"/>
          <w:sz w:val="16"/>
          <w:szCs w:val="16"/>
        </w:rPr>
      </w:pPr>
      <w:r w:rsidRPr="006C6C80">
        <w:rPr>
          <w:rStyle w:val="FootnoteReference"/>
          <w:rFonts w:asciiTheme="majorHAnsi" w:hAnsiTheme="majorHAnsi"/>
          <w:color w:val="000000" w:themeColor="text1"/>
          <w:sz w:val="16"/>
          <w:szCs w:val="16"/>
        </w:rPr>
        <w:footnoteRef/>
      </w:r>
      <w:r w:rsidRPr="006C6C80">
        <w:rPr>
          <w:rFonts w:asciiTheme="majorHAnsi" w:hAnsiTheme="majorHAnsi"/>
          <w:color w:val="000000" w:themeColor="text1"/>
          <w:sz w:val="16"/>
          <w:szCs w:val="16"/>
        </w:rPr>
        <w:t xml:space="preserve"> IACHR. Report No. 78/03. Petition 0453/00. Former Employees of the Judiciary, Guatemala. October 22, 2003. In this report the Commission declared that the petition was admissible in connection with Articles 8, 16, 24, 25, 1(1), and 2 of the American Convention. </w:t>
      </w:r>
    </w:p>
    <w:p w:rsidR="0052077C" w:rsidRPr="006C6C80" w:rsidRDefault="0052077C" w:rsidP="00557337">
      <w:pPr>
        <w:pStyle w:val="FootnoteText"/>
        <w:jc w:val="both"/>
        <w:rPr>
          <w:rFonts w:asciiTheme="majorHAnsi" w:hAnsiTheme="majorHAnsi"/>
          <w:color w:val="000000" w:themeColor="text1"/>
          <w:sz w:val="16"/>
          <w:szCs w:val="16"/>
        </w:rPr>
      </w:pPr>
      <w:r w:rsidRPr="006C6C80">
        <w:rPr>
          <w:rFonts w:asciiTheme="majorHAnsi" w:hAnsiTheme="majorHAnsi"/>
          <w:color w:val="000000" w:themeColor="text1"/>
          <w:sz w:val="16"/>
          <w:szCs w:val="16"/>
        </w:rPr>
        <w:t xml:space="preserve"> </w:t>
      </w:r>
    </w:p>
  </w:footnote>
  <w:footnote w:id="3">
    <w:p w:rsidR="0052077C" w:rsidRPr="006C6C80" w:rsidRDefault="0052077C" w:rsidP="00557337">
      <w:pPr>
        <w:pStyle w:val="FootnoteText"/>
        <w:jc w:val="both"/>
        <w:rPr>
          <w:rFonts w:asciiTheme="majorHAnsi" w:hAnsiTheme="majorHAnsi"/>
          <w:sz w:val="16"/>
          <w:szCs w:val="16"/>
        </w:rPr>
      </w:pPr>
      <w:r w:rsidRPr="006C6C80">
        <w:rPr>
          <w:rStyle w:val="FootnoteReference"/>
          <w:rFonts w:asciiTheme="majorHAnsi" w:hAnsiTheme="majorHAnsi"/>
          <w:sz w:val="16"/>
          <w:szCs w:val="16"/>
        </w:rPr>
        <w:footnoteRef/>
      </w:r>
      <w:r>
        <w:rPr>
          <w:rFonts w:asciiTheme="majorHAnsi" w:hAnsiTheme="majorHAnsi"/>
          <w:sz w:val="16"/>
          <w:szCs w:val="16"/>
        </w:rPr>
        <w:t xml:space="preserve"> </w:t>
      </w:r>
      <w:r w:rsidRPr="006C6C80">
        <w:rPr>
          <w:rFonts w:asciiTheme="majorHAnsi" w:hAnsiTheme="majorHAnsi"/>
          <w:sz w:val="16"/>
          <w:szCs w:val="16"/>
        </w:rPr>
        <w:t>Decree 1441. Amendments to the Labor Code. Article 223.</w:t>
      </w:r>
    </w:p>
  </w:footnote>
  <w:footnote w:id="4">
    <w:p w:rsidR="0052077C" w:rsidRPr="006C6C80" w:rsidRDefault="0052077C" w:rsidP="00557337">
      <w:pPr>
        <w:pStyle w:val="FootnoteText"/>
        <w:jc w:val="both"/>
        <w:rPr>
          <w:rFonts w:asciiTheme="majorHAnsi" w:hAnsiTheme="majorHAnsi"/>
          <w:sz w:val="16"/>
          <w:szCs w:val="16"/>
        </w:rPr>
      </w:pPr>
      <w:r w:rsidRPr="006C6C80">
        <w:rPr>
          <w:rStyle w:val="FootnoteReference"/>
          <w:rFonts w:asciiTheme="majorHAnsi" w:hAnsiTheme="majorHAnsi"/>
          <w:sz w:val="16"/>
          <w:szCs w:val="16"/>
        </w:rPr>
        <w:footnoteRef/>
      </w:r>
      <w:r w:rsidRPr="006C6C80">
        <w:rPr>
          <w:rFonts w:asciiTheme="majorHAnsi" w:hAnsiTheme="majorHAnsi"/>
          <w:sz w:val="16"/>
          <w:szCs w:val="16"/>
        </w:rPr>
        <w:t xml:space="preserve"> This subparagraph was amended by Decrees 64-92 and 13-2001 of the Congress of the Republic of Guatemala. </w:t>
      </w:r>
    </w:p>
  </w:footnote>
  <w:footnote w:id="5">
    <w:p w:rsidR="0052077C" w:rsidRPr="006C6C80" w:rsidRDefault="0052077C" w:rsidP="00557337">
      <w:pPr>
        <w:pStyle w:val="FootnoteText"/>
        <w:jc w:val="both"/>
        <w:rPr>
          <w:rFonts w:asciiTheme="majorHAnsi" w:hAnsiTheme="majorHAnsi"/>
          <w:sz w:val="16"/>
          <w:szCs w:val="16"/>
        </w:rPr>
      </w:pPr>
      <w:r w:rsidRPr="006C6C80">
        <w:rPr>
          <w:rStyle w:val="FootnoteReference"/>
          <w:rFonts w:asciiTheme="majorHAnsi" w:hAnsiTheme="majorHAnsi"/>
          <w:sz w:val="16"/>
          <w:szCs w:val="16"/>
        </w:rPr>
        <w:footnoteRef/>
      </w:r>
      <w:r w:rsidRPr="006C6C80">
        <w:rPr>
          <w:rFonts w:asciiTheme="majorHAnsi" w:hAnsiTheme="majorHAnsi"/>
          <w:sz w:val="16"/>
          <w:szCs w:val="16"/>
        </w:rPr>
        <w:t xml:space="preserve"> Labor Code, Decree 1441 of the Congress of the Republic of Guatemala. </w:t>
      </w:r>
    </w:p>
  </w:footnote>
  <w:footnote w:id="6">
    <w:p w:rsidR="0052077C" w:rsidRPr="006C6C80" w:rsidRDefault="0052077C" w:rsidP="00557337">
      <w:pPr>
        <w:pStyle w:val="FootnoteText"/>
        <w:jc w:val="both"/>
        <w:rPr>
          <w:rFonts w:asciiTheme="majorHAnsi" w:hAnsiTheme="majorHAnsi"/>
          <w:sz w:val="16"/>
          <w:szCs w:val="16"/>
        </w:rPr>
      </w:pPr>
      <w:r w:rsidRPr="006C6C80">
        <w:rPr>
          <w:rStyle w:val="FootnoteReference"/>
          <w:rFonts w:asciiTheme="majorHAnsi" w:hAnsiTheme="majorHAnsi"/>
          <w:sz w:val="16"/>
          <w:szCs w:val="16"/>
        </w:rPr>
        <w:footnoteRef/>
      </w:r>
      <w:r w:rsidR="008D4F9F">
        <w:rPr>
          <w:rFonts w:asciiTheme="majorHAnsi" w:hAnsiTheme="majorHAnsi"/>
          <w:sz w:val="16"/>
          <w:szCs w:val="16"/>
        </w:rPr>
        <w:t xml:space="preserve"> Annex 1</w:t>
      </w:r>
      <w:r w:rsidRPr="006C6C80">
        <w:rPr>
          <w:rFonts w:asciiTheme="majorHAnsi" w:hAnsiTheme="majorHAnsi"/>
          <w:sz w:val="16"/>
          <w:szCs w:val="16"/>
        </w:rPr>
        <w:t>. Collective Working Conditions Agreement signed by the Judiciary and the Judiciary Workers Union on August 17, 1992. Annex 1 to the brief of October 12, 2007 from the petitioners.</w:t>
      </w:r>
    </w:p>
  </w:footnote>
  <w:footnote w:id="7">
    <w:p w:rsidR="0052077C" w:rsidRPr="006C6C80" w:rsidRDefault="0052077C" w:rsidP="00557337">
      <w:pPr>
        <w:pStyle w:val="FootnoteText"/>
        <w:jc w:val="both"/>
        <w:rPr>
          <w:rFonts w:asciiTheme="majorHAnsi" w:hAnsiTheme="majorHAnsi"/>
          <w:sz w:val="16"/>
          <w:szCs w:val="16"/>
        </w:rPr>
      </w:pPr>
      <w:r w:rsidRPr="006C6C80">
        <w:rPr>
          <w:rStyle w:val="FootnoteReference"/>
          <w:rFonts w:asciiTheme="majorHAnsi" w:hAnsiTheme="majorHAnsi"/>
          <w:sz w:val="16"/>
          <w:szCs w:val="16"/>
        </w:rPr>
        <w:footnoteRef/>
      </w:r>
      <w:r w:rsidR="008D4F9F">
        <w:rPr>
          <w:rFonts w:asciiTheme="majorHAnsi" w:hAnsiTheme="majorHAnsi"/>
          <w:sz w:val="16"/>
          <w:szCs w:val="16"/>
        </w:rPr>
        <w:t xml:space="preserve"> B</w:t>
      </w:r>
      <w:r w:rsidR="008D4F9F" w:rsidRPr="006C6C80">
        <w:rPr>
          <w:rFonts w:asciiTheme="majorHAnsi" w:hAnsiTheme="majorHAnsi"/>
          <w:sz w:val="16"/>
          <w:szCs w:val="16"/>
        </w:rPr>
        <w:t xml:space="preserve">rief </w:t>
      </w:r>
      <w:r w:rsidR="008D4F9F">
        <w:rPr>
          <w:rFonts w:asciiTheme="majorHAnsi" w:hAnsiTheme="majorHAnsi"/>
          <w:sz w:val="16"/>
          <w:szCs w:val="16"/>
        </w:rPr>
        <w:t xml:space="preserve">from the petitioners of November </w:t>
      </w:r>
      <w:proofErr w:type="gramStart"/>
      <w:r w:rsidR="008D4F9F">
        <w:rPr>
          <w:rFonts w:asciiTheme="majorHAnsi" w:hAnsiTheme="majorHAnsi"/>
          <w:sz w:val="16"/>
          <w:szCs w:val="16"/>
        </w:rPr>
        <w:t>28 ,</w:t>
      </w:r>
      <w:proofErr w:type="gramEnd"/>
      <w:r w:rsidR="008D4F9F">
        <w:rPr>
          <w:rFonts w:asciiTheme="majorHAnsi" w:hAnsiTheme="majorHAnsi"/>
          <w:sz w:val="16"/>
          <w:szCs w:val="16"/>
        </w:rPr>
        <w:t>2000.</w:t>
      </w:r>
    </w:p>
  </w:footnote>
  <w:footnote w:id="8">
    <w:p w:rsidR="0052077C" w:rsidRPr="006C6C80" w:rsidRDefault="0052077C" w:rsidP="00557337">
      <w:pPr>
        <w:pStyle w:val="FootnoteText"/>
        <w:jc w:val="both"/>
        <w:rPr>
          <w:rFonts w:asciiTheme="majorHAnsi" w:hAnsiTheme="majorHAnsi"/>
          <w:sz w:val="16"/>
          <w:szCs w:val="16"/>
        </w:rPr>
      </w:pPr>
      <w:r w:rsidRPr="006C6C80">
        <w:rPr>
          <w:rStyle w:val="FootnoteReference"/>
          <w:rFonts w:asciiTheme="majorHAnsi" w:hAnsiTheme="majorHAnsi"/>
          <w:sz w:val="16"/>
          <w:szCs w:val="16"/>
        </w:rPr>
        <w:footnoteRef/>
      </w:r>
      <w:r w:rsidR="008D4F9F">
        <w:rPr>
          <w:rFonts w:asciiTheme="majorHAnsi" w:hAnsiTheme="majorHAnsi"/>
          <w:sz w:val="16"/>
          <w:szCs w:val="16"/>
        </w:rPr>
        <w:t xml:space="preserve"> Annex 2</w:t>
      </w:r>
      <w:r w:rsidRPr="006C6C80">
        <w:rPr>
          <w:rFonts w:asciiTheme="majorHAnsi" w:hAnsiTheme="majorHAnsi"/>
          <w:sz w:val="16"/>
          <w:szCs w:val="16"/>
        </w:rPr>
        <w:t>. Rulings of the Conciliation Court of December 12, 1995. Annex 4 to the admissibility brief of October 12, 2007 from the petitioners.</w:t>
      </w:r>
    </w:p>
  </w:footnote>
  <w:footnote w:id="9">
    <w:p w:rsidR="0052077C" w:rsidRPr="006C6C80" w:rsidRDefault="0052077C" w:rsidP="00557337">
      <w:pPr>
        <w:pStyle w:val="FootnoteText"/>
        <w:jc w:val="both"/>
        <w:rPr>
          <w:rFonts w:asciiTheme="majorHAnsi" w:hAnsiTheme="majorHAnsi"/>
          <w:sz w:val="16"/>
          <w:szCs w:val="16"/>
        </w:rPr>
      </w:pPr>
      <w:r w:rsidRPr="006C6C80">
        <w:rPr>
          <w:rStyle w:val="FootnoteReference"/>
          <w:rFonts w:asciiTheme="majorHAnsi" w:hAnsiTheme="majorHAnsi"/>
          <w:sz w:val="16"/>
          <w:szCs w:val="16"/>
        </w:rPr>
        <w:footnoteRef/>
      </w:r>
      <w:r w:rsidR="008D4F9F">
        <w:rPr>
          <w:rFonts w:asciiTheme="majorHAnsi" w:hAnsiTheme="majorHAnsi"/>
          <w:sz w:val="16"/>
          <w:szCs w:val="16"/>
        </w:rPr>
        <w:t xml:space="preserve"> Annex 3</w:t>
      </w:r>
      <w:r w:rsidRPr="006C6C80">
        <w:rPr>
          <w:rFonts w:asciiTheme="majorHAnsi" w:hAnsiTheme="majorHAnsi"/>
          <w:sz w:val="16"/>
          <w:szCs w:val="16"/>
        </w:rPr>
        <w:t xml:space="preserve">. Recommendations of the Conciliation Court of February 14, 1996. Annex 5 to the admissibility brief of October 12, 2007 from the petitioners. </w:t>
      </w:r>
    </w:p>
  </w:footnote>
  <w:footnote w:id="10">
    <w:p w:rsidR="0052077C" w:rsidRPr="006C6C80" w:rsidRDefault="0052077C" w:rsidP="00557337">
      <w:pPr>
        <w:pStyle w:val="FootnoteText"/>
        <w:jc w:val="both"/>
        <w:rPr>
          <w:rFonts w:asciiTheme="majorHAnsi" w:hAnsiTheme="majorHAnsi"/>
          <w:sz w:val="16"/>
          <w:szCs w:val="16"/>
        </w:rPr>
      </w:pPr>
      <w:r w:rsidRPr="006C6C80">
        <w:rPr>
          <w:rStyle w:val="FootnoteReference"/>
          <w:rFonts w:asciiTheme="majorHAnsi" w:hAnsiTheme="majorHAnsi"/>
          <w:sz w:val="16"/>
          <w:szCs w:val="16"/>
        </w:rPr>
        <w:footnoteRef/>
      </w:r>
      <w:r w:rsidRPr="006C6C80">
        <w:rPr>
          <w:rFonts w:asciiTheme="majorHAnsi" w:hAnsiTheme="majorHAnsi"/>
          <w:sz w:val="16"/>
          <w:szCs w:val="16"/>
        </w:rPr>
        <w:t xml:space="preserve"> Ann</w:t>
      </w:r>
      <w:r w:rsidR="008D4F9F">
        <w:rPr>
          <w:rFonts w:asciiTheme="majorHAnsi" w:hAnsiTheme="majorHAnsi"/>
          <w:sz w:val="16"/>
          <w:szCs w:val="16"/>
        </w:rPr>
        <w:t>ex 3</w:t>
      </w:r>
      <w:r w:rsidRPr="006C6C80">
        <w:rPr>
          <w:rFonts w:asciiTheme="majorHAnsi" w:hAnsiTheme="majorHAnsi"/>
          <w:sz w:val="16"/>
          <w:szCs w:val="16"/>
        </w:rPr>
        <w:t xml:space="preserve">. Recommendations of the Conciliation Court of February 14, 1996. Annex 5 to the admissibility brief of October 12, 2007 from the petitioners. </w:t>
      </w:r>
    </w:p>
  </w:footnote>
  <w:footnote w:id="11">
    <w:p w:rsidR="0052077C" w:rsidRPr="006C6C80" w:rsidRDefault="0052077C" w:rsidP="00557337">
      <w:pPr>
        <w:pStyle w:val="FootnoteText"/>
        <w:jc w:val="both"/>
        <w:rPr>
          <w:rFonts w:asciiTheme="majorHAnsi" w:hAnsiTheme="majorHAnsi"/>
          <w:sz w:val="16"/>
          <w:szCs w:val="16"/>
        </w:rPr>
      </w:pPr>
      <w:r w:rsidRPr="006C6C80">
        <w:rPr>
          <w:rStyle w:val="FootnoteReference"/>
          <w:rFonts w:asciiTheme="majorHAnsi" w:hAnsiTheme="majorHAnsi"/>
          <w:sz w:val="16"/>
          <w:szCs w:val="16"/>
        </w:rPr>
        <w:footnoteRef/>
      </w:r>
      <w:r w:rsidR="008D4F9F">
        <w:rPr>
          <w:rFonts w:asciiTheme="majorHAnsi" w:hAnsiTheme="majorHAnsi"/>
          <w:sz w:val="16"/>
          <w:szCs w:val="16"/>
        </w:rPr>
        <w:t xml:space="preserve"> Annex 4</w:t>
      </w:r>
      <w:r w:rsidRPr="006C6C80">
        <w:rPr>
          <w:rFonts w:asciiTheme="majorHAnsi" w:hAnsiTheme="majorHAnsi"/>
          <w:sz w:val="16"/>
          <w:szCs w:val="16"/>
        </w:rPr>
        <w:t>. February 16, 1996 Ruling of the First Chamber of the Labor and Social Welfare Appeals Court. Annex to the brief of February 10, 2005 from the petitioners.</w:t>
      </w:r>
    </w:p>
  </w:footnote>
  <w:footnote w:id="12">
    <w:p w:rsidR="0052077C" w:rsidRPr="008D4F9F" w:rsidRDefault="0052077C" w:rsidP="00557337">
      <w:pPr>
        <w:pStyle w:val="FootnoteText"/>
        <w:jc w:val="both"/>
        <w:rPr>
          <w:rFonts w:asciiTheme="majorHAnsi" w:hAnsiTheme="majorHAnsi"/>
          <w:sz w:val="16"/>
          <w:szCs w:val="16"/>
        </w:rPr>
      </w:pPr>
      <w:r w:rsidRPr="008D4F9F">
        <w:rPr>
          <w:rStyle w:val="FootnoteReference"/>
          <w:rFonts w:asciiTheme="majorHAnsi" w:hAnsiTheme="majorHAnsi"/>
          <w:sz w:val="16"/>
          <w:szCs w:val="16"/>
        </w:rPr>
        <w:footnoteRef/>
      </w:r>
      <w:r w:rsidRPr="008D4F9F">
        <w:rPr>
          <w:rFonts w:asciiTheme="majorHAnsi" w:hAnsiTheme="majorHAnsi"/>
          <w:sz w:val="16"/>
          <w:szCs w:val="16"/>
        </w:rPr>
        <w:t xml:space="preserve"> </w:t>
      </w:r>
      <w:r w:rsidR="008D4F9F" w:rsidRPr="008D4F9F">
        <w:rPr>
          <w:rFonts w:asciiTheme="majorHAnsi" w:hAnsiTheme="majorHAnsi"/>
          <w:sz w:val="16"/>
          <w:szCs w:val="16"/>
        </w:rPr>
        <w:t>Annex 4</w:t>
      </w:r>
      <w:r w:rsidRPr="008D4F9F">
        <w:rPr>
          <w:rFonts w:asciiTheme="majorHAnsi" w:hAnsiTheme="majorHAnsi"/>
          <w:sz w:val="16"/>
          <w:szCs w:val="16"/>
        </w:rPr>
        <w:t>. February 16, 1996 Ruling of the First Chamber of the Labor and Social Welfare Appeals Court. Annex 1 to the brief of February 10, 2005 from the petitioners.</w:t>
      </w:r>
    </w:p>
  </w:footnote>
  <w:footnote w:id="13">
    <w:p w:rsidR="0052077C" w:rsidRPr="008D4F9F" w:rsidRDefault="0052077C" w:rsidP="00557337">
      <w:pPr>
        <w:pStyle w:val="FootnoteText"/>
        <w:jc w:val="both"/>
        <w:rPr>
          <w:rFonts w:asciiTheme="majorHAnsi" w:hAnsiTheme="majorHAnsi"/>
          <w:sz w:val="16"/>
          <w:szCs w:val="16"/>
        </w:rPr>
      </w:pPr>
      <w:r w:rsidRPr="008D4F9F">
        <w:rPr>
          <w:rStyle w:val="FootnoteReference"/>
          <w:rFonts w:asciiTheme="majorHAnsi" w:hAnsiTheme="majorHAnsi"/>
          <w:sz w:val="16"/>
          <w:szCs w:val="16"/>
        </w:rPr>
        <w:footnoteRef/>
      </w:r>
      <w:r w:rsidR="008D4F9F" w:rsidRPr="008D4F9F">
        <w:rPr>
          <w:rFonts w:asciiTheme="majorHAnsi" w:hAnsiTheme="majorHAnsi"/>
          <w:sz w:val="16"/>
          <w:szCs w:val="16"/>
        </w:rPr>
        <w:t xml:space="preserve"> Annex 5</w:t>
      </w:r>
      <w:r w:rsidRPr="008D4F9F">
        <w:rPr>
          <w:rFonts w:asciiTheme="majorHAnsi" w:hAnsiTheme="majorHAnsi"/>
          <w:sz w:val="16"/>
          <w:szCs w:val="16"/>
        </w:rPr>
        <w:t>. Background to the strike. Annex 10 to the brief of March 10, 2008 from the petitioners.</w:t>
      </w:r>
    </w:p>
  </w:footnote>
  <w:footnote w:id="14">
    <w:p w:rsidR="0052077C" w:rsidRPr="008D4F9F" w:rsidRDefault="0052077C" w:rsidP="00557337">
      <w:pPr>
        <w:pStyle w:val="FootnoteText"/>
        <w:jc w:val="both"/>
        <w:rPr>
          <w:rFonts w:asciiTheme="majorHAnsi" w:hAnsiTheme="majorHAnsi"/>
          <w:sz w:val="16"/>
          <w:szCs w:val="16"/>
        </w:rPr>
      </w:pPr>
      <w:r w:rsidRPr="008D4F9F">
        <w:rPr>
          <w:rStyle w:val="FootnoteReference"/>
          <w:rFonts w:asciiTheme="majorHAnsi" w:hAnsiTheme="majorHAnsi"/>
          <w:sz w:val="16"/>
          <w:szCs w:val="16"/>
        </w:rPr>
        <w:footnoteRef/>
      </w:r>
      <w:r w:rsidR="008D4F9F" w:rsidRPr="008D4F9F">
        <w:rPr>
          <w:rFonts w:asciiTheme="majorHAnsi" w:hAnsiTheme="majorHAnsi"/>
          <w:sz w:val="16"/>
          <w:szCs w:val="16"/>
        </w:rPr>
        <w:t xml:space="preserve"> Annex 5</w:t>
      </w:r>
      <w:r w:rsidRPr="008D4F9F">
        <w:rPr>
          <w:rFonts w:asciiTheme="majorHAnsi" w:hAnsiTheme="majorHAnsi"/>
          <w:sz w:val="16"/>
          <w:szCs w:val="16"/>
        </w:rPr>
        <w:t>. Background to the strike. Annex 10 to the brief of March 10, 2008 from the petitioners.</w:t>
      </w:r>
    </w:p>
  </w:footnote>
  <w:footnote w:id="15">
    <w:p w:rsidR="0052077C" w:rsidRPr="008D4F9F" w:rsidRDefault="0052077C" w:rsidP="00557337">
      <w:pPr>
        <w:pStyle w:val="FootnoteText"/>
        <w:jc w:val="both"/>
        <w:rPr>
          <w:rFonts w:asciiTheme="majorHAnsi" w:hAnsiTheme="majorHAnsi"/>
          <w:sz w:val="16"/>
          <w:szCs w:val="16"/>
        </w:rPr>
      </w:pPr>
      <w:r w:rsidRPr="008D4F9F">
        <w:rPr>
          <w:rStyle w:val="FootnoteReference"/>
          <w:rFonts w:asciiTheme="majorHAnsi" w:hAnsiTheme="majorHAnsi"/>
          <w:sz w:val="16"/>
          <w:szCs w:val="16"/>
        </w:rPr>
        <w:footnoteRef/>
      </w:r>
      <w:r w:rsidR="008D4F9F" w:rsidRPr="008D4F9F">
        <w:rPr>
          <w:rFonts w:asciiTheme="majorHAnsi" w:hAnsiTheme="majorHAnsi"/>
          <w:sz w:val="16"/>
          <w:szCs w:val="16"/>
        </w:rPr>
        <w:t xml:space="preserve"> Annex 6</w:t>
      </w:r>
      <w:r w:rsidRPr="008D4F9F">
        <w:rPr>
          <w:rFonts w:asciiTheme="majorHAnsi" w:hAnsiTheme="majorHAnsi"/>
          <w:sz w:val="16"/>
          <w:szCs w:val="16"/>
        </w:rPr>
        <w:t>. February 23, 1996 Ruling of the Chamber of the Labor and Social Welfare Appeals Court. Annex 2 to the brief of February 10, 2005 from the petitioners.</w:t>
      </w:r>
    </w:p>
  </w:footnote>
  <w:footnote w:id="16">
    <w:p w:rsidR="0052077C" w:rsidRPr="008D4F9F" w:rsidRDefault="0052077C" w:rsidP="00557337">
      <w:pPr>
        <w:pStyle w:val="FootnoteText"/>
        <w:jc w:val="both"/>
        <w:rPr>
          <w:rFonts w:asciiTheme="majorHAnsi" w:hAnsiTheme="majorHAnsi"/>
          <w:sz w:val="16"/>
          <w:szCs w:val="16"/>
        </w:rPr>
      </w:pPr>
      <w:r w:rsidRPr="008D4F9F">
        <w:rPr>
          <w:rStyle w:val="FootnoteReference"/>
          <w:rFonts w:asciiTheme="majorHAnsi" w:hAnsiTheme="majorHAnsi"/>
          <w:sz w:val="16"/>
          <w:szCs w:val="16"/>
        </w:rPr>
        <w:footnoteRef/>
      </w:r>
      <w:r w:rsidR="008D4F9F" w:rsidRPr="008D4F9F">
        <w:rPr>
          <w:rFonts w:asciiTheme="majorHAnsi" w:hAnsiTheme="majorHAnsi"/>
          <w:sz w:val="16"/>
          <w:szCs w:val="16"/>
        </w:rPr>
        <w:t xml:space="preserve"> Annex 5</w:t>
      </w:r>
      <w:r w:rsidRPr="008D4F9F">
        <w:rPr>
          <w:rFonts w:asciiTheme="majorHAnsi" w:hAnsiTheme="majorHAnsi"/>
          <w:sz w:val="16"/>
          <w:szCs w:val="16"/>
        </w:rPr>
        <w:t>. Background to the strike. Annex 10 to the brief of March 10, 2008 from the petitioners.</w:t>
      </w:r>
    </w:p>
  </w:footnote>
  <w:footnote w:id="17">
    <w:p w:rsidR="0052077C" w:rsidRPr="008D4F9F" w:rsidRDefault="0052077C" w:rsidP="00557337">
      <w:pPr>
        <w:pStyle w:val="FootnoteText"/>
        <w:jc w:val="both"/>
        <w:rPr>
          <w:rFonts w:asciiTheme="majorHAnsi" w:hAnsiTheme="majorHAnsi"/>
          <w:sz w:val="16"/>
          <w:szCs w:val="16"/>
        </w:rPr>
      </w:pPr>
      <w:r w:rsidRPr="008D4F9F">
        <w:rPr>
          <w:rStyle w:val="FootnoteReference"/>
          <w:rFonts w:asciiTheme="majorHAnsi" w:hAnsiTheme="majorHAnsi"/>
          <w:sz w:val="16"/>
          <w:szCs w:val="16"/>
        </w:rPr>
        <w:footnoteRef/>
      </w:r>
      <w:r w:rsidR="008D4F9F" w:rsidRPr="008D4F9F">
        <w:rPr>
          <w:rFonts w:asciiTheme="majorHAnsi" w:hAnsiTheme="majorHAnsi"/>
          <w:sz w:val="16"/>
          <w:szCs w:val="16"/>
        </w:rPr>
        <w:t xml:space="preserve"> Annex 7</w:t>
      </w:r>
      <w:r w:rsidRPr="008D4F9F">
        <w:rPr>
          <w:rFonts w:asciiTheme="majorHAnsi" w:hAnsiTheme="majorHAnsi"/>
          <w:sz w:val="16"/>
          <w:szCs w:val="16"/>
        </w:rPr>
        <w:t>. February 26, 1996 Ruling of the Chamber of the Labor and Social Welfare Appeals Court. Annex 3 to the brief of February 10, 2005 from the petitioners.</w:t>
      </w:r>
    </w:p>
  </w:footnote>
  <w:footnote w:id="18">
    <w:p w:rsidR="0052077C" w:rsidRPr="008D4F9F" w:rsidRDefault="0052077C" w:rsidP="00557337">
      <w:pPr>
        <w:pStyle w:val="FootnoteText"/>
        <w:jc w:val="both"/>
        <w:rPr>
          <w:rFonts w:asciiTheme="majorHAnsi" w:hAnsiTheme="majorHAnsi"/>
          <w:sz w:val="16"/>
          <w:szCs w:val="16"/>
        </w:rPr>
      </w:pPr>
      <w:r w:rsidRPr="008D4F9F">
        <w:rPr>
          <w:rStyle w:val="FootnoteReference"/>
          <w:rFonts w:asciiTheme="majorHAnsi" w:hAnsiTheme="majorHAnsi"/>
          <w:sz w:val="16"/>
          <w:szCs w:val="16"/>
        </w:rPr>
        <w:footnoteRef/>
      </w:r>
      <w:r w:rsidR="008D4F9F" w:rsidRPr="008D4F9F">
        <w:rPr>
          <w:rFonts w:asciiTheme="majorHAnsi" w:hAnsiTheme="majorHAnsi"/>
          <w:sz w:val="16"/>
          <w:szCs w:val="16"/>
        </w:rPr>
        <w:t xml:space="preserve"> Annex 7</w:t>
      </w:r>
      <w:r w:rsidRPr="008D4F9F">
        <w:rPr>
          <w:rFonts w:asciiTheme="majorHAnsi" w:hAnsiTheme="majorHAnsi"/>
          <w:sz w:val="16"/>
          <w:szCs w:val="16"/>
        </w:rPr>
        <w:t>. February 26, 1996 Ruling of the Labor and Social Welfare Appeals Court. Annex 3 to the brief of February 10, 2005 from the petitioners.</w:t>
      </w:r>
    </w:p>
  </w:footnote>
  <w:footnote w:id="19">
    <w:p w:rsidR="0052077C" w:rsidRPr="008D4F9F" w:rsidRDefault="0052077C" w:rsidP="00557337">
      <w:pPr>
        <w:pStyle w:val="FootnoteText"/>
        <w:jc w:val="both"/>
        <w:rPr>
          <w:rFonts w:asciiTheme="majorHAnsi" w:hAnsiTheme="majorHAnsi"/>
          <w:sz w:val="16"/>
          <w:szCs w:val="16"/>
        </w:rPr>
      </w:pPr>
      <w:r w:rsidRPr="008D4F9F">
        <w:rPr>
          <w:rStyle w:val="FootnoteReference"/>
          <w:rFonts w:asciiTheme="majorHAnsi" w:hAnsiTheme="majorHAnsi"/>
          <w:sz w:val="16"/>
          <w:szCs w:val="16"/>
        </w:rPr>
        <w:footnoteRef/>
      </w:r>
      <w:r w:rsidR="008D4F9F" w:rsidRPr="008D4F9F">
        <w:rPr>
          <w:rFonts w:asciiTheme="majorHAnsi" w:hAnsiTheme="majorHAnsi"/>
          <w:sz w:val="16"/>
          <w:szCs w:val="16"/>
        </w:rPr>
        <w:t xml:space="preserve"> Annex 8</w:t>
      </w:r>
      <w:r w:rsidRPr="008D4F9F">
        <w:rPr>
          <w:rFonts w:asciiTheme="majorHAnsi" w:hAnsiTheme="majorHAnsi"/>
          <w:sz w:val="16"/>
          <w:szCs w:val="16"/>
        </w:rPr>
        <w:t xml:space="preserve">. April 2, 1996 Decision of the Constitutional Court. Annex 13 to the brief of March 10, 2008 from the petitioners. </w:t>
      </w:r>
    </w:p>
  </w:footnote>
  <w:footnote w:id="20">
    <w:p w:rsidR="0052077C" w:rsidRPr="008D4F9F" w:rsidRDefault="0052077C" w:rsidP="00557337">
      <w:pPr>
        <w:pStyle w:val="FootnoteText"/>
        <w:jc w:val="both"/>
        <w:rPr>
          <w:rFonts w:asciiTheme="majorHAnsi" w:hAnsiTheme="majorHAnsi"/>
          <w:sz w:val="16"/>
          <w:szCs w:val="16"/>
        </w:rPr>
      </w:pPr>
      <w:r w:rsidRPr="008D4F9F">
        <w:rPr>
          <w:rStyle w:val="FootnoteReference"/>
          <w:rFonts w:asciiTheme="majorHAnsi" w:hAnsiTheme="majorHAnsi"/>
          <w:sz w:val="16"/>
          <w:szCs w:val="16"/>
        </w:rPr>
        <w:footnoteRef/>
      </w:r>
      <w:r w:rsidR="008D4F9F" w:rsidRPr="008D4F9F">
        <w:rPr>
          <w:rFonts w:asciiTheme="majorHAnsi" w:hAnsiTheme="majorHAnsi"/>
          <w:sz w:val="16"/>
          <w:szCs w:val="16"/>
        </w:rPr>
        <w:t xml:space="preserve"> Annex 8</w:t>
      </w:r>
      <w:r w:rsidRPr="008D4F9F">
        <w:rPr>
          <w:rFonts w:asciiTheme="majorHAnsi" w:hAnsiTheme="majorHAnsi"/>
          <w:sz w:val="16"/>
          <w:szCs w:val="16"/>
        </w:rPr>
        <w:t xml:space="preserve">. April 2, 1996 Decision of the Constitutional Court. Annex 13 to the brief of March 10, 2008 from the petitioners. </w:t>
      </w:r>
    </w:p>
  </w:footnote>
  <w:footnote w:id="21">
    <w:p w:rsidR="0052077C" w:rsidRPr="008D4F9F" w:rsidRDefault="0052077C" w:rsidP="00557337">
      <w:pPr>
        <w:pStyle w:val="FootnoteText"/>
        <w:jc w:val="both"/>
        <w:rPr>
          <w:rFonts w:asciiTheme="majorHAnsi" w:hAnsiTheme="majorHAnsi"/>
          <w:sz w:val="16"/>
          <w:szCs w:val="16"/>
        </w:rPr>
      </w:pPr>
      <w:r w:rsidRPr="008D4F9F">
        <w:rPr>
          <w:rStyle w:val="FootnoteReference"/>
          <w:rFonts w:asciiTheme="majorHAnsi" w:hAnsiTheme="majorHAnsi"/>
          <w:sz w:val="16"/>
          <w:szCs w:val="16"/>
        </w:rPr>
        <w:footnoteRef/>
      </w:r>
      <w:r w:rsidR="008D4F9F" w:rsidRPr="008D4F9F">
        <w:rPr>
          <w:rFonts w:asciiTheme="majorHAnsi" w:hAnsiTheme="majorHAnsi"/>
          <w:sz w:val="16"/>
          <w:szCs w:val="16"/>
        </w:rPr>
        <w:t xml:space="preserve"> Annex 8</w:t>
      </w:r>
      <w:r w:rsidRPr="008D4F9F">
        <w:rPr>
          <w:rFonts w:asciiTheme="majorHAnsi" w:hAnsiTheme="majorHAnsi"/>
          <w:sz w:val="16"/>
          <w:szCs w:val="16"/>
        </w:rPr>
        <w:t xml:space="preserve">. April 2, 1996 Decision of the Constitutional Court. Annex 13 to the brief of March 10, 2008 from the petitioners. </w:t>
      </w:r>
    </w:p>
  </w:footnote>
  <w:footnote w:id="22">
    <w:p w:rsidR="0052077C" w:rsidRPr="008D4F9F" w:rsidRDefault="0052077C" w:rsidP="00557337">
      <w:pPr>
        <w:pStyle w:val="FootnoteText"/>
        <w:jc w:val="both"/>
        <w:rPr>
          <w:rFonts w:asciiTheme="majorHAnsi" w:hAnsiTheme="majorHAnsi"/>
          <w:sz w:val="16"/>
          <w:szCs w:val="16"/>
        </w:rPr>
      </w:pPr>
      <w:r w:rsidRPr="008D4F9F">
        <w:rPr>
          <w:rStyle w:val="FootnoteReference"/>
          <w:rFonts w:asciiTheme="majorHAnsi" w:hAnsiTheme="majorHAnsi"/>
          <w:sz w:val="16"/>
          <w:szCs w:val="16"/>
        </w:rPr>
        <w:footnoteRef/>
      </w:r>
      <w:r w:rsidR="008D4F9F" w:rsidRPr="008D4F9F">
        <w:rPr>
          <w:rFonts w:asciiTheme="majorHAnsi" w:hAnsiTheme="majorHAnsi"/>
          <w:sz w:val="16"/>
          <w:szCs w:val="16"/>
        </w:rPr>
        <w:t xml:space="preserve"> </w:t>
      </w:r>
      <w:r w:rsidRPr="008D4F9F">
        <w:rPr>
          <w:rFonts w:asciiTheme="majorHAnsi" w:hAnsiTheme="majorHAnsi"/>
          <w:sz w:val="16"/>
          <w:szCs w:val="16"/>
        </w:rPr>
        <w:t>Brief</w:t>
      </w:r>
      <w:r w:rsidR="008D4F9F" w:rsidRPr="008D4F9F">
        <w:rPr>
          <w:rFonts w:asciiTheme="majorHAnsi" w:hAnsiTheme="majorHAnsi"/>
          <w:sz w:val="16"/>
          <w:szCs w:val="16"/>
        </w:rPr>
        <w:t xml:space="preserve"> of December 11, 2007 from the S</w:t>
      </w:r>
      <w:r w:rsidRPr="008D4F9F">
        <w:rPr>
          <w:rFonts w:asciiTheme="majorHAnsi" w:hAnsiTheme="majorHAnsi"/>
          <w:sz w:val="16"/>
          <w:szCs w:val="16"/>
        </w:rPr>
        <w:t xml:space="preserve">tate. </w:t>
      </w:r>
    </w:p>
  </w:footnote>
  <w:footnote w:id="23">
    <w:p w:rsidR="0052077C" w:rsidRPr="006C6C80" w:rsidRDefault="0052077C" w:rsidP="00557337">
      <w:pPr>
        <w:pStyle w:val="FootnoteText"/>
        <w:jc w:val="both"/>
        <w:rPr>
          <w:rFonts w:asciiTheme="majorHAnsi" w:hAnsiTheme="majorHAnsi"/>
          <w:sz w:val="16"/>
          <w:szCs w:val="16"/>
        </w:rPr>
      </w:pPr>
      <w:r w:rsidRPr="008D4F9F">
        <w:rPr>
          <w:rStyle w:val="FootnoteReference"/>
          <w:rFonts w:asciiTheme="majorHAnsi" w:hAnsiTheme="majorHAnsi"/>
          <w:sz w:val="16"/>
          <w:szCs w:val="16"/>
        </w:rPr>
        <w:footnoteRef/>
      </w:r>
      <w:r w:rsidR="008D4F9F" w:rsidRPr="008D4F9F">
        <w:rPr>
          <w:rFonts w:asciiTheme="majorHAnsi" w:hAnsiTheme="majorHAnsi"/>
          <w:sz w:val="16"/>
          <w:szCs w:val="16"/>
        </w:rPr>
        <w:t xml:space="preserve"> </w:t>
      </w:r>
      <w:r w:rsidRPr="008D4F9F">
        <w:rPr>
          <w:rFonts w:asciiTheme="majorHAnsi" w:hAnsiTheme="majorHAnsi"/>
          <w:sz w:val="16"/>
          <w:szCs w:val="16"/>
        </w:rPr>
        <w:t>Brief of March 10, 2008 from the petitioners, p. 14.</w:t>
      </w:r>
      <w:r w:rsidRPr="006C6C80">
        <w:rPr>
          <w:rFonts w:asciiTheme="majorHAnsi" w:hAnsiTheme="majorHAnsi"/>
          <w:sz w:val="16"/>
          <w:szCs w:val="16"/>
        </w:rPr>
        <w:t xml:space="preserve"> </w:t>
      </w:r>
    </w:p>
  </w:footnote>
  <w:footnote w:id="24">
    <w:p w:rsidR="0052077C" w:rsidRPr="006C6C80" w:rsidRDefault="0052077C" w:rsidP="00557337">
      <w:pPr>
        <w:pStyle w:val="FootnoteText"/>
        <w:jc w:val="both"/>
        <w:rPr>
          <w:rFonts w:asciiTheme="majorHAnsi" w:hAnsiTheme="majorHAnsi"/>
          <w:sz w:val="16"/>
          <w:szCs w:val="16"/>
        </w:rPr>
      </w:pPr>
      <w:r w:rsidRPr="006C6C80">
        <w:rPr>
          <w:rStyle w:val="FootnoteReference"/>
          <w:rFonts w:asciiTheme="majorHAnsi" w:hAnsiTheme="majorHAnsi"/>
          <w:sz w:val="16"/>
          <w:szCs w:val="16"/>
        </w:rPr>
        <w:footnoteRef/>
      </w:r>
      <w:r w:rsidR="008D4F9F">
        <w:rPr>
          <w:rFonts w:asciiTheme="majorHAnsi" w:hAnsiTheme="majorHAnsi"/>
          <w:sz w:val="16"/>
          <w:szCs w:val="16"/>
        </w:rPr>
        <w:t xml:space="preserve"> Annex 9</w:t>
      </w:r>
      <w:r w:rsidRPr="006C6C80">
        <w:rPr>
          <w:rFonts w:asciiTheme="majorHAnsi" w:hAnsiTheme="majorHAnsi"/>
          <w:sz w:val="16"/>
          <w:szCs w:val="16"/>
        </w:rPr>
        <w:t>. April 2, 1996 ruling of the Civil Chamber of the Supreme Court of Justice (CSJ). Annex 6 to the brief of February 1, 2002 from the petitioners.</w:t>
      </w:r>
    </w:p>
  </w:footnote>
  <w:footnote w:id="25">
    <w:p w:rsidR="0052077C" w:rsidRPr="006C6C80" w:rsidRDefault="0052077C" w:rsidP="00557337">
      <w:pPr>
        <w:pStyle w:val="FootnoteText"/>
        <w:jc w:val="both"/>
        <w:rPr>
          <w:rFonts w:asciiTheme="majorHAnsi" w:hAnsiTheme="majorHAnsi"/>
          <w:sz w:val="16"/>
          <w:szCs w:val="16"/>
        </w:rPr>
      </w:pPr>
      <w:r w:rsidRPr="006C6C80">
        <w:rPr>
          <w:rStyle w:val="FootnoteReference"/>
          <w:rFonts w:asciiTheme="majorHAnsi" w:hAnsiTheme="majorHAnsi"/>
          <w:sz w:val="16"/>
          <w:szCs w:val="16"/>
        </w:rPr>
        <w:footnoteRef/>
      </w:r>
      <w:r w:rsidR="008D4F9F">
        <w:rPr>
          <w:rFonts w:asciiTheme="majorHAnsi" w:hAnsiTheme="majorHAnsi"/>
          <w:sz w:val="16"/>
          <w:szCs w:val="16"/>
        </w:rPr>
        <w:t xml:space="preserve"> Annex 5</w:t>
      </w:r>
      <w:r w:rsidRPr="006C6C80">
        <w:rPr>
          <w:rFonts w:asciiTheme="majorHAnsi" w:hAnsiTheme="majorHAnsi"/>
          <w:sz w:val="16"/>
          <w:szCs w:val="16"/>
        </w:rPr>
        <w:t>. Background to the strike. Annex 10 to the brief of March 10, 2008 from the petitioners.</w:t>
      </w:r>
    </w:p>
  </w:footnote>
  <w:footnote w:id="26">
    <w:p w:rsidR="0052077C" w:rsidRPr="006C6C80" w:rsidRDefault="0052077C" w:rsidP="00557337">
      <w:pPr>
        <w:pStyle w:val="FootnoteText"/>
        <w:jc w:val="both"/>
        <w:rPr>
          <w:rFonts w:asciiTheme="majorHAnsi" w:hAnsiTheme="majorHAnsi"/>
          <w:sz w:val="16"/>
          <w:szCs w:val="16"/>
        </w:rPr>
      </w:pPr>
      <w:r w:rsidRPr="006C6C80">
        <w:rPr>
          <w:rStyle w:val="FootnoteReference"/>
          <w:rFonts w:asciiTheme="majorHAnsi" w:hAnsiTheme="majorHAnsi"/>
          <w:sz w:val="16"/>
          <w:szCs w:val="16"/>
        </w:rPr>
        <w:footnoteRef/>
      </w:r>
      <w:r w:rsidR="008D4F9F">
        <w:rPr>
          <w:rFonts w:asciiTheme="majorHAnsi" w:hAnsiTheme="majorHAnsi"/>
          <w:sz w:val="16"/>
          <w:szCs w:val="16"/>
        </w:rPr>
        <w:t xml:space="preserve"> Annex 10</w:t>
      </w:r>
      <w:r w:rsidRPr="006C6C80">
        <w:rPr>
          <w:rFonts w:asciiTheme="majorHAnsi" w:hAnsiTheme="majorHAnsi"/>
          <w:sz w:val="16"/>
          <w:szCs w:val="16"/>
        </w:rPr>
        <w:t>. May 13, 1996 Ruling of the First Chamber of the Labor and Social Welfare Appeals Court. Annex 7 to the brief of November 28, 2000 from the petitioners.</w:t>
      </w:r>
    </w:p>
  </w:footnote>
  <w:footnote w:id="27">
    <w:p w:rsidR="0052077C" w:rsidRPr="006C6C80" w:rsidRDefault="0052077C" w:rsidP="00557337">
      <w:pPr>
        <w:pStyle w:val="FootnoteText"/>
        <w:jc w:val="both"/>
        <w:rPr>
          <w:rFonts w:asciiTheme="majorHAnsi" w:hAnsiTheme="majorHAnsi"/>
          <w:sz w:val="16"/>
          <w:szCs w:val="16"/>
        </w:rPr>
      </w:pPr>
      <w:r w:rsidRPr="006C6C80">
        <w:rPr>
          <w:rStyle w:val="FootnoteReference"/>
          <w:rFonts w:asciiTheme="majorHAnsi" w:hAnsiTheme="majorHAnsi"/>
          <w:sz w:val="16"/>
          <w:szCs w:val="16"/>
        </w:rPr>
        <w:footnoteRef/>
      </w:r>
      <w:r w:rsidR="008D4F9F">
        <w:rPr>
          <w:rFonts w:asciiTheme="majorHAnsi" w:hAnsiTheme="majorHAnsi"/>
          <w:sz w:val="16"/>
          <w:szCs w:val="16"/>
        </w:rPr>
        <w:t xml:space="preserve"> Annex 10</w:t>
      </w:r>
      <w:r w:rsidRPr="006C6C80">
        <w:rPr>
          <w:rFonts w:asciiTheme="majorHAnsi" w:hAnsiTheme="majorHAnsi"/>
          <w:sz w:val="16"/>
          <w:szCs w:val="16"/>
        </w:rPr>
        <w:t>. May 13, 1996 Ruling of the First Chamber of the Labor and Social Welfare Appeals Court. Annex 7 to the brief of November 28, 2000 from the petitioners.</w:t>
      </w:r>
    </w:p>
  </w:footnote>
  <w:footnote w:id="28">
    <w:p w:rsidR="0052077C" w:rsidRPr="006C6C80" w:rsidRDefault="0052077C" w:rsidP="00557337">
      <w:pPr>
        <w:pStyle w:val="FootnoteText"/>
        <w:jc w:val="both"/>
        <w:rPr>
          <w:rFonts w:asciiTheme="majorHAnsi" w:hAnsiTheme="majorHAnsi"/>
          <w:sz w:val="16"/>
          <w:szCs w:val="16"/>
        </w:rPr>
      </w:pPr>
      <w:r w:rsidRPr="006C6C80">
        <w:rPr>
          <w:rStyle w:val="FootnoteReference"/>
          <w:rFonts w:asciiTheme="majorHAnsi" w:hAnsiTheme="majorHAnsi"/>
          <w:sz w:val="16"/>
          <w:szCs w:val="16"/>
        </w:rPr>
        <w:footnoteRef/>
      </w:r>
      <w:r w:rsidR="008D4F9F">
        <w:rPr>
          <w:rFonts w:asciiTheme="majorHAnsi" w:hAnsiTheme="majorHAnsi"/>
          <w:sz w:val="16"/>
          <w:szCs w:val="16"/>
        </w:rPr>
        <w:t xml:space="preserve"> As it appears in Annex 11</w:t>
      </w:r>
      <w:r w:rsidRPr="006C6C80">
        <w:rPr>
          <w:rFonts w:asciiTheme="majorHAnsi" w:hAnsiTheme="majorHAnsi"/>
          <w:sz w:val="16"/>
          <w:szCs w:val="16"/>
        </w:rPr>
        <w:t xml:space="preserve">. February 18, 1997 Ruling of the Supreme Court of Justice, Chamber of </w:t>
      </w:r>
      <w:r>
        <w:rPr>
          <w:rFonts w:asciiTheme="majorHAnsi" w:hAnsiTheme="majorHAnsi"/>
          <w:sz w:val="16"/>
          <w:szCs w:val="16"/>
        </w:rPr>
        <w:t>Amparo</w:t>
      </w:r>
      <w:r w:rsidRPr="006C6C80">
        <w:rPr>
          <w:rFonts w:asciiTheme="majorHAnsi" w:hAnsiTheme="majorHAnsi"/>
          <w:sz w:val="16"/>
          <w:szCs w:val="16"/>
        </w:rPr>
        <w:t xml:space="preserve"> Appeals and Preliminary Trials. Annex 8 to the admissibility brief of November 28, 2000 from the petitioners.</w:t>
      </w:r>
    </w:p>
  </w:footnote>
  <w:footnote w:id="29">
    <w:p w:rsidR="0052077C" w:rsidRPr="006C6C80" w:rsidRDefault="0052077C" w:rsidP="00557337">
      <w:pPr>
        <w:pStyle w:val="FootnoteText"/>
        <w:jc w:val="both"/>
        <w:rPr>
          <w:rFonts w:asciiTheme="majorHAnsi" w:hAnsiTheme="majorHAnsi"/>
          <w:sz w:val="16"/>
          <w:szCs w:val="16"/>
        </w:rPr>
      </w:pPr>
      <w:r w:rsidRPr="006C6C80">
        <w:rPr>
          <w:rStyle w:val="FootnoteReference"/>
          <w:rFonts w:asciiTheme="majorHAnsi" w:hAnsiTheme="majorHAnsi"/>
          <w:sz w:val="16"/>
          <w:szCs w:val="16"/>
        </w:rPr>
        <w:footnoteRef/>
      </w:r>
      <w:r w:rsidR="008D4F9F">
        <w:rPr>
          <w:rFonts w:asciiTheme="majorHAnsi" w:hAnsiTheme="majorHAnsi"/>
          <w:sz w:val="16"/>
          <w:szCs w:val="16"/>
        </w:rPr>
        <w:t xml:space="preserve"> Annex 11</w:t>
      </w:r>
      <w:r w:rsidRPr="006C6C80">
        <w:rPr>
          <w:rFonts w:asciiTheme="majorHAnsi" w:hAnsiTheme="majorHAnsi"/>
          <w:sz w:val="16"/>
          <w:szCs w:val="16"/>
        </w:rPr>
        <w:t>. February 18, 1997 Ruling of the Suprem</w:t>
      </w:r>
      <w:r>
        <w:rPr>
          <w:rFonts w:asciiTheme="majorHAnsi" w:hAnsiTheme="majorHAnsi"/>
          <w:sz w:val="16"/>
          <w:szCs w:val="16"/>
        </w:rPr>
        <w:t>e Court of Justice, Chamber of Amparo</w:t>
      </w:r>
      <w:r w:rsidRPr="006C6C80">
        <w:rPr>
          <w:rFonts w:asciiTheme="majorHAnsi" w:hAnsiTheme="majorHAnsi"/>
          <w:sz w:val="16"/>
          <w:szCs w:val="16"/>
        </w:rPr>
        <w:t xml:space="preserve"> Appeals and Preliminary Trials. Annex 8 to the brief of November 28, 2000 from the petitioners.</w:t>
      </w:r>
    </w:p>
  </w:footnote>
  <w:footnote w:id="30">
    <w:p w:rsidR="0052077C" w:rsidRPr="006C6C80" w:rsidRDefault="0052077C" w:rsidP="00557337">
      <w:pPr>
        <w:pStyle w:val="FootnoteText"/>
        <w:jc w:val="both"/>
        <w:rPr>
          <w:rFonts w:asciiTheme="majorHAnsi" w:hAnsiTheme="majorHAnsi"/>
          <w:sz w:val="16"/>
          <w:szCs w:val="16"/>
        </w:rPr>
      </w:pPr>
      <w:r w:rsidRPr="006C6C80">
        <w:rPr>
          <w:rStyle w:val="FootnoteReference"/>
          <w:rFonts w:asciiTheme="majorHAnsi" w:hAnsiTheme="majorHAnsi"/>
          <w:sz w:val="16"/>
          <w:szCs w:val="16"/>
        </w:rPr>
        <w:footnoteRef/>
      </w:r>
      <w:r w:rsidR="008D4F9F">
        <w:rPr>
          <w:rFonts w:asciiTheme="majorHAnsi" w:hAnsiTheme="majorHAnsi"/>
          <w:sz w:val="16"/>
          <w:szCs w:val="16"/>
        </w:rPr>
        <w:t xml:space="preserve"> Annex 12</w:t>
      </w:r>
      <w:r w:rsidRPr="006C6C80">
        <w:rPr>
          <w:rFonts w:asciiTheme="majorHAnsi" w:hAnsiTheme="majorHAnsi"/>
          <w:sz w:val="16"/>
          <w:szCs w:val="16"/>
        </w:rPr>
        <w:t xml:space="preserve">. June 19, 1997 Ruling of the </w:t>
      </w:r>
      <w:r>
        <w:rPr>
          <w:rFonts w:asciiTheme="majorHAnsi" w:hAnsiTheme="majorHAnsi"/>
          <w:sz w:val="16"/>
          <w:szCs w:val="16"/>
        </w:rPr>
        <w:t>Constitutional Court</w:t>
      </w:r>
      <w:r w:rsidRPr="006C6C80">
        <w:rPr>
          <w:rFonts w:asciiTheme="majorHAnsi" w:hAnsiTheme="majorHAnsi"/>
          <w:sz w:val="16"/>
          <w:szCs w:val="16"/>
        </w:rPr>
        <w:t>. Annex 9 to the brief of November 28, 2000 from the petitioners.</w:t>
      </w:r>
    </w:p>
  </w:footnote>
  <w:footnote w:id="31">
    <w:p w:rsidR="0052077C" w:rsidRPr="006C6C80" w:rsidRDefault="0052077C" w:rsidP="00557337">
      <w:pPr>
        <w:pStyle w:val="FootnoteText"/>
        <w:jc w:val="both"/>
        <w:rPr>
          <w:rFonts w:asciiTheme="majorHAnsi" w:hAnsiTheme="majorHAnsi"/>
          <w:sz w:val="16"/>
          <w:szCs w:val="16"/>
        </w:rPr>
      </w:pPr>
      <w:r w:rsidRPr="006C6C80">
        <w:rPr>
          <w:rStyle w:val="FootnoteReference"/>
          <w:rFonts w:asciiTheme="majorHAnsi" w:hAnsiTheme="majorHAnsi"/>
          <w:sz w:val="16"/>
          <w:szCs w:val="16"/>
        </w:rPr>
        <w:footnoteRef/>
      </w:r>
      <w:r w:rsidR="008D4F9F">
        <w:rPr>
          <w:rFonts w:asciiTheme="majorHAnsi" w:hAnsiTheme="majorHAnsi"/>
          <w:sz w:val="16"/>
          <w:szCs w:val="16"/>
        </w:rPr>
        <w:t xml:space="preserve"> Annex 13</w:t>
      </w:r>
      <w:r w:rsidRPr="006C6C80">
        <w:rPr>
          <w:rFonts w:asciiTheme="majorHAnsi" w:hAnsiTheme="majorHAnsi"/>
          <w:sz w:val="16"/>
          <w:szCs w:val="16"/>
        </w:rPr>
        <w:t>. Judgment of the CSJ implementing the dismissals. Annex 15 to the updated initial petition of November 28, 2000.</w:t>
      </w:r>
    </w:p>
  </w:footnote>
  <w:footnote w:id="32">
    <w:p w:rsidR="0052077C" w:rsidRPr="006C6C80" w:rsidRDefault="0052077C" w:rsidP="00557337">
      <w:pPr>
        <w:pStyle w:val="FootnoteText"/>
        <w:jc w:val="both"/>
        <w:rPr>
          <w:rFonts w:asciiTheme="majorHAnsi" w:hAnsiTheme="majorHAnsi"/>
          <w:sz w:val="16"/>
          <w:szCs w:val="16"/>
        </w:rPr>
      </w:pPr>
      <w:r w:rsidRPr="006C6C80">
        <w:rPr>
          <w:rStyle w:val="FootnoteReference"/>
          <w:rFonts w:asciiTheme="majorHAnsi" w:hAnsiTheme="majorHAnsi"/>
          <w:sz w:val="16"/>
          <w:szCs w:val="16"/>
        </w:rPr>
        <w:footnoteRef/>
      </w:r>
      <w:r w:rsidR="008D4F9F">
        <w:rPr>
          <w:rFonts w:asciiTheme="majorHAnsi" w:hAnsiTheme="majorHAnsi"/>
          <w:sz w:val="16"/>
          <w:szCs w:val="16"/>
        </w:rPr>
        <w:t xml:space="preserve"> Annex 14</w:t>
      </w:r>
      <w:r w:rsidRPr="006C6C80">
        <w:rPr>
          <w:rFonts w:asciiTheme="majorHAnsi" w:hAnsiTheme="majorHAnsi"/>
          <w:sz w:val="16"/>
          <w:szCs w:val="16"/>
        </w:rPr>
        <w:t xml:space="preserve">. July 8, 1999 Ruling on the Constitutional Appeal by the </w:t>
      </w:r>
      <w:r>
        <w:rPr>
          <w:rFonts w:asciiTheme="majorHAnsi" w:hAnsiTheme="majorHAnsi"/>
          <w:sz w:val="16"/>
          <w:szCs w:val="16"/>
        </w:rPr>
        <w:t>Constitutional Court</w:t>
      </w:r>
      <w:r w:rsidRPr="006C6C80">
        <w:rPr>
          <w:rFonts w:asciiTheme="majorHAnsi" w:hAnsiTheme="majorHAnsi"/>
          <w:sz w:val="16"/>
          <w:szCs w:val="16"/>
        </w:rPr>
        <w:t>. Annex 16 to the updated initial petition of November 28, 2000.</w:t>
      </w:r>
    </w:p>
  </w:footnote>
  <w:footnote w:id="33">
    <w:p w:rsidR="0052077C" w:rsidRPr="006C6C80" w:rsidRDefault="0052077C" w:rsidP="00557337">
      <w:pPr>
        <w:pStyle w:val="FootnoteText"/>
        <w:jc w:val="both"/>
        <w:rPr>
          <w:rFonts w:asciiTheme="majorHAnsi" w:hAnsiTheme="majorHAnsi"/>
          <w:sz w:val="16"/>
          <w:szCs w:val="16"/>
        </w:rPr>
      </w:pPr>
      <w:r w:rsidRPr="006C6C80">
        <w:rPr>
          <w:rStyle w:val="FootnoteReference"/>
          <w:rFonts w:asciiTheme="majorHAnsi" w:hAnsiTheme="majorHAnsi"/>
          <w:sz w:val="16"/>
          <w:szCs w:val="16"/>
        </w:rPr>
        <w:footnoteRef/>
      </w:r>
      <w:r w:rsidR="008D4F9F">
        <w:rPr>
          <w:rFonts w:asciiTheme="majorHAnsi" w:hAnsiTheme="majorHAnsi"/>
          <w:sz w:val="16"/>
          <w:szCs w:val="16"/>
        </w:rPr>
        <w:t xml:space="preserve"> Annex 13</w:t>
      </w:r>
      <w:r w:rsidRPr="006C6C80">
        <w:rPr>
          <w:rFonts w:asciiTheme="majorHAnsi" w:hAnsiTheme="majorHAnsi"/>
          <w:sz w:val="16"/>
          <w:szCs w:val="16"/>
        </w:rPr>
        <w:t>. Judgment of the CSJ implementing the dismissals. Annex 15 to the updated initial petition of November 28, 2000.</w:t>
      </w:r>
    </w:p>
  </w:footnote>
  <w:footnote w:id="34">
    <w:p w:rsidR="0052077C" w:rsidRPr="006C6C80" w:rsidRDefault="0052077C" w:rsidP="00557337">
      <w:pPr>
        <w:pStyle w:val="FootnoteText"/>
        <w:jc w:val="both"/>
        <w:rPr>
          <w:rFonts w:asciiTheme="majorHAnsi" w:hAnsiTheme="majorHAnsi"/>
          <w:sz w:val="16"/>
          <w:szCs w:val="16"/>
        </w:rPr>
      </w:pPr>
      <w:r w:rsidRPr="006C6C80">
        <w:rPr>
          <w:rStyle w:val="FootnoteReference"/>
          <w:rFonts w:asciiTheme="majorHAnsi" w:hAnsiTheme="majorHAnsi"/>
          <w:sz w:val="16"/>
          <w:szCs w:val="16"/>
        </w:rPr>
        <w:footnoteRef/>
      </w:r>
      <w:r w:rsidR="008D4F9F">
        <w:rPr>
          <w:rFonts w:asciiTheme="majorHAnsi" w:hAnsiTheme="majorHAnsi"/>
          <w:sz w:val="16"/>
          <w:szCs w:val="16"/>
        </w:rPr>
        <w:t xml:space="preserve"> Annex 13</w:t>
      </w:r>
      <w:r w:rsidRPr="006C6C80">
        <w:rPr>
          <w:rFonts w:asciiTheme="majorHAnsi" w:hAnsiTheme="majorHAnsi"/>
          <w:sz w:val="16"/>
          <w:szCs w:val="16"/>
        </w:rPr>
        <w:t>. Judgment of the CSJ implementing the dismissals. Annex 15 to the updated initial petition of November 28, 2000.</w:t>
      </w:r>
    </w:p>
  </w:footnote>
  <w:footnote w:id="35">
    <w:p w:rsidR="0052077C" w:rsidRPr="00B0202B" w:rsidRDefault="0052077C" w:rsidP="00557337">
      <w:pPr>
        <w:jc w:val="both"/>
        <w:rPr>
          <w:rFonts w:ascii="Cambria" w:hAnsi="Cambria"/>
          <w:sz w:val="16"/>
          <w:szCs w:val="16"/>
          <w:lang w:val="es-US"/>
        </w:rPr>
      </w:pPr>
      <w:r w:rsidRPr="006C6C80">
        <w:rPr>
          <w:rStyle w:val="FootnoteReference"/>
          <w:rFonts w:ascii="Cambria" w:hAnsi="Cambria"/>
          <w:sz w:val="16"/>
          <w:szCs w:val="16"/>
        </w:rPr>
        <w:footnoteRef/>
      </w:r>
      <w:proofErr w:type="spellStart"/>
      <w:r w:rsidRPr="00B0202B">
        <w:rPr>
          <w:rFonts w:ascii="Cambria" w:hAnsi="Cambria"/>
          <w:sz w:val="16"/>
          <w:szCs w:val="16"/>
          <w:lang w:val="es-US"/>
        </w:rPr>
        <w:t>Ajquejay</w:t>
      </w:r>
      <w:proofErr w:type="spellEnd"/>
      <w:r w:rsidRPr="00B0202B">
        <w:rPr>
          <w:rFonts w:ascii="Cambria" w:hAnsi="Cambria"/>
          <w:sz w:val="16"/>
          <w:szCs w:val="16"/>
          <w:lang w:val="es-US"/>
        </w:rPr>
        <w:t xml:space="preserve"> </w:t>
      </w:r>
      <w:proofErr w:type="spellStart"/>
      <w:r w:rsidRPr="00B0202B">
        <w:rPr>
          <w:rFonts w:ascii="Cambria" w:hAnsi="Cambria"/>
          <w:sz w:val="16"/>
          <w:szCs w:val="16"/>
          <w:lang w:val="es-US"/>
        </w:rPr>
        <w:t>Xec</w:t>
      </w:r>
      <w:proofErr w:type="spellEnd"/>
      <w:r w:rsidRPr="00B0202B">
        <w:rPr>
          <w:rFonts w:ascii="Cambria" w:hAnsi="Cambria"/>
          <w:sz w:val="16"/>
          <w:szCs w:val="16"/>
          <w:lang w:val="es-US"/>
        </w:rPr>
        <w:t xml:space="preserve"> Rafael, Arias Carlos Enrique, Arriola Conde Luis René, </w:t>
      </w:r>
      <w:proofErr w:type="spellStart"/>
      <w:r w:rsidRPr="00B0202B">
        <w:rPr>
          <w:rFonts w:ascii="Cambria" w:hAnsi="Cambria"/>
          <w:sz w:val="16"/>
          <w:szCs w:val="16"/>
          <w:lang w:val="es-US"/>
        </w:rPr>
        <w:t>Caxaj</w:t>
      </w:r>
      <w:proofErr w:type="spellEnd"/>
      <w:r w:rsidRPr="00B0202B">
        <w:rPr>
          <w:rFonts w:ascii="Cambria" w:hAnsi="Cambria"/>
          <w:sz w:val="16"/>
          <w:szCs w:val="16"/>
          <w:lang w:val="es-US"/>
        </w:rPr>
        <w:t xml:space="preserve"> </w:t>
      </w:r>
      <w:proofErr w:type="spellStart"/>
      <w:r w:rsidRPr="00B0202B">
        <w:rPr>
          <w:rFonts w:ascii="Cambria" w:hAnsi="Cambria"/>
          <w:sz w:val="16"/>
          <w:szCs w:val="16"/>
          <w:lang w:val="es-US"/>
        </w:rPr>
        <w:t>Turnil</w:t>
      </w:r>
      <w:proofErr w:type="spellEnd"/>
      <w:r w:rsidRPr="00B0202B">
        <w:rPr>
          <w:rFonts w:ascii="Cambria" w:hAnsi="Cambria"/>
          <w:sz w:val="16"/>
          <w:szCs w:val="16"/>
          <w:lang w:val="es-US"/>
        </w:rPr>
        <w:t xml:space="preserve"> Mario Juan Humberto, </w:t>
      </w:r>
      <w:proofErr w:type="spellStart"/>
      <w:r w:rsidRPr="00B0202B">
        <w:rPr>
          <w:rFonts w:ascii="Cambria" w:hAnsi="Cambria"/>
          <w:sz w:val="16"/>
          <w:szCs w:val="16"/>
          <w:lang w:val="es-US"/>
        </w:rPr>
        <w:t>Ejacalon</w:t>
      </w:r>
      <w:proofErr w:type="spellEnd"/>
      <w:r w:rsidRPr="00B0202B">
        <w:rPr>
          <w:rFonts w:ascii="Cambria" w:hAnsi="Cambria"/>
          <w:sz w:val="16"/>
          <w:szCs w:val="16"/>
          <w:lang w:val="es-US"/>
        </w:rPr>
        <w:t xml:space="preserve"> </w:t>
      </w:r>
      <w:proofErr w:type="spellStart"/>
      <w:r w:rsidRPr="00B0202B">
        <w:rPr>
          <w:rFonts w:ascii="Cambria" w:hAnsi="Cambria"/>
          <w:sz w:val="16"/>
          <w:szCs w:val="16"/>
          <w:lang w:val="es-US"/>
        </w:rPr>
        <w:t>Majzul</w:t>
      </w:r>
      <w:proofErr w:type="spellEnd"/>
      <w:r w:rsidRPr="00B0202B">
        <w:rPr>
          <w:rFonts w:ascii="Cambria" w:hAnsi="Cambria"/>
          <w:sz w:val="16"/>
          <w:szCs w:val="16"/>
          <w:lang w:val="es-US"/>
        </w:rPr>
        <w:t xml:space="preserve"> </w:t>
      </w:r>
      <w:proofErr w:type="spellStart"/>
      <w:r w:rsidRPr="00B0202B">
        <w:rPr>
          <w:rFonts w:ascii="Cambria" w:hAnsi="Cambria"/>
          <w:sz w:val="16"/>
          <w:szCs w:val="16"/>
          <w:lang w:val="es-US"/>
        </w:rPr>
        <w:t>Irrael</w:t>
      </w:r>
      <w:proofErr w:type="spellEnd"/>
      <w:r w:rsidRPr="00B0202B">
        <w:rPr>
          <w:rFonts w:ascii="Cambria" w:hAnsi="Cambria"/>
          <w:sz w:val="16"/>
          <w:szCs w:val="16"/>
          <w:lang w:val="es-US"/>
        </w:rPr>
        <w:t xml:space="preserve">, </w:t>
      </w:r>
      <w:proofErr w:type="spellStart"/>
      <w:r w:rsidRPr="00B0202B">
        <w:rPr>
          <w:rFonts w:ascii="Cambria" w:hAnsi="Cambria"/>
          <w:sz w:val="16"/>
          <w:szCs w:val="16"/>
          <w:lang w:val="es-US"/>
        </w:rPr>
        <w:t>Illescas</w:t>
      </w:r>
      <w:proofErr w:type="spellEnd"/>
      <w:r w:rsidRPr="00B0202B">
        <w:rPr>
          <w:rFonts w:ascii="Cambria" w:hAnsi="Cambria"/>
          <w:sz w:val="16"/>
          <w:szCs w:val="16"/>
          <w:lang w:val="es-US"/>
        </w:rPr>
        <w:t xml:space="preserve"> García de Suarez Rosa Nelly, Leonardo Carlos Antonio. Leonardo Oscar Moisés, López Arias, Edgar Arturo, López Girón Sandra </w:t>
      </w:r>
      <w:proofErr w:type="spellStart"/>
      <w:r w:rsidRPr="00B0202B">
        <w:rPr>
          <w:rFonts w:ascii="Cambria" w:hAnsi="Cambria"/>
          <w:sz w:val="16"/>
          <w:szCs w:val="16"/>
          <w:lang w:val="es-US"/>
        </w:rPr>
        <w:t>Nineth</w:t>
      </w:r>
      <w:proofErr w:type="spellEnd"/>
      <w:r w:rsidRPr="00B0202B">
        <w:rPr>
          <w:rFonts w:ascii="Cambria" w:hAnsi="Cambria"/>
          <w:sz w:val="16"/>
          <w:szCs w:val="16"/>
          <w:lang w:val="es-US"/>
        </w:rPr>
        <w:t xml:space="preserve">, Méndez Rodas Rolando Efraín, Morales Matías Edgar Romeo, Moya Ruiz Gloria Marina, Ortiz Domínguez, Edna Araceli, Portillo Dora Carolina, Quevedo Quezada De Marroquín Evelin </w:t>
      </w:r>
      <w:proofErr w:type="spellStart"/>
      <w:r w:rsidRPr="00B0202B">
        <w:rPr>
          <w:rFonts w:ascii="Cambria" w:hAnsi="Cambria"/>
          <w:sz w:val="16"/>
          <w:szCs w:val="16"/>
          <w:lang w:val="es-US"/>
        </w:rPr>
        <w:t>Marleny</w:t>
      </w:r>
      <w:proofErr w:type="spellEnd"/>
      <w:r w:rsidRPr="00B0202B">
        <w:rPr>
          <w:rFonts w:ascii="Cambria" w:hAnsi="Cambria"/>
          <w:sz w:val="16"/>
          <w:szCs w:val="16"/>
          <w:lang w:val="es-US"/>
        </w:rPr>
        <w:t>, Reyes Martínez María Victoria, and Soto Godoy Sergio Eduardo.</w:t>
      </w:r>
    </w:p>
  </w:footnote>
  <w:footnote w:id="36">
    <w:p w:rsidR="0052077C" w:rsidRPr="006C6C80" w:rsidRDefault="0052077C" w:rsidP="00557337">
      <w:pPr>
        <w:pStyle w:val="FootnoteText"/>
        <w:jc w:val="both"/>
        <w:rPr>
          <w:rFonts w:ascii="Cambria" w:hAnsi="Cambria"/>
          <w:sz w:val="16"/>
          <w:szCs w:val="16"/>
        </w:rPr>
      </w:pPr>
      <w:r w:rsidRPr="006C6C80">
        <w:rPr>
          <w:rStyle w:val="FootnoteReference"/>
          <w:rFonts w:ascii="Cambria" w:hAnsi="Cambria"/>
          <w:sz w:val="16"/>
          <w:szCs w:val="16"/>
        </w:rPr>
        <w:footnoteRef/>
      </w:r>
      <w:r w:rsidR="008D4F9F">
        <w:rPr>
          <w:rFonts w:ascii="Cambria" w:hAnsi="Cambria"/>
          <w:sz w:val="16"/>
          <w:szCs w:val="16"/>
        </w:rPr>
        <w:t xml:space="preserve"> Annex 15</w:t>
      </w:r>
      <w:r w:rsidRPr="006C6C80">
        <w:rPr>
          <w:rFonts w:ascii="Cambria" w:hAnsi="Cambria"/>
          <w:sz w:val="16"/>
          <w:szCs w:val="16"/>
        </w:rPr>
        <w:t>. Files and Resources of the Petitioners. Annex 8A to the observations on the merits of March 10, 2008 from the petitioners.</w:t>
      </w:r>
    </w:p>
  </w:footnote>
  <w:footnote w:id="37">
    <w:p w:rsidR="0052077C" w:rsidRPr="006C6C80" w:rsidRDefault="0052077C" w:rsidP="00557337">
      <w:pPr>
        <w:pStyle w:val="FootnoteText"/>
        <w:jc w:val="both"/>
        <w:rPr>
          <w:rFonts w:ascii="Cambria" w:hAnsi="Cambria"/>
          <w:sz w:val="16"/>
          <w:szCs w:val="16"/>
        </w:rPr>
      </w:pPr>
      <w:r w:rsidRPr="006C6C80">
        <w:rPr>
          <w:rStyle w:val="FootnoteReference"/>
          <w:rFonts w:ascii="Cambria" w:hAnsi="Cambria"/>
          <w:sz w:val="16"/>
          <w:szCs w:val="16"/>
        </w:rPr>
        <w:footnoteRef/>
      </w:r>
      <w:r w:rsidR="008D4F9F">
        <w:rPr>
          <w:rFonts w:ascii="Cambria" w:hAnsi="Cambria"/>
          <w:sz w:val="16"/>
          <w:szCs w:val="16"/>
        </w:rPr>
        <w:t xml:space="preserve"> Annex 16</w:t>
      </w:r>
      <w:r w:rsidRPr="006C6C80">
        <w:rPr>
          <w:rFonts w:ascii="Cambria" w:hAnsi="Cambria"/>
          <w:sz w:val="16"/>
          <w:szCs w:val="16"/>
        </w:rPr>
        <w:t>. Correction of mistakes in the dismissal order. Annex 8A to the observations on the merits of March 10, 2008 from the petitioners.</w:t>
      </w:r>
    </w:p>
  </w:footnote>
  <w:footnote w:id="38">
    <w:p w:rsidR="0052077C" w:rsidRPr="006C6C80" w:rsidRDefault="0052077C" w:rsidP="00557337">
      <w:pPr>
        <w:pStyle w:val="FootnoteText"/>
        <w:jc w:val="both"/>
        <w:rPr>
          <w:rFonts w:asciiTheme="majorHAnsi" w:hAnsiTheme="majorHAnsi"/>
          <w:sz w:val="16"/>
          <w:szCs w:val="16"/>
        </w:rPr>
      </w:pPr>
      <w:r w:rsidRPr="006C6C80">
        <w:rPr>
          <w:rStyle w:val="FootnoteReference"/>
          <w:rFonts w:asciiTheme="majorHAnsi" w:hAnsiTheme="majorHAnsi"/>
          <w:sz w:val="16"/>
          <w:szCs w:val="16"/>
        </w:rPr>
        <w:footnoteRef/>
      </w:r>
      <w:r w:rsidR="008D4F9F">
        <w:rPr>
          <w:rFonts w:asciiTheme="majorHAnsi" w:hAnsiTheme="majorHAnsi"/>
          <w:sz w:val="16"/>
          <w:szCs w:val="16"/>
        </w:rPr>
        <w:t xml:space="preserve"> Annex 17</w:t>
      </w:r>
      <w:r w:rsidRPr="006C6C80">
        <w:rPr>
          <w:rFonts w:asciiTheme="majorHAnsi" w:hAnsiTheme="majorHAnsi"/>
          <w:sz w:val="16"/>
          <w:szCs w:val="16"/>
        </w:rPr>
        <w:t>. Motion for Constitutional Appeal filed with the Constitutional Court. Annex 13 to the brief of November 22, 2000 from the petitioners.</w:t>
      </w:r>
    </w:p>
  </w:footnote>
  <w:footnote w:id="39">
    <w:p w:rsidR="0052077C" w:rsidRPr="006C6C80" w:rsidRDefault="0052077C" w:rsidP="00557337">
      <w:pPr>
        <w:pStyle w:val="FootnoteText"/>
        <w:jc w:val="both"/>
        <w:rPr>
          <w:rFonts w:asciiTheme="majorHAnsi" w:hAnsiTheme="majorHAnsi"/>
          <w:sz w:val="16"/>
          <w:szCs w:val="16"/>
        </w:rPr>
      </w:pPr>
      <w:r w:rsidRPr="006C6C80">
        <w:rPr>
          <w:rStyle w:val="FootnoteReference"/>
          <w:rFonts w:asciiTheme="majorHAnsi" w:hAnsiTheme="majorHAnsi"/>
          <w:sz w:val="16"/>
          <w:szCs w:val="16"/>
        </w:rPr>
        <w:footnoteRef/>
      </w:r>
      <w:r w:rsidR="008D4F9F">
        <w:rPr>
          <w:rFonts w:asciiTheme="majorHAnsi" w:hAnsiTheme="majorHAnsi"/>
          <w:sz w:val="16"/>
          <w:szCs w:val="16"/>
        </w:rPr>
        <w:t xml:space="preserve"> Annex 18</w:t>
      </w:r>
      <w:r w:rsidRPr="006C6C80">
        <w:rPr>
          <w:rFonts w:asciiTheme="majorHAnsi" w:hAnsiTheme="majorHAnsi"/>
          <w:sz w:val="16"/>
          <w:szCs w:val="16"/>
        </w:rPr>
        <w:t xml:space="preserve">, February 29, 2000 Ruling of the </w:t>
      </w:r>
      <w:r>
        <w:rPr>
          <w:rFonts w:asciiTheme="majorHAnsi" w:hAnsiTheme="majorHAnsi"/>
          <w:sz w:val="16"/>
          <w:szCs w:val="16"/>
        </w:rPr>
        <w:t>Constitutional Court</w:t>
      </w:r>
      <w:r w:rsidRPr="006C6C80">
        <w:rPr>
          <w:rFonts w:asciiTheme="majorHAnsi" w:hAnsiTheme="majorHAnsi"/>
          <w:sz w:val="16"/>
          <w:szCs w:val="16"/>
        </w:rPr>
        <w:t>. Annex 18 to the updated initial petition of November 28, 2000.</w:t>
      </w:r>
    </w:p>
  </w:footnote>
  <w:footnote w:id="40">
    <w:p w:rsidR="0052077C" w:rsidRPr="006C6C80" w:rsidRDefault="0052077C" w:rsidP="00557337">
      <w:pPr>
        <w:pStyle w:val="FootnoteText"/>
        <w:jc w:val="both"/>
        <w:rPr>
          <w:rFonts w:asciiTheme="majorHAnsi" w:hAnsiTheme="majorHAnsi"/>
          <w:sz w:val="16"/>
          <w:szCs w:val="16"/>
        </w:rPr>
      </w:pPr>
      <w:r w:rsidRPr="006C6C80">
        <w:rPr>
          <w:rStyle w:val="FootnoteReference"/>
          <w:rFonts w:asciiTheme="majorHAnsi" w:hAnsiTheme="majorHAnsi"/>
          <w:sz w:val="16"/>
          <w:szCs w:val="16"/>
        </w:rPr>
        <w:footnoteRef/>
      </w:r>
      <w:r w:rsidR="008D4F9F">
        <w:rPr>
          <w:rFonts w:asciiTheme="majorHAnsi" w:hAnsiTheme="majorHAnsi"/>
          <w:sz w:val="16"/>
          <w:szCs w:val="16"/>
        </w:rPr>
        <w:t xml:space="preserve"> Annex 19</w:t>
      </w:r>
      <w:r w:rsidRPr="006C6C80">
        <w:rPr>
          <w:rFonts w:asciiTheme="majorHAnsi" w:hAnsiTheme="majorHAnsi"/>
          <w:sz w:val="16"/>
          <w:szCs w:val="16"/>
        </w:rPr>
        <w:t>. Dissenting vote of Justice Amado Gonzales Benitez. Annex 8 to the brief of October 12, 2007 from the petitioners.</w:t>
      </w:r>
    </w:p>
  </w:footnote>
  <w:footnote w:id="41">
    <w:p w:rsidR="0052077C" w:rsidRPr="00B0202B" w:rsidRDefault="0052077C" w:rsidP="00557337">
      <w:pPr>
        <w:jc w:val="both"/>
        <w:rPr>
          <w:rFonts w:asciiTheme="majorHAnsi" w:hAnsiTheme="majorHAnsi"/>
          <w:sz w:val="16"/>
          <w:szCs w:val="16"/>
          <w:lang w:val="es-US"/>
        </w:rPr>
      </w:pPr>
      <w:r w:rsidRPr="006C6C80">
        <w:rPr>
          <w:rStyle w:val="FootnoteReference"/>
          <w:rFonts w:asciiTheme="majorHAnsi" w:hAnsiTheme="majorHAnsi"/>
          <w:sz w:val="16"/>
          <w:szCs w:val="16"/>
        </w:rPr>
        <w:footnoteRef/>
      </w:r>
      <w:r w:rsidRPr="00B0202B">
        <w:rPr>
          <w:rFonts w:asciiTheme="majorHAnsi" w:hAnsiTheme="majorHAnsi"/>
          <w:sz w:val="16"/>
          <w:szCs w:val="16"/>
          <w:lang w:val="es-US"/>
        </w:rPr>
        <w:t xml:space="preserve"> </w:t>
      </w:r>
      <w:proofErr w:type="spellStart"/>
      <w:r w:rsidRPr="00B0202B">
        <w:rPr>
          <w:rFonts w:asciiTheme="majorHAnsi" w:hAnsiTheme="majorHAnsi"/>
          <w:sz w:val="16"/>
          <w:szCs w:val="16"/>
          <w:lang w:val="es-US"/>
        </w:rPr>
        <w:t>The</w:t>
      </w:r>
      <w:proofErr w:type="spellEnd"/>
      <w:r w:rsidRPr="00B0202B">
        <w:rPr>
          <w:rFonts w:asciiTheme="majorHAnsi" w:hAnsiTheme="majorHAnsi"/>
          <w:sz w:val="16"/>
          <w:szCs w:val="16"/>
          <w:lang w:val="es-US"/>
        </w:rPr>
        <w:t xml:space="preserve"> </w:t>
      </w:r>
      <w:proofErr w:type="spellStart"/>
      <w:r w:rsidRPr="00B0202B">
        <w:rPr>
          <w:rFonts w:asciiTheme="majorHAnsi" w:hAnsiTheme="majorHAnsi"/>
          <w:sz w:val="16"/>
          <w:szCs w:val="16"/>
          <w:lang w:val="es-US"/>
        </w:rPr>
        <w:t>persons</w:t>
      </w:r>
      <w:proofErr w:type="spellEnd"/>
      <w:r w:rsidRPr="00B0202B">
        <w:rPr>
          <w:rFonts w:asciiTheme="majorHAnsi" w:hAnsiTheme="majorHAnsi"/>
          <w:sz w:val="16"/>
          <w:szCs w:val="16"/>
          <w:lang w:val="es-US"/>
        </w:rPr>
        <w:t xml:space="preserve"> </w:t>
      </w:r>
      <w:proofErr w:type="spellStart"/>
      <w:r w:rsidRPr="00B0202B">
        <w:rPr>
          <w:rFonts w:asciiTheme="majorHAnsi" w:hAnsiTheme="majorHAnsi"/>
          <w:sz w:val="16"/>
          <w:szCs w:val="16"/>
          <w:lang w:val="es-US"/>
        </w:rPr>
        <w:t>who</w:t>
      </w:r>
      <w:proofErr w:type="spellEnd"/>
      <w:r w:rsidRPr="00B0202B">
        <w:rPr>
          <w:rFonts w:asciiTheme="majorHAnsi" w:hAnsiTheme="majorHAnsi"/>
          <w:sz w:val="16"/>
          <w:szCs w:val="16"/>
          <w:lang w:val="es-US"/>
        </w:rPr>
        <w:t xml:space="preserve"> </w:t>
      </w:r>
      <w:proofErr w:type="spellStart"/>
      <w:r w:rsidRPr="00B0202B">
        <w:rPr>
          <w:rFonts w:asciiTheme="majorHAnsi" w:hAnsiTheme="majorHAnsi"/>
          <w:sz w:val="16"/>
          <w:szCs w:val="16"/>
          <w:lang w:val="es-US"/>
        </w:rPr>
        <w:t>were</w:t>
      </w:r>
      <w:proofErr w:type="spellEnd"/>
      <w:r w:rsidRPr="00B0202B">
        <w:rPr>
          <w:rFonts w:asciiTheme="majorHAnsi" w:hAnsiTheme="majorHAnsi"/>
          <w:sz w:val="16"/>
          <w:szCs w:val="16"/>
          <w:lang w:val="es-US"/>
        </w:rPr>
        <w:t xml:space="preserve"> </w:t>
      </w:r>
      <w:proofErr w:type="spellStart"/>
      <w:r w:rsidRPr="00B0202B">
        <w:rPr>
          <w:rFonts w:asciiTheme="majorHAnsi" w:hAnsiTheme="majorHAnsi"/>
          <w:sz w:val="16"/>
          <w:szCs w:val="16"/>
          <w:lang w:val="es-US"/>
        </w:rPr>
        <w:t>rehired</w:t>
      </w:r>
      <w:proofErr w:type="spellEnd"/>
      <w:r w:rsidRPr="00B0202B">
        <w:rPr>
          <w:rFonts w:asciiTheme="majorHAnsi" w:hAnsiTheme="majorHAnsi"/>
          <w:sz w:val="16"/>
          <w:szCs w:val="16"/>
          <w:lang w:val="es-US"/>
        </w:rPr>
        <w:t xml:space="preserve"> are as </w:t>
      </w:r>
      <w:proofErr w:type="spellStart"/>
      <w:r w:rsidRPr="00B0202B">
        <w:rPr>
          <w:rFonts w:asciiTheme="majorHAnsi" w:hAnsiTheme="majorHAnsi"/>
          <w:sz w:val="16"/>
          <w:szCs w:val="16"/>
          <w:lang w:val="es-US"/>
        </w:rPr>
        <w:t>follows</w:t>
      </w:r>
      <w:proofErr w:type="spellEnd"/>
      <w:r w:rsidRPr="00B0202B">
        <w:rPr>
          <w:rFonts w:asciiTheme="majorHAnsi" w:hAnsiTheme="majorHAnsi"/>
          <w:sz w:val="16"/>
          <w:szCs w:val="16"/>
          <w:lang w:val="es-US"/>
        </w:rPr>
        <w:t xml:space="preserve">: Aparicio De Sagastume Ligia Irasema Estrada, Arana Rivas, Magno Reginaldo, </w:t>
      </w:r>
      <w:proofErr w:type="spellStart"/>
      <w:r w:rsidRPr="00B0202B">
        <w:rPr>
          <w:rFonts w:asciiTheme="majorHAnsi" w:hAnsiTheme="majorHAnsi"/>
          <w:sz w:val="16"/>
          <w:szCs w:val="16"/>
          <w:lang w:val="es-US"/>
        </w:rPr>
        <w:t>Caxaj</w:t>
      </w:r>
      <w:proofErr w:type="spellEnd"/>
      <w:r w:rsidRPr="00B0202B">
        <w:rPr>
          <w:rFonts w:asciiTheme="majorHAnsi" w:hAnsiTheme="majorHAnsi"/>
          <w:sz w:val="16"/>
          <w:szCs w:val="16"/>
          <w:lang w:val="es-US"/>
        </w:rPr>
        <w:t xml:space="preserve"> </w:t>
      </w:r>
      <w:proofErr w:type="spellStart"/>
      <w:r w:rsidRPr="00B0202B">
        <w:rPr>
          <w:rFonts w:asciiTheme="majorHAnsi" w:hAnsiTheme="majorHAnsi"/>
          <w:sz w:val="16"/>
          <w:szCs w:val="16"/>
          <w:lang w:val="es-US"/>
        </w:rPr>
        <w:t>Turnil</w:t>
      </w:r>
      <w:proofErr w:type="spellEnd"/>
      <w:r w:rsidRPr="00B0202B">
        <w:rPr>
          <w:rFonts w:asciiTheme="majorHAnsi" w:hAnsiTheme="majorHAnsi"/>
          <w:sz w:val="16"/>
          <w:szCs w:val="16"/>
          <w:lang w:val="es-US"/>
        </w:rPr>
        <w:t xml:space="preserve"> Mario Juan Humberto, </w:t>
      </w:r>
      <w:proofErr w:type="spellStart"/>
      <w:r w:rsidRPr="00B0202B">
        <w:rPr>
          <w:rFonts w:asciiTheme="majorHAnsi" w:hAnsiTheme="majorHAnsi"/>
          <w:sz w:val="16"/>
          <w:szCs w:val="16"/>
          <w:lang w:val="es-US"/>
        </w:rPr>
        <w:t>Cojti</w:t>
      </w:r>
      <w:proofErr w:type="spellEnd"/>
      <w:r w:rsidRPr="00B0202B">
        <w:rPr>
          <w:rFonts w:asciiTheme="majorHAnsi" w:hAnsiTheme="majorHAnsi"/>
          <w:sz w:val="16"/>
          <w:szCs w:val="16"/>
          <w:lang w:val="es-US"/>
        </w:rPr>
        <w:t xml:space="preserve"> Marcia Carmen, </w:t>
      </w:r>
      <w:proofErr w:type="spellStart"/>
      <w:r w:rsidRPr="00B0202B">
        <w:rPr>
          <w:rFonts w:asciiTheme="majorHAnsi" w:hAnsiTheme="majorHAnsi"/>
          <w:sz w:val="16"/>
          <w:szCs w:val="16"/>
          <w:lang w:val="es-US"/>
        </w:rPr>
        <w:t>Coroy</w:t>
      </w:r>
      <w:proofErr w:type="spellEnd"/>
      <w:r w:rsidRPr="00B0202B">
        <w:rPr>
          <w:rFonts w:asciiTheme="majorHAnsi" w:hAnsiTheme="majorHAnsi"/>
          <w:sz w:val="16"/>
          <w:szCs w:val="16"/>
          <w:lang w:val="es-US"/>
        </w:rPr>
        <w:t xml:space="preserve"> Can Irma Araceli, De León </w:t>
      </w:r>
      <w:proofErr w:type="spellStart"/>
      <w:r w:rsidRPr="00B0202B">
        <w:rPr>
          <w:rFonts w:asciiTheme="majorHAnsi" w:hAnsiTheme="majorHAnsi"/>
          <w:sz w:val="16"/>
          <w:szCs w:val="16"/>
          <w:lang w:val="es-US"/>
        </w:rPr>
        <w:t>Estacuy</w:t>
      </w:r>
      <w:proofErr w:type="spellEnd"/>
      <w:r w:rsidRPr="00B0202B">
        <w:rPr>
          <w:rFonts w:asciiTheme="majorHAnsi" w:hAnsiTheme="majorHAnsi"/>
          <w:sz w:val="16"/>
          <w:szCs w:val="16"/>
          <w:lang w:val="es-US"/>
        </w:rPr>
        <w:t xml:space="preserve"> Samuel Guillermo, De León Macal German Eduardo, Echeverría Contreras Mario Joaquín, </w:t>
      </w:r>
      <w:proofErr w:type="spellStart"/>
      <w:r w:rsidRPr="00B0202B">
        <w:rPr>
          <w:rFonts w:asciiTheme="majorHAnsi" w:hAnsiTheme="majorHAnsi"/>
          <w:sz w:val="16"/>
          <w:szCs w:val="16"/>
          <w:lang w:val="es-US"/>
        </w:rPr>
        <w:t>Ejucalon</w:t>
      </w:r>
      <w:proofErr w:type="spellEnd"/>
      <w:r w:rsidRPr="00B0202B">
        <w:rPr>
          <w:rFonts w:asciiTheme="majorHAnsi" w:hAnsiTheme="majorHAnsi"/>
          <w:sz w:val="16"/>
          <w:szCs w:val="16"/>
          <w:lang w:val="es-US"/>
        </w:rPr>
        <w:t xml:space="preserve"> </w:t>
      </w:r>
      <w:proofErr w:type="spellStart"/>
      <w:r w:rsidRPr="00B0202B">
        <w:rPr>
          <w:rFonts w:asciiTheme="majorHAnsi" w:hAnsiTheme="majorHAnsi"/>
          <w:sz w:val="16"/>
          <w:szCs w:val="16"/>
          <w:lang w:val="es-US"/>
        </w:rPr>
        <w:t>Majzul</w:t>
      </w:r>
      <w:proofErr w:type="spellEnd"/>
      <w:r w:rsidRPr="00B0202B">
        <w:rPr>
          <w:rFonts w:asciiTheme="majorHAnsi" w:hAnsiTheme="majorHAnsi"/>
          <w:sz w:val="16"/>
          <w:szCs w:val="16"/>
          <w:lang w:val="es-US"/>
        </w:rPr>
        <w:t xml:space="preserve"> </w:t>
      </w:r>
      <w:proofErr w:type="spellStart"/>
      <w:r w:rsidRPr="00B0202B">
        <w:rPr>
          <w:rFonts w:asciiTheme="majorHAnsi" w:hAnsiTheme="majorHAnsi"/>
          <w:sz w:val="16"/>
          <w:szCs w:val="16"/>
          <w:lang w:val="es-US"/>
        </w:rPr>
        <w:t>Irrael</w:t>
      </w:r>
      <w:proofErr w:type="spellEnd"/>
      <w:r w:rsidRPr="00B0202B">
        <w:rPr>
          <w:rFonts w:asciiTheme="majorHAnsi" w:hAnsiTheme="majorHAnsi"/>
          <w:sz w:val="16"/>
          <w:szCs w:val="16"/>
          <w:lang w:val="es-US"/>
        </w:rPr>
        <w:t xml:space="preserve">, </w:t>
      </w:r>
      <w:proofErr w:type="spellStart"/>
      <w:r w:rsidRPr="00B0202B">
        <w:rPr>
          <w:rFonts w:asciiTheme="majorHAnsi" w:hAnsiTheme="majorHAnsi"/>
          <w:sz w:val="16"/>
          <w:szCs w:val="16"/>
          <w:lang w:val="es-US"/>
        </w:rPr>
        <w:t>Illesca</w:t>
      </w:r>
      <w:proofErr w:type="spellEnd"/>
      <w:r w:rsidRPr="00B0202B">
        <w:rPr>
          <w:rFonts w:asciiTheme="majorHAnsi" w:hAnsiTheme="majorHAnsi"/>
          <w:sz w:val="16"/>
          <w:szCs w:val="16"/>
          <w:lang w:val="es-US"/>
        </w:rPr>
        <w:t xml:space="preserve"> García De Suarez Rosa Nelly, Gómez Morales María </w:t>
      </w:r>
      <w:proofErr w:type="spellStart"/>
      <w:r w:rsidRPr="00B0202B">
        <w:rPr>
          <w:rFonts w:asciiTheme="majorHAnsi" w:hAnsiTheme="majorHAnsi"/>
          <w:sz w:val="16"/>
          <w:szCs w:val="16"/>
          <w:lang w:val="es-US"/>
        </w:rPr>
        <w:t>Coralia</w:t>
      </w:r>
      <w:proofErr w:type="spellEnd"/>
      <w:r w:rsidRPr="00B0202B">
        <w:rPr>
          <w:rFonts w:asciiTheme="majorHAnsi" w:hAnsiTheme="majorHAnsi"/>
          <w:sz w:val="16"/>
          <w:szCs w:val="16"/>
          <w:lang w:val="es-US"/>
        </w:rPr>
        <w:t xml:space="preserve">, Herrera De </w:t>
      </w:r>
      <w:proofErr w:type="spellStart"/>
      <w:r w:rsidRPr="00B0202B">
        <w:rPr>
          <w:rFonts w:asciiTheme="majorHAnsi" w:hAnsiTheme="majorHAnsi"/>
          <w:sz w:val="16"/>
          <w:szCs w:val="16"/>
          <w:lang w:val="es-US"/>
        </w:rPr>
        <w:t>Ogaldez</w:t>
      </w:r>
      <w:proofErr w:type="spellEnd"/>
      <w:r w:rsidRPr="00B0202B">
        <w:rPr>
          <w:rFonts w:asciiTheme="majorHAnsi" w:hAnsiTheme="majorHAnsi"/>
          <w:sz w:val="16"/>
          <w:szCs w:val="16"/>
          <w:lang w:val="es-US"/>
        </w:rPr>
        <w:t xml:space="preserve"> María Isabel </w:t>
      </w:r>
      <w:proofErr w:type="spellStart"/>
      <w:r w:rsidRPr="00B0202B">
        <w:rPr>
          <w:rFonts w:asciiTheme="majorHAnsi" w:hAnsiTheme="majorHAnsi"/>
          <w:sz w:val="16"/>
          <w:szCs w:val="16"/>
          <w:lang w:val="es-US"/>
        </w:rPr>
        <w:t>Merida</w:t>
      </w:r>
      <w:proofErr w:type="spellEnd"/>
      <w:r w:rsidRPr="00B0202B">
        <w:rPr>
          <w:rFonts w:asciiTheme="majorHAnsi" w:hAnsiTheme="majorHAnsi"/>
          <w:sz w:val="16"/>
          <w:szCs w:val="16"/>
          <w:lang w:val="es-US"/>
        </w:rPr>
        <w:t xml:space="preserve">, </w:t>
      </w:r>
      <w:proofErr w:type="spellStart"/>
      <w:r w:rsidRPr="00B0202B">
        <w:rPr>
          <w:rFonts w:asciiTheme="majorHAnsi" w:hAnsiTheme="majorHAnsi"/>
          <w:sz w:val="16"/>
          <w:szCs w:val="16"/>
          <w:lang w:val="es-US"/>
        </w:rPr>
        <w:t>Jutzuy</w:t>
      </w:r>
      <w:proofErr w:type="spellEnd"/>
      <w:r w:rsidRPr="00B0202B">
        <w:rPr>
          <w:rFonts w:asciiTheme="majorHAnsi" w:hAnsiTheme="majorHAnsi"/>
          <w:sz w:val="16"/>
          <w:szCs w:val="16"/>
          <w:lang w:val="es-US"/>
        </w:rPr>
        <w:t xml:space="preserve"> </w:t>
      </w:r>
      <w:proofErr w:type="spellStart"/>
      <w:r w:rsidRPr="00B0202B">
        <w:rPr>
          <w:rFonts w:asciiTheme="majorHAnsi" w:hAnsiTheme="majorHAnsi"/>
          <w:sz w:val="16"/>
          <w:szCs w:val="16"/>
          <w:lang w:val="es-US"/>
        </w:rPr>
        <w:t>Sanic</w:t>
      </w:r>
      <w:proofErr w:type="spellEnd"/>
      <w:r w:rsidRPr="00B0202B">
        <w:rPr>
          <w:rFonts w:asciiTheme="majorHAnsi" w:hAnsiTheme="majorHAnsi"/>
          <w:sz w:val="16"/>
          <w:szCs w:val="16"/>
          <w:lang w:val="es-US"/>
        </w:rPr>
        <w:t xml:space="preserve"> Josefa, </w:t>
      </w:r>
      <w:proofErr w:type="spellStart"/>
      <w:r w:rsidRPr="00B0202B">
        <w:rPr>
          <w:rFonts w:asciiTheme="majorHAnsi" w:hAnsiTheme="majorHAnsi"/>
          <w:sz w:val="16"/>
          <w:szCs w:val="16"/>
          <w:lang w:val="es-US"/>
        </w:rPr>
        <w:t>Lec</w:t>
      </w:r>
      <w:proofErr w:type="spellEnd"/>
      <w:r w:rsidRPr="00B0202B">
        <w:rPr>
          <w:rFonts w:asciiTheme="majorHAnsi" w:hAnsiTheme="majorHAnsi"/>
          <w:sz w:val="16"/>
          <w:szCs w:val="16"/>
          <w:lang w:val="es-US"/>
        </w:rPr>
        <w:t xml:space="preserve"> Girón De Herrera Nidia Consuelo, López Girón Sandra </w:t>
      </w:r>
      <w:proofErr w:type="spellStart"/>
      <w:r w:rsidRPr="00B0202B">
        <w:rPr>
          <w:rFonts w:asciiTheme="majorHAnsi" w:hAnsiTheme="majorHAnsi"/>
          <w:sz w:val="16"/>
          <w:szCs w:val="16"/>
          <w:lang w:val="es-US"/>
        </w:rPr>
        <w:t>Nineth</w:t>
      </w:r>
      <w:proofErr w:type="spellEnd"/>
      <w:r w:rsidRPr="00B0202B">
        <w:rPr>
          <w:rFonts w:asciiTheme="majorHAnsi" w:hAnsiTheme="majorHAnsi"/>
          <w:sz w:val="16"/>
          <w:szCs w:val="16"/>
          <w:lang w:val="es-US"/>
        </w:rPr>
        <w:t xml:space="preserve">, Méndez Rodas Rolando Efraín, Moya Ruiz Gloria Marina, Ortiz Domínguez Edna Araceli, </w:t>
      </w:r>
      <w:proofErr w:type="spellStart"/>
      <w:r w:rsidRPr="00B0202B">
        <w:rPr>
          <w:rFonts w:asciiTheme="majorHAnsi" w:hAnsiTheme="majorHAnsi"/>
          <w:sz w:val="16"/>
          <w:szCs w:val="16"/>
          <w:lang w:val="es-US"/>
        </w:rPr>
        <w:t>Pellecer</w:t>
      </w:r>
      <w:proofErr w:type="spellEnd"/>
      <w:r w:rsidRPr="00B0202B">
        <w:rPr>
          <w:rFonts w:asciiTheme="majorHAnsi" w:hAnsiTheme="majorHAnsi"/>
          <w:sz w:val="16"/>
          <w:szCs w:val="16"/>
          <w:lang w:val="es-US"/>
        </w:rPr>
        <w:t xml:space="preserve"> </w:t>
      </w:r>
      <w:proofErr w:type="spellStart"/>
      <w:r w:rsidRPr="00B0202B">
        <w:rPr>
          <w:rFonts w:asciiTheme="majorHAnsi" w:hAnsiTheme="majorHAnsi"/>
          <w:sz w:val="16"/>
          <w:szCs w:val="16"/>
          <w:lang w:val="es-US"/>
        </w:rPr>
        <w:t>Cobar</w:t>
      </w:r>
      <w:proofErr w:type="spellEnd"/>
      <w:r w:rsidRPr="00B0202B">
        <w:rPr>
          <w:rFonts w:asciiTheme="majorHAnsi" w:hAnsiTheme="majorHAnsi"/>
          <w:sz w:val="16"/>
          <w:szCs w:val="16"/>
          <w:lang w:val="es-US"/>
        </w:rPr>
        <w:t xml:space="preserve"> José René Cristian, </w:t>
      </w:r>
      <w:proofErr w:type="spellStart"/>
      <w:r w:rsidRPr="00B0202B">
        <w:rPr>
          <w:rFonts w:asciiTheme="majorHAnsi" w:hAnsiTheme="majorHAnsi"/>
          <w:sz w:val="16"/>
          <w:szCs w:val="16"/>
          <w:lang w:val="es-US"/>
        </w:rPr>
        <w:t>Piedrasanta</w:t>
      </w:r>
      <w:proofErr w:type="spellEnd"/>
      <w:r w:rsidRPr="00B0202B">
        <w:rPr>
          <w:rFonts w:asciiTheme="majorHAnsi" w:hAnsiTheme="majorHAnsi"/>
          <w:sz w:val="16"/>
          <w:szCs w:val="16"/>
          <w:lang w:val="es-US"/>
        </w:rPr>
        <w:t xml:space="preserve"> Ramírez De León Alba Dina, Reyes Martínez María Victoria, Roldán Castañeda Oliverio Edmundo, Salazar Villaseñor </w:t>
      </w:r>
      <w:proofErr w:type="spellStart"/>
      <w:r w:rsidRPr="00B0202B">
        <w:rPr>
          <w:rFonts w:asciiTheme="majorHAnsi" w:hAnsiTheme="majorHAnsi"/>
          <w:sz w:val="16"/>
          <w:szCs w:val="16"/>
          <w:lang w:val="es-US"/>
        </w:rPr>
        <w:t>Welington</w:t>
      </w:r>
      <w:proofErr w:type="spellEnd"/>
      <w:r w:rsidRPr="00B0202B">
        <w:rPr>
          <w:rFonts w:asciiTheme="majorHAnsi" w:hAnsiTheme="majorHAnsi"/>
          <w:sz w:val="16"/>
          <w:szCs w:val="16"/>
          <w:lang w:val="es-US"/>
        </w:rPr>
        <w:t xml:space="preserve"> Francisco, </w:t>
      </w:r>
      <w:proofErr w:type="spellStart"/>
      <w:r w:rsidRPr="00B0202B">
        <w:rPr>
          <w:rFonts w:asciiTheme="majorHAnsi" w:hAnsiTheme="majorHAnsi"/>
          <w:sz w:val="16"/>
          <w:szCs w:val="16"/>
          <w:lang w:val="es-US"/>
        </w:rPr>
        <w:t>Sipac</w:t>
      </w:r>
      <w:proofErr w:type="spellEnd"/>
      <w:r w:rsidRPr="00B0202B">
        <w:rPr>
          <w:rFonts w:asciiTheme="majorHAnsi" w:hAnsiTheme="majorHAnsi"/>
          <w:sz w:val="16"/>
          <w:szCs w:val="16"/>
          <w:lang w:val="es-US"/>
        </w:rPr>
        <w:t xml:space="preserve"> </w:t>
      </w:r>
      <w:proofErr w:type="spellStart"/>
      <w:r w:rsidRPr="00B0202B">
        <w:rPr>
          <w:rFonts w:asciiTheme="majorHAnsi" w:hAnsiTheme="majorHAnsi"/>
          <w:sz w:val="16"/>
          <w:szCs w:val="16"/>
          <w:lang w:val="es-US"/>
        </w:rPr>
        <w:t>Sipac</w:t>
      </w:r>
      <w:proofErr w:type="spellEnd"/>
      <w:r w:rsidRPr="00B0202B">
        <w:rPr>
          <w:rFonts w:asciiTheme="majorHAnsi" w:hAnsiTheme="majorHAnsi"/>
          <w:sz w:val="16"/>
          <w:szCs w:val="16"/>
          <w:lang w:val="es-US"/>
        </w:rPr>
        <w:t xml:space="preserve"> Norma Elizabeth, Trejo Castillo Hermelinda Esperanza, Valle Trinidad de Velásquez Lilian Elizabeth, Velásquez Ovalle María Eugenia, and Zamora Constancia Edgar Leonel.</w:t>
      </w:r>
    </w:p>
  </w:footnote>
  <w:footnote w:id="42">
    <w:p w:rsidR="0052077C" w:rsidRPr="006C6C80" w:rsidRDefault="0052077C" w:rsidP="00557337">
      <w:pPr>
        <w:pStyle w:val="FootnoteText"/>
        <w:jc w:val="both"/>
        <w:rPr>
          <w:rFonts w:asciiTheme="majorHAnsi" w:hAnsiTheme="majorHAnsi"/>
          <w:sz w:val="16"/>
          <w:szCs w:val="16"/>
        </w:rPr>
      </w:pPr>
      <w:r w:rsidRPr="006C6C80">
        <w:rPr>
          <w:rStyle w:val="FootnoteReference"/>
          <w:rFonts w:asciiTheme="majorHAnsi" w:hAnsiTheme="majorHAnsi"/>
          <w:sz w:val="16"/>
          <w:szCs w:val="16"/>
        </w:rPr>
        <w:footnoteRef/>
      </w:r>
      <w:r w:rsidR="008D4F9F">
        <w:rPr>
          <w:rFonts w:asciiTheme="majorHAnsi" w:hAnsiTheme="majorHAnsi"/>
          <w:sz w:val="16"/>
          <w:szCs w:val="16"/>
        </w:rPr>
        <w:t xml:space="preserve"> </w:t>
      </w:r>
      <w:r w:rsidRPr="006C6C80">
        <w:rPr>
          <w:rFonts w:asciiTheme="majorHAnsi" w:hAnsiTheme="majorHAnsi"/>
          <w:sz w:val="16"/>
          <w:szCs w:val="16"/>
        </w:rPr>
        <w:t>Brief of</w:t>
      </w:r>
      <w:r w:rsidRPr="006C6C80">
        <w:rPr>
          <w:rFonts w:ascii="Cambria" w:hAnsi="Cambria"/>
          <w:sz w:val="16"/>
          <w:szCs w:val="16"/>
        </w:rPr>
        <w:t xml:space="preserve"> observations on the merits of March 10, 2009 from the petitioners, p.</w:t>
      </w:r>
      <w:r w:rsidRPr="006C6C80">
        <w:rPr>
          <w:rFonts w:asciiTheme="majorHAnsi" w:hAnsiTheme="majorHAnsi"/>
          <w:sz w:val="16"/>
          <w:szCs w:val="16"/>
        </w:rPr>
        <w:t xml:space="preserve"> 9.</w:t>
      </w:r>
    </w:p>
  </w:footnote>
  <w:footnote w:id="43">
    <w:p w:rsidR="0052077C" w:rsidRPr="006C6C80" w:rsidRDefault="0052077C" w:rsidP="00557337">
      <w:pPr>
        <w:pStyle w:val="FootnoteText"/>
        <w:jc w:val="both"/>
        <w:rPr>
          <w:rFonts w:asciiTheme="majorHAnsi" w:hAnsiTheme="majorHAnsi"/>
          <w:sz w:val="16"/>
          <w:szCs w:val="16"/>
        </w:rPr>
      </w:pPr>
      <w:r w:rsidRPr="006C6C80">
        <w:rPr>
          <w:rStyle w:val="FootnoteReference"/>
          <w:rFonts w:asciiTheme="majorHAnsi" w:hAnsiTheme="majorHAnsi"/>
          <w:sz w:val="16"/>
          <w:szCs w:val="16"/>
        </w:rPr>
        <w:footnoteRef/>
      </w:r>
      <w:r w:rsidRPr="006C6C80">
        <w:rPr>
          <w:rFonts w:asciiTheme="majorHAnsi" w:hAnsiTheme="majorHAnsi"/>
          <w:sz w:val="16"/>
          <w:szCs w:val="16"/>
        </w:rPr>
        <w:t xml:space="preserve"> IACHR, Report No. 65/11, Case 12.600, Merits, Hugo Quintana </w:t>
      </w:r>
      <w:proofErr w:type="spellStart"/>
      <w:r w:rsidRPr="006C6C80">
        <w:rPr>
          <w:rFonts w:asciiTheme="majorHAnsi" w:hAnsiTheme="majorHAnsi"/>
          <w:sz w:val="16"/>
          <w:szCs w:val="16"/>
        </w:rPr>
        <w:t>Coello</w:t>
      </w:r>
      <w:proofErr w:type="spellEnd"/>
      <w:r w:rsidRPr="006C6C80">
        <w:rPr>
          <w:rFonts w:asciiTheme="majorHAnsi" w:hAnsiTheme="majorHAnsi"/>
          <w:sz w:val="16"/>
          <w:szCs w:val="16"/>
        </w:rPr>
        <w:t xml:space="preserve"> et al. “Magistrates of the Supreme Court of Justice,” Ecuador, March 31, 2011, para. 102; I/A Court H.R. </w:t>
      </w:r>
      <w:hyperlink r:id="rId1" w:history="1">
        <w:r w:rsidRPr="006C6C80">
          <w:rPr>
            <w:rStyle w:val="Hyperlink"/>
            <w:rFonts w:asciiTheme="majorHAnsi" w:hAnsiTheme="majorHAnsi" w:cs="Arial"/>
            <w:color w:val="auto"/>
            <w:sz w:val="16"/>
            <w:szCs w:val="16"/>
            <w:u w:val="none"/>
            <w:shd w:val="clear" w:color="auto" w:fill="FFFFFF"/>
          </w:rPr>
          <w:t xml:space="preserve">Case of </w:t>
        </w:r>
        <w:proofErr w:type="spellStart"/>
        <w:r w:rsidRPr="006C6C80">
          <w:rPr>
            <w:rStyle w:val="Hyperlink"/>
            <w:rFonts w:asciiTheme="majorHAnsi" w:hAnsiTheme="majorHAnsi" w:cs="Arial"/>
            <w:color w:val="auto"/>
            <w:sz w:val="16"/>
            <w:szCs w:val="16"/>
            <w:u w:val="none"/>
            <w:shd w:val="clear" w:color="auto" w:fill="FFFFFF"/>
          </w:rPr>
          <w:t>Baena</w:t>
        </w:r>
        <w:proofErr w:type="spellEnd"/>
        <w:r w:rsidRPr="006C6C80">
          <w:rPr>
            <w:rStyle w:val="Hyperlink"/>
            <w:rFonts w:asciiTheme="majorHAnsi" w:hAnsiTheme="majorHAnsi" w:cs="Arial"/>
            <w:color w:val="auto"/>
            <w:sz w:val="16"/>
            <w:szCs w:val="16"/>
            <w:u w:val="none"/>
            <w:shd w:val="clear" w:color="auto" w:fill="FFFFFF"/>
          </w:rPr>
          <w:t xml:space="preserve"> Ricardo et al. v. Panama. Merits, Reparations, and Costs. Judgment of February 2, 2001. Series C No. 72</w:t>
        </w:r>
      </w:hyperlink>
      <w:r w:rsidRPr="006C6C80">
        <w:rPr>
          <w:rFonts w:asciiTheme="majorHAnsi" w:hAnsiTheme="majorHAnsi"/>
          <w:sz w:val="16"/>
          <w:szCs w:val="16"/>
        </w:rPr>
        <w:t xml:space="preserve">, paras. 126-127; </w:t>
      </w:r>
      <w:hyperlink r:id="rId2" w:history="1">
        <w:r w:rsidRPr="006C6C80">
          <w:rPr>
            <w:rStyle w:val="Hyperlink"/>
            <w:rFonts w:asciiTheme="majorHAnsi" w:hAnsiTheme="majorHAnsi" w:cs="Arial"/>
            <w:color w:val="auto"/>
            <w:sz w:val="16"/>
            <w:szCs w:val="16"/>
            <w:u w:val="none"/>
            <w:shd w:val="clear" w:color="auto" w:fill="FFFFFF"/>
          </w:rPr>
          <w:t>Case of</w:t>
        </w:r>
        <w:r>
          <w:rPr>
            <w:rStyle w:val="Hyperlink"/>
            <w:rFonts w:asciiTheme="majorHAnsi" w:hAnsiTheme="majorHAnsi" w:cs="Arial"/>
            <w:color w:val="auto"/>
            <w:sz w:val="16"/>
            <w:szCs w:val="16"/>
            <w:u w:val="none"/>
            <w:shd w:val="clear" w:color="auto" w:fill="FFFFFF"/>
          </w:rPr>
          <w:t xml:space="preserve"> the</w:t>
        </w:r>
        <w:r w:rsidRPr="006C6C80">
          <w:rPr>
            <w:rStyle w:val="Hyperlink"/>
            <w:rFonts w:asciiTheme="majorHAnsi" w:hAnsiTheme="majorHAnsi" w:cs="Arial"/>
            <w:color w:val="auto"/>
            <w:sz w:val="16"/>
            <w:szCs w:val="16"/>
            <w:u w:val="none"/>
            <w:shd w:val="clear" w:color="auto" w:fill="FFFFFF"/>
          </w:rPr>
          <w:t xml:space="preserve"> Constitutional Court v. Peru. Merits, Reparations, and Costs. Judgment of January 31, 2001. Series C No. 71</w:t>
        </w:r>
      </w:hyperlink>
      <w:r w:rsidRPr="006C6C80">
        <w:rPr>
          <w:rFonts w:asciiTheme="majorHAnsi" w:hAnsiTheme="majorHAnsi"/>
          <w:sz w:val="16"/>
          <w:szCs w:val="16"/>
        </w:rPr>
        <w:t xml:space="preserve">, paras. 69-70; and </w:t>
      </w:r>
      <w:hyperlink r:id="rId3" w:history="1">
        <w:r w:rsidRPr="006C6C80">
          <w:rPr>
            <w:rStyle w:val="Hyperlink"/>
            <w:rFonts w:asciiTheme="majorHAnsi" w:hAnsiTheme="majorHAnsi" w:cs="Arial"/>
            <w:color w:val="auto"/>
            <w:sz w:val="16"/>
            <w:szCs w:val="16"/>
            <w:u w:val="none"/>
            <w:shd w:val="clear" w:color="auto" w:fill="FFFFFF"/>
          </w:rPr>
          <w:t xml:space="preserve">Case of </w:t>
        </w:r>
        <w:proofErr w:type="spellStart"/>
        <w:r w:rsidRPr="006C6C80">
          <w:rPr>
            <w:rStyle w:val="Hyperlink"/>
            <w:rFonts w:asciiTheme="majorHAnsi" w:hAnsiTheme="majorHAnsi" w:cs="Arial"/>
            <w:color w:val="auto"/>
            <w:sz w:val="16"/>
            <w:szCs w:val="16"/>
            <w:u w:val="none"/>
            <w:shd w:val="clear" w:color="auto" w:fill="FFFFFF"/>
          </w:rPr>
          <w:t>López</w:t>
        </w:r>
        <w:proofErr w:type="spellEnd"/>
        <w:r w:rsidRPr="006C6C80">
          <w:rPr>
            <w:rStyle w:val="Hyperlink"/>
            <w:rFonts w:asciiTheme="majorHAnsi" w:hAnsiTheme="majorHAnsi" w:cs="Arial"/>
            <w:color w:val="auto"/>
            <w:sz w:val="16"/>
            <w:szCs w:val="16"/>
            <w:u w:val="none"/>
            <w:shd w:val="clear" w:color="auto" w:fill="FFFFFF"/>
          </w:rPr>
          <w:t xml:space="preserve"> Mendoza v. Venezuela. Merits, Reparations, and Costs. Judgment of September 1, 2011 Series C No. 233</w:t>
        </w:r>
      </w:hyperlink>
      <w:r w:rsidRPr="006C6C80">
        <w:rPr>
          <w:rFonts w:asciiTheme="majorHAnsi" w:hAnsiTheme="majorHAnsi"/>
          <w:sz w:val="16"/>
          <w:szCs w:val="16"/>
        </w:rPr>
        <w:t xml:space="preserve">, para. 111. </w:t>
      </w:r>
    </w:p>
  </w:footnote>
  <w:footnote w:id="44">
    <w:p w:rsidR="0052077C" w:rsidRPr="006C6C80" w:rsidRDefault="0052077C" w:rsidP="00557337">
      <w:pPr>
        <w:pStyle w:val="FootnoteText"/>
        <w:jc w:val="both"/>
        <w:rPr>
          <w:rFonts w:asciiTheme="majorHAnsi" w:hAnsiTheme="majorHAnsi"/>
          <w:sz w:val="16"/>
          <w:szCs w:val="16"/>
        </w:rPr>
      </w:pPr>
      <w:r w:rsidRPr="006C6C80">
        <w:rPr>
          <w:rStyle w:val="FootnoteReference"/>
          <w:rFonts w:asciiTheme="majorHAnsi" w:hAnsiTheme="majorHAnsi"/>
          <w:sz w:val="16"/>
          <w:szCs w:val="16"/>
        </w:rPr>
        <w:footnoteRef/>
      </w:r>
      <w:r w:rsidRPr="006C6C80">
        <w:rPr>
          <w:rFonts w:asciiTheme="majorHAnsi" w:hAnsiTheme="majorHAnsi"/>
          <w:sz w:val="16"/>
          <w:szCs w:val="16"/>
        </w:rPr>
        <w:t xml:space="preserve"> IACHR. Access to Justice as a Guarantee of Economic, Social, and Cultural Rights. </w:t>
      </w:r>
      <w:r>
        <w:rPr>
          <w:rFonts w:asciiTheme="majorHAnsi" w:hAnsiTheme="majorHAnsi"/>
          <w:sz w:val="16"/>
          <w:szCs w:val="16"/>
        </w:rPr>
        <w:t xml:space="preserve">A Review </w:t>
      </w:r>
      <w:r w:rsidRPr="006C6C80">
        <w:rPr>
          <w:rFonts w:asciiTheme="majorHAnsi" w:hAnsiTheme="majorHAnsi"/>
          <w:sz w:val="16"/>
          <w:szCs w:val="16"/>
        </w:rPr>
        <w:t xml:space="preserve">of the Standards </w:t>
      </w:r>
      <w:r>
        <w:rPr>
          <w:rFonts w:asciiTheme="majorHAnsi" w:hAnsiTheme="majorHAnsi"/>
          <w:sz w:val="16"/>
          <w:szCs w:val="16"/>
        </w:rPr>
        <w:t>Adopted</w:t>
      </w:r>
      <w:r w:rsidRPr="006C6C80">
        <w:rPr>
          <w:rFonts w:asciiTheme="majorHAnsi" w:hAnsiTheme="majorHAnsi"/>
          <w:sz w:val="16"/>
          <w:szCs w:val="16"/>
        </w:rPr>
        <w:t xml:space="preserve"> by the Inter-American </w:t>
      </w:r>
      <w:r>
        <w:rPr>
          <w:rFonts w:asciiTheme="majorHAnsi" w:hAnsiTheme="majorHAnsi"/>
          <w:sz w:val="16"/>
          <w:szCs w:val="16"/>
        </w:rPr>
        <w:t xml:space="preserve">System of </w:t>
      </w:r>
      <w:r w:rsidRPr="006C6C80">
        <w:rPr>
          <w:rFonts w:asciiTheme="majorHAnsi" w:hAnsiTheme="majorHAnsi"/>
          <w:sz w:val="16"/>
          <w:szCs w:val="16"/>
        </w:rPr>
        <w:t>Human Rights. OEA/</w:t>
      </w:r>
      <w:proofErr w:type="spellStart"/>
      <w:r w:rsidRPr="006C6C80">
        <w:rPr>
          <w:rFonts w:asciiTheme="majorHAnsi" w:hAnsiTheme="majorHAnsi"/>
          <w:sz w:val="16"/>
          <w:szCs w:val="16"/>
        </w:rPr>
        <w:t>Ser.L</w:t>
      </w:r>
      <w:proofErr w:type="spellEnd"/>
      <w:r w:rsidRPr="006C6C80">
        <w:rPr>
          <w:rFonts w:asciiTheme="majorHAnsi" w:hAnsiTheme="majorHAnsi"/>
          <w:sz w:val="16"/>
          <w:szCs w:val="16"/>
        </w:rPr>
        <w:t xml:space="preserve">/V/II.129. September 7, 2007, paras. 98-123; and Case No. 12.828, Report 112/12, Marcel </w:t>
      </w:r>
      <w:proofErr w:type="spellStart"/>
      <w:r w:rsidRPr="006C6C80">
        <w:rPr>
          <w:rFonts w:asciiTheme="majorHAnsi" w:hAnsiTheme="majorHAnsi"/>
          <w:sz w:val="16"/>
          <w:szCs w:val="16"/>
        </w:rPr>
        <w:t>Granier</w:t>
      </w:r>
      <w:proofErr w:type="spellEnd"/>
      <w:r w:rsidRPr="006C6C80">
        <w:rPr>
          <w:rFonts w:asciiTheme="majorHAnsi" w:hAnsiTheme="majorHAnsi"/>
          <w:sz w:val="16"/>
          <w:szCs w:val="16"/>
        </w:rPr>
        <w:t xml:space="preserve"> et al., Venezuela, Merits, November 9, 2012, para. 188; I/A Court H.R. </w:t>
      </w:r>
      <w:hyperlink r:id="rId4" w:history="1">
        <w:r w:rsidRPr="006C6C80">
          <w:rPr>
            <w:rStyle w:val="Hyperlink"/>
            <w:rFonts w:asciiTheme="majorHAnsi" w:hAnsiTheme="majorHAnsi" w:cs="Arial"/>
            <w:color w:val="auto"/>
            <w:sz w:val="16"/>
            <w:szCs w:val="16"/>
            <w:u w:val="none"/>
            <w:shd w:val="clear" w:color="auto" w:fill="FFFFFF"/>
          </w:rPr>
          <w:t xml:space="preserve">Case of </w:t>
        </w:r>
        <w:proofErr w:type="spellStart"/>
        <w:r w:rsidRPr="006C6C80">
          <w:rPr>
            <w:rStyle w:val="Hyperlink"/>
            <w:rFonts w:asciiTheme="majorHAnsi" w:hAnsiTheme="majorHAnsi" w:cs="Arial"/>
            <w:color w:val="auto"/>
            <w:sz w:val="16"/>
            <w:szCs w:val="16"/>
            <w:u w:val="none"/>
            <w:shd w:val="clear" w:color="auto" w:fill="FFFFFF"/>
          </w:rPr>
          <w:t>Baena</w:t>
        </w:r>
        <w:proofErr w:type="spellEnd"/>
        <w:r w:rsidRPr="006C6C80">
          <w:rPr>
            <w:rStyle w:val="Hyperlink"/>
            <w:rFonts w:asciiTheme="majorHAnsi" w:hAnsiTheme="majorHAnsi" w:cs="Arial"/>
            <w:color w:val="auto"/>
            <w:sz w:val="16"/>
            <w:szCs w:val="16"/>
            <w:u w:val="none"/>
            <w:shd w:val="clear" w:color="auto" w:fill="FFFFFF"/>
          </w:rPr>
          <w:t xml:space="preserve"> Ricardo et al. v. Panama. Merits, Reparations, and Costs. Judgment of February 2, 2001. Series C No. 72</w:t>
        </w:r>
      </w:hyperlink>
      <w:r w:rsidRPr="006C6C80">
        <w:rPr>
          <w:rFonts w:asciiTheme="majorHAnsi" w:hAnsiTheme="majorHAnsi"/>
          <w:sz w:val="16"/>
          <w:szCs w:val="16"/>
        </w:rPr>
        <w:t>, paras. 126-127.</w:t>
      </w:r>
    </w:p>
  </w:footnote>
  <w:footnote w:id="45">
    <w:p w:rsidR="0052077C" w:rsidRPr="006C6C80" w:rsidRDefault="0052077C" w:rsidP="00557337">
      <w:pPr>
        <w:pStyle w:val="FootnoteText"/>
        <w:tabs>
          <w:tab w:val="num" w:pos="0"/>
        </w:tabs>
        <w:jc w:val="both"/>
        <w:rPr>
          <w:rFonts w:asciiTheme="majorHAnsi" w:hAnsiTheme="majorHAnsi"/>
          <w:sz w:val="16"/>
          <w:szCs w:val="16"/>
        </w:rPr>
      </w:pPr>
      <w:r w:rsidRPr="006C6C80">
        <w:rPr>
          <w:rStyle w:val="FootnoteReference"/>
          <w:rFonts w:asciiTheme="majorHAnsi" w:hAnsiTheme="majorHAnsi"/>
          <w:sz w:val="16"/>
          <w:szCs w:val="16"/>
        </w:rPr>
        <w:footnoteRef/>
      </w:r>
      <w:r w:rsidRPr="006C6C80">
        <w:rPr>
          <w:rFonts w:asciiTheme="majorHAnsi" w:hAnsiTheme="majorHAnsi"/>
          <w:sz w:val="16"/>
          <w:szCs w:val="16"/>
        </w:rPr>
        <w:t xml:space="preserve"> IACHR, Report No</w:t>
      </w:r>
      <w:r>
        <w:rPr>
          <w:rFonts w:asciiTheme="majorHAnsi" w:hAnsiTheme="majorHAnsi"/>
          <w:sz w:val="16"/>
          <w:szCs w:val="16"/>
        </w:rPr>
        <w:t>.</w:t>
      </w:r>
      <w:r w:rsidRPr="006C6C80">
        <w:rPr>
          <w:rFonts w:asciiTheme="majorHAnsi" w:hAnsiTheme="majorHAnsi"/>
          <w:sz w:val="16"/>
          <w:szCs w:val="16"/>
        </w:rPr>
        <w:t xml:space="preserve"> 99/11, Case 12.597, Report on the Merits, Miguel </w:t>
      </w:r>
      <w:proofErr w:type="spellStart"/>
      <w:r w:rsidRPr="006C6C80">
        <w:rPr>
          <w:rFonts w:asciiTheme="majorHAnsi" w:hAnsiTheme="majorHAnsi"/>
          <w:sz w:val="16"/>
          <w:szCs w:val="16"/>
        </w:rPr>
        <w:t>Camb</w:t>
      </w:r>
      <w:r>
        <w:rPr>
          <w:rFonts w:asciiTheme="majorHAnsi" w:hAnsiTheme="majorHAnsi"/>
          <w:sz w:val="16"/>
          <w:szCs w:val="16"/>
        </w:rPr>
        <w:t>a</w:t>
      </w:r>
      <w:proofErr w:type="spellEnd"/>
      <w:r>
        <w:rPr>
          <w:rFonts w:asciiTheme="majorHAnsi" w:hAnsiTheme="majorHAnsi"/>
          <w:sz w:val="16"/>
          <w:szCs w:val="16"/>
        </w:rPr>
        <w:t xml:space="preserve"> Campos et al. “Judges</w:t>
      </w:r>
      <w:r w:rsidRPr="006C6C80">
        <w:rPr>
          <w:rFonts w:asciiTheme="majorHAnsi" w:hAnsiTheme="majorHAnsi"/>
          <w:sz w:val="16"/>
          <w:szCs w:val="16"/>
        </w:rPr>
        <w:t xml:space="preserve"> of the Constitutional Court,” Ecuador, July 22, 2011, para.94; I/A Court H.R. Case of </w:t>
      </w:r>
      <w:proofErr w:type="spellStart"/>
      <w:r w:rsidRPr="006C6C80">
        <w:rPr>
          <w:rFonts w:asciiTheme="majorHAnsi" w:hAnsiTheme="majorHAnsi"/>
          <w:sz w:val="16"/>
          <w:szCs w:val="16"/>
        </w:rPr>
        <w:t>López</w:t>
      </w:r>
      <w:proofErr w:type="spellEnd"/>
      <w:r w:rsidRPr="006C6C80">
        <w:rPr>
          <w:rFonts w:asciiTheme="majorHAnsi" w:hAnsiTheme="majorHAnsi"/>
          <w:sz w:val="16"/>
          <w:szCs w:val="16"/>
        </w:rPr>
        <w:t xml:space="preserve"> Lone et al. v. Honduras. Preliminary Objection, Merits, Reparations, and Costs. Judgment of October 5, 2015. Series C No. 302, para. 257; and Case of Maldonado </w:t>
      </w:r>
      <w:proofErr w:type="spellStart"/>
      <w:r w:rsidRPr="006C6C80">
        <w:rPr>
          <w:rFonts w:asciiTheme="majorHAnsi" w:hAnsiTheme="majorHAnsi"/>
          <w:sz w:val="16"/>
          <w:szCs w:val="16"/>
        </w:rPr>
        <w:t>Ordoñez</w:t>
      </w:r>
      <w:proofErr w:type="spellEnd"/>
      <w:r w:rsidRPr="006C6C80">
        <w:rPr>
          <w:rFonts w:asciiTheme="majorHAnsi" w:hAnsiTheme="majorHAnsi"/>
          <w:sz w:val="16"/>
          <w:szCs w:val="16"/>
        </w:rPr>
        <w:t xml:space="preserve"> v. Guatemala. Preliminary Objection, Merits, Reparations, and Costs. Judgment of 3 de mayo de 2016. Series C No. 311, para. 89. I/A Court H.R. </w:t>
      </w:r>
      <w:r w:rsidRPr="006C6C80">
        <w:rPr>
          <w:rFonts w:asciiTheme="majorHAnsi" w:hAnsiTheme="majorHAnsi"/>
          <w:bCs/>
          <w:sz w:val="16"/>
          <w:szCs w:val="16"/>
        </w:rPr>
        <w:t xml:space="preserve">Case of </w:t>
      </w:r>
      <w:proofErr w:type="spellStart"/>
      <w:r w:rsidRPr="006C6C80">
        <w:rPr>
          <w:rFonts w:asciiTheme="majorHAnsi" w:hAnsiTheme="majorHAnsi"/>
          <w:bCs/>
          <w:sz w:val="16"/>
          <w:szCs w:val="16"/>
        </w:rPr>
        <w:t>Baena</w:t>
      </w:r>
      <w:proofErr w:type="spellEnd"/>
      <w:r w:rsidRPr="006C6C80">
        <w:rPr>
          <w:rFonts w:asciiTheme="majorHAnsi" w:hAnsiTheme="majorHAnsi"/>
          <w:bCs/>
          <w:sz w:val="16"/>
          <w:szCs w:val="16"/>
        </w:rPr>
        <w:t xml:space="preserve"> Ricardo et al. v. Panamá. </w:t>
      </w:r>
      <w:r w:rsidRPr="006C6C80">
        <w:rPr>
          <w:rFonts w:asciiTheme="majorHAnsi" w:hAnsiTheme="majorHAnsi"/>
          <w:sz w:val="16"/>
          <w:szCs w:val="16"/>
        </w:rPr>
        <w:t>Merits, Reparations, and Costs. Judgment of February 2, 2001. Series C No. 72, paras. 106 and 108.</w:t>
      </w:r>
    </w:p>
  </w:footnote>
  <w:footnote w:id="46">
    <w:p w:rsidR="0052077C" w:rsidRPr="006C6C80" w:rsidRDefault="0052077C" w:rsidP="00557337">
      <w:pPr>
        <w:pStyle w:val="FootnoteText"/>
        <w:jc w:val="both"/>
        <w:rPr>
          <w:rFonts w:asciiTheme="majorHAnsi" w:hAnsiTheme="majorHAnsi"/>
          <w:sz w:val="16"/>
          <w:szCs w:val="16"/>
        </w:rPr>
      </w:pPr>
      <w:r w:rsidRPr="006C6C80">
        <w:rPr>
          <w:rStyle w:val="FootnoteReference"/>
          <w:rFonts w:asciiTheme="majorHAnsi" w:hAnsiTheme="majorHAnsi"/>
          <w:sz w:val="16"/>
          <w:szCs w:val="16"/>
        </w:rPr>
        <w:footnoteRef/>
      </w:r>
      <w:r w:rsidRPr="006C6C80">
        <w:rPr>
          <w:rFonts w:asciiTheme="majorHAnsi" w:hAnsiTheme="majorHAnsi"/>
          <w:sz w:val="16"/>
          <w:szCs w:val="16"/>
        </w:rPr>
        <w:t xml:space="preserve"> Articl</w:t>
      </w:r>
      <w:r w:rsidRPr="006C6C80">
        <w:rPr>
          <w:rFonts w:asciiTheme="majorHAnsi" w:hAnsiTheme="majorHAnsi" w:cs="Times New Roman"/>
          <w:sz w:val="16"/>
          <w:szCs w:val="16"/>
        </w:rPr>
        <w:t>e 8.2 establishes that: Every person accused of a criminal offense has the right to be presumed innocent so long as his guilt has not been proven according to law. During the proceedings, every person is entitled, with full equality, to the following minimum guarantees: (…) b) prior notification in detail to the accused of the charges against him; c) adequate time and means for the preparation of his defense</w:t>
      </w:r>
      <w:r w:rsidRPr="006C6C80">
        <w:rPr>
          <w:rFonts w:asciiTheme="majorHAnsi" w:hAnsiTheme="majorHAnsi"/>
          <w:sz w:val="16"/>
          <w:szCs w:val="16"/>
        </w:rPr>
        <w:t xml:space="preserve">. </w:t>
      </w:r>
    </w:p>
  </w:footnote>
  <w:footnote w:id="47">
    <w:p w:rsidR="0052077C" w:rsidRPr="006C6C80" w:rsidRDefault="0052077C" w:rsidP="00557337">
      <w:pPr>
        <w:pStyle w:val="FootnoteText"/>
        <w:tabs>
          <w:tab w:val="left" w:pos="567"/>
        </w:tabs>
        <w:jc w:val="both"/>
        <w:rPr>
          <w:rFonts w:asciiTheme="majorHAnsi" w:hAnsiTheme="majorHAnsi"/>
          <w:sz w:val="16"/>
          <w:szCs w:val="16"/>
        </w:rPr>
      </w:pPr>
      <w:r w:rsidRPr="006C6C80">
        <w:rPr>
          <w:rStyle w:val="FootnoteReference"/>
          <w:rFonts w:asciiTheme="majorHAnsi" w:hAnsiTheme="majorHAnsi"/>
          <w:sz w:val="16"/>
          <w:szCs w:val="16"/>
        </w:rPr>
        <w:footnoteRef/>
      </w:r>
      <w:r w:rsidRPr="006C6C80">
        <w:rPr>
          <w:rFonts w:asciiTheme="majorHAnsi" w:hAnsiTheme="majorHAnsi"/>
          <w:sz w:val="16"/>
          <w:szCs w:val="16"/>
        </w:rPr>
        <w:t xml:space="preserve"> I/A Court H.R. </w:t>
      </w:r>
      <w:r w:rsidRPr="006C6C80">
        <w:rPr>
          <w:rFonts w:asciiTheme="majorHAnsi" w:hAnsiTheme="majorHAnsi" w:cs="Verdana"/>
          <w:sz w:val="16"/>
          <w:szCs w:val="16"/>
          <w:lang w:bidi="en-US"/>
        </w:rPr>
        <w:t xml:space="preserve">Case of Genie </w:t>
      </w:r>
      <w:proofErr w:type="spellStart"/>
      <w:r w:rsidRPr="006C6C80">
        <w:rPr>
          <w:rFonts w:asciiTheme="majorHAnsi" w:hAnsiTheme="majorHAnsi" w:cs="Verdana"/>
          <w:sz w:val="16"/>
          <w:szCs w:val="16"/>
          <w:lang w:bidi="en-US"/>
        </w:rPr>
        <w:t>Lacayo</w:t>
      </w:r>
      <w:proofErr w:type="spellEnd"/>
      <w:r w:rsidRPr="006C6C80">
        <w:rPr>
          <w:rFonts w:asciiTheme="majorHAnsi" w:hAnsiTheme="majorHAnsi" w:cs="Verdana"/>
          <w:sz w:val="16"/>
          <w:szCs w:val="16"/>
          <w:lang w:bidi="en-US"/>
        </w:rPr>
        <w:t xml:space="preserve"> v. Nicaragua. Merits, Reparations, and Costs. Judgment of January 29, 1997. Series C No. 30, para. 74; and </w:t>
      </w:r>
      <w:r w:rsidRPr="006C6C80">
        <w:rPr>
          <w:rFonts w:asciiTheme="majorHAnsi" w:hAnsiTheme="majorHAnsi" w:cs="Verdana"/>
          <w:iCs/>
          <w:sz w:val="16"/>
          <w:szCs w:val="16"/>
          <w:lang w:bidi="en-US"/>
        </w:rPr>
        <w:t xml:space="preserve">Case of Cabrera García and Montiel Flores v. Mexico. Preliminary Objection, Merits, Reparations, and Costs. Judgment of November 26, 2010. Series C No. 220, </w:t>
      </w:r>
      <w:r w:rsidRPr="006C6C80">
        <w:rPr>
          <w:rFonts w:asciiTheme="majorHAnsi" w:hAnsiTheme="majorHAnsi" w:cs="Verdana"/>
          <w:sz w:val="16"/>
          <w:szCs w:val="16"/>
          <w:lang w:bidi="en-US"/>
        </w:rPr>
        <w:t>para. 140.</w:t>
      </w:r>
    </w:p>
  </w:footnote>
  <w:footnote w:id="48">
    <w:p w:rsidR="0052077C" w:rsidRPr="00B0202B" w:rsidRDefault="0052077C" w:rsidP="00557337">
      <w:pPr>
        <w:autoSpaceDE w:val="0"/>
        <w:autoSpaceDN w:val="0"/>
        <w:adjustRightInd w:val="0"/>
        <w:jc w:val="both"/>
        <w:rPr>
          <w:rFonts w:asciiTheme="majorHAnsi" w:hAnsiTheme="majorHAnsi"/>
          <w:sz w:val="16"/>
          <w:szCs w:val="16"/>
          <w:lang w:val="es-US"/>
        </w:rPr>
      </w:pPr>
      <w:r w:rsidRPr="006C6C80">
        <w:rPr>
          <w:rStyle w:val="FootnoteReference"/>
          <w:rFonts w:asciiTheme="majorHAnsi" w:hAnsiTheme="majorHAnsi"/>
          <w:sz w:val="16"/>
          <w:szCs w:val="16"/>
        </w:rPr>
        <w:footnoteRef/>
      </w:r>
      <w:r w:rsidRPr="006C6C80">
        <w:rPr>
          <w:rFonts w:asciiTheme="majorHAnsi" w:hAnsiTheme="majorHAnsi"/>
          <w:sz w:val="16"/>
          <w:szCs w:val="16"/>
        </w:rPr>
        <w:t xml:space="preserve"> Thus, the Commission has indicated that: “To provide a hearing to a person under investigation implies permitting him to defend himself adequately, with the assistance of an attorney, in knowledge of all the evidence mounted against him; to provide him with a hearing is to permit him to be present at the examination of any witnesses that testify against him to permit him to challenge their testimony, and to cross-examine them in order to discredit their incriminating statements as contradictory or false; to provide an accused with a hearing is to give him the opportunity to deny and to detract from the documents sought to be used against him.” </w:t>
      </w:r>
      <w:r w:rsidRPr="00B0202B">
        <w:rPr>
          <w:rFonts w:asciiTheme="majorHAnsi" w:hAnsiTheme="majorHAnsi" w:cs="PalatinoLinotype-Roman"/>
          <w:sz w:val="16"/>
          <w:szCs w:val="16"/>
          <w:lang w:val="es-US"/>
        </w:rPr>
        <w:t xml:space="preserve">IACHR. </w:t>
      </w:r>
      <w:proofErr w:type="spellStart"/>
      <w:r w:rsidRPr="00B0202B">
        <w:rPr>
          <w:rFonts w:asciiTheme="majorHAnsi" w:hAnsiTheme="majorHAnsi" w:cs="PalatinoLinotype-Roman"/>
          <w:sz w:val="16"/>
          <w:szCs w:val="16"/>
          <w:lang w:val="es-US"/>
        </w:rPr>
        <w:t>Report</w:t>
      </w:r>
      <w:proofErr w:type="spellEnd"/>
      <w:r w:rsidRPr="00B0202B">
        <w:rPr>
          <w:rFonts w:asciiTheme="majorHAnsi" w:hAnsiTheme="majorHAnsi" w:cs="PalatinoLinotype-Roman"/>
          <w:sz w:val="16"/>
          <w:szCs w:val="16"/>
          <w:lang w:val="es-US"/>
        </w:rPr>
        <w:t xml:space="preserve"> No. 50/00 of Case 11.298, </w:t>
      </w:r>
      <w:r w:rsidRPr="00B0202B">
        <w:rPr>
          <w:rFonts w:asciiTheme="majorHAnsi" w:hAnsiTheme="majorHAnsi" w:cs="PalatinoLinotype-Italic"/>
          <w:iCs/>
          <w:sz w:val="16"/>
          <w:szCs w:val="16"/>
          <w:lang w:val="es-US"/>
        </w:rPr>
        <w:t>Reinaldo Figueredo Planchart v. Venezuela</w:t>
      </w:r>
      <w:r w:rsidRPr="00B0202B">
        <w:rPr>
          <w:rFonts w:asciiTheme="majorHAnsi" w:hAnsiTheme="majorHAnsi" w:cs="PalatinoLinotype-Roman"/>
          <w:sz w:val="16"/>
          <w:szCs w:val="16"/>
          <w:lang w:val="es-US"/>
        </w:rPr>
        <w:t>, para.112.</w:t>
      </w:r>
    </w:p>
  </w:footnote>
  <w:footnote w:id="49">
    <w:p w:rsidR="0052077C" w:rsidRPr="006C6C80" w:rsidRDefault="0052077C" w:rsidP="00557337">
      <w:pPr>
        <w:pStyle w:val="FootnoteText"/>
        <w:jc w:val="both"/>
        <w:rPr>
          <w:rFonts w:asciiTheme="majorHAnsi" w:hAnsiTheme="majorHAnsi"/>
          <w:sz w:val="16"/>
          <w:szCs w:val="16"/>
        </w:rPr>
      </w:pPr>
      <w:r w:rsidRPr="006C6C80">
        <w:rPr>
          <w:rStyle w:val="FootnoteReference"/>
          <w:rFonts w:asciiTheme="majorHAnsi" w:hAnsiTheme="majorHAnsi"/>
          <w:sz w:val="16"/>
          <w:szCs w:val="16"/>
        </w:rPr>
        <w:footnoteRef/>
      </w:r>
      <w:r w:rsidRPr="006C6C80">
        <w:rPr>
          <w:rFonts w:asciiTheme="majorHAnsi" w:hAnsiTheme="majorHAnsi"/>
          <w:sz w:val="16"/>
          <w:szCs w:val="16"/>
        </w:rPr>
        <w:t xml:space="preserve"> I/A Court H.R. </w:t>
      </w:r>
      <w:r w:rsidRPr="006C6C80">
        <w:rPr>
          <w:rFonts w:asciiTheme="majorHAnsi" w:hAnsiTheme="majorHAnsi"/>
          <w:bCs/>
          <w:sz w:val="16"/>
          <w:szCs w:val="16"/>
        </w:rPr>
        <w:t xml:space="preserve">Case of </w:t>
      </w:r>
      <w:proofErr w:type="spellStart"/>
      <w:r w:rsidRPr="006C6C80">
        <w:rPr>
          <w:rFonts w:asciiTheme="majorHAnsi" w:hAnsiTheme="majorHAnsi"/>
          <w:bCs/>
          <w:sz w:val="16"/>
          <w:szCs w:val="16"/>
        </w:rPr>
        <w:t>Apitz</w:t>
      </w:r>
      <w:proofErr w:type="spellEnd"/>
      <w:r w:rsidRPr="006C6C80">
        <w:rPr>
          <w:rFonts w:asciiTheme="majorHAnsi" w:hAnsiTheme="majorHAnsi"/>
          <w:bCs/>
          <w:sz w:val="16"/>
          <w:szCs w:val="16"/>
        </w:rPr>
        <w:t xml:space="preserve"> </w:t>
      </w:r>
      <w:proofErr w:type="spellStart"/>
      <w:r w:rsidRPr="006C6C80">
        <w:rPr>
          <w:rFonts w:asciiTheme="majorHAnsi" w:hAnsiTheme="majorHAnsi"/>
          <w:bCs/>
          <w:sz w:val="16"/>
          <w:szCs w:val="16"/>
        </w:rPr>
        <w:t>Barbera</w:t>
      </w:r>
      <w:proofErr w:type="spellEnd"/>
      <w:r w:rsidRPr="006C6C80">
        <w:rPr>
          <w:rFonts w:asciiTheme="majorHAnsi" w:hAnsiTheme="majorHAnsi"/>
          <w:bCs/>
          <w:sz w:val="16"/>
          <w:szCs w:val="16"/>
        </w:rPr>
        <w:t xml:space="preserve"> et al. (“First Court of Administrative Disputes”) v. Venezuela. </w:t>
      </w:r>
      <w:r w:rsidRPr="006C6C80">
        <w:rPr>
          <w:rFonts w:asciiTheme="majorHAnsi" w:hAnsiTheme="majorHAnsi"/>
          <w:sz w:val="16"/>
          <w:szCs w:val="16"/>
        </w:rPr>
        <w:t>Preliminary Objection, Merits, Reparations, and Costs. Judgment of August 5, 2008. Series C No 182, para. 75.</w:t>
      </w:r>
    </w:p>
  </w:footnote>
  <w:footnote w:id="50">
    <w:p w:rsidR="0052077C" w:rsidRPr="006C6C80" w:rsidRDefault="0052077C" w:rsidP="00557337">
      <w:pPr>
        <w:pStyle w:val="FootnoteText"/>
        <w:jc w:val="both"/>
        <w:rPr>
          <w:rFonts w:asciiTheme="majorHAnsi" w:hAnsiTheme="majorHAnsi"/>
          <w:sz w:val="16"/>
          <w:szCs w:val="16"/>
        </w:rPr>
      </w:pPr>
      <w:r w:rsidRPr="006C6C80">
        <w:rPr>
          <w:rStyle w:val="FootnoteReference"/>
          <w:rFonts w:asciiTheme="majorHAnsi" w:hAnsiTheme="majorHAnsi"/>
          <w:sz w:val="16"/>
          <w:szCs w:val="16"/>
        </w:rPr>
        <w:footnoteRef/>
      </w:r>
      <w:r w:rsidRPr="006C6C80">
        <w:rPr>
          <w:rFonts w:asciiTheme="majorHAnsi" w:hAnsiTheme="majorHAnsi"/>
          <w:sz w:val="16"/>
          <w:szCs w:val="16"/>
        </w:rPr>
        <w:t xml:space="preserve"> I/A Court H.R. Case of the Constitutional Court. Judgment of Judgment 31, 2001. Series C No. 74, paras. 73 and 74. IACHR, Report No. 30/97. Case 10.087 (Merits) Gustavo Carranza, Argentina, September 30, 1997, para. 68.</w:t>
      </w:r>
    </w:p>
  </w:footnote>
  <w:footnote w:id="51">
    <w:p w:rsidR="0052077C" w:rsidRPr="006C6C80" w:rsidRDefault="0052077C" w:rsidP="00557337">
      <w:pPr>
        <w:jc w:val="both"/>
        <w:rPr>
          <w:rFonts w:asciiTheme="majorHAnsi" w:hAnsiTheme="majorHAnsi"/>
          <w:sz w:val="16"/>
          <w:szCs w:val="16"/>
        </w:rPr>
      </w:pPr>
      <w:r w:rsidRPr="006C6C80">
        <w:rPr>
          <w:rStyle w:val="FootnoteReference"/>
          <w:rFonts w:asciiTheme="majorHAnsi" w:hAnsiTheme="majorHAnsi"/>
          <w:sz w:val="16"/>
          <w:szCs w:val="16"/>
        </w:rPr>
        <w:footnoteRef/>
      </w:r>
      <w:r w:rsidRPr="006C6C80">
        <w:rPr>
          <w:rFonts w:asciiTheme="majorHAnsi" w:hAnsiTheme="majorHAnsi"/>
          <w:sz w:val="16"/>
          <w:szCs w:val="16"/>
        </w:rPr>
        <w:t xml:space="preserve"> I/A Court H.R., Case of the Constitutional Court v. Peru. Judgment of January 31, 2001. Series C No. 71, paras. 81-83.</w:t>
      </w:r>
    </w:p>
  </w:footnote>
  <w:footnote w:id="52">
    <w:p w:rsidR="0052077C" w:rsidRPr="006C6C80" w:rsidRDefault="0052077C" w:rsidP="00557337">
      <w:pPr>
        <w:pStyle w:val="FootnoteText"/>
        <w:jc w:val="both"/>
      </w:pPr>
      <w:r w:rsidRPr="006C6C80">
        <w:rPr>
          <w:rStyle w:val="FootnoteReference"/>
          <w:rFonts w:asciiTheme="majorHAnsi" w:hAnsiTheme="majorHAnsi"/>
          <w:sz w:val="16"/>
          <w:szCs w:val="16"/>
        </w:rPr>
        <w:footnoteRef/>
      </w:r>
      <w:r w:rsidRPr="006C6C80">
        <w:rPr>
          <w:rFonts w:asciiTheme="majorHAnsi" w:hAnsiTheme="majorHAnsi"/>
          <w:sz w:val="16"/>
          <w:szCs w:val="16"/>
        </w:rPr>
        <w:t xml:space="preserve"> I/A Court H.R. Case of </w:t>
      </w:r>
      <w:proofErr w:type="spellStart"/>
      <w:r w:rsidRPr="006C6C80">
        <w:rPr>
          <w:rFonts w:asciiTheme="majorHAnsi" w:hAnsiTheme="majorHAnsi"/>
          <w:sz w:val="16"/>
          <w:szCs w:val="16"/>
        </w:rPr>
        <w:t>Baena</w:t>
      </w:r>
      <w:proofErr w:type="spellEnd"/>
      <w:r w:rsidRPr="006C6C80">
        <w:rPr>
          <w:rFonts w:asciiTheme="majorHAnsi" w:hAnsiTheme="majorHAnsi"/>
          <w:sz w:val="16"/>
          <w:szCs w:val="16"/>
        </w:rPr>
        <w:t xml:space="preserve"> Ricardo et al. v. Panama. Merits, Reparations, and Costs. Judgment of February 2, 2001. Series C no. 72, paras. 132 and 133.</w:t>
      </w:r>
    </w:p>
  </w:footnote>
  <w:footnote w:id="53">
    <w:p w:rsidR="0052077C" w:rsidRPr="006C6C80" w:rsidRDefault="0052077C" w:rsidP="00557337">
      <w:pPr>
        <w:pStyle w:val="FootnoteText"/>
        <w:jc w:val="both"/>
        <w:rPr>
          <w:rFonts w:asciiTheme="majorHAnsi" w:hAnsiTheme="majorHAnsi"/>
          <w:sz w:val="16"/>
          <w:szCs w:val="16"/>
        </w:rPr>
      </w:pPr>
      <w:r w:rsidRPr="006C6C80">
        <w:rPr>
          <w:rStyle w:val="FootnoteReference"/>
          <w:rFonts w:asciiTheme="majorHAnsi" w:hAnsiTheme="majorHAnsi"/>
          <w:sz w:val="16"/>
          <w:szCs w:val="16"/>
        </w:rPr>
        <w:footnoteRef/>
      </w:r>
      <w:r w:rsidRPr="006C6C80">
        <w:rPr>
          <w:rFonts w:asciiTheme="majorHAnsi" w:hAnsiTheme="majorHAnsi"/>
          <w:sz w:val="16"/>
          <w:szCs w:val="16"/>
        </w:rPr>
        <w:t xml:space="preserve"> Article 26 of the American Convention establishes that: The States Parties undertake to adopt measures, both internally and through international cooperation, especially those of an economic and technical nature, with a view to achieving progressively, by legislation or other appropriate means, the full realization of the rights implicit in the economic, social, educational, scientific, and cultural standards set forth in the Charter of the Organization of American States as amended by the Protocol of Buenos Aires.</w:t>
      </w:r>
    </w:p>
  </w:footnote>
  <w:footnote w:id="54">
    <w:p w:rsidR="0052077C" w:rsidRPr="006C6C80" w:rsidRDefault="0052077C" w:rsidP="00557337">
      <w:pPr>
        <w:pStyle w:val="FootnoteText"/>
        <w:jc w:val="both"/>
        <w:rPr>
          <w:rFonts w:asciiTheme="majorHAnsi" w:hAnsiTheme="majorHAnsi"/>
          <w:sz w:val="16"/>
          <w:szCs w:val="16"/>
          <w:highlight w:val="green"/>
        </w:rPr>
      </w:pPr>
      <w:r w:rsidRPr="006C6C80">
        <w:rPr>
          <w:rStyle w:val="FootnoteReference"/>
          <w:rFonts w:ascii="Cambria" w:hAnsi="Cambria"/>
          <w:b/>
          <w:sz w:val="16"/>
          <w:szCs w:val="16"/>
        </w:rPr>
        <w:footnoteRef/>
      </w:r>
      <w:r w:rsidRPr="006C6C80">
        <w:rPr>
          <w:rFonts w:ascii="Cambria" w:hAnsi="Cambria"/>
          <w:b/>
          <w:sz w:val="16"/>
          <w:szCs w:val="16"/>
        </w:rPr>
        <w:t xml:space="preserve"> </w:t>
      </w:r>
      <w:r w:rsidRPr="006C6C80">
        <w:rPr>
          <w:rStyle w:val="Strong"/>
          <w:rFonts w:ascii="Cambria" w:eastAsia="Times New Roman" w:hAnsi="Cambria"/>
          <w:b w:val="0"/>
          <w:sz w:val="16"/>
          <w:szCs w:val="16"/>
        </w:rPr>
        <w:t>See for example:</w:t>
      </w:r>
      <w:r w:rsidRPr="006C6C80">
        <w:rPr>
          <w:rStyle w:val="Strong"/>
          <w:rFonts w:ascii="Cambria" w:eastAsia="Times New Roman" w:hAnsi="Cambria"/>
          <w:sz w:val="16"/>
          <w:szCs w:val="16"/>
        </w:rPr>
        <w:t xml:space="preserve"> </w:t>
      </w:r>
      <w:r w:rsidRPr="006C6C80">
        <w:rPr>
          <w:rFonts w:ascii="Cambria" w:hAnsi="Cambria" w:cs="Times New Roman"/>
          <w:bCs/>
          <w:sz w:val="16"/>
          <w:szCs w:val="16"/>
        </w:rPr>
        <w:t xml:space="preserve">I/A Court H.R. Case of </w:t>
      </w:r>
      <w:proofErr w:type="spellStart"/>
      <w:r w:rsidRPr="006C6C80">
        <w:rPr>
          <w:rFonts w:ascii="Cambria" w:hAnsi="Cambria" w:cs="Times New Roman"/>
          <w:bCs/>
          <w:sz w:val="16"/>
          <w:szCs w:val="16"/>
        </w:rPr>
        <w:t>Cuscul</w:t>
      </w:r>
      <w:proofErr w:type="spellEnd"/>
      <w:r w:rsidRPr="006C6C80">
        <w:rPr>
          <w:rFonts w:ascii="Cambria" w:hAnsi="Cambria" w:cs="Times New Roman"/>
          <w:bCs/>
          <w:sz w:val="16"/>
          <w:szCs w:val="16"/>
        </w:rPr>
        <w:t xml:space="preserve"> </w:t>
      </w:r>
      <w:proofErr w:type="spellStart"/>
      <w:r w:rsidRPr="006C6C80">
        <w:rPr>
          <w:rFonts w:ascii="Cambria" w:hAnsi="Cambria" w:cs="Times New Roman"/>
          <w:bCs/>
          <w:sz w:val="16"/>
          <w:szCs w:val="16"/>
        </w:rPr>
        <w:t>Pivaral</w:t>
      </w:r>
      <w:proofErr w:type="spellEnd"/>
      <w:r w:rsidRPr="006C6C80">
        <w:rPr>
          <w:rFonts w:ascii="Cambria" w:hAnsi="Cambria" w:cs="Times New Roman"/>
          <w:bCs/>
          <w:sz w:val="16"/>
          <w:szCs w:val="16"/>
        </w:rPr>
        <w:t xml:space="preserve"> et al. v. Guatemala. Preliminary Objection, Merits, Reparations, and Costs. Judgment of August 23, 2018. Series C No. 359, paras. 74-97; </w:t>
      </w:r>
      <w:r w:rsidRPr="006C6C80">
        <w:rPr>
          <w:rStyle w:val="Strong"/>
          <w:rFonts w:ascii="Cambria" w:eastAsia="Times New Roman" w:hAnsi="Cambria"/>
          <w:b w:val="0"/>
          <w:sz w:val="16"/>
          <w:szCs w:val="16"/>
        </w:rPr>
        <w:t xml:space="preserve">I/A Court H.R. Case of Lagos </w:t>
      </w:r>
      <w:proofErr w:type="gramStart"/>
      <w:r w:rsidRPr="006C6C80">
        <w:rPr>
          <w:rStyle w:val="Strong"/>
          <w:rFonts w:ascii="Cambria" w:eastAsia="Times New Roman" w:hAnsi="Cambria"/>
          <w:b w:val="0"/>
          <w:sz w:val="16"/>
          <w:szCs w:val="16"/>
        </w:rPr>
        <w:t>del</w:t>
      </w:r>
      <w:proofErr w:type="gramEnd"/>
      <w:r w:rsidRPr="006C6C80">
        <w:rPr>
          <w:rStyle w:val="Strong"/>
          <w:rFonts w:ascii="Cambria" w:eastAsia="Times New Roman" w:hAnsi="Cambria"/>
          <w:b w:val="0"/>
          <w:sz w:val="16"/>
          <w:szCs w:val="16"/>
        </w:rPr>
        <w:t xml:space="preserve"> Campo v. Peru. Preliminary Objections, Merits, Reparations, and Costs</w:t>
      </w:r>
      <w:r w:rsidRPr="006C6C80">
        <w:rPr>
          <w:rStyle w:val="Strong"/>
          <w:rFonts w:asciiTheme="majorHAnsi" w:eastAsia="Times New Roman" w:hAnsiTheme="majorHAnsi"/>
          <w:b w:val="0"/>
          <w:sz w:val="16"/>
          <w:szCs w:val="16"/>
        </w:rPr>
        <w:t xml:space="preserve">. Judgment of August 31, 2017. Series C No. 340, para. 141; and </w:t>
      </w:r>
      <w:r w:rsidRPr="006C6C80">
        <w:rPr>
          <w:rFonts w:asciiTheme="majorHAnsi" w:hAnsiTheme="majorHAnsi" w:cs="Helvetica"/>
          <w:color w:val="141413"/>
          <w:sz w:val="16"/>
          <w:szCs w:val="16"/>
          <w:lang w:bidi="en-US"/>
        </w:rPr>
        <w:t xml:space="preserve">Case of Acevedo </w:t>
      </w:r>
      <w:proofErr w:type="spellStart"/>
      <w:r w:rsidRPr="006C6C80">
        <w:rPr>
          <w:rFonts w:asciiTheme="majorHAnsi" w:hAnsiTheme="majorHAnsi" w:cs="Helvetica"/>
          <w:color w:val="141413"/>
          <w:sz w:val="16"/>
          <w:szCs w:val="16"/>
          <w:lang w:bidi="en-US"/>
        </w:rPr>
        <w:t>Buendía</w:t>
      </w:r>
      <w:proofErr w:type="spellEnd"/>
      <w:r w:rsidRPr="006C6C80">
        <w:rPr>
          <w:rFonts w:asciiTheme="majorHAnsi" w:hAnsiTheme="majorHAnsi" w:cs="Helvetica"/>
          <w:color w:val="141413"/>
          <w:sz w:val="16"/>
          <w:szCs w:val="16"/>
          <w:lang w:bidi="en-US"/>
        </w:rPr>
        <w:t xml:space="preserve"> et al. (“Dis</w:t>
      </w:r>
      <w:r>
        <w:rPr>
          <w:rFonts w:asciiTheme="majorHAnsi" w:hAnsiTheme="majorHAnsi" w:cs="Helvetica"/>
          <w:color w:val="141413"/>
          <w:sz w:val="16"/>
          <w:szCs w:val="16"/>
          <w:lang w:bidi="en-US"/>
        </w:rPr>
        <w:t>charged</w:t>
      </w:r>
      <w:r w:rsidRPr="006C6C80">
        <w:rPr>
          <w:rFonts w:asciiTheme="majorHAnsi" w:hAnsiTheme="majorHAnsi" w:cs="Helvetica"/>
          <w:color w:val="141413"/>
          <w:sz w:val="16"/>
          <w:szCs w:val="16"/>
          <w:lang w:bidi="en-US"/>
        </w:rPr>
        <w:t xml:space="preserve"> and Retired Employees of the Comptroller”) v. Peru (Preliminary Objection, Merits, Reparations, and Costs), Judgment of July 1, 2009, para. 101.</w:t>
      </w:r>
    </w:p>
  </w:footnote>
  <w:footnote w:id="55">
    <w:p w:rsidR="0052077C" w:rsidRPr="006C6C80" w:rsidRDefault="0052077C" w:rsidP="00C35054">
      <w:pPr>
        <w:pStyle w:val="FootnoteText"/>
        <w:jc w:val="both"/>
        <w:rPr>
          <w:rFonts w:asciiTheme="majorHAnsi" w:hAnsiTheme="majorHAnsi"/>
          <w:sz w:val="16"/>
          <w:szCs w:val="16"/>
        </w:rPr>
      </w:pPr>
      <w:r w:rsidRPr="006C6C80">
        <w:rPr>
          <w:rStyle w:val="FootnoteReference"/>
          <w:rFonts w:asciiTheme="majorHAnsi" w:hAnsiTheme="majorHAnsi"/>
          <w:sz w:val="16"/>
          <w:szCs w:val="16"/>
        </w:rPr>
        <w:footnoteRef/>
      </w:r>
      <w:r>
        <w:rPr>
          <w:rFonts w:asciiTheme="majorHAnsi" w:hAnsiTheme="majorHAnsi"/>
          <w:sz w:val="16"/>
          <w:szCs w:val="16"/>
        </w:rPr>
        <w:t xml:space="preserve"> IACHR. Seventh Report on the Situation of Human Rights in Cuba</w:t>
      </w:r>
      <w:r w:rsidRPr="006C6C80">
        <w:rPr>
          <w:rFonts w:asciiTheme="majorHAnsi" w:hAnsiTheme="majorHAnsi"/>
          <w:sz w:val="16"/>
          <w:szCs w:val="16"/>
        </w:rPr>
        <w:t>, 1983, OEA/</w:t>
      </w:r>
      <w:proofErr w:type="spellStart"/>
      <w:r w:rsidRPr="006C6C80">
        <w:rPr>
          <w:rFonts w:asciiTheme="majorHAnsi" w:hAnsiTheme="majorHAnsi"/>
          <w:sz w:val="16"/>
          <w:szCs w:val="16"/>
        </w:rPr>
        <w:t>Ser.L</w:t>
      </w:r>
      <w:proofErr w:type="spellEnd"/>
      <w:r w:rsidRPr="006C6C80">
        <w:rPr>
          <w:rFonts w:asciiTheme="majorHAnsi" w:hAnsiTheme="majorHAnsi"/>
          <w:sz w:val="16"/>
          <w:szCs w:val="16"/>
        </w:rPr>
        <w:t xml:space="preserve">/V/II.61, Doc. 29, rev.1, October 4, 1983, pp. 159 and 160, paras. 52 and 53. </w:t>
      </w:r>
    </w:p>
  </w:footnote>
  <w:footnote w:id="56">
    <w:p w:rsidR="0052077C" w:rsidRPr="006C6C80" w:rsidRDefault="0052077C" w:rsidP="00557337">
      <w:pPr>
        <w:pStyle w:val="FootnoteText"/>
        <w:jc w:val="both"/>
        <w:rPr>
          <w:rFonts w:asciiTheme="majorHAnsi" w:hAnsiTheme="majorHAnsi"/>
          <w:sz w:val="16"/>
          <w:szCs w:val="16"/>
        </w:rPr>
      </w:pPr>
      <w:r w:rsidRPr="006C6C80">
        <w:rPr>
          <w:rStyle w:val="FootnoteReference"/>
          <w:rFonts w:asciiTheme="majorHAnsi" w:hAnsiTheme="majorHAnsi"/>
          <w:sz w:val="16"/>
          <w:szCs w:val="16"/>
        </w:rPr>
        <w:footnoteRef/>
      </w:r>
      <w:r w:rsidRPr="006C6C80">
        <w:rPr>
          <w:rFonts w:asciiTheme="majorHAnsi" w:hAnsiTheme="majorHAnsi"/>
          <w:sz w:val="16"/>
          <w:szCs w:val="16"/>
        </w:rPr>
        <w:t xml:space="preserve"> IACHR, Report No. 25/18, Case 12.428. Admissibility and Merits. Employees </w:t>
      </w:r>
      <w:r>
        <w:rPr>
          <w:rFonts w:asciiTheme="majorHAnsi" w:hAnsiTheme="majorHAnsi"/>
          <w:sz w:val="16"/>
          <w:szCs w:val="16"/>
        </w:rPr>
        <w:t>at</w:t>
      </w:r>
      <w:r w:rsidRPr="006C6C80">
        <w:rPr>
          <w:rFonts w:asciiTheme="majorHAnsi" w:hAnsiTheme="majorHAnsi"/>
          <w:sz w:val="16"/>
          <w:szCs w:val="16"/>
        </w:rPr>
        <w:t xml:space="preserve"> the Fireworks Factory in Santo Antonio de Jesus and</w:t>
      </w:r>
      <w:r>
        <w:rPr>
          <w:rFonts w:asciiTheme="majorHAnsi" w:hAnsiTheme="majorHAnsi"/>
          <w:sz w:val="16"/>
          <w:szCs w:val="16"/>
        </w:rPr>
        <w:t xml:space="preserve"> Their Family Members</w:t>
      </w:r>
      <w:r w:rsidRPr="006C6C80">
        <w:rPr>
          <w:rFonts w:asciiTheme="majorHAnsi" w:hAnsiTheme="majorHAnsi"/>
          <w:sz w:val="16"/>
          <w:szCs w:val="16"/>
        </w:rPr>
        <w:t>. Brazil. March 2, 2018, para. 130.</w:t>
      </w:r>
    </w:p>
  </w:footnote>
  <w:footnote w:id="57">
    <w:p w:rsidR="0052077C" w:rsidRPr="006C6C80" w:rsidRDefault="0052077C" w:rsidP="00557337">
      <w:pPr>
        <w:pStyle w:val="FootnoteText"/>
        <w:jc w:val="both"/>
        <w:rPr>
          <w:rFonts w:asciiTheme="majorHAnsi" w:hAnsiTheme="majorHAnsi"/>
          <w:sz w:val="16"/>
          <w:szCs w:val="16"/>
        </w:rPr>
      </w:pPr>
      <w:r w:rsidRPr="006C6C80">
        <w:rPr>
          <w:rStyle w:val="FootnoteReference"/>
          <w:rFonts w:asciiTheme="majorHAnsi" w:hAnsiTheme="majorHAnsi"/>
          <w:sz w:val="16"/>
          <w:szCs w:val="16"/>
        </w:rPr>
        <w:footnoteRef/>
      </w:r>
      <w:r w:rsidRPr="006C6C80">
        <w:rPr>
          <w:rFonts w:asciiTheme="majorHAnsi" w:hAnsiTheme="majorHAnsi"/>
          <w:sz w:val="16"/>
          <w:szCs w:val="16"/>
        </w:rPr>
        <w:t xml:space="preserve"> IACHR</w:t>
      </w:r>
      <w:r>
        <w:rPr>
          <w:rFonts w:asciiTheme="majorHAnsi" w:hAnsiTheme="majorHAnsi"/>
          <w:sz w:val="16"/>
          <w:szCs w:val="16"/>
        </w:rPr>
        <w:t>.</w:t>
      </w:r>
      <w:r w:rsidRPr="006C6C80">
        <w:rPr>
          <w:rFonts w:asciiTheme="majorHAnsi" w:hAnsiTheme="majorHAnsi"/>
          <w:sz w:val="16"/>
          <w:szCs w:val="16"/>
        </w:rPr>
        <w:t xml:space="preserve"> Report No. 25/18, Case 12.428. Admissi</w:t>
      </w:r>
      <w:r>
        <w:rPr>
          <w:rFonts w:asciiTheme="majorHAnsi" w:hAnsiTheme="majorHAnsi"/>
          <w:sz w:val="16"/>
          <w:szCs w:val="16"/>
        </w:rPr>
        <w:t xml:space="preserve">bility and Merits. Employees at </w:t>
      </w:r>
      <w:r w:rsidRPr="006C6C80">
        <w:rPr>
          <w:rFonts w:asciiTheme="majorHAnsi" w:hAnsiTheme="majorHAnsi"/>
          <w:sz w:val="16"/>
          <w:szCs w:val="16"/>
        </w:rPr>
        <w:t xml:space="preserve">the Fireworks Factory in Santo Antonio de Jesus and their </w:t>
      </w:r>
      <w:r>
        <w:rPr>
          <w:rFonts w:asciiTheme="majorHAnsi" w:hAnsiTheme="majorHAnsi"/>
          <w:sz w:val="16"/>
          <w:szCs w:val="16"/>
        </w:rPr>
        <w:t>Family Members</w:t>
      </w:r>
      <w:r w:rsidRPr="006C6C80">
        <w:rPr>
          <w:rFonts w:asciiTheme="majorHAnsi" w:hAnsiTheme="majorHAnsi"/>
          <w:sz w:val="16"/>
          <w:szCs w:val="16"/>
        </w:rPr>
        <w:t>. Brazil. March 2, 2018, para. 134.</w:t>
      </w:r>
    </w:p>
  </w:footnote>
  <w:footnote w:id="58">
    <w:p w:rsidR="0052077C" w:rsidRPr="006C6C80" w:rsidRDefault="0052077C" w:rsidP="00557337">
      <w:pPr>
        <w:jc w:val="both"/>
        <w:rPr>
          <w:rFonts w:asciiTheme="majorHAnsi" w:eastAsia="Times New Roman" w:hAnsiTheme="majorHAnsi"/>
          <w:sz w:val="16"/>
          <w:szCs w:val="16"/>
        </w:rPr>
      </w:pPr>
      <w:r w:rsidRPr="006C6C80">
        <w:rPr>
          <w:rStyle w:val="FootnoteReference"/>
          <w:rFonts w:asciiTheme="majorHAnsi" w:hAnsiTheme="majorHAnsi"/>
          <w:sz w:val="16"/>
          <w:szCs w:val="16"/>
        </w:rPr>
        <w:footnoteRef/>
      </w:r>
      <w:r w:rsidRPr="006C6C80">
        <w:rPr>
          <w:rFonts w:asciiTheme="majorHAnsi" w:hAnsiTheme="majorHAnsi"/>
          <w:sz w:val="16"/>
          <w:szCs w:val="16"/>
        </w:rPr>
        <w:t xml:space="preserve"> United Nations Committee on Economic, Social and Cultural Rights. General Comment</w:t>
      </w:r>
      <w:r w:rsidRPr="006C6C80">
        <w:rPr>
          <w:rFonts w:asciiTheme="majorHAnsi" w:eastAsia="Times New Roman" w:hAnsiTheme="majorHAnsi"/>
          <w:iCs/>
          <w:color w:val="000000"/>
          <w:sz w:val="16"/>
          <w:szCs w:val="16"/>
        </w:rPr>
        <w:t xml:space="preserve"> 3: The Nature of States Parties Obligations (paragraph 1 of Article 2 of the Covenant)</w:t>
      </w:r>
      <w:r w:rsidRPr="006C6C80">
        <w:rPr>
          <w:rFonts w:asciiTheme="majorHAnsi" w:eastAsia="Times New Roman" w:hAnsiTheme="majorHAnsi"/>
          <w:color w:val="000000"/>
          <w:sz w:val="16"/>
          <w:szCs w:val="16"/>
        </w:rPr>
        <w:t xml:space="preserve">, 1990. In that regard, see: </w:t>
      </w:r>
      <w:r w:rsidRPr="006C6C80">
        <w:rPr>
          <w:rFonts w:asciiTheme="majorHAnsi" w:hAnsiTheme="majorHAnsi"/>
          <w:sz w:val="16"/>
          <w:szCs w:val="16"/>
        </w:rPr>
        <w:t>IACHR. Report on Poverty and Human Rights in the Americas. OEA/</w:t>
      </w:r>
      <w:proofErr w:type="spellStart"/>
      <w:r w:rsidRPr="006C6C80">
        <w:rPr>
          <w:rFonts w:asciiTheme="majorHAnsi" w:hAnsiTheme="majorHAnsi"/>
          <w:sz w:val="16"/>
          <w:szCs w:val="16"/>
        </w:rPr>
        <w:t>Ser.L</w:t>
      </w:r>
      <w:proofErr w:type="spellEnd"/>
      <w:r w:rsidRPr="006C6C80">
        <w:rPr>
          <w:rFonts w:asciiTheme="majorHAnsi" w:hAnsiTheme="majorHAnsi"/>
          <w:sz w:val="16"/>
          <w:szCs w:val="16"/>
        </w:rPr>
        <w:t>/V/II.164 Doc. 147 (September 7, de 2017), paras. 236 and 237.</w:t>
      </w:r>
    </w:p>
  </w:footnote>
  <w:footnote w:id="59">
    <w:p w:rsidR="0052077C" w:rsidRPr="006C6C80" w:rsidRDefault="0052077C" w:rsidP="00557337">
      <w:pPr>
        <w:pStyle w:val="FootnoteText"/>
        <w:jc w:val="both"/>
      </w:pPr>
      <w:r w:rsidRPr="006C6C80">
        <w:rPr>
          <w:rStyle w:val="FootnoteReference"/>
          <w:rFonts w:asciiTheme="majorHAnsi" w:hAnsiTheme="majorHAnsi"/>
          <w:sz w:val="16"/>
          <w:szCs w:val="16"/>
        </w:rPr>
        <w:footnoteRef/>
      </w:r>
      <w:r w:rsidRPr="006C6C80">
        <w:rPr>
          <w:rFonts w:asciiTheme="majorHAnsi" w:hAnsiTheme="majorHAnsi"/>
          <w:sz w:val="16"/>
          <w:szCs w:val="16"/>
        </w:rPr>
        <w:t xml:space="preserve"> I/A Court H.R. Case of </w:t>
      </w:r>
      <w:proofErr w:type="spellStart"/>
      <w:r w:rsidRPr="006C6C80">
        <w:rPr>
          <w:rFonts w:asciiTheme="majorHAnsi" w:hAnsiTheme="majorHAnsi"/>
          <w:sz w:val="16"/>
          <w:szCs w:val="16"/>
        </w:rPr>
        <w:t>Muelle</w:t>
      </w:r>
      <w:proofErr w:type="spellEnd"/>
      <w:r w:rsidRPr="006C6C80">
        <w:rPr>
          <w:rFonts w:asciiTheme="majorHAnsi" w:hAnsiTheme="majorHAnsi"/>
          <w:sz w:val="16"/>
          <w:szCs w:val="16"/>
        </w:rPr>
        <w:t xml:space="preserve"> Flores v. Peru. Preliminary Objections, Merits, Reparations, and Costs. Judgment of March 6, 2019. Series C No. 375, para. 174.</w:t>
      </w:r>
    </w:p>
  </w:footnote>
  <w:footnote w:id="60">
    <w:p w:rsidR="0052077C" w:rsidRPr="006C6C80" w:rsidRDefault="0052077C" w:rsidP="00557337">
      <w:pPr>
        <w:pStyle w:val="FootnoteText"/>
        <w:jc w:val="both"/>
        <w:rPr>
          <w:rFonts w:asciiTheme="majorHAnsi" w:hAnsiTheme="majorHAnsi"/>
          <w:sz w:val="16"/>
          <w:szCs w:val="16"/>
        </w:rPr>
      </w:pPr>
      <w:r w:rsidRPr="006C6C80">
        <w:rPr>
          <w:rStyle w:val="FootnoteReference"/>
          <w:rFonts w:asciiTheme="majorHAnsi" w:hAnsiTheme="majorHAnsi"/>
          <w:sz w:val="16"/>
          <w:szCs w:val="16"/>
        </w:rPr>
        <w:footnoteRef/>
      </w:r>
      <w:r w:rsidRPr="006C6C80">
        <w:rPr>
          <w:rFonts w:asciiTheme="majorHAnsi" w:hAnsiTheme="majorHAnsi"/>
          <w:sz w:val="16"/>
          <w:szCs w:val="16"/>
        </w:rPr>
        <w:t xml:space="preserve"> ILO Committee on Freedom of Association, Case 1581 (Thailand), Report No. 327, March 2002, para. 111.</w:t>
      </w:r>
    </w:p>
  </w:footnote>
  <w:footnote w:id="61">
    <w:p w:rsidR="0052077C" w:rsidRPr="006C6C80" w:rsidRDefault="0052077C" w:rsidP="00557337">
      <w:pPr>
        <w:pStyle w:val="FootnoteText"/>
        <w:jc w:val="both"/>
        <w:rPr>
          <w:rFonts w:asciiTheme="majorHAnsi" w:hAnsiTheme="majorHAnsi"/>
          <w:sz w:val="16"/>
          <w:szCs w:val="16"/>
        </w:rPr>
      </w:pPr>
      <w:r w:rsidRPr="006C6C80">
        <w:rPr>
          <w:rStyle w:val="FootnoteReference"/>
          <w:rFonts w:asciiTheme="majorHAnsi" w:hAnsiTheme="majorHAnsi"/>
          <w:sz w:val="16"/>
          <w:szCs w:val="16"/>
        </w:rPr>
        <w:footnoteRef/>
      </w:r>
      <w:r w:rsidRPr="006C6C80">
        <w:rPr>
          <w:rFonts w:asciiTheme="majorHAnsi" w:hAnsiTheme="majorHAnsi"/>
          <w:sz w:val="16"/>
          <w:szCs w:val="16"/>
        </w:rPr>
        <w:t xml:space="preserve"> Committee of Experts on the Application of Conventions and Recommendations, General Survey on the fundamental Conventions concerning rights at work in light of the ILO Declaration on Social Justice for a Fair, 2008, pp. 48 and 60.</w:t>
      </w:r>
    </w:p>
  </w:footnote>
  <w:footnote w:id="62">
    <w:p w:rsidR="0052077C" w:rsidRPr="006C6C80" w:rsidRDefault="0052077C" w:rsidP="00557337">
      <w:pPr>
        <w:pStyle w:val="FootnoteText"/>
        <w:jc w:val="both"/>
        <w:rPr>
          <w:rFonts w:asciiTheme="majorHAnsi" w:hAnsiTheme="majorHAnsi"/>
          <w:sz w:val="16"/>
          <w:szCs w:val="16"/>
        </w:rPr>
      </w:pPr>
      <w:r w:rsidRPr="006C6C80">
        <w:rPr>
          <w:rStyle w:val="FootnoteReference"/>
          <w:rFonts w:asciiTheme="majorHAnsi" w:hAnsiTheme="majorHAnsi"/>
          <w:sz w:val="16"/>
          <w:szCs w:val="16"/>
        </w:rPr>
        <w:footnoteRef/>
      </w:r>
      <w:r w:rsidRPr="006C6C80">
        <w:rPr>
          <w:rFonts w:asciiTheme="majorHAnsi" w:hAnsiTheme="majorHAnsi"/>
          <w:sz w:val="16"/>
          <w:szCs w:val="16"/>
        </w:rPr>
        <w:t xml:space="preserve"> European Court of Human Rights (ECHR), </w:t>
      </w:r>
      <w:proofErr w:type="spellStart"/>
      <w:r w:rsidRPr="006C6C80">
        <w:rPr>
          <w:rFonts w:asciiTheme="majorHAnsi" w:hAnsiTheme="majorHAnsi"/>
          <w:sz w:val="16"/>
          <w:szCs w:val="16"/>
        </w:rPr>
        <w:t>Ogvnevenko</w:t>
      </w:r>
      <w:proofErr w:type="spellEnd"/>
      <w:r w:rsidRPr="006C6C80">
        <w:rPr>
          <w:rFonts w:asciiTheme="majorHAnsi" w:hAnsiTheme="majorHAnsi"/>
          <w:sz w:val="16"/>
          <w:szCs w:val="16"/>
        </w:rPr>
        <w:t xml:space="preserve"> v. Russia, November 20, 2018, paras. 57-59. </w:t>
      </w:r>
    </w:p>
  </w:footnote>
  <w:footnote w:id="63">
    <w:p w:rsidR="0052077C" w:rsidRPr="006C6C80" w:rsidRDefault="0052077C" w:rsidP="00557337">
      <w:pPr>
        <w:pStyle w:val="FootnoteText"/>
        <w:jc w:val="both"/>
        <w:rPr>
          <w:rFonts w:asciiTheme="majorHAnsi" w:hAnsiTheme="majorHAnsi"/>
          <w:sz w:val="16"/>
          <w:szCs w:val="16"/>
        </w:rPr>
      </w:pPr>
      <w:r w:rsidRPr="006C6C80">
        <w:rPr>
          <w:rStyle w:val="FootnoteReference"/>
          <w:rFonts w:asciiTheme="majorHAnsi" w:hAnsiTheme="majorHAnsi"/>
          <w:sz w:val="16"/>
          <w:szCs w:val="16"/>
        </w:rPr>
        <w:footnoteRef/>
      </w:r>
      <w:r w:rsidRPr="006C6C80">
        <w:rPr>
          <w:rFonts w:asciiTheme="majorHAnsi" w:hAnsiTheme="majorHAnsi"/>
          <w:sz w:val="16"/>
          <w:szCs w:val="16"/>
        </w:rPr>
        <w:t xml:space="preserve"> Digest of the Case Law of the European Committee of Social Rights, p. 106.</w:t>
      </w:r>
    </w:p>
  </w:footnote>
  <w:footnote w:id="64">
    <w:p w:rsidR="0052077C" w:rsidRPr="008D4F9F" w:rsidRDefault="0052077C" w:rsidP="00882CDF">
      <w:pPr>
        <w:pStyle w:val="FootnoteText"/>
        <w:jc w:val="both"/>
        <w:rPr>
          <w:rFonts w:ascii="Cambria" w:hAnsi="Cambria"/>
          <w:sz w:val="18"/>
          <w:szCs w:val="18"/>
        </w:rPr>
      </w:pPr>
      <w:r w:rsidRPr="009C722D">
        <w:rPr>
          <w:rStyle w:val="FootnoteReference"/>
          <w:rFonts w:ascii="Cambria" w:hAnsi="Cambria"/>
          <w:sz w:val="16"/>
          <w:szCs w:val="16"/>
        </w:rPr>
        <w:footnoteRef/>
      </w:r>
      <w:r w:rsidRPr="009C722D">
        <w:rPr>
          <w:rFonts w:ascii="Cambria" w:hAnsi="Cambria"/>
          <w:sz w:val="16"/>
          <w:szCs w:val="16"/>
          <w:lang w:val="es-ES"/>
        </w:rPr>
        <w:t xml:space="preserve"> Comité de Libertad Sindical. Recopilación de decisiones y principios del Comité de Libertad Sindical del Consejo de Administración de la OIT (2006). párr. </w:t>
      </w:r>
      <w:r w:rsidRPr="008D4F9F">
        <w:rPr>
          <w:rFonts w:ascii="Cambria" w:hAnsi="Cambria"/>
          <w:sz w:val="16"/>
          <w:szCs w:val="16"/>
        </w:rPr>
        <w:t>521-522.</w:t>
      </w:r>
    </w:p>
  </w:footnote>
  <w:footnote w:id="65">
    <w:p w:rsidR="0052077C" w:rsidRPr="006C6C80" w:rsidRDefault="0052077C" w:rsidP="00557337">
      <w:pPr>
        <w:pStyle w:val="FootnoteText"/>
        <w:jc w:val="both"/>
        <w:rPr>
          <w:rFonts w:asciiTheme="majorHAnsi" w:hAnsiTheme="majorHAnsi"/>
          <w:sz w:val="16"/>
          <w:szCs w:val="16"/>
        </w:rPr>
      </w:pPr>
      <w:r w:rsidRPr="006C6C80">
        <w:rPr>
          <w:rStyle w:val="FootnoteReference"/>
          <w:rFonts w:asciiTheme="majorHAnsi" w:hAnsiTheme="majorHAnsi"/>
          <w:sz w:val="16"/>
          <w:szCs w:val="16"/>
        </w:rPr>
        <w:footnoteRef/>
      </w:r>
      <w:r w:rsidRPr="006C6C80">
        <w:rPr>
          <w:rFonts w:asciiTheme="majorHAnsi" w:hAnsiTheme="majorHAnsi"/>
          <w:sz w:val="16"/>
          <w:szCs w:val="16"/>
        </w:rPr>
        <w:t xml:space="preserve"> Observation (CEACR) adopted 1989, published 76th ILC session (1989).</w:t>
      </w:r>
    </w:p>
  </w:footnote>
  <w:footnote w:id="66">
    <w:p w:rsidR="0052077C" w:rsidRPr="006C6C80" w:rsidRDefault="0052077C" w:rsidP="00557337">
      <w:pPr>
        <w:pStyle w:val="FootnoteText"/>
        <w:jc w:val="both"/>
        <w:rPr>
          <w:rFonts w:asciiTheme="majorHAnsi" w:hAnsiTheme="majorHAnsi"/>
          <w:sz w:val="16"/>
          <w:szCs w:val="16"/>
        </w:rPr>
      </w:pPr>
      <w:r w:rsidRPr="006C6C80">
        <w:rPr>
          <w:rStyle w:val="FootnoteReference"/>
          <w:rFonts w:asciiTheme="majorHAnsi" w:hAnsiTheme="majorHAnsi"/>
          <w:sz w:val="16"/>
          <w:szCs w:val="16"/>
        </w:rPr>
        <w:footnoteRef/>
      </w:r>
      <w:r w:rsidRPr="006C6C80">
        <w:rPr>
          <w:rFonts w:asciiTheme="majorHAnsi" w:hAnsiTheme="majorHAnsi"/>
          <w:sz w:val="16"/>
          <w:szCs w:val="16"/>
        </w:rPr>
        <w:t xml:space="preserve"> Observation (CEACR) adopted 2006, published 96th ILC session (2007).</w:t>
      </w:r>
    </w:p>
  </w:footnote>
  <w:footnote w:id="67">
    <w:p w:rsidR="0052077C" w:rsidRPr="006C6C80" w:rsidRDefault="0052077C" w:rsidP="00557337">
      <w:pPr>
        <w:pStyle w:val="FootnoteText"/>
        <w:jc w:val="both"/>
        <w:rPr>
          <w:rFonts w:asciiTheme="majorHAnsi" w:hAnsiTheme="majorHAnsi"/>
          <w:sz w:val="16"/>
          <w:szCs w:val="16"/>
        </w:rPr>
      </w:pPr>
      <w:r w:rsidRPr="006C6C80">
        <w:rPr>
          <w:rStyle w:val="FootnoteReference"/>
          <w:rFonts w:asciiTheme="majorHAnsi" w:hAnsiTheme="majorHAnsi"/>
          <w:sz w:val="16"/>
          <w:szCs w:val="16"/>
        </w:rPr>
        <w:footnoteRef/>
      </w:r>
      <w:r w:rsidRPr="006C6C80">
        <w:rPr>
          <w:rFonts w:asciiTheme="majorHAnsi" w:hAnsiTheme="majorHAnsi"/>
          <w:sz w:val="16"/>
          <w:szCs w:val="16"/>
        </w:rPr>
        <w:t xml:space="preserve"> Observation (CEACR) adopted 2006, published 96th ILC session (2007); Observation (CEACR) adopted 2001, published 90th ILC session (2002).</w:t>
      </w:r>
    </w:p>
  </w:footnote>
  <w:footnote w:id="68">
    <w:p w:rsidR="0052077C" w:rsidRPr="006C6C80" w:rsidRDefault="0052077C" w:rsidP="00557337">
      <w:pPr>
        <w:pStyle w:val="FootnoteText"/>
        <w:jc w:val="both"/>
        <w:rPr>
          <w:rFonts w:asciiTheme="majorHAnsi" w:hAnsiTheme="majorHAnsi"/>
          <w:b/>
          <w:sz w:val="16"/>
          <w:szCs w:val="16"/>
        </w:rPr>
      </w:pPr>
      <w:r w:rsidRPr="006C6C80">
        <w:rPr>
          <w:rStyle w:val="FootnoteReference"/>
          <w:rFonts w:asciiTheme="majorHAnsi" w:hAnsiTheme="majorHAnsi"/>
          <w:b/>
          <w:sz w:val="16"/>
          <w:szCs w:val="16"/>
        </w:rPr>
        <w:footnoteRef/>
      </w:r>
      <w:r w:rsidRPr="006C6C80">
        <w:rPr>
          <w:rFonts w:asciiTheme="majorHAnsi" w:hAnsiTheme="majorHAnsi"/>
          <w:b/>
          <w:sz w:val="16"/>
          <w:szCs w:val="16"/>
        </w:rPr>
        <w:t xml:space="preserve"> </w:t>
      </w:r>
      <w:r w:rsidRPr="006C6C80">
        <w:rPr>
          <w:rFonts w:asciiTheme="majorHAnsi" w:hAnsiTheme="majorHAnsi"/>
          <w:sz w:val="16"/>
          <w:szCs w:val="16"/>
        </w:rPr>
        <w:t xml:space="preserve">IACHR, Application before the Inter-American Court of Human Rights, Karen </w:t>
      </w:r>
      <w:proofErr w:type="spellStart"/>
      <w:r w:rsidRPr="006C6C80">
        <w:rPr>
          <w:rFonts w:asciiTheme="majorHAnsi" w:hAnsiTheme="majorHAnsi"/>
          <w:sz w:val="16"/>
          <w:szCs w:val="16"/>
        </w:rPr>
        <w:t>Atala</w:t>
      </w:r>
      <w:proofErr w:type="spellEnd"/>
      <w:r w:rsidRPr="006C6C80">
        <w:rPr>
          <w:rFonts w:asciiTheme="majorHAnsi" w:hAnsiTheme="majorHAnsi"/>
          <w:sz w:val="16"/>
          <w:szCs w:val="16"/>
        </w:rPr>
        <w:t xml:space="preserve"> and daughters, September 17, 2010, para. 86; </w:t>
      </w:r>
      <w:r w:rsidRPr="006C6C80">
        <w:rPr>
          <w:rStyle w:val="Strong"/>
          <w:rFonts w:asciiTheme="majorHAnsi" w:hAnsiTheme="majorHAnsi"/>
          <w:b w:val="0"/>
          <w:sz w:val="16"/>
          <w:szCs w:val="16"/>
        </w:rPr>
        <w:t xml:space="preserve">I/A Court H.R. Case of </w:t>
      </w:r>
      <w:proofErr w:type="spellStart"/>
      <w:r w:rsidRPr="006C6C80">
        <w:rPr>
          <w:rStyle w:val="Strong"/>
          <w:rFonts w:asciiTheme="majorHAnsi" w:hAnsiTheme="majorHAnsi"/>
          <w:b w:val="0"/>
          <w:sz w:val="16"/>
          <w:szCs w:val="16"/>
        </w:rPr>
        <w:t>Atala</w:t>
      </w:r>
      <w:proofErr w:type="spellEnd"/>
      <w:r w:rsidRPr="006C6C80">
        <w:rPr>
          <w:rStyle w:val="Strong"/>
          <w:rFonts w:asciiTheme="majorHAnsi" w:hAnsiTheme="majorHAnsi"/>
          <w:b w:val="0"/>
          <w:sz w:val="16"/>
          <w:szCs w:val="16"/>
        </w:rPr>
        <w:t xml:space="preserve"> </w:t>
      </w:r>
      <w:proofErr w:type="spellStart"/>
      <w:r w:rsidRPr="006C6C80">
        <w:rPr>
          <w:rStyle w:val="Strong"/>
          <w:rFonts w:asciiTheme="majorHAnsi" w:hAnsiTheme="majorHAnsi"/>
          <w:b w:val="0"/>
          <w:sz w:val="16"/>
          <w:szCs w:val="16"/>
        </w:rPr>
        <w:t>Riffo</w:t>
      </w:r>
      <w:proofErr w:type="spellEnd"/>
      <w:r w:rsidRPr="006C6C80">
        <w:rPr>
          <w:rStyle w:val="Strong"/>
          <w:rFonts w:asciiTheme="majorHAnsi" w:hAnsiTheme="majorHAnsi"/>
          <w:b w:val="0"/>
          <w:sz w:val="16"/>
          <w:szCs w:val="16"/>
        </w:rPr>
        <w:t xml:space="preserve"> and </w:t>
      </w:r>
      <w:r>
        <w:rPr>
          <w:rStyle w:val="Strong"/>
          <w:rFonts w:asciiTheme="majorHAnsi" w:hAnsiTheme="majorHAnsi"/>
          <w:b w:val="0"/>
          <w:sz w:val="16"/>
          <w:szCs w:val="16"/>
        </w:rPr>
        <w:t>daughters</w:t>
      </w:r>
      <w:r w:rsidRPr="006C6C80">
        <w:rPr>
          <w:rStyle w:val="Strong"/>
          <w:rFonts w:asciiTheme="majorHAnsi" w:hAnsiTheme="majorHAnsi"/>
          <w:b w:val="0"/>
          <w:sz w:val="16"/>
          <w:szCs w:val="16"/>
        </w:rPr>
        <w:t xml:space="preserve"> v. Chile. Merits, Reparations, and Costs. Judgment of February 24, 2012. Series C No. 239, para. 164. </w:t>
      </w:r>
    </w:p>
  </w:footnote>
  <w:footnote w:id="69">
    <w:p w:rsidR="0052077C" w:rsidRPr="006D02FE" w:rsidRDefault="0052077C" w:rsidP="006D02FE">
      <w:pPr>
        <w:pStyle w:val="FootnoteText"/>
        <w:rPr>
          <w:rFonts w:asciiTheme="majorHAnsi" w:hAnsiTheme="majorHAnsi"/>
          <w:sz w:val="16"/>
          <w:szCs w:val="16"/>
        </w:rPr>
      </w:pPr>
      <w:r w:rsidRPr="000516A3">
        <w:rPr>
          <w:rStyle w:val="FootnoteReference"/>
          <w:rFonts w:asciiTheme="majorHAnsi" w:hAnsiTheme="majorHAnsi"/>
          <w:sz w:val="16"/>
          <w:szCs w:val="16"/>
        </w:rPr>
        <w:footnoteRef/>
      </w:r>
      <w:r w:rsidRPr="000D7ADC">
        <w:rPr>
          <w:rFonts w:asciiTheme="majorHAnsi" w:hAnsiTheme="majorHAnsi"/>
          <w:sz w:val="16"/>
          <w:szCs w:val="16"/>
        </w:rPr>
        <w:t xml:space="preserve"> Both the </w:t>
      </w:r>
      <w:proofErr w:type="spellStart"/>
      <w:r w:rsidRPr="000D7ADC">
        <w:rPr>
          <w:rFonts w:asciiTheme="majorHAnsi" w:hAnsiTheme="majorHAnsi"/>
          <w:sz w:val="16"/>
          <w:szCs w:val="16"/>
        </w:rPr>
        <w:t>IACtHR</w:t>
      </w:r>
      <w:proofErr w:type="spellEnd"/>
      <w:r w:rsidRPr="000D7ADC">
        <w:rPr>
          <w:rFonts w:asciiTheme="majorHAnsi" w:hAnsiTheme="majorHAnsi"/>
          <w:sz w:val="16"/>
          <w:szCs w:val="16"/>
        </w:rPr>
        <w:t xml:space="preserve"> and the IACHR have recognized the protection of the right to work through Art. 26 of the </w:t>
      </w:r>
      <w:r>
        <w:rPr>
          <w:rFonts w:asciiTheme="majorHAnsi" w:hAnsiTheme="majorHAnsi"/>
          <w:sz w:val="16"/>
          <w:szCs w:val="16"/>
        </w:rPr>
        <w:t>American Convention.</w:t>
      </w:r>
      <w:r w:rsidRPr="000D7ADC">
        <w:rPr>
          <w:rFonts w:asciiTheme="majorHAnsi" w:hAnsiTheme="majorHAnsi"/>
          <w:sz w:val="16"/>
          <w:szCs w:val="16"/>
        </w:rPr>
        <w:t xml:space="preserve"> </w:t>
      </w:r>
      <w:r w:rsidRPr="00571D38">
        <w:rPr>
          <w:rFonts w:asciiTheme="majorHAnsi" w:hAnsiTheme="majorHAnsi"/>
          <w:sz w:val="16"/>
          <w:szCs w:val="16"/>
        </w:rPr>
        <w:t xml:space="preserve">See, for </w:t>
      </w:r>
      <w:r w:rsidRPr="000D7ADC">
        <w:rPr>
          <w:rFonts w:asciiTheme="majorHAnsi" w:hAnsiTheme="majorHAnsi"/>
          <w:sz w:val="16"/>
          <w:szCs w:val="16"/>
        </w:rPr>
        <w:t xml:space="preserve">example: IACHR.  Report 25/18, Case 12.428. Admissibility and Merits. Employees of the Fireworks industry in Santo Antonio de Jesus and their families. Brazil. 2 March, 2018; </w:t>
      </w:r>
      <w:proofErr w:type="spellStart"/>
      <w:r w:rsidRPr="000D7ADC">
        <w:rPr>
          <w:rFonts w:asciiTheme="majorHAnsi" w:hAnsiTheme="majorHAnsi"/>
          <w:sz w:val="16"/>
          <w:szCs w:val="16"/>
        </w:rPr>
        <w:t>IACtHR</w:t>
      </w:r>
      <w:proofErr w:type="spellEnd"/>
      <w:r w:rsidRPr="000D7ADC">
        <w:rPr>
          <w:b/>
          <w:bCs/>
        </w:rPr>
        <w:t xml:space="preserve">. </w:t>
      </w:r>
      <w:r w:rsidRPr="000D7ADC">
        <w:rPr>
          <w:rFonts w:asciiTheme="majorHAnsi" w:hAnsiTheme="majorHAnsi"/>
          <w:bCs/>
          <w:sz w:val="16"/>
          <w:szCs w:val="16"/>
        </w:rPr>
        <w:t xml:space="preserve">Case of Lagos </w:t>
      </w:r>
      <w:proofErr w:type="gramStart"/>
      <w:r w:rsidRPr="000D7ADC">
        <w:rPr>
          <w:rFonts w:asciiTheme="majorHAnsi" w:hAnsiTheme="majorHAnsi"/>
          <w:bCs/>
          <w:sz w:val="16"/>
          <w:szCs w:val="16"/>
        </w:rPr>
        <w:t>del</w:t>
      </w:r>
      <w:proofErr w:type="gramEnd"/>
      <w:r w:rsidRPr="000D7ADC">
        <w:rPr>
          <w:rFonts w:asciiTheme="majorHAnsi" w:hAnsiTheme="majorHAnsi"/>
          <w:bCs/>
          <w:sz w:val="16"/>
          <w:szCs w:val="16"/>
        </w:rPr>
        <w:t xml:space="preserve"> Campo v. Peru. Preliminary Objections, Merits, Reparations and Costs. Judgment of August 31, 2017. Series C No. 340.</w:t>
      </w:r>
    </w:p>
  </w:footnote>
  <w:footnote w:id="70">
    <w:p w:rsidR="0052077C" w:rsidRPr="006C6C80" w:rsidRDefault="0052077C" w:rsidP="00557337">
      <w:pPr>
        <w:tabs>
          <w:tab w:val="left" w:pos="720"/>
        </w:tabs>
        <w:jc w:val="both"/>
        <w:rPr>
          <w:rFonts w:ascii="Cambria" w:hAnsi="Cambria"/>
          <w:sz w:val="16"/>
          <w:szCs w:val="16"/>
        </w:rPr>
      </w:pPr>
      <w:r w:rsidRPr="006C6C80">
        <w:rPr>
          <w:rStyle w:val="FootnoteReference"/>
          <w:rFonts w:ascii="Cambria" w:hAnsi="Cambria"/>
          <w:sz w:val="16"/>
          <w:szCs w:val="16"/>
        </w:rPr>
        <w:footnoteRef/>
      </w:r>
      <w:r w:rsidRPr="006C6C80">
        <w:rPr>
          <w:rFonts w:ascii="Cambria" w:hAnsi="Cambria"/>
          <w:sz w:val="16"/>
          <w:szCs w:val="16"/>
        </w:rPr>
        <w:t xml:space="preserve"> Article 25.1 of the Convention stipulates that: </w:t>
      </w:r>
      <w:r w:rsidRPr="006C6C80">
        <w:rPr>
          <w:rFonts w:asciiTheme="majorHAnsi" w:hAnsiTheme="majorHAnsi"/>
          <w:sz w:val="16"/>
          <w:szCs w:val="16"/>
        </w:rPr>
        <w:t>Everyone has the right to simple and prompt recourse, or any other effective recourse, to a competent court or tribunal for protection against acts that violate his fundamental rights recognized by the constitution or laws of the state concerned or by this Convention, even though such violation may have been committed by persons acting in the course of their official duties</w:t>
      </w:r>
      <w:r w:rsidRPr="006C6C80">
        <w:rPr>
          <w:rFonts w:ascii="Cambria" w:eastAsia="Times New Roman" w:hAnsi="Cambria"/>
          <w:sz w:val="16"/>
          <w:szCs w:val="16"/>
        </w:rPr>
        <w:t>.</w:t>
      </w:r>
    </w:p>
  </w:footnote>
  <w:footnote w:id="71">
    <w:p w:rsidR="0052077C" w:rsidRPr="006C6C80" w:rsidRDefault="0052077C" w:rsidP="00557337">
      <w:pPr>
        <w:tabs>
          <w:tab w:val="left" w:pos="180"/>
          <w:tab w:val="left" w:pos="900"/>
          <w:tab w:val="left" w:pos="1080"/>
        </w:tabs>
        <w:jc w:val="both"/>
        <w:rPr>
          <w:rFonts w:ascii="Cambria" w:hAnsi="Cambria"/>
          <w:sz w:val="16"/>
          <w:szCs w:val="16"/>
        </w:rPr>
      </w:pPr>
      <w:r w:rsidRPr="006C6C80">
        <w:rPr>
          <w:rStyle w:val="FootnoteReference"/>
          <w:rFonts w:ascii="Cambria" w:hAnsi="Cambria"/>
          <w:sz w:val="16"/>
          <w:szCs w:val="16"/>
        </w:rPr>
        <w:footnoteRef/>
      </w:r>
      <w:r w:rsidRPr="006C6C80">
        <w:rPr>
          <w:rFonts w:ascii="Cambria" w:hAnsi="Cambria"/>
          <w:color w:val="000000"/>
          <w:sz w:val="16"/>
          <w:szCs w:val="16"/>
        </w:rPr>
        <w:t xml:space="preserve">I/A Court H.R. </w:t>
      </w:r>
      <w:r w:rsidRPr="006C6C80">
        <w:rPr>
          <w:rFonts w:ascii="Cambria" w:hAnsi="Cambria"/>
          <w:bCs/>
          <w:color w:val="000000"/>
          <w:sz w:val="16"/>
          <w:szCs w:val="16"/>
        </w:rPr>
        <w:t>Case of Dismissed Congressional Employees (</w:t>
      </w:r>
      <w:proofErr w:type="spellStart"/>
      <w:r w:rsidRPr="006C6C80">
        <w:rPr>
          <w:rFonts w:ascii="Cambria" w:hAnsi="Cambria"/>
          <w:bCs/>
          <w:color w:val="000000"/>
          <w:sz w:val="16"/>
          <w:szCs w:val="16"/>
        </w:rPr>
        <w:t>Aguado</w:t>
      </w:r>
      <w:proofErr w:type="spellEnd"/>
      <w:r w:rsidRPr="006C6C80">
        <w:rPr>
          <w:rFonts w:ascii="Cambria" w:hAnsi="Cambria"/>
          <w:bCs/>
          <w:color w:val="000000"/>
          <w:sz w:val="16"/>
          <w:szCs w:val="16"/>
        </w:rPr>
        <w:t xml:space="preserve"> Alfaro et al.). Judgment on </w:t>
      </w:r>
      <w:r w:rsidRPr="006C6C80">
        <w:rPr>
          <w:rFonts w:ascii="Cambria" w:hAnsi="Cambria"/>
          <w:color w:val="000000"/>
          <w:sz w:val="16"/>
          <w:szCs w:val="16"/>
        </w:rPr>
        <w:t xml:space="preserve">Preliminary Objections, Merits, Reparations, and Costs. Judgment of November 24, 2006. Series C No. 158, para. 125; I/A Court H.R. </w:t>
      </w:r>
      <w:r w:rsidRPr="006C6C80">
        <w:rPr>
          <w:rFonts w:ascii="Cambria" w:hAnsi="Cambria"/>
          <w:bCs/>
          <w:color w:val="000000"/>
          <w:sz w:val="16"/>
          <w:szCs w:val="16"/>
        </w:rPr>
        <w:t xml:space="preserve">Case of the </w:t>
      </w:r>
      <w:proofErr w:type="spellStart"/>
      <w:r w:rsidRPr="006C6C80">
        <w:rPr>
          <w:rFonts w:ascii="Cambria" w:hAnsi="Cambria"/>
          <w:bCs/>
          <w:color w:val="000000"/>
          <w:sz w:val="16"/>
          <w:szCs w:val="16"/>
        </w:rPr>
        <w:t>Yakye</w:t>
      </w:r>
      <w:proofErr w:type="spellEnd"/>
      <w:r w:rsidRPr="006C6C80">
        <w:rPr>
          <w:rFonts w:ascii="Cambria" w:hAnsi="Cambria"/>
          <w:bCs/>
          <w:color w:val="000000"/>
          <w:sz w:val="16"/>
          <w:szCs w:val="16"/>
        </w:rPr>
        <w:t xml:space="preserve"> </w:t>
      </w:r>
      <w:proofErr w:type="spellStart"/>
      <w:r w:rsidRPr="006C6C80">
        <w:rPr>
          <w:rFonts w:ascii="Cambria" w:hAnsi="Cambria"/>
          <w:bCs/>
          <w:color w:val="000000"/>
          <w:sz w:val="16"/>
          <w:szCs w:val="16"/>
        </w:rPr>
        <w:t>Axa</w:t>
      </w:r>
      <w:proofErr w:type="spellEnd"/>
      <w:r w:rsidRPr="006C6C80">
        <w:rPr>
          <w:rFonts w:ascii="Cambria" w:hAnsi="Cambria"/>
          <w:bCs/>
          <w:color w:val="000000"/>
          <w:sz w:val="16"/>
          <w:szCs w:val="16"/>
        </w:rPr>
        <w:t xml:space="preserve"> Indigenous Community. Judgment of June </w:t>
      </w:r>
      <w:r w:rsidRPr="006C6C80">
        <w:rPr>
          <w:rFonts w:ascii="Cambria" w:hAnsi="Cambria"/>
          <w:color w:val="000000"/>
          <w:sz w:val="16"/>
          <w:szCs w:val="16"/>
        </w:rPr>
        <w:t>17, 2005. Series C No. 125</w:t>
      </w:r>
      <w:r w:rsidRPr="006C6C80">
        <w:rPr>
          <w:rFonts w:ascii="Cambria" w:hAnsi="Cambria"/>
          <w:sz w:val="16"/>
          <w:szCs w:val="16"/>
        </w:rPr>
        <w:t xml:space="preserve">, para. 61; </w:t>
      </w:r>
      <w:r w:rsidRPr="006C6C80">
        <w:rPr>
          <w:rFonts w:ascii="Cambria" w:hAnsi="Cambria"/>
          <w:color w:val="000000"/>
          <w:sz w:val="16"/>
          <w:szCs w:val="16"/>
        </w:rPr>
        <w:t xml:space="preserve">I/A Court H.R. </w:t>
      </w:r>
      <w:r w:rsidRPr="006C6C80">
        <w:rPr>
          <w:rFonts w:ascii="Cambria" w:hAnsi="Cambria"/>
          <w:bCs/>
          <w:color w:val="000000"/>
          <w:sz w:val="16"/>
          <w:szCs w:val="16"/>
        </w:rPr>
        <w:t xml:space="preserve">Case of the "Five Pensioners." </w:t>
      </w:r>
      <w:r w:rsidRPr="006C6C80">
        <w:rPr>
          <w:rFonts w:ascii="Cambria" w:hAnsi="Cambria"/>
          <w:color w:val="000000"/>
          <w:sz w:val="16"/>
          <w:szCs w:val="16"/>
        </w:rPr>
        <w:t>Judgment of February 28, 2003. Series C No. 98, p</w:t>
      </w:r>
      <w:r w:rsidRPr="006C6C80">
        <w:rPr>
          <w:rFonts w:ascii="Cambria" w:hAnsi="Cambria"/>
          <w:sz w:val="16"/>
          <w:szCs w:val="16"/>
        </w:rPr>
        <w:t>ara. 136.</w:t>
      </w:r>
    </w:p>
  </w:footnote>
  <w:footnote w:id="72">
    <w:p w:rsidR="0052077C" w:rsidRPr="006C6C80" w:rsidRDefault="0052077C" w:rsidP="00557337">
      <w:pPr>
        <w:pStyle w:val="FootnoteText"/>
        <w:jc w:val="both"/>
        <w:rPr>
          <w:rFonts w:ascii="Cambria" w:hAnsi="Cambria"/>
          <w:sz w:val="16"/>
          <w:szCs w:val="16"/>
        </w:rPr>
      </w:pPr>
      <w:r w:rsidRPr="006C6C80">
        <w:rPr>
          <w:rStyle w:val="FootnoteReference"/>
          <w:rFonts w:ascii="Cambria" w:hAnsi="Cambria"/>
          <w:sz w:val="16"/>
          <w:szCs w:val="16"/>
        </w:rPr>
        <w:footnoteRef/>
      </w:r>
      <w:r w:rsidRPr="006C6C80">
        <w:rPr>
          <w:rFonts w:ascii="Cambria" w:hAnsi="Cambria"/>
          <w:sz w:val="16"/>
          <w:szCs w:val="16"/>
        </w:rPr>
        <w:t xml:space="preserve"> I/A Court H.R. Case of </w:t>
      </w:r>
      <w:proofErr w:type="spellStart"/>
      <w:r w:rsidRPr="006C6C80">
        <w:rPr>
          <w:rFonts w:ascii="Cambria" w:hAnsi="Cambria"/>
          <w:sz w:val="16"/>
          <w:szCs w:val="16"/>
        </w:rPr>
        <w:t>Ramírez</w:t>
      </w:r>
      <w:proofErr w:type="spellEnd"/>
      <w:r w:rsidRPr="006C6C80">
        <w:rPr>
          <w:rFonts w:ascii="Cambria" w:hAnsi="Cambria"/>
          <w:sz w:val="16"/>
          <w:szCs w:val="16"/>
        </w:rPr>
        <w:t xml:space="preserve"> Escobar et al. v. Guatemala. Merits, Reparations, and Costs. Judgment of March 9, 2018. Series C No. 351, paras. 251-252.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077C" w:rsidRDefault="0052077C" w:rsidP="003558ED">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52077C" w:rsidRDefault="0052077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077C" w:rsidRDefault="0052077C" w:rsidP="00A50FCF">
    <w:pPr>
      <w:pStyle w:val="Header"/>
      <w:tabs>
        <w:tab w:val="clear" w:pos="4320"/>
        <w:tab w:val="clear" w:pos="8640"/>
      </w:tabs>
      <w:jc w:val="center"/>
      <w:rPr>
        <w:sz w:val="22"/>
        <w:szCs w:val="22"/>
      </w:rPr>
    </w:pPr>
    <w:r>
      <w:rPr>
        <w:noProof/>
        <w:sz w:val="22"/>
        <w:szCs w:val="22"/>
      </w:rPr>
      <w:drawing>
        <wp:inline distT="0" distB="0" distL="0" distR="0" wp14:anchorId="25F883B8" wp14:editId="49E1EB8E">
          <wp:extent cx="1972237" cy="104775"/>
          <wp:effectExtent l="0" t="0" r="9525" b="0"/>
          <wp:docPr id="3"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rsidR="0052077C" w:rsidRPr="00EC7D62" w:rsidRDefault="003F0F3A" w:rsidP="00A50FCF">
    <w:pPr>
      <w:pStyle w:val="Header"/>
      <w:tabs>
        <w:tab w:val="clear" w:pos="4320"/>
        <w:tab w:val="clear" w:pos="8640"/>
      </w:tabs>
      <w:jc w:val="center"/>
      <w:rPr>
        <w:sz w:val="22"/>
        <w:szCs w:val="22"/>
      </w:rPr>
    </w:pPr>
    <w:r>
      <w:rPr>
        <w:sz w:val="22"/>
        <w:szCs w:val="22"/>
      </w:rPr>
      <w:pict w14:anchorId="7B168BE3">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2C4" w:rsidRDefault="003A32C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22B7D"/>
    <w:multiLevelType w:val="hybridMultilevel"/>
    <w:tmpl w:val="46D6FD1A"/>
    <w:lvl w:ilvl="0" w:tplc="AE6C0D3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2"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4F40CCC"/>
    <w:multiLevelType w:val="hybridMultilevel"/>
    <w:tmpl w:val="3D985418"/>
    <w:lvl w:ilvl="0" w:tplc="6FFC9CD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B1B68F9"/>
    <w:multiLevelType w:val="hybridMultilevel"/>
    <w:tmpl w:val="2E224738"/>
    <w:lvl w:ilvl="0" w:tplc="92E4C9A2">
      <w:start w:val="1"/>
      <w:numFmt w:val="upperLetter"/>
      <w:pStyle w:val="Heading3"/>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E2159BD"/>
    <w:multiLevelType w:val="hybridMultilevel"/>
    <w:tmpl w:val="3D985418"/>
    <w:lvl w:ilvl="0" w:tplc="6FFC9CD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72A0BA1"/>
    <w:multiLevelType w:val="hybridMultilevel"/>
    <w:tmpl w:val="FF12FC08"/>
    <w:lvl w:ilvl="0" w:tplc="599656A6">
      <w:start w:val="1"/>
      <w:numFmt w:val="upperRoman"/>
      <w:pStyle w:val="Heading2"/>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C02C7D"/>
    <w:multiLevelType w:val="hybridMultilevel"/>
    <w:tmpl w:val="D78CC7E0"/>
    <w:lvl w:ilvl="0" w:tplc="8F02A996">
      <w:start w:val="1"/>
      <w:numFmt w:val="lowerLetter"/>
      <w:lvlText w:val="%1)"/>
      <w:lvlJc w:val="left"/>
      <w:pPr>
        <w:ind w:left="990" w:hanging="360"/>
      </w:pPr>
      <w:rPr>
        <w:rFonts w:hint="default"/>
        <w:lang w:val="en-US"/>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0"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1"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2" w15:restartNumberingAfterBreak="0">
    <w:nsid w:val="3DC61D90"/>
    <w:multiLevelType w:val="hybridMultilevel"/>
    <w:tmpl w:val="5BAE7DA2"/>
    <w:lvl w:ilvl="0" w:tplc="1D98AC66">
      <w:start w:val="1"/>
      <w:numFmt w:val="decimal"/>
      <w:lvlText w:val="%1."/>
      <w:lvlJc w:val="left"/>
      <w:pPr>
        <w:tabs>
          <w:tab w:val="num" w:pos="900"/>
        </w:tabs>
        <w:ind w:left="900" w:hanging="360"/>
      </w:pPr>
      <w:rPr>
        <w:rFonts w:ascii="Cambria" w:hAnsi="Cambria" w:cs="Times New Roman" w:hint="default"/>
        <w:b w:val="0"/>
        <w:i w:val="0"/>
        <w:sz w:val="20"/>
        <w:szCs w:val="20"/>
        <w:lang w:val="es-VE"/>
      </w:rPr>
    </w:lvl>
    <w:lvl w:ilvl="1" w:tplc="41189D36">
      <w:start w:val="1"/>
      <w:numFmt w:val="lowerLetter"/>
      <w:lvlText w:val="%2."/>
      <w:lvlJc w:val="left"/>
      <w:pPr>
        <w:ind w:left="1440" w:hanging="360"/>
      </w:pPr>
      <w:rPr>
        <w:b/>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10059D6"/>
    <w:multiLevelType w:val="hybridMultilevel"/>
    <w:tmpl w:val="EFAC59B6"/>
    <w:lvl w:ilvl="0" w:tplc="BD76FB3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42DF19D7"/>
    <w:multiLevelType w:val="multilevel"/>
    <w:tmpl w:val="E7265BB0"/>
    <w:styleLink w:val="List5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4151612"/>
    <w:multiLevelType w:val="hybridMultilevel"/>
    <w:tmpl w:val="F46EA048"/>
    <w:lvl w:ilvl="0" w:tplc="A334B29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492723E7"/>
    <w:multiLevelType w:val="multilevel"/>
    <w:tmpl w:val="0CF8CC36"/>
    <w:styleLink w:val="List2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3"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5B372626"/>
    <w:multiLevelType w:val="hybridMultilevel"/>
    <w:tmpl w:val="D70C945E"/>
    <w:lvl w:ilvl="0" w:tplc="233E493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15:restartNumberingAfterBreak="0">
    <w:nsid w:val="5D7D4B9D"/>
    <w:multiLevelType w:val="hybridMultilevel"/>
    <w:tmpl w:val="3C224434"/>
    <w:lvl w:ilvl="0" w:tplc="F2646A1C">
      <w:start w:val="1"/>
      <w:numFmt w:val="decimal"/>
      <w:lvlText w:val="%1."/>
      <w:lvlJc w:val="left"/>
      <w:pPr>
        <w:ind w:left="540" w:hanging="360"/>
      </w:pPr>
      <w:rPr>
        <w:rFonts w:ascii="Cambria" w:hAnsi="Cambria" w:hint="default"/>
        <w:b w:val="0"/>
        <w:i w:val="0"/>
        <w:sz w:val="20"/>
        <w:szCs w:val="20"/>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FDF2ED9"/>
    <w:multiLevelType w:val="hybridMultilevel"/>
    <w:tmpl w:val="052CDC5E"/>
    <w:lvl w:ilvl="0" w:tplc="D92C12E8">
      <w:start w:val="1"/>
      <w:numFmt w:val="decimal"/>
      <w:lvlText w:val="%1."/>
      <w:lvlJc w:val="left"/>
      <w:pPr>
        <w:tabs>
          <w:tab w:val="num" w:pos="1860"/>
        </w:tabs>
        <w:ind w:left="186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5"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6"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45A711E"/>
    <w:multiLevelType w:val="multilevel"/>
    <w:tmpl w:val="ED88159C"/>
    <w:styleLink w:val="List4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8C26FCF"/>
    <w:multiLevelType w:val="multilevel"/>
    <w:tmpl w:val="2FCAD168"/>
    <w:styleLink w:val="List3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0"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4"/>
  </w:num>
  <w:num w:numId="2">
    <w:abstractNumId w:val="5"/>
  </w:num>
  <w:num w:numId="3">
    <w:abstractNumId w:val="59"/>
  </w:num>
  <w:num w:numId="4">
    <w:abstractNumId w:val="23"/>
  </w:num>
  <w:num w:numId="5">
    <w:abstractNumId w:val="54"/>
  </w:num>
  <w:num w:numId="6">
    <w:abstractNumId w:val="30"/>
  </w:num>
  <w:num w:numId="7">
    <w:abstractNumId w:val="7"/>
  </w:num>
  <w:num w:numId="8">
    <w:abstractNumId w:val="18"/>
  </w:num>
  <w:num w:numId="9">
    <w:abstractNumId w:val="47"/>
  </w:num>
  <w:num w:numId="10">
    <w:abstractNumId w:val="1"/>
  </w:num>
  <w:num w:numId="11">
    <w:abstractNumId w:val="42"/>
  </w:num>
  <w:num w:numId="12">
    <w:abstractNumId w:val="43"/>
  </w:num>
  <w:num w:numId="13">
    <w:abstractNumId w:val="48"/>
  </w:num>
  <w:num w:numId="14">
    <w:abstractNumId w:val="2"/>
  </w:num>
  <w:num w:numId="15">
    <w:abstractNumId w:val="3"/>
  </w:num>
  <w:num w:numId="16">
    <w:abstractNumId w:val="8"/>
  </w:num>
  <w:num w:numId="17">
    <w:abstractNumId w:val="9"/>
  </w:num>
  <w:num w:numId="18">
    <w:abstractNumId w:val="10"/>
  </w:num>
  <w:num w:numId="19">
    <w:abstractNumId w:val="11"/>
  </w:num>
  <w:num w:numId="20">
    <w:abstractNumId w:val="12"/>
  </w:num>
  <w:num w:numId="21">
    <w:abstractNumId w:val="13"/>
  </w:num>
  <w:num w:numId="22">
    <w:abstractNumId w:val="14"/>
  </w:num>
  <w:num w:numId="23">
    <w:abstractNumId w:val="15"/>
  </w:num>
  <w:num w:numId="24">
    <w:abstractNumId w:val="16"/>
  </w:num>
  <w:num w:numId="25">
    <w:abstractNumId w:val="19"/>
  </w:num>
  <w:num w:numId="26">
    <w:abstractNumId w:val="20"/>
  </w:num>
  <w:num w:numId="27">
    <w:abstractNumId w:val="24"/>
  </w:num>
  <w:num w:numId="28">
    <w:abstractNumId w:val="25"/>
  </w:num>
  <w:num w:numId="29">
    <w:abstractNumId w:val="26"/>
  </w:num>
  <w:num w:numId="30">
    <w:abstractNumId w:val="28"/>
  </w:num>
  <w:num w:numId="31">
    <w:abstractNumId w:val="31"/>
  </w:num>
  <w:num w:numId="32">
    <w:abstractNumId w:val="33"/>
  </w:num>
  <w:num w:numId="33">
    <w:abstractNumId w:val="35"/>
  </w:num>
  <w:num w:numId="34">
    <w:abstractNumId w:val="36"/>
  </w:num>
  <w:num w:numId="35">
    <w:abstractNumId w:val="38"/>
  </w:num>
  <w:num w:numId="36">
    <w:abstractNumId w:val="39"/>
  </w:num>
  <w:num w:numId="37">
    <w:abstractNumId w:val="40"/>
  </w:num>
  <w:num w:numId="38">
    <w:abstractNumId w:val="41"/>
  </w:num>
  <w:num w:numId="39">
    <w:abstractNumId w:val="44"/>
  </w:num>
  <w:num w:numId="40">
    <w:abstractNumId w:val="45"/>
  </w:num>
  <w:num w:numId="41">
    <w:abstractNumId w:val="53"/>
  </w:num>
  <w:num w:numId="42">
    <w:abstractNumId w:val="55"/>
  </w:num>
  <w:num w:numId="43">
    <w:abstractNumId w:val="56"/>
  </w:num>
  <w:num w:numId="44">
    <w:abstractNumId w:val="57"/>
  </w:num>
  <w:num w:numId="45">
    <w:abstractNumId w:val="58"/>
  </w:num>
  <w:num w:numId="46">
    <w:abstractNumId w:val="60"/>
  </w:num>
  <w:num w:numId="47">
    <w:abstractNumId w:val="61"/>
  </w:num>
  <w:num w:numId="48">
    <w:abstractNumId w:val="62"/>
  </w:num>
  <w:num w:numId="49">
    <w:abstractNumId w:val="63"/>
  </w:num>
  <w:num w:numId="50">
    <w:abstractNumId w:val="64"/>
  </w:num>
  <w:num w:numId="51">
    <w:abstractNumId w:val="22"/>
  </w:num>
  <w:num w:numId="52">
    <w:abstractNumId w:val="46"/>
  </w:num>
  <w:num w:numId="53">
    <w:abstractNumId w:val="50"/>
  </w:num>
  <w:num w:numId="54">
    <w:abstractNumId w:val="27"/>
  </w:num>
  <w:num w:numId="55">
    <w:abstractNumId w:val="17"/>
  </w:num>
  <w:num w:numId="56">
    <w:abstractNumId w:val="51"/>
  </w:num>
  <w:num w:numId="57">
    <w:abstractNumId w:val="49"/>
  </w:num>
  <w:num w:numId="58">
    <w:abstractNumId w:val="6"/>
  </w:num>
  <w:num w:numId="59">
    <w:abstractNumId w:val="34"/>
  </w:num>
  <w:num w:numId="60">
    <w:abstractNumId w:val="0"/>
  </w:num>
  <w:num w:numId="61">
    <w:abstractNumId w:val="29"/>
  </w:num>
  <w:num w:numId="62">
    <w:abstractNumId w:val="37"/>
  </w:num>
  <w:num w:numId="63">
    <w:abstractNumId w:val="21"/>
  </w:num>
  <w:num w:numId="64">
    <w:abstractNumId w:val="32"/>
  </w:num>
  <w:num w:numId="65">
    <w:abstractNumId w:val="52"/>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removePersonalInformation/>
  <w:removeDateAndTime/>
  <w:activeWritingStyle w:appName="MSWord" w:lang="pt-BR" w:vendorID="64" w:dllVersion="131078" w:nlCheck="1" w:checkStyle="0"/>
  <w:activeWritingStyle w:appName="MSWord" w:lang="es-CO" w:vendorID="64" w:dllVersion="131078" w:nlCheck="1" w:checkStyle="0"/>
  <w:activeWritingStyle w:appName="MSWord" w:lang="es-ES_tradnl" w:vendorID="64" w:dllVersion="131078" w:nlCheck="1" w:checkStyle="1"/>
  <w:activeWritingStyle w:appName="MSWord" w:lang="es-US" w:vendorID="64" w:dllVersion="131078" w:nlCheck="1" w:checkStyle="1"/>
  <w:activeWritingStyle w:appName="MSWord" w:lang="es-ES" w:vendorID="64" w:dllVersion="131078" w:nlCheck="1" w:checkStyle="0"/>
  <w:activeWritingStyle w:appName="MSWord" w:lang="en-US" w:vendorID="64" w:dllVersion="131078" w:nlCheck="1" w:checkStyle="1"/>
  <w:activeWritingStyle w:appName="MSWord" w:lang="es-VE" w:vendorID="64" w:dllVersion="131078" w:nlCheck="1" w:checkStyle="1"/>
  <w:activeWritingStyle w:appName="MSWord" w:lang="es-AR" w:vendorID="64" w:dllVersion="131078" w:nlCheck="1" w:checkStyle="1"/>
  <w:activeWritingStyle w:appName="MSWord" w:lang="es-CR" w:vendorID="64" w:dllVersion="131078" w:nlCheck="1" w:checkStyle="1"/>
  <w:activeWritingStyle w:appName="MSWord" w:lang="es-UY" w:vendorID="64" w:dllVersion="131078" w:nlCheck="1" w:checkStyle="1"/>
  <w:activeWritingStyle w:appName="MSWord" w:lang="es-MX" w:vendorID="64" w:dllVersion="131078" w:nlCheck="1" w:checkStyle="1"/>
  <w:activeWritingStyle w:appName="MSWord" w:lang="es-PE" w:vendorID="64" w:dllVersion="131078" w:nlCheck="1" w:checkStyle="1"/>
  <w:activeWritingStyle w:appName="MSWord" w:lang="es-CL" w:vendorID="64" w:dllVersion="131078" w:nlCheck="1" w:checkStyle="1"/>
  <w:activeWritingStyle w:appName="MSWord" w:lang="fr-FR" w:vendorID="64" w:dllVersion="131078" w:nlCheck="1" w:checkStyle="1"/>
  <w:activeWritingStyle w:appName="MSWord" w:lang="es-EC" w:vendorID="64" w:dllVersion="131078" w:nlCheck="1" w:checkStyle="1"/>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1C4F"/>
    <w:rsid w:val="0000255A"/>
    <w:rsid w:val="0000493B"/>
    <w:rsid w:val="00006896"/>
    <w:rsid w:val="00006CAF"/>
    <w:rsid w:val="00006E1F"/>
    <w:rsid w:val="000070D7"/>
    <w:rsid w:val="00007EB1"/>
    <w:rsid w:val="000115D2"/>
    <w:rsid w:val="0001163D"/>
    <w:rsid w:val="00011678"/>
    <w:rsid w:val="00011849"/>
    <w:rsid w:val="00012990"/>
    <w:rsid w:val="0001543D"/>
    <w:rsid w:val="000156CA"/>
    <w:rsid w:val="000158FD"/>
    <w:rsid w:val="0001788C"/>
    <w:rsid w:val="00020CBD"/>
    <w:rsid w:val="00020FD3"/>
    <w:rsid w:val="000214C9"/>
    <w:rsid w:val="0002181B"/>
    <w:rsid w:val="00021B01"/>
    <w:rsid w:val="00021DC5"/>
    <w:rsid w:val="00021EDE"/>
    <w:rsid w:val="00023F7C"/>
    <w:rsid w:val="00024C89"/>
    <w:rsid w:val="0003041E"/>
    <w:rsid w:val="00031CDB"/>
    <w:rsid w:val="00031D9D"/>
    <w:rsid w:val="00033075"/>
    <w:rsid w:val="000331F1"/>
    <w:rsid w:val="00033C7F"/>
    <w:rsid w:val="00036FD0"/>
    <w:rsid w:val="00040C3A"/>
    <w:rsid w:val="000428D3"/>
    <w:rsid w:val="000449F9"/>
    <w:rsid w:val="00044A81"/>
    <w:rsid w:val="00046C53"/>
    <w:rsid w:val="00047B91"/>
    <w:rsid w:val="00050BB8"/>
    <w:rsid w:val="00051604"/>
    <w:rsid w:val="000517BC"/>
    <w:rsid w:val="000517D9"/>
    <w:rsid w:val="0005191F"/>
    <w:rsid w:val="00051F1C"/>
    <w:rsid w:val="00052492"/>
    <w:rsid w:val="00054B2D"/>
    <w:rsid w:val="00054E52"/>
    <w:rsid w:val="0006219D"/>
    <w:rsid w:val="00067A5D"/>
    <w:rsid w:val="00067A87"/>
    <w:rsid w:val="000716C5"/>
    <w:rsid w:val="00072580"/>
    <w:rsid w:val="00073872"/>
    <w:rsid w:val="00073C1E"/>
    <w:rsid w:val="00073EEE"/>
    <w:rsid w:val="00074874"/>
    <w:rsid w:val="00074EE3"/>
    <w:rsid w:val="000758FE"/>
    <w:rsid w:val="00075E23"/>
    <w:rsid w:val="0007740C"/>
    <w:rsid w:val="00077DAA"/>
    <w:rsid w:val="00080E59"/>
    <w:rsid w:val="000810FC"/>
    <w:rsid w:val="0008203F"/>
    <w:rsid w:val="0008253D"/>
    <w:rsid w:val="00082858"/>
    <w:rsid w:val="00083DAA"/>
    <w:rsid w:val="000845B8"/>
    <w:rsid w:val="00084E01"/>
    <w:rsid w:val="000859A2"/>
    <w:rsid w:val="0008768F"/>
    <w:rsid w:val="00090AF3"/>
    <w:rsid w:val="00090D18"/>
    <w:rsid w:val="0009121F"/>
    <w:rsid w:val="00091A88"/>
    <w:rsid w:val="00092485"/>
    <w:rsid w:val="0009342D"/>
    <w:rsid w:val="0009344A"/>
    <w:rsid w:val="00094E76"/>
    <w:rsid w:val="000959DE"/>
    <w:rsid w:val="00096978"/>
    <w:rsid w:val="000A0278"/>
    <w:rsid w:val="000A02C1"/>
    <w:rsid w:val="000A1650"/>
    <w:rsid w:val="000A1EBE"/>
    <w:rsid w:val="000A272A"/>
    <w:rsid w:val="000A2C61"/>
    <w:rsid w:val="000A392E"/>
    <w:rsid w:val="000A4810"/>
    <w:rsid w:val="000A551E"/>
    <w:rsid w:val="000A575F"/>
    <w:rsid w:val="000A576A"/>
    <w:rsid w:val="000A5EB2"/>
    <w:rsid w:val="000A7915"/>
    <w:rsid w:val="000B139F"/>
    <w:rsid w:val="000B1FAE"/>
    <w:rsid w:val="000B279A"/>
    <w:rsid w:val="000B2F79"/>
    <w:rsid w:val="000B36BF"/>
    <w:rsid w:val="000B3CDC"/>
    <w:rsid w:val="000B62BA"/>
    <w:rsid w:val="000C04AF"/>
    <w:rsid w:val="000C2844"/>
    <w:rsid w:val="000C3427"/>
    <w:rsid w:val="000C4545"/>
    <w:rsid w:val="000C5F0C"/>
    <w:rsid w:val="000C6830"/>
    <w:rsid w:val="000C7727"/>
    <w:rsid w:val="000D10AC"/>
    <w:rsid w:val="000D10DB"/>
    <w:rsid w:val="000D1C2F"/>
    <w:rsid w:val="000D1CDC"/>
    <w:rsid w:val="000D2F3F"/>
    <w:rsid w:val="000D3A75"/>
    <w:rsid w:val="000D64AF"/>
    <w:rsid w:val="000E0B5E"/>
    <w:rsid w:val="000E2C7E"/>
    <w:rsid w:val="000E5EB5"/>
    <w:rsid w:val="000E796C"/>
    <w:rsid w:val="000E7D62"/>
    <w:rsid w:val="000F0671"/>
    <w:rsid w:val="000F0753"/>
    <w:rsid w:val="000F35ED"/>
    <w:rsid w:val="000F5B40"/>
    <w:rsid w:val="0010094C"/>
    <w:rsid w:val="001028EA"/>
    <w:rsid w:val="00102CBD"/>
    <w:rsid w:val="0010627B"/>
    <w:rsid w:val="00107131"/>
    <w:rsid w:val="0010736F"/>
    <w:rsid w:val="001133C9"/>
    <w:rsid w:val="00113F73"/>
    <w:rsid w:val="00114F99"/>
    <w:rsid w:val="0011506D"/>
    <w:rsid w:val="00117B99"/>
    <w:rsid w:val="00120735"/>
    <w:rsid w:val="00121CC2"/>
    <w:rsid w:val="001220A9"/>
    <w:rsid w:val="0012364B"/>
    <w:rsid w:val="00124CF5"/>
    <w:rsid w:val="001255B8"/>
    <w:rsid w:val="00130FA6"/>
    <w:rsid w:val="00133DD1"/>
    <w:rsid w:val="00133EE5"/>
    <w:rsid w:val="00135702"/>
    <w:rsid w:val="001361E8"/>
    <w:rsid w:val="00136D9C"/>
    <w:rsid w:val="00140104"/>
    <w:rsid w:val="001403FE"/>
    <w:rsid w:val="00141C9E"/>
    <w:rsid w:val="00142709"/>
    <w:rsid w:val="001428BB"/>
    <w:rsid w:val="00142E6C"/>
    <w:rsid w:val="00146566"/>
    <w:rsid w:val="001467C1"/>
    <w:rsid w:val="00147089"/>
    <w:rsid w:val="001517E3"/>
    <w:rsid w:val="00151CBA"/>
    <w:rsid w:val="00153D6F"/>
    <w:rsid w:val="00154C28"/>
    <w:rsid w:val="00156656"/>
    <w:rsid w:val="00156B81"/>
    <w:rsid w:val="001602E4"/>
    <w:rsid w:val="00160CA9"/>
    <w:rsid w:val="0016152B"/>
    <w:rsid w:val="00162039"/>
    <w:rsid w:val="00163ACC"/>
    <w:rsid w:val="00166189"/>
    <w:rsid w:val="00167A34"/>
    <w:rsid w:val="00171DEB"/>
    <w:rsid w:val="0017598B"/>
    <w:rsid w:val="00180094"/>
    <w:rsid w:val="00180694"/>
    <w:rsid w:val="00180A17"/>
    <w:rsid w:val="00181F34"/>
    <w:rsid w:val="0018423A"/>
    <w:rsid w:val="0018540A"/>
    <w:rsid w:val="00191ED4"/>
    <w:rsid w:val="00193811"/>
    <w:rsid w:val="001938E2"/>
    <w:rsid w:val="001948B1"/>
    <w:rsid w:val="00197128"/>
    <w:rsid w:val="001A17F4"/>
    <w:rsid w:val="001A445C"/>
    <w:rsid w:val="001A573B"/>
    <w:rsid w:val="001A7870"/>
    <w:rsid w:val="001B15AF"/>
    <w:rsid w:val="001B44C6"/>
    <w:rsid w:val="001C0601"/>
    <w:rsid w:val="001C103F"/>
    <w:rsid w:val="001C1B41"/>
    <w:rsid w:val="001C201B"/>
    <w:rsid w:val="001C4385"/>
    <w:rsid w:val="001C613C"/>
    <w:rsid w:val="001C62CD"/>
    <w:rsid w:val="001C63C5"/>
    <w:rsid w:val="001C6592"/>
    <w:rsid w:val="001C6853"/>
    <w:rsid w:val="001C6FF9"/>
    <w:rsid w:val="001D088A"/>
    <w:rsid w:val="001D18C7"/>
    <w:rsid w:val="001D30E7"/>
    <w:rsid w:val="001D39C2"/>
    <w:rsid w:val="001D3FD9"/>
    <w:rsid w:val="001D61AD"/>
    <w:rsid w:val="001D65EF"/>
    <w:rsid w:val="001E076B"/>
    <w:rsid w:val="001E15B6"/>
    <w:rsid w:val="001E30E5"/>
    <w:rsid w:val="001E35B9"/>
    <w:rsid w:val="001E3C2D"/>
    <w:rsid w:val="001E40BA"/>
    <w:rsid w:val="001E6B33"/>
    <w:rsid w:val="001E6F9B"/>
    <w:rsid w:val="001F1125"/>
    <w:rsid w:val="001F4F03"/>
    <w:rsid w:val="00200A52"/>
    <w:rsid w:val="002028DD"/>
    <w:rsid w:val="002036E4"/>
    <w:rsid w:val="00204415"/>
    <w:rsid w:val="00204B61"/>
    <w:rsid w:val="00205044"/>
    <w:rsid w:val="00205819"/>
    <w:rsid w:val="002058D1"/>
    <w:rsid w:val="00206C3E"/>
    <w:rsid w:val="00207C08"/>
    <w:rsid w:val="00210035"/>
    <w:rsid w:val="00211A2D"/>
    <w:rsid w:val="00216587"/>
    <w:rsid w:val="00217DF3"/>
    <w:rsid w:val="002206EB"/>
    <w:rsid w:val="0022110D"/>
    <w:rsid w:val="00221EC1"/>
    <w:rsid w:val="0022273F"/>
    <w:rsid w:val="00222E35"/>
    <w:rsid w:val="0022356E"/>
    <w:rsid w:val="00224579"/>
    <w:rsid w:val="002250A3"/>
    <w:rsid w:val="002254F2"/>
    <w:rsid w:val="00225A75"/>
    <w:rsid w:val="00226057"/>
    <w:rsid w:val="002271CF"/>
    <w:rsid w:val="002301AE"/>
    <w:rsid w:val="002307A9"/>
    <w:rsid w:val="00231C02"/>
    <w:rsid w:val="00232C01"/>
    <w:rsid w:val="00235217"/>
    <w:rsid w:val="00240A63"/>
    <w:rsid w:val="00242785"/>
    <w:rsid w:val="0024350B"/>
    <w:rsid w:val="002440F7"/>
    <w:rsid w:val="00244A1A"/>
    <w:rsid w:val="00245C5D"/>
    <w:rsid w:val="00246B3C"/>
    <w:rsid w:val="00246D1F"/>
    <w:rsid w:val="00246D53"/>
    <w:rsid w:val="00246E90"/>
    <w:rsid w:val="002472E3"/>
    <w:rsid w:val="00247403"/>
    <w:rsid w:val="00247542"/>
    <w:rsid w:val="00252115"/>
    <w:rsid w:val="00252603"/>
    <w:rsid w:val="00252918"/>
    <w:rsid w:val="00254F59"/>
    <w:rsid w:val="00255222"/>
    <w:rsid w:val="002560ED"/>
    <w:rsid w:val="0025752E"/>
    <w:rsid w:val="002609CF"/>
    <w:rsid w:val="00261379"/>
    <w:rsid w:val="00261802"/>
    <w:rsid w:val="00262354"/>
    <w:rsid w:val="00262526"/>
    <w:rsid w:val="00262C03"/>
    <w:rsid w:val="00263CA5"/>
    <w:rsid w:val="00264D24"/>
    <w:rsid w:val="00266377"/>
    <w:rsid w:val="00266B61"/>
    <w:rsid w:val="0026712A"/>
    <w:rsid w:val="00267565"/>
    <w:rsid w:val="002704DB"/>
    <w:rsid w:val="00270CB4"/>
    <w:rsid w:val="002710C3"/>
    <w:rsid w:val="00271C65"/>
    <w:rsid w:val="00272F06"/>
    <w:rsid w:val="0027473E"/>
    <w:rsid w:val="00276156"/>
    <w:rsid w:val="00276DF8"/>
    <w:rsid w:val="00277A9C"/>
    <w:rsid w:val="00277EF9"/>
    <w:rsid w:val="00280E61"/>
    <w:rsid w:val="002827DD"/>
    <w:rsid w:val="00282D1B"/>
    <w:rsid w:val="00283745"/>
    <w:rsid w:val="00286B80"/>
    <w:rsid w:val="002876EE"/>
    <w:rsid w:val="002900FB"/>
    <w:rsid w:val="00291BD5"/>
    <w:rsid w:val="00292D3F"/>
    <w:rsid w:val="002932D5"/>
    <w:rsid w:val="00295975"/>
    <w:rsid w:val="00295C11"/>
    <w:rsid w:val="0029714A"/>
    <w:rsid w:val="00297434"/>
    <w:rsid w:val="002979FB"/>
    <w:rsid w:val="002A0255"/>
    <w:rsid w:val="002A0679"/>
    <w:rsid w:val="002A06A2"/>
    <w:rsid w:val="002A0AAE"/>
    <w:rsid w:val="002A2574"/>
    <w:rsid w:val="002A3226"/>
    <w:rsid w:val="002A5820"/>
    <w:rsid w:val="002A5E34"/>
    <w:rsid w:val="002A743A"/>
    <w:rsid w:val="002A7ABE"/>
    <w:rsid w:val="002A7C65"/>
    <w:rsid w:val="002B074D"/>
    <w:rsid w:val="002B66EE"/>
    <w:rsid w:val="002C109D"/>
    <w:rsid w:val="002C1841"/>
    <w:rsid w:val="002C487E"/>
    <w:rsid w:val="002C4B9F"/>
    <w:rsid w:val="002C55BC"/>
    <w:rsid w:val="002C73F2"/>
    <w:rsid w:val="002D2B26"/>
    <w:rsid w:val="002D30D7"/>
    <w:rsid w:val="002D5CB9"/>
    <w:rsid w:val="002D7EA2"/>
    <w:rsid w:val="002E05B1"/>
    <w:rsid w:val="002E12CB"/>
    <w:rsid w:val="002E13A5"/>
    <w:rsid w:val="002E17C5"/>
    <w:rsid w:val="002E187C"/>
    <w:rsid w:val="002E28E3"/>
    <w:rsid w:val="002E2D5B"/>
    <w:rsid w:val="002E4AEA"/>
    <w:rsid w:val="002E6D85"/>
    <w:rsid w:val="002E7B56"/>
    <w:rsid w:val="002F01E1"/>
    <w:rsid w:val="002F1909"/>
    <w:rsid w:val="002F31F3"/>
    <w:rsid w:val="002F76D1"/>
    <w:rsid w:val="00300701"/>
    <w:rsid w:val="00300AC4"/>
    <w:rsid w:val="00301856"/>
    <w:rsid w:val="003026D2"/>
    <w:rsid w:val="00302733"/>
    <w:rsid w:val="00303D52"/>
    <w:rsid w:val="00303E12"/>
    <w:rsid w:val="00306F0C"/>
    <w:rsid w:val="0030727B"/>
    <w:rsid w:val="0030762E"/>
    <w:rsid w:val="003077ED"/>
    <w:rsid w:val="00307ABC"/>
    <w:rsid w:val="00307E92"/>
    <w:rsid w:val="00311514"/>
    <w:rsid w:val="00311571"/>
    <w:rsid w:val="00311850"/>
    <w:rsid w:val="00311918"/>
    <w:rsid w:val="0031359B"/>
    <w:rsid w:val="00314078"/>
    <w:rsid w:val="0031535D"/>
    <w:rsid w:val="00316F08"/>
    <w:rsid w:val="003178A7"/>
    <w:rsid w:val="00320414"/>
    <w:rsid w:val="003218C8"/>
    <w:rsid w:val="00321E98"/>
    <w:rsid w:val="0033028D"/>
    <w:rsid w:val="0033169F"/>
    <w:rsid w:val="00331A1E"/>
    <w:rsid w:val="0033207F"/>
    <w:rsid w:val="0033233F"/>
    <w:rsid w:val="00336538"/>
    <w:rsid w:val="00336B9D"/>
    <w:rsid w:val="003406A6"/>
    <w:rsid w:val="00342637"/>
    <w:rsid w:val="00342FE8"/>
    <w:rsid w:val="00344D6A"/>
    <w:rsid w:val="00346C95"/>
    <w:rsid w:val="00346D5F"/>
    <w:rsid w:val="003507D1"/>
    <w:rsid w:val="00354188"/>
    <w:rsid w:val="0035419E"/>
    <w:rsid w:val="0035572E"/>
    <w:rsid w:val="00355891"/>
    <w:rsid w:val="003558ED"/>
    <w:rsid w:val="00356185"/>
    <w:rsid w:val="00357A3D"/>
    <w:rsid w:val="00360380"/>
    <w:rsid w:val="00361415"/>
    <w:rsid w:val="003633C5"/>
    <w:rsid w:val="00363AB4"/>
    <w:rsid w:val="003641E7"/>
    <w:rsid w:val="00365872"/>
    <w:rsid w:val="00367BDB"/>
    <w:rsid w:val="003731CF"/>
    <w:rsid w:val="003733C1"/>
    <w:rsid w:val="00373415"/>
    <w:rsid w:val="0037345D"/>
    <w:rsid w:val="0037519E"/>
    <w:rsid w:val="003768E2"/>
    <w:rsid w:val="00376BD1"/>
    <w:rsid w:val="00380A3C"/>
    <w:rsid w:val="00381C8D"/>
    <w:rsid w:val="003833ED"/>
    <w:rsid w:val="00384733"/>
    <w:rsid w:val="003848FF"/>
    <w:rsid w:val="0038559B"/>
    <w:rsid w:val="00386139"/>
    <w:rsid w:val="00386CF0"/>
    <w:rsid w:val="003903FC"/>
    <w:rsid w:val="00390787"/>
    <w:rsid w:val="00391C32"/>
    <w:rsid w:val="00392618"/>
    <w:rsid w:val="003929C1"/>
    <w:rsid w:val="003A32C4"/>
    <w:rsid w:val="003A37E6"/>
    <w:rsid w:val="003A3B60"/>
    <w:rsid w:val="003A3E0D"/>
    <w:rsid w:val="003A3E60"/>
    <w:rsid w:val="003A4ED3"/>
    <w:rsid w:val="003A5083"/>
    <w:rsid w:val="003A51D6"/>
    <w:rsid w:val="003A5E0C"/>
    <w:rsid w:val="003A777C"/>
    <w:rsid w:val="003A7F77"/>
    <w:rsid w:val="003B0066"/>
    <w:rsid w:val="003B2F2E"/>
    <w:rsid w:val="003B3FC3"/>
    <w:rsid w:val="003B5648"/>
    <w:rsid w:val="003B5C34"/>
    <w:rsid w:val="003C0902"/>
    <w:rsid w:val="003C6234"/>
    <w:rsid w:val="003C676B"/>
    <w:rsid w:val="003C6BBD"/>
    <w:rsid w:val="003D0B67"/>
    <w:rsid w:val="003D184A"/>
    <w:rsid w:val="003D2C50"/>
    <w:rsid w:val="003D3BC2"/>
    <w:rsid w:val="003D46A0"/>
    <w:rsid w:val="003D49BC"/>
    <w:rsid w:val="003D5280"/>
    <w:rsid w:val="003D6752"/>
    <w:rsid w:val="003D67C7"/>
    <w:rsid w:val="003D6D59"/>
    <w:rsid w:val="003D73AA"/>
    <w:rsid w:val="003D7B17"/>
    <w:rsid w:val="003D7C03"/>
    <w:rsid w:val="003E0197"/>
    <w:rsid w:val="003E0566"/>
    <w:rsid w:val="003E0F69"/>
    <w:rsid w:val="003E16BF"/>
    <w:rsid w:val="003E16C3"/>
    <w:rsid w:val="003E432F"/>
    <w:rsid w:val="003E4DF1"/>
    <w:rsid w:val="003E6CA1"/>
    <w:rsid w:val="003E7A8B"/>
    <w:rsid w:val="003E7CB9"/>
    <w:rsid w:val="003E7F09"/>
    <w:rsid w:val="003F0081"/>
    <w:rsid w:val="003F00E8"/>
    <w:rsid w:val="003F051A"/>
    <w:rsid w:val="003F0F3A"/>
    <w:rsid w:val="003F0FB3"/>
    <w:rsid w:val="003F3CEB"/>
    <w:rsid w:val="003F4C8A"/>
    <w:rsid w:val="003F5062"/>
    <w:rsid w:val="003F5421"/>
    <w:rsid w:val="003F54FD"/>
    <w:rsid w:val="003F568D"/>
    <w:rsid w:val="003F592C"/>
    <w:rsid w:val="003F677F"/>
    <w:rsid w:val="003F68F0"/>
    <w:rsid w:val="003F7F6C"/>
    <w:rsid w:val="00400198"/>
    <w:rsid w:val="0040024A"/>
    <w:rsid w:val="004007F8"/>
    <w:rsid w:val="00401FE1"/>
    <w:rsid w:val="00402801"/>
    <w:rsid w:val="00403BD2"/>
    <w:rsid w:val="00407B8E"/>
    <w:rsid w:val="00410EEA"/>
    <w:rsid w:val="00414717"/>
    <w:rsid w:val="00414B1F"/>
    <w:rsid w:val="004165C2"/>
    <w:rsid w:val="00416634"/>
    <w:rsid w:val="004212E0"/>
    <w:rsid w:val="0042232A"/>
    <w:rsid w:val="00422A5D"/>
    <w:rsid w:val="00423398"/>
    <w:rsid w:val="00423ABE"/>
    <w:rsid w:val="00426114"/>
    <w:rsid w:val="00426CA0"/>
    <w:rsid w:val="0042737A"/>
    <w:rsid w:val="0043359F"/>
    <w:rsid w:val="00434DA4"/>
    <w:rsid w:val="0043599A"/>
    <w:rsid w:val="00435EAC"/>
    <w:rsid w:val="00436C85"/>
    <w:rsid w:val="00437077"/>
    <w:rsid w:val="00437159"/>
    <w:rsid w:val="00437349"/>
    <w:rsid w:val="00437655"/>
    <w:rsid w:val="0044013E"/>
    <w:rsid w:val="00441ECB"/>
    <w:rsid w:val="00442623"/>
    <w:rsid w:val="00442D18"/>
    <w:rsid w:val="004448E3"/>
    <w:rsid w:val="004450D2"/>
    <w:rsid w:val="00447C5D"/>
    <w:rsid w:val="00450207"/>
    <w:rsid w:val="00451B1E"/>
    <w:rsid w:val="00451CE0"/>
    <w:rsid w:val="00453A30"/>
    <w:rsid w:val="00455A20"/>
    <w:rsid w:val="0046072D"/>
    <w:rsid w:val="00463E5D"/>
    <w:rsid w:val="00465877"/>
    <w:rsid w:val="0046718B"/>
    <w:rsid w:val="00467B7E"/>
    <w:rsid w:val="00467F5A"/>
    <w:rsid w:val="00471028"/>
    <w:rsid w:val="00471B6B"/>
    <w:rsid w:val="00471B6F"/>
    <w:rsid w:val="00471BEB"/>
    <w:rsid w:val="00472B9F"/>
    <w:rsid w:val="00472E6E"/>
    <w:rsid w:val="00472FA4"/>
    <w:rsid w:val="00473A70"/>
    <w:rsid w:val="00473C3C"/>
    <w:rsid w:val="00475293"/>
    <w:rsid w:val="0047544F"/>
    <w:rsid w:val="004754ED"/>
    <w:rsid w:val="00476EE7"/>
    <w:rsid w:val="00477592"/>
    <w:rsid w:val="0048187A"/>
    <w:rsid w:val="00482EC8"/>
    <w:rsid w:val="00483D68"/>
    <w:rsid w:val="00484266"/>
    <w:rsid w:val="004845A8"/>
    <w:rsid w:val="00484945"/>
    <w:rsid w:val="00485086"/>
    <w:rsid w:val="004862C3"/>
    <w:rsid w:val="00486F1C"/>
    <w:rsid w:val="00487108"/>
    <w:rsid w:val="00487F96"/>
    <w:rsid w:val="004901F0"/>
    <w:rsid w:val="00491490"/>
    <w:rsid w:val="004925EB"/>
    <w:rsid w:val="00493279"/>
    <w:rsid w:val="0049419D"/>
    <w:rsid w:val="004964F6"/>
    <w:rsid w:val="00496918"/>
    <w:rsid w:val="00497693"/>
    <w:rsid w:val="0049769D"/>
    <w:rsid w:val="004A148A"/>
    <w:rsid w:val="004A3949"/>
    <w:rsid w:val="004A4541"/>
    <w:rsid w:val="004A50BC"/>
    <w:rsid w:val="004A510B"/>
    <w:rsid w:val="004A6BB4"/>
    <w:rsid w:val="004B2634"/>
    <w:rsid w:val="004B553C"/>
    <w:rsid w:val="004B590C"/>
    <w:rsid w:val="004B6005"/>
    <w:rsid w:val="004B7DB7"/>
    <w:rsid w:val="004C20D2"/>
    <w:rsid w:val="004C25AE"/>
    <w:rsid w:val="004C27E0"/>
    <w:rsid w:val="004C3D7A"/>
    <w:rsid w:val="004C4B62"/>
    <w:rsid w:val="004C54C9"/>
    <w:rsid w:val="004C6DC2"/>
    <w:rsid w:val="004C790D"/>
    <w:rsid w:val="004C7DF6"/>
    <w:rsid w:val="004D083D"/>
    <w:rsid w:val="004D195F"/>
    <w:rsid w:val="004D24C0"/>
    <w:rsid w:val="004D2720"/>
    <w:rsid w:val="004D4D04"/>
    <w:rsid w:val="004D6025"/>
    <w:rsid w:val="004D6618"/>
    <w:rsid w:val="004D69C0"/>
    <w:rsid w:val="004E0797"/>
    <w:rsid w:val="004E0961"/>
    <w:rsid w:val="004E25BF"/>
    <w:rsid w:val="004E2649"/>
    <w:rsid w:val="004E30B9"/>
    <w:rsid w:val="004E4959"/>
    <w:rsid w:val="004E6986"/>
    <w:rsid w:val="004F083B"/>
    <w:rsid w:val="004F0B6F"/>
    <w:rsid w:val="004F0D6C"/>
    <w:rsid w:val="004F131C"/>
    <w:rsid w:val="004F3556"/>
    <w:rsid w:val="004F3A0E"/>
    <w:rsid w:val="004F47A6"/>
    <w:rsid w:val="004F569A"/>
    <w:rsid w:val="004F627D"/>
    <w:rsid w:val="00501399"/>
    <w:rsid w:val="00501BA4"/>
    <w:rsid w:val="0050211E"/>
    <w:rsid w:val="005053BA"/>
    <w:rsid w:val="0050633D"/>
    <w:rsid w:val="00507BC4"/>
    <w:rsid w:val="00511849"/>
    <w:rsid w:val="0051282A"/>
    <w:rsid w:val="005128E4"/>
    <w:rsid w:val="00512949"/>
    <w:rsid w:val="005133DB"/>
    <w:rsid w:val="00515080"/>
    <w:rsid w:val="00517513"/>
    <w:rsid w:val="005202BB"/>
    <w:rsid w:val="0052077C"/>
    <w:rsid w:val="00520954"/>
    <w:rsid w:val="00520E0E"/>
    <w:rsid w:val="00524F93"/>
    <w:rsid w:val="00525560"/>
    <w:rsid w:val="00525B95"/>
    <w:rsid w:val="005260C2"/>
    <w:rsid w:val="00526AF1"/>
    <w:rsid w:val="00526F9F"/>
    <w:rsid w:val="00527E9B"/>
    <w:rsid w:val="005301A8"/>
    <w:rsid w:val="005345E0"/>
    <w:rsid w:val="005346F7"/>
    <w:rsid w:val="005354F3"/>
    <w:rsid w:val="00535FDD"/>
    <w:rsid w:val="00536923"/>
    <w:rsid w:val="00537327"/>
    <w:rsid w:val="00537582"/>
    <w:rsid w:val="0053761E"/>
    <w:rsid w:val="00540191"/>
    <w:rsid w:val="005430CE"/>
    <w:rsid w:val="005439A1"/>
    <w:rsid w:val="00544C49"/>
    <w:rsid w:val="005516A1"/>
    <w:rsid w:val="005534E1"/>
    <w:rsid w:val="00554919"/>
    <w:rsid w:val="0055497C"/>
    <w:rsid w:val="005568E8"/>
    <w:rsid w:val="00556988"/>
    <w:rsid w:val="005572BA"/>
    <w:rsid w:val="00557337"/>
    <w:rsid w:val="00560474"/>
    <w:rsid w:val="005607F7"/>
    <w:rsid w:val="0056182C"/>
    <w:rsid w:val="005622DA"/>
    <w:rsid w:val="0056294A"/>
    <w:rsid w:val="00563B9D"/>
    <w:rsid w:val="005646E8"/>
    <w:rsid w:val="0056490C"/>
    <w:rsid w:val="00564E4A"/>
    <w:rsid w:val="00565744"/>
    <w:rsid w:val="00565F56"/>
    <w:rsid w:val="0056712C"/>
    <w:rsid w:val="0057034F"/>
    <w:rsid w:val="0057325E"/>
    <w:rsid w:val="005738D0"/>
    <w:rsid w:val="0057402A"/>
    <w:rsid w:val="0057477E"/>
    <w:rsid w:val="005754F2"/>
    <w:rsid w:val="005771D0"/>
    <w:rsid w:val="00580C1C"/>
    <w:rsid w:val="005824E5"/>
    <w:rsid w:val="00582FE9"/>
    <w:rsid w:val="00583F5D"/>
    <w:rsid w:val="00584921"/>
    <w:rsid w:val="00584B82"/>
    <w:rsid w:val="00584DFF"/>
    <w:rsid w:val="005862A6"/>
    <w:rsid w:val="0058630D"/>
    <w:rsid w:val="0059191A"/>
    <w:rsid w:val="005921FF"/>
    <w:rsid w:val="005937F1"/>
    <w:rsid w:val="00594F25"/>
    <w:rsid w:val="00595C1D"/>
    <w:rsid w:val="00596726"/>
    <w:rsid w:val="00597339"/>
    <w:rsid w:val="005A0CD2"/>
    <w:rsid w:val="005A1516"/>
    <w:rsid w:val="005A1D55"/>
    <w:rsid w:val="005A2B6A"/>
    <w:rsid w:val="005A4334"/>
    <w:rsid w:val="005A527B"/>
    <w:rsid w:val="005A6D0E"/>
    <w:rsid w:val="005A6FFC"/>
    <w:rsid w:val="005A7599"/>
    <w:rsid w:val="005A7DC2"/>
    <w:rsid w:val="005B016E"/>
    <w:rsid w:val="005B0768"/>
    <w:rsid w:val="005B0828"/>
    <w:rsid w:val="005B0F10"/>
    <w:rsid w:val="005B13BC"/>
    <w:rsid w:val="005B14A3"/>
    <w:rsid w:val="005B16A6"/>
    <w:rsid w:val="005B1EDF"/>
    <w:rsid w:val="005B1FA3"/>
    <w:rsid w:val="005B2A02"/>
    <w:rsid w:val="005B35F4"/>
    <w:rsid w:val="005B4ED6"/>
    <w:rsid w:val="005B52B0"/>
    <w:rsid w:val="005B6806"/>
    <w:rsid w:val="005B6FCB"/>
    <w:rsid w:val="005C1C28"/>
    <w:rsid w:val="005C2827"/>
    <w:rsid w:val="005C298D"/>
    <w:rsid w:val="005C2DE6"/>
    <w:rsid w:val="005C32F4"/>
    <w:rsid w:val="005C37CB"/>
    <w:rsid w:val="005C4225"/>
    <w:rsid w:val="005C4459"/>
    <w:rsid w:val="005C4CA5"/>
    <w:rsid w:val="005C5FD2"/>
    <w:rsid w:val="005C7019"/>
    <w:rsid w:val="005D0DB1"/>
    <w:rsid w:val="005D1794"/>
    <w:rsid w:val="005D1908"/>
    <w:rsid w:val="005D1C68"/>
    <w:rsid w:val="005D1CBB"/>
    <w:rsid w:val="005D24BE"/>
    <w:rsid w:val="005D276F"/>
    <w:rsid w:val="005D34E0"/>
    <w:rsid w:val="005D6253"/>
    <w:rsid w:val="005D71E2"/>
    <w:rsid w:val="005D7EBA"/>
    <w:rsid w:val="005E2813"/>
    <w:rsid w:val="005E3035"/>
    <w:rsid w:val="005E3547"/>
    <w:rsid w:val="005E6E2C"/>
    <w:rsid w:val="005E7219"/>
    <w:rsid w:val="005F01FF"/>
    <w:rsid w:val="005F0DAD"/>
    <w:rsid w:val="005F0F33"/>
    <w:rsid w:val="005F2344"/>
    <w:rsid w:val="005F277E"/>
    <w:rsid w:val="005F309E"/>
    <w:rsid w:val="005F3A30"/>
    <w:rsid w:val="005F5C3F"/>
    <w:rsid w:val="005F66D9"/>
    <w:rsid w:val="00600DEB"/>
    <w:rsid w:val="006030F6"/>
    <w:rsid w:val="00607727"/>
    <w:rsid w:val="00610511"/>
    <w:rsid w:val="006110E5"/>
    <w:rsid w:val="006125C3"/>
    <w:rsid w:val="006128DA"/>
    <w:rsid w:val="00613705"/>
    <w:rsid w:val="00614B81"/>
    <w:rsid w:val="00614F23"/>
    <w:rsid w:val="006168B9"/>
    <w:rsid w:val="006225E5"/>
    <w:rsid w:val="00623E0E"/>
    <w:rsid w:val="00625A00"/>
    <w:rsid w:val="00627C9F"/>
    <w:rsid w:val="006311E9"/>
    <w:rsid w:val="00632354"/>
    <w:rsid w:val="00633590"/>
    <w:rsid w:val="00633E6D"/>
    <w:rsid w:val="00634952"/>
    <w:rsid w:val="00636777"/>
    <w:rsid w:val="00640665"/>
    <w:rsid w:val="00640FFE"/>
    <w:rsid w:val="00642810"/>
    <w:rsid w:val="00644405"/>
    <w:rsid w:val="00644677"/>
    <w:rsid w:val="0064495A"/>
    <w:rsid w:val="00646640"/>
    <w:rsid w:val="00647A1E"/>
    <w:rsid w:val="00650A82"/>
    <w:rsid w:val="00650DC7"/>
    <w:rsid w:val="00651CD9"/>
    <w:rsid w:val="00652333"/>
    <w:rsid w:val="006526FC"/>
    <w:rsid w:val="006537B6"/>
    <w:rsid w:val="006553D2"/>
    <w:rsid w:val="00656F9A"/>
    <w:rsid w:val="0066017F"/>
    <w:rsid w:val="006601BB"/>
    <w:rsid w:val="006612CD"/>
    <w:rsid w:val="00661EB0"/>
    <w:rsid w:val="00662CCC"/>
    <w:rsid w:val="006644AC"/>
    <w:rsid w:val="00664EFA"/>
    <w:rsid w:val="0066515B"/>
    <w:rsid w:val="006658E8"/>
    <w:rsid w:val="00667AA6"/>
    <w:rsid w:val="00673575"/>
    <w:rsid w:val="006745D3"/>
    <w:rsid w:val="00675F51"/>
    <w:rsid w:val="0068009E"/>
    <w:rsid w:val="006800FF"/>
    <w:rsid w:val="006801AD"/>
    <w:rsid w:val="0068160C"/>
    <w:rsid w:val="0068286A"/>
    <w:rsid w:val="00683696"/>
    <w:rsid w:val="00683730"/>
    <w:rsid w:val="006850EB"/>
    <w:rsid w:val="00686CA4"/>
    <w:rsid w:val="00686F8A"/>
    <w:rsid w:val="0069098B"/>
    <w:rsid w:val="00690EA8"/>
    <w:rsid w:val="00692219"/>
    <w:rsid w:val="00692413"/>
    <w:rsid w:val="00692E66"/>
    <w:rsid w:val="00693395"/>
    <w:rsid w:val="006949EE"/>
    <w:rsid w:val="00694AFC"/>
    <w:rsid w:val="00696721"/>
    <w:rsid w:val="006969A7"/>
    <w:rsid w:val="006A0236"/>
    <w:rsid w:val="006A081B"/>
    <w:rsid w:val="006A09FF"/>
    <w:rsid w:val="006A17D2"/>
    <w:rsid w:val="006A48D1"/>
    <w:rsid w:val="006A4B39"/>
    <w:rsid w:val="006A50A1"/>
    <w:rsid w:val="006A53CD"/>
    <w:rsid w:val="006A618A"/>
    <w:rsid w:val="006A658F"/>
    <w:rsid w:val="006A683F"/>
    <w:rsid w:val="006A73E6"/>
    <w:rsid w:val="006B1038"/>
    <w:rsid w:val="006B1ACA"/>
    <w:rsid w:val="006B1E94"/>
    <w:rsid w:val="006B26B2"/>
    <w:rsid w:val="006B2D5C"/>
    <w:rsid w:val="006B4D40"/>
    <w:rsid w:val="006B5055"/>
    <w:rsid w:val="006B5A18"/>
    <w:rsid w:val="006C0C0E"/>
    <w:rsid w:val="006C1A1A"/>
    <w:rsid w:val="006C1A20"/>
    <w:rsid w:val="006C1C96"/>
    <w:rsid w:val="006C1E81"/>
    <w:rsid w:val="006C2EB7"/>
    <w:rsid w:val="006C4AC0"/>
    <w:rsid w:val="006C4EB1"/>
    <w:rsid w:val="006C6A6C"/>
    <w:rsid w:val="006C6C80"/>
    <w:rsid w:val="006C71FD"/>
    <w:rsid w:val="006D02FE"/>
    <w:rsid w:val="006D0972"/>
    <w:rsid w:val="006D141D"/>
    <w:rsid w:val="006D4FDC"/>
    <w:rsid w:val="006E0166"/>
    <w:rsid w:val="006E2973"/>
    <w:rsid w:val="006E31DC"/>
    <w:rsid w:val="006E3921"/>
    <w:rsid w:val="006E43E9"/>
    <w:rsid w:val="006E49F0"/>
    <w:rsid w:val="006E5294"/>
    <w:rsid w:val="006E7B34"/>
    <w:rsid w:val="006F1AB5"/>
    <w:rsid w:val="006F3EC5"/>
    <w:rsid w:val="006F4591"/>
    <w:rsid w:val="006F5211"/>
    <w:rsid w:val="006F6047"/>
    <w:rsid w:val="0070031B"/>
    <w:rsid w:val="00700F88"/>
    <w:rsid w:val="0070135C"/>
    <w:rsid w:val="00702498"/>
    <w:rsid w:val="00702FC8"/>
    <w:rsid w:val="00704518"/>
    <w:rsid w:val="007046D3"/>
    <w:rsid w:val="00704A4F"/>
    <w:rsid w:val="00704E54"/>
    <w:rsid w:val="007052A3"/>
    <w:rsid w:val="00705772"/>
    <w:rsid w:val="0070697F"/>
    <w:rsid w:val="007076F2"/>
    <w:rsid w:val="00711B38"/>
    <w:rsid w:val="00713144"/>
    <w:rsid w:val="007131C6"/>
    <w:rsid w:val="007135A4"/>
    <w:rsid w:val="007143DE"/>
    <w:rsid w:val="0072010D"/>
    <w:rsid w:val="007208E1"/>
    <w:rsid w:val="00721684"/>
    <w:rsid w:val="0072199C"/>
    <w:rsid w:val="007219CD"/>
    <w:rsid w:val="00722C9F"/>
    <w:rsid w:val="00724801"/>
    <w:rsid w:val="007253B8"/>
    <w:rsid w:val="00730C6C"/>
    <w:rsid w:val="00731A24"/>
    <w:rsid w:val="00734C31"/>
    <w:rsid w:val="0073631B"/>
    <w:rsid w:val="00736DEF"/>
    <w:rsid w:val="0073741F"/>
    <w:rsid w:val="0074015B"/>
    <w:rsid w:val="00740781"/>
    <w:rsid w:val="00740900"/>
    <w:rsid w:val="007431D9"/>
    <w:rsid w:val="0074356B"/>
    <w:rsid w:val="00745005"/>
    <w:rsid w:val="00747161"/>
    <w:rsid w:val="0074774E"/>
    <w:rsid w:val="00747D1A"/>
    <w:rsid w:val="00750078"/>
    <w:rsid w:val="0075234D"/>
    <w:rsid w:val="007527E5"/>
    <w:rsid w:val="00753123"/>
    <w:rsid w:val="007540D5"/>
    <w:rsid w:val="007575A0"/>
    <w:rsid w:val="00760472"/>
    <w:rsid w:val="00761740"/>
    <w:rsid w:val="00762F26"/>
    <w:rsid w:val="007640B4"/>
    <w:rsid w:val="0076428A"/>
    <w:rsid w:val="0076643F"/>
    <w:rsid w:val="00770493"/>
    <w:rsid w:val="00771C5A"/>
    <w:rsid w:val="0077580A"/>
    <w:rsid w:val="00776083"/>
    <w:rsid w:val="007774D0"/>
    <w:rsid w:val="00777F63"/>
    <w:rsid w:val="00782A71"/>
    <w:rsid w:val="00783B89"/>
    <w:rsid w:val="00784248"/>
    <w:rsid w:val="007848F0"/>
    <w:rsid w:val="007858FD"/>
    <w:rsid w:val="00793E42"/>
    <w:rsid w:val="007969C5"/>
    <w:rsid w:val="0079767B"/>
    <w:rsid w:val="00797AE1"/>
    <w:rsid w:val="007A08D8"/>
    <w:rsid w:val="007A2A7C"/>
    <w:rsid w:val="007A2D1A"/>
    <w:rsid w:val="007A427D"/>
    <w:rsid w:val="007A4CCC"/>
    <w:rsid w:val="007A5817"/>
    <w:rsid w:val="007A5C37"/>
    <w:rsid w:val="007A612F"/>
    <w:rsid w:val="007A6FF5"/>
    <w:rsid w:val="007A709B"/>
    <w:rsid w:val="007A73F5"/>
    <w:rsid w:val="007A7D9A"/>
    <w:rsid w:val="007B1D3B"/>
    <w:rsid w:val="007B288A"/>
    <w:rsid w:val="007B379F"/>
    <w:rsid w:val="007B60E9"/>
    <w:rsid w:val="007B6CC3"/>
    <w:rsid w:val="007C08FA"/>
    <w:rsid w:val="007C12A0"/>
    <w:rsid w:val="007C1727"/>
    <w:rsid w:val="007C2394"/>
    <w:rsid w:val="007C3334"/>
    <w:rsid w:val="007C3EC9"/>
    <w:rsid w:val="007C756A"/>
    <w:rsid w:val="007D0C5D"/>
    <w:rsid w:val="007D0D83"/>
    <w:rsid w:val="007D0FB2"/>
    <w:rsid w:val="007D2B98"/>
    <w:rsid w:val="007D301A"/>
    <w:rsid w:val="007D3255"/>
    <w:rsid w:val="007D3766"/>
    <w:rsid w:val="007D601F"/>
    <w:rsid w:val="007D6483"/>
    <w:rsid w:val="007D74E6"/>
    <w:rsid w:val="007D7910"/>
    <w:rsid w:val="007E17E4"/>
    <w:rsid w:val="007E21BC"/>
    <w:rsid w:val="007E258A"/>
    <w:rsid w:val="007E540C"/>
    <w:rsid w:val="007E60E3"/>
    <w:rsid w:val="007E6E5E"/>
    <w:rsid w:val="007F0BD1"/>
    <w:rsid w:val="007F12CD"/>
    <w:rsid w:val="007F1384"/>
    <w:rsid w:val="007F163D"/>
    <w:rsid w:val="007F1A14"/>
    <w:rsid w:val="007F20AF"/>
    <w:rsid w:val="007F3505"/>
    <w:rsid w:val="007F3BF9"/>
    <w:rsid w:val="007F4AB6"/>
    <w:rsid w:val="007F7024"/>
    <w:rsid w:val="007F7E9A"/>
    <w:rsid w:val="0080121F"/>
    <w:rsid w:val="008016EF"/>
    <w:rsid w:val="00801C07"/>
    <w:rsid w:val="00803767"/>
    <w:rsid w:val="00803F1C"/>
    <w:rsid w:val="008040FC"/>
    <w:rsid w:val="00804899"/>
    <w:rsid w:val="00804FCC"/>
    <w:rsid w:val="008059BB"/>
    <w:rsid w:val="0080600E"/>
    <w:rsid w:val="008108D0"/>
    <w:rsid w:val="00810CB8"/>
    <w:rsid w:val="00810EFC"/>
    <w:rsid w:val="00811EDA"/>
    <w:rsid w:val="0081284E"/>
    <w:rsid w:val="00812924"/>
    <w:rsid w:val="008147AF"/>
    <w:rsid w:val="00815021"/>
    <w:rsid w:val="0081626C"/>
    <w:rsid w:val="008166FA"/>
    <w:rsid w:val="00816D6A"/>
    <w:rsid w:val="00817223"/>
    <w:rsid w:val="00817612"/>
    <w:rsid w:val="00817C51"/>
    <w:rsid w:val="00820268"/>
    <w:rsid w:val="008211E9"/>
    <w:rsid w:val="008217E6"/>
    <w:rsid w:val="008219EA"/>
    <w:rsid w:val="00825C0A"/>
    <w:rsid w:val="008266A7"/>
    <w:rsid w:val="0082710C"/>
    <w:rsid w:val="00830459"/>
    <w:rsid w:val="00831BE5"/>
    <w:rsid w:val="0083258F"/>
    <w:rsid w:val="00832C51"/>
    <w:rsid w:val="008338A4"/>
    <w:rsid w:val="00834D0B"/>
    <w:rsid w:val="00835A11"/>
    <w:rsid w:val="00835F73"/>
    <w:rsid w:val="008367D2"/>
    <w:rsid w:val="008371BF"/>
    <w:rsid w:val="008378A1"/>
    <w:rsid w:val="00837C45"/>
    <w:rsid w:val="008428C7"/>
    <w:rsid w:val="008429CE"/>
    <w:rsid w:val="00844487"/>
    <w:rsid w:val="00844730"/>
    <w:rsid w:val="00845352"/>
    <w:rsid w:val="008457C2"/>
    <w:rsid w:val="00846111"/>
    <w:rsid w:val="008469E3"/>
    <w:rsid w:val="008500CB"/>
    <w:rsid w:val="00850100"/>
    <w:rsid w:val="00852A2D"/>
    <w:rsid w:val="00852E52"/>
    <w:rsid w:val="00853123"/>
    <w:rsid w:val="008537E5"/>
    <w:rsid w:val="00853A78"/>
    <w:rsid w:val="00855AED"/>
    <w:rsid w:val="008560C3"/>
    <w:rsid w:val="00856E36"/>
    <w:rsid w:val="00857A82"/>
    <w:rsid w:val="00861946"/>
    <w:rsid w:val="00863C4C"/>
    <w:rsid w:val="008654B9"/>
    <w:rsid w:val="008664C4"/>
    <w:rsid w:val="00870357"/>
    <w:rsid w:val="00870595"/>
    <w:rsid w:val="00873836"/>
    <w:rsid w:val="0087583F"/>
    <w:rsid w:val="00881967"/>
    <w:rsid w:val="00881D53"/>
    <w:rsid w:val="00882944"/>
    <w:rsid w:val="00882CDF"/>
    <w:rsid w:val="00882FBB"/>
    <w:rsid w:val="008831B0"/>
    <w:rsid w:val="00884D79"/>
    <w:rsid w:val="00884ED6"/>
    <w:rsid w:val="008852B6"/>
    <w:rsid w:val="00885737"/>
    <w:rsid w:val="008863A4"/>
    <w:rsid w:val="00886677"/>
    <w:rsid w:val="00886724"/>
    <w:rsid w:val="00887FF6"/>
    <w:rsid w:val="00890650"/>
    <w:rsid w:val="008912FA"/>
    <w:rsid w:val="008914CC"/>
    <w:rsid w:val="008919C8"/>
    <w:rsid w:val="00891D02"/>
    <w:rsid w:val="00892CBB"/>
    <w:rsid w:val="00892E4F"/>
    <w:rsid w:val="00896927"/>
    <w:rsid w:val="00897411"/>
    <w:rsid w:val="00897DD9"/>
    <w:rsid w:val="00897E12"/>
    <w:rsid w:val="008A10B5"/>
    <w:rsid w:val="008A68CD"/>
    <w:rsid w:val="008A79AF"/>
    <w:rsid w:val="008A7E0F"/>
    <w:rsid w:val="008B12F5"/>
    <w:rsid w:val="008B1405"/>
    <w:rsid w:val="008B163C"/>
    <w:rsid w:val="008B25F9"/>
    <w:rsid w:val="008B543E"/>
    <w:rsid w:val="008B6231"/>
    <w:rsid w:val="008C18BC"/>
    <w:rsid w:val="008C1E12"/>
    <w:rsid w:val="008C1E70"/>
    <w:rsid w:val="008C229F"/>
    <w:rsid w:val="008C27E0"/>
    <w:rsid w:val="008C3098"/>
    <w:rsid w:val="008C3484"/>
    <w:rsid w:val="008C395C"/>
    <w:rsid w:val="008C6036"/>
    <w:rsid w:val="008C685B"/>
    <w:rsid w:val="008C6A17"/>
    <w:rsid w:val="008C7C32"/>
    <w:rsid w:val="008C7D77"/>
    <w:rsid w:val="008C7F1F"/>
    <w:rsid w:val="008D0929"/>
    <w:rsid w:val="008D0B06"/>
    <w:rsid w:val="008D0BE0"/>
    <w:rsid w:val="008D0F82"/>
    <w:rsid w:val="008D1118"/>
    <w:rsid w:val="008D381C"/>
    <w:rsid w:val="008D42A2"/>
    <w:rsid w:val="008D433C"/>
    <w:rsid w:val="008D48E9"/>
    <w:rsid w:val="008D4F9F"/>
    <w:rsid w:val="008D55EA"/>
    <w:rsid w:val="008D768D"/>
    <w:rsid w:val="008E13C3"/>
    <w:rsid w:val="008E2B8E"/>
    <w:rsid w:val="008E333B"/>
    <w:rsid w:val="008E3759"/>
    <w:rsid w:val="008E4AD1"/>
    <w:rsid w:val="008E592A"/>
    <w:rsid w:val="008E5A54"/>
    <w:rsid w:val="008E5CD1"/>
    <w:rsid w:val="008E62CB"/>
    <w:rsid w:val="008E6C6A"/>
    <w:rsid w:val="008F01FB"/>
    <w:rsid w:val="008F1912"/>
    <w:rsid w:val="008F1A51"/>
    <w:rsid w:val="008F1B28"/>
    <w:rsid w:val="008F2C29"/>
    <w:rsid w:val="008F4219"/>
    <w:rsid w:val="008F604B"/>
    <w:rsid w:val="009014A4"/>
    <w:rsid w:val="009016DD"/>
    <w:rsid w:val="00901747"/>
    <w:rsid w:val="0090270B"/>
    <w:rsid w:val="00902860"/>
    <w:rsid w:val="009041DC"/>
    <w:rsid w:val="00905A09"/>
    <w:rsid w:val="00905D06"/>
    <w:rsid w:val="009061A7"/>
    <w:rsid w:val="009072DD"/>
    <w:rsid w:val="00907B7F"/>
    <w:rsid w:val="00911970"/>
    <w:rsid w:val="00913127"/>
    <w:rsid w:val="0091321E"/>
    <w:rsid w:val="00917B5A"/>
    <w:rsid w:val="00920014"/>
    <w:rsid w:val="00920A58"/>
    <w:rsid w:val="00920A8C"/>
    <w:rsid w:val="0092111F"/>
    <w:rsid w:val="00921FC6"/>
    <w:rsid w:val="00923219"/>
    <w:rsid w:val="00924B0D"/>
    <w:rsid w:val="00926C5F"/>
    <w:rsid w:val="009277A2"/>
    <w:rsid w:val="00932944"/>
    <w:rsid w:val="00933C8D"/>
    <w:rsid w:val="00934011"/>
    <w:rsid w:val="0093421E"/>
    <w:rsid w:val="00934892"/>
    <w:rsid w:val="00934A2C"/>
    <w:rsid w:val="00934B00"/>
    <w:rsid w:val="00937E7D"/>
    <w:rsid w:val="0094010F"/>
    <w:rsid w:val="00940515"/>
    <w:rsid w:val="00941770"/>
    <w:rsid w:val="0094191C"/>
    <w:rsid w:val="00941DBD"/>
    <w:rsid w:val="0094228F"/>
    <w:rsid w:val="00942754"/>
    <w:rsid w:val="009438E2"/>
    <w:rsid w:val="0094434B"/>
    <w:rsid w:val="0094474A"/>
    <w:rsid w:val="00944811"/>
    <w:rsid w:val="00944F12"/>
    <w:rsid w:val="009466D0"/>
    <w:rsid w:val="00946725"/>
    <w:rsid w:val="00947560"/>
    <w:rsid w:val="009510CD"/>
    <w:rsid w:val="00951CBC"/>
    <w:rsid w:val="009566FE"/>
    <w:rsid w:val="00956A03"/>
    <w:rsid w:val="00957E7D"/>
    <w:rsid w:val="009609E8"/>
    <w:rsid w:val="009620DB"/>
    <w:rsid w:val="00962349"/>
    <w:rsid w:val="009653AB"/>
    <w:rsid w:val="009658F8"/>
    <w:rsid w:val="009664B2"/>
    <w:rsid w:val="0096706E"/>
    <w:rsid w:val="00967525"/>
    <w:rsid w:val="00967595"/>
    <w:rsid w:val="00967719"/>
    <w:rsid w:val="009713B0"/>
    <w:rsid w:val="009733AF"/>
    <w:rsid w:val="00973A2A"/>
    <w:rsid w:val="00973C79"/>
    <w:rsid w:val="00974B5D"/>
    <w:rsid w:val="00975C4E"/>
    <w:rsid w:val="00975E68"/>
    <w:rsid w:val="009765F6"/>
    <w:rsid w:val="00976CA9"/>
    <w:rsid w:val="0098180F"/>
    <w:rsid w:val="00981FBA"/>
    <w:rsid w:val="00982ABD"/>
    <w:rsid w:val="009838B6"/>
    <w:rsid w:val="009844E3"/>
    <w:rsid w:val="00984C41"/>
    <w:rsid w:val="00985357"/>
    <w:rsid w:val="00986054"/>
    <w:rsid w:val="00990966"/>
    <w:rsid w:val="0099171D"/>
    <w:rsid w:val="0099424B"/>
    <w:rsid w:val="00995B0F"/>
    <w:rsid w:val="00995B45"/>
    <w:rsid w:val="00995C8E"/>
    <w:rsid w:val="00995E33"/>
    <w:rsid w:val="00997BC5"/>
    <w:rsid w:val="00997CF5"/>
    <w:rsid w:val="009A064A"/>
    <w:rsid w:val="009A0BE3"/>
    <w:rsid w:val="009A25BC"/>
    <w:rsid w:val="009A2DE6"/>
    <w:rsid w:val="009A32C4"/>
    <w:rsid w:val="009A4DF9"/>
    <w:rsid w:val="009A4F41"/>
    <w:rsid w:val="009A50F4"/>
    <w:rsid w:val="009A53D0"/>
    <w:rsid w:val="009A5AEB"/>
    <w:rsid w:val="009B1F8A"/>
    <w:rsid w:val="009B2CA5"/>
    <w:rsid w:val="009B30D1"/>
    <w:rsid w:val="009B381B"/>
    <w:rsid w:val="009B3C99"/>
    <w:rsid w:val="009B5FFA"/>
    <w:rsid w:val="009B66A1"/>
    <w:rsid w:val="009B69C4"/>
    <w:rsid w:val="009C08A5"/>
    <w:rsid w:val="009C0D71"/>
    <w:rsid w:val="009C3316"/>
    <w:rsid w:val="009C37E7"/>
    <w:rsid w:val="009C3CBA"/>
    <w:rsid w:val="009C4EAA"/>
    <w:rsid w:val="009D0A08"/>
    <w:rsid w:val="009D1753"/>
    <w:rsid w:val="009D1948"/>
    <w:rsid w:val="009D31D4"/>
    <w:rsid w:val="009D368E"/>
    <w:rsid w:val="009D628C"/>
    <w:rsid w:val="009D7611"/>
    <w:rsid w:val="009D7EB9"/>
    <w:rsid w:val="009E0B61"/>
    <w:rsid w:val="009E0FB3"/>
    <w:rsid w:val="009E1511"/>
    <w:rsid w:val="009E176F"/>
    <w:rsid w:val="009E36F7"/>
    <w:rsid w:val="009E53DE"/>
    <w:rsid w:val="009E56F2"/>
    <w:rsid w:val="009E67E9"/>
    <w:rsid w:val="009F1399"/>
    <w:rsid w:val="009F1402"/>
    <w:rsid w:val="009F38CB"/>
    <w:rsid w:val="009F576D"/>
    <w:rsid w:val="009F59DD"/>
    <w:rsid w:val="009F6C1E"/>
    <w:rsid w:val="009F7D41"/>
    <w:rsid w:val="00A01836"/>
    <w:rsid w:val="00A02539"/>
    <w:rsid w:val="00A02BBD"/>
    <w:rsid w:val="00A0441D"/>
    <w:rsid w:val="00A045A9"/>
    <w:rsid w:val="00A06BD8"/>
    <w:rsid w:val="00A11511"/>
    <w:rsid w:val="00A120F1"/>
    <w:rsid w:val="00A12653"/>
    <w:rsid w:val="00A12698"/>
    <w:rsid w:val="00A12E91"/>
    <w:rsid w:val="00A137F6"/>
    <w:rsid w:val="00A14EA9"/>
    <w:rsid w:val="00A15692"/>
    <w:rsid w:val="00A218CE"/>
    <w:rsid w:val="00A225A8"/>
    <w:rsid w:val="00A23072"/>
    <w:rsid w:val="00A239D3"/>
    <w:rsid w:val="00A25842"/>
    <w:rsid w:val="00A2598E"/>
    <w:rsid w:val="00A26898"/>
    <w:rsid w:val="00A328B3"/>
    <w:rsid w:val="00A33B1E"/>
    <w:rsid w:val="00A36602"/>
    <w:rsid w:val="00A36AD5"/>
    <w:rsid w:val="00A413E0"/>
    <w:rsid w:val="00A42216"/>
    <w:rsid w:val="00A42BE3"/>
    <w:rsid w:val="00A432FA"/>
    <w:rsid w:val="00A4393B"/>
    <w:rsid w:val="00A44121"/>
    <w:rsid w:val="00A44C09"/>
    <w:rsid w:val="00A4522E"/>
    <w:rsid w:val="00A469E1"/>
    <w:rsid w:val="00A47230"/>
    <w:rsid w:val="00A47251"/>
    <w:rsid w:val="00A47817"/>
    <w:rsid w:val="00A50FCF"/>
    <w:rsid w:val="00A528D1"/>
    <w:rsid w:val="00A52A06"/>
    <w:rsid w:val="00A5306C"/>
    <w:rsid w:val="00A55ABA"/>
    <w:rsid w:val="00A569D3"/>
    <w:rsid w:val="00A610CD"/>
    <w:rsid w:val="00A6156F"/>
    <w:rsid w:val="00A62696"/>
    <w:rsid w:val="00A63D54"/>
    <w:rsid w:val="00A651DE"/>
    <w:rsid w:val="00A66FE0"/>
    <w:rsid w:val="00A709F1"/>
    <w:rsid w:val="00A71112"/>
    <w:rsid w:val="00A72B90"/>
    <w:rsid w:val="00A72C48"/>
    <w:rsid w:val="00A7568C"/>
    <w:rsid w:val="00A7581C"/>
    <w:rsid w:val="00A75D3A"/>
    <w:rsid w:val="00A75E63"/>
    <w:rsid w:val="00A77A70"/>
    <w:rsid w:val="00A814FA"/>
    <w:rsid w:val="00A82185"/>
    <w:rsid w:val="00A82B11"/>
    <w:rsid w:val="00A83403"/>
    <w:rsid w:val="00A843C2"/>
    <w:rsid w:val="00A845F7"/>
    <w:rsid w:val="00A84B8D"/>
    <w:rsid w:val="00A8517A"/>
    <w:rsid w:val="00A900EF"/>
    <w:rsid w:val="00A90C71"/>
    <w:rsid w:val="00A90CEF"/>
    <w:rsid w:val="00A91277"/>
    <w:rsid w:val="00A91F43"/>
    <w:rsid w:val="00A93165"/>
    <w:rsid w:val="00A93BA9"/>
    <w:rsid w:val="00A93D99"/>
    <w:rsid w:val="00A96077"/>
    <w:rsid w:val="00A97057"/>
    <w:rsid w:val="00A9786A"/>
    <w:rsid w:val="00A97927"/>
    <w:rsid w:val="00AA09A2"/>
    <w:rsid w:val="00AA15CB"/>
    <w:rsid w:val="00AA2545"/>
    <w:rsid w:val="00AA3098"/>
    <w:rsid w:val="00AA3D56"/>
    <w:rsid w:val="00AA4B66"/>
    <w:rsid w:val="00AA6BF1"/>
    <w:rsid w:val="00AA71F2"/>
    <w:rsid w:val="00AA7996"/>
    <w:rsid w:val="00AA7DAE"/>
    <w:rsid w:val="00AB1A4C"/>
    <w:rsid w:val="00AB4458"/>
    <w:rsid w:val="00AB6DF9"/>
    <w:rsid w:val="00AC03E9"/>
    <w:rsid w:val="00AC0B79"/>
    <w:rsid w:val="00AC19CB"/>
    <w:rsid w:val="00AC1DFB"/>
    <w:rsid w:val="00AC20AC"/>
    <w:rsid w:val="00AC4091"/>
    <w:rsid w:val="00AC55D4"/>
    <w:rsid w:val="00AC6797"/>
    <w:rsid w:val="00AC70B5"/>
    <w:rsid w:val="00AC70B9"/>
    <w:rsid w:val="00AD01C6"/>
    <w:rsid w:val="00AD2DE3"/>
    <w:rsid w:val="00AD4668"/>
    <w:rsid w:val="00AD52E7"/>
    <w:rsid w:val="00AD5517"/>
    <w:rsid w:val="00AD5A09"/>
    <w:rsid w:val="00AD65AB"/>
    <w:rsid w:val="00AD709C"/>
    <w:rsid w:val="00AE057A"/>
    <w:rsid w:val="00AE2141"/>
    <w:rsid w:val="00AE29A4"/>
    <w:rsid w:val="00AE427B"/>
    <w:rsid w:val="00AE48C3"/>
    <w:rsid w:val="00AE532B"/>
    <w:rsid w:val="00AE5488"/>
    <w:rsid w:val="00AE5C30"/>
    <w:rsid w:val="00AE6147"/>
    <w:rsid w:val="00AE6C3C"/>
    <w:rsid w:val="00AE6F91"/>
    <w:rsid w:val="00AF006F"/>
    <w:rsid w:val="00AF154A"/>
    <w:rsid w:val="00AF1882"/>
    <w:rsid w:val="00AF2FA2"/>
    <w:rsid w:val="00AF3F2C"/>
    <w:rsid w:val="00AF5571"/>
    <w:rsid w:val="00AF5C4D"/>
    <w:rsid w:val="00AF7988"/>
    <w:rsid w:val="00B00A5C"/>
    <w:rsid w:val="00B00C2C"/>
    <w:rsid w:val="00B0104C"/>
    <w:rsid w:val="00B0202B"/>
    <w:rsid w:val="00B035D6"/>
    <w:rsid w:val="00B03B9D"/>
    <w:rsid w:val="00B05169"/>
    <w:rsid w:val="00B0644A"/>
    <w:rsid w:val="00B06B56"/>
    <w:rsid w:val="00B07184"/>
    <w:rsid w:val="00B07341"/>
    <w:rsid w:val="00B102A0"/>
    <w:rsid w:val="00B1384C"/>
    <w:rsid w:val="00B13CC2"/>
    <w:rsid w:val="00B14C06"/>
    <w:rsid w:val="00B15E33"/>
    <w:rsid w:val="00B15F70"/>
    <w:rsid w:val="00B229F5"/>
    <w:rsid w:val="00B22DEB"/>
    <w:rsid w:val="00B3032F"/>
    <w:rsid w:val="00B30539"/>
    <w:rsid w:val="00B30878"/>
    <w:rsid w:val="00B314DB"/>
    <w:rsid w:val="00B31CD8"/>
    <w:rsid w:val="00B322B9"/>
    <w:rsid w:val="00B337A8"/>
    <w:rsid w:val="00B34CE7"/>
    <w:rsid w:val="00B34EDC"/>
    <w:rsid w:val="00B361F2"/>
    <w:rsid w:val="00B36E05"/>
    <w:rsid w:val="00B36ECC"/>
    <w:rsid w:val="00B3718B"/>
    <w:rsid w:val="00B379FF"/>
    <w:rsid w:val="00B37CF2"/>
    <w:rsid w:val="00B405AB"/>
    <w:rsid w:val="00B40639"/>
    <w:rsid w:val="00B4300F"/>
    <w:rsid w:val="00B43154"/>
    <w:rsid w:val="00B4327D"/>
    <w:rsid w:val="00B44F0A"/>
    <w:rsid w:val="00B4632A"/>
    <w:rsid w:val="00B47121"/>
    <w:rsid w:val="00B5109A"/>
    <w:rsid w:val="00B513B1"/>
    <w:rsid w:val="00B528E7"/>
    <w:rsid w:val="00B530F1"/>
    <w:rsid w:val="00B536C7"/>
    <w:rsid w:val="00B54921"/>
    <w:rsid w:val="00B54A0C"/>
    <w:rsid w:val="00B54C96"/>
    <w:rsid w:val="00B60252"/>
    <w:rsid w:val="00B61163"/>
    <w:rsid w:val="00B6132F"/>
    <w:rsid w:val="00B62460"/>
    <w:rsid w:val="00B62708"/>
    <w:rsid w:val="00B630E3"/>
    <w:rsid w:val="00B632D6"/>
    <w:rsid w:val="00B63630"/>
    <w:rsid w:val="00B64977"/>
    <w:rsid w:val="00B650F0"/>
    <w:rsid w:val="00B65256"/>
    <w:rsid w:val="00B6541D"/>
    <w:rsid w:val="00B65F66"/>
    <w:rsid w:val="00B67999"/>
    <w:rsid w:val="00B70AB1"/>
    <w:rsid w:val="00B72038"/>
    <w:rsid w:val="00B734F1"/>
    <w:rsid w:val="00B753A3"/>
    <w:rsid w:val="00B75CAD"/>
    <w:rsid w:val="00B7657A"/>
    <w:rsid w:val="00B76789"/>
    <w:rsid w:val="00B77DFE"/>
    <w:rsid w:val="00B80660"/>
    <w:rsid w:val="00B81569"/>
    <w:rsid w:val="00B81578"/>
    <w:rsid w:val="00B82080"/>
    <w:rsid w:val="00B82D05"/>
    <w:rsid w:val="00B82E21"/>
    <w:rsid w:val="00B838FC"/>
    <w:rsid w:val="00B85300"/>
    <w:rsid w:val="00B86707"/>
    <w:rsid w:val="00B873C0"/>
    <w:rsid w:val="00B904D2"/>
    <w:rsid w:val="00B9257C"/>
    <w:rsid w:val="00B933E8"/>
    <w:rsid w:val="00B94C9B"/>
    <w:rsid w:val="00B94F5E"/>
    <w:rsid w:val="00B97D18"/>
    <w:rsid w:val="00BA276C"/>
    <w:rsid w:val="00BA2AE3"/>
    <w:rsid w:val="00BA2D9C"/>
    <w:rsid w:val="00BA2E4A"/>
    <w:rsid w:val="00BA41C3"/>
    <w:rsid w:val="00BA4591"/>
    <w:rsid w:val="00BA461E"/>
    <w:rsid w:val="00BA50E8"/>
    <w:rsid w:val="00BA5A95"/>
    <w:rsid w:val="00BA6F38"/>
    <w:rsid w:val="00BA70C5"/>
    <w:rsid w:val="00BA73C5"/>
    <w:rsid w:val="00BB2D42"/>
    <w:rsid w:val="00BB306F"/>
    <w:rsid w:val="00BB405B"/>
    <w:rsid w:val="00BB4599"/>
    <w:rsid w:val="00BB4757"/>
    <w:rsid w:val="00BB5CC6"/>
    <w:rsid w:val="00BC0DE7"/>
    <w:rsid w:val="00BC1180"/>
    <w:rsid w:val="00BC1B2A"/>
    <w:rsid w:val="00BC2763"/>
    <w:rsid w:val="00BC603B"/>
    <w:rsid w:val="00BC6115"/>
    <w:rsid w:val="00BD0BDD"/>
    <w:rsid w:val="00BD1618"/>
    <w:rsid w:val="00BD2B87"/>
    <w:rsid w:val="00BD339A"/>
    <w:rsid w:val="00BD4B89"/>
    <w:rsid w:val="00BD4E53"/>
    <w:rsid w:val="00BD6D90"/>
    <w:rsid w:val="00BE0B86"/>
    <w:rsid w:val="00BE0CE7"/>
    <w:rsid w:val="00BE1C06"/>
    <w:rsid w:val="00BE2FD7"/>
    <w:rsid w:val="00BE38A9"/>
    <w:rsid w:val="00BE4EB3"/>
    <w:rsid w:val="00BE76D9"/>
    <w:rsid w:val="00BE78AD"/>
    <w:rsid w:val="00BE7C1C"/>
    <w:rsid w:val="00BF02CB"/>
    <w:rsid w:val="00BF0BF1"/>
    <w:rsid w:val="00BF11D3"/>
    <w:rsid w:val="00BF1664"/>
    <w:rsid w:val="00BF249D"/>
    <w:rsid w:val="00BF305E"/>
    <w:rsid w:val="00BF631E"/>
    <w:rsid w:val="00BF6FD8"/>
    <w:rsid w:val="00BF7778"/>
    <w:rsid w:val="00C00386"/>
    <w:rsid w:val="00C02939"/>
    <w:rsid w:val="00C03680"/>
    <w:rsid w:val="00C03842"/>
    <w:rsid w:val="00C04813"/>
    <w:rsid w:val="00C054DF"/>
    <w:rsid w:val="00C07EF5"/>
    <w:rsid w:val="00C10820"/>
    <w:rsid w:val="00C108EF"/>
    <w:rsid w:val="00C112E5"/>
    <w:rsid w:val="00C11611"/>
    <w:rsid w:val="00C11B26"/>
    <w:rsid w:val="00C11ED6"/>
    <w:rsid w:val="00C12B05"/>
    <w:rsid w:val="00C14643"/>
    <w:rsid w:val="00C14C70"/>
    <w:rsid w:val="00C150DC"/>
    <w:rsid w:val="00C163D9"/>
    <w:rsid w:val="00C167BA"/>
    <w:rsid w:val="00C20DE3"/>
    <w:rsid w:val="00C211CC"/>
    <w:rsid w:val="00C21762"/>
    <w:rsid w:val="00C21ED2"/>
    <w:rsid w:val="00C223AD"/>
    <w:rsid w:val="00C229D5"/>
    <w:rsid w:val="00C239C6"/>
    <w:rsid w:val="00C24543"/>
    <w:rsid w:val="00C246CC"/>
    <w:rsid w:val="00C256A2"/>
    <w:rsid w:val="00C27206"/>
    <w:rsid w:val="00C27B7E"/>
    <w:rsid w:val="00C31AC4"/>
    <w:rsid w:val="00C34FE5"/>
    <w:rsid w:val="00C35054"/>
    <w:rsid w:val="00C37D98"/>
    <w:rsid w:val="00C40789"/>
    <w:rsid w:val="00C415C3"/>
    <w:rsid w:val="00C416C2"/>
    <w:rsid w:val="00C41741"/>
    <w:rsid w:val="00C41817"/>
    <w:rsid w:val="00C42234"/>
    <w:rsid w:val="00C4233A"/>
    <w:rsid w:val="00C4237A"/>
    <w:rsid w:val="00C4432A"/>
    <w:rsid w:val="00C46EE5"/>
    <w:rsid w:val="00C4756E"/>
    <w:rsid w:val="00C50A02"/>
    <w:rsid w:val="00C51515"/>
    <w:rsid w:val="00C51B67"/>
    <w:rsid w:val="00C54A68"/>
    <w:rsid w:val="00C55048"/>
    <w:rsid w:val="00C5660B"/>
    <w:rsid w:val="00C56B93"/>
    <w:rsid w:val="00C56ECD"/>
    <w:rsid w:val="00C57174"/>
    <w:rsid w:val="00C571FA"/>
    <w:rsid w:val="00C572C0"/>
    <w:rsid w:val="00C57BE4"/>
    <w:rsid w:val="00C605A2"/>
    <w:rsid w:val="00C609DE"/>
    <w:rsid w:val="00C6244A"/>
    <w:rsid w:val="00C62A75"/>
    <w:rsid w:val="00C66017"/>
    <w:rsid w:val="00C66564"/>
    <w:rsid w:val="00C66A5A"/>
    <w:rsid w:val="00C66B01"/>
    <w:rsid w:val="00C66B10"/>
    <w:rsid w:val="00C66B72"/>
    <w:rsid w:val="00C67F59"/>
    <w:rsid w:val="00C70475"/>
    <w:rsid w:val="00C7066E"/>
    <w:rsid w:val="00C70C59"/>
    <w:rsid w:val="00C74304"/>
    <w:rsid w:val="00C74FC2"/>
    <w:rsid w:val="00C75282"/>
    <w:rsid w:val="00C76E29"/>
    <w:rsid w:val="00C7707E"/>
    <w:rsid w:val="00C77864"/>
    <w:rsid w:val="00C77CAC"/>
    <w:rsid w:val="00C77D62"/>
    <w:rsid w:val="00C8105C"/>
    <w:rsid w:val="00C810D8"/>
    <w:rsid w:val="00C8328F"/>
    <w:rsid w:val="00C85362"/>
    <w:rsid w:val="00C8573F"/>
    <w:rsid w:val="00C86195"/>
    <w:rsid w:val="00C86513"/>
    <w:rsid w:val="00C8742F"/>
    <w:rsid w:val="00C902D4"/>
    <w:rsid w:val="00C9299B"/>
    <w:rsid w:val="00C92AF9"/>
    <w:rsid w:val="00C93010"/>
    <w:rsid w:val="00C9566D"/>
    <w:rsid w:val="00C9567A"/>
    <w:rsid w:val="00C964CF"/>
    <w:rsid w:val="00C97129"/>
    <w:rsid w:val="00CA0FCE"/>
    <w:rsid w:val="00CA1B5B"/>
    <w:rsid w:val="00CA225A"/>
    <w:rsid w:val="00CA486F"/>
    <w:rsid w:val="00CA6207"/>
    <w:rsid w:val="00CB1114"/>
    <w:rsid w:val="00CB204D"/>
    <w:rsid w:val="00CB212D"/>
    <w:rsid w:val="00CB2583"/>
    <w:rsid w:val="00CB25B7"/>
    <w:rsid w:val="00CB2660"/>
    <w:rsid w:val="00CB4226"/>
    <w:rsid w:val="00CB48B0"/>
    <w:rsid w:val="00CB4BBA"/>
    <w:rsid w:val="00CB562F"/>
    <w:rsid w:val="00CB5801"/>
    <w:rsid w:val="00CB5CD9"/>
    <w:rsid w:val="00CC1AC6"/>
    <w:rsid w:val="00CC50C8"/>
    <w:rsid w:val="00CC5902"/>
    <w:rsid w:val="00CC5E90"/>
    <w:rsid w:val="00CC63CF"/>
    <w:rsid w:val="00CD046C"/>
    <w:rsid w:val="00CD2D88"/>
    <w:rsid w:val="00CD4B67"/>
    <w:rsid w:val="00CD6BAA"/>
    <w:rsid w:val="00CD7717"/>
    <w:rsid w:val="00CE054E"/>
    <w:rsid w:val="00CE076C"/>
    <w:rsid w:val="00CE13B3"/>
    <w:rsid w:val="00CE13FB"/>
    <w:rsid w:val="00CE4ECF"/>
    <w:rsid w:val="00CE5199"/>
    <w:rsid w:val="00CE6252"/>
    <w:rsid w:val="00CE649A"/>
    <w:rsid w:val="00CE66D5"/>
    <w:rsid w:val="00CE70B1"/>
    <w:rsid w:val="00CF26CD"/>
    <w:rsid w:val="00CF387F"/>
    <w:rsid w:val="00CF3D18"/>
    <w:rsid w:val="00CF637A"/>
    <w:rsid w:val="00D03B07"/>
    <w:rsid w:val="00D04BC5"/>
    <w:rsid w:val="00D059DE"/>
    <w:rsid w:val="00D06555"/>
    <w:rsid w:val="00D075B8"/>
    <w:rsid w:val="00D07A25"/>
    <w:rsid w:val="00D10578"/>
    <w:rsid w:val="00D11B25"/>
    <w:rsid w:val="00D12193"/>
    <w:rsid w:val="00D124F9"/>
    <w:rsid w:val="00D13E2E"/>
    <w:rsid w:val="00D13FCE"/>
    <w:rsid w:val="00D14528"/>
    <w:rsid w:val="00D15A70"/>
    <w:rsid w:val="00D176A5"/>
    <w:rsid w:val="00D17E93"/>
    <w:rsid w:val="00D2039D"/>
    <w:rsid w:val="00D22F7E"/>
    <w:rsid w:val="00D2705C"/>
    <w:rsid w:val="00D27E2F"/>
    <w:rsid w:val="00D3048D"/>
    <w:rsid w:val="00D306D1"/>
    <w:rsid w:val="00D30FFF"/>
    <w:rsid w:val="00D32264"/>
    <w:rsid w:val="00D325AD"/>
    <w:rsid w:val="00D32AB4"/>
    <w:rsid w:val="00D34786"/>
    <w:rsid w:val="00D34E62"/>
    <w:rsid w:val="00D35A3F"/>
    <w:rsid w:val="00D36795"/>
    <w:rsid w:val="00D37A80"/>
    <w:rsid w:val="00D37BFC"/>
    <w:rsid w:val="00D40248"/>
    <w:rsid w:val="00D44227"/>
    <w:rsid w:val="00D45546"/>
    <w:rsid w:val="00D46513"/>
    <w:rsid w:val="00D47A8E"/>
    <w:rsid w:val="00D504DA"/>
    <w:rsid w:val="00D507E7"/>
    <w:rsid w:val="00D52C9C"/>
    <w:rsid w:val="00D52D14"/>
    <w:rsid w:val="00D53DC8"/>
    <w:rsid w:val="00D55402"/>
    <w:rsid w:val="00D570E6"/>
    <w:rsid w:val="00D57D07"/>
    <w:rsid w:val="00D620CB"/>
    <w:rsid w:val="00D64BDE"/>
    <w:rsid w:val="00D6567A"/>
    <w:rsid w:val="00D66A0B"/>
    <w:rsid w:val="00D673EE"/>
    <w:rsid w:val="00D6767C"/>
    <w:rsid w:val="00D67EF4"/>
    <w:rsid w:val="00D712D3"/>
    <w:rsid w:val="00D71422"/>
    <w:rsid w:val="00D7238F"/>
    <w:rsid w:val="00D723BE"/>
    <w:rsid w:val="00D72DC6"/>
    <w:rsid w:val="00D72FC5"/>
    <w:rsid w:val="00D74D90"/>
    <w:rsid w:val="00D7530D"/>
    <w:rsid w:val="00D7558D"/>
    <w:rsid w:val="00D76069"/>
    <w:rsid w:val="00D76124"/>
    <w:rsid w:val="00D8148D"/>
    <w:rsid w:val="00D81718"/>
    <w:rsid w:val="00D81D92"/>
    <w:rsid w:val="00D82B90"/>
    <w:rsid w:val="00D83555"/>
    <w:rsid w:val="00D83D73"/>
    <w:rsid w:val="00D83FF2"/>
    <w:rsid w:val="00D85641"/>
    <w:rsid w:val="00D90484"/>
    <w:rsid w:val="00D909C8"/>
    <w:rsid w:val="00D91D74"/>
    <w:rsid w:val="00D92377"/>
    <w:rsid w:val="00D92566"/>
    <w:rsid w:val="00D93658"/>
    <w:rsid w:val="00D94164"/>
    <w:rsid w:val="00D9457E"/>
    <w:rsid w:val="00D94AD9"/>
    <w:rsid w:val="00D94E60"/>
    <w:rsid w:val="00D9581F"/>
    <w:rsid w:val="00D95CD2"/>
    <w:rsid w:val="00D96B56"/>
    <w:rsid w:val="00D96E66"/>
    <w:rsid w:val="00D97A45"/>
    <w:rsid w:val="00D97CD8"/>
    <w:rsid w:val="00DA1061"/>
    <w:rsid w:val="00DA14CB"/>
    <w:rsid w:val="00DA5EF9"/>
    <w:rsid w:val="00DA6501"/>
    <w:rsid w:val="00DA65C7"/>
    <w:rsid w:val="00DA7B5F"/>
    <w:rsid w:val="00DB4A9E"/>
    <w:rsid w:val="00DB65C4"/>
    <w:rsid w:val="00DB7614"/>
    <w:rsid w:val="00DB7C5B"/>
    <w:rsid w:val="00DC09D3"/>
    <w:rsid w:val="00DC11E7"/>
    <w:rsid w:val="00DC3080"/>
    <w:rsid w:val="00DC3969"/>
    <w:rsid w:val="00DC7023"/>
    <w:rsid w:val="00DC769A"/>
    <w:rsid w:val="00DD132D"/>
    <w:rsid w:val="00DD3D86"/>
    <w:rsid w:val="00DD522C"/>
    <w:rsid w:val="00DD5942"/>
    <w:rsid w:val="00DD62C3"/>
    <w:rsid w:val="00DE02E2"/>
    <w:rsid w:val="00DE0FFA"/>
    <w:rsid w:val="00DE1A74"/>
    <w:rsid w:val="00DE284B"/>
    <w:rsid w:val="00DE2B37"/>
    <w:rsid w:val="00DE30E7"/>
    <w:rsid w:val="00DE3D3D"/>
    <w:rsid w:val="00DE3F84"/>
    <w:rsid w:val="00DE45B7"/>
    <w:rsid w:val="00DE5161"/>
    <w:rsid w:val="00DE66B6"/>
    <w:rsid w:val="00DF192A"/>
    <w:rsid w:val="00DF19F5"/>
    <w:rsid w:val="00DF1EC4"/>
    <w:rsid w:val="00DF3B9D"/>
    <w:rsid w:val="00DF3DBA"/>
    <w:rsid w:val="00DF4186"/>
    <w:rsid w:val="00DF7490"/>
    <w:rsid w:val="00DF7DB4"/>
    <w:rsid w:val="00E00A43"/>
    <w:rsid w:val="00E01130"/>
    <w:rsid w:val="00E0196F"/>
    <w:rsid w:val="00E01AAB"/>
    <w:rsid w:val="00E0340B"/>
    <w:rsid w:val="00E03679"/>
    <w:rsid w:val="00E03D9E"/>
    <w:rsid w:val="00E04A90"/>
    <w:rsid w:val="00E05485"/>
    <w:rsid w:val="00E06354"/>
    <w:rsid w:val="00E079D2"/>
    <w:rsid w:val="00E109B3"/>
    <w:rsid w:val="00E13343"/>
    <w:rsid w:val="00E13798"/>
    <w:rsid w:val="00E13A36"/>
    <w:rsid w:val="00E15C23"/>
    <w:rsid w:val="00E219C7"/>
    <w:rsid w:val="00E21CC8"/>
    <w:rsid w:val="00E21F02"/>
    <w:rsid w:val="00E263A3"/>
    <w:rsid w:val="00E264A4"/>
    <w:rsid w:val="00E27AC0"/>
    <w:rsid w:val="00E32CC6"/>
    <w:rsid w:val="00E333C2"/>
    <w:rsid w:val="00E336EF"/>
    <w:rsid w:val="00E33AA0"/>
    <w:rsid w:val="00E4130F"/>
    <w:rsid w:val="00E42AAD"/>
    <w:rsid w:val="00E43157"/>
    <w:rsid w:val="00E4409B"/>
    <w:rsid w:val="00E461CE"/>
    <w:rsid w:val="00E50A2A"/>
    <w:rsid w:val="00E50BE4"/>
    <w:rsid w:val="00E515E1"/>
    <w:rsid w:val="00E52420"/>
    <w:rsid w:val="00E532B4"/>
    <w:rsid w:val="00E53D77"/>
    <w:rsid w:val="00E5401B"/>
    <w:rsid w:val="00E54CF8"/>
    <w:rsid w:val="00E56A4A"/>
    <w:rsid w:val="00E57396"/>
    <w:rsid w:val="00E57744"/>
    <w:rsid w:val="00E61449"/>
    <w:rsid w:val="00E62159"/>
    <w:rsid w:val="00E62CF1"/>
    <w:rsid w:val="00E65515"/>
    <w:rsid w:val="00E67B58"/>
    <w:rsid w:val="00E67D37"/>
    <w:rsid w:val="00E7043F"/>
    <w:rsid w:val="00E70B91"/>
    <w:rsid w:val="00E71AB5"/>
    <w:rsid w:val="00E720CA"/>
    <w:rsid w:val="00E725E1"/>
    <w:rsid w:val="00E72D3A"/>
    <w:rsid w:val="00E72F46"/>
    <w:rsid w:val="00E73242"/>
    <w:rsid w:val="00E739C7"/>
    <w:rsid w:val="00E73A6B"/>
    <w:rsid w:val="00E810C3"/>
    <w:rsid w:val="00E8247D"/>
    <w:rsid w:val="00E838EA"/>
    <w:rsid w:val="00E84EB5"/>
    <w:rsid w:val="00E85662"/>
    <w:rsid w:val="00E867EB"/>
    <w:rsid w:val="00E87278"/>
    <w:rsid w:val="00E875E7"/>
    <w:rsid w:val="00E8789F"/>
    <w:rsid w:val="00E87E47"/>
    <w:rsid w:val="00E909AA"/>
    <w:rsid w:val="00E90E95"/>
    <w:rsid w:val="00E94343"/>
    <w:rsid w:val="00E95763"/>
    <w:rsid w:val="00E958F1"/>
    <w:rsid w:val="00E96E29"/>
    <w:rsid w:val="00E97145"/>
    <w:rsid w:val="00E97B71"/>
    <w:rsid w:val="00E97CFA"/>
    <w:rsid w:val="00EA0DA6"/>
    <w:rsid w:val="00EA0FE7"/>
    <w:rsid w:val="00EA191F"/>
    <w:rsid w:val="00EA2D27"/>
    <w:rsid w:val="00EA3B56"/>
    <w:rsid w:val="00EA3D34"/>
    <w:rsid w:val="00EA51C7"/>
    <w:rsid w:val="00EA5438"/>
    <w:rsid w:val="00EB0E74"/>
    <w:rsid w:val="00EB1248"/>
    <w:rsid w:val="00EB2CFA"/>
    <w:rsid w:val="00EB3270"/>
    <w:rsid w:val="00EB454D"/>
    <w:rsid w:val="00EB4AD2"/>
    <w:rsid w:val="00EB610F"/>
    <w:rsid w:val="00EB67C8"/>
    <w:rsid w:val="00EC381D"/>
    <w:rsid w:val="00EC484F"/>
    <w:rsid w:val="00EC591F"/>
    <w:rsid w:val="00EC59D9"/>
    <w:rsid w:val="00EC5FE1"/>
    <w:rsid w:val="00EC7BE9"/>
    <w:rsid w:val="00ED0470"/>
    <w:rsid w:val="00ED085F"/>
    <w:rsid w:val="00ED3683"/>
    <w:rsid w:val="00ED5313"/>
    <w:rsid w:val="00ED587B"/>
    <w:rsid w:val="00ED76BE"/>
    <w:rsid w:val="00ED79A2"/>
    <w:rsid w:val="00ED7AFC"/>
    <w:rsid w:val="00EE054D"/>
    <w:rsid w:val="00EE64A7"/>
    <w:rsid w:val="00EF14F0"/>
    <w:rsid w:val="00EF2BFD"/>
    <w:rsid w:val="00EF3371"/>
    <w:rsid w:val="00EF4EE6"/>
    <w:rsid w:val="00EF588D"/>
    <w:rsid w:val="00EF60E3"/>
    <w:rsid w:val="00EF619B"/>
    <w:rsid w:val="00F00A72"/>
    <w:rsid w:val="00F00B55"/>
    <w:rsid w:val="00F015FC"/>
    <w:rsid w:val="00F02AD1"/>
    <w:rsid w:val="00F052FB"/>
    <w:rsid w:val="00F06743"/>
    <w:rsid w:val="00F06B3D"/>
    <w:rsid w:val="00F06CB8"/>
    <w:rsid w:val="00F07D2D"/>
    <w:rsid w:val="00F11CD5"/>
    <w:rsid w:val="00F13CF3"/>
    <w:rsid w:val="00F1402A"/>
    <w:rsid w:val="00F14F94"/>
    <w:rsid w:val="00F2017A"/>
    <w:rsid w:val="00F217CF"/>
    <w:rsid w:val="00F22CAE"/>
    <w:rsid w:val="00F22CF1"/>
    <w:rsid w:val="00F23ED9"/>
    <w:rsid w:val="00F246C8"/>
    <w:rsid w:val="00F253CC"/>
    <w:rsid w:val="00F254B7"/>
    <w:rsid w:val="00F26B86"/>
    <w:rsid w:val="00F27258"/>
    <w:rsid w:val="00F278E4"/>
    <w:rsid w:val="00F279BE"/>
    <w:rsid w:val="00F30279"/>
    <w:rsid w:val="00F314AD"/>
    <w:rsid w:val="00F32361"/>
    <w:rsid w:val="00F336A9"/>
    <w:rsid w:val="00F34A4A"/>
    <w:rsid w:val="00F34CC2"/>
    <w:rsid w:val="00F35054"/>
    <w:rsid w:val="00F35B17"/>
    <w:rsid w:val="00F36FA0"/>
    <w:rsid w:val="00F37106"/>
    <w:rsid w:val="00F37A3C"/>
    <w:rsid w:val="00F410BE"/>
    <w:rsid w:val="00F41EB3"/>
    <w:rsid w:val="00F4442D"/>
    <w:rsid w:val="00F44EAD"/>
    <w:rsid w:val="00F466EC"/>
    <w:rsid w:val="00F46A02"/>
    <w:rsid w:val="00F519CF"/>
    <w:rsid w:val="00F54300"/>
    <w:rsid w:val="00F56230"/>
    <w:rsid w:val="00F562B4"/>
    <w:rsid w:val="00F56BA5"/>
    <w:rsid w:val="00F579B8"/>
    <w:rsid w:val="00F57A31"/>
    <w:rsid w:val="00F60301"/>
    <w:rsid w:val="00F60DC0"/>
    <w:rsid w:val="00F60E22"/>
    <w:rsid w:val="00F6199D"/>
    <w:rsid w:val="00F64514"/>
    <w:rsid w:val="00F659BB"/>
    <w:rsid w:val="00F65EFB"/>
    <w:rsid w:val="00F66519"/>
    <w:rsid w:val="00F67605"/>
    <w:rsid w:val="00F6780D"/>
    <w:rsid w:val="00F678B0"/>
    <w:rsid w:val="00F73104"/>
    <w:rsid w:val="00F73C3E"/>
    <w:rsid w:val="00F74EE2"/>
    <w:rsid w:val="00F752CE"/>
    <w:rsid w:val="00F75625"/>
    <w:rsid w:val="00F76581"/>
    <w:rsid w:val="00F769C1"/>
    <w:rsid w:val="00F771E5"/>
    <w:rsid w:val="00F77503"/>
    <w:rsid w:val="00F77676"/>
    <w:rsid w:val="00F80037"/>
    <w:rsid w:val="00F805FB"/>
    <w:rsid w:val="00F80C11"/>
    <w:rsid w:val="00F81395"/>
    <w:rsid w:val="00F8175D"/>
    <w:rsid w:val="00F82904"/>
    <w:rsid w:val="00F83F77"/>
    <w:rsid w:val="00F84A11"/>
    <w:rsid w:val="00F85317"/>
    <w:rsid w:val="00F87FE9"/>
    <w:rsid w:val="00F902EB"/>
    <w:rsid w:val="00F916A2"/>
    <w:rsid w:val="00F917D1"/>
    <w:rsid w:val="00F95083"/>
    <w:rsid w:val="00F9653B"/>
    <w:rsid w:val="00F96824"/>
    <w:rsid w:val="00FA03FF"/>
    <w:rsid w:val="00FA20B6"/>
    <w:rsid w:val="00FA2F95"/>
    <w:rsid w:val="00FA3FF1"/>
    <w:rsid w:val="00FA4652"/>
    <w:rsid w:val="00FA5506"/>
    <w:rsid w:val="00FA5860"/>
    <w:rsid w:val="00FA6059"/>
    <w:rsid w:val="00FA634E"/>
    <w:rsid w:val="00FA63C0"/>
    <w:rsid w:val="00FA7569"/>
    <w:rsid w:val="00FB320B"/>
    <w:rsid w:val="00FB5EC7"/>
    <w:rsid w:val="00FB62CF"/>
    <w:rsid w:val="00FB70BB"/>
    <w:rsid w:val="00FB71D8"/>
    <w:rsid w:val="00FB77C8"/>
    <w:rsid w:val="00FC0736"/>
    <w:rsid w:val="00FC0861"/>
    <w:rsid w:val="00FC4629"/>
    <w:rsid w:val="00FC6768"/>
    <w:rsid w:val="00FC73BC"/>
    <w:rsid w:val="00FC77F8"/>
    <w:rsid w:val="00FD0030"/>
    <w:rsid w:val="00FD0A0D"/>
    <w:rsid w:val="00FD3C3B"/>
    <w:rsid w:val="00FD3D03"/>
    <w:rsid w:val="00FD4417"/>
    <w:rsid w:val="00FD5A99"/>
    <w:rsid w:val="00FD6EE8"/>
    <w:rsid w:val="00FD737C"/>
    <w:rsid w:val="00FE07DD"/>
    <w:rsid w:val="00FE0878"/>
    <w:rsid w:val="00FE3437"/>
    <w:rsid w:val="00FE436A"/>
    <w:rsid w:val="00FE4BE6"/>
    <w:rsid w:val="00FE520C"/>
    <w:rsid w:val="00FE6B45"/>
    <w:rsid w:val="00FE6BB9"/>
    <w:rsid w:val="00FF0B4F"/>
    <w:rsid w:val="00FF0C9E"/>
    <w:rsid w:val="00FF18B5"/>
    <w:rsid w:val="00FF38C3"/>
    <w:rsid w:val="00FF4D83"/>
    <w:rsid w:val="00FF55F3"/>
    <w:rsid w:val="00FF5851"/>
    <w:rsid w:val="00FF59D1"/>
    <w:rsid w:val="00FF6232"/>
    <w:rsid w:val="00FF7789"/>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ListParagraph"/>
    <w:next w:val="Normal"/>
    <w:link w:val="Heading1Char"/>
    <w:uiPriority w:val="9"/>
    <w:qFormat/>
    <w:rsid w:val="00AE2141"/>
    <w:pPr>
      <w:suppressAutoHyphens/>
      <w:ind w:left="1080" w:hanging="720"/>
      <w:outlineLvl w:val="0"/>
    </w:pPr>
    <w:rPr>
      <w:rFonts w:asciiTheme="majorHAnsi" w:hAnsiTheme="majorHAnsi"/>
      <w:b/>
      <w:sz w:val="20"/>
      <w:szCs w:val="20"/>
      <w:lang w:val="es-ES_tradnl"/>
    </w:rPr>
  </w:style>
  <w:style w:type="paragraph" w:styleId="Heading2">
    <w:name w:val="heading 2"/>
    <w:basedOn w:val="ListParagraph"/>
    <w:next w:val="Normal"/>
    <w:link w:val="Heading2Char"/>
    <w:qFormat/>
    <w:rsid w:val="00FA7569"/>
    <w:pPr>
      <w:numPr>
        <w:numId w:val="54"/>
      </w:numPr>
      <w:suppressAutoHyphens/>
      <w:outlineLvl w:val="1"/>
    </w:pPr>
    <w:rPr>
      <w:rFonts w:asciiTheme="majorHAnsi" w:hAnsiTheme="majorHAnsi"/>
      <w:b/>
      <w:sz w:val="20"/>
      <w:szCs w:val="20"/>
      <w:lang w:val="es-ES_tradnl"/>
    </w:rPr>
  </w:style>
  <w:style w:type="paragraph" w:styleId="Heading3">
    <w:name w:val="heading 3"/>
    <w:basedOn w:val="ListParagraph"/>
    <w:next w:val="Normal"/>
    <w:link w:val="Heading3Char"/>
    <w:qFormat/>
    <w:rsid w:val="00A02539"/>
    <w:pPr>
      <w:numPr>
        <w:numId w:val="55"/>
      </w:numPr>
      <w:suppressAutoHyphens/>
      <w:outlineLvl w:val="2"/>
    </w:pPr>
    <w:rPr>
      <w:rFonts w:asciiTheme="majorHAnsi" w:hAnsiTheme="majorHAnsi"/>
      <w:b/>
      <w:sz w:val="20"/>
      <w:szCs w:val="20"/>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Párrafo de lista1,List Paragraph1,Colorful List - Accent 11,List Paragraph11,List Paragraph2,Medium Grid 1 - Accent 21,Colorful List - Accent 12,Lista vistosa - Énfasis 11"/>
    <w:link w:val="ListParagraphChar"/>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
    <w:name w:val="List 51"/>
    <w:basedOn w:val="Estiloimportado6"/>
    <w:pPr>
      <w:numPr>
        <w:numId w:val="53"/>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1">
    <w:name w:val="List 21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1">
    <w:name w:val="List 31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1">
    <w:name w:val="List 41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1">
    <w:name w:val="List 51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AE2141"/>
    <w:rPr>
      <w:rFonts w:asciiTheme="majorHAnsi" w:eastAsia="Cambria" w:hAnsiTheme="majorHAnsi" w:cs="Cambria"/>
      <w:b/>
      <w:color w:val="000000"/>
      <w:u w:color="000000"/>
      <w:lang w:val="es-ES_tradnl"/>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1,4_G,16 Point,Superscript 6 Point,Footnote symbol,Footnote,Texto nota al pie,Footnote Reference Cha"/>
    <w:basedOn w:val="DefaultParagraphFont"/>
    <w:link w:val="FootnotesrefssChar1Char"/>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FA7569"/>
    <w:rPr>
      <w:rFonts w:asciiTheme="majorHAnsi" w:eastAsia="Cambria" w:hAnsiTheme="majorHAnsi" w:cs="Cambria"/>
      <w:b/>
      <w:color w:val="000000"/>
      <w:u w:color="000000"/>
      <w:lang w:val="es-ES_tradnl"/>
    </w:rPr>
  </w:style>
  <w:style w:type="character" w:customStyle="1" w:styleId="Heading3Char">
    <w:name w:val="Heading 3 Char"/>
    <w:basedOn w:val="DefaultParagraphFont"/>
    <w:link w:val="Heading3"/>
    <w:rsid w:val="00A02539"/>
    <w:rPr>
      <w:rFonts w:asciiTheme="majorHAnsi" w:eastAsia="Cambria" w:hAnsiTheme="majorHAnsi" w:cs="Cambria"/>
      <w:b/>
      <w:color w:val="000000"/>
      <w:u w:color="000000"/>
      <w:lang w:val="es-ES_tradnl"/>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link w:val="FootnoteReference"/>
    <w:uiPriority w:val="99"/>
    <w:qFormat/>
    <w:rsid w:val="009014A4"/>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rsid w:val="004D6618"/>
    <w:pPr>
      <w:pBdr>
        <w:top w:val="none" w:sz="0" w:space="0" w:color="auto"/>
        <w:left w:val="none" w:sz="0" w:space="0" w:color="auto"/>
        <w:bottom w:val="none" w:sz="0" w:space="0" w:color="auto"/>
        <w:right w:val="none" w:sz="0" w:space="0" w:color="auto"/>
        <w:between w:val="none" w:sz="0" w:space="0" w:color="auto"/>
        <w:bar w:val="none" w:sz="0" w:color="auto"/>
      </w:pBdr>
      <w:spacing w:before="200" w:after="160" w:line="240" w:lineRule="exact"/>
    </w:pPr>
    <w:rPr>
      <w:rFonts w:ascii="Verdana" w:hAnsi="Verdana"/>
      <w:sz w:val="22"/>
      <w:szCs w:val="20"/>
      <w:bdr w:val="none" w:sz="0" w:space="0" w:color="auto"/>
      <w:vertAlign w:val="superscript"/>
      <w:lang w:val="es-ES" w:eastAsia="es-ES"/>
    </w:rPr>
  </w:style>
  <w:style w:type="character" w:customStyle="1" w:styleId="ListParagraphChar">
    <w:name w:val="List Paragraph Char"/>
    <w:aliases w:val="Párrafo de lista1 Char,List Paragraph1 Char,Colorful List - Accent 11 Char,List Paragraph11 Char,List Paragraph2 Char,Medium Grid 1 - Accent 21 Char,Colorful List - Accent 12 Char,Lista vistosa - Énfasis 11 Char"/>
    <w:link w:val="ListParagraph"/>
    <w:locked/>
    <w:rsid w:val="002E4AEA"/>
    <w:rPr>
      <w:rFonts w:ascii="Cambria" w:eastAsia="Cambria" w:hAnsi="Cambria" w:cs="Cambria"/>
      <w:color w:val="000000"/>
      <w:sz w:val="24"/>
      <w:szCs w:val="24"/>
      <w:u w:color="000000"/>
      <w:lang w:val="en-US"/>
    </w:rPr>
  </w:style>
  <w:style w:type="character" w:styleId="CommentReference">
    <w:name w:val="annotation reference"/>
    <w:basedOn w:val="DefaultParagraphFont"/>
    <w:uiPriority w:val="99"/>
    <w:semiHidden/>
    <w:unhideWhenUsed/>
    <w:rsid w:val="00640665"/>
    <w:rPr>
      <w:sz w:val="16"/>
      <w:szCs w:val="16"/>
    </w:rPr>
  </w:style>
  <w:style w:type="paragraph" w:styleId="CommentText">
    <w:name w:val="annotation text"/>
    <w:basedOn w:val="Normal"/>
    <w:link w:val="CommentTextChar"/>
    <w:uiPriority w:val="99"/>
    <w:semiHidden/>
    <w:unhideWhenUsed/>
    <w:rsid w:val="00640665"/>
    <w:rPr>
      <w:sz w:val="20"/>
      <w:szCs w:val="20"/>
    </w:rPr>
  </w:style>
  <w:style w:type="character" w:customStyle="1" w:styleId="CommentTextChar">
    <w:name w:val="Comment Text Char"/>
    <w:basedOn w:val="DefaultParagraphFont"/>
    <w:link w:val="CommentText"/>
    <w:uiPriority w:val="99"/>
    <w:semiHidden/>
    <w:rsid w:val="00640665"/>
    <w:rPr>
      <w:lang w:val="en-US" w:eastAsia="en-US"/>
    </w:rPr>
  </w:style>
  <w:style w:type="paragraph" w:styleId="CommentSubject">
    <w:name w:val="annotation subject"/>
    <w:basedOn w:val="CommentText"/>
    <w:next w:val="CommentText"/>
    <w:link w:val="CommentSubjectChar"/>
    <w:uiPriority w:val="99"/>
    <w:semiHidden/>
    <w:unhideWhenUsed/>
    <w:rsid w:val="00640665"/>
    <w:rPr>
      <w:b/>
      <w:bCs/>
    </w:rPr>
  </w:style>
  <w:style w:type="character" w:customStyle="1" w:styleId="CommentSubjectChar">
    <w:name w:val="Comment Subject Char"/>
    <w:basedOn w:val="CommentTextChar"/>
    <w:link w:val="CommentSubject"/>
    <w:uiPriority w:val="99"/>
    <w:semiHidden/>
    <w:rsid w:val="00640665"/>
    <w:rPr>
      <w:b/>
      <w:bCs/>
      <w:lang w:val="en-US" w:eastAsia="en-US"/>
    </w:rPr>
  </w:style>
  <w:style w:type="paragraph" w:styleId="NormalWeb">
    <w:name w:val="Normal (Web)"/>
    <w:basedOn w:val="Normal"/>
    <w:uiPriority w:val="99"/>
    <w:unhideWhenUsed/>
    <w:rsid w:val="00A843C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color w:val="000000"/>
      <w:bdr w:val="none" w:sz="0" w:space="0" w:color="auto"/>
      <w:lang w:val="es-CO" w:eastAsia="es-CO"/>
    </w:rPr>
  </w:style>
  <w:style w:type="table" w:styleId="TableGrid">
    <w:name w:val="Table Grid"/>
    <w:basedOn w:val="TableNormal"/>
    <w:uiPriority w:val="59"/>
    <w:rsid w:val="000912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AD709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Revision">
    <w:name w:val="Revision"/>
    <w:hidden/>
    <w:uiPriority w:val="99"/>
    <w:semiHidden/>
    <w:rsid w:val="0010627B"/>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styleId="TOCHeading">
    <w:name w:val="TOC Heading"/>
    <w:basedOn w:val="Heading1"/>
    <w:next w:val="Normal"/>
    <w:uiPriority w:val="39"/>
    <w:semiHidden/>
    <w:unhideWhenUsed/>
    <w:qFormat/>
    <w:rsid w:val="00B00A5C"/>
    <w:pPr>
      <w:keepNext/>
      <w:keepLines/>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480" w:line="276" w:lineRule="auto"/>
      <w:ind w:left="0" w:firstLine="0"/>
      <w:outlineLvl w:val="9"/>
    </w:pPr>
    <w:rPr>
      <w:rFonts w:eastAsiaTheme="majorEastAsia" w:cstheme="majorBidi"/>
      <w:bCs/>
      <w:color w:val="365F91" w:themeColor="accent1" w:themeShade="BF"/>
      <w:sz w:val="28"/>
      <w:szCs w:val="28"/>
      <w:bdr w:val="none" w:sz="0" w:space="0" w:color="auto"/>
      <w:lang w:val="en-US" w:eastAsia="ja-JP"/>
    </w:rPr>
  </w:style>
  <w:style w:type="character" w:styleId="Strong">
    <w:name w:val="Strong"/>
    <w:basedOn w:val="DefaultParagraphFont"/>
    <w:uiPriority w:val="22"/>
    <w:qFormat/>
    <w:rsid w:val="00BE0B86"/>
    <w:rPr>
      <w:b/>
      <w:bCs/>
    </w:rPr>
  </w:style>
  <w:style w:type="character" w:customStyle="1" w:styleId="apple-converted-space">
    <w:name w:val="apple-converted-space"/>
    <w:rsid w:val="006E3921"/>
    <w:rPr>
      <w:rFonts w:ascii="Times New Roman" w:hAnsi="Times New Roman" w:cs="Times New Roman" w:hint="default"/>
    </w:rPr>
  </w:style>
  <w:style w:type="paragraph" w:customStyle="1" w:styleId="1">
    <w:name w:val="1"/>
    <w:basedOn w:val="Normal"/>
    <w:rsid w:val="00633E6D"/>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customStyle="1" w:styleId="parrafos">
    <w:name w:val="parrafos"/>
    <w:basedOn w:val="Normal"/>
    <w:link w:val="parrafosChar"/>
    <w:qFormat/>
    <w:rsid w:val="005C4459"/>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jc w:val="both"/>
    </w:pPr>
    <w:rPr>
      <w:rFonts w:asciiTheme="majorHAnsi" w:hAnsiTheme="majorHAnsi"/>
      <w:color w:val="000000" w:themeColor="text1"/>
      <w:sz w:val="20"/>
      <w:szCs w:val="20"/>
      <w:lang w:val="es-VE"/>
    </w:rPr>
  </w:style>
  <w:style w:type="character" w:customStyle="1" w:styleId="parrafosChar">
    <w:name w:val="parrafos Char"/>
    <w:basedOn w:val="DefaultParagraphFont"/>
    <w:link w:val="parrafos"/>
    <w:rsid w:val="005C4459"/>
    <w:rPr>
      <w:rFonts w:asciiTheme="majorHAnsi" w:hAnsiTheme="majorHAnsi"/>
      <w:color w:val="000000" w:themeColor="text1"/>
      <w:lang w:val="es-VE" w:eastAsia="en-US"/>
    </w:rPr>
  </w:style>
  <w:style w:type="paragraph" w:styleId="BodyText3">
    <w:name w:val="Body Text 3"/>
    <w:basedOn w:val="Normal"/>
    <w:link w:val="BodyText3Char"/>
    <w:uiPriority w:val="99"/>
    <w:unhideWhenUsed/>
    <w:rsid w:val="00047B91"/>
    <w:pPr>
      <w:spacing w:after="120"/>
    </w:pPr>
    <w:rPr>
      <w:sz w:val="16"/>
      <w:szCs w:val="16"/>
    </w:rPr>
  </w:style>
  <w:style w:type="character" w:customStyle="1" w:styleId="BodyText3Char">
    <w:name w:val="Body Text 3 Char"/>
    <w:basedOn w:val="DefaultParagraphFont"/>
    <w:link w:val="BodyText3"/>
    <w:uiPriority w:val="99"/>
    <w:rsid w:val="00047B91"/>
    <w:rPr>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067035">
      <w:bodyDiv w:val="1"/>
      <w:marLeft w:val="0"/>
      <w:marRight w:val="0"/>
      <w:marTop w:val="0"/>
      <w:marBottom w:val="0"/>
      <w:divBdr>
        <w:top w:val="none" w:sz="0" w:space="0" w:color="auto"/>
        <w:left w:val="none" w:sz="0" w:space="0" w:color="auto"/>
        <w:bottom w:val="none" w:sz="0" w:space="0" w:color="auto"/>
        <w:right w:val="none" w:sz="0" w:space="0" w:color="auto"/>
      </w:divBdr>
    </w:div>
    <w:div w:id="196428762">
      <w:bodyDiv w:val="1"/>
      <w:marLeft w:val="0"/>
      <w:marRight w:val="0"/>
      <w:marTop w:val="0"/>
      <w:marBottom w:val="0"/>
      <w:divBdr>
        <w:top w:val="none" w:sz="0" w:space="0" w:color="auto"/>
        <w:left w:val="none" w:sz="0" w:space="0" w:color="auto"/>
        <w:bottom w:val="none" w:sz="0" w:space="0" w:color="auto"/>
        <w:right w:val="none" w:sz="0" w:space="0" w:color="auto"/>
      </w:divBdr>
      <w:divsChild>
        <w:div w:id="1616473861">
          <w:marLeft w:val="0"/>
          <w:marRight w:val="0"/>
          <w:marTop w:val="0"/>
          <w:marBottom w:val="0"/>
          <w:divBdr>
            <w:top w:val="none" w:sz="0" w:space="0" w:color="auto"/>
            <w:left w:val="none" w:sz="0" w:space="0" w:color="auto"/>
            <w:bottom w:val="none" w:sz="0" w:space="0" w:color="auto"/>
            <w:right w:val="none" w:sz="0" w:space="0" w:color="auto"/>
          </w:divBdr>
        </w:div>
      </w:divsChild>
    </w:div>
    <w:div w:id="443815124">
      <w:bodyDiv w:val="1"/>
      <w:marLeft w:val="0"/>
      <w:marRight w:val="0"/>
      <w:marTop w:val="0"/>
      <w:marBottom w:val="0"/>
      <w:divBdr>
        <w:top w:val="none" w:sz="0" w:space="0" w:color="auto"/>
        <w:left w:val="none" w:sz="0" w:space="0" w:color="auto"/>
        <w:bottom w:val="none" w:sz="0" w:space="0" w:color="auto"/>
        <w:right w:val="none" w:sz="0" w:space="0" w:color="auto"/>
      </w:divBdr>
    </w:div>
    <w:div w:id="712191377">
      <w:bodyDiv w:val="1"/>
      <w:marLeft w:val="0"/>
      <w:marRight w:val="0"/>
      <w:marTop w:val="0"/>
      <w:marBottom w:val="0"/>
      <w:divBdr>
        <w:top w:val="none" w:sz="0" w:space="0" w:color="auto"/>
        <w:left w:val="none" w:sz="0" w:space="0" w:color="auto"/>
        <w:bottom w:val="none" w:sz="0" w:space="0" w:color="auto"/>
        <w:right w:val="none" w:sz="0" w:space="0" w:color="auto"/>
      </w:divBdr>
    </w:div>
    <w:div w:id="892349777">
      <w:bodyDiv w:val="1"/>
      <w:marLeft w:val="0"/>
      <w:marRight w:val="0"/>
      <w:marTop w:val="0"/>
      <w:marBottom w:val="0"/>
      <w:divBdr>
        <w:top w:val="none" w:sz="0" w:space="0" w:color="auto"/>
        <w:left w:val="none" w:sz="0" w:space="0" w:color="auto"/>
        <w:bottom w:val="none" w:sz="0" w:space="0" w:color="auto"/>
        <w:right w:val="none" w:sz="0" w:space="0" w:color="auto"/>
      </w:divBdr>
    </w:div>
    <w:div w:id="1361861117">
      <w:bodyDiv w:val="1"/>
      <w:marLeft w:val="0"/>
      <w:marRight w:val="0"/>
      <w:marTop w:val="0"/>
      <w:marBottom w:val="0"/>
      <w:divBdr>
        <w:top w:val="none" w:sz="0" w:space="0" w:color="auto"/>
        <w:left w:val="none" w:sz="0" w:space="0" w:color="auto"/>
        <w:bottom w:val="none" w:sz="0" w:space="0" w:color="auto"/>
        <w:right w:val="none" w:sz="0" w:space="0" w:color="auto"/>
      </w:divBdr>
    </w:div>
    <w:div w:id="1613053601">
      <w:bodyDiv w:val="1"/>
      <w:marLeft w:val="0"/>
      <w:marRight w:val="0"/>
      <w:marTop w:val="0"/>
      <w:marBottom w:val="0"/>
      <w:divBdr>
        <w:top w:val="none" w:sz="0" w:space="0" w:color="auto"/>
        <w:left w:val="none" w:sz="0" w:space="0" w:color="auto"/>
        <w:bottom w:val="none" w:sz="0" w:space="0" w:color="auto"/>
        <w:right w:val="none" w:sz="0" w:space="0" w:color="auto"/>
      </w:divBdr>
    </w:div>
    <w:div w:id="1631739983">
      <w:bodyDiv w:val="1"/>
      <w:marLeft w:val="0"/>
      <w:marRight w:val="0"/>
      <w:marTop w:val="0"/>
      <w:marBottom w:val="0"/>
      <w:divBdr>
        <w:top w:val="none" w:sz="0" w:space="0" w:color="auto"/>
        <w:left w:val="none" w:sz="0" w:space="0" w:color="auto"/>
        <w:bottom w:val="none" w:sz="0" w:space="0" w:color="auto"/>
        <w:right w:val="none" w:sz="0" w:space="0" w:color="auto"/>
      </w:divBdr>
    </w:div>
    <w:div w:id="1651909938">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9864701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eader" Target="header2.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joomla.corteidh.or.cr:8080/joomla/es/casos-contenciosos/38-jurisprudencia/1450-corte-idh-caso-lopez-mendoza-vs-venezuela-fondo-reparaciones-y-costas-sentencia-de-1-de-septiembre-de-2011-serie-c-no-233" TargetMode="External"/><Relationship Id="rId2" Type="http://schemas.openxmlformats.org/officeDocument/2006/relationships/hyperlink" Target="http://joomla.corteidh.or.cr:8080/joomla/es/casos-contenciosos/38-jurisprudencia/475-corte-idh-caso-del-tribunal-constitucional-vs-peru-fondo-reparaciones-y-costas-sentencia-de-31-de-enero-de-2001-serie-c-no-71" TargetMode="External"/><Relationship Id="rId1" Type="http://schemas.openxmlformats.org/officeDocument/2006/relationships/hyperlink" Target="http://joomla.corteidh.or.cr:8080/joomla/es/casos-contenciosos/38-jurisprudencia/476-corte-idh-caso-baena-ricardo-y-otros-vs-panama-fondo-reparaciones-y-costas-sentencia-de-2-de-febrero-de-2001-serie-c-no-72" TargetMode="External"/><Relationship Id="rId4" Type="http://schemas.openxmlformats.org/officeDocument/2006/relationships/hyperlink" Target="http://joomla.corteidh.or.cr:8080/joomla/es/casos-contenciosos/38-jurisprudencia/476-corte-idh-caso-baena-ricardo-y-otros-vs-panama-fondo-reparaciones-y-costas-sentencia-de-2-de-febrero-de-2001-serie-c-no-72"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21465A-BC6E-4068-AD87-733A53761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9623</Words>
  <Characters>54855</Characters>
  <Application>Microsoft Office Word</Application>
  <DocSecurity>0</DocSecurity>
  <Lines>457</Lines>
  <Paragraphs>128</Paragraphs>
  <ScaleCrop>false</ScaleCrop>
  <Company/>
  <LinksUpToDate>false</LinksUpToDate>
  <CharactersWithSpaces>64350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157/19</dc:title>
  <dc:creator/>
  <cp:lastModifiedBy/>
  <cp:revision>1</cp:revision>
  <dcterms:created xsi:type="dcterms:W3CDTF">2020-07-20T16:58:00Z</dcterms:created>
  <dcterms:modified xsi:type="dcterms:W3CDTF">2020-07-20T16:58:00Z</dcterms:modified>
</cp:coreProperties>
</file>