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444E4E" w:rsidRDefault="006311DA" w:rsidP="00627C9F">
      <w:pPr>
        <w:jc w:val="both"/>
        <w:rPr>
          <w:rFonts w:asciiTheme="majorHAnsi" w:hAnsiTheme="majorHAnsi" w:cs="Univers"/>
          <w:b/>
          <w:bCs/>
          <w:sz w:val="22"/>
          <w:szCs w:val="22"/>
        </w:rPr>
      </w:pPr>
      <w:bookmarkStart w:id="0" w:name="_GoBack"/>
      <w:bookmarkEnd w:id="0"/>
      <w:r w:rsidRPr="00444E4E">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082F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444E4E">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0902FE" w:rsidRDefault="000902FE">
                            <w:r>
                              <w:rPr>
                                <w:noProof/>
                              </w:rPr>
                              <w:drawing>
                                <wp:inline distT="0" distB="0" distL="0" distR="0" wp14:anchorId="3F7C102B" wp14:editId="1585285A">
                                  <wp:extent cx="2522763" cy="485775"/>
                                  <wp:effectExtent l="0" t="0" r="0" b="0"/>
                                  <wp:docPr id="12" name="Picture 1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0902FE" w:rsidRDefault="000902FE">
                      <w:r>
                        <w:rPr>
                          <w:noProof/>
                        </w:rPr>
                        <w:drawing>
                          <wp:inline distT="0" distB="0" distL="0" distR="0" wp14:anchorId="3F7C102B" wp14:editId="1585285A">
                            <wp:extent cx="2522763" cy="485775"/>
                            <wp:effectExtent l="0" t="0" r="0" b="0"/>
                            <wp:docPr id="12" name="Picture 1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444E4E" w:rsidRDefault="00040C3A" w:rsidP="00040C3A">
      <w:pPr>
        <w:tabs>
          <w:tab w:val="center" w:pos="5400"/>
        </w:tabs>
        <w:suppressAutoHyphens/>
        <w:jc w:val="both"/>
        <w:rPr>
          <w:rFonts w:asciiTheme="majorHAnsi" w:hAnsiTheme="majorHAnsi"/>
          <w:sz w:val="22"/>
          <w:szCs w:val="22"/>
        </w:rPr>
      </w:pPr>
    </w:p>
    <w:p w14:paraId="54AC1FBF" w14:textId="77777777" w:rsidR="00040C3A" w:rsidRPr="00444E4E" w:rsidRDefault="00040C3A" w:rsidP="00040C3A">
      <w:pPr>
        <w:tabs>
          <w:tab w:val="center" w:pos="5400"/>
        </w:tabs>
        <w:suppressAutoHyphens/>
        <w:jc w:val="both"/>
        <w:rPr>
          <w:rFonts w:asciiTheme="majorHAnsi" w:hAnsiTheme="majorHAnsi"/>
          <w:sz w:val="22"/>
          <w:szCs w:val="22"/>
        </w:rPr>
      </w:pPr>
    </w:p>
    <w:p w14:paraId="6A4AC464" w14:textId="77777777" w:rsidR="005128E4" w:rsidRPr="00444E4E" w:rsidRDefault="005128E4" w:rsidP="00040C3A">
      <w:pPr>
        <w:tabs>
          <w:tab w:val="center" w:pos="5400"/>
        </w:tabs>
        <w:suppressAutoHyphens/>
        <w:rPr>
          <w:rFonts w:asciiTheme="majorHAnsi" w:hAnsiTheme="majorHAnsi"/>
          <w:sz w:val="22"/>
          <w:szCs w:val="22"/>
        </w:rPr>
      </w:pPr>
    </w:p>
    <w:p w14:paraId="515D20A5" w14:textId="77777777" w:rsidR="005128E4" w:rsidRPr="00444E4E" w:rsidRDefault="005128E4" w:rsidP="00040C3A">
      <w:pPr>
        <w:tabs>
          <w:tab w:val="center" w:pos="5400"/>
        </w:tabs>
        <w:suppressAutoHyphens/>
        <w:rPr>
          <w:rFonts w:asciiTheme="majorHAnsi" w:hAnsiTheme="majorHAnsi"/>
          <w:sz w:val="22"/>
          <w:szCs w:val="22"/>
        </w:rPr>
      </w:pPr>
    </w:p>
    <w:p w14:paraId="7CBA3E7E" w14:textId="77777777" w:rsidR="005128E4" w:rsidRPr="00444E4E" w:rsidRDefault="005128E4" w:rsidP="00040C3A">
      <w:pPr>
        <w:tabs>
          <w:tab w:val="center" w:pos="5400"/>
        </w:tabs>
        <w:suppressAutoHyphens/>
        <w:rPr>
          <w:rFonts w:asciiTheme="majorHAnsi" w:hAnsiTheme="majorHAnsi"/>
          <w:sz w:val="22"/>
          <w:szCs w:val="22"/>
        </w:rPr>
      </w:pPr>
    </w:p>
    <w:p w14:paraId="0FFC5ED6" w14:textId="77777777" w:rsidR="00040C3A" w:rsidRPr="00444E4E" w:rsidRDefault="00040C3A" w:rsidP="005128E4">
      <w:pPr>
        <w:tabs>
          <w:tab w:val="center" w:pos="5400"/>
        </w:tabs>
        <w:suppressAutoHyphens/>
        <w:jc w:val="center"/>
        <w:rPr>
          <w:rFonts w:asciiTheme="majorHAnsi" w:hAnsiTheme="majorHAnsi"/>
          <w:sz w:val="22"/>
          <w:szCs w:val="22"/>
        </w:rPr>
      </w:pPr>
    </w:p>
    <w:p w14:paraId="5FCF0358" w14:textId="77777777" w:rsidR="00040C3A" w:rsidRPr="00444E4E" w:rsidRDefault="00040C3A" w:rsidP="005128E4">
      <w:pPr>
        <w:tabs>
          <w:tab w:val="center" w:pos="5400"/>
        </w:tabs>
        <w:suppressAutoHyphens/>
        <w:jc w:val="center"/>
        <w:rPr>
          <w:rFonts w:asciiTheme="majorHAnsi" w:hAnsiTheme="majorHAnsi"/>
          <w:sz w:val="22"/>
          <w:szCs w:val="22"/>
        </w:rPr>
      </w:pPr>
    </w:p>
    <w:p w14:paraId="23C02B60" w14:textId="77777777" w:rsidR="005B52B0" w:rsidRPr="00444E4E" w:rsidRDefault="005B52B0" w:rsidP="005128E4">
      <w:pPr>
        <w:tabs>
          <w:tab w:val="center" w:pos="5400"/>
        </w:tabs>
        <w:suppressAutoHyphens/>
        <w:jc w:val="center"/>
        <w:rPr>
          <w:rFonts w:asciiTheme="majorHAnsi" w:hAnsiTheme="majorHAnsi"/>
          <w:sz w:val="22"/>
          <w:szCs w:val="22"/>
        </w:rPr>
      </w:pPr>
    </w:p>
    <w:p w14:paraId="1E4CC4A3" w14:textId="77777777" w:rsidR="005B52B0" w:rsidRPr="00444E4E" w:rsidRDefault="005B52B0" w:rsidP="005128E4">
      <w:pPr>
        <w:tabs>
          <w:tab w:val="center" w:pos="5400"/>
        </w:tabs>
        <w:suppressAutoHyphens/>
        <w:jc w:val="center"/>
        <w:rPr>
          <w:rFonts w:asciiTheme="majorHAnsi" w:hAnsiTheme="majorHAnsi"/>
          <w:sz w:val="22"/>
          <w:szCs w:val="22"/>
        </w:rPr>
      </w:pPr>
    </w:p>
    <w:p w14:paraId="022074FD" w14:textId="77777777" w:rsidR="005B52B0" w:rsidRPr="00444E4E" w:rsidRDefault="005B52B0" w:rsidP="005128E4">
      <w:pPr>
        <w:tabs>
          <w:tab w:val="center" w:pos="5400"/>
        </w:tabs>
        <w:suppressAutoHyphens/>
        <w:jc w:val="center"/>
        <w:rPr>
          <w:rFonts w:asciiTheme="majorHAnsi" w:hAnsiTheme="majorHAnsi"/>
          <w:sz w:val="22"/>
          <w:szCs w:val="22"/>
        </w:rPr>
      </w:pPr>
    </w:p>
    <w:p w14:paraId="3234C43C" w14:textId="77777777" w:rsidR="00040C3A" w:rsidRPr="00444E4E" w:rsidRDefault="00040C3A" w:rsidP="00040C3A">
      <w:pPr>
        <w:tabs>
          <w:tab w:val="center" w:pos="5400"/>
        </w:tabs>
        <w:suppressAutoHyphens/>
        <w:jc w:val="center"/>
        <w:rPr>
          <w:rFonts w:asciiTheme="majorHAnsi" w:hAnsiTheme="majorHAnsi"/>
          <w:sz w:val="22"/>
          <w:szCs w:val="22"/>
        </w:rPr>
      </w:pPr>
    </w:p>
    <w:p w14:paraId="2D58FFBA" w14:textId="77777777" w:rsidR="00040C3A" w:rsidRPr="00444E4E" w:rsidRDefault="00040C3A" w:rsidP="00040C3A">
      <w:pPr>
        <w:tabs>
          <w:tab w:val="center" w:pos="5400"/>
        </w:tabs>
        <w:suppressAutoHyphens/>
        <w:jc w:val="center"/>
        <w:rPr>
          <w:rFonts w:asciiTheme="majorHAnsi" w:hAnsiTheme="majorHAnsi"/>
          <w:sz w:val="22"/>
          <w:szCs w:val="22"/>
        </w:rPr>
      </w:pPr>
    </w:p>
    <w:p w14:paraId="4A574974" w14:textId="01CF6FC7" w:rsidR="00040C3A" w:rsidRPr="00444E4E" w:rsidRDefault="00161C67" w:rsidP="00040C3A">
      <w:pPr>
        <w:tabs>
          <w:tab w:val="center" w:pos="5400"/>
        </w:tabs>
        <w:suppressAutoHyphens/>
        <w:jc w:val="center"/>
        <w:rPr>
          <w:rFonts w:asciiTheme="majorHAnsi" w:hAnsiTheme="majorHAnsi"/>
          <w:sz w:val="22"/>
          <w:szCs w:val="22"/>
        </w:rPr>
      </w:pPr>
      <w:r w:rsidRPr="00444E4E">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56FD6BAF">
                <wp:simplePos x="0" y="0"/>
                <wp:positionH relativeFrom="column">
                  <wp:posOffset>1257300</wp:posOffset>
                </wp:positionH>
                <wp:positionV relativeFrom="paragraph">
                  <wp:posOffset>156845</wp:posOffset>
                </wp:positionV>
                <wp:extent cx="4333875" cy="2350770"/>
                <wp:effectExtent l="0" t="0" r="0" b="1143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78427EE7" w:rsidR="000902FE" w:rsidRPr="004B7EB6" w:rsidRDefault="000902FE"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387F5D">
                              <w:rPr>
                                <w:rFonts w:asciiTheme="majorHAnsi" w:hAnsiTheme="majorHAnsi" w:cs="Arial"/>
                                <w:b/>
                                <w:bCs/>
                                <w:color w:val="0D0D0D" w:themeColor="text1" w:themeTint="F2"/>
                                <w:sz w:val="36"/>
                                <w:szCs w:val="40"/>
                              </w:rPr>
                              <w:t>38</w:t>
                            </w:r>
                            <w:r w:rsidRPr="004B7EB6">
                              <w:rPr>
                                <w:rFonts w:asciiTheme="majorHAnsi" w:hAnsiTheme="majorHAnsi" w:cs="Arial"/>
                                <w:b/>
                                <w:bCs/>
                                <w:color w:val="0D0D0D" w:themeColor="text1" w:themeTint="F2"/>
                                <w:sz w:val="36"/>
                                <w:szCs w:val="40"/>
                              </w:rPr>
                              <w:t>/1</w:t>
                            </w:r>
                            <w:r w:rsidR="00444E4E">
                              <w:rPr>
                                <w:rFonts w:asciiTheme="majorHAnsi" w:hAnsiTheme="majorHAnsi" w:cs="Arial"/>
                                <w:b/>
                                <w:bCs/>
                                <w:color w:val="0D0D0D" w:themeColor="text1" w:themeTint="F2"/>
                                <w:sz w:val="36"/>
                                <w:szCs w:val="40"/>
                              </w:rPr>
                              <w:t>9</w:t>
                            </w:r>
                          </w:p>
                          <w:p w14:paraId="081F51F3" w14:textId="65314A93" w:rsidR="000902FE" w:rsidRPr="004B7EB6" w:rsidRDefault="000902FE"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384-07</w:t>
                            </w:r>
                          </w:p>
                          <w:p w14:paraId="34978E5A" w14:textId="7C484BF8" w:rsidR="000902FE" w:rsidRPr="004B7EB6" w:rsidRDefault="000902FE"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INADMISSIBILITY</w:t>
                            </w:r>
                          </w:p>
                          <w:p w14:paraId="353CD994" w14:textId="77777777" w:rsidR="000902FE" w:rsidRPr="004B7EB6" w:rsidRDefault="000902FE" w:rsidP="004B7EB6">
                            <w:pPr>
                              <w:spacing w:line="276" w:lineRule="auto"/>
                              <w:rPr>
                                <w:rFonts w:asciiTheme="majorHAnsi" w:hAnsiTheme="majorHAnsi" w:cs="Arial"/>
                                <w:color w:val="0D0D0D" w:themeColor="text1" w:themeTint="F2"/>
                                <w:szCs w:val="22"/>
                              </w:rPr>
                            </w:pPr>
                          </w:p>
                          <w:p w14:paraId="7A73D628" w14:textId="2DB93896" w:rsidR="000902FE" w:rsidRPr="004B625D" w:rsidRDefault="000902FE"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ANTONIO REINALDO PEIXOTO PEREIRA</w:t>
                            </w:r>
                          </w:p>
                          <w:p w14:paraId="48EBC31A" w14:textId="214EB483" w:rsidR="000902FE" w:rsidRPr="004B625D" w:rsidRDefault="000902FE"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BRAZIL</w:t>
                            </w:r>
                          </w:p>
                          <w:p w14:paraId="17A89EFB" w14:textId="77777777" w:rsidR="000902FE" w:rsidRPr="000C4365" w:rsidRDefault="000902FE"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9pt;margin-top:12.3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" filled="f" stroked="f" strokeweight=".5pt">
                <v:textbox>
                  <w:txbxContent>
                    <w:p w14:paraId="6F7C2188" w14:textId="78427EE7" w:rsidR="000902FE" w:rsidRPr="004B7EB6" w:rsidRDefault="000902FE"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387F5D">
                        <w:rPr>
                          <w:rFonts w:asciiTheme="majorHAnsi" w:hAnsiTheme="majorHAnsi" w:cs="Arial"/>
                          <w:b/>
                          <w:bCs/>
                          <w:color w:val="0D0D0D" w:themeColor="text1" w:themeTint="F2"/>
                          <w:sz w:val="36"/>
                          <w:szCs w:val="40"/>
                        </w:rPr>
                        <w:t>38</w:t>
                      </w:r>
                      <w:r w:rsidRPr="004B7EB6">
                        <w:rPr>
                          <w:rFonts w:asciiTheme="majorHAnsi" w:hAnsiTheme="majorHAnsi" w:cs="Arial"/>
                          <w:b/>
                          <w:bCs/>
                          <w:color w:val="0D0D0D" w:themeColor="text1" w:themeTint="F2"/>
                          <w:sz w:val="36"/>
                          <w:szCs w:val="40"/>
                        </w:rPr>
                        <w:t>/1</w:t>
                      </w:r>
                      <w:r w:rsidR="00444E4E">
                        <w:rPr>
                          <w:rFonts w:asciiTheme="majorHAnsi" w:hAnsiTheme="majorHAnsi" w:cs="Arial"/>
                          <w:b/>
                          <w:bCs/>
                          <w:color w:val="0D0D0D" w:themeColor="text1" w:themeTint="F2"/>
                          <w:sz w:val="36"/>
                          <w:szCs w:val="40"/>
                        </w:rPr>
                        <w:t>9</w:t>
                      </w:r>
                    </w:p>
                    <w:p w14:paraId="081F51F3" w14:textId="65314A93" w:rsidR="000902FE" w:rsidRPr="004B7EB6" w:rsidRDefault="000902FE"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384-07</w:t>
                      </w:r>
                    </w:p>
                    <w:p w14:paraId="34978E5A" w14:textId="7C484BF8" w:rsidR="000902FE" w:rsidRPr="004B7EB6" w:rsidRDefault="000902FE"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INADMISSIBILITY</w:t>
                      </w:r>
                    </w:p>
                    <w:p w14:paraId="353CD994" w14:textId="77777777" w:rsidR="000902FE" w:rsidRPr="004B7EB6" w:rsidRDefault="000902FE" w:rsidP="004B7EB6">
                      <w:pPr>
                        <w:spacing w:line="276" w:lineRule="auto"/>
                        <w:rPr>
                          <w:rFonts w:asciiTheme="majorHAnsi" w:hAnsiTheme="majorHAnsi" w:cs="Arial"/>
                          <w:color w:val="0D0D0D" w:themeColor="text1" w:themeTint="F2"/>
                          <w:szCs w:val="22"/>
                        </w:rPr>
                      </w:pPr>
                    </w:p>
                    <w:p w14:paraId="7A73D628" w14:textId="2DB93896" w:rsidR="000902FE" w:rsidRPr="004B625D" w:rsidRDefault="000902FE"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ANTONIO REINALDO PEIXOTO PEREIRA</w:t>
                      </w:r>
                    </w:p>
                    <w:p w14:paraId="48EBC31A" w14:textId="214EB483" w:rsidR="000902FE" w:rsidRPr="004B625D" w:rsidRDefault="000902FE"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BRAZIL</w:t>
                      </w:r>
                    </w:p>
                    <w:p w14:paraId="17A89EFB" w14:textId="77777777" w:rsidR="000902FE" w:rsidRPr="000C4365" w:rsidRDefault="000902FE" w:rsidP="00F42B71">
                      <w:pPr>
                        <w:spacing w:line="276" w:lineRule="auto"/>
                        <w:rPr>
                          <w:rFonts w:asciiTheme="majorHAnsi" w:hAnsiTheme="majorHAnsi"/>
                          <w:color w:val="0D0D0D" w:themeColor="text1" w:themeTint="F2"/>
                        </w:rPr>
                      </w:pPr>
                    </w:p>
                  </w:txbxContent>
                </v:textbox>
              </v:shape>
            </w:pict>
          </mc:Fallback>
        </mc:AlternateContent>
      </w:r>
    </w:p>
    <w:p w14:paraId="11A9BA8A" w14:textId="3C6B7760" w:rsidR="00040C3A" w:rsidRPr="00444E4E" w:rsidRDefault="00B432DE" w:rsidP="00040C3A">
      <w:pPr>
        <w:tabs>
          <w:tab w:val="center" w:pos="5400"/>
        </w:tabs>
        <w:suppressAutoHyphens/>
        <w:jc w:val="center"/>
        <w:rPr>
          <w:rFonts w:asciiTheme="majorHAnsi" w:hAnsiTheme="majorHAnsi"/>
          <w:sz w:val="22"/>
          <w:szCs w:val="22"/>
        </w:rPr>
      </w:pPr>
      <w:r w:rsidRPr="00444E4E">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12B59775">
                <wp:simplePos x="0" y="0"/>
                <wp:positionH relativeFrom="column">
                  <wp:posOffset>-414067</wp:posOffset>
                </wp:positionH>
                <wp:positionV relativeFrom="paragraph">
                  <wp:posOffset>105158</wp:posOffset>
                </wp:positionV>
                <wp:extent cx="1403146"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403146"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1411335F" w:rsidR="000902FE" w:rsidRPr="00387F5D" w:rsidRDefault="000902FE" w:rsidP="009E566A">
                            <w:pPr>
                              <w:jc w:val="right"/>
                              <w:rPr>
                                <w:rFonts w:asciiTheme="minorHAnsi" w:hAnsiTheme="minorHAnsi"/>
                                <w:color w:val="FFFFFF" w:themeColor="background1"/>
                                <w:sz w:val="22"/>
                              </w:rPr>
                            </w:pPr>
                            <w:r w:rsidRPr="00387F5D">
                              <w:rPr>
                                <w:rFonts w:asciiTheme="minorHAnsi" w:hAnsiTheme="minorHAnsi"/>
                                <w:color w:val="FFFFFF" w:themeColor="background1"/>
                                <w:sz w:val="22"/>
                              </w:rPr>
                              <w:t>OEA/</w:t>
                            </w:r>
                            <w:proofErr w:type="spellStart"/>
                            <w:r w:rsidRPr="00387F5D">
                              <w:rPr>
                                <w:rFonts w:asciiTheme="minorHAnsi" w:hAnsiTheme="minorHAnsi"/>
                                <w:color w:val="FFFFFF" w:themeColor="background1"/>
                                <w:sz w:val="22"/>
                              </w:rPr>
                              <w:t>Ser.L</w:t>
                            </w:r>
                            <w:proofErr w:type="spellEnd"/>
                            <w:r w:rsidRPr="00387F5D">
                              <w:rPr>
                                <w:rFonts w:asciiTheme="minorHAnsi" w:hAnsiTheme="minorHAnsi"/>
                                <w:color w:val="FFFFFF" w:themeColor="background1"/>
                                <w:sz w:val="22"/>
                              </w:rPr>
                              <w:t>/V/II.</w:t>
                            </w:r>
                          </w:p>
                          <w:p w14:paraId="4AA08A8C" w14:textId="43D1920F" w:rsidR="000902FE" w:rsidRPr="00EC0B24" w:rsidRDefault="000902FE" w:rsidP="009E566A">
                            <w:pPr>
                              <w:jc w:val="right"/>
                              <w:rPr>
                                <w:rFonts w:asciiTheme="minorHAnsi" w:hAnsiTheme="minorHAnsi"/>
                                <w:color w:val="FFFFFF" w:themeColor="background1"/>
                                <w:sz w:val="22"/>
                              </w:rPr>
                            </w:pPr>
                            <w:r w:rsidRPr="00EC0B24">
                              <w:rPr>
                                <w:rFonts w:asciiTheme="minorHAnsi" w:hAnsiTheme="minorHAnsi"/>
                                <w:color w:val="FFFFFF" w:themeColor="background1"/>
                                <w:sz w:val="22"/>
                              </w:rPr>
                              <w:t>Doc</w:t>
                            </w:r>
                            <w:r w:rsidR="00387F5D">
                              <w:rPr>
                                <w:rFonts w:asciiTheme="minorHAnsi" w:hAnsiTheme="minorHAnsi"/>
                                <w:color w:val="FFFFFF" w:themeColor="background1"/>
                                <w:sz w:val="22"/>
                              </w:rPr>
                              <w:t>. 43</w:t>
                            </w:r>
                          </w:p>
                          <w:p w14:paraId="0BEFF61A" w14:textId="7B4DBCCD" w:rsidR="000902FE" w:rsidRPr="004B7EB6" w:rsidRDefault="00387F5D"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18 April </w:t>
                            </w:r>
                            <w:r w:rsidR="000902FE" w:rsidRPr="00444E4E">
                              <w:rPr>
                                <w:rFonts w:asciiTheme="minorHAnsi" w:hAnsiTheme="minorHAnsi"/>
                                <w:color w:val="FFFFFF" w:themeColor="background1"/>
                                <w:sz w:val="22"/>
                              </w:rPr>
                              <w:t>20</w:t>
                            </w:r>
                            <w:r w:rsidR="00444E4E" w:rsidRPr="00444E4E">
                              <w:rPr>
                                <w:rFonts w:asciiTheme="minorHAnsi" w:hAnsiTheme="minorHAnsi"/>
                                <w:color w:val="FFFFFF" w:themeColor="background1"/>
                                <w:sz w:val="22"/>
                              </w:rPr>
                              <w:t>19</w:t>
                            </w:r>
                          </w:p>
                          <w:p w14:paraId="0FC103BD" w14:textId="5B800CB7" w:rsidR="000902FE" w:rsidRPr="004B7EB6" w:rsidRDefault="000902FE"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387F5D">
                              <w:rPr>
                                <w:rFonts w:asciiTheme="minorHAnsi" w:hAnsiTheme="minorHAnsi"/>
                                <w:color w:val="FFFFFF" w:themeColor="background1"/>
                                <w:sz w:val="22"/>
                              </w:rPr>
                              <w:t>: Portuguese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32.6pt;margin-top:8.3pt;width:11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" filled="f" stroked="f" strokeweight=".5pt">
                <v:textbox>
                  <w:txbxContent>
                    <w:p w14:paraId="65856C81" w14:textId="1411335F" w:rsidR="000902FE" w:rsidRPr="00387F5D" w:rsidRDefault="000902FE" w:rsidP="009E566A">
                      <w:pPr>
                        <w:jc w:val="right"/>
                        <w:rPr>
                          <w:rFonts w:asciiTheme="minorHAnsi" w:hAnsiTheme="minorHAnsi"/>
                          <w:color w:val="FFFFFF" w:themeColor="background1"/>
                          <w:sz w:val="22"/>
                        </w:rPr>
                      </w:pPr>
                      <w:r w:rsidRPr="00387F5D">
                        <w:rPr>
                          <w:rFonts w:asciiTheme="minorHAnsi" w:hAnsiTheme="minorHAnsi"/>
                          <w:color w:val="FFFFFF" w:themeColor="background1"/>
                          <w:sz w:val="22"/>
                        </w:rPr>
                        <w:t>OEA/</w:t>
                      </w:r>
                      <w:proofErr w:type="spellStart"/>
                      <w:r w:rsidRPr="00387F5D">
                        <w:rPr>
                          <w:rFonts w:asciiTheme="minorHAnsi" w:hAnsiTheme="minorHAnsi"/>
                          <w:color w:val="FFFFFF" w:themeColor="background1"/>
                          <w:sz w:val="22"/>
                        </w:rPr>
                        <w:t>Ser.L</w:t>
                      </w:r>
                      <w:proofErr w:type="spellEnd"/>
                      <w:r w:rsidRPr="00387F5D">
                        <w:rPr>
                          <w:rFonts w:asciiTheme="minorHAnsi" w:hAnsiTheme="minorHAnsi"/>
                          <w:color w:val="FFFFFF" w:themeColor="background1"/>
                          <w:sz w:val="22"/>
                        </w:rPr>
                        <w:t>/V/II.</w:t>
                      </w:r>
                    </w:p>
                    <w:p w14:paraId="4AA08A8C" w14:textId="43D1920F" w:rsidR="000902FE" w:rsidRPr="00EC0B24" w:rsidRDefault="000902FE" w:rsidP="009E566A">
                      <w:pPr>
                        <w:jc w:val="right"/>
                        <w:rPr>
                          <w:rFonts w:asciiTheme="minorHAnsi" w:hAnsiTheme="minorHAnsi"/>
                          <w:color w:val="FFFFFF" w:themeColor="background1"/>
                          <w:sz w:val="22"/>
                        </w:rPr>
                      </w:pPr>
                      <w:r w:rsidRPr="00EC0B24">
                        <w:rPr>
                          <w:rFonts w:asciiTheme="minorHAnsi" w:hAnsiTheme="minorHAnsi"/>
                          <w:color w:val="FFFFFF" w:themeColor="background1"/>
                          <w:sz w:val="22"/>
                        </w:rPr>
                        <w:t>Doc</w:t>
                      </w:r>
                      <w:r w:rsidR="00387F5D">
                        <w:rPr>
                          <w:rFonts w:asciiTheme="minorHAnsi" w:hAnsiTheme="minorHAnsi"/>
                          <w:color w:val="FFFFFF" w:themeColor="background1"/>
                          <w:sz w:val="22"/>
                        </w:rPr>
                        <w:t>. 43</w:t>
                      </w:r>
                    </w:p>
                    <w:p w14:paraId="0BEFF61A" w14:textId="7B4DBCCD" w:rsidR="000902FE" w:rsidRPr="004B7EB6" w:rsidRDefault="00387F5D"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18 April </w:t>
                      </w:r>
                      <w:r w:rsidR="000902FE" w:rsidRPr="00444E4E">
                        <w:rPr>
                          <w:rFonts w:asciiTheme="minorHAnsi" w:hAnsiTheme="minorHAnsi"/>
                          <w:color w:val="FFFFFF" w:themeColor="background1"/>
                          <w:sz w:val="22"/>
                        </w:rPr>
                        <w:t>20</w:t>
                      </w:r>
                      <w:r w:rsidR="00444E4E" w:rsidRPr="00444E4E">
                        <w:rPr>
                          <w:rFonts w:asciiTheme="minorHAnsi" w:hAnsiTheme="minorHAnsi"/>
                          <w:color w:val="FFFFFF" w:themeColor="background1"/>
                          <w:sz w:val="22"/>
                        </w:rPr>
                        <w:t>19</w:t>
                      </w:r>
                    </w:p>
                    <w:p w14:paraId="0FC103BD" w14:textId="5B800CB7" w:rsidR="000902FE" w:rsidRPr="004B7EB6" w:rsidRDefault="000902FE"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387F5D">
                        <w:rPr>
                          <w:rFonts w:asciiTheme="minorHAnsi" w:hAnsiTheme="minorHAnsi"/>
                          <w:color w:val="FFFFFF" w:themeColor="background1"/>
                          <w:sz w:val="22"/>
                        </w:rPr>
                        <w:t>: Portuguese</w:t>
                      </w:r>
                    </w:p>
                  </w:txbxContent>
                </v:textbox>
              </v:shape>
            </w:pict>
          </mc:Fallback>
        </mc:AlternateContent>
      </w:r>
    </w:p>
    <w:p w14:paraId="3765F9FA" w14:textId="77777777" w:rsidR="00040C3A" w:rsidRPr="00444E4E" w:rsidRDefault="00040C3A" w:rsidP="00040C3A">
      <w:pPr>
        <w:tabs>
          <w:tab w:val="center" w:pos="5400"/>
        </w:tabs>
        <w:suppressAutoHyphens/>
        <w:jc w:val="center"/>
        <w:rPr>
          <w:rFonts w:asciiTheme="majorHAnsi" w:hAnsiTheme="majorHAnsi"/>
          <w:sz w:val="22"/>
          <w:szCs w:val="22"/>
        </w:rPr>
      </w:pPr>
    </w:p>
    <w:p w14:paraId="5E33CE59" w14:textId="77777777" w:rsidR="00040C3A" w:rsidRPr="00444E4E"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444E4E" w:rsidRDefault="00040C3A" w:rsidP="00040C3A">
      <w:pPr>
        <w:tabs>
          <w:tab w:val="center" w:pos="5400"/>
        </w:tabs>
        <w:suppressAutoHyphens/>
        <w:jc w:val="center"/>
        <w:rPr>
          <w:rFonts w:asciiTheme="majorHAnsi" w:hAnsiTheme="majorHAnsi"/>
          <w:sz w:val="22"/>
          <w:szCs w:val="22"/>
        </w:rPr>
      </w:pPr>
    </w:p>
    <w:p w14:paraId="43677EE2" w14:textId="77777777" w:rsidR="00040C3A" w:rsidRPr="00444E4E" w:rsidRDefault="00040C3A" w:rsidP="00040C3A">
      <w:pPr>
        <w:tabs>
          <w:tab w:val="center" w:pos="5400"/>
        </w:tabs>
        <w:suppressAutoHyphens/>
        <w:jc w:val="center"/>
        <w:rPr>
          <w:rFonts w:asciiTheme="majorHAnsi" w:hAnsiTheme="majorHAnsi"/>
          <w:sz w:val="22"/>
          <w:szCs w:val="22"/>
        </w:rPr>
      </w:pPr>
    </w:p>
    <w:p w14:paraId="747B776B" w14:textId="77777777" w:rsidR="00040C3A" w:rsidRPr="00444E4E" w:rsidRDefault="00040C3A" w:rsidP="00040C3A">
      <w:pPr>
        <w:tabs>
          <w:tab w:val="center" w:pos="5400"/>
        </w:tabs>
        <w:suppressAutoHyphens/>
        <w:jc w:val="center"/>
        <w:rPr>
          <w:rFonts w:asciiTheme="majorHAnsi" w:hAnsiTheme="majorHAnsi"/>
          <w:sz w:val="22"/>
          <w:szCs w:val="22"/>
        </w:rPr>
      </w:pPr>
    </w:p>
    <w:p w14:paraId="3FA14379" w14:textId="77777777" w:rsidR="00040C3A" w:rsidRPr="00444E4E" w:rsidRDefault="00040C3A" w:rsidP="00040C3A">
      <w:pPr>
        <w:tabs>
          <w:tab w:val="center" w:pos="5400"/>
        </w:tabs>
        <w:suppressAutoHyphens/>
        <w:jc w:val="center"/>
        <w:rPr>
          <w:rFonts w:asciiTheme="majorHAnsi" w:hAnsiTheme="majorHAnsi"/>
          <w:sz w:val="22"/>
          <w:szCs w:val="22"/>
        </w:rPr>
      </w:pPr>
    </w:p>
    <w:p w14:paraId="28A65FAF" w14:textId="77777777" w:rsidR="005128E4" w:rsidRPr="00444E4E" w:rsidRDefault="005128E4" w:rsidP="00040C3A">
      <w:pPr>
        <w:tabs>
          <w:tab w:val="center" w:pos="5400"/>
        </w:tabs>
        <w:suppressAutoHyphens/>
        <w:jc w:val="center"/>
        <w:rPr>
          <w:rFonts w:asciiTheme="majorHAnsi" w:hAnsiTheme="majorHAnsi"/>
          <w:sz w:val="22"/>
          <w:szCs w:val="22"/>
        </w:rPr>
      </w:pPr>
    </w:p>
    <w:p w14:paraId="11B1978A" w14:textId="77777777" w:rsidR="00040C3A" w:rsidRPr="00444E4E" w:rsidRDefault="00040C3A" w:rsidP="00040C3A">
      <w:pPr>
        <w:tabs>
          <w:tab w:val="center" w:pos="5400"/>
        </w:tabs>
        <w:suppressAutoHyphens/>
        <w:jc w:val="center"/>
        <w:rPr>
          <w:rFonts w:asciiTheme="majorHAnsi" w:hAnsiTheme="majorHAnsi"/>
          <w:sz w:val="22"/>
          <w:szCs w:val="22"/>
        </w:rPr>
      </w:pPr>
    </w:p>
    <w:p w14:paraId="650F503D" w14:textId="77777777" w:rsidR="005128E4" w:rsidRPr="00444E4E" w:rsidRDefault="005128E4" w:rsidP="00040C3A">
      <w:pPr>
        <w:tabs>
          <w:tab w:val="center" w:pos="5400"/>
        </w:tabs>
        <w:suppressAutoHyphens/>
        <w:jc w:val="center"/>
        <w:rPr>
          <w:rFonts w:asciiTheme="majorHAnsi" w:hAnsiTheme="majorHAnsi"/>
          <w:sz w:val="22"/>
          <w:szCs w:val="22"/>
        </w:rPr>
      </w:pPr>
    </w:p>
    <w:p w14:paraId="17861C77" w14:textId="77777777" w:rsidR="005128E4" w:rsidRPr="00444E4E" w:rsidRDefault="005128E4" w:rsidP="00040C3A">
      <w:pPr>
        <w:tabs>
          <w:tab w:val="center" w:pos="5400"/>
        </w:tabs>
        <w:suppressAutoHyphens/>
        <w:jc w:val="center"/>
        <w:rPr>
          <w:rFonts w:asciiTheme="majorHAnsi" w:hAnsiTheme="majorHAnsi"/>
          <w:sz w:val="22"/>
          <w:szCs w:val="22"/>
        </w:rPr>
      </w:pPr>
    </w:p>
    <w:p w14:paraId="0EFEAEB7" w14:textId="77777777" w:rsidR="005128E4" w:rsidRPr="00444E4E" w:rsidRDefault="005128E4" w:rsidP="00040C3A">
      <w:pPr>
        <w:tabs>
          <w:tab w:val="center" w:pos="5400"/>
        </w:tabs>
        <w:suppressAutoHyphens/>
        <w:jc w:val="center"/>
        <w:rPr>
          <w:rFonts w:asciiTheme="majorHAnsi" w:hAnsiTheme="majorHAnsi"/>
          <w:sz w:val="22"/>
          <w:szCs w:val="22"/>
        </w:rPr>
      </w:pPr>
    </w:p>
    <w:p w14:paraId="5B815FC5" w14:textId="77777777" w:rsidR="00040C3A" w:rsidRPr="00444E4E" w:rsidRDefault="00040C3A" w:rsidP="00040C3A">
      <w:pPr>
        <w:tabs>
          <w:tab w:val="center" w:pos="5400"/>
        </w:tabs>
        <w:suppressAutoHyphens/>
        <w:jc w:val="center"/>
        <w:rPr>
          <w:rFonts w:asciiTheme="majorHAnsi" w:hAnsiTheme="majorHAnsi"/>
          <w:sz w:val="22"/>
          <w:szCs w:val="22"/>
        </w:rPr>
      </w:pPr>
    </w:p>
    <w:p w14:paraId="0D43F8BD" w14:textId="77777777" w:rsidR="00040C3A" w:rsidRPr="00444E4E" w:rsidRDefault="00040C3A" w:rsidP="00040C3A">
      <w:pPr>
        <w:tabs>
          <w:tab w:val="center" w:pos="5400"/>
        </w:tabs>
        <w:suppressAutoHyphens/>
        <w:jc w:val="center"/>
        <w:rPr>
          <w:rFonts w:asciiTheme="majorHAnsi" w:hAnsiTheme="majorHAnsi"/>
          <w:sz w:val="22"/>
          <w:szCs w:val="22"/>
        </w:rPr>
      </w:pPr>
    </w:p>
    <w:p w14:paraId="03AA1AEB" w14:textId="77777777" w:rsidR="002C1641" w:rsidRPr="00444E4E" w:rsidRDefault="002C1641" w:rsidP="00040C3A">
      <w:pPr>
        <w:tabs>
          <w:tab w:val="center" w:pos="5400"/>
        </w:tabs>
        <w:suppressAutoHyphens/>
        <w:jc w:val="center"/>
        <w:rPr>
          <w:rFonts w:asciiTheme="majorHAnsi" w:hAnsiTheme="majorHAnsi"/>
          <w:sz w:val="18"/>
          <w:szCs w:val="22"/>
        </w:rPr>
      </w:pPr>
    </w:p>
    <w:p w14:paraId="2FD75BF3" w14:textId="77777777" w:rsidR="002C1641" w:rsidRPr="00444E4E" w:rsidRDefault="002C1641" w:rsidP="00040C3A">
      <w:pPr>
        <w:tabs>
          <w:tab w:val="center" w:pos="5400"/>
        </w:tabs>
        <w:suppressAutoHyphens/>
        <w:jc w:val="center"/>
        <w:rPr>
          <w:rFonts w:asciiTheme="majorHAnsi" w:hAnsiTheme="majorHAnsi"/>
          <w:sz w:val="18"/>
          <w:szCs w:val="22"/>
        </w:rPr>
      </w:pPr>
    </w:p>
    <w:p w14:paraId="73EF440E" w14:textId="77777777" w:rsidR="002C1641" w:rsidRPr="00444E4E" w:rsidRDefault="002C1641" w:rsidP="00040C3A">
      <w:pPr>
        <w:tabs>
          <w:tab w:val="center" w:pos="5400"/>
        </w:tabs>
        <w:suppressAutoHyphens/>
        <w:jc w:val="center"/>
        <w:rPr>
          <w:rFonts w:asciiTheme="majorHAnsi" w:hAnsiTheme="majorHAnsi"/>
          <w:sz w:val="18"/>
          <w:szCs w:val="22"/>
        </w:rPr>
      </w:pPr>
    </w:p>
    <w:p w14:paraId="3D12B191" w14:textId="77777777" w:rsidR="002C1641" w:rsidRPr="00444E4E" w:rsidRDefault="002C1641" w:rsidP="00040C3A">
      <w:pPr>
        <w:tabs>
          <w:tab w:val="center" w:pos="5400"/>
        </w:tabs>
        <w:suppressAutoHyphens/>
        <w:jc w:val="center"/>
        <w:rPr>
          <w:rFonts w:asciiTheme="majorHAnsi" w:hAnsiTheme="majorHAnsi"/>
          <w:sz w:val="18"/>
          <w:szCs w:val="22"/>
        </w:rPr>
      </w:pPr>
    </w:p>
    <w:p w14:paraId="1132D17C" w14:textId="77777777" w:rsidR="002C1641" w:rsidRPr="00444E4E" w:rsidRDefault="002C1641" w:rsidP="00040C3A">
      <w:pPr>
        <w:tabs>
          <w:tab w:val="center" w:pos="5400"/>
        </w:tabs>
        <w:suppressAutoHyphens/>
        <w:jc w:val="center"/>
        <w:rPr>
          <w:rFonts w:asciiTheme="majorHAnsi" w:hAnsiTheme="majorHAnsi"/>
          <w:sz w:val="18"/>
          <w:szCs w:val="22"/>
        </w:rPr>
      </w:pPr>
    </w:p>
    <w:p w14:paraId="659B324C" w14:textId="77777777" w:rsidR="002C1641" w:rsidRPr="00444E4E" w:rsidRDefault="002C1641" w:rsidP="00040C3A">
      <w:pPr>
        <w:tabs>
          <w:tab w:val="center" w:pos="5400"/>
        </w:tabs>
        <w:suppressAutoHyphens/>
        <w:jc w:val="center"/>
        <w:rPr>
          <w:rFonts w:asciiTheme="majorHAnsi" w:hAnsiTheme="majorHAnsi"/>
          <w:sz w:val="18"/>
          <w:szCs w:val="22"/>
        </w:rPr>
      </w:pPr>
    </w:p>
    <w:p w14:paraId="0DE58CEA" w14:textId="77777777" w:rsidR="002C1641" w:rsidRPr="00444E4E" w:rsidRDefault="002C1641" w:rsidP="00040C3A">
      <w:pPr>
        <w:tabs>
          <w:tab w:val="center" w:pos="5400"/>
        </w:tabs>
        <w:suppressAutoHyphens/>
        <w:jc w:val="center"/>
        <w:rPr>
          <w:rFonts w:asciiTheme="majorHAnsi" w:hAnsiTheme="majorHAnsi"/>
          <w:sz w:val="18"/>
          <w:szCs w:val="22"/>
        </w:rPr>
      </w:pPr>
    </w:p>
    <w:p w14:paraId="3A5BB7C9" w14:textId="0F622C0D" w:rsidR="002C1641" w:rsidRPr="00444E4E" w:rsidRDefault="002C1641" w:rsidP="00040C3A">
      <w:pPr>
        <w:tabs>
          <w:tab w:val="center" w:pos="5400"/>
        </w:tabs>
        <w:suppressAutoHyphens/>
        <w:jc w:val="center"/>
        <w:rPr>
          <w:rFonts w:asciiTheme="majorHAnsi" w:hAnsiTheme="majorHAnsi"/>
          <w:sz w:val="18"/>
          <w:szCs w:val="22"/>
        </w:rPr>
      </w:pPr>
    </w:p>
    <w:p w14:paraId="6BA67E7F" w14:textId="081FBF06" w:rsidR="002C1641" w:rsidRPr="00444E4E" w:rsidRDefault="002C1641" w:rsidP="00040C3A">
      <w:pPr>
        <w:tabs>
          <w:tab w:val="center" w:pos="5400"/>
        </w:tabs>
        <w:suppressAutoHyphens/>
        <w:jc w:val="center"/>
        <w:rPr>
          <w:rFonts w:asciiTheme="majorHAnsi" w:hAnsiTheme="majorHAnsi"/>
          <w:sz w:val="18"/>
          <w:szCs w:val="22"/>
        </w:rPr>
      </w:pPr>
    </w:p>
    <w:p w14:paraId="6D4FBE3A" w14:textId="0F57DBEF" w:rsidR="002C1641" w:rsidRPr="00444E4E" w:rsidRDefault="002C1641" w:rsidP="00040C3A">
      <w:pPr>
        <w:tabs>
          <w:tab w:val="center" w:pos="5400"/>
        </w:tabs>
        <w:suppressAutoHyphens/>
        <w:jc w:val="center"/>
        <w:rPr>
          <w:rFonts w:asciiTheme="majorHAnsi" w:hAnsiTheme="majorHAnsi"/>
          <w:sz w:val="18"/>
          <w:szCs w:val="22"/>
        </w:rPr>
      </w:pPr>
    </w:p>
    <w:p w14:paraId="2741AD16" w14:textId="116296D9" w:rsidR="002C1641" w:rsidRPr="00444E4E" w:rsidRDefault="002C1641" w:rsidP="00040C3A">
      <w:pPr>
        <w:tabs>
          <w:tab w:val="center" w:pos="5400"/>
        </w:tabs>
        <w:suppressAutoHyphens/>
        <w:jc w:val="center"/>
        <w:rPr>
          <w:rFonts w:asciiTheme="majorHAnsi" w:hAnsiTheme="majorHAnsi"/>
          <w:sz w:val="18"/>
          <w:szCs w:val="22"/>
        </w:rPr>
      </w:pPr>
    </w:p>
    <w:p w14:paraId="1D99DBC4" w14:textId="0E41BC01" w:rsidR="002C1641" w:rsidRPr="00444E4E" w:rsidRDefault="00E763C6" w:rsidP="00040C3A">
      <w:pPr>
        <w:tabs>
          <w:tab w:val="center" w:pos="5400"/>
        </w:tabs>
        <w:suppressAutoHyphens/>
        <w:jc w:val="center"/>
        <w:rPr>
          <w:rFonts w:asciiTheme="majorHAnsi" w:hAnsiTheme="majorHAnsi"/>
          <w:sz w:val="18"/>
          <w:szCs w:val="22"/>
        </w:rPr>
      </w:pPr>
      <w:r w:rsidRPr="00444E4E">
        <w:rPr>
          <w:rFonts w:asciiTheme="majorHAnsi" w:hAnsiTheme="majorHAnsi"/>
          <w:noProof/>
          <w:sz w:val="22"/>
          <w:szCs w:val="22"/>
        </w:rPr>
        <mc:AlternateContent>
          <mc:Choice Requires="wps">
            <w:drawing>
              <wp:anchor distT="0" distB="0" distL="114300" distR="114300" simplePos="0" relativeHeight="251657728" behindDoc="0" locked="0" layoutInCell="1" allowOverlap="1" wp14:anchorId="7C645188" wp14:editId="7E698941">
                <wp:simplePos x="0" y="0"/>
                <wp:positionH relativeFrom="column">
                  <wp:posOffset>1235761</wp:posOffset>
                </wp:positionH>
                <wp:positionV relativeFrom="paragraph">
                  <wp:posOffset>74904</wp:posOffset>
                </wp:positionV>
                <wp:extent cx="4595495" cy="1165225"/>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4595495" cy="1165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AE4E25" w14:textId="31C38FDB" w:rsidR="000902FE" w:rsidRPr="003C32BC" w:rsidRDefault="000902FE"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w:t>
                            </w:r>
                            <w:r w:rsidR="00444E4E">
                              <w:rPr>
                                <w:rFonts w:asciiTheme="majorHAnsi" w:hAnsiTheme="majorHAnsi" w:cs="Univers"/>
                                <w:color w:val="0D0D0D" w:themeColor="text1" w:themeTint="F2"/>
                                <w:sz w:val="18"/>
                                <w:szCs w:val="20"/>
                              </w:rPr>
                              <w:t xml:space="preserve">by the Commission on </w:t>
                            </w:r>
                            <w:r w:rsidR="00387F5D">
                              <w:rPr>
                                <w:rFonts w:asciiTheme="majorHAnsi" w:hAnsiTheme="majorHAnsi" w:cs="Univers"/>
                                <w:color w:val="0D0D0D" w:themeColor="text1" w:themeTint="F2"/>
                                <w:sz w:val="18"/>
                                <w:szCs w:val="20"/>
                              </w:rPr>
                              <w:t>April 18</w:t>
                            </w:r>
                            <w:r w:rsidR="00444E4E">
                              <w:rPr>
                                <w:rFonts w:asciiTheme="majorHAnsi" w:hAnsiTheme="majorHAnsi" w:cs="Univers"/>
                                <w:color w:val="0D0D0D" w:themeColor="text1" w:themeTint="F2"/>
                                <w:sz w:val="18"/>
                                <w:szCs w:val="20"/>
                              </w:rPr>
                              <w:t>, 2019</w:t>
                            </w:r>
                            <w:r w:rsidR="00E763C6">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7.3pt;margin-top:5.9pt;width:361.85pt;height:9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" filled="f" stroked="f" strokeweight=".5pt">
                <v:textbox>
                  <w:txbxContent>
                    <w:p w14:paraId="04AE4E25" w14:textId="31C38FDB" w:rsidR="000902FE" w:rsidRPr="003C32BC" w:rsidRDefault="000902FE"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w:t>
                      </w:r>
                      <w:r w:rsidR="00444E4E">
                        <w:rPr>
                          <w:rFonts w:asciiTheme="majorHAnsi" w:hAnsiTheme="majorHAnsi" w:cs="Univers"/>
                          <w:color w:val="0D0D0D" w:themeColor="text1" w:themeTint="F2"/>
                          <w:sz w:val="18"/>
                          <w:szCs w:val="20"/>
                        </w:rPr>
                        <w:t xml:space="preserve">by the Commission on </w:t>
                      </w:r>
                      <w:r w:rsidR="00387F5D">
                        <w:rPr>
                          <w:rFonts w:asciiTheme="majorHAnsi" w:hAnsiTheme="majorHAnsi" w:cs="Univers"/>
                          <w:color w:val="0D0D0D" w:themeColor="text1" w:themeTint="F2"/>
                          <w:sz w:val="18"/>
                          <w:szCs w:val="20"/>
                        </w:rPr>
                        <w:t>April 18</w:t>
                      </w:r>
                      <w:r w:rsidR="00444E4E">
                        <w:rPr>
                          <w:rFonts w:asciiTheme="majorHAnsi" w:hAnsiTheme="majorHAnsi" w:cs="Univers"/>
                          <w:color w:val="0D0D0D" w:themeColor="text1" w:themeTint="F2"/>
                          <w:sz w:val="18"/>
                          <w:szCs w:val="20"/>
                        </w:rPr>
                        <w:t>, 2019</w:t>
                      </w:r>
                      <w:r w:rsidR="00E763C6">
                        <w:rPr>
                          <w:rFonts w:asciiTheme="majorHAnsi" w:hAnsiTheme="majorHAnsi" w:cs="Univers"/>
                          <w:color w:val="0D0D0D" w:themeColor="text1" w:themeTint="F2"/>
                          <w:sz w:val="18"/>
                          <w:szCs w:val="20"/>
                        </w:rPr>
                        <w:t>.</w:t>
                      </w:r>
                    </w:p>
                  </w:txbxContent>
                </v:textbox>
              </v:shape>
            </w:pict>
          </mc:Fallback>
        </mc:AlternateContent>
      </w:r>
    </w:p>
    <w:p w14:paraId="3290BF94" w14:textId="3CDE5172" w:rsidR="002C1641" w:rsidRPr="00444E4E" w:rsidRDefault="002C1641" w:rsidP="00040C3A">
      <w:pPr>
        <w:tabs>
          <w:tab w:val="center" w:pos="5400"/>
        </w:tabs>
        <w:suppressAutoHyphens/>
        <w:jc w:val="center"/>
        <w:rPr>
          <w:rFonts w:asciiTheme="majorHAnsi" w:hAnsiTheme="majorHAnsi"/>
          <w:sz w:val="18"/>
          <w:szCs w:val="22"/>
        </w:rPr>
      </w:pPr>
    </w:p>
    <w:p w14:paraId="76124E47" w14:textId="77777777" w:rsidR="002C1641" w:rsidRPr="00444E4E" w:rsidRDefault="002C1641" w:rsidP="00040C3A">
      <w:pPr>
        <w:tabs>
          <w:tab w:val="center" w:pos="5400"/>
        </w:tabs>
        <w:suppressAutoHyphens/>
        <w:jc w:val="center"/>
        <w:rPr>
          <w:rFonts w:asciiTheme="majorHAnsi" w:hAnsiTheme="majorHAnsi"/>
          <w:sz w:val="18"/>
          <w:szCs w:val="22"/>
        </w:rPr>
      </w:pPr>
    </w:p>
    <w:p w14:paraId="3751FEDE" w14:textId="77777777" w:rsidR="002C1641" w:rsidRPr="00444E4E" w:rsidRDefault="002C1641" w:rsidP="00040C3A">
      <w:pPr>
        <w:tabs>
          <w:tab w:val="center" w:pos="5400"/>
        </w:tabs>
        <w:suppressAutoHyphens/>
        <w:jc w:val="center"/>
        <w:rPr>
          <w:rFonts w:asciiTheme="majorHAnsi" w:hAnsiTheme="majorHAnsi"/>
          <w:sz w:val="18"/>
          <w:szCs w:val="22"/>
        </w:rPr>
      </w:pPr>
    </w:p>
    <w:p w14:paraId="5FAB54E7" w14:textId="77777777" w:rsidR="002C1641" w:rsidRPr="00444E4E" w:rsidRDefault="002C1641" w:rsidP="00040C3A">
      <w:pPr>
        <w:tabs>
          <w:tab w:val="center" w:pos="5400"/>
        </w:tabs>
        <w:suppressAutoHyphens/>
        <w:jc w:val="center"/>
        <w:rPr>
          <w:rFonts w:asciiTheme="majorHAnsi" w:hAnsiTheme="majorHAnsi"/>
          <w:sz w:val="18"/>
          <w:szCs w:val="22"/>
        </w:rPr>
      </w:pPr>
    </w:p>
    <w:p w14:paraId="4AE4FBFB" w14:textId="77777777" w:rsidR="002C1641" w:rsidRPr="00444E4E" w:rsidRDefault="002C1641" w:rsidP="00040C3A">
      <w:pPr>
        <w:tabs>
          <w:tab w:val="center" w:pos="5400"/>
        </w:tabs>
        <w:suppressAutoHyphens/>
        <w:jc w:val="center"/>
        <w:rPr>
          <w:rFonts w:asciiTheme="majorHAnsi" w:hAnsiTheme="majorHAnsi"/>
          <w:sz w:val="18"/>
          <w:szCs w:val="22"/>
        </w:rPr>
      </w:pPr>
    </w:p>
    <w:p w14:paraId="4DA3B2C3" w14:textId="6BC1A269" w:rsidR="002C1641" w:rsidRPr="00444E4E" w:rsidRDefault="002C1641" w:rsidP="00040C3A">
      <w:pPr>
        <w:tabs>
          <w:tab w:val="center" w:pos="5400"/>
        </w:tabs>
        <w:suppressAutoHyphens/>
        <w:jc w:val="center"/>
        <w:rPr>
          <w:rFonts w:asciiTheme="majorHAnsi" w:hAnsiTheme="majorHAnsi"/>
          <w:sz w:val="18"/>
          <w:szCs w:val="22"/>
        </w:rPr>
      </w:pPr>
    </w:p>
    <w:p w14:paraId="1C0DAFDE" w14:textId="22DAD847" w:rsidR="002C1641" w:rsidRPr="00444E4E" w:rsidRDefault="002C1641" w:rsidP="00040C3A">
      <w:pPr>
        <w:tabs>
          <w:tab w:val="center" w:pos="5400"/>
        </w:tabs>
        <w:suppressAutoHyphens/>
        <w:jc w:val="center"/>
        <w:rPr>
          <w:rFonts w:asciiTheme="majorHAnsi" w:hAnsiTheme="majorHAnsi"/>
          <w:sz w:val="18"/>
          <w:szCs w:val="22"/>
        </w:rPr>
      </w:pPr>
    </w:p>
    <w:p w14:paraId="5420A6FF" w14:textId="10BE1397" w:rsidR="002C1641" w:rsidRPr="00444E4E" w:rsidRDefault="002C1641" w:rsidP="00040C3A">
      <w:pPr>
        <w:tabs>
          <w:tab w:val="center" w:pos="5400"/>
        </w:tabs>
        <w:suppressAutoHyphens/>
        <w:jc w:val="center"/>
        <w:rPr>
          <w:rFonts w:asciiTheme="majorHAnsi" w:hAnsiTheme="majorHAnsi"/>
          <w:sz w:val="18"/>
          <w:szCs w:val="22"/>
        </w:rPr>
      </w:pPr>
    </w:p>
    <w:p w14:paraId="03B36C31" w14:textId="6702351C" w:rsidR="003C32BC" w:rsidRPr="00444E4E" w:rsidRDefault="00E763C6" w:rsidP="003C32BC">
      <w:pPr>
        <w:tabs>
          <w:tab w:val="center" w:pos="5400"/>
        </w:tabs>
        <w:suppressAutoHyphens/>
        <w:jc w:val="center"/>
        <w:rPr>
          <w:rFonts w:asciiTheme="majorHAnsi" w:hAnsiTheme="majorHAnsi"/>
          <w:sz w:val="18"/>
          <w:szCs w:val="22"/>
        </w:rPr>
      </w:pPr>
      <w:r w:rsidRPr="00444E4E">
        <w:rPr>
          <w:rFonts w:asciiTheme="majorHAnsi" w:hAnsiTheme="majorHAnsi"/>
          <w:noProof/>
          <w:sz w:val="18"/>
          <w:szCs w:val="22"/>
        </w:rPr>
        <mc:AlternateContent>
          <mc:Choice Requires="wps">
            <w:drawing>
              <wp:anchor distT="0" distB="0" distL="114300" distR="114300" simplePos="0" relativeHeight="251660800" behindDoc="0" locked="0" layoutInCell="1" allowOverlap="1" wp14:anchorId="10BA30C6" wp14:editId="0E0AEC9D">
                <wp:simplePos x="0" y="0"/>
                <wp:positionH relativeFrom="column">
                  <wp:posOffset>1209675</wp:posOffset>
                </wp:positionH>
                <wp:positionV relativeFrom="paragraph">
                  <wp:posOffset>129032</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0318C32F" w:rsidR="000902FE" w:rsidRPr="003C32BC" w:rsidRDefault="000902FE"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87F5D">
                              <w:rPr>
                                <w:rFonts w:asciiTheme="majorHAnsi" w:hAnsiTheme="majorHAnsi"/>
                                <w:color w:val="595959" w:themeColor="text1" w:themeTint="A6"/>
                                <w:sz w:val="18"/>
                              </w:rPr>
                              <w:t>38</w:t>
                            </w:r>
                            <w:r w:rsidR="00444E4E" w:rsidRPr="00387F5D">
                              <w:rPr>
                                <w:rFonts w:asciiTheme="majorHAnsi" w:hAnsiTheme="majorHAnsi"/>
                                <w:color w:val="595959" w:themeColor="text1" w:themeTint="A6"/>
                                <w:sz w:val="18"/>
                              </w:rPr>
                              <w:t>/19</w:t>
                            </w:r>
                            <w:r w:rsidRPr="00387F5D">
                              <w:rPr>
                                <w:rFonts w:asciiTheme="majorHAnsi" w:hAnsiTheme="majorHAnsi"/>
                                <w:color w:val="595959" w:themeColor="text1" w:themeTint="A6"/>
                                <w:sz w:val="18"/>
                              </w:rPr>
                              <w:t xml:space="preserve">, Petition 384-07. </w:t>
                            </w:r>
                            <w:r w:rsidRPr="00EC0B24">
                              <w:rPr>
                                <w:rFonts w:asciiTheme="majorHAnsi" w:hAnsiTheme="majorHAnsi"/>
                                <w:color w:val="595959" w:themeColor="text1" w:themeTint="A6"/>
                                <w:sz w:val="18"/>
                                <w:lang w:val="pt-BR"/>
                              </w:rPr>
                              <w:t xml:space="preserve">Inadmissibility. Antonio Reinaldo Peixoto Pereira. </w:t>
                            </w:r>
                            <w:r>
                              <w:rPr>
                                <w:rFonts w:asciiTheme="majorHAnsi" w:hAnsiTheme="majorHAnsi"/>
                                <w:color w:val="595959" w:themeColor="text1" w:themeTint="A6"/>
                                <w:sz w:val="18"/>
                              </w:rPr>
                              <w:t xml:space="preserve">Brazil. </w:t>
                            </w:r>
                            <w:r w:rsidR="00387F5D">
                              <w:rPr>
                                <w:rFonts w:asciiTheme="majorHAnsi" w:hAnsiTheme="majorHAnsi"/>
                                <w:color w:val="595959" w:themeColor="text1" w:themeTint="A6"/>
                                <w:sz w:val="18"/>
                              </w:rPr>
                              <w:t>April 18, 2019</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10.15pt;width:379.85pt;height: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" filled="f" stroked="f" strokeweight=".5pt">
                <v:textbox>
                  <w:txbxContent>
                    <w:p w14:paraId="0126B579" w14:textId="0318C32F" w:rsidR="000902FE" w:rsidRPr="003C32BC" w:rsidRDefault="000902FE"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87F5D">
                        <w:rPr>
                          <w:rFonts w:asciiTheme="majorHAnsi" w:hAnsiTheme="majorHAnsi"/>
                          <w:color w:val="595959" w:themeColor="text1" w:themeTint="A6"/>
                          <w:sz w:val="18"/>
                        </w:rPr>
                        <w:t>38</w:t>
                      </w:r>
                      <w:r w:rsidR="00444E4E" w:rsidRPr="00387F5D">
                        <w:rPr>
                          <w:rFonts w:asciiTheme="majorHAnsi" w:hAnsiTheme="majorHAnsi"/>
                          <w:color w:val="595959" w:themeColor="text1" w:themeTint="A6"/>
                          <w:sz w:val="18"/>
                        </w:rPr>
                        <w:t>/19</w:t>
                      </w:r>
                      <w:r w:rsidRPr="00387F5D">
                        <w:rPr>
                          <w:rFonts w:asciiTheme="majorHAnsi" w:hAnsiTheme="majorHAnsi"/>
                          <w:color w:val="595959" w:themeColor="text1" w:themeTint="A6"/>
                          <w:sz w:val="18"/>
                        </w:rPr>
                        <w:t xml:space="preserve">, Petition 384-07. </w:t>
                      </w:r>
                      <w:r w:rsidRPr="00EC0B24">
                        <w:rPr>
                          <w:rFonts w:asciiTheme="majorHAnsi" w:hAnsiTheme="majorHAnsi"/>
                          <w:color w:val="595959" w:themeColor="text1" w:themeTint="A6"/>
                          <w:sz w:val="18"/>
                          <w:lang w:val="pt-BR"/>
                        </w:rPr>
                        <w:t xml:space="preserve">Inadmissibility. Antonio Reinaldo Peixoto Pereira. </w:t>
                      </w:r>
                      <w:r>
                        <w:rPr>
                          <w:rFonts w:asciiTheme="majorHAnsi" w:hAnsiTheme="majorHAnsi"/>
                          <w:color w:val="595959" w:themeColor="text1" w:themeTint="A6"/>
                          <w:sz w:val="18"/>
                        </w:rPr>
                        <w:t xml:space="preserve">Brazil. </w:t>
                      </w:r>
                      <w:r w:rsidR="00387F5D">
                        <w:rPr>
                          <w:rFonts w:asciiTheme="majorHAnsi" w:hAnsiTheme="majorHAnsi"/>
                          <w:color w:val="595959" w:themeColor="text1" w:themeTint="A6"/>
                          <w:sz w:val="18"/>
                        </w:rPr>
                        <w:t>April 18, 2019</w:t>
                      </w:r>
                      <w:r w:rsidRPr="007607C4">
                        <w:rPr>
                          <w:rFonts w:asciiTheme="majorHAnsi" w:hAnsiTheme="majorHAnsi"/>
                          <w:color w:val="595959" w:themeColor="text1" w:themeTint="A6"/>
                          <w:sz w:val="18"/>
                        </w:rPr>
                        <w:t>.</w:t>
                      </w:r>
                    </w:p>
                  </w:txbxContent>
                </v:textbox>
              </v:shape>
            </w:pict>
          </mc:Fallback>
        </mc:AlternateContent>
      </w:r>
    </w:p>
    <w:p w14:paraId="154A4854" w14:textId="77777777" w:rsidR="003C32BC" w:rsidRPr="00444E4E" w:rsidRDefault="006311DA" w:rsidP="003C32BC">
      <w:pPr>
        <w:tabs>
          <w:tab w:val="center" w:pos="5400"/>
        </w:tabs>
        <w:suppressAutoHyphens/>
        <w:jc w:val="center"/>
        <w:rPr>
          <w:rFonts w:asciiTheme="majorHAnsi" w:hAnsiTheme="majorHAnsi"/>
          <w:sz w:val="18"/>
          <w:szCs w:val="22"/>
        </w:rPr>
      </w:pPr>
      <w:r w:rsidRPr="00444E4E">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4831F2D0" w:rsidR="000902FE" w:rsidRPr="004B7EB6" w:rsidRDefault="000902FE"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E763C6">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4831F2D0" w:rsidR="000902FE" w:rsidRPr="004B7EB6" w:rsidRDefault="000902FE"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E763C6">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444E4E">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0902FE" w:rsidRDefault="000902FE">
                            <w:r>
                              <w:rPr>
                                <w:noProof/>
                              </w:rPr>
                              <w:drawing>
                                <wp:inline distT="0" distB="0" distL="0" distR="0" wp14:anchorId="3069B94C" wp14:editId="62F65FB7">
                                  <wp:extent cx="1123950" cy="378416"/>
                                  <wp:effectExtent l="0" t="0" r="0" b="3175"/>
                                  <wp:docPr id="17" name="Picture 17"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0902FE" w:rsidRDefault="000902FE">
                      <w:r>
                        <w:rPr>
                          <w:noProof/>
                        </w:rPr>
                        <w:drawing>
                          <wp:inline distT="0" distB="0" distL="0" distR="0" wp14:anchorId="3069B94C" wp14:editId="62F65FB7">
                            <wp:extent cx="1123950" cy="378416"/>
                            <wp:effectExtent l="0" t="0" r="0" b="3175"/>
                            <wp:docPr id="17" name="Picture 17"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444E4E" w:rsidRDefault="007607C4" w:rsidP="003C32BC">
      <w:pPr>
        <w:tabs>
          <w:tab w:val="center" w:pos="5400"/>
        </w:tabs>
        <w:suppressAutoHyphens/>
        <w:jc w:val="center"/>
        <w:rPr>
          <w:rFonts w:asciiTheme="majorHAnsi" w:hAnsiTheme="majorHAnsi"/>
          <w:sz w:val="18"/>
          <w:szCs w:val="22"/>
        </w:rPr>
        <w:sectPr w:rsidR="007607C4" w:rsidRPr="00444E4E"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44E4E" w:rsidRDefault="00F621C3" w:rsidP="00F621C3">
      <w:pPr>
        <w:spacing w:after="240"/>
        <w:ind w:firstLine="720"/>
        <w:jc w:val="both"/>
        <w:rPr>
          <w:rFonts w:asciiTheme="majorHAnsi" w:hAnsiTheme="majorHAnsi"/>
          <w:b/>
          <w:bCs/>
          <w:sz w:val="20"/>
          <w:szCs w:val="20"/>
        </w:rPr>
      </w:pPr>
      <w:r w:rsidRPr="00444E4E">
        <w:rPr>
          <w:rFonts w:asciiTheme="majorHAnsi" w:hAnsiTheme="majorHAnsi"/>
          <w:b/>
          <w:bCs/>
          <w:sz w:val="20"/>
          <w:szCs w:val="20"/>
        </w:rPr>
        <w:lastRenderedPageBreak/>
        <w:t>I.</w:t>
      </w:r>
      <w:r w:rsidRPr="00444E4E">
        <w:rPr>
          <w:rFonts w:asciiTheme="majorHAnsi" w:hAnsiTheme="majorHAnsi"/>
          <w:b/>
          <w:bCs/>
          <w:sz w:val="20"/>
          <w:szCs w:val="20"/>
        </w:rPr>
        <w:tab/>
      </w:r>
      <w:r w:rsidR="00592718" w:rsidRPr="00444E4E">
        <w:rPr>
          <w:rFonts w:asciiTheme="majorHAnsi" w:hAnsiTheme="majorHAnsi"/>
          <w:b/>
          <w:bCs/>
          <w:sz w:val="20"/>
          <w:szCs w:val="20"/>
        </w:rPr>
        <w:t>INFORMATION ABOUT THE PETITION</w:t>
      </w:r>
      <w:r w:rsidRPr="00444E4E">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444E4E"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444E4E" w:rsidRDefault="003771A3" w:rsidP="009355E5">
            <w:pPr>
              <w:jc w:val="center"/>
              <w:rPr>
                <w:rFonts w:ascii="Cambria" w:hAnsi="Cambria"/>
                <w:b/>
                <w:bCs/>
                <w:color w:val="FFFFFF" w:themeColor="background1"/>
                <w:sz w:val="20"/>
                <w:szCs w:val="20"/>
              </w:rPr>
            </w:pPr>
            <w:r w:rsidRPr="00444E4E">
              <w:rPr>
                <w:rFonts w:ascii="Cambria" w:hAnsi="Cambria"/>
                <w:b/>
                <w:bCs/>
                <w:color w:val="FFFFFF" w:themeColor="background1"/>
                <w:sz w:val="20"/>
                <w:szCs w:val="20"/>
              </w:rPr>
              <w:t>Petitioner</w:t>
            </w:r>
            <w:r w:rsidR="00F621C3" w:rsidRPr="00444E4E">
              <w:rPr>
                <w:rFonts w:ascii="Cambria" w:hAnsi="Cambria"/>
                <w:b/>
                <w:bCs/>
                <w:color w:val="FFFFFF" w:themeColor="background1"/>
                <w:sz w:val="20"/>
                <w:szCs w:val="20"/>
              </w:rPr>
              <w:t>:</w:t>
            </w:r>
          </w:p>
        </w:tc>
        <w:tc>
          <w:tcPr>
            <w:tcW w:w="5670" w:type="dxa"/>
            <w:vAlign w:val="center"/>
          </w:tcPr>
          <w:p w14:paraId="0674C7B8" w14:textId="2B527BC4" w:rsidR="00F621C3" w:rsidRPr="00444E4E" w:rsidRDefault="00AF02C7" w:rsidP="009355E5">
            <w:pPr>
              <w:jc w:val="both"/>
              <w:rPr>
                <w:rFonts w:ascii="Cambria" w:hAnsi="Cambria"/>
                <w:bCs/>
                <w:sz w:val="20"/>
                <w:szCs w:val="20"/>
              </w:rPr>
            </w:pPr>
            <w:r w:rsidRPr="00444E4E">
              <w:rPr>
                <w:rFonts w:asciiTheme="majorHAnsi" w:hAnsiTheme="majorHAnsi"/>
                <w:bCs/>
                <w:sz w:val="20"/>
                <w:szCs w:val="20"/>
              </w:rPr>
              <w:t>Antonio Reinaldo Peixoto Pereira</w:t>
            </w:r>
          </w:p>
        </w:tc>
      </w:tr>
      <w:tr w:rsidR="00F621C3" w:rsidRPr="00444E4E"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444E4E" w:rsidRDefault="00E74DDC" w:rsidP="009355E5">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444E4E">
                  <w:rPr>
                    <w:rFonts w:ascii="Cambria" w:hAnsi="Cambria"/>
                    <w:b/>
                    <w:bCs/>
                    <w:color w:val="FFFFFF" w:themeColor="background1"/>
                    <w:sz w:val="20"/>
                    <w:szCs w:val="20"/>
                  </w:rPr>
                  <w:t>Alleged victim</w:t>
                </w:r>
              </w:sdtContent>
            </w:sdt>
            <w:r w:rsidR="00F621C3" w:rsidRPr="00444E4E">
              <w:rPr>
                <w:rFonts w:ascii="Cambria" w:hAnsi="Cambria"/>
                <w:b/>
                <w:bCs/>
                <w:color w:val="FFFFFF" w:themeColor="background1"/>
                <w:sz w:val="20"/>
                <w:szCs w:val="20"/>
              </w:rPr>
              <w:t>:</w:t>
            </w:r>
          </w:p>
        </w:tc>
        <w:tc>
          <w:tcPr>
            <w:tcW w:w="5670" w:type="dxa"/>
            <w:vAlign w:val="center"/>
          </w:tcPr>
          <w:p w14:paraId="60895337" w14:textId="1662C979" w:rsidR="00F621C3" w:rsidRPr="00444E4E" w:rsidRDefault="00AF02C7" w:rsidP="009355E5">
            <w:pPr>
              <w:jc w:val="both"/>
              <w:rPr>
                <w:rFonts w:ascii="Cambria" w:hAnsi="Cambria"/>
                <w:bCs/>
                <w:sz w:val="20"/>
                <w:szCs w:val="20"/>
              </w:rPr>
            </w:pPr>
            <w:r w:rsidRPr="00444E4E">
              <w:rPr>
                <w:rFonts w:asciiTheme="majorHAnsi" w:hAnsiTheme="majorHAnsi"/>
                <w:bCs/>
                <w:sz w:val="20"/>
                <w:szCs w:val="20"/>
              </w:rPr>
              <w:t>Antonio Reinaldo Peixoto Pereira</w:t>
            </w:r>
          </w:p>
        </w:tc>
      </w:tr>
      <w:tr w:rsidR="00F621C3" w:rsidRPr="00444E4E"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444E4E" w:rsidRDefault="005816E5" w:rsidP="005816E5">
            <w:pPr>
              <w:jc w:val="center"/>
              <w:rPr>
                <w:rFonts w:ascii="Cambria" w:hAnsi="Cambria"/>
                <w:b/>
                <w:bCs/>
                <w:color w:val="FFFFFF" w:themeColor="background1"/>
                <w:sz w:val="20"/>
                <w:szCs w:val="20"/>
              </w:rPr>
            </w:pPr>
            <w:r w:rsidRPr="00444E4E">
              <w:rPr>
                <w:rFonts w:ascii="Cambria" w:hAnsi="Cambria"/>
                <w:b/>
                <w:bCs/>
                <w:color w:val="FFFFFF" w:themeColor="background1"/>
                <w:sz w:val="20"/>
                <w:szCs w:val="20"/>
              </w:rPr>
              <w:t xml:space="preserve">Respondent </w:t>
            </w:r>
            <w:r w:rsidR="00F621C3" w:rsidRPr="00444E4E">
              <w:rPr>
                <w:rFonts w:ascii="Cambria" w:hAnsi="Cambria"/>
                <w:b/>
                <w:bCs/>
                <w:color w:val="FFFFFF" w:themeColor="background1"/>
                <w:sz w:val="20"/>
                <w:szCs w:val="20"/>
              </w:rPr>
              <w:t>State:</w:t>
            </w:r>
          </w:p>
        </w:tc>
        <w:tc>
          <w:tcPr>
            <w:tcW w:w="5670" w:type="dxa"/>
            <w:vAlign w:val="center"/>
          </w:tcPr>
          <w:p w14:paraId="3539D391" w14:textId="07C6939E" w:rsidR="00F621C3" w:rsidRPr="00444E4E" w:rsidRDefault="00AF02C7" w:rsidP="009355E5">
            <w:pPr>
              <w:jc w:val="both"/>
              <w:rPr>
                <w:rFonts w:ascii="Cambria" w:hAnsi="Cambria"/>
                <w:bCs/>
                <w:sz w:val="20"/>
                <w:szCs w:val="20"/>
              </w:rPr>
            </w:pPr>
            <w:r w:rsidRPr="00444E4E">
              <w:rPr>
                <w:rFonts w:asciiTheme="majorHAnsi" w:hAnsiTheme="majorHAnsi"/>
                <w:bCs/>
                <w:sz w:val="20"/>
                <w:szCs w:val="20"/>
              </w:rPr>
              <w:t>Brazil</w:t>
            </w:r>
            <w:r w:rsidRPr="00444E4E">
              <w:rPr>
                <w:rStyle w:val="FootnoteReference"/>
                <w:rFonts w:asciiTheme="majorHAnsi" w:hAnsiTheme="majorHAnsi"/>
                <w:sz w:val="20"/>
                <w:szCs w:val="20"/>
              </w:rPr>
              <w:footnoteReference w:id="2"/>
            </w:r>
          </w:p>
        </w:tc>
      </w:tr>
      <w:tr w:rsidR="00E47F3D" w:rsidRPr="00444E4E"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444E4E" w:rsidRDefault="00E47F3D" w:rsidP="00E7588C">
            <w:pPr>
              <w:jc w:val="center"/>
              <w:rPr>
                <w:rFonts w:ascii="Cambria" w:hAnsi="Cambria"/>
                <w:b/>
                <w:bCs/>
                <w:color w:val="FFFFFF" w:themeColor="background1"/>
                <w:sz w:val="20"/>
                <w:szCs w:val="20"/>
              </w:rPr>
            </w:pPr>
            <w:r w:rsidRPr="00444E4E">
              <w:rPr>
                <w:rFonts w:ascii="Cambria" w:hAnsi="Cambria"/>
                <w:b/>
                <w:bCs/>
                <w:color w:val="FFFFFF" w:themeColor="background1"/>
                <w:sz w:val="20"/>
                <w:szCs w:val="20"/>
              </w:rPr>
              <w:t xml:space="preserve">Rights </w:t>
            </w:r>
            <w:r w:rsidR="00E7588C" w:rsidRPr="00444E4E">
              <w:rPr>
                <w:rFonts w:ascii="Cambria" w:hAnsi="Cambria"/>
                <w:b/>
                <w:bCs/>
                <w:color w:val="FFFFFF" w:themeColor="background1"/>
                <w:sz w:val="20"/>
                <w:szCs w:val="20"/>
              </w:rPr>
              <w:t>invoked:</w:t>
            </w:r>
          </w:p>
        </w:tc>
        <w:tc>
          <w:tcPr>
            <w:tcW w:w="5670" w:type="dxa"/>
            <w:vAlign w:val="center"/>
          </w:tcPr>
          <w:p w14:paraId="51EEF9D2" w14:textId="0A99D94A" w:rsidR="00E47F3D" w:rsidRPr="00444E4E" w:rsidRDefault="00AF02C7" w:rsidP="009355E5">
            <w:pPr>
              <w:jc w:val="both"/>
              <w:rPr>
                <w:rFonts w:ascii="Cambria" w:hAnsi="Cambria"/>
                <w:bCs/>
                <w:sz w:val="20"/>
                <w:szCs w:val="20"/>
              </w:rPr>
            </w:pPr>
            <w:r w:rsidRPr="00444E4E">
              <w:rPr>
                <w:rFonts w:ascii="Cambria" w:hAnsi="Cambria"/>
                <w:bCs/>
                <w:sz w:val="20"/>
                <w:szCs w:val="20"/>
              </w:rPr>
              <w:t>Articles 1 (obligation to respect rights), 2 (domestic legal effects), 8 (right to a fair trial), 9 (freedom from Ex Post Facto laws), 21 (right to property), 24 (right to equal protection), 25 (right to judicial protection) and 26 (progressive development) of the American Convention on Human Rights</w:t>
            </w:r>
            <w:r w:rsidRPr="00444E4E">
              <w:rPr>
                <w:rStyle w:val="FootnoteReference"/>
                <w:rFonts w:asciiTheme="majorHAnsi" w:hAnsiTheme="majorHAnsi"/>
                <w:bCs/>
                <w:color w:val="000000" w:themeColor="text1"/>
                <w:sz w:val="20"/>
                <w:szCs w:val="20"/>
              </w:rPr>
              <w:footnoteReference w:id="3"/>
            </w:r>
            <w:r w:rsidRPr="00444E4E">
              <w:rPr>
                <w:rFonts w:ascii="Cambria" w:hAnsi="Cambria"/>
                <w:bCs/>
                <w:sz w:val="20"/>
                <w:szCs w:val="20"/>
              </w:rPr>
              <w:t>; and Articles 3 (obligation of nondiscrimination), 6 (right to work) and 9 (right to social security) of the Additional Protocol to the American Convention on Human Rights in the Area of Economic, Social and Cultural Rights</w:t>
            </w:r>
            <w:r w:rsidRPr="00444E4E">
              <w:rPr>
                <w:rStyle w:val="FootnoteReference"/>
                <w:rFonts w:asciiTheme="majorHAnsi" w:hAnsiTheme="majorHAnsi"/>
                <w:bCs/>
                <w:color w:val="000000" w:themeColor="text1"/>
                <w:sz w:val="20"/>
                <w:szCs w:val="20"/>
              </w:rPr>
              <w:footnoteReference w:id="4"/>
            </w:r>
          </w:p>
        </w:tc>
      </w:tr>
    </w:tbl>
    <w:p w14:paraId="006E8D49" w14:textId="1C646C41" w:rsidR="00F621C3" w:rsidRPr="00444E4E" w:rsidRDefault="00F621C3" w:rsidP="00F621C3">
      <w:pPr>
        <w:spacing w:before="240" w:after="240"/>
        <w:ind w:firstLine="720"/>
        <w:jc w:val="both"/>
        <w:rPr>
          <w:rFonts w:asciiTheme="majorHAnsi" w:hAnsiTheme="majorHAnsi"/>
          <w:b/>
          <w:bCs/>
          <w:sz w:val="20"/>
          <w:szCs w:val="20"/>
        </w:rPr>
      </w:pPr>
      <w:r w:rsidRPr="00444E4E">
        <w:rPr>
          <w:rFonts w:asciiTheme="majorHAnsi" w:hAnsiTheme="majorHAnsi"/>
          <w:b/>
          <w:bCs/>
          <w:sz w:val="20"/>
          <w:szCs w:val="20"/>
        </w:rPr>
        <w:t>II.</w:t>
      </w:r>
      <w:r w:rsidRPr="00444E4E">
        <w:rPr>
          <w:rFonts w:asciiTheme="majorHAnsi" w:hAnsiTheme="majorHAnsi"/>
          <w:b/>
          <w:bCs/>
          <w:sz w:val="20"/>
          <w:szCs w:val="20"/>
        </w:rPr>
        <w:tab/>
        <w:t>PROCE</w:t>
      </w:r>
      <w:r w:rsidR="00321AFD" w:rsidRPr="00444E4E">
        <w:rPr>
          <w:rFonts w:asciiTheme="majorHAnsi" w:hAnsiTheme="majorHAnsi"/>
          <w:b/>
          <w:bCs/>
          <w:sz w:val="20"/>
          <w:szCs w:val="20"/>
        </w:rPr>
        <w:t>EDINGS</w:t>
      </w:r>
      <w:r w:rsidRPr="00444E4E">
        <w:rPr>
          <w:rFonts w:asciiTheme="majorHAnsi" w:hAnsiTheme="majorHAnsi"/>
          <w:b/>
          <w:bCs/>
          <w:sz w:val="20"/>
          <w:szCs w:val="20"/>
        </w:rPr>
        <w:t xml:space="preserve"> BEFORE THE IACHR</w:t>
      </w:r>
      <w:r w:rsidR="00653EA6" w:rsidRPr="00444E4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444E4E"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444E4E" w:rsidRDefault="00B06BB7" w:rsidP="00B06BB7">
            <w:pPr>
              <w:jc w:val="center"/>
              <w:rPr>
                <w:rFonts w:ascii="Cambria" w:hAnsi="Cambria"/>
                <w:b/>
                <w:bCs/>
                <w:color w:val="FFFFFF" w:themeColor="background1"/>
                <w:sz w:val="20"/>
                <w:szCs w:val="20"/>
              </w:rPr>
            </w:pPr>
            <w:r w:rsidRPr="00444E4E">
              <w:rPr>
                <w:rFonts w:ascii="Cambria" w:hAnsi="Cambria"/>
                <w:b/>
                <w:bCs/>
                <w:color w:val="FFFFFF" w:themeColor="background1"/>
                <w:sz w:val="20"/>
                <w:szCs w:val="20"/>
              </w:rPr>
              <w:t>Filing of the petition</w:t>
            </w:r>
            <w:r w:rsidR="00F621C3" w:rsidRPr="00444E4E">
              <w:rPr>
                <w:rFonts w:ascii="Cambria" w:hAnsi="Cambria"/>
                <w:b/>
                <w:bCs/>
                <w:color w:val="FFFFFF" w:themeColor="background1"/>
                <w:sz w:val="20"/>
                <w:szCs w:val="20"/>
              </w:rPr>
              <w:t>:</w:t>
            </w:r>
          </w:p>
        </w:tc>
        <w:tc>
          <w:tcPr>
            <w:tcW w:w="5670" w:type="dxa"/>
            <w:vAlign w:val="center"/>
          </w:tcPr>
          <w:p w14:paraId="1C0C3DE2" w14:textId="6AE25716" w:rsidR="00F621C3" w:rsidRPr="00444E4E" w:rsidRDefault="009355E5" w:rsidP="009355E5">
            <w:pPr>
              <w:jc w:val="both"/>
              <w:rPr>
                <w:rFonts w:ascii="Cambria" w:hAnsi="Cambria"/>
                <w:bCs/>
                <w:sz w:val="20"/>
                <w:szCs w:val="20"/>
              </w:rPr>
            </w:pPr>
            <w:r w:rsidRPr="00444E4E">
              <w:rPr>
                <w:rFonts w:ascii="Cambria" w:hAnsi="Cambria"/>
                <w:bCs/>
                <w:sz w:val="20"/>
                <w:szCs w:val="20"/>
              </w:rPr>
              <w:t>March 29, 2007</w:t>
            </w:r>
          </w:p>
        </w:tc>
      </w:tr>
      <w:tr w:rsidR="00F621C3" w:rsidRPr="00444E4E"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444E4E" w:rsidRDefault="00F621C3" w:rsidP="003771A3">
            <w:pPr>
              <w:jc w:val="center"/>
              <w:rPr>
                <w:rFonts w:ascii="Cambria" w:hAnsi="Cambria"/>
                <w:b/>
                <w:color w:val="FFFFFF" w:themeColor="background1"/>
                <w:sz w:val="20"/>
                <w:szCs w:val="20"/>
              </w:rPr>
            </w:pPr>
            <w:r w:rsidRPr="00444E4E">
              <w:rPr>
                <w:rFonts w:ascii="Cambria" w:hAnsi="Cambria"/>
                <w:b/>
                <w:color w:val="FFFFFF" w:themeColor="background1"/>
                <w:sz w:val="20"/>
                <w:szCs w:val="20"/>
              </w:rPr>
              <w:t xml:space="preserve">Additional information received at the </w:t>
            </w:r>
            <w:r w:rsidR="003771A3" w:rsidRPr="00444E4E">
              <w:rPr>
                <w:rFonts w:ascii="Cambria" w:hAnsi="Cambria"/>
                <w:b/>
                <w:color w:val="FFFFFF" w:themeColor="background1"/>
                <w:sz w:val="20"/>
                <w:szCs w:val="20"/>
              </w:rPr>
              <w:t>s</w:t>
            </w:r>
            <w:r w:rsidRPr="00444E4E">
              <w:rPr>
                <w:rFonts w:ascii="Cambria" w:hAnsi="Cambria"/>
                <w:b/>
                <w:color w:val="FFFFFF" w:themeColor="background1"/>
                <w:sz w:val="20"/>
                <w:szCs w:val="20"/>
              </w:rPr>
              <w:t>tage</w:t>
            </w:r>
            <w:r w:rsidR="003771A3" w:rsidRPr="00444E4E">
              <w:rPr>
                <w:rFonts w:ascii="Cambria" w:hAnsi="Cambria"/>
                <w:b/>
                <w:color w:val="FFFFFF" w:themeColor="background1"/>
                <w:sz w:val="20"/>
                <w:szCs w:val="20"/>
              </w:rPr>
              <w:t xml:space="preserve"> of initial review</w:t>
            </w:r>
            <w:r w:rsidRPr="00444E4E">
              <w:rPr>
                <w:rFonts w:ascii="Cambria" w:hAnsi="Cambria"/>
                <w:b/>
                <w:color w:val="FFFFFF" w:themeColor="background1"/>
                <w:sz w:val="20"/>
                <w:szCs w:val="20"/>
              </w:rPr>
              <w:t>:</w:t>
            </w:r>
          </w:p>
        </w:tc>
        <w:tc>
          <w:tcPr>
            <w:tcW w:w="5670" w:type="dxa"/>
            <w:vAlign w:val="center"/>
          </w:tcPr>
          <w:p w14:paraId="499B90CB" w14:textId="0833CC60" w:rsidR="00F621C3" w:rsidRPr="00444E4E" w:rsidRDefault="009355E5" w:rsidP="009355E5">
            <w:pPr>
              <w:jc w:val="both"/>
              <w:rPr>
                <w:rFonts w:ascii="Cambria" w:hAnsi="Cambria"/>
                <w:bCs/>
                <w:sz w:val="20"/>
                <w:szCs w:val="20"/>
              </w:rPr>
            </w:pPr>
            <w:r w:rsidRPr="00444E4E">
              <w:rPr>
                <w:rFonts w:ascii="Cambria" w:hAnsi="Cambria"/>
                <w:bCs/>
                <w:sz w:val="20"/>
                <w:szCs w:val="20"/>
              </w:rPr>
              <w:t>May 17, 2007</w:t>
            </w:r>
          </w:p>
        </w:tc>
      </w:tr>
      <w:tr w:rsidR="00F621C3" w:rsidRPr="00444E4E"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444E4E" w:rsidRDefault="00B06BB7" w:rsidP="00B06BB7">
            <w:pPr>
              <w:jc w:val="center"/>
              <w:rPr>
                <w:rFonts w:ascii="Cambria" w:hAnsi="Cambria"/>
                <w:b/>
                <w:bCs/>
                <w:color w:val="FFFFFF" w:themeColor="background1"/>
                <w:sz w:val="20"/>
                <w:szCs w:val="20"/>
              </w:rPr>
            </w:pPr>
            <w:r w:rsidRPr="00444E4E">
              <w:rPr>
                <w:rFonts w:ascii="Cambria" w:hAnsi="Cambria"/>
                <w:b/>
                <w:color w:val="FFFFFF" w:themeColor="background1"/>
                <w:sz w:val="20"/>
                <w:szCs w:val="20"/>
              </w:rPr>
              <w:t>Notification of the petition to</w:t>
            </w:r>
            <w:r w:rsidR="00F621C3" w:rsidRPr="00444E4E">
              <w:rPr>
                <w:rFonts w:ascii="Cambria" w:hAnsi="Cambria"/>
                <w:b/>
                <w:color w:val="FFFFFF" w:themeColor="background1"/>
                <w:sz w:val="20"/>
                <w:szCs w:val="20"/>
              </w:rPr>
              <w:t xml:space="preserve"> the State:</w:t>
            </w:r>
          </w:p>
        </w:tc>
        <w:tc>
          <w:tcPr>
            <w:tcW w:w="5670" w:type="dxa"/>
            <w:vAlign w:val="center"/>
          </w:tcPr>
          <w:p w14:paraId="22ADBFFE" w14:textId="46342936" w:rsidR="00F621C3" w:rsidRPr="00444E4E" w:rsidRDefault="009355E5" w:rsidP="009355E5">
            <w:pPr>
              <w:jc w:val="both"/>
              <w:rPr>
                <w:rFonts w:ascii="Cambria" w:hAnsi="Cambria"/>
                <w:bCs/>
                <w:sz w:val="20"/>
                <w:szCs w:val="20"/>
              </w:rPr>
            </w:pPr>
            <w:r w:rsidRPr="00444E4E">
              <w:rPr>
                <w:rFonts w:ascii="Cambria" w:hAnsi="Cambria"/>
                <w:bCs/>
                <w:sz w:val="20"/>
                <w:szCs w:val="20"/>
              </w:rPr>
              <w:t>June 15, 2007</w:t>
            </w:r>
          </w:p>
        </w:tc>
      </w:tr>
      <w:tr w:rsidR="00F621C3" w:rsidRPr="00444E4E"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444E4E" w:rsidRDefault="00F621C3" w:rsidP="009355E5">
            <w:pPr>
              <w:jc w:val="center"/>
              <w:rPr>
                <w:rFonts w:ascii="Cambria" w:hAnsi="Cambria"/>
                <w:b/>
                <w:bCs/>
                <w:color w:val="FFFFFF" w:themeColor="background1"/>
                <w:sz w:val="20"/>
                <w:szCs w:val="20"/>
              </w:rPr>
            </w:pPr>
            <w:r w:rsidRPr="00444E4E">
              <w:rPr>
                <w:rFonts w:ascii="Cambria" w:hAnsi="Cambria"/>
                <w:b/>
                <w:color w:val="FFFFFF" w:themeColor="background1"/>
                <w:sz w:val="20"/>
                <w:szCs w:val="20"/>
              </w:rPr>
              <w:t>State’s first response:</w:t>
            </w:r>
          </w:p>
        </w:tc>
        <w:tc>
          <w:tcPr>
            <w:tcW w:w="5670" w:type="dxa"/>
            <w:vAlign w:val="center"/>
          </w:tcPr>
          <w:p w14:paraId="19C5DA57" w14:textId="5A1DC825" w:rsidR="00F621C3" w:rsidRPr="00444E4E" w:rsidRDefault="009355E5" w:rsidP="009355E5">
            <w:pPr>
              <w:jc w:val="both"/>
              <w:rPr>
                <w:rFonts w:ascii="Cambria" w:hAnsi="Cambria"/>
                <w:bCs/>
                <w:sz w:val="20"/>
                <w:szCs w:val="20"/>
              </w:rPr>
            </w:pPr>
            <w:r w:rsidRPr="00444E4E">
              <w:rPr>
                <w:rFonts w:ascii="Cambria" w:hAnsi="Cambria"/>
                <w:bCs/>
                <w:sz w:val="20"/>
                <w:szCs w:val="20"/>
              </w:rPr>
              <w:t>September 4, 2007</w:t>
            </w:r>
          </w:p>
        </w:tc>
      </w:tr>
      <w:tr w:rsidR="003771A3" w:rsidRPr="00444E4E"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444E4E" w:rsidRDefault="003771A3" w:rsidP="0023351C">
            <w:pPr>
              <w:jc w:val="center"/>
              <w:rPr>
                <w:rFonts w:ascii="Cambria" w:hAnsi="Cambria"/>
                <w:b/>
                <w:bCs/>
                <w:color w:val="FFFFFF" w:themeColor="background1"/>
                <w:sz w:val="20"/>
                <w:szCs w:val="20"/>
              </w:rPr>
            </w:pPr>
            <w:r w:rsidRPr="00444E4E">
              <w:rPr>
                <w:rFonts w:ascii="Cambria" w:hAnsi="Cambria"/>
                <w:b/>
                <w:bCs/>
                <w:color w:val="FFFFFF" w:themeColor="background1"/>
                <w:sz w:val="20"/>
                <w:szCs w:val="20"/>
              </w:rPr>
              <w:t>Additional observations from the petition</w:t>
            </w:r>
            <w:r w:rsidR="0023351C" w:rsidRPr="00444E4E">
              <w:rPr>
                <w:rFonts w:ascii="Cambria" w:hAnsi="Cambria"/>
                <w:b/>
                <w:bCs/>
                <w:color w:val="FFFFFF" w:themeColor="background1"/>
                <w:sz w:val="20"/>
                <w:szCs w:val="20"/>
              </w:rPr>
              <w:t>er</w:t>
            </w:r>
            <w:r w:rsidRPr="00444E4E">
              <w:rPr>
                <w:rFonts w:ascii="Cambria" w:hAnsi="Cambria"/>
                <w:b/>
                <w:bCs/>
                <w:color w:val="FFFFFF" w:themeColor="background1"/>
                <w:sz w:val="20"/>
                <w:szCs w:val="20"/>
              </w:rPr>
              <w:t>:</w:t>
            </w:r>
          </w:p>
        </w:tc>
        <w:tc>
          <w:tcPr>
            <w:tcW w:w="5670" w:type="dxa"/>
            <w:vAlign w:val="center"/>
          </w:tcPr>
          <w:p w14:paraId="2A863ACD" w14:textId="7CE2D17D" w:rsidR="003771A3" w:rsidRPr="00444E4E" w:rsidRDefault="009355E5" w:rsidP="009355E5">
            <w:pPr>
              <w:jc w:val="both"/>
              <w:rPr>
                <w:rFonts w:ascii="Cambria" w:hAnsi="Cambria"/>
                <w:bCs/>
                <w:sz w:val="20"/>
                <w:szCs w:val="20"/>
              </w:rPr>
            </w:pPr>
            <w:r w:rsidRPr="00444E4E">
              <w:rPr>
                <w:rFonts w:ascii="Cambria" w:hAnsi="Cambria"/>
                <w:bCs/>
                <w:sz w:val="20"/>
                <w:szCs w:val="20"/>
              </w:rPr>
              <w:t xml:space="preserve">November 13, 2007; February 22 and April 28, 2008; January 12, 2009; July 16 and 27, August 7, September 23, and October 2, </w:t>
            </w:r>
            <w:r w:rsidR="00455303" w:rsidRPr="00444E4E">
              <w:rPr>
                <w:rFonts w:ascii="Cambria" w:hAnsi="Cambria"/>
                <w:bCs/>
                <w:sz w:val="20"/>
                <w:szCs w:val="20"/>
              </w:rPr>
              <w:t>12, and 19, 2012; August 15, 201</w:t>
            </w:r>
            <w:r w:rsidRPr="00444E4E">
              <w:rPr>
                <w:rFonts w:ascii="Cambria" w:hAnsi="Cambria"/>
                <w:bCs/>
                <w:sz w:val="20"/>
                <w:szCs w:val="20"/>
              </w:rPr>
              <w:t>3; April 3, 10 and 29, and August 11, 2014; December 16, 2017</w:t>
            </w:r>
          </w:p>
        </w:tc>
      </w:tr>
      <w:tr w:rsidR="003771A3" w:rsidRPr="00444E4E"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444E4E" w:rsidRDefault="003771A3" w:rsidP="00653EA6">
            <w:pPr>
              <w:jc w:val="center"/>
              <w:rPr>
                <w:rFonts w:ascii="Cambria" w:hAnsi="Cambria"/>
                <w:b/>
                <w:bCs/>
                <w:color w:val="FFFFFF" w:themeColor="background1"/>
                <w:sz w:val="20"/>
                <w:szCs w:val="20"/>
              </w:rPr>
            </w:pPr>
            <w:r w:rsidRPr="00444E4E">
              <w:rPr>
                <w:rFonts w:ascii="Cambria" w:hAnsi="Cambria"/>
                <w:b/>
                <w:bCs/>
                <w:color w:val="FFFFFF" w:themeColor="background1"/>
                <w:sz w:val="20"/>
                <w:szCs w:val="20"/>
              </w:rPr>
              <w:t>Additional observations from the State:</w:t>
            </w:r>
          </w:p>
        </w:tc>
        <w:tc>
          <w:tcPr>
            <w:tcW w:w="5670" w:type="dxa"/>
            <w:vAlign w:val="center"/>
          </w:tcPr>
          <w:p w14:paraId="27F6ADE3" w14:textId="1ED2E9B6" w:rsidR="003771A3" w:rsidRPr="00444E4E" w:rsidRDefault="009355E5" w:rsidP="009355E5">
            <w:pPr>
              <w:jc w:val="both"/>
              <w:rPr>
                <w:rFonts w:ascii="Cambria" w:hAnsi="Cambria"/>
                <w:bCs/>
                <w:sz w:val="20"/>
                <w:szCs w:val="20"/>
              </w:rPr>
            </w:pPr>
            <w:r w:rsidRPr="00444E4E">
              <w:rPr>
                <w:rFonts w:ascii="Cambria" w:hAnsi="Cambria"/>
                <w:bCs/>
                <w:sz w:val="20"/>
                <w:szCs w:val="20"/>
              </w:rPr>
              <w:t>January 2, April 9 and June 18, 200</w:t>
            </w:r>
            <w:r w:rsidR="00455303" w:rsidRPr="00444E4E">
              <w:rPr>
                <w:rFonts w:ascii="Cambria" w:hAnsi="Cambria"/>
                <w:bCs/>
                <w:sz w:val="20"/>
                <w:szCs w:val="20"/>
              </w:rPr>
              <w:t>8; July 2, 2013; January 17, 201</w:t>
            </w:r>
            <w:r w:rsidRPr="00444E4E">
              <w:rPr>
                <w:rFonts w:ascii="Cambria" w:hAnsi="Cambria"/>
                <w:bCs/>
                <w:sz w:val="20"/>
                <w:szCs w:val="20"/>
              </w:rPr>
              <w:t>4</w:t>
            </w:r>
          </w:p>
        </w:tc>
      </w:tr>
    </w:tbl>
    <w:p w14:paraId="7F88B361" w14:textId="77777777" w:rsidR="00F621C3" w:rsidRPr="00444E4E" w:rsidRDefault="00F621C3" w:rsidP="00F621C3">
      <w:pPr>
        <w:spacing w:before="240" w:after="240"/>
        <w:ind w:firstLine="720"/>
        <w:jc w:val="both"/>
        <w:rPr>
          <w:rFonts w:asciiTheme="majorHAnsi" w:hAnsiTheme="majorHAnsi"/>
          <w:b/>
          <w:bCs/>
          <w:sz w:val="20"/>
          <w:szCs w:val="20"/>
        </w:rPr>
      </w:pPr>
      <w:r w:rsidRPr="00444E4E">
        <w:rPr>
          <w:rFonts w:asciiTheme="majorHAnsi" w:hAnsiTheme="majorHAnsi"/>
          <w:b/>
          <w:bCs/>
          <w:sz w:val="20"/>
          <w:szCs w:val="20"/>
        </w:rPr>
        <w:t xml:space="preserve">III. </w:t>
      </w:r>
      <w:r w:rsidRPr="00444E4E">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444E4E"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444E4E" w:rsidRDefault="00F621C3" w:rsidP="009355E5">
            <w:pPr>
              <w:jc w:val="center"/>
              <w:rPr>
                <w:rFonts w:ascii="Cambria" w:hAnsi="Cambria"/>
                <w:b/>
                <w:bCs/>
                <w:i/>
                <w:color w:val="FFFFFF" w:themeColor="background1"/>
                <w:sz w:val="20"/>
                <w:szCs w:val="20"/>
              </w:rPr>
            </w:pPr>
            <w:r w:rsidRPr="00444E4E">
              <w:rPr>
                <w:rFonts w:ascii="Cambria" w:hAnsi="Cambria"/>
                <w:b/>
                <w:bCs/>
                <w:color w:val="FFFFFF" w:themeColor="background1"/>
                <w:sz w:val="20"/>
                <w:szCs w:val="20"/>
              </w:rPr>
              <w:t>Competence</w:t>
            </w:r>
            <w:r w:rsidRPr="00444E4E">
              <w:rPr>
                <w:rFonts w:ascii="Cambria" w:hAnsi="Cambria"/>
                <w:b/>
                <w:bCs/>
                <w:i/>
                <w:color w:val="FFFFFF" w:themeColor="background1"/>
                <w:sz w:val="20"/>
                <w:szCs w:val="20"/>
              </w:rPr>
              <w:t xml:space="preserve"> Ratione personae:</w:t>
            </w:r>
          </w:p>
        </w:tc>
        <w:tc>
          <w:tcPr>
            <w:tcW w:w="5670" w:type="dxa"/>
            <w:vAlign w:val="center"/>
          </w:tcPr>
          <w:p w14:paraId="237A8D0C" w14:textId="30CCFD28" w:rsidR="00F621C3" w:rsidRPr="00444E4E" w:rsidRDefault="009355E5" w:rsidP="009355E5">
            <w:pPr>
              <w:rPr>
                <w:rFonts w:asciiTheme="majorHAnsi" w:hAnsiTheme="majorHAnsi"/>
                <w:bCs/>
                <w:sz w:val="20"/>
                <w:szCs w:val="20"/>
              </w:rPr>
            </w:pPr>
            <w:r w:rsidRPr="00444E4E">
              <w:rPr>
                <w:rFonts w:asciiTheme="majorHAnsi" w:hAnsiTheme="majorHAnsi"/>
                <w:bCs/>
                <w:sz w:val="20"/>
                <w:szCs w:val="20"/>
              </w:rPr>
              <w:t>Yes</w:t>
            </w:r>
          </w:p>
        </w:tc>
      </w:tr>
      <w:tr w:rsidR="00F621C3" w:rsidRPr="00444E4E"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444E4E" w:rsidRDefault="00F621C3" w:rsidP="009355E5">
            <w:pPr>
              <w:jc w:val="center"/>
              <w:rPr>
                <w:rFonts w:ascii="Cambria" w:hAnsi="Cambria"/>
                <w:b/>
                <w:bCs/>
                <w:color w:val="FFFFFF" w:themeColor="background1"/>
                <w:sz w:val="20"/>
                <w:szCs w:val="20"/>
              </w:rPr>
            </w:pPr>
            <w:r w:rsidRPr="00444E4E">
              <w:rPr>
                <w:rFonts w:ascii="Cambria" w:hAnsi="Cambria"/>
                <w:b/>
                <w:bCs/>
                <w:color w:val="FFFFFF" w:themeColor="background1"/>
                <w:sz w:val="20"/>
                <w:szCs w:val="20"/>
              </w:rPr>
              <w:t>Competence</w:t>
            </w:r>
            <w:r w:rsidRPr="00444E4E">
              <w:rPr>
                <w:rFonts w:ascii="Cambria" w:hAnsi="Cambria"/>
                <w:b/>
                <w:bCs/>
                <w:i/>
                <w:color w:val="FFFFFF" w:themeColor="background1"/>
                <w:sz w:val="20"/>
                <w:szCs w:val="20"/>
              </w:rPr>
              <w:t xml:space="preserve"> Ratione loci</w:t>
            </w:r>
            <w:r w:rsidRPr="00444E4E">
              <w:rPr>
                <w:rFonts w:ascii="Cambria" w:hAnsi="Cambria"/>
                <w:b/>
                <w:bCs/>
                <w:color w:val="FFFFFF" w:themeColor="background1"/>
                <w:sz w:val="20"/>
                <w:szCs w:val="20"/>
              </w:rPr>
              <w:t>:</w:t>
            </w:r>
          </w:p>
        </w:tc>
        <w:tc>
          <w:tcPr>
            <w:tcW w:w="5670" w:type="dxa"/>
            <w:vAlign w:val="center"/>
          </w:tcPr>
          <w:p w14:paraId="48257424" w14:textId="4318C7BD" w:rsidR="00F621C3" w:rsidRPr="00444E4E" w:rsidRDefault="009355E5" w:rsidP="009355E5">
            <w:pPr>
              <w:rPr>
                <w:rFonts w:asciiTheme="majorHAnsi" w:hAnsiTheme="majorHAnsi"/>
                <w:bCs/>
                <w:sz w:val="20"/>
                <w:szCs w:val="20"/>
              </w:rPr>
            </w:pPr>
            <w:r w:rsidRPr="00444E4E">
              <w:rPr>
                <w:rFonts w:asciiTheme="majorHAnsi" w:hAnsiTheme="majorHAnsi"/>
                <w:bCs/>
                <w:sz w:val="20"/>
                <w:szCs w:val="20"/>
              </w:rPr>
              <w:t>Yes</w:t>
            </w:r>
          </w:p>
        </w:tc>
      </w:tr>
      <w:tr w:rsidR="00F621C3" w:rsidRPr="00444E4E"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444E4E" w:rsidRDefault="00F621C3" w:rsidP="009355E5">
            <w:pPr>
              <w:jc w:val="center"/>
              <w:rPr>
                <w:rFonts w:ascii="Cambria" w:hAnsi="Cambria"/>
                <w:b/>
                <w:bCs/>
                <w:color w:val="FFFFFF" w:themeColor="background1"/>
                <w:sz w:val="20"/>
                <w:szCs w:val="20"/>
              </w:rPr>
            </w:pPr>
            <w:r w:rsidRPr="00444E4E">
              <w:rPr>
                <w:rFonts w:ascii="Cambria" w:hAnsi="Cambria"/>
                <w:b/>
                <w:bCs/>
                <w:color w:val="FFFFFF" w:themeColor="background1"/>
                <w:sz w:val="20"/>
                <w:szCs w:val="20"/>
              </w:rPr>
              <w:t>Competence</w:t>
            </w:r>
            <w:r w:rsidRPr="00444E4E">
              <w:rPr>
                <w:rFonts w:ascii="Cambria" w:hAnsi="Cambria"/>
                <w:b/>
                <w:bCs/>
                <w:i/>
                <w:color w:val="FFFFFF" w:themeColor="background1"/>
                <w:sz w:val="20"/>
                <w:szCs w:val="20"/>
              </w:rPr>
              <w:t xml:space="preserve"> Ratione temporis</w:t>
            </w:r>
            <w:r w:rsidRPr="00444E4E">
              <w:rPr>
                <w:rFonts w:ascii="Cambria" w:hAnsi="Cambria"/>
                <w:b/>
                <w:bCs/>
                <w:color w:val="FFFFFF" w:themeColor="background1"/>
                <w:sz w:val="20"/>
                <w:szCs w:val="20"/>
              </w:rPr>
              <w:t>:</w:t>
            </w:r>
          </w:p>
        </w:tc>
        <w:tc>
          <w:tcPr>
            <w:tcW w:w="5670" w:type="dxa"/>
            <w:vAlign w:val="center"/>
          </w:tcPr>
          <w:p w14:paraId="74B3F783" w14:textId="28B38031" w:rsidR="00F621C3" w:rsidRPr="00444E4E" w:rsidRDefault="009355E5" w:rsidP="009355E5">
            <w:pPr>
              <w:rPr>
                <w:rFonts w:asciiTheme="majorHAnsi" w:hAnsiTheme="majorHAnsi"/>
                <w:bCs/>
                <w:sz w:val="20"/>
                <w:szCs w:val="20"/>
              </w:rPr>
            </w:pPr>
            <w:r w:rsidRPr="00444E4E">
              <w:rPr>
                <w:rFonts w:asciiTheme="majorHAnsi" w:hAnsiTheme="majorHAnsi"/>
                <w:bCs/>
                <w:sz w:val="20"/>
                <w:szCs w:val="20"/>
              </w:rPr>
              <w:t>Yes</w:t>
            </w:r>
          </w:p>
        </w:tc>
      </w:tr>
      <w:tr w:rsidR="00F621C3" w:rsidRPr="00444E4E"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444E4E" w:rsidRDefault="00F621C3" w:rsidP="009355E5">
            <w:pPr>
              <w:jc w:val="center"/>
              <w:rPr>
                <w:rFonts w:ascii="Cambria" w:hAnsi="Cambria"/>
                <w:b/>
                <w:bCs/>
                <w:color w:val="FFFFFF" w:themeColor="background1"/>
                <w:sz w:val="20"/>
                <w:szCs w:val="20"/>
              </w:rPr>
            </w:pPr>
            <w:r w:rsidRPr="00444E4E">
              <w:rPr>
                <w:rFonts w:ascii="Cambria" w:hAnsi="Cambria"/>
                <w:b/>
                <w:bCs/>
                <w:color w:val="FFFFFF" w:themeColor="background1"/>
                <w:sz w:val="20"/>
                <w:szCs w:val="20"/>
              </w:rPr>
              <w:t>Competence</w:t>
            </w:r>
            <w:r w:rsidRPr="00444E4E">
              <w:rPr>
                <w:rFonts w:ascii="Cambria" w:hAnsi="Cambria"/>
                <w:b/>
                <w:bCs/>
                <w:i/>
                <w:color w:val="FFFFFF" w:themeColor="background1"/>
                <w:sz w:val="20"/>
                <w:szCs w:val="20"/>
              </w:rPr>
              <w:t xml:space="preserve"> Ratione materiae</w:t>
            </w:r>
            <w:r w:rsidRPr="00444E4E">
              <w:rPr>
                <w:rFonts w:ascii="Cambria" w:hAnsi="Cambria"/>
                <w:b/>
                <w:bCs/>
                <w:color w:val="FFFFFF" w:themeColor="background1"/>
                <w:sz w:val="20"/>
                <w:szCs w:val="20"/>
              </w:rPr>
              <w:t>:</w:t>
            </w:r>
          </w:p>
        </w:tc>
        <w:tc>
          <w:tcPr>
            <w:tcW w:w="5670" w:type="dxa"/>
            <w:vAlign w:val="center"/>
          </w:tcPr>
          <w:p w14:paraId="64B3F199" w14:textId="77777777" w:rsidR="00F621C3" w:rsidRPr="00444E4E" w:rsidRDefault="009355E5" w:rsidP="009355E5">
            <w:pPr>
              <w:jc w:val="both"/>
              <w:rPr>
                <w:rFonts w:asciiTheme="majorHAnsi" w:hAnsiTheme="majorHAnsi"/>
                <w:bCs/>
                <w:sz w:val="20"/>
                <w:szCs w:val="20"/>
              </w:rPr>
            </w:pPr>
            <w:r w:rsidRPr="00444E4E">
              <w:rPr>
                <w:rFonts w:asciiTheme="majorHAnsi" w:hAnsiTheme="majorHAnsi"/>
                <w:bCs/>
                <w:sz w:val="20"/>
                <w:szCs w:val="20"/>
              </w:rPr>
              <w:t>Yes, American Convention (adopted on September 25, 1992) and Protocol of San Salvador (deposit of instrument on August 21, 1996)</w:t>
            </w:r>
          </w:p>
        </w:tc>
      </w:tr>
    </w:tbl>
    <w:p w14:paraId="0408D4CD" w14:textId="54A61356" w:rsidR="00F621C3" w:rsidRPr="00444E4E" w:rsidRDefault="00F621C3" w:rsidP="00F621C3">
      <w:pPr>
        <w:spacing w:before="240" w:after="240"/>
        <w:ind w:firstLine="720"/>
        <w:jc w:val="both"/>
        <w:rPr>
          <w:rFonts w:asciiTheme="majorHAnsi" w:hAnsiTheme="majorHAnsi"/>
          <w:b/>
          <w:bCs/>
          <w:sz w:val="20"/>
          <w:szCs w:val="20"/>
        </w:rPr>
      </w:pPr>
      <w:r w:rsidRPr="00444E4E">
        <w:rPr>
          <w:rFonts w:asciiTheme="majorHAnsi" w:hAnsiTheme="majorHAnsi"/>
          <w:b/>
          <w:bCs/>
          <w:sz w:val="20"/>
          <w:szCs w:val="20"/>
        </w:rPr>
        <w:t xml:space="preserve">IV. </w:t>
      </w:r>
      <w:r w:rsidRPr="00444E4E">
        <w:rPr>
          <w:rFonts w:asciiTheme="majorHAnsi" w:hAnsiTheme="majorHAnsi"/>
          <w:b/>
          <w:bCs/>
          <w:sz w:val="20"/>
          <w:szCs w:val="20"/>
        </w:rPr>
        <w:tab/>
        <w:t xml:space="preserve">DUPLICATION OF PROCEDURES AND INTERNATIONAL </w:t>
      </w:r>
      <w:r w:rsidRPr="00444E4E">
        <w:rPr>
          <w:rFonts w:asciiTheme="majorHAnsi" w:hAnsiTheme="majorHAnsi"/>
          <w:b/>
          <w:bCs/>
          <w:i/>
          <w:sz w:val="20"/>
          <w:szCs w:val="20"/>
        </w:rPr>
        <w:t>RES JUDICATA</w:t>
      </w:r>
      <w:r w:rsidRPr="00444E4E">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444E4E"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444E4E" w:rsidRDefault="00F621C3" w:rsidP="009355E5">
            <w:pPr>
              <w:jc w:val="center"/>
              <w:rPr>
                <w:rFonts w:ascii="Cambria" w:hAnsi="Cambria"/>
                <w:b/>
                <w:bCs/>
                <w:color w:val="FFFFFF" w:themeColor="background1"/>
                <w:sz w:val="20"/>
                <w:szCs w:val="20"/>
              </w:rPr>
            </w:pPr>
            <w:r w:rsidRPr="00444E4E">
              <w:rPr>
                <w:rFonts w:ascii="Cambria" w:hAnsi="Cambria"/>
                <w:b/>
                <w:bCs/>
                <w:color w:val="FFFFFF" w:themeColor="background1"/>
                <w:sz w:val="20"/>
                <w:szCs w:val="20"/>
              </w:rPr>
              <w:t xml:space="preserve">Duplication of procedures and International </w:t>
            </w:r>
            <w:r w:rsidRPr="00444E4E">
              <w:rPr>
                <w:rFonts w:ascii="Cambria" w:hAnsi="Cambria"/>
                <w:b/>
                <w:bCs/>
                <w:i/>
                <w:color w:val="FFFFFF" w:themeColor="background1"/>
                <w:sz w:val="20"/>
                <w:szCs w:val="20"/>
              </w:rPr>
              <w:t>res judicata</w:t>
            </w:r>
            <w:r w:rsidRPr="00444E4E">
              <w:rPr>
                <w:rFonts w:ascii="Cambria" w:hAnsi="Cambria"/>
                <w:b/>
                <w:bCs/>
                <w:color w:val="FFFFFF" w:themeColor="background1"/>
                <w:sz w:val="20"/>
                <w:szCs w:val="20"/>
              </w:rPr>
              <w:t>:</w:t>
            </w:r>
          </w:p>
        </w:tc>
        <w:tc>
          <w:tcPr>
            <w:tcW w:w="5670" w:type="dxa"/>
            <w:vAlign w:val="center"/>
          </w:tcPr>
          <w:p w14:paraId="4773CD23" w14:textId="0949AC2C" w:rsidR="00F621C3" w:rsidRPr="00444E4E" w:rsidRDefault="009355E5" w:rsidP="009355E5">
            <w:pPr>
              <w:jc w:val="both"/>
              <w:rPr>
                <w:rFonts w:ascii="Cambria" w:hAnsi="Cambria"/>
                <w:bCs/>
                <w:sz w:val="20"/>
                <w:szCs w:val="20"/>
              </w:rPr>
            </w:pPr>
            <w:r w:rsidRPr="00444E4E">
              <w:rPr>
                <w:rFonts w:ascii="Cambria" w:hAnsi="Cambria"/>
                <w:bCs/>
                <w:sz w:val="20"/>
                <w:szCs w:val="20"/>
              </w:rPr>
              <w:t>No</w:t>
            </w:r>
          </w:p>
        </w:tc>
      </w:tr>
      <w:tr w:rsidR="00F621C3" w:rsidRPr="00444E4E"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444E4E" w:rsidRDefault="00F621C3" w:rsidP="009355E5">
            <w:pPr>
              <w:jc w:val="center"/>
              <w:rPr>
                <w:rFonts w:ascii="Cambria" w:hAnsi="Cambria"/>
                <w:b/>
                <w:bCs/>
                <w:i/>
                <w:color w:val="FFFFFF" w:themeColor="background1"/>
                <w:sz w:val="20"/>
                <w:szCs w:val="20"/>
              </w:rPr>
            </w:pPr>
            <w:r w:rsidRPr="00444E4E">
              <w:rPr>
                <w:rFonts w:ascii="Cambria" w:hAnsi="Cambria"/>
                <w:b/>
                <w:bCs/>
                <w:color w:val="FFFFFF" w:themeColor="background1"/>
                <w:sz w:val="20"/>
                <w:szCs w:val="20"/>
              </w:rPr>
              <w:t>Rights declared admissible</w:t>
            </w:r>
          </w:p>
        </w:tc>
        <w:tc>
          <w:tcPr>
            <w:tcW w:w="5670" w:type="dxa"/>
            <w:vAlign w:val="center"/>
          </w:tcPr>
          <w:p w14:paraId="33BE4040" w14:textId="71E60E11" w:rsidR="00F621C3" w:rsidRPr="00444E4E" w:rsidRDefault="006963C3" w:rsidP="009355E5">
            <w:pPr>
              <w:jc w:val="both"/>
              <w:rPr>
                <w:rFonts w:ascii="Cambria" w:hAnsi="Cambria"/>
                <w:bCs/>
                <w:sz w:val="20"/>
                <w:szCs w:val="20"/>
              </w:rPr>
            </w:pPr>
            <w:r w:rsidRPr="00444E4E">
              <w:rPr>
                <w:rFonts w:ascii="Cambria" w:hAnsi="Cambria"/>
                <w:bCs/>
                <w:sz w:val="20"/>
                <w:szCs w:val="20"/>
              </w:rPr>
              <w:t>None</w:t>
            </w:r>
          </w:p>
        </w:tc>
      </w:tr>
      <w:tr w:rsidR="00F621C3" w:rsidRPr="00444E4E"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444E4E" w:rsidRDefault="00F621C3" w:rsidP="009355E5">
            <w:pPr>
              <w:jc w:val="center"/>
              <w:rPr>
                <w:rFonts w:ascii="Cambria" w:hAnsi="Cambria"/>
                <w:b/>
                <w:bCs/>
                <w:color w:val="FFFFFF" w:themeColor="background1"/>
                <w:sz w:val="20"/>
                <w:szCs w:val="20"/>
              </w:rPr>
            </w:pPr>
            <w:r w:rsidRPr="00F34F5D">
              <w:rPr>
                <w:rFonts w:ascii="Cambria" w:hAnsi="Cambria"/>
                <w:b/>
                <w:bCs/>
                <w:color w:val="FFFFFF" w:themeColor="background1"/>
                <w:sz w:val="19"/>
                <w:szCs w:val="19"/>
              </w:rPr>
              <w:t>Exhaustion of domestic remedies or applicability of an exception to the rule</w:t>
            </w:r>
            <w:r w:rsidRPr="00444E4E">
              <w:rPr>
                <w:rFonts w:ascii="Cambria" w:hAnsi="Cambria"/>
                <w:b/>
                <w:bCs/>
                <w:color w:val="FFFFFF" w:themeColor="background1"/>
                <w:sz w:val="20"/>
                <w:szCs w:val="20"/>
              </w:rPr>
              <w:t>:</w:t>
            </w:r>
          </w:p>
        </w:tc>
        <w:tc>
          <w:tcPr>
            <w:tcW w:w="5670" w:type="dxa"/>
            <w:vAlign w:val="center"/>
          </w:tcPr>
          <w:p w14:paraId="2A98CE44" w14:textId="0F1CB9A7" w:rsidR="00F621C3" w:rsidRPr="00444E4E" w:rsidRDefault="001A5DD9" w:rsidP="009355E5">
            <w:pPr>
              <w:rPr>
                <w:rFonts w:ascii="Cambria" w:hAnsi="Cambria"/>
                <w:bCs/>
                <w:sz w:val="20"/>
                <w:szCs w:val="20"/>
              </w:rPr>
            </w:pPr>
            <w:r w:rsidRPr="00444E4E">
              <w:rPr>
                <w:rFonts w:ascii="Cambria" w:hAnsi="Cambria"/>
                <w:bCs/>
                <w:sz w:val="20"/>
                <w:szCs w:val="20"/>
              </w:rPr>
              <w:t>Yes, November 28, 2013</w:t>
            </w:r>
          </w:p>
          <w:p w14:paraId="432DC56B" w14:textId="77777777" w:rsidR="00F621C3" w:rsidRPr="00444E4E" w:rsidRDefault="00F621C3" w:rsidP="009355E5">
            <w:pPr>
              <w:rPr>
                <w:rFonts w:ascii="Cambria" w:hAnsi="Cambria"/>
                <w:bCs/>
                <w:sz w:val="20"/>
                <w:szCs w:val="20"/>
              </w:rPr>
            </w:pPr>
          </w:p>
        </w:tc>
      </w:tr>
      <w:tr w:rsidR="00F621C3" w:rsidRPr="00444E4E"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444E4E" w:rsidRDefault="00F621C3" w:rsidP="009355E5">
            <w:pPr>
              <w:jc w:val="center"/>
              <w:rPr>
                <w:rFonts w:ascii="Cambria" w:hAnsi="Cambria"/>
                <w:b/>
                <w:bCs/>
                <w:color w:val="FFFFFF" w:themeColor="background1"/>
                <w:sz w:val="20"/>
                <w:szCs w:val="20"/>
              </w:rPr>
            </w:pPr>
            <w:r w:rsidRPr="00444E4E">
              <w:rPr>
                <w:rFonts w:ascii="Cambria" w:hAnsi="Cambria"/>
                <w:b/>
                <w:bCs/>
                <w:color w:val="FFFFFF" w:themeColor="background1"/>
                <w:sz w:val="20"/>
                <w:szCs w:val="20"/>
              </w:rPr>
              <w:t>Timeliness of the petition:</w:t>
            </w:r>
          </w:p>
        </w:tc>
        <w:tc>
          <w:tcPr>
            <w:tcW w:w="5670" w:type="dxa"/>
            <w:vAlign w:val="center"/>
          </w:tcPr>
          <w:p w14:paraId="6A26CCE9" w14:textId="5C0B0565" w:rsidR="00F621C3" w:rsidRPr="00444E4E" w:rsidRDefault="001A5DD9" w:rsidP="009355E5">
            <w:pPr>
              <w:rPr>
                <w:rFonts w:asciiTheme="majorHAnsi" w:hAnsiTheme="majorHAnsi"/>
                <w:bCs/>
                <w:sz w:val="20"/>
                <w:szCs w:val="20"/>
              </w:rPr>
            </w:pPr>
            <w:r w:rsidRPr="00444E4E">
              <w:rPr>
                <w:rFonts w:asciiTheme="majorHAnsi" w:hAnsiTheme="majorHAnsi"/>
                <w:bCs/>
                <w:sz w:val="20"/>
                <w:szCs w:val="20"/>
              </w:rPr>
              <w:t>Yes, in the terms of Section VI</w:t>
            </w:r>
          </w:p>
        </w:tc>
      </w:tr>
    </w:tbl>
    <w:p w14:paraId="629E2DE8" w14:textId="62D32F02" w:rsidR="00F621C3" w:rsidRPr="00444E4E" w:rsidRDefault="00F621C3" w:rsidP="00F621C3">
      <w:pPr>
        <w:spacing w:before="240" w:after="240"/>
        <w:ind w:firstLine="720"/>
        <w:jc w:val="both"/>
        <w:rPr>
          <w:rFonts w:asciiTheme="majorHAnsi" w:hAnsiTheme="majorHAnsi"/>
          <w:b/>
          <w:sz w:val="20"/>
          <w:szCs w:val="20"/>
        </w:rPr>
      </w:pPr>
      <w:r w:rsidRPr="00444E4E">
        <w:rPr>
          <w:rFonts w:asciiTheme="majorHAnsi" w:hAnsiTheme="majorHAnsi"/>
          <w:b/>
          <w:sz w:val="20"/>
          <w:szCs w:val="20"/>
        </w:rPr>
        <w:lastRenderedPageBreak/>
        <w:t xml:space="preserve">V. </w:t>
      </w:r>
      <w:r w:rsidRPr="00444E4E">
        <w:rPr>
          <w:rFonts w:asciiTheme="majorHAnsi" w:hAnsiTheme="majorHAnsi"/>
          <w:b/>
          <w:sz w:val="20"/>
          <w:szCs w:val="20"/>
        </w:rPr>
        <w:tab/>
        <w:t xml:space="preserve">FACTS </w:t>
      </w:r>
      <w:r w:rsidR="005816E5" w:rsidRPr="00444E4E">
        <w:rPr>
          <w:rFonts w:asciiTheme="majorHAnsi" w:hAnsiTheme="majorHAnsi"/>
          <w:b/>
          <w:sz w:val="20"/>
          <w:szCs w:val="20"/>
        </w:rPr>
        <w:t>ALLEGED</w:t>
      </w:r>
    </w:p>
    <w:p w14:paraId="1C2C4F22" w14:textId="77D35D6F" w:rsidR="00284573" w:rsidRPr="00444E4E" w:rsidRDefault="00741E4A"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44E4E">
        <w:rPr>
          <w:rFonts w:ascii="Cambria" w:hAnsi="Cambria"/>
          <w:sz w:val="20"/>
          <w:szCs w:val="20"/>
        </w:rPr>
        <w:t>Mr. Antonio Reinaldo Peixoto Pereira (hereinafter "the alleged vic</w:t>
      </w:r>
      <w:r w:rsidR="00E65F63" w:rsidRPr="00444E4E">
        <w:rPr>
          <w:rFonts w:ascii="Cambria" w:hAnsi="Cambria"/>
          <w:sz w:val="20"/>
          <w:szCs w:val="20"/>
        </w:rPr>
        <w:t xml:space="preserve">tim" or "Mr. Pereira") </w:t>
      </w:r>
      <w:r w:rsidR="00455303" w:rsidRPr="00444E4E">
        <w:rPr>
          <w:rFonts w:ascii="Cambria" w:hAnsi="Cambria"/>
          <w:sz w:val="20"/>
          <w:szCs w:val="20"/>
        </w:rPr>
        <w:t>indicates</w:t>
      </w:r>
      <w:r w:rsidRPr="00444E4E">
        <w:rPr>
          <w:rFonts w:ascii="Cambria" w:hAnsi="Cambria"/>
          <w:sz w:val="20"/>
          <w:szCs w:val="20"/>
        </w:rPr>
        <w:t xml:space="preserve"> that he was an official of the Bank of Brazil from December 1, 1969</w:t>
      </w:r>
      <w:r w:rsidR="00455303" w:rsidRPr="00444E4E">
        <w:rPr>
          <w:rFonts w:ascii="Cambria" w:hAnsi="Cambria"/>
          <w:sz w:val="20"/>
          <w:szCs w:val="20"/>
        </w:rPr>
        <w:t>,</w:t>
      </w:r>
      <w:r w:rsidRPr="00444E4E">
        <w:rPr>
          <w:rFonts w:ascii="Cambria" w:hAnsi="Cambria"/>
          <w:sz w:val="20"/>
          <w:szCs w:val="20"/>
        </w:rPr>
        <w:t xml:space="preserve"> until July 31, 1995, when he joined the Voluntary </w:t>
      </w:r>
      <w:r w:rsidR="00455303" w:rsidRPr="00444E4E">
        <w:rPr>
          <w:rFonts w:ascii="Cambria" w:hAnsi="Cambria"/>
          <w:sz w:val="20"/>
          <w:szCs w:val="20"/>
        </w:rPr>
        <w:t>Retirement</w:t>
      </w:r>
      <w:r w:rsidR="00E65F63" w:rsidRPr="00444E4E">
        <w:rPr>
          <w:rFonts w:ascii="Cambria" w:hAnsi="Cambria"/>
          <w:sz w:val="20"/>
          <w:szCs w:val="20"/>
        </w:rPr>
        <w:t xml:space="preserve"> Program ("</w:t>
      </w:r>
      <w:r w:rsidR="00455303" w:rsidRPr="00444E4E">
        <w:rPr>
          <w:rFonts w:asciiTheme="majorHAnsi" w:hAnsiTheme="majorHAnsi"/>
          <w:i/>
          <w:sz w:val="20"/>
          <w:szCs w:val="20"/>
        </w:rPr>
        <w:t>Plano de Desligamento Voluntário</w:t>
      </w:r>
      <w:r w:rsidRPr="00444E4E">
        <w:rPr>
          <w:rFonts w:ascii="Cambria" w:hAnsi="Cambria"/>
          <w:sz w:val="20"/>
          <w:szCs w:val="20"/>
        </w:rPr>
        <w:t xml:space="preserve">" hereafter "PDV") proposed by the bank. The PDV consisted of the payment, by the bank, </w:t>
      </w:r>
      <w:r w:rsidR="00E65F63" w:rsidRPr="00444E4E">
        <w:rPr>
          <w:rFonts w:ascii="Cambria" w:hAnsi="Cambria"/>
          <w:sz w:val="20"/>
          <w:szCs w:val="20"/>
        </w:rPr>
        <w:t>for every year</w:t>
      </w:r>
      <w:r w:rsidRPr="00444E4E">
        <w:rPr>
          <w:rFonts w:ascii="Cambria" w:hAnsi="Cambria"/>
          <w:sz w:val="20"/>
          <w:szCs w:val="20"/>
        </w:rPr>
        <w:t xml:space="preserve"> </w:t>
      </w:r>
      <w:r w:rsidR="00E65F63" w:rsidRPr="00444E4E">
        <w:rPr>
          <w:rFonts w:ascii="Cambria" w:hAnsi="Cambria"/>
          <w:sz w:val="20"/>
          <w:szCs w:val="20"/>
        </w:rPr>
        <w:t>of work</w:t>
      </w:r>
      <w:r w:rsidRPr="00444E4E">
        <w:rPr>
          <w:rFonts w:ascii="Cambria" w:hAnsi="Cambria"/>
          <w:sz w:val="20"/>
          <w:szCs w:val="20"/>
        </w:rPr>
        <w:t xml:space="preserve"> in the institution, </w:t>
      </w:r>
      <w:r w:rsidR="00455303" w:rsidRPr="00444E4E">
        <w:rPr>
          <w:rFonts w:ascii="Cambria" w:hAnsi="Cambria"/>
          <w:sz w:val="20"/>
          <w:szCs w:val="20"/>
        </w:rPr>
        <w:t xml:space="preserve">plus </w:t>
      </w:r>
      <w:r w:rsidRPr="00444E4E">
        <w:rPr>
          <w:rFonts w:ascii="Cambria" w:hAnsi="Cambria"/>
          <w:sz w:val="20"/>
          <w:szCs w:val="20"/>
        </w:rPr>
        <w:t xml:space="preserve">40% </w:t>
      </w:r>
      <w:r w:rsidR="00455303" w:rsidRPr="00444E4E">
        <w:rPr>
          <w:rFonts w:ascii="Cambria" w:hAnsi="Cambria"/>
          <w:sz w:val="20"/>
          <w:szCs w:val="20"/>
        </w:rPr>
        <w:t xml:space="preserve">of </w:t>
      </w:r>
      <w:r w:rsidRPr="00444E4E">
        <w:rPr>
          <w:rFonts w:ascii="Cambria" w:hAnsi="Cambria"/>
          <w:sz w:val="20"/>
          <w:szCs w:val="20"/>
        </w:rPr>
        <w:t>the balance of the worker's account together with the Retirement Fund ("</w:t>
      </w:r>
      <w:r w:rsidR="00455303" w:rsidRPr="00444E4E">
        <w:rPr>
          <w:rFonts w:asciiTheme="majorHAnsi" w:hAnsiTheme="majorHAnsi"/>
          <w:i/>
          <w:sz w:val="20"/>
          <w:szCs w:val="20"/>
        </w:rPr>
        <w:t>Fundo de Garantia por Tempo de Serviço</w:t>
      </w:r>
      <w:r w:rsidR="00E65F63" w:rsidRPr="00444E4E">
        <w:rPr>
          <w:rFonts w:ascii="Cambria" w:hAnsi="Cambria"/>
          <w:sz w:val="20"/>
          <w:szCs w:val="20"/>
        </w:rPr>
        <w:t>”, hereinafter "FGTS"</w:t>
      </w:r>
      <w:r w:rsidRPr="00444E4E">
        <w:rPr>
          <w:rFonts w:ascii="Cambria" w:hAnsi="Cambria"/>
          <w:sz w:val="20"/>
          <w:szCs w:val="20"/>
        </w:rPr>
        <w:t>).</w:t>
      </w:r>
      <w:r w:rsidR="002F6F6E" w:rsidRPr="00444E4E">
        <w:rPr>
          <w:rFonts w:ascii="Cambria" w:hAnsi="Cambria"/>
          <w:sz w:val="20"/>
          <w:szCs w:val="20"/>
        </w:rPr>
        <w:t xml:space="preserve"> </w:t>
      </w:r>
      <w:r w:rsidR="00E35626" w:rsidRPr="00444E4E">
        <w:rPr>
          <w:rFonts w:ascii="Cambria" w:hAnsi="Cambria"/>
          <w:sz w:val="20"/>
          <w:szCs w:val="20"/>
        </w:rPr>
        <w:t xml:space="preserve">He </w:t>
      </w:r>
      <w:r w:rsidRPr="00444E4E">
        <w:rPr>
          <w:rFonts w:ascii="Cambria" w:hAnsi="Cambria"/>
          <w:sz w:val="20"/>
          <w:szCs w:val="20"/>
        </w:rPr>
        <w:t xml:space="preserve">alleges that </w:t>
      </w:r>
      <w:r w:rsidR="00E35626" w:rsidRPr="00444E4E">
        <w:rPr>
          <w:rFonts w:ascii="Cambria" w:hAnsi="Cambria"/>
          <w:sz w:val="20"/>
          <w:szCs w:val="20"/>
        </w:rPr>
        <w:t>he</w:t>
      </w:r>
      <w:r w:rsidRPr="00444E4E">
        <w:rPr>
          <w:rFonts w:ascii="Cambria" w:hAnsi="Cambria"/>
          <w:sz w:val="20"/>
          <w:szCs w:val="20"/>
        </w:rPr>
        <w:t xml:space="preserve"> has contributed continuously to the National Social Security </w:t>
      </w:r>
      <w:r w:rsidR="00E35626" w:rsidRPr="00444E4E">
        <w:rPr>
          <w:rFonts w:ascii="Cambria" w:hAnsi="Cambria"/>
          <w:sz w:val="20"/>
          <w:szCs w:val="20"/>
        </w:rPr>
        <w:t xml:space="preserve">Institute </w:t>
      </w:r>
      <w:r w:rsidRPr="00444E4E">
        <w:rPr>
          <w:rFonts w:ascii="Cambria" w:hAnsi="Cambria"/>
          <w:sz w:val="20"/>
          <w:szCs w:val="20"/>
        </w:rPr>
        <w:t>(hereinafter "INSS") between December 1, 1969</w:t>
      </w:r>
      <w:r w:rsidR="00BE5AF9" w:rsidRPr="00444E4E">
        <w:rPr>
          <w:rFonts w:ascii="Cambria" w:hAnsi="Cambria"/>
          <w:sz w:val="20"/>
          <w:szCs w:val="20"/>
        </w:rPr>
        <w:t>,</w:t>
      </w:r>
      <w:r w:rsidRPr="00444E4E">
        <w:rPr>
          <w:rFonts w:ascii="Cambria" w:hAnsi="Cambria"/>
          <w:sz w:val="20"/>
          <w:szCs w:val="20"/>
        </w:rPr>
        <w:t xml:space="preserve"> and April 30, 2000, completing a total of 35 years and 5 months of contribution</w:t>
      </w:r>
      <w:r w:rsidR="00E35626" w:rsidRPr="00444E4E">
        <w:rPr>
          <w:rFonts w:ascii="Cambria" w:hAnsi="Cambria"/>
          <w:sz w:val="20"/>
          <w:szCs w:val="20"/>
        </w:rPr>
        <w:t>s</w:t>
      </w:r>
      <w:r w:rsidRPr="00444E4E">
        <w:rPr>
          <w:rFonts w:ascii="Cambria" w:hAnsi="Cambria"/>
          <w:sz w:val="20"/>
          <w:szCs w:val="20"/>
        </w:rPr>
        <w:t>. Of these, 25 years and 8 months were made as an employe</w:t>
      </w:r>
      <w:r w:rsidR="00E35626" w:rsidRPr="00444E4E">
        <w:rPr>
          <w:rFonts w:ascii="Cambria" w:hAnsi="Cambria"/>
          <w:sz w:val="20"/>
          <w:szCs w:val="20"/>
        </w:rPr>
        <w:t xml:space="preserve">e of </w:t>
      </w:r>
      <w:r w:rsidR="00BE5AF9" w:rsidRPr="00444E4E">
        <w:rPr>
          <w:rFonts w:ascii="Cambria" w:hAnsi="Cambria"/>
          <w:sz w:val="20"/>
          <w:szCs w:val="20"/>
        </w:rPr>
        <w:t xml:space="preserve">the </w:t>
      </w:r>
      <w:r w:rsidR="00E35626" w:rsidRPr="00444E4E">
        <w:rPr>
          <w:rFonts w:ascii="Cambria" w:hAnsi="Cambria"/>
          <w:sz w:val="20"/>
          <w:szCs w:val="20"/>
        </w:rPr>
        <w:t>Bank of Brazil</w:t>
      </w:r>
      <w:r w:rsidRPr="00444E4E">
        <w:rPr>
          <w:rFonts w:ascii="Cambria" w:hAnsi="Cambria"/>
          <w:sz w:val="20"/>
          <w:szCs w:val="20"/>
        </w:rPr>
        <w:t xml:space="preserve"> and the rest as a voluntary contributor to comply with </w:t>
      </w:r>
      <w:r w:rsidR="00E35626" w:rsidRPr="00444E4E">
        <w:rPr>
          <w:rFonts w:ascii="Cambria" w:hAnsi="Cambria"/>
          <w:sz w:val="20"/>
          <w:szCs w:val="20"/>
        </w:rPr>
        <w:t>legal requirements</w:t>
      </w:r>
      <w:r w:rsidRPr="00444E4E">
        <w:rPr>
          <w:rFonts w:ascii="Cambria" w:hAnsi="Cambria"/>
          <w:sz w:val="20"/>
          <w:szCs w:val="20"/>
        </w:rPr>
        <w:t>.</w:t>
      </w:r>
    </w:p>
    <w:p w14:paraId="5AC2BE1C" w14:textId="0ACF10C2" w:rsidR="00284573" w:rsidRPr="00444E4E" w:rsidRDefault="00741E4A"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44E4E">
        <w:rPr>
          <w:rFonts w:ascii="Cambria" w:hAnsi="Cambria"/>
          <w:sz w:val="20"/>
          <w:szCs w:val="20"/>
        </w:rPr>
        <w:t xml:space="preserve">According to the alleged victim, the law </w:t>
      </w:r>
      <w:r w:rsidR="00896002" w:rsidRPr="00444E4E">
        <w:rPr>
          <w:rFonts w:ascii="Cambria" w:hAnsi="Cambria"/>
          <w:sz w:val="20"/>
          <w:szCs w:val="20"/>
        </w:rPr>
        <w:t>in force at the time</w:t>
      </w:r>
      <w:r w:rsidRPr="00444E4E">
        <w:rPr>
          <w:rFonts w:ascii="Cambria" w:hAnsi="Cambria"/>
          <w:sz w:val="20"/>
          <w:szCs w:val="20"/>
        </w:rPr>
        <w:t xml:space="preserve"> required only a minimum </w:t>
      </w:r>
      <w:r w:rsidR="00BE5AF9" w:rsidRPr="00444E4E">
        <w:rPr>
          <w:rFonts w:ascii="Cambria" w:hAnsi="Cambria"/>
          <w:sz w:val="20"/>
          <w:szCs w:val="20"/>
        </w:rPr>
        <w:t>length of contribution consisting of</w:t>
      </w:r>
      <w:r w:rsidRPr="00444E4E">
        <w:rPr>
          <w:rFonts w:ascii="Cambria" w:hAnsi="Cambria"/>
          <w:sz w:val="20"/>
          <w:szCs w:val="20"/>
        </w:rPr>
        <w:t xml:space="preserve"> 30 years for men and 25 for women, without </w:t>
      </w:r>
      <w:r w:rsidR="00BE5AF9" w:rsidRPr="00444E4E">
        <w:rPr>
          <w:rFonts w:ascii="Cambria" w:hAnsi="Cambria"/>
          <w:sz w:val="20"/>
          <w:szCs w:val="20"/>
        </w:rPr>
        <w:t>setting</w:t>
      </w:r>
      <w:r w:rsidRPr="00444E4E">
        <w:rPr>
          <w:rFonts w:ascii="Cambria" w:hAnsi="Cambria"/>
          <w:sz w:val="20"/>
          <w:szCs w:val="20"/>
        </w:rPr>
        <w:t xml:space="preserve"> </w:t>
      </w:r>
      <w:r w:rsidR="00896002" w:rsidRPr="00444E4E">
        <w:rPr>
          <w:rFonts w:ascii="Cambria" w:hAnsi="Cambria"/>
          <w:sz w:val="20"/>
          <w:szCs w:val="20"/>
        </w:rPr>
        <w:t xml:space="preserve">a </w:t>
      </w:r>
      <w:r w:rsidRPr="00444E4E">
        <w:rPr>
          <w:rFonts w:ascii="Cambria" w:hAnsi="Cambria"/>
          <w:sz w:val="20"/>
          <w:szCs w:val="20"/>
        </w:rPr>
        <w:t xml:space="preserve">minimum age. </w:t>
      </w:r>
      <w:r w:rsidR="00653F88" w:rsidRPr="00444E4E">
        <w:rPr>
          <w:rFonts w:ascii="Cambria" w:hAnsi="Cambria"/>
          <w:sz w:val="20"/>
          <w:szCs w:val="20"/>
        </w:rPr>
        <w:t>As he understood</w:t>
      </w:r>
      <w:r w:rsidRPr="00444E4E">
        <w:rPr>
          <w:rFonts w:ascii="Cambria" w:hAnsi="Cambria"/>
          <w:sz w:val="20"/>
          <w:szCs w:val="20"/>
        </w:rPr>
        <w:t xml:space="preserve"> that he had the right to retire, he made his request to the INSS on two occasions, on December 1, 1999</w:t>
      </w:r>
      <w:r w:rsidR="00653F88" w:rsidRPr="00444E4E">
        <w:rPr>
          <w:rFonts w:ascii="Cambria" w:hAnsi="Cambria"/>
          <w:sz w:val="20"/>
          <w:szCs w:val="20"/>
        </w:rPr>
        <w:t>,</w:t>
      </w:r>
      <w:r w:rsidR="00BE5AF9" w:rsidRPr="00444E4E">
        <w:rPr>
          <w:rFonts w:ascii="Cambria" w:hAnsi="Cambria"/>
          <w:sz w:val="20"/>
          <w:szCs w:val="20"/>
        </w:rPr>
        <w:t xml:space="preserve"> and June 21, 2000.  These requests were both rejected</w:t>
      </w:r>
      <w:r w:rsidR="00653F88" w:rsidRPr="00444E4E">
        <w:rPr>
          <w:rFonts w:ascii="Cambria" w:hAnsi="Cambria"/>
          <w:sz w:val="20"/>
          <w:szCs w:val="20"/>
        </w:rPr>
        <w:t xml:space="preserve"> allegedly</w:t>
      </w:r>
      <w:r w:rsidR="000C5E87" w:rsidRPr="00444E4E">
        <w:rPr>
          <w:rFonts w:ascii="Cambria" w:hAnsi="Cambria"/>
          <w:sz w:val="20"/>
          <w:szCs w:val="20"/>
        </w:rPr>
        <w:t xml:space="preserve"> on the grounds of an amendment</w:t>
      </w:r>
      <w:r w:rsidR="00653F88" w:rsidRPr="00444E4E">
        <w:rPr>
          <w:rFonts w:ascii="Cambria" w:hAnsi="Cambria"/>
          <w:sz w:val="20"/>
          <w:szCs w:val="20"/>
        </w:rPr>
        <w:t xml:space="preserve"> made to the requirements for his retirement </w:t>
      </w:r>
      <w:r w:rsidRPr="00444E4E">
        <w:rPr>
          <w:rFonts w:ascii="Cambria" w:hAnsi="Cambria"/>
          <w:sz w:val="20"/>
          <w:szCs w:val="20"/>
        </w:rPr>
        <w:t xml:space="preserve">in an illegal and retroactive manner. In this regard, </w:t>
      </w:r>
      <w:r w:rsidR="000C5E87" w:rsidRPr="00444E4E">
        <w:rPr>
          <w:rFonts w:ascii="Cambria" w:hAnsi="Cambria"/>
          <w:sz w:val="20"/>
          <w:szCs w:val="20"/>
        </w:rPr>
        <w:t>he</w:t>
      </w:r>
      <w:r w:rsidRPr="00444E4E">
        <w:rPr>
          <w:rFonts w:ascii="Cambria" w:hAnsi="Cambria"/>
          <w:sz w:val="20"/>
          <w:szCs w:val="20"/>
        </w:rPr>
        <w:t xml:space="preserve"> indicates that </w:t>
      </w:r>
      <w:r w:rsidR="00BE5AF9" w:rsidRPr="00444E4E">
        <w:rPr>
          <w:rFonts w:ascii="Cambria" w:hAnsi="Cambria"/>
          <w:sz w:val="20"/>
          <w:szCs w:val="20"/>
        </w:rPr>
        <w:t xml:space="preserve">on </w:t>
      </w:r>
      <w:r w:rsidR="00BE5AF9" w:rsidRPr="00444E4E">
        <w:rPr>
          <w:rFonts w:asciiTheme="majorHAnsi" w:hAnsiTheme="majorHAnsi"/>
          <w:sz w:val="20"/>
          <w:szCs w:val="20"/>
        </w:rPr>
        <w:t xml:space="preserve">December 16, 1998, the adoption of </w:t>
      </w:r>
      <w:r w:rsidRPr="00444E4E">
        <w:rPr>
          <w:rFonts w:asciiTheme="majorHAnsi" w:hAnsiTheme="majorHAnsi"/>
          <w:sz w:val="20"/>
          <w:szCs w:val="20"/>
        </w:rPr>
        <w:t>Constitutional Amendment No. 20/</w:t>
      </w:r>
      <w:r w:rsidR="00BE5AF9" w:rsidRPr="00444E4E">
        <w:rPr>
          <w:rFonts w:asciiTheme="majorHAnsi" w:hAnsiTheme="majorHAnsi"/>
          <w:sz w:val="20"/>
          <w:szCs w:val="20"/>
        </w:rPr>
        <w:t>98 (hereinafter "EC 20/98")</w:t>
      </w:r>
      <w:r w:rsidRPr="00444E4E">
        <w:rPr>
          <w:rFonts w:asciiTheme="majorHAnsi" w:hAnsiTheme="majorHAnsi"/>
          <w:sz w:val="20"/>
          <w:szCs w:val="20"/>
        </w:rPr>
        <w:t xml:space="preserve"> </w:t>
      </w:r>
      <w:r w:rsidR="00BE5AF9" w:rsidRPr="00444E4E">
        <w:rPr>
          <w:rFonts w:asciiTheme="majorHAnsi" w:hAnsiTheme="majorHAnsi"/>
          <w:sz w:val="20"/>
          <w:szCs w:val="20"/>
        </w:rPr>
        <w:t>abolished</w:t>
      </w:r>
      <w:r w:rsidRPr="00444E4E">
        <w:rPr>
          <w:rFonts w:asciiTheme="majorHAnsi" w:hAnsiTheme="majorHAnsi"/>
          <w:sz w:val="20"/>
          <w:szCs w:val="20"/>
        </w:rPr>
        <w:t xml:space="preserve"> proportional retirement and changed retirement rules for </w:t>
      </w:r>
      <w:r w:rsidR="00BE5AF9" w:rsidRPr="00444E4E">
        <w:rPr>
          <w:rFonts w:asciiTheme="majorHAnsi" w:hAnsiTheme="majorHAnsi"/>
          <w:sz w:val="20"/>
          <w:szCs w:val="20"/>
        </w:rPr>
        <w:t>everyone</w:t>
      </w:r>
      <w:r w:rsidRPr="00444E4E">
        <w:rPr>
          <w:rFonts w:asciiTheme="majorHAnsi" w:hAnsiTheme="majorHAnsi"/>
          <w:sz w:val="20"/>
          <w:szCs w:val="20"/>
        </w:rPr>
        <w:t xml:space="preserve">. In the new </w:t>
      </w:r>
      <w:r w:rsidR="000C5E87" w:rsidRPr="00444E4E">
        <w:rPr>
          <w:rFonts w:asciiTheme="majorHAnsi" w:hAnsiTheme="majorHAnsi"/>
          <w:sz w:val="20"/>
          <w:szCs w:val="20"/>
        </w:rPr>
        <w:t>regime</w:t>
      </w:r>
      <w:r w:rsidRPr="00444E4E">
        <w:rPr>
          <w:rFonts w:asciiTheme="majorHAnsi" w:hAnsiTheme="majorHAnsi"/>
          <w:sz w:val="20"/>
          <w:szCs w:val="20"/>
        </w:rPr>
        <w:t>, the insured could choose between retirement by age or by contribution</w:t>
      </w:r>
      <w:r w:rsidR="000C5E87" w:rsidRPr="00444E4E">
        <w:rPr>
          <w:rFonts w:asciiTheme="majorHAnsi" w:hAnsiTheme="majorHAnsi"/>
          <w:sz w:val="20"/>
          <w:szCs w:val="20"/>
        </w:rPr>
        <w:t xml:space="preserve"> period</w:t>
      </w:r>
      <w:r w:rsidRPr="00444E4E">
        <w:rPr>
          <w:rFonts w:asciiTheme="majorHAnsi" w:hAnsiTheme="majorHAnsi"/>
          <w:sz w:val="20"/>
          <w:szCs w:val="20"/>
        </w:rPr>
        <w:t>, in addition to establishing a transition</w:t>
      </w:r>
      <w:r w:rsidR="000C5E87" w:rsidRPr="00444E4E">
        <w:rPr>
          <w:rFonts w:asciiTheme="majorHAnsi" w:hAnsiTheme="majorHAnsi"/>
          <w:sz w:val="20"/>
          <w:szCs w:val="20"/>
        </w:rPr>
        <w:t>al</w:t>
      </w:r>
      <w:r w:rsidRPr="00444E4E">
        <w:rPr>
          <w:rFonts w:asciiTheme="majorHAnsi" w:hAnsiTheme="majorHAnsi"/>
          <w:sz w:val="20"/>
          <w:szCs w:val="20"/>
        </w:rPr>
        <w:t xml:space="preserve"> rule to </w:t>
      </w:r>
      <w:r w:rsidR="000C5E87" w:rsidRPr="00444E4E">
        <w:rPr>
          <w:rFonts w:asciiTheme="majorHAnsi" w:hAnsiTheme="majorHAnsi"/>
          <w:sz w:val="20"/>
          <w:szCs w:val="20"/>
        </w:rPr>
        <w:t>deal with</w:t>
      </w:r>
      <w:r w:rsidRPr="00444E4E">
        <w:rPr>
          <w:rFonts w:asciiTheme="majorHAnsi" w:hAnsiTheme="majorHAnsi"/>
          <w:sz w:val="20"/>
          <w:szCs w:val="20"/>
        </w:rPr>
        <w:t xml:space="preserve"> </w:t>
      </w:r>
      <w:r w:rsidR="000C5E87" w:rsidRPr="00444E4E">
        <w:rPr>
          <w:rFonts w:asciiTheme="majorHAnsi" w:hAnsiTheme="majorHAnsi"/>
          <w:sz w:val="20"/>
          <w:szCs w:val="20"/>
        </w:rPr>
        <w:t>individuals</w:t>
      </w:r>
      <w:r w:rsidRPr="00444E4E">
        <w:rPr>
          <w:rFonts w:asciiTheme="majorHAnsi" w:hAnsiTheme="majorHAnsi"/>
          <w:sz w:val="20"/>
          <w:szCs w:val="20"/>
        </w:rPr>
        <w:t xml:space="preserve"> who were about to retire </w:t>
      </w:r>
      <w:r w:rsidR="000C5E87" w:rsidRPr="00444E4E">
        <w:rPr>
          <w:rFonts w:asciiTheme="majorHAnsi" w:hAnsiTheme="majorHAnsi"/>
          <w:sz w:val="20"/>
          <w:szCs w:val="20"/>
        </w:rPr>
        <w:t>at that</w:t>
      </w:r>
      <w:r w:rsidRPr="00444E4E">
        <w:rPr>
          <w:rFonts w:asciiTheme="majorHAnsi" w:hAnsiTheme="majorHAnsi"/>
          <w:sz w:val="20"/>
          <w:szCs w:val="20"/>
        </w:rPr>
        <w:t xml:space="preserve"> time. This rule had three requirements: </w:t>
      </w:r>
      <w:r w:rsidR="000C5E87" w:rsidRPr="00444E4E">
        <w:rPr>
          <w:rFonts w:asciiTheme="majorHAnsi" w:hAnsiTheme="majorHAnsi"/>
          <w:sz w:val="20"/>
          <w:szCs w:val="20"/>
        </w:rPr>
        <w:t>a</w:t>
      </w:r>
      <w:r w:rsidRPr="00444E4E">
        <w:rPr>
          <w:rFonts w:asciiTheme="majorHAnsi" w:hAnsiTheme="majorHAnsi"/>
          <w:sz w:val="20"/>
          <w:szCs w:val="20"/>
        </w:rPr>
        <w:t xml:space="preserve"> </w:t>
      </w:r>
      <w:r w:rsidR="00DA5FB3" w:rsidRPr="00444E4E">
        <w:rPr>
          <w:rFonts w:asciiTheme="majorHAnsi" w:hAnsiTheme="majorHAnsi"/>
          <w:sz w:val="20"/>
          <w:szCs w:val="20"/>
        </w:rPr>
        <w:t>minimum age of 53 years for men;</w:t>
      </w:r>
      <w:r w:rsidRPr="00444E4E">
        <w:rPr>
          <w:rFonts w:asciiTheme="majorHAnsi" w:hAnsiTheme="majorHAnsi"/>
          <w:sz w:val="20"/>
          <w:szCs w:val="20"/>
        </w:rPr>
        <w:t xml:space="preserve"> at</w:t>
      </w:r>
      <w:r w:rsidR="00DA5FB3" w:rsidRPr="00444E4E">
        <w:rPr>
          <w:rFonts w:asciiTheme="majorHAnsi" w:hAnsiTheme="majorHAnsi"/>
          <w:sz w:val="20"/>
          <w:szCs w:val="20"/>
        </w:rPr>
        <w:t xml:space="preserve"> least 30 years of contribution; and the so-called “</w:t>
      </w:r>
      <w:r w:rsidR="002F6F6E" w:rsidRPr="00444E4E">
        <w:rPr>
          <w:rFonts w:asciiTheme="majorHAnsi" w:hAnsiTheme="majorHAnsi"/>
          <w:sz w:val="20"/>
          <w:szCs w:val="20"/>
        </w:rPr>
        <w:t>pedágio</w:t>
      </w:r>
      <w:r w:rsidR="00DA5FB3" w:rsidRPr="00444E4E">
        <w:rPr>
          <w:rFonts w:asciiTheme="majorHAnsi" w:hAnsiTheme="majorHAnsi"/>
          <w:sz w:val="20"/>
          <w:szCs w:val="20"/>
        </w:rPr>
        <w:t>”, an</w:t>
      </w:r>
      <w:r w:rsidRPr="00444E4E">
        <w:rPr>
          <w:rFonts w:asciiTheme="majorHAnsi" w:hAnsiTheme="majorHAnsi"/>
          <w:sz w:val="20"/>
          <w:szCs w:val="20"/>
        </w:rPr>
        <w:t xml:space="preserve"> addition</w:t>
      </w:r>
      <w:r w:rsidR="00DA5FB3" w:rsidRPr="00444E4E">
        <w:rPr>
          <w:rFonts w:asciiTheme="majorHAnsi" w:hAnsiTheme="majorHAnsi"/>
          <w:sz w:val="20"/>
          <w:szCs w:val="20"/>
        </w:rPr>
        <w:t>al</w:t>
      </w:r>
      <w:r w:rsidRPr="00444E4E">
        <w:rPr>
          <w:rFonts w:asciiTheme="majorHAnsi" w:hAnsiTheme="majorHAnsi"/>
          <w:sz w:val="20"/>
          <w:szCs w:val="20"/>
        </w:rPr>
        <w:t xml:space="preserve"> 40% over the years </w:t>
      </w:r>
      <w:r w:rsidR="00DA5FB3" w:rsidRPr="00444E4E">
        <w:rPr>
          <w:rFonts w:asciiTheme="majorHAnsi" w:hAnsiTheme="majorHAnsi"/>
          <w:sz w:val="20"/>
          <w:szCs w:val="20"/>
        </w:rPr>
        <w:t>lacking</w:t>
      </w:r>
      <w:r w:rsidRPr="00444E4E">
        <w:rPr>
          <w:rFonts w:asciiTheme="majorHAnsi" w:hAnsiTheme="majorHAnsi"/>
          <w:sz w:val="20"/>
          <w:szCs w:val="20"/>
        </w:rPr>
        <w:t xml:space="preserve"> to complete the minimum number of</w:t>
      </w:r>
      <w:r w:rsidR="00DA5FB3" w:rsidRPr="00444E4E">
        <w:rPr>
          <w:rFonts w:asciiTheme="majorHAnsi" w:hAnsiTheme="majorHAnsi"/>
          <w:sz w:val="20"/>
          <w:szCs w:val="20"/>
        </w:rPr>
        <w:t xml:space="preserve"> years of work required by law</w:t>
      </w:r>
      <w:r w:rsidRPr="00444E4E">
        <w:rPr>
          <w:rFonts w:asciiTheme="majorHAnsi" w:hAnsiTheme="majorHAnsi"/>
          <w:sz w:val="20"/>
          <w:szCs w:val="20"/>
        </w:rPr>
        <w:t xml:space="preserve">. He states that </w:t>
      </w:r>
      <w:r w:rsidR="009E24CE" w:rsidRPr="00444E4E">
        <w:rPr>
          <w:rFonts w:asciiTheme="majorHAnsi" w:hAnsiTheme="majorHAnsi"/>
          <w:sz w:val="20"/>
          <w:szCs w:val="20"/>
        </w:rPr>
        <w:t>by requiring a minimum of 53 years of age, E</w:t>
      </w:r>
      <w:r w:rsidRPr="00444E4E">
        <w:rPr>
          <w:rFonts w:asciiTheme="majorHAnsi" w:hAnsiTheme="majorHAnsi"/>
          <w:sz w:val="20"/>
          <w:szCs w:val="20"/>
        </w:rPr>
        <w:t xml:space="preserve">C 20/98 retroactively </w:t>
      </w:r>
      <w:r w:rsidR="009E24CE" w:rsidRPr="00444E4E">
        <w:rPr>
          <w:rFonts w:asciiTheme="majorHAnsi" w:hAnsiTheme="majorHAnsi"/>
          <w:sz w:val="20"/>
          <w:szCs w:val="20"/>
        </w:rPr>
        <w:t>affected</w:t>
      </w:r>
      <w:r w:rsidRPr="00444E4E">
        <w:rPr>
          <w:rFonts w:asciiTheme="majorHAnsi" w:hAnsiTheme="majorHAnsi"/>
          <w:sz w:val="20"/>
          <w:szCs w:val="20"/>
        </w:rPr>
        <w:t xml:space="preserve"> his acquired right</w:t>
      </w:r>
      <w:r w:rsidR="000C5E87" w:rsidRPr="00444E4E">
        <w:rPr>
          <w:rFonts w:asciiTheme="majorHAnsi" w:hAnsiTheme="majorHAnsi"/>
          <w:sz w:val="20"/>
          <w:szCs w:val="20"/>
        </w:rPr>
        <w:t>s</w:t>
      </w:r>
      <w:r w:rsidRPr="00444E4E">
        <w:rPr>
          <w:rFonts w:asciiTheme="majorHAnsi" w:hAnsiTheme="majorHAnsi"/>
          <w:sz w:val="20"/>
          <w:szCs w:val="20"/>
        </w:rPr>
        <w:t>.</w:t>
      </w:r>
    </w:p>
    <w:p w14:paraId="124E1FCF" w14:textId="62E88148" w:rsidR="00284573" w:rsidRPr="00444E4E" w:rsidRDefault="00EC0B24" w:rsidP="00FD58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44E4E">
        <w:rPr>
          <w:rFonts w:asciiTheme="majorHAnsi" w:hAnsiTheme="majorHAnsi"/>
          <w:sz w:val="20"/>
          <w:szCs w:val="20"/>
        </w:rPr>
        <w:t>Therefore, he states that he filed five seperate complaints, three against the INSS (filed in 2000, 2003, and 2006) and two against the Union (filed in 2001 and 2007), with the purpose of obtaining his proportionate retirement or cancelling the retirement contract signed between the parties, receive compensation for the damages suffered, declare</w:t>
      </w:r>
      <w:r w:rsidR="00660018" w:rsidRPr="00444E4E">
        <w:rPr>
          <w:rFonts w:asciiTheme="majorHAnsi" w:hAnsiTheme="majorHAnsi"/>
          <w:sz w:val="20"/>
          <w:szCs w:val="20"/>
        </w:rPr>
        <w:t xml:space="preserve"> unconstitutional law EC 20/98 and prove that he was coerced into accepting the PDV. After filing various appeals for the said lawsuits, he alleges that all were denied by courts of second instance</w:t>
      </w:r>
      <w:r w:rsidRPr="00444E4E">
        <w:rPr>
          <w:rFonts w:asciiTheme="majorHAnsi" w:hAnsiTheme="majorHAnsi"/>
          <w:sz w:val="20"/>
          <w:szCs w:val="20"/>
        </w:rPr>
        <w:t xml:space="preserve"> </w:t>
      </w:r>
      <w:r w:rsidR="00660018" w:rsidRPr="00444E4E">
        <w:rPr>
          <w:rFonts w:asciiTheme="majorHAnsi" w:hAnsiTheme="majorHAnsi"/>
          <w:sz w:val="20"/>
          <w:szCs w:val="20"/>
        </w:rPr>
        <w:t xml:space="preserve">and/or higher. </w:t>
      </w:r>
      <w:r w:rsidR="00432B84" w:rsidRPr="00444E4E">
        <w:rPr>
          <w:rFonts w:asciiTheme="majorHAnsi" w:hAnsiTheme="majorHAnsi"/>
          <w:sz w:val="20"/>
          <w:szCs w:val="20"/>
        </w:rPr>
        <w:t>Additionally, h</w:t>
      </w:r>
      <w:r w:rsidR="00111FF6" w:rsidRPr="00444E4E">
        <w:rPr>
          <w:rFonts w:asciiTheme="majorHAnsi" w:hAnsiTheme="majorHAnsi"/>
          <w:sz w:val="20"/>
          <w:szCs w:val="20"/>
        </w:rPr>
        <w:t xml:space="preserve">e states </w:t>
      </w:r>
      <w:r w:rsidR="00741E4A" w:rsidRPr="00444E4E">
        <w:rPr>
          <w:rFonts w:asciiTheme="majorHAnsi" w:hAnsiTheme="majorHAnsi"/>
          <w:sz w:val="20"/>
          <w:szCs w:val="20"/>
        </w:rPr>
        <w:t>that during the course of the</w:t>
      </w:r>
      <w:r w:rsidR="00111FF6" w:rsidRPr="00444E4E">
        <w:rPr>
          <w:rFonts w:asciiTheme="majorHAnsi" w:hAnsiTheme="majorHAnsi"/>
          <w:sz w:val="20"/>
          <w:szCs w:val="20"/>
        </w:rPr>
        <w:t>se</w:t>
      </w:r>
      <w:r w:rsidR="00741E4A" w:rsidRPr="00444E4E">
        <w:rPr>
          <w:rFonts w:asciiTheme="majorHAnsi" w:hAnsiTheme="majorHAnsi"/>
          <w:sz w:val="20"/>
          <w:szCs w:val="20"/>
        </w:rPr>
        <w:t xml:space="preserve"> actions, disciplinary complaints were submitted to the National Council of Justice (hereinafter "CNJ") for the alleged delay in issuing decisions and the </w:t>
      </w:r>
      <w:r w:rsidR="000450DD" w:rsidRPr="00444E4E">
        <w:rPr>
          <w:rFonts w:asciiTheme="majorHAnsi" w:hAnsiTheme="majorHAnsi"/>
          <w:sz w:val="20"/>
          <w:szCs w:val="20"/>
        </w:rPr>
        <w:t>conduct</w:t>
      </w:r>
      <w:r w:rsidR="00111FF6" w:rsidRPr="00444E4E">
        <w:rPr>
          <w:rFonts w:asciiTheme="majorHAnsi" w:hAnsiTheme="majorHAnsi"/>
          <w:sz w:val="20"/>
          <w:szCs w:val="20"/>
        </w:rPr>
        <w:t xml:space="preserve"> of the judges. However, he</w:t>
      </w:r>
      <w:r w:rsidR="00741E4A" w:rsidRPr="00444E4E">
        <w:rPr>
          <w:rFonts w:asciiTheme="majorHAnsi" w:hAnsiTheme="majorHAnsi"/>
          <w:sz w:val="20"/>
          <w:szCs w:val="20"/>
        </w:rPr>
        <w:t xml:space="preserve"> alleges that the CNJ </w:t>
      </w:r>
      <w:r w:rsidR="00111FF6" w:rsidRPr="00444E4E">
        <w:rPr>
          <w:rFonts w:asciiTheme="majorHAnsi" w:hAnsiTheme="majorHAnsi"/>
          <w:sz w:val="20"/>
          <w:szCs w:val="20"/>
        </w:rPr>
        <w:t>decided that there had been no</w:t>
      </w:r>
      <w:r w:rsidR="000450DD" w:rsidRPr="00444E4E">
        <w:rPr>
          <w:rFonts w:asciiTheme="majorHAnsi" w:hAnsiTheme="majorHAnsi"/>
          <w:sz w:val="20"/>
          <w:szCs w:val="20"/>
        </w:rPr>
        <w:t xml:space="preserve"> delay in processing his claims and attributed any delay to </w:t>
      </w:r>
      <w:r w:rsidR="00741E4A" w:rsidRPr="00444E4E">
        <w:rPr>
          <w:rFonts w:asciiTheme="majorHAnsi" w:hAnsiTheme="majorHAnsi"/>
          <w:sz w:val="20"/>
          <w:szCs w:val="20"/>
        </w:rPr>
        <w:t>the alleged victim</w:t>
      </w:r>
      <w:r w:rsidR="00111FF6" w:rsidRPr="00444E4E">
        <w:rPr>
          <w:rFonts w:asciiTheme="majorHAnsi" w:hAnsiTheme="majorHAnsi"/>
          <w:sz w:val="20"/>
          <w:szCs w:val="20"/>
        </w:rPr>
        <w:t xml:space="preserve">’s </w:t>
      </w:r>
      <w:r w:rsidR="000450DD" w:rsidRPr="00444E4E">
        <w:rPr>
          <w:rFonts w:asciiTheme="majorHAnsi" w:hAnsiTheme="majorHAnsi"/>
          <w:sz w:val="20"/>
          <w:szCs w:val="20"/>
        </w:rPr>
        <w:t>conduct in the proceedings</w:t>
      </w:r>
      <w:r w:rsidR="00741E4A" w:rsidRPr="00444E4E">
        <w:rPr>
          <w:rFonts w:asciiTheme="majorHAnsi" w:hAnsiTheme="majorHAnsi"/>
          <w:sz w:val="20"/>
          <w:szCs w:val="20"/>
        </w:rPr>
        <w:t>. Finally, he argues that the differentiated retirement regime for public servants and workers in the private sector is discriminatory.</w:t>
      </w:r>
    </w:p>
    <w:p w14:paraId="2885C000" w14:textId="3FF82156" w:rsidR="00284573" w:rsidRPr="00444E4E" w:rsidRDefault="00741E4A"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44E4E">
        <w:rPr>
          <w:rFonts w:asciiTheme="majorHAnsi" w:hAnsiTheme="majorHAnsi"/>
          <w:sz w:val="20"/>
          <w:szCs w:val="20"/>
        </w:rPr>
        <w:t xml:space="preserve">The State, for its part, </w:t>
      </w:r>
      <w:r w:rsidR="003F1D4B" w:rsidRPr="00444E4E">
        <w:rPr>
          <w:rFonts w:asciiTheme="majorHAnsi" w:hAnsiTheme="majorHAnsi"/>
          <w:sz w:val="20"/>
          <w:szCs w:val="20"/>
        </w:rPr>
        <w:t>argues</w:t>
      </w:r>
      <w:r w:rsidRPr="00444E4E">
        <w:rPr>
          <w:rFonts w:asciiTheme="majorHAnsi" w:hAnsiTheme="majorHAnsi"/>
          <w:sz w:val="20"/>
          <w:szCs w:val="20"/>
        </w:rPr>
        <w:t xml:space="preserve"> that the alleged victim had not acquired the right to proportional retirement </w:t>
      </w:r>
      <w:r w:rsidR="003F1D4B" w:rsidRPr="00444E4E">
        <w:rPr>
          <w:rFonts w:asciiTheme="majorHAnsi" w:hAnsiTheme="majorHAnsi"/>
          <w:sz w:val="20"/>
          <w:szCs w:val="20"/>
        </w:rPr>
        <w:t>at the time</w:t>
      </w:r>
      <w:r w:rsidRPr="00444E4E">
        <w:rPr>
          <w:rFonts w:asciiTheme="majorHAnsi" w:hAnsiTheme="majorHAnsi"/>
          <w:sz w:val="20"/>
          <w:szCs w:val="20"/>
        </w:rPr>
        <w:t xml:space="preserve"> EC 20/98</w:t>
      </w:r>
      <w:r w:rsidR="003F1D4B" w:rsidRPr="00444E4E">
        <w:rPr>
          <w:rFonts w:asciiTheme="majorHAnsi" w:hAnsiTheme="majorHAnsi"/>
          <w:sz w:val="20"/>
          <w:szCs w:val="20"/>
        </w:rPr>
        <w:t xml:space="preserve"> was enacted.</w:t>
      </w:r>
      <w:r w:rsidRPr="00444E4E">
        <w:rPr>
          <w:rFonts w:asciiTheme="majorHAnsi" w:hAnsiTheme="majorHAnsi"/>
          <w:sz w:val="20"/>
          <w:szCs w:val="20"/>
        </w:rPr>
        <w:t xml:space="preserve"> </w:t>
      </w:r>
      <w:r w:rsidR="003F1D4B" w:rsidRPr="00444E4E">
        <w:rPr>
          <w:rFonts w:asciiTheme="majorHAnsi" w:hAnsiTheme="majorHAnsi"/>
          <w:sz w:val="20"/>
          <w:szCs w:val="20"/>
        </w:rPr>
        <w:t xml:space="preserve">Consequently, his </w:t>
      </w:r>
      <w:r w:rsidRPr="00444E4E">
        <w:rPr>
          <w:rFonts w:asciiTheme="majorHAnsi" w:hAnsiTheme="majorHAnsi"/>
          <w:sz w:val="20"/>
          <w:szCs w:val="20"/>
        </w:rPr>
        <w:t xml:space="preserve">first request, dated December 1, 1999, was </w:t>
      </w:r>
      <w:r w:rsidR="003F1D4B" w:rsidRPr="00444E4E">
        <w:rPr>
          <w:rFonts w:asciiTheme="majorHAnsi" w:hAnsiTheme="majorHAnsi"/>
          <w:sz w:val="20"/>
          <w:szCs w:val="20"/>
        </w:rPr>
        <w:t>dismissed</w:t>
      </w:r>
      <w:r w:rsidRPr="00444E4E">
        <w:rPr>
          <w:rFonts w:asciiTheme="majorHAnsi" w:hAnsiTheme="majorHAnsi"/>
          <w:sz w:val="20"/>
          <w:szCs w:val="20"/>
        </w:rPr>
        <w:t xml:space="preserve"> for lack of minimum </w:t>
      </w:r>
      <w:r w:rsidR="00754BBB" w:rsidRPr="00444E4E">
        <w:rPr>
          <w:rFonts w:asciiTheme="majorHAnsi" w:hAnsiTheme="majorHAnsi"/>
          <w:sz w:val="20"/>
          <w:szCs w:val="20"/>
        </w:rPr>
        <w:t>period</w:t>
      </w:r>
      <w:r w:rsidRPr="00444E4E">
        <w:rPr>
          <w:rFonts w:ascii="Cambria" w:hAnsi="Cambria"/>
          <w:sz w:val="20"/>
          <w:szCs w:val="20"/>
        </w:rPr>
        <w:t xml:space="preserve"> of contribution and the second, of June 21, 2000, for </w:t>
      </w:r>
      <w:r w:rsidR="003F1D4B" w:rsidRPr="00444E4E">
        <w:rPr>
          <w:rFonts w:ascii="Cambria" w:hAnsi="Cambria"/>
          <w:sz w:val="20"/>
          <w:szCs w:val="20"/>
        </w:rPr>
        <w:t xml:space="preserve">his </w:t>
      </w:r>
      <w:r w:rsidRPr="00444E4E">
        <w:rPr>
          <w:rFonts w:ascii="Cambria" w:hAnsi="Cambria"/>
          <w:sz w:val="20"/>
          <w:szCs w:val="20"/>
        </w:rPr>
        <w:t xml:space="preserve">not having </w:t>
      </w:r>
      <w:r w:rsidR="003F1D4B" w:rsidRPr="00444E4E">
        <w:rPr>
          <w:rFonts w:ascii="Cambria" w:hAnsi="Cambria"/>
          <w:sz w:val="20"/>
          <w:szCs w:val="20"/>
        </w:rPr>
        <w:t xml:space="preserve">reached </w:t>
      </w:r>
      <w:r w:rsidRPr="00444E4E">
        <w:rPr>
          <w:rFonts w:ascii="Cambria" w:hAnsi="Cambria"/>
          <w:sz w:val="20"/>
          <w:szCs w:val="20"/>
        </w:rPr>
        <w:t xml:space="preserve">the minimum age required. It indicates that Mr. Pereira </w:t>
      </w:r>
      <w:r w:rsidR="002C37BA" w:rsidRPr="00444E4E">
        <w:rPr>
          <w:rFonts w:ascii="Cambria" w:hAnsi="Cambria"/>
          <w:sz w:val="20"/>
          <w:szCs w:val="20"/>
        </w:rPr>
        <w:t>merely had an</w:t>
      </w:r>
      <w:r w:rsidRPr="00444E4E">
        <w:rPr>
          <w:rFonts w:ascii="Cambria" w:hAnsi="Cambria"/>
          <w:sz w:val="20"/>
          <w:szCs w:val="20"/>
        </w:rPr>
        <w:t xml:space="preserve"> expectation </w:t>
      </w:r>
      <w:r w:rsidR="00754BBB" w:rsidRPr="00444E4E">
        <w:rPr>
          <w:rFonts w:ascii="Cambria" w:hAnsi="Cambria"/>
          <w:sz w:val="20"/>
          <w:szCs w:val="20"/>
        </w:rPr>
        <w:t>in</w:t>
      </w:r>
      <w:r w:rsidRPr="00444E4E">
        <w:rPr>
          <w:rFonts w:ascii="Cambria" w:hAnsi="Cambria"/>
          <w:sz w:val="20"/>
          <w:szCs w:val="20"/>
        </w:rPr>
        <w:t xml:space="preserve"> law and </w:t>
      </w:r>
      <w:r w:rsidR="002C37BA" w:rsidRPr="00444E4E">
        <w:rPr>
          <w:rFonts w:ascii="Cambria" w:hAnsi="Cambria"/>
          <w:sz w:val="20"/>
          <w:szCs w:val="20"/>
        </w:rPr>
        <w:t>that the enactment of</w:t>
      </w:r>
      <w:r w:rsidRPr="00444E4E">
        <w:rPr>
          <w:rFonts w:ascii="Cambria" w:hAnsi="Cambria"/>
          <w:sz w:val="20"/>
          <w:szCs w:val="20"/>
        </w:rPr>
        <w:t xml:space="preserve"> EC 20/98 did not constitute a violation of his rights. It also maintains that States have the power to </w:t>
      </w:r>
      <w:r w:rsidR="002C37BA" w:rsidRPr="00444E4E">
        <w:rPr>
          <w:rFonts w:ascii="Cambria" w:hAnsi="Cambria"/>
          <w:sz w:val="20"/>
          <w:szCs w:val="20"/>
        </w:rPr>
        <w:t>amend</w:t>
      </w:r>
      <w:r w:rsidRPr="00444E4E">
        <w:rPr>
          <w:rFonts w:ascii="Cambria" w:hAnsi="Cambria"/>
          <w:sz w:val="20"/>
          <w:szCs w:val="20"/>
        </w:rPr>
        <w:t xml:space="preserve"> the rules </w:t>
      </w:r>
      <w:r w:rsidR="002C37BA" w:rsidRPr="00444E4E">
        <w:rPr>
          <w:rFonts w:ascii="Cambria" w:hAnsi="Cambria"/>
          <w:sz w:val="20"/>
          <w:szCs w:val="20"/>
        </w:rPr>
        <w:t>applicable</w:t>
      </w:r>
      <w:r w:rsidRPr="00444E4E">
        <w:rPr>
          <w:rFonts w:ascii="Cambria" w:hAnsi="Cambria"/>
          <w:sz w:val="20"/>
          <w:szCs w:val="20"/>
        </w:rPr>
        <w:t xml:space="preserve"> to their social security system and that </w:t>
      </w:r>
      <w:r w:rsidR="002C37BA" w:rsidRPr="00444E4E">
        <w:rPr>
          <w:rFonts w:ascii="Cambria" w:hAnsi="Cambria"/>
          <w:sz w:val="20"/>
          <w:szCs w:val="20"/>
        </w:rPr>
        <w:t>the amended</w:t>
      </w:r>
      <w:r w:rsidRPr="00444E4E">
        <w:rPr>
          <w:rFonts w:ascii="Cambria" w:hAnsi="Cambria"/>
          <w:sz w:val="20"/>
          <w:szCs w:val="20"/>
        </w:rPr>
        <w:t xml:space="preserve"> requirements did not affect the alleged victim</w:t>
      </w:r>
      <w:r w:rsidR="002C37BA" w:rsidRPr="00444E4E">
        <w:rPr>
          <w:rFonts w:ascii="Cambria" w:hAnsi="Cambria"/>
          <w:sz w:val="20"/>
          <w:szCs w:val="20"/>
        </w:rPr>
        <w:t>’s right to property</w:t>
      </w:r>
      <w:r w:rsidRPr="00444E4E">
        <w:rPr>
          <w:rFonts w:ascii="Cambria" w:hAnsi="Cambria"/>
          <w:sz w:val="20"/>
          <w:szCs w:val="20"/>
        </w:rPr>
        <w:t>.</w:t>
      </w:r>
    </w:p>
    <w:p w14:paraId="2214955B" w14:textId="57F52F59" w:rsidR="00284573" w:rsidRPr="00444E4E" w:rsidRDefault="00E9326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44E4E">
        <w:rPr>
          <w:rFonts w:ascii="Cambria" w:hAnsi="Cambria"/>
          <w:sz w:val="20"/>
          <w:szCs w:val="20"/>
        </w:rPr>
        <w:t>The State</w:t>
      </w:r>
      <w:r w:rsidR="00741E4A" w:rsidRPr="00444E4E">
        <w:rPr>
          <w:rFonts w:ascii="Cambria" w:hAnsi="Cambria"/>
          <w:sz w:val="20"/>
          <w:szCs w:val="20"/>
        </w:rPr>
        <w:t xml:space="preserve"> adds that Mr. Pereira </w:t>
      </w:r>
      <w:r w:rsidR="000D44F5" w:rsidRPr="00444E4E">
        <w:rPr>
          <w:rFonts w:ascii="Cambria" w:hAnsi="Cambria"/>
          <w:sz w:val="20"/>
          <w:szCs w:val="20"/>
        </w:rPr>
        <w:t>was</w:t>
      </w:r>
      <w:r w:rsidR="00741E4A" w:rsidRPr="00444E4E">
        <w:rPr>
          <w:rFonts w:ascii="Cambria" w:hAnsi="Cambria"/>
          <w:sz w:val="20"/>
          <w:szCs w:val="20"/>
        </w:rPr>
        <w:t xml:space="preserve"> been able to present his </w:t>
      </w:r>
      <w:r w:rsidRPr="00444E4E">
        <w:rPr>
          <w:rFonts w:ascii="Cambria" w:hAnsi="Cambria"/>
          <w:sz w:val="20"/>
          <w:szCs w:val="20"/>
        </w:rPr>
        <w:t>arguments against the enactment of</w:t>
      </w:r>
      <w:r w:rsidR="00741E4A" w:rsidRPr="00444E4E">
        <w:rPr>
          <w:rFonts w:ascii="Cambria" w:hAnsi="Cambria"/>
          <w:sz w:val="20"/>
          <w:szCs w:val="20"/>
        </w:rPr>
        <w:t xml:space="preserve"> EC 20/98, that the proceedings have been of a reasonable duration </w:t>
      </w:r>
      <w:r w:rsidR="000450DD" w:rsidRPr="00444E4E">
        <w:rPr>
          <w:rFonts w:ascii="Cambria" w:hAnsi="Cambria"/>
          <w:sz w:val="20"/>
          <w:szCs w:val="20"/>
        </w:rPr>
        <w:t xml:space="preserve">and </w:t>
      </w:r>
      <w:r w:rsidR="000D44F5" w:rsidRPr="00444E4E">
        <w:rPr>
          <w:rFonts w:ascii="Cambria" w:hAnsi="Cambria"/>
          <w:sz w:val="20"/>
          <w:szCs w:val="20"/>
        </w:rPr>
        <w:t>were</w:t>
      </w:r>
      <w:r w:rsidR="00741E4A" w:rsidRPr="00444E4E">
        <w:rPr>
          <w:rFonts w:ascii="Cambria" w:hAnsi="Cambria"/>
          <w:sz w:val="20"/>
          <w:szCs w:val="20"/>
        </w:rPr>
        <w:t xml:space="preserve"> carried out in accordance with the guarantees of due process. In this regard, it indicates that the authorities have already </w:t>
      </w:r>
      <w:r w:rsidR="000D44F5" w:rsidRPr="00444E4E">
        <w:rPr>
          <w:rFonts w:ascii="Cambria" w:hAnsi="Cambria"/>
          <w:sz w:val="20"/>
          <w:szCs w:val="20"/>
        </w:rPr>
        <w:t>decided several claims</w:t>
      </w:r>
      <w:r w:rsidR="00741E4A" w:rsidRPr="00444E4E">
        <w:rPr>
          <w:rFonts w:ascii="Cambria" w:hAnsi="Cambria"/>
          <w:sz w:val="20"/>
          <w:szCs w:val="20"/>
        </w:rPr>
        <w:t xml:space="preserve"> filed by Mr. Pereira and that </w:t>
      </w:r>
      <w:r w:rsidR="000D44F5" w:rsidRPr="00444E4E">
        <w:rPr>
          <w:rFonts w:ascii="Cambria" w:hAnsi="Cambria"/>
          <w:sz w:val="20"/>
          <w:szCs w:val="20"/>
        </w:rPr>
        <w:t xml:space="preserve">during these proceedings </w:t>
      </w:r>
      <w:r w:rsidR="00741E4A" w:rsidRPr="00444E4E">
        <w:rPr>
          <w:rFonts w:ascii="Cambria" w:hAnsi="Cambria"/>
          <w:sz w:val="20"/>
          <w:szCs w:val="20"/>
        </w:rPr>
        <w:t>he has been able to present evidence and exercise his right</w:t>
      </w:r>
      <w:r w:rsidR="000450DD" w:rsidRPr="00444E4E">
        <w:rPr>
          <w:rFonts w:ascii="Cambria" w:hAnsi="Cambria"/>
          <w:sz w:val="20"/>
          <w:szCs w:val="20"/>
        </w:rPr>
        <w:t>s</w:t>
      </w:r>
      <w:r w:rsidR="00741E4A" w:rsidRPr="00444E4E">
        <w:rPr>
          <w:rFonts w:ascii="Cambria" w:hAnsi="Cambria"/>
          <w:sz w:val="20"/>
          <w:szCs w:val="20"/>
        </w:rPr>
        <w:t xml:space="preserve"> of defense. It also alleges that </w:t>
      </w:r>
      <w:r w:rsidR="000D44F5" w:rsidRPr="00444E4E">
        <w:rPr>
          <w:rFonts w:ascii="Cambria" w:hAnsi="Cambria"/>
          <w:sz w:val="20"/>
          <w:szCs w:val="20"/>
        </w:rPr>
        <w:t>the length of</w:t>
      </w:r>
      <w:r w:rsidR="00741E4A" w:rsidRPr="00444E4E">
        <w:rPr>
          <w:rFonts w:ascii="Cambria" w:hAnsi="Cambria"/>
          <w:sz w:val="20"/>
          <w:szCs w:val="20"/>
        </w:rPr>
        <w:t xml:space="preserve"> proceedings is due to Mr. Pereira's own activity. It therefore alleges that the case </w:t>
      </w:r>
      <w:r w:rsidR="000D44F5" w:rsidRPr="00444E4E">
        <w:rPr>
          <w:rFonts w:ascii="Cambria" w:hAnsi="Cambria"/>
          <w:sz w:val="20"/>
          <w:szCs w:val="20"/>
        </w:rPr>
        <w:t>concerns the alleged victim’s</w:t>
      </w:r>
      <w:r w:rsidR="00741E4A" w:rsidRPr="00444E4E">
        <w:rPr>
          <w:rFonts w:ascii="Cambria" w:hAnsi="Cambria"/>
          <w:sz w:val="20"/>
          <w:szCs w:val="20"/>
        </w:rPr>
        <w:t xml:space="preserve"> dissatisfaction because his claims were rejected and </w:t>
      </w:r>
      <w:r w:rsidR="000D44F5" w:rsidRPr="00444E4E">
        <w:rPr>
          <w:rFonts w:ascii="Cambria" w:hAnsi="Cambria"/>
          <w:sz w:val="20"/>
          <w:szCs w:val="20"/>
        </w:rPr>
        <w:t>that the alleged victim has made no complaints</w:t>
      </w:r>
      <w:r w:rsidR="00741E4A" w:rsidRPr="00444E4E">
        <w:rPr>
          <w:rFonts w:ascii="Cambria" w:hAnsi="Cambria"/>
          <w:sz w:val="20"/>
          <w:szCs w:val="20"/>
        </w:rPr>
        <w:t xml:space="preserve"> about the impartiality of the judicial bodies or the lack of opportunity to pr</w:t>
      </w:r>
      <w:r w:rsidR="000D44F5" w:rsidRPr="00444E4E">
        <w:rPr>
          <w:rFonts w:ascii="Cambria" w:hAnsi="Cambria"/>
          <w:sz w:val="20"/>
          <w:szCs w:val="20"/>
        </w:rPr>
        <w:t>esent arguments and evidence. It</w:t>
      </w:r>
      <w:r w:rsidR="00741E4A" w:rsidRPr="00444E4E">
        <w:rPr>
          <w:rFonts w:ascii="Cambria" w:hAnsi="Cambria"/>
          <w:sz w:val="20"/>
          <w:szCs w:val="20"/>
        </w:rPr>
        <w:t xml:space="preserve"> asserts that Mr. Pereira </w:t>
      </w:r>
      <w:r w:rsidR="000D44F5" w:rsidRPr="00444E4E">
        <w:rPr>
          <w:rFonts w:ascii="Cambria" w:hAnsi="Cambria"/>
          <w:sz w:val="20"/>
          <w:szCs w:val="20"/>
        </w:rPr>
        <w:t>is claiming before</w:t>
      </w:r>
      <w:r w:rsidR="00741E4A" w:rsidRPr="00444E4E">
        <w:rPr>
          <w:rFonts w:ascii="Cambria" w:hAnsi="Cambria"/>
          <w:sz w:val="20"/>
          <w:szCs w:val="20"/>
        </w:rPr>
        <w:t xml:space="preserve"> the IACHR as a court of fourth instance.</w:t>
      </w:r>
    </w:p>
    <w:p w14:paraId="21E41E57" w14:textId="77777777" w:rsidR="00432B84" w:rsidRPr="00444E4E" w:rsidRDefault="00741E4A"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44E4E">
        <w:rPr>
          <w:rFonts w:ascii="Cambria" w:hAnsi="Cambria"/>
          <w:sz w:val="20"/>
          <w:szCs w:val="20"/>
        </w:rPr>
        <w:lastRenderedPageBreak/>
        <w:t xml:space="preserve">With </w:t>
      </w:r>
      <w:r w:rsidR="00572EB7" w:rsidRPr="00444E4E">
        <w:rPr>
          <w:rFonts w:ascii="Cambria" w:hAnsi="Cambria"/>
          <w:sz w:val="20"/>
          <w:szCs w:val="20"/>
        </w:rPr>
        <w:t>respect</w:t>
      </w:r>
      <w:r w:rsidRPr="00444E4E">
        <w:rPr>
          <w:rFonts w:ascii="Cambria" w:hAnsi="Cambria"/>
          <w:sz w:val="20"/>
          <w:szCs w:val="20"/>
        </w:rPr>
        <w:t xml:space="preserve"> to the allegation about the supposed omission of the courts to rule on the alleged unconstitutionality of EC 20/98, </w:t>
      </w:r>
      <w:r w:rsidR="00572EB7" w:rsidRPr="00444E4E">
        <w:rPr>
          <w:rFonts w:ascii="Cambria" w:hAnsi="Cambria"/>
          <w:sz w:val="20"/>
          <w:szCs w:val="20"/>
        </w:rPr>
        <w:t xml:space="preserve">the State argues </w:t>
      </w:r>
      <w:r w:rsidRPr="00444E4E">
        <w:rPr>
          <w:rFonts w:ascii="Cambria" w:hAnsi="Cambria"/>
          <w:sz w:val="20"/>
          <w:szCs w:val="20"/>
        </w:rPr>
        <w:t xml:space="preserve">that the judicial bodies have repeatedly indicated that the State has not violated the alleged victim's rights since </w:t>
      </w:r>
      <w:r w:rsidR="00572EB7" w:rsidRPr="00444E4E">
        <w:rPr>
          <w:rFonts w:ascii="Cambria" w:hAnsi="Cambria"/>
          <w:sz w:val="20"/>
          <w:szCs w:val="20"/>
        </w:rPr>
        <w:t>its decisions are reflected in law</w:t>
      </w:r>
      <w:r w:rsidRPr="00444E4E">
        <w:rPr>
          <w:rFonts w:ascii="Cambria" w:hAnsi="Cambria"/>
          <w:sz w:val="20"/>
          <w:szCs w:val="20"/>
        </w:rPr>
        <w:t xml:space="preserve"> EC 20/98. According to the State, these decisions contain an implicit response to the petitioner's allegation regarding the unconstitutionality of EC 20/98. </w:t>
      </w:r>
      <w:r w:rsidR="00572EB7" w:rsidRPr="00444E4E">
        <w:rPr>
          <w:rFonts w:ascii="Cambria" w:hAnsi="Cambria"/>
          <w:sz w:val="20"/>
          <w:szCs w:val="20"/>
        </w:rPr>
        <w:t>It points out</w:t>
      </w:r>
      <w:r w:rsidRPr="00444E4E">
        <w:rPr>
          <w:rFonts w:ascii="Cambria" w:hAnsi="Cambria"/>
          <w:sz w:val="20"/>
          <w:szCs w:val="20"/>
        </w:rPr>
        <w:t xml:space="preserve"> that </w:t>
      </w:r>
      <w:r w:rsidR="00572EB7" w:rsidRPr="00444E4E">
        <w:rPr>
          <w:rFonts w:ascii="Cambria" w:hAnsi="Cambria"/>
          <w:sz w:val="20"/>
          <w:szCs w:val="20"/>
        </w:rPr>
        <w:t>under</w:t>
      </w:r>
      <w:r w:rsidRPr="00444E4E">
        <w:rPr>
          <w:rFonts w:ascii="Cambria" w:hAnsi="Cambria"/>
          <w:sz w:val="20"/>
          <w:szCs w:val="20"/>
        </w:rPr>
        <w:t xml:space="preserve"> Brazilian law constitutionality is </w:t>
      </w:r>
      <w:r w:rsidR="00572EB7" w:rsidRPr="00444E4E">
        <w:rPr>
          <w:rFonts w:ascii="Cambria" w:hAnsi="Cambria"/>
          <w:sz w:val="20"/>
          <w:szCs w:val="20"/>
        </w:rPr>
        <w:t>the</w:t>
      </w:r>
      <w:r w:rsidRPr="00444E4E">
        <w:rPr>
          <w:rFonts w:ascii="Cambria" w:hAnsi="Cambria"/>
          <w:sz w:val="20"/>
          <w:szCs w:val="20"/>
        </w:rPr>
        <w:t xml:space="preserve"> rule and, contrary to the unconstitutionality that is an exception, </w:t>
      </w:r>
      <w:r w:rsidR="00572EB7" w:rsidRPr="00444E4E">
        <w:rPr>
          <w:rFonts w:ascii="Cambria" w:hAnsi="Cambria"/>
          <w:sz w:val="20"/>
          <w:szCs w:val="20"/>
        </w:rPr>
        <w:t xml:space="preserve">it </w:t>
      </w:r>
      <w:r w:rsidRPr="00444E4E">
        <w:rPr>
          <w:rFonts w:ascii="Cambria" w:hAnsi="Cambria"/>
          <w:sz w:val="20"/>
          <w:szCs w:val="20"/>
        </w:rPr>
        <w:t>does not require to be expressly declared.</w:t>
      </w:r>
      <w:r w:rsidR="00D46BE5" w:rsidRPr="00444E4E">
        <w:rPr>
          <w:rFonts w:ascii="Cambria" w:hAnsi="Cambria"/>
          <w:sz w:val="20"/>
          <w:szCs w:val="20"/>
        </w:rPr>
        <w:t xml:space="preserve"> </w:t>
      </w:r>
      <w:r w:rsidR="00DD2A6A" w:rsidRPr="00444E4E">
        <w:rPr>
          <w:rFonts w:ascii="Cambria" w:hAnsi="Cambria"/>
          <w:sz w:val="20"/>
          <w:szCs w:val="20"/>
        </w:rPr>
        <w:t>It emphasizes</w:t>
      </w:r>
      <w:r w:rsidR="00D46BE5" w:rsidRPr="00444E4E">
        <w:rPr>
          <w:rFonts w:ascii="Cambria" w:hAnsi="Cambria"/>
          <w:sz w:val="20"/>
          <w:szCs w:val="20"/>
        </w:rPr>
        <w:t xml:space="preserve"> that </w:t>
      </w:r>
      <w:r w:rsidR="00DD2A6A" w:rsidRPr="00444E4E">
        <w:rPr>
          <w:rFonts w:ascii="Cambria" w:hAnsi="Cambria"/>
          <w:sz w:val="20"/>
          <w:szCs w:val="20"/>
        </w:rPr>
        <w:t>it is impossible to return to the alleged victim</w:t>
      </w:r>
      <w:r w:rsidR="00D46BE5" w:rsidRPr="00444E4E">
        <w:rPr>
          <w:rFonts w:ascii="Cambria" w:hAnsi="Cambria"/>
          <w:sz w:val="20"/>
          <w:szCs w:val="20"/>
        </w:rPr>
        <w:t xml:space="preserve"> the amounts paid to the INSS during 30 years, taking into account the universal nature of social security, that is, it covers </w:t>
      </w:r>
      <w:r w:rsidR="00DD2A6A" w:rsidRPr="00444E4E">
        <w:rPr>
          <w:rFonts w:ascii="Cambria" w:hAnsi="Cambria"/>
          <w:sz w:val="20"/>
          <w:szCs w:val="20"/>
        </w:rPr>
        <w:t xml:space="preserve">not </w:t>
      </w:r>
      <w:r w:rsidR="00D46BE5" w:rsidRPr="00444E4E">
        <w:rPr>
          <w:rFonts w:ascii="Cambria" w:hAnsi="Cambria"/>
          <w:sz w:val="20"/>
          <w:szCs w:val="20"/>
        </w:rPr>
        <w:t xml:space="preserve">only retirement, but also other benefits and services, such as health and social care. </w:t>
      </w:r>
      <w:r w:rsidR="00DD2A6A" w:rsidRPr="00444E4E">
        <w:rPr>
          <w:rFonts w:ascii="Cambria" w:hAnsi="Cambria"/>
          <w:sz w:val="20"/>
          <w:szCs w:val="20"/>
        </w:rPr>
        <w:t>The State</w:t>
      </w:r>
      <w:r w:rsidR="00D46BE5" w:rsidRPr="00444E4E">
        <w:rPr>
          <w:rFonts w:ascii="Cambria" w:hAnsi="Cambria"/>
          <w:sz w:val="20"/>
          <w:szCs w:val="20"/>
        </w:rPr>
        <w:t xml:space="preserve"> also indicates that the alleged victim </w:t>
      </w:r>
      <w:r w:rsidR="00DD2A6A" w:rsidRPr="00444E4E">
        <w:rPr>
          <w:rFonts w:ascii="Cambria" w:hAnsi="Cambria"/>
          <w:sz w:val="20"/>
          <w:szCs w:val="20"/>
        </w:rPr>
        <w:t>agreed</w:t>
      </w:r>
      <w:r w:rsidR="00D46BE5" w:rsidRPr="00444E4E">
        <w:rPr>
          <w:rFonts w:ascii="Cambria" w:hAnsi="Cambria"/>
          <w:sz w:val="20"/>
          <w:szCs w:val="20"/>
        </w:rPr>
        <w:t xml:space="preserve"> to the PDV of </w:t>
      </w:r>
      <w:r w:rsidR="00DD2A6A" w:rsidRPr="00444E4E">
        <w:rPr>
          <w:rFonts w:ascii="Cambria" w:hAnsi="Cambria"/>
          <w:sz w:val="20"/>
          <w:szCs w:val="20"/>
        </w:rPr>
        <w:t>Bank of Brazil</w:t>
      </w:r>
      <w:r w:rsidR="00D46BE5" w:rsidRPr="00444E4E">
        <w:rPr>
          <w:rFonts w:ascii="Cambria" w:hAnsi="Cambria"/>
          <w:sz w:val="20"/>
          <w:szCs w:val="20"/>
        </w:rPr>
        <w:t xml:space="preserve"> in 1995, without questioning its legality. </w:t>
      </w:r>
    </w:p>
    <w:p w14:paraId="07A634D3" w14:textId="7594D8A1" w:rsidR="00D46BE5" w:rsidRPr="00444E4E" w:rsidRDefault="006A0BA3" w:rsidP="006A0BA3">
      <w:pPr>
        <w:pStyle w:val="ListParagraph"/>
        <w:numPr>
          <w:ilvl w:val="0"/>
          <w:numId w:val="103"/>
        </w:numPr>
        <w:rPr>
          <w:rFonts w:asciiTheme="majorHAnsi" w:eastAsia="Arial Unicode MS" w:hAnsiTheme="majorHAnsi" w:cs="Times New Roman"/>
          <w:color w:val="auto"/>
          <w:sz w:val="20"/>
          <w:szCs w:val="20"/>
          <w:lang w:eastAsia="en-US"/>
        </w:rPr>
      </w:pPr>
      <w:r w:rsidRPr="00444E4E">
        <w:rPr>
          <w:rFonts w:asciiTheme="majorHAnsi" w:eastAsia="Arial Unicode MS" w:hAnsiTheme="majorHAnsi" w:cs="Times New Roman"/>
          <w:color w:val="auto"/>
          <w:sz w:val="20"/>
          <w:szCs w:val="20"/>
          <w:lang w:eastAsia="en-US"/>
        </w:rPr>
        <w:t xml:space="preserve">To conclude, the State sustains that the petition is inadmissible due to a … of a violation of rights protected by the American Convention, in addition to claiming that the alleged victim uses the Inter-American Human Rights System as a “fourth instance” to domestic courts. </w:t>
      </w:r>
      <w:r w:rsidR="00D46BE5" w:rsidRPr="00444E4E">
        <w:rPr>
          <w:color w:val="auto"/>
          <w:sz w:val="20"/>
          <w:szCs w:val="20"/>
        </w:rPr>
        <w:t xml:space="preserve">Lastly, it maintains that the IACHR </w:t>
      </w:r>
      <w:r w:rsidR="00DD2A6A" w:rsidRPr="00444E4E">
        <w:rPr>
          <w:color w:val="auto"/>
          <w:sz w:val="20"/>
          <w:szCs w:val="20"/>
        </w:rPr>
        <w:t>lacks</w:t>
      </w:r>
      <w:r w:rsidR="00D46BE5" w:rsidRPr="00444E4E">
        <w:rPr>
          <w:color w:val="auto"/>
          <w:sz w:val="20"/>
          <w:szCs w:val="20"/>
        </w:rPr>
        <w:t xml:space="preserve"> jurisdiction </w:t>
      </w:r>
      <w:r w:rsidR="00D46BE5" w:rsidRPr="00444E4E">
        <w:rPr>
          <w:i/>
          <w:color w:val="auto"/>
          <w:sz w:val="20"/>
          <w:szCs w:val="20"/>
        </w:rPr>
        <w:t>ratione materiae</w:t>
      </w:r>
      <w:r w:rsidR="00D46BE5" w:rsidRPr="00444E4E">
        <w:rPr>
          <w:color w:val="auto"/>
          <w:sz w:val="20"/>
          <w:szCs w:val="20"/>
        </w:rPr>
        <w:t xml:space="preserve"> to analyze and declare alleged violations of the rights enshrined in Articles 3, 6 and 9 of the Protocol of San Salvador.</w:t>
      </w:r>
    </w:p>
    <w:p w14:paraId="55505107" w14:textId="28153572" w:rsidR="00F621C3" w:rsidRPr="00444E4E" w:rsidRDefault="00F621C3" w:rsidP="00F621C3">
      <w:pPr>
        <w:spacing w:before="240" w:after="240"/>
        <w:ind w:firstLine="720"/>
        <w:jc w:val="both"/>
        <w:rPr>
          <w:rFonts w:ascii="Cambria" w:hAnsi="Cambria"/>
          <w:sz w:val="20"/>
          <w:szCs w:val="20"/>
        </w:rPr>
      </w:pPr>
      <w:r w:rsidRPr="00444E4E">
        <w:rPr>
          <w:rFonts w:asciiTheme="majorHAnsi" w:eastAsia="Cambria" w:hAnsiTheme="majorHAnsi" w:cs="Cambria"/>
          <w:b/>
          <w:bCs/>
          <w:sz w:val="20"/>
          <w:szCs w:val="20"/>
          <w:u w:color="000000"/>
          <w:lang w:eastAsia="es-ES"/>
        </w:rPr>
        <w:t>VI.</w:t>
      </w:r>
      <w:r w:rsidRPr="00444E4E">
        <w:rPr>
          <w:rFonts w:asciiTheme="majorHAnsi" w:eastAsia="Cambria" w:hAnsiTheme="majorHAnsi" w:cs="Cambria"/>
          <w:b/>
          <w:bCs/>
          <w:sz w:val="20"/>
          <w:szCs w:val="20"/>
          <w:u w:color="000000"/>
          <w:lang w:eastAsia="es-ES"/>
        </w:rPr>
        <w:tab/>
      </w:r>
      <w:r w:rsidR="001F1902" w:rsidRPr="00444E4E">
        <w:rPr>
          <w:rFonts w:asciiTheme="majorHAnsi" w:hAnsiTheme="majorHAnsi"/>
          <w:b/>
          <w:bCs/>
          <w:sz w:val="20"/>
          <w:szCs w:val="20"/>
        </w:rPr>
        <w:t xml:space="preserve">ANALYSIS OF </w:t>
      </w:r>
      <w:r w:rsidRPr="00444E4E">
        <w:rPr>
          <w:rFonts w:asciiTheme="majorHAnsi" w:hAnsiTheme="majorHAnsi"/>
          <w:b/>
          <w:sz w:val="20"/>
          <w:szCs w:val="20"/>
        </w:rPr>
        <w:t>EXHAUSTION OF DOMESTIC REMEDIES AND TIMELINESS OF THE PETITION</w:t>
      </w:r>
      <w:r w:rsidRPr="00444E4E">
        <w:rPr>
          <w:rFonts w:asciiTheme="majorHAnsi" w:eastAsia="Cambria" w:hAnsiTheme="majorHAnsi" w:cs="Cambria"/>
          <w:b/>
          <w:bCs/>
          <w:sz w:val="20"/>
          <w:szCs w:val="20"/>
          <w:u w:color="000000"/>
          <w:lang w:eastAsia="es-ES"/>
        </w:rPr>
        <w:t xml:space="preserve"> </w:t>
      </w:r>
    </w:p>
    <w:p w14:paraId="0D31129D" w14:textId="76B73C4E" w:rsidR="00432B84" w:rsidRPr="00444E4E" w:rsidRDefault="00D46BE5" w:rsidP="00432B8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rPr>
      </w:pPr>
      <w:r w:rsidRPr="00444E4E">
        <w:rPr>
          <w:rFonts w:ascii="Cambria" w:hAnsi="Cambria"/>
          <w:sz w:val="20"/>
          <w:szCs w:val="20"/>
        </w:rPr>
        <w:t xml:space="preserve">The alleged victim </w:t>
      </w:r>
      <w:r w:rsidR="00485EF8" w:rsidRPr="00444E4E">
        <w:rPr>
          <w:rFonts w:ascii="Cambria" w:hAnsi="Cambria"/>
          <w:sz w:val="20"/>
          <w:szCs w:val="20"/>
        </w:rPr>
        <w:t>argues</w:t>
      </w:r>
      <w:r w:rsidRPr="00444E4E">
        <w:rPr>
          <w:rFonts w:ascii="Cambria" w:hAnsi="Cambria"/>
          <w:sz w:val="20"/>
          <w:szCs w:val="20"/>
        </w:rPr>
        <w:t xml:space="preserve"> that domestic remedies were exhausted with the decision of the Special Chamber of the STJ of September 18, 2013, in the proceedings for the claim filed on July 19, 2000. </w:t>
      </w:r>
      <w:r w:rsidR="006A0BA3" w:rsidRPr="00444E4E">
        <w:rPr>
          <w:rFonts w:asciiTheme="majorHAnsi" w:hAnsiTheme="majorHAnsi"/>
          <w:sz w:val="20"/>
          <w:szCs w:val="20"/>
        </w:rPr>
        <w:t xml:space="preserve">The State, in turn, does not address the exhaustion of domestic remedies, however, submits that the alleged victim wishes to use the Inter-American System to review the merits of </w:t>
      </w:r>
      <w:r w:rsidR="00AC0A40" w:rsidRPr="00444E4E">
        <w:rPr>
          <w:rFonts w:asciiTheme="majorHAnsi" w:hAnsiTheme="majorHAnsi"/>
          <w:sz w:val="20"/>
          <w:szCs w:val="20"/>
        </w:rPr>
        <w:t>domestic rulings.</w:t>
      </w:r>
      <w:r w:rsidR="006A0BA3" w:rsidRPr="00444E4E">
        <w:rPr>
          <w:rFonts w:asciiTheme="majorHAnsi" w:hAnsiTheme="majorHAnsi"/>
          <w:sz w:val="20"/>
          <w:szCs w:val="20"/>
        </w:rPr>
        <w:t xml:space="preserve"> </w:t>
      </w:r>
    </w:p>
    <w:p w14:paraId="07DAFA9C" w14:textId="2278BE81" w:rsidR="00284573" w:rsidRPr="00444E4E" w:rsidRDefault="00D46BE5"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44E4E">
        <w:rPr>
          <w:rFonts w:ascii="Cambria" w:hAnsi="Cambria"/>
          <w:sz w:val="20"/>
          <w:szCs w:val="20"/>
        </w:rPr>
        <w:t xml:space="preserve">The Commission recalls that the analysis of the requirement of exhaustion of domestic remedies is made in light of the situation of these remedies at the time when the Commission decides on the admissibility of a petition. In this regard, the Commission </w:t>
      </w:r>
      <w:r w:rsidR="00485EF8" w:rsidRPr="00444E4E">
        <w:rPr>
          <w:rFonts w:ascii="Cambria" w:hAnsi="Cambria"/>
          <w:sz w:val="20"/>
          <w:szCs w:val="20"/>
        </w:rPr>
        <w:t>confirms</w:t>
      </w:r>
      <w:r w:rsidRPr="00444E4E">
        <w:rPr>
          <w:rFonts w:ascii="Cambria" w:hAnsi="Cambria"/>
          <w:sz w:val="20"/>
          <w:szCs w:val="20"/>
        </w:rPr>
        <w:t xml:space="preserve"> that, according to information provided by the parties and publicly available information: i) the </w:t>
      </w:r>
      <w:r w:rsidR="00485EF8" w:rsidRPr="00444E4E">
        <w:rPr>
          <w:rFonts w:ascii="Cambria" w:hAnsi="Cambria"/>
          <w:sz w:val="20"/>
          <w:szCs w:val="20"/>
        </w:rPr>
        <w:t>year 2000 claim</w:t>
      </w:r>
      <w:r w:rsidRPr="00444E4E">
        <w:rPr>
          <w:rFonts w:ascii="Cambria" w:hAnsi="Cambria"/>
          <w:sz w:val="20"/>
          <w:szCs w:val="20"/>
        </w:rPr>
        <w:t xml:space="preserve"> ended on November 28, 2013; ii) the 2001 lawsuit ended on October 19, 2015; iii) the 2003 lawsuit was definitively </w:t>
      </w:r>
      <w:r w:rsidR="00485EF8" w:rsidRPr="00444E4E">
        <w:rPr>
          <w:rFonts w:ascii="Cambria" w:hAnsi="Cambria"/>
          <w:sz w:val="20"/>
          <w:szCs w:val="20"/>
        </w:rPr>
        <w:t>archived</w:t>
      </w:r>
      <w:r w:rsidRPr="00444E4E">
        <w:rPr>
          <w:rFonts w:ascii="Cambria" w:hAnsi="Cambria"/>
          <w:sz w:val="20"/>
          <w:szCs w:val="20"/>
        </w:rPr>
        <w:t xml:space="preserve"> on November 11, 2011</w:t>
      </w:r>
      <w:r w:rsidR="00BB4F44" w:rsidRPr="00444E4E">
        <w:rPr>
          <w:rFonts w:ascii="Cambria" w:hAnsi="Cambria"/>
          <w:sz w:val="20"/>
          <w:szCs w:val="20"/>
        </w:rPr>
        <w:t>,</w:t>
      </w:r>
      <w:r w:rsidRPr="00444E4E">
        <w:rPr>
          <w:rFonts w:ascii="Cambria" w:hAnsi="Cambria"/>
          <w:sz w:val="20"/>
          <w:szCs w:val="20"/>
        </w:rPr>
        <w:t xml:space="preserve"> due to the withdrawal of the alleged victim; iv) the 2006 lawsuit ended on May 13, 2010 and; v) the 2007 lawsuit ended on October 28, 2015.</w:t>
      </w:r>
    </w:p>
    <w:p w14:paraId="2C476141" w14:textId="26B31BD1" w:rsidR="00284573" w:rsidRPr="00444E4E" w:rsidRDefault="00485EF8"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44E4E">
        <w:rPr>
          <w:rFonts w:ascii="Cambria" w:hAnsi="Cambria"/>
          <w:sz w:val="20"/>
          <w:szCs w:val="20"/>
        </w:rPr>
        <w:t>In view of the fact</w:t>
      </w:r>
      <w:r w:rsidR="00D46BE5" w:rsidRPr="00444E4E">
        <w:rPr>
          <w:rFonts w:ascii="Cambria" w:hAnsi="Cambria"/>
          <w:sz w:val="20"/>
          <w:szCs w:val="20"/>
        </w:rPr>
        <w:t xml:space="preserve"> that the purpose of these </w:t>
      </w:r>
      <w:r w:rsidR="00BB4F44" w:rsidRPr="00444E4E">
        <w:rPr>
          <w:rFonts w:ascii="Cambria" w:hAnsi="Cambria"/>
          <w:sz w:val="20"/>
          <w:szCs w:val="20"/>
        </w:rPr>
        <w:t>claims</w:t>
      </w:r>
      <w:r w:rsidR="00D46BE5" w:rsidRPr="00444E4E">
        <w:rPr>
          <w:rFonts w:ascii="Cambria" w:hAnsi="Cambria"/>
          <w:sz w:val="20"/>
          <w:szCs w:val="20"/>
        </w:rPr>
        <w:t xml:space="preserve"> was to hold the State </w:t>
      </w:r>
      <w:r w:rsidRPr="00444E4E">
        <w:rPr>
          <w:rFonts w:ascii="Cambria" w:hAnsi="Cambria"/>
          <w:sz w:val="20"/>
          <w:szCs w:val="20"/>
        </w:rPr>
        <w:t xml:space="preserve">liable </w:t>
      </w:r>
      <w:r w:rsidR="00D46BE5" w:rsidRPr="00444E4E">
        <w:rPr>
          <w:rFonts w:ascii="Cambria" w:hAnsi="Cambria"/>
          <w:sz w:val="20"/>
          <w:szCs w:val="20"/>
        </w:rPr>
        <w:t xml:space="preserve">for alleged damages suffered due to the </w:t>
      </w:r>
      <w:r w:rsidR="00BB4F44" w:rsidRPr="00444E4E">
        <w:rPr>
          <w:rFonts w:ascii="Cambria" w:hAnsi="Cambria"/>
          <w:sz w:val="20"/>
          <w:szCs w:val="20"/>
        </w:rPr>
        <w:t>enactment of</w:t>
      </w:r>
      <w:r w:rsidRPr="00444E4E">
        <w:rPr>
          <w:rFonts w:ascii="Cambria" w:hAnsi="Cambria"/>
          <w:sz w:val="20"/>
          <w:szCs w:val="20"/>
        </w:rPr>
        <w:t xml:space="preserve"> EC 20/98 and the denial </w:t>
      </w:r>
      <w:r w:rsidR="00BB4F44" w:rsidRPr="00444E4E">
        <w:rPr>
          <w:rFonts w:ascii="Cambria" w:hAnsi="Cambria"/>
          <w:sz w:val="20"/>
          <w:szCs w:val="20"/>
        </w:rPr>
        <w:t>of access to his</w:t>
      </w:r>
      <w:r w:rsidR="00D46BE5" w:rsidRPr="00444E4E">
        <w:rPr>
          <w:rFonts w:ascii="Cambria" w:hAnsi="Cambria"/>
          <w:sz w:val="20"/>
          <w:szCs w:val="20"/>
        </w:rPr>
        <w:t xml:space="preserve"> retirement, the Commission considers that the State was aware of this situation </w:t>
      </w:r>
      <w:r w:rsidRPr="00444E4E">
        <w:rPr>
          <w:rFonts w:ascii="Cambria" w:hAnsi="Cambria"/>
          <w:sz w:val="20"/>
          <w:szCs w:val="20"/>
        </w:rPr>
        <w:t>due to several internal proceedings</w:t>
      </w:r>
      <w:r w:rsidR="00D46BE5" w:rsidRPr="00444E4E">
        <w:rPr>
          <w:rFonts w:ascii="Cambria" w:hAnsi="Cambria"/>
          <w:sz w:val="20"/>
          <w:szCs w:val="20"/>
        </w:rPr>
        <w:t xml:space="preserve"> already resolved, satisfying the requirement of Article 46.1.a of the American Convention. Therefore, it considers that the domestic remedies were exhausted on October 19, 2015</w:t>
      </w:r>
      <w:r w:rsidRPr="00444E4E">
        <w:rPr>
          <w:rFonts w:ascii="Cambria" w:hAnsi="Cambria"/>
          <w:sz w:val="20"/>
          <w:szCs w:val="20"/>
        </w:rPr>
        <w:t>,</w:t>
      </w:r>
      <w:r w:rsidR="00D46BE5" w:rsidRPr="00444E4E">
        <w:rPr>
          <w:rFonts w:ascii="Cambria" w:hAnsi="Cambria"/>
          <w:sz w:val="20"/>
          <w:szCs w:val="20"/>
        </w:rPr>
        <w:t xml:space="preserve"> and </w:t>
      </w:r>
      <w:r w:rsidRPr="00444E4E">
        <w:rPr>
          <w:rFonts w:ascii="Cambria" w:hAnsi="Cambria"/>
          <w:sz w:val="20"/>
          <w:szCs w:val="20"/>
        </w:rPr>
        <w:t xml:space="preserve">that </w:t>
      </w:r>
      <w:r w:rsidR="00D46BE5" w:rsidRPr="00444E4E">
        <w:rPr>
          <w:rFonts w:ascii="Cambria" w:hAnsi="Cambria"/>
          <w:sz w:val="20"/>
          <w:szCs w:val="20"/>
        </w:rPr>
        <w:t xml:space="preserve">the admissibility requirement regarding the filing period </w:t>
      </w:r>
      <w:r w:rsidRPr="00444E4E">
        <w:rPr>
          <w:rFonts w:ascii="Cambria" w:hAnsi="Cambria"/>
          <w:sz w:val="20"/>
          <w:szCs w:val="20"/>
        </w:rPr>
        <w:t xml:space="preserve">is </w:t>
      </w:r>
      <w:r w:rsidR="00D46BE5" w:rsidRPr="00444E4E">
        <w:rPr>
          <w:rFonts w:ascii="Cambria" w:hAnsi="Cambria"/>
          <w:sz w:val="20"/>
          <w:szCs w:val="20"/>
        </w:rPr>
        <w:t>satisfied.</w:t>
      </w:r>
    </w:p>
    <w:p w14:paraId="65290B99" w14:textId="6EA60A41" w:rsidR="00284573" w:rsidRPr="00444E4E" w:rsidRDefault="00D46BE5" w:rsidP="00BB4F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44E4E">
        <w:rPr>
          <w:rFonts w:ascii="Cambria" w:hAnsi="Cambria"/>
          <w:sz w:val="20"/>
          <w:szCs w:val="20"/>
        </w:rPr>
        <w:t xml:space="preserve">Regarding the </w:t>
      </w:r>
      <w:r w:rsidR="00BB4F44" w:rsidRPr="00444E4E">
        <w:rPr>
          <w:rFonts w:ascii="Cambria" w:hAnsi="Cambria"/>
          <w:sz w:val="20"/>
          <w:szCs w:val="20"/>
        </w:rPr>
        <w:t xml:space="preserve">challenge to the </w:t>
      </w:r>
      <w:r w:rsidRPr="00444E4E">
        <w:rPr>
          <w:rFonts w:ascii="Cambria" w:hAnsi="Cambria"/>
          <w:sz w:val="20"/>
          <w:szCs w:val="20"/>
        </w:rPr>
        <w:t xml:space="preserve">constitutionality of EC 20/98, the Commission notes that the courts of first and second instance, </w:t>
      </w:r>
      <w:r w:rsidR="00BB6E4A" w:rsidRPr="00444E4E">
        <w:rPr>
          <w:rFonts w:ascii="Cambria" w:hAnsi="Cambria"/>
          <w:sz w:val="20"/>
          <w:szCs w:val="20"/>
        </w:rPr>
        <w:t>when</w:t>
      </w:r>
      <w:r w:rsidR="00421BBC" w:rsidRPr="00444E4E">
        <w:rPr>
          <w:rFonts w:ascii="Cambria" w:hAnsi="Cambria"/>
          <w:sz w:val="20"/>
          <w:szCs w:val="20"/>
        </w:rPr>
        <w:t xml:space="preserve"> resolving the</w:t>
      </w:r>
      <w:r w:rsidRPr="00444E4E">
        <w:rPr>
          <w:rFonts w:ascii="Cambria" w:hAnsi="Cambria"/>
          <w:sz w:val="20"/>
          <w:szCs w:val="20"/>
        </w:rPr>
        <w:t xml:space="preserve"> 2000 and 2001 lawsuits, decided this point. </w:t>
      </w:r>
      <w:r w:rsidR="00421BBC" w:rsidRPr="00444E4E">
        <w:rPr>
          <w:rFonts w:ascii="Cambria" w:hAnsi="Cambria"/>
          <w:sz w:val="20"/>
          <w:szCs w:val="20"/>
        </w:rPr>
        <w:t>Thus</w:t>
      </w:r>
      <w:r w:rsidRPr="00444E4E">
        <w:rPr>
          <w:rFonts w:ascii="Cambria" w:hAnsi="Cambria"/>
          <w:sz w:val="20"/>
          <w:szCs w:val="20"/>
        </w:rPr>
        <w:t xml:space="preserve">, the Commission understands that the alleged victim did everything in his power to challenge the constitutionality of </w:t>
      </w:r>
      <w:r w:rsidR="00421BBC" w:rsidRPr="00444E4E">
        <w:rPr>
          <w:rFonts w:ascii="Cambria" w:hAnsi="Cambria"/>
          <w:sz w:val="20"/>
          <w:szCs w:val="20"/>
        </w:rPr>
        <w:t>this</w:t>
      </w:r>
      <w:r w:rsidRPr="00444E4E">
        <w:rPr>
          <w:rFonts w:ascii="Cambria" w:hAnsi="Cambria"/>
          <w:sz w:val="20"/>
          <w:szCs w:val="20"/>
        </w:rPr>
        <w:t xml:space="preserve"> amendment</w:t>
      </w:r>
      <w:r w:rsidR="00421BBC" w:rsidRPr="00444E4E">
        <w:rPr>
          <w:rFonts w:ascii="Cambria" w:hAnsi="Cambria"/>
          <w:sz w:val="20"/>
          <w:szCs w:val="20"/>
        </w:rPr>
        <w:t>, given that domestic law</w:t>
      </w:r>
      <w:r w:rsidR="00BB4F44" w:rsidRPr="00444E4E">
        <w:rPr>
          <w:rFonts w:ascii="Cambria" w:hAnsi="Cambria"/>
          <w:sz w:val="20"/>
          <w:szCs w:val="20"/>
        </w:rPr>
        <w:t xml:space="preserve"> does not provide an autonomous remedy for him to redress the situation</w:t>
      </w:r>
      <w:r w:rsidRPr="00444E4E">
        <w:rPr>
          <w:rFonts w:ascii="Cambria" w:hAnsi="Cambria"/>
          <w:sz w:val="20"/>
          <w:szCs w:val="20"/>
        </w:rPr>
        <w:t>. Thus, on this point</w:t>
      </w:r>
      <w:r w:rsidR="00421BBC" w:rsidRPr="00444E4E">
        <w:rPr>
          <w:rFonts w:ascii="Cambria" w:hAnsi="Cambria"/>
          <w:sz w:val="20"/>
          <w:szCs w:val="20"/>
        </w:rPr>
        <w:t>,</w:t>
      </w:r>
      <w:r w:rsidRPr="00444E4E">
        <w:rPr>
          <w:rFonts w:ascii="Cambria" w:hAnsi="Cambria"/>
          <w:sz w:val="20"/>
          <w:szCs w:val="20"/>
        </w:rPr>
        <w:t xml:space="preserve"> </w:t>
      </w:r>
      <w:r w:rsidR="00421BBC" w:rsidRPr="00444E4E">
        <w:rPr>
          <w:rFonts w:ascii="Cambria" w:hAnsi="Cambria"/>
          <w:sz w:val="20"/>
          <w:szCs w:val="20"/>
        </w:rPr>
        <w:t>the Commission</w:t>
      </w:r>
      <w:r w:rsidRPr="00444E4E">
        <w:rPr>
          <w:rFonts w:ascii="Cambria" w:hAnsi="Cambria"/>
          <w:sz w:val="20"/>
          <w:szCs w:val="20"/>
        </w:rPr>
        <w:t xml:space="preserve"> also considers the requirement of Article 46.1.a of the American Convention</w:t>
      </w:r>
      <w:r w:rsidR="00BB4F44" w:rsidRPr="00444E4E">
        <w:rPr>
          <w:rFonts w:ascii="Cambria" w:hAnsi="Cambria"/>
          <w:sz w:val="20"/>
          <w:szCs w:val="20"/>
        </w:rPr>
        <w:t xml:space="preserve"> to have been satisfied.</w:t>
      </w:r>
    </w:p>
    <w:p w14:paraId="378478A0" w14:textId="50B01E58" w:rsidR="00F621C3" w:rsidRPr="00444E4E" w:rsidRDefault="00F621C3" w:rsidP="00F621C3">
      <w:pPr>
        <w:pStyle w:val="ListParagraph"/>
        <w:spacing w:before="240" w:after="240"/>
        <w:jc w:val="both"/>
        <w:rPr>
          <w:rFonts w:asciiTheme="majorHAnsi" w:hAnsiTheme="majorHAnsi"/>
          <w:b/>
          <w:color w:val="auto"/>
          <w:sz w:val="20"/>
          <w:szCs w:val="20"/>
        </w:rPr>
      </w:pPr>
      <w:r w:rsidRPr="00444E4E">
        <w:rPr>
          <w:rFonts w:asciiTheme="majorHAnsi" w:hAnsiTheme="majorHAnsi"/>
          <w:b/>
          <w:bCs/>
          <w:color w:val="auto"/>
          <w:sz w:val="20"/>
          <w:szCs w:val="20"/>
        </w:rPr>
        <w:t>VII.</w:t>
      </w:r>
      <w:r w:rsidRPr="00444E4E">
        <w:rPr>
          <w:rFonts w:asciiTheme="majorHAnsi" w:hAnsiTheme="majorHAnsi"/>
          <w:b/>
          <w:bCs/>
          <w:color w:val="auto"/>
          <w:sz w:val="20"/>
          <w:szCs w:val="20"/>
        </w:rPr>
        <w:tab/>
      </w:r>
      <w:r w:rsidR="001F1902" w:rsidRPr="00444E4E">
        <w:rPr>
          <w:rFonts w:asciiTheme="majorHAnsi" w:hAnsiTheme="majorHAnsi"/>
          <w:b/>
          <w:bCs/>
          <w:color w:val="auto"/>
          <w:sz w:val="20"/>
          <w:szCs w:val="20"/>
        </w:rPr>
        <w:t xml:space="preserve">ANALYSIS OF </w:t>
      </w:r>
      <w:r w:rsidRPr="00444E4E">
        <w:rPr>
          <w:rFonts w:asciiTheme="majorHAnsi" w:hAnsiTheme="majorHAnsi"/>
          <w:b/>
          <w:bCs/>
          <w:color w:val="auto"/>
          <w:sz w:val="20"/>
          <w:szCs w:val="20"/>
        </w:rPr>
        <w:t>COLORABLE CLAIM</w:t>
      </w:r>
    </w:p>
    <w:p w14:paraId="6AEEF2E2" w14:textId="30569479" w:rsidR="00432B84" w:rsidRPr="00546F97" w:rsidRDefault="00AC0A40" w:rsidP="000818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44E4E">
        <w:rPr>
          <w:rFonts w:ascii="Cambria" w:hAnsi="Cambria"/>
          <w:sz w:val="20"/>
          <w:szCs w:val="20"/>
        </w:rPr>
        <w:t>In view of the</w:t>
      </w:r>
      <w:r w:rsidR="00996629" w:rsidRPr="00444E4E">
        <w:rPr>
          <w:rFonts w:ascii="Cambria" w:hAnsi="Cambria"/>
          <w:sz w:val="20"/>
          <w:szCs w:val="20"/>
        </w:rPr>
        <w:t xml:space="preserve"> elements of fact and law presented by the parties and the nature of the matter brought to its </w:t>
      </w:r>
      <w:r w:rsidR="00996629" w:rsidRPr="00546F97">
        <w:rPr>
          <w:rFonts w:ascii="Cambria" w:hAnsi="Cambria"/>
          <w:sz w:val="20"/>
          <w:szCs w:val="20"/>
        </w:rPr>
        <w:t xml:space="preserve">attention, the Commission believes that the facts outlined by the alleged victim </w:t>
      </w:r>
      <w:r w:rsidR="00A80CFD" w:rsidRPr="00546F97">
        <w:rPr>
          <w:rFonts w:ascii="Cambria" w:hAnsi="Cambria"/>
          <w:sz w:val="20"/>
          <w:szCs w:val="20"/>
        </w:rPr>
        <w:t xml:space="preserve">do not characterize violations to the rights enshrined in articles 8,9, 21, and 25 of the American Convention. </w:t>
      </w:r>
      <w:r w:rsidR="00714B5C" w:rsidRPr="00546F97">
        <w:rPr>
          <w:rFonts w:ascii="Cambria" w:hAnsi="Cambria"/>
          <w:sz w:val="20"/>
          <w:szCs w:val="20"/>
        </w:rPr>
        <w:t xml:space="preserve">In this regard, the Commission observes that the </w:t>
      </w:r>
      <w:r w:rsidR="00846923" w:rsidRPr="00546F97">
        <w:rPr>
          <w:rFonts w:ascii="Cambria" w:hAnsi="Cambria"/>
          <w:sz w:val="20"/>
          <w:szCs w:val="20"/>
        </w:rPr>
        <w:t>claim</w:t>
      </w:r>
      <w:r w:rsidR="00D155BE" w:rsidRPr="00546F97">
        <w:rPr>
          <w:rFonts w:ascii="Cambria" w:hAnsi="Cambria"/>
          <w:sz w:val="20"/>
          <w:szCs w:val="20"/>
        </w:rPr>
        <w:t xml:space="preserve"> turns out to be an issue relating to the enactment of EC 20/98 which modified the</w:t>
      </w:r>
      <w:r w:rsidR="008224ED" w:rsidRPr="00546F97">
        <w:rPr>
          <w:rFonts w:ascii="Cambria" w:hAnsi="Cambria"/>
          <w:sz w:val="20"/>
          <w:szCs w:val="20"/>
        </w:rPr>
        <w:t xml:space="preserve"> retirement requirements in Brazil and the alleged</w:t>
      </w:r>
      <w:r w:rsidR="00846923" w:rsidRPr="00546F97">
        <w:rPr>
          <w:rFonts w:ascii="Cambria" w:hAnsi="Cambria"/>
          <w:sz w:val="20"/>
          <w:szCs w:val="20"/>
        </w:rPr>
        <w:t xml:space="preserve"> injuries suffered by the alleged victim as a result to these modifications, everything examined and resolved by the local judiciary authorities </w:t>
      </w:r>
      <w:r w:rsidR="00846923" w:rsidRPr="00546F97">
        <w:rPr>
          <w:rFonts w:ascii="Cambria" w:hAnsi="Cambria"/>
          <w:sz w:val="20"/>
          <w:szCs w:val="20"/>
        </w:rPr>
        <w:lastRenderedPageBreak/>
        <w:t xml:space="preserve">involved, as seen in the copies of case files sent. In this regard, </w:t>
      </w:r>
      <w:r w:rsidR="00BB40DD" w:rsidRPr="00546F97">
        <w:rPr>
          <w:rFonts w:ascii="Cambria" w:hAnsi="Cambria"/>
          <w:sz w:val="20"/>
          <w:szCs w:val="20"/>
        </w:rPr>
        <w:t xml:space="preserve">it should be noted that the Commission is not authorized to review judgments rendered by national courts that </w:t>
      </w:r>
      <w:r w:rsidR="0095689C" w:rsidRPr="00546F97">
        <w:rPr>
          <w:rFonts w:ascii="Cambria" w:hAnsi="Cambria"/>
          <w:sz w:val="20"/>
          <w:szCs w:val="20"/>
        </w:rPr>
        <w:t>operate</w:t>
      </w:r>
      <w:r w:rsidR="00BB40DD" w:rsidRPr="00546F97">
        <w:rPr>
          <w:rFonts w:ascii="Cambria" w:hAnsi="Cambria"/>
          <w:sz w:val="20"/>
          <w:szCs w:val="20"/>
        </w:rPr>
        <w:t xml:space="preserve"> within their jurisdiction and</w:t>
      </w:r>
      <w:r w:rsidR="001105ED" w:rsidRPr="00546F97">
        <w:rPr>
          <w:rFonts w:ascii="Cambria" w:hAnsi="Cambria"/>
          <w:sz w:val="20"/>
          <w:szCs w:val="20"/>
        </w:rPr>
        <w:t xml:space="preserve"> apply the due legal safeguards unless a it is found that one of the rights</w:t>
      </w:r>
      <w:r w:rsidR="00081896" w:rsidRPr="00546F97">
        <w:rPr>
          <w:rFonts w:ascii="Cambria" w:hAnsi="Cambria"/>
          <w:sz w:val="20"/>
          <w:szCs w:val="20"/>
        </w:rPr>
        <w:t xml:space="preserve"> protected by the American Convention</w:t>
      </w:r>
      <w:r w:rsidR="00432B84" w:rsidRPr="00546F97">
        <w:rPr>
          <w:rFonts w:ascii="Cambria" w:hAnsi="Cambria"/>
          <w:sz w:val="20"/>
          <w:szCs w:val="20"/>
          <w:vertAlign w:val="superscript"/>
        </w:rPr>
        <w:footnoteReference w:id="6"/>
      </w:r>
      <w:r w:rsidR="00432B84" w:rsidRPr="00546F97">
        <w:rPr>
          <w:rFonts w:ascii="Cambria" w:hAnsi="Cambria"/>
          <w:sz w:val="20"/>
          <w:szCs w:val="20"/>
        </w:rPr>
        <w:t xml:space="preserve"> </w:t>
      </w:r>
      <w:r w:rsidR="00081896" w:rsidRPr="00546F97">
        <w:rPr>
          <w:rFonts w:ascii="Cambria" w:hAnsi="Cambria"/>
          <w:sz w:val="20"/>
          <w:szCs w:val="20"/>
        </w:rPr>
        <w:t xml:space="preserve">and, in the case in question, </w:t>
      </w:r>
      <w:r w:rsidR="00FB275A" w:rsidRPr="00546F97">
        <w:rPr>
          <w:rFonts w:ascii="Cambria" w:hAnsi="Cambria"/>
          <w:sz w:val="20"/>
          <w:szCs w:val="20"/>
        </w:rPr>
        <w:t xml:space="preserve">there was no occurrence of </w:t>
      </w:r>
      <w:r w:rsidR="0095689C" w:rsidRPr="00546F97">
        <w:rPr>
          <w:rFonts w:ascii="Cambria" w:hAnsi="Cambria"/>
          <w:sz w:val="20"/>
          <w:szCs w:val="20"/>
        </w:rPr>
        <w:t>an exception</w:t>
      </w:r>
      <w:r w:rsidR="00FB275A" w:rsidRPr="00546F97">
        <w:rPr>
          <w:rFonts w:ascii="Cambria" w:hAnsi="Cambria"/>
          <w:sz w:val="20"/>
          <w:szCs w:val="20"/>
        </w:rPr>
        <w:t>.</w:t>
      </w:r>
      <w:r w:rsidR="00FD58F0" w:rsidRPr="00546F97">
        <w:rPr>
          <w:rFonts w:ascii="Cambria" w:hAnsi="Cambria"/>
          <w:sz w:val="20"/>
          <w:szCs w:val="20"/>
        </w:rPr>
        <w:t xml:space="preserve"> </w:t>
      </w:r>
      <w:r w:rsidR="003D53B3" w:rsidRPr="00546F97">
        <w:rPr>
          <w:rFonts w:ascii="Cambria" w:hAnsi="Cambria"/>
          <w:sz w:val="20"/>
          <w:szCs w:val="20"/>
        </w:rPr>
        <w:t>Therefore,</w:t>
      </w:r>
      <w:r w:rsidR="000902FE" w:rsidRPr="00546F97">
        <w:rPr>
          <w:rFonts w:ascii="Cambria" w:hAnsi="Cambria"/>
          <w:sz w:val="20"/>
          <w:szCs w:val="20"/>
        </w:rPr>
        <w:t xml:space="preserve"> from the information submitted, the Commission does not identify a possible violation against rights guaranteed in the Convention. Further, the Commission holds that Mr. Pereira does not show sufficient evidence to </w:t>
      </w:r>
      <w:r w:rsidR="00432B84" w:rsidRPr="00546F97">
        <w:rPr>
          <w:rFonts w:ascii="Cambria" w:hAnsi="Cambria"/>
          <w:i/>
          <w:sz w:val="20"/>
          <w:szCs w:val="20"/>
        </w:rPr>
        <w:t>prima facie</w:t>
      </w:r>
      <w:r w:rsidR="001144E8" w:rsidRPr="00546F97">
        <w:rPr>
          <w:rFonts w:ascii="Cambria" w:hAnsi="Cambria"/>
          <w:sz w:val="20"/>
          <w:szCs w:val="20"/>
        </w:rPr>
        <w:t xml:space="preserve"> </w:t>
      </w:r>
      <w:r w:rsidR="0095689C" w:rsidRPr="00546F97">
        <w:rPr>
          <w:rFonts w:ascii="Cambria" w:hAnsi="Cambria"/>
          <w:sz w:val="20"/>
          <w:szCs w:val="20"/>
        </w:rPr>
        <w:t xml:space="preserve">identify </w:t>
      </w:r>
      <w:r w:rsidR="001144E8" w:rsidRPr="00546F97">
        <w:rPr>
          <w:rFonts w:ascii="Cambria" w:hAnsi="Cambria"/>
          <w:sz w:val="20"/>
          <w:szCs w:val="20"/>
        </w:rPr>
        <w:t>a violation against rights enshrined in article 26 of the American Convention.</w:t>
      </w:r>
      <w:r w:rsidR="00432B84" w:rsidRPr="00546F97">
        <w:rPr>
          <w:rFonts w:ascii="Cambria" w:hAnsi="Cambria"/>
          <w:i/>
          <w:sz w:val="20"/>
          <w:szCs w:val="20"/>
        </w:rPr>
        <w:t xml:space="preserve"> </w:t>
      </w:r>
    </w:p>
    <w:p w14:paraId="18ABD1C8" w14:textId="5F34734A" w:rsidR="00E333BC" w:rsidRPr="00546F97" w:rsidRDefault="009E1B12" w:rsidP="0095689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46F97">
        <w:rPr>
          <w:rFonts w:ascii="Cambria" w:hAnsi="Cambria"/>
          <w:sz w:val="20"/>
          <w:szCs w:val="20"/>
        </w:rPr>
        <w:t xml:space="preserve">Regarding an alleged violation </w:t>
      </w:r>
      <w:r w:rsidR="00754D7A" w:rsidRPr="00546F97">
        <w:rPr>
          <w:rFonts w:ascii="Cambria" w:hAnsi="Cambria"/>
          <w:sz w:val="20"/>
          <w:szCs w:val="20"/>
        </w:rPr>
        <w:t xml:space="preserve">of the duration of internal proceedings, the Commission points out that the petitioner’s allegations are </w:t>
      </w:r>
      <w:r w:rsidR="00D64ABA" w:rsidRPr="00546F97">
        <w:rPr>
          <w:rFonts w:ascii="Cambria" w:hAnsi="Cambria"/>
          <w:sz w:val="20"/>
          <w:szCs w:val="20"/>
        </w:rPr>
        <w:t>confined to supposed delay on the part of judicial authorities to reach a resolution regarding complaints from 2000 and 2001. As concerns the</w:t>
      </w:r>
      <w:r w:rsidR="00E333BC" w:rsidRPr="00546F97">
        <w:rPr>
          <w:rFonts w:ascii="Cambria" w:hAnsi="Cambria"/>
          <w:sz w:val="20"/>
          <w:szCs w:val="20"/>
        </w:rPr>
        <w:t xml:space="preserve"> duration of the</w:t>
      </w:r>
      <w:r w:rsidR="00D64ABA" w:rsidRPr="00546F97">
        <w:rPr>
          <w:rFonts w:ascii="Cambria" w:hAnsi="Cambria"/>
          <w:sz w:val="20"/>
          <w:szCs w:val="20"/>
        </w:rPr>
        <w:t xml:space="preserve"> complaint from 2000, </w:t>
      </w:r>
      <w:r w:rsidR="00E333BC" w:rsidRPr="00546F97">
        <w:rPr>
          <w:rFonts w:ascii="Cambria" w:hAnsi="Cambria"/>
          <w:sz w:val="20"/>
          <w:szCs w:val="20"/>
        </w:rPr>
        <w:t>the information available does not indicate a</w:t>
      </w:r>
      <w:r w:rsidR="00D64ABA" w:rsidRPr="00546F97">
        <w:rPr>
          <w:rFonts w:ascii="Cambria" w:hAnsi="Cambria"/>
          <w:sz w:val="20"/>
          <w:szCs w:val="20"/>
        </w:rPr>
        <w:t xml:space="preserve"> delay in resolving the appeal filed by the alleged victim in 20</w:t>
      </w:r>
      <w:r w:rsidR="00E333BC" w:rsidRPr="00546F97">
        <w:rPr>
          <w:rFonts w:ascii="Cambria" w:hAnsi="Cambria"/>
          <w:sz w:val="20"/>
          <w:szCs w:val="20"/>
        </w:rPr>
        <w:t xml:space="preserve">01 </w:t>
      </w:r>
      <w:r w:rsidR="0095689C" w:rsidRPr="00546F97">
        <w:rPr>
          <w:rFonts w:ascii="Cambria" w:hAnsi="Cambria"/>
          <w:sz w:val="20"/>
          <w:szCs w:val="20"/>
        </w:rPr>
        <w:t xml:space="preserve">could be exclusively attributed to the State </w:t>
      </w:r>
      <w:r w:rsidR="00E333BC" w:rsidRPr="00546F97">
        <w:rPr>
          <w:rFonts w:ascii="Cambria" w:hAnsi="Cambria"/>
          <w:sz w:val="20"/>
          <w:szCs w:val="20"/>
        </w:rPr>
        <w:t xml:space="preserve">since, in multiple occasions, when the case was about to reach a resolution, the alleged victim presented new </w:t>
      </w:r>
      <w:r w:rsidR="00281846" w:rsidRPr="00546F97">
        <w:rPr>
          <w:rFonts w:ascii="Cambria" w:hAnsi="Cambria"/>
          <w:sz w:val="20"/>
          <w:szCs w:val="20"/>
        </w:rPr>
        <w:t>judicial remedies</w:t>
      </w:r>
      <w:r w:rsidR="00E333BC" w:rsidRPr="00546F97">
        <w:rPr>
          <w:rFonts w:ascii="Cambria" w:hAnsi="Cambria"/>
          <w:sz w:val="20"/>
          <w:szCs w:val="20"/>
        </w:rPr>
        <w:t xml:space="preserve"> and/or additional proof. Also,</w:t>
      </w:r>
      <w:r w:rsidR="004A7B60" w:rsidRPr="00546F97">
        <w:rPr>
          <w:rFonts w:ascii="Cambria" w:hAnsi="Cambria"/>
          <w:sz w:val="20"/>
          <w:szCs w:val="20"/>
        </w:rPr>
        <w:t xml:space="preserve"> Mr. Pereira does not indicate that there might have been a delay on the part of the authorities in </w:t>
      </w:r>
      <w:r w:rsidR="0028519B" w:rsidRPr="00546F97">
        <w:rPr>
          <w:rFonts w:ascii="Cambria" w:hAnsi="Cambria"/>
          <w:sz w:val="20"/>
          <w:szCs w:val="20"/>
        </w:rPr>
        <w:t>ruling</w:t>
      </w:r>
      <w:r w:rsidR="004A7B60" w:rsidRPr="00546F97">
        <w:rPr>
          <w:rFonts w:ascii="Cambria" w:hAnsi="Cambria"/>
          <w:sz w:val="20"/>
          <w:szCs w:val="20"/>
        </w:rPr>
        <w:t xml:space="preserve"> on the other appeals filed by him within the framework of this complaint</w:t>
      </w:r>
      <w:r w:rsidR="004E111C" w:rsidRPr="00546F97">
        <w:rPr>
          <w:rFonts w:ascii="Cambria" w:hAnsi="Cambria"/>
          <w:sz w:val="20"/>
          <w:szCs w:val="20"/>
        </w:rPr>
        <w:t xml:space="preserve">, until its </w:t>
      </w:r>
      <w:r w:rsidR="00281846" w:rsidRPr="00546F97">
        <w:rPr>
          <w:rFonts w:ascii="Cambria" w:hAnsi="Cambria"/>
          <w:sz w:val="20"/>
          <w:szCs w:val="20"/>
        </w:rPr>
        <w:t>conclusion</w:t>
      </w:r>
      <w:r w:rsidR="004E111C" w:rsidRPr="00546F97">
        <w:rPr>
          <w:rFonts w:ascii="Cambria" w:hAnsi="Cambria"/>
          <w:sz w:val="20"/>
          <w:szCs w:val="20"/>
        </w:rPr>
        <w:t xml:space="preserve"> in September of 2013. Regarding the complaint from 2001, the information available also does not indicate that the responsibility for the duration of this proceeding</w:t>
      </w:r>
      <w:r w:rsidR="00281846" w:rsidRPr="00546F97">
        <w:rPr>
          <w:rFonts w:ascii="Cambria" w:hAnsi="Cambria"/>
          <w:sz w:val="20"/>
          <w:szCs w:val="20"/>
        </w:rPr>
        <w:t xml:space="preserve"> exclusively attributed to the State</w:t>
      </w:r>
      <w:r w:rsidR="00432B84" w:rsidRPr="00546F97">
        <w:rPr>
          <w:rFonts w:ascii="Cambria" w:hAnsi="Cambria"/>
          <w:sz w:val="20"/>
          <w:szCs w:val="20"/>
        </w:rPr>
        <w:t xml:space="preserve">. </w:t>
      </w:r>
      <w:r w:rsidR="004E111C" w:rsidRPr="00546F97">
        <w:rPr>
          <w:rFonts w:ascii="Cambria" w:hAnsi="Cambria"/>
          <w:sz w:val="20"/>
          <w:szCs w:val="20"/>
        </w:rPr>
        <w:t xml:space="preserve">Further, the Commission notes that over the processing </w:t>
      </w:r>
      <w:r w:rsidR="0028519B" w:rsidRPr="00546F97">
        <w:rPr>
          <w:rFonts w:ascii="Cambria" w:hAnsi="Cambria"/>
          <w:sz w:val="20"/>
          <w:szCs w:val="20"/>
        </w:rPr>
        <w:t xml:space="preserve">of the proceedings, the alleged victim neither complained about the duration nor presented allegations on the alleged delay in resolving the proceedings after the second instance ruling. </w:t>
      </w:r>
    </w:p>
    <w:p w14:paraId="16321382" w14:textId="65409EED" w:rsidR="0028519B" w:rsidRPr="00546F97" w:rsidRDefault="0028519B" w:rsidP="00546F9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46F97">
        <w:rPr>
          <w:rFonts w:ascii="Cambria" w:hAnsi="Cambria"/>
          <w:sz w:val="20"/>
          <w:szCs w:val="20"/>
        </w:rPr>
        <w:t xml:space="preserve">In </w:t>
      </w:r>
      <w:r w:rsidR="00281846" w:rsidRPr="00546F97">
        <w:rPr>
          <w:rFonts w:ascii="Cambria" w:hAnsi="Cambria"/>
          <w:sz w:val="20"/>
          <w:szCs w:val="20"/>
        </w:rPr>
        <w:t>conclusion</w:t>
      </w:r>
      <w:r w:rsidRPr="00546F97">
        <w:rPr>
          <w:rFonts w:ascii="Cambria" w:hAnsi="Cambria"/>
          <w:sz w:val="20"/>
          <w:szCs w:val="20"/>
        </w:rPr>
        <w:t xml:space="preserve">, regarding the </w:t>
      </w:r>
      <w:r w:rsidR="005C4326" w:rsidRPr="00546F97">
        <w:rPr>
          <w:rFonts w:ascii="Cambria" w:hAnsi="Cambria"/>
          <w:sz w:val="20"/>
          <w:szCs w:val="20"/>
        </w:rPr>
        <w:t>claims</w:t>
      </w:r>
      <w:r w:rsidRPr="00546F97">
        <w:rPr>
          <w:rFonts w:ascii="Cambria" w:hAnsi="Cambria"/>
          <w:sz w:val="20"/>
          <w:szCs w:val="20"/>
        </w:rPr>
        <w:t xml:space="preserve"> </w:t>
      </w:r>
      <w:r w:rsidR="005C4326" w:rsidRPr="00546F97">
        <w:rPr>
          <w:rFonts w:ascii="Cambria" w:hAnsi="Cambria"/>
          <w:sz w:val="20"/>
          <w:szCs w:val="20"/>
        </w:rPr>
        <w:t>about</w:t>
      </w:r>
      <w:r w:rsidRPr="00546F97">
        <w:rPr>
          <w:rFonts w:ascii="Cambria" w:hAnsi="Cambria"/>
          <w:sz w:val="20"/>
          <w:szCs w:val="20"/>
        </w:rPr>
        <w:t xml:space="preserve"> violations of rights protected in the</w:t>
      </w:r>
      <w:r w:rsidR="00D8404D" w:rsidRPr="00546F97">
        <w:rPr>
          <w:rFonts w:ascii="Cambria" w:hAnsi="Cambria"/>
          <w:sz w:val="20"/>
          <w:szCs w:val="20"/>
        </w:rPr>
        <w:t xml:space="preserve"> Protocol of</w:t>
      </w:r>
      <w:r w:rsidRPr="00546F97">
        <w:rPr>
          <w:rFonts w:ascii="Cambria" w:hAnsi="Cambria"/>
          <w:sz w:val="20"/>
          <w:szCs w:val="20"/>
        </w:rPr>
        <w:t xml:space="preserve"> San Salvador, specifically articles 3,</w:t>
      </w:r>
      <w:r w:rsidR="00281846" w:rsidRPr="00546F97">
        <w:rPr>
          <w:rFonts w:ascii="Cambria" w:hAnsi="Cambria"/>
          <w:sz w:val="20"/>
          <w:szCs w:val="20"/>
        </w:rPr>
        <w:t xml:space="preserve"> </w:t>
      </w:r>
      <w:r w:rsidRPr="00546F97">
        <w:rPr>
          <w:rFonts w:ascii="Cambria" w:hAnsi="Cambria"/>
          <w:sz w:val="20"/>
          <w:szCs w:val="20"/>
        </w:rPr>
        <w:t>6, and 9, the Commission</w:t>
      </w:r>
      <w:r w:rsidR="00D8404D" w:rsidRPr="00546F97">
        <w:rPr>
          <w:rFonts w:ascii="Cambria" w:hAnsi="Cambria"/>
          <w:sz w:val="20"/>
          <w:szCs w:val="20"/>
        </w:rPr>
        <w:t xml:space="preserve"> </w:t>
      </w:r>
      <w:r w:rsidR="008E573C" w:rsidRPr="00546F97">
        <w:rPr>
          <w:rFonts w:ascii="Cambria" w:hAnsi="Cambria"/>
          <w:sz w:val="20"/>
          <w:szCs w:val="20"/>
        </w:rPr>
        <w:t>indicates</w:t>
      </w:r>
      <w:r w:rsidR="00D8404D" w:rsidRPr="00546F97">
        <w:rPr>
          <w:rFonts w:ascii="Cambria" w:hAnsi="Cambria"/>
          <w:sz w:val="20"/>
          <w:szCs w:val="20"/>
        </w:rPr>
        <w:t xml:space="preserve"> that</w:t>
      </w:r>
      <w:r w:rsidR="008E573C" w:rsidRPr="00546F97">
        <w:rPr>
          <w:rFonts w:ascii="Cambria" w:hAnsi="Cambria"/>
          <w:sz w:val="20"/>
          <w:szCs w:val="20"/>
        </w:rPr>
        <w:t xml:space="preserve">, </w:t>
      </w:r>
      <w:r w:rsidR="00281846" w:rsidRPr="00546F97">
        <w:rPr>
          <w:rFonts w:ascii="Cambria" w:hAnsi="Cambria"/>
          <w:sz w:val="20"/>
          <w:szCs w:val="20"/>
        </w:rPr>
        <w:t>pursuant</w:t>
      </w:r>
      <w:r w:rsidR="008E573C" w:rsidRPr="00546F97">
        <w:rPr>
          <w:rFonts w:ascii="Cambria" w:hAnsi="Cambria"/>
          <w:sz w:val="20"/>
          <w:szCs w:val="20"/>
        </w:rPr>
        <w:t xml:space="preserve"> to article 19.6 of that treaty</w:t>
      </w:r>
      <w:r w:rsidR="00CE4C5B" w:rsidRPr="00546F97">
        <w:rPr>
          <w:rFonts w:ascii="Cambria" w:hAnsi="Cambria"/>
          <w:sz w:val="20"/>
          <w:szCs w:val="20"/>
        </w:rPr>
        <w:t>, the IACHR</w:t>
      </w:r>
      <w:r w:rsidR="00281846" w:rsidRPr="00546F97">
        <w:rPr>
          <w:rFonts w:ascii="Cambria" w:hAnsi="Cambria"/>
          <w:sz w:val="20"/>
          <w:szCs w:val="20"/>
        </w:rPr>
        <w:t xml:space="preserve"> </w:t>
      </w:r>
      <w:r w:rsidR="00546F97" w:rsidRPr="00546F97">
        <w:rPr>
          <w:rFonts w:ascii="Cambria" w:hAnsi="Cambria"/>
          <w:sz w:val="20"/>
          <w:szCs w:val="20"/>
        </w:rPr>
        <w:t xml:space="preserve">lacks competence </w:t>
      </w:r>
      <w:r w:rsidR="00546F97" w:rsidRPr="00546F97">
        <w:rPr>
          <w:rFonts w:ascii="Cambria" w:hAnsi="Cambria"/>
          <w:i/>
          <w:sz w:val="20"/>
          <w:szCs w:val="20"/>
        </w:rPr>
        <w:t xml:space="preserve">ratione materiae </w:t>
      </w:r>
      <w:r w:rsidR="00546F97" w:rsidRPr="00546F97">
        <w:rPr>
          <w:rFonts w:ascii="Cambria" w:hAnsi="Cambria"/>
          <w:sz w:val="20"/>
          <w:szCs w:val="20"/>
        </w:rPr>
        <w:t xml:space="preserve">under its individual petitions system to establish </w:t>
      </w:r>
      <w:r w:rsidR="00CE4C5B" w:rsidRPr="00546F97">
        <w:rPr>
          <w:rFonts w:ascii="Cambria" w:hAnsi="Cambria"/>
          <w:sz w:val="20"/>
          <w:szCs w:val="20"/>
        </w:rPr>
        <w:t>violations of the articles of the Protocol of San Salvador mentioned by the alleged victim.</w:t>
      </w:r>
      <w:r w:rsidR="00CE4C5B" w:rsidRPr="00546F97">
        <w:rPr>
          <w:rFonts w:ascii="Cambria" w:hAnsi="Cambria"/>
          <w:i/>
          <w:sz w:val="20"/>
          <w:szCs w:val="20"/>
        </w:rPr>
        <w:t xml:space="preserve"> </w:t>
      </w:r>
    </w:p>
    <w:p w14:paraId="5A70550C" w14:textId="77777777" w:rsidR="00F621C3" w:rsidRPr="00444E4E" w:rsidRDefault="00F621C3" w:rsidP="00F621C3">
      <w:pPr>
        <w:pStyle w:val="ListParagraph"/>
        <w:spacing w:before="240" w:after="240"/>
        <w:jc w:val="both"/>
        <w:rPr>
          <w:rFonts w:asciiTheme="majorHAnsi" w:hAnsiTheme="majorHAnsi"/>
          <w:b/>
          <w:bCs/>
          <w:color w:val="auto"/>
          <w:sz w:val="20"/>
          <w:szCs w:val="20"/>
        </w:rPr>
      </w:pPr>
      <w:r w:rsidRPr="00444E4E">
        <w:rPr>
          <w:rFonts w:asciiTheme="majorHAnsi" w:hAnsiTheme="majorHAnsi"/>
          <w:b/>
          <w:bCs/>
          <w:color w:val="auto"/>
          <w:sz w:val="20"/>
          <w:szCs w:val="20"/>
        </w:rPr>
        <w:t xml:space="preserve">VIII. </w:t>
      </w:r>
      <w:r w:rsidRPr="00444E4E">
        <w:rPr>
          <w:rFonts w:asciiTheme="majorHAnsi" w:hAnsiTheme="majorHAnsi"/>
          <w:b/>
          <w:bCs/>
          <w:color w:val="auto"/>
          <w:sz w:val="20"/>
          <w:szCs w:val="20"/>
        </w:rPr>
        <w:tab/>
        <w:t>DECISION</w:t>
      </w:r>
    </w:p>
    <w:p w14:paraId="47F30965" w14:textId="43644BD1" w:rsidR="00F621C3" w:rsidRPr="00444E4E"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44E4E">
        <w:rPr>
          <w:rFonts w:asciiTheme="majorHAnsi" w:hAnsiTheme="majorHAnsi"/>
          <w:sz w:val="20"/>
          <w:szCs w:val="20"/>
        </w:rPr>
        <w:t xml:space="preserve">To find the instant petition </w:t>
      </w:r>
      <w:r w:rsidR="00432B84" w:rsidRPr="00444E4E">
        <w:rPr>
          <w:rFonts w:asciiTheme="majorHAnsi" w:hAnsiTheme="majorHAnsi"/>
          <w:sz w:val="20"/>
          <w:szCs w:val="20"/>
        </w:rPr>
        <w:t>in</w:t>
      </w:r>
      <w:r w:rsidRPr="00444E4E">
        <w:rPr>
          <w:rFonts w:asciiTheme="majorHAnsi" w:hAnsiTheme="majorHAnsi"/>
          <w:sz w:val="20"/>
          <w:szCs w:val="20"/>
        </w:rPr>
        <w:t>admiss</w:t>
      </w:r>
      <w:r w:rsidR="00432B84" w:rsidRPr="00444E4E">
        <w:rPr>
          <w:rFonts w:asciiTheme="majorHAnsi" w:hAnsiTheme="majorHAnsi"/>
          <w:sz w:val="20"/>
          <w:szCs w:val="20"/>
        </w:rPr>
        <w:t>ible;</w:t>
      </w:r>
    </w:p>
    <w:p w14:paraId="22CC8DDA" w14:textId="11BDBD58" w:rsidR="00F621C3" w:rsidRPr="00444E4E"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44E4E">
        <w:rPr>
          <w:rFonts w:asciiTheme="majorHAnsi" w:hAnsiTheme="majorHAnsi"/>
          <w:sz w:val="20"/>
          <w:szCs w:val="20"/>
        </w:rPr>
        <w:t>To notify the parties of this decision;</w:t>
      </w:r>
      <w:r w:rsidR="001F1902" w:rsidRPr="00444E4E">
        <w:rPr>
          <w:rFonts w:asciiTheme="majorHAnsi" w:hAnsiTheme="majorHAnsi"/>
          <w:sz w:val="20"/>
          <w:szCs w:val="20"/>
        </w:rPr>
        <w:t xml:space="preserve"> </w:t>
      </w:r>
      <w:r w:rsidRPr="00444E4E">
        <w:rPr>
          <w:rFonts w:asciiTheme="majorHAnsi" w:hAnsiTheme="majorHAnsi"/>
          <w:sz w:val="20"/>
          <w:szCs w:val="20"/>
        </w:rPr>
        <w:t xml:space="preserve">and </w:t>
      </w:r>
      <w:r w:rsidR="001F1902" w:rsidRPr="00444E4E">
        <w:rPr>
          <w:rFonts w:asciiTheme="majorHAnsi" w:hAnsiTheme="majorHAnsi"/>
          <w:sz w:val="20"/>
          <w:szCs w:val="20"/>
        </w:rPr>
        <w:t>t</w:t>
      </w:r>
      <w:r w:rsidRPr="00444E4E">
        <w:rPr>
          <w:rFonts w:asciiTheme="majorHAnsi" w:hAnsiTheme="majorHAnsi"/>
          <w:sz w:val="20"/>
          <w:szCs w:val="20"/>
        </w:rPr>
        <w:t>o publish this decision and include it in its Annual Report to the General Assembly of the Organization of American States.</w:t>
      </w:r>
    </w:p>
    <w:p w14:paraId="1C6AA622" w14:textId="1B000687" w:rsidR="00F621C3" w:rsidRPr="00444E4E" w:rsidRDefault="00F34F5D" w:rsidP="00F34F5D">
      <w:pPr>
        <w:pStyle w:val="ListParagraph"/>
        <w:suppressAutoHyphens/>
        <w:spacing w:before="240" w:after="240"/>
        <w:ind w:left="0"/>
        <w:jc w:val="both"/>
        <w:rPr>
          <w:rFonts w:asciiTheme="majorHAnsi" w:hAnsiTheme="majorHAnsi"/>
          <w:sz w:val="20"/>
          <w:szCs w:val="20"/>
        </w:rPr>
      </w:pPr>
      <w:r>
        <w:rPr>
          <w:rFonts w:asciiTheme="majorHAnsi" w:hAnsiTheme="majorHAnsi"/>
          <w:sz w:val="20"/>
          <w:szCs w:val="20"/>
        </w:rPr>
        <w:tab/>
      </w:r>
      <w:r w:rsidRPr="00F34F5D">
        <w:rPr>
          <w:rFonts w:asciiTheme="majorHAnsi" w:hAnsiTheme="majorHAnsi"/>
          <w:sz w:val="20"/>
          <w:szCs w:val="20"/>
        </w:rPr>
        <w:t xml:space="preserve">Approved by the Inter-American Commission on Human Rights on the </w:t>
      </w:r>
      <w:r>
        <w:rPr>
          <w:rFonts w:asciiTheme="majorHAnsi" w:hAnsiTheme="majorHAnsi"/>
          <w:sz w:val="20"/>
          <w:szCs w:val="20"/>
        </w:rPr>
        <w:t>18</w:t>
      </w:r>
      <w:r w:rsidRPr="00F34F5D">
        <w:rPr>
          <w:rFonts w:asciiTheme="majorHAnsi" w:hAnsiTheme="majorHAnsi"/>
          <w:sz w:val="20"/>
          <w:szCs w:val="20"/>
          <w:vertAlign w:val="superscript"/>
        </w:rPr>
        <w:t>th</w:t>
      </w:r>
      <w:r>
        <w:rPr>
          <w:rFonts w:asciiTheme="majorHAnsi" w:hAnsiTheme="majorHAnsi"/>
          <w:sz w:val="20"/>
          <w:szCs w:val="20"/>
        </w:rPr>
        <w:t xml:space="preserve"> </w:t>
      </w:r>
      <w:r w:rsidRPr="00F34F5D">
        <w:rPr>
          <w:rFonts w:asciiTheme="majorHAnsi" w:hAnsiTheme="majorHAnsi"/>
          <w:sz w:val="20"/>
          <w:szCs w:val="20"/>
        </w:rPr>
        <w:t xml:space="preserve">day of the month of </w:t>
      </w:r>
      <w:r>
        <w:rPr>
          <w:rFonts w:asciiTheme="majorHAnsi" w:hAnsiTheme="majorHAnsi"/>
          <w:sz w:val="20"/>
          <w:szCs w:val="20"/>
        </w:rPr>
        <w:t>April</w:t>
      </w:r>
      <w:r w:rsidRPr="00F34F5D">
        <w:rPr>
          <w:rFonts w:asciiTheme="majorHAnsi" w:hAnsiTheme="majorHAnsi"/>
          <w:sz w:val="20"/>
          <w:szCs w:val="20"/>
        </w:rPr>
        <w:t xml:space="preserve">, 2019. (Signed):  Esmeralda E. Arosemena Bernal de Troitiño, President; Joel Hernández García, First Vice President; Antonia Urrejola, Second Vice President; Margarette May Macaulay, </w:t>
      </w:r>
      <w:r>
        <w:rPr>
          <w:rFonts w:asciiTheme="majorHAnsi" w:hAnsiTheme="majorHAnsi"/>
          <w:sz w:val="20"/>
          <w:szCs w:val="20"/>
        </w:rPr>
        <w:t>Francisco José Eguiguren Praeli and</w:t>
      </w:r>
      <w:r w:rsidRPr="00F34F5D">
        <w:rPr>
          <w:rFonts w:asciiTheme="majorHAnsi" w:hAnsiTheme="majorHAnsi"/>
          <w:sz w:val="20"/>
          <w:szCs w:val="20"/>
        </w:rPr>
        <w:t xml:space="preserve"> Luis Ernesto Vargas Silva, Commissioners.</w:t>
      </w:r>
    </w:p>
    <w:p w14:paraId="42743A32" w14:textId="77777777" w:rsidR="00F621C3" w:rsidRPr="00444E4E"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444E4E"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444E4E" w:rsidRDefault="00F621C3" w:rsidP="00F621C3">
      <w:pPr>
        <w:rPr>
          <w:rFonts w:ascii="Cambria" w:hAnsi="Cambria" w:cs="Calibri"/>
          <w:sz w:val="20"/>
          <w:szCs w:val="20"/>
        </w:rPr>
      </w:pPr>
    </w:p>
    <w:p w14:paraId="2122B46A" w14:textId="77777777" w:rsidR="00C55560" w:rsidRPr="00444E4E" w:rsidRDefault="00C55560" w:rsidP="00230163">
      <w:pPr>
        <w:tabs>
          <w:tab w:val="left" w:pos="2820"/>
        </w:tabs>
        <w:suppressAutoHyphens/>
        <w:spacing w:line="276" w:lineRule="auto"/>
        <w:rPr>
          <w:rFonts w:asciiTheme="majorHAnsi" w:hAnsiTheme="majorHAnsi"/>
          <w:sz w:val="20"/>
          <w:szCs w:val="20"/>
        </w:rPr>
      </w:pPr>
    </w:p>
    <w:sectPr w:rsidR="00C55560" w:rsidRPr="00444E4E"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B4BE6" w14:textId="77777777" w:rsidR="00E74DDC" w:rsidRDefault="00E74DDC" w:rsidP="00036A8A">
      <w:r>
        <w:separator/>
      </w:r>
    </w:p>
  </w:endnote>
  <w:endnote w:type="continuationSeparator" w:id="0">
    <w:p w14:paraId="7D462238" w14:textId="77777777" w:rsidR="00E74DDC" w:rsidRDefault="00E74DD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46C9B" w14:textId="77777777" w:rsidR="00883B6F" w:rsidRDefault="00883B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907123"/>
      <w:docPartObj>
        <w:docPartGallery w:val="Page Numbers (Bottom of Page)"/>
        <w:docPartUnique/>
      </w:docPartObj>
    </w:sdtPr>
    <w:sdtEndPr>
      <w:rPr>
        <w:noProof/>
        <w:sz w:val="16"/>
      </w:rPr>
    </w:sdtEndPr>
    <w:sdtContent>
      <w:p w14:paraId="66F8EBC2" w14:textId="77777777" w:rsidR="000902FE" w:rsidRPr="006311DA" w:rsidRDefault="000902FE">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883B6F">
          <w:rPr>
            <w:noProof/>
            <w:sz w:val="16"/>
          </w:rPr>
          <w:t>1</w:t>
        </w:r>
        <w:r w:rsidRPr="006311DA">
          <w:rPr>
            <w:noProof/>
            <w:sz w:val="16"/>
          </w:rPr>
          <w:fldChar w:fldCharType="end"/>
        </w:r>
      </w:p>
    </w:sdtContent>
  </w:sdt>
  <w:p w14:paraId="767961CB" w14:textId="77777777" w:rsidR="000902FE" w:rsidRDefault="000902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0902FE" w:rsidRDefault="000902FE">
    <w:pPr>
      <w:pStyle w:val="Footer"/>
      <w:jc w:val="center"/>
    </w:pPr>
  </w:p>
  <w:p w14:paraId="2699B8C1" w14:textId="77777777" w:rsidR="000902FE" w:rsidRDefault="000902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B4B22" w14:textId="77777777" w:rsidR="00E74DDC" w:rsidRPr="00036A8A" w:rsidRDefault="00E74DD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F692719" w14:textId="77777777" w:rsidR="00E74DDC" w:rsidRPr="00036A8A" w:rsidRDefault="00E74DDC" w:rsidP="00036A8A">
      <w:pPr>
        <w:rPr>
          <w:rFonts w:asciiTheme="majorHAnsi" w:hAnsiTheme="majorHAnsi"/>
          <w:sz w:val="16"/>
          <w:szCs w:val="16"/>
        </w:rPr>
      </w:pPr>
      <w:r w:rsidRPr="00036A8A">
        <w:rPr>
          <w:rFonts w:asciiTheme="majorHAnsi" w:hAnsiTheme="majorHAnsi"/>
          <w:sz w:val="16"/>
          <w:szCs w:val="16"/>
        </w:rPr>
        <w:separator/>
      </w:r>
    </w:p>
    <w:p w14:paraId="100DD276" w14:textId="77777777" w:rsidR="00E74DDC" w:rsidRPr="00036A8A" w:rsidRDefault="00E74DD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74B8DBF5" w14:textId="77777777" w:rsidR="00E74DDC" w:rsidRPr="0093441A" w:rsidRDefault="00E74DDC"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6CD59610" w14:textId="0E32EE00" w:rsidR="000902FE" w:rsidRPr="00B05C7B" w:rsidRDefault="000902FE" w:rsidP="00AF02C7">
      <w:pPr>
        <w:pStyle w:val="FootnoteText"/>
        <w:ind w:firstLine="720"/>
        <w:jc w:val="both"/>
        <w:rPr>
          <w:rFonts w:asciiTheme="majorHAnsi" w:hAnsiTheme="majorHAnsi"/>
          <w:sz w:val="16"/>
          <w:szCs w:val="16"/>
        </w:rPr>
      </w:pPr>
      <w:r w:rsidRPr="00B05C7B">
        <w:rPr>
          <w:rStyle w:val="FootnoteReference"/>
          <w:rFonts w:asciiTheme="majorHAnsi" w:hAnsiTheme="majorHAnsi"/>
          <w:sz w:val="16"/>
          <w:szCs w:val="16"/>
        </w:rPr>
        <w:footnoteRef/>
      </w:r>
      <w:r w:rsidRPr="00B05C7B">
        <w:rPr>
          <w:rFonts w:asciiTheme="majorHAnsi" w:hAnsiTheme="majorHAnsi"/>
          <w:sz w:val="16"/>
          <w:szCs w:val="16"/>
        </w:rPr>
        <w:t xml:space="preserve"> In accordance with the provisions of Article 17.2.</w:t>
      </w:r>
      <w:proofErr w:type="spellStart"/>
      <w:r w:rsidRPr="00B05C7B">
        <w:rPr>
          <w:rFonts w:asciiTheme="majorHAnsi" w:hAnsiTheme="majorHAnsi"/>
          <w:sz w:val="16"/>
          <w:szCs w:val="16"/>
        </w:rPr>
        <w:t>a</w:t>
      </w:r>
      <w:proofErr w:type="spellEnd"/>
      <w:r w:rsidRPr="00B05C7B">
        <w:rPr>
          <w:rFonts w:asciiTheme="majorHAnsi" w:hAnsiTheme="majorHAnsi"/>
          <w:sz w:val="16"/>
          <w:szCs w:val="16"/>
        </w:rPr>
        <w:t xml:space="preserve"> of the Commission’s Rules of Procedure, Commissioner </w:t>
      </w:r>
      <w:r w:rsidRPr="00B05C7B">
        <w:rPr>
          <w:rFonts w:asciiTheme="majorHAnsi" w:hAnsiTheme="majorHAnsi"/>
          <w:color w:val="auto"/>
          <w:sz w:val="16"/>
          <w:szCs w:val="16"/>
        </w:rPr>
        <w:t>Flávia Piovesan, of Brazilian nationality, did not participate in either the discussion or decision in the present case.</w:t>
      </w:r>
    </w:p>
  </w:footnote>
  <w:footnote w:id="3">
    <w:p w14:paraId="357825AC" w14:textId="298ACD2D" w:rsidR="000902FE" w:rsidRPr="00B05C7B" w:rsidRDefault="000902FE" w:rsidP="00AF02C7">
      <w:pPr>
        <w:pStyle w:val="FootnoteText"/>
        <w:ind w:firstLine="720"/>
        <w:jc w:val="both"/>
        <w:rPr>
          <w:rFonts w:asciiTheme="majorHAnsi" w:hAnsiTheme="majorHAnsi"/>
          <w:sz w:val="16"/>
          <w:szCs w:val="16"/>
        </w:rPr>
      </w:pPr>
      <w:r w:rsidRPr="00B05C7B">
        <w:rPr>
          <w:rStyle w:val="FootnoteReference"/>
          <w:rFonts w:asciiTheme="majorHAnsi" w:hAnsiTheme="majorHAnsi"/>
          <w:sz w:val="16"/>
          <w:szCs w:val="16"/>
        </w:rPr>
        <w:footnoteRef/>
      </w:r>
      <w:r w:rsidRPr="00B05C7B">
        <w:rPr>
          <w:rFonts w:asciiTheme="majorHAnsi" w:hAnsiTheme="majorHAnsi"/>
          <w:sz w:val="16"/>
          <w:szCs w:val="16"/>
        </w:rPr>
        <w:t xml:space="preserve"> Hereinafter “the Convention” or “the American Convention”.</w:t>
      </w:r>
    </w:p>
  </w:footnote>
  <w:footnote w:id="4">
    <w:p w14:paraId="4B31AA39" w14:textId="431375AC" w:rsidR="000902FE" w:rsidRPr="00B05C7B" w:rsidRDefault="000902FE" w:rsidP="00AF02C7">
      <w:pPr>
        <w:pStyle w:val="FootnoteText"/>
        <w:ind w:firstLine="720"/>
        <w:jc w:val="both"/>
        <w:rPr>
          <w:rFonts w:asciiTheme="majorHAnsi" w:hAnsiTheme="majorHAnsi"/>
          <w:sz w:val="16"/>
          <w:szCs w:val="16"/>
        </w:rPr>
      </w:pPr>
      <w:r w:rsidRPr="00B05C7B">
        <w:rPr>
          <w:rStyle w:val="FootnoteReference"/>
          <w:rFonts w:asciiTheme="majorHAnsi" w:hAnsiTheme="majorHAnsi"/>
          <w:sz w:val="16"/>
          <w:szCs w:val="16"/>
        </w:rPr>
        <w:footnoteRef/>
      </w:r>
      <w:r w:rsidRPr="00B05C7B">
        <w:rPr>
          <w:rFonts w:asciiTheme="majorHAnsi" w:hAnsiTheme="majorHAnsi"/>
          <w:sz w:val="16"/>
          <w:szCs w:val="16"/>
        </w:rPr>
        <w:t xml:space="preserve"> Hereinafter the “Protocol of San Salvador”.</w:t>
      </w:r>
    </w:p>
  </w:footnote>
  <w:footnote w:id="5">
    <w:p w14:paraId="6F51BDAF" w14:textId="5F4755E7" w:rsidR="000902FE" w:rsidRPr="00B05C7B" w:rsidRDefault="000902FE" w:rsidP="00210F4B">
      <w:pPr>
        <w:pStyle w:val="FootnoteText"/>
        <w:ind w:firstLine="720"/>
        <w:jc w:val="both"/>
        <w:rPr>
          <w:rFonts w:ascii="Cambria" w:hAnsi="Cambria"/>
          <w:sz w:val="16"/>
          <w:szCs w:val="16"/>
        </w:rPr>
      </w:pPr>
      <w:r w:rsidRPr="00B05C7B">
        <w:rPr>
          <w:rStyle w:val="FootnoteReference"/>
          <w:rFonts w:ascii="Cambria" w:hAnsi="Cambria"/>
          <w:sz w:val="16"/>
          <w:szCs w:val="16"/>
        </w:rPr>
        <w:footnoteRef/>
      </w:r>
      <w:r w:rsidRPr="00B05C7B">
        <w:rPr>
          <w:rFonts w:ascii="Cambria" w:hAnsi="Cambria"/>
          <w:sz w:val="16"/>
          <w:szCs w:val="16"/>
        </w:rPr>
        <w:t xml:space="preserve"> The observations submitted by each party were duly transmitted to the opposing party.</w:t>
      </w:r>
    </w:p>
  </w:footnote>
  <w:footnote w:id="6">
    <w:p w14:paraId="71BB3326" w14:textId="4509F81F" w:rsidR="000902FE" w:rsidRPr="00B05C7B" w:rsidRDefault="000902FE" w:rsidP="00432B84">
      <w:pPr>
        <w:pStyle w:val="FootnoteText"/>
        <w:ind w:firstLine="720"/>
        <w:rPr>
          <w:rFonts w:asciiTheme="majorHAnsi" w:hAnsiTheme="majorHAnsi"/>
          <w:sz w:val="16"/>
          <w:szCs w:val="16"/>
        </w:rPr>
      </w:pPr>
      <w:r w:rsidRPr="00B05C7B">
        <w:rPr>
          <w:rStyle w:val="FootnoteReference"/>
          <w:rFonts w:asciiTheme="majorHAnsi" w:hAnsiTheme="majorHAnsi"/>
          <w:sz w:val="16"/>
          <w:szCs w:val="16"/>
        </w:rPr>
        <w:footnoteRef/>
      </w:r>
      <w:r w:rsidRPr="00B05C7B">
        <w:rPr>
          <w:rFonts w:asciiTheme="majorHAnsi" w:hAnsiTheme="majorHAnsi"/>
          <w:sz w:val="16"/>
          <w:szCs w:val="16"/>
        </w:rPr>
        <w:t xml:space="preserve"> CIDH, </w:t>
      </w:r>
      <w:r w:rsidR="00B05C7B" w:rsidRPr="00B05C7B">
        <w:rPr>
          <w:rFonts w:asciiTheme="majorHAnsi" w:hAnsiTheme="majorHAnsi"/>
          <w:sz w:val="16"/>
          <w:szCs w:val="16"/>
        </w:rPr>
        <w:t>Report</w:t>
      </w:r>
      <w:r w:rsidRPr="00B05C7B">
        <w:rPr>
          <w:rFonts w:asciiTheme="majorHAnsi" w:hAnsiTheme="majorHAnsi"/>
          <w:sz w:val="16"/>
          <w:szCs w:val="16"/>
        </w:rPr>
        <w:t xml:space="preserve"> No. 88/13, </w:t>
      </w:r>
      <w:r w:rsidR="00B05C7B" w:rsidRPr="00B05C7B">
        <w:rPr>
          <w:rFonts w:asciiTheme="majorHAnsi" w:hAnsiTheme="majorHAnsi"/>
          <w:sz w:val="16"/>
          <w:szCs w:val="16"/>
        </w:rPr>
        <w:t>Petition</w:t>
      </w:r>
      <w:r w:rsidRPr="00B05C7B">
        <w:rPr>
          <w:rFonts w:asciiTheme="majorHAnsi" w:hAnsiTheme="majorHAnsi"/>
          <w:sz w:val="16"/>
          <w:szCs w:val="16"/>
        </w:rPr>
        <w:t xml:space="preserve"> 404-00. Marcelo </w:t>
      </w:r>
      <w:proofErr w:type="spellStart"/>
      <w:r w:rsidRPr="00B05C7B">
        <w:rPr>
          <w:rFonts w:asciiTheme="majorHAnsi" w:hAnsiTheme="majorHAnsi"/>
          <w:sz w:val="16"/>
          <w:szCs w:val="16"/>
        </w:rPr>
        <w:t>Fabián</w:t>
      </w:r>
      <w:proofErr w:type="spellEnd"/>
      <w:r w:rsidRPr="00B05C7B">
        <w:rPr>
          <w:rFonts w:asciiTheme="majorHAnsi" w:hAnsiTheme="majorHAnsi"/>
          <w:sz w:val="16"/>
          <w:szCs w:val="16"/>
        </w:rPr>
        <w:t xml:space="preserve"> </w:t>
      </w:r>
      <w:proofErr w:type="spellStart"/>
      <w:r w:rsidRPr="00B05C7B">
        <w:rPr>
          <w:rFonts w:asciiTheme="majorHAnsi" w:hAnsiTheme="majorHAnsi"/>
          <w:sz w:val="16"/>
          <w:szCs w:val="16"/>
        </w:rPr>
        <w:t>Nievas</w:t>
      </w:r>
      <w:proofErr w:type="spellEnd"/>
      <w:r w:rsidRPr="00B05C7B">
        <w:rPr>
          <w:rFonts w:asciiTheme="majorHAnsi" w:hAnsiTheme="majorHAnsi"/>
          <w:sz w:val="16"/>
          <w:szCs w:val="16"/>
        </w:rPr>
        <w:t xml:space="preserve"> </w:t>
      </w:r>
      <w:r w:rsidR="00B05C7B" w:rsidRPr="00B05C7B">
        <w:rPr>
          <w:rFonts w:asciiTheme="majorHAnsi" w:hAnsiTheme="majorHAnsi"/>
          <w:sz w:val="16"/>
          <w:szCs w:val="16"/>
        </w:rPr>
        <w:t>and family</w:t>
      </w:r>
      <w:r w:rsidRPr="00B05C7B">
        <w:rPr>
          <w:rFonts w:asciiTheme="majorHAnsi" w:hAnsiTheme="majorHAnsi"/>
          <w:sz w:val="16"/>
          <w:szCs w:val="16"/>
        </w:rPr>
        <w:t xml:space="preserve">. Argentina.  </w:t>
      </w:r>
      <w:r w:rsidR="00B05C7B" w:rsidRPr="00B05C7B">
        <w:rPr>
          <w:rFonts w:asciiTheme="majorHAnsi" w:hAnsiTheme="majorHAnsi"/>
          <w:sz w:val="16"/>
          <w:szCs w:val="16"/>
        </w:rPr>
        <w:t xml:space="preserve">November </w:t>
      </w:r>
      <w:r w:rsidRPr="00B05C7B">
        <w:rPr>
          <w:rFonts w:asciiTheme="majorHAnsi" w:hAnsiTheme="majorHAnsi"/>
          <w:sz w:val="16"/>
          <w:szCs w:val="16"/>
        </w:rPr>
        <w:t>4</w:t>
      </w:r>
      <w:r w:rsidR="00B05C7B">
        <w:rPr>
          <w:rFonts w:asciiTheme="majorHAnsi" w:hAnsiTheme="majorHAnsi"/>
          <w:sz w:val="16"/>
          <w:szCs w:val="16"/>
        </w:rPr>
        <w:t>,</w:t>
      </w:r>
      <w:r w:rsidRPr="00B05C7B">
        <w:rPr>
          <w:rFonts w:asciiTheme="majorHAnsi" w:hAnsiTheme="majorHAnsi"/>
          <w:sz w:val="16"/>
          <w:szCs w:val="16"/>
        </w:rPr>
        <w:t xml:space="preserve"> 2013, </w:t>
      </w:r>
      <w:r w:rsidR="00B05C7B" w:rsidRPr="00B05C7B">
        <w:rPr>
          <w:rFonts w:asciiTheme="majorHAnsi" w:hAnsiTheme="majorHAnsi"/>
          <w:sz w:val="16"/>
          <w:szCs w:val="16"/>
        </w:rPr>
        <w:t>par</w:t>
      </w:r>
      <w:r w:rsidRPr="00B05C7B">
        <w:rPr>
          <w:rFonts w:asciiTheme="majorHAnsi" w:hAnsiTheme="majorHAnsi"/>
          <w:sz w:val="16"/>
          <w:szCs w:val="16"/>
        </w:rPr>
        <w:t>. 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902FE" w:rsidRDefault="000902FE" w:rsidP="009355E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902FE" w:rsidRDefault="000902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0902FE" w:rsidRDefault="000902FE"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8" name="Picture 18"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902FE" w:rsidRPr="00EC7D62" w:rsidRDefault="00E74DDC"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B502C" w14:textId="77777777" w:rsidR="00883B6F" w:rsidRDefault="00883B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cwMzUB0gaGhhaWhko6SsGpxcWZ+XkgBca1AMOwzn8sAAAA"/>
  </w:docVars>
  <w:rsids>
    <w:rsidRoot w:val="006B2D5C"/>
    <w:rsid w:val="0000036F"/>
    <w:rsid w:val="00000CDA"/>
    <w:rsid w:val="00000DA9"/>
    <w:rsid w:val="000070D7"/>
    <w:rsid w:val="000111A8"/>
    <w:rsid w:val="0001788C"/>
    <w:rsid w:val="00022CF5"/>
    <w:rsid w:val="00036A8A"/>
    <w:rsid w:val="00040C3A"/>
    <w:rsid w:val="000450DD"/>
    <w:rsid w:val="000544EA"/>
    <w:rsid w:val="000639C0"/>
    <w:rsid w:val="00070F3A"/>
    <w:rsid w:val="000716C5"/>
    <w:rsid w:val="00075E23"/>
    <w:rsid w:val="00081896"/>
    <w:rsid w:val="000902FE"/>
    <w:rsid w:val="00092F32"/>
    <w:rsid w:val="0009344A"/>
    <w:rsid w:val="000A575F"/>
    <w:rsid w:val="000C4365"/>
    <w:rsid w:val="000C5E87"/>
    <w:rsid w:val="000D10DB"/>
    <w:rsid w:val="000D44F5"/>
    <w:rsid w:val="001105ED"/>
    <w:rsid w:val="00111FF6"/>
    <w:rsid w:val="001144E8"/>
    <w:rsid w:val="0011470F"/>
    <w:rsid w:val="00124116"/>
    <w:rsid w:val="0013104F"/>
    <w:rsid w:val="00137EBA"/>
    <w:rsid w:val="00144EAF"/>
    <w:rsid w:val="00145EDC"/>
    <w:rsid w:val="00153084"/>
    <w:rsid w:val="00161C67"/>
    <w:rsid w:val="00167A34"/>
    <w:rsid w:val="001714B4"/>
    <w:rsid w:val="0018037F"/>
    <w:rsid w:val="001A5DD9"/>
    <w:rsid w:val="001A5F27"/>
    <w:rsid w:val="001A65E4"/>
    <w:rsid w:val="001A7870"/>
    <w:rsid w:val="001C1B41"/>
    <w:rsid w:val="001C79B2"/>
    <w:rsid w:val="001E366B"/>
    <w:rsid w:val="001E4A1C"/>
    <w:rsid w:val="001F1902"/>
    <w:rsid w:val="00210E0E"/>
    <w:rsid w:val="00210F4B"/>
    <w:rsid w:val="00213508"/>
    <w:rsid w:val="00230163"/>
    <w:rsid w:val="0023351C"/>
    <w:rsid w:val="00240D79"/>
    <w:rsid w:val="00247403"/>
    <w:rsid w:val="00247542"/>
    <w:rsid w:val="00257893"/>
    <w:rsid w:val="00266092"/>
    <w:rsid w:val="00266B61"/>
    <w:rsid w:val="0026712A"/>
    <w:rsid w:val="002704DB"/>
    <w:rsid w:val="00273C54"/>
    <w:rsid w:val="002760CE"/>
    <w:rsid w:val="00281846"/>
    <w:rsid w:val="00284573"/>
    <w:rsid w:val="0028519B"/>
    <w:rsid w:val="002B7A85"/>
    <w:rsid w:val="002C1641"/>
    <w:rsid w:val="002C37BA"/>
    <w:rsid w:val="002D7EA2"/>
    <w:rsid w:val="002E15DF"/>
    <w:rsid w:val="002E187C"/>
    <w:rsid w:val="002E6E57"/>
    <w:rsid w:val="002F6F6E"/>
    <w:rsid w:val="00301075"/>
    <w:rsid w:val="00302733"/>
    <w:rsid w:val="00311A4F"/>
    <w:rsid w:val="00314078"/>
    <w:rsid w:val="00321AFD"/>
    <w:rsid w:val="00322450"/>
    <w:rsid w:val="003246B5"/>
    <w:rsid w:val="0033169F"/>
    <w:rsid w:val="003414AC"/>
    <w:rsid w:val="003560CC"/>
    <w:rsid w:val="00356185"/>
    <w:rsid w:val="00360380"/>
    <w:rsid w:val="003771A3"/>
    <w:rsid w:val="00386CF0"/>
    <w:rsid w:val="00387F5D"/>
    <w:rsid w:val="003A4348"/>
    <w:rsid w:val="003B279F"/>
    <w:rsid w:val="003C32BC"/>
    <w:rsid w:val="003D53B3"/>
    <w:rsid w:val="003E3E03"/>
    <w:rsid w:val="003E7DBE"/>
    <w:rsid w:val="003F1BBF"/>
    <w:rsid w:val="003F1D4B"/>
    <w:rsid w:val="004162B1"/>
    <w:rsid w:val="004165C2"/>
    <w:rsid w:val="00421BBC"/>
    <w:rsid w:val="00432B84"/>
    <w:rsid w:val="00444E4E"/>
    <w:rsid w:val="00450A4A"/>
    <w:rsid w:val="00455303"/>
    <w:rsid w:val="004624AB"/>
    <w:rsid w:val="004666FB"/>
    <w:rsid w:val="00466743"/>
    <w:rsid w:val="00466D0B"/>
    <w:rsid w:val="00467B7E"/>
    <w:rsid w:val="00484DF8"/>
    <w:rsid w:val="00485EF8"/>
    <w:rsid w:val="0049419D"/>
    <w:rsid w:val="004A7B60"/>
    <w:rsid w:val="004B2762"/>
    <w:rsid w:val="004B7EB6"/>
    <w:rsid w:val="004C41DE"/>
    <w:rsid w:val="004C4B62"/>
    <w:rsid w:val="004D6025"/>
    <w:rsid w:val="004D72BC"/>
    <w:rsid w:val="004E111C"/>
    <w:rsid w:val="004F6B67"/>
    <w:rsid w:val="00501399"/>
    <w:rsid w:val="00507BC4"/>
    <w:rsid w:val="005128E4"/>
    <w:rsid w:val="00521A1F"/>
    <w:rsid w:val="00525560"/>
    <w:rsid w:val="005357A6"/>
    <w:rsid w:val="005449CD"/>
    <w:rsid w:val="00544C49"/>
    <w:rsid w:val="00546F97"/>
    <w:rsid w:val="00572EB7"/>
    <w:rsid w:val="0057402A"/>
    <w:rsid w:val="005771D0"/>
    <w:rsid w:val="005816E5"/>
    <w:rsid w:val="0059191A"/>
    <w:rsid w:val="005921FF"/>
    <w:rsid w:val="00592718"/>
    <w:rsid w:val="005A6D0E"/>
    <w:rsid w:val="005B222D"/>
    <w:rsid w:val="005B52B0"/>
    <w:rsid w:val="005B6806"/>
    <w:rsid w:val="005C00F9"/>
    <w:rsid w:val="005C4225"/>
    <w:rsid w:val="005C4326"/>
    <w:rsid w:val="005F0F33"/>
    <w:rsid w:val="00600DEB"/>
    <w:rsid w:val="00602126"/>
    <w:rsid w:val="00613027"/>
    <w:rsid w:val="00627C9F"/>
    <w:rsid w:val="006311DA"/>
    <w:rsid w:val="006311E9"/>
    <w:rsid w:val="006318B2"/>
    <w:rsid w:val="00632354"/>
    <w:rsid w:val="00642810"/>
    <w:rsid w:val="00652333"/>
    <w:rsid w:val="00653EA6"/>
    <w:rsid w:val="00653F88"/>
    <w:rsid w:val="00660018"/>
    <w:rsid w:val="0068009E"/>
    <w:rsid w:val="006963C3"/>
    <w:rsid w:val="006A0BA3"/>
    <w:rsid w:val="006A17D2"/>
    <w:rsid w:val="006A73E6"/>
    <w:rsid w:val="006B2D5C"/>
    <w:rsid w:val="006B5530"/>
    <w:rsid w:val="006C3AAB"/>
    <w:rsid w:val="006C4EB1"/>
    <w:rsid w:val="006D4707"/>
    <w:rsid w:val="006E0166"/>
    <w:rsid w:val="006E7B34"/>
    <w:rsid w:val="00701B24"/>
    <w:rsid w:val="0071495F"/>
    <w:rsid w:val="00714B5C"/>
    <w:rsid w:val="0073798E"/>
    <w:rsid w:val="00741E4A"/>
    <w:rsid w:val="00745899"/>
    <w:rsid w:val="00754BBB"/>
    <w:rsid w:val="00754D7A"/>
    <w:rsid w:val="007607C4"/>
    <w:rsid w:val="0076643F"/>
    <w:rsid w:val="00781653"/>
    <w:rsid w:val="007A2F70"/>
    <w:rsid w:val="007A33A8"/>
    <w:rsid w:val="007C3334"/>
    <w:rsid w:val="007C52BB"/>
    <w:rsid w:val="007D2B98"/>
    <w:rsid w:val="00803F1C"/>
    <w:rsid w:val="0080600E"/>
    <w:rsid w:val="00817612"/>
    <w:rsid w:val="008224ED"/>
    <w:rsid w:val="00837C45"/>
    <w:rsid w:val="00846923"/>
    <w:rsid w:val="00853419"/>
    <w:rsid w:val="00853AF5"/>
    <w:rsid w:val="00883B6F"/>
    <w:rsid w:val="00896002"/>
    <w:rsid w:val="00897E12"/>
    <w:rsid w:val="008B1DB3"/>
    <w:rsid w:val="008D43BA"/>
    <w:rsid w:val="008E3759"/>
    <w:rsid w:val="008E573C"/>
    <w:rsid w:val="009041DC"/>
    <w:rsid w:val="009104B4"/>
    <w:rsid w:val="009228DA"/>
    <w:rsid w:val="00925FCD"/>
    <w:rsid w:val="0093441A"/>
    <w:rsid w:val="009355E5"/>
    <w:rsid w:val="00954BF7"/>
    <w:rsid w:val="0095689C"/>
    <w:rsid w:val="009661C7"/>
    <w:rsid w:val="0096706E"/>
    <w:rsid w:val="00972DBC"/>
    <w:rsid w:val="00981FBA"/>
    <w:rsid w:val="00995158"/>
    <w:rsid w:val="00996629"/>
    <w:rsid w:val="0099668A"/>
    <w:rsid w:val="009B381B"/>
    <w:rsid w:val="009C1FDD"/>
    <w:rsid w:val="009D7611"/>
    <w:rsid w:val="009E1B12"/>
    <w:rsid w:val="009E24CE"/>
    <w:rsid w:val="009E53DE"/>
    <w:rsid w:val="009E566A"/>
    <w:rsid w:val="00A12DBC"/>
    <w:rsid w:val="00A43458"/>
    <w:rsid w:val="00A528D1"/>
    <w:rsid w:val="00A55780"/>
    <w:rsid w:val="00A57CFF"/>
    <w:rsid w:val="00A66BE5"/>
    <w:rsid w:val="00A80CFD"/>
    <w:rsid w:val="00AC0A40"/>
    <w:rsid w:val="00AD37C1"/>
    <w:rsid w:val="00AE66EC"/>
    <w:rsid w:val="00AE6F91"/>
    <w:rsid w:val="00AF02C7"/>
    <w:rsid w:val="00AF5571"/>
    <w:rsid w:val="00B05C7B"/>
    <w:rsid w:val="00B06BB7"/>
    <w:rsid w:val="00B167E9"/>
    <w:rsid w:val="00B179ED"/>
    <w:rsid w:val="00B314DB"/>
    <w:rsid w:val="00B31EBE"/>
    <w:rsid w:val="00B3718B"/>
    <w:rsid w:val="00B432DE"/>
    <w:rsid w:val="00B44B23"/>
    <w:rsid w:val="00B4632A"/>
    <w:rsid w:val="00B92E49"/>
    <w:rsid w:val="00BA276C"/>
    <w:rsid w:val="00BB306F"/>
    <w:rsid w:val="00BB40DD"/>
    <w:rsid w:val="00BB4F44"/>
    <w:rsid w:val="00BB6E4A"/>
    <w:rsid w:val="00BD232B"/>
    <w:rsid w:val="00BD2E42"/>
    <w:rsid w:val="00BD4B89"/>
    <w:rsid w:val="00BE5AF9"/>
    <w:rsid w:val="00C21762"/>
    <w:rsid w:val="00C24543"/>
    <w:rsid w:val="00C256A2"/>
    <w:rsid w:val="00C34426"/>
    <w:rsid w:val="00C3492D"/>
    <w:rsid w:val="00C376A3"/>
    <w:rsid w:val="00C55560"/>
    <w:rsid w:val="00C66B72"/>
    <w:rsid w:val="00C9567A"/>
    <w:rsid w:val="00CA6577"/>
    <w:rsid w:val="00CB2660"/>
    <w:rsid w:val="00CC5E90"/>
    <w:rsid w:val="00CD046C"/>
    <w:rsid w:val="00CD510B"/>
    <w:rsid w:val="00CE4C5B"/>
    <w:rsid w:val="00CE5199"/>
    <w:rsid w:val="00CE66D5"/>
    <w:rsid w:val="00D155BE"/>
    <w:rsid w:val="00D34786"/>
    <w:rsid w:val="00D40A1E"/>
    <w:rsid w:val="00D46BE5"/>
    <w:rsid w:val="00D533C0"/>
    <w:rsid w:val="00D64ABA"/>
    <w:rsid w:val="00D712D3"/>
    <w:rsid w:val="00D71422"/>
    <w:rsid w:val="00D7145E"/>
    <w:rsid w:val="00D71FA0"/>
    <w:rsid w:val="00D75084"/>
    <w:rsid w:val="00D7558D"/>
    <w:rsid w:val="00D81D92"/>
    <w:rsid w:val="00D8404D"/>
    <w:rsid w:val="00D93446"/>
    <w:rsid w:val="00DA5FB3"/>
    <w:rsid w:val="00DA7B5F"/>
    <w:rsid w:val="00DD2A6A"/>
    <w:rsid w:val="00DE00B5"/>
    <w:rsid w:val="00DE0647"/>
    <w:rsid w:val="00DF078B"/>
    <w:rsid w:val="00DF350D"/>
    <w:rsid w:val="00E227C1"/>
    <w:rsid w:val="00E333BC"/>
    <w:rsid w:val="00E35626"/>
    <w:rsid w:val="00E43157"/>
    <w:rsid w:val="00E47F3D"/>
    <w:rsid w:val="00E533FF"/>
    <w:rsid w:val="00E65F63"/>
    <w:rsid w:val="00E709B3"/>
    <w:rsid w:val="00E74DDC"/>
    <w:rsid w:val="00E7588C"/>
    <w:rsid w:val="00E763C6"/>
    <w:rsid w:val="00E850B6"/>
    <w:rsid w:val="00E8789F"/>
    <w:rsid w:val="00E90EC7"/>
    <w:rsid w:val="00E93264"/>
    <w:rsid w:val="00E97B71"/>
    <w:rsid w:val="00EB454D"/>
    <w:rsid w:val="00EC0B24"/>
    <w:rsid w:val="00ED0D1B"/>
    <w:rsid w:val="00EE3522"/>
    <w:rsid w:val="00EF619B"/>
    <w:rsid w:val="00F00B55"/>
    <w:rsid w:val="00F1380F"/>
    <w:rsid w:val="00F14F0E"/>
    <w:rsid w:val="00F15A3B"/>
    <w:rsid w:val="00F217C9"/>
    <w:rsid w:val="00F24C29"/>
    <w:rsid w:val="00F253CC"/>
    <w:rsid w:val="00F34F5D"/>
    <w:rsid w:val="00F42B71"/>
    <w:rsid w:val="00F51017"/>
    <w:rsid w:val="00F56BA5"/>
    <w:rsid w:val="00F621C3"/>
    <w:rsid w:val="00F644E6"/>
    <w:rsid w:val="00F700DF"/>
    <w:rsid w:val="00F9653B"/>
    <w:rsid w:val="00FB275A"/>
    <w:rsid w:val="00FB62CF"/>
    <w:rsid w:val="00FC3EB4"/>
    <w:rsid w:val="00FC6C58"/>
    <w:rsid w:val="00FD58F0"/>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E40CE"/>
    <w:rsid w:val="00316D13"/>
    <w:rsid w:val="003737C3"/>
    <w:rsid w:val="004108B1"/>
    <w:rsid w:val="00473D53"/>
    <w:rsid w:val="006B657F"/>
    <w:rsid w:val="00832DA2"/>
    <w:rsid w:val="009E50DD"/>
    <w:rsid w:val="00AB44F1"/>
    <w:rsid w:val="00E715BD"/>
    <w:rsid w:val="00EA0868"/>
    <w:rsid w:val="00FE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8875B-C64B-4386-B7C8-8236AED77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2144</Words>
  <Characters>12222</Characters>
  <Application>Microsoft Office Word</Application>
  <DocSecurity>0</DocSecurity>
  <Lines>101</Lines>
  <Paragraphs>28</Paragraphs>
  <ScaleCrop>false</ScaleCrop>
  <Company/>
  <LinksUpToDate>false</LinksUpToDate>
  <CharactersWithSpaces>14338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38/19</dc:title>
  <dc:creator/>
  <cp:lastModifiedBy/>
  <cp:revision>1</cp:revision>
  <dcterms:created xsi:type="dcterms:W3CDTF">2019-05-24T14:12:00Z</dcterms:created>
  <dcterms:modified xsi:type="dcterms:W3CDTF">2019-05-24T14:12:00Z</dcterms:modified>
</cp:coreProperties>
</file>