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5B9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6E3E37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B4A0B">
                              <w:rPr>
                                <w:rFonts w:asciiTheme="majorHAnsi" w:hAnsiTheme="majorHAnsi" w:cs="Arial"/>
                                <w:b/>
                                <w:bCs/>
                                <w:color w:val="0D0D0D" w:themeColor="text1" w:themeTint="F2"/>
                                <w:sz w:val="36"/>
                                <w:szCs w:val="40"/>
                              </w:rPr>
                              <w:t>130</w:t>
                            </w:r>
                            <w:r w:rsidR="00322450" w:rsidRPr="004B7EB6">
                              <w:rPr>
                                <w:rFonts w:asciiTheme="majorHAnsi" w:hAnsiTheme="majorHAnsi" w:cs="Arial"/>
                                <w:b/>
                                <w:bCs/>
                                <w:color w:val="0D0D0D" w:themeColor="text1" w:themeTint="F2"/>
                                <w:sz w:val="36"/>
                                <w:szCs w:val="40"/>
                              </w:rPr>
                              <w:t>/1</w:t>
                            </w:r>
                            <w:r w:rsidR="00AB4A0B">
                              <w:rPr>
                                <w:rFonts w:asciiTheme="majorHAnsi" w:hAnsiTheme="majorHAnsi" w:cs="Arial"/>
                                <w:b/>
                                <w:bCs/>
                                <w:color w:val="0D0D0D" w:themeColor="text1" w:themeTint="F2"/>
                                <w:sz w:val="36"/>
                                <w:szCs w:val="40"/>
                              </w:rPr>
                              <w:t>9</w:t>
                            </w:r>
                          </w:p>
                          <w:p w14:paraId="081F51F3" w14:textId="36213EE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B48F9">
                              <w:rPr>
                                <w:rFonts w:asciiTheme="majorHAnsi" w:hAnsiTheme="majorHAnsi" w:cs="Arial"/>
                                <w:b/>
                                <w:bCs/>
                                <w:color w:val="0D0D0D" w:themeColor="text1" w:themeTint="F2"/>
                                <w:sz w:val="36"/>
                                <w:szCs w:val="40"/>
                              </w:rPr>
                              <w:t>95</w:t>
                            </w:r>
                            <w:r w:rsidR="00F621C3">
                              <w:rPr>
                                <w:rFonts w:asciiTheme="majorHAnsi" w:hAnsiTheme="majorHAnsi" w:cs="Arial"/>
                                <w:b/>
                                <w:bCs/>
                                <w:color w:val="0D0D0D" w:themeColor="text1" w:themeTint="F2"/>
                                <w:sz w:val="36"/>
                                <w:szCs w:val="40"/>
                              </w:rPr>
                              <w:t>-</w:t>
                            </w:r>
                            <w:r w:rsidR="005B48F9">
                              <w:rPr>
                                <w:rFonts w:asciiTheme="majorHAnsi" w:hAnsiTheme="majorHAnsi" w:cs="Arial"/>
                                <w:b/>
                                <w:bCs/>
                                <w:color w:val="0D0D0D" w:themeColor="text1" w:themeTint="F2"/>
                                <w:sz w:val="36"/>
                                <w:szCs w:val="40"/>
                              </w:rPr>
                              <w:t>09</w:t>
                            </w:r>
                          </w:p>
                          <w:p w14:paraId="34978E5A" w14:textId="4038F491" w:rsidR="002C1641" w:rsidRPr="00764AE5" w:rsidRDefault="00F42B71" w:rsidP="004B7EB6">
                            <w:pPr>
                              <w:spacing w:line="276" w:lineRule="auto"/>
                              <w:rPr>
                                <w:rFonts w:asciiTheme="majorHAnsi" w:hAnsiTheme="majorHAnsi" w:cs="Arial"/>
                                <w:szCs w:val="22"/>
                              </w:rPr>
                            </w:pPr>
                            <w:r>
                              <w:rPr>
                                <w:rFonts w:asciiTheme="majorHAnsi" w:hAnsiTheme="majorHAnsi" w:cs="Arial"/>
                                <w:color w:val="0D0D0D" w:themeColor="text1" w:themeTint="F2"/>
                                <w:szCs w:val="22"/>
                              </w:rPr>
                              <w:t>REPORT ON</w:t>
                            </w:r>
                            <w:r w:rsidRPr="00764AE5">
                              <w:rPr>
                                <w:rFonts w:asciiTheme="majorHAnsi" w:hAnsiTheme="majorHAnsi" w:cs="Arial"/>
                                <w:szCs w:val="22"/>
                              </w:rPr>
                              <w:t xml:space="preserve"> ADMISSIBILITY</w:t>
                            </w:r>
                            <w:r w:rsidR="00F621C3" w:rsidRPr="00764AE5">
                              <w:rPr>
                                <w:rFonts w:asciiTheme="majorHAnsi" w:hAnsiTheme="majorHAnsi" w:cs="Arial"/>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F0354C7" w14:textId="36F984F0" w:rsidR="005B48F9" w:rsidRPr="00E4233F" w:rsidRDefault="005B48F9" w:rsidP="005B48F9">
                            <w:pPr>
                              <w:rPr>
                                <w:rFonts w:ascii="Cambria" w:hAnsi="Cambria" w:cs="Arial"/>
                                <w:color w:val="0D0D0D"/>
                              </w:rPr>
                            </w:pPr>
                            <w:r w:rsidRPr="00E4233F">
                              <w:rPr>
                                <w:rFonts w:ascii="Cambria" w:hAnsi="Cambria" w:cs="Arial"/>
                                <w:color w:val="0D0D0D"/>
                              </w:rPr>
                              <w:t>EDWIN HERNÁN CIRO AND FAMILY</w:t>
                            </w:r>
                          </w:p>
                          <w:p w14:paraId="3DD83FDE" w14:textId="77777777" w:rsidR="005B48F9" w:rsidRPr="005B48F9" w:rsidRDefault="005B48F9" w:rsidP="005B48F9">
                            <w:pPr>
                              <w:rPr>
                                <w:rFonts w:ascii="Cambria" w:hAnsi="Cambria" w:cs="Arial"/>
                                <w:color w:val="0D0D0D"/>
                              </w:rPr>
                            </w:pPr>
                            <w:r w:rsidRPr="005B48F9">
                              <w:rPr>
                                <w:rFonts w:ascii="Cambria" w:hAnsi="Cambria" w:cs="Arial"/>
                                <w:color w:val="0D0D0D"/>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6E3E37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B4A0B">
                        <w:rPr>
                          <w:rFonts w:asciiTheme="majorHAnsi" w:hAnsiTheme="majorHAnsi" w:cs="Arial"/>
                          <w:b/>
                          <w:bCs/>
                          <w:color w:val="0D0D0D" w:themeColor="text1" w:themeTint="F2"/>
                          <w:sz w:val="36"/>
                          <w:szCs w:val="40"/>
                        </w:rPr>
                        <w:t>130</w:t>
                      </w:r>
                      <w:r w:rsidR="00322450" w:rsidRPr="004B7EB6">
                        <w:rPr>
                          <w:rFonts w:asciiTheme="majorHAnsi" w:hAnsiTheme="majorHAnsi" w:cs="Arial"/>
                          <w:b/>
                          <w:bCs/>
                          <w:color w:val="0D0D0D" w:themeColor="text1" w:themeTint="F2"/>
                          <w:sz w:val="36"/>
                          <w:szCs w:val="40"/>
                        </w:rPr>
                        <w:t>/1</w:t>
                      </w:r>
                      <w:r w:rsidR="00AB4A0B">
                        <w:rPr>
                          <w:rFonts w:asciiTheme="majorHAnsi" w:hAnsiTheme="majorHAnsi" w:cs="Arial"/>
                          <w:b/>
                          <w:bCs/>
                          <w:color w:val="0D0D0D" w:themeColor="text1" w:themeTint="F2"/>
                          <w:sz w:val="36"/>
                          <w:szCs w:val="40"/>
                        </w:rPr>
                        <w:t>9</w:t>
                      </w:r>
                    </w:p>
                    <w:p w14:paraId="081F51F3" w14:textId="36213EE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B48F9">
                        <w:rPr>
                          <w:rFonts w:asciiTheme="majorHAnsi" w:hAnsiTheme="majorHAnsi" w:cs="Arial"/>
                          <w:b/>
                          <w:bCs/>
                          <w:color w:val="0D0D0D" w:themeColor="text1" w:themeTint="F2"/>
                          <w:sz w:val="36"/>
                          <w:szCs w:val="40"/>
                        </w:rPr>
                        <w:t>95</w:t>
                      </w:r>
                      <w:r w:rsidR="00F621C3">
                        <w:rPr>
                          <w:rFonts w:asciiTheme="majorHAnsi" w:hAnsiTheme="majorHAnsi" w:cs="Arial"/>
                          <w:b/>
                          <w:bCs/>
                          <w:color w:val="0D0D0D" w:themeColor="text1" w:themeTint="F2"/>
                          <w:sz w:val="36"/>
                          <w:szCs w:val="40"/>
                        </w:rPr>
                        <w:t>-</w:t>
                      </w:r>
                      <w:r w:rsidR="005B48F9">
                        <w:rPr>
                          <w:rFonts w:asciiTheme="majorHAnsi" w:hAnsiTheme="majorHAnsi" w:cs="Arial"/>
                          <w:b/>
                          <w:bCs/>
                          <w:color w:val="0D0D0D" w:themeColor="text1" w:themeTint="F2"/>
                          <w:sz w:val="36"/>
                          <w:szCs w:val="40"/>
                        </w:rPr>
                        <w:t>09</w:t>
                      </w:r>
                    </w:p>
                    <w:p w14:paraId="34978E5A" w14:textId="4038F491" w:rsidR="002C1641" w:rsidRPr="00764AE5" w:rsidRDefault="00F42B71" w:rsidP="004B7EB6">
                      <w:pPr>
                        <w:spacing w:line="276" w:lineRule="auto"/>
                        <w:rPr>
                          <w:rFonts w:asciiTheme="majorHAnsi" w:hAnsiTheme="majorHAnsi" w:cs="Arial"/>
                          <w:szCs w:val="22"/>
                        </w:rPr>
                      </w:pPr>
                      <w:r>
                        <w:rPr>
                          <w:rFonts w:asciiTheme="majorHAnsi" w:hAnsiTheme="majorHAnsi" w:cs="Arial"/>
                          <w:color w:val="0D0D0D" w:themeColor="text1" w:themeTint="F2"/>
                          <w:szCs w:val="22"/>
                        </w:rPr>
                        <w:t>REPORT ON</w:t>
                      </w:r>
                      <w:r w:rsidRPr="00764AE5">
                        <w:rPr>
                          <w:rFonts w:asciiTheme="majorHAnsi" w:hAnsiTheme="majorHAnsi" w:cs="Arial"/>
                          <w:szCs w:val="22"/>
                        </w:rPr>
                        <w:t xml:space="preserve"> ADMISSIBILITY</w:t>
                      </w:r>
                      <w:r w:rsidR="00F621C3" w:rsidRPr="00764AE5">
                        <w:rPr>
                          <w:rFonts w:asciiTheme="majorHAnsi" w:hAnsiTheme="majorHAnsi" w:cs="Arial"/>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F0354C7" w14:textId="36F984F0" w:rsidR="005B48F9" w:rsidRPr="00E4233F" w:rsidRDefault="005B48F9" w:rsidP="005B48F9">
                      <w:pPr>
                        <w:rPr>
                          <w:rFonts w:ascii="Cambria" w:hAnsi="Cambria" w:cs="Arial"/>
                          <w:color w:val="0D0D0D"/>
                        </w:rPr>
                      </w:pPr>
                      <w:r w:rsidRPr="00E4233F">
                        <w:rPr>
                          <w:rFonts w:ascii="Cambria" w:hAnsi="Cambria" w:cs="Arial"/>
                          <w:color w:val="0D0D0D"/>
                        </w:rPr>
                        <w:t>EDWIN HERNÁN CIRO AND FAMILY</w:t>
                      </w:r>
                    </w:p>
                    <w:p w14:paraId="3DD83FDE" w14:textId="77777777" w:rsidR="005B48F9" w:rsidRPr="005B48F9" w:rsidRDefault="005B48F9" w:rsidP="005B48F9">
                      <w:pPr>
                        <w:rPr>
                          <w:rFonts w:ascii="Cambria" w:hAnsi="Cambria" w:cs="Arial"/>
                          <w:color w:val="0D0D0D"/>
                        </w:rPr>
                      </w:pPr>
                      <w:r w:rsidRPr="005B48F9">
                        <w:rPr>
                          <w:rFonts w:ascii="Cambria" w:hAnsi="Cambria" w:cs="Arial"/>
                          <w:color w:val="0D0D0D"/>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1133BAD" w:rsidR="00627C9F" w:rsidRPr="00AB4A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w:t>
                            </w:r>
                            <w:r w:rsidRPr="00AB4A0B">
                              <w:rPr>
                                <w:rFonts w:asciiTheme="minorHAnsi" w:hAnsiTheme="minorHAnsi"/>
                                <w:color w:val="FFFFFF" w:themeColor="background1"/>
                                <w:sz w:val="22"/>
                                <w:lang w:val="pt-BR"/>
                              </w:rPr>
                              <w:t>II.</w:t>
                            </w:r>
                          </w:p>
                          <w:p w14:paraId="4AA08A8C" w14:textId="1EE9D041" w:rsidR="00627C9F" w:rsidRPr="00AB4A0B" w:rsidRDefault="00CA6577" w:rsidP="009E566A">
                            <w:pPr>
                              <w:jc w:val="right"/>
                              <w:rPr>
                                <w:rFonts w:asciiTheme="minorHAnsi" w:hAnsiTheme="minorHAnsi"/>
                                <w:color w:val="FFFFFF" w:themeColor="background1"/>
                                <w:sz w:val="22"/>
                                <w:lang w:val="pt-BR"/>
                              </w:rPr>
                            </w:pPr>
                            <w:r w:rsidRPr="00AB4A0B">
                              <w:rPr>
                                <w:rFonts w:asciiTheme="minorHAnsi" w:hAnsiTheme="minorHAnsi"/>
                                <w:color w:val="FFFFFF" w:themeColor="background1"/>
                                <w:sz w:val="22"/>
                                <w:lang w:val="pt-BR"/>
                              </w:rPr>
                              <w:t xml:space="preserve">Doc. </w:t>
                            </w:r>
                            <w:r w:rsidR="00AB4A0B">
                              <w:rPr>
                                <w:rFonts w:asciiTheme="minorHAnsi" w:hAnsiTheme="minorHAnsi"/>
                                <w:color w:val="FFFFFF" w:themeColor="background1"/>
                                <w:sz w:val="22"/>
                                <w:lang w:val="pt-BR"/>
                              </w:rPr>
                              <w:t>139</w:t>
                            </w:r>
                          </w:p>
                          <w:p w14:paraId="0BEFF61A" w14:textId="23BD1F5B" w:rsidR="00627C9F" w:rsidRPr="00AB4A0B" w:rsidRDefault="00AB4A0B" w:rsidP="009E566A">
                            <w:pPr>
                              <w:jc w:val="right"/>
                              <w:rPr>
                                <w:rFonts w:asciiTheme="minorHAnsi" w:hAnsiTheme="minorHAnsi"/>
                                <w:color w:val="FFFFFF" w:themeColor="background1"/>
                                <w:sz w:val="22"/>
                              </w:rPr>
                            </w:pPr>
                            <w:r>
                              <w:rPr>
                                <w:rFonts w:asciiTheme="minorHAnsi" w:hAnsiTheme="minorHAnsi"/>
                                <w:color w:val="FFFFFF" w:themeColor="background1"/>
                                <w:sz w:val="22"/>
                              </w:rPr>
                              <w:t>13 August</w:t>
                            </w:r>
                            <w:r w:rsidR="000C4365" w:rsidRPr="00AB4A0B">
                              <w:rPr>
                                <w:rFonts w:asciiTheme="minorHAnsi" w:hAnsiTheme="minorHAnsi"/>
                                <w:color w:val="FFFFFF" w:themeColor="background1"/>
                                <w:sz w:val="22"/>
                              </w:rPr>
                              <w:t xml:space="preserve"> </w:t>
                            </w:r>
                            <w:r w:rsidR="00F42B71" w:rsidRPr="00AB4A0B">
                              <w:rPr>
                                <w:rFonts w:asciiTheme="minorHAnsi" w:hAnsiTheme="minorHAnsi"/>
                                <w:color w:val="FFFFFF" w:themeColor="background1"/>
                                <w:sz w:val="22"/>
                              </w:rPr>
                              <w:t>20</w:t>
                            </w:r>
                            <w:r w:rsidR="00764AE5" w:rsidRPr="00AB4A0B">
                              <w:rPr>
                                <w:rFonts w:asciiTheme="minorHAnsi" w:hAnsiTheme="minorHAnsi"/>
                                <w:color w:val="FFFFFF" w:themeColor="background1"/>
                                <w:sz w:val="22"/>
                              </w:rPr>
                              <w:t>19</w:t>
                            </w:r>
                          </w:p>
                          <w:p w14:paraId="0FC103BD" w14:textId="2C070571" w:rsidR="00627C9F" w:rsidRPr="00AB4A0B" w:rsidRDefault="00627C9F" w:rsidP="009E566A">
                            <w:pPr>
                              <w:jc w:val="right"/>
                              <w:rPr>
                                <w:rFonts w:asciiTheme="minorHAnsi" w:hAnsiTheme="minorHAnsi"/>
                                <w:color w:val="FFFFFF" w:themeColor="background1"/>
                                <w:sz w:val="22"/>
                              </w:rPr>
                            </w:pPr>
                            <w:r w:rsidRPr="00AB4A0B">
                              <w:rPr>
                                <w:rFonts w:asciiTheme="minorHAnsi" w:hAnsiTheme="minorHAnsi"/>
                                <w:color w:val="FFFFFF" w:themeColor="background1"/>
                                <w:sz w:val="22"/>
                              </w:rPr>
                              <w:t>Original:</w:t>
                            </w:r>
                            <w:r w:rsidR="002C1641" w:rsidRPr="00AB4A0B">
                              <w:rPr>
                                <w:rFonts w:asciiTheme="minorHAnsi" w:hAnsiTheme="minorHAnsi"/>
                                <w:color w:val="FFFFFF" w:themeColor="background1"/>
                                <w:sz w:val="22"/>
                              </w:rPr>
                              <w:t xml:space="preserve"> </w:t>
                            </w:r>
                            <w:r w:rsidR="00F42B71" w:rsidRPr="00AB4A0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1133BAD" w:rsidR="00627C9F" w:rsidRPr="00AB4A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w:t>
                      </w:r>
                      <w:r w:rsidRPr="00AB4A0B">
                        <w:rPr>
                          <w:rFonts w:asciiTheme="minorHAnsi" w:hAnsiTheme="minorHAnsi"/>
                          <w:color w:val="FFFFFF" w:themeColor="background1"/>
                          <w:sz w:val="22"/>
                          <w:lang w:val="pt-BR"/>
                        </w:rPr>
                        <w:t>II.</w:t>
                      </w:r>
                    </w:p>
                    <w:p w14:paraId="4AA08A8C" w14:textId="1EE9D041" w:rsidR="00627C9F" w:rsidRPr="00AB4A0B" w:rsidRDefault="00CA6577" w:rsidP="009E566A">
                      <w:pPr>
                        <w:jc w:val="right"/>
                        <w:rPr>
                          <w:rFonts w:asciiTheme="minorHAnsi" w:hAnsiTheme="minorHAnsi"/>
                          <w:color w:val="FFFFFF" w:themeColor="background1"/>
                          <w:sz w:val="22"/>
                          <w:lang w:val="pt-BR"/>
                        </w:rPr>
                      </w:pPr>
                      <w:r w:rsidRPr="00AB4A0B">
                        <w:rPr>
                          <w:rFonts w:asciiTheme="minorHAnsi" w:hAnsiTheme="minorHAnsi"/>
                          <w:color w:val="FFFFFF" w:themeColor="background1"/>
                          <w:sz w:val="22"/>
                          <w:lang w:val="pt-BR"/>
                        </w:rPr>
                        <w:t xml:space="preserve">Doc. </w:t>
                      </w:r>
                      <w:r w:rsidR="00AB4A0B">
                        <w:rPr>
                          <w:rFonts w:asciiTheme="minorHAnsi" w:hAnsiTheme="minorHAnsi"/>
                          <w:color w:val="FFFFFF" w:themeColor="background1"/>
                          <w:sz w:val="22"/>
                          <w:lang w:val="pt-BR"/>
                        </w:rPr>
                        <w:t>139</w:t>
                      </w:r>
                    </w:p>
                    <w:p w14:paraId="0BEFF61A" w14:textId="23BD1F5B" w:rsidR="00627C9F" w:rsidRPr="00AB4A0B" w:rsidRDefault="00AB4A0B" w:rsidP="009E566A">
                      <w:pPr>
                        <w:jc w:val="right"/>
                        <w:rPr>
                          <w:rFonts w:asciiTheme="minorHAnsi" w:hAnsiTheme="minorHAnsi"/>
                          <w:color w:val="FFFFFF" w:themeColor="background1"/>
                          <w:sz w:val="22"/>
                        </w:rPr>
                      </w:pPr>
                      <w:r>
                        <w:rPr>
                          <w:rFonts w:asciiTheme="minorHAnsi" w:hAnsiTheme="minorHAnsi"/>
                          <w:color w:val="FFFFFF" w:themeColor="background1"/>
                          <w:sz w:val="22"/>
                        </w:rPr>
                        <w:t>13 August</w:t>
                      </w:r>
                      <w:r w:rsidR="000C4365" w:rsidRPr="00AB4A0B">
                        <w:rPr>
                          <w:rFonts w:asciiTheme="minorHAnsi" w:hAnsiTheme="minorHAnsi"/>
                          <w:color w:val="FFFFFF" w:themeColor="background1"/>
                          <w:sz w:val="22"/>
                        </w:rPr>
                        <w:t xml:space="preserve"> </w:t>
                      </w:r>
                      <w:r w:rsidR="00F42B71" w:rsidRPr="00AB4A0B">
                        <w:rPr>
                          <w:rFonts w:asciiTheme="minorHAnsi" w:hAnsiTheme="minorHAnsi"/>
                          <w:color w:val="FFFFFF" w:themeColor="background1"/>
                          <w:sz w:val="22"/>
                        </w:rPr>
                        <w:t>20</w:t>
                      </w:r>
                      <w:r w:rsidR="00764AE5" w:rsidRPr="00AB4A0B">
                        <w:rPr>
                          <w:rFonts w:asciiTheme="minorHAnsi" w:hAnsiTheme="minorHAnsi"/>
                          <w:color w:val="FFFFFF" w:themeColor="background1"/>
                          <w:sz w:val="22"/>
                        </w:rPr>
                        <w:t>19</w:t>
                      </w:r>
                    </w:p>
                    <w:p w14:paraId="0FC103BD" w14:textId="2C070571" w:rsidR="00627C9F" w:rsidRPr="00AB4A0B" w:rsidRDefault="00627C9F" w:rsidP="009E566A">
                      <w:pPr>
                        <w:jc w:val="right"/>
                        <w:rPr>
                          <w:rFonts w:asciiTheme="minorHAnsi" w:hAnsiTheme="minorHAnsi"/>
                          <w:color w:val="FFFFFF" w:themeColor="background1"/>
                          <w:sz w:val="22"/>
                        </w:rPr>
                      </w:pPr>
                      <w:r w:rsidRPr="00AB4A0B">
                        <w:rPr>
                          <w:rFonts w:asciiTheme="minorHAnsi" w:hAnsiTheme="minorHAnsi"/>
                          <w:color w:val="FFFFFF" w:themeColor="background1"/>
                          <w:sz w:val="22"/>
                        </w:rPr>
                        <w:t>Original:</w:t>
                      </w:r>
                      <w:r w:rsidR="002C1641" w:rsidRPr="00AB4A0B">
                        <w:rPr>
                          <w:rFonts w:asciiTheme="minorHAnsi" w:hAnsiTheme="minorHAnsi"/>
                          <w:color w:val="FFFFFF" w:themeColor="background1"/>
                          <w:sz w:val="22"/>
                        </w:rPr>
                        <w:t xml:space="preserve"> </w:t>
                      </w:r>
                      <w:r w:rsidR="00F42B71" w:rsidRPr="00AB4A0B">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bookmarkStart w:id="0" w:name="_GoBack"/>
      <w:bookmarkEnd w:id="0"/>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DDDA9" w14:textId="4FDD43E5" w:rsidR="00764AE5" w:rsidRPr="0019513C" w:rsidRDefault="00764AE5" w:rsidP="00764AE5">
                            <w:pPr>
                              <w:tabs>
                                <w:tab w:val="center" w:pos="5400"/>
                              </w:tabs>
                              <w:suppressAutoHyphens/>
                              <w:spacing w:before="60"/>
                              <w:rPr>
                                <w:rFonts w:ascii="Cambria" w:hAnsi="Cambria" w:cs="Univers"/>
                                <w:color w:val="0D0D0D"/>
                                <w:sz w:val="18"/>
                                <w:szCs w:val="20"/>
                              </w:rPr>
                            </w:pPr>
                            <w:r w:rsidRPr="007077B2">
                              <w:rPr>
                                <w:rFonts w:ascii="Cambria" w:hAnsi="Cambria"/>
                                <w:color w:val="0D0D0D"/>
                                <w:sz w:val="18"/>
                                <w:szCs w:val="20"/>
                              </w:rPr>
                              <w:t xml:space="preserve">Approved </w:t>
                            </w:r>
                            <w:r>
                              <w:rPr>
                                <w:rFonts w:ascii="Cambria" w:hAnsi="Cambria"/>
                                <w:color w:val="0D0D0D"/>
                                <w:sz w:val="18"/>
                                <w:szCs w:val="20"/>
                              </w:rPr>
                              <w:t xml:space="preserve">electronically </w:t>
                            </w:r>
                            <w:r w:rsidRPr="007077B2">
                              <w:rPr>
                                <w:rFonts w:ascii="Cambria" w:hAnsi="Cambria"/>
                                <w:color w:val="0D0D0D"/>
                                <w:sz w:val="18"/>
                                <w:szCs w:val="20"/>
                              </w:rPr>
                              <w:t xml:space="preserve">by the Commission </w:t>
                            </w:r>
                            <w:r>
                              <w:rPr>
                                <w:rFonts w:ascii="Cambria" w:hAnsi="Cambria"/>
                                <w:color w:val="0D0D0D"/>
                                <w:sz w:val="18"/>
                                <w:szCs w:val="20"/>
                              </w:rPr>
                              <w:t xml:space="preserve">on </w:t>
                            </w:r>
                            <w:r w:rsidR="00AB4A0B">
                              <w:rPr>
                                <w:rFonts w:ascii="Cambria" w:hAnsi="Cambria"/>
                                <w:color w:val="0D0D0D"/>
                                <w:sz w:val="18"/>
                                <w:szCs w:val="20"/>
                              </w:rPr>
                              <w:t>August 13,</w:t>
                            </w:r>
                            <w:r>
                              <w:rPr>
                                <w:rFonts w:ascii="Cambria" w:hAnsi="Cambria"/>
                                <w:color w:val="0D0D0D"/>
                                <w:sz w:val="18"/>
                                <w:szCs w:val="20"/>
                              </w:rPr>
                              <w:t xml:space="preserve"> 2019</w:t>
                            </w:r>
                            <w:r w:rsidR="00A6051E">
                              <w:rPr>
                                <w:rFonts w:ascii="Cambria" w:hAnsi="Cambria"/>
                                <w:color w:val="0D0D0D"/>
                                <w:sz w:val="18"/>
                                <w:szCs w:val="20"/>
                              </w:rPr>
                              <w:t>.</w:t>
                            </w:r>
                          </w:p>
                          <w:p w14:paraId="29BF637A" w14:textId="68AA1E00"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614DDDA9" w14:textId="4FDD43E5" w:rsidR="00764AE5" w:rsidRPr="0019513C" w:rsidRDefault="00764AE5" w:rsidP="00764AE5">
                      <w:pPr>
                        <w:tabs>
                          <w:tab w:val="center" w:pos="5400"/>
                        </w:tabs>
                        <w:suppressAutoHyphens/>
                        <w:spacing w:before="60"/>
                        <w:rPr>
                          <w:rFonts w:ascii="Cambria" w:hAnsi="Cambria" w:cs="Univers"/>
                          <w:color w:val="0D0D0D"/>
                          <w:sz w:val="18"/>
                          <w:szCs w:val="20"/>
                        </w:rPr>
                      </w:pPr>
                      <w:r w:rsidRPr="007077B2">
                        <w:rPr>
                          <w:rFonts w:ascii="Cambria" w:hAnsi="Cambria"/>
                          <w:color w:val="0D0D0D"/>
                          <w:sz w:val="18"/>
                          <w:szCs w:val="20"/>
                        </w:rPr>
                        <w:t xml:space="preserve">Approved </w:t>
                      </w:r>
                      <w:r>
                        <w:rPr>
                          <w:rFonts w:ascii="Cambria" w:hAnsi="Cambria"/>
                          <w:color w:val="0D0D0D"/>
                          <w:sz w:val="18"/>
                          <w:szCs w:val="20"/>
                        </w:rPr>
                        <w:t xml:space="preserve">electronically </w:t>
                      </w:r>
                      <w:r w:rsidRPr="007077B2">
                        <w:rPr>
                          <w:rFonts w:ascii="Cambria" w:hAnsi="Cambria"/>
                          <w:color w:val="0D0D0D"/>
                          <w:sz w:val="18"/>
                          <w:szCs w:val="20"/>
                        </w:rPr>
                        <w:t xml:space="preserve">by the Commission </w:t>
                      </w:r>
                      <w:r>
                        <w:rPr>
                          <w:rFonts w:ascii="Cambria" w:hAnsi="Cambria"/>
                          <w:color w:val="0D0D0D"/>
                          <w:sz w:val="18"/>
                          <w:szCs w:val="20"/>
                        </w:rPr>
                        <w:t xml:space="preserve">on </w:t>
                      </w:r>
                      <w:r w:rsidR="00AB4A0B">
                        <w:rPr>
                          <w:rFonts w:ascii="Cambria" w:hAnsi="Cambria"/>
                          <w:color w:val="0D0D0D"/>
                          <w:sz w:val="18"/>
                          <w:szCs w:val="20"/>
                        </w:rPr>
                        <w:t>August 13,</w:t>
                      </w:r>
                      <w:r>
                        <w:rPr>
                          <w:rFonts w:ascii="Cambria" w:hAnsi="Cambria"/>
                          <w:color w:val="0D0D0D"/>
                          <w:sz w:val="18"/>
                          <w:szCs w:val="20"/>
                        </w:rPr>
                        <w:t xml:space="preserve"> 2019</w:t>
                      </w:r>
                      <w:r w:rsidR="00A6051E">
                        <w:rPr>
                          <w:rFonts w:ascii="Cambria" w:hAnsi="Cambria"/>
                          <w:color w:val="0D0D0D"/>
                          <w:sz w:val="18"/>
                          <w:szCs w:val="20"/>
                        </w:rPr>
                        <w:t>.</w:t>
                      </w:r>
                    </w:p>
                    <w:p w14:paraId="29BF637A" w14:textId="68AA1E00"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BDB1F8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B4A0B">
                              <w:rPr>
                                <w:rFonts w:asciiTheme="majorHAnsi" w:hAnsiTheme="majorHAnsi"/>
                                <w:color w:val="595959" w:themeColor="text1" w:themeTint="A6"/>
                                <w:sz w:val="18"/>
                              </w:rPr>
                              <w:t>130</w:t>
                            </w:r>
                            <w:r w:rsidR="00022CF5">
                              <w:rPr>
                                <w:rFonts w:asciiTheme="majorHAnsi" w:hAnsiTheme="majorHAnsi"/>
                                <w:color w:val="595959" w:themeColor="text1" w:themeTint="A6"/>
                                <w:sz w:val="18"/>
                              </w:rPr>
                              <w:t>/</w:t>
                            </w:r>
                            <w:r w:rsidR="00AB4A0B">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B48F9">
                              <w:rPr>
                                <w:rFonts w:asciiTheme="majorHAnsi" w:hAnsiTheme="majorHAnsi"/>
                                <w:color w:val="595959" w:themeColor="text1" w:themeTint="A6"/>
                                <w:sz w:val="18"/>
                              </w:rPr>
                              <w:t>9</w:t>
                            </w:r>
                            <w:r w:rsidR="00764AE5">
                              <w:rPr>
                                <w:rFonts w:asciiTheme="majorHAnsi" w:hAnsiTheme="majorHAnsi"/>
                                <w:color w:val="595959" w:themeColor="text1" w:themeTint="A6"/>
                                <w:sz w:val="18"/>
                              </w:rPr>
                              <w:t>5</w:t>
                            </w:r>
                            <w:r w:rsidR="00F621C3">
                              <w:rPr>
                                <w:rFonts w:asciiTheme="majorHAnsi" w:hAnsiTheme="majorHAnsi"/>
                                <w:color w:val="595959" w:themeColor="text1" w:themeTint="A6"/>
                                <w:sz w:val="18"/>
                              </w:rPr>
                              <w:t>-</w:t>
                            </w:r>
                            <w:r w:rsidR="005B48F9">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764AE5">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5B48F9">
                              <w:rPr>
                                <w:rFonts w:ascii="Cambria" w:hAnsi="Cambria"/>
                                <w:color w:val="595959" w:themeColor="text1" w:themeTint="A6"/>
                                <w:sz w:val="18"/>
                                <w:szCs w:val="18"/>
                              </w:rPr>
                              <w:t xml:space="preserve">Edwin </w:t>
                            </w:r>
                            <w:proofErr w:type="spellStart"/>
                            <w:r w:rsidR="005B48F9">
                              <w:rPr>
                                <w:rFonts w:ascii="Cambria" w:hAnsi="Cambria"/>
                                <w:color w:val="595959" w:themeColor="text1" w:themeTint="A6"/>
                                <w:sz w:val="18"/>
                                <w:szCs w:val="18"/>
                              </w:rPr>
                              <w:t>Hernán</w:t>
                            </w:r>
                            <w:proofErr w:type="spellEnd"/>
                            <w:r w:rsidR="005B48F9">
                              <w:rPr>
                                <w:rFonts w:ascii="Cambria" w:hAnsi="Cambria"/>
                                <w:color w:val="595959" w:themeColor="text1" w:themeTint="A6"/>
                                <w:sz w:val="18"/>
                                <w:szCs w:val="18"/>
                              </w:rPr>
                              <w:t xml:space="preserve"> </w:t>
                            </w:r>
                            <w:proofErr w:type="spellStart"/>
                            <w:r w:rsidR="005B48F9">
                              <w:rPr>
                                <w:rFonts w:ascii="Cambria" w:hAnsi="Cambria"/>
                                <w:color w:val="595959" w:themeColor="text1" w:themeTint="A6"/>
                                <w:sz w:val="18"/>
                                <w:szCs w:val="18"/>
                              </w:rPr>
                              <w:t>Ciro</w:t>
                            </w:r>
                            <w:proofErr w:type="spellEnd"/>
                            <w:r w:rsidR="005B48F9">
                              <w:rPr>
                                <w:rFonts w:ascii="Cambria" w:hAnsi="Cambria"/>
                                <w:color w:val="595959" w:themeColor="text1" w:themeTint="A6"/>
                                <w:sz w:val="18"/>
                                <w:szCs w:val="18"/>
                              </w:rPr>
                              <w:t xml:space="preserve"> and</w:t>
                            </w:r>
                            <w:r w:rsidR="00AB4A0B">
                              <w:rPr>
                                <w:rFonts w:ascii="Cambria" w:hAnsi="Cambria"/>
                                <w:color w:val="595959" w:themeColor="text1" w:themeTint="A6"/>
                                <w:sz w:val="18"/>
                                <w:szCs w:val="18"/>
                              </w:rPr>
                              <w:t xml:space="preserve"> </w:t>
                            </w:r>
                            <w:r w:rsidR="005B48F9">
                              <w:rPr>
                                <w:rFonts w:ascii="Cambria" w:hAnsi="Cambria"/>
                                <w:color w:val="595959" w:themeColor="text1" w:themeTint="A6"/>
                                <w:sz w:val="18"/>
                                <w:szCs w:val="18"/>
                              </w:rPr>
                              <w:t>family</w:t>
                            </w:r>
                            <w:r w:rsidR="00764AE5">
                              <w:rPr>
                                <w:rFonts w:ascii="Cambria" w:hAnsi="Cambria"/>
                                <w:color w:val="595959"/>
                                <w:sz w:val="18"/>
                                <w:szCs w:val="18"/>
                              </w:rPr>
                              <w:t>.</w:t>
                            </w:r>
                            <w:r w:rsidR="00764AE5" w:rsidRPr="009B298A">
                              <w:rPr>
                                <w:rFonts w:ascii="Cambria" w:hAnsi="Cambria"/>
                                <w:color w:val="595959"/>
                                <w:sz w:val="18"/>
                                <w:szCs w:val="18"/>
                              </w:rPr>
                              <w:t xml:space="preserve"> </w:t>
                            </w:r>
                            <w:r w:rsidR="005B48F9">
                              <w:rPr>
                                <w:rFonts w:ascii="Cambria" w:hAnsi="Cambria"/>
                                <w:color w:val="595959"/>
                                <w:sz w:val="18"/>
                                <w:szCs w:val="18"/>
                              </w:rPr>
                              <w:t>Colombia</w:t>
                            </w:r>
                            <w:r w:rsidR="00022CF5">
                              <w:rPr>
                                <w:rFonts w:asciiTheme="majorHAnsi" w:hAnsiTheme="majorHAnsi"/>
                                <w:color w:val="595959" w:themeColor="text1" w:themeTint="A6"/>
                                <w:sz w:val="18"/>
                              </w:rPr>
                              <w:t xml:space="preserve">. </w:t>
                            </w:r>
                            <w:r w:rsidR="009D3C6F">
                              <w:rPr>
                                <w:rFonts w:asciiTheme="majorHAnsi" w:hAnsiTheme="majorHAnsi"/>
                                <w:color w:val="595959" w:themeColor="text1" w:themeTint="A6"/>
                                <w:sz w:val="18"/>
                              </w:rPr>
                              <w:t>August 13,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BDB1F8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B4A0B">
                        <w:rPr>
                          <w:rFonts w:asciiTheme="majorHAnsi" w:hAnsiTheme="majorHAnsi"/>
                          <w:color w:val="595959" w:themeColor="text1" w:themeTint="A6"/>
                          <w:sz w:val="18"/>
                        </w:rPr>
                        <w:t>130</w:t>
                      </w:r>
                      <w:r w:rsidR="00022CF5">
                        <w:rPr>
                          <w:rFonts w:asciiTheme="majorHAnsi" w:hAnsiTheme="majorHAnsi"/>
                          <w:color w:val="595959" w:themeColor="text1" w:themeTint="A6"/>
                          <w:sz w:val="18"/>
                        </w:rPr>
                        <w:t>/</w:t>
                      </w:r>
                      <w:r w:rsidR="00AB4A0B">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B48F9">
                        <w:rPr>
                          <w:rFonts w:asciiTheme="majorHAnsi" w:hAnsiTheme="majorHAnsi"/>
                          <w:color w:val="595959" w:themeColor="text1" w:themeTint="A6"/>
                          <w:sz w:val="18"/>
                        </w:rPr>
                        <w:t>9</w:t>
                      </w:r>
                      <w:r w:rsidR="00764AE5">
                        <w:rPr>
                          <w:rFonts w:asciiTheme="majorHAnsi" w:hAnsiTheme="majorHAnsi"/>
                          <w:color w:val="595959" w:themeColor="text1" w:themeTint="A6"/>
                          <w:sz w:val="18"/>
                        </w:rPr>
                        <w:t>5</w:t>
                      </w:r>
                      <w:r w:rsidR="00F621C3">
                        <w:rPr>
                          <w:rFonts w:asciiTheme="majorHAnsi" w:hAnsiTheme="majorHAnsi"/>
                          <w:color w:val="595959" w:themeColor="text1" w:themeTint="A6"/>
                          <w:sz w:val="18"/>
                        </w:rPr>
                        <w:t>-</w:t>
                      </w:r>
                      <w:r w:rsidR="005B48F9">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764AE5">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5B48F9">
                        <w:rPr>
                          <w:rFonts w:ascii="Cambria" w:hAnsi="Cambria"/>
                          <w:color w:val="595959" w:themeColor="text1" w:themeTint="A6"/>
                          <w:sz w:val="18"/>
                          <w:szCs w:val="18"/>
                        </w:rPr>
                        <w:t xml:space="preserve">Edwin </w:t>
                      </w:r>
                      <w:proofErr w:type="spellStart"/>
                      <w:r w:rsidR="005B48F9">
                        <w:rPr>
                          <w:rFonts w:ascii="Cambria" w:hAnsi="Cambria"/>
                          <w:color w:val="595959" w:themeColor="text1" w:themeTint="A6"/>
                          <w:sz w:val="18"/>
                          <w:szCs w:val="18"/>
                        </w:rPr>
                        <w:t>Hernán</w:t>
                      </w:r>
                      <w:proofErr w:type="spellEnd"/>
                      <w:r w:rsidR="005B48F9">
                        <w:rPr>
                          <w:rFonts w:ascii="Cambria" w:hAnsi="Cambria"/>
                          <w:color w:val="595959" w:themeColor="text1" w:themeTint="A6"/>
                          <w:sz w:val="18"/>
                          <w:szCs w:val="18"/>
                        </w:rPr>
                        <w:t xml:space="preserve"> </w:t>
                      </w:r>
                      <w:proofErr w:type="spellStart"/>
                      <w:r w:rsidR="005B48F9">
                        <w:rPr>
                          <w:rFonts w:ascii="Cambria" w:hAnsi="Cambria"/>
                          <w:color w:val="595959" w:themeColor="text1" w:themeTint="A6"/>
                          <w:sz w:val="18"/>
                          <w:szCs w:val="18"/>
                        </w:rPr>
                        <w:t>Ciro</w:t>
                      </w:r>
                      <w:proofErr w:type="spellEnd"/>
                      <w:r w:rsidR="005B48F9">
                        <w:rPr>
                          <w:rFonts w:ascii="Cambria" w:hAnsi="Cambria"/>
                          <w:color w:val="595959" w:themeColor="text1" w:themeTint="A6"/>
                          <w:sz w:val="18"/>
                          <w:szCs w:val="18"/>
                        </w:rPr>
                        <w:t xml:space="preserve"> and</w:t>
                      </w:r>
                      <w:r w:rsidR="00AB4A0B">
                        <w:rPr>
                          <w:rFonts w:ascii="Cambria" w:hAnsi="Cambria"/>
                          <w:color w:val="595959" w:themeColor="text1" w:themeTint="A6"/>
                          <w:sz w:val="18"/>
                          <w:szCs w:val="18"/>
                        </w:rPr>
                        <w:t xml:space="preserve"> </w:t>
                      </w:r>
                      <w:r w:rsidR="005B48F9">
                        <w:rPr>
                          <w:rFonts w:ascii="Cambria" w:hAnsi="Cambria"/>
                          <w:color w:val="595959" w:themeColor="text1" w:themeTint="A6"/>
                          <w:sz w:val="18"/>
                          <w:szCs w:val="18"/>
                        </w:rPr>
                        <w:t>family</w:t>
                      </w:r>
                      <w:r w:rsidR="00764AE5">
                        <w:rPr>
                          <w:rFonts w:ascii="Cambria" w:hAnsi="Cambria"/>
                          <w:color w:val="595959"/>
                          <w:sz w:val="18"/>
                          <w:szCs w:val="18"/>
                        </w:rPr>
                        <w:t>.</w:t>
                      </w:r>
                      <w:r w:rsidR="00764AE5" w:rsidRPr="009B298A">
                        <w:rPr>
                          <w:rFonts w:ascii="Cambria" w:hAnsi="Cambria"/>
                          <w:color w:val="595959"/>
                          <w:sz w:val="18"/>
                          <w:szCs w:val="18"/>
                        </w:rPr>
                        <w:t xml:space="preserve"> </w:t>
                      </w:r>
                      <w:r w:rsidR="005B48F9">
                        <w:rPr>
                          <w:rFonts w:ascii="Cambria" w:hAnsi="Cambria"/>
                          <w:color w:val="595959"/>
                          <w:sz w:val="18"/>
                          <w:szCs w:val="18"/>
                        </w:rPr>
                        <w:t>Colombia</w:t>
                      </w:r>
                      <w:r w:rsidR="00022CF5">
                        <w:rPr>
                          <w:rFonts w:asciiTheme="majorHAnsi" w:hAnsiTheme="majorHAnsi"/>
                          <w:color w:val="595959" w:themeColor="text1" w:themeTint="A6"/>
                          <w:sz w:val="18"/>
                        </w:rPr>
                        <w:t xml:space="preserve">. </w:t>
                      </w:r>
                      <w:r w:rsidR="009D3C6F">
                        <w:rPr>
                          <w:rFonts w:asciiTheme="majorHAnsi" w:hAnsiTheme="majorHAnsi"/>
                          <w:color w:val="595959" w:themeColor="text1" w:themeTint="A6"/>
                          <w:sz w:val="18"/>
                        </w:rPr>
                        <w:t>August 13, 2019</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2CCD3F1">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69BE34E" w:rsidR="003C32BC" w:rsidRDefault="00A6051E">
                            <w:r>
                              <w:rPr>
                                <w:noProof/>
                              </w:rPr>
                              <w:drawing>
                                <wp:inline distT="0" distB="0" distL="0" distR="0" wp14:anchorId="056C041A" wp14:editId="74604903">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69BE34E" w:rsidR="003C32BC" w:rsidRDefault="00A6051E">
                      <w:r>
                        <w:rPr>
                          <w:noProof/>
                        </w:rPr>
                        <w:drawing>
                          <wp:inline distT="0" distB="0" distL="0" distR="0" wp14:anchorId="056C041A" wp14:editId="74604903">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764AE5" w14:paraId="491E8196" w14:textId="77777777" w:rsidTr="00C355B4">
        <w:tc>
          <w:tcPr>
            <w:tcW w:w="2790" w:type="dxa"/>
            <w:tcBorders>
              <w:top w:val="single" w:sz="4" w:space="0" w:color="auto"/>
              <w:bottom w:val="single" w:sz="6" w:space="0" w:color="auto"/>
            </w:tcBorders>
            <w:shd w:val="clear" w:color="auto" w:fill="67AE3C"/>
            <w:vAlign w:val="center"/>
          </w:tcPr>
          <w:p w14:paraId="5524F917" w14:textId="24898A81"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0674C7B8" w14:textId="620B1202" w:rsidR="00F621C3" w:rsidRPr="00764AE5" w:rsidRDefault="005B48F9" w:rsidP="009163FC">
            <w:pPr>
              <w:jc w:val="both"/>
              <w:rPr>
                <w:rFonts w:ascii="Cambria" w:hAnsi="Cambria"/>
                <w:bCs/>
                <w:sz w:val="19"/>
                <w:szCs w:val="19"/>
                <w:lang w:val="es-BO"/>
              </w:rPr>
            </w:pPr>
            <w:r>
              <w:rPr>
                <w:rFonts w:ascii="Cambria" w:hAnsi="Cambria"/>
                <w:bCs/>
                <w:sz w:val="19"/>
                <w:szCs w:val="19"/>
              </w:rPr>
              <w:t>Roberto Fernando Paz Salas</w:t>
            </w:r>
          </w:p>
        </w:tc>
      </w:tr>
      <w:tr w:rsidR="00F621C3" w:rsidRPr="000B6B7A" w14:paraId="0F4A57A0" w14:textId="77777777" w:rsidTr="00C355B4">
        <w:tc>
          <w:tcPr>
            <w:tcW w:w="2790" w:type="dxa"/>
            <w:tcBorders>
              <w:top w:val="single" w:sz="6" w:space="0" w:color="auto"/>
              <w:bottom w:val="single" w:sz="6" w:space="0" w:color="auto"/>
            </w:tcBorders>
            <w:shd w:val="clear" w:color="auto" w:fill="67AE3C"/>
            <w:vAlign w:val="center"/>
          </w:tcPr>
          <w:p w14:paraId="325E239F" w14:textId="315FD772"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60895337" w14:textId="010D57CA" w:rsidR="00F621C3" w:rsidRPr="00C355B4" w:rsidRDefault="00AB3378" w:rsidP="009163FC">
            <w:pPr>
              <w:jc w:val="both"/>
              <w:rPr>
                <w:rFonts w:ascii="Cambria" w:hAnsi="Cambria"/>
                <w:bCs/>
                <w:sz w:val="19"/>
                <w:szCs w:val="19"/>
              </w:rPr>
            </w:pPr>
            <w:r>
              <w:rPr>
                <w:rFonts w:ascii="Cambria" w:hAnsi="Cambria"/>
                <w:bCs/>
                <w:sz w:val="19"/>
                <w:szCs w:val="19"/>
              </w:rPr>
              <w:t xml:space="preserve">Edwin </w:t>
            </w:r>
            <w:proofErr w:type="spellStart"/>
            <w:r>
              <w:rPr>
                <w:rFonts w:ascii="Cambria" w:hAnsi="Cambria"/>
                <w:bCs/>
                <w:sz w:val="19"/>
                <w:szCs w:val="19"/>
              </w:rPr>
              <w:t>Hernán</w:t>
            </w:r>
            <w:proofErr w:type="spellEnd"/>
            <w:r>
              <w:rPr>
                <w:rFonts w:ascii="Cambria" w:hAnsi="Cambria"/>
                <w:bCs/>
                <w:sz w:val="19"/>
                <w:szCs w:val="19"/>
              </w:rPr>
              <w:t xml:space="preserve"> </w:t>
            </w:r>
            <w:proofErr w:type="spellStart"/>
            <w:r>
              <w:rPr>
                <w:rFonts w:ascii="Cambria" w:hAnsi="Cambria"/>
                <w:bCs/>
                <w:sz w:val="19"/>
                <w:szCs w:val="19"/>
              </w:rPr>
              <w:t>Ciro</w:t>
            </w:r>
            <w:proofErr w:type="spellEnd"/>
            <w:r>
              <w:rPr>
                <w:rFonts w:ascii="Cambria" w:hAnsi="Cambria"/>
                <w:bCs/>
                <w:sz w:val="19"/>
                <w:szCs w:val="19"/>
              </w:rPr>
              <w:t xml:space="preserve"> </w:t>
            </w:r>
          </w:p>
        </w:tc>
      </w:tr>
      <w:tr w:rsidR="00F621C3" w:rsidRPr="000B6B7A" w14:paraId="067638D2" w14:textId="77777777" w:rsidTr="00C355B4">
        <w:tc>
          <w:tcPr>
            <w:tcW w:w="2790" w:type="dxa"/>
            <w:tcBorders>
              <w:top w:val="single" w:sz="6" w:space="0" w:color="auto"/>
              <w:bottom w:val="single" w:sz="6" w:space="0" w:color="auto"/>
            </w:tcBorders>
            <w:shd w:val="clear" w:color="auto" w:fill="67AE3C"/>
            <w:vAlign w:val="center"/>
          </w:tcPr>
          <w:p w14:paraId="32104528" w14:textId="69A38811"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14:paraId="3539D391" w14:textId="3CFD6C5F" w:rsidR="00F621C3" w:rsidRPr="00C355B4" w:rsidRDefault="005B48F9" w:rsidP="009163FC">
            <w:pPr>
              <w:jc w:val="both"/>
              <w:rPr>
                <w:rFonts w:ascii="Cambria" w:hAnsi="Cambria"/>
                <w:bCs/>
                <w:sz w:val="19"/>
                <w:szCs w:val="19"/>
              </w:rPr>
            </w:pPr>
            <w:r>
              <w:rPr>
                <w:rFonts w:ascii="Cambria" w:hAnsi="Cambria"/>
                <w:bCs/>
                <w:sz w:val="19"/>
                <w:szCs w:val="19"/>
              </w:rPr>
              <w:t>Colombia</w:t>
            </w:r>
            <w:r w:rsidR="003D6EE0" w:rsidRPr="005B48F9">
              <w:rPr>
                <w:rFonts w:ascii="Cambria" w:hAnsi="Cambria"/>
                <w:bCs/>
                <w:sz w:val="19"/>
                <w:szCs w:val="19"/>
                <w:vertAlign w:val="superscript"/>
              </w:rPr>
              <w:footnoteReference w:id="2"/>
            </w:r>
            <w:r w:rsidR="003D6EE0" w:rsidRPr="005B48F9">
              <w:rPr>
                <w:rFonts w:ascii="Cambria" w:hAnsi="Cambria"/>
                <w:bCs/>
                <w:sz w:val="19"/>
                <w:szCs w:val="19"/>
              </w:rPr>
              <w:t xml:space="preserve"> </w:t>
            </w:r>
          </w:p>
        </w:tc>
      </w:tr>
      <w:tr w:rsidR="00E47F3D" w:rsidRPr="000B6B7A" w14:paraId="57F2C481" w14:textId="77777777" w:rsidTr="00C355B4">
        <w:tc>
          <w:tcPr>
            <w:tcW w:w="2790" w:type="dxa"/>
            <w:tcBorders>
              <w:top w:val="single" w:sz="6" w:space="0" w:color="auto"/>
              <w:bottom w:val="single" w:sz="6" w:space="0" w:color="auto"/>
            </w:tcBorders>
            <w:shd w:val="clear" w:color="auto" w:fill="67AE3C"/>
            <w:vAlign w:val="center"/>
          </w:tcPr>
          <w:p w14:paraId="62BEEF4B" w14:textId="5FB9688D"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14:paraId="51EEF9D2" w14:textId="31100140" w:rsidR="00E47F3D" w:rsidRPr="00C355B4" w:rsidRDefault="004E4A66" w:rsidP="009163FC">
            <w:pPr>
              <w:jc w:val="both"/>
              <w:rPr>
                <w:rFonts w:ascii="Cambria" w:hAnsi="Cambria"/>
                <w:bCs/>
                <w:sz w:val="19"/>
                <w:szCs w:val="19"/>
              </w:rPr>
            </w:pPr>
            <w:r w:rsidRPr="00666340">
              <w:rPr>
                <w:rFonts w:ascii="Cambria" w:hAnsi="Cambria"/>
                <w:bCs/>
                <w:sz w:val="19"/>
                <w:szCs w:val="19"/>
              </w:rPr>
              <w:t xml:space="preserve">Articles </w:t>
            </w:r>
            <w:r>
              <w:rPr>
                <w:rFonts w:ascii="Cambria" w:hAnsi="Cambria"/>
                <w:bCs/>
                <w:sz w:val="19"/>
                <w:szCs w:val="19"/>
              </w:rPr>
              <w:t>4, 8 and article 25 of the American Convention on Human Rights</w:t>
            </w:r>
            <w:r>
              <w:rPr>
                <w:rStyle w:val="FootnoteReference"/>
                <w:rFonts w:ascii="Cambria" w:hAnsi="Cambria"/>
                <w:bCs/>
                <w:sz w:val="19"/>
                <w:szCs w:val="19"/>
              </w:rPr>
              <w:footnoteReference w:id="3"/>
            </w:r>
          </w:p>
        </w:tc>
      </w:tr>
    </w:tbl>
    <w:p w14:paraId="006E8D49" w14:textId="1C646C41"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1CAEC3AF" w14:textId="77777777" w:rsidTr="00C355B4">
        <w:tc>
          <w:tcPr>
            <w:tcW w:w="2790" w:type="dxa"/>
            <w:tcBorders>
              <w:top w:val="single" w:sz="6" w:space="0" w:color="auto"/>
              <w:bottom w:val="single" w:sz="6" w:space="0" w:color="auto"/>
            </w:tcBorders>
            <w:shd w:val="clear" w:color="auto" w:fill="67AE3C"/>
            <w:vAlign w:val="center"/>
          </w:tcPr>
          <w:p w14:paraId="2C2ED774" w14:textId="03B558C0"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1C0C3DE2" w14:textId="595C79FD" w:rsidR="00F621C3" w:rsidRPr="00C355B4" w:rsidRDefault="004E4A66" w:rsidP="009163FC">
            <w:pPr>
              <w:jc w:val="both"/>
              <w:rPr>
                <w:rFonts w:ascii="Cambria" w:hAnsi="Cambria"/>
                <w:bCs/>
                <w:sz w:val="19"/>
                <w:szCs w:val="19"/>
              </w:rPr>
            </w:pPr>
            <w:r>
              <w:rPr>
                <w:rFonts w:ascii="Cambria" w:hAnsi="Cambria"/>
                <w:bCs/>
                <w:sz w:val="19"/>
                <w:szCs w:val="19"/>
              </w:rPr>
              <w:t>January 28, 2009</w:t>
            </w:r>
          </w:p>
        </w:tc>
      </w:tr>
      <w:tr w:rsidR="004E4A66" w:rsidRPr="000B6B7A" w14:paraId="10BE9611" w14:textId="77777777" w:rsidTr="00C355B4">
        <w:tc>
          <w:tcPr>
            <w:tcW w:w="2790" w:type="dxa"/>
            <w:tcBorders>
              <w:top w:val="single" w:sz="6" w:space="0" w:color="auto"/>
              <w:bottom w:val="single" w:sz="6" w:space="0" w:color="auto"/>
            </w:tcBorders>
            <w:shd w:val="clear" w:color="auto" w:fill="67AE3C"/>
            <w:vAlign w:val="center"/>
          </w:tcPr>
          <w:p w14:paraId="6A768328" w14:textId="7A8FB40F" w:rsidR="004E4A66" w:rsidRPr="00C355B4" w:rsidRDefault="004E4A66" w:rsidP="00B06BB7">
            <w:pPr>
              <w:jc w:val="center"/>
              <w:rPr>
                <w:rFonts w:ascii="Cambria" w:hAnsi="Cambria"/>
                <w:bCs/>
                <w:color w:val="FFFFFF" w:themeColor="background1"/>
                <w:sz w:val="19"/>
                <w:szCs w:val="19"/>
              </w:rPr>
            </w:pPr>
            <w:r w:rsidRPr="00C355B4">
              <w:rPr>
                <w:rFonts w:ascii="Cambria" w:hAnsi="Cambria"/>
                <w:color w:val="FFFFFF" w:themeColor="background1"/>
                <w:sz w:val="19"/>
                <w:szCs w:val="19"/>
              </w:rPr>
              <w:t>Additional information received during initial review</w:t>
            </w:r>
          </w:p>
        </w:tc>
        <w:tc>
          <w:tcPr>
            <w:tcW w:w="6570" w:type="dxa"/>
            <w:vAlign w:val="center"/>
          </w:tcPr>
          <w:p w14:paraId="5F9275D0" w14:textId="05A34DFD" w:rsidR="004E4A66" w:rsidRDefault="004E4A66" w:rsidP="009163FC">
            <w:pPr>
              <w:jc w:val="both"/>
              <w:rPr>
                <w:rFonts w:ascii="Cambria" w:hAnsi="Cambria"/>
                <w:bCs/>
                <w:sz w:val="19"/>
                <w:szCs w:val="19"/>
              </w:rPr>
            </w:pPr>
            <w:r>
              <w:rPr>
                <w:rFonts w:ascii="Cambria" w:hAnsi="Cambria"/>
                <w:bCs/>
                <w:sz w:val="19"/>
                <w:szCs w:val="19"/>
              </w:rPr>
              <w:t>May 28, 2009 and April 1, 2011</w:t>
            </w:r>
          </w:p>
        </w:tc>
      </w:tr>
      <w:tr w:rsidR="00F621C3" w:rsidRPr="000B6B7A" w14:paraId="7EAB2BD7" w14:textId="77777777" w:rsidTr="00C355B4">
        <w:tc>
          <w:tcPr>
            <w:tcW w:w="2790" w:type="dxa"/>
            <w:tcBorders>
              <w:top w:val="single" w:sz="6" w:space="0" w:color="auto"/>
              <w:bottom w:val="single" w:sz="6" w:space="0" w:color="auto"/>
            </w:tcBorders>
            <w:shd w:val="clear" w:color="auto" w:fill="67AE3C"/>
            <w:vAlign w:val="center"/>
          </w:tcPr>
          <w:p w14:paraId="79E6B4A9" w14:textId="4819E596"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22ADBFFE" w14:textId="548BA651" w:rsidR="00F621C3" w:rsidRPr="00C355B4" w:rsidRDefault="004E4A66" w:rsidP="009163FC">
            <w:pPr>
              <w:jc w:val="both"/>
              <w:rPr>
                <w:rFonts w:ascii="Cambria" w:hAnsi="Cambria"/>
                <w:bCs/>
                <w:sz w:val="19"/>
                <w:szCs w:val="19"/>
              </w:rPr>
            </w:pPr>
            <w:r>
              <w:rPr>
                <w:rFonts w:ascii="Cambria" w:hAnsi="Cambria"/>
                <w:bCs/>
                <w:sz w:val="19"/>
                <w:szCs w:val="19"/>
              </w:rPr>
              <w:t>December 12, 2014</w:t>
            </w:r>
          </w:p>
        </w:tc>
      </w:tr>
      <w:tr w:rsidR="00F621C3" w:rsidRPr="000B6B7A" w14:paraId="56560AE1" w14:textId="77777777" w:rsidTr="00C355B4">
        <w:trPr>
          <w:trHeight w:val="264"/>
        </w:trPr>
        <w:tc>
          <w:tcPr>
            <w:tcW w:w="2790" w:type="dxa"/>
            <w:tcBorders>
              <w:top w:val="single" w:sz="6" w:space="0" w:color="auto"/>
              <w:bottom w:val="single" w:sz="6" w:space="0" w:color="auto"/>
            </w:tcBorders>
            <w:shd w:val="clear" w:color="auto" w:fill="67AE3C"/>
            <w:vAlign w:val="center"/>
          </w:tcPr>
          <w:p w14:paraId="07BDDCA2" w14:textId="5C33D8F7" w:rsidR="00F621C3" w:rsidRPr="00C355B4" w:rsidRDefault="00C355B4"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19C5DA57" w14:textId="359D6B2F" w:rsidR="00F621C3" w:rsidRPr="00C355B4" w:rsidRDefault="004E4A66" w:rsidP="009163FC">
            <w:pPr>
              <w:jc w:val="both"/>
              <w:rPr>
                <w:rFonts w:ascii="Cambria" w:hAnsi="Cambria"/>
                <w:bCs/>
                <w:sz w:val="19"/>
                <w:szCs w:val="19"/>
              </w:rPr>
            </w:pPr>
            <w:r>
              <w:rPr>
                <w:rFonts w:ascii="Cambria" w:hAnsi="Cambria"/>
                <w:bCs/>
                <w:sz w:val="19"/>
                <w:szCs w:val="19"/>
              </w:rPr>
              <w:t>April 24, 2015</w:t>
            </w:r>
          </w:p>
        </w:tc>
      </w:tr>
      <w:tr w:rsidR="003771A3" w:rsidRPr="000B6B7A" w14:paraId="718737D9" w14:textId="77777777" w:rsidTr="00C355B4">
        <w:tc>
          <w:tcPr>
            <w:tcW w:w="2790" w:type="dxa"/>
            <w:tcBorders>
              <w:top w:val="single" w:sz="6" w:space="0" w:color="auto"/>
              <w:bottom w:val="single" w:sz="6" w:space="0" w:color="auto"/>
            </w:tcBorders>
            <w:shd w:val="clear" w:color="auto" w:fill="67AE3C"/>
            <w:vAlign w:val="center"/>
          </w:tcPr>
          <w:p w14:paraId="2F925819" w14:textId="403D7B96" w:rsidR="003771A3" w:rsidRPr="00C355B4" w:rsidRDefault="004E4A66" w:rsidP="00D75084">
            <w:pPr>
              <w:jc w:val="center"/>
              <w:rPr>
                <w:rFonts w:ascii="Cambria" w:hAnsi="Cambria"/>
                <w:bCs/>
                <w:color w:val="FFFFFF" w:themeColor="background1"/>
                <w:sz w:val="19"/>
                <w:szCs w:val="19"/>
              </w:rPr>
            </w:pPr>
            <w:r w:rsidRPr="008956FA">
              <w:rPr>
                <w:rFonts w:ascii="Cambria" w:hAnsi="Cambria"/>
                <w:bCs/>
                <w:color w:val="FFFFFF"/>
                <w:sz w:val="19"/>
                <w:szCs w:val="19"/>
              </w:rPr>
              <w:t>Additional observations from the petitione</w:t>
            </w:r>
            <w:r>
              <w:rPr>
                <w:rFonts w:ascii="Cambria" w:hAnsi="Cambria"/>
                <w:bCs/>
                <w:color w:val="FFFFFF"/>
                <w:sz w:val="19"/>
                <w:szCs w:val="19"/>
              </w:rPr>
              <w:t>r</w:t>
            </w:r>
          </w:p>
        </w:tc>
        <w:tc>
          <w:tcPr>
            <w:tcW w:w="6570" w:type="dxa"/>
            <w:vAlign w:val="center"/>
          </w:tcPr>
          <w:p w14:paraId="1C4A82C3" w14:textId="2FCD4991" w:rsidR="003771A3" w:rsidRPr="00C355B4" w:rsidRDefault="004E4A66" w:rsidP="009163FC">
            <w:pPr>
              <w:jc w:val="both"/>
              <w:rPr>
                <w:rFonts w:ascii="Cambria" w:hAnsi="Cambria"/>
                <w:bCs/>
                <w:sz w:val="19"/>
                <w:szCs w:val="19"/>
              </w:rPr>
            </w:pPr>
            <w:r>
              <w:rPr>
                <w:rFonts w:ascii="Cambria" w:hAnsi="Cambria"/>
                <w:bCs/>
                <w:sz w:val="19"/>
                <w:szCs w:val="19"/>
              </w:rPr>
              <w:t>June 23, 2015 and June 14, 2016</w:t>
            </w:r>
          </w:p>
        </w:tc>
      </w:tr>
    </w:tbl>
    <w:p w14:paraId="7F88B361"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2F81CC8B" w14:textId="77777777" w:rsidTr="00C355B4">
        <w:trPr>
          <w:cantSplit/>
        </w:trPr>
        <w:tc>
          <w:tcPr>
            <w:tcW w:w="2790" w:type="dxa"/>
            <w:tcBorders>
              <w:top w:val="single" w:sz="4" w:space="0" w:color="auto"/>
              <w:bottom w:val="single" w:sz="6" w:space="0" w:color="auto"/>
            </w:tcBorders>
            <w:shd w:val="clear" w:color="auto" w:fill="67AE3C"/>
            <w:vAlign w:val="center"/>
          </w:tcPr>
          <w:p w14:paraId="3A568008" w14:textId="4F1CFB62" w:rsidR="00F621C3" w:rsidRPr="00C355B4" w:rsidRDefault="00F621C3" w:rsidP="009163FC">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14:paraId="237A8D0C" w14:textId="6FB73BED" w:rsidR="00F621C3" w:rsidRPr="00C355B4" w:rsidRDefault="00764AE5" w:rsidP="009163FC">
            <w:pPr>
              <w:rPr>
                <w:rFonts w:asciiTheme="majorHAnsi" w:hAnsiTheme="majorHAnsi"/>
                <w:bCs/>
                <w:sz w:val="19"/>
                <w:szCs w:val="19"/>
              </w:rPr>
            </w:pPr>
            <w:r>
              <w:rPr>
                <w:rFonts w:asciiTheme="majorHAnsi" w:hAnsiTheme="majorHAnsi"/>
                <w:bCs/>
                <w:sz w:val="19"/>
                <w:szCs w:val="19"/>
              </w:rPr>
              <w:t>Yes</w:t>
            </w:r>
          </w:p>
        </w:tc>
      </w:tr>
      <w:tr w:rsidR="00F621C3" w:rsidRPr="000B6B7A" w14:paraId="5FE56D1B" w14:textId="77777777" w:rsidTr="00C355B4">
        <w:trPr>
          <w:cantSplit/>
        </w:trPr>
        <w:tc>
          <w:tcPr>
            <w:tcW w:w="2790" w:type="dxa"/>
            <w:tcBorders>
              <w:top w:val="single" w:sz="6" w:space="0" w:color="auto"/>
              <w:bottom w:val="single" w:sz="6" w:space="0" w:color="auto"/>
            </w:tcBorders>
            <w:shd w:val="clear" w:color="auto" w:fill="67AE3C"/>
            <w:vAlign w:val="center"/>
          </w:tcPr>
          <w:p w14:paraId="2190B967" w14:textId="0E15553A" w:rsidR="00F621C3" w:rsidRPr="00C355B4" w:rsidRDefault="00F621C3" w:rsidP="00C355B4">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14:paraId="48257424" w14:textId="6382E835" w:rsidR="00F621C3" w:rsidRPr="00C355B4" w:rsidRDefault="00764AE5" w:rsidP="009163FC">
            <w:pPr>
              <w:rPr>
                <w:rFonts w:asciiTheme="majorHAnsi" w:hAnsiTheme="majorHAnsi"/>
                <w:bCs/>
                <w:sz w:val="19"/>
                <w:szCs w:val="19"/>
              </w:rPr>
            </w:pPr>
            <w:r>
              <w:rPr>
                <w:rFonts w:asciiTheme="majorHAnsi" w:hAnsiTheme="majorHAnsi"/>
                <w:bCs/>
                <w:sz w:val="19"/>
                <w:szCs w:val="19"/>
              </w:rPr>
              <w:t>Yes</w:t>
            </w:r>
          </w:p>
        </w:tc>
      </w:tr>
      <w:tr w:rsidR="00F621C3" w:rsidRPr="000B6B7A" w14:paraId="372B5DD8" w14:textId="77777777" w:rsidTr="00C355B4">
        <w:trPr>
          <w:cantSplit/>
        </w:trPr>
        <w:tc>
          <w:tcPr>
            <w:tcW w:w="2790" w:type="dxa"/>
            <w:tcBorders>
              <w:top w:val="single" w:sz="6" w:space="0" w:color="auto"/>
              <w:bottom w:val="single" w:sz="6" w:space="0" w:color="auto"/>
            </w:tcBorders>
            <w:shd w:val="clear" w:color="auto" w:fill="67AE3C"/>
            <w:vAlign w:val="center"/>
          </w:tcPr>
          <w:p w14:paraId="7F979173" w14:textId="63734385"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14:paraId="74B3F783" w14:textId="301335DC" w:rsidR="00F621C3" w:rsidRPr="00C355B4" w:rsidRDefault="00764AE5" w:rsidP="009163FC">
            <w:pPr>
              <w:rPr>
                <w:rFonts w:asciiTheme="majorHAnsi" w:hAnsiTheme="majorHAnsi"/>
                <w:bCs/>
                <w:sz w:val="19"/>
                <w:szCs w:val="19"/>
              </w:rPr>
            </w:pPr>
            <w:r>
              <w:rPr>
                <w:rFonts w:asciiTheme="majorHAnsi" w:hAnsiTheme="majorHAnsi"/>
                <w:bCs/>
                <w:sz w:val="19"/>
                <w:szCs w:val="19"/>
              </w:rPr>
              <w:t>Yes</w:t>
            </w:r>
          </w:p>
        </w:tc>
      </w:tr>
      <w:tr w:rsidR="00F621C3" w:rsidRPr="000B6B7A" w14:paraId="6648704B" w14:textId="77777777" w:rsidTr="00C355B4">
        <w:trPr>
          <w:cantSplit/>
        </w:trPr>
        <w:tc>
          <w:tcPr>
            <w:tcW w:w="2790" w:type="dxa"/>
            <w:tcBorders>
              <w:top w:val="single" w:sz="6" w:space="0" w:color="auto"/>
              <w:bottom w:val="single" w:sz="6" w:space="0" w:color="auto"/>
            </w:tcBorders>
            <w:shd w:val="clear" w:color="auto" w:fill="67AE3C"/>
            <w:vAlign w:val="center"/>
          </w:tcPr>
          <w:p w14:paraId="15BBE7AF" w14:textId="57F24106"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14:paraId="64B3F199" w14:textId="10797418" w:rsidR="00F621C3" w:rsidRPr="00C355B4" w:rsidRDefault="004E4A66" w:rsidP="009163FC">
            <w:pPr>
              <w:jc w:val="both"/>
              <w:rPr>
                <w:rFonts w:asciiTheme="majorHAnsi" w:hAnsiTheme="majorHAnsi"/>
                <w:bCs/>
                <w:sz w:val="19"/>
                <w:szCs w:val="19"/>
              </w:rPr>
            </w:pPr>
            <w:r w:rsidRPr="00666340">
              <w:rPr>
                <w:rFonts w:ascii="Cambria" w:hAnsi="Cambria"/>
                <w:bCs/>
                <w:sz w:val="19"/>
                <w:szCs w:val="19"/>
              </w:rPr>
              <w:t xml:space="preserve">Yes, </w:t>
            </w:r>
            <w:r>
              <w:rPr>
                <w:rFonts w:ascii="Cambria" w:hAnsi="Cambria"/>
                <w:bCs/>
                <w:sz w:val="19"/>
                <w:szCs w:val="19"/>
              </w:rPr>
              <w:t>American Convention (deposit of instrument of ratification on July 31, 1973) and Inter-American Convention to Prevent and Punish Torture</w:t>
            </w:r>
            <w:r>
              <w:rPr>
                <w:rStyle w:val="FootnoteReference"/>
                <w:rFonts w:ascii="Cambria" w:hAnsi="Cambria"/>
                <w:bCs/>
                <w:sz w:val="19"/>
                <w:szCs w:val="19"/>
              </w:rPr>
              <w:footnoteReference w:id="5"/>
            </w:r>
            <w:r>
              <w:rPr>
                <w:rFonts w:ascii="Cambria" w:hAnsi="Cambria"/>
                <w:bCs/>
                <w:sz w:val="19"/>
                <w:szCs w:val="19"/>
              </w:rPr>
              <w:t xml:space="preserve"> (deposit of the instrument of ratification on January 19, 1999)</w:t>
            </w:r>
          </w:p>
        </w:tc>
      </w:tr>
    </w:tbl>
    <w:p w14:paraId="0408D4CD" w14:textId="54A61356"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4091A423" w14:textId="77777777" w:rsidTr="00C355B4">
        <w:trPr>
          <w:cantSplit/>
        </w:trPr>
        <w:tc>
          <w:tcPr>
            <w:tcW w:w="2790" w:type="dxa"/>
            <w:tcBorders>
              <w:top w:val="single" w:sz="4" w:space="0" w:color="auto"/>
              <w:bottom w:val="single" w:sz="6" w:space="0" w:color="auto"/>
            </w:tcBorders>
            <w:shd w:val="clear" w:color="auto" w:fill="67AE3C"/>
            <w:vAlign w:val="center"/>
          </w:tcPr>
          <w:p w14:paraId="61D870FF" w14:textId="493C94F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4773CD23" w14:textId="3F1EC860" w:rsidR="00F621C3" w:rsidRPr="00C355B4" w:rsidRDefault="00764AE5" w:rsidP="009163FC">
            <w:pPr>
              <w:jc w:val="both"/>
              <w:rPr>
                <w:rFonts w:ascii="Cambria" w:hAnsi="Cambria"/>
                <w:bCs/>
                <w:sz w:val="19"/>
                <w:szCs w:val="19"/>
              </w:rPr>
            </w:pPr>
            <w:r>
              <w:rPr>
                <w:rFonts w:ascii="Cambria" w:hAnsi="Cambria"/>
                <w:bCs/>
                <w:sz w:val="19"/>
                <w:szCs w:val="19"/>
              </w:rPr>
              <w:t>No</w:t>
            </w:r>
          </w:p>
        </w:tc>
      </w:tr>
      <w:tr w:rsidR="00F621C3" w:rsidRPr="000B6B7A" w14:paraId="24B3B5A9" w14:textId="77777777" w:rsidTr="00C355B4">
        <w:trPr>
          <w:cantSplit/>
        </w:trPr>
        <w:tc>
          <w:tcPr>
            <w:tcW w:w="2790" w:type="dxa"/>
            <w:tcBorders>
              <w:top w:val="single" w:sz="6" w:space="0" w:color="auto"/>
              <w:bottom w:val="single" w:sz="6" w:space="0" w:color="auto"/>
            </w:tcBorders>
            <w:shd w:val="clear" w:color="auto" w:fill="67AE3C"/>
            <w:vAlign w:val="center"/>
          </w:tcPr>
          <w:p w14:paraId="2E52A630" w14:textId="77777777"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33BE4040" w14:textId="277524FF" w:rsidR="00F621C3" w:rsidRPr="00C355B4" w:rsidRDefault="004E4A66" w:rsidP="009163FC">
            <w:pPr>
              <w:jc w:val="both"/>
              <w:rPr>
                <w:rFonts w:ascii="Cambria" w:hAnsi="Cambria"/>
                <w:bCs/>
                <w:sz w:val="19"/>
                <w:szCs w:val="19"/>
              </w:rPr>
            </w:pPr>
            <w:r>
              <w:rPr>
                <w:rFonts w:ascii="Cambria" w:hAnsi="Cambria"/>
                <w:bCs/>
                <w:sz w:val="19"/>
                <w:szCs w:val="19"/>
              </w:rPr>
              <w:t>A</w:t>
            </w:r>
            <w:r w:rsidRPr="00666340">
              <w:rPr>
                <w:rFonts w:ascii="Cambria" w:hAnsi="Cambria"/>
                <w:bCs/>
                <w:sz w:val="19"/>
                <w:szCs w:val="19"/>
              </w:rPr>
              <w:t xml:space="preserve">rticles </w:t>
            </w:r>
            <w:r>
              <w:rPr>
                <w:rFonts w:ascii="Cambria" w:hAnsi="Cambria"/>
                <w:bCs/>
                <w:sz w:val="19"/>
                <w:szCs w:val="19"/>
              </w:rPr>
              <w:t xml:space="preserve">4, 5, 7, 8, 24 and 25 of the American Convention on Human Rights in relation to article 1.1 and 2  </w:t>
            </w:r>
          </w:p>
        </w:tc>
      </w:tr>
      <w:tr w:rsidR="00F621C3" w:rsidRPr="000B6B7A" w14:paraId="4DFB74FC" w14:textId="77777777" w:rsidTr="00C355B4">
        <w:trPr>
          <w:cantSplit/>
        </w:trPr>
        <w:tc>
          <w:tcPr>
            <w:tcW w:w="2790" w:type="dxa"/>
            <w:tcBorders>
              <w:top w:val="single" w:sz="6" w:space="0" w:color="auto"/>
              <w:bottom w:val="single" w:sz="6" w:space="0" w:color="auto"/>
            </w:tcBorders>
            <w:shd w:val="clear" w:color="auto" w:fill="67AE3C"/>
            <w:vAlign w:val="center"/>
          </w:tcPr>
          <w:p w14:paraId="1D4CE924" w14:textId="5FF3EE68" w:rsidR="00F621C3" w:rsidRPr="00C355B4" w:rsidRDefault="00764AE5" w:rsidP="008546E5">
            <w:pPr>
              <w:jc w:val="center"/>
              <w:rPr>
                <w:rFonts w:ascii="Cambria" w:hAnsi="Cambria"/>
                <w:bCs/>
                <w:color w:val="FFFFFF" w:themeColor="background1"/>
                <w:sz w:val="19"/>
                <w:szCs w:val="19"/>
              </w:rPr>
            </w:pPr>
            <w:r w:rsidRPr="00666340">
              <w:rPr>
                <w:rFonts w:ascii="Cambria" w:hAnsi="Cambria"/>
                <w:bCs/>
                <w:color w:val="FFFFFF"/>
                <w:sz w:val="19"/>
                <w:szCs w:val="19"/>
              </w:rPr>
              <w:t>Exhaustion of domestic remedies or applicabil</w:t>
            </w:r>
            <w:r>
              <w:rPr>
                <w:rFonts w:ascii="Cambria" w:hAnsi="Cambria"/>
                <w:bCs/>
                <w:color w:val="FFFFFF"/>
                <w:sz w:val="19"/>
                <w:szCs w:val="19"/>
              </w:rPr>
              <w:t>ity of an exception to the rule</w:t>
            </w:r>
          </w:p>
        </w:tc>
        <w:tc>
          <w:tcPr>
            <w:tcW w:w="6570" w:type="dxa"/>
            <w:vAlign w:val="center"/>
          </w:tcPr>
          <w:p w14:paraId="432DC56B" w14:textId="35F5C85C" w:rsidR="00F621C3" w:rsidRPr="00C355B4" w:rsidRDefault="004E4A66" w:rsidP="009163FC">
            <w:pPr>
              <w:rPr>
                <w:rFonts w:ascii="Cambria" w:hAnsi="Cambria"/>
                <w:bCs/>
                <w:sz w:val="19"/>
                <w:szCs w:val="19"/>
              </w:rPr>
            </w:pPr>
            <w:r w:rsidRPr="008956FA">
              <w:rPr>
                <w:rFonts w:ascii="Cambria" w:hAnsi="Cambria"/>
                <w:bCs/>
                <w:sz w:val="20"/>
                <w:szCs w:val="20"/>
              </w:rPr>
              <w:t>Yes</w:t>
            </w:r>
            <w:r w:rsidRPr="00666340">
              <w:rPr>
                <w:rFonts w:ascii="Cambria" w:hAnsi="Cambria"/>
                <w:bCs/>
                <w:sz w:val="20"/>
                <w:szCs w:val="20"/>
              </w:rPr>
              <w:t xml:space="preserve">, </w:t>
            </w:r>
            <w:r w:rsidRPr="008956FA">
              <w:rPr>
                <w:rFonts w:ascii="Cambria" w:hAnsi="Cambria"/>
                <w:bCs/>
                <w:sz w:val="20"/>
                <w:szCs w:val="20"/>
              </w:rPr>
              <w:t>under the terms of section VI</w:t>
            </w:r>
          </w:p>
        </w:tc>
      </w:tr>
      <w:tr w:rsidR="00F621C3" w:rsidRPr="000B6B7A" w14:paraId="6D900199" w14:textId="77777777" w:rsidTr="00C355B4">
        <w:trPr>
          <w:cantSplit/>
        </w:trPr>
        <w:tc>
          <w:tcPr>
            <w:tcW w:w="2790" w:type="dxa"/>
            <w:tcBorders>
              <w:top w:val="single" w:sz="6" w:space="0" w:color="auto"/>
              <w:bottom w:val="single" w:sz="6" w:space="0" w:color="auto"/>
            </w:tcBorders>
            <w:shd w:val="clear" w:color="auto" w:fill="67AE3C"/>
            <w:vAlign w:val="center"/>
          </w:tcPr>
          <w:p w14:paraId="42C3BC97" w14:textId="2F62D441" w:rsidR="00F621C3" w:rsidRPr="00C355B4" w:rsidRDefault="008546E5"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6A26CCE9" w14:textId="73C8CD4D" w:rsidR="00F621C3" w:rsidRPr="00C355B4" w:rsidRDefault="004E4A66" w:rsidP="009163FC">
            <w:pPr>
              <w:rPr>
                <w:rFonts w:asciiTheme="majorHAnsi" w:hAnsiTheme="majorHAnsi"/>
                <w:bCs/>
                <w:sz w:val="19"/>
                <w:szCs w:val="19"/>
              </w:rPr>
            </w:pPr>
            <w:r w:rsidRPr="008956FA">
              <w:rPr>
                <w:rFonts w:ascii="Cambria" w:hAnsi="Cambria"/>
                <w:bCs/>
                <w:sz w:val="20"/>
                <w:szCs w:val="20"/>
              </w:rPr>
              <w:t>Yes</w:t>
            </w:r>
            <w:r w:rsidRPr="00666340">
              <w:rPr>
                <w:rFonts w:ascii="Cambria" w:hAnsi="Cambria"/>
                <w:bCs/>
                <w:sz w:val="20"/>
                <w:szCs w:val="20"/>
              </w:rPr>
              <w:t xml:space="preserve">, </w:t>
            </w:r>
            <w:r w:rsidRPr="008956FA">
              <w:rPr>
                <w:rFonts w:ascii="Cambria" w:hAnsi="Cambria"/>
                <w:bCs/>
                <w:sz w:val="20"/>
                <w:szCs w:val="20"/>
              </w:rPr>
              <w:t>under the terms of section VI</w:t>
            </w:r>
          </w:p>
        </w:tc>
      </w:tr>
    </w:tbl>
    <w:p w14:paraId="629E2DE8" w14:textId="7D56CF7F" w:rsidR="00F621C3" w:rsidRPr="000B6B7A"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17B0362F" w14:textId="15A0BDB8" w:rsidR="00764AE5" w:rsidRPr="00666340" w:rsidRDefault="004E4A66" w:rsidP="008E414D">
      <w:pPr>
        <w:numPr>
          <w:ilvl w:val="0"/>
          <w:numId w:val="103"/>
        </w:numPr>
        <w:suppressAutoHyphens/>
        <w:spacing w:before="120"/>
        <w:jc w:val="both"/>
      </w:pPr>
      <w:r w:rsidRPr="004E4A66">
        <w:rPr>
          <w:rFonts w:ascii="Cambria" w:eastAsia="Cambria" w:hAnsi="Cambria" w:cs="Cambria"/>
          <w:sz w:val="20"/>
          <w:szCs w:val="20"/>
          <w:u w:color="000000"/>
          <w:lang w:eastAsia="es-ES"/>
        </w:rPr>
        <w:t xml:space="preserve">The petitioner indicates that on August 27, 1999 in the Municipality of San Rafael, department of Antioquia, at dawn, while Mr. Edwin </w:t>
      </w:r>
      <w:proofErr w:type="spellStart"/>
      <w:r w:rsidRPr="004E4A66">
        <w:rPr>
          <w:rFonts w:ascii="Cambria" w:eastAsia="Cambria" w:hAnsi="Cambria" w:cs="Cambria"/>
          <w:sz w:val="20"/>
          <w:szCs w:val="20"/>
          <w:u w:color="000000"/>
          <w:lang w:eastAsia="es-ES"/>
        </w:rPr>
        <w:t>Hernán</w:t>
      </w:r>
      <w:proofErr w:type="spellEnd"/>
      <w:r w:rsidRPr="004E4A66">
        <w:rPr>
          <w:rFonts w:ascii="Cambria" w:eastAsia="Cambria" w:hAnsi="Cambria" w:cs="Cambria"/>
          <w:sz w:val="20"/>
          <w:szCs w:val="20"/>
          <w:u w:color="000000"/>
          <w:lang w:eastAsia="es-ES"/>
        </w:rPr>
        <w:t xml:space="preserve"> </w:t>
      </w:r>
      <w:proofErr w:type="spellStart"/>
      <w:r w:rsidRPr="004E4A66">
        <w:rPr>
          <w:rFonts w:ascii="Cambria" w:eastAsia="Cambria" w:hAnsi="Cambria" w:cs="Cambria"/>
          <w:sz w:val="20"/>
          <w:szCs w:val="20"/>
          <w:u w:color="000000"/>
          <w:lang w:eastAsia="es-ES"/>
        </w:rPr>
        <w:t>Ciro</w:t>
      </w:r>
      <w:proofErr w:type="spellEnd"/>
      <w:r w:rsidRPr="004E4A66">
        <w:rPr>
          <w:rFonts w:ascii="Cambria" w:eastAsia="Cambria" w:hAnsi="Cambria" w:cs="Cambria"/>
          <w:sz w:val="20"/>
          <w:szCs w:val="20"/>
          <w:u w:color="000000"/>
          <w:lang w:eastAsia="es-ES"/>
        </w:rPr>
        <w:t xml:space="preserve"> (hereinafter "the alleged victim") and his family were sleeping, a group of armed persons broke down the door of their home and entered violently, without any type of judicial order or search warrant. He says that the men were agents of the Unified Action Group for Personal Liberty (hereinafter "GAULA"), belonging to the National Police, as they were wearing uniforms and had police insignia. He states that they proceeded to identify and tie up the alleged victim, and despite requesting to be allowed to put on his shoes, they shouted that where he was going he would not need them and subsequently they took him away in a van. The relatives of the alleged victim indicate that after a few minutes they heard shots very close to his house. Additionally, he indicates that they searched the whole house, searched their belongings, destroyed some and took away valuables and an amount of money they kept</w:t>
      </w:r>
      <w:r w:rsidR="00764AE5" w:rsidRPr="00666340">
        <w:rPr>
          <w:rFonts w:ascii="Cambria" w:eastAsia="Cambria" w:hAnsi="Cambria" w:cs="Cambria"/>
          <w:color w:val="000000"/>
          <w:sz w:val="20"/>
          <w:szCs w:val="20"/>
          <w:u w:color="000000"/>
          <w:lang w:eastAsia="es-ES"/>
        </w:rPr>
        <w:t xml:space="preserve">. </w:t>
      </w:r>
    </w:p>
    <w:p w14:paraId="53B3C012" w14:textId="61D8FA38" w:rsidR="00577E6C" w:rsidRPr="00666340" w:rsidRDefault="004E4A66" w:rsidP="008E414D">
      <w:pPr>
        <w:numPr>
          <w:ilvl w:val="0"/>
          <w:numId w:val="103"/>
        </w:numPr>
        <w:suppressAutoHyphens/>
        <w:spacing w:before="120"/>
        <w:jc w:val="both"/>
        <w:rPr>
          <w:rFonts w:ascii="Cambria" w:eastAsia="Cambria" w:hAnsi="Cambria" w:cs="Cambria"/>
          <w:color w:val="000000"/>
          <w:sz w:val="20"/>
          <w:szCs w:val="20"/>
          <w:u w:color="000000"/>
          <w:lang w:eastAsia="es-ES"/>
        </w:rPr>
      </w:pPr>
      <w:r w:rsidRPr="004E4A66">
        <w:rPr>
          <w:rFonts w:ascii="Cambria" w:eastAsia="Cambria" w:hAnsi="Cambria" w:cs="Cambria"/>
          <w:sz w:val="20"/>
          <w:szCs w:val="20"/>
          <w:u w:color="000000"/>
          <w:lang w:eastAsia="es-ES"/>
        </w:rPr>
        <w:t xml:space="preserve">He maintains that that afternoon, the neighbors saw the trucks that would have been used for the operation in front of the Police Station, and they also reported that the police had killed two people </w:t>
      </w:r>
      <w:r w:rsidRPr="004E4A66">
        <w:rPr>
          <w:rFonts w:ascii="Cambria" w:eastAsia="Cambria" w:hAnsi="Cambria" w:cs="Cambria"/>
          <w:sz w:val="20"/>
          <w:szCs w:val="20"/>
          <w:u w:color="000000"/>
          <w:lang w:eastAsia="es-ES"/>
        </w:rPr>
        <w:lastRenderedPageBreak/>
        <w:t xml:space="preserve">and that their bodies were on the road to the Municipality of </w:t>
      </w:r>
      <w:proofErr w:type="spellStart"/>
      <w:r w:rsidRPr="004E4A66">
        <w:rPr>
          <w:rFonts w:ascii="Cambria" w:eastAsia="Cambria" w:hAnsi="Cambria" w:cs="Cambria"/>
          <w:sz w:val="20"/>
          <w:szCs w:val="20"/>
          <w:u w:color="000000"/>
          <w:lang w:eastAsia="es-ES"/>
        </w:rPr>
        <w:t>Guatapé</w:t>
      </w:r>
      <w:proofErr w:type="spellEnd"/>
      <w:r w:rsidRPr="004E4A66">
        <w:rPr>
          <w:rFonts w:ascii="Cambria" w:eastAsia="Cambria" w:hAnsi="Cambria" w:cs="Cambria"/>
          <w:sz w:val="20"/>
          <w:szCs w:val="20"/>
          <w:u w:color="000000"/>
          <w:lang w:eastAsia="es-ES"/>
        </w:rPr>
        <w:t>. The neighbors claim that one of the bodies belonged to the alleged victim and presented multiple gunshots in the back, as evidenced by the corpse removal certificate and the autopsy</w:t>
      </w:r>
      <w:r w:rsidR="00577E6C">
        <w:rPr>
          <w:rFonts w:ascii="Cambria" w:eastAsia="Cambria" w:hAnsi="Cambria" w:cs="Cambria"/>
          <w:sz w:val="20"/>
          <w:szCs w:val="20"/>
          <w:u w:color="000000"/>
          <w:lang w:eastAsia="es-ES"/>
        </w:rPr>
        <w:t>.</w:t>
      </w:r>
    </w:p>
    <w:p w14:paraId="360648F0" w14:textId="0388CF05" w:rsidR="004E4A66" w:rsidRDefault="004E4A66" w:rsidP="008E414D">
      <w:pPr>
        <w:numPr>
          <w:ilvl w:val="0"/>
          <w:numId w:val="103"/>
        </w:numPr>
        <w:suppressAutoHyphens/>
        <w:spacing w:before="120"/>
        <w:jc w:val="both"/>
        <w:rPr>
          <w:rFonts w:ascii="Cambria" w:eastAsia="Cambria" w:hAnsi="Cambria" w:cs="Cambria"/>
          <w:sz w:val="20"/>
          <w:szCs w:val="20"/>
          <w:u w:color="000000"/>
          <w:lang w:eastAsia="es-ES"/>
        </w:rPr>
      </w:pPr>
      <w:r w:rsidRPr="004E4A66">
        <w:rPr>
          <w:rFonts w:ascii="Cambria" w:eastAsia="Cambria" w:hAnsi="Cambria" w:cs="Cambria"/>
          <w:sz w:val="20"/>
          <w:szCs w:val="20"/>
          <w:u w:color="000000"/>
          <w:lang w:eastAsia="es-ES"/>
        </w:rPr>
        <w:t>He expressed that an investigation was initiated in the military criminal jurisdiction, and that after a declaration of lack of competence, the case was referred to the 93rd Delegate Prosecutor's Office in the ordinary jurisdiction, without any results known to date.</w:t>
      </w:r>
    </w:p>
    <w:p w14:paraId="5688E684" w14:textId="606095E1" w:rsidR="004E4A66" w:rsidRPr="008E414D" w:rsidRDefault="004E4A66" w:rsidP="008E414D">
      <w:pPr>
        <w:pStyle w:val="ListParagraph"/>
        <w:numPr>
          <w:ilvl w:val="0"/>
          <w:numId w:val="103"/>
        </w:numPr>
        <w:spacing w:before="120"/>
        <w:jc w:val="both"/>
        <w:rPr>
          <w:color w:val="auto"/>
          <w:sz w:val="20"/>
          <w:szCs w:val="20"/>
        </w:rPr>
      </w:pPr>
      <w:r w:rsidRPr="004E4A66">
        <w:rPr>
          <w:color w:val="auto"/>
          <w:sz w:val="20"/>
          <w:szCs w:val="20"/>
        </w:rPr>
        <w:t xml:space="preserve">Additionally, he refers that the </w:t>
      </w:r>
      <w:r w:rsidR="001B079A">
        <w:rPr>
          <w:color w:val="auto"/>
          <w:sz w:val="20"/>
          <w:szCs w:val="20"/>
        </w:rPr>
        <w:t>family</w:t>
      </w:r>
      <w:r w:rsidRPr="004E4A66">
        <w:rPr>
          <w:color w:val="auto"/>
          <w:sz w:val="20"/>
          <w:szCs w:val="20"/>
        </w:rPr>
        <w:t xml:space="preserve"> of the alleged victim filed a direct reparation action before the Administrative Tribunal of Antioquia. They allege that it was rejected on April 24, 2008, on the grounds that the link to the acts being carried out by the National Police had not been proven. It states that they filed an appeal, which on July 14, 2008 was declared inadmissible by the Fifth Chamber of Decision of the Administrative Tribunal of Antioquia because of the </w:t>
      </w:r>
      <w:r w:rsidR="001B079A">
        <w:rPr>
          <w:color w:val="auto"/>
          <w:sz w:val="20"/>
          <w:szCs w:val="20"/>
        </w:rPr>
        <w:t>amount</w:t>
      </w:r>
      <w:r w:rsidRPr="004E4A66">
        <w:rPr>
          <w:color w:val="auto"/>
          <w:sz w:val="20"/>
          <w:szCs w:val="20"/>
        </w:rPr>
        <w:t xml:space="preserve"> of the claims.</w:t>
      </w:r>
    </w:p>
    <w:p w14:paraId="4BE5EB47" w14:textId="08F3AFAF" w:rsidR="00577E6C" w:rsidRPr="008E414D" w:rsidRDefault="004E4A66" w:rsidP="008E414D">
      <w:pPr>
        <w:pStyle w:val="ListParagraph"/>
        <w:numPr>
          <w:ilvl w:val="0"/>
          <w:numId w:val="103"/>
        </w:numPr>
        <w:spacing w:before="120"/>
        <w:jc w:val="both"/>
        <w:rPr>
          <w:sz w:val="20"/>
          <w:szCs w:val="20"/>
        </w:rPr>
      </w:pPr>
      <w:r w:rsidRPr="004E4A66">
        <w:rPr>
          <w:sz w:val="20"/>
          <w:szCs w:val="20"/>
        </w:rPr>
        <w:t xml:space="preserve">In turn, the State indicates that in the framework of the investigations initiated by Section 93 of the Prosecutor's Office, it considered that the elements of conviction gathered, pointed to the possible configuration of an offense related to the exercise of police activity, for which reason, on September 9, 1999, it decided to transfer the jurisdiction of the matter to the military criminal jurisdiction. It states that in that instance it was found that the GAULA group of Río Negro, with the support of its </w:t>
      </w:r>
      <w:proofErr w:type="spellStart"/>
      <w:r w:rsidRPr="004E4A66">
        <w:rPr>
          <w:sz w:val="20"/>
          <w:szCs w:val="20"/>
        </w:rPr>
        <w:t>Medellín</w:t>
      </w:r>
      <w:proofErr w:type="spellEnd"/>
      <w:r w:rsidRPr="004E4A66">
        <w:rPr>
          <w:sz w:val="20"/>
          <w:szCs w:val="20"/>
        </w:rPr>
        <w:t xml:space="preserve"> counterpart, conducted an operation on August 27, 1999 in the Municipality of San Rafael, complying with a judicial order with the objective of conducting the search for a child who had been kidnapped. It indicates that on March 18, 2003, the court hearing the case decided to refer it to the ordinary jurisdiction, since it concluded that although the facts indicated that the agents of the GAULA were presumed responsible, their actions were not actions committed while on duty and that they had criminal characteristics non related to the police mission.</w:t>
      </w:r>
    </w:p>
    <w:p w14:paraId="4E7FE6D2" w14:textId="2072FE0A" w:rsidR="00577E6C" w:rsidRPr="008E414D" w:rsidRDefault="004E4A66" w:rsidP="008E414D">
      <w:pPr>
        <w:pStyle w:val="ListParagraph"/>
        <w:numPr>
          <w:ilvl w:val="0"/>
          <w:numId w:val="103"/>
        </w:numPr>
        <w:spacing w:before="120"/>
        <w:jc w:val="both"/>
        <w:rPr>
          <w:sz w:val="20"/>
          <w:szCs w:val="20"/>
        </w:rPr>
      </w:pPr>
      <w:r w:rsidRPr="004E4A66">
        <w:rPr>
          <w:sz w:val="20"/>
          <w:szCs w:val="20"/>
        </w:rPr>
        <w:t xml:space="preserve">It mentions that the matter was assigned to the Section </w:t>
      </w:r>
      <w:r w:rsidR="00E07C57">
        <w:rPr>
          <w:sz w:val="20"/>
          <w:szCs w:val="20"/>
        </w:rPr>
        <w:t>o</w:t>
      </w:r>
      <w:r w:rsidRPr="004E4A66">
        <w:rPr>
          <w:sz w:val="20"/>
          <w:szCs w:val="20"/>
        </w:rPr>
        <w:t xml:space="preserve">f Prosecutor's Office 97 of </w:t>
      </w:r>
      <w:proofErr w:type="spellStart"/>
      <w:r w:rsidRPr="004E4A66">
        <w:rPr>
          <w:sz w:val="20"/>
          <w:szCs w:val="20"/>
        </w:rPr>
        <w:t>Marinilla</w:t>
      </w:r>
      <w:proofErr w:type="spellEnd"/>
      <w:r w:rsidRPr="004E4A66">
        <w:rPr>
          <w:sz w:val="20"/>
          <w:szCs w:val="20"/>
        </w:rPr>
        <w:t>, which on June 8, 2004 resolved the preclusion of the investigation in favor of the four accused, arguing that although there were serious evidence against them, it was not sufficient enough to single out the responsibility for the murders under investigation. It affirms that said resolution indicated that in their statements the defendants indicated that they were not at the place where the alleged acts occurred at 3 o'clock in the morning, as the witnesses said, but at 5 am, and the defendants stressed that "when they noticed the presence of a group of uniformed personnel different to the one normally assigned to that jurisdiction, the witnesses reached the conclusion that they had been the authors of the homicides, statements that are not supported by evidence, in addition in the area where the events occurred there is a marked presence and influence of subversive groups, which could have easily demand the relatives of the offended t</w:t>
      </w:r>
      <w:r w:rsidR="00E07C57">
        <w:rPr>
          <w:sz w:val="20"/>
          <w:szCs w:val="20"/>
        </w:rPr>
        <w:t>o</w:t>
      </w:r>
      <w:r w:rsidRPr="004E4A66">
        <w:rPr>
          <w:sz w:val="20"/>
          <w:szCs w:val="20"/>
        </w:rPr>
        <w:t xml:space="preserve"> point out the </w:t>
      </w:r>
      <w:proofErr w:type="spellStart"/>
      <w:r w:rsidRPr="004E4A66">
        <w:rPr>
          <w:sz w:val="20"/>
          <w:szCs w:val="20"/>
        </w:rPr>
        <w:t>Gaula</w:t>
      </w:r>
      <w:proofErr w:type="spellEnd"/>
      <w:r w:rsidRPr="004E4A66">
        <w:rPr>
          <w:sz w:val="20"/>
          <w:szCs w:val="20"/>
        </w:rPr>
        <w:t xml:space="preserve"> staff as the perpetrators of the attacks".</w:t>
      </w:r>
    </w:p>
    <w:p w14:paraId="1BC6F2F0" w14:textId="0CCFB6DB" w:rsidR="00577E6C" w:rsidRPr="00666340" w:rsidRDefault="004E4A66" w:rsidP="00E07C57">
      <w:pPr>
        <w:numPr>
          <w:ilvl w:val="0"/>
          <w:numId w:val="103"/>
        </w:numPr>
        <w:suppressAutoHyphens/>
        <w:spacing w:before="120"/>
        <w:jc w:val="both"/>
        <w:rPr>
          <w:rFonts w:ascii="Cambria" w:eastAsia="Cambria" w:hAnsi="Cambria" w:cs="Cambria"/>
          <w:color w:val="000000"/>
          <w:sz w:val="20"/>
          <w:szCs w:val="20"/>
          <w:u w:color="000000"/>
          <w:lang w:eastAsia="es-ES"/>
        </w:rPr>
      </w:pPr>
      <w:r w:rsidRPr="004E4A66">
        <w:rPr>
          <w:rFonts w:ascii="Cambria" w:eastAsia="Cambria" w:hAnsi="Cambria" w:cs="Cambria"/>
          <w:color w:val="000000"/>
          <w:sz w:val="20"/>
          <w:szCs w:val="20"/>
          <w:u w:color="000000"/>
          <w:lang w:eastAsia="es-ES"/>
        </w:rPr>
        <w:t xml:space="preserve">Furthermore, it affirms that </w:t>
      </w:r>
      <w:r w:rsidR="00E07C57" w:rsidRPr="00E07C57">
        <w:rPr>
          <w:rFonts w:ascii="Cambria" w:eastAsia="Cambria" w:hAnsi="Cambria" w:cs="Cambria"/>
          <w:color w:val="000000"/>
          <w:sz w:val="20"/>
          <w:szCs w:val="20"/>
          <w:u w:color="000000"/>
          <w:lang w:eastAsia="es-ES"/>
        </w:rPr>
        <w:t>the alleged facts do not characterize violations of human rights</w:t>
      </w:r>
      <w:r w:rsidRPr="004E4A66">
        <w:rPr>
          <w:rFonts w:ascii="Cambria" w:eastAsia="Cambria" w:hAnsi="Cambria" w:cs="Cambria"/>
          <w:color w:val="000000"/>
          <w:sz w:val="20"/>
          <w:szCs w:val="20"/>
          <w:u w:color="000000"/>
          <w:lang w:eastAsia="es-ES"/>
        </w:rPr>
        <w:t>, since the content of the petition is based on the petitioner's dissatisfaction with the decisions adopted in the national jurisdiction, trying to turn the international protection system into a scenario of procedural instance that makes possible the reconsideration of the factual and legal analysis</w:t>
      </w:r>
      <w:r w:rsidR="00577E6C">
        <w:rPr>
          <w:rFonts w:ascii="Cambria" w:eastAsia="Cambria" w:hAnsi="Cambria" w:cs="Cambria"/>
          <w:color w:val="000000"/>
          <w:sz w:val="20"/>
          <w:szCs w:val="20"/>
          <w:u w:color="000000"/>
          <w:lang w:eastAsia="es-ES"/>
        </w:rPr>
        <w:t xml:space="preserve">. </w:t>
      </w:r>
    </w:p>
    <w:p w14:paraId="55505107" w14:textId="0663319A" w:rsidR="00F621C3" w:rsidRPr="000B6B7A" w:rsidRDefault="00F621C3" w:rsidP="008E414D">
      <w:pPr>
        <w:spacing w:before="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74B4E468" w14:textId="307F1E26" w:rsidR="00577E6C" w:rsidRDefault="00817EAA" w:rsidP="008E414D">
      <w:pPr>
        <w:pStyle w:val="ListParagraph"/>
        <w:numPr>
          <w:ilvl w:val="0"/>
          <w:numId w:val="103"/>
        </w:numPr>
        <w:suppressAutoHyphens/>
        <w:spacing w:before="120"/>
        <w:jc w:val="both"/>
        <w:rPr>
          <w:sz w:val="20"/>
          <w:szCs w:val="20"/>
        </w:rPr>
      </w:pPr>
      <w:r w:rsidRPr="00817EAA">
        <w:rPr>
          <w:bCs/>
          <w:sz w:val="20"/>
          <w:szCs w:val="20"/>
        </w:rPr>
        <w:t xml:space="preserve">The petitioner states that the death of the alleged victim remains unpunished, because up to date the investigations have not been able to determine those responsible. It also states that the relatives of Mr. Edwin </w:t>
      </w:r>
      <w:proofErr w:type="spellStart"/>
      <w:r w:rsidRPr="00817EAA">
        <w:rPr>
          <w:bCs/>
          <w:sz w:val="20"/>
          <w:szCs w:val="20"/>
        </w:rPr>
        <w:t>Ciro</w:t>
      </w:r>
      <w:proofErr w:type="spellEnd"/>
      <w:r w:rsidRPr="00817EAA">
        <w:rPr>
          <w:bCs/>
          <w:sz w:val="20"/>
          <w:szCs w:val="20"/>
        </w:rPr>
        <w:t xml:space="preserve"> could not make use of an effective remedy, since they were denied the appeal to the State Council to obtain compensation for the events. For its part, the State did not make any argument regarding the exhaustion of domestic remedies, nor did it dispute what the petitioner indicated in this regard.</w:t>
      </w:r>
    </w:p>
    <w:p w14:paraId="37C3FC5A" w14:textId="17B45686" w:rsidR="00577E6C" w:rsidRDefault="00817EAA" w:rsidP="008E41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Theme="majorHAnsi" w:hAnsiTheme="majorHAnsi"/>
          <w:sz w:val="20"/>
          <w:szCs w:val="20"/>
        </w:rPr>
      </w:pPr>
      <w:r w:rsidRPr="00817EAA">
        <w:rPr>
          <w:rFonts w:asciiTheme="majorHAnsi" w:hAnsiTheme="majorHAnsi"/>
          <w:sz w:val="20"/>
          <w:szCs w:val="20"/>
        </w:rPr>
        <w:t>The Commission has established that in situations related to possible violations of the right to life and personal integrity, the domestic remedies that must be taken into account for the purposes of admissibility of the petition are those related to the investigation and punishment of those responsible, which are translated into domestic legislation and are designed as crimes that can be prosecuted ex officio. In the instant case, the Commission notes that 20 years after the death of the alleged victim, the investigations were initially conducted in the military jurisdiction and then, in the ordinary proceeding, the criminal proceeding did not conclude with a substantive decision that included a sanction for those responsible. Based on the foregoing, the IACHR concludes that in the present case, the exception to the exhaustion of domestic remedies contemplated in Article 46.2.c of the American Convention applies.</w:t>
      </w:r>
    </w:p>
    <w:p w14:paraId="39E23AF7" w14:textId="51C1BA3D" w:rsidR="00817EAA" w:rsidRPr="00817EAA" w:rsidRDefault="00817EAA" w:rsidP="005A5E58">
      <w:pPr>
        <w:pStyle w:val="ListParagraph"/>
        <w:numPr>
          <w:ilvl w:val="0"/>
          <w:numId w:val="103"/>
        </w:numPr>
        <w:spacing w:before="120"/>
        <w:jc w:val="both"/>
        <w:rPr>
          <w:rFonts w:asciiTheme="majorHAnsi" w:eastAsia="Arial Unicode MS" w:hAnsiTheme="majorHAnsi" w:cs="Times New Roman"/>
          <w:color w:val="auto"/>
          <w:sz w:val="20"/>
          <w:szCs w:val="20"/>
          <w:lang w:eastAsia="en-US"/>
        </w:rPr>
      </w:pPr>
      <w:r w:rsidRPr="00817EAA">
        <w:rPr>
          <w:rFonts w:asciiTheme="majorHAnsi" w:eastAsia="Arial Unicode MS" w:hAnsiTheme="majorHAnsi" w:cs="Times New Roman"/>
          <w:color w:val="auto"/>
          <w:sz w:val="20"/>
          <w:szCs w:val="20"/>
          <w:lang w:eastAsia="en-US"/>
        </w:rPr>
        <w:lastRenderedPageBreak/>
        <w:t>In addition, in regards to the direct reparation proceedings before the contentious-administrative jurisdiction, the Commission has repeatedly held that said remedy does not constitute an appropriate remedy for analyzing the admissibility of a claim of the nature of the present case, as it is not adequate to provide a comprehensive reparation that includes clarification and justice for family members. Notwithstanding, although in the instant case the criminal proceeding is the appropriate remedy for the investigation of the facts, it is noted that the petitioners also allege specific violations in the context of the claim for direct reparation. Therefore, given the connection between the two processes</w:t>
      </w:r>
      <w:proofErr w:type="gramStart"/>
      <w:r w:rsidRPr="00817EAA">
        <w:rPr>
          <w:rFonts w:asciiTheme="majorHAnsi" w:eastAsia="Arial Unicode MS" w:hAnsiTheme="majorHAnsi" w:cs="Times New Roman"/>
          <w:color w:val="auto"/>
          <w:sz w:val="20"/>
          <w:szCs w:val="20"/>
          <w:lang w:eastAsia="en-US"/>
        </w:rPr>
        <w:t>,  bears</w:t>
      </w:r>
      <w:proofErr w:type="gramEnd"/>
      <w:r w:rsidRPr="00817EAA">
        <w:rPr>
          <w:rFonts w:asciiTheme="majorHAnsi" w:eastAsia="Arial Unicode MS" w:hAnsiTheme="majorHAnsi" w:cs="Times New Roman"/>
          <w:color w:val="auto"/>
          <w:sz w:val="20"/>
          <w:szCs w:val="20"/>
          <w:lang w:eastAsia="en-US"/>
        </w:rPr>
        <w:t xml:space="preserve"> in mind that in the administrative contentious jurisdiction, </w:t>
      </w:r>
      <w:r w:rsidR="005A5E58" w:rsidRPr="005A5E58">
        <w:rPr>
          <w:rFonts w:asciiTheme="majorHAnsi" w:eastAsia="Arial Unicode MS" w:hAnsiTheme="majorHAnsi" w:cs="Times New Roman"/>
          <w:color w:val="auto"/>
          <w:sz w:val="20"/>
          <w:szCs w:val="20"/>
          <w:lang w:eastAsia="en-US"/>
        </w:rPr>
        <w:t>the appeal filed by the petitioner was dismissed on July 14, 2008, by the Fifth Chamber of Decision of the Administrative Tribunal of Antioquia, arguing that due to the minimum amount "the claim never had a dual instance vocation". The IACHR considers that this situation falls within the presumption of exception to the exhaustion of domestic remedies provided for in Article 46</w:t>
      </w:r>
      <w:r w:rsidR="005A5E58">
        <w:rPr>
          <w:rFonts w:asciiTheme="majorHAnsi" w:eastAsia="Arial Unicode MS" w:hAnsiTheme="majorHAnsi" w:cs="Times New Roman"/>
          <w:color w:val="auto"/>
          <w:sz w:val="20"/>
          <w:szCs w:val="20"/>
          <w:lang w:eastAsia="en-US"/>
        </w:rPr>
        <w:t>.2.</w:t>
      </w:r>
      <w:proofErr w:type="spellStart"/>
      <w:r w:rsidR="005A5E58">
        <w:rPr>
          <w:rFonts w:asciiTheme="majorHAnsi" w:eastAsia="Arial Unicode MS" w:hAnsiTheme="majorHAnsi" w:cs="Times New Roman"/>
          <w:color w:val="auto"/>
          <w:sz w:val="20"/>
          <w:szCs w:val="20"/>
          <w:lang w:eastAsia="en-US"/>
        </w:rPr>
        <w:t>a</w:t>
      </w:r>
      <w:proofErr w:type="spellEnd"/>
      <w:r w:rsidR="005A5E58">
        <w:rPr>
          <w:rFonts w:asciiTheme="majorHAnsi" w:eastAsia="Arial Unicode MS" w:hAnsiTheme="majorHAnsi" w:cs="Times New Roman"/>
          <w:color w:val="auto"/>
          <w:sz w:val="20"/>
          <w:szCs w:val="20"/>
          <w:lang w:eastAsia="en-US"/>
        </w:rPr>
        <w:t xml:space="preserve"> of the American Convention</w:t>
      </w:r>
      <w:r w:rsidRPr="00817EAA">
        <w:rPr>
          <w:rFonts w:asciiTheme="majorHAnsi" w:eastAsia="Arial Unicode MS" w:hAnsiTheme="majorHAnsi" w:cs="Times New Roman"/>
          <w:color w:val="auto"/>
          <w:sz w:val="20"/>
          <w:szCs w:val="20"/>
          <w:lang w:eastAsia="en-US"/>
        </w:rPr>
        <w:t xml:space="preserve">.  </w:t>
      </w:r>
    </w:p>
    <w:p w14:paraId="2B0CEA83" w14:textId="63E1F103" w:rsidR="00817EAA" w:rsidRPr="00817EAA" w:rsidRDefault="00817EAA" w:rsidP="008E414D">
      <w:pPr>
        <w:pStyle w:val="ListParagraph"/>
        <w:numPr>
          <w:ilvl w:val="0"/>
          <w:numId w:val="103"/>
        </w:numPr>
        <w:spacing w:before="120"/>
        <w:jc w:val="both"/>
        <w:rPr>
          <w:rFonts w:asciiTheme="majorHAnsi" w:eastAsia="Arial Unicode MS" w:hAnsiTheme="majorHAnsi" w:cs="Times New Roman"/>
          <w:color w:val="auto"/>
          <w:sz w:val="20"/>
          <w:szCs w:val="20"/>
          <w:lang w:eastAsia="en-US"/>
        </w:rPr>
      </w:pPr>
      <w:r w:rsidRPr="00817EAA">
        <w:rPr>
          <w:rFonts w:asciiTheme="majorHAnsi" w:eastAsia="Arial Unicode MS" w:hAnsiTheme="majorHAnsi" w:cs="Times New Roman"/>
          <w:color w:val="auto"/>
          <w:sz w:val="20"/>
          <w:szCs w:val="20"/>
          <w:lang w:eastAsia="en-US"/>
        </w:rPr>
        <w:t>Therefore, considering the characteristics of the case, the IACHR considers that the petition was presented within a reasonable timeframe and that the requirement of admissibility in relation to the time of presentation is met.</w:t>
      </w:r>
    </w:p>
    <w:p w14:paraId="378478A0" w14:textId="26729B2B" w:rsidR="00F621C3" w:rsidRPr="000B6B7A" w:rsidRDefault="00F621C3" w:rsidP="008E414D">
      <w:pPr>
        <w:pStyle w:val="ListParagraph"/>
        <w:spacing w:before="120"/>
        <w:ind w:left="0" w:firstLine="72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6EE870B3" w14:textId="0DD03D46" w:rsidR="00577E6C" w:rsidRPr="00817EAA" w:rsidRDefault="00817EAA" w:rsidP="008E414D">
      <w:pPr>
        <w:numPr>
          <w:ilvl w:val="0"/>
          <w:numId w:val="103"/>
        </w:numPr>
        <w:suppressAutoHyphens/>
        <w:spacing w:before="120"/>
        <w:jc w:val="both"/>
        <w:rPr>
          <w:rFonts w:ascii="Cambria" w:eastAsia="Cambria" w:hAnsi="Cambria" w:cs="Cambria"/>
          <w:color w:val="000000"/>
          <w:sz w:val="20"/>
          <w:szCs w:val="20"/>
          <w:u w:color="000000"/>
          <w:lang w:eastAsia="es-ES"/>
        </w:rPr>
      </w:pPr>
      <w:r w:rsidRPr="00817EAA">
        <w:rPr>
          <w:rFonts w:ascii="Cambria" w:eastAsia="Cambria" w:hAnsi="Cambria" w:cs="Cambria"/>
          <w:color w:val="000000"/>
          <w:sz w:val="20"/>
          <w:szCs w:val="20"/>
          <w:u w:color="000000"/>
          <w:lang w:eastAsia="es-ES"/>
        </w:rPr>
        <w:t xml:space="preserve">Based on the factual and legal arguments presented by the parties and the nature of the subject matter, the Commission considers that, if proven, the alleged illegal detention and murder of Mr. Edwin </w:t>
      </w:r>
      <w:proofErr w:type="spellStart"/>
      <w:r w:rsidRPr="00817EAA">
        <w:rPr>
          <w:rFonts w:ascii="Cambria" w:eastAsia="Cambria" w:hAnsi="Cambria" w:cs="Cambria"/>
          <w:color w:val="000000"/>
          <w:sz w:val="20"/>
          <w:szCs w:val="20"/>
          <w:u w:color="000000"/>
          <w:lang w:eastAsia="es-ES"/>
        </w:rPr>
        <w:t>Hernán</w:t>
      </w:r>
      <w:proofErr w:type="spellEnd"/>
      <w:r w:rsidRPr="00817EAA">
        <w:rPr>
          <w:rFonts w:ascii="Cambria" w:eastAsia="Cambria" w:hAnsi="Cambria" w:cs="Cambria"/>
          <w:color w:val="000000"/>
          <w:sz w:val="20"/>
          <w:szCs w:val="20"/>
          <w:u w:color="000000"/>
          <w:lang w:eastAsia="es-ES"/>
        </w:rPr>
        <w:t xml:space="preserve"> </w:t>
      </w:r>
      <w:proofErr w:type="spellStart"/>
      <w:r w:rsidRPr="00817EAA">
        <w:rPr>
          <w:rFonts w:ascii="Cambria" w:eastAsia="Cambria" w:hAnsi="Cambria" w:cs="Cambria"/>
          <w:color w:val="000000"/>
          <w:sz w:val="20"/>
          <w:szCs w:val="20"/>
          <w:u w:color="000000"/>
          <w:lang w:eastAsia="es-ES"/>
        </w:rPr>
        <w:t>Ciro</w:t>
      </w:r>
      <w:proofErr w:type="spellEnd"/>
      <w:r w:rsidRPr="00817EAA">
        <w:rPr>
          <w:rFonts w:ascii="Cambria" w:eastAsia="Cambria" w:hAnsi="Cambria" w:cs="Cambria"/>
          <w:color w:val="000000"/>
          <w:sz w:val="20"/>
          <w:szCs w:val="20"/>
          <w:u w:color="000000"/>
          <w:lang w:eastAsia="es-ES"/>
        </w:rPr>
        <w:t>, allegedly committed by police agents, as well as the lack of effective judicial protection and the alleged impossibility to appeal a decision as a result of its size could establish a possible violation of articles 4 (right to life), article 5 (personal integrity), article 7 (right to personal freedom), article 8 (judicial guarantees), article 24 (equality before the law) and article 25 (judicial protection) of the American Convention on Human Rights in relation to article 1.1 (obligation to respect) and 2 (obligation to adopt domestic legislation).</w:t>
      </w:r>
      <w:r w:rsidR="00577E6C">
        <w:rPr>
          <w:rFonts w:ascii="Cambria" w:eastAsia="Cambria" w:hAnsi="Cambria" w:cs="Cambria"/>
          <w:color w:val="000000"/>
          <w:sz w:val="20"/>
          <w:szCs w:val="20"/>
          <w:u w:color="000000"/>
          <w:lang w:eastAsia="es-ES"/>
        </w:rPr>
        <w:t xml:space="preserve"> </w:t>
      </w:r>
    </w:p>
    <w:p w14:paraId="66387212" w14:textId="6426BBE8" w:rsidR="00577E6C" w:rsidRPr="00666340" w:rsidRDefault="00817EAA" w:rsidP="008E414D">
      <w:pPr>
        <w:numPr>
          <w:ilvl w:val="0"/>
          <w:numId w:val="103"/>
        </w:numPr>
        <w:suppressAutoHyphens/>
        <w:spacing w:before="120"/>
        <w:jc w:val="both"/>
        <w:rPr>
          <w:rFonts w:ascii="Cambria" w:hAnsi="Cambria"/>
          <w:color w:val="000000" w:themeColor="text1"/>
          <w:sz w:val="20"/>
          <w:szCs w:val="20"/>
        </w:rPr>
      </w:pPr>
      <w:r w:rsidRPr="00817EAA">
        <w:rPr>
          <w:rFonts w:ascii="Cambria" w:hAnsi="Cambria"/>
          <w:color w:val="000000" w:themeColor="text1"/>
          <w:sz w:val="20"/>
          <w:szCs w:val="20"/>
        </w:rPr>
        <w:t>Finally, with regard to the argument of the State on the fourth instance, the Commission observes that admitting this petition does not intend to replace the jurisdiction of the domestic judicial authorities. However, it will analyze at the merits stage of the present petition, whether the domestic judicial processes complied with the guarantees of due process and judicial protection and offered due guarantees of access to justice for the alleged victims under the terms of the American Convention.</w:t>
      </w:r>
    </w:p>
    <w:p w14:paraId="5A70550C" w14:textId="77777777" w:rsidR="00F621C3" w:rsidRPr="000B6B7A" w:rsidRDefault="00F621C3" w:rsidP="00C355B4">
      <w:pPr>
        <w:pStyle w:val="ListParagraph"/>
        <w:spacing w:before="120" w:after="12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03E0E264" w14:textId="77777777" w:rsidR="00817EAA" w:rsidRPr="00817EAA" w:rsidRDefault="00817EAA" w:rsidP="00817EAA">
      <w:pPr>
        <w:pStyle w:val="ListParagraph"/>
        <w:numPr>
          <w:ilvl w:val="0"/>
          <w:numId w:val="105"/>
        </w:numPr>
        <w:rPr>
          <w:rFonts w:eastAsia="Arial Unicode MS" w:cs="Times New Roman"/>
          <w:color w:val="auto"/>
          <w:sz w:val="20"/>
          <w:szCs w:val="20"/>
          <w:lang w:eastAsia="en-US"/>
        </w:rPr>
      </w:pPr>
      <w:r w:rsidRPr="00817EAA">
        <w:rPr>
          <w:rFonts w:eastAsia="Arial Unicode MS" w:cs="Times New Roman"/>
          <w:color w:val="auto"/>
          <w:sz w:val="20"/>
          <w:szCs w:val="20"/>
          <w:lang w:eastAsia="en-US"/>
        </w:rPr>
        <w:t>To find the instant petition admissible in relation to Articles 4, 5, 7, 8, 24, 25 of the American Convention, in accordance with articles 1.1 and 2;</w:t>
      </w:r>
    </w:p>
    <w:p w14:paraId="4818D7D1" w14:textId="77777777" w:rsidR="00577E6C" w:rsidRPr="00666340" w:rsidRDefault="00577E6C" w:rsidP="00577E6C">
      <w:pPr>
        <w:numPr>
          <w:ilvl w:val="0"/>
          <w:numId w:val="105"/>
        </w:numPr>
        <w:suppressAutoHyphens/>
        <w:spacing w:after="120"/>
        <w:jc w:val="both"/>
        <w:rPr>
          <w:rFonts w:ascii="Cambria" w:hAnsi="Cambria"/>
          <w:sz w:val="20"/>
          <w:szCs w:val="20"/>
        </w:rPr>
      </w:pPr>
      <w:r w:rsidRPr="00666340">
        <w:rPr>
          <w:rFonts w:ascii="Cambria" w:hAnsi="Cambria"/>
          <w:sz w:val="20"/>
          <w:szCs w:val="20"/>
        </w:rPr>
        <w:t xml:space="preserve">To notify the parties of the decision; to continue with the analysis on the merits and to publish this decision </w:t>
      </w:r>
      <w:r w:rsidRPr="00666340">
        <w:rPr>
          <w:rFonts w:ascii="Cambria" w:eastAsia="Times New Roman" w:hAnsi="Cambria"/>
          <w:sz w:val="20"/>
          <w:szCs w:val="20"/>
        </w:rPr>
        <w:t>and to include it in its Annual Report to the General Assembly of the Organization of American States.</w:t>
      </w:r>
    </w:p>
    <w:p w14:paraId="20E901A8" w14:textId="19F3742F" w:rsidR="009D3C6F" w:rsidRPr="009D3C6F" w:rsidRDefault="009D3C6F" w:rsidP="009D3C6F">
      <w:pPr>
        <w:ind w:firstLine="720"/>
        <w:jc w:val="both"/>
        <w:rPr>
          <w:rFonts w:cs="Calibri"/>
          <w:sz w:val="20"/>
          <w:szCs w:val="20"/>
        </w:rPr>
      </w:pPr>
      <w:r w:rsidRPr="009D3C6F">
        <w:rPr>
          <w:rFonts w:cs="Calibri"/>
          <w:sz w:val="20"/>
          <w:szCs w:val="20"/>
        </w:rPr>
        <w:t>Approved by the Inter-American Commission on Human Rights on the 1</w:t>
      </w:r>
      <w:r>
        <w:rPr>
          <w:rFonts w:cs="Calibri"/>
          <w:sz w:val="20"/>
          <w:szCs w:val="20"/>
        </w:rPr>
        <w:t>3</w:t>
      </w:r>
      <w:r w:rsidRPr="009D3C6F">
        <w:rPr>
          <w:rFonts w:cs="Calibri"/>
          <w:sz w:val="20"/>
          <w:szCs w:val="20"/>
          <w:vertAlign w:val="superscript"/>
        </w:rPr>
        <w:t>th</w:t>
      </w:r>
      <w:r w:rsidRPr="009D3C6F">
        <w:rPr>
          <w:rFonts w:cs="Calibri"/>
          <w:sz w:val="20"/>
          <w:szCs w:val="20"/>
        </w:rPr>
        <w:t xml:space="preserve"> day of the month of August, 2019. (Signed):  Esmeralda E. Arosemena Bernal de Troitiño, President; Joel Hernández García, First Vice President; Antonia Urrejola, Second Vice President; Margarette May Macaulay, </w:t>
      </w:r>
      <w:r>
        <w:rPr>
          <w:rFonts w:cs="Calibri"/>
          <w:sz w:val="20"/>
          <w:szCs w:val="20"/>
        </w:rPr>
        <w:t>Francisco José Eguiguren Praeli</w:t>
      </w:r>
      <w:r w:rsidRPr="009D3C6F">
        <w:rPr>
          <w:rFonts w:cs="Calibri"/>
          <w:sz w:val="20"/>
          <w:szCs w:val="20"/>
        </w:rPr>
        <w:t xml:space="preserve"> and Flávia Piovesan, Commissioners.</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00C41" w14:textId="77777777" w:rsidR="00C8664A" w:rsidRDefault="00C8664A" w:rsidP="00036A8A">
      <w:r>
        <w:separator/>
      </w:r>
    </w:p>
  </w:endnote>
  <w:endnote w:type="continuationSeparator" w:id="0">
    <w:p w14:paraId="237E1B68" w14:textId="77777777" w:rsidR="00C8664A" w:rsidRDefault="00C8664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63909" w14:textId="77777777" w:rsidR="000125F7" w:rsidRDefault="00012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125F7">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1A380" w14:textId="77777777" w:rsidR="00C8664A" w:rsidRPr="00036A8A" w:rsidRDefault="00C8664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7B13026" w14:textId="77777777" w:rsidR="00C8664A" w:rsidRPr="00036A8A" w:rsidRDefault="00C8664A" w:rsidP="00036A8A">
      <w:pPr>
        <w:rPr>
          <w:rFonts w:asciiTheme="majorHAnsi" w:hAnsiTheme="majorHAnsi"/>
          <w:sz w:val="16"/>
          <w:szCs w:val="16"/>
        </w:rPr>
      </w:pPr>
      <w:r w:rsidRPr="00036A8A">
        <w:rPr>
          <w:rFonts w:asciiTheme="majorHAnsi" w:hAnsiTheme="majorHAnsi"/>
          <w:sz w:val="16"/>
          <w:szCs w:val="16"/>
        </w:rPr>
        <w:separator/>
      </w:r>
    </w:p>
    <w:p w14:paraId="3390C566" w14:textId="77777777" w:rsidR="00C8664A" w:rsidRPr="00036A8A" w:rsidRDefault="00C8664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66A7995" w14:textId="77777777" w:rsidR="00C8664A" w:rsidRPr="0093441A" w:rsidRDefault="00C8664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69AA3DE" w14:textId="4C9FF894" w:rsidR="003D6EE0" w:rsidRPr="008546E5" w:rsidRDefault="003D6EE0" w:rsidP="003D6EE0">
      <w:pPr>
        <w:pStyle w:val="FootnoteText"/>
        <w:jc w:val="both"/>
        <w:rPr>
          <w:rFonts w:ascii="Cambria" w:hAnsi="Cambria"/>
          <w:sz w:val="16"/>
          <w:szCs w:val="16"/>
        </w:rPr>
      </w:pPr>
      <w:r w:rsidRPr="008546E5">
        <w:rPr>
          <w:rStyle w:val="FootnoteReference"/>
          <w:rFonts w:ascii="Cambria" w:hAnsi="Cambria"/>
          <w:sz w:val="16"/>
          <w:szCs w:val="16"/>
        </w:rPr>
        <w:footnoteRef/>
      </w:r>
      <w:r w:rsidRPr="008546E5">
        <w:rPr>
          <w:rFonts w:ascii="Cambria" w:hAnsi="Cambria"/>
          <w:sz w:val="16"/>
          <w:szCs w:val="16"/>
        </w:rPr>
        <w:t xml:space="preserve"> </w:t>
      </w:r>
      <w:r w:rsidR="00263BF5" w:rsidRPr="008546E5">
        <w:rPr>
          <w:rFonts w:ascii="Cambria" w:hAnsi="Cambria"/>
          <w:sz w:val="16"/>
          <w:szCs w:val="16"/>
        </w:rPr>
        <w:t>In accordance with the provisions of Article 17(2</w:t>
      </w:r>
      <w:proofErr w:type="gramStart"/>
      <w:r w:rsidR="00263BF5" w:rsidRPr="008546E5">
        <w:rPr>
          <w:rFonts w:ascii="Cambria" w:hAnsi="Cambria"/>
          <w:sz w:val="16"/>
          <w:szCs w:val="16"/>
        </w:rPr>
        <w:t>)(</w:t>
      </w:r>
      <w:proofErr w:type="gramEnd"/>
      <w:r w:rsidR="00263BF5" w:rsidRPr="008546E5">
        <w:rPr>
          <w:rFonts w:ascii="Cambria" w:hAnsi="Cambria"/>
          <w:sz w:val="16"/>
          <w:szCs w:val="16"/>
        </w:rPr>
        <w:t xml:space="preserve">a).a of the Commission’s Rules of Procedure, Commissioner </w:t>
      </w:r>
      <w:r w:rsidR="005B48F9">
        <w:rPr>
          <w:rFonts w:ascii="Cambria" w:hAnsi="Cambria"/>
          <w:sz w:val="16"/>
          <w:szCs w:val="16"/>
        </w:rPr>
        <w:t>Luis Ernesto Vargas Silva</w:t>
      </w:r>
      <w:r w:rsidR="00263BF5" w:rsidRPr="008546E5">
        <w:rPr>
          <w:rFonts w:ascii="Cambria" w:hAnsi="Cambria"/>
          <w:sz w:val="16"/>
          <w:szCs w:val="16"/>
        </w:rPr>
        <w:t xml:space="preserve">, </w:t>
      </w:r>
      <w:r w:rsidR="005B48F9">
        <w:rPr>
          <w:rFonts w:ascii="Cambria" w:hAnsi="Cambria"/>
          <w:sz w:val="16"/>
          <w:szCs w:val="16"/>
        </w:rPr>
        <w:t>a Colombian national</w:t>
      </w:r>
      <w:r w:rsidR="00263BF5" w:rsidRPr="008546E5">
        <w:rPr>
          <w:rFonts w:ascii="Cambria" w:hAnsi="Cambria"/>
          <w:sz w:val="16"/>
          <w:szCs w:val="16"/>
        </w:rPr>
        <w:t>, did not participate either in the discussions nor the decision in the present matter</w:t>
      </w:r>
      <w:r w:rsidRPr="008546E5">
        <w:rPr>
          <w:rFonts w:ascii="Cambria" w:hAnsi="Cambria"/>
          <w:sz w:val="16"/>
          <w:szCs w:val="16"/>
        </w:rPr>
        <w:t>.</w:t>
      </w:r>
    </w:p>
  </w:footnote>
  <w:footnote w:id="3">
    <w:p w14:paraId="4E0CB80F" w14:textId="77777777" w:rsidR="004E4A66" w:rsidRPr="003E194B" w:rsidRDefault="004E4A66" w:rsidP="004E4A66">
      <w:pPr>
        <w:pStyle w:val="FootnoteText"/>
        <w:ind w:left="720"/>
        <w:rPr>
          <w:rFonts w:ascii="Cambria" w:hAnsi="Cambria"/>
          <w:sz w:val="16"/>
          <w:szCs w:val="16"/>
        </w:rPr>
      </w:pPr>
      <w:r w:rsidRPr="003E194B">
        <w:rPr>
          <w:rStyle w:val="FootnoteReference"/>
          <w:rFonts w:ascii="Cambria" w:hAnsi="Cambria"/>
          <w:sz w:val="16"/>
          <w:szCs w:val="16"/>
        </w:rPr>
        <w:footnoteRef/>
      </w:r>
      <w:r w:rsidRPr="003E194B">
        <w:rPr>
          <w:rFonts w:ascii="Cambria" w:hAnsi="Cambria"/>
          <w:sz w:val="16"/>
          <w:szCs w:val="16"/>
        </w:rPr>
        <w:t xml:space="preserve"> Hereinafter the “Convention” or the “American Convention”</w:t>
      </w:r>
    </w:p>
  </w:footnote>
  <w:footnote w:id="4">
    <w:p w14:paraId="6F51BDAF" w14:textId="5F4755E7" w:rsidR="00653EA6" w:rsidRPr="008546E5" w:rsidRDefault="00653EA6" w:rsidP="003D6EE0">
      <w:pPr>
        <w:pStyle w:val="FootnoteText"/>
        <w:rPr>
          <w:rFonts w:ascii="Cambria" w:hAnsi="Cambria"/>
          <w:sz w:val="16"/>
          <w:szCs w:val="16"/>
        </w:rPr>
      </w:pPr>
      <w:r w:rsidRPr="008546E5">
        <w:rPr>
          <w:rStyle w:val="FootnoteReference"/>
          <w:rFonts w:ascii="Cambria" w:hAnsi="Cambria"/>
          <w:sz w:val="16"/>
          <w:szCs w:val="16"/>
        </w:rPr>
        <w:footnoteRef/>
      </w:r>
      <w:r w:rsidRPr="008546E5">
        <w:rPr>
          <w:rFonts w:ascii="Cambria" w:hAnsi="Cambria"/>
          <w:sz w:val="16"/>
          <w:szCs w:val="16"/>
        </w:rPr>
        <w:t xml:space="preserve"> The observations </w:t>
      </w:r>
      <w:r w:rsidR="00321AFD" w:rsidRPr="008546E5">
        <w:rPr>
          <w:rFonts w:ascii="Cambria" w:hAnsi="Cambria"/>
          <w:sz w:val="16"/>
          <w:szCs w:val="16"/>
        </w:rPr>
        <w:t>submitted</w:t>
      </w:r>
      <w:r w:rsidRPr="008546E5">
        <w:rPr>
          <w:rFonts w:ascii="Cambria" w:hAnsi="Cambria"/>
          <w:sz w:val="16"/>
          <w:szCs w:val="16"/>
        </w:rPr>
        <w:t xml:space="preserve"> by each party were duly transmitted to the opposing party.</w:t>
      </w:r>
    </w:p>
  </w:footnote>
  <w:footnote w:id="5">
    <w:p w14:paraId="1E6776CA" w14:textId="77777777" w:rsidR="004E4A66" w:rsidRPr="00BB5D91" w:rsidRDefault="004E4A66" w:rsidP="004E4A66">
      <w:pPr>
        <w:pStyle w:val="FootnoteText"/>
        <w:ind w:left="720"/>
        <w:rPr>
          <w:rFonts w:ascii="Cambria" w:hAnsi="Cambria"/>
          <w:sz w:val="16"/>
          <w:szCs w:val="16"/>
        </w:rPr>
      </w:pPr>
      <w:r w:rsidRPr="00BB5D91">
        <w:rPr>
          <w:rStyle w:val="FootnoteReference"/>
          <w:rFonts w:ascii="Cambria" w:hAnsi="Cambria"/>
          <w:sz w:val="16"/>
          <w:szCs w:val="16"/>
        </w:rPr>
        <w:footnoteRef/>
      </w:r>
      <w:r w:rsidRPr="00BB5D91">
        <w:rPr>
          <w:rFonts w:ascii="Cambria" w:hAnsi="Cambria"/>
          <w:sz w:val="16"/>
          <w:szCs w:val="16"/>
        </w:rPr>
        <w:t xml:space="preserve"> Hereinafter “ICPPT”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C8664A"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E2FBD" w14:textId="77777777" w:rsidR="000125F7" w:rsidRDefault="00012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A9968220"/>
    <w:lvl w:ilvl="0" w:tplc="98F44100">
      <w:start w:val="1"/>
      <w:numFmt w:val="decimal"/>
      <w:lvlText w:val="%1."/>
      <w:lvlJc w:val="left"/>
      <w:pPr>
        <w:tabs>
          <w:tab w:val="num" w:pos="720"/>
        </w:tabs>
        <w:ind w:left="0" w:firstLine="720"/>
      </w:pPr>
      <w:rPr>
        <w:rFonts w:asciiTheme="majorHAnsi" w:hAnsiTheme="majorHAnsi"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AA6289"/>
    <w:multiLevelType w:val="hybridMultilevel"/>
    <w:tmpl w:val="6400DD3E"/>
    <w:lvl w:ilvl="0" w:tplc="15F0000E">
      <w:start w:val="1"/>
      <w:numFmt w:val="upperRoman"/>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1"/>
  </w:num>
  <w:num w:numId="105">
    <w:abstractNumId w:val="45"/>
  </w:num>
  <w:num w:numId="106">
    <w:abstractNumId w:val="2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25F7"/>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13D3"/>
    <w:rsid w:val="00167A34"/>
    <w:rsid w:val="001714B4"/>
    <w:rsid w:val="0018037F"/>
    <w:rsid w:val="001A5F27"/>
    <w:rsid w:val="001A65E4"/>
    <w:rsid w:val="001A7870"/>
    <w:rsid w:val="001B079A"/>
    <w:rsid w:val="001C1B41"/>
    <w:rsid w:val="001E366B"/>
    <w:rsid w:val="001F1902"/>
    <w:rsid w:val="00210E0E"/>
    <w:rsid w:val="00210F4B"/>
    <w:rsid w:val="00230163"/>
    <w:rsid w:val="0023351C"/>
    <w:rsid w:val="00247403"/>
    <w:rsid w:val="00247542"/>
    <w:rsid w:val="00257893"/>
    <w:rsid w:val="00261573"/>
    <w:rsid w:val="00263BF5"/>
    <w:rsid w:val="00266092"/>
    <w:rsid w:val="00266B61"/>
    <w:rsid w:val="0026712A"/>
    <w:rsid w:val="0026761E"/>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D6EE0"/>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E4A66"/>
    <w:rsid w:val="004F6B67"/>
    <w:rsid w:val="00501399"/>
    <w:rsid w:val="00507BC4"/>
    <w:rsid w:val="005128E4"/>
    <w:rsid w:val="00525560"/>
    <w:rsid w:val="005357A6"/>
    <w:rsid w:val="00544C49"/>
    <w:rsid w:val="0057402A"/>
    <w:rsid w:val="005771D0"/>
    <w:rsid w:val="00577E6C"/>
    <w:rsid w:val="005816E5"/>
    <w:rsid w:val="0059191A"/>
    <w:rsid w:val="005921FF"/>
    <w:rsid w:val="00592718"/>
    <w:rsid w:val="005A5E58"/>
    <w:rsid w:val="005A6D0E"/>
    <w:rsid w:val="005B222D"/>
    <w:rsid w:val="005B48F9"/>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1A81"/>
    <w:rsid w:val="006B2D5C"/>
    <w:rsid w:val="006C4EB1"/>
    <w:rsid w:val="006D4707"/>
    <w:rsid w:val="006E0166"/>
    <w:rsid w:val="006E7B34"/>
    <w:rsid w:val="00701B24"/>
    <w:rsid w:val="00706858"/>
    <w:rsid w:val="0071495F"/>
    <w:rsid w:val="0073798E"/>
    <w:rsid w:val="00745899"/>
    <w:rsid w:val="007607C4"/>
    <w:rsid w:val="00764AE5"/>
    <w:rsid w:val="0076643F"/>
    <w:rsid w:val="00781653"/>
    <w:rsid w:val="007A2F70"/>
    <w:rsid w:val="007C3334"/>
    <w:rsid w:val="007C52BB"/>
    <w:rsid w:val="007D2B98"/>
    <w:rsid w:val="007F7980"/>
    <w:rsid w:val="00803F1C"/>
    <w:rsid w:val="0080600E"/>
    <w:rsid w:val="00817612"/>
    <w:rsid w:val="00817EAA"/>
    <w:rsid w:val="00837C45"/>
    <w:rsid w:val="00853419"/>
    <w:rsid w:val="008546E5"/>
    <w:rsid w:val="00897E12"/>
    <w:rsid w:val="008D43BA"/>
    <w:rsid w:val="008E3759"/>
    <w:rsid w:val="008E40F5"/>
    <w:rsid w:val="008E414D"/>
    <w:rsid w:val="008E6024"/>
    <w:rsid w:val="009041DC"/>
    <w:rsid w:val="009104B4"/>
    <w:rsid w:val="009228DA"/>
    <w:rsid w:val="00925FCD"/>
    <w:rsid w:val="0093441A"/>
    <w:rsid w:val="00954BF7"/>
    <w:rsid w:val="0096706E"/>
    <w:rsid w:val="00981FBA"/>
    <w:rsid w:val="0098783D"/>
    <w:rsid w:val="009B381B"/>
    <w:rsid w:val="009D3C6F"/>
    <w:rsid w:val="009D7611"/>
    <w:rsid w:val="009E53DE"/>
    <w:rsid w:val="009E566A"/>
    <w:rsid w:val="00A12DBC"/>
    <w:rsid w:val="00A43458"/>
    <w:rsid w:val="00A528D1"/>
    <w:rsid w:val="00A6051E"/>
    <w:rsid w:val="00A66BE5"/>
    <w:rsid w:val="00AB3378"/>
    <w:rsid w:val="00AB4A0B"/>
    <w:rsid w:val="00AD37C1"/>
    <w:rsid w:val="00AE66EC"/>
    <w:rsid w:val="00AE6F91"/>
    <w:rsid w:val="00AF5571"/>
    <w:rsid w:val="00B06BB7"/>
    <w:rsid w:val="00B167E9"/>
    <w:rsid w:val="00B179ED"/>
    <w:rsid w:val="00B314DB"/>
    <w:rsid w:val="00B31EBE"/>
    <w:rsid w:val="00B3718B"/>
    <w:rsid w:val="00B44B23"/>
    <w:rsid w:val="00B4632A"/>
    <w:rsid w:val="00B92E49"/>
    <w:rsid w:val="00B96736"/>
    <w:rsid w:val="00BA276C"/>
    <w:rsid w:val="00BB306F"/>
    <w:rsid w:val="00BD232B"/>
    <w:rsid w:val="00BD2E42"/>
    <w:rsid w:val="00BD4B89"/>
    <w:rsid w:val="00C21762"/>
    <w:rsid w:val="00C24543"/>
    <w:rsid w:val="00C256A2"/>
    <w:rsid w:val="00C3492D"/>
    <w:rsid w:val="00C355B4"/>
    <w:rsid w:val="00C55560"/>
    <w:rsid w:val="00C66B72"/>
    <w:rsid w:val="00C8664A"/>
    <w:rsid w:val="00C9567A"/>
    <w:rsid w:val="00CA6577"/>
    <w:rsid w:val="00CB2660"/>
    <w:rsid w:val="00CC2614"/>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07C57"/>
    <w:rsid w:val="00E227C1"/>
    <w:rsid w:val="00E43157"/>
    <w:rsid w:val="00E47F3D"/>
    <w:rsid w:val="00E533FF"/>
    <w:rsid w:val="00E709B3"/>
    <w:rsid w:val="00E7588C"/>
    <w:rsid w:val="00E7797F"/>
    <w:rsid w:val="00E850B6"/>
    <w:rsid w:val="00E8789F"/>
    <w:rsid w:val="00E97B71"/>
    <w:rsid w:val="00EB454D"/>
    <w:rsid w:val="00EC5016"/>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577E6C"/>
    <w:rPr>
      <w:sz w:val="16"/>
      <w:szCs w:val="16"/>
    </w:rPr>
  </w:style>
  <w:style w:type="paragraph" w:styleId="CommentText">
    <w:name w:val="annotation text"/>
    <w:basedOn w:val="Normal"/>
    <w:link w:val="CommentTextChar"/>
    <w:uiPriority w:val="99"/>
    <w:semiHidden/>
    <w:unhideWhenUsed/>
    <w:rsid w:val="00577E6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Calibri" w:hAnsi="Calibri"/>
      <w:sz w:val="20"/>
      <w:szCs w:val="20"/>
      <w:bdr w:val="none" w:sz="0" w:space="0" w:color="auto"/>
    </w:rPr>
  </w:style>
  <w:style w:type="character" w:customStyle="1" w:styleId="CommentTextChar">
    <w:name w:val="Comment Text Char"/>
    <w:basedOn w:val="DefaultParagraphFont"/>
    <w:link w:val="CommentText"/>
    <w:uiPriority w:val="99"/>
    <w:semiHidden/>
    <w:rsid w:val="00577E6C"/>
    <w:rPr>
      <w:rFonts w:ascii="Calibri" w:eastAsia="Calibri" w:hAnsi="Calibri"/>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87D65-A6E8-430E-A32E-A11CD55B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130/19</dc:title>
  <dc:creator/>
  <cp:lastModifiedBy/>
  <cp:revision>1</cp:revision>
  <dcterms:created xsi:type="dcterms:W3CDTF">2019-12-08T11:53:00Z</dcterms:created>
  <dcterms:modified xsi:type="dcterms:W3CDTF">2019-12-08T11:53:00Z</dcterms:modified>
</cp:coreProperties>
</file>