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D429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B7ED66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83858">
                              <w:rPr>
                                <w:rFonts w:asciiTheme="majorHAnsi" w:hAnsiTheme="majorHAnsi" w:cs="Arial"/>
                                <w:b/>
                                <w:bCs/>
                                <w:color w:val="0D0D0D" w:themeColor="text1" w:themeTint="F2"/>
                                <w:sz w:val="36"/>
                                <w:szCs w:val="40"/>
                              </w:rPr>
                              <w:t>203</w:t>
                            </w:r>
                            <w:r w:rsidR="00322450" w:rsidRPr="004B7EB6">
                              <w:rPr>
                                <w:rFonts w:asciiTheme="majorHAnsi" w:hAnsiTheme="majorHAnsi" w:cs="Arial"/>
                                <w:b/>
                                <w:bCs/>
                                <w:color w:val="0D0D0D" w:themeColor="text1" w:themeTint="F2"/>
                                <w:sz w:val="36"/>
                                <w:szCs w:val="40"/>
                              </w:rPr>
                              <w:t>/</w:t>
                            </w:r>
                            <w:r w:rsidR="00783858">
                              <w:rPr>
                                <w:rFonts w:asciiTheme="majorHAnsi" w:hAnsiTheme="majorHAnsi" w:cs="Arial"/>
                                <w:b/>
                                <w:bCs/>
                                <w:color w:val="0D0D0D" w:themeColor="text1" w:themeTint="F2"/>
                                <w:sz w:val="36"/>
                                <w:szCs w:val="40"/>
                              </w:rPr>
                              <w:t>19</w:t>
                            </w:r>
                          </w:p>
                          <w:p w14:paraId="081F51F3" w14:textId="60ED6311"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764AE5">
                              <w:rPr>
                                <w:rFonts w:asciiTheme="majorHAnsi" w:hAnsiTheme="majorHAnsi" w:cs="Arial"/>
                                <w:b/>
                                <w:bCs/>
                                <w:color w:val="0D0D0D" w:themeColor="text1" w:themeTint="F2"/>
                                <w:sz w:val="36"/>
                                <w:szCs w:val="40"/>
                              </w:rPr>
                              <w:t>25</w:t>
                            </w:r>
                            <w:r w:rsidR="00F621C3">
                              <w:rPr>
                                <w:rFonts w:asciiTheme="majorHAnsi" w:hAnsiTheme="majorHAnsi" w:cs="Arial"/>
                                <w:b/>
                                <w:bCs/>
                                <w:color w:val="0D0D0D" w:themeColor="text1" w:themeTint="F2"/>
                                <w:sz w:val="36"/>
                                <w:szCs w:val="40"/>
                              </w:rPr>
                              <w:t>-</w:t>
                            </w:r>
                            <w:r w:rsidR="00764AE5">
                              <w:rPr>
                                <w:rFonts w:asciiTheme="majorHAnsi" w:hAnsiTheme="majorHAnsi" w:cs="Arial"/>
                                <w:b/>
                                <w:bCs/>
                                <w:color w:val="0D0D0D" w:themeColor="text1" w:themeTint="F2"/>
                                <w:sz w:val="36"/>
                                <w:szCs w:val="40"/>
                              </w:rPr>
                              <w:t>11</w:t>
                            </w:r>
                          </w:p>
                          <w:p w14:paraId="34978E5A" w14:textId="4038F491" w:rsidR="002C1641" w:rsidRPr="00764AE5" w:rsidRDefault="00F42B71" w:rsidP="004B7EB6">
                            <w:pPr>
                              <w:spacing w:line="276" w:lineRule="auto"/>
                              <w:rPr>
                                <w:rFonts w:asciiTheme="majorHAnsi" w:hAnsiTheme="majorHAnsi" w:cs="Arial"/>
                                <w:szCs w:val="22"/>
                              </w:rPr>
                            </w:pPr>
                            <w:r>
                              <w:rPr>
                                <w:rFonts w:asciiTheme="majorHAnsi" w:hAnsiTheme="majorHAnsi" w:cs="Arial"/>
                                <w:color w:val="0D0D0D" w:themeColor="text1" w:themeTint="F2"/>
                                <w:szCs w:val="22"/>
                              </w:rPr>
                              <w:t>REPORT ON</w:t>
                            </w:r>
                            <w:r w:rsidRPr="00764AE5">
                              <w:rPr>
                                <w:rFonts w:asciiTheme="majorHAnsi" w:hAnsiTheme="majorHAnsi" w:cs="Arial"/>
                                <w:szCs w:val="22"/>
                              </w:rPr>
                              <w:t xml:space="preserve"> ADMISSIBILITY</w:t>
                            </w:r>
                            <w:r w:rsidR="00F621C3" w:rsidRPr="00764AE5">
                              <w:rPr>
                                <w:rFonts w:asciiTheme="majorHAnsi" w:hAnsiTheme="majorHAnsi" w:cs="Arial"/>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1F14BDDF" w14:textId="45F362E2" w:rsidR="00764AE5" w:rsidRPr="00C2157F" w:rsidRDefault="00764AE5" w:rsidP="00764AE5">
                            <w:pPr>
                              <w:spacing w:after="120"/>
                              <w:rPr>
                                <w:rFonts w:ascii="Cambria" w:hAnsi="Cambria" w:cs="Arial"/>
                                <w:color w:val="0D0D0D"/>
                                <w:lang w:val="es-BO"/>
                              </w:rPr>
                            </w:pPr>
                            <w:r w:rsidRPr="00C2157F">
                              <w:rPr>
                                <w:rFonts w:ascii="Cambria" w:hAnsi="Cambria" w:cs="Arial"/>
                                <w:color w:val="0D0D0D"/>
                                <w:lang w:val="es-BO"/>
                              </w:rPr>
                              <w:t xml:space="preserve">DONATO DE LA CRUZ </w:t>
                            </w:r>
                            <w:r w:rsidR="00C2157F">
                              <w:rPr>
                                <w:rFonts w:ascii="Cambria" w:hAnsi="Cambria" w:cs="Arial"/>
                                <w:color w:val="0D0D0D"/>
                                <w:lang w:val="es-BO"/>
                              </w:rPr>
                              <w:t>ET</w:t>
                            </w:r>
                            <w:r w:rsidR="00C2157F" w:rsidRPr="00C2157F">
                              <w:rPr>
                                <w:rFonts w:ascii="Cambria" w:hAnsi="Cambria" w:cs="Arial"/>
                                <w:color w:val="0D0D0D"/>
                                <w:lang w:val="es-BO"/>
                              </w:rPr>
                              <w:t xml:space="preserve"> AL.</w:t>
                            </w:r>
                          </w:p>
                          <w:p w14:paraId="48EBC31A" w14:textId="018820DF" w:rsidR="00F42B71" w:rsidRPr="004B625D" w:rsidRDefault="00764AE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5B7ED664"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83858">
                        <w:rPr>
                          <w:rFonts w:asciiTheme="majorHAnsi" w:hAnsiTheme="majorHAnsi" w:cs="Arial"/>
                          <w:b/>
                          <w:bCs/>
                          <w:color w:val="0D0D0D" w:themeColor="text1" w:themeTint="F2"/>
                          <w:sz w:val="36"/>
                          <w:szCs w:val="40"/>
                        </w:rPr>
                        <w:t>203</w:t>
                      </w:r>
                      <w:r w:rsidR="00322450" w:rsidRPr="004B7EB6">
                        <w:rPr>
                          <w:rFonts w:asciiTheme="majorHAnsi" w:hAnsiTheme="majorHAnsi" w:cs="Arial"/>
                          <w:b/>
                          <w:bCs/>
                          <w:color w:val="0D0D0D" w:themeColor="text1" w:themeTint="F2"/>
                          <w:sz w:val="36"/>
                          <w:szCs w:val="40"/>
                        </w:rPr>
                        <w:t>/</w:t>
                      </w:r>
                      <w:r w:rsidR="00783858">
                        <w:rPr>
                          <w:rFonts w:asciiTheme="majorHAnsi" w:hAnsiTheme="majorHAnsi" w:cs="Arial"/>
                          <w:b/>
                          <w:bCs/>
                          <w:color w:val="0D0D0D" w:themeColor="text1" w:themeTint="F2"/>
                          <w:sz w:val="36"/>
                          <w:szCs w:val="40"/>
                        </w:rPr>
                        <w:t>19</w:t>
                      </w:r>
                    </w:p>
                    <w:p w14:paraId="081F51F3" w14:textId="60ED6311"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764AE5">
                        <w:rPr>
                          <w:rFonts w:asciiTheme="majorHAnsi" w:hAnsiTheme="majorHAnsi" w:cs="Arial"/>
                          <w:b/>
                          <w:bCs/>
                          <w:color w:val="0D0D0D" w:themeColor="text1" w:themeTint="F2"/>
                          <w:sz w:val="36"/>
                          <w:szCs w:val="40"/>
                        </w:rPr>
                        <w:t>25</w:t>
                      </w:r>
                      <w:r w:rsidR="00F621C3">
                        <w:rPr>
                          <w:rFonts w:asciiTheme="majorHAnsi" w:hAnsiTheme="majorHAnsi" w:cs="Arial"/>
                          <w:b/>
                          <w:bCs/>
                          <w:color w:val="0D0D0D" w:themeColor="text1" w:themeTint="F2"/>
                          <w:sz w:val="36"/>
                          <w:szCs w:val="40"/>
                        </w:rPr>
                        <w:t>-</w:t>
                      </w:r>
                      <w:r w:rsidR="00764AE5">
                        <w:rPr>
                          <w:rFonts w:asciiTheme="majorHAnsi" w:hAnsiTheme="majorHAnsi" w:cs="Arial"/>
                          <w:b/>
                          <w:bCs/>
                          <w:color w:val="0D0D0D" w:themeColor="text1" w:themeTint="F2"/>
                          <w:sz w:val="36"/>
                          <w:szCs w:val="40"/>
                        </w:rPr>
                        <w:t>11</w:t>
                      </w:r>
                    </w:p>
                    <w:p w14:paraId="34978E5A" w14:textId="4038F491" w:rsidR="002C1641" w:rsidRPr="00764AE5" w:rsidRDefault="00F42B71" w:rsidP="004B7EB6">
                      <w:pPr>
                        <w:spacing w:line="276" w:lineRule="auto"/>
                        <w:rPr>
                          <w:rFonts w:asciiTheme="majorHAnsi" w:hAnsiTheme="majorHAnsi" w:cs="Arial"/>
                          <w:szCs w:val="22"/>
                        </w:rPr>
                      </w:pPr>
                      <w:r>
                        <w:rPr>
                          <w:rFonts w:asciiTheme="majorHAnsi" w:hAnsiTheme="majorHAnsi" w:cs="Arial"/>
                          <w:color w:val="0D0D0D" w:themeColor="text1" w:themeTint="F2"/>
                          <w:szCs w:val="22"/>
                        </w:rPr>
                        <w:t>REPORT ON</w:t>
                      </w:r>
                      <w:r w:rsidRPr="00764AE5">
                        <w:rPr>
                          <w:rFonts w:asciiTheme="majorHAnsi" w:hAnsiTheme="majorHAnsi" w:cs="Arial"/>
                          <w:szCs w:val="22"/>
                        </w:rPr>
                        <w:t xml:space="preserve"> ADMISSIBILITY</w:t>
                      </w:r>
                      <w:r w:rsidR="00F621C3" w:rsidRPr="00764AE5">
                        <w:rPr>
                          <w:rFonts w:asciiTheme="majorHAnsi" w:hAnsiTheme="majorHAnsi" w:cs="Arial"/>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1F14BDDF" w14:textId="45F362E2" w:rsidR="00764AE5" w:rsidRPr="00C2157F" w:rsidRDefault="00764AE5" w:rsidP="00764AE5">
                      <w:pPr>
                        <w:spacing w:after="120"/>
                        <w:rPr>
                          <w:rFonts w:ascii="Cambria" w:hAnsi="Cambria" w:cs="Arial"/>
                          <w:color w:val="0D0D0D"/>
                          <w:lang w:val="es-BO"/>
                        </w:rPr>
                      </w:pPr>
                      <w:r w:rsidRPr="00C2157F">
                        <w:rPr>
                          <w:rFonts w:ascii="Cambria" w:hAnsi="Cambria" w:cs="Arial"/>
                          <w:color w:val="0D0D0D"/>
                          <w:lang w:val="es-BO"/>
                        </w:rPr>
                        <w:t xml:space="preserve">DONATO DE LA CRUZ </w:t>
                      </w:r>
                      <w:r w:rsidR="00C2157F">
                        <w:rPr>
                          <w:rFonts w:ascii="Cambria" w:hAnsi="Cambria" w:cs="Arial"/>
                          <w:color w:val="0D0D0D"/>
                          <w:lang w:val="es-BO"/>
                        </w:rPr>
                        <w:t>ET</w:t>
                      </w:r>
                      <w:r w:rsidR="00C2157F" w:rsidRPr="00C2157F">
                        <w:rPr>
                          <w:rFonts w:ascii="Cambria" w:hAnsi="Cambria" w:cs="Arial"/>
                          <w:color w:val="0D0D0D"/>
                          <w:lang w:val="es-BO"/>
                        </w:rPr>
                        <w:t xml:space="preserve"> AL.</w:t>
                      </w:r>
                    </w:p>
                    <w:p w14:paraId="48EBC31A" w14:textId="018820DF" w:rsidR="00F42B71" w:rsidRPr="004B625D" w:rsidRDefault="00764AE5"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BF3AC99" w:rsidR="00627C9F" w:rsidRPr="00783858" w:rsidRDefault="009E566A" w:rsidP="00783858">
                            <w:pPr>
                              <w:spacing w:line="360" w:lineRule="auto"/>
                              <w:jc w:val="right"/>
                              <w:rPr>
                                <w:rFonts w:asciiTheme="minorHAnsi" w:hAnsiTheme="minorHAnsi"/>
                                <w:color w:val="FFFFFF" w:themeColor="background1"/>
                                <w:sz w:val="22"/>
                                <w:lang w:val="pt-BR"/>
                              </w:rPr>
                            </w:pPr>
                            <w:r w:rsidRPr="00783858">
                              <w:rPr>
                                <w:rFonts w:asciiTheme="minorHAnsi" w:hAnsiTheme="minorHAnsi"/>
                                <w:color w:val="FFFFFF" w:themeColor="background1"/>
                                <w:sz w:val="22"/>
                                <w:lang w:val="pt-BR"/>
                              </w:rPr>
                              <w:t>OEA/Ser.L/V/II.</w:t>
                            </w:r>
                          </w:p>
                          <w:p w14:paraId="4AA08A8C" w14:textId="56268BE4" w:rsidR="00627C9F" w:rsidRPr="00783858" w:rsidRDefault="00CA6577" w:rsidP="00783858">
                            <w:pPr>
                              <w:spacing w:line="360" w:lineRule="auto"/>
                              <w:jc w:val="right"/>
                              <w:rPr>
                                <w:rFonts w:asciiTheme="minorHAnsi" w:hAnsiTheme="minorHAnsi"/>
                                <w:color w:val="FFFFFF" w:themeColor="background1"/>
                                <w:sz w:val="22"/>
                                <w:lang w:val="pt-BR"/>
                              </w:rPr>
                            </w:pPr>
                            <w:r w:rsidRPr="00783858">
                              <w:rPr>
                                <w:rFonts w:asciiTheme="minorHAnsi" w:hAnsiTheme="minorHAnsi"/>
                                <w:color w:val="FFFFFF" w:themeColor="background1"/>
                                <w:sz w:val="22"/>
                                <w:lang w:val="pt-BR"/>
                              </w:rPr>
                              <w:t xml:space="preserve">Doc. </w:t>
                            </w:r>
                            <w:r w:rsidR="00783858" w:rsidRPr="00783858">
                              <w:rPr>
                                <w:rFonts w:asciiTheme="minorHAnsi" w:hAnsiTheme="minorHAnsi"/>
                                <w:color w:val="FFFFFF" w:themeColor="background1"/>
                                <w:sz w:val="22"/>
                                <w:lang w:val="pt-BR"/>
                              </w:rPr>
                              <w:t>225</w:t>
                            </w:r>
                          </w:p>
                          <w:p w14:paraId="0BEFF61A" w14:textId="34013A19" w:rsidR="00627C9F" w:rsidRPr="00783858" w:rsidRDefault="00022CF5" w:rsidP="00783858">
                            <w:pPr>
                              <w:spacing w:line="360" w:lineRule="auto"/>
                              <w:jc w:val="right"/>
                              <w:rPr>
                                <w:rFonts w:asciiTheme="minorHAnsi" w:hAnsiTheme="minorHAnsi"/>
                                <w:color w:val="FFFFFF" w:themeColor="background1"/>
                                <w:sz w:val="22"/>
                              </w:rPr>
                            </w:pPr>
                            <w:r w:rsidRPr="00783858">
                              <w:rPr>
                                <w:rFonts w:asciiTheme="minorHAnsi" w:hAnsiTheme="minorHAnsi"/>
                                <w:color w:val="FFFFFF" w:themeColor="background1"/>
                                <w:sz w:val="22"/>
                                <w:lang w:val="pt-BR"/>
                              </w:rPr>
                              <w:t xml:space="preserve"> </w:t>
                            </w:r>
                            <w:r w:rsidR="00783858" w:rsidRPr="00783858">
                              <w:rPr>
                                <w:rFonts w:asciiTheme="minorHAnsi" w:hAnsiTheme="minorHAnsi"/>
                                <w:color w:val="FFFFFF" w:themeColor="background1"/>
                                <w:sz w:val="22"/>
                              </w:rPr>
                              <w:t>6 December</w:t>
                            </w:r>
                            <w:r w:rsidR="000C4365" w:rsidRPr="00783858">
                              <w:rPr>
                                <w:rFonts w:asciiTheme="minorHAnsi" w:hAnsiTheme="minorHAnsi"/>
                                <w:color w:val="FFFFFF" w:themeColor="background1"/>
                                <w:sz w:val="22"/>
                              </w:rPr>
                              <w:t xml:space="preserve"> </w:t>
                            </w:r>
                            <w:r w:rsidR="00F42B71" w:rsidRPr="00783858">
                              <w:rPr>
                                <w:rFonts w:asciiTheme="minorHAnsi" w:hAnsiTheme="minorHAnsi"/>
                                <w:color w:val="FFFFFF" w:themeColor="background1"/>
                                <w:sz w:val="22"/>
                              </w:rPr>
                              <w:t>20</w:t>
                            </w:r>
                            <w:r w:rsidR="00764AE5" w:rsidRPr="00783858">
                              <w:rPr>
                                <w:rFonts w:asciiTheme="minorHAnsi" w:hAnsiTheme="minorHAnsi"/>
                                <w:color w:val="FFFFFF" w:themeColor="background1"/>
                                <w:sz w:val="22"/>
                              </w:rPr>
                              <w:t>19</w:t>
                            </w:r>
                          </w:p>
                          <w:p w14:paraId="0FC103BD" w14:textId="2C070571" w:rsidR="00627C9F" w:rsidRPr="00783858" w:rsidRDefault="00627C9F" w:rsidP="00783858">
                            <w:pPr>
                              <w:spacing w:line="360" w:lineRule="auto"/>
                              <w:jc w:val="right"/>
                              <w:rPr>
                                <w:rFonts w:asciiTheme="minorHAnsi" w:hAnsiTheme="minorHAnsi"/>
                                <w:color w:val="FFFFFF" w:themeColor="background1"/>
                                <w:sz w:val="22"/>
                              </w:rPr>
                            </w:pPr>
                            <w:r w:rsidRPr="00783858">
                              <w:rPr>
                                <w:rFonts w:asciiTheme="minorHAnsi" w:hAnsiTheme="minorHAnsi"/>
                                <w:color w:val="FFFFFF" w:themeColor="background1"/>
                                <w:sz w:val="22"/>
                              </w:rPr>
                              <w:t>Original:</w:t>
                            </w:r>
                            <w:r w:rsidR="002C1641" w:rsidRPr="00783858">
                              <w:rPr>
                                <w:rFonts w:asciiTheme="minorHAnsi" w:hAnsiTheme="minorHAnsi"/>
                                <w:color w:val="FFFFFF" w:themeColor="background1"/>
                                <w:sz w:val="22"/>
                              </w:rPr>
                              <w:t xml:space="preserve"> </w:t>
                            </w:r>
                            <w:r w:rsidR="00F42B71" w:rsidRPr="0078385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2BF3AC99" w:rsidR="00627C9F" w:rsidRPr="00783858" w:rsidRDefault="009E566A" w:rsidP="00783858">
                      <w:pPr>
                        <w:spacing w:line="360" w:lineRule="auto"/>
                        <w:jc w:val="right"/>
                        <w:rPr>
                          <w:rFonts w:asciiTheme="minorHAnsi" w:hAnsiTheme="minorHAnsi"/>
                          <w:color w:val="FFFFFF" w:themeColor="background1"/>
                          <w:sz w:val="22"/>
                          <w:lang w:val="pt-BR"/>
                        </w:rPr>
                      </w:pPr>
                      <w:r w:rsidRPr="00783858">
                        <w:rPr>
                          <w:rFonts w:asciiTheme="minorHAnsi" w:hAnsiTheme="minorHAnsi"/>
                          <w:color w:val="FFFFFF" w:themeColor="background1"/>
                          <w:sz w:val="22"/>
                          <w:lang w:val="pt-BR"/>
                        </w:rPr>
                        <w:t>OEA/Ser.L/V/II.</w:t>
                      </w:r>
                    </w:p>
                    <w:p w14:paraId="4AA08A8C" w14:textId="56268BE4" w:rsidR="00627C9F" w:rsidRPr="00783858" w:rsidRDefault="00CA6577" w:rsidP="00783858">
                      <w:pPr>
                        <w:spacing w:line="360" w:lineRule="auto"/>
                        <w:jc w:val="right"/>
                        <w:rPr>
                          <w:rFonts w:asciiTheme="minorHAnsi" w:hAnsiTheme="minorHAnsi"/>
                          <w:color w:val="FFFFFF" w:themeColor="background1"/>
                          <w:sz w:val="22"/>
                          <w:lang w:val="pt-BR"/>
                        </w:rPr>
                      </w:pPr>
                      <w:r w:rsidRPr="00783858">
                        <w:rPr>
                          <w:rFonts w:asciiTheme="minorHAnsi" w:hAnsiTheme="minorHAnsi"/>
                          <w:color w:val="FFFFFF" w:themeColor="background1"/>
                          <w:sz w:val="22"/>
                          <w:lang w:val="pt-BR"/>
                        </w:rPr>
                        <w:t xml:space="preserve">Doc. </w:t>
                      </w:r>
                      <w:r w:rsidR="00783858" w:rsidRPr="00783858">
                        <w:rPr>
                          <w:rFonts w:asciiTheme="minorHAnsi" w:hAnsiTheme="minorHAnsi"/>
                          <w:color w:val="FFFFFF" w:themeColor="background1"/>
                          <w:sz w:val="22"/>
                          <w:lang w:val="pt-BR"/>
                        </w:rPr>
                        <w:t>225</w:t>
                      </w:r>
                    </w:p>
                    <w:p w14:paraId="0BEFF61A" w14:textId="34013A19" w:rsidR="00627C9F" w:rsidRPr="00783858" w:rsidRDefault="00022CF5" w:rsidP="00783858">
                      <w:pPr>
                        <w:spacing w:line="360" w:lineRule="auto"/>
                        <w:jc w:val="right"/>
                        <w:rPr>
                          <w:rFonts w:asciiTheme="minorHAnsi" w:hAnsiTheme="minorHAnsi"/>
                          <w:color w:val="FFFFFF" w:themeColor="background1"/>
                          <w:sz w:val="22"/>
                        </w:rPr>
                      </w:pPr>
                      <w:r w:rsidRPr="00783858">
                        <w:rPr>
                          <w:rFonts w:asciiTheme="minorHAnsi" w:hAnsiTheme="minorHAnsi"/>
                          <w:color w:val="FFFFFF" w:themeColor="background1"/>
                          <w:sz w:val="22"/>
                          <w:lang w:val="pt-BR"/>
                        </w:rPr>
                        <w:t xml:space="preserve"> </w:t>
                      </w:r>
                      <w:r w:rsidR="00783858" w:rsidRPr="00783858">
                        <w:rPr>
                          <w:rFonts w:asciiTheme="minorHAnsi" w:hAnsiTheme="minorHAnsi"/>
                          <w:color w:val="FFFFFF" w:themeColor="background1"/>
                          <w:sz w:val="22"/>
                        </w:rPr>
                        <w:t>6 December</w:t>
                      </w:r>
                      <w:r w:rsidR="000C4365" w:rsidRPr="00783858">
                        <w:rPr>
                          <w:rFonts w:asciiTheme="minorHAnsi" w:hAnsiTheme="minorHAnsi"/>
                          <w:color w:val="FFFFFF" w:themeColor="background1"/>
                          <w:sz w:val="22"/>
                        </w:rPr>
                        <w:t xml:space="preserve"> </w:t>
                      </w:r>
                      <w:r w:rsidR="00F42B71" w:rsidRPr="00783858">
                        <w:rPr>
                          <w:rFonts w:asciiTheme="minorHAnsi" w:hAnsiTheme="minorHAnsi"/>
                          <w:color w:val="FFFFFF" w:themeColor="background1"/>
                          <w:sz w:val="22"/>
                        </w:rPr>
                        <w:t>20</w:t>
                      </w:r>
                      <w:r w:rsidR="00764AE5" w:rsidRPr="00783858">
                        <w:rPr>
                          <w:rFonts w:asciiTheme="minorHAnsi" w:hAnsiTheme="minorHAnsi"/>
                          <w:color w:val="FFFFFF" w:themeColor="background1"/>
                          <w:sz w:val="22"/>
                        </w:rPr>
                        <w:t>19</w:t>
                      </w:r>
                    </w:p>
                    <w:p w14:paraId="0FC103BD" w14:textId="2C070571" w:rsidR="00627C9F" w:rsidRPr="00783858" w:rsidRDefault="00627C9F" w:rsidP="00783858">
                      <w:pPr>
                        <w:spacing w:line="360" w:lineRule="auto"/>
                        <w:jc w:val="right"/>
                        <w:rPr>
                          <w:rFonts w:asciiTheme="minorHAnsi" w:hAnsiTheme="minorHAnsi"/>
                          <w:color w:val="FFFFFF" w:themeColor="background1"/>
                          <w:sz w:val="22"/>
                        </w:rPr>
                      </w:pPr>
                      <w:r w:rsidRPr="00783858">
                        <w:rPr>
                          <w:rFonts w:asciiTheme="minorHAnsi" w:hAnsiTheme="minorHAnsi"/>
                          <w:color w:val="FFFFFF" w:themeColor="background1"/>
                          <w:sz w:val="22"/>
                        </w:rPr>
                        <w:t>Original:</w:t>
                      </w:r>
                      <w:r w:rsidR="002C1641" w:rsidRPr="00783858">
                        <w:rPr>
                          <w:rFonts w:asciiTheme="minorHAnsi" w:hAnsiTheme="minorHAnsi"/>
                          <w:color w:val="FFFFFF" w:themeColor="background1"/>
                          <w:sz w:val="22"/>
                        </w:rPr>
                        <w:t xml:space="preserve"> </w:t>
                      </w:r>
                      <w:r w:rsidR="00F42B71" w:rsidRPr="00783858">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bookmarkStart w:id="0" w:name="_GoBack"/>
      <w:bookmarkEnd w:id="0"/>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DDDA9" w14:textId="19883C63" w:rsidR="00764AE5" w:rsidRPr="0019513C" w:rsidRDefault="00764AE5" w:rsidP="00764AE5">
                            <w:pPr>
                              <w:tabs>
                                <w:tab w:val="center" w:pos="5400"/>
                              </w:tabs>
                              <w:suppressAutoHyphens/>
                              <w:spacing w:before="60"/>
                              <w:rPr>
                                <w:rFonts w:ascii="Cambria" w:hAnsi="Cambria" w:cs="Univers"/>
                                <w:color w:val="0D0D0D"/>
                                <w:sz w:val="18"/>
                                <w:szCs w:val="20"/>
                              </w:rPr>
                            </w:pPr>
                            <w:r w:rsidRPr="007077B2">
                              <w:rPr>
                                <w:rFonts w:ascii="Cambria" w:hAnsi="Cambria"/>
                                <w:color w:val="0D0D0D"/>
                                <w:sz w:val="18"/>
                                <w:szCs w:val="20"/>
                              </w:rPr>
                              <w:t xml:space="preserve">Approved </w:t>
                            </w:r>
                            <w:r>
                              <w:rPr>
                                <w:rFonts w:ascii="Cambria" w:hAnsi="Cambria"/>
                                <w:color w:val="0D0D0D"/>
                                <w:sz w:val="18"/>
                                <w:szCs w:val="20"/>
                              </w:rPr>
                              <w:t xml:space="preserve">electronically </w:t>
                            </w:r>
                            <w:r w:rsidRPr="007077B2">
                              <w:rPr>
                                <w:rFonts w:ascii="Cambria" w:hAnsi="Cambria"/>
                                <w:color w:val="0D0D0D"/>
                                <w:sz w:val="18"/>
                                <w:szCs w:val="20"/>
                              </w:rPr>
                              <w:t xml:space="preserve">by the Commission </w:t>
                            </w:r>
                            <w:r>
                              <w:rPr>
                                <w:rFonts w:ascii="Cambria" w:hAnsi="Cambria"/>
                                <w:color w:val="0D0D0D"/>
                                <w:sz w:val="18"/>
                                <w:szCs w:val="20"/>
                              </w:rPr>
                              <w:t xml:space="preserve">on </w:t>
                            </w:r>
                            <w:r w:rsidR="00783858">
                              <w:rPr>
                                <w:rFonts w:ascii="Cambria" w:hAnsi="Cambria"/>
                                <w:color w:val="0D0D0D"/>
                                <w:sz w:val="18"/>
                                <w:szCs w:val="20"/>
                              </w:rPr>
                              <w:t>December 6, 2019.</w:t>
                            </w:r>
                          </w:p>
                          <w:p w14:paraId="29BF637A" w14:textId="68AA1E00"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614DDDA9" w14:textId="19883C63" w:rsidR="00764AE5" w:rsidRPr="0019513C" w:rsidRDefault="00764AE5" w:rsidP="00764AE5">
                      <w:pPr>
                        <w:tabs>
                          <w:tab w:val="center" w:pos="5400"/>
                        </w:tabs>
                        <w:suppressAutoHyphens/>
                        <w:spacing w:before="60"/>
                        <w:rPr>
                          <w:rFonts w:ascii="Cambria" w:hAnsi="Cambria" w:cs="Univers"/>
                          <w:color w:val="0D0D0D"/>
                          <w:sz w:val="18"/>
                          <w:szCs w:val="20"/>
                        </w:rPr>
                      </w:pPr>
                      <w:r w:rsidRPr="007077B2">
                        <w:rPr>
                          <w:rFonts w:ascii="Cambria" w:hAnsi="Cambria"/>
                          <w:color w:val="0D0D0D"/>
                          <w:sz w:val="18"/>
                          <w:szCs w:val="20"/>
                        </w:rPr>
                        <w:t xml:space="preserve">Approved </w:t>
                      </w:r>
                      <w:r>
                        <w:rPr>
                          <w:rFonts w:ascii="Cambria" w:hAnsi="Cambria"/>
                          <w:color w:val="0D0D0D"/>
                          <w:sz w:val="18"/>
                          <w:szCs w:val="20"/>
                        </w:rPr>
                        <w:t xml:space="preserve">electronically </w:t>
                      </w:r>
                      <w:r w:rsidRPr="007077B2">
                        <w:rPr>
                          <w:rFonts w:ascii="Cambria" w:hAnsi="Cambria"/>
                          <w:color w:val="0D0D0D"/>
                          <w:sz w:val="18"/>
                          <w:szCs w:val="20"/>
                        </w:rPr>
                        <w:t xml:space="preserve">by the Commission </w:t>
                      </w:r>
                      <w:r>
                        <w:rPr>
                          <w:rFonts w:ascii="Cambria" w:hAnsi="Cambria"/>
                          <w:color w:val="0D0D0D"/>
                          <w:sz w:val="18"/>
                          <w:szCs w:val="20"/>
                        </w:rPr>
                        <w:t xml:space="preserve">on </w:t>
                      </w:r>
                      <w:r w:rsidR="00783858">
                        <w:rPr>
                          <w:rFonts w:ascii="Cambria" w:hAnsi="Cambria"/>
                          <w:color w:val="0D0D0D"/>
                          <w:sz w:val="18"/>
                          <w:szCs w:val="20"/>
                        </w:rPr>
                        <w:t>December 6, 2019.</w:t>
                      </w:r>
                    </w:p>
                    <w:p w14:paraId="29BF637A" w14:textId="68AA1E00"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5A0A07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83858" w:rsidRPr="00783858">
                              <w:rPr>
                                <w:rFonts w:asciiTheme="majorHAnsi" w:hAnsiTheme="majorHAnsi"/>
                                <w:color w:val="595959" w:themeColor="text1" w:themeTint="A6"/>
                                <w:sz w:val="18"/>
                              </w:rPr>
                              <w:t>203/19</w:t>
                            </w:r>
                            <w:r w:rsidRPr="00783858">
                              <w:rPr>
                                <w:rFonts w:asciiTheme="majorHAnsi" w:hAnsiTheme="majorHAnsi"/>
                                <w:color w:val="595959" w:themeColor="text1" w:themeTint="A6"/>
                                <w:sz w:val="18"/>
                              </w:rPr>
                              <w:t xml:space="preserve">, </w:t>
                            </w:r>
                            <w:r w:rsidR="00F42B71" w:rsidRPr="00783858">
                              <w:rPr>
                                <w:rFonts w:asciiTheme="majorHAnsi" w:hAnsiTheme="majorHAnsi"/>
                                <w:color w:val="595959" w:themeColor="text1" w:themeTint="A6"/>
                                <w:sz w:val="18"/>
                              </w:rPr>
                              <w:t xml:space="preserve">Petition </w:t>
                            </w:r>
                            <w:r w:rsidR="00764AE5" w:rsidRPr="00783858">
                              <w:rPr>
                                <w:rFonts w:asciiTheme="majorHAnsi" w:hAnsiTheme="majorHAnsi"/>
                                <w:color w:val="595959" w:themeColor="text1" w:themeTint="A6"/>
                                <w:sz w:val="18"/>
                              </w:rPr>
                              <w:t>25</w:t>
                            </w:r>
                            <w:r w:rsidR="00F621C3" w:rsidRPr="00783858">
                              <w:rPr>
                                <w:rFonts w:asciiTheme="majorHAnsi" w:hAnsiTheme="majorHAnsi"/>
                                <w:color w:val="595959" w:themeColor="text1" w:themeTint="A6"/>
                                <w:sz w:val="18"/>
                              </w:rPr>
                              <w:t>-</w:t>
                            </w:r>
                            <w:r w:rsidR="00764AE5" w:rsidRPr="00783858">
                              <w:rPr>
                                <w:rFonts w:asciiTheme="majorHAnsi" w:hAnsiTheme="majorHAnsi"/>
                                <w:color w:val="595959" w:themeColor="text1" w:themeTint="A6"/>
                                <w:sz w:val="18"/>
                              </w:rPr>
                              <w:t>11</w:t>
                            </w:r>
                            <w:r w:rsidRPr="00783858">
                              <w:rPr>
                                <w:rFonts w:asciiTheme="majorHAnsi" w:hAnsiTheme="majorHAnsi"/>
                                <w:color w:val="595959" w:themeColor="text1" w:themeTint="A6"/>
                                <w:sz w:val="18"/>
                              </w:rPr>
                              <w:t>.</w:t>
                            </w:r>
                            <w:r w:rsidR="009E566A" w:rsidRPr="00783858">
                              <w:rPr>
                                <w:rFonts w:asciiTheme="majorHAnsi" w:hAnsiTheme="majorHAnsi"/>
                                <w:color w:val="595959" w:themeColor="text1" w:themeTint="A6"/>
                                <w:sz w:val="18"/>
                              </w:rPr>
                              <w:t xml:space="preserve"> </w:t>
                            </w:r>
                            <w:proofErr w:type="spellStart"/>
                            <w:r w:rsidR="00764AE5" w:rsidRPr="00783858">
                              <w:rPr>
                                <w:rFonts w:asciiTheme="majorHAnsi" w:hAnsiTheme="majorHAnsi"/>
                                <w:color w:val="595959" w:themeColor="text1" w:themeTint="A6"/>
                                <w:sz w:val="18"/>
                                <w:lang w:val="es-US"/>
                              </w:rPr>
                              <w:t>A</w:t>
                            </w:r>
                            <w:r w:rsidR="00F42B71" w:rsidRPr="00783858">
                              <w:rPr>
                                <w:rFonts w:asciiTheme="majorHAnsi" w:hAnsiTheme="majorHAnsi"/>
                                <w:color w:val="595959" w:themeColor="text1" w:themeTint="A6"/>
                                <w:sz w:val="18"/>
                                <w:lang w:val="es-US"/>
                              </w:rPr>
                              <w:t>dmissibility</w:t>
                            </w:r>
                            <w:proofErr w:type="spellEnd"/>
                            <w:r w:rsidRPr="00783858">
                              <w:rPr>
                                <w:rFonts w:asciiTheme="majorHAnsi" w:hAnsiTheme="majorHAnsi"/>
                                <w:color w:val="595959" w:themeColor="text1" w:themeTint="A6"/>
                                <w:sz w:val="18"/>
                                <w:lang w:val="es-US"/>
                              </w:rPr>
                              <w:t xml:space="preserve">. </w:t>
                            </w:r>
                            <w:r w:rsidR="00764AE5" w:rsidRPr="00783858">
                              <w:rPr>
                                <w:rFonts w:ascii="Cambria" w:hAnsi="Cambria"/>
                                <w:color w:val="595959"/>
                                <w:sz w:val="18"/>
                                <w:szCs w:val="18"/>
                                <w:lang w:val="es-US"/>
                              </w:rPr>
                              <w:t xml:space="preserve">Donato de la Cruz </w:t>
                            </w:r>
                            <w:r w:rsidR="00C2157F" w:rsidRPr="00783858">
                              <w:rPr>
                                <w:rFonts w:ascii="Cambria" w:hAnsi="Cambria"/>
                                <w:color w:val="595959"/>
                                <w:sz w:val="18"/>
                                <w:szCs w:val="18"/>
                                <w:lang w:val="es-US"/>
                              </w:rPr>
                              <w:t>et al.</w:t>
                            </w:r>
                            <w:r w:rsidR="00764AE5" w:rsidRPr="00783858">
                              <w:rPr>
                                <w:rFonts w:ascii="Cambria" w:hAnsi="Cambria"/>
                                <w:color w:val="595959"/>
                                <w:sz w:val="18"/>
                                <w:szCs w:val="18"/>
                                <w:lang w:val="es-US"/>
                              </w:rPr>
                              <w:t xml:space="preserve"> </w:t>
                            </w:r>
                            <w:r w:rsidR="00764AE5">
                              <w:rPr>
                                <w:rFonts w:ascii="Cambria" w:hAnsi="Cambria"/>
                                <w:color w:val="595959"/>
                                <w:sz w:val="18"/>
                                <w:szCs w:val="18"/>
                              </w:rPr>
                              <w:t>Peru</w:t>
                            </w:r>
                            <w:r w:rsidR="00022CF5">
                              <w:rPr>
                                <w:rFonts w:asciiTheme="majorHAnsi" w:hAnsiTheme="majorHAnsi"/>
                                <w:color w:val="595959" w:themeColor="text1" w:themeTint="A6"/>
                                <w:sz w:val="18"/>
                              </w:rPr>
                              <w:t xml:space="preserve">. </w:t>
                            </w:r>
                            <w:r w:rsidR="00783858">
                              <w:rPr>
                                <w:rFonts w:asciiTheme="majorHAnsi" w:hAnsiTheme="majorHAnsi"/>
                                <w:color w:val="595959" w:themeColor="text1" w:themeTint="A6"/>
                                <w:sz w:val="18"/>
                              </w:rPr>
                              <w:t>December 6, 2019</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5A0A07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83858" w:rsidRPr="00783858">
                        <w:rPr>
                          <w:rFonts w:asciiTheme="majorHAnsi" w:hAnsiTheme="majorHAnsi"/>
                          <w:color w:val="595959" w:themeColor="text1" w:themeTint="A6"/>
                          <w:sz w:val="18"/>
                        </w:rPr>
                        <w:t>203/19</w:t>
                      </w:r>
                      <w:r w:rsidRPr="00783858">
                        <w:rPr>
                          <w:rFonts w:asciiTheme="majorHAnsi" w:hAnsiTheme="majorHAnsi"/>
                          <w:color w:val="595959" w:themeColor="text1" w:themeTint="A6"/>
                          <w:sz w:val="18"/>
                        </w:rPr>
                        <w:t xml:space="preserve">, </w:t>
                      </w:r>
                      <w:r w:rsidR="00F42B71" w:rsidRPr="00783858">
                        <w:rPr>
                          <w:rFonts w:asciiTheme="majorHAnsi" w:hAnsiTheme="majorHAnsi"/>
                          <w:color w:val="595959" w:themeColor="text1" w:themeTint="A6"/>
                          <w:sz w:val="18"/>
                        </w:rPr>
                        <w:t xml:space="preserve">Petition </w:t>
                      </w:r>
                      <w:r w:rsidR="00764AE5" w:rsidRPr="00783858">
                        <w:rPr>
                          <w:rFonts w:asciiTheme="majorHAnsi" w:hAnsiTheme="majorHAnsi"/>
                          <w:color w:val="595959" w:themeColor="text1" w:themeTint="A6"/>
                          <w:sz w:val="18"/>
                        </w:rPr>
                        <w:t>25</w:t>
                      </w:r>
                      <w:r w:rsidR="00F621C3" w:rsidRPr="00783858">
                        <w:rPr>
                          <w:rFonts w:asciiTheme="majorHAnsi" w:hAnsiTheme="majorHAnsi"/>
                          <w:color w:val="595959" w:themeColor="text1" w:themeTint="A6"/>
                          <w:sz w:val="18"/>
                        </w:rPr>
                        <w:t>-</w:t>
                      </w:r>
                      <w:r w:rsidR="00764AE5" w:rsidRPr="00783858">
                        <w:rPr>
                          <w:rFonts w:asciiTheme="majorHAnsi" w:hAnsiTheme="majorHAnsi"/>
                          <w:color w:val="595959" w:themeColor="text1" w:themeTint="A6"/>
                          <w:sz w:val="18"/>
                        </w:rPr>
                        <w:t>11</w:t>
                      </w:r>
                      <w:r w:rsidRPr="00783858">
                        <w:rPr>
                          <w:rFonts w:asciiTheme="majorHAnsi" w:hAnsiTheme="majorHAnsi"/>
                          <w:color w:val="595959" w:themeColor="text1" w:themeTint="A6"/>
                          <w:sz w:val="18"/>
                        </w:rPr>
                        <w:t>.</w:t>
                      </w:r>
                      <w:r w:rsidR="009E566A" w:rsidRPr="00783858">
                        <w:rPr>
                          <w:rFonts w:asciiTheme="majorHAnsi" w:hAnsiTheme="majorHAnsi"/>
                          <w:color w:val="595959" w:themeColor="text1" w:themeTint="A6"/>
                          <w:sz w:val="18"/>
                        </w:rPr>
                        <w:t xml:space="preserve"> </w:t>
                      </w:r>
                      <w:proofErr w:type="spellStart"/>
                      <w:r w:rsidR="00764AE5" w:rsidRPr="00783858">
                        <w:rPr>
                          <w:rFonts w:asciiTheme="majorHAnsi" w:hAnsiTheme="majorHAnsi"/>
                          <w:color w:val="595959" w:themeColor="text1" w:themeTint="A6"/>
                          <w:sz w:val="18"/>
                          <w:lang w:val="es-US"/>
                        </w:rPr>
                        <w:t>A</w:t>
                      </w:r>
                      <w:r w:rsidR="00F42B71" w:rsidRPr="00783858">
                        <w:rPr>
                          <w:rFonts w:asciiTheme="majorHAnsi" w:hAnsiTheme="majorHAnsi"/>
                          <w:color w:val="595959" w:themeColor="text1" w:themeTint="A6"/>
                          <w:sz w:val="18"/>
                          <w:lang w:val="es-US"/>
                        </w:rPr>
                        <w:t>dmissibility</w:t>
                      </w:r>
                      <w:proofErr w:type="spellEnd"/>
                      <w:r w:rsidRPr="00783858">
                        <w:rPr>
                          <w:rFonts w:asciiTheme="majorHAnsi" w:hAnsiTheme="majorHAnsi"/>
                          <w:color w:val="595959" w:themeColor="text1" w:themeTint="A6"/>
                          <w:sz w:val="18"/>
                          <w:lang w:val="es-US"/>
                        </w:rPr>
                        <w:t xml:space="preserve">. </w:t>
                      </w:r>
                      <w:r w:rsidR="00764AE5" w:rsidRPr="00783858">
                        <w:rPr>
                          <w:rFonts w:ascii="Cambria" w:hAnsi="Cambria"/>
                          <w:color w:val="595959"/>
                          <w:sz w:val="18"/>
                          <w:szCs w:val="18"/>
                          <w:lang w:val="es-US"/>
                        </w:rPr>
                        <w:t xml:space="preserve">Donato de la Cruz </w:t>
                      </w:r>
                      <w:r w:rsidR="00C2157F" w:rsidRPr="00783858">
                        <w:rPr>
                          <w:rFonts w:ascii="Cambria" w:hAnsi="Cambria"/>
                          <w:color w:val="595959"/>
                          <w:sz w:val="18"/>
                          <w:szCs w:val="18"/>
                          <w:lang w:val="es-US"/>
                        </w:rPr>
                        <w:t>et al.</w:t>
                      </w:r>
                      <w:r w:rsidR="00764AE5" w:rsidRPr="00783858">
                        <w:rPr>
                          <w:rFonts w:ascii="Cambria" w:hAnsi="Cambria"/>
                          <w:color w:val="595959"/>
                          <w:sz w:val="18"/>
                          <w:szCs w:val="18"/>
                          <w:lang w:val="es-US"/>
                        </w:rPr>
                        <w:t xml:space="preserve"> </w:t>
                      </w:r>
                      <w:r w:rsidR="00764AE5">
                        <w:rPr>
                          <w:rFonts w:ascii="Cambria" w:hAnsi="Cambria"/>
                          <w:color w:val="595959"/>
                          <w:sz w:val="18"/>
                          <w:szCs w:val="18"/>
                        </w:rPr>
                        <w:t>Peru</w:t>
                      </w:r>
                      <w:r w:rsidR="00022CF5">
                        <w:rPr>
                          <w:rFonts w:asciiTheme="majorHAnsi" w:hAnsiTheme="majorHAnsi"/>
                          <w:color w:val="595959" w:themeColor="text1" w:themeTint="A6"/>
                          <w:sz w:val="18"/>
                        </w:rPr>
                        <w:t xml:space="preserve">. </w:t>
                      </w:r>
                      <w:r w:rsidR="00783858">
                        <w:rPr>
                          <w:rFonts w:asciiTheme="majorHAnsi" w:hAnsiTheme="majorHAnsi"/>
                          <w:color w:val="595959" w:themeColor="text1" w:themeTint="A6"/>
                          <w:sz w:val="18"/>
                        </w:rPr>
                        <w:t>December 6, 2019</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C355B4">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783858" w14:paraId="491E8196" w14:textId="77777777" w:rsidTr="00C355B4">
        <w:tc>
          <w:tcPr>
            <w:tcW w:w="2790" w:type="dxa"/>
            <w:tcBorders>
              <w:top w:val="single" w:sz="4" w:space="0" w:color="auto"/>
              <w:bottom w:val="single" w:sz="6" w:space="0" w:color="auto"/>
            </w:tcBorders>
            <w:shd w:val="clear" w:color="auto" w:fill="67AE3C"/>
            <w:vAlign w:val="center"/>
          </w:tcPr>
          <w:p w14:paraId="5524F917" w14:textId="24898A81" w:rsidR="00F621C3" w:rsidRPr="00C355B4" w:rsidRDefault="003771A3"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14:paraId="0674C7B8" w14:textId="4799B029" w:rsidR="00F621C3" w:rsidRPr="00764AE5" w:rsidRDefault="00764AE5" w:rsidP="009163FC">
            <w:pPr>
              <w:jc w:val="both"/>
              <w:rPr>
                <w:rFonts w:ascii="Cambria" w:hAnsi="Cambria"/>
                <w:bCs/>
                <w:sz w:val="19"/>
                <w:szCs w:val="19"/>
                <w:lang w:val="es-BO"/>
              </w:rPr>
            </w:pPr>
            <w:r w:rsidRPr="00764AE5">
              <w:rPr>
                <w:rFonts w:ascii="Cambria" w:hAnsi="Cambria"/>
                <w:bCs/>
                <w:sz w:val="19"/>
                <w:szCs w:val="19"/>
                <w:lang w:val="es-BO"/>
              </w:rPr>
              <w:t>Comisión de Derechos Humanos (COMISEDH)</w:t>
            </w:r>
          </w:p>
        </w:tc>
      </w:tr>
      <w:tr w:rsidR="00F621C3" w:rsidRPr="00783858" w14:paraId="0F4A57A0" w14:textId="77777777" w:rsidTr="00C355B4">
        <w:tc>
          <w:tcPr>
            <w:tcW w:w="2790" w:type="dxa"/>
            <w:tcBorders>
              <w:top w:val="single" w:sz="6" w:space="0" w:color="auto"/>
              <w:bottom w:val="single" w:sz="6" w:space="0" w:color="auto"/>
            </w:tcBorders>
            <w:shd w:val="clear" w:color="auto" w:fill="67AE3C"/>
            <w:vAlign w:val="center"/>
          </w:tcPr>
          <w:p w14:paraId="325E239F" w14:textId="315FD772" w:rsidR="00F621C3" w:rsidRPr="00C355B4" w:rsidRDefault="00C355B4"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14:paraId="60895337" w14:textId="48D82B07" w:rsidR="00F621C3" w:rsidRPr="00C2157F" w:rsidRDefault="00764AE5" w:rsidP="00C2157F">
            <w:pPr>
              <w:jc w:val="both"/>
              <w:rPr>
                <w:rFonts w:ascii="Cambria" w:hAnsi="Cambria"/>
                <w:bCs/>
                <w:sz w:val="19"/>
                <w:szCs w:val="19"/>
                <w:lang w:val="es-BO"/>
              </w:rPr>
            </w:pPr>
            <w:r w:rsidRPr="00C2157F">
              <w:rPr>
                <w:rFonts w:ascii="Cambria" w:hAnsi="Cambria"/>
                <w:bCs/>
                <w:sz w:val="19"/>
                <w:szCs w:val="19"/>
                <w:lang w:val="es-BO"/>
              </w:rPr>
              <w:t xml:space="preserve">Donato Mendoza de la Cruz </w:t>
            </w:r>
            <w:r w:rsidR="00C2157F">
              <w:rPr>
                <w:rFonts w:ascii="Cambria" w:hAnsi="Cambria"/>
                <w:bCs/>
                <w:sz w:val="19"/>
                <w:szCs w:val="19"/>
                <w:lang w:val="es-BO"/>
              </w:rPr>
              <w:t>et al</w:t>
            </w:r>
            <w:r w:rsidRPr="00666340">
              <w:rPr>
                <w:rFonts w:ascii="Cambria" w:hAnsi="Cambria"/>
                <w:bCs/>
                <w:sz w:val="19"/>
                <w:szCs w:val="19"/>
                <w:vertAlign w:val="superscript"/>
              </w:rPr>
              <w:footnoteReference w:id="2"/>
            </w:r>
          </w:p>
        </w:tc>
      </w:tr>
      <w:tr w:rsidR="00F621C3" w:rsidRPr="000B6B7A" w14:paraId="067638D2" w14:textId="77777777" w:rsidTr="00C355B4">
        <w:tc>
          <w:tcPr>
            <w:tcW w:w="2790" w:type="dxa"/>
            <w:tcBorders>
              <w:top w:val="single" w:sz="6" w:space="0" w:color="auto"/>
              <w:bottom w:val="single" w:sz="6" w:space="0" w:color="auto"/>
            </w:tcBorders>
            <w:shd w:val="clear" w:color="auto" w:fill="67AE3C"/>
            <w:vAlign w:val="center"/>
          </w:tcPr>
          <w:p w14:paraId="32104528" w14:textId="69A38811" w:rsidR="00F621C3" w:rsidRPr="00C355B4" w:rsidRDefault="005816E5" w:rsidP="00581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sidR="00C355B4">
              <w:rPr>
                <w:rFonts w:ascii="Cambria" w:hAnsi="Cambria"/>
                <w:bCs/>
                <w:color w:val="FFFFFF" w:themeColor="background1"/>
                <w:sz w:val="19"/>
                <w:szCs w:val="19"/>
              </w:rPr>
              <w:t>State</w:t>
            </w:r>
          </w:p>
        </w:tc>
        <w:tc>
          <w:tcPr>
            <w:tcW w:w="6570" w:type="dxa"/>
            <w:vAlign w:val="center"/>
          </w:tcPr>
          <w:p w14:paraId="3539D391" w14:textId="07D72D21" w:rsidR="00F621C3" w:rsidRPr="00C355B4" w:rsidRDefault="00764AE5" w:rsidP="009163FC">
            <w:pPr>
              <w:jc w:val="both"/>
              <w:rPr>
                <w:rFonts w:ascii="Cambria" w:hAnsi="Cambria"/>
                <w:bCs/>
                <w:sz w:val="19"/>
                <w:szCs w:val="19"/>
              </w:rPr>
            </w:pPr>
            <w:r>
              <w:rPr>
                <w:rFonts w:ascii="Cambria" w:hAnsi="Cambria"/>
                <w:bCs/>
                <w:sz w:val="19"/>
                <w:szCs w:val="19"/>
              </w:rPr>
              <w:t>Peru</w:t>
            </w:r>
            <w:r w:rsidR="003D6EE0" w:rsidRPr="003D6EE0">
              <w:rPr>
                <w:rFonts w:ascii="Cambria" w:hAnsi="Cambria"/>
                <w:bCs/>
                <w:color w:val="FF0000"/>
                <w:sz w:val="19"/>
                <w:szCs w:val="19"/>
                <w:vertAlign w:val="superscript"/>
              </w:rPr>
              <w:footnoteReference w:id="3"/>
            </w:r>
            <w:r w:rsidR="003D6EE0" w:rsidRPr="003D6EE0">
              <w:rPr>
                <w:rFonts w:ascii="Cambria" w:hAnsi="Cambria"/>
                <w:bCs/>
                <w:color w:val="FF0000"/>
                <w:sz w:val="19"/>
                <w:szCs w:val="19"/>
              </w:rPr>
              <w:t xml:space="preserve"> </w:t>
            </w:r>
          </w:p>
        </w:tc>
      </w:tr>
      <w:tr w:rsidR="00E47F3D" w:rsidRPr="000B6B7A" w14:paraId="57F2C481" w14:textId="77777777" w:rsidTr="00C355B4">
        <w:tc>
          <w:tcPr>
            <w:tcW w:w="2790" w:type="dxa"/>
            <w:tcBorders>
              <w:top w:val="single" w:sz="6" w:space="0" w:color="auto"/>
              <w:bottom w:val="single" w:sz="6" w:space="0" w:color="auto"/>
            </w:tcBorders>
            <w:shd w:val="clear" w:color="auto" w:fill="67AE3C"/>
            <w:vAlign w:val="center"/>
          </w:tcPr>
          <w:p w14:paraId="62BEEF4B" w14:textId="5FB9688D" w:rsidR="00E47F3D" w:rsidRPr="00C355B4" w:rsidRDefault="00E47F3D" w:rsidP="00E7588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sidR="00C355B4">
              <w:rPr>
                <w:rFonts w:ascii="Cambria" w:hAnsi="Cambria"/>
                <w:bCs/>
                <w:color w:val="FFFFFF" w:themeColor="background1"/>
                <w:sz w:val="19"/>
                <w:szCs w:val="19"/>
              </w:rPr>
              <w:t>invoked</w:t>
            </w:r>
          </w:p>
        </w:tc>
        <w:tc>
          <w:tcPr>
            <w:tcW w:w="6570" w:type="dxa"/>
            <w:vAlign w:val="center"/>
          </w:tcPr>
          <w:p w14:paraId="51EEF9D2" w14:textId="10FA5BC6" w:rsidR="00E47F3D" w:rsidRPr="00C355B4" w:rsidRDefault="00764AE5" w:rsidP="009163FC">
            <w:pPr>
              <w:jc w:val="both"/>
              <w:rPr>
                <w:rFonts w:ascii="Cambria" w:hAnsi="Cambria"/>
                <w:bCs/>
                <w:sz w:val="19"/>
                <w:szCs w:val="19"/>
              </w:rPr>
            </w:pPr>
            <w:r w:rsidRPr="00666340">
              <w:rPr>
                <w:rFonts w:ascii="Cambria" w:hAnsi="Cambria"/>
                <w:bCs/>
                <w:sz w:val="19"/>
                <w:szCs w:val="19"/>
              </w:rPr>
              <w:t>Articles 4, 5, 7, 8 y 25 of the American Convention on Human Rights</w:t>
            </w:r>
            <w:r w:rsidRPr="00666340">
              <w:rPr>
                <w:rFonts w:ascii="Cambria" w:hAnsi="Cambria"/>
                <w:bCs/>
                <w:sz w:val="19"/>
                <w:szCs w:val="19"/>
                <w:vertAlign w:val="superscript"/>
              </w:rPr>
              <w:footnoteReference w:id="4"/>
            </w:r>
            <w:r w:rsidRPr="00666340">
              <w:rPr>
                <w:rFonts w:ascii="Cambria" w:hAnsi="Cambria"/>
                <w:sz w:val="20"/>
                <w:szCs w:val="20"/>
              </w:rPr>
              <w:t xml:space="preserve"> and</w:t>
            </w:r>
            <w:r w:rsidRPr="00666340">
              <w:rPr>
                <w:rFonts w:ascii="Cambria" w:hAnsi="Cambria"/>
                <w:bCs/>
                <w:sz w:val="19"/>
                <w:szCs w:val="19"/>
              </w:rPr>
              <w:t xml:space="preserve"> articles </w:t>
            </w:r>
            <w:proofErr w:type="spellStart"/>
            <w:r w:rsidRPr="00666340">
              <w:rPr>
                <w:rFonts w:ascii="Cambria" w:hAnsi="Cambria"/>
                <w:bCs/>
                <w:sz w:val="19"/>
                <w:szCs w:val="19"/>
              </w:rPr>
              <w:t>I.a</w:t>
            </w:r>
            <w:proofErr w:type="spellEnd"/>
            <w:r w:rsidRPr="00666340">
              <w:rPr>
                <w:rFonts w:ascii="Cambria" w:hAnsi="Cambria"/>
                <w:bCs/>
                <w:sz w:val="19"/>
                <w:szCs w:val="19"/>
              </w:rPr>
              <w:t xml:space="preserve">, </w:t>
            </w:r>
            <w:proofErr w:type="spellStart"/>
            <w:r w:rsidRPr="00666340">
              <w:rPr>
                <w:rFonts w:ascii="Cambria" w:hAnsi="Cambria"/>
                <w:bCs/>
                <w:sz w:val="19"/>
                <w:szCs w:val="19"/>
              </w:rPr>
              <w:t>I.b</w:t>
            </w:r>
            <w:proofErr w:type="spellEnd"/>
            <w:r w:rsidRPr="00666340">
              <w:rPr>
                <w:rFonts w:ascii="Cambria" w:hAnsi="Cambria"/>
                <w:bCs/>
                <w:sz w:val="19"/>
                <w:szCs w:val="19"/>
              </w:rPr>
              <w:t xml:space="preserve"> and III of the Inter-American Convention on Forced Disappearance</w:t>
            </w:r>
            <w:r>
              <w:rPr>
                <w:rFonts w:ascii="Cambria" w:hAnsi="Cambria"/>
                <w:bCs/>
                <w:sz w:val="19"/>
                <w:szCs w:val="19"/>
              </w:rPr>
              <w:t xml:space="preserve"> of Persons</w:t>
            </w:r>
            <w:r w:rsidRPr="00666340">
              <w:rPr>
                <w:rFonts w:ascii="Cambria" w:hAnsi="Cambria"/>
                <w:bCs/>
                <w:sz w:val="19"/>
                <w:szCs w:val="19"/>
                <w:vertAlign w:val="superscript"/>
              </w:rPr>
              <w:footnoteReference w:id="5"/>
            </w:r>
            <w:r w:rsidRPr="00666340">
              <w:rPr>
                <w:rFonts w:ascii="Cambria" w:hAnsi="Cambria"/>
                <w:bCs/>
                <w:sz w:val="19"/>
                <w:szCs w:val="19"/>
              </w:rPr>
              <w:t xml:space="preserve">  </w:t>
            </w:r>
          </w:p>
        </w:tc>
      </w:tr>
    </w:tbl>
    <w:p w14:paraId="006E8D49" w14:textId="1C646C41"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1CAEC3AF" w14:textId="77777777" w:rsidTr="00C355B4">
        <w:tc>
          <w:tcPr>
            <w:tcW w:w="2790" w:type="dxa"/>
            <w:tcBorders>
              <w:top w:val="single" w:sz="6" w:space="0" w:color="auto"/>
              <w:bottom w:val="single" w:sz="6" w:space="0" w:color="auto"/>
            </w:tcBorders>
            <w:shd w:val="clear" w:color="auto" w:fill="67AE3C"/>
            <w:vAlign w:val="center"/>
          </w:tcPr>
          <w:p w14:paraId="2C2ED774" w14:textId="03B558C0" w:rsidR="00F621C3" w:rsidRPr="00C355B4" w:rsidRDefault="00B06BB7" w:rsidP="00B06BB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14:paraId="1C0C3DE2" w14:textId="3DA7E954" w:rsidR="00F621C3" w:rsidRPr="00C355B4" w:rsidRDefault="00764AE5" w:rsidP="009163FC">
            <w:pPr>
              <w:jc w:val="both"/>
              <w:rPr>
                <w:rFonts w:ascii="Cambria" w:hAnsi="Cambria"/>
                <w:bCs/>
                <w:sz w:val="19"/>
                <w:szCs w:val="19"/>
              </w:rPr>
            </w:pPr>
            <w:r>
              <w:rPr>
                <w:rFonts w:ascii="Cambria" w:hAnsi="Cambria"/>
                <w:bCs/>
                <w:sz w:val="19"/>
                <w:szCs w:val="19"/>
              </w:rPr>
              <w:t>January 6, 2011</w:t>
            </w:r>
          </w:p>
        </w:tc>
      </w:tr>
      <w:tr w:rsidR="00F621C3" w:rsidRPr="000B6B7A" w14:paraId="7EAB2BD7" w14:textId="77777777" w:rsidTr="00C355B4">
        <w:tc>
          <w:tcPr>
            <w:tcW w:w="2790" w:type="dxa"/>
            <w:tcBorders>
              <w:top w:val="single" w:sz="6" w:space="0" w:color="auto"/>
              <w:bottom w:val="single" w:sz="6" w:space="0" w:color="auto"/>
            </w:tcBorders>
            <w:shd w:val="clear" w:color="auto" w:fill="67AE3C"/>
            <w:vAlign w:val="center"/>
          </w:tcPr>
          <w:p w14:paraId="79E6B4A9" w14:textId="4819E596" w:rsidR="00F621C3" w:rsidRPr="00C355B4" w:rsidRDefault="00B06BB7" w:rsidP="00C355B4">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14:paraId="22ADBFFE" w14:textId="34393028" w:rsidR="00F621C3" w:rsidRPr="00C355B4" w:rsidRDefault="00764AE5" w:rsidP="009163FC">
            <w:pPr>
              <w:jc w:val="both"/>
              <w:rPr>
                <w:rFonts w:ascii="Cambria" w:hAnsi="Cambria"/>
                <w:bCs/>
                <w:sz w:val="19"/>
                <w:szCs w:val="19"/>
              </w:rPr>
            </w:pPr>
            <w:r>
              <w:rPr>
                <w:rFonts w:ascii="Cambria" w:hAnsi="Cambria"/>
                <w:bCs/>
                <w:sz w:val="19"/>
                <w:szCs w:val="19"/>
              </w:rPr>
              <w:t xml:space="preserve">August </w:t>
            </w:r>
            <w:r w:rsidRPr="00666340">
              <w:rPr>
                <w:rFonts w:ascii="Cambria" w:hAnsi="Cambria"/>
                <w:bCs/>
                <w:sz w:val="19"/>
                <w:szCs w:val="19"/>
              </w:rPr>
              <w:t>12</w:t>
            </w:r>
            <w:r>
              <w:rPr>
                <w:rFonts w:ascii="Cambria" w:hAnsi="Cambria"/>
                <w:bCs/>
                <w:sz w:val="19"/>
                <w:szCs w:val="19"/>
              </w:rPr>
              <w:t>, 2016</w:t>
            </w:r>
          </w:p>
        </w:tc>
      </w:tr>
      <w:tr w:rsidR="00F621C3" w:rsidRPr="000B6B7A" w14:paraId="56560AE1" w14:textId="77777777" w:rsidTr="00C355B4">
        <w:trPr>
          <w:trHeight w:val="264"/>
        </w:trPr>
        <w:tc>
          <w:tcPr>
            <w:tcW w:w="2790" w:type="dxa"/>
            <w:tcBorders>
              <w:top w:val="single" w:sz="6" w:space="0" w:color="auto"/>
              <w:bottom w:val="single" w:sz="6" w:space="0" w:color="auto"/>
            </w:tcBorders>
            <w:shd w:val="clear" w:color="auto" w:fill="67AE3C"/>
            <w:vAlign w:val="center"/>
          </w:tcPr>
          <w:p w14:paraId="07BDDCA2" w14:textId="5C33D8F7" w:rsidR="00F621C3" w:rsidRPr="00C355B4" w:rsidRDefault="00C355B4" w:rsidP="009163FC">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14:paraId="19C5DA57" w14:textId="451045F6" w:rsidR="00F621C3" w:rsidRPr="00C355B4" w:rsidRDefault="00764AE5" w:rsidP="009163FC">
            <w:pPr>
              <w:jc w:val="both"/>
              <w:rPr>
                <w:rFonts w:ascii="Cambria" w:hAnsi="Cambria"/>
                <w:bCs/>
                <w:sz w:val="19"/>
                <w:szCs w:val="19"/>
              </w:rPr>
            </w:pPr>
            <w:r>
              <w:rPr>
                <w:rFonts w:ascii="Cambria" w:hAnsi="Cambria"/>
                <w:bCs/>
                <w:sz w:val="19"/>
                <w:szCs w:val="19"/>
              </w:rPr>
              <w:t>November 14, 2016</w:t>
            </w:r>
          </w:p>
        </w:tc>
      </w:tr>
      <w:tr w:rsidR="003771A3" w:rsidRPr="000B6B7A" w14:paraId="718737D9" w14:textId="77777777" w:rsidTr="00C355B4">
        <w:tc>
          <w:tcPr>
            <w:tcW w:w="2790" w:type="dxa"/>
            <w:tcBorders>
              <w:top w:val="single" w:sz="6" w:space="0" w:color="auto"/>
              <w:bottom w:val="single" w:sz="6" w:space="0" w:color="auto"/>
            </w:tcBorders>
            <w:shd w:val="clear" w:color="auto" w:fill="67AE3C"/>
            <w:vAlign w:val="center"/>
          </w:tcPr>
          <w:p w14:paraId="2F925819" w14:textId="1CDB5F8A" w:rsidR="003771A3" w:rsidRPr="00C355B4" w:rsidRDefault="00B06BB7" w:rsidP="00D75084">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Notification</w:t>
            </w:r>
            <w:r w:rsidR="003771A3" w:rsidRPr="00C355B4">
              <w:rPr>
                <w:rFonts w:ascii="Cambria" w:hAnsi="Cambria"/>
                <w:bCs/>
                <w:color w:val="FFFFFF" w:themeColor="background1"/>
                <w:sz w:val="19"/>
                <w:szCs w:val="19"/>
              </w:rPr>
              <w:t xml:space="preserve"> of the pos</w:t>
            </w:r>
            <w:r w:rsidR="00C355B4" w:rsidRPr="00C355B4">
              <w:rPr>
                <w:rFonts w:ascii="Cambria" w:hAnsi="Cambria"/>
                <w:bCs/>
                <w:color w:val="FFFFFF" w:themeColor="background1"/>
                <w:sz w:val="19"/>
                <w:szCs w:val="19"/>
              </w:rPr>
              <w:t>sible archiving of the petition</w:t>
            </w:r>
          </w:p>
        </w:tc>
        <w:tc>
          <w:tcPr>
            <w:tcW w:w="6570" w:type="dxa"/>
            <w:vAlign w:val="center"/>
          </w:tcPr>
          <w:p w14:paraId="1C4A82C3" w14:textId="68135BF2" w:rsidR="003771A3" w:rsidRPr="00C355B4" w:rsidRDefault="00764AE5" w:rsidP="009163FC">
            <w:pPr>
              <w:jc w:val="both"/>
              <w:rPr>
                <w:rFonts w:ascii="Cambria" w:hAnsi="Cambria"/>
                <w:bCs/>
                <w:sz w:val="19"/>
                <w:szCs w:val="19"/>
              </w:rPr>
            </w:pPr>
            <w:r>
              <w:rPr>
                <w:rFonts w:ascii="Cambria" w:hAnsi="Cambria"/>
                <w:bCs/>
                <w:sz w:val="19"/>
                <w:szCs w:val="19"/>
              </w:rPr>
              <w:t xml:space="preserve">February </w:t>
            </w:r>
            <w:r w:rsidRPr="00666340">
              <w:rPr>
                <w:rFonts w:ascii="Cambria" w:hAnsi="Cambria"/>
                <w:bCs/>
                <w:sz w:val="19"/>
                <w:szCs w:val="19"/>
              </w:rPr>
              <w:t>8</w:t>
            </w:r>
            <w:r>
              <w:rPr>
                <w:rFonts w:ascii="Cambria" w:hAnsi="Cambria"/>
                <w:bCs/>
                <w:sz w:val="19"/>
                <w:szCs w:val="19"/>
              </w:rPr>
              <w:t>, 2019</w:t>
            </w:r>
          </w:p>
        </w:tc>
      </w:tr>
      <w:tr w:rsidR="003771A3" w:rsidRPr="000B6B7A" w14:paraId="09808A81" w14:textId="77777777" w:rsidTr="00C355B4">
        <w:tc>
          <w:tcPr>
            <w:tcW w:w="2790" w:type="dxa"/>
            <w:tcBorders>
              <w:top w:val="single" w:sz="6" w:space="0" w:color="auto"/>
              <w:bottom w:val="single" w:sz="6" w:space="0" w:color="auto"/>
            </w:tcBorders>
            <w:shd w:val="clear" w:color="auto" w:fill="67AE3C"/>
            <w:vAlign w:val="center"/>
          </w:tcPr>
          <w:p w14:paraId="49BCEA0B" w14:textId="6065F074" w:rsidR="003771A3" w:rsidRPr="00C355B4" w:rsidRDefault="003D6EE0" w:rsidP="00B06BB7">
            <w:pPr>
              <w:jc w:val="center"/>
              <w:rPr>
                <w:rFonts w:ascii="Cambria" w:hAnsi="Cambria"/>
                <w:bCs/>
                <w:color w:val="FFFFFF" w:themeColor="background1"/>
                <w:sz w:val="19"/>
                <w:szCs w:val="19"/>
              </w:rPr>
            </w:pPr>
            <w:r>
              <w:rPr>
                <w:rFonts w:ascii="Cambria" w:hAnsi="Cambria"/>
                <w:bCs/>
                <w:color w:val="FFFFFF" w:themeColor="background1"/>
                <w:sz w:val="19"/>
                <w:szCs w:val="19"/>
              </w:rPr>
              <w:t>Response</w:t>
            </w:r>
            <w:r w:rsidR="003771A3" w:rsidRPr="00C355B4">
              <w:rPr>
                <w:rFonts w:ascii="Cambria" w:hAnsi="Cambria"/>
                <w:bCs/>
                <w:color w:val="FFFFFF" w:themeColor="background1"/>
                <w:sz w:val="19"/>
                <w:szCs w:val="19"/>
              </w:rPr>
              <w:t xml:space="preserve"> to the notification regarding the pos</w:t>
            </w:r>
            <w:r w:rsidR="00C355B4" w:rsidRPr="00C355B4">
              <w:rPr>
                <w:rFonts w:ascii="Cambria" w:hAnsi="Cambria"/>
                <w:bCs/>
                <w:color w:val="FFFFFF" w:themeColor="background1"/>
                <w:sz w:val="19"/>
                <w:szCs w:val="19"/>
              </w:rPr>
              <w:t>sible archiving of the petition</w:t>
            </w:r>
          </w:p>
        </w:tc>
        <w:tc>
          <w:tcPr>
            <w:tcW w:w="6570" w:type="dxa"/>
            <w:vAlign w:val="center"/>
          </w:tcPr>
          <w:p w14:paraId="6F6B7BFD" w14:textId="0E4BB6A5" w:rsidR="003771A3" w:rsidRPr="00C355B4" w:rsidRDefault="00764AE5" w:rsidP="009163FC">
            <w:pPr>
              <w:jc w:val="both"/>
              <w:rPr>
                <w:rFonts w:ascii="Cambria" w:hAnsi="Cambria"/>
                <w:bCs/>
                <w:sz w:val="19"/>
                <w:szCs w:val="19"/>
              </w:rPr>
            </w:pPr>
            <w:r>
              <w:rPr>
                <w:rFonts w:ascii="Cambria" w:hAnsi="Cambria"/>
                <w:bCs/>
                <w:sz w:val="19"/>
                <w:szCs w:val="19"/>
              </w:rPr>
              <w:t>March 8, 2019</w:t>
            </w:r>
          </w:p>
        </w:tc>
      </w:tr>
    </w:tbl>
    <w:p w14:paraId="7F88B361" w14:textId="77777777"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2F81CC8B" w14:textId="77777777" w:rsidTr="00C355B4">
        <w:trPr>
          <w:cantSplit/>
        </w:trPr>
        <w:tc>
          <w:tcPr>
            <w:tcW w:w="2790" w:type="dxa"/>
            <w:tcBorders>
              <w:top w:val="single" w:sz="4" w:space="0" w:color="auto"/>
              <w:bottom w:val="single" w:sz="6" w:space="0" w:color="auto"/>
            </w:tcBorders>
            <w:shd w:val="clear" w:color="auto" w:fill="67AE3C"/>
            <w:vAlign w:val="center"/>
          </w:tcPr>
          <w:p w14:paraId="3A568008" w14:textId="4F1CFB62" w:rsidR="00F621C3" w:rsidRPr="00C355B4" w:rsidRDefault="00F621C3" w:rsidP="009163FC">
            <w:pPr>
              <w:jc w:val="center"/>
              <w:rPr>
                <w:rFonts w:ascii="Cambria" w:hAnsi="Cambria"/>
                <w:bCs/>
                <w:i/>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personae:</w:t>
            </w:r>
          </w:p>
        </w:tc>
        <w:tc>
          <w:tcPr>
            <w:tcW w:w="6570" w:type="dxa"/>
            <w:vAlign w:val="center"/>
          </w:tcPr>
          <w:p w14:paraId="237A8D0C" w14:textId="6FB73BED" w:rsidR="00F621C3" w:rsidRPr="00C355B4" w:rsidRDefault="00764AE5" w:rsidP="009163FC">
            <w:pPr>
              <w:rPr>
                <w:rFonts w:asciiTheme="majorHAnsi" w:hAnsiTheme="majorHAnsi"/>
                <w:bCs/>
                <w:sz w:val="19"/>
                <w:szCs w:val="19"/>
              </w:rPr>
            </w:pPr>
            <w:r>
              <w:rPr>
                <w:rFonts w:asciiTheme="majorHAnsi" w:hAnsiTheme="majorHAnsi"/>
                <w:bCs/>
                <w:sz w:val="19"/>
                <w:szCs w:val="19"/>
              </w:rPr>
              <w:t>Yes</w:t>
            </w:r>
          </w:p>
        </w:tc>
      </w:tr>
      <w:tr w:rsidR="00F621C3" w:rsidRPr="000B6B7A" w14:paraId="5FE56D1B" w14:textId="77777777" w:rsidTr="00C355B4">
        <w:trPr>
          <w:cantSplit/>
        </w:trPr>
        <w:tc>
          <w:tcPr>
            <w:tcW w:w="2790" w:type="dxa"/>
            <w:tcBorders>
              <w:top w:val="single" w:sz="6" w:space="0" w:color="auto"/>
              <w:bottom w:val="single" w:sz="6" w:space="0" w:color="auto"/>
            </w:tcBorders>
            <w:shd w:val="clear" w:color="auto" w:fill="67AE3C"/>
            <w:vAlign w:val="center"/>
          </w:tcPr>
          <w:p w14:paraId="2190B967" w14:textId="0E15553A" w:rsidR="00F621C3" w:rsidRPr="00C355B4" w:rsidRDefault="00F621C3" w:rsidP="00C355B4">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loci</w:t>
            </w:r>
            <w:r w:rsidRPr="00C355B4">
              <w:rPr>
                <w:rFonts w:ascii="Cambria" w:hAnsi="Cambria"/>
                <w:bCs/>
                <w:color w:val="FFFFFF" w:themeColor="background1"/>
                <w:sz w:val="19"/>
                <w:szCs w:val="19"/>
              </w:rPr>
              <w:t>:</w:t>
            </w:r>
          </w:p>
        </w:tc>
        <w:tc>
          <w:tcPr>
            <w:tcW w:w="6570" w:type="dxa"/>
            <w:vAlign w:val="center"/>
          </w:tcPr>
          <w:p w14:paraId="48257424" w14:textId="6382E835" w:rsidR="00F621C3" w:rsidRPr="00C355B4" w:rsidRDefault="00764AE5" w:rsidP="009163FC">
            <w:pPr>
              <w:rPr>
                <w:rFonts w:asciiTheme="majorHAnsi" w:hAnsiTheme="majorHAnsi"/>
                <w:bCs/>
                <w:sz w:val="19"/>
                <w:szCs w:val="19"/>
              </w:rPr>
            </w:pPr>
            <w:r>
              <w:rPr>
                <w:rFonts w:asciiTheme="majorHAnsi" w:hAnsiTheme="majorHAnsi"/>
                <w:bCs/>
                <w:sz w:val="19"/>
                <w:szCs w:val="19"/>
              </w:rPr>
              <w:t>Yes</w:t>
            </w:r>
          </w:p>
        </w:tc>
      </w:tr>
      <w:tr w:rsidR="00F621C3" w:rsidRPr="000B6B7A" w14:paraId="372B5DD8" w14:textId="77777777" w:rsidTr="00C355B4">
        <w:trPr>
          <w:cantSplit/>
        </w:trPr>
        <w:tc>
          <w:tcPr>
            <w:tcW w:w="2790" w:type="dxa"/>
            <w:tcBorders>
              <w:top w:val="single" w:sz="6" w:space="0" w:color="auto"/>
              <w:bottom w:val="single" w:sz="6" w:space="0" w:color="auto"/>
            </w:tcBorders>
            <w:shd w:val="clear" w:color="auto" w:fill="67AE3C"/>
            <w:vAlign w:val="center"/>
          </w:tcPr>
          <w:p w14:paraId="7F979173" w14:textId="63734385"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temporis</w:t>
            </w:r>
            <w:proofErr w:type="spellEnd"/>
            <w:r w:rsidRPr="00C355B4">
              <w:rPr>
                <w:rFonts w:ascii="Cambria" w:hAnsi="Cambria"/>
                <w:bCs/>
                <w:color w:val="FFFFFF" w:themeColor="background1"/>
                <w:sz w:val="19"/>
                <w:szCs w:val="19"/>
              </w:rPr>
              <w:t>:</w:t>
            </w:r>
          </w:p>
        </w:tc>
        <w:tc>
          <w:tcPr>
            <w:tcW w:w="6570" w:type="dxa"/>
            <w:vAlign w:val="center"/>
          </w:tcPr>
          <w:p w14:paraId="74B3F783" w14:textId="301335DC" w:rsidR="00F621C3" w:rsidRPr="00C355B4" w:rsidRDefault="00764AE5" w:rsidP="009163FC">
            <w:pPr>
              <w:rPr>
                <w:rFonts w:asciiTheme="majorHAnsi" w:hAnsiTheme="majorHAnsi"/>
                <w:bCs/>
                <w:sz w:val="19"/>
                <w:szCs w:val="19"/>
              </w:rPr>
            </w:pPr>
            <w:r>
              <w:rPr>
                <w:rFonts w:asciiTheme="majorHAnsi" w:hAnsiTheme="majorHAnsi"/>
                <w:bCs/>
                <w:sz w:val="19"/>
                <w:szCs w:val="19"/>
              </w:rPr>
              <w:t>Yes</w:t>
            </w:r>
          </w:p>
        </w:tc>
      </w:tr>
      <w:tr w:rsidR="00F621C3" w:rsidRPr="000B6B7A" w14:paraId="6648704B" w14:textId="77777777" w:rsidTr="00C355B4">
        <w:trPr>
          <w:cantSplit/>
        </w:trPr>
        <w:tc>
          <w:tcPr>
            <w:tcW w:w="2790" w:type="dxa"/>
            <w:tcBorders>
              <w:top w:val="single" w:sz="6" w:space="0" w:color="auto"/>
              <w:bottom w:val="single" w:sz="6" w:space="0" w:color="auto"/>
            </w:tcBorders>
            <w:shd w:val="clear" w:color="auto" w:fill="67AE3C"/>
            <w:vAlign w:val="center"/>
          </w:tcPr>
          <w:p w14:paraId="15BBE7AF" w14:textId="57F24106"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materiae</w:t>
            </w:r>
            <w:proofErr w:type="spellEnd"/>
            <w:r w:rsidRPr="00C355B4">
              <w:rPr>
                <w:rFonts w:ascii="Cambria" w:hAnsi="Cambria"/>
                <w:bCs/>
                <w:color w:val="FFFFFF" w:themeColor="background1"/>
                <w:sz w:val="19"/>
                <w:szCs w:val="19"/>
              </w:rPr>
              <w:t>:</w:t>
            </w:r>
          </w:p>
        </w:tc>
        <w:tc>
          <w:tcPr>
            <w:tcW w:w="6570" w:type="dxa"/>
            <w:vAlign w:val="center"/>
          </w:tcPr>
          <w:p w14:paraId="64B3F199" w14:textId="0490B93B" w:rsidR="00F621C3" w:rsidRPr="00C355B4" w:rsidRDefault="00764AE5" w:rsidP="009163FC">
            <w:pPr>
              <w:jc w:val="both"/>
              <w:rPr>
                <w:rFonts w:asciiTheme="majorHAnsi" w:hAnsiTheme="majorHAnsi"/>
                <w:bCs/>
                <w:sz w:val="19"/>
                <w:szCs w:val="19"/>
              </w:rPr>
            </w:pPr>
            <w:r w:rsidRPr="00666340">
              <w:rPr>
                <w:rFonts w:ascii="Cambria" w:hAnsi="Cambria"/>
                <w:bCs/>
                <w:sz w:val="19"/>
                <w:szCs w:val="19"/>
              </w:rPr>
              <w:t>Yes, American Convention (deposit of instrument on July 28, 1979) and CAFDP (deposit of instrument February 13, 2002)</w:t>
            </w:r>
          </w:p>
        </w:tc>
      </w:tr>
    </w:tbl>
    <w:p w14:paraId="0408D4CD" w14:textId="54A61356"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14:paraId="4091A423" w14:textId="77777777" w:rsidTr="00C355B4">
        <w:trPr>
          <w:cantSplit/>
        </w:trPr>
        <w:tc>
          <w:tcPr>
            <w:tcW w:w="2790" w:type="dxa"/>
            <w:tcBorders>
              <w:top w:val="single" w:sz="4" w:space="0" w:color="auto"/>
              <w:bottom w:val="single" w:sz="6" w:space="0" w:color="auto"/>
            </w:tcBorders>
            <w:shd w:val="clear" w:color="auto" w:fill="67AE3C"/>
            <w:vAlign w:val="center"/>
          </w:tcPr>
          <w:p w14:paraId="61D870FF" w14:textId="493C94FE"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sidR="008546E5">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14:paraId="4773CD23" w14:textId="3F1EC860" w:rsidR="00F621C3" w:rsidRPr="00C355B4" w:rsidRDefault="00764AE5" w:rsidP="009163FC">
            <w:pPr>
              <w:jc w:val="both"/>
              <w:rPr>
                <w:rFonts w:ascii="Cambria" w:hAnsi="Cambria"/>
                <w:bCs/>
                <w:sz w:val="19"/>
                <w:szCs w:val="19"/>
              </w:rPr>
            </w:pPr>
            <w:r>
              <w:rPr>
                <w:rFonts w:ascii="Cambria" w:hAnsi="Cambria"/>
                <w:bCs/>
                <w:sz w:val="19"/>
                <w:szCs w:val="19"/>
              </w:rPr>
              <w:t>No</w:t>
            </w:r>
          </w:p>
        </w:tc>
      </w:tr>
      <w:tr w:rsidR="00F621C3" w:rsidRPr="000B6B7A" w14:paraId="24B3B5A9" w14:textId="77777777" w:rsidTr="00C355B4">
        <w:trPr>
          <w:cantSplit/>
        </w:trPr>
        <w:tc>
          <w:tcPr>
            <w:tcW w:w="2790" w:type="dxa"/>
            <w:tcBorders>
              <w:top w:val="single" w:sz="6" w:space="0" w:color="auto"/>
              <w:bottom w:val="single" w:sz="6" w:space="0" w:color="auto"/>
            </w:tcBorders>
            <w:shd w:val="clear" w:color="auto" w:fill="67AE3C"/>
            <w:vAlign w:val="center"/>
          </w:tcPr>
          <w:p w14:paraId="2E52A630" w14:textId="77777777" w:rsidR="00F621C3" w:rsidRPr="00C355B4" w:rsidRDefault="00F621C3" w:rsidP="009163FC">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14:paraId="33BE4040" w14:textId="256F6A11" w:rsidR="00F621C3" w:rsidRPr="00C355B4" w:rsidRDefault="00764AE5" w:rsidP="009163FC">
            <w:pPr>
              <w:jc w:val="both"/>
              <w:rPr>
                <w:rFonts w:ascii="Cambria" w:hAnsi="Cambria"/>
                <w:bCs/>
                <w:sz w:val="19"/>
                <w:szCs w:val="19"/>
              </w:rPr>
            </w:pPr>
            <w:r w:rsidRPr="00666340">
              <w:rPr>
                <w:rFonts w:ascii="Cambria" w:hAnsi="Cambria"/>
                <w:bCs/>
                <w:sz w:val="19"/>
                <w:szCs w:val="19"/>
              </w:rPr>
              <w:t xml:space="preserve">Articles 3, 4, 5, 7, 8 y 25 of the American Convention in relation to articles 1.1 y 2, and </w:t>
            </w:r>
            <w:r>
              <w:rPr>
                <w:rFonts w:ascii="Cambria" w:hAnsi="Cambria"/>
                <w:bCs/>
                <w:sz w:val="19"/>
                <w:szCs w:val="19"/>
              </w:rPr>
              <w:t xml:space="preserve">article </w:t>
            </w:r>
            <w:r w:rsidRPr="00666340">
              <w:rPr>
                <w:rFonts w:ascii="Cambria" w:hAnsi="Cambria"/>
                <w:bCs/>
                <w:sz w:val="19"/>
                <w:szCs w:val="19"/>
              </w:rPr>
              <w:t xml:space="preserve">I </w:t>
            </w:r>
            <w:r>
              <w:rPr>
                <w:rFonts w:ascii="Cambria" w:hAnsi="Cambria"/>
                <w:bCs/>
                <w:sz w:val="19"/>
                <w:szCs w:val="19"/>
              </w:rPr>
              <w:t>of the CAFDP</w:t>
            </w:r>
          </w:p>
        </w:tc>
      </w:tr>
      <w:tr w:rsidR="00F621C3" w:rsidRPr="000B6B7A" w14:paraId="4DFB74FC" w14:textId="77777777" w:rsidTr="00C355B4">
        <w:trPr>
          <w:cantSplit/>
        </w:trPr>
        <w:tc>
          <w:tcPr>
            <w:tcW w:w="2790" w:type="dxa"/>
            <w:tcBorders>
              <w:top w:val="single" w:sz="6" w:space="0" w:color="auto"/>
              <w:bottom w:val="single" w:sz="6" w:space="0" w:color="auto"/>
            </w:tcBorders>
            <w:shd w:val="clear" w:color="auto" w:fill="67AE3C"/>
            <w:vAlign w:val="center"/>
          </w:tcPr>
          <w:p w14:paraId="1D4CE924" w14:textId="5FF3EE68" w:rsidR="00F621C3" w:rsidRPr="00C355B4" w:rsidRDefault="00764AE5" w:rsidP="008546E5">
            <w:pPr>
              <w:jc w:val="center"/>
              <w:rPr>
                <w:rFonts w:ascii="Cambria" w:hAnsi="Cambria"/>
                <w:bCs/>
                <w:color w:val="FFFFFF" w:themeColor="background1"/>
                <w:sz w:val="19"/>
                <w:szCs w:val="19"/>
              </w:rPr>
            </w:pPr>
            <w:r w:rsidRPr="00666340">
              <w:rPr>
                <w:rFonts w:ascii="Cambria" w:hAnsi="Cambria"/>
                <w:bCs/>
                <w:color w:val="FFFFFF"/>
                <w:sz w:val="19"/>
                <w:szCs w:val="19"/>
              </w:rPr>
              <w:t>Exhaustion of domestic remedies or applicabil</w:t>
            </w:r>
            <w:r>
              <w:rPr>
                <w:rFonts w:ascii="Cambria" w:hAnsi="Cambria"/>
                <w:bCs/>
                <w:color w:val="FFFFFF"/>
                <w:sz w:val="19"/>
                <w:szCs w:val="19"/>
              </w:rPr>
              <w:t>ity of an exception to the rule</w:t>
            </w:r>
          </w:p>
        </w:tc>
        <w:tc>
          <w:tcPr>
            <w:tcW w:w="6570" w:type="dxa"/>
            <w:vAlign w:val="center"/>
          </w:tcPr>
          <w:p w14:paraId="432DC56B" w14:textId="4E706956" w:rsidR="00F621C3" w:rsidRPr="00C355B4" w:rsidRDefault="00764AE5" w:rsidP="009163FC">
            <w:pPr>
              <w:rPr>
                <w:rFonts w:ascii="Cambria" w:hAnsi="Cambria"/>
                <w:bCs/>
                <w:sz w:val="19"/>
                <w:szCs w:val="19"/>
              </w:rPr>
            </w:pPr>
            <w:r>
              <w:rPr>
                <w:rFonts w:ascii="Cambria" w:hAnsi="Cambria"/>
                <w:bCs/>
                <w:sz w:val="19"/>
                <w:szCs w:val="19"/>
              </w:rPr>
              <w:t>Yes</w:t>
            </w:r>
            <w:r w:rsidRPr="00666340">
              <w:rPr>
                <w:rFonts w:ascii="Cambria" w:hAnsi="Cambria"/>
                <w:bCs/>
                <w:sz w:val="19"/>
                <w:szCs w:val="19"/>
              </w:rPr>
              <w:t xml:space="preserve">, </w:t>
            </w:r>
            <w:r>
              <w:rPr>
                <w:rFonts w:ascii="Cambria" w:hAnsi="Cambria"/>
                <w:bCs/>
                <w:sz w:val="19"/>
                <w:szCs w:val="19"/>
              </w:rPr>
              <w:t xml:space="preserve">July 5, 2010 </w:t>
            </w:r>
          </w:p>
        </w:tc>
      </w:tr>
      <w:tr w:rsidR="00F621C3" w:rsidRPr="000B6B7A" w14:paraId="6D900199" w14:textId="77777777" w:rsidTr="00C355B4">
        <w:trPr>
          <w:cantSplit/>
        </w:trPr>
        <w:tc>
          <w:tcPr>
            <w:tcW w:w="2790" w:type="dxa"/>
            <w:tcBorders>
              <w:top w:val="single" w:sz="6" w:space="0" w:color="auto"/>
              <w:bottom w:val="single" w:sz="6" w:space="0" w:color="auto"/>
            </w:tcBorders>
            <w:shd w:val="clear" w:color="auto" w:fill="67AE3C"/>
            <w:vAlign w:val="center"/>
          </w:tcPr>
          <w:p w14:paraId="42C3BC97" w14:textId="2F62D441" w:rsidR="00F621C3" w:rsidRPr="00C355B4" w:rsidRDefault="008546E5" w:rsidP="009163FC">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14:paraId="6A26CCE9" w14:textId="1022095E" w:rsidR="00F621C3" w:rsidRPr="00C355B4" w:rsidRDefault="00764AE5" w:rsidP="009163FC">
            <w:pPr>
              <w:rPr>
                <w:rFonts w:asciiTheme="majorHAnsi" w:hAnsiTheme="majorHAnsi"/>
                <w:bCs/>
                <w:sz w:val="19"/>
                <w:szCs w:val="19"/>
              </w:rPr>
            </w:pPr>
            <w:r>
              <w:rPr>
                <w:rFonts w:ascii="Cambria" w:hAnsi="Cambria"/>
                <w:bCs/>
                <w:sz w:val="20"/>
                <w:szCs w:val="20"/>
              </w:rPr>
              <w:t>Yes</w:t>
            </w:r>
            <w:r w:rsidRPr="00666340">
              <w:rPr>
                <w:rFonts w:ascii="Cambria" w:hAnsi="Cambria"/>
                <w:bCs/>
                <w:sz w:val="20"/>
                <w:szCs w:val="20"/>
              </w:rPr>
              <w:t xml:space="preserve">, </w:t>
            </w:r>
            <w:r>
              <w:rPr>
                <w:rFonts w:ascii="Cambria" w:hAnsi="Cambria"/>
                <w:bCs/>
                <w:sz w:val="20"/>
                <w:szCs w:val="20"/>
              </w:rPr>
              <w:t>January 6, 2011</w:t>
            </w:r>
          </w:p>
        </w:tc>
      </w:tr>
    </w:tbl>
    <w:p w14:paraId="629E2DE8" w14:textId="7D56CF7F" w:rsidR="00F621C3" w:rsidRPr="000B6B7A"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17B0362F" w14:textId="7340DFCD" w:rsidR="00764AE5" w:rsidRPr="00666340" w:rsidRDefault="00764AE5" w:rsidP="00764AE5">
      <w:pPr>
        <w:numPr>
          <w:ilvl w:val="0"/>
          <w:numId w:val="103"/>
        </w:numPr>
        <w:suppressAutoHyphens/>
        <w:spacing w:after="120"/>
        <w:jc w:val="both"/>
      </w:pPr>
      <w:r w:rsidRPr="00666340">
        <w:rPr>
          <w:rFonts w:ascii="Cambria" w:eastAsia="Cambria" w:hAnsi="Cambria" w:cs="Cambria"/>
          <w:sz w:val="20"/>
          <w:szCs w:val="20"/>
          <w:u w:color="000000"/>
          <w:lang w:eastAsia="es-ES"/>
        </w:rPr>
        <w:t xml:space="preserve">The current petition references the alleged forced disappearance of </w:t>
      </w:r>
      <w:r>
        <w:rPr>
          <w:rFonts w:ascii="Cambria" w:eastAsia="Cambria" w:hAnsi="Cambria" w:cs="Cambria"/>
          <w:sz w:val="20"/>
          <w:szCs w:val="20"/>
          <w:u w:color="000000"/>
          <w:lang w:eastAsia="es-ES"/>
        </w:rPr>
        <w:t xml:space="preserve">Mr. </w:t>
      </w:r>
      <w:r w:rsidRPr="00666340">
        <w:rPr>
          <w:rFonts w:ascii="Cambria" w:eastAsia="Cambria" w:hAnsi="Cambria" w:cs="Cambria"/>
          <w:sz w:val="20"/>
          <w:szCs w:val="20"/>
          <w:u w:color="000000"/>
          <w:lang w:eastAsia="es-ES"/>
        </w:rPr>
        <w:t xml:space="preserve">Donato Mendoza de la </w:t>
      </w:r>
      <w:r>
        <w:rPr>
          <w:rFonts w:ascii="Cambria" w:eastAsia="Cambria" w:hAnsi="Cambria" w:cs="Cambria"/>
          <w:sz w:val="20"/>
          <w:szCs w:val="20"/>
          <w:u w:color="000000"/>
          <w:lang w:eastAsia="es-ES"/>
        </w:rPr>
        <w:t>C</w:t>
      </w:r>
      <w:r w:rsidRPr="00666340">
        <w:rPr>
          <w:rFonts w:ascii="Cambria" w:eastAsia="Cambria" w:hAnsi="Cambria" w:cs="Cambria"/>
          <w:sz w:val="20"/>
          <w:szCs w:val="20"/>
          <w:u w:color="000000"/>
          <w:lang w:eastAsia="es-ES"/>
        </w:rPr>
        <w:t xml:space="preserve">ruz, 43 years-old, </w:t>
      </w:r>
      <w:r>
        <w:rPr>
          <w:rFonts w:ascii="Cambria" w:eastAsia="Cambria" w:hAnsi="Cambria" w:cs="Cambria"/>
          <w:sz w:val="20"/>
          <w:szCs w:val="20"/>
          <w:u w:color="000000"/>
          <w:lang w:eastAsia="es-ES"/>
        </w:rPr>
        <w:t xml:space="preserve">Mr. </w:t>
      </w:r>
      <w:r w:rsidRPr="00666340">
        <w:rPr>
          <w:rFonts w:ascii="Cambria" w:eastAsia="Cambria" w:hAnsi="Cambria" w:cs="Cambria"/>
          <w:sz w:val="20"/>
          <w:szCs w:val="20"/>
          <w:u w:color="000000"/>
          <w:lang w:eastAsia="es-ES"/>
        </w:rPr>
        <w:t xml:space="preserve">Eliseo </w:t>
      </w:r>
      <w:proofErr w:type="spellStart"/>
      <w:r w:rsidRPr="00666340">
        <w:rPr>
          <w:rFonts w:ascii="Cambria" w:eastAsia="Cambria" w:hAnsi="Cambria" w:cs="Cambria"/>
          <w:sz w:val="20"/>
          <w:szCs w:val="20"/>
          <w:u w:color="000000"/>
          <w:lang w:eastAsia="es-ES"/>
        </w:rPr>
        <w:t>Tineo</w:t>
      </w:r>
      <w:proofErr w:type="spellEnd"/>
      <w:r w:rsidRPr="00666340">
        <w:rPr>
          <w:rFonts w:ascii="Cambria" w:eastAsia="Cambria" w:hAnsi="Cambria" w:cs="Cambria"/>
          <w:sz w:val="20"/>
          <w:szCs w:val="20"/>
          <w:u w:color="000000"/>
          <w:lang w:eastAsia="es-ES"/>
        </w:rPr>
        <w:t xml:space="preserve"> </w:t>
      </w:r>
      <w:proofErr w:type="spellStart"/>
      <w:r w:rsidRPr="00666340">
        <w:rPr>
          <w:rFonts w:ascii="Cambria" w:eastAsia="Cambria" w:hAnsi="Cambria" w:cs="Cambria"/>
          <w:sz w:val="20"/>
          <w:szCs w:val="20"/>
          <w:u w:color="000000"/>
          <w:lang w:eastAsia="es-ES"/>
        </w:rPr>
        <w:t>Yupanqui</w:t>
      </w:r>
      <w:proofErr w:type="spellEnd"/>
      <w:r w:rsidRPr="00666340">
        <w:rPr>
          <w:rFonts w:ascii="Cambria" w:eastAsia="Cambria" w:hAnsi="Cambria" w:cs="Cambria"/>
          <w:sz w:val="20"/>
          <w:szCs w:val="20"/>
          <w:u w:color="000000"/>
          <w:lang w:eastAsia="es-ES"/>
        </w:rPr>
        <w:t xml:space="preserve">, 23 years-old, </w:t>
      </w:r>
      <w:r>
        <w:rPr>
          <w:rFonts w:ascii="Cambria" w:eastAsia="Cambria" w:hAnsi="Cambria" w:cs="Cambria"/>
          <w:sz w:val="20"/>
          <w:szCs w:val="20"/>
          <w:u w:color="000000"/>
          <w:lang w:eastAsia="es-ES"/>
        </w:rPr>
        <w:t xml:space="preserve">Mr. </w:t>
      </w:r>
      <w:r w:rsidRPr="00666340">
        <w:rPr>
          <w:rFonts w:ascii="Cambria" w:eastAsia="Cambria" w:hAnsi="Cambria" w:cs="Cambria"/>
          <w:sz w:val="20"/>
          <w:szCs w:val="20"/>
          <w:u w:color="000000"/>
          <w:lang w:eastAsia="es-ES"/>
        </w:rPr>
        <w:t xml:space="preserve">Marcelo </w:t>
      </w:r>
      <w:proofErr w:type="spellStart"/>
      <w:r w:rsidRPr="00666340">
        <w:rPr>
          <w:rFonts w:ascii="Cambria" w:eastAsia="Cambria" w:hAnsi="Cambria" w:cs="Cambria"/>
          <w:sz w:val="20"/>
          <w:szCs w:val="20"/>
          <w:u w:color="000000"/>
          <w:lang w:eastAsia="es-ES"/>
        </w:rPr>
        <w:t>Enciso</w:t>
      </w:r>
      <w:proofErr w:type="spellEnd"/>
      <w:r w:rsidRPr="00666340">
        <w:rPr>
          <w:rFonts w:ascii="Cambria" w:eastAsia="Cambria" w:hAnsi="Cambria" w:cs="Cambria"/>
          <w:sz w:val="20"/>
          <w:szCs w:val="20"/>
          <w:u w:color="000000"/>
          <w:lang w:eastAsia="es-ES"/>
        </w:rPr>
        <w:t xml:space="preserve"> García, 34 years-old and </w:t>
      </w:r>
      <w:r>
        <w:rPr>
          <w:rFonts w:ascii="Cambria" w:eastAsia="Cambria" w:hAnsi="Cambria" w:cs="Cambria"/>
          <w:sz w:val="20"/>
          <w:szCs w:val="20"/>
          <w:u w:color="000000"/>
          <w:lang w:eastAsia="es-ES"/>
        </w:rPr>
        <w:t xml:space="preserve">Mr. </w:t>
      </w:r>
      <w:proofErr w:type="spellStart"/>
      <w:r w:rsidRPr="00666340">
        <w:rPr>
          <w:rFonts w:ascii="Cambria" w:eastAsia="Cambria" w:hAnsi="Cambria" w:cs="Cambria"/>
          <w:sz w:val="20"/>
          <w:szCs w:val="20"/>
          <w:u w:color="000000"/>
          <w:lang w:eastAsia="es-ES"/>
        </w:rPr>
        <w:t>Lázaro</w:t>
      </w:r>
      <w:proofErr w:type="spellEnd"/>
      <w:r w:rsidRPr="00666340">
        <w:rPr>
          <w:rFonts w:ascii="Cambria" w:eastAsia="Cambria" w:hAnsi="Cambria" w:cs="Cambria"/>
          <w:sz w:val="20"/>
          <w:szCs w:val="20"/>
          <w:u w:color="000000"/>
          <w:lang w:eastAsia="es-ES"/>
        </w:rPr>
        <w:t xml:space="preserve"> </w:t>
      </w:r>
      <w:proofErr w:type="spellStart"/>
      <w:r w:rsidRPr="00666340">
        <w:rPr>
          <w:rFonts w:ascii="Cambria" w:eastAsia="Cambria" w:hAnsi="Cambria" w:cs="Cambria"/>
          <w:sz w:val="20"/>
          <w:szCs w:val="20"/>
          <w:u w:color="000000"/>
          <w:lang w:eastAsia="es-ES"/>
        </w:rPr>
        <w:t>Paquiayuri</w:t>
      </w:r>
      <w:proofErr w:type="spellEnd"/>
      <w:r w:rsidRPr="00666340">
        <w:rPr>
          <w:rFonts w:ascii="Cambria" w:eastAsia="Cambria" w:hAnsi="Cambria" w:cs="Cambria"/>
          <w:sz w:val="20"/>
          <w:szCs w:val="20"/>
          <w:u w:color="000000"/>
          <w:lang w:eastAsia="es-ES"/>
        </w:rPr>
        <w:t xml:space="preserve"> </w:t>
      </w:r>
      <w:proofErr w:type="spellStart"/>
      <w:r w:rsidRPr="00666340">
        <w:rPr>
          <w:rFonts w:ascii="Cambria" w:eastAsia="Cambria" w:hAnsi="Cambria" w:cs="Cambria"/>
          <w:sz w:val="20"/>
          <w:szCs w:val="20"/>
          <w:u w:color="000000"/>
          <w:lang w:eastAsia="es-ES"/>
        </w:rPr>
        <w:t>Canchari</w:t>
      </w:r>
      <w:proofErr w:type="spellEnd"/>
      <w:r w:rsidRPr="00666340">
        <w:rPr>
          <w:rFonts w:ascii="Cambria" w:eastAsia="Cambria" w:hAnsi="Cambria" w:cs="Cambria"/>
          <w:sz w:val="20"/>
          <w:szCs w:val="20"/>
          <w:u w:color="000000"/>
          <w:lang w:eastAsia="es-ES"/>
        </w:rPr>
        <w:t xml:space="preserve">, 24 years-old (hereinafter “the alleged victims”). </w:t>
      </w:r>
      <w:r w:rsidR="006B1A81">
        <w:rPr>
          <w:rFonts w:ascii="Cambria" w:eastAsia="Cambria" w:hAnsi="Cambria" w:cs="Cambria"/>
          <w:sz w:val="20"/>
          <w:szCs w:val="20"/>
          <w:u w:color="000000"/>
          <w:lang w:eastAsia="es-ES"/>
        </w:rPr>
        <w:t>The p</w:t>
      </w:r>
      <w:r w:rsidRPr="00666340">
        <w:rPr>
          <w:rFonts w:ascii="Cambria" w:eastAsia="Cambria" w:hAnsi="Cambria" w:cs="Cambria"/>
          <w:sz w:val="20"/>
          <w:szCs w:val="20"/>
          <w:u w:color="000000"/>
          <w:lang w:eastAsia="es-ES"/>
        </w:rPr>
        <w:t xml:space="preserve">etitioners affirm that on July 19, 1990 approximately at 4am while Mr. </w:t>
      </w:r>
      <w:proofErr w:type="spellStart"/>
      <w:r w:rsidRPr="00666340">
        <w:rPr>
          <w:rFonts w:ascii="Cambria" w:eastAsia="Cambria" w:hAnsi="Cambria" w:cs="Cambria"/>
          <w:color w:val="000000"/>
          <w:sz w:val="20"/>
          <w:szCs w:val="20"/>
          <w:u w:color="000000"/>
          <w:lang w:eastAsia="es-ES"/>
        </w:rPr>
        <w:t>Tineo</w:t>
      </w:r>
      <w:proofErr w:type="spellEnd"/>
      <w:r w:rsidRPr="00666340">
        <w:rPr>
          <w:rFonts w:ascii="Cambria" w:eastAsia="Cambria" w:hAnsi="Cambria" w:cs="Cambria"/>
          <w:color w:val="000000"/>
          <w:sz w:val="20"/>
          <w:szCs w:val="20"/>
          <w:u w:color="000000"/>
          <w:lang w:eastAsia="es-ES"/>
        </w:rPr>
        <w:t xml:space="preserve"> </w:t>
      </w:r>
      <w:proofErr w:type="spellStart"/>
      <w:r w:rsidRPr="00666340">
        <w:rPr>
          <w:rFonts w:ascii="Cambria" w:eastAsia="Cambria" w:hAnsi="Cambria" w:cs="Cambria"/>
          <w:color w:val="000000"/>
          <w:sz w:val="20"/>
          <w:szCs w:val="20"/>
          <w:u w:color="000000"/>
          <w:lang w:eastAsia="es-ES"/>
        </w:rPr>
        <w:t>Yupanqui</w:t>
      </w:r>
      <w:proofErr w:type="spellEnd"/>
      <w:r w:rsidRPr="00666340">
        <w:rPr>
          <w:rFonts w:ascii="Cambria" w:eastAsia="Cambria" w:hAnsi="Cambria" w:cs="Cambria"/>
          <w:color w:val="000000"/>
          <w:sz w:val="20"/>
          <w:szCs w:val="20"/>
          <w:u w:color="000000"/>
          <w:lang w:eastAsia="es-ES"/>
        </w:rPr>
        <w:t xml:space="preserve">, </w:t>
      </w:r>
      <w:proofErr w:type="spellStart"/>
      <w:r w:rsidRPr="00666340">
        <w:rPr>
          <w:rFonts w:ascii="Cambria" w:eastAsia="Cambria" w:hAnsi="Cambria" w:cs="Cambria"/>
          <w:color w:val="000000"/>
          <w:sz w:val="20"/>
          <w:szCs w:val="20"/>
          <w:u w:color="000000"/>
          <w:lang w:eastAsia="es-ES"/>
        </w:rPr>
        <w:t>Enciso</w:t>
      </w:r>
      <w:proofErr w:type="spellEnd"/>
      <w:r w:rsidRPr="00666340">
        <w:rPr>
          <w:rFonts w:ascii="Cambria" w:eastAsia="Cambria" w:hAnsi="Cambria" w:cs="Cambria"/>
          <w:color w:val="000000"/>
          <w:sz w:val="20"/>
          <w:szCs w:val="20"/>
          <w:u w:color="000000"/>
          <w:lang w:eastAsia="es-ES"/>
        </w:rPr>
        <w:t xml:space="preserve"> García and </w:t>
      </w:r>
      <w:r>
        <w:rPr>
          <w:rFonts w:ascii="Cambria" w:eastAsia="Cambria" w:hAnsi="Cambria" w:cs="Cambria"/>
          <w:color w:val="000000"/>
          <w:sz w:val="20"/>
          <w:szCs w:val="20"/>
          <w:u w:color="000000"/>
          <w:lang w:eastAsia="es-ES"/>
        </w:rPr>
        <w:t xml:space="preserve">Mr. </w:t>
      </w:r>
      <w:proofErr w:type="spellStart"/>
      <w:r w:rsidRPr="00666340">
        <w:rPr>
          <w:rFonts w:ascii="Cambria" w:eastAsia="Cambria" w:hAnsi="Cambria" w:cs="Cambria"/>
          <w:color w:val="000000"/>
          <w:sz w:val="20"/>
          <w:szCs w:val="20"/>
          <w:u w:color="000000"/>
          <w:lang w:eastAsia="es-ES"/>
        </w:rPr>
        <w:t>Paquiayuri</w:t>
      </w:r>
      <w:proofErr w:type="spellEnd"/>
      <w:r w:rsidRPr="00666340">
        <w:rPr>
          <w:rFonts w:ascii="Cambria" w:eastAsia="Cambria" w:hAnsi="Cambria" w:cs="Cambria"/>
          <w:color w:val="000000"/>
          <w:sz w:val="20"/>
          <w:szCs w:val="20"/>
          <w:u w:color="000000"/>
          <w:lang w:eastAsia="es-ES"/>
        </w:rPr>
        <w:t xml:space="preserve"> </w:t>
      </w:r>
      <w:proofErr w:type="spellStart"/>
      <w:r w:rsidRPr="00666340">
        <w:rPr>
          <w:rFonts w:ascii="Cambria" w:eastAsia="Cambria" w:hAnsi="Cambria" w:cs="Cambria"/>
          <w:color w:val="000000"/>
          <w:sz w:val="20"/>
          <w:szCs w:val="20"/>
          <w:u w:color="000000"/>
          <w:lang w:eastAsia="es-ES"/>
        </w:rPr>
        <w:t>Canchari</w:t>
      </w:r>
      <w:proofErr w:type="spellEnd"/>
      <w:r w:rsidRPr="00666340">
        <w:rPr>
          <w:rFonts w:ascii="Cambria" w:eastAsia="Cambria" w:hAnsi="Cambria" w:cs="Cambria"/>
          <w:color w:val="000000"/>
          <w:sz w:val="20"/>
          <w:szCs w:val="20"/>
          <w:u w:color="000000"/>
          <w:lang w:eastAsia="es-ES"/>
        </w:rPr>
        <w:t xml:space="preserve"> were resting in </w:t>
      </w:r>
      <w:proofErr w:type="spellStart"/>
      <w:r w:rsidRPr="00666340">
        <w:rPr>
          <w:rFonts w:ascii="Cambria" w:eastAsia="Cambria" w:hAnsi="Cambria" w:cs="Cambria"/>
          <w:color w:val="000000"/>
          <w:sz w:val="20"/>
          <w:szCs w:val="20"/>
          <w:u w:color="000000"/>
          <w:lang w:eastAsia="es-ES"/>
        </w:rPr>
        <w:t>Acocro</w:t>
      </w:r>
      <w:proofErr w:type="spellEnd"/>
      <w:r w:rsidRPr="00666340">
        <w:rPr>
          <w:rFonts w:ascii="Cambria" w:eastAsia="Cambria" w:hAnsi="Cambria" w:cs="Cambria"/>
          <w:color w:val="000000"/>
          <w:sz w:val="20"/>
          <w:szCs w:val="20"/>
          <w:u w:color="000000"/>
          <w:lang w:eastAsia="es-ES"/>
        </w:rPr>
        <w:t>, department of Ayacucho, 60 members of the Committee of Peasant Self-Defen</w:t>
      </w:r>
      <w:r w:rsidR="00577E6C">
        <w:rPr>
          <w:rFonts w:ascii="Cambria" w:eastAsia="Cambria" w:hAnsi="Cambria" w:cs="Cambria"/>
          <w:color w:val="000000"/>
          <w:sz w:val="20"/>
          <w:szCs w:val="20"/>
          <w:u w:color="000000"/>
          <w:lang w:eastAsia="es-ES"/>
        </w:rPr>
        <w:t>s</w:t>
      </w:r>
      <w:r w:rsidRPr="00666340">
        <w:rPr>
          <w:rFonts w:ascii="Cambria" w:eastAsia="Cambria" w:hAnsi="Cambria" w:cs="Cambria"/>
          <w:color w:val="000000"/>
          <w:sz w:val="20"/>
          <w:szCs w:val="20"/>
          <w:u w:color="000000"/>
          <w:lang w:eastAsia="es-ES"/>
        </w:rPr>
        <w:t xml:space="preserve">e coming from </w:t>
      </w:r>
      <w:proofErr w:type="spellStart"/>
      <w:r w:rsidRPr="00666340">
        <w:rPr>
          <w:rFonts w:ascii="Cambria" w:eastAsia="Cambria" w:hAnsi="Cambria" w:cs="Cambria"/>
          <w:color w:val="000000"/>
          <w:sz w:val="20"/>
          <w:szCs w:val="20"/>
          <w:u w:color="000000"/>
          <w:lang w:eastAsia="es-ES"/>
        </w:rPr>
        <w:t>Urpay</w:t>
      </w:r>
      <w:proofErr w:type="spellEnd"/>
      <w:r w:rsidRPr="00666340">
        <w:rPr>
          <w:rFonts w:ascii="Cambria" w:eastAsia="Cambria" w:hAnsi="Cambria" w:cs="Cambria"/>
          <w:color w:val="000000"/>
          <w:sz w:val="20"/>
          <w:szCs w:val="20"/>
          <w:u w:color="000000"/>
          <w:lang w:eastAsia="es-ES"/>
        </w:rPr>
        <w:t xml:space="preserve">, </w:t>
      </w:r>
      <w:proofErr w:type="spellStart"/>
      <w:r w:rsidRPr="00666340">
        <w:rPr>
          <w:rFonts w:ascii="Cambria" w:eastAsia="Cambria" w:hAnsi="Cambria" w:cs="Cambria"/>
          <w:color w:val="000000"/>
          <w:sz w:val="20"/>
          <w:szCs w:val="20"/>
          <w:u w:color="000000"/>
          <w:lang w:eastAsia="es-ES"/>
        </w:rPr>
        <w:t>Seccelambras</w:t>
      </w:r>
      <w:proofErr w:type="spellEnd"/>
      <w:r w:rsidRPr="00666340">
        <w:rPr>
          <w:rFonts w:ascii="Cambria" w:eastAsia="Cambria" w:hAnsi="Cambria" w:cs="Cambria"/>
          <w:color w:val="000000"/>
          <w:sz w:val="20"/>
          <w:szCs w:val="20"/>
          <w:u w:color="000000"/>
          <w:lang w:eastAsia="es-ES"/>
        </w:rPr>
        <w:t xml:space="preserve">, </w:t>
      </w:r>
      <w:proofErr w:type="spellStart"/>
      <w:r w:rsidRPr="00666340">
        <w:rPr>
          <w:rFonts w:ascii="Cambria" w:eastAsia="Cambria" w:hAnsi="Cambria" w:cs="Cambria"/>
          <w:color w:val="000000"/>
          <w:sz w:val="20"/>
          <w:szCs w:val="20"/>
          <w:u w:color="000000"/>
          <w:lang w:eastAsia="es-ES"/>
        </w:rPr>
        <w:t>Pantipampa</w:t>
      </w:r>
      <w:proofErr w:type="spellEnd"/>
      <w:r w:rsidRPr="00666340">
        <w:rPr>
          <w:rFonts w:ascii="Cambria" w:eastAsia="Cambria" w:hAnsi="Cambria" w:cs="Cambria"/>
          <w:color w:val="000000"/>
          <w:sz w:val="20"/>
          <w:szCs w:val="20"/>
          <w:u w:color="000000"/>
          <w:lang w:eastAsia="es-ES"/>
        </w:rPr>
        <w:t xml:space="preserve"> and </w:t>
      </w:r>
      <w:proofErr w:type="spellStart"/>
      <w:r w:rsidRPr="00666340">
        <w:rPr>
          <w:rFonts w:ascii="Cambria" w:eastAsia="Cambria" w:hAnsi="Cambria" w:cs="Cambria"/>
          <w:color w:val="000000"/>
          <w:sz w:val="20"/>
          <w:szCs w:val="20"/>
          <w:u w:color="000000"/>
          <w:lang w:eastAsia="es-ES"/>
        </w:rPr>
        <w:t>Carhuachocce</w:t>
      </w:r>
      <w:proofErr w:type="spellEnd"/>
      <w:r w:rsidRPr="00666340">
        <w:rPr>
          <w:rFonts w:ascii="Cambria" w:eastAsia="Cambria" w:hAnsi="Cambria" w:cs="Cambria"/>
          <w:color w:val="000000"/>
          <w:sz w:val="20"/>
          <w:szCs w:val="20"/>
          <w:u w:color="000000"/>
          <w:lang w:eastAsia="es-ES"/>
        </w:rPr>
        <w:t xml:space="preserve"> entered the city. They mention that said Committee gathered the local population, apprehended a woman and the alleged victims and took them to the </w:t>
      </w:r>
      <w:r w:rsidRPr="00666340">
        <w:rPr>
          <w:rFonts w:ascii="Cambria" w:eastAsia="Cambria" w:hAnsi="Cambria" w:cs="Cambria"/>
          <w:color w:val="000000"/>
          <w:sz w:val="20"/>
          <w:szCs w:val="20"/>
          <w:u w:color="000000"/>
          <w:lang w:eastAsia="es-ES"/>
        </w:rPr>
        <w:lastRenderedPageBreak/>
        <w:t xml:space="preserve">town of </w:t>
      </w:r>
      <w:proofErr w:type="spellStart"/>
      <w:r w:rsidRPr="00666340">
        <w:rPr>
          <w:rFonts w:ascii="Cambria" w:eastAsia="Cambria" w:hAnsi="Cambria" w:cs="Cambria"/>
          <w:color w:val="000000"/>
          <w:sz w:val="20"/>
          <w:szCs w:val="20"/>
          <w:u w:color="000000"/>
          <w:lang w:eastAsia="es-ES"/>
        </w:rPr>
        <w:t>Pantipampa</w:t>
      </w:r>
      <w:proofErr w:type="spellEnd"/>
      <w:r w:rsidRPr="00666340">
        <w:rPr>
          <w:rFonts w:ascii="Cambria" w:eastAsia="Cambria" w:hAnsi="Cambria" w:cs="Cambria"/>
          <w:color w:val="000000"/>
          <w:sz w:val="20"/>
          <w:szCs w:val="20"/>
          <w:u w:color="000000"/>
          <w:lang w:eastAsia="es-ES"/>
        </w:rPr>
        <w:t>. They indicate that later on</w:t>
      </w:r>
      <w:r w:rsidR="00577E6C">
        <w:rPr>
          <w:rFonts w:ascii="Cambria" w:eastAsia="Cambria" w:hAnsi="Cambria" w:cs="Cambria"/>
          <w:color w:val="000000"/>
          <w:sz w:val="20"/>
          <w:szCs w:val="20"/>
          <w:u w:color="000000"/>
          <w:lang w:eastAsia="es-ES"/>
        </w:rPr>
        <w:t>,</w:t>
      </w:r>
      <w:r w:rsidRPr="00666340">
        <w:rPr>
          <w:rFonts w:ascii="Cambria" w:eastAsia="Cambria" w:hAnsi="Cambria" w:cs="Cambria"/>
          <w:color w:val="000000"/>
          <w:sz w:val="20"/>
          <w:szCs w:val="20"/>
          <w:u w:color="000000"/>
          <w:lang w:eastAsia="es-ES"/>
        </w:rPr>
        <w:t xml:space="preserve"> they were </w:t>
      </w:r>
      <w:r>
        <w:rPr>
          <w:rFonts w:ascii="Cambria" w:eastAsia="Cambria" w:hAnsi="Cambria" w:cs="Cambria"/>
          <w:color w:val="000000"/>
          <w:sz w:val="20"/>
          <w:szCs w:val="20"/>
          <w:u w:color="000000"/>
          <w:lang w:eastAsia="es-ES"/>
        </w:rPr>
        <w:t xml:space="preserve">taken to </w:t>
      </w:r>
      <w:proofErr w:type="spellStart"/>
      <w:r w:rsidRPr="00666340">
        <w:rPr>
          <w:rFonts w:ascii="Cambria" w:eastAsia="Cambria" w:hAnsi="Cambria" w:cs="Cambria"/>
          <w:color w:val="000000"/>
          <w:sz w:val="20"/>
          <w:szCs w:val="20"/>
          <w:u w:color="000000"/>
          <w:lang w:eastAsia="es-ES"/>
        </w:rPr>
        <w:t>Urpay</w:t>
      </w:r>
      <w:proofErr w:type="spellEnd"/>
      <w:r w:rsidRPr="00666340">
        <w:rPr>
          <w:rFonts w:ascii="Cambria" w:eastAsia="Cambria" w:hAnsi="Cambria" w:cs="Cambria"/>
          <w:color w:val="000000"/>
          <w:sz w:val="20"/>
          <w:szCs w:val="20"/>
          <w:u w:color="000000"/>
          <w:lang w:eastAsia="es-ES"/>
        </w:rPr>
        <w:t xml:space="preserve">, where they freed the woman, leaving the alleged victims detained. </w:t>
      </w:r>
    </w:p>
    <w:p w14:paraId="53B3C012" w14:textId="7C1DAEB7" w:rsidR="00577E6C" w:rsidRPr="00666340" w:rsidRDefault="00577E6C" w:rsidP="00577E6C">
      <w:pPr>
        <w:numPr>
          <w:ilvl w:val="0"/>
          <w:numId w:val="103"/>
        </w:numPr>
        <w:suppressAutoHyphens/>
        <w:spacing w:after="120"/>
        <w:jc w:val="both"/>
        <w:rPr>
          <w:rFonts w:ascii="Cambria" w:eastAsia="Cambria" w:hAnsi="Cambria" w:cs="Cambria"/>
          <w:color w:val="000000"/>
          <w:sz w:val="20"/>
          <w:szCs w:val="20"/>
          <w:u w:color="000000"/>
          <w:lang w:eastAsia="es-ES"/>
        </w:rPr>
      </w:pPr>
      <w:r w:rsidRPr="00666340">
        <w:rPr>
          <w:rFonts w:ascii="Cambria" w:eastAsia="Cambria" w:hAnsi="Cambria" w:cs="Cambria"/>
          <w:sz w:val="20"/>
          <w:szCs w:val="20"/>
          <w:u w:color="000000"/>
          <w:lang w:eastAsia="es-ES"/>
        </w:rPr>
        <w:t>They claim that on July 21, 1990</w:t>
      </w:r>
      <w:r>
        <w:rPr>
          <w:rFonts w:ascii="Cambria" w:eastAsia="Cambria" w:hAnsi="Cambria" w:cs="Cambria"/>
          <w:sz w:val="20"/>
          <w:szCs w:val="20"/>
          <w:u w:color="000000"/>
          <w:lang w:eastAsia="es-ES"/>
        </w:rPr>
        <w:t xml:space="preserve">, the same </w:t>
      </w:r>
      <w:r w:rsidR="006B1A81">
        <w:rPr>
          <w:rFonts w:ascii="Cambria" w:eastAsia="Cambria" w:hAnsi="Cambria" w:cs="Cambria"/>
          <w:sz w:val="20"/>
          <w:szCs w:val="20"/>
          <w:u w:color="000000"/>
          <w:lang w:eastAsia="es-ES"/>
        </w:rPr>
        <w:t xml:space="preserve">members of the </w:t>
      </w:r>
      <w:proofErr w:type="spellStart"/>
      <w:r w:rsidR="006B1A81">
        <w:rPr>
          <w:rFonts w:ascii="Cambria" w:eastAsia="Cambria" w:hAnsi="Cambria" w:cs="Cambria"/>
          <w:sz w:val="20"/>
          <w:szCs w:val="20"/>
          <w:u w:color="000000"/>
          <w:lang w:eastAsia="es-ES"/>
        </w:rPr>
        <w:t>Comitee</w:t>
      </w:r>
      <w:proofErr w:type="spellEnd"/>
      <w:r>
        <w:rPr>
          <w:rFonts w:ascii="Cambria" w:eastAsia="Cambria" w:hAnsi="Cambria" w:cs="Cambria"/>
          <w:sz w:val="20"/>
          <w:szCs w:val="20"/>
          <w:u w:color="000000"/>
          <w:lang w:eastAsia="es-ES"/>
        </w:rPr>
        <w:t xml:space="preserve"> returned to </w:t>
      </w:r>
      <w:proofErr w:type="spellStart"/>
      <w:r>
        <w:rPr>
          <w:rFonts w:ascii="Cambria" w:eastAsia="Cambria" w:hAnsi="Cambria" w:cs="Cambria"/>
          <w:sz w:val="20"/>
          <w:szCs w:val="20"/>
          <w:u w:color="000000"/>
          <w:lang w:eastAsia="es-ES"/>
        </w:rPr>
        <w:t>Acocro</w:t>
      </w:r>
      <w:proofErr w:type="spellEnd"/>
      <w:r>
        <w:rPr>
          <w:rFonts w:ascii="Cambria" w:eastAsia="Cambria" w:hAnsi="Cambria" w:cs="Cambria"/>
          <w:sz w:val="20"/>
          <w:szCs w:val="20"/>
          <w:u w:color="000000"/>
          <w:lang w:eastAsia="es-ES"/>
        </w:rPr>
        <w:t xml:space="preserve">, and in front of many witnesses, detained the former Mayor of said town, Mr. </w:t>
      </w:r>
      <w:r w:rsidRPr="00666340">
        <w:rPr>
          <w:rFonts w:ascii="Cambria" w:eastAsia="Cambria" w:hAnsi="Cambria" w:cs="Cambria"/>
          <w:color w:val="000000"/>
          <w:sz w:val="20"/>
          <w:szCs w:val="20"/>
          <w:u w:color="000000"/>
          <w:lang w:eastAsia="es-ES"/>
        </w:rPr>
        <w:t>Donato Mendoza de la Cruz,</w:t>
      </w:r>
      <w:r w:rsidRPr="00666340">
        <w:rPr>
          <w:rFonts w:ascii="Cambria" w:eastAsia="Cambria" w:hAnsi="Cambria" w:cs="Cambria"/>
          <w:sz w:val="20"/>
          <w:szCs w:val="20"/>
          <w:u w:color="000000"/>
          <w:lang w:eastAsia="es-ES"/>
        </w:rPr>
        <w:t xml:space="preserve"> </w:t>
      </w:r>
      <w:r>
        <w:rPr>
          <w:rFonts w:ascii="Cambria" w:eastAsia="Cambria" w:hAnsi="Cambria" w:cs="Cambria"/>
          <w:sz w:val="20"/>
          <w:szCs w:val="20"/>
          <w:u w:color="000000"/>
          <w:lang w:eastAsia="es-ES"/>
        </w:rPr>
        <w:t xml:space="preserve">and took him to </w:t>
      </w:r>
      <w:proofErr w:type="spellStart"/>
      <w:r>
        <w:rPr>
          <w:rFonts w:ascii="Cambria" w:eastAsia="Cambria" w:hAnsi="Cambria" w:cs="Cambria"/>
          <w:sz w:val="20"/>
          <w:szCs w:val="20"/>
          <w:u w:color="000000"/>
          <w:lang w:eastAsia="es-ES"/>
        </w:rPr>
        <w:t>Pantipampa</w:t>
      </w:r>
      <w:proofErr w:type="spellEnd"/>
      <w:r>
        <w:rPr>
          <w:rFonts w:ascii="Cambria" w:eastAsia="Cambria" w:hAnsi="Cambria" w:cs="Cambria"/>
          <w:sz w:val="20"/>
          <w:szCs w:val="20"/>
          <w:u w:color="000000"/>
          <w:lang w:eastAsia="es-ES"/>
        </w:rPr>
        <w:t xml:space="preserve"> where he was reunited with the other three that remained detained. They affirm that on July 23, 1990, the alleged victims were transported to </w:t>
      </w:r>
      <w:proofErr w:type="spellStart"/>
      <w:r>
        <w:rPr>
          <w:rFonts w:ascii="Cambria" w:eastAsia="Cambria" w:hAnsi="Cambria" w:cs="Cambria"/>
          <w:sz w:val="20"/>
          <w:szCs w:val="20"/>
          <w:u w:color="000000"/>
          <w:lang w:eastAsia="es-ES"/>
        </w:rPr>
        <w:t>Huayhuas</w:t>
      </w:r>
      <w:proofErr w:type="spellEnd"/>
      <w:r>
        <w:rPr>
          <w:rFonts w:ascii="Cambria" w:eastAsia="Cambria" w:hAnsi="Cambria" w:cs="Cambria"/>
          <w:sz w:val="20"/>
          <w:szCs w:val="20"/>
          <w:u w:color="000000"/>
          <w:lang w:eastAsia="es-ES"/>
        </w:rPr>
        <w:t xml:space="preserve">, without being able to find their whereabouts after these events. They mention that these facts occurred in a context of violence where current clashes occurred between </w:t>
      </w:r>
      <w:r w:rsidR="006B1A81">
        <w:rPr>
          <w:rFonts w:ascii="Cambria" w:eastAsia="Cambria" w:hAnsi="Cambria" w:cs="Cambria"/>
          <w:sz w:val="20"/>
          <w:szCs w:val="20"/>
          <w:u w:color="000000"/>
          <w:lang w:eastAsia="es-ES"/>
        </w:rPr>
        <w:t>“</w:t>
      </w:r>
      <w:r>
        <w:rPr>
          <w:rFonts w:ascii="Cambria" w:eastAsia="Cambria" w:hAnsi="Cambria" w:cs="Cambria"/>
          <w:sz w:val="20"/>
          <w:szCs w:val="20"/>
          <w:u w:color="000000"/>
          <w:lang w:eastAsia="es-ES"/>
        </w:rPr>
        <w:t>Lightning Path</w:t>
      </w:r>
      <w:r w:rsidR="006B1A81">
        <w:rPr>
          <w:rFonts w:ascii="Cambria" w:eastAsia="Cambria" w:hAnsi="Cambria" w:cs="Cambria"/>
          <w:sz w:val="20"/>
          <w:szCs w:val="20"/>
          <w:u w:color="000000"/>
          <w:lang w:eastAsia="es-ES"/>
        </w:rPr>
        <w:t>”</w:t>
      </w:r>
      <w:r>
        <w:rPr>
          <w:rFonts w:ascii="Cambria" w:eastAsia="Cambria" w:hAnsi="Cambria" w:cs="Cambria"/>
          <w:sz w:val="20"/>
          <w:szCs w:val="20"/>
          <w:u w:color="000000"/>
          <w:lang w:eastAsia="es-ES"/>
        </w:rPr>
        <w:t xml:space="preserve"> and peasant communities. They explain that the peasant watch appeared in response to attacks carried out by subversive groups against rural communities that identified as a self-defense group that later launched violent reprisals alongside the military with the acquiescence of the State.</w:t>
      </w:r>
    </w:p>
    <w:p w14:paraId="31DC6016" w14:textId="77777777" w:rsidR="00577E6C" w:rsidRPr="00666340" w:rsidRDefault="00577E6C" w:rsidP="00577E6C">
      <w:pPr>
        <w:numPr>
          <w:ilvl w:val="0"/>
          <w:numId w:val="103"/>
        </w:numPr>
        <w:suppressAutoHyphens/>
        <w:spacing w:after="120"/>
        <w:jc w:val="both"/>
        <w:rPr>
          <w:rFonts w:ascii="Cambria" w:eastAsia="Cambria" w:hAnsi="Cambria" w:cs="Cambria"/>
          <w:color w:val="000000"/>
          <w:sz w:val="20"/>
          <w:szCs w:val="20"/>
          <w:u w:color="000000"/>
          <w:lang w:eastAsia="es-ES"/>
        </w:rPr>
      </w:pPr>
      <w:r w:rsidRPr="00666340">
        <w:rPr>
          <w:rFonts w:ascii="Cambria" w:eastAsia="Cambria" w:hAnsi="Cambria" w:cs="Cambria"/>
          <w:sz w:val="20"/>
          <w:szCs w:val="20"/>
          <w:u w:color="000000"/>
          <w:lang w:eastAsia="es-ES"/>
        </w:rPr>
        <w:t>They describe that on July 3, 1991</w:t>
      </w:r>
      <w:r>
        <w:rPr>
          <w:rFonts w:ascii="Cambria" w:eastAsia="Cambria" w:hAnsi="Cambria" w:cs="Cambria"/>
          <w:sz w:val="20"/>
          <w:szCs w:val="20"/>
          <w:u w:color="000000"/>
          <w:lang w:eastAsia="es-ES"/>
        </w:rPr>
        <w:t xml:space="preserve"> they filed a claim to the Investigative Police of Peru; that on July 4, 1991, the Prosecutor formalized the claim against 16 alleged perpetrators for the crime against personal freedom-kidnapping and that on that very same date the </w:t>
      </w:r>
      <w:r w:rsidRPr="00666340">
        <w:rPr>
          <w:rFonts w:ascii="Cambria" w:eastAsia="Cambria" w:hAnsi="Cambria" w:cs="Cambria"/>
          <w:sz w:val="20"/>
          <w:szCs w:val="20"/>
          <w:u w:color="000000"/>
          <w:lang w:eastAsia="es-ES"/>
        </w:rPr>
        <w:t>First Instance Tribunal</w:t>
      </w:r>
      <w:r>
        <w:rPr>
          <w:rFonts w:ascii="Cambria" w:eastAsia="Cambria" w:hAnsi="Cambria" w:cs="Cambria"/>
          <w:sz w:val="20"/>
          <w:szCs w:val="20"/>
          <w:u w:color="000000"/>
          <w:lang w:eastAsia="es-ES"/>
        </w:rPr>
        <w:t xml:space="preserve"> of </w:t>
      </w:r>
      <w:proofErr w:type="spellStart"/>
      <w:r>
        <w:rPr>
          <w:rFonts w:ascii="Cambria" w:eastAsia="Cambria" w:hAnsi="Cambria" w:cs="Cambria"/>
          <w:sz w:val="20"/>
          <w:szCs w:val="20"/>
          <w:u w:color="000000"/>
          <w:lang w:eastAsia="es-ES"/>
        </w:rPr>
        <w:t>Huamanga</w:t>
      </w:r>
      <w:proofErr w:type="spellEnd"/>
      <w:r>
        <w:rPr>
          <w:rFonts w:ascii="Cambria" w:eastAsia="Cambria" w:hAnsi="Cambria" w:cs="Cambria"/>
          <w:sz w:val="20"/>
          <w:szCs w:val="20"/>
          <w:u w:color="000000"/>
          <w:lang w:eastAsia="es-ES"/>
        </w:rPr>
        <w:t xml:space="preserve"> ordered the detention. They claim that on June 16, 1992, the Prosecutor’s Office extended the complaint to three other people. They indicate that on August 26, 1992, the Criminal Chamber of the Superior Court of Ayacucho sentenced the accused to 4 years of prison for kidnapping. They contend that the conviction was suspended in </w:t>
      </w:r>
      <w:proofErr w:type="spellStart"/>
      <w:r>
        <w:rPr>
          <w:rFonts w:ascii="Cambria" w:eastAsia="Cambria" w:hAnsi="Cambria" w:cs="Cambria"/>
          <w:sz w:val="20"/>
          <w:szCs w:val="20"/>
          <w:u w:color="000000"/>
          <w:lang w:eastAsia="es-ES"/>
        </w:rPr>
        <w:t>favour</w:t>
      </w:r>
      <w:proofErr w:type="spellEnd"/>
      <w:r>
        <w:rPr>
          <w:rFonts w:ascii="Cambria" w:eastAsia="Cambria" w:hAnsi="Cambria" w:cs="Cambria"/>
          <w:sz w:val="20"/>
          <w:szCs w:val="20"/>
          <w:u w:color="000000"/>
          <w:lang w:eastAsia="es-ES"/>
        </w:rPr>
        <w:t xml:space="preserve"> of the only accused convicted that was present, reserving the process to the other accused that were convicted.</w:t>
      </w:r>
    </w:p>
    <w:p w14:paraId="6E5EF4E5" w14:textId="77777777" w:rsidR="00577E6C" w:rsidRPr="00666340" w:rsidRDefault="00577E6C" w:rsidP="00577E6C">
      <w:pPr>
        <w:numPr>
          <w:ilvl w:val="0"/>
          <w:numId w:val="103"/>
        </w:numPr>
        <w:suppressAutoHyphens/>
        <w:spacing w:after="120"/>
        <w:jc w:val="both"/>
        <w:rPr>
          <w:rFonts w:ascii="Cambria" w:eastAsia="Cambria" w:hAnsi="Cambria" w:cs="Cambria"/>
          <w:sz w:val="20"/>
          <w:szCs w:val="20"/>
          <w:u w:color="000000"/>
          <w:lang w:eastAsia="es-ES"/>
        </w:rPr>
      </w:pPr>
      <w:r w:rsidRPr="00666340">
        <w:rPr>
          <w:rFonts w:ascii="Cambria" w:eastAsia="Cambria" w:hAnsi="Cambria" w:cs="Cambria"/>
          <w:sz w:val="20"/>
          <w:szCs w:val="20"/>
          <w:u w:color="000000"/>
          <w:lang w:eastAsia="es-ES"/>
        </w:rPr>
        <w:t xml:space="preserve">They manifest that </w:t>
      </w:r>
      <w:r>
        <w:rPr>
          <w:rFonts w:ascii="Cambria" w:eastAsia="Cambria" w:hAnsi="Cambria" w:cs="Cambria"/>
          <w:sz w:val="20"/>
          <w:szCs w:val="20"/>
          <w:u w:color="000000"/>
          <w:lang w:eastAsia="es-ES"/>
        </w:rPr>
        <w:t>o</w:t>
      </w:r>
      <w:r w:rsidRPr="00666340">
        <w:rPr>
          <w:rFonts w:ascii="Cambria" w:eastAsia="Cambria" w:hAnsi="Cambria" w:cs="Cambria"/>
          <w:sz w:val="20"/>
          <w:szCs w:val="20"/>
          <w:u w:color="000000"/>
          <w:lang w:eastAsia="es-ES"/>
        </w:rPr>
        <w:t>n June 15, 1995, through Law 26</w:t>
      </w:r>
      <w:r>
        <w:rPr>
          <w:rFonts w:ascii="Cambria" w:eastAsia="Cambria" w:hAnsi="Cambria" w:cs="Cambria"/>
          <w:sz w:val="20"/>
          <w:szCs w:val="20"/>
          <w:u w:color="000000"/>
          <w:lang w:eastAsia="es-ES"/>
        </w:rPr>
        <w:t>.</w:t>
      </w:r>
      <w:r w:rsidRPr="00666340">
        <w:rPr>
          <w:rFonts w:ascii="Cambria" w:eastAsia="Cambria" w:hAnsi="Cambria" w:cs="Cambria"/>
          <w:sz w:val="20"/>
          <w:szCs w:val="20"/>
          <w:u w:color="000000"/>
          <w:lang w:eastAsia="es-ES"/>
        </w:rPr>
        <w:t xml:space="preserve">479, the State </w:t>
      </w:r>
      <w:r>
        <w:rPr>
          <w:rFonts w:ascii="Cambria" w:eastAsia="Cambria" w:hAnsi="Cambria" w:cs="Cambria"/>
          <w:sz w:val="20"/>
          <w:szCs w:val="20"/>
          <w:u w:color="000000"/>
          <w:lang w:eastAsia="es-ES"/>
        </w:rPr>
        <w:t xml:space="preserve">granted a general amnesty provision for all facts derived or originated as a consequence of the fight against terrorism taken place from May 1980 until the enactment of said law. </w:t>
      </w:r>
      <w:r w:rsidRPr="00666340">
        <w:rPr>
          <w:rFonts w:ascii="Cambria" w:eastAsia="Cambria" w:hAnsi="Cambria" w:cs="Cambria"/>
          <w:sz w:val="20"/>
          <w:szCs w:val="20"/>
          <w:u w:color="000000"/>
          <w:lang w:eastAsia="es-ES"/>
        </w:rPr>
        <w:t>Likewise, they affirm that Law 26.492 of July 2, 1995 established that th</w:t>
      </w:r>
      <w:r>
        <w:rPr>
          <w:rFonts w:ascii="Cambria" w:eastAsia="Cambria" w:hAnsi="Cambria" w:cs="Cambria"/>
          <w:sz w:val="20"/>
          <w:szCs w:val="20"/>
          <w:u w:color="000000"/>
          <w:lang w:eastAsia="es-ES"/>
        </w:rPr>
        <w:t>e granted amnesty did not violate the state duty of vigilance of human rights and that it did not admit any revisions. They describe that, based on this legislation, on December 18, 1995 the people convicted of the forced disappearance of the alleged victims requested the benefits of the amnesty which were granted by the First Criminal Chamber of the Superior Court of Ayacucho on March 27, 1996 which issued a decision definitely archiving the case and releasing the people convicted.</w:t>
      </w:r>
    </w:p>
    <w:p w14:paraId="4BE5EB47" w14:textId="77777777" w:rsidR="00577E6C" w:rsidRPr="00666340" w:rsidRDefault="00577E6C" w:rsidP="00577E6C">
      <w:pPr>
        <w:numPr>
          <w:ilvl w:val="0"/>
          <w:numId w:val="103"/>
        </w:numPr>
        <w:suppressAutoHyphens/>
        <w:spacing w:after="120"/>
        <w:jc w:val="both"/>
        <w:rPr>
          <w:rFonts w:ascii="Cambria" w:eastAsia="Cambria" w:hAnsi="Cambria" w:cs="Cambria"/>
          <w:color w:val="000000"/>
          <w:sz w:val="20"/>
          <w:szCs w:val="20"/>
          <w:u w:color="000000"/>
          <w:lang w:eastAsia="es-ES"/>
        </w:rPr>
      </w:pPr>
      <w:r w:rsidRPr="00666340">
        <w:rPr>
          <w:rFonts w:ascii="Cambria" w:eastAsia="Cambria" w:hAnsi="Cambria" w:cs="Cambria"/>
          <w:color w:val="000000"/>
          <w:sz w:val="20"/>
          <w:szCs w:val="20"/>
          <w:u w:color="000000"/>
          <w:lang w:eastAsia="es-ES"/>
        </w:rPr>
        <w:t>They contend that on Janu</w:t>
      </w:r>
      <w:r>
        <w:rPr>
          <w:rFonts w:ascii="Cambria" w:eastAsia="Cambria" w:hAnsi="Cambria" w:cs="Cambria"/>
          <w:color w:val="000000"/>
          <w:sz w:val="20"/>
          <w:szCs w:val="20"/>
          <w:u w:color="000000"/>
          <w:lang w:eastAsia="es-ES"/>
        </w:rPr>
        <w:t xml:space="preserve">ary 2004, after the derogation of the amnesty law, relatives of the alleged victims requested the Superior Mixed Chamber of Ayacucho to annul the resolution that had granted that benefit. Hence, on July 20, 2004, the Chamber annulled the resolution and reopened the criminal process. They manifest that on August 24, 2004, the Prosecutor’s Office specialized on Human Rights presented a claim for the crime of forced disappearance against 18 people accused in the previous process. They affirm that on September 20, 2007, the Prosecutor’s Office excluded from the process 13 people investigated claiming that there was no proof of their criminal responsibility and accused 4 people for the crime of kidnapping requesting a prison sentence of 12 years and the payment of five thousand soles as civil reparation. They affirm that said resolution indicated that for the crime of forced disappearance to occur, an authorization, support or acquiescence from the State was needed, a fact that was not proven. They indicate that based on this situation they have presented an appeal for annulment that was dismissed by the Supreme Court of Justice on Abril 20, 2010. </w:t>
      </w:r>
    </w:p>
    <w:p w14:paraId="4E7FE6D2" w14:textId="77777777" w:rsidR="00577E6C" w:rsidRPr="00666340" w:rsidRDefault="00577E6C" w:rsidP="00577E6C">
      <w:pPr>
        <w:numPr>
          <w:ilvl w:val="0"/>
          <w:numId w:val="103"/>
        </w:numPr>
        <w:suppressAutoHyphens/>
        <w:spacing w:after="120"/>
        <w:jc w:val="both"/>
        <w:rPr>
          <w:rFonts w:ascii="Cambria" w:eastAsia="Cambria" w:hAnsi="Cambria" w:cs="Cambria"/>
          <w:color w:val="000000"/>
          <w:sz w:val="20"/>
          <w:szCs w:val="20"/>
          <w:u w:color="000000"/>
          <w:lang w:eastAsia="es-ES"/>
        </w:rPr>
      </w:pPr>
      <w:r w:rsidRPr="00666340">
        <w:rPr>
          <w:rFonts w:ascii="Cambria" w:eastAsia="Cambria" w:hAnsi="Cambria" w:cs="Cambria"/>
          <w:color w:val="000000"/>
          <w:sz w:val="20"/>
          <w:szCs w:val="20"/>
          <w:u w:color="000000"/>
          <w:lang w:eastAsia="es-ES"/>
        </w:rPr>
        <w:t xml:space="preserve">In this sense, they describe that </w:t>
      </w:r>
      <w:r>
        <w:rPr>
          <w:rFonts w:ascii="Cambria" w:eastAsia="Cambria" w:hAnsi="Cambria" w:cs="Cambria"/>
          <w:color w:val="000000"/>
          <w:sz w:val="20"/>
          <w:szCs w:val="20"/>
          <w:u w:color="000000"/>
          <w:lang w:eastAsia="es-ES"/>
        </w:rPr>
        <w:t>on February 11, 2009, the National Criminal Chamber condemned one of the people involved in the kidnapping of Donato Mendoza de la Cruz to 4 years of prison and acquitted the other 4 accused of the kidnapping of the alleged victims. They affirm that against said resolution they presented an appeal of annulment before the Supreme Court which confirmed the decision of August 5, 2009.</w:t>
      </w:r>
    </w:p>
    <w:p w14:paraId="1BC6F2F0" w14:textId="1D06D87C" w:rsidR="00577E6C" w:rsidRPr="00666340" w:rsidRDefault="00577E6C" w:rsidP="00577E6C">
      <w:pPr>
        <w:numPr>
          <w:ilvl w:val="0"/>
          <w:numId w:val="103"/>
        </w:numPr>
        <w:suppressAutoHyphens/>
        <w:spacing w:after="120"/>
        <w:jc w:val="both"/>
        <w:rPr>
          <w:rFonts w:ascii="Cambria" w:eastAsia="Cambria" w:hAnsi="Cambria" w:cs="Cambria"/>
          <w:color w:val="000000"/>
          <w:sz w:val="20"/>
          <w:szCs w:val="20"/>
          <w:u w:color="000000"/>
          <w:lang w:eastAsia="es-ES"/>
        </w:rPr>
      </w:pPr>
      <w:r w:rsidRPr="00666340">
        <w:rPr>
          <w:rFonts w:ascii="Cambria" w:eastAsia="Cambria" w:hAnsi="Cambria" w:cs="Cambria"/>
          <w:color w:val="000000"/>
          <w:sz w:val="20"/>
          <w:szCs w:val="20"/>
          <w:u w:color="000000"/>
          <w:lang w:eastAsia="es-ES"/>
        </w:rPr>
        <w:t xml:space="preserve">They contend that the National Criminal Chamber </w:t>
      </w:r>
      <w:r>
        <w:rPr>
          <w:rFonts w:ascii="Cambria" w:eastAsia="Cambria" w:hAnsi="Cambria" w:cs="Cambria"/>
          <w:color w:val="000000"/>
          <w:sz w:val="20"/>
          <w:szCs w:val="20"/>
          <w:u w:color="000000"/>
          <w:lang w:eastAsia="es-ES"/>
        </w:rPr>
        <w:t xml:space="preserve">and the Supreme Court contributed to the impunity of the disappearance as they only consider the crime of kidnapping with the limitations this imposes for analyzing, prosecuting and determining responsibilities for the facts described in the present case. They highlight that, </w:t>
      </w:r>
      <w:r w:rsidR="00261573">
        <w:rPr>
          <w:rFonts w:ascii="Cambria" w:eastAsia="Cambria" w:hAnsi="Cambria" w:cs="Cambria"/>
          <w:color w:val="000000"/>
          <w:sz w:val="20"/>
          <w:szCs w:val="20"/>
          <w:u w:color="000000"/>
          <w:lang w:eastAsia="es-ES"/>
        </w:rPr>
        <w:t>against</w:t>
      </w:r>
      <w:r>
        <w:rPr>
          <w:rFonts w:ascii="Cambria" w:eastAsia="Cambria" w:hAnsi="Cambria" w:cs="Cambria"/>
          <w:color w:val="000000"/>
          <w:sz w:val="20"/>
          <w:szCs w:val="20"/>
          <w:u w:color="000000"/>
          <w:lang w:eastAsia="es-ES"/>
        </w:rPr>
        <w:t xml:space="preserve"> the crime of forced disappearance, it is the obligation of the State that investigations include a comprehensive review of the facts that </w:t>
      </w:r>
      <w:r w:rsidR="00261573">
        <w:rPr>
          <w:rFonts w:ascii="Cambria" w:eastAsia="Cambria" w:hAnsi="Cambria" w:cs="Cambria"/>
          <w:color w:val="000000"/>
          <w:sz w:val="20"/>
          <w:szCs w:val="20"/>
          <w:u w:color="000000"/>
          <w:lang w:eastAsia="es-ES"/>
        </w:rPr>
        <w:t>takes into account</w:t>
      </w:r>
      <w:r>
        <w:rPr>
          <w:rFonts w:ascii="Cambria" w:eastAsia="Cambria" w:hAnsi="Cambria" w:cs="Cambria"/>
          <w:color w:val="000000"/>
          <w:sz w:val="20"/>
          <w:szCs w:val="20"/>
          <w:u w:color="000000"/>
          <w:lang w:eastAsia="es-ES"/>
        </w:rPr>
        <w:t xml:space="preserve"> the background and context where these took place. They affirm that this mistake impacted negatively in the criminal process as only one person was condemned for the forced disappearance of the alleged victims. </w:t>
      </w:r>
    </w:p>
    <w:p w14:paraId="3A62A333" w14:textId="2D12882B" w:rsidR="00577E6C" w:rsidRPr="00666340" w:rsidRDefault="00577E6C" w:rsidP="00577E6C">
      <w:pPr>
        <w:numPr>
          <w:ilvl w:val="0"/>
          <w:numId w:val="103"/>
        </w:numPr>
        <w:suppressAutoHyphens/>
        <w:spacing w:after="120"/>
        <w:jc w:val="both"/>
        <w:rPr>
          <w:rFonts w:ascii="Cambria" w:eastAsia="Cambria" w:hAnsi="Cambria" w:cs="Cambria"/>
          <w:color w:val="000000"/>
          <w:sz w:val="20"/>
          <w:szCs w:val="20"/>
          <w:u w:color="000000"/>
          <w:lang w:eastAsia="es-ES"/>
        </w:rPr>
      </w:pPr>
      <w:r w:rsidRPr="00666340">
        <w:rPr>
          <w:rFonts w:ascii="Cambria" w:eastAsia="Cambria" w:hAnsi="Cambria" w:cs="Cambria"/>
          <w:sz w:val="20"/>
          <w:szCs w:val="20"/>
          <w:u w:color="000000"/>
          <w:lang w:eastAsia="es-ES"/>
        </w:rPr>
        <w:lastRenderedPageBreak/>
        <w:t xml:space="preserve">The petitioners claim that the authors of the crime were members of the Committee of Peasant Self-Defense whom acted with the consent of the State and </w:t>
      </w:r>
      <w:r>
        <w:rPr>
          <w:rFonts w:ascii="Cambria" w:eastAsia="Cambria" w:hAnsi="Cambria" w:cs="Cambria"/>
          <w:sz w:val="20"/>
          <w:szCs w:val="20"/>
          <w:u w:color="000000"/>
          <w:lang w:eastAsia="es-ES"/>
        </w:rPr>
        <w:t>under the protection of</w:t>
      </w:r>
      <w:r w:rsidRPr="00666340">
        <w:rPr>
          <w:rFonts w:ascii="Cambria" w:eastAsia="Cambria" w:hAnsi="Cambria" w:cs="Cambria"/>
          <w:sz w:val="20"/>
          <w:szCs w:val="20"/>
          <w:u w:color="000000"/>
          <w:lang w:eastAsia="es-ES"/>
        </w:rPr>
        <w:t xml:space="preserve"> several norms. In particular, they highlight that Law</w:t>
      </w:r>
      <w:r w:rsidRPr="00666340">
        <w:rPr>
          <w:rFonts w:ascii="Cambria" w:eastAsia="Cambria" w:hAnsi="Cambria" w:cs="Cambria"/>
          <w:color w:val="000000"/>
          <w:sz w:val="20"/>
          <w:szCs w:val="20"/>
          <w:u w:color="000000"/>
          <w:lang w:eastAsia="es-ES"/>
        </w:rPr>
        <w:t xml:space="preserve"> 24</w:t>
      </w:r>
      <w:r>
        <w:rPr>
          <w:rFonts w:ascii="Cambria" w:eastAsia="Cambria" w:hAnsi="Cambria" w:cs="Cambria"/>
          <w:color w:val="000000"/>
          <w:sz w:val="20"/>
          <w:szCs w:val="20"/>
          <w:u w:color="000000"/>
          <w:lang w:eastAsia="es-ES"/>
        </w:rPr>
        <w:t>.</w:t>
      </w:r>
      <w:r w:rsidRPr="00666340">
        <w:rPr>
          <w:rFonts w:ascii="Cambria" w:eastAsia="Cambria" w:hAnsi="Cambria" w:cs="Cambria"/>
          <w:color w:val="000000"/>
          <w:sz w:val="20"/>
          <w:szCs w:val="20"/>
          <w:u w:color="000000"/>
          <w:lang w:eastAsia="es-ES"/>
        </w:rPr>
        <w:t xml:space="preserve">571 of November 17, 1986, legally acknowledged </w:t>
      </w:r>
      <w:r>
        <w:rPr>
          <w:rFonts w:ascii="Cambria" w:eastAsia="Cambria" w:hAnsi="Cambria" w:cs="Cambria"/>
          <w:color w:val="000000"/>
          <w:sz w:val="20"/>
          <w:szCs w:val="20"/>
          <w:u w:color="000000"/>
          <w:lang w:eastAsia="es-ES"/>
        </w:rPr>
        <w:t>that peasant watch</w:t>
      </w:r>
      <w:r w:rsidR="00CC2614">
        <w:rPr>
          <w:rFonts w:ascii="Cambria" w:eastAsia="Cambria" w:hAnsi="Cambria" w:cs="Cambria"/>
          <w:color w:val="000000"/>
          <w:sz w:val="20"/>
          <w:szCs w:val="20"/>
          <w:u w:color="000000"/>
          <w:lang w:eastAsia="es-ES"/>
        </w:rPr>
        <w:t xml:space="preserve"> groups</w:t>
      </w:r>
      <w:r>
        <w:rPr>
          <w:rFonts w:ascii="Cambria" w:eastAsia="Cambria" w:hAnsi="Cambria" w:cs="Cambria"/>
          <w:color w:val="000000"/>
          <w:sz w:val="20"/>
          <w:szCs w:val="20"/>
          <w:u w:color="000000"/>
          <w:lang w:eastAsia="es-ES"/>
        </w:rPr>
        <w:t xml:space="preserve"> were autonomous organs of defense in the service of the community with capacity to cooperate with authorities in the elimination of unlawful criminal activities that affect public </w:t>
      </w:r>
      <w:r w:rsidRPr="00666340">
        <w:rPr>
          <w:rFonts w:ascii="Cambria" w:eastAsia="Cambria" w:hAnsi="Cambria" w:cs="Cambria"/>
          <w:color w:val="000000"/>
          <w:sz w:val="20"/>
          <w:szCs w:val="20"/>
          <w:u w:color="000000"/>
          <w:lang w:eastAsia="es-ES"/>
        </w:rPr>
        <w:t>order.</w:t>
      </w:r>
      <w:r>
        <w:rPr>
          <w:rFonts w:ascii="Cambria" w:eastAsia="Cambria" w:hAnsi="Cambria" w:cs="Cambria"/>
          <w:color w:val="000000"/>
          <w:sz w:val="20"/>
          <w:szCs w:val="20"/>
          <w:u w:color="000000"/>
          <w:lang w:eastAsia="es-ES"/>
        </w:rPr>
        <w:t xml:space="preserve"> Moreover, they highlight that Legislative Decree 740 legally authorized peasant watch</w:t>
      </w:r>
      <w:r w:rsidR="00CC2614">
        <w:rPr>
          <w:rFonts w:ascii="Cambria" w:eastAsia="Cambria" w:hAnsi="Cambria" w:cs="Cambria"/>
          <w:color w:val="000000"/>
          <w:sz w:val="20"/>
          <w:szCs w:val="20"/>
          <w:u w:color="000000"/>
          <w:lang w:eastAsia="es-ES"/>
        </w:rPr>
        <w:t xml:space="preserve"> groups</w:t>
      </w:r>
      <w:r>
        <w:rPr>
          <w:rFonts w:ascii="Cambria" w:eastAsia="Cambria" w:hAnsi="Cambria" w:cs="Cambria"/>
          <w:color w:val="000000"/>
          <w:sz w:val="20"/>
          <w:szCs w:val="20"/>
          <w:u w:color="000000"/>
          <w:lang w:eastAsia="es-ES"/>
        </w:rPr>
        <w:t xml:space="preserve"> to employ fire weapons to fight against subversive groups. </w:t>
      </w:r>
      <w:r w:rsidRPr="00666340">
        <w:rPr>
          <w:rFonts w:ascii="Cambria" w:eastAsia="Cambria" w:hAnsi="Cambria" w:cs="Cambria"/>
          <w:color w:val="000000"/>
          <w:sz w:val="20"/>
          <w:szCs w:val="20"/>
          <w:u w:color="000000"/>
          <w:lang w:eastAsia="es-ES"/>
        </w:rPr>
        <w:t>They refer that Supreme Decree 012-88-IN, formally granted them the power to detain</w:t>
      </w:r>
      <w:r>
        <w:rPr>
          <w:rFonts w:ascii="Cambria" w:eastAsia="Cambria" w:hAnsi="Cambria" w:cs="Cambria"/>
          <w:color w:val="000000"/>
          <w:sz w:val="20"/>
          <w:szCs w:val="20"/>
          <w:u w:color="000000"/>
          <w:lang w:eastAsia="es-ES"/>
        </w:rPr>
        <w:t xml:space="preserve"> persons and that the peasant </w:t>
      </w:r>
      <w:r w:rsidR="00CC2614">
        <w:rPr>
          <w:rFonts w:ascii="Cambria" w:eastAsia="Cambria" w:hAnsi="Cambria" w:cs="Cambria"/>
          <w:color w:val="000000"/>
          <w:sz w:val="20"/>
          <w:szCs w:val="20"/>
          <w:u w:color="000000"/>
          <w:lang w:eastAsia="es-ES"/>
        </w:rPr>
        <w:t>guards</w:t>
      </w:r>
      <w:r>
        <w:rPr>
          <w:rFonts w:ascii="Cambria" w:eastAsia="Cambria" w:hAnsi="Cambria" w:cs="Cambria"/>
          <w:color w:val="000000"/>
          <w:sz w:val="20"/>
          <w:szCs w:val="20"/>
          <w:u w:color="000000"/>
          <w:lang w:eastAsia="es-ES"/>
        </w:rPr>
        <w:t xml:space="preserve"> w</w:t>
      </w:r>
      <w:r w:rsidR="00CC2614">
        <w:rPr>
          <w:rFonts w:ascii="Cambria" w:eastAsia="Cambria" w:hAnsi="Cambria" w:cs="Cambria"/>
          <w:color w:val="000000"/>
          <w:sz w:val="20"/>
          <w:szCs w:val="20"/>
          <w:u w:color="000000"/>
          <w:lang w:eastAsia="es-ES"/>
        </w:rPr>
        <w:t>ere</w:t>
      </w:r>
      <w:r>
        <w:rPr>
          <w:rFonts w:ascii="Cambria" w:eastAsia="Cambria" w:hAnsi="Cambria" w:cs="Cambria"/>
          <w:color w:val="000000"/>
          <w:sz w:val="20"/>
          <w:szCs w:val="20"/>
          <w:u w:color="000000"/>
          <w:lang w:eastAsia="es-ES"/>
        </w:rPr>
        <w:t xml:space="preserve"> subordinated to the Military Force. Petitioners claim that based on the violations committed by these groups, this can be assumed as part of the responsibility of the State. In this sense, they indicate that the application of amnesty laws to the people prosecuted is an additional element that reveals the support, tolerance and state acquiescence. </w:t>
      </w:r>
    </w:p>
    <w:p w14:paraId="751BB656" w14:textId="77777777" w:rsidR="00577E6C" w:rsidRPr="00666340" w:rsidRDefault="00577E6C" w:rsidP="00577E6C">
      <w:pPr>
        <w:numPr>
          <w:ilvl w:val="0"/>
          <w:numId w:val="103"/>
        </w:numPr>
        <w:suppressAutoHyphens/>
        <w:spacing w:after="120"/>
        <w:jc w:val="both"/>
        <w:rPr>
          <w:rFonts w:ascii="Cambria" w:eastAsia="Cambria" w:hAnsi="Cambria" w:cs="Cambria"/>
          <w:color w:val="000000"/>
          <w:sz w:val="20"/>
          <w:szCs w:val="20"/>
          <w:u w:color="000000"/>
          <w:lang w:eastAsia="es-ES"/>
        </w:rPr>
      </w:pPr>
      <w:r w:rsidRPr="00666340">
        <w:rPr>
          <w:rFonts w:ascii="Cambria" w:eastAsia="Cambria" w:hAnsi="Cambria" w:cs="Cambria"/>
          <w:sz w:val="20"/>
          <w:szCs w:val="20"/>
          <w:u w:color="000000"/>
          <w:lang w:eastAsia="es-ES"/>
        </w:rPr>
        <w:t xml:space="preserve">On its part, the State indicates that petitioners do not provide any information </w:t>
      </w:r>
      <w:r>
        <w:rPr>
          <w:rFonts w:ascii="Cambria" w:eastAsia="Cambria" w:hAnsi="Cambria" w:cs="Cambria"/>
          <w:sz w:val="20"/>
          <w:szCs w:val="20"/>
          <w:u w:color="000000"/>
          <w:lang w:eastAsia="es-ES"/>
        </w:rPr>
        <w:t>of the direct intervention of state agents in the facts that they invoke as relevant to the forced disappearance, and only questioning the classification of the crime done by the judiciary.</w:t>
      </w:r>
    </w:p>
    <w:p w14:paraId="432F0724" w14:textId="1C6CA78C" w:rsidR="00577E6C" w:rsidRPr="00666340" w:rsidRDefault="00577E6C" w:rsidP="00577E6C">
      <w:pPr>
        <w:numPr>
          <w:ilvl w:val="0"/>
          <w:numId w:val="103"/>
        </w:numPr>
        <w:suppressAutoHyphens/>
        <w:spacing w:after="120"/>
        <w:jc w:val="both"/>
        <w:rPr>
          <w:rFonts w:ascii="Cambria" w:eastAsia="Cambria" w:hAnsi="Cambria" w:cs="Cambria"/>
          <w:color w:val="000000"/>
          <w:sz w:val="20"/>
          <w:szCs w:val="20"/>
          <w:u w:color="000000"/>
          <w:lang w:eastAsia="es-ES"/>
        </w:rPr>
      </w:pPr>
      <w:r w:rsidRPr="00666340">
        <w:rPr>
          <w:rFonts w:ascii="Cambria" w:eastAsia="Cambria" w:hAnsi="Cambria" w:cs="Cambria"/>
          <w:sz w:val="20"/>
          <w:szCs w:val="20"/>
          <w:u w:color="000000"/>
          <w:lang w:eastAsia="es-ES"/>
        </w:rPr>
        <w:t xml:space="preserve">It defends that investigations to clarify </w:t>
      </w:r>
      <w:r>
        <w:rPr>
          <w:rFonts w:ascii="Cambria" w:eastAsia="Cambria" w:hAnsi="Cambria" w:cs="Cambria"/>
          <w:sz w:val="20"/>
          <w:szCs w:val="20"/>
          <w:u w:color="000000"/>
          <w:lang w:eastAsia="es-ES"/>
        </w:rPr>
        <w:t xml:space="preserve">the facts and to identify those responsible were carried out and that said international obligation is and obligation of means not of results as long as it is done in a serious, impartial and effective manner. It indicates that the investigations started with the crime of kidnapping that it was expanded later on to include a possible forced disappearance, but the Prosecutor’s Office discarded </w:t>
      </w:r>
      <w:r w:rsidR="008E6024">
        <w:rPr>
          <w:rFonts w:ascii="Cambria" w:eastAsia="Cambria" w:hAnsi="Cambria" w:cs="Cambria"/>
          <w:sz w:val="20"/>
          <w:szCs w:val="20"/>
          <w:u w:color="000000"/>
          <w:lang w:eastAsia="es-ES"/>
        </w:rPr>
        <w:t xml:space="preserve">that penal type </w:t>
      </w:r>
      <w:r>
        <w:rPr>
          <w:rFonts w:ascii="Cambria" w:eastAsia="Cambria" w:hAnsi="Cambria" w:cs="Cambria"/>
          <w:sz w:val="20"/>
          <w:szCs w:val="20"/>
          <w:u w:color="000000"/>
          <w:lang w:eastAsia="es-ES"/>
        </w:rPr>
        <w:t xml:space="preserve">as there was not sufficient proof. It argues that, at the time of the facts, the crime of forced disappearance was not included in the Peruvian legislation and was only introduced in 1991 and hence, claiming that there could have been only one rightfully condemned. </w:t>
      </w:r>
    </w:p>
    <w:p w14:paraId="6953F7A4" w14:textId="7E31BA54" w:rsidR="00F621C3" w:rsidRPr="00F074DF" w:rsidRDefault="00577E6C" w:rsidP="00577E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666340">
        <w:rPr>
          <w:rFonts w:ascii="Cambria" w:eastAsia="Cambria" w:hAnsi="Cambria" w:cs="Cambria"/>
          <w:color w:val="000000"/>
          <w:sz w:val="20"/>
          <w:szCs w:val="20"/>
          <w:u w:color="000000"/>
          <w:lang w:eastAsia="es-ES"/>
        </w:rPr>
        <w:t xml:space="preserve">They claim that Legislative Decree 740 and 741 were published in the Official Gazette on November 12, 1991 and, hence, cannot be applied to the alleged facts and that law </w:t>
      </w:r>
      <w:r>
        <w:rPr>
          <w:rFonts w:ascii="Cambria" w:eastAsia="Cambria" w:hAnsi="Cambria" w:cs="Cambria"/>
          <w:color w:val="000000"/>
          <w:sz w:val="20"/>
          <w:szCs w:val="20"/>
          <w:u w:color="000000"/>
          <w:lang w:eastAsia="es-ES"/>
        </w:rPr>
        <w:t xml:space="preserve">24.150, despite having been published before the facts, said norm regulates all </w:t>
      </w:r>
      <w:r w:rsidRPr="00666340">
        <w:rPr>
          <w:rFonts w:ascii="Cambria" w:eastAsia="Cambria" w:hAnsi="Cambria" w:cs="Cambria"/>
          <w:color w:val="000000"/>
          <w:sz w:val="20"/>
          <w:szCs w:val="20"/>
          <w:u w:color="000000"/>
          <w:lang w:eastAsia="es-ES"/>
        </w:rPr>
        <w:t>states of emergency</w:t>
      </w:r>
      <w:r>
        <w:rPr>
          <w:rFonts w:ascii="Cambria" w:eastAsia="Cambria" w:hAnsi="Cambria" w:cs="Cambria"/>
          <w:color w:val="000000"/>
          <w:sz w:val="20"/>
          <w:szCs w:val="20"/>
          <w:u w:color="000000"/>
          <w:lang w:eastAsia="es-ES"/>
        </w:rPr>
        <w:t xml:space="preserve"> and cannot  be used to prove the acquiescence of the State in this case. Besides, it indicates that in 2016, the Law of Search of victims of Forced Disappearance, which demonstrates the commitment of the State to comply with its international obligations in relation to the fight against forced disappearances.  Finally, it affirms that the four alleged victims and its relatives have been inscribed in the Registry of Victims and that the majority have already been repaired.</w:t>
      </w:r>
    </w:p>
    <w:p w14:paraId="5E7865C5" w14:textId="70FD1B9A" w:rsidR="00F074DF" w:rsidRPr="00F074DF" w:rsidRDefault="00F074DF" w:rsidP="00F074DF">
      <w:pPr>
        <w:numPr>
          <w:ilvl w:val="0"/>
          <w:numId w:val="103"/>
        </w:numPr>
        <w:suppressAutoHyphens/>
        <w:spacing w:after="120"/>
        <w:jc w:val="both"/>
        <w:rPr>
          <w:rFonts w:ascii="Cambria" w:eastAsia="Cambria" w:hAnsi="Cambria" w:cs="Cambria"/>
          <w:color w:val="000000"/>
          <w:sz w:val="20"/>
          <w:szCs w:val="20"/>
          <w:u w:color="000000"/>
          <w:lang w:eastAsia="es-ES"/>
        </w:rPr>
      </w:pPr>
      <w:r w:rsidRPr="00F074DF">
        <w:rPr>
          <w:rFonts w:ascii="Cambria" w:eastAsia="Cambria" w:hAnsi="Cambria" w:cs="Cambria"/>
          <w:color w:val="000000"/>
          <w:sz w:val="20"/>
          <w:szCs w:val="20"/>
          <w:u w:color="000000"/>
          <w:lang w:eastAsia="es-ES"/>
        </w:rPr>
        <w:t xml:space="preserve">Finally, the State argues that the existence of an unfavorable judgment does not imply a violation of the Convention, since the Commission cannot act as a fourth instance, arguing that this body could not substitute its own evaluation of the facts for that of the internal </w:t>
      </w:r>
      <w:r>
        <w:rPr>
          <w:rFonts w:ascii="Cambria" w:eastAsia="Cambria" w:hAnsi="Cambria" w:cs="Cambria"/>
          <w:color w:val="000000"/>
          <w:sz w:val="20"/>
          <w:szCs w:val="20"/>
          <w:u w:color="000000"/>
          <w:lang w:eastAsia="es-ES"/>
        </w:rPr>
        <w:t>courts</w:t>
      </w:r>
      <w:r w:rsidRPr="00F074DF">
        <w:rPr>
          <w:rFonts w:ascii="Cambria" w:eastAsia="Cambria" w:hAnsi="Cambria" w:cs="Cambria"/>
          <w:color w:val="000000"/>
          <w:sz w:val="20"/>
          <w:szCs w:val="20"/>
          <w:u w:color="000000"/>
          <w:lang w:eastAsia="es-ES"/>
        </w:rPr>
        <w:t xml:space="preserve">, to which corresponds the interpretation of the law and the evaluation of the test. </w:t>
      </w:r>
      <w:r w:rsidRPr="00666340">
        <w:rPr>
          <w:rFonts w:ascii="Cambria" w:eastAsia="Cambria" w:hAnsi="Cambria" w:cs="Cambria"/>
          <w:color w:val="000000"/>
          <w:sz w:val="20"/>
          <w:szCs w:val="20"/>
          <w:u w:color="000000"/>
          <w:lang w:eastAsia="es-ES"/>
        </w:rPr>
        <w:t xml:space="preserve">Besides, it concludes that the facts presented by the petitioner do not constitute a violation to the </w:t>
      </w:r>
      <w:r>
        <w:rPr>
          <w:rFonts w:ascii="Cambria" w:eastAsia="Cambria" w:hAnsi="Cambria" w:cs="Cambria"/>
          <w:color w:val="000000"/>
          <w:sz w:val="20"/>
          <w:szCs w:val="20"/>
          <w:u w:color="000000"/>
          <w:lang w:eastAsia="es-ES"/>
        </w:rPr>
        <w:t xml:space="preserve">Inter-American instruments. </w:t>
      </w:r>
    </w:p>
    <w:p w14:paraId="55505107" w14:textId="0663319A" w:rsidR="00F621C3" w:rsidRPr="000B6B7A" w:rsidRDefault="00F621C3" w:rsidP="00C355B4">
      <w:pPr>
        <w:spacing w:before="120" w:after="12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74B4E468" w14:textId="77777777" w:rsidR="00577E6C" w:rsidRPr="006D250D" w:rsidRDefault="00577E6C" w:rsidP="00577E6C">
      <w:pPr>
        <w:pStyle w:val="ListParagraph"/>
        <w:numPr>
          <w:ilvl w:val="0"/>
          <w:numId w:val="103"/>
        </w:numPr>
        <w:suppressAutoHyphens/>
        <w:spacing w:after="120"/>
        <w:jc w:val="both"/>
        <w:rPr>
          <w:rFonts w:asciiTheme="majorHAnsi" w:hAnsiTheme="majorHAnsi"/>
          <w:sz w:val="20"/>
          <w:szCs w:val="20"/>
        </w:rPr>
      </w:pPr>
      <w:r w:rsidRPr="00666340">
        <w:rPr>
          <w:bCs/>
          <w:sz w:val="20"/>
          <w:szCs w:val="20"/>
        </w:rPr>
        <w:t xml:space="preserve">The Commission notes that the facts alleged in the present case involve the alleged forced disappearance of Mr. Eliseo </w:t>
      </w:r>
      <w:proofErr w:type="spellStart"/>
      <w:r w:rsidRPr="00666340">
        <w:rPr>
          <w:bCs/>
          <w:sz w:val="20"/>
          <w:szCs w:val="20"/>
        </w:rPr>
        <w:t>Tineo</w:t>
      </w:r>
      <w:proofErr w:type="spellEnd"/>
      <w:r w:rsidRPr="00666340">
        <w:rPr>
          <w:bCs/>
          <w:sz w:val="20"/>
          <w:szCs w:val="20"/>
        </w:rPr>
        <w:t xml:space="preserve"> </w:t>
      </w:r>
      <w:proofErr w:type="spellStart"/>
      <w:r w:rsidRPr="00666340">
        <w:rPr>
          <w:bCs/>
          <w:sz w:val="20"/>
          <w:szCs w:val="20"/>
        </w:rPr>
        <w:t>Yupanqui</w:t>
      </w:r>
      <w:proofErr w:type="spellEnd"/>
      <w:r w:rsidRPr="00666340">
        <w:rPr>
          <w:bCs/>
          <w:sz w:val="20"/>
          <w:szCs w:val="20"/>
        </w:rPr>
        <w:t xml:space="preserve">, </w:t>
      </w:r>
      <w:r>
        <w:rPr>
          <w:bCs/>
          <w:sz w:val="20"/>
          <w:szCs w:val="20"/>
        </w:rPr>
        <w:t xml:space="preserve">Mr. </w:t>
      </w:r>
      <w:r w:rsidRPr="00666340">
        <w:rPr>
          <w:bCs/>
          <w:sz w:val="20"/>
          <w:szCs w:val="20"/>
        </w:rPr>
        <w:t xml:space="preserve">Marcelo </w:t>
      </w:r>
      <w:proofErr w:type="spellStart"/>
      <w:r w:rsidRPr="00666340">
        <w:rPr>
          <w:bCs/>
          <w:sz w:val="20"/>
          <w:szCs w:val="20"/>
        </w:rPr>
        <w:t>Enciso</w:t>
      </w:r>
      <w:proofErr w:type="spellEnd"/>
      <w:r w:rsidRPr="00666340">
        <w:rPr>
          <w:bCs/>
          <w:sz w:val="20"/>
          <w:szCs w:val="20"/>
        </w:rPr>
        <w:t xml:space="preserve"> Garc</w:t>
      </w:r>
      <w:r w:rsidRPr="00666340">
        <w:rPr>
          <w:rFonts w:hint="eastAsia"/>
          <w:bCs/>
          <w:sz w:val="20"/>
          <w:szCs w:val="20"/>
        </w:rPr>
        <w:t>í</w:t>
      </w:r>
      <w:r w:rsidRPr="00666340">
        <w:rPr>
          <w:bCs/>
          <w:sz w:val="20"/>
          <w:szCs w:val="20"/>
        </w:rPr>
        <w:t xml:space="preserve">a, </w:t>
      </w:r>
      <w:r>
        <w:rPr>
          <w:bCs/>
          <w:sz w:val="20"/>
          <w:szCs w:val="20"/>
        </w:rPr>
        <w:t xml:space="preserve">Mr. </w:t>
      </w:r>
      <w:proofErr w:type="spellStart"/>
      <w:r w:rsidRPr="00666340">
        <w:rPr>
          <w:bCs/>
          <w:sz w:val="20"/>
          <w:szCs w:val="20"/>
        </w:rPr>
        <w:t>L</w:t>
      </w:r>
      <w:r w:rsidRPr="00666340">
        <w:rPr>
          <w:rFonts w:hint="eastAsia"/>
          <w:bCs/>
          <w:sz w:val="20"/>
          <w:szCs w:val="20"/>
        </w:rPr>
        <w:t>á</w:t>
      </w:r>
      <w:r w:rsidRPr="00666340">
        <w:rPr>
          <w:bCs/>
          <w:sz w:val="20"/>
          <w:szCs w:val="20"/>
        </w:rPr>
        <w:t>zaro</w:t>
      </w:r>
      <w:proofErr w:type="spellEnd"/>
      <w:r w:rsidRPr="00666340">
        <w:rPr>
          <w:bCs/>
          <w:sz w:val="20"/>
          <w:szCs w:val="20"/>
        </w:rPr>
        <w:t xml:space="preserve"> </w:t>
      </w:r>
      <w:proofErr w:type="spellStart"/>
      <w:r w:rsidRPr="00666340">
        <w:rPr>
          <w:bCs/>
          <w:sz w:val="20"/>
          <w:szCs w:val="20"/>
        </w:rPr>
        <w:t>Paquiayuri</w:t>
      </w:r>
      <w:proofErr w:type="spellEnd"/>
      <w:r w:rsidRPr="00666340">
        <w:rPr>
          <w:bCs/>
          <w:sz w:val="20"/>
          <w:szCs w:val="20"/>
        </w:rPr>
        <w:t xml:space="preserve"> </w:t>
      </w:r>
      <w:proofErr w:type="spellStart"/>
      <w:r w:rsidRPr="00666340">
        <w:rPr>
          <w:bCs/>
          <w:sz w:val="20"/>
          <w:szCs w:val="20"/>
        </w:rPr>
        <w:t>Canchari</w:t>
      </w:r>
      <w:proofErr w:type="spellEnd"/>
      <w:r w:rsidRPr="00666340">
        <w:rPr>
          <w:bCs/>
          <w:sz w:val="20"/>
          <w:szCs w:val="20"/>
        </w:rPr>
        <w:t xml:space="preserve"> and </w:t>
      </w:r>
      <w:r>
        <w:rPr>
          <w:bCs/>
          <w:sz w:val="20"/>
          <w:szCs w:val="20"/>
        </w:rPr>
        <w:t xml:space="preserve">Mr. </w:t>
      </w:r>
      <w:r w:rsidRPr="00666340">
        <w:rPr>
          <w:bCs/>
          <w:sz w:val="20"/>
          <w:szCs w:val="20"/>
        </w:rPr>
        <w:t>Donato Mendoza de la Cruz</w:t>
      </w:r>
      <w:r w:rsidRPr="00666340">
        <w:rPr>
          <w:sz w:val="20"/>
          <w:szCs w:val="20"/>
        </w:rPr>
        <w:t xml:space="preserve">, </w:t>
      </w:r>
      <w:r>
        <w:rPr>
          <w:sz w:val="20"/>
          <w:szCs w:val="20"/>
        </w:rPr>
        <w:t>and that these types of crimes have to be investigated ex officio and diligently by governmental authorities. In these cases, the criminal process is the correct path to clarify the facts and establish proper criminal sanctions</w:t>
      </w:r>
      <w:r w:rsidRPr="00666340">
        <w:rPr>
          <w:sz w:val="20"/>
          <w:szCs w:val="20"/>
        </w:rPr>
        <w:t xml:space="preserve"> </w:t>
      </w:r>
      <w:r>
        <w:rPr>
          <w:sz w:val="20"/>
          <w:szCs w:val="20"/>
        </w:rPr>
        <w:t xml:space="preserve">aside from allowing for other forms of pecuniary reparation. In this sense, based on the facts presented, the Commission observes that for the forced disappearance of the alleged victims one person was condemned for kidnapping and later he benefitted from amnesty law of March 27, 1996. Additionally, it considers that in the framework of the second process initiated in 2004, the Supreme Court of Justice of Peru condemned one person for the involvement in the facts described and acquitted four of the accused in its August 5, 2009 decision through a resolution issued on April 20, 2010 that ratified that 13 people </w:t>
      </w:r>
      <w:r w:rsidRPr="006D250D">
        <w:rPr>
          <w:rFonts w:asciiTheme="majorHAnsi" w:hAnsiTheme="majorHAnsi"/>
          <w:sz w:val="20"/>
          <w:szCs w:val="20"/>
        </w:rPr>
        <w:t>involved in the fact be excluded from investigation. The Commission considers that the last decision exhausted local remedies.</w:t>
      </w:r>
    </w:p>
    <w:p w14:paraId="37C3FC5A" w14:textId="64126537" w:rsidR="00577E6C" w:rsidRPr="006D250D" w:rsidRDefault="00577E6C" w:rsidP="00577E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rPr>
      </w:pPr>
      <w:r w:rsidRPr="006D250D">
        <w:rPr>
          <w:rFonts w:asciiTheme="majorHAnsi" w:hAnsiTheme="majorHAnsi"/>
          <w:sz w:val="20"/>
          <w:szCs w:val="20"/>
        </w:rPr>
        <w:t xml:space="preserve">On the other hand, the Commission observed that the petition sent by mail was received by the IACHR on January 6, 2011, and that the notification of the Supreme Court’s decision took place on July 5, 2010. On that note, considering the practice from the IACHR, assuming that the days that went by while the </w:t>
      </w:r>
      <w:r w:rsidRPr="006D250D">
        <w:rPr>
          <w:rFonts w:asciiTheme="majorHAnsi" w:hAnsiTheme="majorHAnsi"/>
          <w:sz w:val="20"/>
          <w:szCs w:val="20"/>
        </w:rPr>
        <w:lastRenderedPageBreak/>
        <w:t>petition was in the postal office</w:t>
      </w:r>
      <w:r w:rsidRPr="006D250D">
        <w:rPr>
          <w:rFonts w:asciiTheme="majorHAnsi" w:hAnsiTheme="majorHAnsi"/>
          <w:sz w:val="20"/>
          <w:szCs w:val="20"/>
          <w:vertAlign w:val="superscript"/>
          <w:lang w:val="es-ES_tradnl"/>
        </w:rPr>
        <w:footnoteReference w:id="7"/>
      </w:r>
      <w:r w:rsidRPr="006D250D">
        <w:rPr>
          <w:rFonts w:asciiTheme="majorHAnsi" w:hAnsiTheme="majorHAnsi"/>
          <w:sz w:val="20"/>
          <w:szCs w:val="20"/>
        </w:rPr>
        <w:t>, the Commission considers that the petition was presented in due time satisfying in such manner the requirement of article 46.1.b of the American Convention.</w:t>
      </w:r>
    </w:p>
    <w:p w14:paraId="6EE870B3" w14:textId="3918E565" w:rsidR="00577E6C" w:rsidRPr="00F074DF" w:rsidRDefault="00F621C3" w:rsidP="00F074DF">
      <w:pPr>
        <w:pStyle w:val="ListParagraph"/>
        <w:spacing w:before="120" w:after="12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66387212" w14:textId="6FD1A20B" w:rsidR="00577E6C" w:rsidRPr="00666340" w:rsidRDefault="00EA0C7C" w:rsidP="00577E6C">
      <w:pPr>
        <w:numPr>
          <w:ilvl w:val="0"/>
          <w:numId w:val="103"/>
        </w:numPr>
        <w:suppressAutoHyphens/>
        <w:spacing w:after="120"/>
        <w:jc w:val="both"/>
        <w:rPr>
          <w:rFonts w:ascii="Cambria" w:hAnsi="Cambria"/>
          <w:color w:val="000000" w:themeColor="text1"/>
          <w:sz w:val="20"/>
          <w:szCs w:val="20"/>
        </w:rPr>
      </w:pPr>
      <w:r>
        <w:rPr>
          <w:rFonts w:ascii="Cambria" w:hAnsi="Cambria"/>
          <w:color w:val="000000" w:themeColor="text1"/>
          <w:sz w:val="20"/>
          <w:szCs w:val="20"/>
        </w:rPr>
        <w:t xml:space="preserve">In view of the elements of </w:t>
      </w:r>
      <w:r w:rsidR="00577E6C" w:rsidRPr="00666340">
        <w:rPr>
          <w:rFonts w:ascii="Cambria" w:hAnsi="Cambria"/>
          <w:color w:val="000000" w:themeColor="text1"/>
          <w:sz w:val="20"/>
          <w:szCs w:val="20"/>
        </w:rPr>
        <w:t>fact and l</w:t>
      </w:r>
      <w:r>
        <w:rPr>
          <w:rFonts w:ascii="Cambria" w:hAnsi="Cambria"/>
          <w:color w:val="000000" w:themeColor="text1"/>
          <w:sz w:val="20"/>
          <w:szCs w:val="20"/>
        </w:rPr>
        <w:t>aw</w:t>
      </w:r>
      <w:r w:rsidR="00577E6C" w:rsidRPr="00666340">
        <w:rPr>
          <w:rFonts w:ascii="Cambria" w:hAnsi="Cambria"/>
          <w:color w:val="000000" w:themeColor="text1"/>
          <w:sz w:val="20"/>
          <w:szCs w:val="20"/>
        </w:rPr>
        <w:t xml:space="preserve"> presented by the parties and </w:t>
      </w:r>
      <w:r>
        <w:rPr>
          <w:rFonts w:ascii="Cambria" w:hAnsi="Cambria"/>
          <w:color w:val="000000" w:themeColor="text1"/>
          <w:sz w:val="20"/>
          <w:szCs w:val="20"/>
        </w:rPr>
        <w:t xml:space="preserve">given </w:t>
      </w:r>
      <w:r w:rsidR="00577E6C" w:rsidRPr="00666340">
        <w:rPr>
          <w:rFonts w:ascii="Cambria" w:hAnsi="Cambria"/>
          <w:color w:val="000000" w:themeColor="text1"/>
          <w:sz w:val="20"/>
          <w:szCs w:val="20"/>
        </w:rPr>
        <w:t xml:space="preserve">the nature </w:t>
      </w:r>
      <w:r>
        <w:rPr>
          <w:rFonts w:ascii="Cambria" w:hAnsi="Cambria"/>
          <w:color w:val="000000" w:themeColor="text1"/>
          <w:sz w:val="20"/>
          <w:szCs w:val="20"/>
        </w:rPr>
        <w:t>of</w:t>
      </w:r>
      <w:r w:rsidR="00577E6C" w:rsidRPr="00666340">
        <w:rPr>
          <w:rFonts w:ascii="Cambria" w:hAnsi="Cambria"/>
          <w:color w:val="000000" w:themeColor="text1"/>
          <w:sz w:val="20"/>
          <w:szCs w:val="20"/>
        </w:rPr>
        <w:t xml:space="preserve"> the </w:t>
      </w:r>
      <w:r>
        <w:rPr>
          <w:rFonts w:ascii="Cambria" w:hAnsi="Cambria"/>
          <w:color w:val="000000" w:themeColor="text1"/>
          <w:sz w:val="20"/>
          <w:szCs w:val="20"/>
        </w:rPr>
        <w:t>ma</w:t>
      </w:r>
      <w:r w:rsidR="00577E6C" w:rsidRPr="00666340">
        <w:rPr>
          <w:rFonts w:ascii="Cambria" w:hAnsi="Cambria"/>
          <w:color w:val="000000" w:themeColor="text1"/>
          <w:sz w:val="20"/>
          <w:szCs w:val="20"/>
        </w:rPr>
        <w:t>t</w:t>
      </w:r>
      <w:r>
        <w:rPr>
          <w:rFonts w:ascii="Cambria" w:hAnsi="Cambria"/>
          <w:color w:val="000000" w:themeColor="text1"/>
          <w:sz w:val="20"/>
          <w:szCs w:val="20"/>
        </w:rPr>
        <w:t>t</w:t>
      </w:r>
      <w:r w:rsidR="00577E6C" w:rsidRPr="00666340">
        <w:rPr>
          <w:rFonts w:ascii="Cambria" w:hAnsi="Cambria"/>
          <w:color w:val="000000" w:themeColor="text1"/>
          <w:sz w:val="20"/>
          <w:szCs w:val="20"/>
        </w:rPr>
        <w:t>er</w:t>
      </w:r>
      <w:r>
        <w:rPr>
          <w:rFonts w:ascii="Cambria" w:hAnsi="Cambria"/>
          <w:color w:val="000000" w:themeColor="text1"/>
          <w:sz w:val="20"/>
          <w:szCs w:val="20"/>
        </w:rPr>
        <w:t xml:space="preserve"> brought to it</w:t>
      </w:r>
      <w:r w:rsidR="00577E6C" w:rsidRPr="00666340">
        <w:rPr>
          <w:rFonts w:ascii="Cambria" w:hAnsi="Cambria"/>
          <w:color w:val="000000" w:themeColor="text1"/>
          <w:sz w:val="20"/>
          <w:szCs w:val="20"/>
        </w:rPr>
        <w:t xml:space="preserve">, the Commission considers that, if proved, the alleged detention, torture and disappearance of Mr. </w:t>
      </w:r>
      <w:r w:rsidR="00577E6C" w:rsidRPr="00666340">
        <w:rPr>
          <w:rFonts w:ascii="Cambria" w:hAnsi="Cambria"/>
          <w:bCs/>
          <w:color w:val="000000" w:themeColor="text1"/>
          <w:sz w:val="20"/>
          <w:szCs w:val="20"/>
        </w:rPr>
        <w:t xml:space="preserve">Eliseo </w:t>
      </w:r>
      <w:proofErr w:type="spellStart"/>
      <w:r w:rsidR="00577E6C" w:rsidRPr="00666340">
        <w:rPr>
          <w:rFonts w:ascii="Cambria" w:hAnsi="Cambria"/>
          <w:bCs/>
          <w:color w:val="000000" w:themeColor="text1"/>
          <w:sz w:val="20"/>
          <w:szCs w:val="20"/>
        </w:rPr>
        <w:t>Tineo</w:t>
      </w:r>
      <w:proofErr w:type="spellEnd"/>
      <w:r w:rsidR="00577E6C" w:rsidRPr="00666340">
        <w:rPr>
          <w:rFonts w:ascii="Cambria" w:hAnsi="Cambria"/>
          <w:bCs/>
          <w:color w:val="000000" w:themeColor="text1"/>
          <w:sz w:val="20"/>
          <w:szCs w:val="20"/>
        </w:rPr>
        <w:t xml:space="preserve"> </w:t>
      </w:r>
      <w:proofErr w:type="spellStart"/>
      <w:r w:rsidR="00577E6C" w:rsidRPr="00666340">
        <w:rPr>
          <w:rFonts w:ascii="Cambria" w:hAnsi="Cambria"/>
          <w:bCs/>
          <w:color w:val="000000" w:themeColor="text1"/>
          <w:sz w:val="20"/>
          <w:szCs w:val="20"/>
        </w:rPr>
        <w:t>Yupanqui</w:t>
      </w:r>
      <w:proofErr w:type="spellEnd"/>
      <w:r w:rsidR="00577E6C" w:rsidRPr="00666340">
        <w:rPr>
          <w:rFonts w:ascii="Cambria" w:hAnsi="Cambria"/>
          <w:bCs/>
          <w:color w:val="000000" w:themeColor="text1"/>
          <w:sz w:val="20"/>
          <w:szCs w:val="20"/>
        </w:rPr>
        <w:t xml:space="preserve">, </w:t>
      </w:r>
      <w:r w:rsidR="00577E6C">
        <w:rPr>
          <w:rFonts w:ascii="Cambria" w:hAnsi="Cambria"/>
          <w:bCs/>
          <w:color w:val="000000" w:themeColor="text1"/>
          <w:sz w:val="20"/>
          <w:szCs w:val="20"/>
        </w:rPr>
        <w:t xml:space="preserve">Mr. </w:t>
      </w:r>
      <w:r w:rsidR="00577E6C" w:rsidRPr="00666340">
        <w:rPr>
          <w:rFonts w:ascii="Cambria" w:hAnsi="Cambria"/>
          <w:bCs/>
          <w:color w:val="000000" w:themeColor="text1"/>
          <w:sz w:val="20"/>
          <w:szCs w:val="20"/>
        </w:rPr>
        <w:t xml:space="preserve">Marcelo </w:t>
      </w:r>
      <w:proofErr w:type="spellStart"/>
      <w:r w:rsidR="00577E6C" w:rsidRPr="00666340">
        <w:rPr>
          <w:rFonts w:ascii="Cambria" w:hAnsi="Cambria"/>
          <w:bCs/>
          <w:color w:val="000000" w:themeColor="text1"/>
          <w:sz w:val="20"/>
          <w:szCs w:val="20"/>
        </w:rPr>
        <w:t>Enciso</w:t>
      </w:r>
      <w:proofErr w:type="spellEnd"/>
      <w:r w:rsidR="00577E6C" w:rsidRPr="00666340">
        <w:rPr>
          <w:rFonts w:ascii="Cambria" w:hAnsi="Cambria"/>
          <w:bCs/>
          <w:color w:val="000000" w:themeColor="text1"/>
          <w:sz w:val="20"/>
          <w:szCs w:val="20"/>
        </w:rPr>
        <w:t xml:space="preserve"> Garc</w:t>
      </w:r>
      <w:r w:rsidR="00577E6C" w:rsidRPr="00666340">
        <w:rPr>
          <w:rFonts w:ascii="Cambria" w:hAnsi="Cambria" w:hint="eastAsia"/>
          <w:bCs/>
          <w:color w:val="000000" w:themeColor="text1"/>
          <w:sz w:val="20"/>
          <w:szCs w:val="20"/>
        </w:rPr>
        <w:t>í</w:t>
      </w:r>
      <w:r w:rsidR="00577E6C" w:rsidRPr="00666340">
        <w:rPr>
          <w:rFonts w:ascii="Cambria" w:hAnsi="Cambria"/>
          <w:bCs/>
          <w:color w:val="000000" w:themeColor="text1"/>
          <w:sz w:val="20"/>
          <w:szCs w:val="20"/>
        </w:rPr>
        <w:t xml:space="preserve">a, </w:t>
      </w:r>
      <w:r w:rsidR="00577E6C">
        <w:rPr>
          <w:rFonts w:ascii="Cambria" w:hAnsi="Cambria"/>
          <w:bCs/>
          <w:color w:val="000000" w:themeColor="text1"/>
          <w:sz w:val="20"/>
          <w:szCs w:val="20"/>
        </w:rPr>
        <w:t xml:space="preserve">Mr. </w:t>
      </w:r>
      <w:proofErr w:type="spellStart"/>
      <w:r w:rsidR="00577E6C" w:rsidRPr="00666340">
        <w:rPr>
          <w:rFonts w:ascii="Cambria" w:hAnsi="Cambria"/>
          <w:bCs/>
          <w:color w:val="000000" w:themeColor="text1"/>
          <w:sz w:val="20"/>
          <w:szCs w:val="20"/>
        </w:rPr>
        <w:t>L</w:t>
      </w:r>
      <w:r w:rsidR="00577E6C" w:rsidRPr="00666340">
        <w:rPr>
          <w:rFonts w:ascii="Cambria" w:hAnsi="Cambria" w:hint="eastAsia"/>
          <w:bCs/>
          <w:color w:val="000000" w:themeColor="text1"/>
          <w:sz w:val="20"/>
          <w:szCs w:val="20"/>
        </w:rPr>
        <w:t>á</w:t>
      </w:r>
      <w:r w:rsidR="00577E6C" w:rsidRPr="00666340">
        <w:rPr>
          <w:rFonts w:ascii="Cambria" w:hAnsi="Cambria"/>
          <w:bCs/>
          <w:color w:val="000000" w:themeColor="text1"/>
          <w:sz w:val="20"/>
          <w:szCs w:val="20"/>
        </w:rPr>
        <w:t>zaro</w:t>
      </w:r>
      <w:proofErr w:type="spellEnd"/>
      <w:r w:rsidR="00577E6C" w:rsidRPr="00666340">
        <w:rPr>
          <w:rFonts w:ascii="Cambria" w:hAnsi="Cambria"/>
          <w:bCs/>
          <w:color w:val="000000" w:themeColor="text1"/>
          <w:sz w:val="20"/>
          <w:szCs w:val="20"/>
        </w:rPr>
        <w:t xml:space="preserve"> </w:t>
      </w:r>
      <w:proofErr w:type="spellStart"/>
      <w:r w:rsidR="00577E6C" w:rsidRPr="00666340">
        <w:rPr>
          <w:rFonts w:ascii="Cambria" w:hAnsi="Cambria"/>
          <w:bCs/>
          <w:color w:val="000000" w:themeColor="text1"/>
          <w:sz w:val="20"/>
          <w:szCs w:val="20"/>
        </w:rPr>
        <w:t>Paquiayuri</w:t>
      </w:r>
      <w:proofErr w:type="spellEnd"/>
      <w:r w:rsidR="00577E6C" w:rsidRPr="00666340">
        <w:rPr>
          <w:rFonts w:ascii="Cambria" w:hAnsi="Cambria"/>
          <w:bCs/>
          <w:color w:val="000000" w:themeColor="text1"/>
          <w:sz w:val="20"/>
          <w:szCs w:val="20"/>
        </w:rPr>
        <w:t xml:space="preserve"> </w:t>
      </w:r>
      <w:proofErr w:type="spellStart"/>
      <w:r w:rsidR="00577E6C" w:rsidRPr="00666340">
        <w:rPr>
          <w:rFonts w:ascii="Cambria" w:hAnsi="Cambria"/>
          <w:bCs/>
          <w:color w:val="000000" w:themeColor="text1"/>
          <w:sz w:val="20"/>
          <w:szCs w:val="20"/>
        </w:rPr>
        <w:t>Canchari</w:t>
      </w:r>
      <w:proofErr w:type="spellEnd"/>
      <w:r w:rsidR="00577E6C" w:rsidRPr="00666340">
        <w:rPr>
          <w:rFonts w:ascii="Cambria" w:hAnsi="Cambria"/>
          <w:bCs/>
          <w:color w:val="000000" w:themeColor="text1"/>
          <w:sz w:val="20"/>
          <w:szCs w:val="20"/>
        </w:rPr>
        <w:t xml:space="preserve"> and </w:t>
      </w:r>
      <w:r w:rsidR="00577E6C">
        <w:rPr>
          <w:rFonts w:ascii="Cambria" w:hAnsi="Cambria"/>
          <w:bCs/>
          <w:color w:val="000000" w:themeColor="text1"/>
          <w:sz w:val="20"/>
          <w:szCs w:val="20"/>
        </w:rPr>
        <w:t xml:space="preserve">Mr. </w:t>
      </w:r>
      <w:r w:rsidR="00577E6C" w:rsidRPr="00666340">
        <w:rPr>
          <w:rFonts w:ascii="Cambria" w:hAnsi="Cambria"/>
          <w:bCs/>
          <w:color w:val="000000" w:themeColor="text1"/>
          <w:sz w:val="20"/>
          <w:szCs w:val="20"/>
        </w:rPr>
        <w:t>Donato Mendoza de la Cruz</w:t>
      </w:r>
      <w:r w:rsidR="00577E6C">
        <w:rPr>
          <w:rFonts w:ascii="Cambria" w:hAnsi="Cambria"/>
          <w:bCs/>
          <w:color w:val="000000" w:themeColor="text1"/>
          <w:sz w:val="20"/>
          <w:szCs w:val="20"/>
        </w:rPr>
        <w:t xml:space="preserve"> and the</w:t>
      </w:r>
      <w:r w:rsidR="00577E6C" w:rsidRPr="00666340">
        <w:rPr>
          <w:rFonts w:ascii="Cambria" w:hAnsi="Cambria"/>
          <w:bCs/>
          <w:color w:val="000000" w:themeColor="text1"/>
          <w:sz w:val="20"/>
          <w:szCs w:val="20"/>
        </w:rPr>
        <w:t xml:space="preserve"> </w:t>
      </w:r>
      <w:proofErr w:type="spellStart"/>
      <w:r w:rsidR="00577E6C" w:rsidRPr="00666340">
        <w:rPr>
          <w:rFonts w:ascii="Cambria" w:hAnsi="Cambria"/>
          <w:bCs/>
          <w:color w:val="000000" w:themeColor="text1"/>
          <w:sz w:val="20"/>
          <w:szCs w:val="20"/>
        </w:rPr>
        <w:t>the</w:t>
      </w:r>
      <w:proofErr w:type="spellEnd"/>
      <w:r w:rsidR="00577E6C" w:rsidRPr="00666340">
        <w:rPr>
          <w:rFonts w:ascii="Cambria" w:hAnsi="Cambria"/>
          <w:bCs/>
          <w:color w:val="000000" w:themeColor="text1"/>
          <w:sz w:val="20"/>
          <w:szCs w:val="20"/>
        </w:rPr>
        <w:t xml:space="preserve"> lack of criminal punishment of those responsible for said facts </w:t>
      </w:r>
      <w:r w:rsidR="00577E6C" w:rsidRPr="00666340">
        <w:rPr>
          <w:rFonts w:ascii="Cambria" w:hAnsi="Cambria"/>
          <w:color w:val="000000" w:themeColor="text1"/>
          <w:sz w:val="20"/>
          <w:szCs w:val="20"/>
        </w:rPr>
        <w:t xml:space="preserve">could establish a possible violation of the rights protected by Articles 3, </w:t>
      </w:r>
      <w:r w:rsidR="00577E6C" w:rsidRPr="00666340">
        <w:rPr>
          <w:rFonts w:ascii="Cambria" w:hAnsi="Cambria"/>
          <w:bCs/>
          <w:color w:val="000000" w:themeColor="text1"/>
          <w:sz w:val="20"/>
          <w:szCs w:val="20"/>
        </w:rPr>
        <w:t>4, 5, 7, 8 and 25 of the American Convention, in relation to articles 1.1 y 2, as well as article 1 of the Inter-American Convention on Forced Disappearance of Persons.</w:t>
      </w:r>
    </w:p>
    <w:p w14:paraId="70146B96" w14:textId="7043875D" w:rsidR="00F621C3" w:rsidRPr="000B6B7A" w:rsidRDefault="00577E6C" w:rsidP="00577E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666340">
        <w:rPr>
          <w:rFonts w:ascii="Cambria" w:hAnsi="Cambria"/>
          <w:sz w:val="20"/>
          <w:szCs w:val="20"/>
        </w:rPr>
        <w:t xml:space="preserve">In relation to the claim of fourth instance presented by the State, the Commission observes that </w:t>
      </w:r>
      <w:r>
        <w:rPr>
          <w:rFonts w:ascii="Cambria" w:hAnsi="Cambria"/>
          <w:sz w:val="20"/>
          <w:szCs w:val="20"/>
        </w:rPr>
        <w:t>in admitting this petition it does not pretend to replace the competence of domestic judicial authorities. It will analyze at the merits stage of the present petition, whether internal judicial processes complied with the guarantee of due process and judicial protection and whether it offered the due guarantees of access to justice to the alleged victims in the terms of the American Convention.</w:t>
      </w:r>
    </w:p>
    <w:p w14:paraId="5A70550C" w14:textId="77777777" w:rsidR="00F621C3" w:rsidRPr="000B6B7A" w:rsidRDefault="00F621C3" w:rsidP="00C355B4">
      <w:pPr>
        <w:pStyle w:val="ListParagraph"/>
        <w:spacing w:before="120" w:after="12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DFEEEB8" w14:textId="77777777" w:rsidR="00577E6C" w:rsidRPr="00666340" w:rsidRDefault="00577E6C" w:rsidP="00577E6C">
      <w:pPr>
        <w:numPr>
          <w:ilvl w:val="0"/>
          <w:numId w:val="105"/>
        </w:numPr>
        <w:suppressAutoHyphens/>
        <w:spacing w:after="120"/>
        <w:jc w:val="both"/>
        <w:rPr>
          <w:rFonts w:ascii="Cambria" w:hAnsi="Cambria"/>
          <w:sz w:val="20"/>
          <w:szCs w:val="20"/>
        </w:rPr>
      </w:pPr>
      <w:r w:rsidRPr="00666340">
        <w:rPr>
          <w:rFonts w:ascii="Cambria" w:hAnsi="Cambria"/>
          <w:sz w:val="20"/>
          <w:szCs w:val="20"/>
        </w:rPr>
        <w:t xml:space="preserve">To find the instant petition admissible in relation to Articles </w:t>
      </w:r>
      <w:r w:rsidRPr="00666340">
        <w:rPr>
          <w:rFonts w:ascii="Cambria" w:hAnsi="Cambria"/>
          <w:bCs/>
          <w:sz w:val="20"/>
          <w:szCs w:val="20"/>
        </w:rPr>
        <w:t xml:space="preserve">3, 4, 5, 7, 8 and 25 of the American Convention, in accordance with articles 1.1 and 2, as well as article I </w:t>
      </w:r>
      <w:r>
        <w:rPr>
          <w:rFonts w:ascii="Cambria" w:hAnsi="Cambria"/>
          <w:bCs/>
          <w:sz w:val="20"/>
          <w:szCs w:val="20"/>
        </w:rPr>
        <w:t xml:space="preserve">of the Inter-American convention on Forced Disappearance of Persons. </w:t>
      </w:r>
    </w:p>
    <w:p w14:paraId="4818D7D1" w14:textId="77777777" w:rsidR="00577E6C" w:rsidRPr="00666340" w:rsidRDefault="00577E6C" w:rsidP="00577E6C">
      <w:pPr>
        <w:numPr>
          <w:ilvl w:val="0"/>
          <w:numId w:val="105"/>
        </w:numPr>
        <w:suppressAutoHyphens/>
        <w:spacing w:after="120"/>
        <w:jc w:val="both"/>
        <w:rPr>
          <w:rFonts w:ascii="Cambria" w:hAnsi="Cambria"/>
          <w:sz w:val="20"/>
          <w:szCs w:val="20"/>
        </w:rPr>
      </w:pPr>
      <w:r w:rsidRPr="00666340">
        <w:rPr>
          <w:rFonts w:ascii="Cambria" w:hAnsi="Cambria"/>
          <w:sz w:val="20"/>
          <w:szCs w:val="20"/>
        </w:rPr>
        <w:t xml:space="preserve">To notify the parties of the decision; to continue with the analysis on the merits and to publish this decision </w:t>
      </w:r>
      <w:r w:rsidRPr="00666340">
        <w:rPr>
          <w:rFonts w:ascii="Cambria" w:eastAsia="Times New Roman" w:hAnsi="Cambria"/>
          <w:sz w:val="20"/>
          <w:szCs w:val="20"/>
        </w:rPr>
        <w:t>and to include it in its Annual Report to the General Assembly of the Organization of American States.</w:t>
      </w:r>
    </w:p>
    <w:p w14:paraId="3A0D0918" w14:textId="77777777" w:rsidR="00F621C3" w:rsidRPr="000B6B7A" w:rsidRDefault="00F621C3" w:rsidP="00F621C3">
      <w:pPr>
        <w:rPr>
          <w:rFonts w:ascii="Cambria" w:hAnsi="Cambria" w:cs="Calibri"/>
          <w:sz w:val="20"/>
          <w:szCs w:val="20"/>
        </w:rPr>
      </w:pPr>
    </w:p>
    <w:p w14:paraId="689776A6" w14:textId="5295818D" w:rsidR="00783858" w:rsidRPr="00365F2F" w:rsidRDefault="00783858" w:rsidP="00783858">
      <w:pPr>
        <w:suppressAutoHyphens/>
        <w:ind w:firstLine="720"/>
        <w:jc w:val="both"/>
        <w:rPr>
          <w:rFonts w:ascii="Cambria" w:hAnsi="Cambria"/>
          <w:spacing w:val="-2"/>
          <w:sz w:val="20"/>
        </w:rPr>
      </w:pPr>
      <w:r>
        <w:rPr>
          <w:rFonts w:ascii="Cambria" w:hAnsi="Cambria"/>
          <w:spacing w:val="-2"/>
          <w:sz w:val="20"/>
        </w:rPr>
        <w:t xml:space="preserve">Approved by the Inter-American Commission on Human Rights </w:t>
      </w:r>
      <w:r w:rsidRPr="00365F2F">
        <w:rPr>
          <w:rFonts w:ascii="Cambria" w:hAnsi="Cambria"/>
          <w:spacing w:val="-2"/>
          <w:sz w:val="20"/>
        </w:rPr>
        <w:t xml:space="preserve">on the </w:t>
      </w:r>
      <w:r>
        <w:rPr>
          <w:rFonts w:ascii="Cambria" w:hAnsi="Cambria"/>
          <w:spacing w:val="-2"/>
          <w:sz w:val="20"/>
        </w:rPr>
        <w:t>6</w:t>
      </w:r>
      <w:r w:rsidRPr="00257739">
        <w:rPr>
          <w:rFonts w:ascii="Cambria" w:hAnsi="Cambria"/>
          <w:spacing w:val="-2"/>
          <w:sz w:val="20"/>
          <w:vertAlign w:val="superscript"/>
        </w:rPr>
        <w:t>th</w:t>
      </w:r>
      <w:r w:rsidRPr="00365F2F">
        <w:rPr>
          <w:rFonts w:ascii="Cambria" w:hAnsi="Cambria"/>
          <w:spacing w:val="-2"/>
          <w:sz w:val="20"/>
        </w:rPr>
        <w:t xml:space="preserve"> day of the </w:t>
      </w:r>
      <w:r>
        <w:rPr>
          <w:rFonts w:ascii="Cambria" w:hAnsi="Cambria"/>
          <w:spacing w:val="-2"/>
          <w:sz w:val="20"/>
        </w:rPr>
        <w:t xml:space="preserve">month of </w:t>
      </w:r>
      <w:r>
        <w:rPr>
          <w:rFonts w:ascii="Cambria" w:hAnsi="Cambria"/>
          <w:spacing w:val="-2"/>
          <w:sz w:val="20"/>
        </w:rPr>
        <w:t>December</w:t>
      </w:r>
      <w:r w:rsidRPr="00365F2F">
        <w:rPr>
          <w:rFonts w:ascii="Cambria" w:hAnsi="Cambria"/>
          <w:spacing w:val="-2"/>
          <w:sz w:val="20"/>
        </w:rPr>
        <w:t xml:space="preserve">, </w:t>
      </w:r>
      <w:r>
        <w:rPr>
          <w:rFonts w:ascii="Cambria" w:hAnsi="Cambria"/>
          <w:spacing w:val="-2"/>
          <w:sz w:val="20"/>
        </w:rPr>
        <w:t>2019</w:t>
      </w:r>
      <w:r w:rsidRPr="00365F2F">
        <w:rPr>
          <w:rFonts w:ascii="Cambria" w:hAnsi="Cambria"/>
          <w:spacing w:val="-2"/>
          <w:sz w:val="20"/>
        </w:rPr>
        <w:t xml:space="preserve">. (Signed):  </w:t>
      </w:r>
      <w:r w:rsidRPr="000500D4">
        <w:rPr>
          <w:rFonts w:ascii="Cambria" w:hAnsi="Cambria" w:cs="Arial"/>
          <w:noProof/>
          <w:spacing w:val="-2"/>
          <w:sz w:val="20"/>
        </w:rPr>
        <w:t>Esmeralda E. Arosemena Bernal de Troitiño,</w:t>
      </w:r>
      <w:r>
        <w:rPr>
          <w:rFonts w:ascii="Cambria" w:hAnsi="Cambria" w:cs="Arial"/>
          <w:noProof/>
          <w:spacing w:val="-2"/>
          <w:sz w:val="20"/>
        </w:rPr>
        <w:t xml:space="preserve">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 xml:space="preserve">Joel Hernández, </w:t>
      </w:r>
      <w:r w:rsidRPr="00365F2F">
        <w:rPr>
          <w:rFonts w:ascii="Cambria" w:hAnsi="Cambria"/>
          <w:spacing w:val="-2"/>
          <w:sz w:val="20"/>
        </w:rPr>
        <w:t>First Vice President</w:t>
      </w:r>
      <w:r>
        <w:rPr>
          <w:rFonts w:ascii="Cambria" w:hAnsi="Cambria"/>
          <w:spacing w:val="-2"/>
          <w:sz w:val="20"/>
        </w:rPr>
        <w:t>;</w:t>
      </w:r>
      <w:r>
        <w:rPr>
          <w:rFonts w:ascii="Cambria" w:hAnsi="Cambria" w:cs="Arial"/>
          <w:noProof/>
          <w:spacing w:val="-2"/>
          <w:sz w:val="20"/>
        </w:rPr>
        <w:t xml:space="preserve"> Antonia Urrejola, Second Vice President; Margarette May Macaulay,</w:t>
      </w:r>
      <w:r w:rsidRPr="00365F2F">
        <w:rPr>
          <w:rFonts w:ascii="Cambria" w:hAnsi="Cambria" w:cs="Arial"/>
          <w:noProof/>
          <w:spacing w:val="-2"/>
          <w:sz w:val="20"/>
        </w:rPr>
        <w:t xml:space="preserve"> </w:t>
      </w:r>
      <w:r>
        <w:rPr>
          <w:rFonts w:ascii="Cambria" w:hAnsi="Cambria" w:cs="Arial"/>
          <w:noProof/>
          <w:spacing w:val="-2"/>
          <w:sz w:val="20"/>
        </w:rPr>
        <w:t xml:space="preserve">Luis Ernesto Vargas Silva, and Flávia Piovesan, </w:t>
      </w:r>
      <w:r w:rsidRPr="00365F2F">
        <w:rPr>
          <w:rFonts w:ascii="Cambria" w:hAnsi="Cambria"/>
          <w:spacing w:val="-2"/>
          <w:sz w:val="20"/>
        </w:rPr>
        <w:t>Commissioners.</w:t>
      </w: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80CA7" w14:textId="77777777" w:rsidR="009E7286" w:rsidRDefault="009E7286" w:rsidP="00036A8A">
      <w:r>
        <w:separator/>
      </w:r>
    </w:p>
  </w:endnote>
  <w:endnote w:type="continuationSeparator" w:id="0">
    <w:p w14:paraId="6358A81B" w14:textId="77777777" w:rsidR="009E7286" w:rsidRDefault="009E728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6A882" w14:textId="77777777" w:rsidR="00287FB7" w:rsidRDefault="00287F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87FB7">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11239" w14:textId="77777777" w:rsidR="009E7286" w:rsidRPr="00036A8A" w:rsidRDefault="009E728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E5648BD" w14:textId="77777777" w:rsidR="009E7286" w:rsidRPr="00036A8A" w:rsidRDefault="009E7286" w:rsidP="00036A8A">
      <w:pPr>
        <w:rPr>
          <w:rFonts w:asciiTheme="majorHAnsi" w:hAnsiTheme="majorHAnsi"/>
          <w:sz w:val="16"/>
          <w:szCs w:val="16"/>
        </w:rPr>
      </w:pPr>
      <w:r w:rsidRPr="00036A8A">
        <w:rPr>
          <w:rFonts w:asciiTheme="majorHAnsi" w:hAnsiTheme="majorHAnsi"/>
          <w:sz w:val="16"/>
          <w:szCs w:val="16"/>
        </w:rPr>
        <w:separator/>
      </w:r>
    </w:p>
    <w:p w14:paraId="5F315A0B" w14:textId="77777777" w:rsidR="009E7286" w:rsidRPr="00036A8A" w:rsidRDefault="009E728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ACD0148" w14:textId="77777777" w:rsidR="009E7286" w:rsidRPr="0093441A" w:rsidRDefault="009E728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B44DC92" w14:textId="77777777" w:rsidR="00764AE5" w:rsidRPr="00550BF1" w:rsidRDefault="00764AE5" w:rsidP="00550BF1">
      <w:pPr>
        <w:pStyle w:val="FootnoteText"/>
        <w:spacing w:before="120"/>
        <w:ind w:firstLine="720"/>
        <w:jc w:val="both"/>
        <w:rPr>
          <w:rFonts w:asciiTheme="majorHAnsi" w:hAnsiTheme="majorHAnsi"/>
          <w:sz w:val="16"/>
          <w:szCs w:val="16"/>
          <w:lang w:val="pt-BR"/>
        </w:rPr>
      </w:pPr>
      <w:r w:rsidRPr="00550BF1">
        <w:rPr>
          <w:rStyle w:val="FootnoteReference"/>
          <w:rFonts w:asciiTheme="majorHAnsi" w:hAnsiTheme="majorHAnsi"/>
          <w:sz w:val="16"/>
          <w:szCs w:val="16"/>
        </w:rPr>
        <w:footnoteRef/>
      </w:r>
      <w:r w:rsidRPr="00550BF1">
        <w:rPr>
          <w:rFonts w:asciiTheme="majorHAnsi" w:hAnsiTheme="majorHAnsi"/>
          <w:sz w:val="16"/>
          <w:szCs w:val="16"/>
          <w:lang w:val="pt-BR"/>
        </w:rPr>
        <w:t xml:space="preserve"> Eliseo Tineo Yupanqui, Marcelo Enciso García and Lázaro Paquiayuri Canchari.</w:t>
      </w:r>
    </w:p>
  </w:footnote>
  <w:footnote w:id="3">
    <w:p w14:paraId="669AA3DE" w14:textId="1402ED3D" w:rsidR="003D6EE0" w:rsidRPr="00550BF1" w:rsidRDefault="003D6EE0" w:rsidP="00550BF1">
      <w:pPr>
        <w:pStyle w:val="FootnoteText"/>
        <w:spacing w:before="120"/>
        <w:ind w:firstLine="720"/>
        <w:jc w:val="both"/>
        <w:rPr>
          <w:rFonts w:asciiTheme="majorHAnsi" w:hAnsiTheme="majorHAnsi"/>
          <w:sz w:val="16"/>
          <w:szCs w:val="16"/>
        </w:rPr>
      </w:pPr>
      <w:r w:rsidRPr="00550BF1">
        <w:rPr>
          <w:rStyle w:val="FootnoteReference"/>
          <w:rFonts w:asciiTheme="majorHAnsi" w:hAnsiTheme="majorHAnsi"/>
          <w:sz w:val="16"/>
          <w:szCs w:val="16"/>
        </w:rPr>
        <w:footnoteRef/>
      </w:r>
      <w:r w:rsidRPr="00550BF1">
        <w:rPr>
          <w:rFonts w:asciiTheme="majorHAnsi" w:hAnsiTheme="majorHAnsi"/>
          <w:sz w:val="16"/>
          <w:szCs w:val="16"/>
        </w:rPr>
        <w:t xml:space="preserve"> </w:t>
      </w:r>
      <w:r w:rsidR="00263BF5" w:rsidRPr="00550BF1">
        <w:rPr>
          <w:rFonts w:asciiTheme="majorHAnsi" w:hAnsiTheme="majorHAnsi"/>
          <w:sz w:val="16"/>
          <w:szCs w:val="16"/>
        </w:rPr>
        <w:t>In accordance with the provisions of Article 17(2</w:t>
      </w:r>
      <w:proofErr w:type="gramStart"/>
      <w:r w:rsidR="00263BF5" w:rsidRPr="00550BF1">
        <w:rPr>
          <w:rFonts w:asciiTheme="majorHAnsi" w:hAnsiTheme="majorHAnsi"/>
          <w:sz w:val="16"/>
          <w:szCs w:val="16"/>
        </w:rPr>
        <w:t>)(</w:t>
      </w:r>
      <w:proofErr w:type="gramEnd"/>
      <w:r w:rsidR="00263BF5" w:rsidRPr="00550BF1">
        <w:rPr>
          <w:rFonts w:asciiTheme="majorHAnsi" w:hAnsiTheme="majorHAnsi"/>
          <w:sz w:val="16"/>
          <w:szCs w:val="16"/>
        </w:rPr>
        <w:t xml:space="preserve">a).a of the Commission’s Rules of Procedure, Commissioner </w:t>
      </w:r>
      <w:r w:rsidR="00577E6C" w:rsidRPr="00550BF1">
        <w:rPr>
          <w:rFonts w:asciiTheme="majorHAnsi" w:hAnsiTheme="majorHAnsi"/>
          <w:sz w:val="16"/>
          <w:szCs w:val="16"/>
        </w:rPr>
        <w:t>Francisco José Eguiguren Praeli</w:t>
      </w:r>
      <w:r w:rsidR="00577E6C" w:rsidRPr="00550BF1">
        <w:rPr>
          <w:rFonts w:asciiTheme="majorHAnsi" w:hAnsiTheme="majorHAnsi"/>
          <w:color w:val="FF0000"/>
          <w:sz w:val="16"/>
          <w:szCs w:val="16"/>
        </w:rPr>
        <w:t xml:space="preserve"> </w:t>
      </w:r>
      <w:r w:rsidR="00263BF5" w:rsidRPr="00550BF1">
        <w:rPr>
          <w:rFonts w:asciiTheme="majorHAnsi" w:hAnsiTheme="majorHAnsi"/>
          <w:sz w:val="16"/>
          <w:szCs w:val="16"/>
        </w:rPr>
        <w:t>, of</w:t>
      </w:r>
      <w:r w:rsidR="00577E6C" w:rsidRPr="00550BF1">
        <w:rPr>
          <w:rFonts w:asciiTheme="majorHAnsi" w:hAnsiTheme="majorHAnsi"/>
          <w:sz w:val="16"/>
          <w:szCs w:val="16"/>
        </w:rPr>
        <w:t xml:space="preserve"> Peruvian </w:t>
      </w:r>
      <w:r w:rsidR="00263BF5" w:rsidRPr="00550BF1">
        <w:rPr>
          <w:rFonts w:asciiTheme="majorHAnsi" w:hAnsiTheme="majorHAnsi"/>
          <w:sz w:val="16"/>
          <w:szCs w:val="16"/>
        </w:rPr>
        <w:t>nationality, did not participate either in the discussions nor the decision in the present matter</w:t>
      </w:r>
      <w:r w:rsidRPr="00550BF1">
        <w:rPr>
          <w:rFonts w:asciiTheme="majorHAnsi" w:hAnsiTheme="majorHAnsi"/>
          <w:sz w:val="16"/>
          <w:szCs w:val="16"/>
        </w:rPr>
        <w:t>.</w:t>
      </w:r>
    </w:p>
  </w:footnote>
  <w:footnote w:id="4">
    <w:p w14:paraId="6F9F81A9" w14:textId="77777777" w:rsidR="00764AE5" w:rsidRPr="00550BF1" w:rsidRDefault="00764AE5" w:rsidP="00550BF1">
      <w:pPr>
        <w:pStyle w:val="FootnoteText"/>
        <w:spacing w:before="120"/>
        <w:ind w:firstLine="720"/>
        <w:jc w:val="both"/>
        <w:rPr>
          <w:rFonts w:asciiTheme="majorHAnsi" w:hAnsiTheme="majorHAnsi"/>
          <w:sz w:val="16"/>
          <w:szCs w:val="16"/>
        </w:rPr>
      </w:pPr>
      <w:r w:rsidRPr="00550BF1">
        <w:rPr>
          <w:rStyle w:val="FootnoteReference"/>
          <w:rFonts w:asciiTheme="majorHAnsi" w:hAnsiTheme="majorHAnsi"/>
          <w:sz w:val="16"/>
          <w:szCs w:val="16"/>
        </w:rPr>
        <w:footnoteRef/>
      </w:r>
      <w:r w:rsidRPr="00550BF1">
        <w:rPr>
          <w:rFonts w:asciiTheme="majorHAnsi" w:hAnsiTheme="majorHAnsi"/>
          <w:sz w:val="16"/>
          <w:szCs w:val="16"/>
        </w:rPr>
        <w:t xml:space="preserve"> Hereinafter “America Convention” or “Convention”.</w:t>
      </w:r>
    </w:p>
  </w:footnote>
  <w:footnote w:id="5">
    <w:p w14:paraId="553E1C37" w14:textId="77777777" w:rsidR="00764AE5" w:rsidRPr="00550BF1" w:rsidRDefault="00764AE5" w:rsidP="00550BF1">
      <w:pPr>
        <w:pStyle w:val="FootnoteText"/>
        <w:spacing w:before="120"/>
        <w:ind w:firstLine="720"/>
        <w:jc w:val="both"/>
        <w:rPr>
          <w:rFonts w:asciiTheme="majorHAnsi" w:hAnsiTheme="majorHAnsi"/>
          <w:sz w:val="16"/>
          <w:szCs w:val="16"/>
        </w:rPr>
      </w:pPr>
      <w:r w:rsidRPr="00550BF1">
        <w:rPr>
          <w:rStyle w:val="FootnoteReference"/>
          <w:rFonts w:asciiTheme="majorHAnsi" w:hAnsiTheme="majorHAnsi"/>
          <w:sz w:val="16"/>
          <w:szCs w:val="16"/>
        </w:rPr>
        <w:footnoteRef/>
      </w:r>
      <w:r w:rsidRPr="00550BF1">
        <w:rPr>
          <w:rFonts w:asciiTheme="majorHAnsi" w:hAnsiTheme="majorHAnsi"/>
          <w:sz w:val="16"/>
          <w:szCs w:val="16"/>
        </w:rPr>
        <w:t xml:space="preserve"> Hereinafter “CAFDP”.</w:t>
      </w:r>
    </w:p>
  </w:footnote>
  <w:footnote w:id="6">
    <w:p w14:paraId="6F51BDAF" w14:textId="5F4755E7" w:rsidR="00653EA6" w:rsidRPr="00550BF1" w:rsidRDefault="00653EA6" w:rsidP="00550BF1">
      <w:pPr>
        <w:pStyle w:val="FootnoteText"/>
        <w:spacing w:before="120"/>
        <w:ind w:firstLine="720"/>
        <w:jc w:val="both"/>
        <w:rPr>
          <w:rFonts w:asciiTheme="majorHAnsi" w:hAnsiTheme="majorHAnsi"/>
          <w:sz w:val="16"/>
          <w:szCs w:val="16"/>
        </w:rPr>
      </w:pPr>
      <w:r w:rsidRPr="00550BF1">
        <w:rPr>
          <w:rStyle w:val="FootnoteReference"/>
          <w:rFonts w:asciiTheme="majorHAnsi" w:hAnsiTheme="majorHAnsi"/>
          <w:sz w:val="16"/>
          <w:szCs w:val="16"/>
        </w:rPr>
        <w:footnoteRef/>
      </w:r>
      <w:r w:rsidRPr="00550BF1">
        <w:rPr>
          <w:rFonts w:asciiTheme="majorHAnsi" w:hAnsiTheme="majorHAnsi"/>
          <w:sz w:val="16"/>
          <w:szCs w:val="16"/>
        </w:rPr>
        <w:t xml:space="preserve"> The observations </w:t>
      </w:r>
      <w:r w:rsidR="00321AFD" w:rsidRPr="00550BF1">
        <w:rPr>
          <w:rFonts w:asciiTheme="majorHAnsi" w:hAnsiTheme="majorHAnsi"/>
          <w:sz w:val="16"/>
          <w:szCs w:val="16"/>
        </w:rPr>
        <w:t>submitted</w:t>
      </w:r>
      <w:r w:rsidRPr="00550BF1">
        <w:rPr>
          <w:rFonts w:asciiTheme="majorHAnsi" w:hAnsiTheme="majorHAnsi"/>
          <w:sz w:val="16"/>
          <w:szCs w:val="16"/>
        </w:rPr>
        <w:t xml:space="preserve"> by each party were duly transmitted to the opposing party.</w:t>
      </w:r>
    </w:p>
  </w:footnote>
  <w:footnote w:id="7">
    <w:p w14:paraId="7930E6C7" w14:textId="77777777" w:rsidR="00577E6C" w:rsidRPr="00550BF1" w:rsidRDefault="00577E6C" w:rsidP="00550BF1">
      <w:pPr>
        <w:pStyle w:val="FootnoteText"/>
        <w:spacing w:before="120"/>
        <w:ind w:firstLine="720"/>
        <w:jc w:val="both"/>
        <w:rPr>
          <w:rFonts w:asciiTheme="majorHAnsi" w:hAnsiTheme="majorHAnsi"/>
          <w:sz w:val="16"/>
          <w:szCs w:val="16"/>
        </w:rPr>
      </w:pPr>
      <w:r w:rsidRPr="00550BF1">
        <w:rPr>
          <w:rStyle w:val="FootnoteReference"/>
          <w:rFonts w:asciiTheme="majorHAnsi" w:hAnsiTheme="majorHAnsi"/>
          <w:sz w:val="16"/>
          <w:szCs w:val="16"/>
        </w:rPr>
        <w:footnoteRef/>
      </w:r>
      <w:r w:rsidRPr="00550BF1">
        <w:rPr>
          <w:rFonts w:asciiTheme="majorHAnsi" w:hAnsiTheme="majorHAnsi"/>
          <w:sz w:val="16"/>
          <w:szCs w:val="16"/>
        </w:rPr>
        <w:t xml:space="preserve"> IACHR, Report No. 173/17, Petition 1111-08. Admissibility. </w:t>
      </w:r>
      <w:r w:rsidRPr="00550BF1">
        <w:rPr>
          <w:rFonts w:asciiTheme="majorHAnsi" w:hAnsiTheme="majorHAnsi"/>
          <w:sz w:val="16"/>
          <w:szCs w:val="16"/>
          <w:lang w:val="pt-BR"/>
        </w:rPr>
        <w:t xml:space="preserve">Marcela Brenda Iglesias, Nora Ester Ribaudo and Eduardo Rubén Iglesias. </w:t>
      </w:r>
      <w:r w:rsidRPr="00550BF1">
        <w:rPr>
          <w:rFonts w:asciiTheme="majorHAnsi" w:hAnsiTheme="majorHAnsi"/>
          <w:sz w:val="16"/>
          <w:szCs w:val="16"/>
        </w:rPr>
        <w:t>Argentina. December 29, 2017, par.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9E7286"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A6D6D" w14:textId="77777777" w:rsidR="00287FB7" w:rsidRDefault="00287F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AA6289"/>
    <w:multiLevelType w:val="hybridMultilevel"/>
    <w:tmpl w:val="6400DD3E"/>
    <w:lvl w:ilvl="0" w:tplc="15F0000E">
      <w:start w:val="1"/>
      <w:numFmt w:val="upperRoman"/>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11"/>
  </w:num>
  <w:num w:numId="105">
    <w:abstractNumId w:val="45"/>
  </w:num>
  <w:num w:numId="106">
    <w:abstractNumId w:val="2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1573"/>
    <w:rsid w:val="00263BF5"/>
    <w:rsid w:val="00266092"/>
    <w:rsid w:val="00266B61"/>
    <w:rsid w:val="0026712A"/>
    <w:rsid w:val="002704DB"/>
    <w:rsid w:val="002760CE"/>
    <w:rsid w:val="00287FB7"/>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33A48"/>
    <w:rsid w:val="003414AC"/>
    <w:rsid w:val="00356185"/>
    <w:rsid w:val="00360380"/>
    <w:rsid w:val="003771A3"/>
    <w:rsid w:val="00386CF0"/>
    <w:rsid w:val="003A4348"/>
    <w:rsid w:val="003C32BC"/>
    <w:rsid w:val="003D6EE0"/>
    <w:rsid w:val="003E3E03"/>
    <w:rsid w:val="003F1BBF"/>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50BF1"/>
    <w:rsid w:val="0057402A"/>
    <w:rsid w:val="005771D0"/>
    <w:rsid w:val="00577E6C"/>
    <w:rsid w:val="005816E5"/>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1A81"/>
    <w:rsid w:val="006B2D5C"/>
    <w:rsid w:val="006C4EB1"/>
    <w:rsid w:val="006D250D"/>
    <w:rsid w:val="006D4707"/>
    <w:rsid w:val="006E0166"/>
    <w:rsid w:val="006E7B34"/>
    <w:rsid w:val="00701B24"/>
    <w:rsid w:val="00706858"/>
    <w:rsid w:val="0071495F"/>
    <w:rsid w:val="0073798E"/>
    <w:rsid w:val="00745899"/>
    <w:rsid w:val="007607C4"/>
    <w:rsid w:val="00764AE5"/>
    <w:rsid w:val="0076643F"/>
    <w:rsid w:val="00781653"/>
    <w:rsid w:val="00783858"/>
    <w:rsid w:val="007A2F70"/>
    <w:rsid w:val="007C3334"/>
    <w:rsid w:val="007C52BB"/>
    <w:rsid w:val="007C56F7"/>
    <w:rsid w:val="007D2B98"/>
    <w:rsid w:val="007F7980"/>
    <w:rsid w:val="00803F1C"/>
    <w:rsid w:val="0080600E"/>
    <w:rsid w:val="00817612"/>
    <w:rsid w:val="00837C45"/>
    <w:rsid w:val="00853419"/>
    <w:rsid w:val="008546E5"/>
    <w:rsid w:val="00897E12"/>
    <w:rsid w:val="008D43BA"/>
    <w:rsid w:val="008E3759"/>
    <w:rsid w:val="008E40F5"/>
    <w:rsid w:val="008E6024"/>
    <w:rsid w:val="009041DC"/>
    <w:rsid w:val="009104B4"/>
    <w:rsid w:val="009228DA"/>
    <w:rsid w:val="00925FCD"/>
    <w:rsid w:val="0093441A"/>
    <w:rsid w:val="00954BF7"/>
    <w:rsid w:val="0096706E"/>
    <w:rsid w:val="00981FBA"/>
    <w:rsid w:val="0098783D"/>
    <w:rsid w:val="009B381B"/>
    <w:rsid w:val="009D7611"/>
    <w:rsid w:val="009E53DE"/>
    <w:rsid w:val="009E566A"/>
    <w:rsid w:val="009E7286"/>
    <w:rsid w:val="00A12DBC"/>
    <w:rsid w:val="00A43458"/>
    <w:rsid w:val="00A528D1"/>
    <w:rsid w:val="00A66BE5"/>
    <w:rsid w:val="00AD37C1"/>
    <w:rsid w:val="00AE66EC"/>
    <w:rsid w:val="00AE6F91"/>
    <w:rsid w:val="00AF5571"/>
    <w:rsid w:val="00B06BB7"/>
    <w:rsid w:val="00B167E9"/>
    <w:rsid w:val="00B179ED"/>
    <w:rsid w:val="00B314DB"/>
    <w:rsid w:val="00B31EBE"/>
    <w:rsid w:val="00B3718B"/>
    <w:rsid w:val="00B44B23"/>
    <w:rsid w:val="00B4632A"/>
    <w:rsid w:val="00B92E49"/>
    <w:rsid w:val="00B96736"/>
    <w:rsid w:val="00BA276C"/>
    <w:rsid w:val="00BB306F"/>
    <w:rsid w:val="00BD232B"/>
    <w:rsid w:val="00BD2E42"/>
    <w:rsid w:val="00BD4B89"/>
    <w:rsid w:val="00C2157F"/>
    <w:rsid w:val="00C21762"/>
    <w:rsid w:val="00C24543"/>
    <w:rsid w:val="00C256A2"/>
    <w:rsid w:val="00C3492D"/>
    <w:rsid w:val="00C355B4"/>
    <w:rsid w:val="00C55560"/>
    <w:rsid w:val="00C66B72"/>
    <w:rsid w:val="00C9567A"/>
    <w:rsid w:val="00CA6577"/>
    <w:rsid w:val="00CB2660"/>
    <w:rsid w:val="00CC2614"/>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709B3"/>
    <w:rsid w:val="00E7588C"/>
    <w:rsid w:val="00E7797F"/>
    <w:rsid w:val="00E850B6"/>
    <w:rsid w:val="00E8789F"/>
    <w:rsid w:val="00E97B71"/>
    <w:rsid w:val="00EA0C7C"/>
    <w:rsid w:val="00EB454D"/>
    <w:rsid w:val="00ED0D1B"/>
    <w:rsid w:val="00EE3522"/>
    <w:rsid w:val="00EF619B"/>
    <w:rsid w:val="00F00B55"/>
    <w:rsid w:val="00F074DF"/>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577E6C"/>
    <w:rPr>
      <w:sz w:val="16"/>
      <w:szCs w:val="16"/>
    </w:rPr>
  </w:style>
  <w:style w:type="paragraph" w:styleId="CommentText">
    <w:name w:val="annotation text"/>
    <w:basedOn w:val="Normal"/>
    <w:link w:val="CommentTextChar"/>
    <w:uiPriority w:val="99"/>
    <w:semiHidden/>
    <w:unhideWhenUsed/>
    <w:rsid w:val="00577E6C"/>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Calibri" w:eastAsia="Calibri" w:hAnsi="Calibri"/>
      <w:sz w:val="20"/>
      <w:szCs w:val="20"/>
      <w:bdr w:val="none" w:sz="0" w:space="0" w:color="auto"/>
    </w:rPr>
  </w:style>
  <w:style w:type="character" w:customStyle="1" w:styleId="CommentTextChar">
    <w:name w:val="Comment Text Char"/>
    <w:basedOn w:val="DefaultParagraphFont"/>
    <w:link w:val="CommentText"/>
    <w:uiPriority w:val="99"/>
    <w:semiHidden/>
    <w:rsid w:val="00577E6C"/>
    <w:rPr>
      <w:rFonts w:ascii="Calibri" w:eastAsia="Calibri" w:hAnsi="Calibri"/>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A1DFE-CEA0-47C5-981F-B8AAFA44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2187</Words>
  <Characters>11965</Characters>
  <Application>Microsoft Office Word</Application>
  <DocSecurity>0</DocSecurity>
  <Lines>271</Lines>
  <Paragraphs>92</Paragraphs>
  <ScaleCrop>false</ScaleCrop>
  <Company/>
  <LinksUpToDate>false</LinksUpToDate>
  <CharactersWithSpaces>14060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203/19</dc:title>
  <dc:creator/>
  <cp:lastModifiedBy/>
  <cp:revision>1</cp:revision>
  <dcterms:created xsi:type="dcterms:W3CDTF">2020-05-14T14:47:00Z</dcterms:created>
  <dcterms:modified xsi:type="dcterms:W3CDTF">2020-05-14T14:47:00Z</dcterms:modified>
</cp:coreProperties>
</file>