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A0D6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bookmarkStart w:id="0" w:name="_GoBack"/>
      <w:bookmarkEnd w:id="0"/>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F0BA0" w14:textId="0E6FEB8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66EDF">
                              <w:rPr>
                                <w:rFonts w:asciiTheme="majorHAnsi" w:hAnsiTheme="majorHAnsi" w:cs="Arial"/>
                                <w:b/>
                                <w:bCs/>
                                <w:color w:val="0D0D0D" w:themeColor="text1" w:themeTint="F2"/>
                                <w:sz w:val="36"/>
                                <w:szCs w:val="40"/>
                              </w:rPr>
                              <w:t>121</w:t>
                            </w:r>
                            <w:r w:rsidR="00322450" w:rsidRPr="004B7EB6">
                              <w:rPr>
                                <w:rFonts w:asciiTheme="majorHAnsi" w:hAnsiTheme="majorHAnsi" w:cs="Arial"/>
                                <w:b/>
                                <w:bCs/>
                                <w:color w:val="0D0D0D" w:themeColor="text1" w:themeTint="F2"/>
                                <w:sz w:val="36"/>
                                <w:szCs w:val="40"/>
                              </w:rPr>
                              <w:t>/1</w:t>
                            </w:r>
                            <w:r w:rsidR="00BF3BB9">
                              <w:rPr>
                                <w:rFonts w:asciiTheme="majorHAnsi" w:hAnsiTheme="majorHAnsi" w:cs="Arial"/>
                                <w:b/>
                                <w:bCs/>
                                <w:color w:val="0D0D0D" w:themeColor="text1" w:themeTint="F2"/>
                                <w:sz w:val="36"/>
                                <w:szCs w:val="40"/>
                              </w:rPr>
                              <w:t>9</w:t>
                            </w:r>
                          </w:p>
                          <w:p w14:paraId="1D2DCB2D" w14:textId="6FC737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3BB9">
                              <w:rPr>
                                <w:rFonts w:asciiTheme="majorHAnsi" w:hAnsiTheme="majorHAnsi" w:cs="Arial"/>
                                <w:b/>
                                <w:bCs/>
                                <w:color w:val="0D0D0D" w:themeColor="text1" w:themeTint="F2"/>
                                <w:sz w:val="36"/>
                                <w:szCs w:val="40"/>
                              </w:rPr>
                              <w:t>356-09</w:t>
                            </w:r>
                          </w:p>
                          <w:p w14:paraId="00D82CDB" w14:textId="618BFFB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0202CB32" w14:textId="77777777" w:rsidR="00BF3BB9" w:rsidRPr="00BF3BB9" w:rsidRDefault="00BF3BB9" w:rsidP="00BF3BB9">
                            <w:pPr>
                              <w:spacing w:line="276" w:lineRule="auto"/>
                              <w:rPr>
                                <w:rFonts w:ascii="Cambria" w:hAnsi="Cambria" w:cs="Arial"/>
                                <w:color w:val="0D0D0D"/>
                                <w:szCs w:val="22"/>
                              </w:rPr>
                            </w:pPr>
                            <w:r w:rsidRPr="00BF3BB9">
                              <w:rPr>
                                <w:rFonts w:ascii="Cambria" w:hAnsi="Cambria" w:cs="Arial"/>
                                <w:color w:val="0D0D0D"/>
                                <w:szCs w:val="22"/>
                              </w:rPr>
                              <w:t>JESÚS WILLIAM CÓNDOR ÁVILA</w:t>
                            </w:r>
                          </w:p>
                          <w:p w14:paraId="3AC5A16F" w14:textId="4039DC2F" w:rsidR="005B52B0" w:rsidRPr="000C4365" w:rsidRDefault="00BF3BB9" w:rsidP="00BF3BB9">
                            <w:pPr>
                              <w:spacing w:line="276" w:lineRule="auto"/>
                              <w:rPr>
                                <w:rFonts w:asciiTheme="majorHAnsi" w:hAnsiTheme="majorHAnsi"/>
                                <w:color w:val="0D0D0D" w:themeColor="text1" w:themeTint="F2"/>
                              </w:rPr>
                            </w:pPr>
                            <w:r w:rsidRPr="00BF3BB9">
                              <w:rPr>
                                <w:rFonts w:ascii="Cambria" w:hAnsi="Cambria" w:cs="Arial"/>
                                <w:color w:val="0D0D0D"/>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5BF0BA0" w14:textId="0E6FEB8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66EDF">
                        <w:rPr>
                          <w:rFonts w:asciiTheme="majorHAnsi" w:hAnsiTheme="majorHAnsi" w:cs="Arial"/>
                          <w:b/>
                          <w:bCs/>
                          <w:color w:val="0D0D0D" w:themeColor="text1" w:themeTint="F2"/>
                          <w:sz w:val="36"/>
                          <w:szCs w:val="40"/>
                        </w:rPr>
                        <w:t>121</w:t>
                      </w:r>
                      <w:r w:rsidR="00322450" w:rsidRPr="004B7EB6">
                        <w:rPr>
                          <w:rFonts w:asciiTheme="majorHAnsi" w:hAnsiTheme="majorHAnsi" w:cs="Arial"/>
                          <w:b/>
                          <w:bCs/>
                          <w:color w:val="0D0D0D" w:themeColor="text1" w:themeTint="F2"/>
                          <w:sz w:val="36"/>
                          <w:szCs w:val="40"/>
                        </w:rPr>
                        <w:t>/1</w:t>
                      </w:r>
                      <w:r w:rsidR="00BF3BB9">
                        <w:rPr>
                          <w:rFonts w:asciiTheme="majorHAnsi" w:hAnsiTheme="majorHAnsi" w:cs="Arial"/>
                          <w:b/>
                          <w:bCs/>
                          <w:color w:val="0D0D0D" w:themeColor="text1" w:themeTint="F2"/>
                          <w:sz w:val="36"/>
                          <w:szCs w:val="40"/>
                        </w:rPr>
                        <w:t>9</w:t>
                      </w:r>
                    </w:p>
                    <w:p w14:paraId="1D2DCB2D" w14:textId="6FC737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3BB9">
                        <w:rPr>
                          <w:rFonts w:asciiTheme="majorHAnsi" w:hAnsiTheme="majorHAnsi" w:cs="Arial"/>
                          <w:b/>
                          <w:bCs/>
                          <w:color w:val="0D0D0D" w:themeColor="text1" w:themeTint="F2"/>
                          <w:sz w:val="36"/>
                          <w:szCs w:val="40"/>
                        </w:rPr>
                        <w:t>356-09</w:t>
                      </w:r>
                    </w:p>
                    <w:p w14:paraId="00D82CDB" w14:textId="618BFFB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0202CB32" w14:textId="77777777" w:rsidR="00BF3BB9" w:rsidRPr="00BF3BB9" w:rsidRDefault="00BF3BB9" w:rsidP="00BF3BB9">
                      <w:pPr>
                        <w:spacing w:line="276" w:lineRule="auto"/>
                        <w:rPr>
                          <w:rFonts w:ascii="Cambria" w:hAnsi="Cambria" w:cs="Arial"/>
                          <w:color w:val="0D0D0D"/>
                          <w:szCs w:val="22"/>
                        </w:rPr>
                      </w:pPr>
                      <w:r w:rsidRPr="00BF3BB9">
                        <w:rPr>
                          <w:rFonts w:ascii="Cambria" w:hAnsi="Cambria" w:cs="Arial"/>
                          <w:color w:val="0D0D0D"/>
                          <w:szCs w:val="22"/>
                        </w:rPr>
                        <w:t>JESÚS WILLIAM CÓNDOR ÁVILA</w:t>
                      </w:r>
                    </w:p>
                    <w:p w14:paraId="3AC5A16F" w14:textId="4039DC2F" w:rsidR="005B52B0" w:rsidRPr="000C4365" w:rsidRDefault="00BF3BB9" w:rsidP="00BF3BB9">
                      <w:pPr>
                        <w:spacing w:line="276" w:lineRule="auto"/>
                        <w:rPr>
                          <w:rFonts w:asciiTheme="majorHAnsi" w:hAnsiTheme="majorHAnsi"/>
                          <w:color w:val="0D0D0D" w:themeColor="text1" w:themeTint="F2"/>
                        </w:rPr>
                      </w:pPr>
                      <w:r w:rsidRPr="00BF3BB9">
                        <w:rPr>
                          <w:rFonts w:ascii="Cambria" w:hAnsi="Cambria" w:cs="Arial"/>
                          <w:color w:val="0D0D0D"/>
                          <w:szCs w:val="22"/>
                        </w:rPr>
                        <w:t>PERU</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623AE9E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3F2B8DCA" w:rsidR="00627C9F" w:rsidRPr="00466EDF" w:rsidRDefault="00CA6577" w:rsidP="009E566A">
                            <w:pPr>
                              <w:jc w:val="right"/>
                              <w:rPr>
                                <w:rFonts w:asciiTheme="minorHAnsi" w:hAnsiTheme="minorHAnsi"/>
                                <w:color w:val="FFFFFF" w:themeColor="background1"/>
                                <w:sz w:val="22"/>
                              </w:rPr>
                            </w:pPr>
                            <w:r w:rsidRPr="00466EDF">
                              <w:rPr>
                                <w:rFonts w:asciiTheme="minorHAnsi" w:hAnsiTheme="minorHAnsi"/>
                                <w:color w:val="FFFFFF" w:themeColor="background1"/>
                                <w:sz w:val="22"/>
                              </w:rPr>
                              <w:t>Doc</w:t>
                            </w:r>
                            <w:r w:rsidR="00466EDF" w:rsidRPr="00466EDF">
                              <w:rPr>
                                <w:rFonts w:asciiTheme="minorHAnsi" w:hAnsiTheme="minorHAnsi"/>
                                <w:color w:val="FFFFFF" w:themeColor="background1"/>
                                <w:sz w:val="22"/>
                              </w:rPr>
                              <w:t>. 130</w:t>
                            </w:r>
                            <w:r w:rsidRPr="00466EDF">
                              <w:rPr>
                                <w:rFonts w:asciiTheme="minorHAnsi" w:hAnsiTheme="minorHAnsi"/>
                                <w:color w:val="FFFFFF" w:themeColor="background1"/>
                                <w:sz w:val="22"/>
                              </w:rPr>
                              <w:t xml:space="preserve"> </w:t>
                            </w:r>
                          </w:p>
                          <w:p w14:paraId="4FF22967" w14:textId="66710613" w:rsidR="00627C9F" w:rsidRPr="004B7EB6" w:rsidRDefault="00466EDF" w:rsidP="009E566A">
                            <w:pPr>
                              <w:jc w:val="right"/>
                              <w:rPr>
                                <w:rFonts w:asciiTheme="minorHAnsi" w:hAnsiTheme="minorHAnsi"/>
                                <w:color w:val="FFFFFF" w:themeColor="background1"/>
                                <w:sz w:val="22"/>
                              </w:rPr>
                            </w:pPr>
                            <w:r>
                              <w:rPr>
                                <w:rFonts w:asciiTheme="minorHAnsi" w:hAnsiTheme="minorHAnsi"/>
                                <w:color w:val="FFFFFF" w:themeColor="background1"/>
                                <w:sz w:val="22"/>
                              </w:rPr>
                              <w:t>22 July 2019</w:t>
                            </w:r>
                          </w:p>
                          <w:p w14:paraId="182B3835" w14:textId="214EC9D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66EDF">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623AE9E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10E5837E" w14:textId="3F2B8DCA" w:rsidR="00627C9F" w:rsidRPr="00466EDF" w:rsidRDefault="00CA6577" w:rsidP="009E566A">
                      <w:pPr>
                        <w:jc w:val="right"/>
                        <w:rPr>
                          <w:rFonts w:asciiTheme="minorHAnsi" w:hAnsiTheme="minorHAnsi"/>
                          <w:color w:val="FFFFFF" w:themeColor="background1"/>
                          <w:sz w:val="22"/>
                        </w:rPr>
                      </w:pPr>
                      <w:r w:rsidRPr="00466EDF">
                        <w:rPr>
                          <w:rFonts w:asciiTheme="minorHAnsi" w:hAnsiTheme="minorHAnsi"/>
                          <w:color w:val="FFFFFF" w:themeColor="background1"/>
                          <w:sz w:val="22"/>
                        </w:rPr>
                        <w:t>Doc</w:t>
                      </w:r>
                      <w:r w:rsidR="00466EDF" w:rsidRPr="00466EDF">
                        <w:rPr>
                          <w:rFonts w:asciiTheme="minorHAnsi" w:hAnsiTheme="minorHAnsi"/>
                          <w:color w:val="FFFFFF" w:themeColor="background1"/>
                          <w:sz w:val="22"/>
                        </w:rPr>
                        <w:t>. 130</w:t>
                      </w:r>
                      <w:r w:rsidRPr="00466EDF">
                        <w:rPr>
                          <w:rFonts w:asciiTheme="minorHAnsi" w:hAnsiTheme="minorHAnsi"/>
                          <w:color w:val="FFFFFF" w:themeColor="background1"/>
                          <w:sz w:val="22"/>
                        </w:rPr>
                        <w:t xml:space="preserve"> </w:t>
                      </w:r>
                    </w:p>
                    <w:p w14:paraId="4FF22967" w14:textId="66710613" w:rsidR="00627C9F" w:rsidRPr="004B7EB6" w:rsidRDefault="00466EDF" w:rsidP="009E566A">
                      <w:pPr>
                        <w:jc w:val="right"/>
                        <w:rPr>
                          <w:rFonts w:asciiTheme="minorHAnsi" w:hAnsiTheme="minorHAnsi"/>
                          <w:color w:val="FFFFFF" w:themeColor="background1"/>
                          <w:sz w:val="22"/>
                        </w:rPr>
                      </w:pPr>
                      <w:r>
                        <w:rPr>
                          <w:rFonts w:asciiTheme="minorHAnsi" w:hAnsiTheme="minorHAnsi"/>
                          <w:color w:val="FFFFFF" w:themeColor="background1"/>
                          <w:sz w:val="22"/>
                        </w:rPr>
                        <w:t>22 July 2019</w:t>
                      </w:r>
                    </w:p>
                    <w:p w14:paraId="182B3835" w14:textId="214EC9D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66EDF">
                        <w:rPr>
                          <w:rFonts w:asciiTheme="minorHAnsi" w:hAnsiTheme="minorHAnsi"/>
                          <w:color w:val="FFFFFF" w:themeColor="background1"/>
                          <w:sz w:val="22"/>
                        </w:rPr>
                        <w:t>: 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0684DCC9" w:rsidR="00D514D0" w:rsidRPr="00D514D0" w:rsidRDefault="00466EDF"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514D0" w:rsidRPr="00D514D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July 22</w:t>
                            </w:r>
                            <w:r w:rsidR="00D514D0" w:rsidRPr="00D514D0">
                              <w:rPr>
                                <w:rFonts w:asciiTheme="majorHAnsi" w:hAnsiTheme="majorHAnsi"/>
                                <w:color w:val="0D0D0D" w:themeColor="text1" w:themeTint="F2"/>
                                <w:sz w:val="18"/>
                                <w:szCs w:val="22"/>
                              </w:rPr>
                              <w:t>, 201</w:t>
                            </w:r>
                            <w:r>
                              <w:rPr>
                                <w:rFonts w:asciiTheme="majorHAnsi" w:hAnsiTheme="majorHAnsi"/>
                                <w:color w:val="0D0D0D" w:themeColor="text1" w:themeTint="F2"/>
                                <w:sz w:val="18"/>
                                <w:szCs w:val="22"/>
                              </w:rPr>
                              <w:t>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0684DCC9" w:rsidR="00D514D0" w:rsidRPr="00D514D0" w:rsidRDefault="00466EDF" w:rsidP="00D514D0">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514D0" w:rsidRPr="00D514D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July 22</w:t>
                      </w:r>
                      <w:r w:rsidR="00D514D0" w:rsidRPr="00D514D0">
                        <w:rPr>
                          <w:rFonts w:asciiTheme="majorHAnsi" w:hAnsiTheme="majorHAnsi"/>
                          <w:color w:val="0D0D0D" w:themeColor="text1" w:themeTint="F2"/>
                          <w:sz w:val="18"/>
                          <w:szCs w:val="22"/>
                        </w:rPr>
                        <w:t>, 201</w:t>
                      </w:r>
                      <w:r>
                        <w:rPr>
                          <w:rFonts w:asciiTheme="majorHAnsi" w:hAnsiTheme="majorHAnsi"/>
                          <w:color w:val="0D0D0D" w:themeColor="text1" w:themeTint="F2"/>
                          <w:sz w:val="18"/>
                          <w:szCs w:val="22"/>
                        </w:rPr>
                        <w:t>9</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4B33A82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66EDF">
                              <w:rPr>
                                <w:rFonts w:asciiTheme="majorHAnsi" w:hAnsiTheme="majorHAnsi"/>
                                <w:color w:val="595959" w:themeColor="text1" w:themeTint="A6"/>
                                <w:sz w:val="18"/>
                              </w:rPr>
                              <w:t>121</w:t>
                            </w:r>
                            <w:r w:rsidR="00022CF5">
                              <w:rPr>
                                <w:rFonts w:asciiTheme="majorHAnsi" w:hAnsiTheme="majorHAnsi"/>
                                <w:color w:val="595959" w:themeColor="text1" w:themeTint="A6"/>
                                <w:sz w:val="18"/>
                              </w:rPr>
                              <w:t>/1</w:t>
                            </w:r>
                            <w:r w:rsidR="00466EDF">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66EDF">
                              <w:rPr>
                                <w:rFonts w:asciiTheme="majorHAnsi" w:hAnsiTheme="majorHAnsi"/>
                                <w:color w:val="595959" w:themeColor="text1" w:themeTint="A6"/>
                                <w:sz w:val="18"/>
                              </w:rPr>
                              <w:t>356</w:t>
                            </w:r>
                            <w:r w:rsidR="00F621C3">
                              <w:rPr>
                                <w:rFonts w:asciiTheme="majorHAnsi" w:hAnsiTheme="majorHAnsi"/>
                                <w:color w:val="595959" w:themeColor="text1" w:themeTint="A6"/>
                                <w:sz w:val="18"/>
                              </w:rPr>
                              <w:t>-</w:t>
                            </w:r>
                            <w:r w:rsidR="00466EDF">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66ED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Jes</w:t>
                            </w:r>
                            <w:r w:rsidR="00466EDF" w:rsidRPr="00933881">
                              <w:rPr>
                                <w:rFonts w:asciiTheme="majorHAnsi" w:hAnsiTheme="majorHAnsi"/>
                                <w:color w:val="595959" w:themeColor="text1" w:themeTint="A6"/>
                                <w:sz w:val="18"/>
                              </w:rPr>
                              <w:t>ús William Cóndor Ávila</w:t>
                            </w:r>
                            <w:r w:rsidRPr="003C32BC">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Peru</w:t>
                            </w:r>
                            <w:r w:rsidR="00022CF5">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July 22, 2019</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4B33A82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66EDF">
                        <w:rPr>
                          <w:rFonts w:asciiTheme="majorHAnsi" w:hAnsiTheme="majorHAnsi"/>
                          <w:color w:val="595959" w:themeColor="text1" w:themeTint="A6"/>
                          <w:sz w:val="18"/>
                        </w:rPr>
                        <w:t>121</w:t>
                      </w:r>
                      <w:r w:rsidR="00022CF5">
                        <w:rPr>
                          <w:rFonts w:asciiTheme="majorHAnsi" w:hAnsiTheme="majorHAnsi"/>
                          <w:color w:val="595959" w:themeColor="text1" w:themeTint="A6"/>
                          <w:sz w:val="18"/>
                        </w:rPr>
                        <w:t>/1</w:t>
                      </w:r>
                      <w:r w:rsidR="00466EDF">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66EDF">
                        <w:rPr>
                          <w:rFonts w:asciiTheme="majorHAnsi" w:hAnsiTheme="majorHAnsi"/>
                          <w:color w:val="595959" w:themeColor="text1" w:themeTint="A6"/>
                          <w:sz w:val="18"/>
                        </w:rPr>
                        <w:t>356</w:t>
                      </w:r>
                      <w:r w:rsidR="00F621C3">
                        <w:rPr>
                          <w:rFonts w:asciiTheme="majorHAnsi" w:hAnsiTheme="majorHAnsi"/>
                          <w:color w:val="595959" w:themeColor="text1" w:themeTint="A6"/>
                          <w:sz w:val="18"/>
                        </w:rPr>
                        <w:t>-</w:t>
                      </w:r>
                      <w:r w:rsidR="00466EDF">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66ED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Jes</w:t>
                      </w:r>
                      <w:r w:rsidR="00466EDF" w:rsidRPr="00933881">
                        <w:rPr>
                          <w:rFonts w:asciiTheme="majorHAnsi" w:hAnsiTheme="majorHAnsi"/>
                          <w:color w:val="595959" w:themeColor="text1" w:themeTint="A6"/>
                          <w:sz w:val="18"/>
                        </w:rPr>
                        <w:t>ús William Cóndor Ávila</w:t>
                      </w:r>
                      <w:r w:rsidRPr="003C32BC">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Peru</w:t>
                      </w:r>
                      <w:r w:rsidR="00022CF5">
                        <w:rPr>
                          <w:rFonts w:asciiTheme="majorHAnsi" w:hAnsiTheme="majorHAnsi"/>
                          <w:color w:val="595959" w:themeColor="text1" w:themeTint="A6"/>
                          <w:sz w:val="18"/>
                        </w:rPr>
                        <w:t xml:space="preserve">. </w:t>
                      </w:r>
                      <w:r w:rsidR="00466EDF">
                        <w:rPr>
                          <w:rFonts w:asciiTheme="majorHAnsi" w:hAnsiTheme="majorHAnsi"/>
                          <w:color w:val="595959" w:themeColor="text1" w:themeTint="A6"/>
                          <w:sz w:val="18"/>
                        </w:rPr>
                        <w:t>July 22, 2019</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F3BB9" w:rsidRPr="000B6B7A" w14:paraId="6144DCE7" w14:textId="77777777" w:rsidTr="00005864">
        <w:tc>
          <w:tcPr>
            <w:tcW w:w="3690" w:type="dxa"/>
            <w:tcBorders>
              <w:top w:val="single" w:sz="4" w:space="0" w:color="auto"/>
              <w:bottom w:val="single" w:sz="6" w:space="0" w:color="auto"/>
            </w:tcBorders>
            <w:shd w:val="clear" w:color="auto" w:fill="67AE3C"/>
            <w:vAlign w:val="center"/>
          </w:tcPr>
          <w:p w14:paraId="201EF040" w14:textId="77777777" w:rsidR="00BF3BB9" w:rsidRPr="00316127" w:rsidRDefault="00BF3BB9" w:rsidP="00BF3BB9">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Petitioner:</w:t>
            </w:r>
          </w:p>
        </w:tc>
        <w:tc>
          <w:tcPr>
            <w:tcW w:w="5670" w:type="dxa"/>
          </w:tcPr>
          <w:p w14:paraId="5DF37E65" w14:textId="1A38A22A" w:rsidR="00BF3BB9" w:rsidRPr="00316127" w:rsidRDefault="00BF3BB9" w:rsidP="00BF3BB9">
            <w:pPr>
              <w:jc w:val="both"/>
              <w:rPr>
                <w:rFonts w:ascii="Cambria" w:hAnsi="Cambria" w:cstheme="minorHAnsi"/>
                <w:bCs/>
                <w:sz w:val="19"/>
                <w:szCs w:val="19"/>
              </w:rPr>
            </w:pPr>
            <w:r w:rsidRPr="00316127">
              <w:rPr>
                <w:rFonts w:ascii="Cambria" w:hAnsi="Cambria" w:cstheme="minorHAnsi"/>
                <w:sz w:val="19"/>
                <w:szCs w:val="19"/>
              </w:rPr>
              <w:t>Lenin Alex Camiloaga Márquez</w:t>
            </w:r>
          </w:p>
        </w:tc>
      </w:tr>
      <w:tr w:rsidR="00BF3BB9" w:rsidRPr="000B6B7A" w14:paraId="33858FA2" w14:textId="77777777" w:rsidTr="00005864">
        <w:tc>
          <w:tcPr>
            <w:tcW w:w="3690" w:type="dxa"/>
            <w:tcBorders>
              <w:top w:val="single" w:sz="6" w:space="0" w:color="auto"/>
              <w:bottom w:val="single" w:sz="6" w:space="0" w:color="auto"/>
            </w:tcBorders>
            <w:shd w:val="clear" w:color="auto" w:fill="67AE3C"/>
            <w:vAlign w:val="center"/>
          </w:tcPr>
          <w:p w14:paraId="29DB7F8F" w14:textId="77777777" w:rsidR="00BF3BB9" w:rsidRPr="00316127" w:rsidRDefault="00942117" w:rsidP="00BF3BB9">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655E010B60CC4BCEA162B5CA0D01992A"/>
                </w:placeholder>
                <w:dropDownList>
                  <w:listItem w:value="Choose an item."/>
                  <w:listItem w:displayText="Alleged victim" w:value="Alleged victim"/>
                  <w:listItem w:displayText="Alleged victims" w:value="Alleged victims"/>
                </w:dropDownList>
              </w:sdtPr>
              <w:sdtEndPr/>
              <w:sdtContent>
                <w:r w:rsidR="00BF3BB9" w:rsidRPr="00316127">
                  <w:rPr>
                    <w:rFonts w:ascii="Cambria" w:hAnsi="Cambria"/>
                    <w:b/>
                    <w:bCs/>
                    <w:color w:val="FFFFFF" w:themeColor="background1"/>
                    <w:sz w:val="19"/>
                    <w:szCs w:val="19"/>
                  </w:rPr>
                  <w:t>Alleged victim</w:t>
                </w:r>
              </w:sdtContent>
            </w:sdt>
            <w:r w:rsidR="00BF3BB9" w:rsidRPr="00316127">
              <w:rPr>
                <w:rFonts w:ascii="Cambria" w:hAnsi="Cambria"/>
                <w:b/>
                <w:bCs/>
                <w:color w:val="FFFFFF" w:themeColor="background1"/>
                <w:sz w:val="19"/>
                <w:szCs w:val="19"/>
              </w:rPr>
              <w:t>:</w:t>
            </w:r>
          </w:p>
        </w:tc>
        <w:tc>
          <w:tcPr>
            <w:tcW w:w="5670" w:type="dxa"/>
          </w:tcPr>
          <w:p w14:paraId="64B94B2B" w14:textId="09B1E8EC" w:rsidR="00BF3BB9" w:rsidRPr="00316127" w:rsidRDefault="00BF3BB9" w:rsidP="00BF3BB9">
            <w:pPr>
              <w:jc w:val="both"/>
              <w:rPr>
                <w:rFonts w:ascii="Cambria" w:hAnsi="Cambria" w:cstheme="minorHAnsi"/>
                <w:bCs/>
                <w:sz w:val="19"/>
                <w:szCs w:val="19"/>
              </w:rPr>
            </w:pPr>
            <w:r w:rsidRPr="00316127">
              <w:rPr>
                <w:rFonts w:ascii="Cambria" w:hAnsi="Cambria" w:cstheme="minorHAnsi"/>
                <w:sz w:val="19"/>
                <w:szCs w:val="19"/>
              </w:rPr>
              <w:t>Jesús William Cóndor Ávila</w:t>
            </w:r>
          </w:p>
        </w:tc>
      </w:tr>
      <w:tr w:rsidR="00BF3BB9" w:rsidRPr="000B6B7A" w14:paraId="36C8BDE6" w14:textId="77777777" w:rsidTr="00005864">
        <w:tc>
          <w:tcPr>
            <w:tcW w:w="3690" w:type="dxa"/>
            <w:tcBorders>
              <w:top w:val="single" w:sz="6" w:space="0" w:color="auto"/>
              <w:bottom w:val="single" w:sz="6" w:space="0" w:color="auto"/>
            </w:tcBorders>
            <w:shd w:val="clear" w:color="auto" w:fill="67AE3C"/>
            <w:vAlign w:val="center"/>
          </w:tcPr>
          <w:p w14:paraId="25E3F99E" w14:textId="77777777" w:rsidR="00BF3BB9" w:rsidRPr="00316127" w:rsidRDefault="00BF3BB9" w:rsidP="00BF3BB9">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Respondent State:</w:t>
            </w:r>
          </w:p>
        </w:tc>
        <w:tc>
          <w:tcPr>
            <w:tcW w:w="5670" w:type="dxa"/>
          </w:tcPr>
          <w:p w14:paraId="35EBEBFB" w14:textId="7388DCF2" w:rsidR="00BF3BB9" w:rsidRPr="00316127" w:rsidRDefault="00BF3BB9" w:rsidP="00BF3BB9">
            <w:pPr>
              <w:tabs>
                <w:tab w:val="left" w:pos="1260"/>
              </w:tabs>
              <w:jc w:val="both"/>
              <w:rPr>
                <w:rFonts w:ascii="Cambria" w:hAnsi="Cambria" w:cstheme="minorHAnsi"/>
                <w:bCs/>
                <w:sz w:val="19"/>
                <w:szCs w:val="19"/>
              </w:rPr>
            </w:pPr>
            <w:r w:rsidRPr="00316127">
              <w:rPr>
                <w:rFonts w:ascii="Cambria" w:hAnsi="Cambria" w:cstheme="minorHAnsi"/>
                <w:sz w:val="19"/>
                <w:szCs w:val="19"/>
              </w:rPr>
              <w:t>Peru</w:t>
            </w:r>
            <w:r w:rsidRPr="00316127">
              <w:rPr>
                <w:rStyle w:val="FootnoteReference"/>
                <w:rFonts w:ascii="Cambria" w:hAnsi="Cambria" w:cstheme="minorHAnsi"/>
                <w:sz w:val="19"/>
                <w:szCs w:val="19"/>
              </w:rPr>
              <w:footnoteReference w:id="2"/>
            </w:r>
          </w:p>
        </w:tc>
      </w:tr>
      <w:tr w:rsidR="00BF3BB9" w:rsidRPr="000B6B7A" w14:paraId="5843386D" w14:textId="77777777" w:rsidTr="00005864">
        <w:tc>
          <w:tcPr>
            <w:tcW w:w="3690" w:type="dxa"/>
            <w:tcBorders>
              <w:top w:val="single" w:sz="6" w:space="0" w:color="auto"/>
              <w:bottom w:val="single" w:sz="6" w:space="0" w:color="auto"/>
            </w:tcBorders>
            <w:shd w:val="clear" w:color="auto" w:fill="67AE3C"/>
            <w:vAlign w:val="center"/>
          </w:tcPr>
          <w:p w14:paraId="4E29DF7E" w14:textId="77777777" w:rsidR="00BF3BB9" w:rsidRPr="00316127" w:rsidRDefault="00BF3BB9" w:rsidP="00BF3BB9">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Rights invoked:</w:t>
            </w:r>
          </w:p>
        </w:tc>
        <w:tc>
          <w:tcPr>
            <w:tcW w:w="5670" w:type="dxa"/>
          </w:tcPr>
          <w:p w14:paraId="376FD4CB" w14:textId="696259EE" w:rsidR="00BF3BB9" w:rsidRPr="00316127" w:rsidRDefault="00BF3BB9" w:rsidP="00BF3BB9">
            <w:pPr>
              <w:jc w:val="both"/>
              <w:rPr>
                <w:rFonts w:ascii="Cambria" w:hAnsi="Cambria" w:cstheme="minorHAnsi"/>
                <w:bCs/>
                <w:sz w:val="19"/>
                <w:szCs w:val="19"/>
              </w:rPr>
            </w:pPr>
            <w:r w:rsidRPr="00316127">
              <w:rPr>
                <w:rFonts w:ascii="Cambria" w:hAnsi="Cambria" w:cstheme="minorHAnsi"/>
                <w:bCs/>
                <w:sz w:val="19"/>
                <w:szCs w:val="19"/>
              </w:rPr>
              <w:t>Articles 1.1 (obligation to respect rights), 5 (humane treatment), 7 (personal liberty), 8 (fair trial), 10 (compensation), and 25 (judicial protection) of the American Convention on Human Rights</w:t>
            </w:r>
            <w:r w:rsidR="00316127" w:rsidRPr="00316127">
              <w:rPr>
                <w:rStyle w:val="FootnoteReference"/>
                <w:rFonts w:ascii="Cambria" w:hAnsi="Cambria" w:cstheme="minorHAnsi"/>
                <w:bCs/>
                <w:sz w:val="19"/>
                <w:szCs w:val="19"/>
              </w:rPr>
              <w:footnoteReference w:id="3"/>
            </w:r>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16127" w:rsidRPr="000B6B7A" w14:paraId="61BE14BB" w14:textId="77777777" w:rsidTr="00A813E4">
        <w:tc>
          <w:tcPr>
            <w:tcW w:w="3690" w:type="dxa"/>
            <w:tcBorders>
              <w:top w:val="single" w:sz="6" w:space="0" w:color="auto"/>
              <w:bottom w:val="single" w:sz="6" w:space="0" w:color="auto"/>
            </w:tcBorders>
            <w:shd w:val="clear" w:color="auto" w:fill="67AE3C"/>
            <w:vAlign w:val="center"/>
          </w:tcPr>
          <w:p w14:paraId="7FEA58AF"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Filing of the petition:</w:t>
            </w:r>
          </w:p>
        </w:tc>
        <w:tc>
          <w:tcPr>
            <w:tcW w:w="5670" w:type="dxa"/>
          </w:tcPr>
          <w:p w14:paraId="5C591D18" w14:textId="462BAD05"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Ma</w:t>
            </w:r>
            <w:r w:rsidR="005F097B">
              <w:rPr>
                <w:rFonts w:asciiTheme="majorHAnsi" w:hAnsiTheme="majorHAnsi"/>
                <w:sz w:val="19"/>
                <w:szCs w:val="19"/>
              </w:rPr>
              <w:t>rch</w:t>
            </w:r>
            <w:r w:rsidRPr="00316127">
              <w:rPr>
                <w:rFonts w:asciiTheme="majorHAnsi" w:hAnsiTheme="majorHAnsi"/>
                <w:sz w:val="19"/>
                <w:szCs w:val="19"/>
              </w:rPr>
              <w:t xml:space="preserve"> 23, 2009</w:t>
            </w:r>
          </w:p>
        </w:tc>
      </w:tr>
      <w:tr w:rsidR="00316127" w:rsidRPr="000B6B7A" w14:paraId="0A712187" w14:textId="77777777" w:rsidTr="00A813E4">
        <w:tc>
          <w:tcPr>
            <w:tcW w:w="3690" w:type="dxa"/>
            <w:tcBorders>
              <w:top w:val="single" w:sz="6" w:space="0" w:color="auto"/>
              <w:bottom w:val="single" w:sz="6" w:space="0" w:color="auto"/>
            </w:tcBorders>
            <w:shd w:val="clear" w:color="auto" w:fill="67AE3C"/>
            <w:vAlign w:val="center"/>
          </w:tcPr>
          <w:p w14:paraId="542E432B"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Additional information received at the stage of initial review:</w:t>
            </w:r>
          </w:p>
        </w:tc>
        <w:tc>
          <w:tcPr>
            <w:tcW w:w="5670" w:type="dxa"/>
          </w:tcPr>
          <w:p w14:paraId="0DD39E6B" w14:textId="4F2AAE52"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Ma</w:t>
            </w:r>
            <w:r w:rsidR="005F097B">
              <w:rPr>
                <w:rFonts w:asciiTheme="majorHAnsi" w:hAnsiTheme="majorHAnsi"/>
                <w:sz w:val="19"/>
                <w:szCs w:val="19"/>
              </w:rPr>
              <w:t>rch</w:t>
            </w:r>
            <w:r w:rsidRPr="00316127">
              <w:rPr>
                <w:rFonts w:asciiTheme="majorHAnsi" w:hAnsiTheme="majorHAnsi"/>
                <w:sz w:val="19"/>
                <w:szCs w:val="19"/>
              </w:rPr>
              <w:t xml:space="preserve"> 31, 2009</w:t>
            </w:r>
          </w:p>
        </w:tc>
      </w:tr>
      <w:tr w:rsidR="00316127" w:rsidRPr="000B6B7A" w14:paraId="444BFD1C" w14:textId="77777777" w:rsidTr="00A813E4">
        <w:tc>
          <w:tcPr>
            <w:tcW w:w="3690" w:type="dxa"/>
            <w:tcBorders>
              <w:top w:val="single" w:sz="6" w:space="0" w:color="auto"/>
              <w:bottom w:val="single" w:sz="6" w:space="0" w:color="auto"/>
            </w:tcBorders>
            <w:shd w:val="clear" w:color="auto" w:fill="67AE3C"/>
            <w:vAlign w:val="center"/>
          </w:tcPr>
          <w:p w14:paraId="311FE36D"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Notification of the petition to the State:</w:t>
            </w:r>
          </w:p>
        </w:tc>
        <w:tc>
          <w:tcPr>
            <w:tcW w:w="5670" w:type="dxa"/>
          </w:tcPr>
          <w:p w14:paraId="2F64ACF5" w14:textId="3FEE2C09"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October 25, 2012</w:t>
            </w:r>
          </w:p>
        </w:tc>
      </w:tr>
      <w:tr w:rsidR="00316127" w:rsidRPr="000B6B7A" w14:paraId="1720713E" w14:textId="77777777" w:rsidTr="00A813E4">
        <w:trPr>
          <w:trHeight w:val="264"/>
        </w:trPr>
        <w:tc>
          <w:tcPr>
            <w:tcW w:w="3690" w:type="dxa"/>
            <w:tcBorders>
              <w:top w:val="single" w:sz="6" w:space="0" w:color="auto"/>
              <w:bottom w:val="single" w:sz="6" w:space="0" w:color="auto"/>
            </w:tcBorders>
            <w:shd w:val="clear" w:color="auto" w:fill="67AE3C"/>
            <w:vAlign w:val="center"/>
          </w:tcPr>
          <w:p w14:paraId="3239E74D"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State’s first response:</w:t>
            </w:r>
          </w:p>
        </w:tc>
        <w:tc>
          <w:tcPr>
            <w:tcW w:w="5670" w:type="dxa"/>
          </w:tcPr>
          <w:p w14:paraId="726B3D6D" w14:textId="2F1C3AA6"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December 28, 2012</w:t>
            </w:r>
          </w:p>
        </w:tc>
      </w:tr>
      <w:tr w:rsidR="00316127" w:rsidRPr="000B6B7A" w14:paraId="536EFCAF" w14:textId="77777777" w:rsidTr="00A813E4">
        <w:tc>
          <w:tcPr>
            <w:tcW w:w="3690" w:type="dxa"/>
            <w:tcBorders>
              <w:top w:val="single" w:sz="6" w:space="0" w:color="auto"/>
              <w:bottom w:val="single" w:sz="6" w:space="0" w:color="auto"/>
            </w:tcBorders>
            <w:shd w:val="clear" w:color="auto" w:fill="67AE3C"/>
            <w:vAlign w:val="center"/>
          </w:tcPr>
          <w:p w14:paraId="52A507B4"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Additional observations from the petitioner:</w:t>
            </w:r>
          </w:p>
        </w:tc>
        <w:tc>
          <w:tcPr>
            <w:tcW w:w="5670" w:type="dxa"/>
          </w:tcPr>
          <w:p w14:paraId="2025565D" w14:textId="23696933"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August 20, 2013</w:t>
            </w:r>
          </w:p>
        </w:tc>
      </w:tr>
      <w:tr w:rsidR="00316127" w:rsidRPr="000B6B7A" w14:paraId="1CA7A420" w14:textId="77777777" w:rsidTr="00A813E4">
        <w:tc>
          <w:tcPr>
            <w:tcW w:w="3690" w:type="dxa"/>
            <w:tcBorders>
              <w:top w:val="single" w:sz="6" w:space="0" w:color="auto"/>
              <w:bottom w:val="single" w:sz="6" w:space="0" w:color="auto"/>
            </w:tcBorders>
            <w:shd w:val="clear" w:color="auto" w:fill="67AE3C"/>
            <w:vAlign w:val="center"/>
          </w:tcPr>
          <w:p w14:paraId="63E0A9AD"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Additional observations from the State:</w:t>
            </w:r>
          </w:p>
        </w:tc>
        <w:tc>
          <w:tcPr>
            <w:tcW w:w="5670" w:type="dxa"/>
          </w:tcPr>
          <w:p w14:paraId="3CDA4576" w14:textId="29FCE906"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June 2, 2014</w:t>
            </w:r>
          </w:p>
        </w:tc>
      </w:tr>
      <w:tr w:rsidR="00316127" w:rsidRPr="000B6B7A" w14:paraId="4C273052" w14:textId="77777777" w:rsidTr="00A813E4">
        <w:tc>
          <w:tcPr>
            <w:tcW w:w="3690" w:type="dxa"/>
            <w:tcBorders>
              <w:top w:val="single" w:sz="6" w:space="0" w:color="auto"/>
              <w:bottom w:val="single" w:sz="6" w:space="0" w:color="auto"/>
            </w:tcBorders>
            <w:shd w:val="clear" w:color="auto" w:fill="67AE3C"/>
            <w:vAlign w:val="center"/>
          </w:tcPr>
          <w:p w14:paraId="66501473"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Notification of the possible archiving of the petition:</w:t>
            </w:r>
          </w:p>
        </w:tc>
        <w:tc>
          <w:tcPr>
            <w:tcW w:w="5670" w:type="dxa"/>
          </w:tcPr>
          <w:p w14:paraId="292D5BCA" w14:textId="16F5DA55" w:rsidR="00316127" w:rsidRPr="00316127" w:rsidRDefault="00316127" w:rsidP="00316127">
            <w:pPr>
              <w:jc w:val="both"/>
              <w:rPr>
                <w:rFonts w:asciiTheme="majorHAnsi" w:hAnsiTheme="majorHAnsi"/>
                <w:bCs/>
                <w:sz w:val="19"/>
                <w:szCs w:val="19"/>
              </w:rPr>
            </w:pPr>
            <w:r>
              <w:rPr>
                <w:rFonts w:asciiTheme="majorHAnsi" w:hAnsiTheme="majorHAnsi"/>
                <w:sz w:val="19"/>
                <w:szCs w:val="19"/>
              </w:rPr>
              <w:t>J</w:t>
            </w:r>
            <w:r w:rsidRPr="00316127">
              <w:rPr>
                <w:rFonts w:asciiTheme="majorHAnsi" w:hAnsiTheme="majorHAnsi"/>
                <w:sz w:val="19"/>
                <w:szCs w:val="19"/>
              </w:rPr>
              <w:t>une 8, 2017</w:t>
            </w:r>
          </w:p>
        </w:tc>
      </w:tr>
      <w:tr w:rsidR="00316127" w:rsidRPr="000B6B7A" w14:paraId="10617065" w14:textId="77777777" w:rsidTr="00A813E4">
        <w:tc>
          <w:tcPr>
            <w:tcW w:w="3690" w:type="dxa"/>
            <w:tcBorders>
              <w:top w:val="single" w:sz="6" w:space="0" w:color="auto"/>
              <w:bottom w:val="single" w:sz="6" w:space="0" w:color="auto"/>
            </w:tcBorders>
            <w:shd w:val="clear" w:color="auto" w:fill="67AE3C"/>
            <w:vAlign w:val="center"/>
          </w:tcPr>
          <w:p w14:paraId="16758EC3" w14:textId="77777777" w:rsidR="00316127" w:rsidRPr="00316127" w:rsidRDefault="00316127" w:rsidP="00316127">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Petitioner’s response to the notification regarding the possible archiving of the petition:</w:t>
            </w:r>
          </w:p>
        </w:tc>
        <w:tc>
          <w:tcPr>
            <w:tcW w:w="5670" w:type="dxa"/>
          </w:tcPr>
          <w:p w14:paraId="31D21716" w14:textId="77777777" w:rsidR="00316127" w:rsidRDefault="00316127" w:rsidP="00316127">
            <w:pPr>
              <w:jc w:val="both"/>
              <w:rPr>
                <w:rFonts w:asciiTheme="majorHAnsi" w:hAnsiTheme="majorHAnsi"/>
                <w:sz w:val="19"/>
                <w:szCs w:val="19"/>
              </w:rPr>
            </w:pPr>
            <w:r>
              <w:rPr>
                <w:rFonts w:asciiTheme="majorHAnsi" w:hAnsiTheme="majorHAnsi"/>
                <w:sz w:val="19"/>
                <w:szCs w:val="19"/>
              </w:rPr>
              <w:t xml:space="preserve"> </w:t>
            </w:r>
          </w:p>
          <w:p w14:paraId="36F28191" w14:textId="4C4FF0B4" w:rsidR="00316127" w:rsidRPr="00316127" w:rsidRDefault="00316127" w:rsidP="00316127">
            <w:pPr>
              <w:jc w:val="both"/>
              <w:rPr>
                <w:rFonts w:asciiTheme="majorHAnsi" w:hAnsiTheme="majorHAnsi"/>
                <w:bCs/>
                <w:sz w:val="19"/>
                <w:szCs w:val="19"/>
              </w:rPr>
            </w:pPr>
            <w:r w:rsidRPr="00316127">
              <w:rPr>
                <w:rFonts w:asciiTheme="majorHAnsi" w:hAnsiTheme="majorHAnsi"/>
                <w:sz w:val="19"/>
                <w:szCs w:val="19"/>
              </w:rPr>
              <w:t>June 27, 2017</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16127"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F621C3" w:rsidRPr="00316127" w:rsidRDefault="00F621C3" w:rsidP="009163FC">
            <w:pPr>
              <w:jc w:val="center"/>
              <w:rPr>
                <w:rFonts w:ascii="Cambria" w:hAnsi="Cambria"/>
                <w:b/>
                <w:bCs/>
                <w:i/>
                <w:color w:val="FFFFFF" w:themeColor="background1"/>
                <w:sz w:val="19"/>
                <w:szCs w:val="19"/>
              </w:rPr>
            </w:pPr>
            <w:r w:rsidRPr="00316127">
              <w:rPr>
                <w:rFonts w:ascii="Cambria" w:hAnsi="Cambria"/>
                <w:b/>
                <w:bCs/>
                <w:color w:val="FFFFFF" w:themeColor="background1"/>
                <w:sz w:val="19"/>
                <w:szCs w:val="19"/>
              </w:rPr>
              <w:t>Competence</w:t>
            </w:r>
            <w:r w:rsidRPr="00316127">
              <w:rPr>
                <w:rFonts w:ascii="Cambria" w:hAnsi="Cambria"/>
                <w:b/>
                <w:bCs/>
                <w:i/>
                <w:color w:val="FFFFFF" w:themeColor="background1"/>
                <w:sz w:val="19"/>
                <w:szCs w:val="19"/>
              </w:rPr>
              <w:t xml:space="preserve"> Ratione personae:</w:t>
            </w:r>
          </w:p>
        </w:tc>
        <w:tc>
          <w:tcPr>
            <w:tcW w:w="5670" w:type="dxa"/>
            <w:vAlign w:val="center"/>
          </w:tcPr>
          <w:p w14:paraId="533585B6" w14:textId="0E8BD038" w:rsidR="00F621C3" w:rsidRPr="00316127" w:rsidRDefault="00316127" w:rsidP="009163FC">
            <w:pPr>
              <w:rPr>
                <w:rFonts w:asciiTheme="majorHAnsi" w:hAnsiTheme="majorHAnsi"/>
                <w:bCs/>
                <w:sz w:val="19"/>
                <w:szCs w:val="19"/>
              </w:rPr>
            </w:pPr>
            <w:r w:rsidRPr="00316127">
              <w:rPr>
                <w:rFonts w:asciiTheme="majorHAnsi" w:hAnsiTheme="majorHAnsi"/>
                <w:bCs/>
                <w:sz w:val="19"/>
                <w:szCs w:val="19"/>
              </w:rPr>
              <w:t>Yes</w:t>
            </w:r>
          </w:p>
        </w:tc>
      </w:tr>
      <w:tr w:rsidR="00F621C3" w:rsidRPr="00316127"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Competence</w:t>
            </w:r>
            <w:r w:rsidRPr="00316127">
              <w:rPr>
                <w:rFonts w:ascii="Cambria" w:hAnsi="Cambria"/>
                <w:b/>
                <w:bCs/>
                <w:i/>
                <w:color w:val="FFFFFF" w:themeColor="background1"/>
                <w:sz w:val="19"/>
                <w:szCs w:val="19"/>
              </w:rPr>
              <w:t xml:space="preserve"> Ratione loci</w:t>
            </w:r>
            <w:r w:rsidRPr="00316127">
              <w:rPr>
                <w:rFonts w:ascii="Cambria" w:hAnsi="Cambria"/>
                <w:b/>
                <w:bCs/>
                <w:color w:val="FFFFFF" w:themeColor="background1"/>
                <w:sz w:val="19"/>
                <w:szCs w:val="19"/>
              </w:rPr>
              <w:t>:</w:t>
            </w:r>
          </w:p>
        </w:tc>
        <w:tc>
          <w:tcPr>
            <w:tcW w:w="5670" w:type="dxa"/>
            <w:vAlign w:val="center"/>
          </w:tcPr>
          <w:p w14:paraId="1F4A69E8" w14:textId="1895D872" w:rsidR="00F621C3" w:rsidRPr="00316127" w:rsidRDefault="00316127" w:rsidP="009163FC">
            <w:pPr>
              <w:rPr>
                <w:rFonts w:asciiTheme="majorHAnsi" w:hAnsiTheme="majorHAnsi"/>
                <w:bCs/>
                <w:sz w:val="19"/>
                <w:szCs w:val="19"/>
              </w:rPr>
            </w:pPr>
            <w:r w:rsidRPr="00316127">
              <w:rPr>
                <w:rFonts w:asciiTheme="majorHAnsi" w:hAnsiTheme="majorHAnsi"/>
                <w:bCs/>
                <w:sz w:val="19"/>
                <w:szCs w:val="19"/>
              </w:rPr>
              <w:t>Yes</w:t>
            </w:r>
          </w:p>
        </w:tc>
      </w:tr>
      <w:tr w:rsidR="00F621C3" w:rsidRPr="00316127"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Competence</w:t>
            </w:r>
            <w:r w:rsidRPr="00316127">
              <w:rPr>
                <w:rFonts w:ascii="Cambria" w:hAnsi="Cambria"/>
                <w:b/>
                <w:bCs/>
                <w:i/>
                <w:color w:val="FFFFFF" w:themeColor="background1"/>
                <w:sz w:val="19"/>
                <w:szCs w:val="19"/>
              </w:rPr>
              <w:t xml:space="preserve"> Ratione temporis</w:t>
            </w:r>
            <w:r w:rsidRPr="00316127">
              <w:rPr>
                <w:rFonts w:ascii="Cambria" w:hAnsi="Cambria"/>
                <w:b/>
                <w:bCs/>
                <w:color w:val="FFFFFF" w:themeColor="background1"/>
                <w:sz w:val="19"/>
                <w:szCs w:val="19"/>
              </w:rPr>
              <w:t>:</w:t>
            </w:r>
          </w:p>
        </w:tc>
        <w:tc>
          <w:tcPr>
            <w:tcW w:w="5670" w:type="dxa"/>
            <w:vAlign w:val="center"/>
          </w:tcPr>
          <w:p w14:paraId="41DAC884" w14:textId="4FFEF348" w:rsidR="00F621C3" w:rsidRPr="00316127" w:rsidRDefault="00316127" w:rsidP="009163FC">
            <w:pPr>
              <w:rPr>
                <w:rFonts w:asciiTheme="majorHAnsi" w:hAnsiTheme="majorHAnsi"/>
                <w:bCs/>
                <w:sz w:val="19"/>
                <w:szCs w:val="19"/>
              </w:rPr>
            </w:pPr>
            <w:r w:rsidRPr="00316127">
              <w:rPr>
                <w:rFonts w:asciiTheme="majorHAnsi" w:hAnsiTheme="majorHAnsi"/>
                <w:bCs/>
                <w:sz w:val="19"/>
                <w:szCs w:val="19"/>
              </w:rPr>
              <w:t>Yes</w:t>
            </w:r>
          </w:p>
        </w:tc>
      </w:tr>
      <w:tr w:rsidR="00F621C3" w:rsidRPr="00316127"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Competence</w:t>
            </w:r>
            <w:r w:rsidRPr="00316127">
              <w:rPr>
                <w:rFonts w:ascii="Cambria" w:hAnsi="Cambria"/>
                <w:b/>
                <w:bCs/>
                <w:i/>
                <w:color w:val="FFFFFF" w:themeColor="background1"/>
                <w:sz w:val="19"/>
                <w:szCs w:val="19"/>
              </w:rPr>
              <w:t xml:space="preserve"> Ratione materiae</w:t>
            </w:r>
            <w:r w:rsidRPr="00316127">
              <w:rPr>
                <w:rFonts w:ascii="Cambria" w:hAnsi="Cambria"/>
                <w:b/>
                <w:bCs/>
                <w:color w:val="FFFFFF" w:themeColor="background1"/>
                <w:sz w:val="19"/>
                <w:szCs w:val="19"/>
              </w:rPr>
              <w:t>:</w:t>
            </w:r>
          </w:p>
        </w:tc>
        <w:tc>
          <w:tcPr>
            <w:tcW w:w="5670" w:type="dxa"/>
            <w:vAlign w:val="center"/>
          </w:tcPr>
          <w:p w14:paraId="1E2851C8" w14:textId="388188C3" w:rsidR="00F621C3" w:rsidRPr="00316127" w:rsidRDefault="00316127" w:rsidP="00316127">
            <w:pPr>
              <w:jc w:val="both"/>
              <w:rPr>
                <w:rFonts w:asciiTheme="majorHAnsi" w:hAnsiTheme="majorHAnsi"/>
                <w:bCs/>
                <w:sz w:val="19"/>
                <w:szCs w:val="19"/>
              </w:rPr>
            </w:pPr>
            <w:r w:rsidRPr="00316127">
              <w:rPr>
                <w:rFonts w:asciiTheme="majorHAnsi" w:hAnsiTheme="majorHAnsi"/>
                <w:bCs/>
                <w:sz w:val="19"/>
                <w:szCs w:val="19"/>
              </w:rPr>
              <w:t>Yes, American Convention (deposit of ratification instrument on July 28, 1978)</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16127"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 xml:space="preserve">Duplication of procedures and International </w:t>
            </w:r>
            <w:r w:rsidRPr="00316127">
              <w:rPr>
                <w:rFonts w:ascii="Cambria" w:hAnsi="Cambria"/>
                <w:b/>
                <w:bCs/>
                <w:i/>
                <w:color w:val="FFFFFF" w:themeColor="background1"/>
                <w:sz w:val="19"/>
                <w:szCs w:val="19"/>
              </w:rPr>
              <w:t>res judicata</w:t>
            </w:r>
            <w:r w:rsidRPr="00316127">
              <w:rPr>
                <w:rFonts w:ascii="Cambria" w:hAnsi="Cambria"/>
                <w:b/>
                <w:bCs/>
                <w:color w:val="FFFFFF" w:themeColor="background1"/>
                <w:sz w:val="19"/>
                <w:szCs w:val="19"/>
              </w:rPr>
              <w:t>:</w:t>
            </w:r>
          </w:p>
        </w:tc>
        <w:tc>
          <w:tcPr>
            <w:tcW w:w="5670" w:type="dxa"/>
            <w:vAlign w:val="center"/>
          </w:tcPr>
          <w:p w14:paraId="4187E26D" w14:textId="2C79D671" w:rsidR="00F621C3" w:rsidRPr="00316127" w:rsidRDefault="00316127" w:rsidP="009163FC">
            <w:pPr>
              <w:jc w:val="both"/>
              <w:rPr>
                <w:rFonts w:ascii="Cambria" w:hAnsi="Cambria"/>
                <w:bCs/>
                <w:sz w:val="19"/>
                <w:szCs w:val="19"/>
              </w:rPr>
            </w:pPr>
            <w:r>
              <w:rPr>
                <w:rFonts w:ascii="Cambria" w:hAnsi="Cambria"/>
                <w:bCs/>
                <w:sz w:val="19"/>
                <w:szCs w:val="19"/>
              </w:rPr>
              <w:t>No</w:t>
            </w:r>
          </w:p>
        </w:tc>
      </w:tr>
      <w:tr w:rsidR="00F621C3" w:rsidRPr="00316127"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F621C3" w:rsidRPr="00316127" w:rsidRDefault="00F621C3" w:rsidP="009163FC">
            <w:pPr>
              <w:jc w:val="center"/>
              <w:rPr>
                <w:rFonts w:ascii="Cambria" w:hAnsi="Cambria"/>
                <w:b/>
                <w:bCs/>
                <w:i/>
                <w:color w:val="FFFFFF" w:themeColor="background1"/>
                <w:sz w:val="19"/>
                <w:szCs w:val="19"/>
              </w:rPr>
            </w:pPr>
            <w:r w:rsidRPr="00316127">
              <w:rPr>
                <w:rFonts w:ascii="Cambria" w:hAnsi="Cambria"/>
                <w:b/>
                <w:bCs/>
                <w:color w:val="FFFFFF" w:themeColor="background1"/>
                <w:sz w:val="19"/>
                <w:szCs w:val="19"/>
              </w:rPr>
              <w:t>Rights declared admissible</w:t>
            </w:r>
          </w:p>
        </w:tc>
        <w:tc>
          <w:tcPr>
            <w:tcW w:w="5670" w:type="dxa"/>
            <w:vAlign w:val="center"/>
          </w:tcPr>
          <w:p w14:paraId="08457BED" w14:textId="32F98AEC" w:rsidR="00F621C3" w:rsidRPr="00316127" w:rsidRDefault="00316127" w:rsidP="009163FC">
            <w:pPr>
              <w:jc w:val="both"/>
              <w:rPr>
                <w:rFonts w:ascii="Cambria" w:hAnsi="Cambria"/>
                <w:bCs/>
                <w:sz w:val="19"/>
                <w:szCs w:val="19"/>
              </w:rPr>
            </w:pPr>
            <w:r>
              <w:rPr>
                <w:rFonts w:ascii="Cambria" w:hAnsi="Cambria"/>
                <w:bCs/>
                <w:sz w:val="19"/>
                <w:szCs w:val="19"/>
              </w:rPr>
              <w:t>None</w:t>
            </w:r>
          </w:p>
        </w:tc>
      </w:tr>
      <w:tr w:rsidR="00F621C3" w:rsidRPr="00316127"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Exhaustion of domestic remedies or applicability of an exception to the rule:</w:t>
            </w:r>
          </w:p>
        </w:tc>
        <w:tc>
          <w:tcPr>
            <w:tcW w:w="5670" w:type="dxa"/>
            <w:vAlign w:val="center"/>
          </w:tcPr>
          <w:p w14:paraId="413C33C5" w14:textId="3335B52F" w:rsidR="00F621C3" w:rsidRPr="00316127" w:rsidRDefault="00316127" w:rsidP="009163FC">
            <w:pPr>
              <w:rPr>
                <w:rFonts w:ascii="Cambria" w:hAnsi="Cambria"/>
                <w:bCs/>
                <w:sz w:val="19"/>
                <w:szCs w:val="19"/>
              </w:rPr>
            </w:pPr>
            <w:r w:rsidRPr="00316127">
              <w:rPr>
                <w:rFonts w:ascii="Cambria" w:hAnsi="Cambria"/>
                <w:bCs/>
                <w:sz w:val="19"/>
                <w:szCs w:val="19"/>
              </w:rPr>
              <w:t>Yes, October 2008</w:t>
            </w:r>
          </w:p>
        </w:tc>
      </w:tr>
      <w:tr w:rsidR="00F621C3" w:rsidRPr="00316127"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F621C3" w:rsidRPr="00316127" w:rsidRDefault="00F621C3" w:rsidP="009163FC">
            <w:pPr>
              <w:jc w:val="center"/>
              <w:rPr>
                <w:rFonts w:ascii="Cambria" w:hAnsi="Cambria"/>
                <w:b/>
                <w:bCs/>
                <w:color w:val="FFFFFF" w:themeColor="background1"/>
                <w:sz w:val="19"/>
                <w:szCs w:val="19"/>
              </w:rPr>
            </w:pPr>
            <w:r w:rsidRPr="00316127">
              <w:rPr>
                <w:rFonts w:ascii="Cambria" w:hAnsi="Cambria"/>
                <w:b/>
                <w:bCs/>
                <w:color w:val="FFFFFF" w:themeColor="background1"/>
                <w:sz w:val="19"/>
                <w:szCs w:val="19"/>
              </w:rPr>
              <w:t>Timeliness of the petition:</w:t>
            </w:r>
          </w:p>
        </w:tc>
        <w:tc>
          <w:tcPr>
            <w:tcW w:w="5670" w:type="dxa"/>
            <w:vAlign w:val="center"/>
          </w:tcPr>
          <w:p w14:paraId="430092A0" w14:textId="0D0A1497" w:rsidR="00F621C3" w:rsidRPr="00316127" w:rsidRDefault="00316127" w:rsidP="009163FC">
            <w:pPr>
              <w:rPr>
                <w:rFonts w:asciiTheme="majorHAnsi" w:hAnsiTheme="majorHAnsi"/>
                <w:bCs/>
                <w:sz w:val="19"/>
                <w:szCs w:val="19"/>
              </w:rPr>
            </w:pPr>
            <w:r>
              <w:rPr>
                <w:rFonts w:asciiTheme="majorHAnsi" w:hAnsiTheme="majorHAnsi"/>
                <w:bCs/>
                <w:sz w:val="19"/>
                <w:szCs w:val="19"/>
              </w:rPr>
              <w:t>Yes, March 23, 2009</w:t>
            </w:r>
          </w:p>
        </w:tc>
      </w:tr>
    </w:tbl>
    <w:p w14:paraId="18DCE0F3"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4A6EA7CB" w14:textId="14D6B144" w:rsidR="00B333D1" w:rsidRPr="00B333D1" w:rsidRDefault="006318B2"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B333D1" w:rsidRPr="00B333D1">
        <w:rPr>
          <w:rFonts w:ascii="Cambria" w:hAnsi="Cambria"/>
          <w:sz w:val="20"/>
          <w:szCs w:val="20"/>
        </w:rPr>
        <w:t>According to the petition, Mr. Jesús William Cóndor Ávila (hereinafter “Mr. Cóndor” or “the alleged victim”) has been a victim of human rights violations by the State of Peru. The petitioner claims the alleged victim’s wrongful prosecution and conviction for an offense against public administration—bribery—, in a trial held contrary to judicial guarantees.</w:t>
      </w:r>
      <w:r w:rsidR="0046746F">
        <w:rPr>
          <w:rFonts w:ascii="Cambria" w:hAnsi="Cambria"/>
          <w:sz w:val="20"/>
          <w:szCs w:val="20"/>
        </w:rPr>
        <w:t xml:space="preserve"> </w:t>
      </w:r>
    </w:p>
    <w:p w14:paraId="1227F0F6" w14:textId="1DF7F78D"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lastRenderedPageBreak/>
        <w:t xml:space="preserve">The petitioner indicates that Mr. Cóndor was a </w:t>
      </w:r>
      <w:r w:rsidR="0046746F">
        <w:rPr>
          <w:rFonts w:ascii="Cambria" w:hAnsi="Cambria"/>
          <w:sz w:val="20"/>
          <w:szCs w:val="20"/>
        </w:rPr>
        <w:t>legal</w:t>
      </w:r>
      <w:r w:rsidRPr="00B333D1">
        <w:rPr>
          <w:rFonts w:ascii="Cambria" w:hAnsi="Cambria"/>
          <w:sz w:val="20"/>
          <w:szCs w:val="20"/>
        </w:rPr>
        <w:t xml:space="preserve"> technician </w:t>
      </w:r>
      <w:r w:rsidR="0046746F">
        <w:rPr>
          <w:rFonts w:ascii="Cambria" w:hAnsi="Cambria"/>
          <w:sz w:val="20"/>
          <w:szCs w:val="20"/>
        </w:rPr>
        <w:t>at</w:t>
      </w:r>
      <w:r w:rsidRPr="00B333D1">
        <w:rPr>
          <w:rFonts w:ascii="Cambria" w:hAnsi="Cambria"/>
          <w:sz w:val="20"/>
          <w:szCs w:val="20"/>
        </w:rPr>
        <w:t xml:space="preserve"> the Family Courts of the Superior Court of Justice in Lima. On Friday</w:t>
      </w:r>
      <w:r w:rsidR="003A492C">
        <w:rPr>
          <w:rFonts w:ascii="Cambria" w:hAnsi="Cambria"/>
          <w:sz w:val="20"/>
          <w:szCs w:val="20"/>
        </w:rPr>
        <w:t>,</w:t>
      </w:r>
      <w:r w:rsidRPr="00B333D1">
        <w:rPr>
          <w:rFonts w:ascii="Cambria" w:hAnsi="Cambria"/>
          <w:sz w:val="20"/>
          <w:szCs w:val="20"/>
        </w:rPr>
        <w:t xml:space="preserve"> February 21, 2003, Mr. Carlos Raúl Pari Chávez (“Mr. Pari”), also working at these courts, asked someone for money in exchange for a legal notice in favor of th</w:t>
      </w:r>
      <w:r w:rsidR="003A492C">
        <w:rPr>
          <w:rFonts w:ascii="Cambria" w:hAnsi="Cambria"/>
          <w:sz w:val="20"/>
          <w:szCs w:val="20"/>
        </w:rPr>
        <w:t>at</w:t>
      </w:r>
      <w:r w:rsidRPr="00B333D1">
        <w:rPr>
          <w:rFonts w:ascii="Cambria" w:hAnsi="Cambria"/>
          <w:sz w:val="20"/>
          <w:szCs w:val="20"/>
        </w:rPr>
        <w:t xml:space="preserve"> person. The following Monday</w:t>
      </w:r>
      <w:r w:rsidR="00271B1F">
        <w:rPr>
          <w:rFonts w:ascii="Cambria" w:hAnsi="Cambria"/>
          <w:sz w:val="20"/>
          <w:szCs w:val="20"/>
        </w:rPr>
        <w:t>,</w:t>
      </w:r>
      <w:r w:rsidRPr="00B333D1">
        <w:rPr>
          <w:rFonts w:ascii="Cambria" w:hAnsi="Cambria"/>
          <w:sz w:val="20"/>
          <w:szCs w:val="20"/>
        </w:rPr>
        <w:t xml:space="preserve"> this person came to the court and confronted Mr. Pari, who lied and said that the request for money had been ordered by the person in charge of the area, Mr. Cóndor. Although Mr. Cóndor denied his </w:t>
      </w:r>
      <w:r w:rsidR="003A492C">
        <w:rPr>
          <w:rFonts w:ascii="Cambria" w:hAnsi="Cambria"/>
          <w:sz w:val="20"/>
          <w:szCs w:val="20"/>
        </w:rPr>
        <w:t>involvement</w:t>
      </w:r>
      <w:r w:rsidRPr="00B333D1">
        <w:rPr>
          <w:rFonts w:ascii="Cambria" w:hAnsi="Cambria"/>
          <w:sz w:val="20"/>
          <w:szCs w:val="20"/>
        </w:rPr>
        <w:t xml:space="preserve"> in the</w:t>
      </w:r>
      <w:r w:rsidR="003A492C">
        <w:rPr>
          <w:rFonts w:ascii="Cambria" w:hAnsi="Cambria"/>
          <w:sz w:val="20"/>
          <w:szCs w:val="20"/>
        </w:rPr>
        <w:t xml:space="preserve"> facts</w:t>
      </w:r>
      <w:r w:rsidRPr="00B333D1">
        <w:rPr>
          <w:rFonts w:ascii="Cambria" w:hAnsi="Cambria"/>
          <w:sz w:val="20"/>
          <w:szCs w:val="20"/>
        </w:rPr>
        <w:t>, an investigation was filed. On February 23, 2003, the Attorney General’s Office filed a criminal complaint against Mr. Pari and Mr. Cóndor. On December 4, 2007, the Superior Court of Justice in Lima (“the Superior Court”) sentenced both men to four years to life in prison.</w:t>
      </w:r>
      <w:r w:rsidR="003A492C">
        <w:rPr>
          <w:rFonts w:ascii="Cambria" w:hAnsi="Cambria"/>
          <w:sz w:val="20"/>
          <w:szCs w:val="20"/>
        </w:rPr>
        <w:t xml:space="preserve"> </w:t>
      </w:r>
    </w:p>
    <w:p w14:paraId="2153DB85" w14:textId="3DFC668B"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The petition states that Mr. Cóndor lodged an appeal for annulment with the Supreme Court of Justice (“the Supreme Court”) to challenge the </w:t>
      </w:r>
      <w:r w:rsidR="003A492C">
        <w:rPr>
          <w:rFonts w:ascii="Cambria" w:hAnsi="Cambria"/>
          <w:sz w:val="20"/>
          <w:szCs w:val="20"/>
        </w:rPr>
        <w:t xml:space="preserve">trial </w:t>
      </w:r>
      <w:r w:rsidRPr="00B333D1">
        <w:rPr>
          <w:rFonts w:ascii="Cambria" w:hAnsi="Cambria"/>
          <w:sz w:val="20"/>
          <w:szCs w:val="20"/>
        </w:rPr>
        <w:t xml:space="preserve">court’s judgment and </w:t>
      </w:r>
      <w:r w:rsidR="003A492C">
        <w:rPr>
          <w:rFonts w:ascii="Cambria" w:hAnsi="Cambria"/>
          <w:sz w:val="20"/>
          <w:szCs w:val="20"/>
        </w:rPr>
        <w:t>have</w:t>
      </w:r>
      <w:r w:rsidRPr="00B333D1">
        <w:rPr>
          <w:rFonts w:ascii="Cambria" w:hAnsi="Cambria"/>
          <w:sz w:val="20"/>
          <w:szCs w:val="20"/>
        </w:rPr>
        <w:t xml:space="preserve"> the evidence</w:t>
      </w:r>
      <w:r w:rsidR="003A492C">
        <w:rPr>
          <w:rFonts w:ascii="Cambria" w:hAnsi="Cambria"/>
          <w:sz w:val="20"/>
          <w:szCs w:val="20"/>
        </w:rPr>
        <w:t xml:space="preserve"> reassessed</w:t>
      </w:r>
      <w:r w:rsidRPr="00B333D1">
        <w:rPr>
          <w:rFonts w:ascii="Cambria" w:hAnsi="Cambria"/>
          <w:sz w:val="20"/>
          <w:szCs w:val="20"/>
        </w:rPr>
        <w:t xml:space="preserve">, in accordance with the criminal code of procedure in force then. However, according to the petitioner, on May 27, 2008, the Supreme Court merely </w:t>
      </w:r>
      <w:r w:rsidR="000F2191">
        <w:rPr>
          <w:rFonts w:ascii="Cambria" w:hAnsi="Cambria"/>
          <w:sz w:val="20"/>
          <w:szCs w:val="20"/>
        </w:rPr>
        <w:t>mentioned</w:t>
      </w:r>
      <w:r w:rsidRPr="00B333D1">
        <w:rPr>
          <w:rFonts w:ascii="Cambria" w:hAnsi="Cambria"/>
          <w:sz w:val="20"/>
          <w:szCs w:val="20"/>
        </w:rPr>
        <w:t xml:space="preserve"> the purported factual grounds of the lower</w:t>
      </w:r>
      <w:r w:rsidR="005537C9">
        <w:rPr>
          <w:rFonts w:ascii="Cambria" w:hAnsi="Cambria"/>
          <w:sz w:val="20"/>
          <w:szCs w:val="20"/>
        </w:rPr>
        <w:t xml:space="preserve"> </w:t>
      </w:r>
      <w:r w:rsidRPr="00B333D1">
        <w:rPr>
          <w:rFonts w:ascii="Cambria" w:hAnsi="Cambria"/>
          <w:sz w:val="20"/>
          <w:szCs w:val="20"/>
        </w:rPr>
        <w:t>court’s judgment without considering the claims in the appeal. As a result, this decision was not duly founded either.</w:t>
      </w:r>
      <w:r w:rsidR="000F2191">
        <w:rPr>
          <w:rFonts w:ascii="Cambria" w:hAnsi="Cambria"/>
          <w:sz w:val="20"/>
          <w:szCs w:val="20"/>
        </w:rPr>
        <w:t xml:space="preserve"> </w:t>
      </w:r>
    </w:p>
    <w:p w14:paraId="2919421A" w14:textId="7F9B0D00"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According to the petitioner, after the trial of May 27, 2008, the alleged victim was deprived of access to the file until January 2009. He claims that access was essential for a well-grounded action for</w:t>
      </w:r>
      <w:r w:rsidR="00B864C6">
        <w:rPr>
          <w:rFonts w:ascii="Cambria" w:hAnsi="Cambria"/>
          <w:sz w:val="20"/>
          <w:szCs w:val="20"/>
        </w:rPr>
        <w:t xml:space="preserve"> the</w:t>
      </w:r>
      <w:r w:rsidRPr="00B333D1">
        <w:rPr>
          <w:rFonts w:ascii="Cambria" w:hAnsi="Cambria"/>
          <w:sz w:val="20"/>
          <w:szCs w:val="20"/>
        </w:rPr>
        <w:t xml:space="preserve"> legal protection of constitutional rights and that when they finally accessed the file, the deadline for </w:t>
      </w:r>
      <w:r w:rsidR="000F2191">
        <w:rPr>
          <w:rFonts w:ascii="Cambria" w:hAnsi="Cambria"/>
          <w:sz w:val="20"/>
          <w:szCs w:val="20"/>
        </w:rPr>
        <w:t xml:space="preserve">filing this </w:t>
      </w:r>
      <w:r w:rsidRPr="00B333D1">
        <w:rPr>
          <w:rFonts w:ascii="Cambria" w:hAnsi="Cambria"/>
          <w:sz w:val="20"/>
          <w:szCs w:val="20"/>
        </w:rPr>
        <w:t>remedy had been due.</w:t>
      </w:r>
      <w:r w:rsidR="000F2191">
        <w:rPr>
          <w:rFonts w:ascii="Cambria" w:hAnsi="Cambria"/>
          <w:sz w:val="20"/>
          <w:szCs w:val="20"/>
        </w:rPr>
        <w:t xml:space="preserve"> </w:t>
      </w:r>
    </w:p>
    <w:p w14:paraId="4909AF8B" w14:textId="65AC3232"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Mr. Cóndor claims to be innocent of the charges and that his conviction has violated his human rights. In th</w:t>
      </w:r>
      <w:r w:rsidR="00557C32">
        <w:rPr>
          <w:rFonts w:ascii="Cambria" w:hAnsi="Cambria"/>
          <w:sz w:val="20"/>
          <w:szCs w:val="20"/>
        </w:rPr>
        <w:t>is</w:t>
      </w:r>
      <w:r w:rsidRPr="00B333D1">
        <w:rPr>
          <w:rFonts w:ascii="Cambria" w:hAnsi="Cambria"/>
          <w:sz w:val="20"/>
          <w:szCs w:val="20"/>
        </w:rPr>
        <w:t xml:space="preserve"> regard, he alleges that i) the sentence was not based on conclusive evidence, ii) the Superior Court did not consider </w:t>
      </w:r>
      <w:r w:rsidR="00557C32">
        <w:rPr>
          <w:rFonts w:ascii="Cambria" w:hAnsi="Cambria"/>
          <w:sz w:val="20"/>
          <w:szCs w:val="20"/>
        </w:rPr>
        <w:t xml:space="preserve">the </w:t>
      </w:r>
      <w:r w:rsidRPr="00B333D1">
        <w:rPr>
          <w:rFonts w:ascii="Cambria" w:hAnsi="Cambria"/>
          <w:sz w:val="20"/>
          <w:szCs w:val="20"/>
        </w:rPr>
        <w:t>exculpatory evidence submitted by the witnesses, and iii) the authorities reversed the burden of proof</w:t>
      </w:r>
      <w:r w:rsidR="00557C32">
        <w:rPr>
          <w:rFonts w:ascii="Cambria" w:hAnsi="Cambria"/>
          <w:sz w:val="20"/>
          <w:szCs w:val="20"/>
        </w:rPr>
        <w:t xml:space="preserve"> by</w:t>
      </w:r>
      <w:r w:rsidRPr="00B333D1">
        <w:rPr>
          <w:rFonts w:ascii="Cambria" w:hAnsi="Cambria"/>
          <w:sz w:val="20"/>
          <w:szCs w:val="20"/>
        </w:rPr>
        <w:t xml:space="preserve"> making him prove his innocence.</w:t>
      </w:r>
      <w:r w:rsidR="00557C32">
        <w:rPr>
          <w:rFonts w:ascii="Cambria" w:hAnsi="Cambria"/>
          <w:sz w:val="20"/>
          <w:szCs w:val="20"/>
        </w:rPr>
        <w:t xml:space="preserve"> </w:t>
      </w:r>
    </w:p>
    <w:p w14:paraId="13A04802" w14:textId="2B3AC466"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As to the first allegation, the petitioner submits that Mr. Cóndor’s conviction was based only on Mr. Pari’s inconsistent statements and that the testimonies reportedly proving his account of the facts merely reproduce</w:t>
      </w:r>
      <w:r w:rsidR="003E6349">
        <w:rPr>
          <w:rFonts w:ascii="Cambria" w:hAnsi="Cambria"/>
          <w:sz w:val="20"/>
          <w:szCs w:val="20"/>
        </w:rPr>
        <w:t>d</w:t>
      </w:r>
      <w:r w:rsidRPr="00B333D1">
        <w:rPr>
          <w:rFonts w:ascii="Cambria" w:hAnsi="Cambria"/>
          <w:sz w:val="20"/>
          <w:szCs w:val="20"/>
        </w:rPr>
        <w:t xml:space="preserve"> information that Mr. Pari himself </w:t>
      </w:r>
      <w:r w:rsidR="003E6349">
        <w:rPr>
          <w:rFonts w:ascii="Cambria" w:hAnsi="Cambria"/>
          <w:sz w:val="20"/>
          <w:szCs w:val="20"/>
        </w:rPr>
        <w:t>had given</w:t>
      </w:r>
      <w:r w:rsidRPr="00B333D1">
        <w:rPr>
          <w:rFonts w:ascii="Cambria" w:hAnsi="Cambria"/>
          <w:sz w:val="20"/>
          <w:szCs w:val="20"/>
        </w:rPr>
        <w:t xml:space="preserve"> to these people, in connection with the alleged victim’s involvement in the facts. Meaning by this that these people </w:t>
      </w:r>
      <w:r w:rsidR="003E6349">
        <w:rPr>
          <w:rFonts w:ascii="Cambria" w:hAnsi="Cambria"/>
          <w:sz w:val="20"/>
          <w:szCs w:val="20"/>
        </w:rPr>
        <w:t>testified to</w:t>
      </w:r>
      <w:r w:rsidRPr="00B333D1">
        <w:rPr>
          <w:rFonts w:ascii="Cambria" w:hAnsi="Cambria"/>
          <w:sz w:val="20"/>
          <w:szCs w:val="20"/>
        </w:rPr>
        <w:t xml:space="preserve"> the Superior Court that Mr. Pari had told them that the money request had come from Mr. Cóndor. As for </w:t>
      </w:r>
      <w:r w:rsidR="005F097B">
        <w:rPr>
          <w:rFonts w:ascii="Cambria" w:hAnsi="Cambria"/>
          <w:sz w:val="20"/>
          <w:szCs w:val="20"/>
        </w:rPr>
        <w:t>t</w:t>
      </w:r>
      <w:r w:rsidRPr="00B333D1">
        <w:rPr>
          <w:rFonts w:ascii="Cambria" w:hAnsi="Cambria"/>
          <w:sz w:val="20"/>
          <w:szCs w:val="20"/>
        </w:rPr>
        <w:t>he second claim, the petitioner submits that in its judgment, the Superior Court did not examine the testimonies for the defense. In particular, he claims that the Superior Court disregarded the testimony given by one of the magistrates of the Family Courts of the Superior Court who met with Mr. Pari and Mr. Cóndor to investigate the facts. Reportedly, in this meeting</w:t>
      </w:r>
      <w:r w:rsidR="009C5590">
        <w:rPr>
          <w:rFonts w:ascii="Cambria" w:hAnsi="Cambria"/>
          <w:sz w:val="20"/>
          <w:szCs w:val="20"/>
        </w:rPr>
        <w:t>,</w:t>
      </w:r>
      <w:r w:rsidRPr="00B333D1">
        <w:rPr>
          <w:rFonts w:ascii="Cambria" w:hAnsi="Cambria"/>
          <w:sz w:val="20"/>
          <w:szCs w:val="20"/>
        </w:rPr>
        <w:t xml:space="preserve"> Mr. Pari accepted full and </w:t>
      </w:r>
      <w:r w:rsidR="003E6349">
        <w:rPr>
          <w:rFonts w:ascii="Cambria" w:hAnsi="Cambria"/>
          <w:sz w:val="20"/>
          <w:szCs w:val="20"/>
        </w:rPr>
        <w:t>sole</w:t>
      </w:r>
      <w:r w:rsidRPr="00B333D1">
        <w:rPr>
          <w:rFonts w:ascii="Cambria" w:hAnsi="Cambria"/>
          <w:sz w:val="20"/>
          <w:szCs w:val="20"/>
        </w:rPr>
        <w:t xml:space="preserve"> responsibility for the attributed offenses and asserted that the alleged victim had not taken part in the facts. Regarding the third claim, the petitioner affirms that the Superior Court failed to adjudicate based on conclusive evidence; that, instead, in obliging the alleged victim to prove his innocence, it violated his right to the presumption of innocence.</w:t>
      </w:r>
      <w:r w:rsidR="002C1AF1">
        <w:rPr>
          <w:rFonts w:ascii="Cambria" w:hAnsi="Cambria"/>
          <w:sz w:val="20"/>
          <w:szCs w:val="20"/>
        </w:rPr>
        <w:t xml:space="preserve"> </w:t>
      </w:r>
    </w:p>
    <w:p w14:paraId="06F72668" w14:textId="45C3FFA7"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He moreover claims that the conviction was not duly founded. He submits that according to the Superior Court, the alleged victim’s criminal liability was based on Mr. Pari’s direct, consistent, and repeated statements,</w:t>
      </w:r>
      <w:r w:rsidR="00857980">
        <w:rPr>
          <w:rFonts w:ascii="Cambria" w:hAnsi="Cambria"/>
          <w:sz w:val="20"/>
          <w:szCs w:val="20"/>
        </w:rPr>
        <w:t xml:space="preserve"> which were</w:t>
      </w:r>
      <w:r w:rsidRPr="00B333D1">
        <w:rPr>
          <w:rFonts w:ascii="Cambria" w:hAnsi="Cambria"/>
          <w:sz w:val="20"/>
          <w:szCs w:val="20"/>
        </w:rPr>
        <w:t xml:space="preserve"> in turn supported by the statements given by two witnesses and a video recording. However, it is not clear what is meant by Mr. Pari’s direct, consistent, and repeated statements, nor are there details on the corroboration procedures.</w:t>
      </w:r>
      <w:r w:rsidR="00564404">
        <w:rPr>
          <w:rFonts w:ascii="Cambria" w:hAnsi="Cambria"/>
          <w:sz w:val="20"/>
          <w:szCs w:val="20"/>
        </w:rPr>
        <w:t xml:space="preserve"> </w:t>
      </w:r>
    </w:p>
    <w:p w14:paraId="528927AA" w14:textId="0A61F20F"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In addition to the violation of judicial guarantees, the petitioner alleges that Mr. Cóndor’s unjust conviction for malfeasance in office has damaged Mr. Cóndor’s and his family’s physical, mental, and moral integrity as well as </w:t>
      </w:r>
      <w:r w:rsidR="00564404">
        <w:rPr>
          <w:rFonts w:ascii="Cambria" w:hAnsi="Cambria"/>
          <w:sz w:val="20"/>
          <w:szCs w:val="20"/>
        </w:rPr>
        <w:t>ruined</w:t>
      </w:r>
      <w:r w:rsidRPr="00B333D1">
        <w:rPr>
          <w:rFonts w:ascii="Cambria" w:hAnsi="Cambria"/>
          <w:sz w:val="20"/>
          <w:szCs w:val="20"/>
        </w:rPr>
        <w:t xml:space="preserve"> the alleged victim’s life project.</w:t>
      </w:r>
      <w:r w:rsidR="00564404">
        <w:rPr>
          <w:rFonts w:ascii="Cambria" w:hAnsi="Cambria"/>
          <w:sz w:val="20"/>
          <w:szCs w:val="20"/>
        </w:rPr>
        <w:t xml:space="preserve"> </w:t>
      </w:r>
    </w:p>
    <w:p w14:paraId="72C39453" w14:textId="6351C20E"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According to the State, the alleged victim wrongly seeks that the Commission work as an instance of jurisdiction for the review and/or appeal of domestic legal proceedings even when these </w:t>
      </w:r>
      <w:r w:rsidR="005A3B36">
        <w:rPr>
          <w:rFonts w:ascii="Cambria" w:hAnsi="Cambria"/>
          <w:sz w:val="20"/>
          <w:szCs w:val="20"/>
        </w:rPr>
        <w:t>were</w:t>
      </w:r>
      <w:r w:rsidRPr="00B333D1">
        <w:rPr>
          <w:rFonts w:ascii="Cambria" w:hAnsi="Cambria"/>
          <w:sz w:val="20"/>
          <w:szCs w:val="20"/>
        </w:rPr>
        <w:t xml:space="preserve"> </w:t>
      </w:r>
      <w:r w:rsidR="005A3B36">
        <w:rPr>
          <w:rFonts w:ascii="Cambria" w:hAnsi="Cambria"/>
          <w:sz w:val="20"/>
          <w:szCs w:val="20"/>
        </w:rPr>
        <w:t xml:space="preserve">held </w:t>
      </w:r>
      <w:r w:rsidRPr="00B333D1">
        <w:rPr>
          <w:rFonts w:ascii="Cambria" w:hAnsi="Cambria"/>
          <w:sz w:val="20"/>
          <w:szCs w:val="20"/>
        </w:rPr>
        <w:t>in accordance with due process and the respect of the right to judicial protection. It claims that in the criminal action, Mr. Cóndor and the plaintiff were equally able to submit evidence. It alleges that he ha</w:t>
      </w:r>
      <w:r w:rsidR="005A3B36">
        <w:rPr>
          <w:rFonts w:ascii="Cambria" w:hAnsi="Cambria"/>
          <w:sz w:val="20"/>
          <w:szCs w:val="20"/>
        </w:rPr>
        <w:t>d</w:t>
      </w:r>
      <w:r w:rsidRPr="00B333D1">
        <w:rPr>
          <w:rFonts w:ascii="Cambria" w:hAnsi="Cambria"/>
          <w:sz w:val="20"/>
          <w:szCs w:val="20"/>
        </w:rPr>
        <w:t xml:space="preserve"> never questioned the procedural aspect and/or the development of the proceedings </w:t>
      </w:r>
      <w:r w:rsidR="005A3B36">
        <w:rPr>
          <w:rFonts w:ascii="Cambria" w:hAnsi="Cambria"/>
          <w:sz w:val="20"/>
          <w:szCs w:val="20"/>
        </w:rPr>
        <w:t>n</w:t>
      </w:r>
      <w:r w:rsidRPr="00B333D1">
        <w:rPr>
          <w:rFonts w:ascii="Cambria" w:hAnsi="Cambria"/>
          <w:sz w:val="20"/>
          <w:szCs w:val="20"/>
        </w:rPr>
        <w:t xml:space="preserve">or alleged his deprivation of the right to access justice or to file an appeal. Therefore, it claims that Mr. Cóndor seeks that the IACHR work as a fourth instance of jurisdiction. It notes that given the subsidiary and complementary nature of the IACHR, </w:t>
      </w:r>
      <w:r w:rsidRPr="00B333D1">
        <w:rPr>
          <w:rFonts w:ascii="Cambria" w:hAnsi="Cambria"/>
          <w:sz w:val="20"/>
          <w:szCs w:val="20"/>
        </w:rPr>
        <w:lastRenderedPageBreak/>
        <w:t xml:space="preserve">the alleged victim’s </w:t>
      </w:r>
      <w:r w:rsidR="005F097B" w:rsidRPr="00B333D1">
        <w:rPr>
          <w:rFonts w:ascii="Cambria" w:hAnsi="Cambria"/>
          <w:sz w:val="20"/>
          <w:szCs w:val="20"/>
        </w:rPr>
        <w:t>dissatisfaction</w:t>
      </w:r>
      <w:r w:rsidRPr="00B333D1">
        <w:rPr>
          <w:rFonts w:ascii="Cambria" w:hAnsi="Cambria"/>
          <w:sz w:val="20"/>
          <w:szCs w:val="20"/>
        </w:rPr>
        <w:t xml:space="preserve"> with the domestic courts’ judgments may not be analyzed by the Commission.</w:t>
      </w:r>
      <w:r w:rsidR="005A3B36">
        <w:rPr>
          <w:rFonts w:ascii="Cambria" w:hAnsi="Cambria"/>
          <w:sz w:val="20"/>
          <w:szCs w:val="20"/>
        </w:rPr>
        <w:t xml:space="preserve"> </w:t>
      </w:r>
    </w:p>
    <w:p w14:paraId="6CAE7D27" w14:textId="368399F1" w:rsidR="00F621C3" w:rsidRPr="006318B2"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It further indicates that the facts </w:t>
      </w:r>
      <w:r w:rsidR="00564596" w:rsidRPr="00B333D1">
        <w:rPr>
          <w:rFonts w:ascii="Cambria" w:hAnsi="Cambria"/>
          <w:sz w:val="20"/>
          <w:szCs w:val="20"/>
        </w:rPr>
        <w:t xml:space="preserve">alleged </w:t>
      </w:r>
      <w:r w:rsidRPr="00B333D1">
        <w:rPr>
          <w:rFonts w:ascii="Cambria" w:hAnsi="Cambria"/>
          <w:sz w:val="20"/>
          <w:szCs w:val="20"/>
        </w:rPr>
        <w:t xml:space="preserve">in the complaint do not establish a violation of the rights to humane treatment, personal liberty, fair trial, compensation for </w:t>
      </w:r>
      <w:r w:rsidR="005F097B" w:rsidRPr="00B333D1">
        <w:rPr>
          <w:rFonts w:ascii="Cambria" w:hAnsi="Cambria"/>
          <w:sz w:val="20"/>
          <w:szCs w:val="20"/>
        </w:rPr>
        <w:t>miscarriage</w:t>
      </w:r>
      <w:r w:rsidRPr="00B333D1">
        <w:rPr>
          <w:rFonts w:ascii="Cambria" w:hAnsi="Cambria"/>
          <w:sz w:val="20"/>
          <w:szCs w:val="20"/>
        </w:rPr>
        <w:t xml:space="preserve"> of justice, and judicial protection. In this regard, it argues that i) in this case, the judgment was a well-founded decision passed by a collegiate court containing the legal and factual elements leading to the alleged victim’s conviction; ii) a decision unfavorable to the petitioner’s interests does not amount to a denial of justice; iii) imprisonment for enforcing a sentence of deprivation of liberty is not a violation of the alleged victim’s right to humane treatment;</w:t>
      </w:r>
      <w:r w:rsidR="005A3B36">
        <w:rPr>
          <w:rFonts w:ascii="Cambria" w:hAnsi="Cambria"/>
          <w:sz w:val="20"/>
          <w:szCs w:val="20"/>
        </w:rPr>
        <w:t xml:space="preserve"> and</w:t>
      </w:r>
      <w:r w:rsidRPr="00B333D1">
        <w:rPr>
          <w:rFonts w:ascii="Cambria" w:hAnsi="Cambria"/>
          <w:sz w:val="20"/>
          <w:szCs w:val="20"/>
        </w:rPr>
        <w:t xml:space="preserve"> iv) as there was no miscarriage of justice, the alleged victim or his family are not entitled to compensation as the petition requests.</w:t>
      </w:r>
      <w:r w:rsidR="005A3B36">
        <w:rPr>
          <w:rFonts w:ascii="Cambria" w:hAnsi="Cambria"/>
          <w:sz w:val="20"/>
          <w:szCs w:val="20"/>
        </w:rPr>
        <w:t xml:space="preserve"> </w:t>
      </w:r>
    </w:p>
    <w:p w14:paraId="7D0427D1"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13BCC05" w14:textId="06002821" w:rsidR="00B333D1" w:rsidRPr="00B333D1" w:rsidRDefault="005A3B36"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w:t>
      </w:r>
      <w:r w:rsidR="00B333D1" w:rsidRPr="00B333D1">
        <w:rPr>
          <w:rFonts w:ascii="Cambria" w:hAnsi="Cambria"/>
          <w:sz w:val="20"/>
          <w:szCs w:val="20"/>
        </w:rPr>
        <w:t>the information on the file</w:t>
      </w:r>
      <w:r>
        <w:rPr>
          <w:rFonts w:ascii="Cambria" w:hAnsi="Cambria"/>
          <w:sz w:val="20"/>
          <w:szCs w:val="20"/>
        </w:rPr>
        <w:t>,</w:t>
      </w:r>
      <w:r w:rsidR="00B333D1" w:rsidRPr="00B333D1">
        <w:rPr>
          <w:rFonts w:ascii="Cambria" w:hAnsi="Cambria"/>
          <w:sz w:val="20"/>
          <w:szCs w:val="20"/>
        </w:rPr>
        <w:t xml:space="preserve"> an appeal for annulment was filed against the sentence of December 4, 2007, and the Supreme Court ruled on th</w:t>
      </w:r>
      <w:r>
        <w:rPr>
          <w:rFonts w:ascii="Cambria" w:hAnsi="Cambria"/>
          <w:sz w:val="20"/>
          <w:szCs w:val="20"/>
        </w:rPr>
        <w:t>at appeal</w:t>
      </w:r>
      <w:r w:rsidR="00B333D1" w:rsidRPr="00B333D1">
        <w:rPr>
          <w:rFonts w:ascii="Cambria" w:hAnsi="Cambria"/>
          <w:sz w:val="20"/>
          <w:szCs w:val="20"/>
        </w:rPr>
        <w:t xml:space="preserve"> on May 27, 2008. The petitioner alleges that this decision was notified to the alleged victim on an unspecified date in October 2008. For its part, the State does not refer to the exhaustion of remedies nor to the timeliness of the petition.</w:t>
      </w:r>
      <w:r>
        <w:rPr>
          <w:rFonts w:ascii="Cambria" w:hAnsi="Cambria"/>
          <w:sz w:val="20"/>
          <w:szCs w:val="20"/>
        </w:rPr>
        <w:t xml:space="preserve"> </w:t>
      </w:r>
    </w:p>
    <w:p w14:paraId="23787770" w14:textId="73A65098" w:rsidR="00F621C3" w:rsidRPr="000B6B7A"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Based on the foregoing, the IACHR accepts the petitioner’s view that the decision of May 27, 2008, was notified to the alleged victim later in October 2008</w:t>
      </w:r>
      <w:r w:rsidR="005A3B36">
        <w:rPr>
          <w:rFonts w:ascii="Cambria" w:hAnsi="Cambria"/>
          <w:sz w:val="20"/>
          <w:szCs w:val="20"/>
        </w:rPr>
        <w:t>, when domestic remedies were exhausted</w:t>
      </w:r>
      <w:r w:rsidRPr="00B333D1">
        <w:rPr>
          <w:rFonts w:ascii="Cambria" w:hAnsi="Cambria"/>
          <w:sz w:val="20"/>
          <w:szCs w:val="20"/>
        </w:rPr>
        <w:t>. In connection with the six month</w:t>
      </w:r>
      <w:r w:rsidR="00721314">
        <w:rPr>
          <w:rFonts w:ascii="Cambria" w:hAnsi="Cambria"/>
          <w:sz w:val="20"/>
          <w:szCs w:val="20"/>
        </w:rPr>
        <w:t xml:space="preserve">s </w:t>
      </w:r>
      <w:r w:rsidRPr="00B333D1">
        <w:rPr>
          <w:rFonts w:ascii="Cambria" w:hAnsi="Cambria"/>
          <w:sz w:val="20"/>
          <w:szCs w:val="20"/>
        </w:rPr>
        <w:t>set out in Article 46.1.b of the American Convention, the IACHR notes that regardless of the date</w:t>
      </w:r>
      <w:r w:rsidR="008B75B8">
        <w:rPr>
          <w:rFonts w:ascii="Cambria" w:hAnsi="Cambria"/>
          <w:sz w:val="20"/>
          <w:szCs w:val="20"/>
        </w:rPr>
        <w:t xml:space="preserve"> of notification</w:t>
      </w:r>
      <w:r w:rsidRPr="00B333D1">
        <w:rPr>
          <w:rFonts w:ascii="Cambria" w:hAnsi="Cambria"/>
          <w:sz w:val="20"/>
          <w:szCs w:val="20"/>
        </w:rPr>
        <w:t xml:space="preserve"> in October 2008, the six month</w:t>
      </w:r>
      <w:r w:rsidR="00721314">
        <w:rPr>
          <w:rFonts w:ascii="Cambria" w:hAnsi="Cambria"/>
          <w:sz w:val="20"/>
          <w:szCs w:val="20"/>
        </w:rPr>
        <w:t>’s period</w:t>
      </w:r>
      <w:r w:rsidRPr="00B333D1">
        <w:rPr>
          <w:rFonts w:ascii="Cambria" w:hAnsi="Cambria"/>
          <w:sz w:val="20"/>
          <w:szCs w:val="20"/>
        </w:rPr>
        <w:t xml:space="preserve"> was due in April 2009 and that the petition was filed in March 2009. Thus, the IACHR finds that the complaint meets the requirements</w:t>
      </w:r>
      <w:r w:rsidR="008B75B8">
        <w:rPr>
          <w:rFonts w:ascii="Cambria" w:hAnsi="Cambria"/>
          <w:sz w:val="20"/>
          <w:szCs w:val="20"/>
        </w:rPr>
        <w:t xml:space="preserve"> outlined</w:t>
      </w:r>
      <w:r w:rsidRPr="00B333D1">
        <w:rPr>
          <w:rFonts w:ascii="Cambria" w:hAnsi="Cambria"/>
          <w:sz w:val="20"/>
          <w:szCs w:val="20"/>
        </w:rPr>
        <w:t xml:space="preserve"> in Article 46.1, paragraphs a and b, of the Americana Convention.</w:t>
      </w:r>
      <w:r w:rsidR="008B75B8">
        <w:rPr>
          <w:rFonts w:ascii="Cambria" w:hAnsi="Cambria"/>
          <w:sz w:val="20"/>
          <w:szCs w:val="20"/>
        </w:rPr>
        <w:t xml:space="preserve"> </w:t>
      </w:r>
    </w:p>
    <w:p w14:paraId="5F8AB69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3FD12B4A" w14:textId="3C9E43EA"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In this case, the petitioner alleges that i) Mr. Cóndor was criminally convicted for committing bribery, based on the mere, </w:t>
      </w:r>
      <w:r w:rsidR="00694DB6">
        <w:rPr>
          <w:rFonts w:ascii="Cambria" w:hAnsi="Cambria"/>
          <w:sz w:val="20"/>
          <w:szCs w:val="20"/>
        </w:rPr>
        <w:t>un</w:t>
      </w:r>
      <w:r w:rsidRPr="00B333D1">
        <w:rPr>
          <w:rFonts w:ascii="Cambria" w:hAnsi="Cambria"/>
          <w:sz w:val="20"/>
          <w:szCs w:val="20"/>
        </w:rPr>
        <w:t>proven accusation by a codefendant; ii) there was proof that Mr. Cóndor was not involved in the fact in question</w:t>
      </w:r>
      <w:r w:rsidR="00694DB6">
        <w:rPr>
          <w:rFonts w:ascii="Cambria" w:hAnsi="Cambria"/>
          <w:sz w:val="20"/>
          <w:szCs w:val="20"/>
        </w:rPr>
        <w:t>,</w:t>
      </w:r>
      <w:r w:rsidRPr="00B333D1">
        <w:rPr>
          <w:rFonts w:ascii="Cambria" w:hAnsi="Cambria"/>
          <w:sz w:val="20"/>
          <w:szCs w:val="20"/>
        </w:rPr>
        <w:t xml:space="preserve"> but the judicial authorities disregarded it; iii) both the conviction by the Superior Court and the Supreme Court’s decision on his appeal were not duly founded; iv) the authorities reversed the burden of proof. In his appeal, Mr. Cóndor informed the Supreme Court that the trial court had not analyzed</w:t>
      </w:r>
      <w:r w:rsidR="00694DB6">
        <w:rPr>
          <w:rFonts w:ascii="Cambria" w:hAnsi="Cambria"/>
          <w:sz w:val="20"/>
          <w:szCs w:val="20"/>
        </w:rPr>
        <w:t xml:space="preserve"> the</w:t>
      </w:r>
      <w:r w:rsidRPr="00B333D1">
        <w:rPr>
          <w:rFonts w:ascii="Cambria" w:hAnsi="Cambria"/>
          <w:sz w:val="20"/>
          <w:szCs w:val="20"/>
        </w:rPr>
        <w:t xml:space="preserve"> inconsistencies in the testimonies nor considered the exculpatory evidence</w:t>
      </w:r>
      <w:r w:rsidR="002609B9">
        <w:rPr>
          <w:rFonts w:ascii="Cambria" w:hAnsi="Cambria"/>
          <w:sz w:val="20"/>
          <w:szCs w:val="20"/>
        </w:rPr>
        <w:t>,</w:t>
      </w:r>
      <w:r w:rsidRPr="00B333D1">
        <w:rPr>
          <w:rFonts w:ascii="Cambria" w:hAnsi="Cambria"/>
          <w:sz w:val="20"/>
          <w:szCs w:val="20"/>
        </w:rPr>
        <w:t xml:space="preserve"> and that in the appealed judgment it had failed to rule and/or adjudicate on his </w:t>
      </w:r>
      <w:r w:rsidR="00694DB6">
        <w:rPr>
          <w:rFonts w:ascii="Cambria" w:hAnsi="Cambria"/>
          <w:sz w:val="20"/>
          <w:szCs w:val="20"/>
        </w:rPr>
        <w:t xml:space="preserve">criminal </w:t>
      </w:r>
      <w:r w:rsidRPr="00B333D1">
        <w:rPr>
          <w:rFonts w:ascii="Cambria" w:hAnsi="Cambria"/>
          <w:sz w:val="20"/>
          <w:szCs w:val="20"/>
        </w:rPr>
        <w:t>responsibility</w:t>
      </w:r>
      <w:r w:rsidR="004C7070">
        <w:rPr>
          <w:rFonts w:ascii="Cambria" w:hAnsi="Cambria"/>
          <w:sz w:val="20"/>
          <w:szCs w:val="20"/>
        </w:rPr>
        <w:t xml:space="preserve"> in  due manner</w:t>
      </w:r>
      <w:r w:rsidRPr="00B333D1">
        <w:rPr>
          <w:rFonts w:ascii="Cambria" w:hAnsi="Cambria"/>
          <w:sz w:val="20"/>
          <w:szCs w:val="20"/>
        </w:rPr>
        <w:t xml:space="preserve">. In his appeal, Mr. Cóndor specified those inconsistencies and the exculpatory evidence that </w:t>
      </w:r>
      <w:r w:rsidR="00694DB6">
        <w:rPr>
          <w:rFonts w:ascii="Cambria" w:hAnsi="Cambria"/>
          <w:sz w:val="20"/>
          <w:szCs w:val="20"/>
        </w:rPr>
        <w:t>had</w:t>
      </w:r>
      <w:r w:rsidRPr="00B333D1">
        <w:rPr>
          <w:rFonts w:ascii="Cambria" w:hAnsi="Cambria"/>
          <w:sz w:val="20"/>
          <w:szCs w:val="20"/>
        </w:rPr>
        <w:t xml:space="preserve"> not considered.</w:t>
      </w:r>
      <w:r w:rsidR="00694DB6">
        <w:rPr>
          <w:rFonts w:ascii="Cambria" w:hAnsi="Cambria"/>
          <w:sz w:val="20"/>
          <w:szCs w:val="20"/>
        </w:rPr>
        <w:t xml:space="preserve"> </w:t>
      </w:r>
    </w:p>
    <w:p w14:paraId="567688AD" w14:textId="32BCEABF"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The Commission notes that in the judgments of first and second instances of jurisdiction, the authorities referred to Mr. Pari’s statements incriminating the alleged victim and to the evidence supporting this testimony. It also notes that in their decisions, the authorities considered the statements rendered by other witnesses wh</w:t>
      </w:r>
      <w:r w:rsidR="00694DB6">
        <w:rPr>
          <w:rFonts w:ascii="Cambria" w:hAnsi="Cambria"/>
          <w:sz w:val="20"/>
          <w:szCs w:val="20"/>
        </w:rPr>
        <w:t>ich</w:t>
      </w:r>
      <w:r w:rsidRPr="00B333D1">
        <w:rPr>
          <w:rFonts w:ascii="Cambria" w:hAnsi="Cambria"/>
          <w:sz w:val="20"/>
          <w:szCs w:val="20"/>
        </w:rPr>
        <w:t>, according to the alleged victim, prove</w:t>
      </w:r>
      <w:r w:rsidR="00694DB6">
        <w:rPr>
          <w:rFonts w:ascii="Cambria" w:hAnsi="Cambria"/>
          <w:sz w:val="20"/>
          <w:szCs w:val="20"/>
        </w:rPr>
        <w:t>d</w:t>
      </w:r>
      <w:r w:rsidRPr="00B333D1">
        <w:rPr>
          <w:rFonts w:ascii="Cambria" w:hAnsi="Cambria"/>
          <w:sz w:val="20"/>
          <w:szCs w:val="20"/>
        </w:rPr>
        <w:t xml:space="preserve"> his innocence. Therefore, it appears that the judicial authorities did analyze the evidence </w:t>
      </w:r>
      <w:r w:rsidR="00694DB6">
        <w:rPr>
          <w:rFonts w:ascii="Cambria" w:hAnsi="Cambria"/>
          <w:sz w:val="20"/>
          <w:szCs w:val="20"/>
        </w:rPr>
        <w:t xml:space="preserve">that </w:t>
      </w:r>
      <w:r w:rsidRPr="00B333D1">
        <w:rPr>
          <w:rFonts w:ascii="Cambria" w:hAnsi="Cambria"/>
          <w:sz w:val="20"/>
          <w:szCs w:val="20"/>
        </w:rPr>
        <w:t xml:space="preserve">the alleged victim </w:t>
      </w:r>
      <w:r w:rsidR="00694DB6">
        <w:rPr>
          <w:rFonts w:ascii="Cambria" w:hAnsi="Cambria"/>
          <w:sz w:val="20"/>
          <w:szCs w:val="20"/>
        </w:rPr>
        <w:t>deems</w:t>
      </w:r>
      <w:r w:rsidRPr="00B333D1">
        <w:rPr>
          <w:rFonts w:ascii="Cambria" w:hAnsi="Cambria"/>
          <w:sz w:val="20"/>
          <w:szCs w:val="20"/>
        </w:rPr>
        <w:t xml:space="preserve"> exculpatory, that they regarded it differently, and that his conviction was not based on an unproven accusation by a codefendant.</w:t>
      </w:r>
      <w:r w:rsidR="00694DB6">
        <w:rPr>
          <w:rFonts w:ascii="Cambria" w:hAnsi="Cambria"/>
          <w:sz w:val="20"/>
          <w:szCs w:val="20"/>
        </w:rPr>
        <w:t xml:space="preserve"> </w:t>
      </w:r>
    </w:p>
    <w:p w14:paraId="1C664A0A" w14:textId="154E8F77" w:rsidR="00B333D1" w:rsidRPr="00B333D1"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 xml:space="preserve">Additionally, </w:t>
      </w:r>
      <w:r w:rsidR="000769EF">
        <w:rPr>
          <w:rFonts w:ascii="Cambria" w:hAnsi="Cambria"/>
          <w:sz w:val="20"/>
          <w:szCs w:val="20"/>
        </w:rPr>
        <w:t>in</w:t>
      </w:r>
      <w:r w:rsidRPr="00B333D1">
        <w:rPr>
          <w:rFonts w:ascii="Cambria" w:hAnsi="Cambria"/>
          <w:sz w:val="20"/>
          <w:szCs w:val="20"/>
        </w:rPr>
        <w:t xml:space="preserve"> the sentence</w:t>
      </w:r>
      <w:r w:rsidR="00967508">
        <w:rPr>
          <w:rFonts w:ascii="Cambria" w:hAnsi="Cambria"/>
          <w:sz w:val="20"/>
          <w:szCs w:val="20"/>
        </w:rPr>
        <w:t>,</w:t>
      </w:r>
      <w:r w:rsidRPr="00B333D1">
        <w:rPr>
          <w:rFonts w:ascii="Cambria" w:hAnsi="Cambria"/>
          <w:sz w:val="20"/>
          <w:szCs w:val="20"/>
        </w:rPr>
        <w:t xml:space="preserve"> there is nothing to indicate a reversal of the burden of proof because the authorities </w:t>
      </w:r>
      <w:r w:rsidR="000769EF">
        <w:rPr>
          <w:rFonts w:ascii="Cambria" w:hAnsi="Cambria"/>
          <w:sz w:val="20"/>
          <w:szCs w:val="20"/>
        </w:rPr>
        <w:t>considered</w:t>
      </w:r>
      <w:r w:rsidRPr="00B333D1">
        <w:rPr>
          <w:rFonts w:ascii="Cambria" w:hAnsi="Cambria"/>
          <w:sz w:val="20"/>
          <w:szCs w:val="20"/>
        </w:rPr>
        <w:t xml:space="preserve"> the evidence of the accusation—</w:t>
      </w:r>
      <w:r w:rsidR="000769EF">
        <w:rPr>
          <w:rFonts w:ascii="Cambria" w:hAnsi="Cambria"/>
          <w:sz w:val="20"/>
          <w:szCs w:val="20"/>
        </w:rPr>
        <w:t>declared</w:t>
      </w:r>
      <w:r w:rsidRPr="00B333D1">
        <w:rPr>
          <w:rFonts w:ascii="Cambria" w:hAnsi="Cambria"/>
          <w:sz w:val="20"/>
          <w:szCs w:val="20"/>
        </w:rPr>
        <w:t xml:space="preserve"> proven—and the alleged victim’s statements, which were </w:t>
      </w:r>
      <w:r w:rsidR="000769EF">
        <w:rPr>
          <w:rFonts w:ascii="Cambria" w:hAnsi="Cambria"/>
          <w:sz w:val="20"/>
          <w:szCs w:val="20"/>
        </w:rPr>
        <w:t>declared</w:t>
      </w:r>
      <w:r w:rsidRPr="00B333D1">
        <w:rPr>
          <w:rFonts w:ascii="Cambria" w:hAnsi="Cambria"/>
          <w:sz w:val="20"/>
          <w:szCs w:val="20"/>
        </w:rPr>
        <w:t xml:space="preserve"> unproven as “adequate supporting evidence.” The above consideration indicate</w:t>
      </w:r>
      <w:r w:rsidR="000769EF">
        <w:rPr>
          <w:rFonts w:ascii="Cambria" w:hAnsi="Cambria"/>
          <w:sz w:val="20"/>
          <w:szCs w:val="20"/>
        </w:rPr>
        <w:t>s</w:t>
      </w:r>
      <w:r w:rsidRPr="00B333D1">
        <w:rPr>
          <w:rFonts w:ascii="Cambria" w:hAnsi="Cambria"/>
          <w:sz w:val="20"/>
          <w:szCs w:val="20"/>
        </w:rPr>
        <w:t xml:space="preserve"> that the authorities did take into account the </w:t>
      </w:r>
      <w:r w:rsidR="000769EF" w:rsidRPr="00B333D1">
        <w:rPr>
          <w:rFonts w:ascii="Cambria" w:hAnsi="Cambria"/>
          <w:sz w:val="20"/>
          <w:szCs w:val="20"/>
        </w:rPr>
        <w:t xml:space="preserve">available </w:t>
      </w:r>
      <w:r w:rsidRPr="00B333D1">
        <w:rPr>
          <w:rFonts w:ascii="Cambria" w:hAnsi="Cambria"/>
          <w:sz w:val="20"/>
          <w:szCs w:val="20"/>
        </w:rPr>
        <w:t>evidence</w:t>
      </w:r>
      <w:r w:rsidR="00C5466D">
        <w:rPr>
          <w:rFonts w:ascii="Cambria" w:hAnsi="Cambria"/>
          <w:sz w:val="20"/>
          <w:szCs w:val="20"/>
        </w:rPr>
        <w:t xml:space="preserve"> (both </w:t>
      </w:r>
      <w:r w:rsidRPr="00B333D1">
        <w:rPr>
          <w:rFonts w:ascii="Cambria" w:hAnsi="Cambria"/>
          <w:sz w:val="20"/>
          <w:szCs w:val="20"/>
        </w:rPr>
        <w:t>incriminat</w:t>
      </w:r>
      <w:r w:rsidR="00C5466D">
        <w:rPr>
          <w:rFonts w:ascii="Cambria" w:hAnsi="Cambria"/>
          <w:sz w:val="20"/>
          <w:szCs w:val="20"/>
        </w:rPr>
        <w:t>ing</w:t>
      </w:r>
      <w:r w:rsidRPr="00B333D1">
        <w:rPr>
          <w:rFonts w:ascii="Cambria" w:hAnsi="Cambria"/>
          <w:sz w:val="20"/>
          <w:szCs w:val="20"/>
        </w:rPr>
        <w:t xml:space="preserve"> and exculpatory</w:t>
      </w:r>
      <w:r w:rsidR="00C5466D">
        <w:rPr>
          <w:rFonts w:ascii="Cambria" w:hAnsi="Cambria"/>
          <w:sz w:val="20"/>
          <w:szCs w:val="20"/>
        </w:rPr>
        <w:t xml:space="preserve"> evidence)</w:t>
      </w:r>
      <w:r w:rsidRPr="00B333D1">
        <w:rPr>
          <w:rFonts w:ascii="Cambria" w:hAnsi="Cambria"/>
          <w:sz w:val="20"/>
          <w:szCs w:val="20"/>
        </w:rPr>
        <w:t xml:space="preserve"> and that the conviction </w:t>
      </w:r>
      <w:r w:rsidR="000769EF">
        <w:rPr>
          <w:rFonts w:ascii="Cambria" w:hAnsi="Cambria"/>
          <w:sz w:val="20"/>
          <w:szCs w:val="20"/>
        </w:rPr>
        <w:t>was</w:t>
      </w:r>
      <w:r w:rsidRPr="00B333D1">
        <w:rPr>
          <w:rFonts w:ascii="Cambria" w:hAnsi="Cambria"/>
          <w:sz w:val="20"/>
          <w:szCs w:val="20"/>
        </w:rPr>
        <w:t xml:space="preserve"> based </w:t>
      </w:r>
      <w:r w:rsidR="00721314">
        <w:rPr>
          <w:rFonts w:ascii="Cambria" w:hAnsi="Cambria"/>
          <w:sz w:val="20"/>
          <w:szCs w:val="20"/>
        </w:rPr>
        <w:t xml:space="preserve">not </w:t>
      </w:r>
      <w:r w:rsidRPr="00B333D1">
        <w:rPr>
          <w:rFonts w:ascii="Cambria" w:hAnsi="Cambria"/>
          <w:sz w:val="20"/>
          <w:szCs w:val="20"/>
        </w:rPr>
        <w:t>on a purported lack of exculpatory evidence</w:t>
      </w:r>
      <w:r w:rsidR="00A129BD">
        <w:rPr>
          <w:rFonts w:ascii="Cambria" w:hAnsi="Cambria"/>
          <w:sz w:val="20"/>
          <w:szCs w:val="20"/>
        </w:rPr>
        <w:t>, but</w:t>
      </w:r>
      <w:r w:rsidRPr="00B333D1">
        <w:rPr>
          <w:rFonts w:ascii="Cambria" w:hAnsi="Cambria"/>
          <w:sz w:val="20"/>
          <w:szCs w:val="20"/>
        </w:rPr>
        <w:t xml:space="preserve"> </w:t>
      </w:r>
      <w:r w:rsidR="00A129BD">
        <w:rPr>
          <w:rFonts w:ascii="Cambria" w:hAnsi="Cambria"/>
          <w:sz w:val="20"/>
          <w:szCs w:val="20"/>
        </w:rPr>
        <w:t>on</w:t>
      </w:r>
      <w:r w:rsidRPr="00B333D1">
        <w:rPr>
          <w:rFonts w:ascii="Cambria" w:hAnsi="Cambria"/>
          <w:sz w:val="20"/>
          <w:szCs w:val="20"/>
        </w:rPr>
        <w:t xml:space="preserve"> the prevalence of incriminating evidence ruled proven. Likewise, these considerations also demonstrate that the resolutions by the courts were well-founded.</w:t>
      </w:r>
      <w:r w:rsidR="000769EF">
        <w:rPr>
          <w:rFonts w:ascii="Cambria" w:hAnsi="Cambria"/>
          <w:sz w:val="20"/>
          <w:szCs w:val="20"/>
        </w:rPr>
        <w:t xml:space="preserve"> </w:t>
      </w:r>
    </w:p>
    <w:p w14:paraId="678A98F6" w14:textId="4E91B271" w:rsidR="00F621C3" w:rsidRPr="000B6B7A" w:rsidRDefault="00B333D1" w:rsidP="00B33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Cambria" w:hAnsi="Cambria"/>
          <w:sz w:val="20"/>
          <w:szCs w:val="20"/>
        </w:rPr>
        <w:t>Based on the</w:t>
      </w:r>
      <w:r w:rsidR="000769EF">
        <w:rPr>
          <w:rFonts w:ascii="Cambria" w:hAnsi="Cambria"/>
          <w:sz w:val="20"/>
          <w:szCs w:val="20"/>
        </w:rPr>
        <w:t xml:space="preserve"> foregoing</w:t>
      </w:r>
      <w:r w:rsidRPr="00B333D1">
        <w:rPr>
          <w:rFonts w:ascii="Cambria" w:hAnsi="Cambria"/>
          <w:sz w:val="20"/>
          <w:szCs w:val="20"/>
        </w:rPr>
        <w:t xml:space="preserve">, the IACHR believes that the alleged victim is dissatisfied with the national courts’ assessment of the evidence and that his petition seeks a reassessment of the evidence by the </w:t>
      </w:r>
      <w:r w:rsidRPr="00B333D1">
        <w:rPr>
          <w:rFonts w:ascii="Cambria" w:hAnsi="Cambria"/>
          <w:sz w:val="20"/>
          <w:szCs w:val="20"/>
        </w:rPr>
        <w:lastRenderedPageBreak/>
        <w:t xml:space="preserve">Commission. However, the Commission reiterates that it is not to the IACHR to rule on the guilty or innocent verdict of a defendant or a person accused in a criminal action or to undertake a reassessment of the evidence. Therefore, the Commission </w:t>
      </w:r>
      <w:r w:rsidR="000769EF">
        <w:rPr>
          <w:rFonts w:ascii="Cambria" w:hAnsi="Cambria"/>
          <w:sz w:val="20"/>
          <w:szCs w:val="20"/>
        </w:rPr>
        <w:t>rules</w:t>
      </w:r>
      <w:r w:rsidRPr="00B333D1">
        <w:rPr>
          <w:rFonts w:ascii="Cambria" w:hAnsi="Cambria"/>
          <w:sz w:val="20"/>
          <w:szCs w:val="20"/>
        </w:rPr>
        <w:t xml:space="preserve"> that the facts alleged in this petition do not tend to establish a violation of the alleged victim’s human rights and that the petition is inadmissible.</w:t>
      </w:r>
    </w:p>
    <w:p w14:paraId="4B1B0FBA"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7ABD2CB" w14:textId="4DCEBEA0" w:rsidR="00B333D1" w:rsidRPr="00B333D1" w:rsidRDefault="00B333D1" w:rsidP="00B333D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333D1">
        <w:rPr>
          <w:rFonts w:asciiTheme="majorHAnsi" w:hAnsiTheme="majorHAnsi"/>
          <w:sz w:val="20"/>
          <w:szCs w:val="20"/>
        </w:rPr>
        <w:t>To find the instant petition inadmissible; and</w:t>
      </w:r>
      <w:r w:rsidR="00564596">
        <w:rPr>
          <w:rFonts w:asciiTheme="majorHAnsi" w:hAnsiTheme="majorHAnsi"/>
          <w:sz w:val="20"/>
          <w:szCs w:val="20"/>
        </w:rPr>
        <w:t xml:space="preserve"> </w:t>
      </w:r>
    </w:p>
    <w:p w14:paraId="7D5D0A1C" w14:textId="60C28253" w:rsidR="00F621C3" w:rsidRPr="00B333D1" w:rsidRDefault="00B333D1" w:rsidP="00B333D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333D1">
        <w:rPr>
          <w:rFonts w:asciiTheme="majorHAnsi" w:hAnsiTheme="majorHAnsi"/>
          <w:sz w:val="20"/>
          <w:szCs w:val="20"/>
        </w:rPr>
        <w:t>To notify the parties of this decision, and to publish this decision and include it in its Annual Report to the General Assembly of the Organization of American States.</w:t>
      </w:r>
      <w:r>
        <w:rPr>
          <w:rFonts w:ascii="Cambria" w:hAnsi="Cambria"/>
          <w:sz w:val="20"/>
          <w:szCs w:val="20"/>
        </w:rPr>
        <w:t xml:space="preserve"> </w:t>
      </w:r>
    </w:p>
    <w:p w14:paraId="5F8C29A9" w14:textId="2BB3412A" w:rsidR="00933881" w:rsidRPr="009D7EFE" w:rsidRDefault="00933881" w:rsidP="009338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20"/>
        <w:jc w:val="both"/>
        <w:rPr>
          <w:rFonts w:ascii="Cambria" w:hAnsi="Cambria"/>
        </w:rPr>
      </w:pPr>
      <w:r w:rsidRPr="009D7EFE">
        <w:rPr>
          <w:rFonts w:ascii="Cambria" w:hAnsi="Cambria"/>
          <w:sz w:val="20"/>
          <w:szCs w:val="20"/>
        </w:rPr>
        <w:t xml:space="preserve">Approved by the Inter-American Commission on Human Rights on the </w:t>
      </w:r>
      <w:r>
        <w:rPr>
          <w:rFonts w:ascii="Cambria" w:hAnsi="Cambria"/>
          <w:sz w:val="20"/>
          <w:szCs w:val="20"/>
        </w:rPr>
        <w:t>22</w:t>
      </w:r>
      <w:r>
        <w:rPr>
          <w:rFonts w:ascii="Cambria" w:hAnsi="Cambria"/>
          <w:sz w:val="20"/>
          <w:szCs w:val="20"/>
          <w:vertAlign w:val="superscript"/>
        </w:rPr>
        <w:t>nd</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July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Luis Ernesto Vargas Silva, and Flávia Piovesan, Commissioners.</w:t>
      </w:r>
    </w:p>
    <w:p w14:paraId="7559C277"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0B6B7A" w:rsidRDefault="00F621C3" w:rsidP="00F621C3">
      <w:pPr>
        <w:rPr>
          <w:rFonts w:ascii="Cambria" w:hAnsi="Cambria" w:cs="Calibri"/>
          <w:sz w:val="20"/>
          <w:szCs w:val="20"/>
        </w:rPr>
      </w:pPr>
    </w:p>
    <w:p w14:paraId="0D3AA9C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04EA" w14:textId="77777777" w:rsidR="00942117" w:rsidRDefault="00942117" w:rsidP="00036A8A">
      <w:r>
        <w:separator/>
      </w:r>
    </w:p>
  </w:endnote>
  <w:endnote w:type="continuationSeparator" w:id="0">
    <w:p w14:paraId="4171A600" w14:textId="77777777" w:rsidR="00942117" w:rsidRDefault="0094211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8258" w14:textId="77777777" w:rsidR="00D7529E" w:rsidRDefault="00D75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7529E">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74D2E" w14:textId="77777777" w:rsidR="00942117" w:rsidRPr="00036A8A" w:rsidRDefault="0094211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0ED8390" w14:textId="77777777" w:rsidR="00942117" w:rsidRPr="00036A8A" w:rsidRDefault="00942117" w:rsidP="00036A8A">
      <w:pPr>
        <w:rPr>
          <w:rFonts w:asciiTheme="majorHAnsi" w:hAnsiTheme="majorHAnsi"/>
          <w:sz w:val="16"/>
          <w:szCs w:val="16"/>
        </w:rPr>
      </w:pPr>
      <w:r w:rsidRPr="00036A8A">
        <w:rPr>
          <w:rFonts w:asciiTheme="majorHAnsi" w:hAnsiTheme="majorHAnsi"/>
          <w:sz w:val="16"/>
          <w:szCs w:val="16"/>
        </w:rPr>
        <w:separator/>
      </w:r>
    </w:p>
    <w:p w14:paraId="12DD1AF5" w14:textId="77777777" w:rsidR="00942117" w:rsidRPr="00036A8A" w:rsidRDefault="0094211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74EC1AE" w14:textId="77777777" w:rsidR="00942117" w:rsidRPr="0093441A" w:rsidRDefault="0094211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49134C3" w14:textId="78E49458" w:rsidR="00BF3BB9" w:rsidRPr="007866F7" w:rsidRDefault="00BF3BB9" w:rsidP="007866F7">
      <w:pPr>
        <w:pStyle w:val="FootnoteText"/>
        <w:ind w:firstLine="720"/>
        <w:jc w:val="both"/>
        <w:rPr>
          <w:rStyle w:val="FootnoteReference"/>
          <w:rFonts w:ascii="Cambria" w:hAnsi="Cambria"/>
          <w:sz w:val="16"/>
          <w:szCs w:val="16"/>
          <w:vertAlign w:val="baseline"/>
        </w:rPr>
      </w:pPr>
      <w:r w:rsidRPr="007866F7">
        <w:rPr>
          <w:rStyle w:val="FootnoteReference"/>
          <w:rFonts w:ascii="Cambria" w:hAnsi="Cambria"/>
          <w:sz w:val="16"/>
          <w:szCs w:val="16"/>
        </w:rPr>
        <w:footnoteRef/>
      </w:r>
      <w:r w:rsidRPr="007866F7">
        <w:rPr>
          <w:rStyle w:val="FootnoteReference"/>
          <w:rFonts w:ascii="Cambria" w:hAnsi="Cambria"/>
          <w:sz w:val="16"/>
          <w:szCs w:val="16"/>
          <w:vertAlign w:val="baseline"/>
        </w:rPr>
        <w:t xml:space="preserve"> Pursuant to Article 17.2.a of the IACHR Rules of Procedure, Commissioner Francisco José Eguirguren Praeli, a Peruvian national, did not take part in the discussion or voting on this petition.</w:t>
      </w:r>
    </w:p>
  </w:footnote>
  <w:footnote w:id="3">
    <w:p w14:paraId="7D20EA88" w14:textId="0DD633AA" w:rsidR="00316127" w:rsidRPr="00316127" w:rsidRDefault="00316127" w:rsidP="007866F7">
      <w:pPr>
        <w:pStyle w:val="FootnoteText"/>
        <w:ind w:firstLine="720"/>
        <w:jc w:val="both"/>
      </w:pPr>
      <w:r w:rsidRPr="007866F7">
        <w:rPr>
          <w:rStyle w:val="FootnoteReference"/>
          <w:rFonts w:ascii="Cambria" w:hAnsi="Cambria"/>
          <w:sz w:val="16"/>
          <w:szCs w:val="16"/>
        </w:rPr>
        <w:footnoteRef/>
      </w:r>
      <w:r w:rsidRPr="007866F7">
        <w:rPr>
          <w:rStyle w:val="FootnoteReference"/>
          <w:rFonts w:ascii="Cambria" w:hAnsi="Cambria"/>
          <w:sz w:val="16"/>
          <w:szCs w:val="16"/>
          <w:vertAlign w:val="baseline"/>
        </w:rPr>
        <w:t xml:space="preserve"> Hereinafter “Convention” or “American Convention.”</w:t>
      </w:r>
    </w:p>
  </w:footnote>
  <w:footnote w:id="4">
    <w:p w14:paraId="5F419F3E"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942117"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9BA8" w14:textId="77777777" w:rsidR="00D7529E" w:rsidRDefault="00D75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769EF"/>
    <w:rsid w:val="00092F32"/>
    <w:rsid w:val="0009344A"/>
    <w:rsid w:val="000A575F"/>
    <w:rsid w:val="000C1580"/>
    <w:rsid w:val="000C4365"/>
    <w:rsid w:val="000D0F59"/>
    <w:rsid w:val="000D10DB"/>
    <w:rsid w:val="000F2191"/>
    <w:rsid w:val="00124116"/>
    <w:rsid w:val="0013104F"/>
    <w:rsid w:val="00137EBA"/>
    <w:rsid w:val="00145EDC"/>
    <w:rsid w:val="00153084"/>
    <w:rsid w:val="00167A34"/>
    <w:rsid w:val="001714B4"/>
    <w:rsid w:val="0018037F"/>
    <w:rsid w:val="0019460A"/>
    <w:rsid w:val="001A5F27"/>
    <w:rsid w:val="001A65E4"/>
    <w:rsid w:val="001A7870"/>
    <w:rsid w:val="001C1B41"/>
    <w:rsid w:val="001E366B"/>
    <w:rsid w:val="001F1902"/>
    <w:rsid w:val="00210E0E"/>
    <w:rsid w:val="00210F4B"/>
    <w:rsid w:val="00230163"/>
    <w:rsid w:val="0023351C"/>
    <w:rsid w:val="00247403"/>
    <w:rsid w:val="00247542"/>
    <w:rsid w:val="00257893"/>
    <w:rsid w:val="002609B9"/>
    <w:rsid w:val="00266092"/>
    <w:rsid w:val="00266B61"/>
    <w:rsid w:val="0026712A"/>
    <w:rsid w:val="002704DB"/>
    <w:rsid w:val="00270A3E"/>
    <w:rsid w:val="00271B1F"/>
    <w:rsid w:val="002760CE"/>
    <w:rsid w:val="002B7A85"/>
    <w:rsid w:val="002C1641"/>
    <w:rsid w:val="002C1AF1"/>
    <w:rsid w:val="002D7EA2"/>
    <w:rsid w:val="002E15DF"/>
    <w:rsid w:val="002E187C"/>
    <w:rsid w:val="002E6E57"/>
    <w:rsid w:val="00301075"/>
    <w:rsid w:val="00302733"/>
    <w:rsid w:val="00311A4F"/>
    <w:rsid w:val="00314078"/>
    <w:rsid w:val="00316127"/>
    <w:rsid w:val="00320285"/>
    <w:rsid w:val="00322450"/>
    <w:rsid w:val="003246B5"/>
    <w:rsid w:val="0033169F"/>
    <w:rsid w:val="003367EC"/>
    <w:rsid w:val="003414AC"/>
    <w:rsid w:val="00356185"/>
    <w:rsid w:val="00360380"/>
    <w:rsid w:val="003771A3"/>
    <w:rsid w:val="00386CF0"/>
    <w:rsid w:val="003A4348"/>
    <w:rsid w:val="003A492C"/>
    <w:rsid w:val="003C2F79"/>
    <w:rsid w:val="003C32BC"/>
    <w:rsid w:val="003E3E03"/>
    <w:rsid w:val="003E6349"/>
    <w:rsid w:val="003F1BBF"/>
    <w:rsid w:val="004162B1"/>
    <w:rsid w:val="004165C2"/>
    <w:rsid w:val="00450A4A"/>
    <w:rsid w:val="004666FB"/>
    <w:rsid w:val="00466D0B"/>
    <w:rsid w:val="00466EDF"/>
    <w:rsid w:val="0046746F"/>
    <w:rsid w:val="00467B7E"/>
    <w:rsid w:val="0049419D"/>
    <w:rsid w:val="004B2762"/>
    <w:rsid w:val="004B7EB6"/>
    <w:rsid w:val="004C41DE"/>
    <w:rsid w:val="004C4B62"/>
    <w:rsid w:val="004C7070"/>
    <w:rsid w:val="004D6025"/>
    <w:rsid w:val="004D72BC"/>
    <w:rsid w:val="004F6B67"/>
    <w:rsid w:val="00501399"/>
    <w:rsid w:val="00507BC4"/>
    <w:rsid w:val="005128E4"/>
    <w:rsid w:val="00525560"/>
    <w:rsid w:val="005357A6"/>
    <w:rsid w:val="00544C49"/>
    <w:rsid w:val="005537C9"/>
    <w:rsid w:val="00557C32"/>
    <w:rsid w:val="00564404"/>
    <w:rsid w:val="00564596"/>
    <w:rsid w:val="0057402A"/>
    <w:rsid w:val="005771D0"/>
    <w:rsid w:val="0059191A"/>
    <w:rsid w:val="005921FF"/>
    <w:rsid w:val="00592718"/>
    <w:rsid w:val="005A3B36"/>
    <w:rsid w:val="005A6D0E"/>
    <w:rsid w:val="005B222D"/>
    <w:rsid w:val="005B52B0"/>
    <w:rsid w:val="005B6806"/>
    <w:rsid w:val="005B6D15"/>
    <w:rsid w:val="005C00F9"/>
    <w:rsid w:val="005C4225"/>
    <w:rsid w:val="005F097B"/>
    <w:rsid w:val="005F0F33"/>
    <w:rsid w:val="00600DEB"/>
    <w:rsid w:val="00613027"/>
    <w:rsid w:val="00627C9F"/>
    <w:rsid w:val="006311DA"/>
    <w:rsid w:val="006311E9"/>
    <w:rsid w:val="006318B2"/>
    <w:rsid w:val="00632354"/>
    <w:rsid w:val="00642810"/>
    <w:rsid w:val="00652333"/>
    <w:rsid w:val="00653EA6"/>
    <w:rsid w:val="0068009E"/>
    <w:rsid w:val="00694DB6"/>
    <w:rsid w:val="006A17D2"/>
    <w:rsid w:val="006A73E6"/>
    <w:rsid w:val="006B2D5C"/>
    <w:rsid w:val="006C4EB1"/>
    <w:rsid w:val="006D4707"/>
    <w:rsid w:val="006E0166"/>
    <w:rsid w:val="006E7B34"/>
    <w:rsid w:val="00701B24"/>
    <w:rsid w:val="0071495F"/>
    <w:rsid w:val="00721314"/>
    <w:rsid w:val="0073798E"/>
    <w:rsid w:val="00745899"/>
    <w:rsid w:val="007607C4"/>
    <w:rsid w:val="0076643F"/>
    <w:rsid w:val="00781653"/>
    <w:rsid w:val="007866F7"/>
    <w:rsid w:val="007A2F70"/>
    <w:rsid w:val="007C3334"/>
    <w:rsid w:val="007C52BB"/>
    <w:rsid w:val="007D2B98"/>
    <w:rsid w:val="00803F1C"/>
    <w:rsid w:val="0080600E"/>
    <w:rsid w:val="00817612"/>
    <w:rsid w:val="00837C45"/>
    <w:rsid w:val="00853419"/>
    <w:rsid w:val="00857980"/>
    <w:rsid w:val="00897E12"/>
    <w:rsid w:val="008B75B8"/>
    <w:rsid w:val="008D43BA"/>
    <w:rsid w:val="008E3759"/>
    <w:rsid w:val="009041DC"/>
    <w:rsid w:val="009104B4"/>
    <w:rsid w:val="009228DA"/>
    <w:rsid w:val="00925FCD"/>
    <w:rsid w:val="00926D2F"/>
    <w:rsid w:val="00933881"/>
    <w:rsid w:val="0093441A"/>
    <w:rsid w:val="00942117"/>
    <w:rsid w:val="00954BF7"/>
    <w:rsid w:val="0096706E"/>
    <w:rsid w:val="00967508"/>
    <w:rsid w:val="00981FBA"/>
    <w:rsid w:val="009B381B"/>
    <w:rsid w:val="009C5590"/>
    <w:rsid w:val="009D7611"/>
    <w:rsid w:val="009E53DE"/>
    <w:rsid w:val="009E566A"/>
    <w:rsid w:val="00A00121"/>
    <w:rsid w:val="00A129BD"/>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33D1"/>
    <w:rsid w:val="00B3718B"/>
    <w:rsid w:val="00B44B23"/>
    <w:rsid w:val="00B4632A"/>
    <w:rsid w:val="00B56EDB"/>
    <w:rsid w:val="00B864C6"/>
    <w:rsid w:val="00B92E49"/>
    <w:rsid w:val="00BA276C"/>
    <w:rsid w:val="00BB306F"/>
    <w:rsid w:val="00BD232B"/>
    <w:rsid w:val="00BD2E42"/>
    <w:rsid w:val="00BD4B89"/>
    <w:rsid w:val="00BF3BB9"/>
    <w:rsid w:val="00C21762"/>
    <w:rsid w:val="00C24543"/>
    <w:rsid w:val="00C256A2"/>
    <w:rsid w:val="00C3492D"/>
    <w:rsid w:val="00C5466D"/>
    <w:rsid w:val="00C55560"/>
    <w:rsid w:val="00C66B72"/>
    <w:rsid w:val="00C9567A"/>
    <w:rsid w:val="00CA6577"/>
    <w:rsid w:val="00CB2660"/>
    <w:rsid w:val="00CC5E90"/>
    <w:rsid w:val="00CD046C"/>
    <w:rsid w:val="00CE5199"/>
    <w:rsid w:val="00CE66D5"/>
    <w:rsid w:val="00D34786"/>
    <w:rsid w:val="00D40A1E"/>
    <w:rsid w:val="00D514D0"/>
    <w:rsid w:val="00D533C0"/>
    <w:rsid w:val="00D712D3"/>
    <w:rsid w:val="00D71422"/>
    <w:rsid w:val="00D7145E"/>
    <w:rsid w:val="00D75084"/>
    <w:rsid w:val="00D7529E"/>
    <w:rsid w:val="00D7558D"/>
    <w:rsid w:val="00D81D92"/>
    <w:rsid w:val="00D93446"/>
    <w:rsid w:val="00DA7B5F"/>
    <w:rsid w:val="00DF078B"/>
    <w:rsid w:val="00DF350D"/>
    <w:rsid w:val="00E227C1"/>
    <w:rsid w:val="00E33C7C"/>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5E010B60CC4BCEA162B5CA0D01992A"/>
        <w:category>
          <w:name w:val="General"/>
          <w:gallery w:val="placeholder"/>
        </w:category>
        <w:types>
          <w:type w:val="bbPlcHdr"/>
        </w:types>
        <w:behaviors>
          <w:behavior w:val="content"/>
        </w:behaviors>
        <w:guid w:val="{514367EB-948E-40C2-9EFB-26D640BDE8B8}"/>
      </w:docPartPr>
      <w:docPartBody>
        <w:p w:rsidR="000775EF" w:rsidRDefault="00807D2C" w:rsidP="00807D2C">
          <w:pPr>
            <w:pStyle w:val="655E010B60CC4BCEA162B5CA0D01992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75EF"/>
    <w:rsid w:val="001748D3"/>
    <w:rsid w:val="004108B1"/>
    <w:rsid w:val="00807D2C"/>
    <w:rsid w:val="00861A85"/>
    <w:rsid w:val="0092032A"/>
    <w:rsid w:val="00AB44F1"/>
    <w:rsid w:val="00BF48BC"/>
    <w:rsid w:val="00D32893"/>
    <w:rsid w:val="00DF64B3"/>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D2C"/>
    <w:rPr>
      <w:color w:val="808080"/>
    </w:rPr>
  </w:style>
  <w:style w:type="paragraph" w:customStyle="1" w:styleId="4DBB5F3FC358F64B9E5EFB773263C7D2">
    <w:name w:val="4DBB5F3FC358F64B9E5EFB773263C7D2"/>
    <w:rsid w:val="00AB44F1"/>
  </w:style>
  <w:style w:type="paragraph" w:customStyle="1" w:styleId="655E010B60CC4BCEA162B5CA0D01992A">
    <w:name w:val="655E010B60CC4BCEA162B5CA0D01992A"/>
    <w:rsid w:val="00807D2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10196</Characters>
  <Application>Microsoft Office Word</Application>
  <DocSecurity>0</DocSecurity>
  <Lines>192</Lines>
  <Paragraphs>51</Paragraphs>
  <ScaleCrop>false</ScaleCrop>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121//19</dc:title>
  <dc:creator/>
  <cp:lastModifiedBy/>
  <cp:revision>1</cp:revision>
  <dcterms:created xsi:type="dcterms:W3CDTF">2019-10-16T19:44:00Z</dcterms:created>
  <dcterms:modified xsi:type="dcterms:W3CDTF">2019-10-16T19:45:00Z</dcterms:modified>
</cp:coreProperties>
</file>