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346E8B43">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F643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29437B" w:rsidRDefault="0029437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29437B" w:rsidRDefault="0029437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E01D097" w:rsidR="0029437B" w:rsidRPr="004B7EB6" w:rsidRDefault="002943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14897">
                              <w:rPr>
                                <w:rFonts w:asciiTheme="majorHAnsi" w:hAnsiTheme="majorHAnsi" w:cs="Arial"/>
                                <w:b/>
                                <w:bCs/>
                                <w:color w:val="0D0D0D" w:themeColor="text1" w:themeTint="F2"/>
                                <w:sz w:val="36"/>
                                <w:szCs w:val="40"/>
                              </w:rPr>
                              <w:t>185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59BBC5C5" w:rsidR="0029437B" w:rsidRPr="004B7EB6" w:rsidRDefault="002943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2327-12</w:t>
                            </w:r>
                          </w:p>
                          <w:p w14:paraId="34978E5A" w14:textId="57002ED8" w:rsidR="0029437B" w:rsidRPr="004B7EB6" w:rsidRDefault="0029437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29437B" w:rsidRPr="004B7EB6" w:rsidRDefault="0029437B" w:rsidP="004B7EB6">
                            <w:pPr>
                              <w:spacing w:line="276" w:lineRule="auto"/>
                              <w:rPr>
                                <w:rFonts w:asciiTheme="majorHAnsi" w:hAnsiTheme="majorHAnsi" w:cs="Arial"/>
                                <w:color w:val="0D0D0D" w:themeColor="text1" w:themeTint="F2"/>
                                <w:szCs w:val="22"/>
                              </w:rPr>
                            </w:pPr>
                          </w:p>
                          <w:p w14:paraId="7A73D628" w14:textId="756B8D4C" w:rsidR="0029437B" w:rsidRPr="004B625D" w:rsidRDefault="0029437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JORGE LUIZ ZABALA MEDRANO</w:t>
                            </w:r>
                          </w:p>
                          <w:p w14:paraId="48EBC31A" w14:textId="5C2AF5FB" w:rsidR="0029437B" w:rsidRPr="004B625D" w:rsidRDefault="0029437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PANAMA</w:t>
                            </w:r>
                          </w:p>
                          <w:p w14:paraId="17A89EFB" w14:textId="77777777" w:rsidR="0029437B" w:rsidRPr="000C4365" w:rsidRDefault="0029437B"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E01D097" w:rsidR="0029437B" w:rsidRPr="004B7EB6" w:rsidRDefault="002943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14897">
                        <w:rPr>
                          <w:rFonts w:asciiTheme="majorHAnsi" w:hAnsiTheme="majorHAnsi" w:cs="Arial"/>
                          <w:b/>
                          <w:bCs/>
                          <w:color w:val="0D0D0D" w:themeColor="text1" w:themeTint="F2"/>
                          <w:sz w:val="36"/>
                          <w:szCs w:val="40"/>
                        </w:rPr>
                        <w:t>185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59BBC5C5" w:rsidR="0029437B" w:rsidRPr="004B7EB6" w:rsidRDefault="0029437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2327-12</w:t>
                      </w:r>
                    </w:p>
                    <w:p w14:paraId="34978E5A" w14:textId="57002ED8" w:rsidR="0029437B" w:rsidRPr="004B7EB6" w:rsidRDefault="0029437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29437B" w:rsidRPr="004B7EB6" w:rsidRDefault="0029437B" w:rsidP="004B7EB6">
                      <w:pPr>
                        <w:spacing w:line="276" w:lineRule="auto"/>
                        <w:rPr>
                          <w:rFonts w:asciiTheme="majorHAnsi" w:hAnsiTheme="majorHAnsi" w:cs="Arial"/>
                          <w:color w:val="0D0D0D" w:themeColor="text1" w:themeTint="F2"/>
                          <w:szCs w:val="22"/>
                        </w:rPr>
                      </w:pPr>
                    </w:p>
                    <w:p w14:paraId="7A73D628" w14:textId="756B8D4C" w:rsidR="0029437B" w:rsidRPr="004B625D" w:rsidRDefault="0029437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JORGE LUIZ ZABALA MEDRANO</w:t>
                      </w:r>
                    </w:p>
                    <w:p w14:paraId="48EBC31A" w14:textId="5C2AF5FB" w:rsidR="0029437B" w:rsidRPr="004B625D" w:rsidRDefault="0029437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PANAMA</w:t>
                      </w:r>
                    </w:p>
                    <w:p w14:paraId="17A89EFB" w14:textId="77777777" w:rsidR="0029437B" w:rsidRPr="000C4365" w:rsidRDefault="0029437B"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59FAD17" w:rsidR="0029437B" w:rsidRPr="00414897" w:rsidRDefault="0029437B" w:rsidP="00414897">
                            <w:pPr>
                              <w:spacing w:line="360" w:lineRule="auto"/>
                              <w:jc w:val="right"/>
                              <w:rPr>
                                <w:rFonts w:asciiTheme="minorHAnsi" w:hAnsiTheme="minorHAnsi"/>
                                <w:color w:val="FFFFFF" w:themeColor="background1"/>
                                <w:sz w:val="22"/>
                                <w:lang w:val="pt-BR"/>
                              </w:rPr>
                            </w:pPr>
                            <w:r w:rsidRPr="00414897">
                              <w:rPr>
                                <w:rFonts w:asciiTheme="minorHAnsi" w:hAnsiTheme="minorHAnsi"/>
                                <w:color w:val="FFFFFF" w:themeColor="background1"/>
                                <w:sz w:val="22"/>
                                <w:lang w:val="pt-BR"/>
                              </w:rPr>
                              <w:t>OEA/Ser.L/V/II.</w:t>
                            </w:r>
                          </w:p>
                          <w:p w14:paraId="4AA08A8C" w14:textId="16C97ADF" w:rsidR="0029437B" w:rsidRPr="00414897" w:rsidRDefault="0029437B" w:rsidP="00414897">
                            <w:pPr>
                              <w:spacing w:line="360" w:lineRule="auto"/>
                              <w:jc w:val="right"/>
                              <w:rPr>
                                <w:rFonts w:asciiTheme="minorHAnsi" w:hAnsiTheme="minorHAnsi"/>
                                <w:color w:val="FFFFFF" w:themeColor="background1"/>
                                <w:sz w:val="22"/>
                                <w:lang w:val="pt-BR"/>
                              </w:rPr>
                            </w:pPr>
                            <w:r w:rsidRPr="00414897">
                              <w:rPr>
                                <w:rFonts w:asciiTheme="minorHAnsi" w:hAnsiTheme="minorHAnsi"/>
                                <w:color w:val="FFFFFF" w:themeColor="background1"/>
                                <w:sz w:val="22"/>
                                <w:lang w:val="pt-BR"/>
                              </w:rPr>
                              <w:t xml:space="preserve">Doc. </w:t>
                            </w:r>
                            <w:r w:rsidR="00414897" w:rsidRPr="00414897">
                              <w:rPr>
                                <w:rFonts w:asciiTheme="minorHAnsi" w:hAnsiTheme="minorHAnsi"/>
                                <w:color w:val="FFFFFF" w:themeColor="background1"/>
                                <w:sz w:val="22"/>
                                <w:lang w:val="pt-BR"/>
                              </w:rPr>
                              <w:t>207</w:t>
                            </w:r>
                          </w:p>
                          <w:p w14:paraId="0BEFF61A" w14:textId="74CC888E" w:rsidR="0029437B" w:rsidRPr="00414897" w:rsidRDefault="0029437B" w:rsidP="00414897">
                            <w:pPr>
                              <w:spacing w:line="360" w:lineRule="auto"/>
                              <w:jc w:val="right"/>
                              <w:rPr>
                                <w:rFonts w:asciiTheme="minorHAnsi" w:hAnsiTheme="minorHAnsi"/>
                                <w:color w:val="FFFFFF" w:themeColor="background1"/>
                                <w:sz w:val="22"/>
                              </w:rPr>
                            </w:pPr>
                            <w:r w:rsidRPr="00414897">
                              <w:rPr>
                                <w:rFonts w:asciiTheme="minorHAnsi" w:hAnsiTheme="minorHAnsi"/>
                                <w:color w:val="FFFFFF" w:themeColor="background1"/>
                                <w:sz w:val="22"/>
                                <w:lang w:val="pt-BR"/>
                              </w:rPr>
                              <w:t xml:space="preserve"> </w:t>
                            </w:r>
                            <w:r w:rsidR="00414897" w:rsidRPr="00414897">
                              <w:rPr>
                                <w:rFonts w:asciiTheme="minorHAnsi" w:hAnsiTheme="minorHAnsi"/>
                                <w:color w:val="FFFFFF" w:themeColor="background1"/>
                                <w:sz w:val="22"/>
                              </w:rPr>
                              <w:t>5 December</w:t>
                            </w:r>
                            <w:r w:rsidRPr="00414897">
                              <w:rPr>
                                <w:rFonts w:asciiTheme="minorHAnsi" w:hAnsiTheme="minorHAnsi"/>
                                <w:color w:val="FFFFFF" w:themeColor="background1"/>
                                <w:sz w:val="22"/>
                              </w:rPr>
                              <w:t xml:space="preserve"> 2019</w:t>
                            </w:r>
                          </w:p>
                          <w:p w14:paraId="0FC103BD" w14:textId="2DB38E66" w:rsidR="0029437B" w:rsidRPr="00414897" w:rsidRDefault="0029437B" w:rsidP="00414897">
                            <w:pPr>
                              <w:spacing w:line="360" w:lineRule="auto"/>
                              <w:jc w:val="right"/>
                              <w:rPr>
                                <w:rFonts w:asciiTheme="minorHAnsi" w:hAnsiTheme="minorHAnsi"/>
                                <w:color w:val="FFFFFF" w:themeColor="background1"/>
                                <w:sz w:val="22"/>
                              </w:rPr>
                            </w:pPr>
                            <w:r w:rsidRPr="0041489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59FAD17" w:rsidR="0029437B" w:rsidRPr="00414897" w:rsidRDefault="0029437B" w:rsidP="00414897">
                      <w:pPr>
                        <w:spacing w:line="360" w:lineRule="auto"/>
                        <w:jc w:val="right"/>
                        <w:rPr>
                          <w:rFonts w:asciiTheme="minorHAnsi" w:hAnsiTheme="minorHAnsi"/>
                          <w:color w:val="FFFFFF" w:themeColor="background1"/>
                          <w:sz w:val="22"/>
                          <w:lang w:val="pt-BR"/>
                        </w:rPr>
                      </w:pPr>
                      <w:r w:rsidRPr="00414897">
                        <w:rPr>
                          <w:rFonts w:asciiTheme="minorHAnsi" w:hAnsiTheme="minorHAnsi"/>
                          <w:color w:val="FFFFFF" w:themeColor="background1"/>
                          <w:sz w:val="22"/>
                          <w:lang w:val="pt-BR"/>
                        </w:rPr>
                        <w:t>OEA/Ser.L/V/II.</w:t>
                      </w:r>
                    </w:p>
                    <w:p w14:paraId="4AA08A8C" w14:textId="16C97ADF" w:rsidR="0029437B" w:rsidRPr="00414897" w:rsidRDefault="0029437B" w:rsidP="00414897">
                      <w:pPr>
                        <w:spacing w:line="360" w:lineRule="auto"/>
                        <w:jc w:val="right"/>
                        <w:rPr>
                          <w:rFonts w:asciiTheme="minorHAnsi" w:hAnsiTheme="minorHAnsi"/>
                          <w:color w:val="FFFFFF" w:themeColor="background1"/>
                          <w:sz w:val="22"/>
                          <w:lang w:val="pt-BR"/>
                        </w:rPr>
                      </w:pPr>
                      <w:r w:rsidRPr="00414897">
                        <w:rPr>
                          <w:rFonts w:asciiTheme="minorHAnsi" w:hAnsiTheme="minorHAnsi"/>
                          <w:color w:val="FFFFFF" w:themeColor="background1"/>
                          <w:sz w:val="22"/>
                          <w:lang w:val="pt-BR"/>
                        </w:rPr>
                        <w:t xml:space="preserve">Doc. </w:t>
                      </w:r>
                      <w:r w:rsidR="00414897" w:rsidRPr="00414897">
                        <w:rPr>
                          <w:rFonts w:asciiTheme="minorHAnsi" w:hAnsiTheme="minorHAnsi"/>
                          <w:color w:val="FFFFFF" w:themeColor="background1"/>
                          <w:sz w:val="22"/>
                          <w:lang w:val="pt-BR"/>
                        </w:rPr>
                        <w:t>207</w:t>
                      </w:r>
                    </w:p>
                    <w:p w14:paraId="0BEFF61A" w14:textId="74CC888E" w:rsidR="0029437B" w:rsidRPr="00414897" w:rsidRDefault="0029437B" w:rsidP="00414897">
                      <w:pPr>
                        <w:spacing w:line="360" w:lineRule="auto"/>
                        <w:jc w:val="right"/>
                        <w:rPr>
                          <w:rFonts w:asciiTheme="minorHAnsi" w:hAnsiTheme="minorHAnsi"/>
                          <w:color w:val="FFFFFF" w:themeColor="background1"/>
                          <w:sz w:val="22"/>
                        </w:rPr>
                      </w:pPr>
                      <w:r w:rsidRPr="00414897">
                        <w:rPr>
                          <w:rFonts w:asciiTheme="minorHAnsi" w:hAnsiTheme="minorHAnsi"/>
                          <w:color w:val="FFFFFF" w:themeColor="background1"/>
                          <w:sz w:val="22"/>
                          <w:lang w:val="pt-BR"/>
                        </w:rPr>
                        <w:t xml:space="preserve"> </w:t>
                      </w:r>
                      <w:r w:rsidR="00414897" w:rsidRPr="00414897">
                        <w:rPr>
                          <w:rFonts w:asciiTheme="minorHAnsi" w:hAnsiTheme="minorHAnsi"/>
                          <w:color w:val="FFFFFF" w:themeColor="background1"/>
                          <w:sz w:val="22"/>
                        </w:rPr>
                        <w:t>5 December</w:t>
                      </w:r>
                      <w:r w:rsidRPr="00414897">
                        <w:rPr>
                          <w:rFonts w:asciiTheme="minorHAnsi" w:hAnsiTheme="minorHAnsi"/>
                          <w:color w:val="FFFFFF" w:themeColor="background1"/>
                          <w:sz w:val="22"/>
                        </w:rPr>
                        <w:t xml:space="preserve"> 2019</w:t>
                      </w:r>
                    </w:p>
                    <w:p w14:paraId="0FC103BD" w14:textId="2DB38E66" w:rsidR="0029437B" w:rsidRPr="00414897" w:rsidRDefault="0029437B" w:rsidP="00414897">
                      <w:pPr>
                        <w:spacing w:line="360" w:lineRule="auto"/>
                        <w:jc w:val="right"/>
                        <w:rPr>
                          <w:rFonts w:asciiTheme="minorHAnsi" w:hAnsiTheme="minorHAnsi"/>
                          <w:color w:val="FFFFFF" w:themeColor="background1"/>
                          <w:sz w:val="22"/>
                        </w:rPr>
                      </w:pPr>
                      <w:r w:rsidRPr="00414897">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145EAF6F" w:rsidR="002C1641" w:rsidRPr="003C32BC" w:rsidRDefault="0061422B"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1DC7DD0B">
                <wp:simplePos x="0" y="0"/>
                <wp:positionH relativeFrom="column">
                  <wp:posOffset>1206500</wp:posOffset>
                </wp:positionH>
                <wp:positionV relativeFrom="paragraph">
                  <wp:posOffset>76835</wp:posOffset>
                </wp:positionV>
                <wp:extent cx="4595495" cy="11652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116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8174F" w14:textId="1E1C5169" w:rsidR="0029437B" w:rsidRPr="003C32BC" w:rsidRDefault="0029437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414897">
                              <w:rPr>
                                <w:rFonts w:asciiTheme="majorHAnsi" w:hAnsiTheme="majorHAnsi" w:cs="Univers"/>
                                <w:color w:val="0D0D0D" w:themeColor="text1" w:themeTint="F2"/>
                                <w:sz w:val="18"/>
                                <w:szCs w:val="20"/>
                              </w:rPr>
                              <w:t>December 5,</w:t>
                            </w:r>
                            <w:r>
                              <w:rPr>
                                <w:rFonts w:asciiTheme="majorHAnsi" w:hAnsiTheme="majorHAnsi" w:cs="Univers"/>
                                <w:color w:val="0D0D0D" w:themeColor="text1" w:themeTint="F2"/>
                                <w:sz w:val="18"/>
                                <w:szCs w:val="20"/>
                              </w:rPr>
                              <w:t xml:space="preserve"> 2019</w:t>
                            </w:r>
                            <w:r w:rsidR="00414897">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6.05pt;width:361.85pt;height:9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" filled="f" stroked="f" strokeweight=".5pt">
                <v:textbox>
                  <w:txbxContent>
                    <w:p w14:paraId="6858174F" w14:textId="1E1C5169" w:rsidR="0029437B" w:rsidRPr="003C32BC" w:rsidRDefault="0029437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414897">
                        <w:rPr>
                          <w:rFonts w:asciiTheme="majorHAnsi" w:hAnsiTheme="majorHAnsi" w:cs="Univers"/>
                          <w:color w:val="0D0D0D" w:themeColor="text1" w:themeTint="F2"/>
                          <w:sz w:val="18"/>
                          <w:szCs w:val="20"/>
                        </w:rPr>
                        <w:t>December 5,</w:t>
                      </w:r>
                      <w:r>
                        <w:rPr>
                          <w:rFonts w:asciiTheme="majorHAnsi" w:hAnsiTheme="majorHAnsi" w:cs="Univers"/>
                          <w:color w:val="0D0D0D" w:themeColor="text1" w:themeTint="F2"/>
                          <w:sz w:val="18"/>
                          <w:szCs w:val="20"/>
                        </w:rPr>
                        <w:t xml:space="preserve"> 2019</w:t>
                      </w:r>
                      <w:r w:rsidR="00414897">
                        <w:rPr>
                          <w:rFonts w:asciiTheme="majorHAnsi" w:hAnsiTheme="majorHAnsi" w:cs="Univers"/>
                          <w:color w:val="0D0D0D" w:themeColor="text1" w:themeTint="F2"/>
                          <w:sz w:val="18"/>
                          <w:szCs w:val="20"/>
                        </w:rPr>
                        <w:t>.</w:t>
                      </w:r>
                    </w:p>
                  </w:txbxContent>
                </v:textbox>
              </v:shape>
            </w:pict>
          </mc:Fallback>
        </mc:AlternateContent>
      </w: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06EB851F"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BE7F2B3" w:rsidR="0029437B" w:rsidRPr="003C32BC" w:rsidRDefault="0029437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14897">
                              <w:rPr>
                                <w:rFonts w:asciiTheme="majorHAnsi" w:hAnsiTheme="majorHAnsi"/>
                                <w:color w:val="595959" w:themeColor="text1" w:themeTint="A6"/>
                                <w:sz w:val="18"/>
                              </w:rPr>
                              <w:t>185</w:t>
                            </w:r>
                            <w:r>
                              <w:rPr>
                                <w:rFonts w:asciiTheme="majorHAnsi" w:hAnsiTheme="majorHAnsi"/>
                                <w:color w:val="595959" w:themeColor="text1" w:themeTint="A6"/>
                                <w:sz w:val="18"/>
                              </w:rPr>
                              <w:t>/</w:t>
                            </w:r>
                            <w:r w:rsidR="00414897">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414897">
                              <w:rPr>
                                <w:rFonts w:asciiTheme="majorHAnsi" w:hAnsiTheme="majorHAnsi"/>
                                <w:color w:val="595959" w:themeColor="text1" w:themeTint="A6"/>
                                <w:sz w:val="18"/>
                              </w:rPr>
                              <w:t>2327-12</w:t>
                            </w:r>
                            <w:r w:rsidRPr="003C32BC">
                              <w:rPr>
                                <w:rFonts w:asciiTheme="majorHAnsi" w:hAnsiTheme="majorHAnsi"/>
                                <w:color w:val="595959" w:themeColor="text1" w:themeTint="A6"/>
                                <w:sz w:val="18"/>
                              </w:rPr>
                              <w:t>.</w:t>
                            </w:r>
                            <w:r w:rsidR="00414897">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414897">
                              <w:rPr>
                                <w:rFonts w:asciiTheme="majorHAnsi" w:hAnsiTheme="majorHAnsi"/>
                                <w:color w:val="595959" w:themeColor="text1" w:themeTint="A6"/>
                                <w:sz w:val="18"/>
                              </w:rPr>
                              <w:t xml:space="preserve">Jorge Luiz </w:t>
                            </w:r>
                            <w:proofErr w:type="spellStart"/>
                            <w:r w:rsidR="00414897">
                              <w:rPr>
                                <w:rFonts w:asciiTheme="majorHAnsi" w:hAnsiTheme="majorHAnsi"/>
                                <w:color w:val="595959" w:themeColor="text1" w:themeTint="A6"/>
                                <w:sz w:val="18"/>
                              </w:rPr>
                              <w:t>Zabala</w:t>
                            </w:r>
                            <w:proofErr w:type="spellEnd"/>
                            <w:r w:rsidR="00414897">
                              <w:rPr>
                                <w:rFonts w:asciiTheme="majorHAnsi" w:hAnsiTheme="majorHAnsi"/>
                                <w:color w:val="595959" w:themeColor="text1" w:themeTint="A6"/>
                                <w:sz w:val="18"/>
                              </w:rPr>
                              <w:t xml:space="preserve"> Medrano. Panama. December 5,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BE7F2B3" w:rsidR="0029437B" w:rsidRPr="003C32BC" w:rsidRDefault="0029437B"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14897">
                        <w:rPr>
                          <w:rFonts w:asciiTheme="majorHAnsi" w:hAnsiTheme="majorHAnsi"/>
                          <w:color w:val="595959" w:themeColor="text1" w:themeTint="A6"/>
                          <w:sz w:val="18"/>
                        </w:rPr>
                        <w:t>185</w:t>
                      </w:r>
                      <w:r>
                        <w:rPr>
                          <w:rFonts w:asciiTheme="majorHAnsi" w:hAnsiTheme="majorHAnsi"/>
                          <w:color w:val="595959" w:themeColor="text1" w:themeTint="A6"/>
                          <w:sz w:val="18"/>
                        </w:rPr>
                        <w:t>/</w:t>
                      </w:r>
                      <w:r w:rsidR="00414897">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414897">
                        <w:rPr>
                          <w:rFonts w:asciiTheme="majorHAnsi" w:hAnsiTheme="majorHAnsi"/>
                          <w:color w:val="595959" w:themeColor="text1" w:themeTint="A6"/>
                          <w:sz w:val="18"/>
                        </w:rPr>
                        <w:t>2327-12</w:t>
                      </w:r>
                      <w:r w:rsidRPr="003C32BC">
                        <w:rPr>
                          <w:rFonts w:asciiTheme="majorHAnsi" w:hAnsiTheme="majorHAnsi"/>
                          <w:color w:val="595959" w:themeColor="text1" w:themeTint="A6"/>
                          <w:sz w:val="18"/>
                        </w:rPr>
                        <w:t>.</w:t>
                      </w:r>
                      <w:r w:rsidR="00414897">
                        <w:rPr>
                          <w:rFonts w:asciiTheme="majorHAnsi" w:hAnsiTheme="majorHAnsi"/>
                          <w:color w:val="595959" w:themeColor="text1" w:themeTint="A6"/>
                          <w:sz w:val="18"/>
                        </w:rPr>
                        <w:t xml:space="preserve">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414897">
                        <w:rPr>
                          <w:rFonts w:asciiTheme="majorHAnsi" w:hAnsiTheme="majorHAnsi"/>
                          <w:color w:val="595959" w:themeColor="text1" w:themeTint="A6"/>
                          <w:sz w:val="18"/>
                        </w:rPr>
                        <w:t xml:space="preserve">Jorge Luiz </w:t>
                      </w:r>
                      <w:proofErr w:type="spellStart"/>
                      <w:r w:rsidR="00414897">
                        <w:rPr>
                          <w:rFonts w:asciiTheme="majorHAnsi" w:hAnsiTheme="majorHAnsi"/>
                          <w:color w:val="595959" w:themeColor="text1" w:themeTint="A6"/>
                          <w:sz w:val="18"/>
                        </w:rPr>
                        <w:t>Zabala</w:t>
                      </w:r>
                      <w:proofErr w:type="spellEnd"/>
                      <w:r w:rsidR="00414897">
                        <w:rPr>
                          <w:rFonts w:asciiTheme="majorHAnsi" w:hAnsiTheme="majorHAnsi"/>
                          <w:color w:val="595959" w:themeColor="text1" w:themeTint="A6"/>
                          <w:sz w:val="18"/>
                        </w:rPr>
                        <w:t xml:space="preserve"> Medrano. Panama. December 5, 2019.</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29437B" w:rsidRPr="004B7EB6" w:rsidRDefault="0029437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29437B" w:rsidRPr="004B7EB6" w:rsidRDefault="0029437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29437B" w:rsidRDefault="0029437B">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29437B" w:rsidRDefault="0029437B">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61422B">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2EDFF976" w:rsidR="00F621C3" w:rsidRPr="000B6B7A" w:rsidRDefault="0061422B" w:rsidP="0061422B">
            <w:pPr>
              <w:jc w:val="both"/>
              <w:rPr>
                <w:rFonts w:ascii="Cambria" w:hAnsi="Cambria"/>
                <w:bCs/>
                <w:sz w:val="20"/>
                <w:szCs w:val="20"/>
              </w:rPr>
            </w:pPr>
            <w:r>
              <w:rPr>
                <w:rFonts w:ascii="Cambria" w:hAnsi="Cambria"/>
                <w:bCs/>
                <w:sz w:val="19"/>
                <w:szCs w:val="19"/>
                <w:lang w:val="es-ES"/>
              </w:rPr>
              <w:t>Jorge Luiz Zabala Medrano</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D7231" w:rsidP="0061422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6171FFBA" w:rsidR="00F621C3" w:rsidRPr="000B6B7A" w:rsidRDefault="0061422B" w:rsidP="0061422B">
            <w:pPr>
              <w:jc w:val="both"/>
              <w:rPr>
                <w:rFonts w:ascii="Cambria" w:hAnsi="Cambria"/>
                <w:bCs/>
                <w:sz w:val="20"/>
                <w:szCs w:val="20"/>
              </w:rPr>
            </w:pPr>
            <w:r>
              <w:rPr>
                <w:rFonts w:ascii="Cambria" w:hAnsi="Cambria"/>
                <w:bCs/>
                <w:sz w:val="19"/>
                <w:szCs w:val="19"/>
                <w:lang w:val="es-ES"/>
              </w:rPr>
              <w:t>Jorge Luiz Zabala Medrano</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2D02F2CA" w:rsidR="00F621C3" w:rsidRPr="000B6B7A" w:rsidRDefault="0061422B" w:rsidP="0061422B">
            <w:pPr>
              <w:jc w:val="both"/>
              <w:rPr>
                <w:rFonts w:ascii="Cambria" w:hAnsi="Cambria"/>
                <w:bCs/>
                <w:sz w:val="20"/>
                <w:szCs w:val="20"/>
              </w:rPr>
            </w:pPr>
            <w:r>
              <w:rPr>
                <w:rFonts w:ascii="Cambria" w:hAnsi="Cambria"/>
                <w:bCs/>
                <w:sz w:val="19"/>
                <w:szCs w:val="19"/>
                <w:lang w:val="es-ES"/>
              </w:rPr>
              <w:t>Panama</w:t>
            </w:r>
            <w:r w:rsidRPr="00006B74">
              <w:rPr>
                <w:rStyle w:val="FootnoteReference"/>
                <w:rFonts w:ascii="Cambria" w:hAnsi="Cambria"/>
                <w:bCs/>
                <w:sz w:val="19"/>
                <w:szCs w:val="19"/>
                <w:lang w:val="es-ES"/>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85146EC" w:rsidR="00E47F3D" w:rsidRPr="000B6B7A" w:rsidRDefault="0061422B" w:rsidP="002160C9">
            <w:pPr>
              <w:jc w:val="both"/>
              <w:rPr>
                <w:rFonts w:ascii="Cambria" w:hAnsi="Cambria"/>
                <w:bCs/>
                <w:sz w:val="20"/>
                <w:szCs w:val="20"/>
              </w:rPr>
            </w:pPr>
            <w:r>
              <w:rPr>
                <w:rFonts w:ascii="Cambria" w:hAnsi="Cambria"/>
                <w:bCs/>
                <w:sz w:val="20"/>
                <w:szCs w:val="20"/>
              </w:rPr>
              <w:t>Articles 7 (personal liberty) and 8 (fair trial) of the American Convention on Human Rights</w:t>
            </w:r>
            <w:r w:rsidRPr="004F695F">
              <w:rPr>
                <w:rStyle w:val="FootnoteReference"/>
                <w:rFonts w:ascii="Cambria" w:hAnsi="Cambria"/>
                <w:bCs/>
                <w:sz w:val="19"/>
                <w:szCs w:val="19"/>
                <w:lang w:val="es-ES"/>
              </w:rPr>
              <w:footnoteReference w:id="3"/>
            </w:r>
            <w:r>
              <w:rPr>
                <w:rFonts w:ascii="Cambria" w:hAnsi="Cambria"/>
                <w:bCs/>
                <w:sz w:val="20"/>
                <w:szCs w:val="20"/>
              </w:rPr>
              <w:t xml:space="preserve"> and other international instruments</w:t>
            </w:r>
            <w:r w:rsidRPr="004F695F">
              <w:rPr>
                <w:rStyle w:val="FootnoteReference"/>
                <w:rFonts w:ascii="Cambria" w:hAnsi="Cambria"/>
                <w:bCs/>
                <w:sz w:val="19"/>
                <w:szCs w:val="19"/>
                <w:lang w:val="es-ES"/>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37ED26E" w:rsidR="00F621C3" w:rsidRPr="000B6B7A" w:rsidRDefault="0061422B" w:rsidP="0061422B">
            <w:pPr>
              <w:jc w:val="both"/>
              <w:rPr>
                <w:rFonts w:ascii="Cambria" w:hAnsi="Cambria"/>
                <w:bCs/>
                <w:sz w:val="20"/>
                <w:szCs w:val="20"/>
              </w:rPr>
            </w:pPr>
            <w:r>
              <w:rPr>
                <w:rFonts w:ascii="Cambria" w:hAnsi="Cambria"/>
                <w:bCs/>
                <w:sz w:val="20"/>
                <w:szCs w:val="20"/>
              </w:rPr>
              <w:t>December 21, 2012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2785FBA" w:rsidR="00F621C3" w:rsidRPr="000B6B7A" w:rsidRDefault="0061422B" w:rsidP="0061422B">
            <w:pPr>
              <w:jc w:val="both"/>
              <w:rPr>
                <w:rFonts w:ascii="Cambria" w:hAnsi="Cambria"/>
                <w:bCs/>
                <w:sz w:val="20"/>
                <w:szCs w:val="20"/>
              </w:rPr>
            </w:pPr>
            <w:r>
              <w:rPr>
                <w:rFonts w:ascii="Cambria" w:hAnsi="Cambria"/>
                <w:bCs/>
                <w:sz w:val="20"/>
                <w:szCs w:val="20"/>
              </w:rPr>
              <w:t>February 23, 2016</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61422B">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1EFD40E8" w:rsidR="00F621C3" w:rsidRPr="000B6B7A" w:rsidRDefault="0061422B" w:rsidP="0061422B">
            <w:pPr>
              <w:jc w:val="both"/>
              <w:rPr>
                <w:rFonts w:ascii="Cambria" w:hAnsi="Cambria"/>
                <w:bCs/>
                <w:sz w:val="20"/>
                <w:szCs w:val="20"/>
              </w:rPr>
            </w:pPr>
            <w:r>
              <w:rPr>
                <w:rFonts w:ascii="Cambria" w:hAnsi="Cambria"/>
                <w:bCs/>
                <w:sz w:val="20"/>
                <w:szCs w:val="20"/>
              </w:rPr>
              <w:t>May 20, 2016</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4AFD20E" w:rsidR="003771A3" w:rsidRPr="000B6B7A" w:rsidRDefault="0061422B" w:rsidP="0061422B">
            <w:pPr>
              <w:jc w:val="both"/>
              <w:rPr>
                <w:rFonts w:ascii="Cambria" w:hAnsi="Cambria"/>
                <w:bCs/>
                <w:sz w:val="20"/>
                <w:szCs w:val="20"/>
              </w:rPr>
            </w:pPr>
            <w:r>
              <w:rPr>
                <w:rFonts w:ascii="Cambria" w:hAnsi="Cambria"/>
                <w:bCs/>
                <w:sz w:val="20"/>
                <w:szCs w:val="20"/>
              </w:rPr>
              <w:t>October 16, 2017; December 20, 2018</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181A51C2" w:rsidR="003771A3" w:rsidRPr="000B6B7A" w:rsidRDefault="0061422B" w:rsidP="0061422B">
            <w:pPr>
              <w:jc w:val="both"/>
              <w:rPr>
                <w:rFonts w:ascii="Cambria" w:hAnsi="Cambria"/>
                <w:bCs/>
                <w:sz w:val="20"/>
                <w:szCs w:val="20"/>
              </w:rPr>
            </w:pPr>
            <w:r>
              <w:rPr>
                <w:rFonts w:ascii="Cambria" w:hAnsi="Cambria"/>
                <w:bCs/>
                <w:sz w:val="20"/>
                <w:szCs w:val="20"/>
              </w:rPr>
              <w:t>July 16,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61422B">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44BF3DE4" w:rsidR="00F621C3" w:rsidRPr="000B6B7A" w:rsidRDefault="0061422B" w:rsidP="0061422B">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61422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7B6396E" w:rsidR="00F621C3" w:rsidRPr="000B6B7A" w:rsidRDefault="0061422B" w:rsidP="0061422B">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61422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24C6167E" w:rsidR="00F621C3" w:rsidRPr="000B6B7A" w:rsidRDefault="0061422B" w:rsidP="0061422B">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61422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E59980B" w:rsidR="00F621C3" w:rsidRPr="000B6B7A" w:rsidRDefault="0061422B" w:rsidP="0061422B">
            <w:pPr>
              <w:jc w:val="both"/>
              <w:rPr>
                <w:rFonts w:asciiTheme="majorHAnsi" w:hAnsiTheme="majorHAnsi"/>
                <w:bCs/>
                <w:sz w:val="20"/>
                <w:szCs w:val="20"/>
              </w:rPr>
            </w:pPr>
            <w:r>
              <w:rPr>
                <w:rFonts w:asciiTheme="majorHAnsi" w:hAnsiTheme="majorHAnsi"/>
                <w:bCs/>
                <w:sz w:val="20"/>
                <w:szCs w:val="20"/>
              </w:rPr>
              <w:t>Yes, American Convention (deposit of instrument on June 22,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61422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E2AC7A5" w:rsidR="00F621C3" w:rsidRPr="000B6B7A" w:rsidRDefault="0061422B" w:rsidP="0061422B">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61422B">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0FA95D5" w:rsidR="00F621C3" w:rsidRPr="000B6B7A" w:rsidRDefault="00057145" w:rsidP="00551F08">
            <w:pPr>
              <w:jc w:val="both"/>
              <w:rPr>
                <w:rFonts w:ascii="Cambria" w:hAnsi="Cambria"/>
                <w:bCs/>
                <w:sz w:val="20"/>
                <w:szCs w:val="20"/>
              </w:rPr>
            </w:pPr>
            <w:r w:rsidRPr="00414897">
              <w:rPr>
                <w:rFonts w:ascii="Cambria" w:hAnsi="Cambria"/>
                <w:bCs/>
                <w:sz w:val="19"/>
                <w:szCs w:val="19"/>
              </w:rPr>
              <w:t xml:space="preserve">Article 7 (personal liberty) </w:t>
            </w:r>
            <w:r w:rsidR="0061422B" w:rsidRPr="00414897">
              <w:rPr>
                <w:rFonts w:ascii="Cambria" w:hAnsi="Cambria"/>
                <w:bCs/>
                <w:sz w:val="19"/>
                <w:szCs w:val="19"/>
              </w:rPr>
              <w:t>of the American Convention in conjunction with Article 1.1 of the same instrument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61422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61422B">
            <w:pPr>
              <w:rPr>
                <w:rFonts w:ascii="Cambria" w:hAnsi="Cambria"/>
                <w:bCs/>
                <w:sz w:val="20"/>
                <w:szCs w:val="20"/>
              </w:rPr>
            </w:pPr>
          </w:p>
          <w:p w14:paraId="432DC56B" w14:textId="725C0B4D" w:rsidR="00F621C3" w:rsidRPr="000B6B7A" w:rsidRDefault="0061422B" w:rsidP="0061422B">
            <w:pPr>
              <w:rPr>
                <w:rFonts w:ascii="Cambria" w:hAnsi="Cambria"/>
                <w:bCs/>
                <w:sz w:val="20"/>
                <w:szCs w:val="20"/>
              </w:rPr>
            </w:pPr>
            <w:r>
              <w:rPr>
                <w:rFonts w:ascii="Cambria" w:hAnsi="Cambria"/>
                <w:bCs/>
                <w:sz w:val="20"/>
                <w:szCs w:val="20"/>
              </w:rPr>
              <w:t>Yes,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61422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502A8281" w:rsidR="00F621C3" w:rsidRPr="000B6B7A" w:rsidRDefault="0061422B" w:rsidP="0061422B">
            <w:pPr>
              <w:rPr>
                <w:rFonts w:asciiTheme="majorHAnsi" w:hAnsiTheme="majorHAnsi"/>
                <w:bCs/>
                <w:sz w:val="20"/>
                <w:szCs w:val="20"/>
              </w:rPr>
            </w:pPr>
            <w:r>
              <w:rPr>
                <w:rFonts w:asciiTheme="majorHAnsi" w:hAnsiTheme="majorHAnsi"/>
                <w:bCs/>
                <w:sz w:val="20"/>
                <w:szCs w:val="20"/>
              </w:rPr>
              <w:t>Yes, in the terms of Section VI</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56077A87" w:rsidR="00F621C3" w:rsidRDefault="0061422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422B">
        <w:rPr>
          <w:rFonts w:ascii="Cambria" w:hAnsi="Cambria"/>
          <w:sz w:val="20"/>
          <w:szCs w:val="20"/>
        </w:rPr>
        <w:t>The petition alleges that in September 2009</w:t>
      </w:r>
      <w:r w:rsidR="001A4450">
        <w:rPr>
          <w:rFonts w:ascii="Cambria" w:hAnsi="Cambria"/>
          <w:sz w:val="20"/>
          <w:szCs w:val="20"/>
        </w:rPr>
        <w:t>,</w:t>
      </w:r>
      <w:r w:rsidRPr="0061422B">
        <w:rPr>
          <w:rFonts w:ascii="Cambria" w:hAnsi="Cambria"/>
          <w:sz w:val="20"/>
          <w:szCs w:val="20"/>
        </w:rPr>
        <w:t xml:space="preserve"> a British vessel raided an allegedly Panamanian vessel in Colombian territorial </w:t>
      </w:r>
      <w:r w:rsidR="001A4450">
        <w:rPr>
          <w:rFonts w:ascii="Cambria" w:hAnsi="Cambria"/>
          <w:sz w:val="20"/>
          <w:szCs w:val="20"/>
        </w:rPr>
        <w:t>waters</w:t>
      </w:r>
      <w:r w:rsidR="00BC2FA5">
        <w:rPr>
          <w:rFonts w:ascii="Cambria" w:hAnsi="Cambria"/>
          <w:sz w:val="20"/>
          <w:szCs w:val="20"/>
        </w:rPr>
        <w:t>,</w:t>
      </w:r>
      <w:r w:rsidRPr="0061422B">
        <w:rPr>
          <w:rFonts w:ascii="Cambria" w:hAnsi="Cambria"/>
          <w:sz w:val="20"/>
          <w:szCs w:val="20"/>
        </w:rPr>
        <w:t xml:space="preserve"> found bags of drugs and </w:t>
      </w:r>
      <w:r w:rsidR="001A4450">
        <w:rPr>
          <w:rFonts w:ascii="Cambria" w:hAnsi="Cambria"/>
          <w:sz w:val="20"/>
          <w:szCs w:val="20"/>
        </w:rPr>
        <w:t>detained</w:t>
      </w:r>
      <w:r w:rsidRPr="0061422B">
        <w:rPr>
          <w:rFonts w:ascii="Cambria" w:hAnsi="Cambria"/>
          <w:sz w:val="20"/>
          <w:szCs w:val="20"/>
        </w:rPr>
        <w:t xml:space="preserve"> </w:t>
      </w:r>
      <w:r w:rsidR="001A4450">
        <w:rPr>
          <w:rFonts w:ascii="Cambria" w:hAnsi="Cambria"/>
          <w:sz w:val="20"/>
          <w:szCs w:val="20"/>
        </w:rPr>
        <w:t xml:space="preserve">a Colombian national, </w:t>
      </w:r>
      <w:r w:rsidRPr="0061422B">
        <w:rPr>
          <w:rFonts w:ascii="Cambria" w:hAnsi="Cambria"/>
          <w:sz w:val="20"/>
          <w:szCs w:val="20"/>
        </w:rPr>
        <w:t>Jorge Luiz Zabala Medrano (he</w:t>
      </w:r>
      <w:r w:rsidR="001A4450">
        <w:rPr>
          <w:rFonts w:ascii="Cambria" w:hAnsi="Cambria"/>
          <w:sz w:val="20"/>
          <w:szCs w:val="20"/>
        </w:rPr>
        <w:t>reinafter “the alleged victim”).</w:t>
      </w:r>
      <w:r w:rsidRPr="0061422B">
        <w:rPr>
          <w:rFonts w:ascii="Cambria" w:hAnsi="Cambria"/>
          <w:sz w:val="20"/>
          <w:szCs w:val="20"/>
        </w:rPr>
        <w:t xml:space="preserve"> </w:t>
      </w:r>
      <w:r w:rsidR="00210E7D" w:rsidRPr="0061422B">
        <w:rPr>
          <w:rFonts w:ascii="Cambria" w:hAnsi="Cambria"/>
          <w:sz w:val="20"/>
          <w:szCs w:val="20"/>
        </w:rPr>
        <w:t xml:space="preserve">He was handed over to the Panamanian authorities, taken to Panama against his will, where he </w:t>
      </w:r>
      <w:r w:rsidR="00210E7D">
        <w:rPr>
          <w:rFonts w:ascii="Cambria" w:hAnsi="Cambria"/>
          <w:sz w:val="20"/>
          <w:szCs w:val="20"/>
        </w:rPr>
        <w:t>remained</w:t>
      </w:r>
      <w:r w:rsidR="00210E7D" w:rsidRPr="0061422B">
        <w:rPr>
          <w:rFonts w:ascii="Cambria" w:hAnsi="Cambria"/>
          <w:sz w:val="20"/>
          <w:szCs w:val="20"/>
        </w:rPr>
        <w:t xml:space="preserve"> in preventive detention </w:t>
      </w:r>
      <w:r w:rsidR="00210E7D" w:rsidRPr="009E2A16">
        <w:rPr>
          <w:rFonts w:ascii="Cambria" w:hAnsi="Cambria"/>
          <w:sz w:val="20"/>
          <w:szCs w:val="20"/>
        </w:rPr>
        <w:t>until Septemb</w:t>
      </w:r>
      <w:r w:rsidR="00210E7D">
        <w:rPr>
          <w:rFonts w:ascii="Cambria" w:hAnsi="Cambria"/>
          <w:sz w:val="20"/>
          <w:szCs w:val="20"/>
        </w:rPr>
        <w:t>er 2014.</w:t>
      </w:r>
    </w:p>
    <w:p w14:paraId="09DD80AF" w14:textId="2D3CC95E" w:rsidR="0061422B" w:rsidRDefault="006A5A0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 also argues</w:t>
      </w:r>
      <w:r w:rsidR="0061422B" w:rsidRPr="0061422B">
        <w:rPr>
          <w:rFonts w:ascii="Cambria" w:hAnsi="Cambria"/>
          <w:sz w:val="20"/>
          <w:szCs w:val="20"/>
        </w:rPr>
        <w:t xml:space="preserve"> that criminal proceeding</w:t>
      </w:r>
      <w:r>
        <w:rPr>
          <w:rFonts w:ascii="Cambria" w:hAnsi="Cambria"/>
          <w:sz w:val="20"/>
          <w:szCs w:val="20"/>
        </w:rPr>
        <w:t>s have</w:t>
      </w:r>
      <w:r w:rsidR="0061422B" w:rsidRPr="0061422B">
        <w:rPr>
          <w:rFonts w:ascii="Cambria" w:hAnsi="Cambria"/>
          <w:sz w:val="20"/>
          <w:szCs w:val="20"/>
        </w:rPr>
        <w:t xml:space="preserve"> been </w:t>
      </w:r>
      <w:r w:rsidR="00BC2FA5">
        <w:rPr>
          <w:rFonts w:ascii="Cambria" w:hAnsi="Cambria"/>
          <w:sz w:val="20"/>
          <w:szCs w:val="20"/>
        </w:rPr>
        <w:t xml:space="preserve">carried out </w:t>
      </w:r>
      <w:r w:rsidR="0061422B" w:rsidRPr="0061422B">
        <w:rPr>
          <w:rFonts w:ascii="Cambria" w:hAnsi="Cambria"/>
          <w:sz w:val="20"/>
          <w:szCs w:val="20"/>
        </w:rPr>
        <w:t xml:space="preserve">against the alleged victim </w:t>
      </w:r>
      <w:r>
        <w:rPr>
          <w:rFonts w:ascii="Cambria" w:hAnsi="Cambria"/>
          <w:sz w:val="20"/>
          <w:szCs w:val="20"/>
        </w:rPr>
        <w:t>and that his prosecution was not</w:t>
      </w:r>
      <w:r w:rsidR="0061422B" w:rsidRPr="0061422B">
        <w:rPr>
          <w:rFonts w:ascii="Cambria" w:hAnsi="Cambria"/>
          <w:sz w:val="20"/>
          <w:szCs w:val="20"/>
        </w:rPr>
        <w:t xml:space="preserve"> in accordance with judicial guarantees and due process of law. In this regard, it indicates that: i) the State </w:t>
      </w:r>
      <w:r>
        <w:rPr>
          <w:rFonts w:ascii="Cambria" w:hAnsi="Cambria"/>
          <w:sz w:val="20"/>
          <w:szCs w:val="20"/>
        </w:rPr>
        <w:t>failed to</w:t>
      </w:r>
      <w:r w:rsidR="0061422B" w:rsidRPr="0061422B">
        <w:rPr>
          <w:rFonts w:ascii="Cambria" w:hAnsi="Cambria"/>
          <w:sz w:val="20"/>
          <w:szCs w:val="20"/>
        </w:rPr>
        <w:t xml:space="preserve"> notify the alleged victim's detention to </w:t>
      </w:r>
      <w:r>
        <w:rPr>
          <w:rFonts w:ascii="Cambria" w:hAnsi="Cambria"/>
          <w:sz w:val="20"/>
          <w:szCs w:val="20"/>
        </w:rPr>
        <w:t>his country’s</w:t>
      </w:r>
      <w:r w:rsidR="00BC2FA5">
        <w:rPr>
          <w:rFonts w:ascii="Cambria" w:hAnsi="Cambria"/>
          <w:sz w:val="20"/>
          <w:szCs w:val="20"/>
        </w:rPr>
        <w:t xml:space="preserve"> consular office</w:t>
      </w:r>
      <w:r w:rsidR="0061422B" w:rsidRPr="0061422B">
        <w:rPr>
          <w:rFonts w:ascii="Cambria" w:hAnsi="Cambria"/>
          <w:sz w:val="20"/>
          <w:szCs w:val="20"/>
        </w:rPr>
        <w:t xml:space="preserve">; ii) </w:t>
      </w:r>
      <w:r>
        <w:rPr>
          <w:rFonts w:ascii="Cambria" w:hAnsi="Cambria"/>
          <w:sz w:val="20"/>
          <w:szCs w:val="20"/>
        </w:rPr>
        <w:t>during proceedings</w:t>
      </w:r>
      <w:r w:rsidR="0061422B" w:rsidRPr="0061422B">
        <w:rPr>
          <w:rFonts w:ascii="Cambria" w:hAnsi="Cambria"/>
          <w:sz w:val="20"/>
          <w:szCs w:val="20"/>
        </w:rPr>
        <w:t xml:space="preserve">, several </w:t>
      </w:r>
      <w:r>
        <w:rPr>
          <w:rFonts w:ascii="Cambria" w:hAnsi="Cambria"/>
          <w:sz w:val="20"/>
          <w:szCs w:val="20"/>
        </w:rPr>
        <w:t>motions were filed with</w:t>
      </w:r>
      <w:r w:rsidR="0061422B" w:rsidRPr="0061422B">
        <w:rPr>
          <w:rFonts w:ascii="Cambria" w:hAnsi="Cambria"/>
          <w:sz w:val="20"/>
          <w:szCs w:val="20"/>
        </w:rPr>
        <w:t xml:space="preserve"> the authorities </w:t>
      </w:r>
      <w:r>
        <w:rPr>
          <w:rFonts w:ascii="Cambria" w:hAnsi="Cambria"/>
          <w:sz w:val="20"/>
          <w:szCs w:val="20"/>
        </w:rPr>
        <w:t>without any response</w:t>
      </w:r>
      <w:r w:rsidR="0061422B" w:rsidRPr="0061422B">
        <w:rPr>
          <w:rFonts w:ascii="Cambria" w:hAnsi="Cambria"/>
          <w:sz w:val="20"/>
          <w:szCs w:val="20"/>
        </w:rPr>
        <w:t xml:space="preserve">; iii) in 2014, the court of first instance </w:t>
      </w:r>
      <w:r w:rsidR="00BC2FA5">
        <w:rPr>
          <w:rFonts w:ascii="Cambria" w:hAnsi="Cambria"/>
          <w:sz w:val="20"/>
          <w:szCs w:val="20"/>
        </w:rPr>
        <w:t xml:space="preserve">declared null and void the </w:t>
      </w:r>
      <w:r>
        <w:rPr>
          <w:rFonts w:ascii="Cambria" w:hAnsi="Cambria"/>
          <w:sz w:val="20"/>
          <w:szCs w:val="20"/>
        </w:rPr>
        <w:t>proceedings</w:t>
      </w:r>
      <w:r w:rsidR="0061422B" w:rsidRPr="0061422B">
        <w:rPr>
          <w:rFonts w:ascii="Cambria" w:hAnsi="Cambria"/>
          <w:sz w:val="20"/>
          <w:szCs w:val="20"/>
        </w:rPr>
        <w:t xml:space="preserve"> on the gr</w:t>
      </w:r>
      <w:r w:rsidR="00E418A8">
        <w:rPr>
          <w:rFonts w:ascii="Cambria" w:hAnsi="Cambria"/>
          <w:sz w:val="20"/>
          <w:szCs w:val="20"/>
        </w:rPr>
        <w:t>ounds that the prosecution</w:t>
      </w:r>
      <w:r w:rsidR="0061422B" w:rsidRPr="0061422B">
        <w:rPr>
          <w:rFonts w:ascii="Cambria" w:hAnsi="Cambria"/>
          <w:sz w:val="20"/>
          <w:szCs w:val="20"/>
        </w:rPr>
        <w:t xml:space="preserve"> </w:t>
      </w:r>
      <w:r w:rsidR="00E418A8">
        <w:rPr>
          <w:rFonts w:ascii="Cambria" w:hAnsi="Cambria"/>
          <w:sz w:val="20"/>
          <w:szCs w:val="20"/>
        </w:rPr>
        <w:t>sought to try the alleged victim</w:t>
      </w:r>
      <w:r>
        <w:rPr>
          <w:rFonts w:ascii="Cambria" w:hAnsi="Cambria"/>
          <w:sz w:val="20"/>
          <w:szCs w:val="20"/>
        </w:rPr>
        <w:t xml:space="preserve"> for </w:t>
      </w:r>
      <w:r w:rsidR="00E418A8">
        <w:rPr>
          <w:rFonts w:ascii="Cambria" w:hAnsi="Cambria"/>
          <w:sz w:val="20"/>
          <w:szCs w:val="20"/>
        </w:rPr>
        <w:t xml:space="preserve">the offence of </w:t>
      </w:r>
      <w:r>
        <w:rPr>
          <w:rFonts w:ascii="Cambria" w:hAnsi="Cambria"/>
          <w:sz w:val="20"/>
          <w:szCs w:val="20"/>
        </w:rPr>
        <w:t>unlawful conspiracy</w:t>
      </w:r>
      <w:r w:rsidR="0061422B" w:rsidRPr="0061422B">
        <w:rPr>
          <w:rFonts w:ascii="Cambria" w:hAnsi="Cambria"/>
          <w:sz w:val="20"/>
          <w:szCs w:val="20"/>
        </w:rPr>
        <w:t xml:space="preserve"> witho</w:t>
      </w:r>
      <w:r w:rsidR="00E418A8">
        <w:rPr>
          <w:rFonts w:ascii="Cambria" w:hAnsi="Cambria"/>
          <w:sz w:val="20"/>
          <w:szCs w:val="20"/>
        </w:rPr>
        <w:t xml:space="preserve">ut having informed him </w:t>
      </w:r>
      <w:r w:rsidR="0061422B" w:rsidRPr="0061422B">
        <w:rPr>
          <w:rFonts w:ascii="Cambria" w:hAnsi="Cambria"/>
          <w:sz w:val="20"/>
          <w:szCs w:val="20"/>
        </w:rPr>
        <w:t xml:space="preserve">that this was the purpose or object of the investigation; iv) Panamanian judicial authorities agreed </w:t>
      </w:r>
      <w:r>
        <w:rPr>
          <w:rFonts w:ascii="Cambria" w:hAnsi="Cambria"/>
          <w:sz w:val="20"/>
          <w:szCs w:val="20"/>
        </w:rPr>
        <w:t>to review</w:t>
      </w:r>
      <w:r w:rsidR="0061422B" w:rsidRPr="0061422B">
        <w:rPr>
          <w:rFonts w:ascii="Cambria" w:hAnsi="Cambria"/>
          <w:sz w:val="20"/>
          <w:szCs w:val="20"/>
        </w:rPr>
        <w:t xml:space="preserve"> the appeal filed by the prosecutor in an extemporaneous manner; v) in 2017, a second instance court </w:t>
      </w:r>
      <w:r>
        <w:rPr>
          <w:rFonts w:ascii="Cambria" w:hAnsi="Cambria"/>
          <w:sz w:val="20"/>
          <w:szCs w:val="20"/>
        </w:rPr>
        <w:t xml:space="preserve">upheld the annulment and ordered a retrial </w:t>
      </w:r>
      <w:r w:rsidR="0061422B" w:rsidRPr="0061422B">
        <w:rPr>
          <w:rFonts w:ascii="Cambria" w:hAnsi="Cambria"/>
          <w:sz w:val="20"/>
          <w:szCs w:val="20"/>
        </w:rPr>
        <w:t xml:space="preserve">without </w:t>
      </w:r>
      <w:r w:rsidR="00294311">
        <w:rPr>
          <w:rFonts w:ascii="Cambria" w:hAnsi="Cambria"/>
          <w:sz w:val="20"/>
          <w:szCs w:val="20"/>
        </w:rPr>
        <w:t xml:space="preserve">setting the </w:t>
      </w:r>
      <w:r w:rsidR="0061422B" w:rsidRPr="0061422B">
        <w:rPr>
          <w:rFonts w:ascii="Cambria" w:hAnsi="Cambria"/>
          <w:sz w:val="20"/>
          <w:szCs w:val="20"/>
        </w:rPr>
        <w:t>alleged victim</w:t>
      </w:r>
      <w:r w:rsidR="00294311">
        <w:rPr>
          <w:rFonts w:ascii="Cambria" w:hAnsi="Cambria"/>
          <w:sz w:val="20"/>
          <w:szCs w:val="20"/>
        </w:rPr>
        <w:t xml:space="preserve"> at liberty</w:t>
      </w:r>
      <w:r w:rsidR="0061422B" w:rsidRPr="0061422B">
        <w:rPr>
          <w:rFonts w:ascii="Cambria" w:hAnsi="Cambria"/>
          <w:sz w:val="20"/>
          <w:szCs w:val="20"/>
        </w:rPr>
        <w:t xml:space="preserve">; and vi) there </w:t>
      </w:r>
      <w:r>
        <w:rPr>
          <w:rFonts w:ascii="Cambria" w:hAnsi="Cambria"/>
          <w:sz w:val="20"/>
          <w:szCs w:val="20"/>
        </w:rPr>
        <w:t>has</w:t>
      </w:r>
      <w:r w:rsidR="0061422B" w:rsidRPr="0061422B">
        <w:rPr>
          <w:rFonts w:ascii="Cambria" w:hAnsi="Cambria"/>
          <w:sz w:val="20"/>
          <w:szCs w:val="20"/>
        </w:rPr>
        <w:t xml:space="preserve"> still </w:t>
      </w:r>
      <w:r>
        <w:rPr>
          <w:rFonts w:ascii="Cambria" w:hAnsi="Cambria"/>
          <w:sz w:val="20"/>
          <w:szCs w:val="20"/>
        </w:rPr>
        <w:t>not been a</w:t>
      </w:r>
      <w:r w:rsidR="0061422B" w:rsidRPr="0061422B">
        <w:rPr>
          <w:rFonts w:ascii="Cambria" w:hAnsi="Cambria"/>
          <w:sz w:val="20"/>
          <w:szCs w:val="20"/>
        </w:rPr>
        <w:t xml:space="preserve"> first instance ruling</w:t>
      </w:r>
      <w:r w:rsidR="0061422B">
        <w:rPr>
          <w:rFonts w:ascii="Cambria" w:hAnsi="Cambria"/>
          <w:sz w:val="20"/>
          <w:szCs w:val="20"/>
        </w:rPr>
        <w:t>.</w:t>
      </w:r>
    </w:p>
    <w:p w14:paraId="05490338" w14:textId="2E26A215" w:rsidR="0061422B" w:rsidRDefault="0061422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422B">
        <w:rPr>
          <w:rFonts w:ascii="Cambria" w:hAnsi="Cambria"/>
          <w:sz w:val="20"/>
          <w:szCs w:val="20"/>
        </w:rPr>
        <w:t xml:space="preserve">Additionally, it indicates that </w:t>
      </w:r>
      <w:r w:rsidR="00E418A8">
        <w:rPr>
          <w:rFonts w:ascii="Cambria" w:hAnsi="Cambria"/>
          <w:sz w:val="20"/>
          <w:szCs w:val="20"/>
        </w:rPr>
        <w:t>due to the deprivation of liberty</w:t>
      </w:r>
      <w:r w:rsidR="00F94416">
        <w:rPr>
          <w:rFonts w:ascii="Cambria" w:hAnsi="Cambria"/>
          <w:sz w:val="20"/>
          <w:szCs w:val="20"/>
        </w:rPr>
        <w:t xml:space="preserve"> and the ongoing criminal proceedings</w:t>
      </w:r>
      <w:r w:rsidRPr="0061422B">
        <w:rPr>
          <w:rFonts w:ascii="Cambria" w:hAnsi="Cambria"/>
          <w:sz w:val="20"/>
          <w:szCs w:val="20"/>
        </w:rPr>
        <w:t xml:space="preserve">, the alleged victim </w:t>
      </w:r>
      <w:r w:rsidR="00F94416">
        <w:rPr>
          <w:rFonts w:ascii="Cambria" w:hAnsi="Cambria"/>
          <w:sz w:val="20"/>
          <w:szCs w:val="20"/>
        </w:rPr>
        <w:t>has been</w:t>
      </w:r>
      <w:r w:rsidRPr="0061422B">
        <w:rPr>
          <w:rFonts w:ascii="Cambria" w:hAnsi="Cambria"/>
          <w:sz w:val="20"/>
          <w:szCs w:val="20"/>
        </w:rPr>
        <w:t xml:space="preserve"> prevented from returning to his country and </w:t>
      </w:r>
      <w:r w:rsidR="00F94416">
        <w:rPr>
          <w:rFonts w:ascii="Cambria" w:hAnsi="Cambria"/>
          <w:sz w:val="20"/>
          <w:szCs w:val="20"/>
        </w:rPr>
        <w:t xml:space="preserve">from </w:t>
      </w:r>
      <w:r w:rsidRPr="0061422B">
        <w:rPr>
          <w:rFonts w:ascii="Cambria" w:hAnsi="Cambria"/>
          <w:sz w:val="20"/>
          <w:szCs w:val="20"/>
        </w:rPr>
        <w:t xml:space="preserve">obtaining legal </w:t>
      </w:r>
      <w:r w:rsidR="00F94416">
        <w:rPr>
          <w:rFonts w:ascii="Cambria" w:hAnsi="Cambria"/>
          <w:sz w:val="20"/>
          <w:szCs w:val="20"/>
        </w:rPr>
        <w:t>migratory</w:t>
      </w:r>
      <w:r w:rsidRPr="0061422B">
        <w:rPr>
          <w:rFonts w:ascii="Cambria" w:hAnsi="Cambria"/>
          <w:sz w:val="20"/>
          <w:szCs w:val="20"/>
        </w:rPr>
        <w:t xml:space="preserve"> status that </w:t>
      </w:r>
      <w:r w:rsidR="00F94416">
        <w:rPr>
          <w:rFonts w:ascii="Cambria" w:hAnsi="Cambria"/>
          <w:sz w:val="20"/>
          <w:szCs w:val="20"/>
        </w:rPr>
        <w:t>would allow</w:t>
      </w:r>
      <w:r w:rsidRPr="0061422B">
        <w:rPr>
          <w:rFonts w:ascii="Cambria" w:hAnsi="Cambria"/>
          <w:sz w:val="20"/>
          <w:szCs w:val="20"/>
        </w:rPr>
        <w:t xml:space="preserve"> him to work. It also in</w:t>
      </w:r>
      <w:r w:rsidR="00591779">
        <w:rPr>
          <w:rFonts w:ascii="Cambria" w:hAnsi="Cambria"/>
          <w:sz w:val="20"/>
          <w:szCs w:val="20"/>
        </w:rPr>
        <w:t xml:space="preserve">dicates that the deprivation </w:t>
      </w:r>
      <w:r w:rsidRPr="0061422B">
        <w:rPr>
          <w:rFonts w:ascii="Cambria" w:hAnsi="Cambria"/>
          <w:sz w:val="20"/>
          <w:szCs w:val="20"/>
        </w:rPr>
        <w:t>l</w:t>
      </w:r>
      <w:r w:rsidR="00591779">
        <w:rPr>
          <w:rFonts w:ascii="Cambria" w:hAnsi="Cambria"/>
          <w:sz w:val="20"/>
          <w:szCs w:val="20"/>
        </w:rPr>
        <w:t xml:space="preserve">iberty has caused damage to </w:t>
      </w:r>
      <w:r w:rsidRPr="0061422B">
        <w:rPr>
          <w:rFonts w:ascii="Cambria" w:hAnsi="Cambria"/>
          <w:sz w:val="20"/>
          <w:szCs w:val="20"/>
        </w:rPr>
        <w:t>the alleged victim</w:t>
      </w:r>
      <w:r w:rsidR="00591779">
        <w:rPr>
          <w:rFonts w:ascii="Cambria" w:hAnsi="Cambria"/>
          <w:sz w:val="20"/>
          <w:szCs w:val="20"/>
        </w:rPr>
        <w:t xml:space="preserve">’s </w:t>
      </w:r>
      <w:r w:rsidR="00591779" w:rsidRPr="0061422B">
        <w:rPr>
          <w:rFonts w:ascii="Cambria" w:hAnsi="Cambria"/>
          <w:sz w:val="20"/>
          <w:szCs w:val="20"/>
        </w:rPr>
        <w:t>health and physical integrity</w:t>
      </w:r>
      <w:r w:rsidRPr="0061422B">
        <w:rPr>
          <w:rFonts w:ascii="Cambria" w:hAnsi="Cambria"/>
          <w:sz w:val="20"/>
          <w:szCs w:val="20"/>
        </w:rPr>
        <w:t>, has violated his right</w:t>
      </w:r>
      <w:r w:rsidR="00591779">
        <w:rPr>
          <w:rFonts w:ascii="Cambria" w:hAnsi="Cambria"/>
          <w:sz w:val="20"/>
          <w:szCs w:val="20"/>
        </w:rPr>
        <w:t xml:space="preserve"> to</w:t>
      </w:r>
      <w:r w:rsidRPr="0061422B">
        <w:rPr>
          <w:rFonts w:ascii="Cambria" w:hAnsi="Cambria"/>
          <w:sz w:val="20"/>
          <w:szCs w:val="20"/>
        </w:rPr>
        <w:t xml:space="preserve"> family </w:t>
      </w:r>
      <w:r w:rsidR="00591779">
        <w:rPr>
          <w:rFonts w:ascii="Cambria" w:hAnsi="Cambria"/>
          <w:sz w:val="20"/>
          <w:szCs w:val="20"/>
        </w:rPr>
        <w:t xml:space="preserve">life </w:t>
      </w:r>
      <w:r w:rsidRPr="0061422B">
        <w:rPr>
          <w:rFonts w:ascii="Cambria" w:hAnsi="Cambria"/>
          <w:sz w:val="20"/>
          <w:szCs w:val="20"/>
        </w:rPr>
        <w:t xml:space="preserve">and has damaged the </w:t>
      </w:r>
      <w:r w:rsidR="00F94416">
        <w:rPr>
          <w:rFonts w:ascii="Cambria" w:hAnsi="Cambria"/>
          <w:sz w:val="20"/>
          <w:szCs w:val="20"/>
        </w:rPr>
        <w:t>reputation</w:t>
      </w:r>
      <w:r w:rsidRPr="0061422B">
        <w:rPr>
          <w:rFonts w:ascii="Cambria" w:hAnsi="Cambria"/>
          <w:sz w:val="20"/>
          <w:szCs w:val="20"/>
        </w:rPr>
        <w:t xml:space="preserve"> of his relatives</w:t>
      </w:r>
      <w:r>
        <w:rPr>
          <w:rFonts w:ascii="Cambria" w:hAnsi="Cambria"/>
          <w:sz w:val="20"/>
          <w:szCs w:val="20"/>
        </w:rPr>
        <w:t>.</w:t>
      </w:r>
    </w:p>
    <w:p w14:paraId="5CC46BBA" w14:textId="1ABCED5A" w:rsidR="0061422B" w:rsidRPr="006318B2" w:rsidRDefault="0061422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422B">
        <w:rPr>
          <w:rFonts w:ascii="Cambria" w:hAnsi="Cambria"/>
          <w:sz w:val="20"/>
          <w:szCs w:val="20"/>
        </w:rPr>
        <w:t xml:space="preserve">For its part, the State </w:t>
      </w:r>
      <w:r w:rsidR="00C317E8">
        <w:rPr>
          <w:rFonts w:ascii="Cambria" w:hAnsi="Cambria"/>
          <w:sz w:val="20"/>
          <w:szCs w:val="20"/>
        </w:rPr>
        <w:t>argues</w:t>
      </w:r>
      <w:r w:rsidRPr="0061422B">
        <w:rPr>
          <w:rFonts w:ascii="Cambria" w:hAnsi="Cambria"/>
          <w:sz w:val="20"/>
          <w:szCs w:val="20"/>
        </w:rPr>
        <w:t xml:space="preserve"> that on September 22, 2009, the prosecution ordered preventive detention </w:t>
      </w:r>
      <w:r w:rsidR="00C317E8">
        <w:rPr>
          <w:rFonts w:ascii="Cambria" w:hAnsi="Cambria"/>
          <w:sz w:val="20"/>
          <w:szCs w:val="20"/>
        </w:rPr>
        <w:t>against</w:t>
      </w:r>
      <w:r w:rsidRPr="0061422B">
        <w:rPr>
          <w:rFonts w:ascii="Cambria" w:hAnsi="Cambria"/>
          <w:sz w:val="20"/>
          <w:szCs w:val="20"/>
        </w:rPr>
        <w:t xml:space="preserve"> Jorge Luiz Zabala Medrano, but </w:t>
      </w:r>
      <w:r w:rsidR="00C317E8">
        <w:rPr>
          <w:rFonts w:ascii="Cambria" w:hAnsi="Cambria"/>
          <w:sz w:val="20"/>
          <w:szCs w:val="20"/>
        </w:rPr>
        <w:t>points out</w:t>
      </w:r>
      <w:r w:rsidRPr="0061422B">
        <w:rPr>
          <w:rFonts w:ascii="Cambria" w:hAnsi="Cambria"/>
          <w:sz w:val="20"/>
          <w:szCs w:val="20"/>
        </w:rPr>
        <w:t xml:space="preserve"> that he was released</w:t>
      </w:r>
      <w:r w:rsidR="00C317E8">
        <w:rPr>
          <w:rFonts w:ascii="Cambria" w:hAnsi="Cambria"/>
          <w:sz w:val="20"/>
          <w:szCs w:val="20"/>
        </w:rPr>
        <w:t xml:space="preserve"> </w:t>
      </w:r>
      <w:r w:rsidR="00C317E8" w:rsidRPr="0061422B">
        <w:rPr>
          <w:rFonts w:ascii="Cambria" w:hAnsi="Cambria"/>
          <w:sz w:val="20"/>
          <w:szCs w:val="20"/>
        </w:rPr>
        <w:t>on September 1, 2014</w:t>
      </w:r>
      <w:r w:rsidRPr="0061422B">
        <w:rPr>
          <w:rFonts w:ascii="Cambria" w:hAnsi="Cambria"/>
          <w:sz w:val="20"/>
          <w:szCs w:val="20"/>
        </w:rPr>
        <w:t xml:space="preserve">. In addition, </w:t>
      </w:r>
      <w:r w:rsidR="00C317E8">
        <w:rPr>
          <w:rFonts w:ascii="Cambria" w:hAnsi="Cambria"/>
          <w:sz w:val="20"/>
          <w:szCs w:val="20"/>
        </w:rPr>
        <w:t>it indicates</w:t>
      </w:r>
      <w:r w:rsidRPr="0061422B">
        <w:rPr>
          <w:rFonts w:ascii="Cambria" w:hAnsi="Cambria"/>
          <w:sz w:val="20"/>
          <w:szCs w:val="20"/>
        </w:rPr>
        <w:t xml:space="preserve"> that he </w:t>
      </w:r>
      <w:r w:rsidR="00C317E8">
        <w:rPr>
          <w:rFonts w:ascii="Cambria" w:hAnsi="Cambria"/>
          <w:sz w:val="20"/>
          <w:szCs w:val="20"/>
        </w:rPr>
        <w:t>was not subjected to mis</w:t>
      </w:r>
      <w:r w:rsidRPr="0061422B">
        <w:rPr>
          <w:rFonts w:ascii="Cambria" w:hAnsi="Cambria"/>
          <w:sz w:val="20"/>
          <w:szCs w:val="20"/>
        </w:rPr>
        <w:t>treatment during his dete</w:t>
      </w:r>
      <w:r w:rsidR="00591779">
        <w:rPr>
          <w:rFonts w:ascii="Cambria" w:hAnsi="Cambria"/>
          <w:sz w:val="20"/>
          <w:szCs w:val="20"/>
        </w:rPr>
        <w:t>ntion and even signed a “</w:t>
      </w:r>
      <w:r w:rsidR="00591779" w:rsidRPr="00A51B71">
        <w:rPr>
          <w:rFonts w:ascii="Cambria" w:hAnsi="Cambria"/>
          <w:sz w:val="20"/>
          <w:szCs w:val="20"/>
        </w:rPr>
        <w:t xml:space="preserve">certifícate </w:t>
      </w:r>
      <w:r w:rsidR="00591779">
        <w:rPr>
          <w:rFonts w:ascii="Cambria" w:hAnsi="Cambria"/>
          <w:sz w:val="20"/>
          <w:szCs w:val="20"/>
        </w:rPr>
        <w:t xml:space="preserve">of </w:t>
      </w:r>
      <w:r w:rsidRPr="0061422B">
        <w:rPr>
          <w:rFonts w:ascii="Cambria" w:hAnsi="Cambria"/>
          <w:sz w:val="20"/>
          <w:szCs w:val="20"/>
        </w:rPr>
        <w:t>non-abuse” in June 2014</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7AF98EC1" w:rsidR="00F621C3" w:rsidRDefault="0061422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422B">
        <w:rPr>
          <w:rFonts w:ascii="Cambria" w:hAnsi="Cambria"/>
          <w:sz w:val="20"/>
          <w:szCs w:val="20"/>
        </w:rPr>
        <w:t>The petitioner ind</w:t>
      </w:r>
      <w:r w:rsidR="00F2414D">
        <w:rPr>
          <w:rFonts w:ascii="Cambria" w:hAnsi="Cambria"/>
          <w:sz w:val="20"/>
          <w:szCs w:val="20"/>
        </w:rPr>
        <w:t>icates that</w:t>
      </w:r>
      <w:r w:rsidR="00591779">
        <w:rPr>
          <w:rFonts w:ascii="Cambria" w:hAnsi="Cambria"/>
          <w:sz w:val="20"/>
          <w:szCs w:val="20"/>
        </w:rPr>
        <w:t xml:space="preserve"> the criminal proceedings are still pending</w:t>
      </w:r>
      <w:r w:rsidRPr="0061422B">
        <w:rPr>
          <w:rFonts w:ascii="Cambria" w:hAnsi="Cambria"/>
          <w:sz w:val="20"/>
          <w:szCs w:val="20"/>
        </w:rPr>
        <w:t xml:space="preserve"> and that </w:t>
      </w:r>
      <w:r w:rsidR="00F2414D">
        <w:rPr>
          <w:rFonts w:ascii="Cambria" w:hAnsi="Cambria"/>
          <w:sz w:val="20"/>
          <w:szCs w:val="20"/>
        </w:rPr>
        <w:t xml:space="preserve">during the trial </w:t>
      </w:r>
      <w:r w:rsidRPr="0061422B">
        <w:rPr>
          <w:rFonts w:ascii="Cambria" w:hAnsi="Cambria"/>
          <w:sz w:val="20"/>
          <w:szCs w:val="20"/>
        </w:rPr>
        <w:t xml:space="preserve">the alleged victims </w:t>
      </w:r>
      <w:r w:rsidR="00F2414D">
        <w:rPr>
          <w:rFonts w:ascii="Cambria" w:hAnsi="Cambria"/>
          <w:sz w:val="20"/>
          <w:szCs w:val="20"/>
        </w:rPr>
        <w:t>filed</w:t>
      </w:r>
      <w:r w:rsidRPr="0061422B">
        <w:rPr>
          <w:rFonts w:ascii="Cambria" w:hAnsi="Cambria"/>
          <w:sz w:val="20"/>
          <w:szCs w:val="20"/>
        </w:rPr>
        <w:t xml:space="preserve"> several </w:t>
      </w:r>
      <w:r w:rsidR="00F2414D">
        <w:rPr>
          <w:rFonts w:ascii="Cambria" w:hAnsi="Cambria"/>
          <w:sz w:val="20"/>
          <w:szCs w:val="20"/>
        </w:rPr>
        <w:t>motions</w:t>
      </w:r>
      <w:r w:rsidR="00013DBE">
        <w:rPr>
          <w:rFonts w:ascii="Cambria" w:hAnsi="Cambria"/>
          <w:sz w:val="20"/>
          <w:szCs w:val="20"/>
        </w:rPr>
        <w:t xml:space="preserve"> before</w:t>
      </w:r>
      <w:r w:rsidRPr="0061422B">
        <w:rPr>
          <w:rFonts w:ascii="Cambria" w:hAnsi="Cambria"/>
          <w:sz w:val="20"/>
          <w:szCs w:val="20"/>
        </w:rPr>
        <w:t xml:space="preserve"> the judicial authorities that </w:t>
      </w:r>
      <w:r w:rsidR="00F2414D">
        <w:rPr>
          <w:rFonts w:ascii="Cambria" w:hAnsi="Cambria"/>
          <w:sz w:val="20"/>
          <w:szCs w:val="20"/>
        </w:rPr>
        <w:t>went unanswered</w:t>
      </w:r>
      <w:r w:rsidRPr="0061422B">
        <w:rPr>
          <w:rFonts w:ascii="Cambria" w:hAnsi="Cambria"/>
          <w:sz w:val="20"/>
          <w:szCs w:val="20"/>
        </w:rPr>
        <w:t xml:space="preserve">, including requests to </w:t>
      </w:r>
      <w:r w:rsidR="005429C4">
        <w:rPr>
          <w:rFonts w:ascii="Cambria" w:hAnsi="Cambria"/>
          <w:sz w:val="20"/>
          <w:szCs w:val="20"/>
        </w:rPr>
        <w:t>substitute</w:t>
      </w:r>
      <w:r w:rsidRPr="0061422B">
        <w:rPr>
          <w:rFonts w:ascii="Cambria" w:hAnsi="Cambria"/>
          <w:sz w:val="20"/>
          <w:szCs w:val="20"/>
        </w:rPr>
        <w:t xml:space="preserve"> pretrial detention with another precautionary measure</w:t>
      </w:r>
      <w:r w:rsidR="005429C4">
        <w:rPr>
          <w:rFonts w:ascii="Cambria" w:hAnsi="Cambria"/>
          <w:sz w:val="20"/>
          <w:szCs w:val="20"/>
        </w:rPr>
        <w:t>,</w:t>
      </w:r>
      <w:r w:rsidRPr="0061422B">
        <w:rPr>
          <w:rFonts w:ascii="Cambria" w:hAnsi="Cambria"/>
          <w:sz w:val="20"/>
          <w:szCs w:val="20"/>
        </w:rPr>
        <w:t xml:space="preserve"> and </w:t>
      </w:r>
      <w:r w:rsidR="005429C4">
        <w:rPr>
          <w:rFonts w:ascii="Cambria" w:hAnsi="Cambria"/>
          <w:sz w:val="20"/>
          <w:szCs w:val="20"/>
        </w:rPr>
        <w:t>m</w:t>
      </w:r>
      <w:r w:rsidR="00013DBE">
        <w:rPr>
          <w:rFonts w:ascii="Cambria" w:hAnsi="Cambria"/>
          <w:sz w:val="20"/>
          <w:szCs w:val="20"/>
        </w:rPr>
        <w:t>otions to accelerate the proceedings</w:t>
      </w:r>
      <w:r w:rsidRPr="0061422B">
        <w:rPr>
          <w:rFonts w:ascii="Cambria" w:hAnsi="Cambria"/>
          <w:sz w:val="20"/>
          <w:szCs w:val="20"/>
        </w:rPr>
        <w:t>. For its</w:t>
      </w:r>
      <w:r w:rsidR="00013DBE">
        <w:rPr>
          <w:rFonts w:ascii="Cambria" w:hAnsi="Cambria"/>
          <w:sz w:val="20"/>
          <w:szCs w:val="20"/>
        </w:rPr>
        <w:t xml:space="preserve"> part, in its communication to the IACHR of July 2018, the State </w:t>
      </w:r>
      <w:r w:rsidRPr="0061422B">
        <w:rPr>
          <w:rFonts w:ascii="Cambria" w:hAnsi="Cambria"/>
          <w:sz w:val="20"/>
          <w:szCs w:val="20"/>
        </w:rPr>
        <w:t xml:space="preserve">indicated that </w:t>
      </w:r>
      <w:r w:rsidR="00121779">
        <w:rPr>
          <w:rFonts w:ascii="Cambria" w:hAnsi="Cambria"/>
          <w:sz w:val="20"/>
          <w:szCs w:val="20"/>
        </w:rPr>
        <w:t>once the proceedings were restated</w:t>
      </w:r>
      <w:r w:rsidR="005429C4">
        <w:rPr>
          <w:rFonts w:ascii="Cambria" w:hAnsi="Cambria"/>
          <w:sz w:val="20"/>
          <w:szCs w:val="20"/>
        </w:rPr>
        <w:t>,</w:t>
      </w:r>
      <w:r w:rsidRPr="0061422B">
        <w:rPr>
          <w:rFonts w:ascii="Cambria" w:hAnsi="Cambria"/>
          <w:sz w:val="20"/>
          <w:szCs w:val="20"/>
        </w:rPr>
        <w:t xml:space="preserve"> </w:t>
      </w:r>
      <w:r w:rsidR="0029437B">
        <w:rPr>
          <w:rFonts w:ascii="Cambria" w:hAnsi="Cambria"/>
          <w:sz w:val="20"/>
          <w:szCs w:val="20"/>
        </w:rPr>
        <w:t>the preliminary hearing was</w:t>
      </w:r>
      <w:r w:rsidRPr="0061422B">
        <w:rPr>
          <w:rFonts w:ascii="Cambria" w:hAnsi="Cambria"/>
          <w:sz w:val="20"/>
          <w:szCs w:val="20"/>
        </w:rPr>
        <w:t xml:space="preserve"> set for November 1, 2018</w:t>
      </w:r>
      <w:r>
        <w:rPr>
          <w:rFonts w:ascii="Cambria" w:hAnsi="Cambria"/>
          <w:sz w:val="20"/>
          <w:szCs w:val="20"/>
        </w:rPr>
        <w:t>.</w:t>
      </w:r>
    </w:p>
    <w:p w14:paraId="36F8B340" w14:textId="503B5C25" w:rsidR="0061422B" w:rsidRDefault="0061422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422B">
        <w:rPr>
          <w:rFonts w:ascii="Cambria" w:hAnsi="Cambria"/>
          <w:sz w:val="20"/>
          <w:szCs w:val="20"/>
        </w:rPr>
        <w:t xml:space="preserve">The </w:t>
      </w:r>
      <w:r w:rsidR="00121779">
        <w:rPr>
          <w:rFonts w:ascii="Cambria" w:hAnsi="Cambria"/>
          <w:sz w:val="20"/>
          <w:szCs w:val="20"/>
        </w:rPr>
        <w:t>documents attached to</w:t>
      </w:r>
      <w:r w:rsidRPr="0061422B">
        <w:rPr>
          <w:rFonts w:ascii="Cambria" w:hAnsi="Cambria"/>
          <w:sz w:val="20"/>
          <w:szCs w:val="20"/>
        </w:rPr>
        <w:t xml:space="preserve"> the petition indicates that: i) the </w:t>
      </w:r>
      <w:r w:rsidR="00121779">
        <w:rPr>
          <w:rFonts w:ascii="Cambria" w:hAnsi="Cambria"/>
          <w:sz w:val="20"/>
          <w:szCs w:val="20"/>
        </w:rPr>
        <w:t>counsel for the defense</w:t>
      </w:r>
      <w:r w:rsidRPr="0061422B">
        <w:rPr>
          <w:rFonts w:ascii="Cambria" w:hAnsi="Cambria"/>
          <w:sz w:val="20"/>
          <w:szCs w:val="20"/>
        </w:rPr>
        <w:t xml:space="preserve"> alerted the authorities </w:t>
      </w:r>
      <w:r w:rsidR="00121779">
        <w:rPr>
          <w:rFonts w:ascii="Cambria" w:hAnsi="Cambria"/>
          <w:sz w:val="20"/>
          <w:szCs w:val="20"/>
        </w:rPr>
        <w:t xml:space="preserve">regarding the </w:t>
      </w:r>
      <w:r w:rsidRPr="0061422B">
        <w:rPr>
          <w:rFonts w:ascii="Cambria" w:hAnsi="Cambria"/>
          <w:sz w:val="20"/>
          <w:szCs w:val="20"/>
        </w:rPr>
        <w:t>alleged</w:t>
      </w:r>
      <w:r w:rsidR="00121779">
        <w:rPr>
          <w:rFonts w:ascii="Cambria" w:hAnsi="Cambria"/>
          <w:sz w:val="20"/>
          <w:szCs w:val="20"/>
        </w:rPr>
        <w:t>ly</w:t>
      </w:r>
      <w:r w:rsidRPr="0061422B">
        <w:rPr>
          <w:rFonts w:ascii="Cambria" w:hAnsi="Cambria"/>
          <w:sz w:val="20"/>
          <w:szCs w:val="20"/>
        </w:rPr>
        <w:t xml:space="preserve"> illega</w:t>
      </w:r>
      <w:r w:rsidR="00B52C34">
        <w:rPr>
          <w:rFonts w:ascii="Cambria" w:hAnsi="Cambria"/>
          <w:sz w:val="20"/>
          <w:szCs w:val="20"/>
        </w:rPr>
        <w:t>l capture of the alleged victim</w:t>
      </w:r>
      <w:r w:rsidRPr="0061422B">
        <w:rPr>
          <w:rFonts w:ascii="Cambria" w:hAnsi="Cambria"/>
          <w:sz w:val="20"/>
          <w:szCs w:val="20"/>
        </w:rPr>
        <w:t xml:space="preserve"> in Colombian maritime </w:t>
      </w:r>
      <w:r w:rsidR="005429C4">
        <w:rPr>
          <w:rFonts w:ascii="Cambria" w:hAnsi="Cambria"/>
          <w:sz w:val="20"/>
          <w:szCs w:val="20"/>
        </w:rPr>
        <w:t>waters</w:t>
      </w:r>
      <w:r w:rsidRPr="0061422B">
        <w:rPr>
          <w:rFonts w:ascii="Cambria" w:hAnsi="Cambria"/>
          <w:sz w:val="20"/>
          <w:szCs w:val="20"/>
        </w:rPr>
        <w:t xml:space="preserve">; ii) the defense </w:t>
      </w:r>
      <w:r w:rsidR="005429C4">
        <w:rPr>
          <w:rFonts w:ascii="Cambria" w:hAnsi="Cambria"/>
          <w:sz w:val="20"/>
          <w:szCs w:val="20"/>
        </w:rPr>
        <w:t>had</w:t>
      </w:r>
      <w:r w:rsidR="00121779">
        <w:rPr>
          <w:rFonts w:ascii="Cambria" w:hAnsi="Cambria"/>
          <w:sz w:val="20"/>
          <w:szCs w:val="20"/>
        </w:rPr>
        <w:t xml:space="preserve"> requested the release of the</w:t>
      </w:r>
      <w:r w:rsidRPr="0061422B">
        <w:rPr>
          <w:rFonts w:ascii="Cambria" w:hAnsi="Cambria"/>
          <w:sz w:val="20"/>
          <w:szCs w:val="20"/>
        </w:rPr>
        <w:t xml:space="preserve"> alleged victim</w:t>
      </w:r>
      <w:r w:rsidR="00121779">
        <w:rPr>
          <w:rFonts w:ascii="Cambria" w:hAnsi="Cambria"/>
          <w:sz w:val="20"/>
          <w:szCs w:val="20"/>
        </w:rPr>
        <w:t xml:space="preserve"> </w:t>
      </w:r>
      <w:r w:rsidR="005429C4">
        <w:rPr>
          <w:rFonts w:ascii="Cambria" w:hAnsi="Cambria"/>
          <w:sz w:val="20"/>
          <w:szCs w:val="20"/>
        </w:rPr>
        <w:t>and/</w:t>
      </w:r>
      <w:r w:rsidRPr="0061422B">
        <w:rPr>
          <w:rFonts w:ascii="Cambria" w:hAnsi="Cambria"/>
          <w:sz w:val="20"/>
          <w:szCs w:val="20"/>
        </w:rPr>
        <w:t>or the application of a</w:t>
      </w:r>
      <w:r w:rsidR="005429C4">
        <w:rPr>
          <w:rFonts w:ascii="Cambria" w:hAnsi="Cambria"/>
          <w:sz w:val="20"/>
          <w:szCs w:val="20"/>
        </w:rPr>
        <w:t>n alternative</w:t>
      </w:r>
      <w:r w:rsidRPr="0061422B">
        <w:rPr>
          <w:rFonts w:ascii="Cambria" w:hAnsi="Cambria"/>
          <w:sz w:val="20"/>
          <w:szCs w:val="20"/>
        </w:rPr>
        <w:t xml:space="preserve"> precautionary measure </w:t>
      </w:r>
      <w:r w:rsidR="005429C4">
        <w:rPr>
          <w:rFonts w:ascii="Cambria" w:hAnsi="Cambria"/>
          <w:sz w:val="20"/>
          <w:szCs w:val="20"/>
        </w:rPr>
        <w:t>to</w:t>
      </w:r>
      <w:r w:rsidRPr="0061422B">
        <w:rPr>
          <w:rFonts w:ascii="Cambria" w:hAnsi="Cambria"/>
          <w:sz w:val="20"/>
          <w:szCs w:val="20"/>
        </w:rPr>
        <w:t xml:space="preserve"> </w:t>
      </w:r>
      <w:r w:rsidR="005429C4">
        <w:rPr>
          <w:rFonts w:ascii="Cambria" w:hAnsi="Cambria"/>
          <w:sz w:val="20"/>
          <w:szCs w:val="20"/>
        </w:rPr>
        <w:t>pretrial detention; and iii) that criminal proceedings had</w:t>
      </w:r>
      <w:r w:rsidRPr="0061422B">
        <w:rPr>
          <w:rFonts w:ascii="Cambria" w:hAnsi="Cambria"/>
          <w:sz w:val="20"/>
          <w:szCs w:val="20"/>
        </w:rPr>
        <w:t xml:space="preserve"> not yet been completed</w:t>
      </w:r>
      <w:r>
        <w:rPr>
          <w:rFonts w:ascii="Cambria" w:hAnsi="Cambria"/>
          <w:sz w:val="20"/>
          <w:szCs w:val="20"/>
        </w:rPr>
        <w:t>.</w:t>
      </w:r>
    </w:p>
    <w:p w14:paraId="6D31AAD5" w14:textId="7DA8636D" w:rsidR="0061422B" w:rsidRPr="00057145" w:rsidRDefault="00DA1D0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57145">
        <w:rPr>
          <w:rFonts w:asciiTheme="majorHAnsi" w:hAnsiTheme="majorHAnsi"/>
          <w:sz w:val="20"/>
          <w:szCs w:val="20"/>
        </w:rPr>
        <w:t>Regarding the allegation on the</w:t>
      </w:r>
      <w:r w:rsidR="0061422B" w:rsidRPr="00057145">
        <w:rPr>
          <w:rFonts w:asciiTheme="majorHAnsi" w:hAnsiTheme="majorHAnsi"/>
          <w:sz w:val="20"/>
          <w:szCs w:val="20"/>
        </w:rPr>
        <w:t xml:space="preserve"> excessive and unjustifiably prolonged use of pretrial detention, the Commission observes that the petitioner has indicated </w:t>
      </w:r>
      <w:r w:rsidR="00F544D2" w:rsidRPr="00057145">
        <w:rPr>
          <w:rFonts w:asciiTheme="majorHAnsi" w:hAnsiTheme="majorHAnsi"/>
          <w:sz w:val="20"/>
          <w:szCs w:val="20"/>
        </w:rPr>
        <w:t>that while this measure was in force</w:t>
      </w:r>
      <w:r w:rsidR="0061422B" w:rsidRPr="00057145">
        <w:rPr>
          <w:rFonts w:asciiTheme="majorHAnsi" w:hAnsiTheme="majorHAnsi"/>
          <w:sz w:val="20"/>
          <w:szCs w:val="20"/>
        </w:rPr>
        <w:t xml:space="preserve">, the alleged victim </w:t>
      </w:r>
      <w:r w:rsidR="00F544D2" w:rsidRPr="00057145">
        <w:rPr>
          <w:rFonts w:asciiTheme="majorHAnsi" w:hAnsiTheme="majorHAnsi"/>
          <w:sz w:val="20"/>
          <w:szCs w:val="20"/>
        </w:rPr>
        <w:t>had</w:t>
      </w:r>
      <w:r w:rsidR="0061422B" w:rsidRPr="00057145">
        <w:rPr>
          <w:rFonts w:asciiTheme="majorHAnsi" w:hAnsiTheme="majorHAnsi"/>
          <w:sz w:val="20"/>
          <w:szCs w:val="20"/>
        </w:rPr>
        <w:t xml:space="preserve"> requested his release or the application of a </w:t>
      </w:r>
      <w:r w:rsidR="003A2D31" w:rsidRPr="00057145">
        <w:rPr>
          <w:rFonts w:asciiTheme="majorHAnsi" w:hAnsiTheme="majorHAnsi"/>
          <w:sz w:val="20"/>
          <w:szCs w:val="20"/>
        </w:rPr>
        <w:t>different precautionary measure. This</w:t>
      </w:r>
      <w:r w:rsidR="0061422B" w:rsidRPr="00057145">
        <w:rPr>
          <w:rFonts w:asciiTheme="majorHAnsi" w:hAnsiTheme="majorHAnsi"/>
          <w:sz w:val="20"/>
          <w:szCs w:val="20"/>
        </w:rPr>
        <w:t xml:space="preserve"> information that has not been </w:t>
      </w:r>
      <w:r w:rsidR="00F544D2" w:rsidRPr="00057145">
        <w:rPr>
          <w:rFonts w:asciiTheme="majorHAnsi" w:hAnsiTheme="majorHAnsi"/>
          <w:sz w:val="20"/>
          <w:szCs w:val="20"/>
        </w:rPr>
        <w:t>rebutted</w:t>
      </w:r>
      <w:r w:rsidR="0061422B" w:rsidRPr="00057145">
        <w:rPr>
          <w:rFonts w:asciiTheme="majorHAnsi" w:hAnsiTheme="majorHAnsi"/>
          <w:sz w:val="20"/>
          <w:szCs w:val="20"/>
        </w:rPr>
        <w:t xml:space="preserve"> by the State. In this regard, the Commission recalls that it has already determined that “claims </w:t>
      </w:r>
      <w:r w:rsidR="00F544D2" w:rsidRPr="00057145">
        <w:rPr>
          <w:rFonts w:asciiTheme="majorHAnsi" w:hAnsiTheme="majorHAnsi"/>
          <w:sz w:val="20"/>
          <w:szCs w:val="20"/>
        </w:rPr>
        <w:t>related to possible human rights violations arising from the imposition of pretrial detention have</w:t>
      </w:r>
      <w:r w:rsidR="0061422B" w:rsidRPr="00057145">
        <w:rPr>
          <w:rFonts w:asciiTheme="majorHAnsi" w:hAnsiTheme="majorHAnsi"/>
          <w:sz w:val="20"/>
          <w:szCs w:val="20"/>
        </w:rPr>
        <w:t xml:space="preserve">, </w:t>
      </w:r>
      <w:r w:rsidR="00F544D2" w:rsidRPr="00057145">
        <w:rPr>
          <w:rFonts w:asciiTheme="majorHAnsi" w:hAnsiTheme="majorHAnsi"/>
          <w:sz w:val="20"/>
          <w:szCs w:val="20"/>
        </w:rPr>
        <w:t>[</w:t>
      </w:r>
      <w:r w:rsidR="0061422B" w:rsidRPr="00057145">
        <w:rPr>
          <w:rFonts w:asciiTheme="majorHAnsi" w:hAnsiTheme="majorHAnsi"/>
          <w:sz w:val="20"/>
          <w:szCs w:val="20"/>
        </w:rPr>
        <w:t>in relation to article 46 (1) (a) of the Convention,</w:t>
      </w:r>
      <w:r w:rsidR="00F544D2" w:rsidRPr="00057145">
        <w:rPr>
          <w:rFonts w:asciiTheme="majorHAnsi" w:hAnsiTheme="majorHAnsi"/>
          <w:sz w:val="20"/>
          <w:szCs w:val="20"/>
        </w:rPr>
        <w:t>]</w:t>
      </w:r>
      <w:r w:rsidR="0061422B" w:rsidRPr="00057145">
        <w:rPr>
          <w:rFonts w:asciiTheme="majorHAnsi" w:hAnsiTheme="majorHAnsi"/>
          <w:sz w:val="20"/>
          <w:szCs w:val="20"/>
        </w:rPr>
        <w:t xml:space="preserve"> their own dynamics </w:t>
      </w:r>
      <w:r w:rsidR="00F544D2" w:rsidRPr="00057145">
        <w:rPr>
          <w:rFonts w:asciiTheme="majorHAnsi" w:hAnsiTheme="majorHAnsi"/>
          <w:sz w:val="20"/>
          <w:szCs w:val="20"/>
        </w:rPr>
        <w:t xml:space="preserve">for the exhaustion of domestic remedies that are </w:t>
      </w:r>
      <w:r w:rsidR="0061422B" w:rsidRPr="00057145">
        <w:rPr>
          <w:rFonts w:asciiTheme="majorHAnsi" w:hAnsiTheme="majorHAnsi"/>
          <w:sz w:val="20"/>
          <w:szCs w:val="20"/>
        </w:rPr>
        <w:t xml:space="preserve">independent </w:t>
      </w:r>
      <w:r w:rsidR="00F544D2" w:rsidRPr="00057145">
        <w:rPr>
          <w:rFonts w:asciiTheme="majorHAnsi" w:hAnsiTheme="majorHAnsi"/>
          <w:sz w:val="20"/>
          <w:szCs w:val="20"/>
        </w:rPr>
        <w:t>from those that apply to the criminal proceeding as a whole</w:t>
      </w:r>
      <w:r w:rsidR="0061422B" w:rsidRPr="00057145">
        <w:rPr>
          <w:rFonts w:asciiTheme="majorHAnsi" w:hAnsiTheme="majorHAnsi"/>
          <w:sz w:val="20"/>
          <w:szCs w:val="20"/>
        </w:rPr>
        <w:t>”,</w:t>
      </w:r>
      <w:r w:rsidR="0061422B" w:rsidRPr="00057145">
        <w:rPr>
          <w:rStyle w:val="FootnoteReference"/>
          <w:rFonts w:asciiTheme="majorHAnsi" w:hAnsiTheme="majorHAnsi"/>
          <w:sz w:val="20"/>
          <w:szCs w:val="20"/>
        </w:rPr>
        <w:t xml:space="preserve"> </w:t>
      </w:r>
      <w:r w:rsidR="0061422B" w:rsidRPr="00057145">
        <w:rPr>
          <w:rStyle w:val="FootnoteReference"/>
          <w:rFonts w:asciiTheme="majorHAnsi" w:hAnsiTheme="majorHAnsi"/>
          <w:sz w:val="20"/>
          <w:szCs w:val="20"/>
          <w:lang w:val="es-PA"/>
        </w:rPr>
        <w:footnoteReference w:id="6"/>
      </w:r>
      <w:r w:rsidR="0061422B" w:rsidRPr="00057145">
        <w:rPr>
          <w:rFonts w:asciiTheme="majorHAnsi" w:hAnsiTheme="majorHAnsi"/>
          <w:sz w:val="20"/>
          <w:szCs w:val="20"/>
        </w:rPr>
        <w:t xml:space="preserve"> as well as that</w:t>
      </w:r>
      <w:r w:rsidR="00F544D2" w:rsidRPr="00057145">
        <w:rPr>
          <w:rFonts w:asciiTheme="majorHAnsi" w:hAnsiTheme="majorHAnsi"/>
          <w:sz w:val="20"/>
          <w:szCs w:val="20"/>
        </w:rPr>
        <w:t xml:space="preserve"> </w:t>
      </w:r>
      <w:r w:rsidR="0061422B" w:rsidRPr="00057145">
        <w:rPr>
          <w:rFonts w:asciiTheme="majorHAnsi" w:hAnsiTheme="majorHAnsi"/>
          <w:sz w:val="20"/>
          <w:szCs w:val="20"/>
        </w:rPr>
        <w:t>“</w:t>
      </w:r>
      <w:r w:rsidR="00F544D2" w:rsidRPr="00057145">
        <w:rPr>
          <w:rFonts w:asciiTheme="majorHAnsi" w:hAnsiTheme="majorHAnsi"/>
          <w:sz w:val="20"/>
          <w:szCs w:val="20"/>
        </w:rPr>
        <w:t>[i]</w:t>
      </w:r>
      <w:r w:rsidR="0061422B" w:rsidRPr="00057145">
        <w:rPr>
          <w:rFonts w:asciiTheme="majorHAnsi" w:hAnsiTheme="majorHAnsi"/>
          <w:sz w:val="20"/>
          <w:szCs w:val="20"/>
        </w:rPr>
        <w:t>n the context of pre</w:t>
      </w:r>
      <w:r w:rsidR="00F544D2" w:rsidRPr="00057145">
        <w:rPr>
          <w:rFonts w:asciiTheme="majorHAnsi" w:hAnsiTheme="majorHAnsi"/>
          <w:sz w:val="20"/>
          <w:szCs w:val="20"/>
        </w:rPr>
        <w:t>-</w:t>
      </w:r>
      <w:r w:rsidR="0061422B" w:rsidRPr="00057145">
        <w:rPr>
          <w:rFonts w:asciiTheme="majorHAnsi" w:hAnsiTheme="majorHAnsi"/>
          <w:sz w:val="20"/>
          <w:szCs w:val="20"/>
        </w:rPr>
        <w:t xml:space="preserve">trial detention, </w:t>
      </w:r>
      <w:r w:rsidR="00F544D2" w:rsidRPr="00057145">
        <w:rPr>
          <w:rFonts w:asciiTheme="majorHAnsi" w:hAnsiTheme="majorHAnsi"/>
          <w:sz w:val="20"/>
          <w:szCs w:val="20"/>
        </w:rPr>
        <w:t xml:space="preserve">the presentation of the request for conditional release </w:t>
      </w:r>
      <w:r w:rsidR="00F544D2" w:rsidRPr="00057145">
        <w:rPr>
          <w:rFonts w:asciiTheme="majorHAnsi" w:hAnsiTheme="majorHAnsi"/>
          <w:sz w:val="20"/>
          <w:szCs w:val="20"/>
        </w:rPr>
        <w:lastRenderedPageBreak/>
        <w:t>followed by the denial thereof suffices to substantiate the exhaustion of remedies.</w:t>
      </w:r>
      <w:r w:rsidR="0061422B" w:rsidRPr="00057145">
        <w:rPr>
          <w:rFonts w:asciiTheme="majorHAnsi" w:hAnsiTheme="majorHAnsi"/>
          <w:sz w:val="20"/>
          <w:szCs w:val="20"/>
        </w:rPr>
        <w:t>”</w:t>
      </w:r>
      <w:r w:rsidR="0061422B" w:rsidRPr="00057145">
        <w:rPr>
          <w:rStyle w:val="FootnoteReference"/>
          <w:rFonts w:asciiTheme="majorHAnsi" w:hAnsiTheme="majorHAnsi"/>
          <w:sz w:val="20"/>
          <w:szCs w:val="20"/>
          <w:lang w:val="es-PA"/>
        </w:rPr>
        <w:footnoteReference w:id="7"/>
      </w:r>
      <w:r w:rsidR="0061422B" w:rsidRPr="00057145">
        <w:rPr>
          <w:rFonts w:asciiTheme="majorHAnsi" w:hAnsiTheme="majorHAnsi"/>
          <w:sz w:val="20"/>
          <w:szCs w:val="20"/>
        </w:rPr>
        <w:t xml:space="preserve"> In addition, the Commission notes that the State </w:t>
      </w:r>
      <w:r w:rsidR="003A2D31" w:rsidRPr="00057145">
        <w:rPr>
          <w:rFonts w:asciiTheme="majorHAnsi" w:hAnsiTheme="majorHAnsi"/>
          <w:sz w:val="20"/>
          <w:szCs w:val="20"/>
        </w:rPr>
        <w:t>has failed to argue on the basis of non-exhaustion of adequate</w:t>
      </w:r>
      <w:r w:rsidR="00F544D2" w:rsidRPr="00057145">
        <w:rPr>
          <w:rFonts w:asciiTheme="majorHAnsi" w:hAnsiTheme="majorHAnsi"/>
          <w:sz w:val="20"/>
          <w:szCs w:val="20"/>
        </w:rPr>
        <w:t xml:space="preserve"> domestic remedies </w:t>
      </w:r>
      <w:r w:rsidR="003A2D31" w:rsidRPr="00057145">
        <w:rPr>
          <w:rFonts w:asciiTheme="majorHAnsi" w:hAnsiTheme="majorHAnsi"/>
          <w:sz w:val="20"/>
          <w:szCs w:val="20"/>
        </w:rPr>
        <w:t xml:space="preserve">in connection with the resolution of claims on preventive detention, </w:t>
      </w:r>
      <w:r w:rsidR="0061422B" w:rsidRPr="00057145">
        <w:rPr>
          <w:rFonts w:asciiTheme="majorHAnsi" w:hAnsiTheme="majorHAnsi"/>
          <w:sz w:val="20"/>
          <w:szCs w:val="20"/>
        </w:rPr>
        <w:t>at the domestic level. For these reasons, the Com</w:t>
      </w:r>
      <w:r w:rsidR="009A4DC3" w:rsidRPr="00057145">
        <w:rPr>
          <w:rFonts w:asciiTheme="majorHAnsi" w:hAnsiTheme="majorHAnsi"/>
          <w:sz w:val="20"/>
          <w:szCs w:val="20"/>
        </w:rPr>
        <w:t xml:space="preserve">mission concludes that this aspect of the petition satisfies </w:t>
      </w:r>
      <w:r w:rsidR="0061422B" w:rsidRPr="00057145">
        <w:rPr>
          <w:rFonts w:asciiTheme="majorHAnsi" w:hAnsiTheme="majorHAnsi"/>
          <w:sz w:val="20"/>
          <w:szCs w:val="20"/>
        </w:rPr>
        <w:t>t</w:t>
      </w:r>
      <w:r w:rsidR="009A4DC3" w:rsidRPr="00057145">
        <w:rPr>
          <w:rFonts w:asciiTheme="majorHAnsi" w:hAnsiTheme="majorHAnsi"/>
          <w:sz w:val="20"/>
          <w:szCs w:val="20"/>
        </w:rPr>
        <w:t>he requirements in</w:t>
      </w:r>
      <w:r w:rsidR="00F544D2" w:rsidRPr="00057145">
        <w:rPr>
          <w:rFonts w:asciiTheme="majorHAnsi" w:hAnsiTheme="majorHAnsi"/>
          <w:sz w:val="20"/>
          <w:szCs w:val="20"/>
        </w:rPr>
        <w:t xml:space="preserve"> Article 46.1</w:t>
      </w:r>
      <w:r w:rsidR="0061422B" w:rsidRPr="00057145">
        <w:rPr>
          <w:rFonts w:asciiTheme="majorHAnsi" w:hAnsiTheme="majorHAnsi"/>
          <w:sz w:val="20"/>
          <w:szCs w:val="20"/>
        </w:rPr>
        <w:t xml:space="preserve">(a) of the American Convention. Given that the petition was filed on December 21, 2012 and, </w:t>
      </w:r>
      <w:r w:rsidR="00F544D2" w:rsidRPr="00057145">
        <w:rPr>
          <w:rFonts w:asciiTheme="majorHAnsi" w:hAnsiTheme="majorHAnsi"/>
          <w:sz w:val="20"/>
          <w:szCs w:val="20"/>
        </w:rPr>
        <w:t>as the State indicated</w:t>
      </w:r>
      <w:r w:rsidR="0061422B" w:rsidRPr="00057145">
        <w:rPr>
          <w:rFonts w:asciiTheme="majorHAnsi" w:hAnsiTheme="majorHAnsi"/>
          <w:sz w:val="20"/>
          <w:szCs w:val="20"/>
        </w:rPr>
        <w:t>, the preventive detention ceased on September 1, 2014, the Com</w:t>
      </w:r>
      <w:r w:rsidR="009A4DC3" w:rsidRPr="00057145">
        <w:rPr>
          <w:rFonts w:asciiTheme="majorHAnsi" w:hAnsiTheme="majorHAnsi"/>
          <w:sz w:val="20"/>
          <w:szCs w:val="20"/>
        </w:rPr>
        <w:t>mission considers that this aspect</w:t>
      </w:r>
      <w:r w:rsidR="0061422B" w:rsidRPr="00057145">
        <w:rPr>
          <w:rFonts w:asciiTheme="majorHAnsi" w:hAnsiTheme="majorHAnsi"/>
          <w:sz w:val="20"/>
          <w:szCs w:val="20"/>
        </w:rPr>
        <w:t xml:space="preserve"> of the peti</w:t>
      </w:r>
      <w:r w:rsidR="00F544D2" w:rsidRPr="00057145">
        <w:rPr>
          <w:rFonts w:asciiTheme="majorHAnsi" w:hAnsiTheme="majorHAnsi"/>
          <w:sz w:val="20"/>
          <w:szCs w:val="20"/>
        </w:rPr>
        <w:t>tion meets the requirements of Article 46.2</w:t>
      </w:r>
      <w:r w:rsidR="0061422B" w:rsidRPr="00057145">
        <w:rPr>
          <w:rFonts w:asciiTheme="majorHAnsi" w:hAnsiTheme="majorHAnsi"/>
          <w:sz w:val="20"/>
          <w:szCs w:val="20"/>
        </w:rPr>
        <w:t>(b) of the American Convention.</w:t>
      </w:r>
    </w:p>
    <w:p w14:paraId="3FEE66DD" w14:textId="1E8A28C3" w:rsidR="00057145" w:rsidRPr="00414897" w:rsidRDefault="00057145" w:rsidP="000571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14897">
        <w:rPr>
          <w:rFonts w:ascii="Cambria" w:hAnsi="Cambria"/>
          <w:sz w:val="20"/>
          <w:szCs w:val="20"/>
        </w:rPr>
        <w:t>Regarding the alleged violations of due process in the framework of the criminal proceedings against the alleged victim, the Commission observes that, according to the information on file, this process is still ongoing.</w:t>
      </w:r>
      <w:r w:rsidR="00C00CF7" w:rsidRPr="00414897">
        <w:rPr>
          <w:rFonts w:ascii="Cambria" w:hAnsi="Cambria"/>
          <w:sz w:val="20"/>
          <w:szCs w:val="20"/>
        </w:rPr>
        <w:t xml:space="preserve"> Given that the petitioning party has not provided sufficient elements to allow the Commission to conclude that an unjustified delay imputable to the State that could justify the application of the exception to the exhaustion of domestic remedies rules provide for article 46.2(c) has occurred; and taking into account</w:t>
      </w:r>
      <w:r w:rsidRPr="00414897">
        <w:rPr>
          <w:rFonts w:ascii="Cambria" w:hAnsi="Cambria"/>
          <w:sz w:val="20"/>
          <w:szCs w:val="20"/>
        </w:rPr>
        <w:t xml:space="preserve"> that the latest information in the file indicates that the alleged victim is not deprived of his liberty, the Commission considers that this aspect of the petition is inadmissible for non-compliance with the requirements of Article 46.1 (a) of The American Convention.</w:t>
      </w:r>
    </w:p>
    <w:p w14:paraId="5D2574EF" w14:textId="6E13F9E4" w:rsidR="0061422B" w:rsidRPr="00414897" w:rsidRDefault="00CD60CA" w:rsidP="00CD60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14897">
        <w:rPr>
          <w:rFonts w:ascii="Cambria" w:hAnsi="Cambria"/>
          <w:sz w:val="20"/>
          <w:szCs w:val="20"/>
        </w:rPr>
        <w:t>With respect to the allegations of the petitioner regarding an unjustified and excessively prolonged use of the prohibition to leave the country, the Commission observes that the petitioner has failed to provide information on the appeals or remedies filed in this regard at the domestic level. The Commission notes that the petitioner has failed to argue the lack of judicial avenues to file a claim in order to establish liability or to seek compensation for illegal, arbitrary or excessive use of the prohibition to leave the country or that the alleged victim has been prevented from exhausting domestic remedies. For these reasons, the Commission concludes that this aspect of the petition also fails to meet the requirements of Article 46.1 (a) of the American Convention and it is therefore inadmissible.</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2D5D281D" w:rsidR="00F621C3" w:rsidRPr="00D110B7" w:rsidRDefault="0061422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10B7">
        <w:rPr>
          <w:rFonts w:ascii="Cambria" w:hAnsi="Cambria"/>
          <w:sz w:val="20"/>
          <w:szCs w:val="20"/>
        </w:rPr>
        <w:t xml:space="preserve">The petitioner </w:t>
      </w:r>
      <w:r w:rsidR="00B07386" w:rsidRPr="00D110B7">
        <w:rPr>
          <w:rFonts w:ascii="Cambria" w:hAnsi="Cambria"/>
          <w:sz w:val="20"/>
          <w:szCs w:val="20"/>
        </w:rPr>
        <w:t>argues</w:t>
      </w:r>
      <w:r w:rsidRPr="00D110B7">
        <w:rPr>
          <w:rFonts w:ascii="Cambria" w:hAnsi="Cambria"/>
          <w:sz w:val="20"/>
          <w:szCs w:val="20"/>
        </w:rPr>
        <w:t xml:space="preserve"> that the State is responsible for the violation of the alleged victim's human rights because of the fact that he was subjected to preventive detention for an excessively prolonged period, because </w:t>
      </w:r>
      <w:r w:rsidR="00B07386" w:rsidRPr="00D110B7">
        <w:rPr>
          <w:rFonts w:ascii="Cambria" w:hAnsi="Cambria"/>
          <w:sz w:val="20"/>
          <w:szCs w:val="20"/>
        </w:rPr>
        <w:t xml:space="preserve">his </w:t>
      </w:r>
      <w:r w:rsidRPr="00D110B7">
        <w:rPr>
          <w:rFonts w:ascii="Cambria" w:hAnsi="Cambria"/>
          <w:sz w:val="20"/>
          <w:szCs w:val="20"/>
        </w:rPr>
        <w:t xml:space="preserve">due process </w:t>
      </w:r>
      <w:r w:rsidR="00B07386" w:rsidRPr="00D110B7">
        <w:rPr>
          <w:rFonts w:ascii="Cambria" w:hAnsi="Cambria"/>
          <w:sz w:val="20"/>
          <w:szCs w:val="20"/>
        </w:rPr>
        <w:t>rights were</w:t>
      </w:r>
      <w:r w:rsidRPr="00D110B7">
        <w:rPr>
          <w:rFonts w:ascii="Cambria" w:hAnsi="Cambria"/>
          <w:sz w:val="20"/>
          <w:szCs w:val="20"/>
        </w:rPr>
        <w:t xml:space="preserve"> violated in the criminal proceedings </w:t>
      </w:r>
      <w:r w:rsidR="00B07386" w:rsidRPr="00D110B7">
        <w:rPr>
          <w:rFonts w:ascii="Cambria" w:hAnsi="Cambria"/>
          <w:sz w:val="20"/>
          <w:szCs w:val="20"/>
        </w:rPr>
        <w:t>taken against him, and because these proceedings were p</w:t>
      </w:r>
      <w:r w:rsidRPr="00D110B7">
        <w:rPr>
          <w:rFonts w:ascii="Cambria" w:hAnsi="Cambria"/>
          <w:sz w:val="20"/>
          <w:szCs w:val="20"/>
        </w:rPr>
        <w:t xml:space="preserve">rolonged excessively leaving him </w:t>
      </w:r>
      <w:r w:rsidRPr="00D110B7">
        <w:rPr>
          <w:rFonts w:ascii="Cambria" w:hAnsi="Cambria"/>
          <w:i/>
          <w:sz w:val="20"/>
          <w:szCs w:val="20"/>
        </w:rPr>
        <w:t>de facto</w:t>
      </w:r>
      <w:r w:rsidRPr="00D110B7">
        <w:rPr>
          <w:rFonts w:ascii="Cambria" w:hAnsi="Cambria"/>
          <w:sz w:val="20"/>
          <w:szCs w:val="20"/>
        </w:rPr>
        <w:t xml:space="preserve"> subject to a penalty </w:t>
      </w:r>
      <w:r w:rsidR="003A2D8D" w:rsidRPr="00D110B7">
        <w:rPr>
          <w:rFonts w:ascii="Cambria" w:hAnsi="Cambria"/>
          <w:sz w:val="20"/>
          <w:szCs w:val="20"/>
        </w:rPr>
        <w:t>of prohibition to return</w:t>
      </w:r>
      <w:r w:rsidRPr="00D110B7">
        <w:rPr>
          <w:rFonts w:ascii="Cambria" w:hAnsi="Cambria"/>
          <w:sz w:val="20"/>
          <w:szCs w:val="20"/>
        </w:rPr>
        <w:t xml:space="preserve"> to his country and causing physical and moral damages to him and his family. In turn, the State </w:t>
      </w:r>
      <w:r w:rsidR="00B07386" w:rsidRPr="00D110B7">
        <w:rPr>
          <w:rFonts w:ascii="Cambria" w:hAnsi="Cambria"/>
          <w:sz w:val="20"/>
          <w:szCs w:val="20"/>
        </w:rPr>
        <w:t>has not presented</w:t>
      </w:r>
      <w:r w:rsidRPr="00D110B7">
        <w:rPr>
          <w:rFonts w:ascii="Cambria" w:hAnsi="Cambria"/>
          <w:sz w:val="20"/>
          <w:szCs w:val="20"/>
        </w:rPr>
        <w:t xml:space="preserve"> arguments on the characterization of human rights violations.</w:t>
      </w:r>
    </w:p>
    <w:p w14:paraId="0A867CA6" w14:textId="6A16D75E" w:rsidR="0061422B" w:rsidRPr="00414897" w:rsidRDefault="0061422B" w:rsidP="002160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14897">
        <w:rPr>
          <w:rFonts w:ascii="Cambria" w:hAnsi="Cambria"/>
          <w:sz w:val="20"/>
          <w:szCs w:val="20"/>
        </w:rPr>
        <w:t>T</w:t>
      </w:r>
      <w:r w:rsidR="00D110B7" w:rsidRPr="00414897">
        <w:rPr>
          <w:rFonts w:ascii="Cambria" w:hAnsi="Cambria"/>
          <w:sz w:val="20"/>
          <w:szCs w:val="20"/>
        </w:rPr>
        <w:t>he Commission considers that the petitioner’</w:t>
      </w:r>
      <w:r w:rsidR="004E7442" w:rsidRPr="00414897">
        <w:rPr>
          <w:rFonts w:ascii="Cambria" w:hAnsi="Cambria"/>
          <w:sz w:val="20"/>
          <w:szCs w:val="20"/>
        </w:rPr>
        <w:t>s arguments that he was affected in his personal liberty by being placed for an unjustifiably prolonged time in preemptive detention are not manifestly groundless since, if proven, the</w:t>
      </w:r>
      <w:r w:rsidR="009F2151" w:rsidRPr="00414897">
        <w:rPr>
          <w:rFonts w:ascii="Cambria" w:hAnsi="Cambria"/>
          <w:sz w:val="20"/>
          <w:szCs w:val="20"/>
        </w:rPr>
        <w:t xml:space="preserve"> alleged facts</w:t>
      </w:r>
      <w:r w:rsidR="004E7442" w:rsidRPr="00414897">
        <w:rPr>
          <w:rFonts w:ascii="Cambria" w:hAnsi="Cambria"/>
          <w:sz w:val="20"/>
          <w:szCs w:val="20"/>
        </w:rPr>
        <w:t xml:space="preserve"> </w:t>
      </w:r>
      <w:r w:rsidR="009F2151" w:rsidRPr="00414897">
        <w:rPr>
          <w:rFonts w:ascii="Cambria" w:hAnsi="Cambria"/>
          <w:sz w:val="20"/>
          <w:szCs w:val="20"/>
        </w:rPr>
        <w:t xml:space="preserve">(concerning </w:t>
      </w:r>
      <w:r w:rsidR="004E7442" w:rsidRPr="00414897">
        <w:rPr>
          <w:rFonts w:ascii="Cambria" w:hAnsi="Cambria"/>
          <w:sz w:val="20"/>
          <w:szCs w:val="20"/>
        </w:rPr>
        <w:t xml:space="preserve">the alleged victim </w:t>
      </w:r>
      <w:r w:rsidR="009F2151" w:rsidRPr="00414897">
        <w:rPr>
          <w:rFonts w:ascii="Cambria" w:hAnsi="Cambria"/>
          <w:sz w:val="20"/>
          <w:szCs w:val="20"/>
        </w:rPr>
        <w:t>being</w:t>
      </w:r>
      <w:r w:rsidR="004E7442" w:rsidRPr="00414897">
        <w:rPr>
          <w:rFonts w:ascii="Cambria" w:hAnsi="Cambria"/>
          <w:sz w:val="20"/>
          <w:szCs w:val="20"/>
        </w:rPr>
        <w:t xml:space="preserve"> unjustifiably subjected to preemptive detention for almost 5 years</w:t>
      </w:r>
      <w:r w:rsidR="009F2151" w:rsidRPr="00414897">
        <w:rPr>
          <w:rFonts w:ascii="Cambria" w:hAnsi="Cambria"/>
          <w:sz w:val="20"/>
          <w:szCs w:val="20"/>
        </w:rPr>
        <w:t>) could characterize violations to the rights established in article 7 (personal liberty) of the American Convention in conjunction with article 1.1. (</w:t>
      </w:r>
      <w:proofErr w:type="gramStart"/>
      <w:r w:rsidR="009F2151" w:rsidRPr="00414897">
        <w:rPr>
          <w:rFonts w:ascii="Cambria" w:hAnsi="Cambria"/>
          <w:sz w:val="20"/>
          <w:szCs w:val="20"/>
        </w:rPr>
        <w:t>obligation</w:t>
      </w:r>
      <w:proofErr w:type="gramEnd"/>
      <w:r w:rsidR="009F2151" w:rsidRPr="00414897">
        <w:rPr>
          <w:rFonts w:ascii="Cambria" w:hAnsi="Cambria"/>
          <w:sz w:val="20"/>
          <w:szCs w:val="20"/>
        </w:rPr>
        <w:t xml:space="preserve"> to respect rights)</w:t>
      </w:r>
      <w:r w:rsidR="002160C9" w:rsidRPr="00414897">
        <w:rPr>
          <w:rFonts w:ascii="Cambria" w:hAnsi="Cambria"/>
          <w:sz w:val="20"/>
          <w:szCs w:val="20"/>
        </w:rPr>
        <w:t xml:space="preserve"> of the same instrument in detriment of the alleged victims. </w:t>
      </w:r>
      <w:r w:rsidRPr="00414897">
        <w:rPr>
          <w:rFonts w:ascii="Cambria" w:hAnsi="Cambria"/>
          <w:sz w:val="20"/>
          <w:szCs w:val="20"/>
        </w:rPr>
        <w:t>Additionally, at the merits stage</w:t>
      </w:r>
      <w:r w:rsidR="00463350" w:rsidRPr="00414897">
        <w:rPr>
          <w:rFonts w:ascii="Cambria" w:hAnsi="Cambria"/>
          <w:sz w:val="20"/>
          <w:szCs w:val="20"/>
        </w:rPr>
        <w:t>,</w:t>
      </w:r>
      <w:r w:rsidRPr="00414897">
        <w:rPr>
          <w:rFonts w:ascii="Cambria" w:hAnsi="Cambria"/>
          <w:sz w:val="20"/>
          <w:szCs w:val="20"/>
        </w:rPr>
        <w:t xml:space="preserve"> the IACHR will </w:t>
      </w:r>
      <w:r w:rsidR="00463350" w:rsidRPr="00414897">
        <w:rPr>
          <w:rFonts w:ascii="Cambria" w:hAnsi="Cambria"/>
          <w:sz w:val="20"/>
          <w:szCs w:val="20"/>
        </w:rPr>
        <w:t>assess</w:t>
      </w:r>
      <w:r w:rsidRPr="00414897">
        <w:rPr>
          <w:rFonts w:ascii="Cambria" w:hAnsi="Cambria"/>
          <w:sz w:val="20"/>
          <w:szCs w:val="20"/>
        </w:rPr>
        <w:t xml:space="preserve"> and</w:t>
      </w:r>
      <w:r w:rsidR="00B52C34" w:rsidRPr="00414897">
        <w:rPr>
          <w:rFonts w:ascii="Cambria" w:hAnsi="Cambria"/>
          <w:sz w:val="20"/>
          <w:szCs w:val="20"/>
        </w:rPr>
        <w:t xml:space="preserve"> eventually qualify any </w:t>
      </w:r>
      <w:r w:rsidRPr="00414897">
        <w:rPr>
          <w:rFonts w:ascii="Cambria" w:hAnsi="Cambria"/>
          <w:sz w:val="20"/>
          <w:szCs w:val="20"/>
        </w:rPr>
        <w:t xml:space="preserve">damages </w:t>
      </w:r>
      <w:r w:rsidR="00463350" w:rsidRPr="00414897">
        <w:rPr>
          <w:rFonts w:ascii="Cambria" w:hAnsi="Cambria"/>
          <w:sz w:val="20"/>
          <w:szCs w:val="20"/>
        </w:rPr>
        <w:t xml:space="preserve">suffered by </w:t>
      </w:r>
      <w:r w:rsidR="00B52C34" w:rsidRPr="00414897">
        <w:rPr>
          <w:rFonts w:ascii="Cambria" w:hAnsi="Cambria"/>
          <w:sz w:val="20"/>
          <w:szCs w:val="20"/>
        </w:rPr>
        <w:t>the alleged victim and his family</w:t>
      </w:r>
      <w:r w:rsidRPr="00414897">
        <w:rPr>
          <w:rFonts w:ascii="Cambria" w:hAnsi="Cambria"/>
          <w:sz w:val="20"/>
          <w:szCs w:val="20"/>
        </w:rPr>
        <w:t xml:space="preserve"> as a result of the deprivation of liberty.</w:t>
      </w:r>
    </w:p>
    <w:p w14:paraId="0499295A" w14:textId="1852DE81" w:rsidR="002160C9" w:rsidRPr="002160C9" w:rsidRDefault="002160C9" w:rsidP="002160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to the alleged violations to article 8 (</w:t>
      </w:r>
      <w:r w:rsidR="00551F08">
        <w:rPr>
          <w:rFonts w:ascii="Cambria" w:hAnsi="Cambria"/>
          <w:sz w:val="20"/>
          <w:szCs w:val="20"/>
        </w:rPr>
        <w:t>fair trial) of the American Convention, the Commission considers that the petitioning party had no presented, within the aspects of the petition that are admissible in accordance to Section VI of this report, elements or evidence sufficient for the it to consider, prima facie, the possibility of its violation.</w:t>
      </w:r>
    </w:p>
    <w:p w14:paraId="1CDAB7ED" w14:textId="201B35D0" w:rsidR="0061422B" w:rsidRDefault="00551F0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Additionally,</w:t>
      </w:r>
      <w:r w:rsidR="0061422B" w:rsidRPr="0061422B">
        <w:rPr>
          <w:rFonts w:ascii="Cambria" w:hAnsi="Cambria"/>
          <w:sz w:val="20"/>
          <w:szCs w:val="20"/>
        </w:rPr>
        <w:t xml:space="preserve"> the Commission lacks </w:t>
      </w:r>
      <w:r w:rsidR="00463350">
        <w:rPr>
          <w:rFonts w:ascii="Cambria" w:hAnsi="Cambria"/>
          <w:sz w:val="20"/>
          <w:szCs w:val="20"/>
        </w:rPr>
        <w:t>competence</w:t>
      </w:r>
      <w:r w:rsidR="0061422B" w:rsidRPr="0061422B">
        <w:rPr>
          <w:rFonts w:ascii="Cambria" w:hAnsi="Cambria"/>
          <w:sz w:val="20"/>
          <w:szCs w:val="20"/>
        </w:rPr>
        <w:t xml:space="preserve"> to establish violations of the norms of the International Covenant on Civil and Political Rights, but may take them into account as part of its interpretative exercise of the norms of the American Convention</w:t>
      </w:r>
      <w:r w:rsidR="0061422B">
        <w:rPr>
          <w:rFonts w:ascii="Cambria" w:hAnsi="Cambria"/>
          <w:sz w:val="20"/>
          <w:szCs w:val="20"/>
        </w:rPr>
        <w:t>.</w:t>
      </w:r>
    </w:p>
    <w:p w14:paraId="4EEC2369" w14:textId="30845878" w:rsidR="00551F08" w:rsidRPr="00414897" w:rsidRDefault="00551F0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14897">
        <w:rPr>
          <w:rFonts w:ascii="Cambria" w:hAnsi="Cambria"/>
          <w:sz w:val="20"/>
          <w:szCs w:val="20"/>
        </w:rPr>
        <w:lastRenderedPageBreak/>
        <w:t>The Commission will not engage in an analysis of colorable claim in respect of the aspects of this petition that are not admissible in accordance to Section VI of this report.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489E06B4" w:rsidR="00F621C3" w:rsidRPr="00551F0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61422B">
        <w:rPr>
          <w:rFonts w:asciiTheme="majorHAnsi" w:hAnsiTheme="majorHAnsi"/>
          <w:sz w:val="20"/>
          <w:szCs w:val="20"/>
        </w:rPr>
        <w:t xml:space="preserve">ible in relation to Articles </w:t>
      </w:r>
      <w:r w:rsidR="00551F08">
        <w:rPr>
          <w:rFonts w:asciiTheme="majorHAnsi" w:hAnsiTheme="majorHAnsi"/>
          <w:sz w:val="20"/>
          <w:szCs w:val="20"/>
        </w:rPr>
        <w:t xml:space="preserve">7 </w:t>
      </w:r>
      <w:r w:rsidR="0061422B">
        <w:rPr>
          <w:rFonts w:asciiTheme="majorHAnsi" w:hAnsiTheme="majorHAnsi"/>
          <w:sz w:val="20"/>
          <w:szCs w:val="20"/>
        </w:rPr>
        <w:t>of the American Convention in conjunction with Article 1.1 of the same instrument</w:t>
      </w:r>
      <w:r w:rsidRPr="000B6B7A">
        <w:rPr>
          <w:rFonts w:asciiTheme="majorHAnsi" w:hAnsiTheme="majorHAnsi"/>
          <w:sz w:val="20"/>
          <w:szCs w:val="20"/>
        </w:rPr>
        <w:t>;</w:t>
      </w:r>
    </w:p>
    <w:p w14:paraId="7173F756" w14:textId="13F75F32" w:rsidR="00551F08" w:rsidRPr="0061422B" w:rsidRDefault="00551F08"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Find the instant petition inadmissible in relation to article 8 of the American Convention; and</w:t>
      </w:r>
    </w:p>
    <w:p w14:paraId="22CC8DDA" w14:textId="51ED6D8B" w:rsidR="00F621C3" w:rsidRPr="00414897" w:rsidRDefault="00F621C3" w:rsidP="0041489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 xml:space="preserve">o publish this decision and include it in its Annual Report to the General Assembly of the Organization of </w:t>
      </w:r>
      <w:r w:rsidRPr="00414897">
        <w:rPr>
          <w:rFonts w:asciiTheme="majorHAnsi" w:hAnsiTheme="majorHAnsi"/>
          <w:sz w:val="20"/>
          <w:szCs w:val="20"/>
        </w:rPr>
        <w:t>American States.</w:t>
      </w:r>
    </w:p>
    <w:p w14:paraId="0FB02963" w14:textId="29D44EAC" w:rsidR="00414897" w:rsidRPr="00414897" w:rsidRDefault="00414897" w:rsidP="00414897">
      <w:pPr>
        <w:suppressAutoHyphens/>
        <w:ind w:firstLine="720"/>
        <w:jc w:val="both"/>
        <w:rPr>
          <w:rFonts w:asciiTheme="majorHAnsi" w:hAnsiTheme="majorHAnsi"/>
          <w:spacing w:val="-2"/>
          <w:sz w:val="20"/>
        </w:rPr>
      </w:pPr>
      <w:r w:rsidRPr="00414897">
        <w:rPr>
          <w:rFonts w:asciiTheme="majorHAnsi" w:hAnsiTheme="majorHAnsi"/>
          <w:spacing w:val="-2"/>
          <w:sz w:val="20"/>
        </w:rPr>
        <w:t xml:space="preserve">Approved by the Inter-American Commission on Human Rights on the </w:t>
      </w:r>
      <w:r>
        <w:rPr>
          <w:rFonts w:asciiTheme="majorHAnsi" w:hAnsiTheme="majorHAnsi"/>
          <w:spacing w:val="-2"/>
          <w:sz w:val="20"/>
        </w:rPr>
        <w:t>5</w:t>
      </w:r>
      <w:r w:rsidRPr="00414897">
        <w:rPr>
          <w:rFonts w:asciiTheme="majorHAnsi" w:hAnsiTheme="majorHAnsi"/>
          <w:spacing w:val="-2"/>
          <w:sz w:val="20"/>
          <w:vertAlign w:val="superscript"/>
        </w:rPr>
        <w:t>th</w:t>
      </w:r>
      <w:r w:rsidRPr="00414897">
        <w:rPr>
          <w:rFonts w:asciiTheme="majorHAnsi" w:hAnsiTheme="majorHAnsi"/>
          <w:spacing w:val="-2"/>
          <w:sz w:val="20"/>
        </w:rPr>
        <w:t xml:space="preserve"> day of the month of </w:t>
      </w:r>
      <w:r>
        <w:rPr>
          <w:rFonts w:asciiTheme="majorHAnsi" w:hAnsiTheme="majorHAnsi"/>
          <w:spacing w:val="-2"/>
          <w:sz w:val="20"/>
        </w:rPr>
        <w:t>December</w:t>
      </w:r>
      <w:r w:rsidRPr="00414897">
        <w:rPr>
          <w:rFonts w:asciiTheme="majorHAnsi" w:hAnsiTheme="majorHAnsi"/>
          <w:spacing w:val="-2"/>
          <w:sz w:val="20"/>
        </w:rPr>
        <w:t xml:space="preserve">, 2019. (Signed):  </w:t>
      </w:r>
      <w:r w:rsidRPr="00414897">
        <w:rPr>
          <w:rFonts w:asciiTheme="majorHAnsi" w:hAnsiTheme="majorHAnsi" w:cs="Arial"/>
          <w:noProof/>
          <w:spacing w:val="-2"/>
          <w:sz w:val="20"/>
        </w:rPr>
        <w:t xml:space="preserve">Esmeralda E. Arosemena Bernal de Troitiño, </w:t>
      </w:r>
      <w:r w:rsidRPr="00414897">
        <w:rPr>
          <w:rFonts w:asciiTheme="majorHAnsi" w:hAnsiTheme="majorHAnsi"/>
          <w:sz w:val="20"/>
        </w:rPr>
        <w:t xml:space="preserve">President; </w:t>
      </w:r>
      <w:r w:rsidRPr="00414897">
        <w:rPr>
          <w:rFonts w:asciiTheme="majorHAnsi" w:hAnsiTheme="majorHAnsi" w:cs="Arial"/>
          <w:noProof/>
          <w:spacing w:val="-2"/>
          <w:sz w:val="20"/>
        </w:rPr>
        <w:t xml:space="preserve">Joel Hernández, </w:t>
      </w:r>
      <w:r w:rsidRPr="00414897">
        <w:rPr>
          <w:rFonts w:asciiTheme="majorHAnsi" w:hAnsiTheme="majorHAnsi"/>
          <w:spacing w:val="-2"/>
          <w:sz w:val="20"/>
        </w:rPr>
        <w:t>First Vice President;</w:t>
      </w:r>
      <w:r w:rsidRPr="00414897">
        <w:rPr>
          <w:rFonts w:asciiTheme="majorHAnsi" w:hAnsiTheme="majorHAnsi" w:cs="Arial"/>
          <w:noProof/>
          <w:spacing w:val="-2"/>
          <w:sz w:val="20"/>
        </w:rPr>
        <w:t xml:space="preserve"> Antonia Urrejola, Second Vice President; Margarette May Macaulay, Francisco José Eguiguren</w:t>
      </w:r>
      <w:r>
        <w:rPr>
          <w:rFonts w:asciiTheme="majorHAnsi" w:hAnsiTheme="majorHAnsi" w:cs="Arial"/>
          <w:noProof/>
          <w:spacing w:val="-2"/>
          <w:sz w:val="20"/>
        </w:rPr>
        <w:t>(dissenting opinion)</w:t>
      </w:r>
      <w:r w:rsidRPr="00414897">
        <w:rPr>
          <w:rFonts w:asciiTheme="majorHAnsi" w:hAnsiTheme="majorHAnsi" w:cs="Arial"/>
          <w:noProof/>
          <w:spacing w:val="-2"/>
          <w:sz w:val="20"/>
        </w:rPr>
        <w:t>, Luis Ernesto Vargas Silva</w:t>
      </w:r>
      <w:r>
        <w:rPr>
          <w:rFonts w:asciiTheme="majorHAnsi" w:hAnsiTheme="majorHAnsi" w:cs="Arial"/>
          <w:noProof/>
          <w:spacing w:val="-2"/>
          <w:sz w:val="20"/>
        </w:rPr>
        <w:t>(dissenting opinion)</w:t>
      </w:r>
      <w:r w:rsidRPr="00414897">
        <w:rPr>
          <w:rFonts w:asciiTheme="majorHAnsi" w:hAnsiTheme="majorHAnsi" w:cs="Arial"/>
          <w:noProof/>
          <w:spacing w:val="-2"/>
          <w:sz w:val="20"/>
        </w:rPr>
        <w:t xml:space="preserve">, and Flávia Piovesan, </w:t>
      </w:r>
      <w:r w:rsidRPr="00414897">
        <w:rPr>
          <w:rFonts w:asciiTheme="majorHAnsi" w:hAnsiTheme="majorHAnsi"/>
          <w:spacing w:val="-2"/>
          <w:sz w:val="20"/>
        </w:rPr>
        <w:t>Commissioners.</w:t>
      </w:r>
    </w:p>
    <w:sectPr w:rsidR="00414897" w:rsidRPr="0041489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90A12" w14:textId="77777777" w:rsidR="00ED7231" w:rsidRDefault="00ED7231" w:rsidP="00036A8A">
      <w:r>
        <w:separator/>
      </w:r>
    </w:p>
  </w:endnote>
  <w:endnote w:type="continuationSeparator" w:id="0">
    <w:p w14:paraId="619783DD" w14:textId="77777777" w:rsidR="00ED7231" w:rsidRDefault="00ED723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CA2F" w14:textId="77777777" w:rsidR="009927EA" w:rsidRDefault="00992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29437B" w:rsidRPr="006311DA" w:rsidRDefault="0029437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927EA">
          <w:rPr>
            <w:noProof/>
            <w:sz w:val="16"/>
          </w:rPr>
          <w:t>1</w:t>
        </w:r>
        <w:r w:rsidRPr="006311DA">
          <w:rPr>
            <w:noProof/>
            <w:sz w:val="16"/>
          </w:rPr>
          <w:fldChar w:fldCharType="end"/>
        </w:r>
      </w:p>
    </w:sdtContent>
  </w:sdt>
  <w:p w14:paraId="767961CB" w14:textId="77777777" w:rsidR="0029437B" w:rsidRDefault="00294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29437B" w:rsidRDefault="0029437B">
    <w:pPr>
      <w:pStyle w:val="Footer"/>
      <w:jc w:val="center"/>
    </w:pPr>
  </w:p>
  <w:p w14:paraId="2699B8C1" w14:textId="77777777" w:rsidR="0029437B" w:rsidRDefault="00294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5D7B0" w14:textId="77777777" w:rsidR="00ED7231" w:rsidRPr="00036A8A" w:rsidRDefault="00ED723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2EDE26B" w14:textId="77777777" w:rsidR="00ED7231" w:rsidRPr="00036A8A" w:rsidRDefault="00ED7231" w:rsidP="00036A8A">
      <w:pPr>
        <w:rPr>
          <w:rFonts w:asciiTheme="majorHAnsi" w:hAnsiTheme="majorHAnsi"/>
          <w:sz w:val="16"/>
          <w:szCs w:val="16"/>
        </w:rPr>
      </w:pPr>
      <w:r w:rsidRPr="00036A8A">
        <w:rPr>
          <w:rFonts w:asciiTheme="majorHAnsi" w:hAnsiTheme="majorHAnsi"/>
          <w:sz w:val="16"/>
          <w:szCs w:val="16"/>
        </w:rPr>
        <w:separator/>
      </w:r>
    </w:p>
    <w:p w14:paraId="2B14118B" w14:textId="77777777" w:rsidR="00ED7231" w:rsidRPr="00036A8A" w:rsidRDefault="00ED723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45C333F" w14:textId="77777777" w:rsidR="00ED7231" w:rsidRPr="0093441A" w:rsidRDefault="00ED723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DDE0AEF" w14:textId="2083725B" w:rsidR="0029437B" w:rsidRPr="00201F51" w:rsidRDefault="0029437B" w:rsidP="00414897">
      <w:pPr>
        <w:pStyle w:val="FootnoteText"/>
        <w:jc w:val="both"/>
        <w:rPr>
          <w:rFonts w:asciiTheme="majorHAnsi" w:hAnsiTheme="majorHAnsi"/>
          <w:sz w:val="16"/>
          <w:szCs w:val="16"/>
        </w:rPr>
      </w:pPr>
      <w:r w:rsidRPr="00201F51">
        <w:rPr>
          <w:rStyle w:val="FootnoteReference"/>
          <w:rFonts w:asciiTheme="majorHAnsi" w:hAnsiTheme="majorHAnsi"/>
          <w:sz w:val="16"/>
          <w:szCs w:val="16"/>
        </w:rPr>
        <w:footnoteRef/>
      </w:r>
      <w:r w:rsidRPr="00201F51">
        <w:rPr>
          <w:rFonts w:asciiTheme="majorHAnsi" w:hAnsiTheme="majorHAnsi"/>
          <w:sz w:val="16"/>
          <w:szCs w:val="16"/>
        </w:rPr>
        <w:t xml:space="preserve"> </w:t>
      </w:r>
      <w:r w:rsidRPr="00201F51">
        <w:rPr>
          <w:rFonts w:ascii="Cambria" w:hAnsi="Cambria"/>
          <w:sz w:val="16"/>
          <w:szCs w:val="16"/>
        </w:rPr>
        <w:t>In accordance with the provisions of Article 17.2.</w:t>
      </w:r>
      <w:proofErr w:type="spellStart"/>
      <w:r w:rsidRPr="00201F51">
        <w:rPr>
          <w:rFonts w:ascii="Cambria" w:hAnsi="Cambria"/>
          <w:sz w:val="16"/>
          <w:szCs w:val="16"/>
        </w:rPr>
        <w:t>a</w:t>
      </w:r>
      <w:proofErr w:type="spellEnd"/>
      <w:r w:rsidRPr="00201F51">
        <w:rPr>
          <w:rFonts w:ascii="Cambria" w:hAnsi="Cambria"/>
          <w:sz w:val="16"/>
          <w:szCs w:val="16"/>
        </w:rPr>
        <w:t xml:space="preserve"> of the Commission’s Rules of Procedure, Commissioner Esmeralda </w:t>
      </w:r>
      <w:proofErr w:type="spellStart"/>
      <w:r w:rsidRPr="00201F51">
        <w:rPr>
          <w:rFonts w:ascii="Cambria" w:hAnsi="Cambria"/>
          <w:sz w:val="16"/>
          <w:szCs w:val="16"/>
        </w:rPr>
        <w:t>Arosemena</w:t>
      </w:r>
      <w:proofErr w:type="spellEnd"/>
      <w:r w:rsidRPr="00201F51">
        <w:rPr>
          <w:rFonts w:ascii="Cambria" w:hAnsi="Cambria"/>
          <w:sz w:val="16"/>
          <w:szCs w:val="16"/>
        </w:rPr>
        <w:t xml:space="preserve"> de </w:t>
      </w:r>
      <w:proofErr w:type="spellStart"/>
      <w:r w:rsidRPr="00201F51">
        <w:rPr>
          <w:rFonts w:ascii="Cambria" w:hAnsi="Cambria"/>
          <w:color w:val="auto"/>
          <w:sz w:val="16"/>
          <w:szCs w:val="16"/>
        </w:rPr>
        <w:t>Troitiño</w:t>
      </w:r>
      <w:proofErr w:type="spellEnd"/>
      <w:r w:rsidRPr="00201F51">
        <w:rPr>
          <w:rFonts w:ascii="Cambria" w:hAnsi="Cambria"/>
          <w:color w:val="auto"/>
          <w:sz w:val="16"/>
          <w:szCs w:val="16"/>
        </w:rPr>
        <w:t>, of Panamanian nationality, did not participate in either the discussions or the decision in the present case</w:t>
      </w:r>
      <w:r w:rsidRPr="00201F51">
        <w:rPr>
          <w:rFonts w:asciiTheme="majorHAnsi" w:hAnsiTheme="majorHAnsi"/>
          <w:sz w:val="16"/>
          <w:szCs w:val="16"/>
        </w:rPr>
        <w:t>.</w:t>
      </w:r>
    </w:p>
  </w:footnote>
  <w:footnote w:id="3">
    <w:p w14:paraId="620E4BE9" w14:textId="1493D1EB" w:rsidR="0029437B" w:rsidRPr="00201F51" w:rsidRDefault="0029437B" w:rsidP="00414897">
      <w:pPr>
        <w:pStyle w:val="FootnoteText"/>
        <w:jc w:val="both"/>
        <w:rPr>
          <w:rFonts w:asciiTheme="majorHAnsi" w:hAnsiTheme="majorHAnsi"/>
          <w:sz w:val="16"/>
          <w:szCs w:val="16"/>
        </w:rPr>
      </w:pPr>
      <w:r w:rsidRPr="00201F51">
        <w:rPr>
          <w:rStyle w:val="FootnoteReference"/>
          <w:rFonts w:asciiTheme="majorHAnsi" w:hAnsiTheme="majorHAnsi"/>
          <w:sz w:val="16"/>
          <w:szCs w:val="16"/>
        </w:rPr>
        <w:footnoteRef/>
      </w:r>
      <w:r w:rsidRPr="00201F51">
        <w:rPr>
          <w:rFonts w:asciiTheme="majorHAnsi" w:hAnsiTheme="majorHAnsi"/>
          <w:sz w:val="16"/>
          <w:szCs w:val="16"/>
        </w:rPr>
        <w:t xml:space="preserve"> Hereinafter “the American Convention” or “the Convention”.</w:t>
      </w:r>
    </w:p>
  </w:footnote>
  <w:footnote w:id="4">
    <w:p w14:paraId="0B068090" w14:textId="2763C6AA" w:rsidR="0029437B" w:rsidRPr="00201F51" w:rsidRDefault="0029437B" w:rsidP="00414897">
      <w:pPr>
        <w:pStyle w:val="FootnoteText"/>
        <w:jc w:val="both"/>
        <w:rPr>
          <w:rFonts w:asciiTheme="majorHAnsi" w:hAnsiTheme="majorHAnsi"/>
          <w:sz w:val="16"/>
          <w:szCs w:val="16"/>
        </w:rPr>
      </w:pPr>
      <w:r w:rsidRPr="00201F51">
        <w:rPr>
          <w:rStyle w:val="FootnoteReference"/>
          <w:rFonts w:asciiTheme="majorHAnsi" w:hAnsiTheme="majorHAnsi"/>
          <w:sz w:val="16"/>
          <w:szCs w:val="16"/>
        </w:rPr>
        <w:footnoteRef/>
      </w:r>
      <w:r w:rsidRPr="00201F51">
        <w:rPr>
          <w:rFonts w:asciiTheme="majorHAnsi" w:hAnsiTheme="majorHAnsi"/>
          <w:sz w:val="16"/>
          <w:szCs w:val="16"/>
        </w:rPr>
        <w:t xml:space="preserve"> A</w:t>
      </w:r>
      <w:r w:rsidRPr="00201F51">
        <w:rPr>
          <w:rFonts w:asciiTheme="majorHAnsi" w:hAnsiTheme="majorHAnsi"/>
          <w:bCs/>
          <w:sz w:val="16"/>
          <w:szCs w:val="16"/>
        </w:rPr>
        <w:t>rticles 7, 9 and 14 of the International Covenant on Civil and Political Rights</w:t>
      </w:r>
      <w:r w:rsidRPr="00201F51">
        <w:rPr>
          <w:rFonts w:asciiTheme="majorHAnsi" w:hAnsiTheme="majorHAnsi"/>
          <w:sz w:val="16"/>
          <w:szCs w:val="16"/>
        </w:rPr>
        <w:t>.</w:t>
      </w:r>
    </w:p>
  </w:footnote>
  <w:footnote w:id="5">
    <w:p w14:paraId="6F51BDAF" w14:textId="5F4755E7" w:rsidR="0029437B" w:rsidRPr="00201F51" w:rsidRDefault="0029437B" w:rsidP="00414897">
      <w:pPr>
        <w:pStyle w:val="FootnoteText"/>
        <w:jc w:val="both"/>
        <w:rPr>
          <w:rFonts w:ascii="Cambria" w:hAnsi="Cambria"/>
          <w:sz w:val="16"/>
          <w:szCs w:val="16"/>
        </w:rPr>
      </w:pPr>
      <w:r w:rsidRPr="00201F51">
        <w:rPr>
          <w:rStyle w:val="FootnoteReference"/>
          <w:rFonts w:ascii="Cambria" w:hAnsi="Cambria"/>
          <w:sz w:val="16"/>
          <w:szCs w:val="16"/>
        </w:rPr>
        <w:footnoteRef/>
      </w:r>
      <w:r w:rsidRPr="00201F51">
        <w:rPr>
          <w:rFonts w:ascii="Cambria" w:hAnsi="Cambria"/>
          <w:sz w:val="16"/>
          <w:szCs w:val="16"/>
        </w:rPr>
        <w:t xml:space="preserve"> The observations submitted by each party were duly transmitted to the opposing party.</w:t>
      </w:r>
    </w:p>
  </w:footnote>
  <w:footnote w:id="6">
    <w:p w14:paraId="3BC56720" w14:textId="1C877DA5" w:rsidR="0029437B" w:rsidRPr="00201F51" w:rsidRDefault="0029437B" w:rsidP="0061422B">
      <w:pPr>
        <w:pStyle w:val="FootnoteText"/>
        <w:ind w:firstLine="720"/>
        <w:jc w:val="both"/>
        <w:rPr>
          <w:rFonts w:asciiTheme="majorHAnsi" w:hAnsiTheme="majorHAnsi"/>
          <w:sz w:val="16"/>
          <w:szCs w:val="16"/>
          <w:highlight w:val="yellow"/>
        </w:rPr>
      </w:pPr>
      <w:r w:rsidRPr="00057145">
        <w:rPr>
          <w:rStyle w:val="FootnoteReference"/>
          <w:rFonts w:asciiTheme="majorHAnsi" w:hAnsiTheme="majorHAnsi"/>
          <w:sz w:val="16"/>
          <w:szCs w:val="16"/>
        </w:rPr>
        <w:footnoteRef/>
      </w:r>
      <w:r w:rsidRPr="00057145">
        <w:rPr>
          <w:rFonts w:asciiTheme="majorHAnsi" w:hAnsiTheme="majorHAnsi"/>
          <w:sz w:val="16"/>
          <w:szCs w:val="16"/>
        </w:rPr>
        <w:t xml:space="preserve"> IACHR, </w:t>
      </w:r>
      <w:r w:rsidRPr="00057145">
        <w:rPr>
          <w:rFonts w:asciiTheme="majorHAnsi" w:hAnsiTheme="majorHAnsi"/>
          <w:i/>
          <w:sz w:val="16"/>
          <w:szCs w:val="16"/>
        </w:rPr>
        <w:t>Report on the Use of Pretrial Detention in the Americas</w:t>
      </w:r>
      <w:r w:rsidRPr="00057145">
        <w:rPr>
          <w:rFonts w:asciiTheme="majorHAnsi" w:hAnsiTheme="majorHAnsi"/>
          <w:sz w:val="16"/>
          <w:szCs w:val="16"/>
        </w:rPr>
        <w:t>, 2013, para. 201.</w:t>
      </w:r>
    </w:p>
  </w:footnote>
  <w:footnote w:id="7">
    <w:p w14:paraId="33E9B034" w14:textId="2CAE07AD" w:rsidR="0029437B" w:rsidRPr="00201F51" w:rsidRDefault="0029437B" w:rsidP="0061422B">
      <w:pPr>
        <w:pStyle w:val="FootnoteText"/>
        <w:ind w:firstLine="720"/>
        <w:jc w:val="both"/>
        <w:rPr>
          <w:rFonts w:asciiTheme="majorHAnsi" w:hAnsiTheme="majorHAnsi"/>
          <w:sz w:val="16"/>
          <w:szCs w:val="16"/>
        </w:rPr>
      </w:pPr>
      <w:r w:rsidRPr="00414897">
        <w:rPr>
          <w:rStyle w:val="FootnoteReference"/>
          <w:rFonts w:asciiTheme="majorHAnsi" w:hAnsiTheme="majorHAnsi"/>
          <w:sz w:val="16"/>
          <w:szCs w:val="16"/>
        </w:rPr>
        <w:footnoteRef/>
      </w:r>
      <w:r w:rsidRPr="00414897">
        <w:rPr>
          <w:rFonts w:asciiTheme="majorHAnsi" w:hAnsiTheme="majorHAnsi"/>
          <w:sz w:val="16"/>
          <w:szCs w:val="16"/>
        </w:rPr>
        <w:t xml:space="preserve"> IACHR. Report No. 12/96, Case 11.245, Merits, Jorge A. </w:t>
      </w:r>
      <w:proofErr w:type="spellStart"/>
      <w:r w:rsidRPr="00414897">
        <w:rPr>
          <w:rFonts w:asciiTheme="majorHAnsi" w:hAnsiTheme="majorHAnsi"/>
          <w:sz w:val="16"/>
          <w:szCs w:val="16"/>
        </w:rPr>
        <w:t>Giménez</w:t>
      </w:r>
      <w:proofErr w:type="spellEnd"/>
      <w:r w:rsidRPr="00414897">
        <w:rPr>
          <w:rFonts w:asciiTheme="majorHAnsi" w:hAnsiTheme="majorHAnsi"/>
          <w:sz w:val="16"/>
          <w:szCs w:val="16"/>
        </w:rPr>
        <w:t>, Argentina, March 1, 1996, para.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29437B" w:rsidRDefault="0029437B" w:rsidP="0061422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29437B" w:rsidRDefault="00294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9437B" w:rsidRDefault="0029437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29437B" w:rsidRPr="00EC7D62" w:rsidRDefault="00ED723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4214" w14:textId="77777777" w:rsidR="009927EA" w:rsidRDefault="0099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3DBE"/>
    <w:rsid w:val="00016BE4"/>
    <w:rsid w:val="0001788C"/>
    <w:rsid w:val="00022CF5"/>
    <w:rsid w:val="00036A8A"/>
    <w:rsid w:val="00040C3A"/>
    <w:rsid w:val="00057145"/>
    <w:rsid w:val="000639C0"/>
    <w:rsid w:val="00070F3A"/>
    <w:rsid w:val="000716C5"/>
    <w:rsid w:val="00075E23"/>
    <w:rsid w:val="00092F32"/>
    <w:rsid w:val="0009344A"/>
    <w:rsid w:val="000A575F"/>
    <w:rsid w:val="000C4365"/>
    <w:rsid w:val="000D10DB"/>
    <w:rsid w:val="000E093E"/>
    <w:rsid w:val="00121779"/>
    <w:rsid w:val="00124116"/>
    <w:rsid w:val="0013104F"/>
    <w:rsid w:val="00137EBA"/>
    <w:rsid w:val="00145EDC"/>
    <w:rsid w:val="00153084"/>
    <w:rsid w:val="00167A34"/>
    <w:rsid w:val="001714B4"/>
    <w:rsid w:val="0018037F"/>
    <w:rsid w:val="001A4450"/>
    <w:rsid w:val="001A5F27"/>
    <w:rsid w:val="001A65E4"/>
    <w:rsid w:val="001A7870"/>
    <w:rsid w:val="001C1B41"/>
    <w:rsid w:val="001C377F"/>
    <w:rsid w:val="001D76B5"/>
    <w:rsid w:val="001E366B"/>
    <w:rsid w:val="001F1902"/>
    <w:rsid w:val="00201F51"/>
    <w:rsid w:val="00210E0E"/>
    <w:rsid w:val="00210E7D"/>
    <w:rsid w:val="00210F4B"/>
    <w:rsid w:val="002160C9"/>
    <w:rsid w:val="00230163"/>
    <w:rsid w:val="0023351C"/>
    <w:rsid w:val="00247403"/>
    <w:rsid w:val="00247542"/>
    <w:rsid w:val="00257893"/>
    <w:rsid w:val="00266092"/>
    <w:rsid w:val="00266B61"/>
    <w:rsid w:val="0026712A"/>
    <w:rsid w:val="002704DB"/>
    <w:rsid w:val="002760CE"/>
    <w:rsid w:val="00294311"/>
    <w:rsid w:val="0029437B"/>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37B91"/>
    <w:rsid w:val="003414AC"/>
    <w:rsid w:val="00356185"/>
    <w:rsid w:val="00360380"/>
    <w:rsid w:val="003771A3"/>
    <w:rsid w:val="00386CF0"/>
    <w:rsid w:val="003A2D31"/>
    <w:rsid w:val="003A2D8D"/>
    <w:rsid w:val="003A4348"/>
    <w:rsid w:val="003C32BC"/>
    <w:rsid w:val="003E3E03"/>
    <w:rsid w:val="003F1BBF"/>
    <w:rsid w:val="00414897"/>
    <w:rsid w:val="004162B1"/>
    <w:rsid w:val="004165C2"/>
    <w:rsid w:val="00450A4A"/>
    <w:rsid w:val="00463350"/>
    <w:rsid w:val="004666FB"/>
    <w:rsid w:val="00466D0B"/>
    <w:rsid w:val="00467B7E"/>
    <w:rsid w:val="0049419D"/>
    <w:rsid w:val="004B2762"/>
    <w:rsid w:val="004B7EB6"/>
    <w:rsid w:val="004C41DE"/>
    <w:rsid w:val="004C4B62"/>
    <w:rsid w:val="004D6025"/>
    <w:rsid w:val="004D72BC"/>
    <w:rsid w:val="004E7442"/>
    <w:rsid w:val="004F6B67"/>
    <w:rsid w:val="00501399"/>
    <w:rsid w:val="00507BC4"/>
    <w:rsid w:val="005128E4"/>
    <w:rsid w:val="00525560"/>
    <w:rsid w:val="00533919"/>
    <w:rsid w:val="005357A6"/>
    <w:rsid w:val="005429C4"/>
    <w:rsid w:val="00544C49"/>
    <w:rsid w:val="00551F08"/>
    <w:rsid w:val="00570870"/>
    <w:rsid w:val="0057402A"/>
    <w:rsid w:val="005771D0"/>
    <w:rsid w:val="005816E5"/>
    <w:rsid w:val="00591779"/>
    <w:rsid w:val="0059191A"/>
    <w:rsid w:val="005921FF"/>
    <w:rsid w:val="00592718"/>
    <w:rsid w:val="005A6D0E"/>
    <w:rsid w:val="005B222D"/>
    <w:rsid w:val="005B52B0"/>
    <w:rsid w:val="005B6806"/>
    <w:rsid w:val="005C00F9"/>
    <w:rsid w:val="005C4225"/>
    <w:rsid w:val="005F0F33"/>
    <w:rsid w:val="00600DEB"/>
    <w:rsid w:val="00613027"/>
    <w:rsid w:val="0061422B"/>
    <w:rsid w:val="00627C9F"/>
    <w:rsid w:val="006311DA"/>
    <w:rsid w:val="006311E9"/>
    <w:rsid w:val="006318B2"/>
    <w:rsid w:val="00632354"/>
    <w:rsid w:val="00642810"/>
    <w:rsid w:val="00652333"/>
    <w:rsid w:val="00653EA6"/>
    <w:rsid w:val="0068009E"/>
    <w:rsid w:val="006A17D2"/>
    <w:rsid w:val="006A5A0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43BEF"/>
    <w:rsid w:val="00853419"/>
    <w:rsid w:val="00897E12"/>
    <w:rsid w:val="008D43BA"/>
    <w:rsid w:val="008E3759"/>
    <w:rsid w:val="009041DC"/>
    <w:rsid w:val="009104B4"/>
    <w:rsid w:val="009228DA"/>
    <w:rsid w:val="00925FCD"/>
    <w:rsid w:val="009305C5"/>
    <w:rsid w:val="0093441A"/>
    <w:rsid w:val="00954BF7"/>
    <w:rsid w:val="0096706E"/>
    <w:rsid w:val="00981FBA"/>
    <w:rsid w:val="009927EA"/>
    <w:rsid w:val="009A4DC3"/>
    <w:rsid w:val="009B381B"/>
    <w:rsid w:val="009D7611"/>
    <w:rsid w:val="009E53DE"/>
    <w:rsid w:val="009E566A"/>
    <w:rsid w:val="009F2151"/>
    <w:rsid w:val="00A12DBC"/>
    <w:rsid w:val="00A43458"/>
    <w:rsid w:val="00A51B71"/>
    <w:rsid w:val="00A528D1"/>
    <w:rsid w:val="00A66BE5"/>
    <w:rsid w:val="00AD37C1"/>
    <w:rsid w:val="00AE66EC"/>
    <w:rsid w:val="00AE6F91"/>
    <w:rsid w:val="00AF5571"/>
    <w:rsid w:val="00B06BB7"/>
    <w:rsid w:val="00B07386"/>
    <w:rsid w:val="00B167E9"/>
    <w:rsid w:val="00B179ED"/>
    <w:rsid w:val="00B314DB"/>
    <w:rsid w:val="00B31EBE"/>
    <w:rsid w:val="00B3718B"/>
    <w:rsid w:val="00B44B23"/>
    <w:rsid w:val="00B4632A"/>
    <w:rsid w:val="00B52C34"/>
    <w:rsid w:val="00B92E49"/>
    <w:rsid w:val="00BA276C"/>
    <w:rsid w:val="00BB306F"/>
    <w:rsid w:val="00BC2FA5"/>
    <w:rsid w:val="00BD232B"/>
    <w:rsid w:val="00BD2E42"/>
    <w:rsid w:val="00BD4B89"/>
    <w:rsid w:val="00C00CF7"/>
    <w:rsid w:val="00C21762"/>
    <w:rsid w:val="00C24543"/>
    <w:rsid w:val="00C256A2"/>
    <w:rsid w:val="00C317E8"/>
    <w:rsid w:val="00C3492D"/>
    <w:rsid w:val="00C55560"/>
    <w:rsid w:val="00C66B72"/>
    <w:rsid w:val="00C9567A"/>
    <w:rsid w:val="00CA6577"/>
    <w:rsid w:val="00CB2660"/>
    <w:rsid w:val="00CC5E90"/>
    <w:rsid w:val="00CD046C"/>
    <w:rsid w:val="00CD60CA"/>
    <w:rsid w:val="00CE0005"/>
    <w:rsid w:val="00CE5199"/>
    <w:rsid w:val="00CE66D5"/>
    <w:rsid w:val="00CF3C56"/>
    <w:rsid w:val="00D110B7"/>
    <w:rsid w:val="00D34786"/>
    <w:rsid w:val="00D40A1E"/>
    <w:rsid w:val="00D533C0"/>
    <w:rsid w:val="00D712D3"/>
    <w:rsid w:val="00D71422"/>
    <w:rsid w:val="00D7145E"/>
    <w:rsid w:val="00D75084"/>
    <w:rsid w:val="00D7558D"/>
    <w:rsid w:val="00D81D92"/>
    <w:rsid w:val="00D93446"/>
    <w:rsid w:val="00DA1D02"/>
    <w:rsid w:val="00DA7B5F"/>
    <w:rsid w:val="00DB0E2F"/>
    <w:rsid w:val="00DF078B"/>
    <w:rsid w:val="00DF350D"/>
    <w:rsid w:val="00E227C1"/>
    <w:rsid w:val="00E418A8"/>
    <w:rsid w:val="00E43157"/>
    <w:rsid w:val="00E47F3D"/>
    <w:rsid w:val="00E533FF"/>
    <w:rsid w:val="00E709B3"/>
    <w:rsid w:val="00E73FD4"/>
    <w:rsid w:val="00E7588C"/>
    <w:rsid w:val="00E850B6"/>
    <w:rsid w:val="00E8789F"/>
    <w:rsid w:val="00E97B71"/>
    <w:rsid w:val="00EB454D"/>
    <w:rsid w:val="00ED0D1B"/>
    <w:rsid w:val="00ED7169"/>
    <w:rsid w:val="00ED7231"/>
    <w:rsid w:val="00EE3522"/>
    <w:rsid w:val="00EF3994"/>
    <w:rsid w:val="00EF619B"/>
    <w:rsid w:val="00F00B55"/>
    <w:rsid w:val="00F1380F"/>
    <w:rsid w:val="00F14F0E"/>
    <w:rsid w:val="00F15A3B"/>
    <w:rsid w:val="00F2414D"/>
    <w:rsid w:val="00F24C29"/>
    <w:rsid w:val="00F253CC"/>
    <w:rsid w:val="00F42B71"/>
    <w:rsid w:val="00F544D2"/>
    <w:rsid w:val="00F56BA5"/>
    <w:rsid w:val="00F621C3"/>
    <w:rsid w:val="00F644E6"/>
    <w:rsid w:val="00F9441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76467"/>
    <w:rsid w:val="004108B1"/>
    <w:rsid w:val="004B1E16"/>
    <w:rsid w:val="004B5C64"/>
    <w:rsid w:val="00552A29"/>
    <w:rsid w:val="0076106F"/>
    <w:rsid w:val="007628EF"/>
    <w:rsid w:val="0096171F"/>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2C51-B93D-4D92-B1BF-17FB6B7B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9154</Characters>
  <Application>Microsoft Office Word</Application>
  <DocSecurity>0</DocSecurity>
  <Lines>152</Lines>
  <Paragraphs>35</Paragraphs>
  <ScaleCrop>false</ScaleCrop>
  <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185/19</dc:title>
  <dc:creator/>
  <cp:lastModifiedBy/>
  <cp:revision>1</cp:revision>
  <dcterms:created xsi:type="dcterms:W3CDTF">2020-05-14T14:33:00Z</dcterms:created>
  <dcterms:modified xsi:type="dcterms:W3CDTF">2020-05-14T14:34:00Z</dcterms:modified>
</cp:coreProperties>
</file>