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DE2E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32A42">
                              <w:rPr>
                                <w:rFonts w:asciiTheme="majorHAnsi" w:hAnsiTheme="majorHAnsi" w:cs="Arial"/>
                                <w:b/>
                                <w:bCs/>
                                <w:color w:val="0D0D0D" w:themeColor="text1" w:themeTint="F2"/>
                                <w:sz w:val="36"/>
                                <w:szCs w:val="40"/>
                              </w:rPr>
                              <w:t>210</w:t>
                            </w:r>
                            <w:r w:rsidR="00322450" w:rsidRPr="004B7EB6">
                              <w:rPr>
                                <w:rFonts w:asciiTheme="majorHAnsi" w:hAnsiTheme="majorHAnsi" w:cs="Arial"/>
                                <w:b/>
                                <w:bCs/>
                                <w:color w:val="0D0D0D" w:themeColor="text1" w:themeTint="F2"/>
                                <w:sz w:val="36"/>
                                <w:szCs w:val="40"/>
                              </w:rPr>
                              <w:t>/1</w:t>
                            </w:r>
                            <w:r w:rsidR="00032A42">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D1F9A">
                              <w:rPr>
                                <w:rFonts w:asciiTheme="majorHAnsi" w:hAnsiTheme="majorHAnsi" w:cs="Arial"/>
                                <w:b/>
                                <w:bCs/>
                                <w:color w:val="0D0D0D" w:themeColor="text1" w:themeTint="F2"/>
                                <w:sz w:val="36"/>
                                <w:szCs w:val="40"/>
                              </w:rPr>
                              <w:t>1201</w:t>
                            </w:r>
                            <w:r w:rsidR="00F621C3">
                              <w:rPr>
                                <w:rFonts w:asciiTheme="majorHAnsi" w:hAnsiTheme="majorHAnsi" w:cs="Arial"/>
                                <w:b/>
                                <w:bCs/>
                                <w:color w:val="0D0D0D" w:themeColor="text1" w:themeTint="F2"/>
                                <w:sz w:val="36"/>
                                <w:szCs w:val="40"/>
                              </w:rPr>
                              <w:t>-</w:t>
                            </w:r>
                            <w:r w:rsidR="00BD1F9A">
                              <w:rPr>
                                <w:rFonts w:asciiTheme="majorHAnsi" w:hAnsiTheme="majorHAnsi" w:cs="Arial"/>
                                <w:b/>
                                <w:bCs/>
                                <w:color w:val="0D0D0D" w:themeColor="text1" w:themeTint="F2"/>
                                <w:sz w:val="36"/>
                                <w:szCs w:val="40"/>
                              </w:rPr>
                              <w:t>13</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BD1F9A">
                              <w:rPr>
                                <w:rFonts w:asciiTheme="majorHAnsi" w:hAnsiTheme="majorHAnsi" w:cs="Arial"/>
                                <w:color w:val="0D0D0D" w:themeColor="text1" w:themeTint="F2"/>
                                <w:szCs w:val="22"/>
                              </w:rPr>
                              <w:t xml:space="preserve">ON </w:t>
                            </w:r>
                            <w:r w:rsidR="00BD1F9A" w:rsidRPr="00032A42">
                              <w:rPr>
                                <w:rFonts w:asciiTheme="majorHAnsi" w:hAnsiTheme="majorHAnsi" w:cs="Arial"/>
                                <w:szCs w:val="22"/>
                              </w:rPr>
                              <w:t>ADMISSIBILITY</w:t>
                            </w:r>
                            <w:r w:rsidR="002C1641" w:rsidRPr="00032A42">
                              <w:rPr>
                                <w:rFonts w:asciiTheme="majorHAnsi" w:hAnsiTheme="majorHAnsi" w:cs="Arial"/>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C77DE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URBIAN BURLESON, JULES GODDARD, KENNETH AMZINK AND ERROL HARRYSON</w:t>
                            </w:r>
                          </w:p>
                          <w:p w:rsidR="00F42B71" w:rsidRPr="004B625D" w:rsidRDefault="00BD1F9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SURINAME</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32A42">
                        <w:rPr>
                          <w:rFonts w:asciiTheme="majorHAnsi" w:hAnsiTheme="majorHAnsi" w:cs="Arial"/>
                          <w:b/>
                          <w:bCs/>
                          <w:color w:val="0D0D0D" w:themeColor="text1" w:themeTint="F2"/>
                          <w:sz w:val="36"/>
                          <w:szCs w:val="40"/>
                        </w:rPr>
                        <w:t>210</w:t>
                      </w:r>
                      <w:r w:rsidR="00322450" w:rsidRPr="004B7EB6">
                        <w:rPr>
                          <w:rFonts w:asciiTheme="majorHAnsi" w:hAnsiTheme="majorHAnsi" w:cs="Arial"/>
                          <w:b/>
                          <w:bCs/>
                          <w:color w:val="0D0D0D" w:themeColor="text1" w:themeTint="F2"/>
                          <w:sz w:val="36"/>
                          <w:szCs w:val="40"/>
                        </w:rPr>
                        <w:t>/1</w:t>
                      </w:r>
                      <w:r w:rsidR="00032A42">
                        <w:rPr>
                          <w:rFonts w:asciiTheme="majorHAnsi" w:hAnsiTheme="majorHAnsi" w:cs="Arial"/>
                          <w:b/>
                          <w:bCs/>
                          <w:color w:val="0D0D0D" w:themeColor="text1" w:themeTint="F2"/>
                          <w:sz w:val="36"/>
                          <w:szCs w:val="40"/>
                        </w:rPr>
                        <w:t>9</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D1F9A">
                        <w:rPr>
                          <w:rFonts w:asciiTheme="majorHAnsi" w:hAnsiTheme="majorHAnsi" w:cs="Arial"/>
                          <w:b/>
                          <w:bCs/>
                          <w:color w:val="0D0D0D" w:themeColor="text1" w:themeTint="F2"/>
                          <w:sz w:val="36"/>
                          <w:szCs w:val="40"/>
                        </w:rPr>
                        <w:t>1201</w:t>
                      </w:r>
                      <w:r w:rsidR="00F621C3">
                        <w:rPr>
                          <w:rFonts w:asciiTheme="majorHAnsi" w:hAnsiTheme="majorHAnsi" w:cs="Arial"/>
                          <w:b/>
                          <w:bCs/>
                          <w:color w:val="0D0D0D" w:themeColor="text1" w:themeTint="F2"/>
                          <w:sz w:val="36"/>
                          <w:szCs w:val="40"/>
                        </w:rPr>
                        <w:t>-</w:t>
                      </w:r>
                      <w:r w:rsidR="00BD1F9A">
                        <w:rPr>
                          <w:rFonts w:asciiTheme="majorHAnsi" w:hAnsiTheme="majorHAnsi" w:cs="Arial"/>
                          <w:b/>
                          <w:bCs/>
                          <w:color w:val="0D0D0D" w:themeColor="text1" w:themeTint="F2"/>
                          <w:sz w:val="36"/>
                          <w:szCs w:val="40"/>
                        </w:rPr>
                        <w:t>13</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BD1F9A">
                        <w:rPr>
                          <w:rFonts w:asciiTheme="majorHAnsi" w:hAnsiTheme="majorHAnsi" w:cs="Arial"/>
                          <w:color w:val="0D0D0D" w:themeColor="text1" w:themeTint="F2"/>
                          <w:szCs w:val="22"/>
                        </w:rPr>
                        <w:t xml:space="preserve">ON </w:t>
                      </w:r>
                      <w:r w:rsidR="00BD1F9A" w:rsidRPr="00032A42">
                        <w:rPr>
                          <w:rFonts w:asciiTheme="majorHAnsi" w:hAnsiTheme="majorHAnsi" w:cs="Arial"/>
                          <w:szCs w:val="22"/>
                        </w:rPr>
                        <w:t>ADMISSIBILITY</w:t>
                      </w:r>
                      <w:r w:rsidR="002C1641" w:rsidRPr="00032A42">
                        <w:rPr>
                          <w:rFonts w:asciiTheme="majorHAnsi" w:hAnsiTheme="majorHAnsi" w:cs="Arial"/>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C77DE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URBIAN BURLESON, JULES GODDARD, KENNETH AMZINK AND ERROL HARRYSON</w:t>
                      </w:r>
                    </w:p>
                    <w:p w:rsidR="00F42B71" w:rsidRPr="004B625D" w:rsidRDefault="00BD1F9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SURINAME</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32A42" w:rsidRDefault="009E566A" w:rsidP="009E566A">
                            <w:pPr>
                              <w:jc w:val="right"/>
                              <w:rPr>
                                <w:rFonts w:asciiTheme="minorHAnsi" w:hAnsiTheme="minorHAnsi"/>
                                <w:color w:val="FFFFFF" w:themeColor="background1"/>
                                <w:sz w:val="22"/>
                                <w:lang w:val="pt-BR"/>
                              </w:rPr>
                            </w:pPr>
                            <w:r w:rsidRPr="00032A42">
                              <w:rPr>
                                <w:rFonts w:asciiTheme="minorHAnsi" w:hAnsiTheme="minorHAnsi"/>
                                <w:color w:val="FFFFFF" w:themeColor="background1"/>
                                <w:sz w:val="22"/>
                                <w:lang w:val="pt-BR"/>
                              </w:rPr>
                              <w:t>OEA/Ser.L/V/II.</w:t>
                            </w:r>
                          </w:p>
                          <w:p w:rsidR="00627C9F" w:rsidRPr="00032A42" w:rsidRDefault="00CA6577" w:rsidP="009E566A">
                            <w:pPr>
                              <w:jc w:val="right"/>
                              <w:rPr>
                                <w:rFonts w:asciiTheme="minorHAnsi" w:hAnsiTheme="minorHAnsi"/>
                                <w:color w:val="FFFFFF" w:themeColor="background1"/>
                                <w:sz w:val="22"/>
                                <w:lang w:val="pt-BR"/>
                              </w:rPr>
                            </w:pPr>
                            <w:r w:rsidRPr="00032A42">
                              <w:rPr>
                                <w:rFonts w:asciiTheme="minorHAnsi" w:hAnsiTheme="minorHAnsi"/>
                                <w:color w:val="FFFFFF" w:themeColor="background1"/>
                                <w:sz w:val="22"/>
                                <w:lang w:val="pt-BR"/>
                              </w:rPr>
                              <w:t xml:space="preserve">Doc. </w:t>
                            </w:r>
                            <w:r w:rsidR="00032A42">
                              <w:rPr>
                                <w:rFonts w:asciiTheme="minorHAnsi" w:hAnsiTheme="minorHAnsi"/>
                                <w:color w:val="FFFFFF" w:themeColor="background1"/>
                                <w:sz w:val="22"/>
                                <w:lang w:val="pt-BR"/>
                              </w:rPr>
                              <w:t>232</w:t>
                            </w:r>
                          </w:p>
                          <w:p w:rsidR="00627C9F" w:rsidRPr="00032A42" w:rsidRDefault="00032A42" w:rsidP="009E566A">
                            <w:pPr>
                              <w:jc w:val="right"/>
                              <w:rPr>
                                <w:rFonts w:asciiTheme="minorHAnsi" w:hAnsiTheme="minorHAnsi"/>
                                <w:color w:val="FFFFFF" w:themeColor="background1"/>
                                <w:sz w:val="22"/>
                              </w:rPr>
                            </w:pPr>
                            <w:r>
                              <w:rPr>
                                <w:rFonts w:asciiTheme="minorHAnsi" w:hAnsiTheme="minorHAnsi"/>
                                <w:color w:val="FFFFFF" w:themeColor="background1"/>
                                <w:sz w:val="22"/>
                              </w:rPr>
                              <w:t>6 December 2019</w:t>
                            </w:r>
                          </w:p>
                          <w:p w:rsidR="00627C9F" w:rsidRPr="00032A42" w:rsidRDefault="00627C9F" w:rsidP="009E566A">
                            <w:pPr>
                              <w:jc w:val="right"/>
                              <w:rPr>
                                <w:rFonts w:asciiTheme="minorHAnsi" w:hAnsiTheme="minorHAnsi"/>
                                <w:color w:val="FFFFFF" w:themeColor="background1"/>
                                <w:sz w:val="22"/>
                              </w:rPr>
                            </w:pPr>
                            <w:r w:rsidRPr="00032A42">
                              <w:rPr>
                                <w:rFonts w:asciiTheme="minorHAnsi" w:hAnsiTheme="minorHAnsi"/>
                                <w:color w:val="FFFFFF" w:themeColor="background1"/>
                                <w:sz w:val="22"/>
                              </w:rPr>
                              <w:t>Original:</w:t>
                            </w:r>
                            <w:r w:rsidR="002C1641" w:rsidRPr="00032A42">
                              <w:rPr>
                                <w:rFonts w:asciiTheme="minorHAnsi" w:hAnsiTheme="minorHAnsi"/>
                                <w:color w:val="FFFFFF" w:themeColor="background1"/>
                                <w:sz w:val="22"/>
                              </w:rPr>
                              <w:t xml:space="preserve"> </w:t>
                            </w:r>
                            <w:r w:rsidR="000C4365" w:rsidRPr="00032A42">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032A42" w:rsidRDefault="009E566A" w:rsidP="009E566A">
                      <w:pPr>
                        <w:jc w:val="right"/>
                        <w:rPr>
                          <w:rFonts w:asciiTheme="minorHAnsi" w:hAnsiTheme="minorHAnsi"/>
                          <w:color w:val="FFFFFF" w:themeColor="background1"/>
                          <w:sz w:val="22"/>
                          <w:lang w:val="pt-BR"/>
                        </w:rPr>
                      </w:pPr>
                      <w:r w:rsidRPr="00032A42">
                        <w:rPr>
                          <w:rFonts w:asciiTheme="minorHAnsi" w:hAnsiTheme="minorHAnsi"/>
                          <w:color w:val="FFFFFF" w:themeColor="background1"/>
                          <w:sz w:val="22"/>
                          <w:lang w:val="pt-BR"/>
                        </w:rPr>
                        <w:t>OEA/Ser.L/V/II.</w:t>
                      </w:r>
                    </w:p>
                    <w:p w:rsidR="00627C9F" w:rsidRPr="00032A42" w:rsidRDefault="00CA6577" w:rsidP="009E566A">
                      <w:pPr>
                        <w:jc w:val="right"/>
                        <w:rPr>
                          <w:rFonts w:asciiTheme="minorHAnsi" w:hAnsiTheme="minorHAnsi"/>
                          <w:color w:val="FFFFFF" w:themeColor="background1"/>
                          <w:sz w:val="22"/>
                          <w:lang w:val="pt-BR"/>
                        </w:rPr>
                      </w:pPr>
                      <w:r w:rsidRPr="00032A42">
                        <w:rPr>
                          <w:rFonts w:asciiTheme="minorHAnsi" w:hAnsiTheme="minorHAnsi"/>
                          <w:color w:val="FFFFFF" w:themeColor="background1"/>
                          <w:sz w:val="22"/>
                          <w:lang w:val="pt-BR"/>
                        </w:rPr>
                        <w:t xml:space="preserve">Doc. </w:t>
                      </w:r>
                      <w:r w:rsidR="00032A42">
                        <w:rPr>
                          <w:rFonts w:asciiTheme="minorHAnsi" w:hAnsiTheme="minorHAnsi"/>
                          <w:color w:val="FFFFFF" w:themeColor="background1"/>
                          <w:sz w:val="22"/>
                          <w:lang w:val="pt-BR"/>
                        </w:rPr>
                        <w:t>232</w:t>
                      </w:r>
                    </w:p>
                    <w:p w:rsidR="00627C9F" w:rsidRPr="00032A42" w:rsidRDefault="00032A42" w:rsidP="009E566A">
                      <w:pPr>
                        <w:jc w:val="right"/>
                        <w:rPr>
                          <w:rFonts w:asciiTheme="minorHAnsi" w:hAnsiTheme="minorHAnsi"/>
                          <w:color w:val="FFFFFF" w:themeColor="background1"/>
                          <w:sz w:val="22"/>
                        </w:rPr>
                      </w:pPr>
                      <w:r>
                        <w:rPr>
                          <w:rFonts w:asciiTheme="minorHAnsi" w:hAnsiTheme="minorHAnsi"/>
                          <w:color w:val="FFFFFF" w:themeColor="background1"/>
                          <w:sz w:val="22"/>
                        </w:rPr>
                        <w:t>6 December 2019</w:t>
                      </w:r>
                    </w:p>
                    <w:p w:rsidR="00627C9F" w:rsidRPr="00032A42" w:rsidRDefault="00627C9F" w:rsidP="009E566A">
                      <w:pPr>
                        <w:jc w:val="right"/>
                        <w:rPr>
                          <w:rFonts w:asciiTheme="minorHAnsi" w:hAnsiTheme="minorHAnsi"/>
                          <w:color w:val="FFFFFF" w:themeColor="background1"/>
                          <w:sz w:val="22"/>
                        </w:rPr>
                      </w:pPr>
                      <w:r w:rsidRPr="00032A42">
                        <w:rPr>
                          <w:rFonts w:asciiTheme="minorHAnsi" w:hAnsiTheme="minorHAnsi"/>
                          <w:color w:val="FFFFFF" w:themeColor="background1"/>
                          <w:sz w:val="22"/>
                        </w:rPr>
                        <w:t>Original:</w:t>
                      </w:r>
                      <w:r w:rsidR="002C1641" w:rsidRPr="00032A42">
                        <w:rPr>
                          <w:rFonts w:asciiTheme="minorHAnsi" w:hAnsiTheme="minorHAnsi"/>
                          <w:color w:val="FFFFFF" w:themeColor="background1"/>
                          <w:sz w:val="22"/>
                        </w:rPr>
                        <w:t xml:space="preserve"> </w:t>
                      </w:r>
                      <w:r w:rsidR="000C4365" w:rsidRPr="00032A42">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2A42" w:rsidRPr="009E60FF" w:rsidRDefault="00032A42" w:rsidP="00032A42">
                            <w:pPr>
                              <w:tabs>
                                <w:tab w:val="center" w:pos="5400"/>
                              </w:tabs>
                              <w:suppressAutoHyphens/>
                              <w:spacing w:before="60"/>
                              <w:rPr>
                                <w:rFonts w:ascii="Cambria" w:hAnsi="Cambria"/>
                                <w:color w:val="0D0D0D"/>
                                <w:sz w:val="20"/>
                              </w:rPr>
                            </w:pPr>
                            <w:r w:rsidRPr="009E60FF">
                              <w:rPr>
                                <w:rFonts w:ascii="Cambria" w:hAnsi="Cambria"/>
                                <w:color w:val="0D0D0D"/>
                                <w:sz w:val="20"/>
                              </w:rPr>
                              <w:t xml:space="preserve">Approved by the Commission on December </w:t>
                            </w:r>
                            <w:r>
                              <w:rPr>
                                <w:rFonts w:ascii="Cambria" w:hAnsi="Cambria"/>
                                <w:color w:val="0D0D0D"/>
                                <w:sz w:val="20"/>
                              </w:rPr>
                              <w:t>6</w:t>
                            </w:r>
                            <w:r w:rsidRPr="009E60FF">
                              <w:rPr>
                                <w:rFonts w:ascii="Cambria" w:hAnsi="Cambria"/>
                                <w:color w:val="0D0D0D"/>
                                <w:sz w:val="20"/>
                              </w:rPr>
                              <w:t>, 2019 in San Salvador, El Salvador</w:t>
                            </w:r>
                            <w:r w:rsidR="006B07EC">
                              <w:rPr>
                                <w:rFonts w:ascii="Cambria" w:hAnsi="Cambria"/>
                                <w:color w:val="0D0D0D"/>
                                <w:sz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32A42" w:rsidRPr="009E60FF" w:rsidRDefault="00032A42" w:rsidP="00032A42">
                      <w:pPr>
                        <w:tabs>
                          <w:tab w:val="center" w:pos="5400"/>
                        </w:tabs>
                        <w:suppressAutoHyphens/>
                        <w:spacing w:before="60"/>
                        <w:rPr>
                          <w:rFonts w:ascii="Cambria" w:hAnsi="Cambria"/>
                          <w:color w:val="0D0D0D"/>
                          <w:sz w:val="20"/>
                        </w:rPr>
                      </w:pPr>
                      <w:r w:rsidRPr="009E60FF">
                        <w:rPr>
                          <w:rFonts w:ascii="Cambria" w:hAnsi="Cambria"/>
                          <w:color w:val="0D0D0D"/>
                          <w:sz w:val="20"/>
                        </w:rPr>
                        <w:t xml:space="preserve">Approved by the Commission on December </w:t>
                      </w:r>
                      <w:r>
                        <w:rPr>
                          <w:rFonts w:ascii="Cambria" w:hAnsi="Cambria"/>
                          <w:color w:val="0D0D0D"/>
                          <w:sz w:val="20"/>
                        </w:rPr>
                        <w:t>6</w:t>
                      </w:r>
                      <w:r w:rsidRPr="009E60FF">
                        <w:rPr>
                          <w:rFonts w:ascii="Cambria" w:hAnsi="Cambria"/>
                          <w:color w:val="0D0D0D"/>
                          <w:sz w:val="20"/>
                        </w:rPr>
                        <w:t>, 2019 in San Salvador, El Salvador</w:t>
                      </w:r>
                      <w:r w:rsidR="006B07EC">
                        <w:rPr>
                          <w:rFonts w:ascii="Cambria" w:hAnsi="Cambria"/>
                          <w:color w:val="0D0D0D"/>
                          <w:sz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32A42">
                              <w:rPr>
                                <w:rFonts w:asciiTheme="majorHAnsi" w:hAnsiTheme="majorHAnsi"/>
                                <w:color w:val="595959" w:themeColor="text1" w:themeTint="A6"/>
                                <w:sz w:val="18"/>
                              </w:rPr>
                              <w:t>210</w:t>
                            </w:r>
                            <w:r w:rsidR="00022CF5">
                              <w:rPr>
                                <w:rFonts w:asciiTheme="majorHAnsi" w:hAnsiTheme="majorHAnsi"/>
                                <w:color w:val="595959" w:themeColor="text1" w:themeTint="A6"/>
                                <w:sz w:val="18"/>
                              </w:rPr>
                              <w:t>/</w:t>
                            </w:r>
                            <w:r w:rsidR="00032A4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32A42">
                              <w:rPr>
                                <w:rFonts w:asciiTheme="majorHAnsi" w:hAnsiTheme="majorHAnsi"/>
                                <w:color w:val="595959" w:themeColor="text1" w:themeTint="A6"/>
                                <w:sz w:val="18"/>
                              </w:rPr>
                              <w:t>1201</w:t>
                            </w:r>
                            <w:r w:rsidR="00F621C3">
                              <w:rPr>
                                <w:rFonts w:asciiTheme="majorHAnsi" w:hAnsiTheme="majorHAnsi"/>
                                <w:color w:val="595959" w:themeColor="text1" w:themeTint="A6"/>
                                <w:sz w:val="18"/>
                              </w:rPr>
                              <w:t>-</w:t>
                            </w:r>
                            <w:r w:rsidR="00032A42">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032A42" w:rsidRPr="00032A42">
                              <w:rPr>
                                <w:rFonts w:asciiTheme="majorHAnsi" w:hAnsiTheme="majorHAnsi"/>
                                <w:color w:val="595959" w:themeColor="text1" w:themeTint="A6"/>
                                <w:sz w:val="18"/>
                              </w:rPr>
                              <w:t>Urbian</w:t>
                            </w:r>
                            <w:proofErr w:type="spellEnd"/>
                            <w:r w:rsidR="00032A42" w:rsidRPr="00032A42">
                              <w:rPr>
                                <w:rFonts w:asciiTheme="majorHAnsi" w:hAnsiTheme="majorHAnsi"/>
                                <w:color w:val="595959" w:themeColor="text1" w:themeTint="A6"/>
                                <w:sz w:val="18"/>
                              </w:rPr>
                              <w:t xml:space="preserve"> Burleson, Jules Goddard, Kenneth </w:t>
                            </w:r>
                            <w:proofErr w:type="spellStart"/>
                            <w:r w:rsidR="00032A42" w:rsidRPr="00032A42">
                              <w:rPr>
                                <w:rFonts w:asciiTheme="majorHAnsi" w:hAnsiTheme="majorHAnsi"/>
                                <w:color w:val="595959" w:themeColor="text1" w:themeTint="A6"/>
                                <w:sz w:val="18"/>
                              </w:rPr>
                              <w:t>Amzink</w:t>
                            </w:r>
                            <w:proofErr w:type="spellEnd"/>
                            <w:r w:rsidR="00032A42" w:rsidRPr="00032A42">
                              <w:rPr>
                                <w:rFonts w:asciiTheme="majorHAnsi" w:hAnsiTheme="majorHAnsi"/>
                                <w:color w:val="595959" w:themeColor="text1" w:themeTint="A6"/>
                                <w:sz w:val="18"/>
                              </w:rPr>
                              <w:t xml:space="preserve"> and Errol </w:t>
                            </w:r>
                            <w:proofErr w:type="spellStart"/>
                            <w:r w:rsidR="00032A42" w:rsidRPr="00032A42">
                              <w:rPr>
                                <w:rFonts w:asciiTheme="majorHAnsi" w:hAnsiTheme="majorHAnsi"/>
                                <w:color w:val="595959" w:themeColor="text1" w:themeTint="A6"/>
                                <w:sz w:val="18"/>
                              </w:rPr>
                              <w:t>Harryson</w:t>
                            </w:r>
                            <w:proofErr w:type="spellEnd"/>
                            <w:r w:rsidRPr="003C32BC">
                              <w:rPr>
                                <w:rFonts w:asciiTheme="majorHAnsi" w:hAnsiTheme="majorHAnsi"/>
                                <w:color w:val="595959" w:themeColor="text1" w:themeTint="A6"/>
                                <w:sz w:val="18"/>
                              </w:rPr>
                              <w:t xml:space="preserve">. </w:t>
                            </w:r>
                            <w:r w:rsidR="00032A42">
                              <w:rPr>
                                <w:rFonts w:asciiTheme="majorHAnsi" w:hAnsiTheme="majorHAnsi"/>
                                <w:color w:val="595959" w:themeColor="text1" w:themeTint="A6"/>
                                <w:sz w:val="18"/>
                              </w:rPr>
                              <w:t>Suriname</w:t>
                            </w:r>
                            <w:r w:rsidR="00022CF5">
                              <w:rPr>
                                <w:rFonts w:asciiTheme="majorHAnsi" w:hAnsiTheme="majorHAnsi"/>
                                <w:color w:val="595959" w:themeColor="text1" w:themeTint="A6"/>
                                <w:sz w:val="18"/>
                              </w:rPr>
                              <w:t xml:space="preserve">. </w:t>
                            </w:r>
                            <w:r w:rsidR="00032A42">
                              <w:rPr>
                                <w:rFonts w:asciiTheme="majorHAnsi" w:hAnsiTheme="majorHAnsi"/>
                                <w:color w:val="595959" w:themeColor="text1" w:themeTint="A6"/>
                                <w:sz w:val="18"/>
                              </w:rPr>
                              <w:t>December 6,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32A42">
                        <w:rPr>
                          <w:rFonts w:asciiTheme="majorHAnsi" w:hAnsiTheme="majorHAnsi"/>
                          <w:color w:val="595959" w:themeColor="text1" w:themeTint="A6"/>
                          <w:sz w:val="18"/>
                        </w:rPr>
                        <w:t>210</w:t>
                      </w:r>
                      <w:r w:rsidR="00022CF5">
                        <w:rPr>
                          <w:rFonts w:asciiTheme="majorHAnsi" w:hAnsiTheme="majorHAnsi"/>
                          <w:color w:val="595959" w:themeColor="text1" w:themeTint="A6"/>
                          <w:sz w:val="18"/>
                        </w:rPr>
                        <w:t>/</w:t>
                      </w:r>
                      <w:r w:rsidR="00032A42">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32A42">
                        <w:rPr>
                          <w:rFonts w:asciiTheme="majorHAnsi" w:hAnsiTheme="majorHAnsi"/>
                          <w:color w:val="595959" w:themeColor="text1" w:themeTint="A6"/>
                          <w:sz w:val="18"/>
                        </w:rPr>
                        <w:t>1201</w:t>
                      </w:r>
                      <w:r w:rsidR="00F621C3">
                        <w:rPr>
                          <w:rFonts w:asciiTheme="majorHAnsi" w:hAnsiTheme="majorHAnsi"/>
                          <w:color w:val="595959" w:themeColor="text1" w:themeTint="A6"/>
                          <w:sz w:val="18"/>
                        </w:rPr>
                        <w:t>-</w:t>
                      </w:r>
                      <w:r w:rsidR="00032A42">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032A42" w:rsidRPr="00032A42">
                        <w:rPr>
                          <w:rFonts w:asciiTheme="majorHAnsi" w:hAnsiTheme="majorHAnsi"/>
                          <w:color w:val="595959" w:themeColor="text1" w:themeTint="A6"/>
                          <w:sz w:val="18"/>
                        </w:rPr>
                        <w:t>Urbian</w:t>
                      </w:r>
                      <w:proofErr w:type="spellEnd"/>
                      <w:r w:rsidR="00032A42" w:rsidRPr="00032A42">
                        <w:rPr>
                          <w:rFonts w:asciiTheme="majorHAnsi" w:hAnsiTheme="majorHAnsi"/>
                          <w:color w:val="595959" w:themeColor="text1" w:themeTint="A6"/>
                          <w:sz w:val="18"/>
                        </w:rPr>
                        <w:t xml:space="preserve"> Burleson, Jules Goddard, Kenneth </w:t>
                      </w:r>
                      <w:proofErr w:type="spellStart"/>
                      <w:r w:rsidR="00032A42" w:rsidRPr="00032A42">
                        <w:rPr>
                          <w:rFonts w:asciiTheme="majorHAnsi" w:hAnsiTheme="majorHAnsi"/>
                          <w:color w:val="595959" w:themeColor="text1" w:themeTint="A6"/>
                          <w:sz w:val="18"/>
                        </w:rPr>
                        <w:t>Amzink</w:t>
                      </w:r>
                      <w:proofErr w:type="spellEnd"/>
                      <w:r w:rsidR="00032A42" w:rsidRPr="00032A42">
                        <w:rPr>
                          <w:rFonts w:asciiTheme="majorHAnsi" w:hAnsiTheme="majorHAnsi"/>
                          <w:color w:val="595959" w:themeColor="text1" w:themeTint="A6"/>
                          <w:sz w:val="18"/>
                        </w:rPr>
                        <w:t xml:space="preserve"> and Errol </w:t>
                      </w:r>
                      <w:proofErr w:type="spellStart"/>
                      <w:r w:rsidR="00032A42" w:rsidRPr="00032A42">
                        <w:rPr>
                          <w:rFonts w:asciiTheme="majorHAnsi" w:hAnsiTheme="majorHAnsi"/>
                          <w:color w:val="595959" w:themeColor="text1" w:themeTint="A6"/>
                          <w:sz w:val="18"/>
                        </w:rPr>
                        <w:t>Harryson</w:t>
                      </w:r>
                      <w:proofErr w:type="spellEnd"/>
                      <w:r w:rsidRPr="003C32BC">
                        <w:rPr>
                          <w:rFonts w:asciiTheme="majorHAnsi" w:hAnsiTheme="majorHAnsi"/>
                          <w:color w:val="595959" w:themeColor="text1" w:themeTint="A6"/>
                          <w:sz w:val="18"/>
                        </w:rPr>
                        <w:t xml:space="preserve">. </w:t>
                      </w:r>
                      <w:r w:rsidR="00032A42">
                        <w:rPr>
                          <w:rFonts w:asciiTheme="majorHAnsi" w:hAnsiTheme="majorHAnsi"/>
                          <w:color w:val="595959" w:themeColor="text1" w:themeTint="A6"/>
                          <w:sz w:val="18"/>
                        </w:rPr>
                        <w:t>Suriname</w:t>
                      </w:r>
                      <w:r w:rsidR="00022CF5">
                        <w:rPr>
                          <w:rFonts w:asciiTheme="majorHAnsi" w:hAnsiTheme="majorHAnsi"/>
                          <w:color w:val="595959" w:themeColor="text1" w:themeTint="A6"/>
                          <w:sz w:val="18"/>
                        </w:rPr>
                        <w:t xml:space="preserve">. </w:t>
                      </w:r>
                      <w:r w:rsidR="00032A42">
                        <w:rPr>
                          <w:rFonts w:asciiTheme="majorHAnsi" w:hAnsiTheme="majorHAnsi"/>
                          <w:color w:val="595959" w:themeColor="text1" w:themeTint="A6"/>
                          <w:sz w:val="18"/>
                        </w:rPr>
                        <w:t>December 6, 2019.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c>
          <w:tcPr>
            <w:tcW w:w="2790" w:type="dxa"/>
            <w:tcBorders>
              <w:top w:val="single" w:sz="4" w:space="0" w:color="auto"/>
              <w:bottom w:val="single" w:sz="6" w:space="0" w:color="auto"/>
            </w:tcBorders>
            <w:shd w:val="clear" w:color="auto" w:fill="67AE3C"/>
            <w:vAlign w:val="center"/>
          </w:tcPr>
          <w:p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rsidR="00F621C3" w:rsidRPr="00C355B4" w:rsidRDefault="00C77DE7" w:rsidP="009163FC">
            <w:pPr>
              <w:jc w:val="both"/>
              <w:rPr>
                <w:rFonts w:ascii="Cambria" w:hAnsi="Cambria"/>
                <w:bCs/>
                <w:sz w:val="19"/>
                <w:szCs w:val="19"/>
              </w:rPr>
            </w:pPr>
            <w:r>
              <w:rPr>
                <w:rFonts w:ascii="Cambria" w:hAnsi="Cambria"/>
                <w:bCs/>
                <w:sz w:val="19"/>
                <w:szCs w:val="19"/>
              </w:rPr>
              <w:t>Robert Karel Hewitt</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r w:rsidR="00C77DE7">
              <w:rPr>
                <w:rFonts w:ascii="Cambria" w:hAnsi="Cambria"/>
                <w:bCs/>
                <w:color w:val="FFFFFF" w:themeColor="background1"/>
                <w:sz w:val="19"/>
                <w:szCs w:val="19"/>
              </w:rPr>
              <w:t>s</w:t>
            </w:r>
          </w:p>
        </w:tc>
        <w:tc>
          <w:tcPr>
            <w:tcW w:w="6570" w:type="dxa"/>
            <w:vAlign w:val="center"/>
          </w:tcPr>
          <w:p w:rsidR="00F621C3" w:rsidRPr="00C355B4" w:rsidRDefault="00C77DE7" w:rsidP="009163FC">
            <w:pPr>
              <w:jc w:val="both"/>
              <w:rPr>
                <w:rFonts w:ascii="Cambria" w:hAnsi="Cambria"/>
                <w:bCs/>
                <w:sz w:val="19"/>
                <w:szCs w:val="19"/>
              </w:rPr>
            </w:pPr>
            <w:r w:rsidRPr="00C77DE7">
              <w:rPr>
                <w:rFonts w:ascii="Cambria" w:hAnsi="Cambria"/>
                <w:bCs/>
                <w:sz w:val="19"/>
                <w:szCs w:val="19"/>
              </w:rPr>
              <w:t>Urbian Burleson, Jules Goddard, Kenneth Amzink and Errol Harryson</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rsidR="00F621C3" w:rsidRPr="00C355B4" w:rsidRDefault="00C77DE7" w:rsidP="00C77DE7">
            <w:pPr>
              <w:jc w:val="both"/>
              <w:rPr>
                <w:rFonts w:ascii="Cambria" w:hAnsi="Cambria"/>
                <w:bCs/>
                <w:sz w:val="19"/>
                <w:szCs w:val="19"/>
              </w:rPr>
            </w:pPr>
            <w:r>
              <w:rPr>
                <w:rFonts w:ascii="Cambria" w:hAnsi="Cambria"/>
                <w:bCs/>
                <w:sz w:val="19"/>
                <w:szCs w:val="19"/>
              </w:rPr>
              <w:t>Suriname</w:t>
            </w:r>
            <w:r w:rsidR="003D6EE0" w:rsidRPr="003D6EE0">
              <w:rPr>
                <w:rFonts w:ascii="Cambria" w:hAnsi="Cambria"/>
                <w:bCs/>
                <w:color w:val="FF0000"/>
                <w:sz w:val="19"/>
                <w:szCs w:val="19"/>
              </w:rPr>
              <w:t xml:space="preserve"> </w:t>
            </w:r>
          </w:p>
        </w:tc>
      </w:tr>
      <w:tr w:rsidR="00E47F3D" w:rsidRPr="000B6B7A" w:rsidTr="00C355B4">
        <w:tc>
          <w:tcPr>
            <w:tcW w:w="2790" w:type="dxa"/>
            <w:tcBorders>
              <w:top w:val="single" w:sz="6" w:space="0" w:color="auto"/>
              <w:bottom w:val="single" w:sz="6" w:space="0" w:color="auto"/>
            </w:tcBorders>
            <w:shd w:val="clear" w:color="auto" w:fill="67AE3C"/>
            <w:vAlign w:val="center"/>
          </w:tcPr>
          <w:p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rsidR="00E47F3D" w:rsidRPr="00C355B4" w:rsidRDefault="003D6EE0" w:rsidP="00C77DE7">
            <w:pPr>
              <w:jc w:val="both"/>
              <w:rPr>
                <w:rFonts w:ascii="Cambria" w:hAnsi="Cambria"/>
                <w:bCs/>
                <w:sz w:val="19"/>
                <w:szCs w:val="19"/>
              </w:rPr>
            </w:pPr>
            <w:r>
              <w:rPr>
                <w:rFonts w:ascii="Cambria" w:hAnsi="Cambria"/>
                <w:bCs/>
                <w:sz w:val="19"/>
                <w:szCs w:val="19"/>
              </w:rPr>
              <w:t xml:space="preserve">Articles </w:t>
            </w:r>
            <w:r w:rsidR="00C77DE7" w:rsidRPr="00C77DE7">
              <w:rPr>
                <w:rFonts w:ascii="Cambria" w:hAnsi="Cambria"/>
                <w:bCs/>
                <w:sz w:val="19"/>
                <w:szCs w:val="19"/>
              </w:rPr>
              <w:t xml:space="preserve">4, 8, and 27 </w:t>
            </w:r>
            <w:r w:rsidR="00F21043">
              <w:rPr>
                <w:rFonts w:ascii="Cambria" w:hAnsi="Cambria"/>
                <w:bCs/>
                <w:sz w:val="19"/>
                <w:szCs w:val="19"/>
              </w:rPr>
              <w:t xml:space="preserve">(1) and (2) </w:t>
            </w:r>
            <w:r w:rsidR="00C77DE7" w:rsidRPr="00C77DE7">
              <w:rPr>
                <w:rFonts w:ascii="Cambria" w:hAnsi="Cambria"/>
                <w:bCs/>
                <w:sz w:val="19"/>
                <w:szCs w:val="19"/>
              </w:rPr>
              <w:t>of the American Convention on Human Rights</w:t>
            </w:r>
            <w:r>
              <w:rPr>
                <w:rStyle w:val="FootnoteReference"/>
                <w:rFonts w:ascii="Cambria" w:hAnsi="Cambria"/>
                <w:bCs/>
                <w:sz w:val="19"/>
                <w:szCs w:val="19"/>
              </w:rPr>
              <w:footnoteReference w:id="2"/>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rsidR="00F621C3" w:rsidRPr="00C355B4" w:rsidRDefault="00C77DE7" w:rsidP="009163FC">
            <w:pPr>
              <w:jc w:val="both"/>
              <w:rPr>
                <w:rFonts w:ascii="Cambria" w:hAnsi="Cambria"/>
                <w:bCs/>
                <w:sz w:val="19"/>
                <w:szCs w:val="19"/>
              </w:rPr>
            </w:pPr>
            <w:r w:rsidRPr="00C77DE7">
              <w:rPr>
                <w:rFonts w:ascii="Cambria" w:hAnsi="Cambria"/>
                <w:bCs/>
                <w:sz w:val="19"/>
                <w:szCs w:val="19"/>
              </w:rPr>
              <w:t>July 26, 2013</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rsidR="00F621C3" w:rsidRPr="00C355B4" w:rsidRDefault="00C77DE7" w:rsidP="009163FC">
            <w:pPr>
              <w:jc w:val="both"/>
              <w:rPr>
                <w:rFonts w:ascii="Cambria" w:hAnsi="Cambria"/>
                <w:bCs/>
                <w:sz w:val="19"/>
                <w:szCs w:val="19"/>
              </w:rPr>
            </w:pPr>
            <w:r>
              <w:rPr>
                <w:rFonts w:ascii="Cambria" w:hAnsi="Cambria"/>
                <w:bCs/>
                <w:sz w:val="19"/>
                <w:szCs w:val="19"/>
              </w:rPr>
              <w:t>October 28, 2013, February 9, 2016</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rsidR="00F621C3" w:rsidRPr="00C355B4" w:rsidRDefault="00C77DE7" w:rsidP="009163FC">
            <w:pPr>
              <w:jc w:val="both"/>
              <w:rPr>
                <w:rFonts w:ascii="Cambria" w:hAnsi="Cambria"/>
                <w:bCs/>
                <w:sz w:val="19"/>
                <w:szCs w:val="19"/>
              </w:rPr>
            </w:pPr>
            <w:r>
              <w:rPr>
                <w:rFonts w:ascii="Cambria" w:hAnsi="Cambria"/>
                <w:bCs/>
                <w:sz w:val="19"/>
                <w:szCs w:val="19"/>
              </w:rPr>
              <w:t>February 26, 2016</w:t>
            </w:r>
          </w:p>
        </w:tc>
      </w:tr>
      <w:tr w:rsidR="00F621C3" w:rsidRPr="000B6B7A" w:rsidTr="00C355B4">
        <w:trPr>
          <w:trHeight w:val="264"/>
        </w:trPr>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rsidR="00F621C3" w:rsidRPr="00C355B4" w:rsidRDefault="00D652F1" w:rsidP="009163FC">
            <w:pPr>
              <w:jc w:val="both"/>
              <w:rPr>
                <w:rFonts w:ascii="Cambria" w:hAnsi="Cambria"/>
                <w:bCs/>
                <w:sz w:val="19"/>
                <w:szCs w:val="19"/>
              </w:rPr>
            </w:pPr>
            <w:r>
              <w:rPr>
                <w:rFonts w:ascii="Cambria" w:hAnsi="Cambria"/>
                <w:bCs/>
                <w:sz w:val="19"/>
                <w:szCs w:val="19"/>
              </w:rPr>
              <w:t>December 26, 2017</w:t>
            </w:r>
          </w:p>
        </w:tc>
      </w:tr>
      <w:tr w:rsidR="003771A3" w:rsidRPr="000B6B7A" w:rsidTr="00C355B4">
        <w:tc>
          <w:tcPr>
            <w:tcW w:w="2790" w:type="dxa"/>
            <w:tcBorders>
              <w:top w:val="single" w:sz="6" w:space="0" w:color="auto"/>
              <w:bottom w:val="single" w:sz="6" w:space="0" w:color="auto"/>
            </w:tcBorders>
            <w:shd w:val="clear" w:color="auto" w:fill="67AE3C"/>
            <w:vAlign w:val="center"/>
          </w:tcPr>
          <w:p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rsidR="003771A3" w:rsidRPr="00C355B4" w:rsidRDefault="00494847" w:rsidP="00494847">
            <w:pPr>
              <w:jc w:val="both"/>
              <w:rPr>
                <w:rFonts w:ascii="Cambria" w:hAnsi="Cambria"/>
                <w:bCs/>
                <w:sz w:val="19"/>
                <w:szCs w:val="19"/>
              </w:rPr>
            </w:pPr>
            <w:r>
              <w:rPr>
                <w:rFonts w:ascii="Cambria" w:hAnsi="Cambria"/>
                <w:bCs/>
                <w:sz w:val="19"/>
                <w:szCs w:val="19"/>
              </w:rPr>
              <w:t>January 4 and August 11,</w:t>
            </w:r>
            <w:r w:rsidR="00DA7DF0">
              <w:rPr>
                <w:rFonts w:ascii="Cambria" w:hAnsi="Cambria"/>
                <w:bCs/>
                <w:sz w:val="19"/>
                <w:szCs w:val="19"/>
              </w:rPr>
              <w:t xml:space="preserve"> 2018</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rsidR="00F621C3" w:rsidRPr="00C355B4" w:rsidRDefault="00E033E9"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C355B4">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rsidR="00F621C3" w:rsidRPr="00C355B4" w:rsidRDefault="00E033E9"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rsidR="00F621C3" w:rsidRPr="00C355B4" w:rsidRDefault="00E033E9"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rsidR="00F621C3" w:rsidRPr="00C355B4" w:rsidRDefault="00E033E9" w:rsidP="009163FC">
            <w:pPr>
              <w:jc w:val="both"/>
              <w:rPr>
                <w:rFonts w:asciiTheme="majorHAnsi" w:hAnsiTheme="majorHAnsi"/>
                <w:bCs/>
                <w:sz w:val="19"/>
                <w:szCs w:val="19"/>
              </w:rPr>
            </w:pPr>
            <w:r w:rsidRPr="00E033E9">
              <w:rPr>
                <w:rFonts w:asciiTheme="majorHAnsi" w:hAnsiTheme="majorHAnsi"/>
                <w:bCs/>
                <w:sz w:val="19"/>
                <w:szCs w:val="19"/>
              </w:rPr>
              <w:t>Yes, American Convention (deposit of instrument of ratification made on</w:t>
            </w:r>
            <w:r>
              <w:rPr>
                <w:rFonts w:asciiTheme="majorHAnsi" w:hAnsiTheme="majorHAnsi"/>
                <w:bCs/>
                <w:sz w:val="19"/>
                <w:szCs w:val="19"/>
              </w:rPr>
              <w:t xml:space="preserve"> November 12, 1987)</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rsidR="00F621C3" w:rsidRPr="00C355B4" w:rsidRDefault="00E033E9" w:rsidP="009163FC">
            <w:pPr>
              <w:jc w:val="both"/>
              <w:rPr>
                <w:rFonts w:ascii="Cambria" w:hAnsi="Cambria"/>
                <w:bCs/>
                <w:sz w:val="19"/>
                <w:szCs w:val="19"/>
              </w:rPr>
            </w:pPr>
            <w:r>
              <w:rPr>
                <w:rFonts w:ascii="Cambria" w:hAnsi="Cambria"/>
                <w:bCs/>
                <w:sz w:val="19"/>
                <w:szCs w:val="19"/>
              </w:rPr>
              <w:t>No</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rsidR="00F621C3" w:rsidRPr="00C355B4" w:rsidRDefault="001E68F7" w:rsidP="009163FC">
            <w:pPr>
              <w:jc w:val="both"/>
              <w:rPr>
                <w:rFonts w:ascii="Cambria" w:hAnsi="Cambria"/>
                <w:bCs/>
                <w:sz w:val="19"/>
                <w:szCs w:val="19"/>
              </w:rPr>
            </w:pPr>
            <w:r>
              <w:rPr>
                <w:rFonts w:ascii="Cambria" w:hAnsi="Cambria"/>
                <w:bCs/>
                <w:sz w:val="19"/>
                <w:szCs w:val="19"/>
              </w:rPr>
              <w:t xml:space="preserve">Article 4 (right to life), </w:t>
            </w:r>
            <w:r w:rsidR="009E3952">
              <w:rPr>
                <w:rFonts w:ascii="Cambria" w:hAnsi="Cambria"/>
                <w:bCs/>
                <w:sz w:val="19"/>
                <w:szCs w:val="19"/>
              </w:rPr>
              <w:t xml:space="preserve">5 (right </w:t>
            </w:r>
            <w:r w:rsidR="009E3952" w:rsidRPr="00494847">
              <w:rPr>
                <w:rFonts w:ascii="Cambria" w:hAnsi="Cambria"/>
                <w:bCs/>
                <w:sz w:val="19"/>
                <w:szCs w:val="19"/>
              </w:rPr>
              <w:t xml:space="preserve">to physical integrity), </w:t>
            </w:r>
            <w:r w:rsidRPr="00494847">
              <w:rPr>
                <w:rFonts w:ascii="Cambria" w:hAnsi="Cambria"/>
                <w:bCs/>
                <w:sz w:val="19"/>
                <w:szCs w:val="19"/>
              </w:rPr>
              <w:t>8 (right to a fair trial)</w:t>
            </w:r>
            <w:r w:rsidR="00B36AB3" w:rsidRPr="00494847">
              <w:rPr>
                <w:rFonts w:ascii="Cambria" w:hAnsi="Cambria"/>
                <w:bCs/>
                <w:sz w:val="19"/>
                <w:szCs w:val="19"/>
              </w:rPr>
              <w:t xml:space="preserve"> and 25 (right to judicial protection)</w:t>
            </w:r>
            <w:r w:rsidR="00494847">
              <w:t xml:space="preserve"> </w:t>
            </w:r>
            <w:r w:rsidR="00494847" w:rsidRPr="00494847">
              <w:rPr>
                <w:rFonts w:ascii="Cambria" w:hAnsi="Cambria"/>
                <w:bCs/>
                <w:sz w:val="19"/>
                <w:szCs w:val="19"/>
              </w:rPr>
              <w:t>of the American Convention, in relation to its Article 1.1</w:t>
            </w:r>
            <w:r w:rsidRPr="00494847">
              <w:rPr>
                <w:rFonts w:ascii="Cambria" w:hAnsi="Cambria"/>
                <w:bCs/>
                <w:sz w:val="19"/>
                <w:szCs w:val="19"/>
              </w:rPr>
              <w:t>.</w:t>
            </w:r>
            <w:r>
              <w:rPr>
                <w:rFonts w:ascii="Cambria" w:hAnsi="Cambria"/>
                <w:bCs/>
                <w:sz w:val="19"/>
                <w:szCs w:val="19"/>
              </w:rPr>
              <w:t xml:space="preserve"> </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rsidR="00F621C3" w:rsidRPr="00C355B4" w:rsidRDefault="00E033E9" w:rsidP="009163FC">
            <w:pPr>
              <w:rPr>
                <w:rFonts w:ascii="Cambria" w:hAnsi="Cambria"/>
                <w:bCs/>
                <w:sz w:val="19"/>
                <w:szCs w:val="19"/>
              </w:rPr>
            </w:pPr>
            <w:r>
              <w:rPr>
                <w:rFonts w:ascii="Cambria" w:hAnsi="Cambria"/>
                <w:bCs/>
                <w:sz w:val="19"/>
                <w:szCs w:val="19"/>
              </w:rPr>
              <w:t>Yes, under terms of Section VI</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rsidR="00F621C3" w:rsidRPr="00C355B4" w:rsidRDefault="00E033E9" w:rsidP="009163FC">
            <w:pPr>
              <w:rPr>
                <w:rFonts w:asciiTheme="majorHAnsi" w:hAnsiTheme="majorHAnsi"/>
                <w:bCs/>
                <w:sz w:val="19"/>
                <w:szCs w:val="19"/>
              </w:rPr>
            </w:pPr>
            <w:r>
              <w:rPr>
                <w:rFonts w:asciiTheme="majorHAnsi" w:hAnsiTheme="majorHAnsi"/>
                <w:bCs/>
                <w:sz w:val="19"/>
                <w:szCs w:val="19"/>
              </w:rPr>
              <w:t xml:space="preserve">Yes, </w:t>
            </w:r>
            <w:r w:rsidRPr="00E033E9">
              <w:rPr>
                <w:rFonts w:asciiTheme="majorHAnsi" w:hAnsiTheme="majorHAnsi"/>
                <w:bCs/>
                <w:sz w:val="19"/>
                <w:szCs w:val="19"/>
              </w:rPr>
              <w:t>under terms of Section VI</w:t>
            </w:r>
          </w:p>
        </w:tc>
      </w:tr>
    </w:tbl>
    <w:p w:rsidR="00F621C3" w:rsidRPr="000B6B7A" w:rsidRDefault="00F621C3" w:rsidP="006B07EC">
      <w:pPr>
        <w:spacing w:before="12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3D6EE0" w:rsidRDefault="006A7128"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6A7128">
        <w:rPr>
          <w:rFonts w:ascii="Cambria" w:hAnsi="Cambria"/>
          <w:sz w:val="20"/>
          <w:szCs w:val="20"/>
        </w:rPr>
        <w:t>The petitioner contends that on June 13, 2012</w:t>
      </w:r>
      <w:r w:rsidR="001F5772">
        <w:rPr>
          <w:rFonts w:ascii="Cambria" w:hAnsi="Cambria"/>
          <w:sz w:val="20"/>
          <w:szCs w:val="20"/>
        </w:rPr>
        <w:t>,</w:t>
      </w:r>
      <w:r w:rsidRPr="006A7128">
        <w:rPr>
          <w:rFonts w:ascii="Cambria" w:hAnsi="Cambria"/>
          <w:sz w:val="20"/>
          <w:szCs w:val="20"/>
        </w:rPr>
        <w:t xml:space="preserve"> the alleged victims were shot and killed by police officers in a suburb called Tout Lui Faut in circumstances that amounted to extrajudicial execution.   According to the petitioner, </w:t>
      </w:r>
      <w:r w:rsidR="001F5772">
        <w:rPr>
          <w:rFonts w:ascii="Cambria" w:hAnsi="Cambria"/>
          <w:sz w:val="20"/>
          <w:szCs w:val="20"/>
        </w:rPr>
        <w:t xml:space="preserve">the </w:t>
      </w:r>
      <w:r w:rsidRPr="006A7128">
        <w:rPr>
          <w:rFonts w:ascii="Cambria" w:hAnsi="Cambria"/>
          <w:sz w:val="20"/>
          <w:szCs w:val="20"/>
        </w:rPr>
        <w:t xml:space="preserve">alleged victims were </w:t>
      </w:r>
      <w:r w:rsidRPr="00494847">
        <w:rPr>
          <w:rFonts w:ascii="Cambria" w:hAnsi="Cambria"/>
          <w:sz w:val="20"/>
          <w:szCs w:val="20"/>
        </w:rPr>
        <w:t xml:space="preserve">unarmed </w:t>
      </w:r>
      <w:r w:rsidR="00B94232" w:rsidRPr="00494847">
        <w:rPr>
          <w:rFonts w:ascii="Cambria" w:hAnsi="Cambria"/>
          <w:sz w:val="20"/>
          <w:szCs w:val="20"/>
        </w:rPr>
        <w:t xml:space="preserve">and did not represent a threat to national security nor were they confronting the authorities </w:t>
      </w:r>
      <w:r w:rsidRPr="00494847">
        <w:rPr>
          <w:rFonts w:ascii="Cambria" w:hAnsi="Cambria"/>
          <w:sz w:val="20"/>
          <w:szCs w:val="20"/>
        </w:rPr>
        <w:t>at the time that they were killed</w:t>
      </w:r>
      <w:r w:rsidR="007D2889" w:rsidRPr="00494847">
        <w:rPr>
          <w:rFonts w:ascii="Cambria" w:hAnsi="Cambria"/>
          <w:sz w:val="20"/>
          <w:szCs w:val="20"/>
        </w:rPr>
        <w:t>.</w:t>
      </w:r>
      <w:r w:rsidRPr="00494847">
        <w:rPr>
          <w:rStyle w:val="FootnoteReference"/>
          <w:rFonts w:ascii="Cambria" w:hAnsi="Cambria"/>
          <w:sz w:val="20"/>
          <w:szCs w:val="20"/>
        </w:rPr>
        <w:footnoteReference w:id="4"/>
      </w:r>
      <w:r w:rsidRPr="00494847">
        <w:rPr>
          <w:rFonts w:ascii="Cambria" w:hAnsi="Cambria"/>
          <w:sz w:val="20"/>
          <w:szCs w:val="20"/>
        </w:rPr>
        <w:t xml:space="preserve">  The petitioner bases these assertions on information that was supplied to him by family</w:t>
      </w:r>
      <w:r w:rsidRPr="006A7128">
        <w:rPr>
          <w:rFonts w:ascii="Cambria" w:hAnsi="Cambria"/>
          <w:sz w:val="20"/>
          <w:szCs w:val="20"/>
        </w:rPr>
        <w:t xml:space="preserve"> members of the deceased men as well as other unnamed persons.  The petitioner further states that on the day after the killings, a press conference was held by the Minister of Justice, Procurator General and Chief of Police in which the use of lethal force was justified based on the purported criminal activities of the alleged victims. </w:t>
      </w:r>
    </w:p>
    <w:p w:rsidR="006A7128" w:rsidRDefault="006A7128"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6A7128">
        <w:rPr>
          <w:rFonts w:ascii="Cambria" w:hAnsi="Cambria"/>
          <w:sz w:val="20"/>
          <w:szCs w:val="20"/>
        </w:rPr>
        <w:t>The petitioner states that on June 18, he wrote to the Procurator General requesting a criminal investigation into the circumstances that led to the deaths of the alleged victims.  According to the petitioner, the Procurator General responded on June20 to say that a criminal investigation was underway.   The petitioner complains that (a) up to November 2012 he had not received any updates a</w:t>
      </w:r>
      <w:r w:rsidR="001F5772">
        <w:rPr>
          <w:rFonts w:ascii="Cambria" w:hAnsi="Cambria"/>
          <w:sz w:val="20"/>
          <w:szCs w:val="20"/>
        </w:rPr>
        <w:t>bout the investigation; and (b)</w:t>
      </w:r>
      <w:r w:rsidRPr="006A7128">
        <w:rPr>
          <w:rFonts w:ascii="Cambria" w:hAnsi="Cambria"/>
          <w:sz w:val="20"/>
          <w:szCs w:val="20"/>
        </w:rPr>
        <w:t xml:space="preserve"> that a reasonable time for completing the investigation had now elapsed.  Accordingly, the petitioner states that he wrote to the Court of Justice of Suriname on November 26, 2012 on the </w:t>
      </w:r>
      <w:r w:rsidRPr="006A7128">
        <w:rPr>
          <w:rFonts w:ascii="Cambria" w:hAnsi="Cambria"/>
          <w:sz w:val="20"/>
          <w:szCs w:val="20"/>
        </w:rPr>
        <w:lastRenderedPageBreak/>
        <w:t xml:space="preserve">assumption that this tribunal was the ultimate authority responsible for supervising the investigation.  The petitioner affirms that he received a response from the Court of Justice on December 6, 2012 in which the Court stated that could not interfere with the investigation and that it was up to petitioner to follow up with the Procurator General.  Ultimately, the petitioner complains that there has been undue delay in the investigation, and that in any event, the investigation has </w:t>
      </w:r>
      <w:r w:rsidRPr="00D714F5">
        <w:rPr>
          <w:rFonts w:ascii="Cambria" w:hAnsi="Cambria"/>
          <w:sz w:val="20"/>
          <w:szCs w:val="20"/>
        </w:rPr>
        <w:t xml:space="preserve">not </w:t>
      </w:r>
      <w:r w:rsidR="003576E7" w:rsidRPr="00D714F5">
        <w:rPr>
          <w:rFonts w:ascii="Cambria" w:hAnsi="Cambria"/>
          <w:sz w:val="20"/>
          <w:szCs w:val="20"/>
        </w:rPr>
        <w:t xml:space="preserve">been </w:t>
      </w:r>
      <w:r w:rsidRPr="00D714F5">
        <w:rPr>
          <w:rFonts w:ascii="Cambria" w:hAnsi="Cambria"/>
          <w:sz w:val="20"/>
          <w:szCs w:val="20"/>
        </w:rPr>
        <w:t>impartial.   The petitioner also asserts that there are no available or effective domestic remedies to redress this statu</w:t>
      </w:r>
      <w:r w:rsidR="003576E7" w:rsidRPr="00D714F5">
        <w:rPr>
          <w:rFonts w:ascii="Cambria" w:hAnsi="Cambria"/>
          <w:sz w:val="20"/>
          <w:szCs w:val="20"/>
        </w:rPr>
        <w:t>s</w:t>
      </w:r>
      <w:r w:rsidRPr="006A7128">
        <w:rPr>
          <w:rFonts w:ascii="Cambria" w:hAnsi="Cambria"/>
          <w:sz w:val="20"/>
          <w:szCs w:val="20"/>
        </w:rPr>
        <w:t xml:space="preserve"> quo.</w:t>
      </w:r>
    </w:p>
    <w:p w:rsidR="006A7128" w:rsidRDefault="00B90132"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B90132">
        <w:rPr>
          <w:rFonts w:ascii="Cambria" w:hAnsi="Cambria"/>
          <w:sz w:val="20"/>
          <w:szCs w:val="20"/>
        </w:rPr>
        <w:t>According to the State, an investigation was initiated by the Procurator General in 2012, but that due to its complexity, the Procurator General later referred the investigation to the Supervisory Judge of Criminal Matters in 2013.  The State indicates that the Supervisory Judge ultimately closed the investigation on February 5, 2016, with a finding that there was no legal or evidential basis to prosecute any of the police officers involved in the killings of the alleged victims.  Based on this finding, the State affirms that the Procurator General declined to initiate any prosecutions.  The State also contends that the alleged victims were armed members of a criminal gang travelling in a vehicle, who were killed by the police when they attempted to evade apprehension.  According to the State, the use of lethal force was justified and that this was ultimately the finding of the prosecutorial and judicial investigations into the killings.  The State concedes that the investigation took longer than “is common in other criminal cases”, but attributed this to the fact that “both the relatives of the deceased as well as the police officers deserved a fair hearing…”.  The State emphasizes that the investigation process was conducted fairly and impartially in accordance with the laws of Suriname.</w:t>
      </w:r>
    </w:p>
    <w:p w:rsidR="00B90132" w:rsidRPr="006318B2" w:rsidRDefault="00B90132"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B90132">
        <w:rPr>
          <w:rFonts w:ascii="Cambria" w:hAnsi="Cambria"/>
          <w:sz w:val="20"/>
          <w:szCs w:val="20"/>
        </w:rPr>
        <w:t>The State contends that the relatives of the deceased could have challenged the decision of the Procurator General by way of appeal to the Court of Justice but that they failed to do so.  Accordingly, the State concluded that there was a failure to exhaust domestic remedies.</w:t>
      </w:r>
    </w:p>
    <w:p w:rsidR="00F621C3" w:rsidRPr="000B6B7A" w:rsidRDefault="00F621C3" w:rsidP="006B07EC">
      <w:pPr>
        <w:spacing w:before="12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263BF5" w:rsidRDefault="00774436"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774436">
        <w:rPr>
          <w:rFonts w:ascii="Cambria" w:hAnsi="Cambria"/>
          <w:sz w:val="20"/>
          <w:szCs w:val="20"/>
        </w:rPr>
        <w:t xml:space="preserve">The petitioner contends that apart from making a complaint to the Procurator General, there were no other effective domestic remedies available.  The petitioner complains that the investigation by the State lacked impartiality and that there was undue delay in completing the investigation.   While the State acknowledges that the investigation took longer than usual, it asserts that this was due to the complexity of the issues involved.  The State concludes that its investigation was conducted with due regard for the requirements of Surinamese law;  and that in any event, it was open to the petitioner  to appeal to the Court of Justice if he was dissatisfied with the outcome of the investigation.  In this respect, the State contends that the petitioner failed to exhaust domestic remedies. </w:t>
      </w:r>
    </w:p>
    <w:p w:rsidR="00774436" w:rsidRDefault="00774436"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774436">
        <w:rPr>
          <w:rFonts w:ascii="Cambria" w:hAnsi="Cambria"/>
          <w:sz w:val="20"/>
          <w:szCs w:val="20"/>
        </w:rPr>
        <w:t>The Commission has established that in situations related to possible violations of the right to life and humane treatment, the domestic remedies to be taken into account for the purposes of admissibility of the petition are those related to the investigation and punishment of those responsible, which are reflected in domestic legislation as crimes prosecuted ex officio</w:t>
      </w:r>
      <w:r w:rsidR="007D2889">
        <w:rPr>
          <w:rFonts w:ascii="Cambria" w:hAnsi="Cambria"/>
          <w:sz w:val="20"/>
          <w:szCs w:val="20"/>
        </w:rPr>
        <w:t>.</w:t>
      </w:r>
      <w:r>
        <w:rPr>
          <w:rStyle w:val="FootnoteReference"/>
          <w:rFonts w:ascii="Cambria" w:hAnsi="Cambria"/>
          <w:sz w:val="20"/>
          <w:szCs w:val="20"/>
        </w:rPr>
        <w:footnoteReference w:id="5"/>
      </w:r>
      <w:r w:rsidRPr="00774436">
        <w:rPr>
          <w:rFonts w:ascii="Cambria" w:hAnsi="Cambria"/>
          <w:sz w:val="20"/>
          <w:szCs w:val="20"/>
        </w:rPr>
        <w:t>.</w:t>
      </w:r>
      <w:r w:rsidR="007D2889">
        <w:rPr>
          <w:rFonts w:ascii="Cambria" w:hAnsi="Cambria"/>
          <w:sz w:val="20"/>
          <w:szCs w:val="20"/>
        </w:rPr>
        <w:t xml:space="preserve"> </w:t>
      </w:r>
      <w:r w:rsidR="00EB6A9A" w:rsidRPr="00EB6A9A">
        <w:t xml:space="preserve"> </w:t>
      </w:r>
      <w:r w:rsidR="00EB6A9A">
        <w:rPr>
          <w:rFonts w:ascii="Cambria" w:hAnsi="Cambria"/>
          <w:sz w:val="20"/>
          <w:szCs w:val="20"/>
        </w:rPr>
        <w:t xml:space="preserve">Such an investigation is the </w:t>
      </w:r>
      <w:r w:rsidR="00EB6A9A" w:rsidRPr="00EB6A9A">
        <w:rPr>
          <w:rFonts w:ascii="Cambria" w:hAnsi="Cambria"/>
          <w:sz w:val="20"/>
          <w:szCs w:val="20"/>
        </w:rPr>
        <w:t>only adequate avenue to clarify the facts and impose appropriate criminal sanctions, in addition to enabling other means of financial compensation.</w:t>
      </w:r>
      <w:r w:rsidRPr="00774436">
        <w:rPr>
          <w:rFonts w:ascii="Cambria" w:hAnsi="Cambria"/>
          <w:sz w:val="20"/>
          <w:szCs w:val="20"/>
        </w:rPr>
        <w:t xml:space="preserve"> </w:t>
      </w:r>
      <w:r w:rsidR="00EB6A9A">
        <w:rPr>
          <w:rFonts w:ascii="Cambria" w:hAnsi="Cambria"/>
          <w:sz w:val="20"/>
          <w:szCs w:val="20"/>
        </w:rPr>
        <w:t xml:space="preserve"> </w:t>
      </w:r>
      <w:r w:rsidRPr="00774436">
        <w:rPr>
          <w:rFonts w:ascii="Cambria" w:hAnsi="Cambria"/>
          <w:sz w:val="20"/>
          <w:szCs w:val="20"/>
        </w:rPr>
        <w:t xml:space="preserve">In this regard, the Commission notes that the State did, at the request of the petitioner, undertake an investigation following which it concluded that there was no basis to prosecute any of the state agents involved in the killing of the alleged victims.  For the purpose of exhaustion of domestic remedies, the Commission does not consider that the petitioner was obliged to appeal to the Court of Justice as argued by the State.  As it relates to the alleged undue delay in completing the investigation, the Commission makes an assessment of the circumstances, and an analysis on a case-by-case basis to determine if there has been an unwarranted delay. As a general rule, the Commission has established that a criminal investigation shall be carried out promptly to protect the interests of the victims and to preserve evidence. To determine if an investigation has been carried out “promptly,” the Commission takes into account a series of factors such as the time elapsed since the offense was committed, if the investigation is beyond than the </w:t>
      </w:r>
      <w:r w:rsidRPr="00774436">
        <w:rPr>
          <w:rFonts w:ascii="Cambria" w:hAnsi="Cambria"/>
          <w:sz w:val="20"/>
          <w:szCs w:val="20"/>
        </w:rPr>
        <w:lastRenderedPageBreak/>
        <w:t xml:space="preserve">preliminary stage, the measures adopted by the authorities, and the complexity of the case.  In the Commission’s view, the State has presented no compelling reasons to justify a four-year long investigation; and accordingly, the Commission finds that there was undue delay in completing this investigation. </w:t>
      </w:r>
    </w:p>
    <w:p w:rsidR="00774436" w:rsidRPr="000B6B7A" w:rsidRDefault="00774436"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774436">
        <w:rPr>
          <w:rFonts w:ascii="Cambria" w:hAnsi="Cambria"/>
          <w:sz w:val="20"/>
          <w:szCs w:val="20"/>
        </w:rPr>
        <w:t xml:space="preserve"> Based on the foregoing, the Commission concludes that the petition meets the requirement of exhaustion of domestic remedies set out at Article 46(1)(a) of the Convention.  The Commission notes that the petition was filed on June 26, 2013, which it considers to be a reasonable time, having regard for the chronology of circumstances that gave rise to the petition.  Accordingly, the IACHR considers that the petition meets the requirement of timeliness and is therefore admissible.</w:t>
      </w:r>
    </w:p>
    <w:p w:rsidR="00F621C3" w:rsidRPr="00E13526" w:rsidRDefault="00F621C3" w:rsidP="006B07EC">
      <w:pPr>
        <w:pStyle w:val="ListParagraph"/>
        <w:spacing w:before="120" w:after="240"/>
        <w:jc w:val="both"/>
        <w:rPr>
          <w:rFonts w:asciiTheme="majorHAnsi" w:hAnsiTheme="majorHAnsi"/>
          <w:b/>
          <w:sz w:val="20"/>
          <w:szCs w:val="20"/>
        </w:rPr>
      </w:pPr>
      <w:r w:rsidRPr="00E13526">
        <w:rPr>
          <w:rFonts w:asciiTheme="majorHAnsi" w:hAnsiTheme="majorHAnsi"/>
          <w:b/>
          <w:bCs/>
          <w:sz w:val="20"/>
          <w:szCs w:val="20"/>
        </w:rPr>
        <w:t>VII.</w:t>
      </w:r>
      <w:r w:rsidRPr="00E13526">
        <w:rPr>
          <w:rFonts w:asciiTheme="majorHAnsi" w:hAnsiTheme="majorHAnsi"/>
          <w:b/>
          <w:bCs/>
          <w:sz w:val="20"/>
          <w:szCs w:val="20"/>
        </w:rPr>
        <w:tab/>
        <w:t>COLORABLE CLAIM</w:t>
      </w:r>
    </w:p>
    <w:p w:rsidR="00FE43C0" w:rsidRPr="00E13526" w:rsidRDefault="00774436"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E13526">
        <w:rPr>
          <w:rFonts w:ascii="Cambria" w:hAnsi="Cambria"/>
          <w:sz w:val="20"/>
          <w:szCs w:val="20"/>
        </w:rPr>
        <w:t xml:space="preserve">With respect to the killings of the alleged victims, the IACHR notes that the State conducted an investigation both at the level of the Procurator General and the judiciary.  This investigation concluded that there was no legal or evidential basis to prosecute any of the police officers involved in the killings.  </w:t>
      </w:r>
      <w:r w:rsidR="00562BAF" w:rsidRPr="00E13526">
        <w:rPr>
          <w:rFonts w:ascii="Cambria" w:hAnsi="Cambria"/>
          <w:sz w:val="20"/>
          <w:szCs w:val="20"/>
        </w:rPr>
        <w:t>However, the State has not clarified the facts leading to the homicides of the four alleged victims. In the circumstances, the Commission considers that alleged extrajudicial executions of the alleged victims, the failure to clarify the facts leading to these homicides, together with the delay in completing the investigation could char</w:t>
      </w:r>
      <w:r w:rsidR="00875219" w:rsidRPr="00E13526">
        <w:rPr>
          <w:rFonts w:ascii="Cambria" w:hAnsi="Cambria"/>
          <w:sz w:val="20"/>
          <w:szCs w:val="20"/>
        </w:rPr>
        <w:t>acterize possible allegations</w:t>
      </w:r>
      <w:r w:rsidR="00562BAF" w:rsidRPr="00E13526">
        <w:rPr>
          <w:rFonts w:ascii="Cambria" w:hAnsi="Cambria"/>
          <w:sz w:val="20"/>
          <w:szCs w:val="20"/>
        </w:rPr>
        <w:t xml:space="preserve"> </w:t>
      </w:r>
      <w:r w:rsidRPr="00E13526">
        <w:rPr>
          <w:rFonts w:ascii="Cambria" w:hAnsi="Cambria"/>
          <w:sz w:val="20"/>
          <w:szCs w:val="20"/>
        </w:rPr>
        <w:t>of the rights enshrined in Articles 4 (right to life), 8 (right to fair trial)</w:t>
      </w:r>
      <w:r w:rsidR="00AF46BF" w:rsidRPr="00E13526">
        <w:rPr>
          <w:rFonts w:ascii="Cambria" w:hAnsi="Cambria"/>
          <w:sz w:val="20"/>
          <w:szCs w:val="20"/>
        </w:rPr>
        <w:t xml:space="preserve"> and 25 (right to judicial protection)</w:t>
      </w:r>
      <w:r w:rsidRPr="00E13526">
        <w:rPr>
          <w:rFonts w:ascii="Cambria" w:hAnsi="Cambria"/>
          <w:sz w:val="20"/>
          <w:szCs w:val="20"/>
        </w:rPr>
        <w:t xml:space="preserve"> of the American Convention.  </w:t>
      </w:r>
      <w:r w:rsidR="009E3952" w:rsidRPr="00E13526">
        <w:t xml:space="preserve"> </w:t>
      </w:r>
      <w:r w:rsidR="009E3952" w:rsidRPr="00E13526">
        <w:rPr>
          <w:rFonts w:ascii="Cambria" w:hAnsi="Cambria"/>
          <w:sz w:val="20"/>
          <w:szCs w:val="20"/>
        </w:rPr>
        <w:t>Likewise, the same allegations, if proven, could constitute a violation of the rights enshrined in Article 5 (physical integrity), 8 (fair trial) and 25 (judicial protection) of the American Convention, in accordance with Article 1.1 of the same instrument, in relation to the relatives of alleged victims.</w:t>
      </w:r>
    </w:p>
    <w:p w:rsidR="00F621C3" w:rsidRPr="00E13526" w:rsidRDefault="00FE43C0" w:rsidP="006B0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E13526">
        <w:rPr>
          <w:rFonts w:ascii="Cambria" w:hAnsi="Cambria"/>
          <w:sz w:val="20"/>
          <w:szCs w:val="20"/>
        </w:rPr>
        <w:t>T</w:t>
      </w:r>
      <w:r w:rsidR="00774436" w:rsidRPr="00E13526">
        <w:rPr>
          <w:rFonts w:ascii="Cambria" w:hAnsi="Cambria"/>
          <w:sz w:val="20"/>
          <w:szCs w:val="20"/>
        </w:rPr>
        <w:t xml:space="preserve">he IACHR considers that the petitioner has not presented sufficient evidence to demonstrate a possible violation of the rights </w:t>
      </w:r>
      <w:r w:rsidR="00800F73">
        <w:rPr>
          <w:rFonts w:ascii="Cambria" w:hAnsi="Cambria"/>
          <w:sz w:val="20"/>
          <w:szCs w:val="20"/>
        </w:rPr>
        <w:t>recognized</w:t>
      </w:r>
      <w:r w:rsidR="00800F73" w:rsidRPr="00E13526">
        <w:rPr>
          <w:rFonts w:ascii="Cambria" w:hAnsi="Cambria"/>
          <w:sz w:val="20"/>
          <w:szCs w:val="20"/>
        </w:rPr>
        <w:t xml:space="preserve"> </w:t>
      </w:r>
      <w:r w:rsidR="00774436" w:rsidRPr="00E13526">
        <w:rPr>
          <w:rFonts w:ascii="Cambria" w:hAnsi="Cambria"/>
          <w:sz w:val="20"/>
          <w:szCs w:val="20"/>
        </w:rPr>
        <w:t>in Article 27 (1) and (2) [suspension of guarantees] of the American Convention.</w:t>
      </w:r>
    </w:p>
    <w:p w:rsidR="00F621C3" w:rsidRPr="000B6B7A" w:rsidRDefault="00F621C3" w:rsidP="006B07EC">
      <w:pPr>
        <w:pStyle w:val="ListParagraph"/>
        <w:spacing w:before="120" w:after="240"/>
        <w:jc w:val="both"/>
        <w:rPr>
          <w:rFonts w:asciiTheme="majorHAnsi" w:hAnsiTheme="majorHAnsi"/>
          <w:b/>
          <w:bCs/>
          <w:sz w:val="20"/>
          <w:szCs w:val="20"/>
        </w:rPr>
      </w:pPr>
      <w:r w:rsidRPr="00E13526">
        <w:rPr>
          <w:rFonts w:asciiTheme="majorHAnsi" w:hAnsiTheme="majorHAnsi"/>
          <w:b/>
          <w:bCs/>
          <w:sz w:val="20"/>
          <w:szCs w:val="20"/>
        </w:rPr>
        <w:t xml:space="preserve">VIII. </w:t>
      </w:r>
      <w:r w:rsidRPr="00E13526">
        <w:rPr>
          <w:rFonts w:asciiTheme="majorHAnsi" w:hAnsiTheme="majorHAnsi"/>
          <w:b/>
          <w:bCs/>
          <w:sz w:val="20"/>
          <w:szCs w:val="20"/>
        </w:rPr>
        <w:tab/>
        <w:t>DECISION</w:t>
      </w:r>
    </w:p>
    <w:p w:rsidR="00875219" w:rsidRPr="007D2889" w:rsidRDefault="00F621C3" w:rsidP="006B07EC">
      <w:pPr>
        <w:pStyle w:val="ListParagraph"/>
        <w:numPr>
          <w:ilvl w:val="0"/>
          <w:numId w:val="105"/>
        </w:numPr>
        <w:spacing w:before="120" w:after="240"/>
        <w:jc w:val="both"/>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1C3D0D">
        <w:rPr>
          <w:rFonts w:asciiTheme="majorHAnsi" w:hAnsiTheme="majorHAnsi"/>
          <w:color w:val="auto"/>
          <w:sz w:val="20"/>
          <w:szCs w:val="20"/>
        </w:rPr>
        <w:t>admissible</w:t>
      </w:r>
      <w:r w:rsidR="00B36AB3">
        <w:rPr>
          <w:rFonts w:asciiTheme="majorHAnsi" w:hAnsiTheme="majorHAnsi"/>
          <w:color w:val="auto"/>
          <w:sz w:val="20"/>
          <w:szCs w:val="20"/>
        </w:rPr>
        <w:t xml:space="preserve"> in relation to Articles 4, </w:t>
      </w:r>
      <w:r w:rsidR="009E3952">
        <w:rPr>
          <w:rFonts w:asciiTheme="majorHAnsi" w:hAnsiTheme="majorHAnsi"/>
          <w:color w:val="auto"/>
          <w:sz w:val="20"/>
          <w:szCs w:val="20"/>
        </w:rPr>
        <w:t xml:space="preserve">5, </w:t>
      </w:r>
      <w:r w:rsidR="00875219" w:rsidRPr="009E3952">
        <w:rPr>
          <w:rFonts w:asciiTheme="majorHAnsi" w:hAnsiTheme="majorHAnsi"/>
          <w:color w:val="auto"/>
          <w:sz w:val="20"/>
          <w:szCs w:val="20"/>
        </w:rPr>
        <w:t xml:space="preserve">8 </w:t>
      </w:r>
      <w:r w:rsidR="00B36AB3" w:rsidRPr="009E3952">
        <w:rPr>
          <w:rFonts w:asciiTheme="majorHAnsi" w:hAnsiTheme="majorHAnsi"/>
          <w:color w:val="auto"/>
          <w:sz w:val="20"/>
          <w:szCs w:val="20"/>
        </w:rPr>
        <w:t xml:space="preserve">and 25 </w:t>
      </w:r>
      <w:r w:rsidR="00875219" w:rsidRPr="009E3952">
        <w:rPr>
          <w:rFonts w:asciiTheme="majorHAnsi" w:hAnsiTheme="majorHAnsi"/>
          <w:color w:val="auto"/>
          <w:sz w:val="20"/>
          <w:szCs w:val="20"/>
        </w:rPr>
        <w:t xml:space="preserve">of </w:t>
      </w:r>
      <w:r w:rsidR="00875219">
        <w:rPr>
          <w:rFonts w:asciiTheme="majorHAnsi" w:hAnsiTheme="majorHAnsi"/>
          <w:color w:val="auto"/>
          <w:sz w:val="20"/>
          <w:szCs w:val="20"/>
        </w:rPr>
        <w:t>the American Convention in conjunction with Article 1.1</w:t>
      </w:r>
      <w:r w:rsidR="00E13526">
        <w:rPr>
          <w:rFonts w:asciiTheme="majorHAnsi" w:hAnsiTheme="majorHAnsi"/>
          <w:color w:val="auto"/>
          <w:sz w:val="20"/>
          <w:szCs w:val="20"/>
        </w:rPr>
        <w:t xml:space="preserve"> of the same instrument</w:t>
      </w:r>
      <w:r w:rsidR="001C3D0D">
        <w:rPr>
          <w:rFonts w:asciiTheme="majorHAnsi" w:hAnsiTheme="majorHAnsi"/>
          <w:color w:val="auto"/>
          <w:sz w:val="20"/>
          <w:szCs w:val="20"/>
        </w:rPr>
        <w:t>;</w:t>
      </w:r>
      <w:r w:rsidRPr="000B6B7A">
        <w:rPr>
          <w:rFonts w:asciiTheme="majorHAnsi" w:hAnsiTheme="majorHAnsi"/>
          <w:color w:val="FF0000"/>
          <w:sz w:val="20"/>
          <w:szCs w:val="20"/>
        </w:rPr>
        <w:t xml:space="preserve"> </w:t>
      </w:r>
    </w:p>
    <w:p w:rsidR="00F621C3" w:rsidRPr="000B6B7A" w:rsidRDefault="00875219" w:rsidP="006B07EC">
      <w:pPr>
        <w:pStyle w:val="ListParagraph"/>
        <w:numPr>
          <w:ilvl w:val="0"/>
          <w:numId w:val="105"/>
        </w:numPr>
        <w:spacing w:before="120" w:after="240"/>
        <w:rPr>
          <w:rFonts w:eastAsia="Arial Unicode MS" w:cs="Times New Roman"/>
          <w:color w:val="auto"/>
          <w:sz w:val="20"/>
          <w:szCs w:val="20"/>
          <w:lang w:eastAsia="en-US"/>
        </w:rPr>
      </w:pPr>
      <w:r w:rsidRPr="009E3952">
        <w:rPr>
          <w:rFonts w:asciiTheme="majorHAnsi" w:hAnsiTheme="majorHAnsi"/>
          <w:color w:val="auto"/>
          <w:sz w:val="20"/>
          <w:szCs w:val="20"/>
        </w:rPr>
        <w:t xml:space="preserve">To find this petition inadmissible in relation to Article 27 of the American Convention; </w:t>
      </w:r>
      <w:r w:rsidR="001F1902">
        <w:rPr>
          <w:rFonts w:eastAsia="Arial Unicode MS" w:cs="Times New Roman"/>
          <w:color w:val="auto"/>
          <w:sz w:val="20"/>
          <w:szCs w:val="20"/>
          <w:lang w:eastAsia="en-US"/>
        </w:rPr>
        <w:t>and</w:t>
      </w:r>
    </w:p>
    <w:p w:rsidR="00F621C3" w:rsidRPr="00032A42" w:rsidRDefault="00F621C3" w:rsidP="006B07E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Pr="001F1902">
        <w:rPr>
          <w:rFonts w:asciiTheme="majorHAnsi" w:hAnsiTheme="majorHAnsi"/>
          <w:sz w:val="20"/>
          <w:szCs w:val="20"/>
        </w:rPr>
        <w:t xml:space="preserve">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032A42" w:rsidRPr="006B07EC" w:rsidRDefault="00032A42" w:rsidP="006B07EC">
      <w:pPr>
        <w:suppressAutoHyphens/>
        <w:spacing w:after="240"/>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6</w:t>
      </w:r>
      <w:r w:rsidRPr="006D25D7">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 xml:space="preserve">day of the month of December, 2018. </w:t>
      </w:r>
      <w:r w:rsidRPr="006D25D7">
        <w:rPr>
          <w:rFonts w:ascii="Cambria" w:hAnsi="Cambria"/>
          <w:sz w:val="20"/>
        </w:rPr>
        <w:t xml:space="preserve">Margarette May Macaulay, President; Esmeralda E. Arosemena Bernal de Troitiño, First Vice President; Luis Ernesto Vargas Silva, Second Vice President; Francisco José Eguiguren Praeli, Joel Hernández García, Antonia Urrejola, and </w:t>
      </w:r>
      <w:proofErr w:type="spellStart"/>
      <w:r w:rsidRPr="006D25D7">
        <w:rPr>
          <w:rFonts w:ascii="Cambria" w:hAnsi="Cambria"/>
          <w:sz w:val="20"/>
        </w:rPr>
        <w:t>Flávia</w:t>
      </w:r>
      <w:proofErr w:type="spellEnd"/>
      <w:r w:rsidRPr="006D25D7">
        <w:rPr>
          <w:rFonts w:ascii="Cambria" w:hAnsi="Cambria"/>
          <w:sz w:val="20"/>
        </w:rPr>
        <w:t xml:space="preserve"> </w:t>
      </w:r>
      <w:proofErr w:type="spellStart"/>
      <w:r w:rsidRPr="006D25D7">
        <w:rPr>
          <w:rFonts w:ascii="Cambria" w:hAnsi="Cambria"/>
          <w:sz w:val="20"/>
        </w:rPr>
        <w:t>Piovesan</w:t>
      </w:r>
      <w:proofErr w:type="spellEnd"/>
      <w:r w:rsidRPr="006D25D7">
        <w:rPr>
          <w:rFonts w:ascii="Cambria" w:hAnsi="Cambria"/>
          <w:sz w:val="20"/>
        </w:rPr>
        <w:t>,</w:t>
      </w:r>
      <w:r w:rsidRPr="006D25D7">
        <w:rPr>
          <w:rFonts w:ascii="Cambria" w:hAnsi="Cambria" w:cs="Arial"/>
          <w:noProof/>
          <w:spacing w:val="-2"/>
          <w:sz w:val="20"/>
        </w:rPr>
        <w:t xml:space="preserve">  </w:t>
      </w:r>
      <w:r w:rsidRPr="006D25D7">
        <w:rPr>
          <w:rFonts w:ascii="Cambria" w:hAnsi="Cambria"/>
          <w:spacing w:val="-2"/>
          <w:sz w:val="20"/>
        </w:rPr>
        <w:t>Commissioners.</w:t>
      </w:r>
    </w:p>
    <w:sectPr w:rsidR="00032A42" w:rsidRPr="006B07E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8A" w:rsidRDefault="0018798A" w:rsidP="00036A8A">
      <w:r>
        <w:separator/>
      </w:r>
    </w:p>
  </w:endnote>
  <w:endnote w:type="continuationSeparator" w:id="0">
    <w:p w:rsidR="0018798A" w:rsidRDefault="0018798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12" w:rsidRDefault="004D3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D3912">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8A" w:rsidRPr="00036A8A" w:rsidRDefault="0018798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8798A" w:rsidRPr="00036A8A" w:rsidRDefault="0018798A" w:rsidP="00036A8A">
      <w:pPr>
        <w:rPr>
          <w:rFonts w:asciiTheme="majorHAnsi" w:hAnsiTheme="majorHAnsi"/>
          <w:sz w:val="16"/>
          <w:szCs w:val="16"/>
        </w:rPr>
      </w:pPr>
      <w:r w:rsidRPr="00036A8A">
        <w:rPr>
          <w:rFonts w:asciiTheme="majorHAnsi" w:hAnsiTheme="majorHAnsi"/>
          <w:sz w:val="16"/>
          <w:szCs w:val="16"/>
        </w:rPr>
        <w:separator/>
      </w:r>
    </w:p>
    <w:p w:rsidR="0018798A" w:rsidRPr="00036A8A" w:rsidRDefault="0018798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18798A" w:rsidRPr="0093441A" w:rsidRDefault="0018798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D6EE0" w:rsidRPr="008546E5" w:rsidRDefault="003D6EE0" w:rsidP="003D6EE0">
      <w:pPr>
        <w:pStyle w:val="FootnoteText"/>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Hereinafter “the </w:t>
      </w:r>
      <w:r w:rsidR="00C77DE7">
        <w:rPr>
          <w:rFonts w:ascii="Cambria" w:hAnsi="Cambria"/>
          <w:sz w:val="16"/>
          <w:szCs w:val="16"/>
        </w:rPr>
        <w:t>American Convention</w:t>
      </w:r>
      <w:r w:rsidRPr="008546E5">
        <w:rPr>
          <w:rFonts w:ascii="Cambria" w:hAnsi="Cambria"/>
          <w:sz w:val="16"/>
          <w:szCs w:val="16"/>
        </w:rPr>
        <w:t>” or “</w:t>
      </w:r>
      <w:r w:rsidR="00C77DE7">
        <w:rPr>
          <w:rFonts w:ascii="Cambria" w:hAnsi="Cambria"/>
          <w:sz w:val="16"/>
          <w:szCs w:val="16"/>
        </w:rPr>
        <w:t>the Convention</w:t>
      </w:r>
      <w:r w:rsidRPr="008546E5">
        <w:rPr>
          <w:rFonts w:ascii="Cambria" w:hAnsi="Cambria"/>
          <w:sz w:val="16"/>
          <w:szCs w:val="16"/>
        </w:rPr>
        <w:t>”.</w:t>
      </w:r>
    </w:p>
  </w:footnote>
  <w:footnote w:id="3">
    <w:p w:rsidR="00653EA6" w:rsidRPr="008546E5" w:rsidRDefault="00653EA6" w:rsidP="003D6EE0">
      <w:pPr>
        <w:pStyle w:val="FootnoteText"/>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The observations </w:t>
      </w:r>
      <w:r w:rsidR="00321AFD" w:rsidRPr="008546E5">
        <w:rPr>
          <w:rFonts w:ascii="Cambria" w:hAnsi="Cambria"/>
          <w:sz w:val="16"/>
          <w:szCs w:val="16"/>
        </w:rPr>
        <w:t>submitted</w:t>
      </w:r>
      <w:r w:rsidRPr="008546E5">
        <w:rPr>
          <w:rFonts w:ascii="Cambria" w:hAnsi="Cambria"/>
          <w:sz w:val="16"/>
          <w:szCs w:val="16"/>
        </w:rPr>
        <w:t xml:space="preserve"> by each party were duly transmitted to the opposing party.</w:t>
      </w:r>
    </w:p>
  </w:footnote>
  <w:footnote w:id="4">
    <w:p w:rsidR="006A7128" w:rsidRPr="006A7128" w:rsidRDefault="006A7128">
      <w:pPr>
        <w:pStyle w:val="FootnoteText"/>
        <w:rPr>
          <w:rFonts w:asciiTheme="majorHAnsi" w:hAnsiTheme="majorHAnsi"/>
          <w:sz w:val="16"/>
          <w:szCs w:val="16"/>
        </w:rPr>
      </w:pPr>
      <w:r w:rsidRPr="006A7128">
        <w:rPr>
          <w:rStyle w:val="FootnoteReference"/>
          <w:rFonts w:asciiTheme="majorHAnsi" w:hAnsiTheme="majorHAnsi"/>
          <w:sz w:val="16"/>
          <w:szCs w:val="16"/>
        </w:rPr>
        <w:footnoteRef/>
      </w:r>
      <w:r w:rsidRPr="006A7128">
        <w:rPr>
          <w:rFonts w:asciiTheme="majorHAnsi" w:hAnsiTheme="majorHAnsi"/>
          <w:sz w:val="16"/>
          <w:szCs w:val="16"/>
        </w:rPr>
        <w:t xml:space="preserve"> According to the petitioner, these homicides of the alleged victims are in keeping with a pattern of extrajudicial killings carried in Suriname by the police since 2004.</w:t>
      </w:r>
    </w:p>
  </w:footnote>
  <w:footnote w:id="5">
    <w:p w:rsidR="00774436" w:rsidRPr="00774436" w:rsidRDefault="00774436">
      <w:pPr>
        <w:pStyle w:val="FootnoteText"/>
        <w:rPr>
          <w:rFonts w:asciiTheme="majorHAnsi" w:hAnsiTheme="majorHAnsi"/>
          <w:sz w:val="16"/>
          <w:szCs w:val="16"/>
        </w:rPr>
      </w:pPr>
      <w:r w:rsidRPr="00774436">
        <w:rPr>
          <w:rStyle w:val="FootnoteReference"/>
          <w:rFonts w:asciiTheme="majorHAnsi" w:hAnsiTheme="majorHAnsi"/>
          <w:sz w:val="16"/>
          <w:szCs w:val="16"/>
        </w:rPr>
        <w:footnoteRef/>
      </w:r>
      <w:r w:rsidRPr="00774436">
        <w:rPr>
          <w:rFonts w:asciiTheme="majorHAnsi" w:hAnsiTheme="majorHAnsi"/>
          <w:sz w:val="16"/>
          <w:szCs w:val="16"/>
        </w:rPr>
        <w:t xml:space="preserve"> IAHCR, Report No. 155/17, Petition 1470-08. Admissibility. </w:t>
      </w:r>
      <w:r w:rsidRPr="006B07EC">
        <w:rPr>
          <w:rFonts w:asciiTheme="majorHAnsi" w:hAnsiTheme="majorHAnsi"/>
          <w:sz w:val="16"/>
          <w:szCs w:val="16"/>
          <w:lang w:val="es-US"/>
        </w:rPr>
        <w:t xml:space="preserve">Beatriz Elena San Miguel Bastidas and </w:t>
      </w:r>
      <w:proofErr w:type="spellStart"/>
      <w:r w:rsidRPr="006B07EC">
        <w:rPr>
          <w:rFonts w:asciiTheme="majorHAnsi" w:hAnsiTheme="majorHAnsi"/>
          <w:sz w:val="16"/>
          <w:szCs w:val="16"/>
          <w:lang w:val="es-US"/>
        </w:rPr>
        <w:t>family</w:t>
      </w:r>
      <w:proofErr w:type="spellEnd"/>
      <w:r w:rsidRPr="006B07EC">
        <w:rPr>
          <w:rFonts w:asciiTheme="majorHAnsi" w:hAnsiTheme="majorHAnsi"/>
          <w:sz w:val="16"/>
          <w:szCs w:val="16"/>
          <w:lang w:val="es-US"/>
        </w:rPr>
        <w:t xml:space="preserve">. </w:t>
      </w:r>
      <w:proofErr w:type="spellStart"/>
      <w:r w:rsidRPr="00774436">
        <w:rPr>
          <w:rFonts w:asciiTheme="majorHAnsi" w:hAnsiTheme="majorHAnsi"/>
          <w:sz w:val="16"/>
          <w:szCs w:val="16"/>
        </w:rPr>
        <w:t>Colombia.November</w:t>
      </w:r>
      <w:proofErr w:type="spellEnd"/>
      <w:r w:rsidRPr="00774436">
        <w:rPr>
          <w:rFonts w:asciiTheme="majorHAnsi" w:hAnsiTheme="majorHAnsi"/>
          <w:sz w:val="16"/>
          <w:szCs w:val="16"/>
        </w:rPr>
        <w:t xml:space="preserve"> 30, 2017, para. 9</w:t>
      </w:r>
      <w:r w:rsidR="008D6C36">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18798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12" w:rsidRDefault="004D3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6D1F"/>
    <w:rsid w:val="00032A42"/>
    <w:rsid w:val="00036A8A"/>
    <w:rsid w:val="00040C3A"/>
    <w:rsid w:val="00050CED"/>
    <w:rsid w:val="000639C0"/>
    <w:rsid w:val="00070F3A"/>
    <w:rsid w:val="000716C5"/>
    <w:rsid w:val="00075E23"/>
    <w:rsid w:val="00092F32"/>
    <w:rsid w:val="0009344A"/>
    <w:rsid w:val="000A575F"/>
    <w:rsid w:val="000C4365"/>
    <w:rsid w:val="000C5FB6"/>
    <w:rsid w:val="000D10DB"/>
    <w:rsid w:val="00124116"/>
    <w:rsid w:val="0013104F"/>
    <w:rsid w:val="00137EBA"/>
    <w:rsid w:val="00145EDC"/>
    <w:rsid w:val="00153084"/>
    <w:rsid w:val="00167A34"/>
    <w:rsid w:val="001714B4"/>
    <w:rsid w:val="0018037F"/>
    <w:rsid w:val="0018798A"/>
    <w:rsid w:val="001A5F27"/>
    <w:rsid w:val="001A65E4"/>
    <w:rsid w:val="001A7870"/>
    <w:rsid w:val="001C1B41"/>
    <w:rsid w:val="001C3D0D"/>
    <w:rsid w:val="001E366B"/>
    <w:rsid w:val="001E68F7"/>
    <w:rsid w:val="001F1902"/>
    <w:rsid w:val="001F5772"/>
    <w:rsid w:val="00210E0E"/>
    <w:rsid w:val="00210F4B"/>
    <w:rsid w:val="00230163"/>
    <w:rsid w:val="0023351C"/>
    <w:rsid w:val="00247403"/>
    <w:rsid w:val="00247542"/>
    <w:rsid w:val="00257893"/>
    <w:rsid w:val="00263BF5"/>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1407E"/>
    <w:rsid w:val="00321AFD"/>
    <w:rsid w:val="00322450"/>
    <w:rsid w:val="003246B5"/>
    <w:rsid w:val="0033169F"/>
    <w:rsid w:val="003414AC"/>
    <w:rsid w:val="00356185"/>
    <w:rsid w:val="003576E7"/>
    <w:rsid w:val="00360380"/>
    <w:rsid w:val="003771A3"/>
    <w:rsid w:val="00386CF0"/>
    <w:rsid w:val="003A4348"/>
    <w:rsid w:val="003C32BC"/>
    <w:rsid w:val="003D4C54"/>
    <w:rsid w:val="003D6EE0"/>
    <w:rsid w:val="003E3E03"/>
    <w:rsid w:val="003F1BBF"/>
    <w:rsid w:val="004162B1"/>
    <w:rsid w:val="004165C2"/>
    <w:rsid w:val="00450A4A"/>
    <w:rsid w:val="004666FB"/>
    <w:rsid w:val="00466D0B"/>
    <w:rsid w:val="00467B7E"/>
    <w:rsid w:val="00476103"/>
    <w:rsid w:val="0049419D"/>
    <w:rsid w:val="00494847"/>
    <w:rsid w:val="004B2762"/>
    <w:rsid w:val="004B4EC7"/>
    <w:rsid w:val="004B7EB6"/>
    <w:rsid w:val="004C41DE"/>
    <w:rsid w:val="004C4B62"/>
    <w:rsid w:val="004D3912"/>
    <w:rsid w:val="004D6025"/>
    <w:rsid w:val="004D72BC"/>
    <w:rsid w:val="004F6B67"/>
    <w:rsid w:val="00501399"/>
    <w:rsid w:val="00507BC4"/>
    <w:rsid w:val="005128E4"/>
    <w:rsid w:val="00525560"/>
    <w:rsid w:val="005357A6"/>
    <w:rsid w:val="00544C49"/>
    <w:rsid w:val="00562BAF"/>
    <w:rsid w:val="00563A05"/>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128"/>
    <w:rsid w:val="006A73E6"/>
    <w:rsid w:val="006B07EC"/>
    <w:rsid w:val="006B2D5C"/>
    <w:rsid w:val="006B6CCA"/>
    <w:rsid w:val="006C4EB1"/>
    <w:rsid w:val="006D4707"/>
    <w:rsid w:val="006E0166"/>
    <w:rsid w:val="006E7B34"/>
    <w:rsid w:val="00701B24"/>
    <w:rsid w:val="00706858"/>
    <w:rsid w:val="0071495F"/>
    <w:rsid w:val="0073787D"/>
    <w:rsid w:val="0073798E"/>
    <w:rsid w:val="00745899"/>
    <w:rsid w:val="007607C4"/>
    <w:rsid w:val="0076643F"/>
    <w:rsid w:val="00774436"/>
    <w:rsid w:val="00781653"/>
    <w:rsid w:val="007A2F70"/>
    <w:rsid w:val="007A604C"/>
    <w:rsid w:val="007C3334"/>
    <w:rsid w:val="007C52BB"/>
    <w:rsid w:val="007D2889"/>
    <w:rsid w:val="007D2B98"/>
    <w:rsid w:val="007F7980"/>
    <w:rsid w:val="00800F73"/>
    <w:rsid w:val="00803F1C"/>
    <w:rsid w:val="0080600E"/>
    <w:rsid w:val="00817612"/>
    <w:rsid w:val="00837C45"/>
    <w:rsid w:val="00853419"/>
    <w:rsid w:val="008546E5"/>
    <w:rsid w:val="00875219"/>
    <w:rsid w:val="00897E12"/>
    <w:rsid w:val="008D43BA"/>
    <w:rsid w:val="008D6C36"/>
    <w:rsid w:val="008E3759"/>
    <w:rsid w:val="008E40F5"/>
    <w:rsid w:val="009041DC"/>
    <w:rsid w:val="009104B4"/>
    <w:rsid w:val="009228DA"/>
    <w:rsid w:val="00925FCD"/>
    <w:rsid w:val="0093441A"/>
    <w:rsid w:val="0094087B"/>
    <w:rsid w:val="00945959"/>
    <w:rsid w:val="00954BF7"/>
    <w:rsid w:val="0096706E"/>
    <w:rsid w:val="00975CAB"/>
    <w:rsid w:val="00981FBA"/>
    <w:rsid w:val="0098783D"/>
    <w:rsid w:val="009B381B"/>
    <w:rsid w:val="009D7611"/>
    <w:rsid w:val="009E3952"/>
    <w:rsid w:val="009E53DE"/>
    <w:rsid w:val="009E566A"/>
    <w:rsid w:val="009F0C20"/>
    <w:rsid w:val="00A12DBC"/>
    <w:rsid w:val="00A42F6E"/>
    <w:rsid w:val="00A43458"/>
    <w:rsid w:val="00A528D1"/>
    <w:rsid w:val="00A66BE5"/>
    <w:rsid w:val="00A94616"/>
    <w:rsid w:val="00AC76AC"/>
    <w:rsid w:val="00AD2E44"/>
    <w:rsid w:val="00AD37C1"/>
    <w:rsid w:val="00AE041C"/>
    <w:rsid w:val="00AE66EC"/>
    <w:rsid w:val="00AE6F91"/>
    <w:rsid w:val="00AF00A4"/>
    <w:rsid w:val="00AF46BF"/>
    <w:rsid w:val="00AF5571"/>
    <w:rsid w:val="00B06BB7"/>
    <w:rsid w:val="00B12568"/>
    <w:rsid w:val="00B167E9"/>
    <w:rsid w:val="00B179ED"/>
    <w:rsid w:val="00B314DB"/>
    <w:rsid w:val="00B31EBE"/>
    <w:rsid w:val="00B36AB3"/>
    <w:rsid w:val="00B3718B"/>
    <w:rsid w:val="00B44B23"/>
    <w:rsid w:val="00B4632A"/>
    <w:rsid w:val="00B54A1B"/>
    <w:rsid w:val="00B90132"/>
    <w:rsid w:val="00B92E49"/>
    <w:rsid w:val="00B94232"/>
    <w:rsid w:val="00B96F6B"/>
    <w:rsid w:val="00BA276C"/>
    <w:rsid w:val="00BB306F"/>
    <w:rsid w:val="00BD1F9A"/>
    <w:rsid w:val="00BD232B"/>
    <w:rsid w:val="00BD2E42"/>
    <w:rsid w:val="00BD4B89"/>
    <w:rsid w:val="00C21762"/>
    <w:rsid w:val="00C24543"/>
    <w:rsid w:val="00C256A2"/>
    <w:rsid w:val="00C3492D"/>
    <w:rsid w:val="00C355B4"/>
    <w:rsid w:val="00C55560"/>
    <w:rsid w:val="00C66B72"/>
    <w:rsid w:val="00C77DE7"/>
    <w:rsid w:val="00C9567A"/>
    <w:rsid w:val="00CA6577"/>
    <w:rsid w:val="00CB08A3"/>
    <w:rsid w:val="00CB2660"/>
    <w:rsid w:val="00CC5E90"/>
    <w:rsid w:val="00CD046C"/>
    <w:rsid w:val="00CE0D41"/>
    <w:rsid w:val="00CE5199"/>
    <w:rsid w:val="00CE66D5"/>
    <w:rsid w:val="00D34786"/>
    <w:rsid w:val="00D40A1E"/>
    <w:rsid w:val="00D533C0"/>
    <w:rsid w:val="00D652F1"/>
    <w:rsid w:val="00D712D3"/>
    <w:rsid w:val="00D71422"/>
    <w:rsid w:val="00D7145E"/>
    <w:rsid w:val="00D714F5"/>
    <w:rsid w:val="00D75084"/>
    <w:rsid w:val="00D7558D"/>
    <w:rsid w:val="00D81D92"/>
    <w:rsid w:val="00D871CC"/>
    <w:rsid w:val="00D93446"/>
    <w:rsid w:val="00DA7B5F"/>
    <w:rsid w:val="00DA7DF0"/>
    <w:rsid w:val="00DC1C3F"/>
    <w:rsid w:val="00DF078B"/>
    <w:rsid w:val="00DF350D"/>
    <w:rsid w:val="00E033E9"/>
    <w:rsid w:val="00E13526"/>
    <w:rsid w:val="00E227C1"/>
    <w:rsid w:val="00E43157"/>
    <w:rsid w:val="00E47F3D"/>
    <w:rsid w:val="00E533FF"/>
    <w:rsid w:val="00E709B3"/>
    <w:rsid w:val="00E7588C"/>
    <w:rsid w:val="00E7797F"/>
    <w:rsid w:val="00E8103E"/>
    <w:rsid w:val="00E850B6"/>
    <w:rsid w:val="00E8774C"/>
    <w:rsid w:val="00E8789F"/>
    <w:rsid w:val="00E97B71"/>
    <w:rsid w:val="00EB0D5C"/>
    <w:rsid w:val="00EB454D"/>
    <w:rsid w:val="00EB6A9A"/>
    <w:rsid w:val="00ED0D1B"/>
    <w:rsid w:val="00EE3522"/>
    <w:rsid w:val="00EF619B"/>
    <w:rsid w:val="00F00B55"/>
    <w:rsid w:val="00F1380F"/>
    <w:rsid w:val="00F14F0E"/>
    <w:rsid w:val="00F15A3B"/>
    <w:rsid w:val="00F21043"/>
    <w:rsid w:val="00F24C29"/>
    <w:rsid w:val="00F253CC"/>
    <w:rsid w:val="00F42B71"/>
    <w:rsid w:val="00F56BA5"/>
    <w:rsid w:val="00F621C3"/>
    <w:rsid w:val="00F644E6"/>
    <w:rsid w:val="00F825B2"/>
    <w:rsid w:val="00F9653B"/>
    <w:rsid w:val="00FB62CF"/>
    <w:rsid w:val="00FC3EB4"/>
    <w:rsid w:val="00FC6C58"/>
    <w:rsid w:val="00FE43C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FE43C0"/>
    <w:rPr>
      <w:sz w:val="16"/>
      <w:szCs w:val="16"/>
    </w:rPr>
  </w:style>
  <w:style w:type="paragraph" w:styleId="CommentText">
    <w:name w:val="annotation text"/>
    <w:basedOn w:val="Normal"/>
    <w:link w:val="CommentTextChar"/>
    <w:uiPriority w:val="99"/>
    <w:semiHidden/>
    <w:unhideWhenUsed/>
    <w:rsid w:val="00FE43C0"/>
    <w:rPr>
      <w:sz w:val="20"/>
      <w:szCs w:val="20"/>
    </w:rPr>
  </w:style>
  <w:style w:type="character" w:customStyle="1" w:styleId="CommentTextChar">
    <w:name w:val="Comment Text Char"/>
    <w:basedOn w:val="DefaultParagraphFont"/>
    <w:link w:val="CommentText"/>
    <w:uiPriority w:val="99"/>
    <w:semiHidden/>
    <w:rsid w:val="00FE43C0"/>
    <w:rPr>
      <w:lang w:val="en-US" w:eastAsia="en-US"/>
    </w:rPr>
  </w:style>
  <w:style w:type="paragraph" w:styleId="CommentSubject">
    <w:name w:val="annotation subject"/>
    <w:basedOn w:val="CommentText"/>
    <w:next w:val="CommentText"/>
    <w:link w:val="CommentSubjectChar"/>
    <w:uiPriority w:val="99"/>
    <w:semiHidden/>
    <w:unhideWhenUsed/>
    <w:rsid w:val="00FE43C0"/>
    <w:rPr>
      <w:b/>
      <w:bCs/>
    </w:rPr>
  </w:style>
  <w:style w:type="character" w:customStyle="1" w:styleId="CommentSubjectChar">
    <w:name w:val="Comment Subject Char"/>
    <w:basedOn w:val="CommentTextChar"/>
    <w:link w:val="CommentSubject"/>
    <w:uiPriority w:val="99"/>
    <w:semiHidden/>
    <w:rsid w:val="00FE43C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29D4-CF44-4009-AA91-F427B7DF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8869</Characters>
  <Application>Microsoft Office Word</Application>
  <DocSecurity>0</DocSecurity>
  <Lines>173</Lines>
  <Paragraphs>49</Paragraphs>
  <ScaleCrop>false</ScaleCrop>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210/19</dc:title>
  <dc:creator/>
  <cp:lastModifiedBy/>
  <cp:revision>1</cp:revision>
  <dcterms:created xsi:type="dcterms:W3CDTF">2020-03-30T15:05:00Z</dcterms:created>
  <dcterms:modified xsi:type="dcterms:W3CDTF">2020-03-30T15:05:00Z</dcterms:modified>
</cp:coreProperties>
</file>