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1288" w:rsidRPr="00D7349C" w:rsidRDefault="005F4A5B" w:rsidP="00D7349C">
      <w:pPr>
        <w:jc w:val="both"/>
        <w:rPr>
          <w:rFonts w:asciiTheme="majorHAnsi" w:hAnsiTheme="majorHAnsi" w:cs="Cambria"/>
          <w:b/>
          <w:bCs/>
          <w:sz w:val="20"/>
          <w:szCs w:val="20"/>
        </w:rPr>
      </w:pPr>
      <w:r w:rsidRPr="00D7349C">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131A2CBE" wp14:editId="6E3339BB">
                <wp:simplePos x="0" y="0"/>
                <wp:positionH relativeFrom="column">
                  <wp:posOffset>-415925</wp:posOffset>
                </wp:positionH>
                <wp:positionV relativeFrom="paragraph">
                  <wp:posOffset>-439420</wp:posOffset>
                </wp:positionV>
                <wp:extent cx="1543050" cy="9096375"/>
                <wp:effectExtent l="3175" t="0" r="0" b="127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28F16A"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DQbS8NggIAAAAFAAAOAAAAAAAAAAAAAAAAAC4CAABkcnMvZTJvRG9jLnhtbFBLAQItABQABgAI&#10;AAAAIQDe1zvO5AAAAAwBAAAPAAAAAAAAAAAAAAAAANwEAABkcnMvZG93bnJldi54bWxQSwUGAAAA&#10;AAQABADzAAAA7QUAAAAA&#10;" fillcolor="#67ae3c" stroked="f" strokeweight="2pt"/>
            </w:pict>
          </mc:Fallback>
        </mc:AlternateContent>
      </w:r>
      <w:r w:rsidRPr="00D7349C">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3E3AAA6D" wp14:editId="6BA8FC39">
                <wp:simplePos x="0" y="0"/>
                <wp:positionH relativeFrom="column">
                  <wp:posOffset>1282065</wp:posOffset>
                </wp:positionH>
                <wp:positionV relativeFrom="paragraph">
                  <wp:posOffset>-424180</wp:posOffset>
                </wp:positionV>
                <wp:extent cx="5248275" cy="902335"/>
                <wp:effectExtent l="0" t="4445" r="381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rPr>
                                <w:noProof/>
                              </w:rPr>
                            </w:pPr>
                            <w:r w:rsidRPr="00287BBD">
                              <w:rPr>
                                <w:noProof/>
                              </w:rPr>
                              <w:tab/>
                            </w:r>
                            <w:r>
                              <w:rPr>
                                <w:noProof/>
                              </w:rPr>
                              <w:drawing>
                                <wp:inline distT="0" distB="0" distL="0" distR="0" wp14:anchorId="48E0EB9C" wp14:editId="77BBAD70">
                                  <wp:extent cx="2512695" cy="469265"/>
                                  <wp:effectExtent l="0" t="0" r="1905"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469265"/>
                                          </a:xfrm>
                                          <a:prstGeom prst="rect">
                                            <a:avLst/>
                                          </a:prstGeom>
                                          <a:noFill/>
                                          <a:ln>
                                            <a:noFill/>
                                          </a:ln>
                                        </pic:spPr>
                                      </pic:pic>
                                    </a:graphicData>
                                  </a:graphic>
                                </wp:inline>
                              </w:drawing>
                            </w:r>
                            <w:r w:rsidRPr="00287BBD">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3AAA6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kctQIAALs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" filled="f" stroked="f" strokeweight=".5pt">
                <v:textbox>
                  <w:txbxContent>
                    <w:p w:rsidR="00777CCF" w:rsidRPr="00287BBD" w:rsidRDefault="00777CCF" w:rsidP="00287BBD">
                      <w:pPr>
                        <w:rPr>
                          <w:noProof/>
                        </w:rPr>
                      </w:pPr>
                      <w:r w:rsidRPr="00287BBD">
                        <w:rPr>
                          <w:noProof/>
                        </w:rPr>
                        <w:tab/>
                      </w:r>
                      <w:r>
                        <w:rPr>
                          <w:noProof/>
                        </w:rPr>
                        <w:drawing>
                          <wp:inline distT="0" distB="0" distL="0" distR="0" wp14:anchorId="48E0EB9C" wp14:editId="77BBAD70">
                            <wp:extent cx="2512695" cy="469265"/>
                            <wp:effectExtent l="0" t="0" r="1905"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469265"/>
                                    </a:xfrm>
                                    <a:prstGeom prst="rect">
                                      <a:avLst/>
                                    </a:prstGeom>
                                    <a:noFill/>
                                    <a:ln>
                                      <a:noFill/>
                                    </a:ln>
                                  </pic:spPr>
                                </pic:pic>
                              </a:graphicData>
                            </a:graphic>
                          </wp:inline>
                        </w:drawing>
                      </w:r>
                      <w:r w:rsidRPr="00287BBD">
                        <w:rPr>
                          <w:noProof/>
                        </w:rPr>
                        <w:t xml:space="preserve"> </w:t>
                      </w:r>
                    </w:p>
                  </w:txbxContent>
                </v:textbox>
              </v:shape>
            </w:pict>
          </mc:Fallback>
        </mc:AlternateContent>
      </w:r>
    </w:p>
    <w:p w:rsidR="00001288" w:rsidRPr="00D7349C" w:rsidRDefault="00001288" w:rsidP="00D7349C">
      <w:pPr>
        <w:suppressAutoHyphens/>
        <w:jc w:val="both"/>
        <w:rPr>
          <w:rFonts w:asciiTheme="majorHAnsi" w:hAnsiTheme="majorHAnsi" w:cs="Cambria"/>
          <w:sz w:val="20"/>
          <w:szCs w:val="20"/>
        </w:rPr>
      </w:pPr>
    </w:p>
    <w:p w:rsidR="00001288" w:rsidRPr="00D7349C" w:rsidRDefault="00001288" w:rsidP="00D7349C">
      <w:pPr>
        <w:suppressAutoHyphens/>
        <w:jc w:val="both"/>
        <w:rPr>
          <w:rFonts w:asciiTheme="majorHAnsi" w:hAnsiTheme="majorHAnsi" w:cs="Cambria"/>
          <w:sz w:val="20"/>
          <w:szCs w:val="20"/>
        </w:rPr>
      </w:pPr>
    </w:p>
    <w:p w:rsidR="00001288" w:rsidRPr="00D7349C" w:rsidRDefault="00001288" w:rsidP="00D7349C">
      <w:pPr>
        <w:suppressAutoHyphens/>
        <w:rPr>
          <w:rFonts w:asciiTheme="majorHAnsi" w:hAnsiTheme="majorHAnsi" w:cs="Cambria"/>
          <w:sz w:val="20"/>
          <w:szCs w:val="20"/>
        </w:rPr>
      </w:pPr>
    </w:p>
    <w:p w:rsidR="00001288" w:rsidRPr="00D7349C" w:rsidRDefault="00001288" w:rsidP="00D7349C">
      <w:pPr>
        <w:suppressAutoHyphens/>
        <w:rPr>
          <w:rFonts w:asciiTheme="majorHAnsi" w:hAnsiTheme="majorHAnsi" w:cs="Cambria"/>
          <w:sz w:val="20"/>
          <w:szCs w:val="20"/>
        </w:rPr>
      </w:pPr>
    </w:p>
    <w:p w:rsidR="00001288" w:rsidRPr="00D7349C" w:rsidRDefault="00001288" w:rsidP="00D7349C">
      <w:pPr>
        <w:suppressAutoHyphens/>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5F4A5B" w:rsidP="00D7349C">
      <w:pPr>
        <w:suppressAutoHyphens/>
        <w:jc w:val="center"/>
        <w:rPr>
          <w:rFonts w:asciiTheme="majorHAnsi" w:hAnsiTheme="majorHAnsi" w:cs="Cambria"/>
          <w:sz w:val="20"/>
          <w:szCs w:val="20"/>
        </w:rPr>
      </w:pPr>
      <w:r w:rsidRPr="00D7349C">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66B5184B" wp14:editId="4C71E45D">
                <wp:simplePos x="0" y="0"/>
                <wp:positionH relativeFrom="column">
                  <wp:posOffset>-342900</wp:posOffset>
                </wp:positionH>
                <wp:positionV relativeFrom="paragraph">
                  <wp:posOffset>164465</wp:posOffset>
                </wp:positionV>
                <wp:extent cx="1390650" cy="1377315"/>
                <wp:effectExtent l="0" t="444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031D1" w:rsidRDefault="00777CCF" w:rsidP="00287BBD">
                            <w:pPr>
                              <w:spacing w:line="276" w:lineRule="auto"/>
                              <w:jc w:val="right"/>
                              <w:rPr>
                                <w:rFonts w:ascii="Calibri" w:hAnsi="Calibri" w:cs="Calibri"/>
                                <w:noProof/>
                                <w:color w:val="FFFFFF"/>
                                <w:sz w:val="22"/>
                                <w:szCs w:val="22"/>
                                <w:lang w:val="pt-BR"/>
                              </w:rPr>
                            </w:pPr>
                            <w:r w:rsidRPr="002031D1">
                              <w:rPr>
                                <w:rFonts w:ascii="Calibri" w:hAnsi="Calibri" w:cs="Calibri"/>
                                <w:noProof/>
                                <w:color w:val="FFFFFF"/>
                                <w:sz w:val="22"/>
                                <w:szCs w:val="22"/>
                                <w:lang w:val="pt-BR"/>
                              </w:rPr>
                              <w:t>OEA/Ser.L/V/II.</w:t>
                            </w:r>
                          </w:p>
                          <w:p w:rsidR="00777CCF" w:rsidRPr="002031D1" w:rsidRDefault="00777CCF" w:rsidP="00287BBD">
                            <w:pPr>
                              <w:spacing w:line="276" w:lineRule="auto"/>
                              <w:jc w:val="right"/>
                              <w:rPr>
                                <w:rFonts w:ascii="Calibri" w:hAnsi="Calibri" w:cs="Calibri"/>
                                <w:noProof/>
                                <w:color w:val="FFFFFF"/>
                                <w:sz w:val="22"/>
                                <w:szCs w:val="22"/>
                                <w:lang w:val="pt-BR"/>
                              </w:rPr>
                            </w:pPr>
                            <w:r w:rsidRPr="002031D1">
                              <w:rPr>
                                <w:rFonts w:ascii="Calibri" w:hAnsi="Calibri" w:cs="Calibri"/>
                                <w:noProof/>
                                <w:color w:val="FFFFFF"/>
                                <w:sz w:val="22"/>
                                <w:szCs w:val="22"/>
                                <w:lang w:val="pt-BR"/>
                              </w:rPr>
                              <w:t xml:space="preserve">Doc. </w:t>
                            </w:r>
                            <w:r w:rsidR="00EC7B87">
                              <w:rPr>
                                <w:rFonts w:ascii="Calibri" w:hAnsi="Calibri" w:cs="Calibri"/>
                                <w:noProof/>
                                <w:color w:val="FFFFFF"/>
                                <w:sz w:val="22"/>
                                <w:szCs w:val="22"/>
                                <w:lang w:val="pt-BR"/>
                              </w:rPr>
                              <w:t>112</w:t>
                            </w:r>
                          </w:p>
                          <w:p w:rsidR="00777CCF" w:rsidRPr="00287BBD" w:rsidRDefault="00EC7B87" w:rsidP="00287BBD">
                            <w:pPr>
                              <w:spacing w:line="276" w:lineRule="auto"/>
                              <w:jc w:val="right"/>
                              <w:rPr>
                                <w:rFonts w:ascii="Calibri" w:hAnsi="Calibri" w:cs="Calibri"/>
                                <w:noProof/>
                                <w:color w:val="FFFFFF"/>
                                <w:sz w:val="22"/>
                                <w:szCs w:val="22"/>
                              </w:rPr>
                            </w:pPr>
                            <w:r w:rsidRPr="00EC7B87">
                              <w:rPr>
                                <w:rFonts w:ascii="Calibri" w:hAnsi="Calibri" w:cs="Calibri"/>
                                <w:noProof/>
                                <w:color w:val="FFFFFF"/>
                                <w:sz w:val="22"/>
                                <w:szCs w:val="22"/>
                              </w:rPr>
                              <w:t>16</w:t>
                            </w:r>
                            <w:r w:rsidR="00777CCF" w:rsidRPr="00EC7B87">
                              <w:rPr>
                                <w:rFonts w:ascii="Calibri" w:hAnsi="Calibri" w:cs="Calibri"/>
                                <w:noProof/>
                                <w:color w:val="FFFFFF"/>
                                <w:sz w:val="22"/>
                                <w:szCs w:val="22"/>
                              </w:rPr>
                              <w:t xml:space="preserve"> July 2019</w:t>
                            </w:r>
                          </w:p>
                          <w:p w:rsidR="00777CCF" w:rsidRPr="00287BBD" w:rsidRDefault="00777CCF" w:rsidP="00287BBD">
                            <w:pPr>
                              <w:spacing w:line="276" w:lineRule="auto"/>
                              <w:jc w:val="right"/>
                              <w:rPr>
                                <w:rFonts w:ascii="Calibri" w:hAnsi="Calibri" w:cs="Calibri"/>
                                <w:noProof/>
                                <w:color w:val="FFFFFF"/>
                                <w:sz w:val="22"/>
                                <w:szCs w:val="22"/>
                              </w:rPr>
                            </w:pPr>
                            <w:r w:rsidRPr="00287BBD">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B5184B" id="Text Box 8" o:spid="_x0000_s1027"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Du0OaX&#10;uAIAAMEFAAAOAAAAAAAAAAAAAAAAAC4CAABkcnMvZTJvRG9jLnhtbFBLAQItABQABgAIAAAAIQCp&#10;T6R34QAAAAoBAAAPAAAAAAAAAAAAAAAAABIFAABkcnMvZG93bnJldi54bWxQSwUGAAAAAAQABADz&#10;AAAAIAYAAAAA&#10;" filled="f" stroked="f" strokeweight=".5pt">
                <v:textbox>
                  <w:txbxContent>
                    <w:p w:rsidR="00777CCF" w:rsidRPr="002031D1" w:rsidRDefault="00777CCF" w:rsidP="00287BBD">
                      <w:pPr>
                        <w:spacing w:line="276" w:lineRule="auto"/>
                        <w:jc w:val="right"/>
                        <w:rPr>
                          <w:rFonts w:ascii="Calibri" w:hAnsi="Calibri" w:cs="Calibri"/>
                          <w:noProof/>
                          <w:color w:val="FFFFFF"/>
                          <w:sz w:val="22"/>
                          <w:szCs w:val="22"/>
                          <w:lang w:val="pt-BR"/>
                        </w:rPr>
                      </w:pPr>
                      <w:r w:rsidRPr="002031D1">
                        <w:rPr>
                          <w:rFonts w:ascii="Calibri" w:hAnsi="Calibri" w:cs="Calibri"/>
                          <w:noProof/>
                          <w:color w:val="FFFFFF"/>
                          <w:sz w:val="22"/>
                          <w:szCs w:val="22"/>
                          <w:lang w:val="pt-BR"/>
                        </w:rPr>
                        <w:t>OEA/Ser.L/V/II.</w:t>
                      </w:r>
                    </w:p>
                    <w:p w:rsidR="00777CCF" w:rsidRPr="002031D1" w:rsidRDefault="00777CCF" w:rsidP="00287BBD">
                      <w:pPr>
                        <w:spacing w:line="276" w:lineRule="auto"/>
                        <w:jc w:val="right"/>
                        <w:rPr>
                          <w:rFonts w:ascii="Calibri" w:hAnsi="Calibri" w:cs="Calibri"/>
                          <w:noProof/>
                          <w:color w:val="FFFFFF"/>
                          <w:sz w:val="22"/>
                          <w:szCs w:val="22"/>
                          <w:lang w:val="pt-BR"/>
                        </w:rPr>
                      </w:pPr>
                      <w:r w:rsidRPr="002031D1">
                        <w:rPr>
                          <w:rFonts w:ascii="Calibri" w:hAnsi="Calibri" w:cs="Calibri"/>
                          <w:noProof/>
                          <w:color w:val="FFFFFF"/>
                          <w:sz w:val="22"/>
                          <w:szCs w:val="22"/>
                          <w:lang w:val="pt-BR"/>
                        </w:rPr>
                        <w:t xml:space="preserve">Doc. </w:t>
                      </w:r>
                      <w:r w:rsidR="00EC7B87">
                        <w:rPr>
                          <w:rFonts w:ascii="Calibri" w:hAnsi="Calibri" w:cs="Calibri"/>
                          <w:noProof/>
                          <w:color w:val="FFFFFF"/>
                          <w:sz w:val="22"/>
                          <w:szCs w:val="22"/>
                          <w:lang w:val="pt-BR"/>
                        </w:rPr>
                        <w:t>112</w:t>
                      </w:r>
                    </w:p>
                    <w:p w:rsidR="00777CCF" w:rsidRPr="00287BBD" w:rsidRDefault="00EC7B87" w:rsidP="00287BBD">
                      <w:pPr>
                        <w:spacing w:line="276" w:lineRule="auto"/>
                        <w:jc w:val="right"/>
                        <w:rPr>
                          <w:rFonts w:ascii="Calibri" w:hAnsi="Calibri" w:cs="Calibri"/>
                          <w:noProof/>
                          <w:color w:val="FFFFFF"/>
                          <w:sz w:val="22"/>
                          <w:szCs w:val="22"/>
                        </w:rPr>
                      </w:pPr>
                      <w:r w:rsidRPr="00EC7B87">
                        <w:rPr>
                          <w:rFonts w:ascii="Calibri" w:hAnsi="Calibri" w:cs="Calibri"/>
                          <w:noProof/>
                          <w:color w:val="FFFFFF"/>
                          <w:sz w:val="22"/>
                          <w:szCs w:val="22"/>
                        </w:rPr>
                        <w:t>16</w:t>
                      </w:r>
                      <w:r w:rsidR="00777CCF" w:rsidRPr="00EC7B87">
                        <w:rPr>
                          <w:rFonts w:ascii="Calibri" w:hAnsi="Calibri" w:cs="Calibri"/>
                          <w:noProof/>
                          <w:color w:val="FFFFFF"/>
                          <w:sz w:val="22"/>
                          <w:szCs w:val="22"/>
                        </w:rPr>
                        <w:t xml:space="preserve"> July 2019</w:t>
                      </w:r>
                    </w:p>
                    <w:p w:rsidR="00777CCF" w:rsidRPr="00287BBD" w:rsidRDefault="00777CCF" w:rsidP="00287BBD">
                      <w:pPr>
                        <w:spacing w:line="276" w:lineRule="auto"/>
                        <w:jc w:val="right"/>
                        <w:rPr>
                          <w:rFonts w:ascii="Calibri" w:hAnsi="Calibri" w:cs="Calibri"/>
                          <w:noProof/>
                          <w:color w:val="FFFFFF"/>
                          <w:sz w:val="22"/>
                          <w:szCs w:val="22"/>
                        </w:rPr>
                      </w:pPr>
                      <w:r w:rsidRPr="00287BBD">
                        <w:rPr>
                          <w:rFonts w:ascii="Calibri" w:hAnsi="Calibri" w:cs="Calibri"/>
                          <w:noProof/>
                          <w:color w:val="FFFFFF"/>
                          <w:sz w:val="22"/>
                          <w:szCs w:val="22"/>
                        </w:rPr>
                        <w:t>Original: Spanish</w:t>
                      </w:r>
                    </w:p>
                  </w:txbxContent>
                </v:textbox>
              </v:shape>
            </w:pict>
          </mc:Fallback>
        </mc:AlternateContent>
      </w:r>
    </w:p>
    <w:p w:rsidR="00001288" w:rsidRPr="00D7349C" w:rsidRDefault="00621B1E" w:rsidP="00D7349C">
      <w:pPr>
        <w:suppressAutoHyphens/>
        <w:jc w:val="center"/>
        <w:rPr>
          <w:rFonts w:asciiTheme="majorHAnsi" w:hAnsiTheme="majorHAnsi" w:cs="Cambria"/>
          <w:sz w:val="20"/>
          <w:szCs w:val="20"/>
        </w:rPr>
      </w:pPr>
      <w:r w:rsidRPr="00D7349C">
        <w:rPr>
          <w:rFonts w:asciiTheme="majorHAnsi" w:hAnsiTheme="majorHAnsi"/>
          <w:noProof/>
          <w:sz w:val="20"/>
          <w:szCs w:val="20"/>
        </w:rPr>
        <mc:AlternateContent>
          <mc:Choice Requires="wps">
            <w:drawing>
              <wp:anchor distT="0" distB="0" distL="114300" distR="114300" simplePos="0" relativeHeight="251655168" behindDoc="0" locked="0" layoutInCell="1" allowOverlap="1" wp14:anchorId="4852ABEF" wp14:editId="269ADC19">
                <wp:simplePos x="0" y="0"/>
                <wp:positionH relativeFrom="column">
                  <wp:posOffset>1352550</wp:posOffset>
                </wp:positionH>
                <wp:positionV relativeFrom="paragraph">
                  <wp:posOffset>5715</wp:posOffset>
                </wp:positionV>
                <wp:extent cx="4441190" cy="2181225"/>
                <wp:effectExtent l="0" t="0" r="0"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spacing w:line="276" w:lineRule="auto"/>
                              <w:rPr>
                                <w:rFonts w:ascii="Cambria" w:hAnsi="Cambria" w:cs="Cambria"/>
                                <w:b/>
                                <w:bCs/>
                                <w:noProof/>
                                <w:color w:val="0D0D0D"/>
                                <w:sz w:val="36"/>
                                <w:szCs w:val="36"/>
                              </w:rPr>
                            </w:pPr>
                            <w:r w:rsidRPr="00EC7B87">
                              <w:rPr>
                                <w:rFonts w:ascii="Cambria" w:hAnsi="Cambria" w:cs="Cambria"/>
                                <w:b/>
                                <w:bCs/>
                                <w:noProof/>
                                <w:color w:val="0D0D0D"/>
                                <w:sz w:val="36"/>
                                <w:szCs w:val="36"/>
                              </w:rPr>
                              <w:t xml:space="preserve">REPORT No. </w:t>
                            </w:r>
                            <w:r w:rsidR="00EC7B87" w:rsidRPr="00EC7B87">
                              <w:rPr>
                                <w:rFonts w:ascii="Cambria" w:hAnsi="Cambria" w:cs="Cambria"/>
                                <w:b/>
                                <w:bCs/>
                                <w:noProof/>
                                <w:color w:val="0D0D0D"/>
                                <w:sz w:val="36"/>
                                <w:szCs w:val="36"/>
                              </w:rPr>
                              <w:t>103</w:t>
                            </w:r>
                            <w:r w:rsidRPr="00EC7B87">
                              <w:rPr>
                                <w:rFonts w:ascii="Cambria" w:hAnsi="Cambria" w:cs="Cambria"/>
                                <w:b/>
                                <w:bCs/>
                                <w:noProof/>
                                <w:color w:val="0D0D0D"/>
                                <w:sz w:val="36"/>
                                <w:szCs w:val="36"/>
                              </w:rPr>
                              <w:t>/19</w:t>
                            </w:r>
                          </w:p>
                          <w:p w:rsidR="00777CCF" w:rsidRPr="001E1794" w:rsidRDefault="00777CCF" w:rsidP="00777CCF">
                            <w:pPr>
                              <w:spacing w:line="276" w:lineRule="auto"/>
                              <w:rPr>
                                <w:rFonts w:asciiTheme="majorHAnsi" w:hAnsiTheme="majorHAnsi" w:cs="Arial"/>
                                <w:b/>
                                <w:bCs/>
                                <w:color w:val="0D0D0D" w:themeColor="text1" w:themeTint="F2"/>
                                <w:sz w:val="36"/>
                                <w:szCs w:val="40"/>
                              </w:rPr>
                            </w:pPr>
                            <w:r w:rsidRPr="001E1794">
                              <w:rPr>
                                <w:rFonts w:asciiTheme="majorHAnsi" w:hAnsiTheme="majorHAnsi" w:cs="Arial"/>
                                <w:b/>
                                <w:bCs/>
                                <w:color w:val="0D0D0D" w:themeColor="text1" w:themeTint="F2"/>
                                <w:sz w:val="36"/>
                                <w:szCs w:val="40"/>
                              </w:rPr>
                              <w:t xml:space="preserve">PETITION </w:t>
                            </w:r>
                            <w:r w:rsidRPr="001E1794">
                              <w:rPr>
                                <w:rFonts w:asciiTheme="majorHAnsi" w:hAnsiTheme="majorHAnsi" w:cs="Arial"/>
                                <w:b/>
                                <w:color w:val="0D0D0D" w:themeColor="text1" w:themeTint="F2"/>
                                <w:sz w:val="36"/>
                                <w:szCs w:val="40"/>
                              </w:rPr>
                              <w:t>1224-07</w:t>
                            </w:r>
                          </w:p>
                          <w:p w:rsidR="00777CCF" w:rsidRPr="001E1794" w:rsidRDefault="00777CCF" w:rsidP="00777CCF">
                            <w:pPr>
                              <w:spacing w:line="276" w:lineRule="auto"/>
                              <w:rPr>
                                <w:rFonts w:asciiTheme="majorHAnsi" w:hAnsiTheme="majorHAnsi" w:cs="Arial"/>
                                <w:color w:val="0D0D0D" w:themeColor="text1" w:themeTint="F2"/>
                                <w:szCs w:val="22"/>
                              </w:rPr>
                            </w:pPr>
                            <w:r w:rsidRPr="001E1794">
                              <w:rPr>
                                <w:rFonts w:asciiTheme="majorHAnsi" w:hAnsiTheme="majorHAnsi" w:cs="Arial"/>
                                <w:color w:val="0D0D0D" w:themeColor="text1" w:themeTint="F2"/>
                                <w:szCs w:val="22"/>
                              </w:rPr>
                              <w:t>FRIENDLY SETTLEMENT</w:t>
                            </w:r>
                            <w:r w:rsidR="00EC7B87">
                              <w:rPr>
                                <w:rFonts w:asciiTheme="majorHAnsi" w:hAnsiTheme="majorHAnsi" w:cs="Arial"/>
                                <w:color w:val="0D0D0D" w:themeColor="text1" w:themeTint="F2"/>
                                <w:szCs w:val="22"/>
                              </w:rPr>
                              <w:t xml:space="preserve"> REPORT</w:t>
                            </w:r>
                          </w:p>
                          <w:p w:rsidR="00777CCF" w:rsidRPr="001E1794" w:rsidRDefault="00777CCF" w:rsidP="00287BBD">
                            <w:pPr>
                              <w:spacing w:line="276" w:lineRule="auto"/>
                              <w:rPr>
                                <w:rFonts w:ascii="Cambria" w:hAnsi="Cambria" w:cs="Cambria"/>
                                <w:noProof/>
                                <w:color w:val="0D0D0D"/>
                              </w:rPr>
                            </w:pPr>
                            <w:bookmarkStart w:id="1" w:name="_ftnref1"/>
                          </w:p>
                          <w:bookmarkEnd w:id="1"/>
                          <w:p w:rsidR="00D7349C" w:rsidRPr="001E1794" w:rsidRDefault="00777CCF" w:rsidP="00777CCF">
                            <w:pPr>
                              <w:spacing w:line="276" w:lineRule="auto"/>
                              <w:rPr>
                                <w:rFonts w:asciiTheme="majorHAnsi" w:hAnsiTheme="majorHAnsi" w:cs="Arial"/>
                                <w:color w:val="FF0000"/>
                                <w:szCs w:val="22"/>
                              </w:rPr>
                            </w:pPr>
                            <w:r w:rsidRPr="001E1794">
                              <w:rPr>
                                <w:rFonts w:asciiTheme="majorHAnsi" w:hAnsiTheme="majorHAnsi" w:cs="Arial"/>
                                <w:color w:val="0D0D0D" w:themeColor="text1" w:themeTint="F2"/>
                                <w:szCs w:val="22"/>
                              </w:rPr>
                              <w:t xml:space="preserve">DAVID RABINOVICH </w:t>
                            </w:r>
                          </w:p>
                          <w:p w:rsidR="00777CCF" w:rsidRPr="004B7EB6" w:rsidRDefault="00777CCF" w:rsidP="00777CCF">
                            <w:pPr>
                              <w:spacing w:line="276" w:lineRule="auto"/>
                              <w:rPr>
                                <w:rFonts w:asciiTheme="majorHAnsi" w:hAnsiTheme="majorHAnsi"/>
                                <w:color w:val="0D0D0D" w:themeColor="text1" w:themeTint="F2"/>
                                <w:lang w:val="es-ES_tradnl"/>
                              </w:rPr>
                            </w:pPr>
                            <w:r w:rsidRPr="001E1794">
                              <w:rPr>
                                <w:rFonts w:asciiTheme="majorHAnsi" w:hAnsiTheme="majorHAnsi" w:cs="Arial"/>
                                <w:color w:val="0D0D0D" w:themeColor="text1" w:themeTint="F2"/>
                                <w:szCs w:val="22"/>
                              </w:rPr>
                              <w:t>URUGUAY</w:t>
                            </w:r>
                          </w:p>
                          <w:p w:rsidR="00777CCF" w:rsidRPr="00287BBD" w:rsidRDefault="00777CCF" w:rsidP="00287BBD">
                            <w:pPr>
                              <w:rPr>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52ABEF" id="Text Box 5" o:spid="_x0000_s1028" type="#_x0000_t202" style="position:absolute;left:0;text-align:left;margin-left:106.5pt;margin-top:.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X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" filled="f" stroked="f" strokeweight=".5pt">
                <v:textbox>
                  <w:txbxContent>
                    <w:p w:rsidR="00777CCF" w:rsidRPr="00287BBD" w:rsidRDefault="00777CCF" w:rsidP="00287BBD">
                      <w:pPr>
                        <w:spacing w:line="276" w:lineRule="auto"/>
                        <w:rPr>
                          <w:rFonts w:ascii="Cambria" w:hAnsi="Cambria" w:cs="Cambria"/>
                          <w:b/>
                          <w:bCs/>
                          <w:noProof/>
                          <w:color w:val="0D0D0D"/>
                          <w:sz w:val="36"/>
                          <w:szCs w:val="36"/>
                        </w:rPr>
                      </w:pPr>
                      <w:r w:rsidRPr="00EC7B87">
                        <w:rPr>
                          <w:rFonts w:ascii="Cambria" w:hAnsi="Cambria" w:cs="Cambria"/>
                          <w:b/>
                          <w:bCs/>
                          <w:noProof/>
                          <w:color w:val="0D0D0D"/>
                          <w:sz w:val="36"/>
                          <w:szCs w:val="36"/>
                        </w:rPr>
                        <w:t xml:space="preserve">REPORT No. </w:t>
                      </w:r>
                      <w:r w:rsidR="00EC7B87" w:rsidRPr="00EC7B87">
                        <w:rPr>
                          <w:rFonts w:ascii="Cambria" w:hAnsi="Cambria" w:cs="Cambria"/>
                          <w:b/>
                          <w:bCs/>
                          <w:noProof/>
                          <w:color w:val="0D0D0D"/>
                          <w:sz w:val="36"/>
                          <w:szCs w:val="36"/>
                        </w:rPr>
                        <w:t>103</w:t>
                      </w:r>
                      <w:r w:rsidRPr="00EC7B87">
                        <w:rPr>
                          <w:rFonts w:ascii="Cambria" w:hAnsi="Cambria" w:cs="Cambria"/>
                          <w:b/>
                          <w:bCs/>
                          <w:noProof/>
                          <w:color w:val="0D0D0D"/>
                          <w:sz w:val="36"/>
                          <w:szCs w:val="36"/>
                        </w:rPr>
                        <w:t>/19</w:t>
                      </w:r>
                    </w:p>
                    <w:p w:rsidR="00777CCF" w:rsidRPr="001E1794" w:rsidRDefault="00777CCF" w:rsidP="00777CCF">
                      <w:pPr>
                        <w:spacing w:line="276" w:lineRule="auto"/>
                        <w:rPr>
                          <w:rFonts w:asciiTheme="majorHAnsi" w:hAnsiTheme="majorHAnsi" w:cs="Arial"/>
                          <w:b/>
                          <w:bCs/>
                          <w:color w:val="0D0D0D" w:themeColor="text1" w:themeTint="F2"/>
                          <w:sz w:val="36"/>
                          <w:szCs w:val="40"/>
                        </w:rPr>
                      </w:pPr>
                      <w:r w:rsidRPr="001E1794">
                        <w:rPr>
                          <w:rFonts w:asciiTheme="majorHAnsi" w:hAnsiTheme="majorHAnsi" w:cs="Arial"/>
                          <w:b/>
                          <w:bCs/>
                          <w:color w:val="0D0D0D" w:themeColor="text1" w:themeTint="F2"/>
                          <w:sz w:val="36"/>
                          <w:szCs w:val="40"/>
                        </w:rPr>
                        <w:t xml:space="preserve">PETITION </w:t>
                      </w:r>
                      <w:r w:rsidRPr="001E1794">
                        <w:rPr>
                          <w:rFonts w:asciiTheme="majorHAnsi" w:hAnsiTheme="majorHAnsi" w:cs="Arial"/>
                          <w:b/>
                          <w:color w:val="0D0D0D" w:themeColor="text1" w:themeTint="F2"/>
                          <w:sz w:val="36"/>
                          <w:szCs w:val="40"/>
                        </w:rPr>
                        <w:t>1224-07</w:t>
                      </w:r>
                    </w:p>
                    <w:p w:rsidR="00777CCF" w:rsidRPr="001E1794" w:rsidRDefault="00777CCF" w:rsidP="00777CCF">
                      <w:pPr>
                        <w:spacing w:line="276" w:lineRule="auto"/>
                        <w:rPr>
                          <w:rFonts w:asciiTheme="majorHAnsi" w:hAnsiTheme="majorHAnsi" w:cs="Arial"/>
                          <w:color w:val="0D0D0D" w:themeColor="text1" w:themeTint="F2"/>
                          <w:szCs w:val="22"/>
                        </w:rPr>
                      </w:pPr>
                      <w:r w:rsidRPr="001E1794">
                        <w:rPr>
                          <w:rFonts w:asciiTheme="majorHAnsi" w:hAnsiTheme="majorHAnsi" w:cs="Arial"/>
                          <w:color w:val="0D0D0D" w:themeColor="text1" w:themeTint="F2"/>
                          <w:szCs w:val="22"/>
                        </w:rPr>
                        <w:t>FRIENDLY SETTLEMENT</w:t>
                      </w:r>
                      <w:r w:rsidR="00EC7B87">
                        <w:rPr>
                          <w:rFonts w:asciiTheme="majorHAnsi" w:hAnsiTheme="majorHAnsi" w:cs="Arial"/>
                          <w:color w:val="0D0D0D" w:themeColor="text1" w:themeTint="F2"/>
                          <w:szCs w:val="22"/>
                        </w:rPr>
                        <w:t xml:space="preserve"> REPORT</w:t>
                      </w:r>
                    </w:p>
                    <w:p w:rsidR="00777CCF" w:rsidRPr="001E1794" w:rsidRDefault="00777CCF" w:rsidP="00287BBD">
                      <w:pPr>
                        <w:spacing w:line="276" w:lineRule="auto"/>
                        <w:rPr>
                          <w:rFonts w:ascii="Cambria" w:hAnsi="Cambria" w:cs="Cambria"/>
                          <w:noProof/>
                          <w:color w:val="0D0D0D"/>
                        </w:rPr>
                      </w:pPr>
                      <w:bookmarkStart w:id="1" w:name="_ftnref1"/>
                    </w:p>
                    <w:bookmarkEnd w:id="1"/>
                    <w:p w:rsidR="00D7349C" w:rsidRPr="001E1794" w:rsidRDefault="00777CCF" w:rsidP="00777CCF">
                      <w:pPr>
                        <w:spacing w:line="276" w:lineRule="auto"/>
                        <w:rPr>
                          <w:rFonts w:asciiTheme="majorHAnsi" w:hAnsiTheme="majorHAnsi" w:cs="Arial"/>
                          <w:color w:val="FF0000"/>
                          <w:szCs w:val="22"/>
                        </w:rPr>
                      </w:pPr>
                      <w:r w:rsidRPr="001E1794">
                        <w:rPr>
                          <w:rFonts w:asciiTheme="majorHAnsi" w:hAnsiTheme="majorHAnsi" w:cs="Arial"/>
                          <w:color w:val="0D0D0D" w:themeColor="text1" w:themeTint="F2"/>
                          <w:szCs w:val="22"/>
                        </w:rPr>
                        <w:t xml:space="preserve">DAVID RABINOVICH </w:t>
                      </w:r>
                    </w:p>
                    <w:p w:rsidR="00777CCF" w:rsidRPr="004B7EB6" w:rsidRDefault="00777CCF" w:rsidP="00777CCF">
                      <w:pPr>
                        <w:spacing w:line="276" w:lineRule="auto"/>
                        <w:rPr>
                          <w:rFonts w:asciiTheme="majorHAnsi" w:hAnsiTheme="majorHAnsi"/>
                          <w:color w:val="0D0D0D" w:themeColor="text1" w:themeTint="F2"/>
                          <w:lang w:val="es-ES_tradnl"/>
                        </w:rPr>
                      </w:pPr>
                      <w:r w:rsidRPr="001E1794">
                        <w:rPr>
                          <w:rFonts w:asciiTheme="majorHAnsi" w:hAnsiTheme="majorHAnsi" w:cs="Arial"/>
                          <w:color w:val="0D0D0D" w:themeColor="text1" w:themeTint="F2"/>
                          <w:szCs w:val="22"/>
                        </w:rPr>
                        <w:t>URUGUAY</w:t>
                      </w:r>
                    </w:p>
                    <w:p w:rsidR="00777CCF" w:rsidRPr="00287BBD" w:rsidRDefault="00777CCF" w:rsidP="00287BBD">
                      <w:pPr>
                        <w:rPr>
                          <w:noProof/>
                          <w:color w:val="0D0D0D"/>
                        </w:rPr>
                      </w:pPr>
                    </w:p>
                  </w:txbxContent>
                </v:textbox>
              </v:shape>
            </w:pict>
          </mc:Fallback>
        </mc:AlternateContent>
      </w: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5F4A5B" w:rsidP="00D7349C">
      <w:pPr>
        <w:suppressAutoHyphens/>
        <w:jc w:val="center"/>
        <w:rPr>
          <w:rFonts w:asciiTheme="majorHAnsi" w:hAnsiTheme="majorHAnsi" w:cs="Cambria"/>
          <w:sz w:val="20"/>
          <w:szCs w:val="20"/>
        </w:rPr>
      </w:pPr>
      <w:r w:rsidRPr="00D7349C">
        <w:rPr>
          <w:rFonts w:asciiTheme="majorHAnsi" w:hAnsiTheme="majorHAnsi"/>
          <w:noProof/>
          <w:sz w:val="20"/>
          <w:szCs w:val="20"/>
        </w:rPr>
        <mc:AlternateContent>
          <mc:Choice Requires="wps">
            <w:drawing>
              <wp:anchor distT="0" distB="0" distL="114300" distR="114300" simplePos="0" relativeHeight="251656192" behindDoc="0" locked="0" layoutInCell="1" allowOverlap="1" wp14:anchorId="1DFA709E" wp14:editId="2BBF2675">
                <wp:simplePos x="0" y="0"/>
                <wp:positionH relativeFrom="column">
                  <wp:posOffset>1341755</wp:posOffset>
                </wp:positionH>
                <wp:positionV relativeFrom="paragraph">
                  <wp:posOffset>22860</wp:posOffset>
                </wp:positionV>
                <wp:extent cx="4933950" cy="664845"/>
                <wp:effectExtent l="0" t="0" r="127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tabs>
                                <w:tab w:val="center" w:pos="5400"/>
                              </w:tabs>
                              <w:suppressAutoHyphens/>
                              <w:spacing w:before="60"/>
                              <w:rPr>
                                <w:rFonts w:ascii="Cambria" w:hAnsi="Cambria" w:cs="Cambria"/>
                                <w:noProof/>
                                <w:color w:val="0D0D0D"/>
                                <w:sz w:val="18"/>
                                <w:szCs w:val="18"/>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w:t>
                            </w:r>
                            <w:r w:rsidRPr="00EC7B87">
                              <w:rPr>
                                <w:rFonts w:asciiTheme="majorHAnsi" w:hAnsiTheme="majorHAnsi"/>
                                <w:color w:val="0D0D0D" w:themeColor="text1" w:themeTint="F2"/>
                                <w:sz w:val="18"/>
                                <w:szCs w:val="20"/>
                              </w:rPr>
                              <w:t>Commission on</w:t>
                            </w:r>
                            <w:r w:rsidRPr="00EC7B87">
                              <w:rPr>
                                <w:rFonts w:ascii="Cambria" w:hAnsi="Cambria" w:cs="Cambria"/>
                                <w:noProof/>
                                <w:color w:val="0D0D0D"/>
                                <w:sz w:val="18"/>
                                <w:szCs w:val="18"/>
                              </w:rPr>
                              <w:t xml:space="preserve"> July </w:t>
                            </w:r>
                            <w:r w:rsidR="00EC7B87" w:rsidRPr="00EC7B87">
                              <w:rPr>
                                <w:rFonts w:ascii="Cambria" w:hAnsi="Cambria" w:cs="Cambria"/>
                                <w:noProof/>
                                <w:color w:val="0D0D0D"/>
                                <w:sz w:val="18"/>
                                <w:szCs w:val="18"/>
                              </w:rPr>
                              <w:t>16</w:t>
                            </w:r>
                            <w:r w:rsidRPr="00EC7B87">
                              <w:rPr>
                                <w:rFonts w:ascii="Cambria" w:hAnsi="Cambria" w:cs="Cambria"/>
                                <w:noProof/>
                                <w:color w:val="0D0D0D"/>
                                <w:sz w:val="18"/>
                                <w:szCs w:val="18"/>
                              </w:rPr>
                              <w:t>, 2019.</w:t>
                            </w:r>
                            <w:r w:rsidRPr="00287BBD">
                              <w:rPr>
                                <w:rFonts w:ascii="Cambria" w:hAnsi="Cambria" w:cs="Cambria"/>
                                <w:noProof/>
                                <w:color w:val="0D0D0D"/>
                                <w:sz w:val="18"/>
                                <w:szCs w:val="18"/>
                              </w:rPr>
                              <w:br/>
                            </w:r>
                          </w:p>
                          <w:p w:rsidR="00777CCF" w:rsidRPr="00287BBD" w:rsidRDefault="00777CCF" w:rsidP="00287BBD">
                            <w:pPr>
                              <w:tabs>
                                <w:tab w:val="center" w:pos="5400"/>
                              </w:tabs>
                              <w:suppressAutoHyphens/>
                              <w:spacing w:before="60"/>
                              <w:rPr>
                                <w:rFonts w:ascii="Calibri" w:hAnsi="Calibri" w:cs="Calibri"/>
                                <w:noProof/>
                                <w:color w:val="FFFFFF"/>
                                <w:sz w:val="16"/>
                                <w:szCs w:val="16"/>
                              </w:rPr>
                            </w:pPr>
                          </w:p>
                          <w:p w:rsidR="00777CCF" w:rsidRDefault="00777CCF" w:rsidP="00287BBD">
                            <w:pPr>
                              <w:tabs>
                                <w:tab w:val="center" w:pos="5400"/>
                              </w:tabs>
                              <w:suppressAutoHyphens/>
                              <w:spacing w:before="60"/>
                            </w:pPr>
                          </w:p>
                          <w:p w:rsidR="00777CCF" w:rsidRPr="00287BBD" w:rsidRDefault="00777CCF" w:rsidP="00287BBD">
                            <w:pPr>
                              <w:spacing w:line="276" w:lineRule="auto"/>
                              <w:rPr>
                                <w:rFonts w:ascii="Cambria" w:hAnsi="Cambria" w:cs="Cambria"/>
                                <w:noProof/>
                                <w:color w:val="595959"/>
                                <w:sz w:val="18"/>
                                <w:szCs w:val="18"/>
                              </w:rPr>
                            </w:pPr>
                            <w:r w:rsidRPr="00287BBD">
                              <w:rPr>
                                <w:rFonts w:ascii="Cambria" w:hAnsi="Cambria" w:cs="Cambria"/>
                                <w:b/>
                                <w:bCs/>
                                <w:noProof/>
                                <w:color w:val="595959"/>
                                <w:sz w:val="18"/>
                                <w:szCs w:val="18"/>
                              </w:rPr>
                              <w:t xml:space="preserve">Cite as: </w:t>
                            </w:r>
                            <w:r w:rsidRPr="00287BBD">
                              <w:rPr>
                                <w:rFonts w:ascii="Cambria" w:hAnsi="Cambria" w:cs="Cambria"/>
                                <w:noProof/>
                                <w:color w:val="595959"/>
                                <w:sz w:val="18"/>
                                <w:szCs w:val="18"/>
                              </w:rPr>
                              <w:t xml:space="preserve">IACHR, Report No. [number/year], Petition 687-11. Friendly Settlement/Merits/Merits G.B.B. and C.B.B. </w:t>
                            </w:r>
                            <w:r w:rsidRPr="00287BBD">
                              <w:rPr>
                                <w:rFonts w:ascii="Cambria" w:hAnsi="Cambria" w:cs="Cambria"/>
                                <w:noProof/>
                                <w:color w:val="595959"/>
                                <w:sz w:val="18"/>
                                <w:szCs w:val="18"/>
                                <w:highlight w:val="yellow"/>
                              </w:rPr>
                              <w:t>[Date of report].</w:t>
                            </w:r>
                          </w:p>
                          <w:p w:rsidR="00777CCF" w:rsidRDefault="00777CCF" w:rsidP="00F4654A">
                            <w:pPr>
                              <w:tabs>
                                <w:tab w:val="center" w:pos="5400"/>
                              </w:tabs>
                              <w:suppressAutoHyphens/>
                              <w:spacing w:before="60"/>
                            </w:pPr>
                            <w:r>
                              <w:rPr>
                                <w:noProof/>
                              </w:rPr>
                              <w:drawing>
                                <wp:inline distT="0" distB="0" distL="0" distR="0" wp14:anchorId="4F97C5BD" wp14:editId="0C89BF00">
                                  <wp:extent cx="4754880" cy="1590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1590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FA709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JguAIAAMA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" filled="f" stroked="f" strokeweight=".5pt">
                <v:textbox>
                  <w:txbxContent>
                    <w:p w:rsidR="00777CCF" w:rsidRPr="00287BBD" w:rsidRDefault="00777CCF" w:rsidP="00287BBD">
                      <w:pPr>
                        <w:tabs>
                          <w:tab w:val="center" w:pos="5400"/>
                        </w:tabs>
                        <w:suppressAutoHyphens/>
                        <w:spacing w:before="60"/>
                        <w:rPr>
                          <w:rFonts w:ascii="Cambria" w:hAnsi="Cambria" w:cs="Cambria"/>
                          <w:noProof/>
                          <w:color w:val="0D0D0D"/>
                          <w:sz w:val="18"/>
                          <w:szCs w:val="18"/>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w:t>
                      </w:r>
                      <w:r w:rsidRPr="00EC7B87">
                        <w:rPr>
                          <w:rFonts w:asciiTheme="majorHAnsi" w:hAnsiTheme="majorHAnsi"/>
                          <w:color w:val="0D0D0D" w:themeColor="text1" w:themeTint="F2"/>
                          <w:sz w:val="18"/>
                          <w:szCs w:val="20"/>
                        </w:rPr>
                        <w:t>Commission on</w:t>
                      </w:r>
                      <w:r w:rsidRPr="00EC7B87">
                        <w:rPr>
                          <w:rFonts w:ascii="Cambria" w:hAnsi="Cambria" w:cs="Cambria"/>
                          <w:noProof/>
                          <w:color w:val="0D0D0D"/>
                          <w:sz w:val="18"/>
                          <w:szCs w:val="18"/>
                        </w:rPr>
                        <w:t xml:space="preserve"> July </w:t>
                      </w:r>
                      <w:r w:rsidR="00EC7B87" w:rsidRPr="00EC7B87">
                        <w:rPr>
                          <w:rFonts w:ascii="Cambria" w:hAnsi="Cambria" w:cs="Cambria"/>
                          <w:noProof/>
                          <w:color w:val="0D0D0D"/>
                          <w:sz w:val="18"/>
                          <w:szCs w:val="18"/>
                        </w:rPr>
                        <w:t>16</w:t>
                      </w:r>
                      <w:r w:rsidRPr="00EC7B87">
                        <w:rPr>
                          <w:rFonts w:ascii="Cambria" w:hAnsi="Cambria" w:cs="Cambria"/>
                          <w:noProof/>
                          <w:color w:val="0D0D0D"/>
                          <w:sz w:val="18"/>
                          <w:szCs w:val="18"/>
                        </w:rPr>
                        <w:t>, 2019.</w:t>
                      </w:r>
                      <w:r w:rsidRPr="00287BBD">
                        <w:rPr>
                          <w:rFonts w:ascii="Cambria" w:hAnsi="Cambria" w:cs="Cambria"/>
                          <w:noProof/>
                          <w:color w:val="0D0D0D"/>
                          <w:sz w:val="18"/>
                          <w:szCs w:val="18"/>
                        </w:rPr>
                        <w:br/>
                      </w:r>
                      <w:bookmarkStart w:id="3" w:name="_GoBack"/>
                      <w:bookmarkEnd w:id="3"/>
                    </w:p>
                    <w:p w:rsidR="00777CCF" w:rsidRPr="00287BBD" w:rsidRDefault="00777CCF" w:rsidP="00287BBD">
                      <w:pPr>
                        <w:tabs>
                          <w:tab w:val="center" w:pos="5400"/>
                        </w:tabs>
                        <w:suppressAutoHyphens/>
                        <w:spacing w:before="60"/>
                        <w:rPr>
                          <w:rFonts w:ascii="Calibri" w:hAnsi="Calibri" w:cs="Calibri"/>
                          <w:noProof/>
                          <w:color w:val="FFFFFF"/>
                          <w:sz w:val="16"/>
                          <w:szCs w:val="16"/>
                        </w:rPr>
                      </w:pPr>
                    </w:p>
                    <w:p w:rsidR="00777CCF" w:rsidRDefault="00777CCF" w:rsidP="00287BBD">
                      <w:pPr>
                        <w:tabs>
                          <w:tab w:val="center" w:pos="5400"/>
                        </w:tabs>
                        <w:suppressAutoHyphens/>
                        <w:spacing w:before="60"/>
                      </w:pPr>
                    </w:p>
                    <w:p w:rsidR="00777CCF" w:rsidRPr="00287BBD" w:rsidRDefault="00777CCF" w:rsidP="00287BBD">
                      <w:pPr>
                        <w:spacing w:line="276" w:lineRule="auto"/>
                        <w:rPr>
                          <w:rFonts w:ascii="Cambria" w:hAnsi="Cambria" w:cs="Cambria"/>
                          <w:noProof/>
                          <w:color w:val="595959"/>
                          <w:sz w:val="18"/>
                          <w:szCs w:val="18"/>
                        </w:rPr>
                      </w:pPr>
                      <w:r w:rsidRPr="00287BBD">
                        <w:rPr>
                          <w:rFonts w:ascii="Cambria" w:hAnsi="Cambria" w:cs="Cambria"/>
                          <w:b/>
                          <w:bCs/>
                          <w:noProof/>
                          <w:color w:val="595959"/>
                          <w:sz w:val="18"/>
                          <w:szCs w:val="18"/>
                        </w:rPr>
                        <w:t xml:space="preserve">Cite as: </w:t>
                      </w:r>
                      <w:r w:rsidRPr="00287BBD">
                        <w:rPr>
                          <w:rFonts w:ascii="Cambria" w:hAnsi="Cambria" w:cs="Cambria"/>
                          <w:noProof/>
                          <w:color w:val="595959"/>
                          <w:sz w:val="18"/>
                          <w:szCs w:val="18"/>
                        </w:rPr>
                        <w:t xml:space="preserve">IACHR, Report No. [number/year], Petition 687-11. Friendly Settlement/Merits/Merits G.B.B. and C.B.B. </w:t>
                      </w:r>
                      <w:r w:rsidRPr="00287BBD">
                        <w:rPr>
                          <w:rFonts w:ascii="Cambria" w:hAnsi="Cambria" w:cs="Cambria"/>
                          <w:noProof/>
                          <w:color w:val="595959"/>
                          <w:sz w:val="18"/>
                          <w:szCs w:val="18"/>
                          <w:highlight w:val="yellow"/>
                        </w:rPr>
                        <w:t>[Date of report].</w:t>
                      </w:r>
                    </w:p>
                    <w:p w:rsidR="00777CCF" w:rsidRDefault="00777CCF" w:rsidP="00F4654A">
                      <w:pPr>
                        <w:tabs>
                          <w:tab w:val="center" w:pos="5400"/>
                        </w:tabs>
                        <w:suppressAutoHyphens/>
                        <w:spacing w:before="60"/>
                      </w:pPr>
                      <w:r>
                        <w:rPr>
                          <w:noProof/>
                        </w:rPr>
                        <w:drawing>
                          <wp:inline distT="0" distB="0" distL="0" distR="0" wp14:anchorId="4F97C5BD" wp14:editId="0C89BF00">
                            <wp:extent cx="4754880" cy="1590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1590040"/>
                                    </a:xfrm>
                                    <a:prstGeom prst="rect">
                                      <a:avLst/>
                                    </a:prstGeom>
                                    <a:noFill/>
                                    <a:ln>
                                      <a:noFill/>
                                    </a:ln>
                                  </pic:spPr>
                                </pic:pic>
                              </a:graphicData>
                            </a:graphic>
                          </wp:inline>
                        </w:drawing>
                      </w:r>
                    </w:p>
                  </w:txbxContent>
                </v:textbox>
              </v:shape>
            </w:pict>
          </mc:Fallback>
        </mc:AlternateContent>
      </w: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001288" w:rsidP="00D7349C">
      <w:pPr>
        <w:suppressAutoHyphens/>
        <w:jc w:val="center"/>
        <w:rPr>
          <w:rFonts w:asciiTheme="majorHAnsi" w:hAnsiTheme="majorHAnsi" w:cs="Cambria"/>
          <w:sz w:val="20"/>
          <w:szCs w:val="20"/>
        </w:rPr>
      </w:pPr>
    </w:p>
    <w:p w:rsidR="00001288" w:rsidRPr="00D7349C" w:rsidRDefault="005F4A5B" w:rsidP="00D7349C">
      <w:pPr>
        <w:suppressAutoHyphens/>
        <w:jc w:val="center"/>
        <w:rPr>
          <w:rFonts w:asciiTheme="majorHAnsi" w:hAnsiTheme="majorHAnsi" w:cs="Cambria"/>
          <w:sz w:val="20"/>
          <w:szCs w:val="20"/>
        </w:rPr>
      </w:pPr>
      <w:r w:rsidRPr="00D7349C">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5F330DCD" wp14:editId="44A54D43">
                <wp:simplePos x="0" y="0"/>
                <wp:positionH relativeFrom="column">
                  <wp:posOffset>1333500</wp:posOffset>
                </wp:positionH>
                <wp:positionV relativeFrom="paragraph">
                  <wp:posOffset>3175</wp:posOffset>
                </wp:positionV>
                <wp:extent cx="4629150" cy="39941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777CCF" w:rsidRDefault="00777CCF" w:rsidP="00777CCF">
                            <w:pPr>
                              <w:spacing w:line="276" w:lineRule="auto"/>
                              <w:rPr>
                                <w:rFonts w:asciiTheme="majorHAnsi" w:hAnsiTheme="majorHAnsi"/>
                                <w:color w:val="595959" w:themeColor="text1" w:themeTint="A6"/>
                                <w:sz w:val="18"/>
                              </w:rPr>
                            </w:pPr>
                            <w:r w:rsidRPr="00EC7B87">
                              <w:rPr>
                                <w:rFonts w:asciiTheme="majorHAnsi" w:hAnsiTheme="majorHAnsi"/>
                                <w:b/>
                                <w:color w:val="595959" w:themeColor="text1" w:themeTint="A6"/>
                                <w:sz w:val="18"/>
                              </w:rPr>
                              <w:t xml:space="preserve">Cite as: </w:t>
                            </w:r>
                            <w:r w:rsidRPr="00EC7B87">
                              <w:rPr>
                                <w:rFonts w:asciiTheme="majorHAnsi" w:hAnsiTheme="majorHAnsi"/>
                                <w:color w:val="595959" w:themeColor="text1" w:themeTint="A6"/>
                                <w:sz w:val="18"/>
                              </w:rPr>
                              <w:t xml:space="preserve">IACHR, Report No. </w:t>
                            </w:r>
                            <w:r w:rsidR="00EC7B87" w:rsidRPr="00EC7B87">
                              <w:rPr>
                                <w:rFonts w:asciiTheme="majorHAnsi" w:hAnsiTheme="majorHAnsi"/>
                                <w:color w:val="595959" w:themeColor="text1" w:themeTint="A6"/>
                                <w:sz w:val="18"/>
                              </w:rPr>
                              <w:t>103</w:t>
                            </w:r>
                            <w:r w:rsidRPr="00EC7B87">
                              <w:rPr>
                                <w:rFonts w:asciiTheme="majorHAnsi" w:hAnsiTheme="majorHAnsi"/>
                                <w:color w:val="595959" w:themeColor="text1" w:themeTint="A6"/>
                                <w:sz w:val="18"/>
                              </w:rPr>
                              <w:t xml:space="preserve">/19, Petition 1224/07. Friendly Settlement. David Rabinovich. Uruguay. July </w:t>
                            </w:r>
                            <w:r w:rsidR="00EC7B87" w:rsidRPr="00EC7B87">
                              <w:rPr>
                                <w:rFonts w:asciiTheme="majorHAnsi" w:hAnsiTheme="majorHAnsi"/>
                                <w:color w:val="595959" w:themeColor="text1" w:themeTint="A6"/>
                                <w:sz w:val="18"/>
                              </w:rPr>
                              <w:t>16</w:t>
                            </w:r>
                            <w:r w:rsidRPr="00EC7B87">
                              <w:rPr>
                                <w:rFonts w:asciiTheme="majorHAnsi" w:hAnsiTheme="majorHAnsi"/>
                                <w:color w:val="595959" w:themeColor="text1" w:themeTint="A6"/>
                                <w:sz w:val="18"/>
                              </w:rPr>
                              <w:t>, 2019.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330DCD" id="Text Box 10" o:spid="_x0000_s1030" type="#_x0000_t202" style="position:absolute;left:0;text-align:left;margin-left:105pt;margin-top:.25pt;width:364.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" filled="f" stroked="f" strokeweight=".5pt">
                <v:textbox style="mso-fit-shape-to-text:t">
                  <w:txbxContent>
                    <w:p w:rsidR="00777CCF" w:rsidRPr="00777CCF" w:rsidRDefault="00777CCF" w:rsidP="00777CCF">
                      <w:pPr>
                        <w:spacing w:line="276" w:lineRule="auto"/>
                        <w:rPr>
                          <w:rFonts w:asciiTheme="majorHAnsi" w:hAnsiTheme="majorHAnsi"/>
                          <w:color w:val="595959" w:themeColor="text1" w:themeTint="A6"/>
                          <w:sz w:val="18"/>
                        </w:rPr>
                      </w:pPr>
                      <w:r w:rsidRPr="00EC7B87">
                        <w:rPr>
                          <w:rFonts w:asciiTheme="majorHAnsi" w:hAnsiTheme="majorHAnsi"/>
                          <w:b/>
                          <w:color w:val="595959" w:themeColor="text1" w:themeTint="A6"/>
                          <w:sz w:val="18"/>
                        </w:rPr>
                        <w:t xml:space="preserve">Cite </w:t>
                      </w:r>
                      <w:proofErr w:type="gramStart"/>
                      <w:r w:rsidRPr="00EC7B87">
                        <w:rPr>
                          <w:rFonts w:asciiTheme="majorHAnsi" w:hAnsiTheme="majorHAnsi"/>
                          <w:b/>
                          <w:color w:val="595959" w:themeColor="text1" w:themeTint="A6"/>
                          <w:sz w:val="18"/>
                        </w:rPr>
                        <w:t>as:</w:t>
                      </w:r>
                      <w:proofErr w:type="gramEnd"/>
                      <w:r w:rsidRPr="00EC7B87">
                        <w:rPr>
                          <w:rFonts w:asciiTheme="majorHAnsi" w:hAnsiTheme="majorHAnsi"/>
                          <w:b/>
                          <w:color w:val="595959" w:themeColor="text1" w:themeTint="A6"/>
                          <w:sz w:val="18"/>
                        </w:rPr>
                        <w:t xml:space="preserve"> </w:t>
                      </w:r>
                      <w:r w:rsidRPr="00EC7B87">
                        <w:rPr>
                          <w:rFonts w:asciiTheme="majorHAnsi" w:hAnsiTheme="majorHAnsi"/>
                          <w:color w:val="595959" w:themeColor="text1" w:themeTint="A6"/>
                          <w:sz w:val="18"/>
                        </w:rPr>
                        <w:t xml:space="preserve">IACHR, Report No. </w:t>
                      </w:r>
                      <w:r w:rsidR="00EC7B87" w:rsidRPr="00EC7B87">
                        <w:rPr>
                          <w:rFonts w:asciiTheme="majorHAnsi" w:hAnsiTheme="majorHAnsi"/>
                          <w:color w:val="595959" w:themeColor="text1" w:themeTint="A6"/>
                          <w:sz w:val="18"/>
                        </w:rPr>
                        <w:t>103</w:t>
                      </w:r>
                      <w:r w:rsidRPr="00EC7B87">
                        <w:rPr>
                          <w:rFonts w:asciiTheme="majorHAnsi" w:hAnsiTheme="majorHAnsi"/>
                          <w:color w:val="595959" w:themeColor="text1" w:themeTint="A6"/>
                          <w:sz w:val="18"/>
                        </w:rPr>
                        <w:t xml:space="preserve">/19, Petition 1224/07. Friendly Settlement. David Rabinovich. Uruguay. July </w:t>
                      </w:r>
                      <w:r w:rsidR="00EC7B87" w:rsidRPr="00EC7B87">
                        <w:rPr>
                          <w:rFonts w:asciiTheme="majorHAnsi" w:hAnsiTheme="majorHAnsi"/>
                          <w:color w:val="595959" w:themeColor="text1" w:themeTint="A6"/>
                          <w:sz w:val="18"/>
                        </w:rPr>
                        <w:t>16</w:t>
                      </w:r>
                      <w:r w:rsidRPr="00EC7B87">
                        <w:rPr>
                          <w:rFonts w:asciiTheme="majorHAnsi" w:hAnsiTheme="majorHAnsi"/>
                          <w:color w:val="595959" w:themeColor="text1" w:themeTint="A6"/>
                          <w:sz w:val="18"/>
                        </w:rPr>
                        <w:t>, 2019.</w:t>
                      </w:r>
                    </w:p>
                  </w:txbxContent>
                </v:textbox>
              </v:shape>
            </w:pict>
          </mc:Fallback>
        </mc:AlternateContent>
      </w:r>
    </w:p>
    <w:p w:rsidR="00001288" w:rsidRPr="00D7349C" w:rsidRDefault="00001288" w:rsidP="00D7349C">
      <w:pPr>
        <w:suppressAutoHyphens/>
        <w:jc w:val="center"/>
        <w:rPr>
          <w:rFonts w:asciiTheme="majorHAnsi" w:hAnsiTheme="majorHAnsi" w:cs="Cambria"/>
          <w:sz w:val="20"/>
          <w:szCs w:val="20"/>
        </w:rPr>
      </w:pPr>
    </w:p>
    <w:p w:rsidR="00001288" w:rsidRPr="00D7349C" w:rsidRDefault="005F4A5B" w:rsidP="00D7349C">
      <w:pPr>
        <w:suppressAutoHyphens/>
        <w:jc w:val="center"/>
        <w:rPr>
          <w:rFonts w:asciiTheme="majorHAnsi" w:hAnsiTheme="majorHAnsi" w:cs="Cambria"/>
          <w:b/>
          <w:bCs/>
          <w:sz w:val="20"/>
          <w:szCs w:val="20"/>
        </w:rPr>
      </w:pPr>
      <w:r w:rsidRPr="00D7349C">
        <w:rPr>
          <w:rFonts w:asciiTheme="majorHAnsi" w:hAnsiTheme="majorHAnsi"/>
          <w:noProof/>
          <w:sz w:val="20"/>
          <w:szCs w:val="20"/>
        </w:rPr>
        <w:drawing>
          <wp:anchor distT="0" distB="0" distL="114300" distR="114300" simplePos="0" relativeHeight="251661312" behindDoc="0" locked="0" layoutInCell="1" allowOverlap="1" wp14:anchorId="1491CA60" wp14:editId="380D7FD8">
            <wp:simplePos x="0" y="0"/>
            <wp:positionH relativeFrom="column">
              <wp:posOffset>1371600</wp:posOffset>
            </wp:positionH>
            <wp:positionV relativeFrom="paragraph">
              <wp:posOffset>934085</wp:posOffset>
            </wp:positionV>
            <wp:extent cx="1095375" cy="367030"/>
            <wp:effectExtent l="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367030"/>
                    </a:xfrm>
                    <a:prstGeom prst="rect">
                      <a:avLst/>
                    </a:prstGeom>
                    <a:noFill/>
                  </pic:spPr>
                </pic:pic>
              </a:graphicData>
            </a:graphic>
            <wp14:sizeRelH relativeFrom="page">
              <wp14:pctWidth>0</wp14:pctWidth>
            </wp14:sizeRelH>
            <wp14:sizeRelV relativeFrom="page">
              <wp14:pctHeight>0</wp14:pctHeight>
            </wp14:sizeRelV>
          </wp:anchor>
        </w:drawing>
      </w:r>
      <w:r w:rsidRPr="00D7349C">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78EE596E" wp14:editId="6AE9DA9A">
                <wp:simplePos x="0" y="0"/>
                <wp:positionH relativeFrom="column">
                  <wp:posOffset>-272415</wp:posOffset>
                </wp:positionH>
                <wp:positionV relativeFrom="paragraph">
                  <wp:posOffset>915035</wp:posOffset>
                </wp:positionV>
                <wp:extent cx="1181100" cy="332740"/>
                <wp:effectExtent l="381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CCF" w:rsidRPr="00287BBD" w:rsidRDefault="00777CCF" w:rsidP="00287BBD">
                            <w:pPr>
                              <w:jc w:val="center"/>
                              <w:rPr>
                                <w:rFonts w:ascii="Calibri" w:hAnsi="Calibri" w:cs="Calibri"/>
                                <w:b/>
                                <w:bCs/>
                                <w:noProof/>
                                <w:color w:val="FFFFFF"/>
                              </w:rPr>
                            </w:pPr>
                            <w:r w:rsidRPr="00E940BE">
                              <w:rPr>
                                <w:noProof/>
                              </w:rPr>
                              <w:drawing>
                                <wp:inline distT="0" distB="0" distL="0" distR="0" wp14:anchorId="15079EA3" wp14:editId="605D8CD5">
                                  <wp:extent cx="998220" cy="2817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2817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EE596E" id="Text Box 4" o:spid="_x0000_s1031"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o5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" filled="f" stroked="f" strokeweight=".5pt">
                <v:textbox>
                  <w:txbxContent>
                    <w:p w:rsidR="00777CCF" w:rsidRPr="00287BBD" w:rsidRDefault="00777CCF" w:rsidP="00287BBD">
                      <w:pPr>
                        <w:jc w:val="center"/>
                        <w:rPr>
                          <w:rFonts w:ascii="Calibri" w:hAnsi="Calibri" w:cs="Calibri"/>
                          <w:b/>
                          <w:bCs/>
                          <w:noProof/>
                          <w:color w:val="FFFFFF"/>
                        </w:rPr>
                      </w:pPr>
                      <w:r w:rsidRPr="00E940BE">
                        <w:rPr>
                          <w:noProof/>
                        </w:rPr>
                        <w:drawing>
                          <wp:inline distT="0" distB="0" distL="0" distR="0" wp14:anchorId="15079EA3" wp14:editId="605D8CD5">
                            <wp:extent cx="998220" cy="2817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220" cy="281756"/>
                                    </a:xfrm>
                                    <a:prstGeom prst="rect">
                                      <a:avLst/>
                                    </a:prstGeom>
                                    <a:noFill/>
                                    <a:ln>
                                      <a:noFill/>
                                    </a:ln>
                                  </pic:spPr>
                                </pic:pic>
                              </a:graphicData>
                            </a:graphic>
                          </wp:inline>
                        </w:drawing>
                      </w:r>
                    </w:p>
                  </w:txbxContent>
                </v:textbox>
              </v:shape>
            </w:pict>
          </mc:Fallback>
        </mc:AlternateContent>
      </w:r>
    </w:p>
    <w:p w:rsidR="00001288" w:rsidRPr="00D7349C" w:rsidRDefault="00001288" w:rsidP="00D7349C">
      <w:pPr>
        <w:suppressAutoHyphens/>
        <w:jc w:val="center"/>
        <w:rPr>
          <w:rFonts w:asciiTheme="majorHAnsi" w:hAnsiTheme="majorHAnsi" w:cs="Cambria"/>
          <w:b/>
          <w:bCs/>
          <w:sz w:val="20"/>
          <w:szCs w:val="20"/>
        </w:rPr>
        <w:sectPr w:rsidR="00001288" w:rsidRPr="00D7349C" w:rsidSect="00C054DF">
          <w:headerReference w:type="even" r:id="rId14"/>
          <w:headerReference w:type="default" r:id="rId15"/>
          <w:footerReference w:type="even" r:id="rId16"/>
          <w:footerReference w:type="default" r:id="rId17"/>
          <w:headerReference w:type="first" r:id="rId18"/>
          <w:footerReference w:type="first" r:id="rId19"/>
          <w:type w:val="oddPage"/>
          <w:pgSz w:w="12240" w:h="15840"/>
          <w:pgMar w:top="1440" w:right="1440" w:bottom="1440" w:left="1440" w:header="720" w:footer="720" w:gutter="0"/>
          <w:pgNumType w:start="0"/>
          <w:cols w:space="720"/>
          <w:titlePg/>
          <w:docGrid w:linePitch="326"/>
        </w:sectPr>
      </w:pPr>
    </w:p>
    <w:p w:rsidR="00777CCF" w:rsidRPr="00EC7B87" w:rsidRDefault="00777CCF" w:rsidP="00D7349C">
      <w:pPr>
        <w:tabs>
          <w:tab w:val="center" w:pos="5400"/>
        </w:tabs>
        <w:suppressAutoHyphens/>
        <w:jc w:val="center"/>
        <w:rPr>
          <w:rFonts w:asciiTheme="majorHAnsi" w:hAnsiTheme="majorHAnsi"/>
          <w:b/>
          <w:sz w:val="18"/>
          <w:szCs w:val="18"/>
        </w:rPr>
      </w:pPr>
      <w:r w:rsidRPr="00EC7B87">
        <w:rPr>
          <w:rFonts w:asciiTheme="majorHAnsi" w:hAnsiTheme="majorHAnsi"/>
          <w:b/>
          <w:sz w:val="18"/>
          <w:szCs w:val="18"/>
        </w:rPr>
        <w:lastRenderedPageBreak/>
        <w:t xml:space="preserve">REPORT No. </w:t>
      </w:r>
      <w:r w:rsidR="00EC7B87" w:rsidRPr="00EC7B87">
        <w:rPr>
          <w:rFonts w:asciiTheme="majorHAnsi" w:hAnsiTheme="majorHAnsi"/>
          <w:b/>
          <w:sz w:val="18"/>
          <w:szCs w:val="18"/>
        </w:rPr>
        <w:t>103</w:t>
      </w:r>
      <w:r w:rsidRPr="00EC7B87">
        <w:rPr>
          <w:rFonts w:asciiTheme="majorHAnsi" w:hAnsiTheme="majorHAnsi"/>
          <w:b/>
          <w:sz w:val="18"/>
          <w:szCs w:val="18"/>
        </w:rPr>
        <w:t>/19</w:t>
      </w:r>
    </w:p>
    <w:p w:rsidR="00777CCF" w:rsidRPr="00EC7B87" w:rsidRDefault="00777CCF" w:rsidP="00D7349C">
      <w:pPr>
        <w:tabs>
          <w:tab w:val="center" w:pos="5400"/>
        </w:tabs>
        <w:suppressAutoHyphens/>
        <w:jc w:val="center"/>
        <w:rPr>
          <w:rFonts w:asciiTheme="majorHAnsi" w:hAnsiTheme="majorHAnsi"/>
          <w:b/>
          <w:sz w:val="18"/>
          <w:szCs w:val="18"/>
        </w:rPr>
      </w:pPr>
      <w:r w:rsidRPr="00EC7B87">
        <w:rPr>
          <w:rFonts w:asciiTheme="majorHAnsi" w:hAnsiTheme="majorHAnsi"/>
          <w:b/>
          <w:sz w:val="18"/>
          <w:szCs w:val="18"/>
        </w:rPr>
        <w:t>PETITION 1224 - 07</w:t>
      </w:r>
    </w:p>
    <w:p w:rsidR="00777CCF" w:rsidRPr="00EC7B87" w:rsidRDefault="00777CCF" w:rsidP="00D7349C">
      <w:pPr>
        <w:tabs>
          <w:tab w:val="center" w:pos="5400"/>
        </w:tabs>
        <w:suppressAutoHyphens/>
        <w:jc w:val="center"/>
        <w:rPr>
          <w:rFonts w:asciiTheme="majorHAnsi" w:hAnsiTheme="majorHAnsi"/>
          <w:sz w:val="18"/>
          <w:szCs w:val="18"/>
        </w:rPr>
      </w:pPr>
      <w:r w:rsidRPr="00EC7B87">
        <w:rPr>
          <w:rFonts w:asciiTheme="majorHAnsi" w:hAnsiTheme="majorHAnsi"/>
          <w:sz w:val="18"/>
          <w:szCs w:val="18"/>
        </w:rPr>
        <w:t>FRIENDLY SETTLEMENT</w:t>
      </w:r>
    </w:p>
    <w:p w:rsidR="00777CCF" w:rsidRPr="00EC7B87" w:rsidRDefault="00777CCF" w:rsidP="00D7349C">
      <w:pPr>
        <w:tabs>
          <w:tab w:val="center" w:pos="5400"/>
        </w:tabs>
        <w:suppressAutoHyphens/>
        <w:jc w:val="center"/>
        <w:rPr>
          <w:rFonts w:asciiTheme="majorHAnsi" w:hAnsiTheme="majorHAnsi"/>
          <w:sz w:val="18"/>
          <w:szCs w:val="18"/>
        </w:rPr>
      </w:pPr>
      <w:r w:rsidRPr="00EC7B87">
        <w:rPr>
          <w:rFonts w:asciiTheme="majorHAnsi" w:hAnsiTheme="majorHAnsi"/>
          <w:sz w:val="18"/>
          <w:szCs w:val="18"/>
        </w:rPr>
        <w:t xml:space="preserve">DAVID RABINOVICH </w:t>
      </w:r>
    </w:p>
    <w:p w:rsidR="00777CCF" w:rsidRPr="00EC7B87" w:rsidRDefault="00777CCF" w:rsidP="00D7349C">
      <w:pPr>
        <w:tabs>
          <w:tab w:val="center" w:pos="5400"/>
        </w:tabs>
        <w:suppressAutoHyphens/>
        <w:jc w:val="center"/>
        <w:rPr>
          <w:rFonts w:asciiTheme="majorHAnsi" w:hAnsiTheme="majorHAnsi"/>
          <w:sz w:val="18"/>
          <w:szCs w:val="18"/>
        </w:rPr>
      </w:pPr>
      <w:r w:rsidRPr="00EC7B87">
        <w:rPr>
          <w:rFonts w:asciiTheme="majorHAnsi" w:hAnsiTheme="majorHAnsi"/>
          <w:sz w:val="18"/>
          <w:szCs w:val="18"/>
        </w:rPr>
        <w:t>URUGUAY</w:t>
      </w:r>
      <w:r w:rsidRPr="00EC7B87">
        <w:rPr>
          <w:rFonts w:asciiTheme="majorHAnsi" w:hAnsiTheme="majorHAnsi"/>
          <w:sz w:val="18"/>
          <w:szCs w:val="18"/>
        </w:rPr>
        <w:br/>
        <w:t xml:space="preserve">JULY </w:t>
      </w:r>
      <w:r w:rsidR="00EC7B87" w:rsidRPr="00EC7B87">
        <w:rPr>
          <w:rFonts w:asciiTheme="majorHAnsi" w:hAnsiTheme="majorHAnsi"/>
          <w:sz w:val="18"/>
          <w:szCs w:val="18"/>
        </w:rPr>
        <w:t>16</w:t>
      </w:r>
      <w:r w:rsidRPr="00EC7B87">
        <w:rPr>
          <w:rFonts w:asciiTheme="majorHAnsi" w:hAnsiTheme="majorHAnsi"/>
          <w:sz w:val="18"/>
          <w:szCs w:val="18"/>
        </w:rPr>
        <w:t>, 2019</w:t>
      </w:r>
    </w:p>
    <w:p w:rsidR="00777CCF" w:rsidRPr="00D7349C" w:rsidRDefault="00777CCF" w:rsidP="00D7349C">
      <w:pPr>
        <w:tabs>
          <w:tab w:val="center" w:pos="5400"/>
        </w:tabs>
        <w:suppressAutoHyphens/>
        <w:jc w:val="center"/>
        <w:rPr>
          <w:rFonts w:asciiTheme="majorHAnsi" w:hAnsiTheme="majorHAnsi"/>
          <w:b/>
          <w:sz w:val="20"/>
          <w:szCs w:val="20"/>
        </w:rPr>
      </w:pPr>
    </w:p>
    <w:p w:rsidR="00E940BE" w:rsidRPr="00D7349C" w:rsidRDefault="00E940BE" w:rsidP="00D7349C">
      <w:pPr>
        <w:keepNext/>
        <w:outlineLvl w:val="0"/>
        <w:rPr>
          <w:rFonts w:asciiTheme="majorHAnsi" w:hAnsiTheme="majorHAnsi"/>
          <w:sz w:val="20"/>
          <w:szCs w:val="20"/>
        </w:rPr>
      </w:pPr>
    </w:p>
    <w:p w:rsidR="00E940BE" w:rsidRPr="00D7349C" w:rsidRDefault="00E940BE" w:rsidP="00A5191B">
      <w:pPr>
        <w:pStyle w:val="ListParagraph"/>
        <w:keepNext/>
        <w:numPr>
          <w:ilvl w:val="0"/>
          <w:numId w:val="58"/>
        </w:numPr>
        <w:pBdr>
          <w:top w:val="nil"/>
          <w:left w:val="nil"/>
          <w:bottom w:val="nil"/>
          <w:right w:val="nil"/>
          <w:between w:val="nil"/>
          <w:bar w:val="nil"/>
        </w:pBdr>
        <w:outlineLvl w:val="0"/>
        <w:rPr>
          <w:rFonts w:asciiTheme="majorHAnsi" w:eastAsia="Times New Roman" w:hAnsiTheme="majorHAnsi"/>
          <w:b/>
          <w:bCs/>
          <w:kern w:val="36"/>
          <w:sz w:val="20"/>
          <w:szCs w:val="20"/>
          <w:lang w:eastAsia="es-BO"/>
        </w:rPr>
      </w:pPr>
      <w:r w:rsidRPr="00D7349C">
        <w:rPr>
          <w:rFonts w:asciiTheme="majorHAnsi" w:eastAsia="Times New Roman" w:hAnsiTheme="majorHAnsi"/>
          <w:b/>
          <w:bCs/>
          <w:kern w:val="36"/>
          <w:sz w:val="20"/>
          <w:szCs w:val="20"/>
          <w:lang w:eastAsia="es-BO"/>
        </w:rPr>
        <w:t>SUMMARY AND PROCEDURAL ASPECTS RELEATED TO THE FRIENDLY SETTLEMENT PROCESS</w:t>
      </w:r>
    </w:p>
    <w:p w:rsidR="00E940BE" w:rsidRPr="00D7349C" w:rsidRDefault="00E940BE" w:rsidP="00D7349C">
      <w:pPr>
        <w:ind w:firstLine="720"/>
        <w:jc w:val="both"/>
        <w:rPr>
          <w:rFonts w:asciiTheme="majorHAnsi" w:eastAsia="Times New Roman" w:hAnsiTheme="majorHAnsi"/>
          <w:sz w:val="20"/>
          <w:szCs w:val="20"/>
          <w:lang w:eastAsia="es-BO"/>
        </w:rPr>
      </w:pPr>
    </w:p>
    <w:p w:rsidR="002031D1" w:rsidRPr="00D7349C" w:rsidRDefault="004B218B" w:rsidP="00D7349C">
      <w:pPr>
        <w:pStyle w:val="ListParagraph"/>
        <w:numPr>
          <w:ilvl w:val="0"/>
          <w:numId w:val="57"/>
        </w:numPr>
        <w:ind w:left="0" w:firstLine="720"/>
        <w:jc w:val="both"/>
        <w:rPr>
          <w:rFonts w:asciiTheme="majorHAnsi" w:eastAsia="Times New Roman" w:hAnsiTheme="majorHAnsi"/>
          <w:b/>
          <w:bCs/>
          <w:sz w:val="20"/>
          <w:szCs w:val="20"/>
          <w:lang w:eastAsia="es-BO"/>
        </w:rPr>
      </w:pPr>
      <w:r w:rsidRPr="00D7349C">
        <w:rPr>
          <w:rFonts w:asciiTheme="majorHAnsi" w:eastAsia="Times New Roman" w:hAnsiTheme="majorHAnsi"/>
          <w:sz w:val="20"/>
          <w:szCs w:val="20"/>
          <w:lang w:val="en" w:eastAsia="es-BO"/>
        </w:rPr>
        <w:t>On October 25, 2007, the Inter-American Commission on Human Rights (hereinafter "</w:t>
      </w:r>
      <w:r w:rsidR="00777CCF" w:rsidRPr="00D7349C">
        <w:rPr>
          <w:rFonts w:asciiTheme="majorHAnsi" w:eastAsia="Times New Roman" w:hAnsiTheme="majorHAnsi"/>
          <w:sz w:val="20"/>
          <w:szCs w:val="20"/>
          <w:lang w:val="en" w:eastAsia="es-BO"/>
        </w:rPr>
        <w:t xml:space="preserve">The </w:t>
      </w:r>
      <w:r w:rsidR="002031D1" w:rsidRPr="00D7349C">
        <w:rPr>
          <w:rFonts w:asciiTheme="majorHAnsi" w:eastAsia="Times New Roman" w:hAnsiTheme="majorHAnsi"/>
          <w:sz w:val="20"/>
          <w:szCs w:val="20"/>
          <w:lang w:val="en" w:eastAsia="es-BO"/>
        </w:rPr>
        <w:t>Commission "or the" IACHR</w:t>
      </w:r>
      <w:r w:rsidRPr="00D7349C">
        <w:rPr>
          <w:rFonts w:asciiTheme="majorHAnsi" w:eastAsia="Times New Roman" w:hAnsiTheme="majorHAnsi"/>
          <w:sz w:val="20"/>
          <w:szCs w:val="20"/>
          <w:lang w:val="en" w:eastAsia="es-BO"/>
        </w:rPr>
        <w:t>"</w:t>
      </w:r>
      <w:r w:rsidR="002031D1" w:rsidRPr="00D7349C">
        <w:rPr>
          <w:rFonts w:asciiTheme="majorHAnsi" w:eastAsia="Times New Roman" w:hAnsiTheme="majorHAnsi"/>
          <w:sz w:val="20"/>
          <w:szCs w:val="20"/>
          <w:lang w:val="en" w:eastAsia="es-BO"/>
        </w:rPr>
        <w:t xml:space="preserve">) </w:t>
      </w:r>
      <w:r w:rsidRPr="00D7349C">
        <w:rPr>
          <w:rFonts w:asciiTheme="majorHAnsi" w:eastAsia="Times New Roman" w:hAnsiTheme="majorHAnsi"/>
          <w:sz w:val="20"/>
          <w:szCs w:val="20"/>
          <w:lang w:val="en" w:eastAsia="es-BO"/>
        </w:rPr>
        <w:t>received a petition in the name of David Rabinovich with the sponsorship of the Uruguayan Press Associatio</w:t>
      </w:r>
      <w:r w:rsidR="00D7349C">
        <w:rPr>
          <w:rFonts w:asciiTheme="majorHAnsi" w:eastAsia="Times New Roman" w:hAnsiTheme="majorHAnsi"/>
          <w:sz w:val="20"/>
          <w:szCs w:val="20"/>
          <w:lang w:val="en" w:eastAsia="es-BO"/>
        </w:rPr>
        <w:t>n [</w:t>
      </w:r>
      <w:r w:rsidR="00D7349C" w:rsidRPr="00D7349C">
        <w:rPr>
          <w:rFonts w:asciiTheme="majorHAnsi" w:eastAsia="Times New Roman" w:hAnsiTheme="majorHAnsi"/>
          <w:i/>
          <w:sz w:val="20"/>
          <w:szCs w:val="20"/>
          <w:lang w:val="en" w:eastAsia="es-BO"/>
        </w:rPr>
        <w:t>Asociación de la Prensa Uruguaya</w:t>
      </w:r>
      <w:r w:rsidR="00D7349C">
        <w:rPr>
          <w:rFonts w:asciiTheme="majorHAnsi" w:eastAsia="Times New Roman" w:hAnsiTheme="majorHAnsi"/>
          <w:sz w:val="20"/>
          <w:szCs w:val="20"/>
          <w:lang w:val="en" w:eastAsia="es-BO"/>
        </w:rPr>
        <w:t xml:space="preserve"> hereinafter APU</w:t>
      </w:r>
      <w:r w:rsidR="00D7349C" w:rsidRPr="00D7349C">
        <w:rPr>
          <w:rFonts w:asciiTheme="majorHAnsi" w:eastAsia="Times New Roman" w:hAnsiTheme="majorHAnsi"/>
          <w:sz w:val="20"/>
          <w:szCs w:val="20"/>
          <w:lang w:val="en" w:eastAsia="es-BO"/>
        </w:rPr>
        <w:t xml:space="preserve"> </w:t>
      </w:r>
      <w:r w:rsidR="00D7349C">
        <w:rPr>
          <w:rFonts w:asciiTheme="majorHAnsi" w:eastAsia="Times New Roman" w:hAnsiTheme="majorHAnsi"/>
          <w:sz w:val="20"/>
          <w:szCs w:val="20"/>
          <w:lang w:val="en" w:eastAsia="es-BO"/>
        </w:rPr>
        <w:t xml:space="preserve">for its initials in Spanish] and the Uruguayan Institute of Legal Studies </w:t>
      </w:r>
      <w:r w:rsidR="00D7349C">
        <w:rPr>
          <w:rFonts w:asciiTheme="majorHAnsi" w:eastAsia="Times New Roman" w:hAnsiTheme="majorHAnsi"/>
          <w:i/>
          <w:sz w:val="20"/>
          <w:szCs w:val="20"/>
          <w:lang w:val="en" w:eastAsia="es-BO"/>
        </w:rPr>
        <w:t>[</w:t>
      </w:r>
      <w:r w:rsidR="00D7349C" w:rsidRPr="00D7349C">
        <w:rPr>
          <w:rFonts w:asciiTheme="majorHAnsi" w:eastAsia="Times New Roman" w:hAnsiTheme="majorHAnsi"/>
          <w:i/>
          <w:sz w:val="20"/>
          <w:szCs w:val="20"/>
          <w:lang w:val="en" w:eastAsia="es-BO"/>
        </w:rPr>
        <w:t>Instituto de Estudios Legales del Uruguay</w:t>
      </w:r>
      <w:r w:rsidR="00D7349C">
        <w:rPr>
          <w:rFonts w:asciiTheme="majorHAnsi" w:eastAsia="Times New Roman" w:hAnsiTheme="majorHAnsi"/>
          <w:sz w:val="20"/>
          <w:szCs w:val="20"/>
          <w:lang w:val="en" w:eastAsia="es-BO"/>
        </w:rPr>
        <w:t>, hereinafter ILESUR for its initials in Spanish]</w:t>
      </w:r>
      <w:r w:rsidR="005814C5">
        <w:rPr>
          <w:rFonts w:asciiTheme="majorHAnsi" w:eastAsia="Times New Roman" w:hAnsiTheme="majorHAnsi"/>
          <w:sz w:val="20"/>
          <w:szCs w:val="20"/>
          <w:lang w:val="en" w:eastAsia="es-BO"/>
        </w:rPr>
        <w:t xml:space="preserve">, </w:t>
      </w:r>
      <w:r w:rsidR="002031D1" w:rsidRPr="00D7349C">
        <w:rPr>
          <w:rFonts w:asciiTheme="majorHAnsi" w:eastAsia="Times New Roman" w:hAnsiTheme="majorHAnsi"/>
          <w:sz w:val="20"/>
          <w:szCs w:val="20"/>
          <w:lang w:val="en" w:eastAsia="es-BO"/>
        </w:rPr>
        <w:t xml:space="preserve"> </w:t>
      </w:r>
      <w:r w:rsidR="005814C5">
        <w:rPr>
          <w:rFonts w:asciiTheme="majorHAnsi" w:eastAsia="Times New Roman" w:hAnsiTheme="majorHAnsi"/>
          <w:sz w:val="20"/>
          <w:szCs w:val="20"/>
          <w:lang w:val="en" w:eastAsia="es-BO"/>
        </w:rPr>
        <w:t xml:space="preserve">subsequently “the petitioners”, </w:t>
      </w:r>
      <w:r w:rsidR="002031D1" w:rsidRPr="00D7349C">
        <w:rPr>
          <w:rFonts w:asciiTheme="majorHAnsi" w:eastAsia="Times New Roman" w:hAnsiTheme="majorHAnsi"/>
          <w:sz w:val="20"/>
          <w:szCs w:val="20"/>
          <w:lang w:val="en" w:eastAsia="es-BO"/>
        </w:rPr>
        <w:t xml:space="preserve">in which </w:t>
      </w:r>
      <w:r w:rsidR="00D7349C">
        <w:rPr>
          <w:rFonts w:asciiTheme="majorHAnsi" w:eastAsia="Times New Roman" w:hAnsiTheme="majorHAnsi"/>
          <w:sz w:val="20"/>
          <w:szCs w:val="20"/>
          <w:lang w:val="en" w:eastAsia="es-BO"/>
        </w:rPr>
        <w:t>it was alleged that he was a</w:t>
      </w:r>
      <w:r w:rsidRPr="00D7349C">
        <w:rPr>
          <w:rFonts w:asciiTheme="majorHAnsi" w:eastAsia="Times New Roman" w:hAnsiTheme="majorHAnsi"/>
          <w:sz w:val="20"/>
          <w:szCs w:val="20"/>
          <w:lang w:val="en" w:eastAsia="es-BO"/>
        </w:rPr>
        <w:t xml:space="preserve"> victim of violations </w:t>
      </w:r>
      <w:r w:rsidR="00D7349C">
        <w:rPr>
          <w:rFonts w:asciiTheme="majorHAnsi" w:eastAsia="Times New Roman" w:hAnsiTheme="majorHAnsi"/>
          <w:sz w:val="20"/>
          <w:szCs w:val="20"/>
          <w:lang w:val="en" w:eastAsia="es-BO"/>
        </w:rPr>
        <w:t>to his freedom of</w:t>
      </w:r>
      <w:r w:rsidRPr="00D7349C">
        <w:rPr>
          <w:rFonts w:asciiTheme="majorHAnsi" w:eastAsia="Times New Roman" w:hAnsiTheme="majorHAnsi"/>
          <w:sz w:val="20"/>
          <w:szCs w:val="20"/>
          <w:lang w:val="en" w:eastAsia="es-BO"/>
        </w:rPr>
        <w:t xml:space="preserve"> expression and access to information, for the alleged denial of access to information of public interest on the basis of a law incompatible with international standards. According to the allegations, the alleged victim, David Rabinovich, a journalist by professio</w:t>
      </w:r>
      <w:r w:rsidR="00D7349C">
        <w:rPr>
          <w:rFonts w:asciiTheme="majorHAnsi" w:eastAsia="Times New Roman" w:hAnsiTheme="majorHAnsi"/>
          <w:sz w:val="20"/>
          <w:szCs w:val="20"/>
          <w:lang w:val="en" w:eastAsia="es-BO"/>
        </w:rPr>
        <w:t>n, had</w:t>
      </w:r>
      <w:r w:rsidRPr="00D7349C">
        <w:rPr>
          <w:rFonts w:asciiTheme="majorHAnsi" w:eastAsia="Times New Roman" w:hAnsiTheme="majorHAnsi"/>
          <w:sz w:val="20"/>
          <w:szCs w:val="20"/>
          <w:lang w:val="en" w:eastAsia="es-BO"/>
        </w:rPr>
        <w:t xml:space="preserve"> requested access to the minutes, the transcription of recordings or tapes of a session of the Budget Committee of the Dep</w:t>
      </w:r>
      <w:r w:rsidR="00D7349C">
        <w:rPr>
          <w:rFonts w:asciiTheme="majorHAnsi" w:eastAsia="Times New Roman" w:hAnsiTheme="majorHAnsi"/>
          <w:sz w:val="20"/>
          <w:szCs w:val="20"/>
          <w:lang w:val="en" w:eastAsia="es-BO"/>
        </w:rPr>
        <w:t>artmental Board of San José which</w:t>
      </w:r>
      <w:r w:rsidRPr="00D7349C">
        <w:rPr>
          <w:rFonts w:asciiTheme="majorHAnsi" w:eastAsia="Times New Roman" w:hAnsiTheme="majorHAnsi"/>
          <w:sz w:val="20"/>
          <w:szCs w:val="20"/>
          <w:lang w:val="en" w:eastAsia="es-BO"/>
        </w:rPr>
        <w:t xml:space="preserve"> was denied. </w:t>
      </w:r>
      <w:r w:rsidR="00D7349C">
        <w:rPr>
          <w:rFonts w:asciiTheme="majorHAnsi" w:eastAsia="Times New Roman" w:hAnsiTheme="majorHAnsi"/>
          <w:sz w:val="20"/>
          <w:szCs w:val="20"/>
          <w:lang w:val="en" w:eastAsia="es-BO"/>
        </w:rPr>
        <w:t xml:space="preserve">The petitioner alleged that </w:t>
      </w:r>
      <w:r w:rsidRPr="00D7349C">
        <w:rPr>
          <w:rFonts w:asciiTheme="majorHAnsi" w:eastAsia="Times New Roman" w:hAnsiTheme="majorHAnsi"/>
          <w:sz w:val="20"/>
          <w:szCs w:val="20"/>
          <w:lang w:val="en" w:eastAsia="es-BO"/>
        </w:rPr>
        <w:t>Article 11 of the Municipal Organic Law No. 9.51</w:t>
      </w:r>
      <w:r w:rsidR="00A91E66" w:rsidRPr="00D7349C">
        <w:rPr>
          <w:rFonts w:asciiTheme="majorHAnsi" w:eastAsia="Times New Roman" w:hAnsiTheme="majorHAnsi"/>
          <w:sz w:val="20"/>
          <w:szCs w:val="20"/>
          <w:lang w:val="en" w:eastAsia="es-BO"/>
        </w:rPr>
        <w:t xml:space="preserve">5 of </w:t>
      </w:r>
      <w:r w:rsidR="00D7349C" w:rsidRPr="00D7349C">
        <w:rPr>
          <w:rFonts w:asciiTheme="majorHAnsi" w:eastAsia="Times New Roman" w:hAnsiTheme="majorHAnsi"/>
          <w:sz w:val="20"/>
          <w:szCs w:val="20"/>
          <w:lang w:val="en" w:eastAsia="es-BO"/>
        </w:rPr>
        <w:t>1935</w:t>
      </w:r>
      <w:r w:rsidR="00A91E66" w:rsidRPr="00D7349C">
        <w:rPr>
          <w:rFonts w:asciiTheme="majorHAnsi" w:eastAsia="Times New Roman" w:hAnsiTheme="majorHAnsi"/>
          <w:sz w:val="20"/>
          <w:szCs w:val="20"/>
          <w:lang w:val="en" w:eastAsia="es-BO"/>
        </w:rPr>
        <w:t xml:space="preserve"> allow</w:t>
      </w:r>
      <w:r w:rsidR="00D7349C">
        <w:rPr>
          <w:rFonts w:asciiTheme="majorHAnsi" w:eastAsia="Times New Roman" w:hAnsiTheme="majorHAnsi"/>
          <w:sz w:val="20"/>
          <w:szCs w:val="20"/>
          <w:lang w:val="en" w:eastAsia="es-BO"/>
        </w:rPr>
        <w:t>ed</w:t>
      </w:r>
      <w:r w:rsidR="00A91E66" w:rsidRPr="00D7349C">
        <w:rPr>
          <w:rFonts w:asciiTheme="majorHAnsi" w:eastAsia="Times New Roman" w:hAnsiTheme="majorHAnsi"/>
          <w:sz w:val="20"/>
          <w:szCs w:val="20"/>
          <w:lang w:val="en" w:eastAsia="es-BO"/>
        </w:rPr>
        <w:t xml:space="preserve"> </w:t>
      </w:r>
      <w:r w:rsidR="00D7349C">
        <w:rPr>
          <w:rFonts w:asciiTheme="majorHAnsi" w:eastAsia="Times New Roman" w:hAnsiTheme="majorHAnsi"/>
          <w:sz w:val="20"/>
          <w:szCs w:val="20"/>
          <w:lang w:val="en" w:eastAsia="es-BO"/>
        </w:rPr>
        <w:t>to declare</w:t>
      </w:r>
      <w:r w:rsidR="00A91E66" w:rsidRPr="00D7349C">
        <w:rPr>
          <w:rFonts w:asciiTheme="majorHAnsi" w:eastAsia="Times New Roman" w:hAnsiTheme="majorHAnsi"/>
          <w:sz w:val="20"/>
          <w:szCs w:val="20"/>
          <w:lang w:val="en" w:eastAsia="es-BO"/>
        </w:rPr>
        <w:t xml:space="preserve"> as secrets</w:t>
      </w:r>
      <w:r w:rsidR="00D7349C">
        <w:rPr>
          <w:rFonts w:asciiTheme="majorHAnsi" w:eastAsia="Times New Roman" w:hAnsiTheme="majorHAnsi"/>
          <w:sz w:val="20"/>
          <w:szCs w:val="20"/>
          <w:lang w:val="en" w:eastAsia="es-BO"/>
        </w:rPr>
        <w:t xml:space="preserve"> the </w:t>
      </w:r>
      <w:r w:rsidRPr="00D7349C">
        <w:rPr>
          <w:rFonts w:asciiTheme="majorHAnsi" w:eastAsia="Times New Roman" w:hAnsiTheme="majorHAnsi"/>
          <w:sz w:val="20"/>
          <w:szCs w:val="20"/>
          <w:lang w:val="en" w:eastAsia="es-BO"/>
        </w:rPr>
        <w:t xml:space="preserve">matters resolved in the session, by decision of the absolute majority of those present. The petitioner alleged that the Uruguayan </w:t>
      </w:r>
      <w:r w:rsidR="00D7349C" w:rsidRPr="00D7349C">
        <w:rPr>
          <w:rFonts w:asciiTheme="majorHAnsi" w:eastAsia="Times New Roman" w:hAnsiTheme="majorHAnsi"/>
          <w:sz w:val="20"/>
          <w:szCs w:val="20"/>
          <w:lang w:val="en" w:eastAsia="es-BO"/>
        </w:rPr>
        <w:t>S</w:t>
      </w:r>
      <w:r w:rsidRPr="00D7349C">
        <w:rPr>
          <w:rFonts w:asciiTheme="majorHAnsi" w:eastAsia="Times New Roman" w:hAnsiTheme="majorHAnsi"/>
          <w:sz w:val="20"/>
          <w:szCs w:val="20"/>
          <w:lang w:val="en" w:eastAsia="es-BO"/>
        </w:rPr>
        <w:t>tate did not comply with the standards of maximum disclosure, publicity and transparency.</w:t>
      </w:r>
    </w:p>
    <w:p w:rsidR="002031D1" w:rsidRPr="00D7349C" w:rsidRDefault="002031D1" w:rsidP="00D7349C">
      <w:pPr>
        <w:pStyle w:val="ListParagraph"/>
        <w:ind w:left="0" w:firstLine="720"/>
        <w:jc w:val="both"/>
        <w:rPr>
          <w:rFonts w:asciiTheme="majorHAnsi" w:eastAsia="Times New Roman" w:hAnsiTheme="majorHAnsi"/>
          <w:b/>
          <w:bCs/>
          <w:sz w:val="20"/>
          <w:szCs w:val="20"/>
          <w:lang w:eastAsia="es-BO"/>
        </w:rPr>
      </w:pPr>
    </w:p>
    <w:p w:rsidR="002031D1" w:rsidRPr="00D7349C" w:rsidRDefault="002031D1" w:rsidP="00D7349C">
      <w:pPr>
        <w:pStyle w:val="ListParagraph"/>
        <w:numPr>
          <w:ilvl w:val="0"/>
          <w:numId w:val="57"/>
        </w:numPr>
        <w:ind w:left="0" w:firstLine="720"/>
        <w:jc w:val="both"/>
        <w:rPr>
          <w:rFonts w:asciiTheme="majorHAnsi" w:eastAsia="Times New Roman" w:hAnsiTheme="majorHAnsi"/>
          <w:b/>
          <w:bCs/>
          <w:sz w:val="20"/>
          <w:szCs w:val="20"/>
          <w:lang w:eastAsia="es-BO"/>
        </w:rPr>
      </w:pPr>
      <w:r w:rsidRPr="00D7349C">
        <w:rPr>
          <w:rFonts w:asciiTheme="majorHAnsi" w:hAnsiTheme="majorHAnsi"/>
          <w:spacing w:val="2"/>
          <w:sz w:val="20"/>
          <w:szCs w:val="20"/>
        </w:rPr>
        <w:t>The petitioners alleged that the State is responsible for the violation of articles 13 (right to freedom of thought and expression) and 25 (right to judicial protection) of the American Convention on Human Rights (hereinafter "the American Convention"), all of them in accordance with the general obligation to respect and guarantee the rights and freedoms, provided in Article 1 (1) and Article 2 (Duty to adopt provisions of domestic law) of the same instrument.</w:t>
      </w:r>
      <w:r w:rsidR="00E940BE" w:rsidRPr="00D7349C">
        <w:rPr>
          <w:rFonts w:asciiTheme="majorHAnsi" w:hAnsiTheme="majorHAnsi"/>
          <w:spacing w:val="2"/>
          <w:sz w:val="20"/>
          <w:szCs w:val="20"/>
        </w:rPr>
        <w:t xml:space="preserve"> </w:t>
      </w:r>
    </w:p>
    <w:p w:rsidR="002031D1" w:rsidRPr="00D7349C" w:rsidRDefault="002031D1" w:rsidP="00D7349C">
      <w:pPr>
        <w:pStyle w:val="ListParagraph"/>
        <w:ind w:left="0" w:firstLine="720"/>
        <w:jc w:val="both"/>
        <w:rPr>
          <w:rFonts w:asciiTheme="majorHAnsi" w:eastAsia="Times New Roman" w:hAnsiTheme="majorHAnsi"/>
          <w:b/>
          <w:bCs/>
          <w:sz w:val="20"/>
          <w:szCs w:val="20"/>
          <w:lang w:eastAsia="es-BO"/>
        </w:rPr>
      </w:pPr>
    </w:p>
    <w:p w:rsidR="00FF74D6" w:rsidRPr="00D7349C" w:rsidRDefault="002031D1" w:rsidP="00D7349C">
      <w:pPr>
        <w:pStyle w:val="ListParagraph"/>
        <w:numPr>
          <w:ilvl w:val="0"/>
          <w:numId w:val="57"/>
        </w:numPr>
        <w:ind w:left="0" w:firstLine="720"/>
        <w:jc w:val="both"/>
        <w:rPr>
          <w:rFonts w:asciiTheme="majorHAnsi" w:eastAsia="Times New Roman" w:hAnsiTheme="majorHAnsi"/>
          <w:b/>
          <w:bCs/>
          <w:sz w:val="20"/>
          <w:szCs w:val="20"/>
          <w:lang w:eastAsia="es-BO"/>
        </w:rPr>
      </w:pPr>
      <w:r w:rsidRPr="00D7349C">
        <w:rPr>
          <w:rFonts w:asciiTheme="majorHAnsi" w:hAnsiTheme="majorHAnsi"/>
          <w:sz w:val="20"/>
          <w:szCs w:val="20"/>
        </w:rPr>
        <w:t>On October 1, 2015, the parties formally initiated the negotiation of a friendly settlement that materialized with the signing of an agreement on October 25, 2017, within the framework of a work</w:t>
      </w:r>
      <w:r w:rsidR="00D7349C">
        <w:rPr>
          <w:rFonts w:asciiTheme="majorHAnsi" w:hAnsiTheme="majorHAnsi"/>
          <w:sz w:val="20"/>
          <w:szCs w:val="20"/>
        </w:rPr>
        <w:t>ing</w:t>
      </w:r>
      <w:r w:rsidRPr="00D7349C">
        <w:rPr>
          <w:rFonts w:asciiTheme="majorHAnsi" w:hAnsiTheme="majorHAnsi"/>
          <w:sz w:val="20"/>
          <w:szCs w:val="20"/>
        </w:rPr>
        <w:t xml:space="preserve"> meeting facilitated by Commissioner Francisco José Eguiguren Praeli, Rapporteur of the IACHR for Uruguay during the 165th period of sessions of the IACHR. Through the friendly settlement agreement</w:t>
      </w:r>
      <w:r w:rsidR="00213A51">
        <w:rPr>
          <w:rFonts w:asciiTheme="majorHAnsi" w:hAnsiTheme="majorHAnsi"/>
          <w:sz w:val="20"/>
          <w:szCs w:val="20"/>
        </w:rPr>
        <w:t xml:space="preserve"> (hereinafter “FSA” or “agreement”)</w:t>
      </w:r>
      <w:r w:rsidRPr="00D7349C">
        <w:rPr>
          <w:rFonts w:asciiTheme="majorHAnsi" w:hAnsiTheme="majorHAnsi"/>
          <w:sz w:val="20"/>
          <w:szCs w:val="20"/>
        </w:rPr>
        <w:t>, the Uruguayan State adopted the commitment to facilitate the public dissemination of the agreement reached, with emphasis on the dissemination of the current regulations on access to public information. Likewise, the State acknowledged that the refusal of the Departmental Board of San José to provide access to the public information requested by Mr. Rabinovich, resulted in a limitation to the exercise of his right to seek, receive and disseminate information and ideas of all nature, in a context of non-existence of clear procedures of access to public information prevailing at the time of the events.</w:t>
      </w:r>
    </w:p>
    <w:p w:rsidR="00FF74D6" w:rsidRPr="00D7349C" w:rsidRDefault="00FF74D6" w:rsidP="00D7349C">
      <w:pPr>
        <w:pStyle w:val="ListParagraph"/>
        <w:ind w:left="0" w:firstLine="720"/>
        <w:jc w:val="both"/>
        <w:rPr>
          <w:rFonts w:asciiTheme="majorHAnsi" w:eastAsia="Times New Roman" w:hAnsiTheme="majorHAnsi"/>
          <w:bCs/>
          <w:sz w:val="20"/>
          <w:szCs w:val="20"/>
          <w:lang w:eastAsia="es-BO"/>
        </w:rPr>
      </w:pPr>
    </w:p>
    <w:p w:rsidR="00FF74D6" w:rsidRPr="00D7349C" w:rsidRDefault="00FF74D6" w:rsidP="00D7349C">
      <w:pPr>
        <w:pStyle w:val="ListParagraph"/>
        <w:numPr>
          <w:ilvl w:val="0"/>
          <w:numId w:val="57"/>
        </w:numPr>
        <w:ind w:left="0" w:firstLine="720"/>
        <w:jc w:val="both"/>
        <w:rPr>
          <w:rFonts w:asciiTheme="majorHAnsi" w:eastAsia="Times New Roman" w:hAnsiTheme="majorHAnsi"/>
          <w:bCs/>
          <w:sz w:val="20"/>
          <w:szCs w:val="20"/>
          <w:lang w:eastAsia="es-BO"/>
        </w:rPr>
      </w:pPr>
      <w:r w:rsidRPr="00D7349C">
        <w:rPr>
          <w:rFonts w:asciiTheme="majorHAnsi" w:eastAsia="Times New Roman" w:hAnsiTheme="majorHAnsi"/>
          <w:bCs/>
          <w:sz w:val="20"/>
          <w:szCs w:val="20"/>
          <w:lang w:eastAsia="es-BO"/>
        </w:rPr>
        <w:t xml:space="preserve">Subsequently, on May 3, 2019, the parties signed a </w:t>
      </w:r>
      <w:r w:rsidR="00474DDE">
        <w:rPr>
          <w:rFonts w:asciiTheme="majorHAnsi" w:eastAsia="Times New Roman" w:hAnsiTheme="majorHAnsi"/>
          <w:bCs/>
          <w:sz w:val="20"/>
          <w:szCs w:val="20"/>
          <w:lang w:eastAsia="es-BO"/>
        </w:rPr>
        <w:t>Minute</w:t>
      </w:r>
      <w:r w:rsidRPr="00D7349C">
        <w:rPr>
          <w:rFonts w:asciiTheme="majorHAnsi" w:eastAsia="Times New Roman" w:hAnsiTheme="majorHAnsi"/>
          <w:bCs/>
          <w:sz w:val="20"/>
          <w:szCs w:val="20"/>
          <w:lang w:eastAsia="es-BO"/>
        </w:rPr>
        <w:t xml:space="preserve"> of Understanding to establish the work</w:t>
      </w:r>
      <w:r w:rsidR="00213A51">
        <w:rPr>
          <w:rFonts w:asciiTheme="majorHAnsi" w:eastAsia="Times New Roman" w:hAnsiTheme="majorHAnsi"/>
          <w:bCs/>
          <w:sz w:val="20"/>
          <w:szCs w:val="20"/>
          <w:lang w:eastAsia="es-BO"/>
        </w:rPr>
        <w:t>ing</w:t>
      </w:r>
      <w:r w:rsidRPr="00D7349C">
        <w:rPr>
          <w:rFonts w:asciiTheme="majorHAnsi" w:eastAsia="Times New Roman" w:hAnsiTheme="majorHAnsi"/>
          <w:bCs/>
          <w:sz w:val="20"/>
          <w:szCs w:val="20"/>
          <w:lang w:eastAsia="es-BO"/>
        </w:rPr>
        <w:t xml:space="preserve"> route and the content of the obligations of the State derived from the agreement to move towards full compliance.</w:t>
      </w:r>
    </w:p>
    <w:p w:rsidR="00FF74D6" w:rsidRPr="00D7349C" w:rsidRDefault="00FF74D6" w:rsidP="00D7349C">
      <w:pPr>
        <w:pStyle w:val="ListParagraph"/>
        <w:ind w:left="0" w:firstLine="720"/>
        <w:jc w:val="both"/>
        <w:rPr>
          <w:rFonts w:asciiTheme="majorHAnsi" w:eastAsia="Times New Roman" w:hAnsiTheme="majorHAnsi"/>
          <w:bCs/>
          <w:sz w:val="20"/>
          <w:szCs w:val="20"/>
          <w:lang w:eastAsia="es-BO"/>
        </w:rPr>
      </w:pPr>
    </w:p>
    <w:p w:rsidR="00213A51" w:rsidRDefault="00FF74D6" w:rsidP="00213A51">
      <w:pPr>
        <w:pStyle w:val="ListParagraph"/>
        <w:numPr>
          <w:ilvl w:val="0"/>
          <w:numId w:val="57"/>
        </w:numPr>
        <w:ind w:left="0" w:firstLine="720"/>
        <w:jc w:val="both"/>
        <w:rPr>
          <w:rFonts w:asciiTheme="majorHAnsi" w:eastAsia="Times New Roman" w:hAnsiTheme="majorHAnsi"/>
          <w:bCs/>
          <w:sz w:val="20"/>
          <w:szCs w:val="20"/>
          <w:lang w:eastAsia="es-BO"/>
        </w:rPr>
      </w:pPr>
      <w:r w:rsidRPr="00D7349C">
        <w:rPr>
          <w:rFonts w:asciiTheme="majorHAnsi" w:eastAsia="Times New Roman" w:hAnsiTheme="majorHAnsi"/>
          <w:bCs/>
          <w:sz w:val="20"/>
          <w:szCs w:val="20"/>
          <w:lang w:eastAsia="es-BO"/>
        </w:rPr>
        <w:t>On June 11, 2019, the Uruguayan State submitted information on compliance with the friendly settlement agreement and requested its approval by the IACHR. The petitioners, on the other hand, indicated on June 26, 2019, their satisfaction and compl</w:t>
      </w:r>
      <w:r w:rsidR="00D7349C">
        <w:rPr>
          <w:rFonts w:asciiTheme="majorHAnsi" w:eastAsia="Times New Roman" w:hAnsiTheme="majorHAnsi"/>
          <w:bCs/>
          <w:sz w:val="20"/>
          <w:szCs w:val="20"/>
          <w:lang w:eastAsia="es-BO"/>
        </w:rPr>
        <w:t xml:space="preserve">iance with the approval </w:t>
      </w:r>
      <w:r w:rsidR="00D7349C" w:rsidRPr="00213A51">
        <w:rPr>
          <w:rFonts w:asciiTheme="majorHAnsi" w:eastAsia="Times New Roman" w:hAnsiTheme="majorHAnsi"/>
          <w:bCs/>
          <w:sz w:val="20"/>
          <w:szCs w:val="20"/>
          <w:lang w:eastAsia="es-BO"/>
        </w:rPr>
        <w:t>of the F</w:t>
      </w:r>
      <w:r w:rsidRPr="00213A51">
        <w:rPr>
          <w:rFonts w:asciiTheme="majorHAnsi" w:eastAsia="Times New Roman" w:hAnsiTheme="majorHAnsi"/>
          <w:bCs/>
          <w:sz w:val="20"/>
          <w:szCs w:val="20"/>
          <w:lang w:eastAsia="es-BO"/>
        </w:rPr>
        <w:t>SA.</w:t>
      </w:r>
    </w:p>
    <w:p w:rsidR="00213A51" w:rsidRPr="00213A51" w:rsidRDefault="00213A51" w:rsidP="00213A51">
      <w:pPr>
        <w:pStyle w:val="ListParagraph"/>
        <w:rPr>
          <w:rFonts w:asciiTheme="majorHAnsi" w:eastAsia="Times New Roman" w:hAnsiTheme="majorHAnsi"/>
          <w:bCs/>
          <w:sz w:val="20"/>
          <w:szCs w:val="20"/>
          <w:lang w:eastAsia="es-BO"/>
        </w:rPr>
      </w:pPr>
    </w:p>
    <w:p w:rsidR="00213A51" w:rsidRPr="005814C5" w:rsidRDefault="00FF74D6" w:rsidP="00213A51">
      <w:pPr>
        <w:pStyle w:val="ListParagraph"/>
        <w:numPr>
          <w:ilvl w:val="0"/>
          <w:numId w:val="57"/>
        </w:numPr>
        <w:ind w:left="0" w:firstLine="720"/>
        <w:jc w:val="both"/>
        <w:rPr>
          <w:rFonts w:asciiTheme="majorHAnsi" w:eastAsia="Times New Roman" w:hAnsiTheme="majorHAnsi"/>
          <w:bCs/>
          <w:sz w:val="20"/>
          <w:szCs w:val="20"/>
          <w:lang w:eastAsia="es-BO"/>
        </w:rPr>
      </w:pPr>
      <w:r w:rsidRPr="00213A51">
        <w:rPr>
          <w:rFonts w:asciiTheme="majorHAnsi" w:eastAsia="Times New Roman" w:hAnsiTheme="majorHAnsi"/>
          <w:bCs/>
          <w:sz w:val="20"/>
          <w:szCs w:val="20"/>
          <w:lang w:eastAsia="es-BO"/>
        </w:rPr>
        <w:t>In this friendly settlement report, as established in Article 49 of the Convention and in Article 40.5 of the Commission's Rules of Procedure, a summary of the facts alleged by the petitioner is made and the friendly settlement agreement</w:t>
      </w:r>
      <w:r w:rsidR="00213A51" w:rsidRPr="00213A51">
        <w:rPr>
          <w:rFonts w:asciiTheme="majorHAnsi" w:eastAsia="Times New Roman" w:hAnsiTheme="majorHAnsi"/>
          <w:bCs/>
          <w:sz w:val="20"/>
          <w:szCs w:val="20"/>
          <w:lang w:eastAsia="es-BO"/>
        </w:rPr>
        <w:t>, as signed on October 25, 2017 by the petitioner and the representative of the Oriental Republic of Uruguay,</w:t>
      </w:r>
      <w:r w:rsidRPr="00213A51">
        <w:rPr>
          <w:rFonts w:asciiTheme="majorHAnsi" w:eastAsia="Times New Roman" w:hAnsiTheme="majorHAnsi"/>
          <w:bCs/>
          <w:sz w:val="20"/>
          <w:szCs w:val="20"/>
          <w:lang w:eastAsia="es-BO"/>
        </w:rPr>
        <w:t xml:space="preserve"> is transcribed. </w:t>
      </w:r>
      <w:r w:rsidR="00213A51" w:rsidRPr="00213A51">
        <w:rPr>
          <w:rFonts w:asciiTheme="majorHAnsi" w:eastAsia="Times New Roman" w:hAnsiTheme="majorHAnsi"/>
          <w:sz w:val="20"/>
          <w:szCs w:val="20"/>
          <w:lang w:val="en"/>
        </w:rPr>
        <w:t xml:space="preserve">Likewise, the agreement signed by the </w:t>
      </w:r>
      <w:r w:rsidR="00213A51" w:rsidRPr="005814C5">
        <w:rPr>
          <w:rFonts w:asciiTheme="majorHAnsi" w:eastAsia="Times New Roman" w:hAnsiTheme="majorHAnsi"/>
          <w:sz w:val="20"/>
          <w:szCs w:val="20"/>
          <w:lang w:val="en"/>
        </w:rPr>
        <w:t xml:space="preserve">parties is approved, along </w:t>
      </w:r>
      <w:r w:rsidR="00213A51" w:rsidRPr="005814C5">
        <w:rPr>
          <w:rFonts w:asciiTheme="majorHAnsi" w:eastAsia="Times New Roman" w:hAnsiTheme="majorHAnsi"/>
          <w:sz w:val="20"/>
          <w:szCs w:val="20"/>
          <w:lang w:val="en"/>
        </w:rPr>
        <w:lastRenderedPageBreak/>
        <w:t xml:space="preserve">with the publication of this report in the Annual Report of the IACHR to the General Assembly of the Organization of American States. </w:t>
      </w:r>
    </w:p>
    <w:p w:rsidR="00E940BE" w:rsidRPr="005814C5" w:rsidRDefault="00E940BE" w:rsidP="00213A51">
      <w:pPr>
        <w:pStyle w:val="ListParagraph"/>
        <w:jc w:val="both"/>
        <w:rPr>
          <w:rFonts w:asciiTheme="majorHAnsi" w:hAnsiTheme="majorHAnsi"/>
          <w:sz w:val="20"/>
          <w:szCs w:val="20"/>
        </w:rPr>
      </w:pPr>
    </w:p>
    <w:p w:rsidR="00E940BE" w:rsidRPr="005814C5" w:rsidRDefault="00E940BE" w:rsidP="00D7349C">
      <w:pPr>
        <w:pStyle w:val="ListParagraph"/>
        <w:keepNext/>
        <w:numPr>
          <w:ilvl w:val="0"/>
          <w:numId w:val="58"/>
        </w:numPr>
        <w:pBdr>
          <w:top w:val="nil"/>
          <w:left w:val="nil"/>
          <w:bottom w:val="nil"/>
          <w:right w:val="nil"/>
          <w:between w:val="nil"/>
          <w:bar w:val="nil"/>
        </w:pBdr>
        <w:ind w:left="0" w:firstLine="720"/>
        <w:outlineLvl w:val="0"/>
        <w:rPr>
          <w:rFonts w:asciiTheme="majorHAnsi" w:eastAsia="Times New Roman" w:hAnsiTheme="majorHAnsi"/>
          <w:b/>
          <w:bCs/>
          <w:kern w:val="36"/>
          <w:sz w:val="20"/>
          <w:szCs w:val="20"/>
          <w:lang w:eastAsia="es-BO"/>
        </w:rPr>
      </w:pPr>
      <w:r w:rsidRPr="005814C5">
        <w:rPr>
          <w:rFonts w:asciiTheme="majorHAnsi" w:eastAsia="Times New Roman" w:hAnsiTheme="majorHAnsi"/>
          <w:b/>
          <w:bCs/>
          <w:kern w:val="36"/>
          <w:sz w:val="20"/>
          <w:szCs w:val="20"/>
          <w:lang w:eastAsia="es-BO"/>
        </w:rPr>
        <w:t>ALLEGED FACTS</w:t>
      </w:r>
    </w:p>
    <w:p w:rsidR="00E940BE" w:rsidRPr="005814C5" w:rsidRDefault="00E940BE" w:rsidP="00D7349C">
      <w:pPr>
        <w:ind w:firstLine="720"/>
        <w:rPr>
          <w:rFonts w:asciiTheme="majorHAnsi" w:eastAsia="Times New Roman" w:hAnsiTheme="majorHAnsi"/>
          <w:sz w:val="20"/>
          <w:szCs w:val="20"/>
          <w:lang w:eastAsia="es-BO"/>
        </w:rPr>
      </w:pPr>
    </w:p>
    <w:p w:rsidR="00094F5E" w:rsidRPr="00D7349C" w:rsidRDefault="00094F5E" w:rsidP="00D7349C">
      <w:pPr>
        <w:pStyle w:val="ListParagraph"/>
        <w:numPr>
          <w:ilvl w:val="0"/>
          <w:numId w:val="57"/>
        </w:numPr>
        <w:ind w:left="0" w:firstLine="720"/>
        <w:contextualSpacing/>
        <w:jc w:val="both"/>
        <w:rPr>
          <w:rFonts w:asciiTheme="majorHAnsi" w:eastAsia="Times New Roman" w:hAnsiTheme="majorHAnsi" w:cs="Times New Roman"/>
          <w:sz w:val="20"/>
          <w:szCs w:val="20"/>
          <w:lang w:eastAsia="es-BO"/>
        </w:rPr>
      </w:pPr>
      <w:r w:rsidRPr="005814C5">
        <w:rPr>
          <w:rFonts w:asciiTheme="majorHAnsi" w:eastAsia="Times New Roman" w:hAnsiTheme="majorHAnsi" w:cs="Times New Roman"/>
          <w:sz w:val="20"/>
          <w:szCs w:val="20"/>
          <w:lang w:eastAsia="es-BO"/>
        </w:rPr>
        <w:t>As alleged by the petitioner, the Uruguayan State committed violations of the right to freedom of expression and the rig</w:t>
      </w:r>
      <w:r w:rsidR="005814C5">
        <w:rPr>
          <w:rFonts w:asciiTheme="majorHAnsi" w:eastAsia="Times New Roman" w:hAnsiTheme="majorHAnsi" w:cs="Times New Roman"/>
          <w:sz w:val="20"/>
          <w:szCs w:val="20"/>
          <w:lang w:eastAsia="es-BO"/>
        </w:rPr>
        <w:t xml:space="preserve">ht of access to information in custody of </w:t>
      </w:r>
      <w:r w:rsidRPr="005814C5">
        <w:rPr>
          <w:rFonts w:asciiTheme="majorHAnsi" w:eastAsia="Times New Roman" w:hAnsiTheme="majorHAnsi" w:cs="Times New Roman"/>
          <w:sz w:val="20"/>
          <w:szCs w:val="20"/>
          <w:lang w:eastAsia="es-BO"/>
        </w:rPr>
        <w:t xml:space="preserve">the State </w:t>
      </w:r>
      <w:r w:rsidR="00664C79" w:rsidRPr="005814C5">
        <w:rPr>
          <w:rFonts w:asciiTheme="majorHAnsi" w:eastAsia="Times New Roman" w:hAnsiTheme="majorHAnsi" w:cs="Times New Roman"/>
          <w:sz w:val="20"/>
          <w:szCs w:val="20"/>
          <w:lang w:eastAsia="es-BO"/>
        </w:rPr>
        <w:t xml:space="preserve">both </w:t>
      </w:r>
      <w:r w:rsidR="00851D57" w:rsidRPr="005814C5">
        <w:rPr>
          <w:rFonts w:asciiTheme="majorHAnsi" w:eastAsia="Times New Roman" w:hAnsiTheme="majorHAnsi" w:cs="Times New Roman"/>
          <w:sz w:val="20"/>
          <w:szCs w:val="20"/>
          <w:lang w:eastAsia="es-BO"/>
        </w:rPr>
        <w:t>enshri</w:t>
      </w:r>
      <w:r w:rsidR="00664C79" w:rsidRPr="005814C5">
        <w:rPr>
          <w:rFonts w:asciiTheme="majorHAnsi" w:eastAsia="Times New Roman" w:hAnsiTheme="majorHAnsi" w:cs="Times New Roman"/>
          <w:sz w:val="20"/>
          <w:szCs w:val="20"/>
          <w:lang w:eastAsia="es-BO"/>
        </w:rPr>
        <w:t>ne</w:t>
      </w:r>
      <w:r w:rsidRPr="005814C5">
        <w:rPr>
          <w:rFonts w:asciiTheme="majorHAnsi" w:eastAsia="Times New Roman" w:hAnsiTheme="majorHAnsi" w:cs="Times New Roman"/>
          <w:sz w:val="20"/>
          <w:szCs w:val="20"/>
          <w:lang w:eastAsia="es-BO"/>
        </w:rPr>
        <w:t xml:space="preserve"> in </w:t>
      </w:r>
      <w:r w:rsidR="005814C5">
        <w:rPr>
          <w:rFonts w:asciiTheme="majorHAnsi" w:eastAsia="Times New Roman" w:hAnsiTheme="majorHAnsi" w:cs="Times New Roman"/>
          <w:sz w:val="20"/>
          <w:szCs w:val="20"/>
          <w:lang w:eastAsia="es-BO"/>
        </w:rPr>
        <w:t>article 13</w:t>
      </w:r>
      <w:r w:rsidRPr="005814C5">
        <w:rPr>
          <w:rFonts w:asciiTheme="majorHAnsi" w:eastAsia="Times New Roman" w:hAnsiTheme="majorHAnsi" w:cs="Times New Roman"/>
          <w:sz w:val="20"/>
          <w:szCs w:val="20"/>
          <w:lang w:eastAsia="es-BO"/>
        </w:rPr>
        <w:t xml:space="preserve"> of the</w:t>
      </w:r>
      <w:r w:rsidR="005814C5">
        <w:rPr>
          <w:rFonts w:asciiTheme="majorHAnsi" w:eastAsia="Times New Roman" w:hAnsiTheme="majorHAnsi" w:cs="Times New Roman"/>
          <w:sz w:val="20"/>
          <w:szCs w:val="20"/>
          <w:lang w:eastAsia="es-BO"/>
        </w:rPr>
        <w:t xml:space="preserve"> American</w:t>
      </w:r>
      <w:r w:rsidRPr="005814C5">
        <w:rPr>
          <w:rFonts w:asciiTheme="majorHAnsi" w:eastAsia="Times New Roman" w:hAnsiTheme="majorHAnsi" w:cs="Times New Roman"/>
          <w:sz w:val="20"/>
          <w:szCs w:val="20"/>
          <w:lang w:eastAsia="es-BO"/>
        </w:rPr>
        <w:t xml:space="preserve"> Convention, </w:t>
      </w:r>
      <w:r w:rsidR="005814C5">
        <w:rPr>
          <w:rFonts w:asciiTheme="majorHAnsi" w:eastAsia="Times New Roman" w:hAnsiTheme="majorHAnsi" w:cs="Times New Roman"/>
          <w:sz w:val="20"/>
          <w:szCs w:val="20"/>
          <w:lang w:eastAsia="es-BO"/>
        </w:rPr>
        <w:t xml:space="preserve">first </w:t>
      </w:r>
      <w:r w:rsidRPr="005814C5">
        <w:rPr>
          <w:rFonts w:asciiTheme="majorHAnsi" w:eastAsia="Times New Roman" w:hAnsiTheme="majorHAnsi" w:cs="Times New Roman"/>
          <w:sz w:val="20"/>
          <w:szCs w:val="20"/>
          <w:lang w:eastAsia="es-BO"/>
        </w:rPr>
        <w:t>when the Departmental Board of San José did not answer to him, and later denied without a well-founded resolution, a written request from the victim to access the minutes, transcription of the recording or recorded tape, of the sessions of the Budget Commission of the Departmental Board of San</w:t>
      </w:r>
      <w:r w:rsidRPr="00D7349C">
        <w:rPr>
          <w:rFonts w:asciiTheme="majorHAnsi" w:eastAsia="Times New Roman" w:hAnsiTheme="majorHAnsi" w:cs="Times New Roman"/>
          <w:sz w:val="20"/>
          <w:szCs w:val="20"/>
          <w:lang w:eastAsia="es-BO"/>
        </w:rPr>
        <w:t xml:space="preserve"> José. The petitioners alleged that the State did not comply with the principles of maximum disclosure, publicity and transparency that derive from Article 13 of the Convention.</w:t>
      </w:r>
    </w:p>
    <w:p w:rsidR="00094F5E" w:rsidRPr="00D7349C" w:rsidRDefault="00094F5E" w:rsidP="00D7349C">
      <w:pPr>
        <w:pStyle w:val="ListParagraph"/>
        <w:ind w:left="0" w:firstLine="720"/>
        <w:contextualSpacing/>
        <w:jc w:val="both"/>
        <w:rPr>
          <w:rFonts w:asciiTheme="majorHAnsi" w:eastAsia="Times New Roman" w:hAnsiTheme="majorHAnsi" w:cs="Times New Roman"/>
          <w:sz w:val="20"/>
          <w:szCs w:val="20"/>
          <w:lang w:eastAsia="es-BO"/>
        </w:rPr>
      </w:pPr>
    </w:p>
    <w:p w:rsidR="00553412" w:rsidRPr="00D7349C" w:rsidRDefault="00094F5E" w:rsidP="00D7349C">
      <w:pPr>
        <w:pStyle w:val="ListParagraph"/>
        <w:numPr>
          <w:ilvl w:val="0"/>
          <w:numId w:val="57"/>
        </w:numPr>
        <w:ind w:left="0" w:firstLine="720"/>
        <w:contextualSpacing/>
        <w:jc w:val="both"/>
        <w:rPr>
          <w:rFonts w:asciiTheme="majorHAnsi" w:eastAsia="Times New Roman" w:hAnsiTheme="majorHAnsi" w:cs="Times New Roman"/>
          <w:sz w:val="20"/>
          <w:szCs w:val="20"/>
          <w:lang w:eastAsia="es-BO"/>
        </w:rPr>
      </w:pPr>
      <w:r w:rsidRPr="00D7349C">
        <w:rPr>
          <w:rFonts w:asciiTheme="majorHAnsi" w:eastAsia="Times New Roman" w:hAnsiTheme="majorHAnsi"/>
          <w:sz w:val="20"/>
          <w:szCs w:val="20"/>
          <w:lang w:eastAsia="es-BO"/>
        </w:rPr>
        <w:t xml:space="preserve">The petitioner contended that the Uruguayan State violated the right to seek and receive information from the journalist Rabinovich because a state agency - in this case at the departmental level - prevented him from accessing information on the management of public accounts based on a law incompatible with international standards, allowing </w:t>
      </w:r>
      <w:r w:rsidR="00156D54" w:rsidRPr="00D7349C">
        <w:rPr>
          <w:rFonts w:asciiTheme="majorHAnsi" w:eastAsia="Times New Roman" w:hAnsiTheme="majorHAnsi"/>
          <w:sz w:val="20"/>
          <w:szCs w:val="20"/>
          <w:lang w:eastAsia="es-BO"/>
        </w:rPr>
        <w:t>declaring</w:t>
      </w:r>
      <w:r w:rsidRPr="00D7349C">
        <w:rPr>
          <w:rFonts w:asciiTheme="majorHAnsi" w:eastAsia="Times New Roman" w:hAnsiTheme="majorHAnsi"/>
          <w:sz w:val="20"/>
          <w:szCs w:val="20"/>
          <w:lang w:eastAsia="es-BO"/>
        </w:rPr>
        <w:t xml:space="preserve"> secret any se</w:t>
      </w:r>
      <w:r w:rsidR="00553412" w:rsidRPr="00D7349C">
        <w:rPr>
          <w:rFonts w:asciiTheme="majorHAnsi" w:eastAsia="Times New Roman" w:hAnsiTheme="majorHAnsi"/>
          <w:sz w:val="20"/>
          <w:szCs w:val="20"/>
          <w:lang w:eastAsia="es-BO"/>
        </w:rPr>
        <w:t>ssion of the Departmental Board.</w:t>
      </w:r>
    </w:p>
    <w:p w:rsidR="00553412" w:rsidRPr="00D7349C" w:rsidRDefault="00553412" w:rsidP="00D7349C">
      <w:pPr>
        <w:pStyle w:val="ListParagraph"/>
        <w:ind w:left="0" w:firstLine="720"/>
        <w:contextualSpacing/>
        <w:jc w:val="both"/>
        <w:rPr>
          <w:rFonts w:asciiTheme="majorHAnsi" w:eastAsia="Times New Roman" w:hAnsiTheme="majorHAnsi" w:cs="Times New Roman"/>
          <w:sz w:val="20"/>
          <w:szCs w:val="20"/>
          <w:lang w:eastAsia="es-BO"/>
        </w:rPr>
      </w:pPr>
    </w:p>
    <w:p w:rsidR="00553412" w:rsidRPr="00D7349C" w:rsidRDefault="00553412" w:rsidP="00D7349C">
      <w:pPr>
        <w:pStyle w:val="ListParagraph"/>
        <w:numPr>
          <w:ilvl w:val="0"/>
          <w:numId w:val="57"/>
        </w:numPr>
        <w:ind w:left="0" w:firstLine="720"/>
        <w:contextualSpacing/>
        <w:jc w:val="both"/>
        <w:rPr>
          <w:rFonts w:asciiTheme="majorHAnsi" w:eastAsia="Times New Roman" w:hAnsiTheme="majorHAnsi" w:cs="Times New Roman"/>
          <w:sz w:val="20"/>
          <w:szCs w:val="20"/>
          <w:lang w:eastAsia="es-BO"/>
        </w:rPr>
      </w:pPr>
      <w:r w:rsidRPr="00D7349C">
        <w:rPr>
          <w:rFonts w:asciiTheme="majorHAnsi" w:eastAsia="Times New Roman" w:hAnsiTheme="majorHAnsi" w:cs="Times New Roman"/>
          <w:sz w:val="20"/>
          <w:szCs w:val="20"/>
          <w:lang w:eastAsia="es-BO"/>
        </w:rPr>
        <w:t>In</w:t>
      </w:r>
      <w:r w:rsidR="005814C5">
        <w:rPr>
          <w:rFonts w:asciiTheme="majorHAnsi" w:eastAsia="Times New Roman" w:hAnsiTheme="majorHAnsi" w:cs="Times New Roman"/>
          <w:sz w:val="20"/>
          <w:szCs w:val="20"/>
          <w:lang w:eastAsia="es-BO"/>
        </w:rPr>
        <w:t xml:space="preserve"> its</w:t>
      </w:r>
      <w:r w:rsidRPr="00D7349C">
        <w:rPr>
          <w:rFonts w:asciiTheme="majorHAnsi" w:eastAsia="Times New Roman" w:hAnsiTheme="majorHAnsi" w:cs="Times New Roman"/>
          <w:sz w:val="20"/>
          <w:szCs w:val="20"/>
          <w:lang w:eastAsia="es-BO"/>
        </w:rPr>
        <w:t xml:space="preserve"> the description of the facts, the petitioner alleged that the State also violated the victim's right of access to information because the registry </w:t>
      </w:r>
      <w:r w:rsidR="005814C5">
        <w:rPr>
          <w:rFonts w:asciiTheme="majorHAnsi" w:eastAsia="Times New Roman" w:hAnsiTheme="majorHAnsi" w:cs="Times New Roman"/>
          <w:sz w:val="20"/>
          <w:szCs w:val="20"/>
          <w:lang w:eastAsia="es-BO"/>
        </w:rPr>
        <w:t>that requested the information would have been</w:t>
      </w:r>
      <w:r w:rsidRPr="00D7349C">
        <w:rPr>
          <w:rFonts w:asciiTheme="majorHAnsi" w:eastAsia="Times New Roman" w:hAnsiTheme="majorHAnsi" w:cs="Times New Roman"/>
          <w:sz w:val="20"/>
          <w:szCs w:val="20"/>
          <w:lang w:eastAsia="es-BO"/>
        </w:rPr>
        <w:t xml:space="preserve"> destroyed.</w:t>
      </w:r>
    </w:p>
    <w:p w:rsidR="00553412" w:rsidRPr="00D7349C" w:rsidRDefault="00553412" w:rsidP="00D7349C">
      <w:pPr>
        <w:ind w:firstLine="720"/>
        <w:contextualSpacing/>
        <w:jc w:val="both"/>
        <w:rPr>
          <w:rFonts w:asciiTheme="majorHAnsi" w:eastAsia="Times New Roman" w:hAnsiTheme="majorHAnsi"/>
          <w:sz w:val="20"/>
          <w:szCs w:val="20"/>
          <w:lang w:eastAsia="es-BO"/>
        </w:rPr>
      </w:pPr>
    </w:p>
    <w:p w:rsidR="00DD688B" w:rsidRPr="00D7349C" w:rsidRDefault="00553412" w:rsidP="00D7349C">
      <w:pPr>
        <w:pStyle w:val="ListParagraph"/>
        <w:numPr>
          <w:ilvl w:val="0"/>
          <w:numId w:val="57"/>
        </w:numPr>
        <w:ind w:left="0" w:firstLine="720"/>
        <w:contextualSpacing/>
        <w:jc w:val="both"/>
        <w:rPr>
          <w:rFonts w:asciiTheme="majorHAnsi" w:eastAsia="Times New Roman" w:hAnsiTheme="majorHAnsi" w:cs="Times New Roman"/>
          <w:sz w:val="20"/>
          <w:szCs w:val="20"/>
          <w:lang w:eastAsia="es-BO"/>
        </w:rPr>
      </w:pPr>
      <w:r w:rsidRPr="00D7349C">
        <w:rPr>
          <w:rFonts w:asciiTheme="majorHAnsi" w:eastAsia="Times New Roman" w:hAnsiTheme="majorHAnsi" w:cs="Times New Roman"/>
          <w:sz w:val="20"/>
          <w:szCs w:val="20"/>
          <w:lang w:eastAsia="es-BO"/>
        </w:rPr>
        <w:t xml:space="preserve">The petitioner indicated that the Uruguayan State did not guarantee an adequate administrative and judicial process to obtain a decision regarding its request for access to information </w:t>
      </w:r>
      <w:r w:rsidR="005814C5">
        <w:rPr>
          <w:rFonts w:asciiTheme="majorHAnsi" w:eastAsia="Times New Roman" w:hAnsiTheme="majorHAnsi" w:cs="Times New Roman"/>
          <w:sz w:val="20"/>
          <w:szCs w:val="20"/>
          <w:lang w:eastAsia="es-BO"/>
        </w:rPr>
        <w:t>in custody of</w:t>
      </w:r>
      <w:r w:rsidRPr="00D7349C">
        <w:rPr>
          <w:rFonts w:asciiTheme="majorHAnsi" w:eastAsia="Times New Roman" w:hAnsiTheme="majorHAnsi" w:cs="Times New Roman"/>
          <w:sz w:val="20"/>
          <w:szCs w:val="20"/>
          <w:lang w:eastAsia="es-BO"/>
        </w:rPr>
        <w:t xml:space="preserve"> the State. Additionally, it was indicated in the petition that there was no </w:t>
      </w:r>
      <w:r w:rsidR="005814C5">
        <w:rPr>
          <w:rFonts w:asciiTheme="majorHAnsi" w:eastAsia="Times New Roman" w:hAnsiTheme="majorHAnsi" w:cs="Times New Roman"/>
          <w:sz w:val="20"/>
          <w:szCs w:val="20"/>
          <w:lang w:eastAsia="es-BO"/>
        </w:rPr>
        <w:t xml:space="preserve">simple, </w:t>
      </w:r>
      <w:r w:rsidRPr="00D7349C">
        <w:rPr>
          <w:rFonts w:asciiTheme="majorHAnsi" w:eastAsia="Times New Roman" w:hAnsiTheme="majorHAnsi" w:cs="Times New Roman"/>
          <w:sz w:val="20"/>
          <w:szCs w:val="20"/>
          <w:lang w:eastAsia="es-BO"/>
        </w:rPr>
        <w:t xml:space="preserve">judicial, </w:t>
      </w:r>
      <w:r w:rsidR="005814C5">
        <w:rPr>
          <w:rFonts w:asciiTheme="majorHAnsi" w:eastAsia="Times New Roman" w:hAnsiTheme="majorHAnsi" w:cs="Times New Roman"/>
          <w:sz w:val="20"/>
          <w:szCs w:val="20"/>
          <w:lang w:eastAsia="es-BO"/>
        </w:rPr>
        <w:t xml:space="preserve">expedite </w:t>
      </w:r>
      <w:r w:rsidRPr="00D7349C">
        <w:rPr>
          <w:rFonts w:asciiTheme="majorHAnsi" w:eastAsia="Times New Roman" w:hAnsiTheme="majorHAnsi" w:cs="Times New Roman"/>
          <w:sz w:val="20"/>
          <w:szCs w:val="20"/>
          <w:lang w:eastAsia="es-BO"/>
        </w:rPr>
        <w:t>and effective remedy to guarantee access to public information and that the domestic courts refused to adm</w:t>
      </w:r>
      <w:r w:rsidR="00DD688B" w:rsidRPr="00D7349C">
        <w:rPr>
          <w:rFonts w:asciiTheme="majorHAnsi" w:eastAsia="Times New Roman" w:hAnsiTheme="majorHAnsi" w:cs="Times New Roman"/>
          <w:sz w:val="20"/>
          <w:szCs w:val="20"/>
          <w:lang w:eastAsia="es-BO"/>
        </w:rPr>
        <w:t xml:space="preserve">it a subsequent </w:t>
      </w:r>
      <w:r w:rsidR="00666ABC" w:rsidRPr="00666ABC">
        <w:rPr>
          <w:rFonts w:asciiTheme="majorHAnsi" w:eastAsia="Times New Roman" w:hAnsiTheme="majorHAnsi" w:cs="Times New Roman"/>
          <w:i/>
          <w:sz w:val="20"/>
          <w:szCs w:val="20"/>
          <w:lang w:eastAsia="es-BO"/>
        </w:rPr>
        <w:t>writ</w:t>
      </w:r>
      <w:r w:rsidR="00DD688B" w:rsidRPr="00666ABC">
        <w:rPr>
          <w:rFonts w:asciiTheme="majorHAnsi" w:eastAsia="Times New Roman" w:hAnsiTheme="majorHAnsi" w:cs="Times New Roman"/>
          <w:i/>
          <w:sz w:val="20"/>
          <w:szCs w:val="20"/>
          <w:lang w:eastAsia="es-BO"/>
        </w:rPr>
        <w:t xml:space="preserve"> of </w:t>
      </w:r>
      <w:r w:rsidR="00C66927" w:rsidRPr="00666ABC">
        <w:rPr>
          <w:rFonts w:asciiTheme="majorHAnsi" w:eastAsia="Times New Roman" w:hAnsiTheme="majorHAnsi" w:cs="Times New Roman"/>
          <w:i/>
          <w:sz w:val="20"/>
          <w:szCs w:val="20"/>
          <w:lang w:eastAsia="es-BO"/>
        </w:rPr>
        <w:t>Amparo</w:t>
      </w:r>
      <w:r w:rsidRPr="00D7349C">
        <w:rPr>
          <w:rFonts w:asciiTheme="majorHAnsi" w:eastAsia="Times New Roman" w:hAnsiTheme="majorHAnsi" w:cs="Times New Roman"/>
          <w:sz w:val="20"/>
          <w:szCs w:val="20"/>
          <w:lang w:eastAsia="es-BO"/>
        </w:rPr>
        <w:t xml:space="preserve"> against the State, thus co</w:t>
      </w:r>
      <w:r w:rsidR="00DD688B" w:rsidRPr="00D7349C">
        <w:rPr>
          <w:rFonts w:asciiTheme="majorHAnsi" w:eastAsia="Times New Roman" w:hAnsiTheme="majorHAnsi" w:cs="Times New Roman"/>
          <w:sz w:val="20"/>
          <w:szCs w:val="20"/>
          <w:lang w:eastAsia="es-BO"/>
        </w:rPr>
        <w:t xml:space="preserve">nstituting a violation as well </w:t>
      </w:r>
      <w:r w:rsidRPr="00D7349C">
        <w:rPr>
          <w:rFonts w:asciiTheme="majorHAnsi" w:eastAsia="Times New Roman" w:hAnsiTheme="majorHAnsi" w:cs="Times New Roman"/>
          <w:sz w:val="20"/>
          <w:szCs w:val="20"/>
          <w:lang w:eastAsia="es-BO"/>
        </w:rPr>
        <w:t>of the right to judicial protection established in article 25.2 of the Convention.</w:t>
      </w:r>
    </w:p>
    <w:p w:rsidR="00DD688B" w:rsidRPr="00D7349C" w:rsidRDefault="00DD688B" w:rsidP="00D7349C">
      <w:pPr>
        <w:pStyle w:val="ListParagraph"/>
        <w:ind w:left="0" w:firstLine="720"/>
        <w:contextualSpacing/>
        <w:jc w:val="both"/>
        <w:rPr>
          <w:rFonts w:asciiTheme="majorHAnsi" w:eastAsia="Times New Roman" w:hAnsiTheme="majorHAnsi" w:cs="Times New Roman"/>
          <w:sz w:val="20"/>
          <w:szCs w:val="20"/>
          <w:lang w:eastAsia="es-BO"/>
        </w:rPr>
      </w:pPr>
    </w:p>
    <w:p w:rsidR="002F3078" w:rsidRPr="00D7349C" w:rsidRDefault="00DD688B" w:rsidP="00D7349C">
      <w:pPr>
        <w:pStyle w:val="ListParagraph"/>
        <w:numPr>
          <w:ilvl w:val="0"/>
          <w:numId w:val="57"/>
        </w:numPr>
        <w:ind w:left="0" w:firstLine="720"/>
        <w:contextualSpacing/>
        <w:jc w:val="both"/>
        <w:rPr>
          <w:rFonts w:asciiTheme="majorHAnsi" w:eastAsia="Times New Roman" w:hAnsiTheme="majorHAnsi" w:cs="Times New Roman"/>
          <w:sz w:val="20"/>
          <w:szCs w:val="20"/>
          <w:lang w:eastAsia="es-BO"/>
        </w:rPr>
      </w:pPr>
      <w:r w:rsidRPr="00D7349C">
        <w:rPr>
          <w:rFonts w:asciiTheme="majorHAnsi" w:eastAsia="Times New Roman" w:hAnsiTheme="majorHAnsi"/>
          <w:sz w:val="20"/>
          <w:szCs w:val="20"/>
          <w:lang w:eastAsia="es-BO"/>
        </w:rPr>
        <w:t xml:space="preserve">The petitioner indicated that the Uruguayan State, in this case its Parliament, had not adopted legislative measures - such as a law on access to public information - or of another nature, aimed at guaranteeing free, </w:t>
      </w:r>
      <w:r w:rsidR="005814C5" w:rsidRPr="00D7349C">
        <w:rPr>
          <w:rFonts w:asciiTheme="majorHAnsi" w:eastAsia="Times New Roman" w:hAnsiTheme="majorHAnsi"/>
          <w:sz w:val="20"/>
          <w:szCs w:val="20"/>
          <w:lang w:eastAsia="es-BO"/>
        </w:rPr>
        <w:t>prompt</w:t>
      </w:r>
      <w:r w:rsidRPr="00D7349C">
        <w:rPr>
          <w:rFonts w:asciiTheme="majorHAnsi" w:eastAsia="Times New Roman" w:hAnsiTheme="majorHAnsi"/>
          <w:sz w:val="20"/>
          <w:szCs w:val="20"/>
          <w:lang w:eastAsia="es-BO"/>
        </w:rPr>
        <w:t xml:space="preserve"> and effective access to the information held by the State, allowing by omission the constant violation of this right, as occurred in the specific case.</w:t>
      </w:r>
    </w:p>
    <w:p w:rsidR="002F3078" w:rsidRPr="00D7349C" w:rsidRDefault="002F3078" w:rsidP="00D7349C">
      <w:pPr>
        <w:pStyle w:val="ListParagraph"/>
        <w:ind w:left="0" w:firstLine="720"/>
        <w:contextualSpacing/>
        <w:jc w:val="both"/>
        <w:rPr>
          <w:rFonts w:asciiTheme="majorHAnsi" w:eastAsia="Times New Roman" w:hAnsiTheme="majorHAnsi" w:cs="Times New Roman"/>
          <w:sz w:val="20"/>
          <w:szCs w:val="20"/>
          <w:lang w:eastAsia="es-BO"/>
        </w:rPr>
      </w:pPr>
    </w:p>
    <w:p w:rsidR="00094F5E" w:rsidRPr="00D7349C" w:rsidRDefault="002F3078" w:rsidP="00D7349C">
      <w:pPr>
        <w:pStyle w:val="ListParagraph"/>
        <w:numPr>
          <w:ilvl w:val="0"/>
          <w:numId w:val="57"/>
        </w:numPr>
        <w:ind w:left="0" w:firstLine="720"/>
        <w:contextualSpacing/>
        <w:jc w:val="both"/>
        <w:rPr>
          <w:rFonts w:asciiTheme="majorHAnsi" w:eastAsia="Times New Roman" w:hAnsiTheme="majorHAnsi" w:cs="Times New Roman"/>
          <w:sz w:val="20"/>
          <w:szCs w:val="20"/>
          <w:lang w:eastAsia="es-BO"/>
        </w:rPr>
      </w:pPr>
      <w:r w:rsidRPr="00D7349C">
        <w:rPr>
          <w:rFonts w:asciiTheme="majorHAnsi" w:eastAsia="Times New Roman" w:hAnsiTheme="majorHAnsi"/>
          <w:sz w:val="20"/>
          <w:szCs w:val="20"/>
          <w:lang w:eastAsia="es-BO"/>
        </w:rPr>
        <w:t xml:space="preserve">Finally, the petitioner stated </w:t>
      </w:r>
      <w:r w:rsidR="005814C5">
        <w:rPr>
          <w:rFonts w:asciiTheme="majorHAnsi" w:eastAsia="Times New Roman" w:hAnsiTheme="majorHAnsi"/>
          <w:sz w:val="20"/>
          <w:szCs w:val="20"/>
          <w:lang w:eastAsia="es-BO"/>
        </w:rPr>
        <w:t>that in sum</w:t>
      </w:r>
      <w:r w:rsidRPr="00D7349C">
        <w:rPr>
          <w:rFonts w:asciiTheme="majorHAnsi" w:eastAsia="Times New Roman" w:hAnsiTheme="majorHAnsi"/>
          <w:sz w:val="20"/>
          <w:szCs w:val="20"/>
          <w:lang w:eastAsia="es-BO"/>
        </w:rPr>
        <w:t xml:space="preserve">, the Uruguayan State, </w:t>
      </w:r>
      <w:r w:rsidR="005814C5">
        <w:rPr>
          <w:rFonts w:asciiTheme="majorHAnsi" w:eastAsia="Times New Roman" w:hAnsiTheme="majorHAnsi"/>
          <w:sz w:val="20"/>
          <w:szCs w:val="20"/>
          <w:lang w:eastAsia="es-BO"/>
        </w:rPr>
        <w:t xml:space="preserve">with regard </w:t>
      </w:r>
      <w:r w:rsidR="005814C5" w:rsidRPr="00D7349C">
        <w:rPr>
          <w:rFonts w:asciiTheme="majorHAnsi" w:eastAsia="Times New Roman" w:hAnsiTheme="majorHAnsi"/>
          <w:sz w:val="20"/>
          <w:szCs w:val="20"/>
          <w:lang w:eastAsia="es-BO"/>
        </w:rPr>
        <w:t xml:space="preserve">to the Right of Access to Public Information, </w:t>
      </w:r>
      <w:r w:rsidRPr="00D7349C">
        <w:rPr>
          <w:rFonts w:asciiTheme="majorHAnsi" w:eastAsia="Times New Roman" w:hAnsiTheme="majorHAnsi"/>
          <w:sz w:val="20"/>
          <w:szCs w:val="20"/>
          <w:lang w:eastAsia="es-BO"/>
        </w:rPr>
        <w:t xml:space="preserve">was </w:t>
      </w:r>
      <w:r w:rsidR="00041688" w:rsidRPr="00D7349C">
        <w:rPr>
          <w:rFonts w:asciiTheme="majorHAnsi" w:eastAsia="Times New Roman" w:hAnsiTheme="majorHAnsi"/>
          <w:sz w:val="20"/>
          <w:szCs w:val="20"/>
          <w:lang w:eastAsia="es-BO"/>
        </w:rPr>
        <w:t>flouting</w:t>
      </w:r>
      <w:r w:rsidRPr="00D7349C">
        <w:rPr>
          <w:rFonts w:asciiTheme="majorHAnsi" w:eastAsia="Times New Roman" w:hAnsiTheme="majorHAnsi"/>
          <w:sz w:val="20"/>
          <w:szCs w:val="20"/>
          <w:lang w:eastAsia="es-BO"/>
        </w:rPr>
        <w:t xml:space="preserve"> its commitments to respect the rights and freedoms recognized in the Convention and guarantee its f</w:t>
      </w:r>
      <w:r w:rsidR="00041688" w:rsidRPr="00D7349C">
        <w:rPr>
          <w:rFonts w:asciiTheme="majorHAnsi" w:eastAsia="Times New Roman" w:hAnsiTheme="majorHAnsi"/>
          <w:sz w:val="20"/>
          <w:szCs w:val="20"/>
          <w:lang w:eastAsia="es-BO"/>
        </w:rPr>
        <w:t>ree and full exercise to any person subject to its</w:t>
      </w:r>
      <w:r w:rsidRPr="00D7349C">
        <w:rPr>
          <w:rFonts w:asciiTheme="majorHAnsi" w:eastAsia="Times New Roman" w:hAnsiTheme="majorHAnsi"/>
          <w:sz w:val="20"/>
          <w:szCs w:val="20"/>
          <w:lang w:eastAsia="es-BO"/>
        </w:rPr>
        <w:t xml:space="preserve"> jurisdiction, as well as his obligation to adopt, in accordance with his constitutional procedures and the provisions of the Convention, the legislative or other measures that may be necessary to give effect to such rights and freedoms.</w:t>
      </w:r>
    </w:p>
    <w:p w:rsidR="00E940BE" w:rsidRPr="00D7349C" w:rsidRDefault="00E940BE" w:rsidP="00D7349C">
      <w:pPr>
        <w:ind w:firstLine="720"/>
        <w:rPr>
          <w:rFonts w:asciiTheme="majorHAnsi" w:eastAsia="Times New Roman" w:hAnsiTheme="majorHAnsi"/>
          <w:sz w:val="20"/>
          <w:szCs w:val="20"/>
          <w:lang w:eastAsia="es-BO"/>
        </w:rPr>
      </w:pPr>
      <w:r w:rsidRPr="00D7349C">
        <w:rPr>
          <w:rFonts w:asciiTheme="majorHAnsi" w:eastAsia="Times New Roman" w:hAnsiTheme="majorHAnsi"/>
          <w:sz w:val="20"/>
          <w:szCs w:val="20"/>
          <w:lang w:eastAsia="es-BO"/>
        </w:rPr>
        <w:t> </w:t>
      </w:r>
    </w:p>
    <w:p w:rsidR="00E940BE" w:rsidRPr="005814C5" w:rsidRDefault="00E940BE" w:rsidP="005814C5">
      <w:pPr>
        <w:pStyle w:val="ListParagraph"/>
        <w:numPr>
          <w:ilvl w:val="0"/>
          <w:numId w:val="58"/>
        </w:numPr>
        <w:pBdr>
          <w:top w:val="nil"/>
          <w:left w:val="nil"/>
          <w:bottom w:val="nil"/>
          <w:right w:val="nil"/>
          <w:between w:val="nil"/>
          <w:bar w:val="nil"/>
        </w:pBdr>
        <w:ind w:left="0" w:firstLine="720"/>
        <w:rPr>
          <w:rFonts w:asciiTheme="majorHAnsi" w:hAnsiTheme="majorHAnsi"/>
          <w:b/>
          <w:sz w:val="20"/>
          <w:szCs w:val="20"/>
        </w:rPr>
      </w:pPr>
      <w:r w:rsidRPr="005814C5">
        <w:rPr>
          <w:rFonts w:asciiTheme="majorHAnsi" w:hAnsiTheme="majorHAnsi"/>
          <w:b/>
          <w:sz w:val="20"/>
          <w:szCs w:val="20"/>
        </w:rPr>
        <w:t xml:space="preserve">FRIENDLY SETTLEMENT </w:t>
      </w:r>
    </w:p>
    <w:p w:rsidR="00E940BE" w:rsidRPr="005814C5" w:rsidRDefault="00E940BE" w:rsidP="005814C5">
      <w:pPr>
        <w:ind w:firstLine="720"/>
        <w:jc w:val="both"/>
        <w:rPr>
          <w:rFonts w:asciiTheme="majorHAnsi" w:hAnsiTheme="majorHAnsi"/>
          <w:b/>
          <w:sz w:val="20"/>
          <w:szCs w:val="20"/>
        </w:rPr>
      </w:pPr>
    </w:p>
    <w:p w:rsidR="00E940BE" w:rsidRPr="005814C5" w:rsidRDefault="00041688" w:rsidP="005814C5">
      <w:pPr>
        <w:pStyle w:val="ListParagraph"/>
        <w:numPr>
          <w:ilvl w:val="0"/>
          <w:numId w:val="57"/>
        </w:numPr>
        <w:pBdr>
          <w:top w:val="nil"/>
          <w:left w:val="nil"/>
          <w:bottom w:val="nil"/>
          <w:right w:val="nil"/>
          <w:between w:val="nil"/>
          <w:bar w:val="nil"/>
        </w:pBdr>
        <w:ind w:left="0" w:firstLine="720"/>
        <w:jc w:val="both"/>
        <w:rPr>
          <w:rFonts w:asciiTheme="majorHAnsi" w:hAnsiTheme="majorHAnsi" w:cs="Calibri"/>
          <w:sz w:val="20"/>
          <w:szCs w:val="20"/>
        </w:rPr>
      </w:pPr>
      <w:r w:rsidRPr="005814C5">
        <w:rPr>
          <w:rFonts w:asciiTheme="majorHAnsi" w:hAnsiTheme="majorHAnsi" w:cs="Calibri"/>
          <w:sz w:val="20"/>
          <w:szCs w:val="20"/>
        </w:rPr>
        <w:t xml:space="preserve">On October 25, 2017, in the city of </w:t>
      </w:r>
      <w:r w:rsidR="00BC1C63" w:rsidRPr="005814C5">
        <w:rPr>
          <w:rFonts w:asciiTheme="majorHAnsi" w:hAnsiTheme="majorHAnsi" w:cs="Calibri"/>
          <w:sz w:val="20"/>
          <w:szCs w:val="20"/>
        </w:rPr>
        <w:t xml:space="preserve">Montevideo, Uruguay, within the framework of </w:t>
      </w:r>
      <w:r w:rsidRPr="005814C5">
        <w:rPr>
          <w:rFonts w:asciiTheme="majorHAnsi" w:hAnsiTheme="majorHAnsi" w:cs="Calibri"/>
          <w:sz w:val="20"/>
          <w:szCs w:val="20"/>
        </w:rPr>
        <w:t>a working meeting facilitated by Commissioner Francisco José Eguiguren Praeli, Rapporteur of the IACHR for Uruguay, the parties represented by Ariel Bergamino, Undersecretary of the Ministry of Foreign Affairs, and the petitioner David Rabinovich, signed a friendly settlement agreement whose text establishes the following:</w:t>
      </w:r>
    </w:p>
    <w:p w:rsidR="00041688" w:rsidRPr="00D7349C" w:rsidRDefault="00041688" w:rsidP="005814C5">
      <w:pPr>
        <w:pStyle w:val="ListParagraph"/>
        <w:pBdr>
          <w:top w:val="nil"/>
          <w:left w:val="nil"/>
          <w:bottom w:val="nil"/>
          <w:right w:val="nil"/>
          <w:between w:val="nil"/>
          <w:bar w:val="nil"/>
        </w:pBdr>
        <w:ind w:left="0" w:firstLine="720"/>
        <w:jc w:val="both"/>
        <w:rPr>
          <w:rFonts w:asciiTheme="majorHAnsi" w:hAnsiTheme="majorHAnsi" w:cs="Calibri"/>
          <w:sz w:val="20"/>
          <w:szCs w:val="20"/>
        </w:rPr>
      </w:pPr>
    </w:p>
    <w:p w:rsidR="00E940BE" w:rsidRPr="005814C5" w:rsidRDefault="00E940BE" w:rsidP="00D7349C">
      <w:pPr>
        <w:ind w:left="720" w:right="720"/>
        <w:jc w:val="center"/>
        <w:rPr>
          <w:rFonts w:asciiTheme="majorHAnsi" w:hAnsiTheme="majorHAnsi"/>
          <w:b/>
          <w:sz w:val="20"/>
          <w:szCs w:val="20"/>
        </w:rPr>
      </w:pPr>
      <w:r w:rsidRPr="005814C5">
        <w:rPr>
          <w:rFonts w:asciiTheme="majorHAnsi" w:hAnsiTheme="majorHAnsi"/>
          <w:b/>
          <w:sz w:val="20"/>
          <w:szCs w:val="20"/>
        </w:rPr>
        <w:t xml:space="preserve">FRIENDLY SETTLEMENT AGREEMENT </w:t>
      </w:r>
    </w:p>
    <w:p w:rsidR="00E940BE" w:rsidRPr="005814C5" w:rsidRDefault="00041688" w:rsidP="00D7349C">
      <w:pPr>
        <w:tabs>
          <w:tab w:val="center" w:pos="4680"/>
          <w:tab w:val="center" w:pos="5400"/>
        </w:tabs>
        <w:suppressAutoHyphens/>
        <w:jc w:val="center"/>
        <w:rPr>
          <w:rFonts w:asciiTheme="majorHAnsi" w:hAnsiTheme="majorHAnsi"/>
          <w:b/>
          <w:sz w:val="20"/>
          <w:szCs w:val="20"/>
        </w:rPr>
      </w:pPr>
      <w:r w:rsidRPr="005814C5">
        <w:rPr>
          <w:rFonts w:asciiTheme="majorHAnsi" w:hAnsiTheme="majorHAnsi"/>
          <w:b/>
          <w:sz w:val="20"/>
          <w:szCs w:val="20"/>
        </w:rPr>
        <w:t>PETITION 1224 - 07</w:t>
      </w:r>
    </w:p>
    <w:p w:rsidR="00E940BE" w:rsidRPr="005814C5" w:rsidRDefault="00041688" w:rsidP="00D7349C">
      <w:pPr>
        <w:tabs>
          <w:tab w:val="center" w:pos="5400"/>
        </w:tabs>
        <w:suppressAutoHyphens/>
        <w:jc w:val="center"/>
        <w:rPr>
          <w:rFonts w:asciiTheme="majorHAnsi" w:hAnsiTheme="majorHAnsi"/>
          <w:b/>
          <w:sz w:val="20"/>
          <w:szCs w:val="20"/>
        </w:rPr>
      </w:pPr>
      <w:r w:rsidRPr="005814C5">
        <w:rPr>
          <w:rFonts w:asciiTheme="majorHAnsi" w:hAnsiTheme="majorHAnsi"/>
          <w:b/>
          <w:sz w:val="20"/>
          <w:szCs w:val="20"/>
        </w:rPr>
        <w:t>DAVID RABINOVICH</w:t>
      </w:r>
    </w:p>
    <w:p w:rsidR="00E940BE" w:rsidRPr="005814C5" w:rsidRDefault="00E940BE" w:rsidP="00D7349C">
      <w:pPr>
        <w:ind w:right="720"/>
        <w:jc w:val="both"/>
        <w:rPr>
          <w:rFonts w:asciiTheme="majorHAnsi" w:hAnsiTheme="majorHAnsi"/>
          <w:sz w:val="20"/>
          <w:szCs w:val="20"/>
        </w:rPr>
      </w:pPr>
    </w:p>
    <w:p w:rsidR="00BC1C63" w:rsidRPr="005814C5" w:rsidRDefault="00BC1C63" w:rsidP="00D7349C">
      <w:pPr>
        <w:ind w:left="720" w:right="720"/>
        <w:jc w:val="both"/>
        <w:rPr>
          <w:rFonts w:asciiTheme="majorHAnsi" w:hAnsiTheme="majorHAnsi"/>
          <w:sz w:val="20"/>
          <w:szCs w:val="20"/>
        </w:rPr>
      </w:pPr>
      <w:r w:rsidRPr="005814C5">
        <w:rPr>
          <w:rFonts w:asciiTheme="majorHAnsi" w:hAnsiTheme="majorHAnsi"/>
          <w:sz w:val="20"/>
          <w:szCs w:val="20"/>
        </w:rPr>
        <w:t xml:space="preserve">In Montevideo, Eastern Republic of Uruguay, within the framework of the 165th Period of Sessions of the Inter-American Commission on Human Rights, appears on one hand: the Assistant Secretary of the Ministry of Foreign Affairs, Ariel Bergamino, oriental, of legal age, holder of the Identity Card No. [...], in representation of the Oriental Republic of Uruguay, and on the other hand, Mr. David Rabinovich, oriental, of legal age, holder of the Identity Card No. </w:t>
      </w:r>
      <w:r w:rsidRPr="005814C5">
        <w:rPr>
          <w:rFonts w:asciiTheme="majorHAnsi" w:hAnsiTheme="majorHAnsi"/>
          <w:sz w:val="20"/>
          <w:szCs w:val="20"/>
        </w:rPr>
        <w:lastRenderedPageBreak/>
        <w:t>[...] assisted by his sponsor, Martin Sbrocca, Identity Card No. [...] of the Institute of Legal and Social Studies of Uruguay (IELSUR), who agree to celebrate this agreement:</w:t>
      </w:r>
      <w:r w:rsidR="00E940BE" w:rsidRPr="005814C5">
        <w:rPr>
          <w:rFonts w:asciiTheme="majorHAnsi" w:hAnsiTheme="majorHAnsi"/>
          <w:sz w:val="20"/>
          <w:szCs w:val="20"/>
        </w:rPr>
        <w:t xml:space="preserve"> </w:t>
      </w:r>
    </w:p>
    <w:p w:rsidR="00BC1C63" w:rsidRPr="005814C5" w:rsidRDefault="00BC1C63" w:rsidP="00D7349C">
      <w:pPr>
        <w:ind w:left="720" w:right="720"/>
        <w:jc w:val="both"/>
        <w:rPr>
          <w:rFonts w:asciiTheme="majorHAnsi" w:hAnsiTheme="majorHAnsi"/>
          <w:sz w:val="20"/>
          <w:szCs w:val="20"/>
        </w:rPr>
      </w:pPr>
    </w:p>
    <w:p w:rsidR="00BC1C63" w:rsidRPr="005814C5" w:rsidRDefault="00BC1C63" w:rsidP="00D7349C">
      <w:pPr>
        <w:ind w:left="720" w:right="720"/>
        <w:jc w:val="both"/>
        <w:rPr>
          <w:rFonts w:asciiTheme="majorHAnsi" w:hAnsiTheme="majorHAnsi"/>
          <w:b/>
          <w:sz w:val="20"/>
          <w:szCs w:val="20"/>
        </w:rPr>
      </w:pPr>
      <w:r w:rsidRPr="005814C5">
        <w:rPr>
          <w:rFonts w:asciiTheme="majorHAnsi" w:hAnsiTheme="majorHAnsi"/>
          <w:b/>
          <w:sz w:val="20"/>
          <w:szCs w:val="20"/>
        </w:rPr>
        <w:t xml:space="preserve">BACKGROUND: </w:t>
      </w:r>
      <w:r w:rsidRPr="005814C5">
        <w:rPr>
          <w:rFonts w:asciiTheme="majorHAnsi" w:hAnsiTheme="majorHAnsi"/>
          <w:sz w:val="20"/>
          <w:szCs w:val="20"/>
        </w:rPr>
        <w:t>The journalist David Rabinovich, protected by the right to information, timely requested the Departmental Board of San José access to information on the deliberations among local representatives - ediles - of that departmental legislative body of Uruguay. The Departmental Board of San José, protected by Article 11 of the Municipal Organic Law No. 9.515, denied the journalist access to the minutes, transcription of the recording or recorded tape of the meetings held between January and March 2006 by the Budget Committee of the aforementioned Board.</w:t>
      </w:r>
    </w:p>
    <w:p w:rsidR="00E940BE" w:rsidRPr="005814C5" w:rsidRDefault="00E940BE" w:rsidP="00D7349C">
      <w:pPr>
        <w:ind w:left="720" w:right="720"/>
        <w:jc w:val="both"/>
        <w:rPr>
          <w:rFonts w:asciiTheme="majorHAnsi" w:hAnsiTheme="majorHAnsi"/>
          <w:b/>
          <w:sz w:val="20"/>
          <w:szCs w:val="20"/>
        </w:rPr>
      </w:pPr>
    </w:p>
    <w:p w:rsidR="00E940BE" w:rsidRPr="00666ABC" w:rsidRDefault="0046252A" w:rsidP="00D7349C">
      <w:pPr>
        <w:ind w:left="720" w:right="720"/>
        <w:jc w:val="both"/>
        <w:rPr>
          <w:rFonts w:asciiTheme="majorHAnsi" w:hAnsiTheme="majorHAnsi"/>
          <w:sz w:val="20"/>
          <w:szCs w:val="20"/>
          <w:lang w:val="en"/>
        </w:rPr>
      </w:pPr>
      <w:r w:rsidRPr="00666ABC">
        <w:rPr>
          <w:rFonts w:asciiTheme="majorHAnsi" w:hAnsiTheme="majorHAnsi"/>
          <w:sz w:val="20"/>
          <w:szCs w:val="20"/>
          <w:lang w:val="en"/>
        </w:rPr>
        <w:t xml:space="preserve">Subsequently, on June 29, 2006, the journalist filed a </w:t>
      </w:r>
      <w:r w:rsidRPr="00666ABC">
        <w:rPr>
          <w:rFonts w:asciiTheme="majorHAnsi" w:hAnsiTheme="majorHAnsi"/>
          <w:i/>
          <w:sz w:val="20"/>
          <w:szCs w:val="20"/>
          <w:lang w:val="en"/>
        </w:rPr>
        <w:t xml:space="preserve">writ of </w:t>
      </w:r>
      <w:r w:rsidR="00666ABC" w:rsidRPr="00666ABC">
        <w:rPr>
          <w:rFonts w:asciiTheme="majorHAnsi" w:hAnsiTheme="majorHAnsi"/>
          <w:i/>
          <w:sz w:val="20"/>
          <w:szCs w:val="20"/>
          <w:lang w:val="en"/>
        </w:rPr>
        <w:t>Amparo</w:t>
      </w:r>
      <w:r w:rsidRPr="00666ABC">
        <w:rPr>
          <w:rFonts w:asciiTheme="majorHAnsi" w:hAnsiTheme="majorHAnsi"/>
          <w:sz w:val="20"/>
          <w:szCs w:val="20"/>
          <w:lang w:val="en"/>
        </w:rPr>
        <w:t xml:space="preserve"> - in accordance with Law 16.011 – </w:t>
      </w:r>
      <w:r w:rsidR="00666ABC" w:rsidRPr="00666ABC">
        <w:rPr>
          <w:rFonts w:asciiTheme="majorHAnsi" w:hAnsiTheme="majorHAnsi"/>
          <w:sz w:val="20"/>
          <w:szCs w:val="20"/>
          <w:lang w:val="en"/>
        </w:rPr>
        <w:t>before</w:t>
      </w:r>
      <w:r w:rsidRPr="00666ABC">
        <w:rPr>
          <w:rFonts w:asciiTheme="majorHAnsi" w:hAnsiTheme="majorHAnsi"/>
          <w:sz w:val="20"/>
          <w:szCs w:val="20"/>
          <w:lang w:val="en"/>
        </w:rPr>
        <w:t xml:space="preserve"> the Departmental Law Court of San José of Second Turn. In that instance, the representatives of the Departmental Board of San Jose alleged that the digital records of a session of the Budget Commission of the Departmental Board of San José that had been requested by the journalist had been destroyed due to carelessness</w:t>
      </w:r>
      <w:r w:rsidR="00666ABC">
        <w:rPr>
          <w:rFonts w:asciiTheme="majorHAnsi" w:hAnsiTheme="majorHAnsi"/>
          <w:sz w:val="20"/>
          <w:szCs w:val="20"/>
          <w:lang w:val="en"/>
        </w:rPr>
        <w:t>.</w:t>
      </w:r>
    </w:p>
    <w:p w:rsidR="00BA1769" w:rsidRPr="005814C5" w:rsidRDefault="00BA1769" w:rsidP="00D7349C">
      <w:pPr>
        <w:ind w:left="720" w:right="720"/>
        <w:jc w:val="both"/>
        <w:rPr>
          <w:rFonts w:asciiTheme="majorHAnsi" w:hAnsiTheme="majorHAnsi"/>
          <w:color w:val="222222"/>
          <w:sz w:val="20"/>
          <w:szCs w:val="20"/>
          <w:lang w:val="en"/>
        </w:rPr>
      </w:pPr>
    </w:p>
    <w:p w:rsidR="00BA1769" w:rsidRPr="005814C5" w:rsidRDefault="00BA1769" w:rsidP="00D7349C">
      <w:pPr>
        <w:ind w:left="720" w:right="720"/>
        <w:jc w:val="both"/>
        <w:rPr>
          <w:rFonts w:asciiTheme="majorHAnsi" w:eastAsia="Times New Roman" w:hAnsiTheme="majorHAnsi"/>
          <w:sz w:val="20"/>
          <w:szCs w:val="20"/>
          <w:lang w:val="en" w:eastAsia="es-BO"/>
        </w:rPr>
      </w:pPr>
      <w:r w:rsidRPr="00666ABC">
        <w:rPr>
          <w:rFonts w:asciiTheme="majorHAnsi" w:eastAsia="Times New Roman" w:hAnsiTheme="majorHAnsi"/>
          <w:sz w:val="20"/>
          <w:szCs w:val="20"/>
          <w:lang w:val="en" w:eastAsia="es-BO"/>
        </w:rPr>
        <w:t>By sentence No. 177 of November 15, 2006, the Court of First Instance dismissed the</w:t>
      </w:r>
      <w:r w:rsidR="00C66927" w:rsidRPr="00666ABC">
        <w:rPr>
          <w:rFonts w:asciiTheme="majorHAnsi" w:eastAsia="Times New Roman" w:hAnsiTheme="majorHAnsi"/>
          <w:sz w:val="20"/>
          <w:szCs w:val="20"/>
          <w:lang w:val="en" w:eastAsia="es-BO"/>
        </w:rPr>
        <w:t xml:space="preserve"> </w:t>
      </w:r>
      <w:r w:rsidR="00666ABC" w:rsidRPr="00666ABC">
        <w:rPr>
          <w:rFonts w:asciiTheme="majorHAnsi" w:eastAsia="Times New Roman" w:hAnsiTheme="majorHAnsi"/>
          <w:i/>
          <w:sz w:val="20"/>
          <w:szCs w:val="20"/>
          <w:lang w:val="en" w:eastAsia="es-BO"/>
        </w:rPr>
        <w:t>writ of</w:t>
      </w:r>
      <w:r w:rsidR="00666ABC" w:rsidRPr="00666ABC">
        <w:rPr>
          <w:rFonts w:asciiTheme="majorHAnsi" w:eastAsia="Times New Roman" w:hAnsiTheme="majorHAnsi"/>
          <w:sz w:val="20"/>
          <w:szCs w:val="20"/>
          <w:lang w:val="en" w:eastAsia="es-BO"/>
        </w:rPr>
        <w:t xml:space="preserve"> </w:t>
      </w:r>
      <w:r w:rsidR="00666ABC" w:rsidRPr="00666ABC">
        <w:rPr>
          <w:rFonts w:asciiTheme="majorHAnsi" w:eastAsia="Times New Roman" w:hAnsiTheme="majorHAnsi"/>
          <w:i/>
          <w:sz w:val="20"/>
          <w:szCs w:val="20"/>
          <w:lang w:val="en" w:eastAsia="es-BO"/>
        </w:rPr>
        <w:t>Amparo</w:t>
      </w:r>
      <w:r w:rsidRPr="00666ABC">
        <w:rPr>
          <w:rFonts w:asciiTheme="majorHAnsi" w:eastAsia="Times New Roman" w:hAnsiTheme="majorHAnsi"/>
          <w:sz w:val="20"/>
          <w:szCs w:val="20"/>
          <w:lang w:val="en" w:eastAsia="es-BO"/>
        </w:rPr>
        <w:t>, based on the fact that there was no manifest illegitimacy in the decision of the Departmental Board.</w:t>
      </w:r>
    </w:p>
    <w:p w:rsidR="00E940BE" w:rsidRPr="005814C5" w:rsidRDefault="00E940BE" w:rsidP="00D7349C">
      <w:pPr>
        <w:ind w:left="720" w:right="720"/>
        <w:jc w:val="both"/>
        <w:rPr>
          <w:rFonts w:asciiTheme="majorHAnsi" w:eastAsia="Times New Roman" w:hAnsiTheme="majorHAnsi"/>
          <w:sz w:val="20"/>
          <w:szCs w:val="20"/>
          <w:lang w:eastAsia="es-BO"/>
        </w:rPr>
      </w:pPr>
    </w:p>
    <w:p w:rsidR="00BA1769" w:rsidRPr="005814C5" w:rsidRDefault="00666ABC" w:rsidP="00D7349C">
      <w:pPr>
        <w:ind w:left="720" w:right="720"/>
        <w:jc w:val="both"/>
        <w:rPr>
          <w:rFonts w:asciiTheme="majorHAnsi" w:eastAsia="Times New Roman" w:hAnsiTheme="majorHAnsi"/>
          <w:sz w:val="20"/>
          <w:szCs w:val="20"/>
          <w:lang w:eastAsia="es-BO"/>
        </w:rPr>
      </w:pPr>
      <w:r>
        <w:rPr>
          <w:rFonts w:asciiTheme="majorHAnsi" w:eastAsia="Times New Roman" w:hAnsiTheme="majorHAnsi"/>
          <w:sz w:val="20"/>
          <w:szCs w:val="20"/>
          <w:lang w:eastAsia="es-BO"/>
        </w:rPr>
        <w:t>After</w:t>
      </w:r>
      <w:r w:rsidR="00BA1769" w:rsidRPr="005814C5">
        <w:rPr>
          <w:rFonts w:asciiTheme="majorHAnsi" w:eastAsia="Times New Roman" w:hAnsiTheme="majorHAnsi"/>
          <w:sz w:val="20"/>
          <w:szCs w:val="20"/>
          <w:lang w:eastAsia="es-BO"/>
        </w:rPr>
        <w:t xml:space="preserve"> the adverse ruling of the first instance and following the procedure provided for in Article 10 of Law 16,011, an appeal was filed against the judgment referred to the Court of Second Instance Civil Appeals.</w:t>
      </w:r>
    </w:p>
    <w:p w:rsidR="00BA1769" w:rsidRPr="005814C5" w:rsidRDefault="00BA1769" w:rsidP="00D7349C">
      <w:pPr>
        <w:ind w:left="720" w:right="720"/>
        <w:jc w:val="both"/>
        <w:rPr>
          <w:rFonts w:asciiTheme="majorHAnsi" w:eastAsia="Times New Roman" w:hAnsiTheme="majorHAnsi"/>
          <w:sz w:val="20"/>
          <w:szCs w:val="20"/>
          <w:lang w:eastAsia="es-BO"/>
        </w:rPr>
      </w:pPr>
    </w:p>
    <w:p w:rsidR="00BA1769" w:rsidRPr="005814C5" w:rsidRDefault="00F32AE4"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 xml:space="preserve">The Court of First Instance confirmed the first instance judgment and, therefore, rejected the application for </w:t>
      </w:r>
      <w:r w:rsidR="00666ABC">
        <w:rPr>
          <w:rFonts w:asciiTheme="majorHAnsi" w:eastAsia="Times New Roman" w:hAnsiTheme="majorHAnsi"/>
          <w:sz w:val="20"/>
          <w:szCs w:val="20"/>
          <w:lang w:eastAsia="es-BO"/>
        </w:rPr>
        <w:t xml:space="preserve">the </w:t>
      </w:r>
      <w:r w:rsidR="00666ABC" w:rsidRPr="00666ABC">
        <w:rPr>
          <w:rFonts w:asciiTheme="majorHAnsi" w:eastAsia="Times New Roman" w:hAnsiTheme="majorHAnsi"/>
          <w:i/>
          <w:sz w:val="20"/>
          <w:szCs w:val="20"/>
          <w:lang w:eastAsia="es-BO"/>
        </w:rPr>
        <w:t>writ of Amparo</w:t>
      </w:r>
      <w:r w:rsidR="00C66927" w:rsidRPr="005814C5">
        <w:rPr>
          <w:rFonts w:asciiTheme="majorHAnsi" w:eastAsia="Times New Roman" w:hAnsiTheme="majorHAnsi"/>
          <w:sz w:val="20"/>
          <w:szCs w:val="20"/>
          <w:lang w:eastAsia="es-BO"/>
        </w:rPr>
        <w:t xml:space="preserve"> </w:t>
      </w:r>
      <w:r w:rsidRPr="005814C5">
        <w:rPr>
          <w:rFonts w:asciiTheme="majorHAnsi" w:eastAsia="Times New Roman" w:hAnsiTheme="majorHAnsi"/>
          <w:sz w:val="20"/>
          <w:szCs w:val="20"/>
          <w:lang w:eastAsia="es-BO"/>
        </w:rPr>
        <w:t>as an appropriate way to protect the right of access to public information. According to Sentence 43/2007 of March 7, 2007, the Court held that, although the illegitimacy of the decision of the Departmental Board of San José that declared the information reques</w:t>
      </w:r>
      <w:r w:rsidR="00666ABC">
        <w:rPr>
          <w:rFonts w:asciiTheme="majorHAnsi" w:eastAsia="Times New Roman" w:hAnsiTheme="majorHAnsi"/>
          <w:sz w:val="20"/>
          <w:szCs w:val="20"/>
          <w:lang w:eastAsia="es-BO"/>
        </w:rPr>
        <w:t xml:space="preserve">ted by the journalist secret was </w:t>
      </w:r>
      <w:r w:rsidRPr="005814C5">
        <w:rPr>
          <w:rFonts w:asciiTheme="majorHAnsi" w:eastAsia="Times New Roman" w:hAnsiTheme="majorHAnsi"/>
          <w:sz w:val="20"/>
          <w:szCs w:val="20"/>
          <w:lang w:eastAsia="es-BO"/>
        </w:rPr>
        <w:t>not ruled out, it cannot be argued that the illegitimacy is "manifest," given that ther</w:t>
      </w:r>
      <w:r w:rsidR="00666ABC">
        <w:rPr>
          <w:rFonts w:asciiTheme="majorHAnsi" w:eastAsia="Times New Roman" w:hAnsiTheme="majorHAnsi"/>
          <w:sz w:val="20"/>
          <w:szCs w:val="20"/>
          <w:lang w:eastAsia="es-BO"/>
        </w:rPr>
        <w:t>e is a legal norm that allows</w:t>
      </w:r>
      <w:r w:rsidRPr="005814C5">
        <w:rPr>
          <w:rFonts w:asciiTheme="majorHAnsi" w:eastAsia="Times New Roman" w:hAnsiTheme="majorHAnsi"/>
          <w:sz w:val="20"/>
          <w:szCs w:val="20"/>
          <w:lang w:eastAsia="es-BO"/>
        </w:rPr>
        <w:t xml:space="preserve"> to declare certain matters treated or resolved as secret.</w:t>
      </w:r>
    </w:p>
    <w:p w:rsidR="00C66927" w:rsidRPr="005814C5" w:rsidRDefault="00C66927" w:rsidP="00D7349C">
      <w:pPr>
        <w:ind w:left="720" w:right="720"/>
        <w:jc w:val="both"/>
        <w:rPr>
          <w:rFonts w:asciiTheme="majorHAnsi" w:eastAsia="Times New Roman" w:hAnsiTheme="majorHAnsi"/>
          <w:sz w:val="20"/>
          <w:szCs w:val="20"/>
          <w:lang w:eastAsia="es-BO"/>
        </w:rPr>
      </w:pPr>
    </w:p>
    <w:p w:rsidR="00C66927" w:rsidRPr="005814C5" w:rsidRDefault="00851D57"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On May 15, 2</w:t>
      </w:r>
      <w:r w:rsidR="00666ABC">
        <w:rPr>
          <w:rFonts w:asciiTheme="majorHAnsi" w:eastAsia="Times New Roman" w:hAnsiTheme="majorHAnsi"/>
          <w:sz w:val="20"/>
          <w:szCs w:val="20"/>
          <w:lang w:eastAsia="es-BO"/>
        </w:rPr>
        <w:t xml:space="preserve">008, having filed a </w:t>
      </w:r>
      <w:r w:rsidR="00666ABC" w:rsidRPr="00666ABC">
        <w:rPr>
          <w:rFonts w:asciiTheme="majorHAnsi" w:eastAsia="Times New Roman" w:hAnsiTheme="majorHAnsi"/>
          <w:i/>
          <w:sz w:val="20"/>
          <w:szCs w:val="20"/>
          <w:lang w:eastAsia="es-BO"/>
        </w:rPr>
        <w:t>writ of</w:t>
      </w:r>
      <w:r w:rsidR="00666ABC">
        <w:rPr>
          <w:rFonts w:asciiTheme="majorHAnsi" w:eastAsia="Times New Roman" w:hAnsiTheme="majorHAnsi"/>
          <w:sz w:val="20"/>
          <w:szCs w:val="20"/>
          <w:lang w:eastAsia="es-BO"/>
        </w:rPr>
        <w:t xml:space="preserve"> </w:t>
      </w:r>
      <w:r w:rsidR="00666ABC" w:rsidRPr="00666ABC">
        <w:rPr>
          <w:rFonts w:asciiTheme="majorHAnsi" w:eastAsia="Times New Roman" w:hAnsiTheme="majorHAnsi"/>
          <w:i/>
          <w:sz w:val="20"/>
          <w:szCs w:val="20"/>
          <w:lang w:eastAsia="es-BO"/>
        </w:rPr>
        <w:t>Amparo</w:t>
      </w:r>
      <w:r w:rsidRPr="005814C5">
        <w:rPr>
          <w:rFonts w:asciiTheme="majorHAnsi" w:eastAsia="Times New Roman" w:hAnsiTheme="majorHAnsi"/>
          <w:sz w:val="20"/>
          <w:szCs w:val="20"/>
          <w:lang w:eastAsia="es-BO"/>
        </w:rPr>
        <w:t xml:space="preserve"> and subsequent appeal of the ruling of the Court of Appeals, the journalist appeared under Article 13 of the American Convention on Human Rights to deduce his petition before the Inter-American Commission on Human Rights (P.1224-07), alleging that the Oriental Republic of Uruguay had violated the rights enshrined in Article 13 of the American Convention on Human Rights, especially the right of access to public information.</w:t>
      </w:r>
    </w:p>
    <w:p w:rsidR="00664C79" w:rsidRPr="005814C5" w:rsidRDefault="00664C79" w:rsidP="00D7349C">
      <w:pPr>
        <w:ind w:left="720" w:right="720"/>
        <w:jc w:val="both"/>
        <w:rPr>
          <w:rFonts w:asciiTheme="majorHAnsi" w:eastAsia="Times New Roman" w:hAnsiTheme="majorHAnsi"/>
          <w:sz w:val="20"/>
          <w:szCs w:val="20"/>
          <w:lang w:eastAsia="es-BO"/>
        </w:rPr>
      </w:pPr>
    </w:p>
    <w:p w:rsidR="00664C79" w:rsidRPr="005814C5" w:rsidRDefault="00664C79"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It also denounced that the Oriental Republic of Uruguay had violated the rights to judicial protection enshrined in Article 25 of the American Convention on Human Rights, as well as the general obligations to respect and guarantee the rights and freedoms and to adopt provisions of domestic law established in Articles 1.1 and 2 of the American Convention on Human Rights, to its detriment.</w:t>
      </w:r>
    </w:p>
    <w:p w:rsidR="00664C79" w:rsidRPr="005814C5" w:rsidRDefault="00664C79" w:rsidP="00D7349C">
      <w:pPr>
        <w:ind w:left="720" w:right="720"/>
        <w:jc w:val="both"/>
        <w:rPr>
          <w:rFonts w:asciiTheme="majorHAnsi" w:eastAsia="Times New Roman" w:hAnsiTheme="majorHAnsi"/>
          <w:sz w:val="20"/>
          <w:szCs w:val="20"/>
          <w:lang w:eastAsia="es-BO"/>
        </w:rPr>
      </w:pPr>
    </w:p>
    <w:p w:rsidR="00664C79" w:rsidRPr="005814C5" w:rsidRDefault="00664C79"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The Uruguayan State, after analyzing the case, presented before the Inter-American Commission its willingness to initiate a dialogue with the petitioner in order to reach an amicable solution.</w:t>
      </w:r>
    </w:p>
    <w:p w:rsidR="00F32AE4" w:rsidRPr="005814C5" w:rsidRDefault="00F32AE4" w:rsidP="00D7349C">
      <w:pPr>
        <w:ind w:left="720" w:right="720"/>
        <w:jc w:val="both"/>
        <w:rPr>
          <w:rFonts w:asciiTheme="majorHAnsi" w:eastAsia="Times New Roman" w:hAnsiTheme="majorHAnsi"/>
          <w:sz w:val="20"/>
          <w:szCs w:val="20"/>
          <w:lang w:eastAsia="es-BO"/>
        </w:rPr>
      </w:pPr>
    </w:p>
    <w:p w:rsidR="00074004" w:rsidRPr="005814C5" w:rsidRDefault="00074004" w:rsidP="00D7349C">
      <w:pPr>
        <w:ind w:left="720" w:right="720"/>
        <w:jc w:val="center"/>
        <w:rPr>
          <w:rFonts w:asciiTheme="majorHAnsi" w:eastAsia="Times New Roman" w:hAnsiTheme="majorHAnsi"/>
          <w:b/>
          <w:sz w:val="20"/>
          <w:szCs w:val="20"/>
          <w:u w:val="single"/>
          <w:lang w:eastAsia="es-BO"/>
        </w:rPr>
      </w:pPr>
      <w:r w:rsidRPr="005814C5">
        <w:rPr>
          <w:rFonts w:asciiTheme="majorHAnsi" w:eastAsia="Times New Roman" w:hAnsiTheme="majorHAnsi"/>
          <w:b/>
          <w:sz w:val="20"/>
          <w:szCs w:val="20"/>
          <w:u w:val="single"/>
          <w:lang w:eastAsia="es-BO"/>
        </w:rPr>
        <w:t>AGREEMENT</w:t>
      </w:r>
    </w:p>
    <w:p w:rsidR="00E940BE" w:rsidRPr="005814C5" w:rsidRDefault="00E940BE" w:rsidP="00D7349C">
      <w:pPr>
        <w:ind w:right="720"/>
        <w:jc w:val="both"/>
        <w:rPr>
          <w:rFonts w:asciiTheme="majorHAnsi" w:eastAsia="Times New Roman" w:hAnsiTheme="majorHAnsi"/>
          <w:sz w:val="20"/>
          <w:szCs w:val="20"/>
          <w:lang w:eastAsia="es-BO"/>
        </w:rPr>
      </w:pPr>
    </w:p>
    <w:p w:rsidR="00E940BE" w:rsidRPr="00666ABC" w:rsidRDefault="00074004" w:rsidP="00666ABC">
      <w:pPr>
        <w:pStyle w:val="ListParagraph"/>
        <w:numPr>
          <w:ilvl w:val="0"/>
          <w:numId w:val="64"/>
        </w:numPr>
        <w:ind w:left="720" w:right="720" w:firstLine="0"/>
        <w:jc w:val="both"/>
        <w:rPr>
          <w:rFonts w:asciiTheme="majorHAnsi" w:eastAsia="Times New Roman" w:hAnsiTheme="majorHAnsi"/>
          <w:sz w:val="20"/>
          <w:szCs w:val="20"/>
          <w:lang w:eastAsia="es-BO"/>
        </w:rPr>
      </w:pPr>
      <w:r w:rsidRPr="00666ABC">
        <w:rPr>
          <w:rFonts w:asciiTheme="majorHAnsi" w:eastAsia="Times New Roman" w:hAnsiTheme="majorHAnsi"/>
          <w:sz w:val="20"/>
          <w:szCs w:val="20"/>
          <w:lang w:eastAsia="es-BO"/>
        </w:rPr>
        <w:t xml:space="preserve">The State recognizes that the refusal of the Departmental Board of San José to provide access to public information requested by Mr. Rabinovich translated into a limitation on the exercise of his right to seek, receive, and disseminate information and ideas of all kinds, in a </w:t>
      </w:r>
      <w:r w:rsidRPr="00666ABC">
        <w:rPr>
          <w:rFonts w:asciiTheme="majorHAnsi" w:eastAsia="Times New Roman" w:hAnsiTheme="majorHAnsi"/>
          <w:sz w:val="20"/>
          <w:szCs w:val="20"/>
          <w:lang w:eastAsia="es-BO"/>
        </w:rPr>
        <w:lastRenderedPageBreak/>
        <w:t>context of non-existence of clear procedures for access to public information, which led him to promote a petition before the Uruguayan Judicial Branch and later before the IACHR.</w:t>
      </w:r>
    </w:p>
    <w:p w:rsidR="00666ABC" w:rsidRPr="00666ABC" w:rsidRDefault="00666ABC" w:rsidP="00666ABC">
      <w:pPr>
        <w:pStyle w:val="ListParagraph"/>
        <w:ind w:right="720"/>
        <w:jc w:val="both"/>
        <w:rPr>
          <w:rFonts w:asciiTheme="majorHAnsi" w:eastAsia="Times New Roman" w:hAnsiTheme="majorHAnsi"/>
          <w:sz w:val="20"/>
          <w:szCs w:val="20"/>
          <w:lang w:eastAsia="es-BO"/>
        </w:rPr>
      </w:pPr>
    </w:p>
    <w:p w:rsidR="00074004" w:rsidRPr="005814C5" w:rsidRDefault="00074004"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2.</w:t>
      </w:r>
      <w:r w:rsidRPr="005814C5">
        <w:rPr>
          <w:rFonts w:asciiTheme="majorHAnsi" w:eastAsia="Times New Roman" w:hAnsiTheme="majorHAnsi"/>
          <w:sz w:val="20"/>
          <w:szCs w:val="20"/>
          <w:lang w:eastAsia="es-BO"/>
        </w:rPr>
        <w:tab/>
        <w:t>The State notes, and Mr. David Rabinovich acknowledges, the progress made through the adoption of significant legislative reforms that have resulted in the strengthening of the legal framework that guarantees and gives effect to the right of all persons to seek, receive and impart public information: Law No. 18,220 of 20 December 2007, National Archives System; Law No. 18,232 of 22 December 2007, Community Broadcasting Service; Law No. 18,331 of 11 August 2008, Personal Data Protection and Habeas Data Action; Law. No. 18,381 of 17 October 2008, Right of Access to Public Information; Law No. 18,515 of 26 June 2009, reform of the Uruguayan penal system relating to communication crimes; regulations that followed the standards established in the Inter-American Human Rights System, without prejudice to the provisions of the Inter-American Model Law on Access to Public Information (Approved by the Assembly of the Organization of American States in June 2010).</w:t>
      </w:r>
    </w:p>
    <w:p w:rsidR="00074004" w:rsidRPr="005814C5" w:rsidRDefault="00074004" w:rsidP="00D7349C">
      <w:pPr>
        <w:ind w:left="720" w:right="720"/>
        <w:jc w:val="both"/>
        <w:rPr>
          <w:rFonts w:asciiTheme="majorHAnsi" w:eastAsia="Times New Roman" w:hAnsiTheme="majorHAnsi"/>
          <w:sz w:val="20"/>
          <w:szCs w:val="20"/>
          <w:lang w:eastAsia="es-BO"/>
        </w:rPr>
      </w:pPr>
    </w:p>
    <w:p w:rsidR="00074004" w:rsidRPr="005814C5" w:rsidRDefault="00074004"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3.</w:t>
      </w:r>
      <w:r w:rsidRPr="005814C5">
        <w:rPr>
          <w:rFonts w:asciiTheme="majorHAnsi" w:eastAsia="Times New Roman" w:hAnsiTheme="majorHAnsi"/>
          <w:sz w:val="20"/>
          <w:szCs w:val="20"/>
          <w:lang w:eastAsia="es-BO"/>
        </w:rPr>
        <w:tab/>
        <w:t xml:space="preserve">The State and the petitioner agree to appear jointly and personally </w:t>
      </w:r>
      <w:r w:rsidR="00666ABC">
        <w:rPr>
          <w:rFonts w:asciiTheme="majorHAnsi" w:eastAsia="Times New Roman" w:hAnsiTheme="majorHAnsi"/>
          <w:sz w:val="20"/>
          <w:szCs w:val="20"/>
          <w:lang w:eastAsia="es-BO"/>
        </w:rPr>
        <w:t>before</w:t>
      </w:r>
      <w:r w:rsidRPr="005814C5">
        <w:rPr>
          <w:rFonts w:asciiTheme="majorHAnsi" w:eastAsia="Times New Roman" w:hAnsiTheme="majorHAnsi"/>
          <w:sz w:val="20"/>
          <w:szCs w:val="20"/>
          <w:lang w:eastAsia="es-BO"/>
        </w:rPr>
        <w:t xml:space="preserve"> the Inter-American Commission on Human Rights at its 165th Period of Sessions in Montevideo, in order to sign the present friendly settlement and request the closure of the proceedings and the </w:t>
      </w:r>
      <w:r w:rsidR="00666ABC">
        <w:rPr>
          <w:rFonts w:asciiTheme="majorHAnsi" w:eastAsia="Times New Roman" w:hAnsiTheme="majorHAnsi"/>
          <w:sz w:val="20"/>
          <w:szCs w:val="20"/>
          <w:lang w:eastAsia="es-BO"/>
        </w:rPr>
        <w:t>archive</w:t>
      </w:r>
      <w:r w:rsidRPr="005814C5">
        <w:rPr>
          <w:rFonts w:asciiTheme="majorHAnsi" w:eastAsia="Times New Roman" w:hAnsiTheme="majorHAnsi"/>
          <w:sz w:val="20"/>
          <w:szCs w:val="20"/>
          <w:lang w:eastAsia="es-BO"/>
        </w:rPr>
        <w:t xml:space="preserve"> of the petition P. 1224-07 </w:t>
      </w:r>
      <w:r w:rsidR="00666ABC">
        <w:rPr>
          <w:rFonts w:asciiTheme="majorHAnsi" w:eastAsia="Times New Roman" w:hAnsiTheme="majorHAnsi"/>
          <w:sz w:val="20"/>
          <w:szCs w:val="20"/>
          <w:lang w:eastAsia="es-BO"/>
        </w:rPr>
        <w:t>before</w:t>
      </w:r>
      <w:r w:rsidRPr="005814C5">
        <w:rPr>
          <w:rFonts w:asciiTheme="majorHAnsi" w:eastAsia="Times New Roman" w:hAnsiTheme="majorHAnsi"/>
          <w:sz w:val="20"/>
          <w:szCs w:val="20"/>
          <w:lang w:eastAsia="es-BO"/>
        </w:rPr>
        <w:t xml:space="preserve"> the Inter-American Commission on Human Rights.</w:t>
      </w:r>
    </w:p>
    <w:p w:rsidR="00074004" w:rsidRPr="005814C5" w:rsidRDefault="00074004" w:rsidP="00D7349C">
      <w:pPr>
        <w:ind w:left="720" w:right="720"/>
        <w:jc w:val="both"/>
        <w:rPr>
          <w:rFonts w:asciiTheme="majorHAnsi" w:eastAsia="Times New Roman" w:hAnsiTheme="majorHAnsi"/>
          <w:sz w:val="20"/>
          <w:szCs w:val="20"/>
          <w:lang w:eastAsia="es-BO"/>
        </w:rPr>
      </w:pPr>
    </w:p>
    <w:p w:rsidR="00074004" w:rsidRPr="005814C5" w:rsidRDefault="00074004"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4.</w:t>
      </w:r>
      <w:r w:rsidRPr="005814C5">
        <w:rPr>
          <w:rFonts w:asciiTheme="majorHAnsi" w:eastAsia="Times New Roman" w:hAnsiTheme="majorHAnsi"/>
          <w:sz w:val="20"/>
          <w:szCs w:val="20"/>
          <w:lang w:eastAsia="es-BO"/>
        </w:rPr>
        <w:tab/>
        <w:t>The State and the journalist agree to cooperate to facilitate the public dissemination of the agreement reached, with emphasis on the permanent dissemination of existing regulations on access to public information.</w:t>
      </w:r>
    </w:p>
    <w:p w:rsidR="00074004" w:rsidRPr="005814C5" w:rsidRDefault="00074004" w:rsidP="00D7349C">
      <w:pPr>
        <w:ind w:left="720" w:right="720"/>
        <w:jc w:val="both"/>
        <w:rPr>
          <w:rFonts w:asciiTheme="majorHAnsi" w:eastAsia="Times New Roman" w:hAnsiTheme="majorHAnsi"/>
          <w:sz w:val="20"/>
          <w:szCs w:val="20"/>
          <w:lang w:eastAsia="es-BO"/>
        </w:rPr>
      </w:pPr>
    </w:p>
    <w:p w:rsidR="00074004" w:rsidRPr="005814C5" w:rsidRDefault="003D7146"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 xml:space="preserve">For proof of the commitment contracted and in faith of which, they sign the present </w:t>
      </w:r>
      <w:r w:rsidR="00666ABC">
        <w:rPr>
          <w:rFonts w:asciiTheme="majorHAnsi" w:eastAsia="Times New Roman" w:hAnsiTheme="majorHAnsi"/>
          <w:sz w:val="20"/>
          <w:szCs w:val="20"/>
          <w:lang w:eastAsia="es-BO"/>
        </w:rPr>
        <w:t>document</w:t>
      </w:r>
      <w:r w:rsidRPr="005814C5">
        <w:rPr>
          <w:rFonts w:asciiTheme="majorHAnsi" w:eastAsia="Times New Roman" w:hAnsiTheme="majorHAnsi"/>
          <w:sz w:val="20"/>
          <w:szCs w:val="20"/>
          <w:lang w:eastAsia="es-BO"/>
        </w:rPr>
        <w:t xml:space="preserve"> in Montevideo on the twenty-fifth day of October 2017.</w:t>
      </w:r>
    </w:p>
    <w:p w:rsidR="00074004" w:rsidRPr="005814C5" w:rsidRDefault="00074004" w:rsidP="00D7349C">
      <w:pPr>
        <w:ind w:left="720" w:right="720"/>
        <w:jc w:val="both"/>
        <w:rPr>
          <w:rFonts w:asciiTheme="majorHAnsi" w:eastAsia="Times New Roman" w:hAnsiTheme="majorHAnsi"/>
          <w:sz w:val="20"/>
          <w:szCs w:val="20"/>
          <w:lang w:eastAsia="es-BO"/>
        </w:rPr>
      </w:pPr>
    </w:p>
    <w:p w:rsidR="00E940BE" w:rsidRPr="005814C5" w:rsidRDefault="003D7146" w:rsidP="00D7349C">
      <w:pPr>
        <w:ind w:left="720" w:right="720"/>
        <w:jc w:val="center"/>
        <w:rPr>
          <w:rFonts w:asciiTheme="majorHAnsi" w:eastAsia="Times New Roman" w:hAnsiTheme="majorHAnsi"/>
          <w:b/>
          <w:sz w:val="20"/>
          <w:szCs w:val="20"/>
          <w:lang w:eastAsia="es-BO"/>
        </w:rPr>
      </w:pPr>
      <w:r w:rsidRPr="005814C5">
        <w:rPr>
          <w:rFonts w:asciiTheme="majorHAnsi" w:eastAsia="Times New Roman" w:hAnsiTheme="majorHAnsi"/>
          <w:b/>
          <w:sz w:val="20"/>
          <w:szCs w:val="20"/>
          <w:lang w:eastAsia="es-BO"/>
        </w:rPr>
        <w:t>MINUTE OF UNDERSTANDING ON COMPLIANCE WITH THE FRIENDLY SOLUTION AGREEMENT Petition No. 1224-07</w:t>
      </w:r>
    </w:p>
    <w:p w:rsidR="00E940BE" w:rsidRPr="005814C5" w:rsidRDefault="00E940BE" w:rsidP="00D7349C">
      <w:pPr>
        <w:ind w:left="720" w:right="720"/>
        <w:jc w:val="both"/>
        <w:rPr>
          <w:rFonts w:asciiTheme="majorHAnsi" w:eastAsia="Times New Roman" w:hAnsiTheme="majorHAnsi"/>
          <w:b/>
          <w:sz w:val="20"/>
          <w:szCs w:val="20"/>
          <w:lang w:eastAsia="es-BO"/>
        </w:rPr>
      </w:pPr>
    </w:p>
    <w:p w:rsidR="003D7146" w:rsidRPr="005814C5" w:rsidRDefault="003D7146"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In Montevideo on May 3, 2019, the State of Uruguay represented by Dianela Pi, Director of Human Rights and Humanitarian Law of the Ministry of Foreign Affairs, and Mr. David Rabinovich and Dr. Martín Prats of the Institute of Legal and Social Studies of Uruguay (IELSUR)</w:t>
      </w:r>
      <w:r w:rsidR="00474DDE">
        <w:rPr>
          <w:rFonts w:asciiTheme="majorHAnsi" w:eastAsia="Times New Roman" w:hAnsiTheme="majorHAnsi"/>
          <w:sz w:val="20"/>
          <w:szCs w:val="20"/>
          <w:lang w:eastAsia="es-BO"/>
        </w:rPr>
        <w:t xml:space="preserve"> </w:t>
      </w:r>
      <w:r w:rsidR="00474DDE" w:rsidRPr="005814C5">
        <w:rPr>
          <w:rFonts w:asciiTheme="majorHAnsi" w:eastAsia="Times New Roman" w:hAnsiTheme="majorHAnsi"/>
          <w:sz w:val="20"/>
          <w:szCs w:val="20"/>
          <w:lang w:eastAsia="es-BO"/>
        </w:rPr>
        <w:t>in their capacity as petitioners</w:t>
      </w:r>
      <w:r w:rsidRPr="005814C5">
        <w:rPr>
          <w:rFonts w:asciiTheme="majorHAnsi" w:eastAsia="Times New Roman" w:hAnsiTheme="majorHAnsi"/>
          <w:sz w:val="20"/>
          <w:szCs w:val="20"/>
          <w:lang w:eastAsia="es-BO"/>
        </w:rPr>
        <w:t xml:space="preserve">, sign the following </w:t>
      </w:r>
      <w:r w:rsidR="00474DDE">
        <w:rPr>
          <w:rFonts w:asciiTheme="majorHAnsi" w:eastAsia="Times New Roman" w:hAnsiTheme="majorHAnsi"/>
          <w:sz w:val="20"/>
          <w:szCs w:val="20"/>
          <w:lang w:eastAsia="es-BO"/>
        </w:rPr>
        <w:t>Minute</w:t>
      </w:r>
      <w:r w:rsidRPr="005814C5">
        <w:rPr>
          <w:rFonts w:asciiTheme="majorHAnsi" w:eastAsia="Times New Roman" w:hAnsiTheme="majorHAnsi"/>
          <w:sz w:val="20"/>
          <w:szCs w:val="20"/>
          <w:lang w:eastAsia="es-BO"/>
        </w:rPr>
        <w:t xml:space="preserve"> of </w:t>
      </w:r>
      <w:r w:rsidR="00474DDE">
        <w:rPr>
          <w:rFonts w:asciiTheme="majorHAnsi" w:eastAsia="Times New Roman" w:hAnsiTheme="majorHAnsi"/>
          <w:sz w:val="20"/>
          <w:szCs w:val="20"/>
          <w:lang w:eastAsia="es-BO"/>
        </w:rPr>
        <w:t>U</w:t>
      </w:r>
      <w:r w:rsidRPr="005814C5">
        <w:rPr>
          <w:rFonts w:asciiTheme="majorHAnsi" w:eastAsia="Times New Roman" w:hAnsiTheme="majorHAnsi"/>
          <w:sz w:val="20"/>
          <w:szCs w:val="20"/>
          <w:lang w:eastAsia="es-BO"/>
        </w:rPr>
        <w:t>nderstanding on what the parties understand to be the elements for full compliance with the friendly settlement agreement signed on October 25, 2017.</w:t>
      </w:r>
      <w:r w:rsidR="00474DDE">
        <w:rPr>
          <w:rFonts w:asciiTheme="majorHAnsi" w:eastAsia="Times New Roman" w:hAnsiTheme="majorHAnsi"/>
          <w:sz w:val="20"/>
          <w:szCs w:val="20"/>
          <w:lang w:eastAsia="es-BO"/>
        </w:rPr>
        <w:t xml:space="preserve"> </w:t>
      </w:r>
    </w:p>
    <w:p w:rsidR="003D7146" w:rsidRPr="005814C5" w:rsidRDefault="003D7146" w:rsidP="00D7349C">
      <w:pPr>
        <w:ind w:left="720" w:right="720"/>
        <w:jc w:val="both"/>
        <w:rPr>
          <w:rFonts w:asciiTheme="majorHAnsi" w:eastAsia="Times New Roman" w:hAnsiTheme="majorHAnsi"/>
          <w:b/>
          <w:sz w:val="20"/>
          <w:szCs w:val="20"/>
          <w:lang w:eastAsia="es-BO"/>
        </w:rPr>
      </w:pPr>
    </w:p>
    <w:p w:rsidR="003D7146" w:rsidRPr="005814C5" w:rsidRDefault="003D7146"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The parties consider that the friendly settlement agreement subscribed in the reference case will be understood to have been fully complied with when the following actions or activities are carried out:</w:t>
      </w:r>
    </w:p>
    <w:p w:rsidR="003D7146" w:rsidRPr="005814C5" w:rsidRDefault="003D7146" w:rsidP="00D7349C">
      <w:pPr>
        <w:ind w:right="720"/>
        <w:jc w:val="both"/>
        <w:rPr>
          <w:rFonts w:asciiTheme="majorHAnsi" w:eastAsia="Times New Roman" w:hAnsiTheme="majorHAnsi"/>
          <w:b/>
          <w:sz w:val="20"/>
          <w:szCs w:val="20"/>
          <w:lang w:eastAsia="es-BO"/>
        </w:rPr>
      </w:pPr>
    </w:p>
    <w:p w:rsidR="00E940BE" w:rsidRPr="005814C5" w:rsidRDefault="00FC4332"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 xml:space="preserve">1. </w:t>
      </w:r>
      <w:r w:rsidRPr="005814C5">
        <w:rPr>
          <w:rFonts w:asciiTheme="majorHAnsi" w:eastAsia="Times New Roman" w:hAnsiTheme="majorHAnsi"/>
          <w:sz w:val="20"/>
          <w:szCs w:val="20"/>
          <w:lang w:eastAsia="es-BO"/>
        </w:rPr>
        <w:tab/>
        <w:t>To hold an academic event, open to the public, related to the Petition and the approval of the law of access to public information and other significant norms in the matter.</w:t>
      </w:r>
    </w:p>
    <w:p w:rsidR="00FC4332" w:rsidRPr="005814C5" w:rsidRDefault="00FC4332" w:rsidP="00D7349C">
      <w:pPr>
        <w:ind w:left="720" w:right="720"/>
        <w:jc w:val="both"/>
        <w:rPr>
          <w:rFonts w:asciiTheme="majorHAnsi" w:eastAsia="Times New Roman" w:hAnsiTheme="majorHAnsi"/>
          <w:sz w:val="20"/>
          <w:szCs w:val="20"/>
          <w:lang w:eastAsia="es-BO"/>
        </w:rPr>
      </w:pPr>
    </w:p>
    <w:p w:rsidR="00FC4332" w:rsidRPr="005814C5" w:rsidRDefault="00FC4332"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2.</w:t>
      </w:r>
      <w:r w:rsidRPr="005814C5">
        <w:rPr>
          <w:rFonts w:asciiTheme="majorHAnsi" w:eastAsia="Times New Roman" w:hAnsiTheme="majorHAnsi"/>
          <w:sz w:val="20"/>
          <w:szCs w:val="20"/>
          <w:lang w:eastAsia="es-BO"/>
        </w:rPr>
        <w:tab/>
        <w:t>Jointly draw up a list of guests including relevant actors, public bodies and civil society organizations, the press and the media.</w:t>
      </w:r>
    </w:p>
    <w:p w:rsidR="00E940BE" w:rsidRPr="005814C5" w:rsidRDefault="00E940BE" w:rsidP="00D7349C">
      <w:pPr>
        <w:ind w:left="720" w:right="720"/>
        <w:jc w:val="both"/>
        <w:rPr>
          <w:rFonts w:asciiTheme="majorHAnsi" w:eastAsia="Times New Roman" w:hAnsiTheme="majorHAnsi"/>
          <w:sz w:val="20"/>
          <w:szCs w:val="20"/>
          <w:lang w:eastAsia="es-BO"/>
        </w:rPr>
      </w:pPr>
    </w:p>
    <w:p w:rsidR="00FC4332" w:rsidRPr="005814C5" w:rsidRDefault="00FC4332"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3.</w:t>
      </w:r>
      <w:r w:rsidRPr="005814C5">
        <w:rPr>
          <w:rFonts w:asciiTheme="majorHAnsi" w:eastAsia="Times New Roman" w:hAnsiTheme="majorHAnsi"/>
          <w:sz w:val="20"/>
          <w:szCs w:val="20"/>
          <w:lang w:eastAsia="es-BO"/>
        </w:rPr>
        <w:tab/>
        <w:t>Ensure the widest dissemination of the event through a press release from the Ministry of Foreign Affairs and a recording of the event, which will be delivered to the petitioners and the Secretariat of the Presidency of the Republic, the National Institution of Human</w:t>
      </w:r>
      <w:r w:rsidR="00474DDE">
        <w:rPr>
          <w:rFonts w:asciiTheme="majorHAnsi" w:eastAsia="Times New Roman" w:hAnsiTheme="majorHAnsi"/>
          <w:sz w:val="20"/>
          <w:szCs w:val="20"/>
          <w:lang w:eastAsia="es-BO"/>
        </w:rPr>
        <w:t xml:space="preserve"> Rights and Ombudsman's Office,</w:t>
      </w:r>
      <w:r w:rsidRPr="005814C5">
        <w:rPr>
          <w:rFonts w:asciiTheme="majorHAnsi" w:eastAsia="Times New Roman" w:hAnsiTheme="majorHAnsi"/>
          <w:sz w:val="20"/>
          <w:szCs w:val="20"/>
          <w:lang w:eastAsia="es-BO"/>
        </w:rPr>
        <w:t xml:space="preserve"> the Press Association of Uruguay and the Interior Press</w:t>
      </w:r>
      <w:r w:rsidR="00474DDE">
        <w:rPr>
          <w:rFonts w:asciiTheme="majorHAnsi" w:eastAsia="Times New Roman" w:hAnsiTheme="majorHAnsi"/>
          <w:sz w:val="20"/>
          <w:szCs w:val="20"/>
          <w:lang w:eastAsia="es-BO"/>
        </w:rPr>
        <w:t xml:space="preserve"> </w:t>
      </w:r>
      <w:r w:rsidR="00474DDE" w:rsidRPr="005814C5">
        <w:rPr>
          <w:rFonts w:asciiTheme="majorHAnsi" w:eastAsia="Times New Roman" w:hAnsiTheme="majorHAnsi"/>
          <w:sz w:val="20"/>
          <w:szCs w:val="20"/>
          <w:lang w:eastAsia="es-BO"/>
        </w:rPr>
        <w:t>Organization</w:t>
      </w:r>
      <w:r w:rsidRPr="005814C5">
        <w:rPr>
          <w:rFonts w:asciiTheme="majorHAnsi" w:eastAsia="Times New Roman" w:hAnsiTheme="majorHAnsi"/>
          <w:sz w:val="20"/>
          <w:szCs w:val="20"/>
          <w:lang w:eastAsia="es-BO"/>
        </w:rPr>
        <w:t>, who will be asked to support its dissemination, which will be duly communicated to both the petitioners and the Inter-American Commission on Human Rights.</w:t>
      </w:r>
      <w:r w:rsidR="00474DDE">
        <w:rPr>
          <w:rFonts w:asciiTheme="majorHAnsi" w:eastAsia="Times New Roman" w:hAnsiTheme="majorHAnsi"/>
          <w:sz w:val="20"/>
          <w:szCs w:val="20"/>
          <w:lang w:eastAsia="es-BO"/>
        </w:rPr>
        <w:t xml:space="preserve"> </w:t>
      </w:r>
    </w:p>
    <w:p w:rsidR="00FC4332" w:rsidRPr="005814C5" w:rsidRDefault="00FC4332" w:rsidP="00D7349C">
      <w:pPr>
        <w:ind w:left="720" w:right="720"/>
        <w:jc w:val="both"/>
        <w:rPr>
          <w:rFonts w:asciiTheme="majorHAnsi" w:eastAsia="Times New Roman" w:hAnsiTheme="majorHAnsi"/>
          <w:sz w:val="20"/>
          <w:szCs w:val="20"/>
          <w:lang w:eastAsia="es-BO"/>
        </w:rPr>
      </w:pPr>
    </w:p>
    <w:p w:rsidR="00FC4332" w:rsidRPr="005814C5" w:rsidRDefault="00FC4332"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lastRenderedPageBreak/>
        <w:t>Once the aforementioned actions are completed, the parties will request the IACHR to homologate the friendly settlement agreement as established in Article 49 of the American Commission on Human Rights.</w:t>
      </w:r>
    </w:p>
    <w:p w:rsidR="00FC4332" w:rsidRPr="005814C5" w:rsidRDefault="00FC4332" w:rsidP="00D7349C">
      <w:pPr>
        <w:ind w:left="720" w:right="720"/>
        <w:jc w:val="both"/>
        <w:rPr>
          <w:rFonts w:asciiTheme="majorHAnsi" w:eastAsia="Times New Roman" w:hAnsiTheme="majorHAnsi"/>
          <w:sz w:val="20"/>
          <w:szCs w:val="20"/>
          <w:lang w:eastAsia="es-BO"/>
        </w:rPr>
      </w:pPr>
    </w:p>
    <w:p w:rsidR="00FC4332" w:rsidRPr="00D7349C" w:rsidRDefault="00FC4332" w:rsidP="00D7349C">
      <w:pPr>
        <w:ind w:left="720" w:right="720"/>
        <w:jc w:val="both"/>
        <w:rPr>
          <w:rFonts w:asciiTheme="majorHAnsi" w:eastAsia="Times New Roman" w:hAnsiTheme="majorHAnsi"/>
          <w:sz w:val="20"/>
          <w:szCs w:val="20"/>
          <w:lang w:eastAsia="es-BO"/>
        </w:rPr>
      </w:pPr>
      <w:r w:rsidRPr="005814C5">
        <w:rPr>
          <w:rFonts w:asciiTheme="majorHAnsi" w:eastAsia="Times New Roman" w:hAnsiTheme="majorHAnsi"/>
          <w:sz w:val="20"/>
          <w:szCs w:val="20"/>
          <w:lang w:eastAsia="es-BO"/>
        </w:rPr>
        <w:t>Without prejudice to the foregoing, the State undertakes to continue advancing in the permanent dissemination of current regulations on access to public information.</w:t>
      </w:r>
    </w:p>
    <w:p w:rsidR="00E940BE" w:rsidRPr="00D7349C" w:rsidRDefault="00E940BE" w:rsidP="00D7349C">
      <w:pPr>
        <w:rPr>
          <w:rFonts w:asciiTheme="majorHAnsi" w:hAnsiTheme="majorHAnsi"/>
          <w:sz w:val="20"/>
          <w:szCs w:val="20"/>
        </w:rPr>
      </w:pPr>
    </w:p>
    <w:p w:rsidR="00E940BE" w:rsidRPr="00D7349C" w:rsidRDefault="00E940BE" w:rsidP="00474DDE">
      <w:pPr>
        <w:pStyle w:val="ListParagraph"/>
        <w:numPr>
          <w:ilvl w:val="0"/>
          <w:numId w:val="58"/>
        </w:numPr>
        <w:pBdr>
          <w:top w:val="nil"/>
          <w:left w:val="nil"/>
          <w:bottom w:val="nil"/>
          <w:right w:val="nil"/>
          <w:between w:val="nil"/>
          <w:bar w:val="nil"/>
        </w:pBdr>
        <w:ind w:left="0" w:firstLine="720"/>
        <w:rPr>
          <w:rFonts w:asciiTheme="majorHAnsi" w:hAnsiTheme="majorHAnsi"/>
          <w:b/>
          <w:sz w:val="20"/>
          <w:szCs w:val="20"/>
        </w:rPr>
      </w:pPr>
      <w:r w:rsidRPr="00D7349C">
        <w:rPr>
          <w:rFonts w:asciiTheme="majorHAnsi" w:hAnsiTheme="majorHAnsi"/>
          <w:b/>
          <w:sz w:val="20"/>
          <w:szCs w:val="20"/>
        </w:rPr>
        <w:t>DETERMINATION OF COMPATIBILITY AND COMPLIANCE</w:t>
      </w:r>
    </w:p>
    <w:p w:rsidR="00E940BE" w:rsidRPr="00D7349C" w:rsidRDefault="00E940BE" w:rsidP="00474DDE">
      <w:pPr>
        <w:pStyle w:val="ListParagraph"/>
        <w:ind w:left="0" w:firstLine="720"/>
        <w:rPr>
          <w:rFonts w:asciiTheme="majorHAnsi" w:hAnsiTheme="majorHAnsi"/>
          <w:b/>
          <w:sz w:val="20"/>
          <w:szCs w:val="20"/>
        </w:rPr>
      </w:pPr>
    </w:p>
    <w:p w:rsidR="00E940BE" w:rsidRPr="00474DDE" w:rsidRDefault="00E940BE"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The IACHR reiterates that according to Articles 48(1)(f) and 49 of the American Convention, this procedure has the aim </w:t>
      </w:r>
      <w:r w:rsidR="00474DDE">
        <w:rPr>
          <w:rFonts w:asciiTheme="majorHAnsi" w:hAnsiTheme="majorHAnsi" w:cs="Calibri"/>
          <w:sz w:val="20"/>
          <w:szCs w:val="20"/>
        </w:rPr>
        <w:t xml:space="preserve">of </w:t>
      </w:r>
      <w:r w:rsidRPr="00474DDE">
        <w:rPr>
          <w:rFonts w:asciiTheme="majorHAnsi" w:hAnsiTheme="majorHAnsi" w:cs="Calibri"/>
          <w:sz w:val="20"/>
          <w:szCs w:val="20"/>
        </w:rPr>
        <w:t xml:space="preserve">“reaching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474DDE">
        <w:rPr>
          <w:rFonts w:asciiTheme="majorHAnsi" w:hAnsiTheme="majorHAnsi" w:cs="Calibri"/>
          <w:i/>
          <w:sz w:val="20"/>
          <w:szCs w:val="20"/>
        </w:rPr>
        <w:t>pacta sunt servanda</w:t>
      </w:r>
      <w:r w:rsidRPr="00474DDE">
        <w:rPr>
          <w:rFonts w:asciiTheme="majorHAnsi" w:hAnsiTheme="majorHAnsi" w:cs="Calibri"/>
          <w:sz w:val="20"/>
          <w:szCs w:val="20"/>
        </w:rPr>
        <w:t>, by which states should carry out their treaty obligations in good faith.</w:t>
      </w:r>
      <w:r w:rsidRPr="00474DDE">
        <w:rPr>
          <w:rStyle w:val="FootnoteReference"/>
          <w:rFonts w:asciiTheme="majorHAnsi" w:hAnsiTheme="majorHAnsi" w:cs="Calibri"/>
          <w:sz w:val="20"/>
          <w:szCs w:val="20"/>
        </w:rPr>
        <w:footnoteReference w:id="1"/>
      </w:r>
      <w:r w:rsidRPr="00474DDE">
        <w:rPr>
          <w:rFonts w:asciiTheme="majorHAnsi" w:hAnsiTheme="majorHAnsi"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E940BE" w:rsidRPr="00474DDE" w:rsidRDefault="00E940BE" w:rsidP="00474DDE">
      <w:pPr>
        <w:pStyle w:val="ListParagraph"/>
        <w:tabs>
          <w:tab w:val="left" w:pos="0"/>
          <w:tab w:val="left" w:pos="180"/>
        </w:tabs>
        <w:ind w:left="0" w:firstLine="720"/>
        <w:jc w:val="both"/>
        <w:rPr>
          <w:rFonts w:asciiTheme="majorHAnsi" w:hAnsiTheme="majorHAnsi" w:cs="Calibri"/>
          <w:sz w:val="20"/>
          <w:szCs w:val="20"/>
        </w:rPr>
      </w:pPr>
    </w:p>
    <w:p w:rsidR="00431FA3" w:rsidRPr="00474DDE" w:rsidRDefault="00E940BE"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The Inter-American Commission has closely followed the development of the friendly settlement achieved in the instant case and highly values the efforts made by both parties during the negotiation of the agreement to achieve this friendly settlement, which is compatible with the object and purpose of the Convention. </w:t>
      </w:r>
    </w:p>
    <w:p w:rsidR="00431FA3" w:rsidRPr="00474DDE" w:rsidRDefault="00431FA3"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431FA3" w:rsidRPr="00474DDE" w:rsidRDefault="00431FA3"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The Commission notes that the parties have signed a </w:t>
      </w:r>
      <w:r w:rsidR="00474DDE">
        <w:rPr>
          <w:rFonts w:asciiTheme="majorHAnsi" w:hAnsiTheme="majorHAnsi" w:cs="Calibri"/>
          <w:sz w:val="20"/>
          <w:szCs w:val="20"/>
        </w:rPr>
        <w:t>Minute</w:t>
      </w:r>
      <w:r w:rsidRPr="00474DDE">
        <w:rPr>
          <w:rFonts w:asciiTheme="majorHAnsi" w:hAnsiTheme="majorHAnsi" w:cs="Calibri"/>
          <w:sz w:val="20"/>
          <w:szCs w:val="20"/>
        </w:rPr>
        <w:t xml:space="preserve"> of Understanding that defines the State's obligations arising from the friendly settlement agreement on 3 May 2019, and therefore declares that it forms an integral part of the agreement between the parties.</w:t>
      </w:r>
    </w:p>
    <w:p w:rsidR="00431FA3" w:rsidRPr="00474DDE" w:rsidRDefault="00431FA3"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431FA3" w:rsidRPr="00474DDE" w:rsidRDefault="00431FA3"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The IACHR notes that given the information provided by the parties so far and the r</w:t>
      </w:r>
      <w:r w:rsidR="00213A51" w:rsidRPr="00474DDE">
        <w:rPr>
          <w:rFonts w:asciiTheme="majorHAnsi" w:hAnsiTheme="majorHAnsi" w:cs="Calibri"/>
          <w:sz w:val="20"/>
          <w:szCs w:val="20"/>
        </w:rPr>
        <w:t>equest for homologation of the F</w:t>
      </w:r>
      <w:r w:rsidRPr="00474DDE">
        <w:rPr>
          <w:rFonts w:asciiTheme="majorHAnsi" w:hAnsiTheme="majorHAnsi" w:cs="Calibri"/>
          <w:sz w:val="20"/>
          <w:szCs w:val="20"/>
        </w:rPr>
        <w:t>SA submitted by the parties to the Commission, it is necessary to assess compliance with the commitments established in the amicable settlement agreement.</w:t>
      </w:r>
    </w:p>
    <w:p w:rsidR="00431FA3" w:rsidRPr="00474DDE" w:rsidRDefault="00431FA3"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431FA3" w:rsidRPr="00474DDE" w:rsidRDefault="00431FA3"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The Inter-American Commission </w:t>
      </w:r>
      <w:r w:rsidR="00474DDE">
        <w:rPr>
          <w:rFonts w:asciiTheme="majorHAnsi" w:hAnsiTheme="majorHAnsi" w:cs="Calibri"/>
          <w:sz w:val="20"/>
          <w:szCs w:val="20"/>
        </w:rPr>
        <w:t>values</w:t>
      </w:r>
      <w:r w:rsidRPr="00474DDE">
        <w:rPr>
          <w:rFonts w:asciiTheme="majorHAnsi" w:hAnsiTheme="majorHAnsi" w:cs="Calibri"/>
          <w:sz w:val="20"/>
          <w:szCs w:val="20"/>
        </w:rPr>
        <w:t xml:space="preserve"> the first declaratory clause, which recognizes the international responsibility of the Uruguayan State for the violation of the rights to freedom of thought and expression and to judicial protection to the detriment of Mr. David Rabinovich.</w:t>
      </w:r>
    </w:p>
    <w:p w:rsidR="00431FA3" w:rsidRPr="00474DDE" w:rsidRDefault="00431FA3"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DA3DA0" w:rsidRPr="00474DDE" w:rsidRDefault="00431FA3"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With regard to the second and third clauses of the agreement, the Commission considers that these </w:t>
      </w:r>
      <w:r w:rsidR="00474DDE" w:rsidRPr="00474DDE">
        <w:rPr>
          <w:rFonts w:asciiTheme="majorHAnsi" w:hAnsiTheme="majorHAnsi" w:cs="Calibri"/>
          <w:sz w:val="20"/>
          <w:szCs w:val="20"/>
        </w:rPr>
        <w:t xml:space="preserve">are declaratory clauses and it </w:t>
      </w:r>
      <w:r w:rsidRPr="00474DDE">
        <w:rPr>
          <w:rFonts w:asciiTheme="majorHAnsi" w:hAnsiTheme="majorHAnsi" w:cs="Calibri"/>
          <w:sz w:val="20"/>
          <w:szCs w:val="20"/>
        </w:rPr>
        <w:t xml:space="preserve">therefore </w:t>
      </w:r>
      <w:r w:rsidR="00474DDE" w:rsidRPr="00474DDE">
        <w:rPr>
          <w:rFonts w:asciiTheme="majorHAnsi" w:hAnsiTheme="majorHAnsi" w:cs="Calibri"/>
          <w:sz w:val="20"/>
          <w:szCs w:val="20"/>
        </w:rPr>
        <w:t>it does not up to the Commission to</w:t>
      </w:r>
      <w:r w:rsidRPr="00474DDE">
        <w:rPr>
          <w:rFonts w:asciiTheme="majorHAnsi" w:hAnsiTheme="majorHAnsi" w:cs="Calibri"/>
          <w:sz w:val="20"/>
          <w:szCs w:val="20"/>
        </w:rPr>
        <w:t xml:space="preserve"> monitor their implementation.</w:t>
      </w:r>
    </w:p>
    <w:p w:rsidR="00DA3DA0" w:rsidRPr="00474DDE" w:rsidRDefault="00DA3DA0"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DA3DA0" w:rsidRPr="00474DDE" w:rsidRDefault="00DA3DA0"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Regarding to the fourth clause of the friendly settlement agreement on the commitment of the parties to "cooperate in order to facilitate the public dissemination of the agreement reached, with emphasis on the permanent dissemination of the existing rules on access to public information", the Commission notes that it constituted a broad obligation that had to be delimited by the parties in order to facilitate the implementation of the measure, for which reason the parties jointly decided to give content to it through the </w:t>
      </w:r>
      <w:r w:rsidR="00474DDE">
        <w:rPr>
          <w:rFonts w:asciiTheme="majorHAnsi" w:hAnsiTheme="majorHAnsi" w:cs="Calibri"/>
          <w:sz w:val="20"/>
          <w:szCs w:val="20"/>
        </w:rPr>
        <w:t>Minute of Understanding</w:t>
      </w:r>
      <w:r w:rsidRPr="00474DDE">
        <w:rPr>
          <w:rFonts w:asciiTheme="majorHAnsi" w:hAnsiTheme="majorHAnsi" w:cs="Calibri"/>
          <w:sz w:val="20"/>
          <w:szCs w:val="20"/>
        </w:rPr>
        <w:t xml:space="preserve"> dated May 3, 2019.</w:t>
      </w:r>
    </w:p>
    <w:p w:rsidR="00DA3DA0" w:rsidRPr="00474DDE" w:rsidRDefault="00DA3DA0"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A6216D" w:rsidRDefault="00DA3DA0"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 xml:space="preserve"> According to the information provided by the parties, on May 27, 2019, the State held the event "Seminar on the Impacts of the Friendly </w:t>
      </w:r>
      <w:r w:rsidR="00474DDE">
        <w:rPr>
          <w:rFonts w:asciiTheme="majorHAnsi" w:hAnsiTheme="majorHAnsi" w:cs="Calibri"/>
          <w:sz w:val="20"/>
          <w:szCs w:val="20"/>
        </w:rPr>
        <w:t>Settlement</w:t>
      </w:r>
      <w:r w:rsidRPr="00474DDE">
        <w:rPr>
          <w:rFonts w:asciiTheme="majorHAnsi" w:hAnsiTheme="majorHAnsi" w:cs="Calibri"/>
          <w:sz w:val="20"/>
          <w:szCs w:val="20"/>
        </w:rPr>
        <w:t xml:space="preserve"> Procedure before the IACHR on the National Legislative Development of Uruguay," in the city of Montevideo. The Seminar was attended by Felipe Michelini, Coordinator of the UNESCO Chair of the University of the Republic of Uruguay; Commissioner Esmeralda Arosemena de Troitiño, in her capacity as President of the IACHR; and Commissioner Antonia Urrejola, in her capacity as Country Rapporteur; David Rabinovich and Martin Prats, in their capacity as petitioners; Juan </w:t>
      </w:r>
      <w:r w:rsidRPr="00474DDE">
        <w:rPr>
          <w:rFonts w:asciiTheme="majorHAnsi" w:hAnsiTheme="majorHAnsi" w:cs="Calibri"/>
          <w:sz w:val="20"/>
          <w:szCs w:val="20"/>
        </w:rPr>
        <w:lastRenderedPageBreak/>
        <w:t xml:space="preserve">Faroppa, Representative of the National Human Rights Institution and Ombudsman's Office; and Minister Daniela Pi, Director of Human Rights and International Humanitarian Law of the Ministry of Foreign Affairs. For the organization of this event, the parties exchanged comments on the content of the agenda and the list of guests with the facilitation of the Section for Friendly Solutions and Follow-up of the IACHR. </w:t>
      </w:r>
    </w:p>
    <w:p w:rsidR="00A6216D" w:rsidRPr="00A6216D" w:rsidRDefault="00A6216D" w:rsidP="00A6216D">
      <w:pPr>
        <w:pStyle w:val="ListParagraph"/>
        <w:rPr>
          <w:rFonts w:asciiTheme="majorHAnsi" w:hAnsiTheme="majorHAnsi" w:cs="Calibri"/>
          <w:sz w:val="20"/>
          <w:szCs w:val="20"/>
        </w:rPr>
      </w:pPr>
    </w:p>
    <w:p w:rsidR="00DA3DA0" w:rsidRPr="00474DDE" w:rsidRDefault="00A6216D"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Pr>
          <w:rFonts w:asciiTheme="majorHAnsi" w:hAnsiTheme="majorHAnsi" w:cs="Calibri"/>
          <w:sz w:val="20"/>
          <w:szCs w:val="20"/>
        </w:rPr>
        <w:t>On this respect, the</w:t>
      </w:r>
      <w:r w:rsidRPr="00474DDE">
        <w:rPr>
          <w:rFonts w:asciiTheme="majorHAnsi" w:hAnsiTheme="majorHAnsi" w:cs="Calibri"/>
          <w:sz w:val="20"/>
          <w:szCs w:val="20"/>
        </w:rPr>
        <w:t xml:space="preserve"> petitioners indicated their satisfaction with the fulfillment of the commitments derived from the friendly settlement agreement and the Minute of Understanding</w:t>
      </w:r>
      <w:r>
        <w:rPr>
          <w:rFonts w:asciiTheme="majorHAnsi" w:hAnsiTheme="majorHAnsi" w:cs="Calibri"/>
          <w:sz w:val="20"/>
          <w:szCs w:val="20"/>
        </w:rPr>
        <w:t>.</w:t>
      </w:r>
      <w:r w:rsidRPr="00474DDE">
        <w:rPr>
          <w:rFonts w:asciiTheme="majorHAnsi" w:hAnsiTheme="majorHAnsi" w:cs="Calibri"/>
          <w:sz w:val="20"/>
          <w:szCs w:val="20"/>
        </w:rPr>
        <w:t xml:space="preserve"> </w:t>
      </w:r>
      <w:r w:rsidR="00DA3DA0" w:rsidRPr="00474DDE">
        <w:rPr>
          <w:rFonts w:asciiTheme="majorHAnsi" w:hAnsiTheme="majorHAnsi" w:cs="Calibri"/>
          <w:sz w:val="20"/>
          <w:szCs w:val="20"/>
        </w:rPr>
        <w:t xml:space="preserve">Therefore, the Commission considers that points 1 and 2 of the </w:t>
      </w:r>
      <w:r w:rsidR="00474DDE" w:rsidRPr="00474DDE">
        <w:rPr>
          <w:rFonts w:asciiTheme="majorHAnsi" w:hAnsiTheme="majorHAnsi" w:cs="Calibri"/>
          <w:sz w:val="20"/>
          <w:szCs w:val="20"/>
        </w:rPr>
        <w:t>Minute</w:t>
      </w:r>
      <w:r w:rsidR="00DA3DA0" w:rsidRPr="00474DDE">
        <w:rPr>
          <w:rFonts w:asciiTheme="majorHAnsi" w:hAnsiTheme="majorHAnsi" w:cs="Calibri"/>
          <w:sz w:val="20"/>
          <w:szCs w:val="20"/>
        </w:rPr>
        <w:t xml:space="preserve"> of Understanding of May 3, 2019 are fully complied with and declares so.</w:t>
      </w:r>
    </w:p>
    <w:p w:rsidR="00DA3DA0" w:rsidRPr="00D7349C" w:rsidRDefault="00DA3DA0"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highlight w:val="cyan"/>
        </w:rPr>
      </w:pPr>
    </w:p>
    <w:p w:rsidR="00DA3DA0" w:rsidRPr="00474DDE" w:rsidRDefault="00DA3DA0"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In this regard, it should be noted that the Commission appreciated at the time the efforts of the Uruguayan State, the collaboration and support of the Directorate of Human Rights and International Humanitarian Law of the Ministry of Foreign Affairs in the organization and execution of this seminar and in the activities to implement the friendly settlement agreement in the above-mentioned request. At the same time, the Commission urged the Uruguayan State to complete the implementation of the agreed working route for full compliance with the friendly settlement agreement</w:t>
      </w:r>
      <w:r w:rsidRPr="00474DDE">
        <w:rPr>
          <w:rStyle w:val="FootnoteReference"/>
          <w:rFonts w:asciiTheme="majorHAnsi" w:hAnsiTheme="majorHAnsi" w:cs="Calibri"/>
          <w:sz w:val="20"/>
          <w:szCs w:val="20"/>
        </w:rPr>
        <w:footnoteReference w:id="2"/>
      </w:r>
      <w:r w:rsidRPr="00474DDE">
        <w:rPr>
          <w:rFonts w:asciiTheme="majorHAnsi" w:hAnsiTheme="majorHAnsi" w:cs="Calibri"/>
          <w:sz w:val="20"/>
          <w:szCs w:val="20"/>
        </w:rPr>
        <w:t>.</w:t>
      </w:r>
    </w:p>
    <w:p w:rsidR="00DA3DA0" w:rsidRPr="00474DDE" w:rsidRDefault="00DA3DA0"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227E25" w:rsidRPr="00474DDE" w:rsidRDefault="00474DDE"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Pr>
          <w:rFonts w:asciiTheme="majorHAnsi" w:hAnsiTheme="majorHAnsi" w:cs="Calibri"/>
          <w:sz w:val="20"/>
          <w:szCs w:val="20"/>
        </w:rPr>
        <w:t>Subsequently, t</w:t>
      </w:r>
      <w:r w:rsidR="00DA3DA0" w:rsidRPr="00474DDE">
        <w:rPr>
          <w:rFonts w:asciiTheme="majorHAnsi" w:hAnsiTheme="majorHAnsi" w:cs="Calibri"/>
          <w:sz w:val="20"/>
          <w:szCs w:val="20"/>
        </w:rPr>
        <w:t>he State also provided a record of press release No. 65/19</w:t>
      </w:r>
      <w:r w:rsidR="00A6216D">
        <w:rPr>
          <w:rFonts w:asciiTheme="majorHAnsi" w:hAnsiTheme="majorHAnsi" w:cs="Calibri"/>
          <w:sz w:val="20"/>
          <w:szCs w:val="20"/>
        </w:rPr>
        <w:t xml:space="preserve"> published by the Ministry of Foreign Affairs</w:t>
      </w:r>
      <w:r w:rsidR="00DA3DA0" w:rsidRPr="00474DDE">
        <w:rPr>
          <w:rFonts w:asciiTheme="majorHAnsi" w:hAnsiTheme="majorHAnsi" w:cs="Calibri"/>
          <w:sz w:val="20"/>
          <w:szCs w:val="20"/>
        </w:rPr>
        <w:t>, which detailed the content of the academic event and included a link to the audiovisual record of the event which, at the time of publication of this report, is available to the public</w:t>
      </w:r>
      <w:r w:rsidR="00DA3DA0" w:rsidRPr="00474DDE">
        <w:rPr>
          <w:rStyle w:val="FootnoteReference"/>
          <w:rFonts w:asciiTheme="majorHAnsi" w:hAnsiTheme="majorHAnsi" w:cs="Calibri"/>
          <w:sz w:val="20"/>
          <w:szCs w:val="20"/>
        </w:rPr>
        <w:footnoteReference w:id="3"/>
      </w:r>
      <w:r w:rsidR="00DA3DA0" w:rsidRPr="00474DDE">
        <w:rPr>
          <w:rFonts w:asciiTheme="majorHAnsi" w:hAnsiTheme="majorHAnsi" w:cs="Calibri"/>
          <w:sz w:val="20"/>
          <w:szCs w:val="20"/>
        </w:rPr>
        <w:t>.</w:t>
      </w:r>
    </w:p>
    <w:p w:rsidR="00227E25" w:rsidRPr="00474DDE" w:rsidRDefault="00227E25"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227E25" w:rsidRDefault="00DA3DA0"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A6216D">
        <w:rPr>
          <w:rFonts w:asciiTheme="majorHAnsi" w:hAnsiTheme="majorHAnsi" w:cs="Calibri"/>
          <w:sz w:val="20"/>
          <w:szCs w:val="20"/>
        </w:rPr>
        <w:t>On the other hand, on June 11, 2019, the State sent copies of the letters sent to the Secretariat of the Presidency of the Republic, the National Institution of Human Rights and Ombudsman's Office, the Press Association of Uruguay and the Organization of the Interior Press, in which they were given details of the friendly settlement agreement, of the event held in compliance with the M</w:t>
      </w:r>
      <w:r w:rsidR="00474DDE" w:rsidRPr="00A6216D">
        <w:rPr>
          <w:rFonts w:asciiTheme="majorHAnsi" w:hAnsiTheme="majorHAnsi" w:cs="Calibri"/>
          <w:sz w:val="20"/>
          <w:szCs w:val="20"/>
        </w:rPr>
        <w:t>inute</w:t>
      </w:r>
      <w:r w:rsidRPr="00A6216D">
        <w:rPr>
          <w:rFonts w:asciiTheme="majorHAnsi" w:hAnsiTheme="majorHAnsi" w:cs="Calibri"/>
          <w:sz w:val="20"/>
          <w:szCs w:val="20"/>
        </w:rPr>
        <w:t xml:space="preserve"> of Understanding of May 3, 2019, they were provided with the link to the audiovisual record of the national seminar and were asked for their support in publicizing the event. Finally, the petitioners were provided with the same link for their knowledge and dissemination. </w:t>
      </w:r>
    </w:p>
    <w:p w:rsidR="00A6216D" w:rsidRPr="00A6216D" w:rsidRDefault="00A6216D" w:rsidP="00A6216D">
      <w:pPr>
        <w:pBdr>
          <w:top w:val="nil"/>
          <w:left w:val="nil"/>
          <w:bottom w:val="nil"/>
          <w:right w:val="nil"/>
          <w:between w:val="nil"/>
          <w:bar w:val="nil"/>
        </w:pBdr>
        <w:tabs>
          <w:tab w:val="left" w:pos="0"/>
          <w:tab w:val="left" w:pos="180"/>
        </w:tabs>
        <w:jc w:val="both"/>
        <w:rPr>
          <w:rFonts w:asciiTheme="majorHAnsi" w:hAnsiTheme="majorHAnsi" w:cs="Calibri"/>
          <w:sz w:val="20"/>
          <w:szCs w:val="20"/>
        </w:rPr>
      </w:pPr>
    </w:p>
    <w:p w:rsidR="00227E25" w:rsidRPr="00A6216D" w:rsidRDefault="00A6216D" w:rsidP="00A6216D">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Pr>
          <w:rFonts w:asciiTheme="majorHAnsi" w:hAnsiTheme="majorHAnsi" w:cs="Calibri"/>
          <w:sz w:val="20"/>
          <w:szCs w:val="20"/>
        </w:rPr>
        <w:t>On this respect, the</w:t>
      </w:r>
      <w:r w:rsidRPr="00474DDE">
        <w:rPr>
          <w:rFonts w:asciiTheme="majorHAnsi" w:hAnsiTheme="majorHAnsi" w:cs="Calibri"/>
          <w:sz w:val="20"/>
          <w:szCs w:val="20"/>
        </w:rPr>
        <w:t xml:space="preserve"> petitioners indicated their satisfaction with the fulfillment of the commitments derived from the friendly settlement agreement and the Minute of Understanding</w:t>
      </w:r>
      <w:r>
        <w:rPr>
          <w:rFonts w:asciiTheme="majorHAnsi" w:hAnsiTheme="majorHAnsi" w:cs="Calibri"/>
          <w:sz w:val="20"/>
          <w:szCs w:val="20"/>
        </w:rPr>
        <w:t>.</w:t>
      </w:r>
      <w:r w:rsidRPr="00474DDE">
        <w:rPr>
          <w:rFonts w:asciiTheme="majorHAnsi" w:hAnsiTheme="majorHAnsi" w:cs="Calibri"/>
          <w:sz w:val="20"/>
          <w:szCs w:val="20"/>
        </w:rPr>
        <w:t xml:space="preserve"> </w:t>
      </w:r>
      <w:r w:rsidR="00227E25" w:rsidRPr="00474DDE">
        <w:rPr>
          <w:rFonts w:asciiTheme="majorHAnsi" w:hAnsiTheme="majorHAnsi" w:cs="Calibri"/>
          <w:sz w:val="20"/>
          <w:szCs w:val="20"/>
        </w:rPr>
        <w:t>On June 26, 2019,.</w:t>
      </w:r>
      <w:r>
        <w:rPr>
          <w:rFonts w:asciiTheme="majorHAnsi" w:hAnsiTheme="majorHAnsi" w:cs="Calibri"/>
          <w:sz w:val="20"/>
          <w:szCs w:val="20"/>
        </w:rPr>
        <w:t xml:space="preserve"> </w:t>
      </w:r>
      <w:r w:rsidRPr="00474DDE">
        <w:rPr>
          <w:rFonts w:asciiTheme="majorHAnsi" w:hAnsiTheme="majorHAnsi" w:cs="Calibri"/>
          <w:sz w:val="20"/>
          <w:szCs w:val="20"/>
        </w:rPr>
        <w:t>In view of the foregoing, the Commission considers that item 3 of the Minute of Understanding of 3 May 2019 is fully complied with and declares so.</w:t>
      </w:r>
    </w:p>
    <w:p w:rsidR="00227E25" w:rsidRPr="00474DDE" w:rsidRDefault="00227E25" w:rsidP="00474DDE">
      <w:pPr>
        <w:pStyle w:val="ListParagraph"/>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p>
    <w:p w:rsidR="00227E25" w:rsidRPr="00474DDE" w:rsidRDefault="00227E25" w:rsidP="00474DDE">
      <w:pPr>
        <w:pStyle w:val="ListParagraph"/>
        <w:numPr>
          <w:ilvl w:val="0"/>
          <w:numId w:val="57"/>
        </w:numPr>
        <w:pBdr>
          <w:top w:val="nil"/>
          <w:left w:val="nil"/>
          <w:bottom w:val="nil"/>
          <w:right w:val="nil"/>
          <w:between w:val="nil"/>
          <w:bar w:val="nil"/>
        </w:pBdr>
        <w:tabs>
          <w:tab w:val="left" w:pos="0"/>
          <w:tab w:val="left" w:pos="180"/>
        </w:tabs>
        <w:ind w:left="0" w:firstLine="720"/>
        <w:jc w:val="both"/>
        <w:rPr>
          <w:rFonts w:asciiTheme="majorHAnsi" w:hAnsiTheme="majorHAnsi" w:cs="Calibri"/>
          <w:sz w:val="20"/>
          <w:szCs w:val="20"/>
        </w:rPr>
      </w:pPr>
      <w:r w:rsidRPr="00474DDE">
        <w:rPr>
          <w:rFonts w:asciiTheme="majorHAnsi" w:hAnsiTheme="majorHAnsi" w:cs="Calibri"/>
          <w:sz w:val="20"/>
          <w:szCs w:val="20"/>
        </w:rPr>
        <w:t>In the light of the foregoing, and taking into account the elements of information described above, the Commission considers that point 4 of the friendly settlement agreement</w:t>
      </w:r>
      <w:r w:rsidR="00474DDE" w:rsidRPr="00474DDE">
        <w:rPr>
          <w:rFonts w:asciiTheme="majorHAnsi" w:hAnsiTheme="majorHAnsi" w:cs="Calibri"/>
          <w:sz w:val="20"/>
          <w:szCs w:val="20"/>
        </w:rPr>
        <w:t xml:space="preserve"> and points 1, 2 and 3 of the Minute</w:t>
      </w:r>
      <w:r w:rsidRPr="00474DDE">
        <w:rPr>
          <w:rFonts w:asciiTheme="majorHAnsi" w:hAnsiTheme="majorHAnsi" w:cs="Calibri"/>
          <w:sz w:val="20"/>
          <w:szCs w:val="20"/>
        </w:rPr>
        <w:t xml:space="preserve"> of Understanding between the parties</w:t>
      </w:r>
      <w:r w:rsidR="00A6216D">
        <w:rPr>
          <w:rFonts w:asciiTheme="majorHAnsi" w:hAnsiTheme="majorHAnsi" w:cs="Calibri"/>
          <w:sz w:val="20"/>
          <w:szCs w:val="20"/>
        </w:rPr>
        <w:t>, that gave content to the execution clause of the agreement,</w:t>
      </w:r>
      <w:r w:rsidRPr="00474DDE">
        <w:rPr>
          <w:rFonts w:asciiTheme="majorHAnsi" w:hAnsiTheme="majorHAnsi" w:cs="Calibri"/>
          <w:sz w:val="20"/>
          <w:szCs w:val="20"/>
        </w:rPr>
        <w:t xml:space="preserve"> are fully complied with and declares them so. On the other hand, the Commission considers that points 1 and 2 are declaratory and relate to the methodology agreed by the parties and therefore it is not for the Commission to pronounce on them. Therefore, the IACHR declares that the friendly settlement agreement is fully complied</w:t>
      </w:r>
      <w:r w:rsidR="00A6216D">
        <w:rPr>
          <w:rFonts w:asciiTheme="majorHAnsi" w:hAnsiTheme="majorHAnsi" w:cs="Calibri"/>
          <w:sz w:val="20"/>
          <w:szCs w:val="20"/>
        </w:rPr>
        <w:t xml:space="preserve"> with</w:t>
      </w:r>
      <w:r w:rsidRPr="00474DDE">
        <w:rPr>
          <w:rFonts w:asciiTheme="majorHAnsi" w:hAnsiTheme="majorHAnsi" w:cs="Calibri"/>
          <w:sz w:val="20"/>
          <w:szCs w:val="20"/>
        </w:rPr>
        <w:t>.</w:t>
      </w:r>
    </w:p>
    <w:p w:rsidR="00E940BE" w:rsidRPr="00D7349C" w:rsidRDefault="00E940BE" w:rsidP="00474DDE">
      <w:pPr>
        <w:pStyle w:val="ListParagraph"/>
        <w:tabs>
          <w:tab w:val="left" w:pos="0"/>
          <w:tab w:val="left" w:pos="180"/>
        </w:tabs>
        <w:ind w:left="0" w:firstLine="720"/>
        <w:jc w:val="both"/>
        <w:rPr>
          <w:rFonts w:asciiTheme="majorHAnsi" w:hAnsiTheme="majorHAnsi" w:cs="Calibri"/>
          <w:sz w:val="20"/>
          <w:szCs w:val="20"/>
        </w:rPr>
      </w:pPr>
    </w:p>
    <w:p w:rsidR="00E940BE" w:rsidRPr="00D7349C" w:rsidRDefault="00E940BE" w:rsidP="00A5191B">
      <w:pPr>
        <w:tabs>
          <w:tab w:val="left" w:pos="360"/>
        </w:tabs>
        <w:ind w:left="1440" w:hanging="720"/>
        <w:jc w:val="both"/>
        <w:rPr>
          <w:rFonts w:asciiTheme="majorHAnsi" w:hAnsiTheme="majorHAnsi" w:cs="Calibri"/>
          <w:b/>
          <w:sz w:val="20"/>
          <w:szCs w:val="20"/>
        </w:rPr>
      </w:pPr>
      <w:r w:rsidRPr="00D7349C">
        <w:rPr>
          <w:rFonts w:asciiTheme="majorHAnsi" w:hAnsiTheme="majorHAnsi" w:cs="Calibri"/>
          <w:b/>
          <w:sz w:val="20"/>
          <w:szCs w:val="20"/>
        </w:rPr>
        <w:t>IV.</w:t>
      </w:r>
      <w:r w:rsidRPr="00D7349C">
        <w:rPr>
          <w:rFonts w:asciiTheme="majorHAnsi" w:hAnsiTheme="majorHAnsi" w:cs="Calibri"/>
          <w:b/>
          <w:sz w:val="20"/>
          <w:szCs w:val="20"/>
        </w:rPr>
        <w:tab/>
        <w:t xml:space="preserve">CONCLUSIONS </w:t>
      </w:r>
    </w:p>
    <w:p w:rsidR="00E940BE" w:rsidRPr="00D7349C" w:rsidRDefault="00E940BE" w:rsidP="00474DDE">
      <w:pPr>
        <w:pStyle w:val="ListParagraph"/>
        <w:tabs>
          <w:tab w:val="left" w:pos="360"/>
        </w:tabs>
        <w:ind w:left="0" w:firstLine="720"/>
        <w:jc w:val="both"/>
        <w:rPr>
          <w:rFonts w:asciiTheme="majorHAnsi" w:hAnsiTheme="majorHAnsi" w:cs="Calibri"/>
          <w:b/>
          <w:sz w:val="20"/>
          <w:szCs w:val="20"/>
          <w:highlight w:val="cyan"/>
        </w:rPr>
      </w:pPr>
    </w:p>
    <w:p w:rsidR="00E940BE" w:rsidRPr="00A6216D" w:rsidRDefault="00E940BE" w:rsidP="00474DDE">
      <w:pPr>
        <w:pStyle w:val="ListParagraph"/>
        <w:numPr>
          <w:ilvl w:val="0"/>
          <w:numId w:val="59"/>
        </w:numPr>
        <w:pBdr>
          <w:top w:val="nil"/>
          <w:left w:val="nil"/>
          <w:bottom w:val="nil"/>
          <w:right w:val="nil"/>
          <w:between w:val="nil"/>
          <w:bar w:val="nil"/>
        </w:pBdr>
        <w:tabs>
          <w:tab w:val="left" w:pos="360"/>
        </w:tabs>
        <w:ind w:left="0" w:firstLine="720"/>
        <w:jc w:val="both"/>
        <w:rPr>
          <w:rFonts w:asciiTheme="majorHAnsi" w:hAnsiTheme="majorHAnsi" w:cs="Calibri"/>
          <w:b/>
          <w:sz w:val="20"/>
          <w:szCs w:val="20"/>
        </w:rPr>
      </w:pPr>
      <w:r w:rsidRPr="00A6216D">
        <w:rPr>
          <w:rFonts w:asciiTheme="majorHAnsi" w:hAnsiTheme="majorHAnsi"/>
          <w:sz w:val="20"/>
          <w:szCs w:val="20"/>
        </w:rPr>
        <w:t xml:space="preserve">Based on the foregoing considerations, and pursuant to the procedure set out in Articles 48(1)(f) and 49 of the American Convention, the Commission wishes to reiterate its profound appreciation for the efforts made by the parties and its satisfaction that a friendly settlement was reached in the instant case, based on respect for human rights and compatible with the object and purpose of the American Convention. </w:t>
      </w:r>
    </w:p>
    <w:p w:rsidR="00E940BE" w:rsidRPr="00A6216D" w:rsidRDefault="00E940BE" w:rsidP="00474DDE">
      <w:pPr>
        <w:tabs>
          <w:tab w:val="left" w:pos="360"/>
        </w:tabs>
        <w:ind w:firstLine="720"/>
        <w:jc w:val="both"/>
        <w:rPr>
          <w:rFonts w:asciiTheme="majorHAnsi" w:hAnsiTheme="majorHAnsi" w:cs="Calibri"/>
          <w:b/>
          <w:sz w:val="20"/>
          <w:szCs w:val="20"/>
        </w:rPr>
      </w:pPr>
    </w:p>
    <w:p w:rsidR="00E940BE" w:rsidRPr="00A6216D" w:rsidRDefault="00E940BE" w:rsidP="00474DDE">
      <w:pPr>
        <w:pStyle w:val="ListParagraph"/>
        <w:numPr>
          <w:ilvl w:val="0"/>
          <w:numId w:val="59"/>
        </w:numPr>
        <w:pBdr>
          <w:top w:val="nil"/>
          <w:left w:val="nil"/>
          <w:bottom w:val="nil"/>
          <w:right w:val="nil"/>
          <w:between w:val="nil"/>
          <w:bar w:val="nil"/>
        </w:pBdr>
        <w:tabs>
          <w:tab w:val="left" w:pos="360"/>
        </w:tabs>
        <w:ind w:left="0" w:firstLine="720"/>
        <w:jc w:val="both"/>
        <w:rPr>
          <w:rFonts w:asciiTheme="majorHAnsi" w:hAnsiTheme="majorHAnsi" w:cs="Calibri"/>
          <w:b/>
          <w:sz w:val="20"/>
          <w:szCs w:val="20"/>
        </w:rPr>
      </w:pPr>
      <w:r w:rsidRPr="00A6216D">
        <w:rPr>
          <w:rFonts w:asciiTheme="majorHAnsi" w:hAnsiTheme="majorHAnsi"/>
          <w:sz w:val="20"/>
          <w:szCs w:val="20"/>
        </w:rPr>
        <w:lastRenderedPageBreak/>
        <w:t xml:space="preserve">In light of the considerations and conclusions set forth in this report, </w:t>
      </w:r>
    </w:p>
    <w:p w:rsidR="003371C1" w:rsidRPr="00D7349C" w:rsidRDefault="003371C1" w:rsidP="00474DDE">
      <w:pPr>
        <w:tabs>
          <w:tab w:val="left" w:pos="720"/>
          <w:tab w:val="left" w:pos="1440"/>
        </w:tabs>
        <w:ind w:firstLine="720"/>
        <w:jc w:val="center"/>
        <w:rPr>
          <w:rFonts w:asciiTheme="majorHAnsi" w:hAnsiTheme="majorHAnsi"/>
          <w:b/>
          <w:bCs/>
          <w:sz w:val="20"/>
          <w:szCs w:val="20"/>
          <w:highlight w:val="cyan"/>
        </w:rPr>
      </w:pPr>
    </w:p>
    <w:p w:rsidR="00E940BE" w:rsidRPr="00A6216D" w:rsidRDefault="00E940BE" w:rsidP="00474DDE">
      <w:pPr>
        <w:tabs>
          <w:tab w:val="left" w:pos="720"/>
          <w:tab w:val="left" w:pos="1440"/>
        </w:tabs>
        <w:ind w:firstLine="720"/>
        <w:jc w:val="center"/>
        <w:rPr>
          <w:rFonts w:asciiTheme="majorHAnsi" w:hAnsiTheme="majorHAnsi"/>
          <w:b/>
          <w:bCs/>
          <w:sz w:val="20"/>
          <w:szCs w:val="20"/>
        </w:rPr>
      </w:pPr>
      <w:r w:rsidRPr="00A6216D">
        <w:rPr>
          <w:rFonts w:asciiTheme="majorHAnsi" w:hAnsiTheme="majorHAnsi"/>
          <w:b/>
          <w:bCs/>
          <w:sz w:val="20"/>
          <w:szCs w:val="20"/>
        </w:rPr>
        <w:t>THE INTER-AMERICAN COMMISSION ON HUMAN RIGHTS</w:t>
      </w:r>
    </w:p>
    <w:p w:rsidR="00E940BE" w:rsidRPr="00A6216D" w:rsidRDefault="00E940BE" w:rsidP="00474DDE">
      <w:pPr>
        <w:tabs>
          <w:tab w:val="left" w:pos="720"/>
          <w:tab w:val="left" w:pos="1440"/>
        </w:tabs>
        <w:ind w:firstLine="720"/>
        <w:jc w:val="center"/>
        <w:rPr>
          <w:rFonts w:asciiTheme="majorHAnsi" w:hAnsiTheme="majorHAnsi"/>
          <w:b/>
          <w:bCs/>
          <w:sz w:val="20"/>
          <w:szCs w:val="20"/>
        </w:rPr>
      </w:pPr>
    </w:p>
    <w:p w:rsidR="00E940BE" w:rsidRPr="00A6216D" w:rsidRDefault="00E940BE" w:rsidP="00474DDE">
      <w:pPr>
        <w:ind w:firstLine="720"/>
        <w:jc w:val="both"/>
        <w:rPr>
          <w:rFonts w:asciiTheme="majorHAnsi" w:hAnsiTheme="majorHAnsi"/>
          <w:b/>
          <w:bCs/>
          <w:sz w:val="20"/>
          <w:szCs w:val="20"/>
        </w:rPr>
      </w:pPr>
      <w:r w:rsidRPr="00A6216D">
        <w:rPr>
          <w:rFonts w:asciiTheme="majorHAnsi" w:hAnsiTheme="majorHAnsi"/>
          <w:b/>
          <w:bCs/>
          <w:sz w:val="20"/>
          <w:szCs w:val="20"/>
        </w:rPr>
        <w:t>DECIDES:</w:t>
      </w:r>
    </w:p>
    <w:p w:rsidR="00E940BE" w:rsidRPr="00A6216D" w:rsidRDefault="00E940BE" w:rsidP="00474DDE">
      <w:pPr>
        <w:ind w:firstLine="720"/>
        <w:jc w:val="both"/>
        <w:rPr>
          <w:rFonts w:asciiTheme="majorHAnsi" w:hAnsiTheme="majorHAnsi"/>
          <w:b/>
          <w:bCs/>
          <w:sz w:val="20"/>
          <w:szCs w:val="20"/>
        </w:rPr>
      </w:pPr>
    </w:p>
    <w:p w:rsidR="00E940BE" w:rsidRPr="00A6216D" w:rsidRDefault="00E940BE" w:rsidP="00474DDE">
      <w:pPr>
        <w:numPr>
          <w:ilvl w:val="0"/>
          <w:numId w:val="56"/>
        </w:numPr>
        <w:jc w:val="both"/>
        <w:rPr>
          <w:rFonts w:asciiTheme="majorHAnsi" w:hAnsiTheme="majorHAnsi"/>
          <w:sz w:val="20"/>
          <w:szCs w:val="20"/>
        </w:rPr>
      </w:pPr>
      <w:r w:rsidRPr="00A6216D">
        <w:rPr>
          <w:rFonts w:asciiTheme="majorHAnsi" w:hAnsiTheme="majorHAnsi"/>
          <w:sz w:val="20"/>
          <w:szCs w:val="20"/>
        </w:rPr>
        <w:t>To approve the terms of the agreement signed by the part</w:t>
      </w:r>
      <w:r w:rsidR="00227E25" w:rsidRPr="00A6216D">
        <w:rPr>
          <w:rFonts w:asciiTheme="majorHAnsi" w:hAnsiTheme="majorHAnsi"/>
          <w:sz w:val="20"/>
          <w:szCs w:val="20"/>
        </w:rPr>
        <w:t>ies on October 25, 2017</w:t>
      </w:r>
      <w:r w:rsidRPr="00A6216D">
        <w:rPr>
          <w:rFonts w:asciiTheme="majorHAnsi" w:hAnsiTheme="majorHAnsi"/>
          <w:sz w:val="20"/>
          <w:szCs w:val="20"/>
        </w:rPr>
        <w:t>.</w:t>
      </w:r>
    </w:p>
    <w:p w:rsidR="00E940BE" w:rsidRPr="00A6216D" w:rsidRDefault="00E940BE" w:rsidP="00474DDE">
      <w:pPr>
        <w:ind w:firstLine="720"/>
        <w:jc w:val="both"/>
        <w:rPr>
          <w:rFonts w:asciiTheme="majorHAnsi" w:hAnsiTheme="majorHAnsi"/>
          <w:sz w:val="20"/>
          <w:szCs w:val="20"/>
        </w:rPr>
      </w:pPr>
    </w:p>
    <w:p w:rsidR="00E940BE" w:rsidRPr="00A6216D" w:rsidRDefault="00227E25" w:rsidP="00474DDE">
      <w:pPr>
        <w:numPr>
          <w:ilvl w:val="0"/>
          <w:numId w:val="56"/>
        </w:numPr>
        <w:tabs>
          <w:tab w:val="left" w:pos="1440"/>
        </w:tabs>
        <w:jc w:val="both"/>
        <w:rPr>
          <w:rFonts w:asciiTheme="majorHAnsi" w:hAnsiTheme="majorHAnsi"/>
          <w:sz w:val="20"/>
          <w:szCs w:val="20"/>
        </w:rPr>
      </w:pPr>
      <w:r w:rsidRPr="00A6216D">
        <w:rPr>
          <w:rFonts w:asciiTheme="majorHAnsi" w:hAnsiTheme="majorHAnsi"/>
          <w:sz w:val="20"/>
          <w:szCs w:val="20"/>
        </w:rPr>
        <w:t>To declare points 4 of the friendly settlement agreement</w:t>
      </w:r>
      <w:r w:rsidR="00474DDE" w:rsidRPr="00A6216D">
        <w:rPr>
          <w:rFonts w:asciiTheme="majorHAnsi" w:hAnsiTheme="majorHAnsi"/>
          <w:sz w:val="20"/>
          <w:szCs w:val="20"/>
        </w:rPr>
        <w:t xml:space="preserve"> and points 1, 2 and 3 of the Minute</w:t>
      </w:r>
      <w:r w:rsidRPr="00A6216D">
        <w:rPr>
          <w:rFonts w:asciiTheme="majorHAnsi" w:hAnsiTheme="majorHAnsi"/>
          <w:sz w:val="20"/>
          <w:szCs w:val="20"/>
        </w:rPr>
        <w:t xml:space="preserve"> of Understanding of 3 May 2019 fulfilled, in accordance with the analysis contained in this report.</w:t>
      </w:r>
    </w:p>
    <w:p w:rsidR="00E940BE" w:rsidRPr="00A6216D" w:rsidRDefault="00E940BE" w:rsidP="00474DDE">
      <w:pPr>
        <w:pStyle w:val="ListParagraph"/>
        <w:ind w:left="0" w:firstLine="720"/>
        <w:rPr>
          <w:rFonts w:asciiTheme="majorHAnsi" w:hAnsiTheme="majorHAnsi"/>
          <w:sz w:val="20"/>
          <w:szCs w:val="20"/>
        </w:rPr>
      </w:pPr>
    </w:p>
    <w:p w:rsidR="00E940BE" w:rsidRPr="00A6216D" w:rsidRDefault="003371C1" w:rsidP="00474DDE">
      <w:pPr>
        <w:numPr>
          <w:ilvl w:val="0"/>
          <w:numId w:val="56"/>
        </w:numPr>
        <w:tabs>
          <w:tab w:val="left" w:pos="1440"/>
        </w:tabs>
        <w:jc w:val="both"/>
        <w:rPr>
          <w:rFonts w:asciiTheme="majorHAnsi" w:hAnsiTheme="majorHAnsi"/>
          <w:sz w:val="20"/>
          <w:szCs w:val="20"/>
        </w:rPr>
      </w:pPr>
      <w:r w:rsidRPr="00A6216D">
        <w:rPr>
          <w:rFonts w:asciiTheme="majorHAnsi" w:hAnsiTheme="majorHAnsi"/>
          <w:sz w:val="20"/>
          <w:szCs w:val="20"/>
        </w:rPr>
        <w:t>To d</w:t>
      </w:r>
      <w:r w:rsidR="00227E25" w:rsidRPr="00A6216D">
        <w:rPr>
          <w:rFonts w:asciiTheme="majorHAnsi" w:hAnsiTheme="majorHAnsi"/>
          <w:sz w:val="20"/>
          <w:szCs w:val="20"/>
        </w:rPr>
        <w:t>eclare that the friendly settlement agreement has been fully complied.</w:t>
      </w:r>
    </w:p>
    <w:p w:rsidR="00E940BE" w:rsidRPr="00A6216D" w:rsidRDefault="00E940BE" w:rsidP="00474DDE">
      <w:pPr>
        <w:tabs>
          <w:tab w:val="left" w:pos="1440"/>
          <w:tab w:val="num" w:pos="3240"/>
        </w:tabs>
        <w:ind w:firstLine="720"/>
        <w:jc w:val="both"/>
        <w:rPr>
          <w:rFonts w:asciiTheme="majorHAnsi" w:hAnsiTheme="majorHAnsi"/>
          <w:sz w:val="20"/>
          <w:szCs w:val="20"/>
        </w:rPr>
      </w:pPr>
    </w:p>
    <w:p w:rsidR="001D1A4B" w:rsidRDefault="00E940BE" w:rsidP="00474DDE">
      <w:pPr>
        <w:pStyle w:val="ListParagraph"/>
        <w:numPr>
          <w:ilvl w:val="0"/>
          <w:numId w:val="56"/>
        </w:numPr>
        <w:pBdr>
          <w:top w:val="nil"/>
          <w:left w:val="nil"/>
          <w:bottom w:val="nil"/>
          <w:right w:val="nil"/>
          <w:between w:val="nil"/>
          <w:bar w:val="nil"/>
        </w:pBdr>
        <w:jc w:val="both"/>
        <w:rPr>
          <w:rFonts w:asciiTheme="majorHAnsi" w:hAnsiTheme="majorHAnsi"/>
          <w:sz w:val="20"/>
          <w:szCs w:val="20"/>
        </w:rPr>
      </w:pPr>
      <w:r w:rsidRPr="00A6216D">
        <w:rPr>
          <w:rFonts w:asciiTheme="majorHAnsi" w:hAnsiTheme="majorHAnsi"/>
          <w:sz w:val="20"/>
          <w:szCs w:val="20"/>
        </w:rPr>
        <w:t>To make this report public and to include it in its Annual Report to t</w:t>
      </w:r>
      <w:r w:rsidR="003371C1" w:rsidRPr="00A6216D">
        <w:rPr>
          <w:rFonts w:asciiTheme="majorHAnsi" w:hAnsiTheme="majorHAnsi"/>
          <w:sz w:val="20"/>
          <w:szCs w:val="20"/>
        </w:rPr>
        <w:t>he General Assembly of the OAS.</w:t>
      </w:r>
    </w:p>
    <w:p w:rsidR="00EC7B87" w:rsidRPr="00EC7B87" w:rsidRDefault="00EC7B87" w:rsidP="00EC7B87">
      <w:pPr>
        <w:pStyle w:val="ListParagraph"/>
        <w:rPr>
          <w:rFonts w:asciiTheme="majorHAnsi" w:hAnsiTheme="majorHAnsi"/>
          <w:sz w:val="20"/>
          <w:szCs w:val="20"/>
        </w:rPr>
      </w:pPr>
    </w:p>
    <w:p w:rsidR="00EC7B87" w:rsidRDefault="00EC7B87" w:rsidP="00EC7B87">
      <w:pPr>
        <w:ind w:firstLine="720"/>
        <w:jc w:val="both"/>
        <w:rPr>
          <w:rFonts w:asciiTheme="majorHAnsi" w:hAnsiTheme="majorHAnsi" w:cs="Arial"/>
          <w:sz w:val="20"/>
          <w:szCs w:val="20"/>
          <w:lang w:eastAsia="ja-JP"/>
        </w:rPr>
      </w:pPr>
      <w:r w:rsidRPr="00921F4E">
        <w:rPr>
          <w:rFonts w:asciiTheme="majorHAnsi" w:hAnsiTheme="majorHAnsi" w:cs="Arial"/>
          <w:sz w:val="20"/>
          <w:szCs w:val="20"/>
          <w:lang w:eastAsia="ja-JP"/>
        </w:rPr>
        <w:t xml:space="preserve">Approved by the Inter-American Commission on Human Rights on the </w:t>
      </w:r>
      <w:r>
        <w:rPr>
          <w:rFonts w:asciiTheme="majorHAnsi" w:hAnsiTheme="majorHAnsi" w:cs="Arial"/>
          <w:sz w:val="20"/>
          <w:szCs w:val="20"/>
          <w:lang w:eastAsia="ja-JP"/>
        </w:rPr>
        <w:t>16</w:t>
      </w:r>
      <w:r w:rsidRPr="00921F4E">
        <w:rPr>
          <w:rFonts w:asciiTheme="majorHAnsi" w:hAnsiTheme="majorHAnsi" w:cs="Arial"/>
          <w:sz w:val="20"/>
          <w:szCs w:val="20"/>
          <w:lang w:eastAsia="ja-JP"/>
        </w:rPr>
        <w:t xml:space="preserve"> day of </w:t>
      </w:r>
      <w:r>
        <w:rPr>
          <w:rFonts w:asciiTheme="majorHAnsi" w:hAnsiTheme="majorHAnsi" w:cs="Arial"/>
          <w:sz w:val="20"/>
          <w:szCs w:val="20"/>
          <w:lang w:eastAsia="ja-JP"/>
        </w:rPr>
        <w:t>July</w:t>
      </w:r>
      <w:r w:rsidRPr="00921F4E">
        <w:rPr>
          <w:rFonts w:asciiTheme="majorHAnsi" w:hAnsiTheme="majorHAnsi" w:cs="Arial"/>
          <w:sz w:val="20"/>
          <w:szCs w:val="20"/>
          <w:lang w:eastAsia="ja-JP"/>
        </w:rPr>
        <w:t xml:space="preserve"> 2019. (Signed):</w:t>
      </w:r>
      <w:r>
        <w:rPr>
          <w:rFonts w:asciiTheme="majorHAnsi" w:hAnsiTheme="majorHAnsi" w:cs="Arial"/>
          <w:sz w:val="20"/>
          <w:szCs w:val="20"/>
          <w:lang w:eastAsia="ja-JP"/>
        </w:rPr>
        <w:t xml:space="preserve"> Esmeralda E. Arosemena Bernal de Troitiño, President; Joel Hernández, First Vice-President; Antonia Urrejola; Second Vice-President; Francisco José Eguiguren, Margarette May Mac</w:t>
      </w:r>
      <w:r w:rsidR="00A5191B">
        <w:rPr>
          <w:rFonts w:asciiTheme="majorHAnsi" w:hAnsiTheme="majorHAnsi" w:cs="Arial"/>
          <w:sz w:val="20"/>
          <w:szCs w:val="20"/>
          <w:lang w:eastAsia="ja-JP"/>
        </w:rPr>
        <w:t>a</w:t>
      </w:r>
      <w:r>
        <w:rPr>
          <w:rFonts w:asciiTheme="majorHAnsi" w:hAnsiTheme="majorHAnsi" w:cs="Arial"/>
          <w:sz w:val="20"/>
          <w:szCs w:val="20"/>
          <w:lang w:eastAsia="ja-JP"/>
        </w:rPr>
        <w:t xml:space="preserve">ulay, </w:t>
      </w:r>
      <w:r w:rsidR="00A72F79">
        <w:rPr>
          <w:rFonts w:asciiTheme="majorHAnsi" w:hAnsiTheme="majorHAnsi" w:cs="Arial"/>
          <w:sz w:val="20"/>
          <w:szCs w:val="20"/>
          <w:lang w:eastAsia="ja-JP"/>
        </w:rPr>
        <w:t>Luis Ernesto Vargas Silva</w:t>
      </w:r>
      <w:r w:rsidR="00A5191B">
        <w:rPr>
          <w:rFonts w:asciiTheme="majorHAnsi" w:hAnsiTheme="majorHAnsi" w:cs="Arial"/>
          <w:sz w:val="20"/>
          <w:szCs w:val="20"/>
          <w:lang w:eastAsia="ja-JP"/>
        </w:rPr>
        <w:t xml:space="preserve"> and Flá</w:t>
      </w:r>
      <w:r>
        <w:rPr>
          <w:rFonts w:asciiTheme="majorHAnsi" w:hAnsiTheme="majorHAnsi" w:cs="Arial"/>
          <w:sz w:val="20"/>
          <w:szCs w:val="20"/>
          <w:lang w:eastAsia="ja-JP"/>
        </w:rPr>
        <w:t>via Piovesan, Members of the Commission.</w:t>
      </w:r>
    </w:p>
    <w:p w:rsidR="00EC7B87" w:rsidRDefault="00EC7B87" w:rsidP="00EC7B87">
      <w:pPr>
        <w:ind w:firstLine="720"/>
        <w:jc w:val="both"/>
        <w:rPr>
          <w:rFonts w:asciiTheme="majorHAnsi" w:hAnsiTheme="majorHAnsi" w:cs="Arial"/>
          <w:sz w:val="20"/>
          <w:szCs w:val="20"/>
          <w:lang w:eastAsia="ja-JP"/>
        </w:rPr>
      </w:pPr>
    </w:p>
    <w:sectPr w:rsidR="00EC7B87" w:rsidSect="00E940BE">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B9" w:rsidRDefault="00DA00B9" w:rsidP="00573330">
      <w:r>
        <w:separator/>
      </w:r>
    </w:p>
  </w:endnote>
  <w:endnote w:type="continuationSeparator" w:id="0">
    <w:p w:rsidR="00DA00B9" w:rsidRDefault="00DA00B9" w:rsidP="0057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7" w:rsidRDefault="00467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CF" w:rsidRPr="00287BBD" w:rsidRDefault="00777CCF">
    <w:pPr>
      <w:pStyle w:val="Footer"/>
      <w:jc w:val="center"/>
      <w:rPr>
        <w:noProof/>
        <w:sz w:val="16"/>
        <w:szCs w:val="16"/>
      </w:rPr>
    </w:pPr>
    <w:r w:rsidRPr="00287BBD">
      <w:rPr>
        <w:noProof/>
        <w:sz w:val="16"/>
        <w:szCs w:val="16"/>
      </w:rPr>
      <w:fldChar w:fldCharType="begin"/>
    </w:r>
    <w:r w:rsidRPr="00287BBD">
      <w:rPr>
        <w:noProof/>
        <w:sz w:val="16"/>
        <w:szCs w:val="16"/>
      </w:rPr>
      <w:instrText xml:space="preserve"> PAGE   \* MERGEFORMAT </w:instrText>
    </w:r>
    <w:r w:rsidRPr="00287BBD">
      <w:rPr>
        <w:noProof/>
        <w:sz w:val="16"/>
        <w:szCs w:val="16"/>
      </w:rPr>
      <w:fldChar w:fldCharType="separate"/>
    </w:r>
    <w:r w:rsidR="00467167">
      <w:rPr>
        <w:noProof/>
        <w:sz w:val="16"/>
        <w:szCs w:val="16"/>
      </w:rPr>
      <w:t>1</w:t>
    </w:r>
    <w:r w:rsidRPr="00287BBD">
      <w:rPr>
        <w:noProof/>
        <w:sz w:val="16"/>
        <w:szCs w:val="16"/>
      </w:rPr>
      <w:fldChar w:fldCharType="end"/>
    </w:r>
  </w:p>
  <w:p w:rsidR="00777CCF" w:rsidRPr="00287BBD" w:rsidRDefault="00777CCF">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CF" w:rsidRPr="00287BBD" w:rsidRDefault="00777CCF">
    <w:pPr>
      <w:pStyle w:val="Footer"/>
      <w:jc w:val="center"/>
      <w:rPr>
        <w:noProof/>
        <w:sz w:val="16"/>
        <w:szCs w:val="16"/>
      </w:rPr>
    </w:pPr>
  </w:p>
  <w:p w:rsidR="00777CCF" w:rsidRPr="00287BBD" w:rsidRDefault="00777CCF">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777CCF" w:rsidRDefault="00777C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77CCF" w:rsidRDefault="00777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B9" w:rsidRPr="00287BBD" w:rsidRDefault="00DA00B9">
      <w:pPr>
        <w:rPr>
          <w:rFonts w:ascii="Cambria" w:hAnsi="Cambria" w:cs="Cambria"/>
          <w:noProof/>
          <w:sz w:val="16"/>
          <w:szCs w:val="16"/>
        </w:rPr>
      </w:pPr>
      <w:r w:rsidRPr="00287BBD">
        <w:rPr>
          <w:rFonts w:ascii="Cambria" w:hAnsi="Cambria" w:cs="Cambria"/>
          <w:noProof/>
          <w:sz w:val="16"/>
          <w:szCs w:val="16"/>
        </w:rPr>
        <w:separator/>
      </w:r>
    </w:p>
  </w:footnote>
  <w:footnote w:type="continuationSeparator" w:id="0">
    <w:p w:rsidR="00DA00B9" w:rsidRPr="00287BBD" w:rsidRDefault="00DA00B9" w:rsidP="000F35ED">
      <w:pPr>
        <w:rPr>
          <w:rFonts w:ascii="Cambria" w:hAnsi="Cambria" w:cs="Cambria"/>
          <w:noProof/>
          <w:sz w:val="16"/>
          <w:szCs w:val="16"/>
        </w:rPr>
      </w:pPr>
      <w:r w:rsidRPr="00287BBD">
        <w:rPr>
          <w:rFonts w:ascii="Cambria" w:hAnsi="Cambria" w:cs="Cambria"/>
          <w:noProof/>
          <w:sz w:val="16"/>
          <w:szCs w:val="16"/>
        </w:rPr>
        <w:separator/>
      </w:r>
    </w:p>
    <w:p w:rsidR="00DA00B9" w:rsidRPr="00287BBD" w:rsidRDefault="00DA00B9" w:rsidP="000F35ED">
      <w:pPr>
        <w:pStyle w:val="Footer"/>
        <w:rPr>
          <w:noProof/>
          <w:sz w:val="16"/>
          <w:szCs w:val="16"/>
        </w:rPr>
      </w:pPr>
      <w:r w:rsidRPr="00287BBD">
        <w:rPr>
          <w:noProof/>
          <w:sz w:val="16"/>
          <w:szCs w:val="16"/>
        </w:rPr>
        <w:t>[… continuación]</w:t>
      </w:r>
    </w:p>
  </w:footnote>
  <w:footnote w:id="1">
    <w:p w:rsidR="00777CCF" w:rsidRPr="00345075" w:rsidRDefault="00777CCF" w:rsidP="00E940BE">
      <w:pPr>
        <w:pStyle w:val="FootnoteText"/>
        <w:jc w:val="both"/>
        <w:rPr>
          <w:rFonts w:ascii="Cambria" w:hAnsi="Cambria"/>
          <w:sz w:val="16"/>
          <w:szCs w:val="16"/>
        </w:rPr>
      </w:pPr>
      <w:r w:rsidRPr="00345075">
        <w:rPr>
          <w:rStyle w:val="FootnoteReference"/>
          <w:rFonts w:ascii="Cambria" w:hAnsi="Cambria"/>
          <w:sz w:val="16"/>
          <w:szCs w:val="16"/>
        </w:rPr>
        <w:footnoteRef/>
      </w:r>
      <w:r w:rsidRPr="00345075">
        <w:rPr>
          <w:rFonts w:ascii="Cambria" w:hAnsi="Cambria"/>
          <w:sz w:val="16"/>
          <w:szCs w:val="16"/>
        </w:rPr>
        <w:t xml:space="preserve"> Vienna Convention on the Law of Treaties, U.N. Doc A/CONF.39/27 (1969), Ar</w:t>
      </w:r>
      <w:r>
        <w:rPr>
          <w:rFonts w:ascii="Cambria" w:hAnsi="Cambria"/>
          <w:sz w:val="16"/>
          <w:szCs w:val="16"/>
        </w:rPr>
        <w:t xml:space="preserve">ticle </w:t>
      </w:r>
      <w:r w:rsidRPr="00345075">
        <w:rPr>
          <w:rFonts w:ascii="Cambria" w:hAnsi="Cambria"/>
          <w:sz w:val="16"/>
          <w:szCs w:val="16"/>
        </w:rPr>
        <w:t>26:</w:t>
      </w:r>
      <w:r>
        <w:rPr>
          <w:rFonts w:ascii="Cambria" w:hAnsi="Cambria"/>
          <w:b/>
          <w:sz w:val="16"/>
          <w:szCs w:val="16"/>
        </w:rPr>
        <w:t xml:space="preserve"> </w:t>
      </w:r>
      <w:r w:rsidRPr="00345075">
        <w:rPr>
          <w:rFonts w:ascii="Cambria" w:hAnsi="Cambria"/>
          <w:b/>
          <w:sz w:val="16"/>
          <w:szCs w:val="16"/>
        </w:rPr>
        <w:t xml:space="preserve">Pacta sunt servanda. </w:t>
      </w:r>
      <w:r>
        <w:rPr>
          <w:rFonts w:ascii="Cambria" w:hAnsi="Cambria"/>
          <w:i/>
          <w:sz w:val="16"/>
          <w:szCs w:val="16"/>
        </w:rPr>
        <w:t>“Every treaty in force is binding upon the parties to it and must be performed by them in good faith.”</w:t>
      </w:r>
    </w:p>
  </w:footnote>
  <w:footnote w:id="2">
    <w:p w:rsidR="00DA3DA0" w:rsidRPr="00A6216D" w:rsidRDefault="00DA3DA0">
      <w:pPr>
        <w:pStyle w:val="FootnoteText"/>
        <w:rPr>
          <w:rFonts w:asciiTheme="majorHAnsi" w:hAnsiTheme="majorHAnsi"/>
          <w:sz w:val="16"/>
          <w:szCs w:val="16"/>
        </w:rPr>
      </w:pPr>
      <w:r w:rsidRPr="00A6216D">
        <w:rPr>
          <w:rStyle w:val="FootnoteReference"/>
          <w:rFonts w:asciiTheme="majorHAnsi" w:hAnsiTheme="majorHAnsi"/>
          <w:sz w:val="16"/>
          <w:szCs w:val="16"/>
        </w:rPr>
        <w:footnoteRef/>
      </w:r>
      <w:r w:rsidRPr="00A6216D">
        <w:rPr>
          <w:rFonts w:asciiTheme="majorHAnsi" w:hAnsiTheme="majorHAnsi"/>
          <w:sz w:val="16"/>
          <w:szCs w:val="16"/>
        </w:rPr>
        <w:t xml:space="preserve"> See IACHR, Press Release 148/19 "IACHR salutes Uruguay's progress in complying with the friendly settlement agreement signed in petition 1227-07 David Rabinovich," published June 12, 2019. Available electronically at: http://www.oas.org/es/cidh/prensa/comunicados/2019/148.asp</w:t>
      </w:r>
    </w:p>
  </w:footnote>
  <w:footnote w:id="3">
    <w:p w:rsidR="00DA3DA0" w:rsidRDefault="00DA3DA0">
      <w:pPr>
        <w:pStyle w:val="FootnoteText"/>
      </w:pPr>
      <w:r w:rsidRPr="00A6216D">
        <w:rPr>
          <w:rStyle w:val="FootnoteReference"/>
          <w:rFonts w:asciiTheme="majorHAnsi" w:hAnsiTheme="majorHAnsi"/>
          <w:sz w:val="16"/>
          <w:szCs w:val="16"/>
        </w:rPr>
        <w:footnoteRef/>
      </w:r>
      <w:r w:rsidRPr="00A6216D">
        <w:rPr>
          <w:rFonts w:asciiTheme="majorHAnsi" w:hAnsiTheme="majorHAnsi"/>
          <w:sz w:val="16"/>
          <w:szCs w:val="16"/>
          <w:lang w:val="es-CO"/>
        </w:rPr>
        <w:t xml:space="preserve"> See, YouTube, Audiovisuales Prensa, Cancillería de Uruguay, "Seminario: Impactos del Procedimiento de Solución Amistosa ante la CIDH en el desarrollo normativo nacional de Uruguay - 27 de mayo 2019". </w:t>
      </w:r>
      <w:r w:rsidRPr="00A6216D">
        <w:rPr>
          <w:rFonts w:asciiTheme="majorHAnsi" w:hAnsiTheme="majorHAnsi"/>
          <w:sz w:val="16"/>
          <w:szCs w:val="16"/>
        </w:rPr>
        <w:t>Published on May 31, 2019. Available electronically at: https://www.youtube.com/watch?v=i5IJcZ_0tVw&amp;t=13s=i5IJcZ_0tVw&amp;t=13s (Last consulted on 7 July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7" w:rsidRDefault="00467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CCF" w:rsidRPr="00287BBD" w:rsidRDefault="00777CCF" w:rsidP="00A50FCF">
    <w:pPr>
      <w:pStyle w:val="Header"/>
      <w:tabs>
        <w:tab w:val="clear" w:pos="4320"/>
        <w:tab w:val="clear" w:pos="8640"/>
      </w:tabs>
      <w:jc w:val="center"/>
      <w:rPr>
        <w:rFonts w:cs="Times New Roman"/>
        <w:noProof/>
        <w:sz w:val="22"/>
        <w:szCs w:val="22"/>
      </w:rPr>
    </w:pPr>
  </w:p>
  <w:p w:rsidR="00777CCF" w:rsidRPr="00287BBD" w:rsidRDefault="00DA00B9"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7" w:rsidRDefault="00467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C1A7417"/>
    <w:multiLevelType w:val="hybridMultilevel"/>
    <w:tmpl w:val="A0345170"/>
    <w:lvl w:ilvl="0" w:tplc="A098928A">
      <w:start w:val="1"/>
      <w:numFmt w:val="decimal"/>
      <w:lvlText w:val="%1."/>
      <w:lvlJc w:val="left"/>
      <w:pPr>
        <w:ind w:left="720" w:hanging="360"/>
      </w:pPr>
      <w:rPr>
        <w:rFonts w:hint="default"/>
        <w:vanish w:val="0"/>
      </w:rPr>
    </w:lvl>
    <w:lvl w:ilvl="1" w:tplc="A0DE0DF4">
      <w:start w:val="1"/>
      <w:numFmt w:val="lowerLetter"/>
      <w:lvlText w:val="%2."/>
      <w:lvlJc w:val="left"/>
      <w:pPr>
        <w:ind w:left="1440" w:hanging="360"/>
      </w:pPr>
    </w:lvl>
    <w:lvl w:ilvl="2" w:tplc="9CA2946A">
      <w:start w:val="1"/>
      <w:numFmt w:val="lowerRoman"/>
      <w:lvlText w:val="%3."/>
      <w:lvlJc w:val="right"/>
      <w:pPr>
        <w:ind w:left="2160" w:hanging="180"/>
      </w:pPr>
    </w:lvl>
    <w:lvl w:ilvl="3" w:tplc="3036DDAC">
      <w:start w:val="1"/>
      <w:numFmt w:val="decimal"/>
      <w:lvlText w:val="%4."/>
      <w:lvlJc w:val="left"/>
      <w:pPr>
        <w:ind w:left="2880" w:hanging="360"/>
      </w:pPr>
    </w:lvl>
    <w:lvl w:ilvl="4" w:tplc="B074F2B6">
      <w:start w:val="1"/>
      <w:numFmt w:val="lowerLetter"/>
      <w:lvlText w:val="%5."/>
      <w:lvlJc w:val="left"/>
      <w:pPr>
        <w:ind w:left="3600" w:hanging="360"/>
      </w:pPr>
    </w:lvl>
    <w:lvl w:ilvl="5" w:tplc="D5B63C64">
      <w:start w:val="1"/>
      <w:numFmt w:val="lowerRoman"/>
      <w:lvlText w:val="%6."/>
      <w:lvlJc w:val="right"/>
      <w:pPr>
        <w:ind w:left="4320" w:hanging="180"/>
      </w:pPr>
    </w:lvl>
    <w:lvl w:ilvl="6" w:tplc="1E86490A">
      <w:start w:val="1"/>
      <w:numFmt w:val="decimal"/>
      <w:lvlText w:val="%7."/>
      <w:lvlJc w:val="left"/>
      <w:pPr>
        <w:ind w:left="5040" w:hanging="360"/>
      </w:pPr>
    </w:lvl>
    <w:lvl w:ilvl="7" w:tplc="6EC6195E">
      <w:start w:val="1"/>
      <w:numFmt w:val="lowerLetter"/>
      <w:lvlText w:val="%8."/>
      <w:lvlJc w:val="left"/>
      <w:pPr>
        <w:ind w:left="5760" w:hanging="360"/>
      </w:pPr>
    </w:lvl>
    <w:lvl w:ilvl="8" w:tplc="B0E6D324">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5" w15:restartNumberingAfterBreak="0">
    <w:nsid w:val="10BF2BED"/>
    <w:multiLevelType w:val="hybridMultilevel"/>
    <w:tmpl w:val="7AF81402"/>
    <w:lvl w:ilvl="0" w:tplc="5FB2945E">
      <w:start w:val="1"/>
      <w:numFmt w:val="decimal"/>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8A104BF"/>
    <w:multiLevelType w:val="hybridMultilevel"/>
    <w:tmpl w:val="B906D366"/>
    <w:lvl w:ilvl="0" w:tplc="87402346">
      <w:start w:val="1"/>
      <w:numFmt w:val="upperRoman"/>
      <w:lvlText w:val="%1."/>
      <w:lvlJc w:val="left"/>
      <w:pPr>
        <w:ind w:left="1080" w:hanging="720"/>
      </w:pPr>
      <w:rPr>
        <w:rFonts w:hint="default"/>
        <w:b/>
        <w:bCs/>
        <w:vanish w:val="0"/>
        <w:color w:val="auto"/>
      </w:rPr>
    </w:lvl>
    <w:lvl w:ilvl="1" w:tplc="7A02FDDE">
      <w:start w:val="1"/>
      <w:numFmt w:val="lowerLetter"/>
      <w:lvlText w:val="%2."/>
      <w:lvlJc w:val="left"/>
      <w:pPr>
        <w:ind w:left="1440" w:hanging="360"/>
      </w:pPr>
    </w:lvl>
    <w:lvl w:ilvl="2" w:tplc="E3EC8D56">
      <w:start w:val="1"/>
      <w:numFmt w:val="lowerRoman"/>
      <w:lvlText w:val="%3."/>
      <w:lvlJc w:val="right"/>
      <w:pPr>
        <w:ind w:left="2160" w:hanging="180"/>
      </w:pPr>
    </w:lvl>
    <w:lvl w:ilvl="3" w:tplc="8BC0A4BC">
      <w:start w:val="1"/>
      <w:numFmt w:val="decimal"/>
      <w:lvlText w:val="%4."/>
      <w:lvlJc w:val="left"/>
      <w:pPr>
        <w:ind w:left="2880" w:hanging="360"/>
      </w:pPr>
    </w:lvl>
    <w:lvl w:ilvl="4" w:tplc="34504024">
      <w:start w:val="1"/>
      <w:numFmt w:val="lowerLetter"/>
      <w:lvlText w:val="%5."/>
      <w:lvlJc w:val="left"/>
      <w:pPr>
        <w:ind w:left="3600" w:hanging="360"/>
      </w:pPr>
    </w:lvl>
    <w:lvl w:ilvl="5" w:tplc="0F34AB62">
      <w:start w:val="1"/>
      <w:numFmt w:val="lowerRoman"/>
      <w:lvlText w:val="%6."/>
      <w:lvlJc w:val="right"/>
      <w:pPr>
        <w:ind w:left="4320" w:hanging="180"/>
      </w:pPr>
    </w:lvl>
    <w:lvl w:ilvl="6" w:tplc="61D48B70">
      <w:start w:val="1"/>
      <w:numFmt w:val="decimal"/>
      <w:lvlText w:val="%7."/>
      <w:lvlJc w:val="left"/>
      <w:pPr>
        <w:ind w:left="5040" w:hanging="360"/>
      </w:pPr>
    </w:lvl>
    <w:lvl w:ilvl="7" w:tplc="C0DC39E4">
      <w:start w:val="1"/>
      <w:numFmt w:val="lowerLetter"/>
      <w:lvlText w:val="%8."/>
      <w:lvlJc w:val="left"/>
      <w:pPr>
        <w:ind w:left="5760" w:hanging="360"/>
      </w:pPr>
    </w:lvl>
    <w:lvl w:ilvl="8" w:tplc="6198922C">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5" w15:restartNumberingAfterBreak="0">
    <w:nsid w:val="25DF140B"/>
    <w:multiLevelType w:val="hybridMultilevel"/>
    <w:tmpl w:val="9A30BE48"/>
    <w:lvl w:ilvl="0" w:tplc="0C0A000F">
      <w:start w:val="1"/>
      <w:numFmt w:val="decimal"/>
      <w:lvlText w:val="%1."/>
      <w:lvlJc w:val="left"/>
      <w:pPr>
        <w:ind w:left="16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2" w15:restartNumberingAfterBreak="0">
    <w:nsid w:val="45244761"/>
    <w:multiLevelType w:val="hybridMultilevel"/>
    <w:tmpl w:val="B6428A94"/>
    <w:lvl w:ilvl="0" w:tplc="B122F20E">
      <w:start w:val="1"/>
      <w:numFmt w:val="decimal"/>
      <w:lvlText w:val="%1."/>
      <w:lvlJc w:val="left"/>
      <w:pPr>
        <w:ind w:left="2160" w:hanging="1440"/>
      </w:pPr>
      <w:rPr>
        <w:rFonts w:hint="default"/>
        <w:b w:val="0"/>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45300302"/>
    <w:multiLevelType w:val="hybridMultilevel"/>
    <w:tmpl w:val="375C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6" w15:restartNumberingAfterBreak="0">
    <w:nsid w:val="49871599"/>
    <w:multiLevelType w:val="hybridMultilevel"/>
    <w:tmpl w:val="AE3CE064"/>
    <w:lvl w:ilvl="0" w:tplc="201C422C">
      <w:start w:val="1"/>
      <w:numFmt w:val="decimal"/>
      <w:lvlText w:val="%1."/>
      <w:lvlJc w:val="left"/>
      <w:pPr>
        <w:ind w:left="720" w:hanging="360"/>
      </w:pPr>
      <w:rPr>
        <w:rFonts w:hint="default"/>
        <w:b w:val="0"/>
        <w:bCs w:val="0"/>
        <w:vanish w:val="0"/>
        <w:sz w:val="20"/>
        <w:szCs w:val="20"/>
      </w:rPr>
    </w:lvl>
    <w:lvl w:ilvl="1" w:tplc="41B07BE6">
      <w:start w:val="1"/>
      <w:numFmt w:val="lowerLetter"/>
      <w:lvlText w:val="%2."/>
      <w:lvlJc w:val="left"/>
      <w:pPr>
        <w:ind w:left="1440" w:hanging="360"/>
      </w:pPr>
    </w:lvl>
    <w:lvl w:ilvl="2" w:tplc="C2AA8E6A">
      <w:start w:val="1"/>
      <w:numFmt w:val="lowerRoman"/>
      <w:lvlText w:val="%3."/>
      <w:lvlJc w:val="right"/>
      <w:pPr>
        <w:ind w:left="2160" w:hanging="180"/>
      </w:pPr>
    </w:lvl>
    <w:lvl w:ilvl="3" w:tplc="EA7068D4">
      <w:start w:val="1"/>
      <w:numFmt w:val="decimal"/>
      <w:lvlText w:val="%4."/>
      <w:lvlJc w:val="left"/>
      <w:pPr>
        <w:ind w:left="2880" w:hanging="360"/>
      </w:pPr>
    </w:lvl>
    <w:lvl w:ilvl="4" w:tplc="1786E014">
      <w:start w:val="1"/>
      <w:numFmt w:val="lowerLetter"/>
      <w:lvlText w:val="%5."/>
      <w:lvlJc w:val="left"/>
      <w:pPr>
        <w:ind w:left="3600" w:hanging="360"/>
      </w:pPr>
    </w:lvl>
    <w:lvl w:ilvl="5" w:tplc="13CAB07C">
      <w:start w:val="1"/>
      <w:numFmt w:val="lowerRoman"/>
      <w:lvlText w:val="%6."/>
      <w:lvlJc w:val="right"/>
      <w:pPr>
        <w:ind w:left="4320" w:hanging="180"/>
      </w:pPr>
    </w:lvl>
    <w:lvl w:ilvl="6" w:tplc="323A5224">
      <w:start w:val="1"/>
      <w:numFmt w:val="decimal"/>
      <w:lvlText w:val="%7."/>
      <w:lvlJc w:val="left"/>
      <w:pPr>
        <w:ind w:left="5040" w:hanging="360"/>
      </w:pPr>
    </w:lvl>
    <w:lvl w:ilvl="7" w:tplc="844E0386">
      <w:start w:val="1"/>
      <w:numFmt w:val="lowerLetter"/>
      <w:lvlText w:val="%8."/>
      <w:lvlJc w:val="left"/>
      <w:pPr>
        <w:ind w:left="5760" w:hanging="360"/>
      </w:pPr>
    </w:lvl>
    <w:lvl w:ilvl="8" w:tplc="AA8643CA">
      <w:start w:val="1"/>
      <w:numFmt w:val="lowerRoman"/>
      <w:lvlText w:val="%9."/>
      <w:lvlJc w:val="right"/>
      <w:pPr>
        <w:ind w:left="6480" w:hanging="180"/>
      </w:pPr>
    </w:lvl>
  </w:abstractNum>
  <w:abstractNum w:abstractNumId="37" w15:restartNumberingAfterBreak="0">
    <w:nsid w:val="4B955F13"/>
    <w:multiLevelType w:val="hybridMultilevel"/>
    <w:tmpl w:val="8F4020B6"/>
    <w:lvl w:ilvl="0" w:tplc="5262E4FC">
      <w:start w:val="1"/>
      <w:numFmt w:val="upperRoman"/>
      <w:lvlText w:val="%1."/>
      <w:lvlJc w:val="left"/>
      <w:pPr>
        <w:ind w:left="1440" w:hanging="720"/>
      </w:pPr>
      <w:rPr>
        <w:rFonts w:eastAsia="Arial Unicode M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3" w15:restartNumberingAfterBreak="0">
    <w:nsid w:val="544520C8"/>
    <w:multiLevelType w:val="hybridMultilevel"/>
    <w:tmpl w:val="1C2886B0"/>
    <w:lvl w:ilvl="0" w:tplc="7C24CFA6">
      <w:start w:val="1"/>
      <w:numFmt w:val="decimal"/>
      <w:lvlText w:val="%1."/>
      <w:lvlJc w:val="left"/>
      <w:pPr>
        <w:ind w:left="720" w:hanging="360"/>
      </w:pPr>
      <w:rPr>
        <w:rFonts w:hint="default"/>
        <w:vanish w:val="0"/>
      </w:rPr>
    </w:lvl>
    <w:lvl w:ilvl="1" w:tplc="44BC76A2">
      <w:start w:val="1"/>
      <w:numFmt w:val="lowerLetter"/>
      <w:lvlText w:val="%2."/>
      <w:lvlJc w:val="left"/>
      <w:pPr>
        <w:ind w:left="1440" w:hanging="360"/>
      </w:pPr>
    </w:lvl>
    <w:lvl w:ilvl="2" w:tplc="9AE4BB94">
      <w:start w:val="1"/>
      <w:numFmt w:val="lowerRoman"/>
      <w:lvlText w:val="%3."/>
      <w:lvlJc w:val="right"/>
      <w:pPr>
        <w:ind w:left="2160" w:hanging="180"/>
      </w:pPr>
    </w:lvl>
    <w:lvl w:ilvl="3" w:tplc="B9824DA2">
      <w:start w:val="1"/>
      <w:numFmt w:val="decimal"/>
      <w:lvlText w:val="%4."/>
      <w:lvlJc w:val="left"/>
      <w:pPr>
        <w:ind w:left="2880" w:hanging="360"/>
      </w:pPr>
    </w:lvl>
    <w:lvl w:ilvl="4" w:tplc="9F2E4554">
      <w:start w:val="1"/>
      <w:numFmt w:val="lowerLetter"/>
      <w:lvlText w:val="%5."/>
      <w:lvlJc w:val="left"/>
      <w:pPr>
        <w:ind w:left="3600" w:hanging="360"/>
      </w:pPr>
    </w:lvl>
    <w:lvl w:ilvl="5" w:tplc="F71231BC">
      <w:start w:val="1"/>
      <w:numFmt w:val="lowerRoman"/>
      <w:lvlText w:val="%6."/>
      <w:lvlJc w:val="right"/>
      <w:pPr>
        <w:ind w:left="4320" w:hanging="180"/>
      </w:pPr>
    </w:lvl>
    <w:lvl w:ilvl="6" w:tplc="7C02B42E">
      <w:start w:val="1"/>
      <w:numFmt w:val="decimal"/>
      <w:lvlText w:val="%7."/>
      <w:lvlJc w:val="left"/>
      <w:pPr>
        <w:ind w:left="5040" w:hanging="360"/>
      </w:pPr>
    </w:lvl>
    <w:lvl w:ilvl="7" w:tplc="D7FC9AC2">
      <w:start w:val="1"/>
      <w:numFmt w:val="lowerLetter"/>
      <w:lvlText w:val="%8."/>
      <w:lvlJc w:val="left"/>
      <w:pPr>
        <w:ind w:left="5760" w:hanging="360"/>
      </w:pPr>
    </w:lvl>
    <w:lvl w:ilvl="8" w:tplc="A106D2A2">
      <w:start w:val="1"/>
      <w:numFmt w:val="lowerRoman"/>
      <w:lvlText w:val="%9."/>
      <w:lvlJc w:val="right"/>
      <w:pPr>
        <w:ind w:left="6480" w:hanging="180"/>
      </w:p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7" w15:restartNumberingAfterBreak="0">
    <w:nsid w:val="600B401D"/>
    <w:multiLevelType w:val="hybridMultilevel"/>
    <w:tmpl w:val="6C4C092C"/>
    <w:lvl w:ilvl="0" w:tplc="DE7CDCF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2" w15:restartNumberingAfterBreak="0">
    <w:nsid w:val="70786ED7"/>
    <w:multiLevelType w:val="hybridMultilevel"/>
    <w:tmpl w:val="0004DB54"/>
    <w:lvl w:ilvl="0" w:tplc="2E386DD8">
      <w:start w:val="1"/>
      <w:numFmt w:val="upperRoman"/>
      <w:pStyle w:val="Heading1"/>
      <w:lvlText w:val="%1."/>
      <w:lvlJc w:val="left"/>
      <w:pPr>
        <w:ind w:left="720" w:hanging="360"/>
      </w:pPr>
      <w:rPr>
        <w:rFonts w:hint="default"/>
      </w:rPr>
    </w:lvl>
    <w:lvl w:ilvl="1" w:tplc="53929B2A">
      <w:start w:val="1"/>
      <w:numFmt w:val="lowerLetter"/>
      <w:lvlText w:val="%2."/>
      <w:lvlJc w:val="left"/>
      <w:pPr>
        <w:ind w:left="1440" w:hanging="360"/>
      </w:pPr>
    </w:lvl>
    <w:lvl w:ilvl="2" w:tplc="0C1E5B34">
      <w:start w:val="1"/>
      <w:numFmt w:val="lowerRoman"/>
      <w:lvlText w:val="%3."/>
      <w:lvlJc w:val="right"/>
      <w:pPr>
        <w:ind w:left="2160" w:hanging="180"/>
      </w:pPr>
    </w:lvl>
    <w:lvl w:ilvl="3" w:tplc="60F4FFF6">
      <w:start w:val="1"/>
      <w:numFmt w:val="decimal"/>
      <w:lvlText w:val="%4."/>
      <w:lvlJc w:val="left"/>
      <w:pPr>
        <w:ind w:left="2880" w:hanging="360"/>
      </w:pPr>
    </w:lvl>
    <w:lvl w:ilvl="4" w:tplc="0C1CE664">
      <w:start w:val="1"/>
      <w:numFmt w:val="lowerLetter"/>
      <w:lvlText w:val="%5."/>
      <w:lvlJc w:val="left"/>
      <w:pPr>
        <w:ind w:left="3600" w:hanging="360"/>
      </w:pPr>
    </w:lvl>
    <w:lvl w:ilvl="5" w:tplc="1F2C28DE">
      <w:start w:val="1"/>
      <w:numFmt w:val="lowerRoman"/>
      <w:lvlText w:val="%6."/>
      <w:lvlJc w:val="right"/>
      <w:pPr>
        <w:ind w:left="4320" w:hanging="180"/>
      </w:pPr>
    </w:lvl>
    <w:lvl w:ilvl="6" w:tplc="40B6D268">
      <w:start w:val="1"/>
      <w:numFmt w:val="decimal"/>
      <w:lvlText w:val="%7."/>
      <w:lvlJc w:val="left"/>
      <w:pPr>
        <w:ind w:left="5040" w:hanging="360"/>
      </w:pPr>
    </w:lvl>
    <w:lvl w:ilvl="7" w:tplc="589CDE2C">
      <w:start w:val="1"/>
      <w:numFmt w:val="lowerLetter"/>
      <w:lvlText w:val="%8."/>
      <w:lvlJc w:val="left"/>
      <w:pPr>
        <w:ind w:left="5760" w:hanging="360"/>
      </w:pPr>
    </w:lvl>
    <w:lvl w:ilvl="8" w:tplc="E54ADFDA">
      <w:start w:val="1"/>
      <w:numFmt w:val="lowerRoman"/>
      <w:lvlText w:val="%9."/>
      <w:lvlJc w:val="right"/>
      <w:pPr>
        <w:ind w:left="6480" w:hanging="180"/>
      </w:pPr>
    </w:lvl>
  </w:abstractNum>
  <w:abstractNum w:abstractNumId="53" w15:restartNumberingAfterBreak="0">
    <w:nsid w:val="711D2D5D"/>
    <w:multiLevelType w:val="hybridMultilevel"/>
    <w:tmpl w:val="EBBE8042"/>
    <w:lvl w:ilvl="0" w:tplc="0824A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8" w15:restartNumberingAfterBreak="0">
    <w:nsid w:val="7A4E547A"/>
    <w:multiLevelType w:val="hybridMultilevel"/>
    <w:tmpl w:val="EF46F064"/>
    <w:lvl w:ilvl="0" w:tplc="C36451F4">
      <w:start w:val="1"/>
      <w:numFmt w:val="decimal"/>
      <w:lvlText w:val="%1."/>
      <w:lvlJc w:val="left"/>
      <w:pPr>
        <w:ind w:left="720" w:hanging="360"/>
      </w:pPr>
      <w:rPr>
        <w:rFonts w:hint="default"/>
        <w:vanish w:val="0"/>
      </w:rPr>
    </w:lvl>
    <w:lvl w:ilvl="1" w:tplc="8EA286A4">
      <w:start w:val="1"/>
      <w:numFmt w:val="lowerLetter"/>
      <w:lvlText w:val="%2."/>
      <w:lvlJc w:val="left"/>
      <w:pPr>
        <w:ind w:left="1440" w:hanging="360"/>
      </w:pPr>
    </w:lvl>
    <w:lvl w:ilvl="2" w:tplc="B1385CCE">
      <w:start w:val="1"/>
      <w:numFmt w:val="lowerRoman"/>
      <w:lvlText w:val="%3."/>
      <w:lvlJc w:val="right"/>
      <w:pPr>
        <w:ind w:left="2160" w:hanging="180"/>
      </w:pPr>
    </w:lvl>
    <w:lvl w:ilvl="3" w:tplc="9F0654FC">
      <w:start w:val="1"/>
      <w:numFmt w:val="decimal"/>
      <w:lvlText w:val="%4."/>
      <w:lvlJc w:val="left"/>
      <w:pPr>
        <w:ind w:left="2880" w:hanging="360"/>
      </w:pPr>
    </w:lvl>
    <w:lvl w:ilvl="4" w:tplc="DFFED3D8">
      <w:start w:val="1"/>
      <w:numFmt w:val="lowerLetter"/>
      <w:lvlText w:val="%5."/>
      <w:lvlJc w:val="left"/>
      <w:pPr>
        <w:ind w:left="3600" w:hanging="360"/>
      </w:pPr>
    </w:lvl>
    <w:lvl w:ilvl="5" w:tplc="B2004C1E">
      <w:start w:val="1"/>
      <w:numFmt w:val="lowerRoman"/>
      <w:lvlText w:val="%6."/>
      <w:lvlJc w:val="right"/>
      <w:pPr>
        <w:ind w:left="4320" w:hanging="180"/>
      </w:pPr>
    </w:lvl>
    <w:lvl w:ilvl="6" w:tplc="698C8206">
      <w:start w:val="1"/>
      <w:numFmt w:val="decimal"/>
      <w:lvlText w:val="%7."/>
      <w:lvlJc w:val="left"/>
      <w:pPr>
        <w:ind w:left="5040" w:hanging="360"/>
      </w:pPr>
    </w:lvl>
    <w:lvl w:ilvl="7" w:tplc="93362810">
      <w:start w:val="1"/>
      <w:numFmt w:val="lowerLetter"/>
      <w:lvlText w:val="%8."/>
      <w:lvlJc w:val="left"/>
      <w:pPr>
        <w:ind w:left="5760" w:hanging="360"/>
      </w:pPr>
    </w:lvl>
    <w:lvl w:ilvl="8" w:tplc="6F24371C">
      <w:start w:val="1"/>
      <w:numFmt w:val="lowerRoman"/>
      <w:lvlText w:val="%9."/>
      <w:lvlJc w:val="right"/>
      <w:pPr>
        <w:ind w:left="648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4"/>
  </w:num>
  <w:num w:numId="2">
    <w:abstractNumId w:val="56"/>
  </w:num>
  <w:num w:numId="3">
    <w:abstractNumId w:val="22"/>
  </w:num>
  <w:num w:numId="4">
    <w:abstractNumId w:val="49"/>
  </w:num>
  <w:num w:numId="5">
    <w:abstractNumId w:val="27"/>
  </w:num>
  <w:num w:numId="6">
    <w:abstractNumId w:val="7"/>
  </w:num>
  <w:num w:numId="7">
    <w:abstractNumId w:val="19"/>
  </w:num>
  <w:num w:numId="8">
    <w:abstractNumId w:val="44"/>
  </w:num>
  <w:num w:numId="9">
    <w:abstractNumId w:val="0"/>
  </w:num>
  <w:num w:numId="10">
    <w:abstractNumId w:val="38"/>
  </w:num>
  <w:num w:numId="11">
    <w:abstractNumId w:val="39"/>
  </w:num>
  <w:num w:numId="12">
    <w:abstractNumId w:val="45"/>
  </w:num>
  <w:num w:numId="13">
    <w:abstractNumId w:val="1"/>
  </w:num>
  <w:num w:numId="14">
    <w:abstractNumId w:val="2"/>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6"/>
  </w:num>
  <w:num w:numId="23">
    <w:abstractNumId w:val="17"/>
  </w:num>
  <w:num w:numId="24">
    <w:abstractNumId w:val="20"/>
  </w:num>
  <w:num w:numId="25">
    <w:abstractNumId w:val="21"/>
  </w:num>
  <w:num w:numId="26">
    <w:abstractNumId w:val="23"/>
  </w:num>
  <w:num w:numId="27">
    <w:abstractNumId w:val="24"/>
  </w:num>
  <w:num w:numId="28">
    <w:abstractNumId w:val="25"/>
  </w:num>
  <w:num w:numId="29">
    <w:abstractNumId w:val="26"/>
  </w:num>
  <w:num w:numId="30">
    <w:abstractNumId w:val="28"/>
  </w:num>
  <w:num w:numId="31">
    <w:abstractNumId w:val="29"/>
  </w:num>
  <w:num w:numId="32">
    <w:abstractNumId w:val="30"/>
  </w:num>
  <w:num w:numId="33">
    <w:abstractNumId w:val="31"/>
  </w:num>
  <w:num w:numId="34">
    <w:abstractNumId w:val="34"/>
  </w:num>
  <w:num w:numId="35">
    <w:abstractNumId w:val="35"/>
  </w:num>
  <w:num w:numId="36">
    <w:abstractNumId w:val="40"/>
  </w:num>
  <w:num w:numId="37">
    <w:abstractNumId w:val="41"/>
  </w:num>
  <w:num w:numId="38">
    <w:abstractNumId w:val="48"/>
  </w:num>
  <w:num w:numId="39">
    <w:abstractNumId w:val="50"/>
  </w:num>
  <w:num w:numId="40">
    <w:abstractNumId w:val="51"/>
  </w:num>
  <w:num w:numId="41">
    <w:abstractNumId w:val="54"/>
  </w:num>
  <w:num w:numId="42">
    <w:abstractNumId w:val="55"/>
  </w:num>
  <w:num w:numId="43">
    <w:abstractNumId w:val="57"/>
  </w:num>
  <w:num w:numId="44">
    <w:abstractNumId w:val="59"/>
  </w:num>
  <w:num w:numId="45">
    <w:abstractNumId w:val="60"/>
  </w:num>
  <w:num w:numId="46">
    <w:abstractNumId w:val="61"/>
  </w:num>
  <w:num w:numId="47">
    <w:abstractNumId w:val="62"/>
  </w:num>
  <w:num w:numId="48">
    <w:abstractNumId w:val="42"/>
  </w:num>
  <w:num w:numId="49">
    <w:abstractNumId w:val="52"/>
  </w:num>
  <w:num w:numId="50">
    <w:abstractNumId w:val="46"/>
  </w:num>
  <w:num w:numId="51">
    <w:abstractNumId w:val="6"/>
  </w:num>
  <w:num w:numId="52">
    <w:abstractNumId w:val="36"/>
  </w:num>
  <w:num w:numId="53">
    <w:abstractNumId w:val="43"/>
  </w:num>
  <w:num w:numId="54">
    <w:abstractNumId w:val="3"/>
  </w:num>
  <w:num w:numId="55">
    <w:abstractNumId w:val="58"/>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37"/>
  </w:num>
  <w:num w:numId="59">
    <w:abstractNumId w:val="15"/>
  </w:num>
  <w:num w:numId="60">
    <w:abstractNumId w:val="47"/>
  </w:num>
  <w:num w:numId="61">
    <w:abstractNumId w:val="53"/>
  </w:num>
  <w:num w:numId="62">
    <w:abstractNumId w:val="18"/>
  </w:num>
  <w:num w:numId="63">
    <w:abstractNumId w:val="33"/>
  </w:num>
  <w:num w:numId="64">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30"/>
    <w:rsid w:val="00001288"/>
    <w:rsid w:val="00004795"/>
    <w:rsid w:val="00041688"/>
    <w:rsid w:val="000434C9"/>
    <w:rsid w:val="00071291"/>
    <w:rsid w:val="00074004"/>
    <w:rsid w:val="00075CDA"/>
    <w:rsid w:val="00094F5E"/>
    <w:rsid w:val="000A0A27"/>
    <w:rsid w:val="000C4430"/>
    <w:rsid w:val="000E46BA"/>
    <w:rsid w:val="000F35ED"/>
    <w:rsid w:val="000F5C79"/>
    <w:rsid w:val="00116F0A"/>
    <w:rsid w:val="001336C2"/>
    <w:rsid w:val="00155D66"/>
    <w:rsid w:val="00156D54"/>
    <w:rsid w:val="001D0857"/>
    <w:rsid w:val="001D1A4B"/>
    <w:rsid w:val="001E0025"/>
    <w:rsid w:val="001E1794"/>
    <w:rsid w:val="002029C6"/>
    <w:rsid w:val="002031D1"/>
    <w:rsid w:val="00205043"/>
    <w:rsid w:val="00205A50"/>
    <w:rsid w:val="002133A5"/>
    <w:rsid w:val="00213A51"/>
    <w:rsid w:val="002272B7"/>
    <w:rsid w:val="00227E25"/>
    <w:rsid w:val="00233FCC"/>
    <w:rsid w:val="00287BBD"/>
    <w:rsid w:val="002B0814"/>
    <w:rsid w:val="002D74EF"/>
    <w:rsid w:val="002E115D"/>
    <w:rsid w:val="002F3078"/>
    <w:rsid w:val="003371C1"/>
    <w:rsid w:val="00364864"/>
    <w:rsid w:val="0039205A"/>
    <w:rsid w:val="00394DF4"/>
    <w:rsid w:val="003C49A8"/>
    <w:rsid w:val="003D7146"/>
    <w:rsid w:val="00416B78"/>
    <w:rsid w:val="00431FA3"/>
    <w:rsid w:val="004366B8"/>
    <w:rsid w:val="0046252A"/>
    <w:rsid w:val="00467167"/>
    <w:rsid w:val="00471CFB"/>
    <w:rsid w:val="00473767"/>
    <w:rsid w:val="00474DDE"/>
    <w:rsid w:val="004900BE"/>
    <w:rsid w:val="004935E9"/>
    <w:rsid w:val="004B218B"/>
    <w:rsid w:val="004E339A"/>
    <w:rsid w:val="004F3EDA"/>
    <w:rsid w:val="004F6809"/>
    <w:rsid w:val="004F7290"/>
    <w:rsid w:val="0051286B"/>
    <w:rsid w:val="00513707"/>
    <w:rsid w:val="00520ED1"/>
    <w:rsid w:val="00553412"/>
    <w:rsid w:val="00573330"/>
    <w:rsid w:val="005814C5"/>
    <w:rsid w:val="005A153F"/>
    <w:rsid w:val="005A6431"/>
    <w:rsid w:val="005B5E9B"/>
    <w:rsid w:val="005D2021"/>
    <w:rsid w:val="005F4A5B"/>
    <w:rsid w:val="00607A75"/>
    <w:rsid w:val="00621B1E"/>
    <w:rsid w:val="0065252B"/>
    <w:rsid w:val="00664C79"/>
    <w:rsid w:val="00666ABC"/>
    <w:rsid w:val="0067473B"/>
    <w:rsid w:val="00676E1A"/>
    <w:rsid w:val="0067728D"/>
    <w:rsid w:val="006B17EC"/>
    <w:rsid w:val="006C4219"/>
    <w:rsid w:val="00702CF8"/>
    <w:rsid w:val="00731170"/>
    <w:rsid w:val="00757793"/>
    <w:rsid w:val="00777CCF"/>
    <w:rsid w:val="00781D5E"/>
    <w:rsid w:val="007876B4"/>
    <w:rsid w:val="007E73EA"/>
    <w:rsid w:val="008140B3"/>
    <w:rsid w:val="00851D57"/>
    <w:rsid w:val="008530B2"/>
    <w:rsid w:val="0086707C"/>
    <w:rsid w:val="00871C88"/>
    <w:rsid w:val="008B2A70"/>
    <w:rsid w:val="008B2E7F"/>
    <w:rsid w:val="008D2194"/>
    <w:rsid w:val="00934A2C"/>
    <w:rsid w:val="00956FBD"/>
    <w:rsid w:val="00965F08"/>
    <w:rsid w:val="0098126A"/>
    <w:rsid w:val="009A0B12"/>
    <w:rsid w:val="009C33F1"/>
    <w:rsid w:val="00A50FCF"/>
    <w:rsid w:val="00A5191B"/>
    <w:rsid w:val="00A6216D"/>
    <w:rsid w:val="00A72F79"/>
    <w:rsid w:val="00A765D6"/>
    <w:rsid w:val="00A814FC"/>
    <w:rsid w:val="00A91E66"/>
    <w:rsid w:val="00A96E6D"/>
    <w:rsid w:val="00AE0FC6"/>
    <w:rsid w:val="00AE1F3C"/>
    <w:rsid w:val="00B04F62"/>
    <w:rsid w:val="00B643F0"/>
    <w:rsid w:val="00B84E9C"/>
    <w:rsid w:val="00B87B1E"/>
    <w:rsid w:val="00BA1769"/>
    <w:rsid w:val="00BB0A3A"/>
    <w:rsid w:val="00BB2870"/>
    <w:rsid w:val="00BC1C63"/>
    <w:rsid w:val="00C054DF"/>
    <w:rsid w:val="00C55F1E"/>
    <w:rsid w:val="00C66927"/>
    <w:rsid w:val="00C732BF"/>
    <w:rsid w:val="00CA556E"/>
    <w:rsid w:val="00CB4123"/>
    <w:rsid w:val="00CE4459"/>
    <w:rsid w:val="00CF5C7B"/>
    <w:rsid w:val="00D237CC"/>
    <w:rsid w:val="00D47244"/>
    <w:rsid w:val="00D57B14"/>
    <w:rsid w:val="00D7349C"/>
    <w:rsid w:val="00D73FB0"/>
    <w:rsid w:val="00D80039"/>
    <w:rsid w:val="00D8380D"/>
    <w:rsid w:val="00DA00B9"/>
    <w:rsid w:val="00DA3DA0"/>
    <w:rsid w:val="00DC6760"/>
    <w:rsid w:val="00DD688B"/>
    <w:rsid w:val="00DE5170"/>
    <w:rsid w:val="00DE6E45"/>
    <w:rsid w:val="00DF47DB"/>
    <w:rsid w:val="00E03326"/>
    <w:rsid w:val="00E23A64"/>
    <w:rsid w:val="00E47775"/>
    <w:rsid w:val="00E51CAF"/>
    <w:rsid w:val="00E55EB6"/>
    <w:rsid w:val="00E62481"/>
    <w:rsid w:val="00E629E5"/>
    <w:rsid w:val="00E66D2C"/>
    <w:rsid w:val="00E67AF1"/>
    <w:rsid w:val="00E8548A"/>
    <w:rsid w:val="00E940BE"/>
    <w:rsid w:val="00E9539F"/>
    <w:rsid w:val="00EC7B87"/>
    <w:rsid w:val="00ED15A2"/>
    <w:rsid w:val="00F05BF4"/>
    <w:rsid w:val="00F32AE4"/>
    <w:rsid w:val="00F4654A"/>
    <w:rsid w:val="00F505CF"/>
    <w:rsid w:val="00F52B87"/>
    <w:rsid w:val="00F60044"/>
    <w:rsid w:val="00FC4332"/>
    <w:rsid w:val="00FD5EA5"/>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9C"/>
    <w:rPr>
      <w:sz w:val="24"/>
      <w:szCs w:val="24"/>
    </w:rPr>
  </w:style>
  <w:style w:type="paragraph" w:styleId="Heading1">
    <w:name w:val="heading 1"/>
    <w:basedOn w:val="Normal"/>
    <w:next w:val="Normal"/>
    <w:link w:val="Heading1Char"/>
    <w:uiPriority w:val="99"/>
    <w:qFormat/>
    <w:rsid w:val="00B84E9C"/>
    <w:pPr>
      <w:keepNext/>
      <w:keepLines/>
      <w:numPr>
        <w:numId w:val="49"/>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84E9C"/>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84E9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E9C"/>
    <w:rPr>
      <w:rFonts w:ascii="Cambria"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B84E9C"/>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B84E9C"/>
    <w:rPr>
      <w:rFonts w:ascii="Arial" w:hAnsi="Arial" w:cs="Arial"/>
      <w:b/>
      <w:bCs/>
      <w:sz w:val="26"/>
      <w:szCs w:val="26"/>
      <w:lang w:val="en-US" w:eastAsia="en-US"/>
    </w:rPr>
  </w:style>
  <w:style w:type="character" w:styleId="Hyperlink">
    <w:name w:val="Hyperlink"/>
    <w:basedOn w:val="DefaultParagraphFont"/>
    <w:uiPriority w:val="99"/>
    <w:rsid w:val="00B84E9C"/>
    <w:rPr>
      <w:u w:val="single"/>
    </w:rPr>
  </w:style>
  <w:style w:type="paragraph" w:customStyle="1" w:styleId="Cabeceraypie">
    <w:name w:val="Cabecera y pie"/>
    <w:uiPriority w:val="99"/>
    <w:rsid w:val="00B84E9C"/>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B84E9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B84E9C"/>
    <w:rPr>
      <w:rFonts w:ascii="Cambria" w:hAnsi="Cambria" w:cs="Cambria"/>
      <w:color w:val="000000"/>
      <w:sz w:val="24"/>
      <w:szCs w:val="24"/>
      <w:u w:color="000000"/>
      <w:lang w:val="en-US" w:eastAsia="es-ES"/>
    </w:rPr>
  </w:style>
  <w:style w:type="paragraph" w:customStyle="1" w:styleId="Cuerpo">
    <w:name w:val="Cuerpo"/>
    <w:uiPriority w:val="99"/>
    <w:rsid w:val="00B84E9C"/>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84E9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B84E9C"/>
    <w:rPr>
      <w:sz w:val="24"/>
      <w:szCs w:val="24"/>
    </w:rPr>
  </w:style>
  <w:style w:type="paragraph" w:styleId="ListParagraph">
    <w:name w:val="List Paragraph"/>
    <w:basedOn w:val="Normal"/>
    <w:uiPriority w:val="34"/>
    <w:qFormat/>
    <w:rsid w:val="00B84E9C"/>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footnote text"/>
    <w:basedOn w:val="Normal"/>
    <w:link w:val="FootnoteTextChar1"/>
    <w:uiPriority w:val="99"/>
    <w:rsid w:val="00B84E9C"/>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locked/>
    <w:rsid w:val="00702CF8"/>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B84E9C"/>
    <w:rPr>
      <w:sz w:val="20"/>
      <w:szCs w:val="20"/>
    </w:rPr>
  </w:style>
  <w:style w:type="paragraph" w:styleId="BalloonText">
    <w:name w:val="Balloon Text"/>
    <w:basedOn w:val="Normal"/>
    <w:link w:val="BalloonTextChar"/>
    <w:uiPriority w:val="99"/>
    <w:semiHidden/>
    <w:rsid w:val="00B84E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9C"/>
    <w:rPr>
      <w:rFonts w:ascii="Tahoma" w:hAnsi="Tahoma" w:cs="Tahoma"/>
      <w:sz w:val="16"/>
      <w:szCs w:val="16"/>
      <w:lang w:val="en-US" w:eastAsia="en-US"/>
    </w:rPr>
  </w:style>
  <w:style w:type="paragraph" w:styleId="Header">
    <w:name w:val="header"/>
    <w:aliases w:val="encabezado"/>
    <w:basedOn w:val="Normal"/>
    <w:link w:val="HeaderChar"/>
    <w:uiPriority w:val="99"/>
    <w:rsid w:val="00B84E9C"/>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B84E9C"/>
    <w:rPr>
      <w:rFonts w:ascii="Univers" w:hAnsi="Univers" w:cs="Univers"/>
      <w:sz w:val="24"/>
      <w:szCs w:val="24"/>
      <w:lang w:val="en-US" w:eastAsia="en-US"/>
    </w:rPr>
  </w:style>
  <w:style w:type="table" w:styleId="MediumShading1-Accent1">
    <w:name w:val="Medium Shading 1 Accent 1"/>
    <w:basedOn w:val="TableNormal"/>
    <w:uiPriority w:val="99"/>
    <w:rsid w:val="00B84E9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B84E9C"/>
    <w:pPr>
      <w:tabs>
        <w:tab w:val="left" w:pos="1440"/>
        <w:tab w:val="right" w:leader="dot" w:pos="9350"/>
      </w:tabs>
      <w:spacing w:after="100"/>
      <w:ind w:left="1440" w:hanging="720"/>
    </w:pPr>
  </w:style>
  <w:style w:type="paragraph" w:styleId="TOC1">
    <w:name w:val="toc 1"/>
    <w:basedOn w:val="Normal"/>
    <w:next w:val="Normal"/>
    <w:autoRedefine/>
    <w:uiPriority w:val="99"/>
    <w:semiHidden/>
    <w:rsid w:val="00B84E9C"/>
    <w:pPr>
      <w:spacing w:after="100"/>
    </w:pPr>
    <w:rPr>
      <w:rFonts w:ascii="Calibri" w:hAnsi="Calibri" w:cs="Calibri"/>
      <w:sz w:val="22"/>
      <w:szCs w:val="22"/>
    </w:rPr>
  </w:style>
  <w:style w:type="paragraph" w:styleId="TOC3">
    <w:name w:val="toc 3"/>
    <w:basedOn w:val="Normal"/>
    <w:next w:val="Normal"/>
    <w:autoRedefine/>
    <w:uiPriority w:val="99"/>
    <w:semiHidden/>
    <w:rsid w:val="00B84E9C"/>
    <w:pPr>
      <w:tabs>
        <w:tab w:val="left" w:pos="880"/>
        <w:tab w:val="right" w:leader="dot" w:pos="9350"/>
      </w:tabs>
      <w:spacing w:after="100"/>
      <w:ind w:left="2160" w:hanging="720"/>
    </w:pPr>
  </w:style>
  <w:style w:type="paragraph" w:styleId="TOC4">
    <w:name w:val="toc 4"/>
    <w:basedOn w:val="Normal"/>
    <w:next w:val="Normal"/>
    <w:autoRedefine/>
    <w:uiPriority w:val="99"/>
    <w:semiHidden/>
    <w:rsid w:val="00B84E9C"/>
    <w:pPr>
      <w:spacing w:after="100"/>
      <w:ind w:left="720"/>
    </w:pPr>
  </w:style>
  <w:style w:type="character" w:styleId="PageNumber">
    <w:name w:val="page number"/>
    <w:basedOn w:val="DefaultParagraphFont"/>
    <w:uiPriority w:val="99"/>
    <w:rsid w:val="00B84E9C"/>
  </w:style>
  <w:style w:type="character" w:styleId="FootnoteReference">
    <w:name w:val="footnote reference"/>
    <w:aliases w:val="Appel note de bas de page,BVI fnr,Footnote number,Footnotes refss,Ref. de nota al pie.,Texto de nota al pie,f1,referencia nota al pie"/>
    <w:basedOn w:val="DefaultParagraphFont"/>
    <w:uiPriority w:val="99"/>
    <w:rsid w:val="00B84E9C"/>
    <w:rPr>
      <w:vertAlign w:val="superscript"/>
    </w:rPr>
  </w:style>
  <w:style w:type="paragraph" w:styleId="BodyTextIndent2">
    <w:name w:val="Body Text Indent 2"/>
    <w:basedOn w:val="Normal"/>
    <w:link w:val="BodyTextIndent2Char"/>
    <w:uiPriority w:val="99"/>
    <w:semiHidden/>
    <w:rsid w:val="00B84E9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84E9C"/>
    <w:rPr>
      <w:sz w:val="24"/>
      <w:szCs w:val="24"/>
      <w:lang w:val="en-US" w:eastAsia="en-US"/>
    </w:rPr>
  </w:style>
  <w:style w:type="paragraph" w:styleId="BodyText">
    <w:name w:val="Body Text"/>
    <w:basedOn w:val="Normal"/>
    <w:link w:val="BodyTextChar"/>
    <w:uiPriority w:val="99"/>
    <w:semiHidden/>
    <w:rsid w:val="00B84E9C"/>
    <w:pPr>
      <w:spacing w:after="120"/>
    </w:pPr>
  </w:style>
  <w:style w:type="character" w:customStyle="1" w:styleId="BodyTextChar">
    <w:name w:val="Body Text Char"/>
    <w:basedOn w:val="DefaultParagraphFont"/>
    <w:link w:val="BodyText"/>
    <w:uiPriority w:val="99"/>
    <w:semiHidden/>
    <w:locked/>
    <w:rsid w:val="00B84E9C"/>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B84E9C"/>
    <w:rPr>
      <w:rFonts w:ascii="Calibri" w:hAnsi="Calibri" w:cs="Calibri"/>
      <w:color w:val="000000"/>
      <w:u w:color="000000"/>
      <w:lang w:val="en-US"/>
    </w:rPr>
  </w:style>
  <w:style w:type="paragraph" w:customStyle="1" w:styleId="Default">
    <w:name w:val="Default"/>
    <w:link w:val="DefaultChar"/>
    <w:uiPriority w:val="99"/>
    <w:rsid w:val="00B84E9C"/>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B84E9C"/>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B84E9C"/>
    <w:rPr>
      <w:rFonts w:eastAsia="Times New Roman"/>
      <w:sz w:val="24"/>
      <w:szCs w:val="24"/>
      <w:lang w:val="en-US" w:eastAsia="en-US"/>
    </w:rPr>
  </w:style>
  <w:style w:type="character" w:customStyle="1" w:styleId="DefaultChar">
    <w:name w:val="Default Char"/>
    <w:link w:val="Default"/>
    <w:uiPriority w:val="99"/>
    <w:locked/>
    <w:rsid w:val="00B84E9C"/>
    <w:rPr>
      <w:rFonts w:eastAsia="Times New Roman"/>
      <w:color w:val="000000"/>
      <w:sz w:val="22"/>
      <w:szCs w:val="22"/>
      <w:lang w:val="en-US" w:eastAsia="en-US"/>
    </w:rPr>
  </w:style>
  <w:style w:type="numbering" w:customStyle="1" w:styleId="List16">
    <w:name w:val="List 16"/>
    <w:rsid w:val="004A5F4E"/>
    <w:pPr>
      <w:numPr>
        <w:numId w:val="9"/>
      </w:numPr>
    </w:pPr>
  </w:style>
  <w:style w:type="numbering" w:customStyle="1" w:styleId="List36">
    <w:name w:val="List 36"/>
    <w:rsid w:val="004A5F4E"/>
    <w:pPr>
      <w:numPr>
        <w:numId w:val="13"/>
      </w:numPr>
    </w:pPr>
  </w:style>
  <w:style w:type="numbering" w:customStyle="1" w:styleId="List25">
    <w:name w:val="List 25"/>
    <w:rsid w:val="004A5F4E"/>
    <w:pPr>
      <w:numPr>
        <w:numId w:val="14"/>
      </w:numPr>
    </w:pPr>
  </w:style>
  <w:style w:type="numbering" w:customStyle="1" w:styleId="List1">
    <w:name w:val="List 1"/>
    <w:rsid w:val="004A5F4E"/>
    <w:pPr>
      <w:numPr>
        <w:numId w:val="1"/>
      </w:numPr>
    </w:pPr>
  </w:style>
  <w:style w:type="numbering" w:customStyle="1" w:styleId="List11">
    <w:name w:val="List 11"/>
    <w:rsid w:val="004A5F4E"/>
    <w:pPr>
      <w:numPr>
        <w:numId w:val="6"/>
      </w:numPr>
    </w:pPr>
  </w:style>
  <w:style w:type="numbering" w:customStyle="1" w:styleId="List15">
    <w:name w:val="List 15"/>
    <w:rsid w:val="004A5F4E"/>
    <w:pPr>
      <w:numPr>
        <w:numId w:val="15"/>
      </w:numPr>
    </w:pPr>
  </w:style>
  <w:style w:type="numbering" w:customStyle="1" w:styleId="List14">
    <w:name w:val="List 14"/>
    <w:rsid w:val="004A5F4E"/>
    <w:pPr>
      <w:numPr>
        <w:numId w:val="16"/>
      </w:numPr>
    </w:pPr>
  </w:style>
  <w:style w:type="numbering" w:customStyle="1" w:styleId="List23">
    <w:name w:val="List 23"/>
    <w:rsid w:val="004A5F4E"/>
    <w:pPr>
      <w:numPr>
        <w:numId w:val="17"/>
      </w:numPr>
    </w:pPr>
  </w:style>
  <w:style w:type="numbering" w:customStyle="1" w:styleId="List19">
    <w:name w:val="List 19"/>
    <w:rsid w:val="004A5F4E"/>
    <w:pPr>
      <w:numPr>
        <w:numId w:val="18"/>
      </w:numPr>
    </w:pPr>
  </w:style>
  <w:style w:type="numbering" w:customStyle="1" w:styleId="List45">
    <w:name w:val="List 45"/>
    <w:rsid w:val="004A5F4E"/>
    <w:pPr>
      <w:numPr>
        <w:numId w:val="19"/>
      </w:numPr>
    </w:pPr>
  </w:style>
  <w:style w:type="numbering" w:customStyle="1" w:styleId="List40">
    <w:name w:val="List 40"/>
    <w:rsid w:val="004A5F4E"/>
    <w:pPr>
      <w:numPr>
        <w:numId w:val="20"/>
      </w:numPr>
    </w:pPr>
  </w:style>
  <w:style w:type="numbering" w:customStyle="1" w:styleId="List9">
    <w:name w:val="List 9"/>
    <w:rsid w:val="004A5F4E"/>
    <w:pPr>
      <w:numPr>
        <w:numId w:val="21"/>
      </w:numPr>
    </w:pPr>
  </w:style>
  <w:style w:type="numbering" w:customStyle="1" w:styleId="List43">
    <w:name w:val="List 43"/>
    <w:rsid w:val="004A5F4E"/>
    <w:pPr>
      <w:numPr>
        <w:numId w:val="22"/>
      </w:numPr>
    </w:pPr>
  </w:style>
  <w:style w:type="numbering" w:customStyle="1" w:styleId="List46">
    <w:name w:val="List 46"/>
    <w:rsid w:val="004A5F4E"/>
    <w:pPr>
      <w:numPr>
        <w:numId w:val="23"/>
      </w:numPr>
    </w:pPr>
  </w:style>
  <w:style w:type="numbering" w:customStyle="1" w:styleId="List35">
    <w:name w:val="List 35"/>
    <w:rsid w:val="004A5F4E"/>
    <w:pPr>
      <w:numPr>
        <w:numId w:val="7"/>
      </w:numPr>
    </w:pPr>
  </w:style>
  <w:style w:type="numbering" w:customStyle="1" w:styleId="List17">
    <w:name w:val="List 17"/>
    <w:rsid w:val="004A5F4E"/>
    <w:pPr>
      <w:numPr>
        <w:numId w:val="24"/>
      </w:numPr>
    </w:pPr>
  </w:style>
  <w:style w:type="numbering" w:customStyle="1" w:styleId="List33">
    <w:name w:val="List 33"/>
    <w:rsid w:val="004A5F4E"/>
    <w:pPr>
      <w:numPr>
        <w:numId w:val="25"/>
      </w:numPr>
    </w:pPr>
  </w:style>
  <w:style w:type="numbering" w:customStyle="1" w:styleId="List7">
    <w:name w:val="List 7"/>
    <w:rsid w:val="004A5F4E"/>
    <w:pPr>
      <w:numPr>
        <w:numId w:val="3"/>
      </w:numPr>
    </w:pPr>
  </w:style>
  <w:style w:type="numbering" w:customStyle="1" w:styleId="List18">
    <w:name w:val="List 18"/>
    <w:rsid w:val="004A5F4E"/>
    <w:pPr>
      <w:numPr>
        <w:numId w:val="26"/>
      </w:numPr>
    </w:pPr>
  </w:style>
  <w:style w:type="numbering" w:customStyle="1" w:styleId="List22">
    <w:name w:val="List 22"/>
    <w:rsid w:val="004A5F4E"/>
    <w:pPr>
      <w:numPr>
        <w:numId w:val="27"/>
      </w:numPr>
    </w:pPr>
  </w:style>
  <w:style w:type="numbering" w:customStyle="1" w:styleId="List47">
    <w:name w:val="List 47"/>
    <w:rsid w:val="004A5F4E"/>
    <w:pPr>
      <w:numPr>
        <w:numId w:val="28"/>
      </w:numPr>
    </w:pPr>
  </w:style>
  <w:style w:type="numbering" w:customStyle="1" w:styleId="List28">
    <w:name w:val="List 28"/>
    <w:rsid w:val="004A5F4E"/>
    <w:pPr>
      <w:numPr>
        <w:numId w:val="29"/>
      </w:numPr>
    </w:pPr>
  </w:style>
  <w:style w:type="numbering" w:customStyle="1" w:styleId="List10">
    <w:name w:val="List 10"/>
    <w:rsid w:val="004A5F4E"/>
    <w:pPr>
      <w:numPr>
        <w:numId w:val="5"/>
      </w:numPr>
    </w:pPr>
  </w:style>
  <w:style w:type="numbering" w:customStyle="1" w:styleId="List0">
    <w:name w:val="List 0"/>
    <w:rsid w:val="004A5F4E"/>
    <w:pPr>
      <w:numPr>
        <w:numId w:val="30"/>
      </w:numPr>
    </w:pPr>
  </w:style>
  <w:style w:type="numbering" w:customStyle="1" w:styleId="List30">
    <w:name w:val="List 30"/>
    <w:rsid w:val="004A5F4E"/>
    <w:pPr>
      <w:numPr>
        <w:numId w:val="31"/>
      </w:numPr>
    </w:pPr>
  </w:style>
  <w:style w:type="numbering" w:customStyle="1" w:styleId="List29">
    <w:name w:val="List 29"/>
    <w:rsid w:val="004A5F4E"/>
    <w:pPr>
      <w:numPr>
        <w:numId w:val="32"/>
      </w:numPr>
    </w:pPr>
  </w:style>
  <w:style w:type="numbering" w:customStyle="1" w:styleId="List38">
    <w:name w:val="List 38"/>
    <w:rsid w:val="004A5F4E"/>
    <w:pPr>
      <w:numPr>
        <w:numId w:val="33"/>
      </w:numPr>
    </w:pPr>
  </w:style>
  <w:style w:type="numbering" w:customStyle="1" w:styleId="List12">
    <w:name w:val="List 12"/>
    <w:rsid w:val="004A5F4E"/>
    <w:pPr>
      <w:numPr>
        <w:numId w:val="34"/>
      </w:numPr>
    </w:pPr>
  </w:style>
  <w:style w:type="numbering" w:customStyle="1" w:styleId="List50">
    <w:name w:val="List 50"/>
    <w:rsid w:val="004A5F4E"/>
    <w:pPr>
      <w:numPr>
        <w:numId w:val="35"/>
      </w:numPr>
    </w:pPr>
  </w:style>
  <w:style w:type="numbering" w:customStyle="1" w:styleId="List34">
    <w:name w:val="List 34"/>
    <w:rsid w:val="004A5F4E"/>
    <w:pPr>
      <w:numPr>
        <w:numId w:val="10"/>
      </w:numPr>
    </w:pPr>
  </w:style>
  <w:style w:type="numbering" w:customStyle="1" w:styleId="List42">
    <w:name w:val="List 42"/>
    <w:rsid w:val="004A5F4E"/>
    <w:pPr>
      <w:numPr>
        <w:numId w:val="11"/>
      </w:numPr>
    </w:pPr>
  </w:style>
  <w:style w:type="numbering" w:customStyle="1" w:styleId="List49">
    <w:name w:val="List 49"/>
    <w:rsid w:val="004A5F4E"/>
    <w:pPr>
      <w:numPr>
        <w:numId w:val="36"/>
      </w:numPr>
    </w:pPr>
  </w:style>
  <w:style w:type="numbering" w:customStyle="1" w:styleId="List44">
    <w:name w:val="List 44"/>
    <w:rsid w:val="004A5F4E"/>
    <w:pPr>
      <w:numPr>
        <w:numId w:val="37"/>
      </w:numPr>
    </w:pPr>
  </w:style>
  <w:style w:type="numbering" w:customStyle="1" w:styleId="List21">
    <w:name w:val="List 21"/>
    <w:rsid w:val="004A5F4E"/>
    <w:pPr>
      <w:numPr>
        <w:numId w:val="48"/>
      </w:numPr>
    </w:pPr>
  </w:style>
  <w:style w:type="numbering" w:customStyle="1" w:styleId="List52">
    <w:name w:val="List 52"/>
    <w:rsid w:val="004A5F4E"/>
    <w:pPr>
      <w:numPr>
        <w:numId w:val="8"/>
      </w:numPr>
    </w:pPr>
  </w:style>
  <w:style w:type="numbering" w:customStyle="1" w:styleId="List24">
    <w:name w:val="List 24"/>
    <w:rsid w:val="004A5F4E"/>
    <w:pPr>
      <w:numPr>
        <w:numId w:val="12"/>
      </w:numPr>
    </w:pPr>
  </w:style>
  <w:style w:type="numbering" w:customStyle="1" w:styleId="List51">
    <w:name w:val="List 51"/>
    <w:rsid w:val="004A5F4E"/>
    <w:pPr>
      <w:numPr>
        <w:numId w:val="50"/>
      </w:numPr>
    </w:pPr>
  </w:style>
  <w:style w:type="numbering" w:customStyle="1" w:styleId="List27">
    <w:name w:val="List 27"/>
    <w:rsid w:val="004A5F4E"/>
    <w:pPr>
      <w:numPr>
        <w:numId w:val="38"/>
      </w:numPr>
    </w:pPr>
  </w:style>
  <w:style w:type="numbering" w:customStyle="1" w:styleId="List8">
    <w:name w:val="List 8"/>
    <w:rsid w:val="004A5F4E"/>
    <w:pPr>
      <w:numPr>
        <w:numId w:val="4"/>
      </w:numPr>
    </w:pPr>
  </w:style>
  <w:style w:type="numbering" w:customStyle="1" w:styleId="List13">
    <w:name w:val="List 13"/>
    <w:rsid w:val="004A5F4E"/>
    <w:pPr>
      <w:numPr>
        <w:numId w:val="39"/>
      </w:numPr>
    </w:pPr>
  </w:style>
  <w:style w:type="numbering" w:customStyle="1" w:styleId="List20">
    <w:name w:val="List 20"/>
    <w:rsid w:val="004A5F4E"/>
    <w:pPr>
      <w:numPr>
        <w:numId w:val="40"/>
      </w:numPr>
    </w:pPr>
  </w:style>
  <w:style w:type="numbering" w:customStyle="1" w:styleId="List41">
    <w:name w:val="List 41"/>
    <w:rsid w:val="004A5F4E"/>
    <w:pPr>
      <w:numPr>
        <w:numId w:val="41"/>
      </w:numPr>
    </w:pPr>
  </w:style>
  <w:style w:type="numbering" w:customStyle="1" w:styleId="List31">
    <w:name w:val="List 31"/>
    <w:rsid w:val="004A5F4E"/>
    <w:pPr>
      <w:numPr>
        <w:numId w:val="42"/>
      </w:numPr>
    </w:pPr>
  </w:style>
  <w:style w:type="numbering" w:customStyle="1" w:styleId="List6">
    <w:name w:val="List 6"/>
    <w:rsid w:val="004A5F4E"/>
    <w:pPr>
      <w:numPr>
        <w:numId w:val="2"/>
      </w:numPr>
    </w:pPr>
  </w:style>
  <w:style w:type="numbering" w:customStyle="1" w:styleId="List39">
    <w:name w:val="List 39"/>
    <w:rsid w:val="004A5F4E"/>
    <w:pPr>
      <w:numPr>
        <w:numId w:val="43"/>
      </w:numPr>
    </w:pPr>
  </w:style>
  <w:style w:type="numbering" w:customStyle="1" w:styleId="List37">
    <w:name w:val="List 37"/>
    <w:rsid w:val="004A5F4E"/>
    <w:pPr>
      <w:numPr>
        <w:numId w:val="44"/>
      </w:numPr>
    </w:pPr>
  </w:style>
  <w:style w:type="numbering" w:customStyle="1" w:styleId="List32">
    <w:name w:val="List 32"/>
    <w:rsid w:val="004A5F4E"/>
    <w:pPr>
      <w:numPr>
        <w:numId w:val="45"/>
      </w:numPr>
    </w:pPr>
  </w:style>
  <w:style w:type="numbering" w:customStyle="1" w:styleId="List26">
    <w:name w:val="List 26"/>
    <w:rsid w:val="004A5F4E"/>
    <w:pPr>
      <w:numPr>
        <w:numId w:val="46"/>
      </w:numPr>
    </w:pPr>
  </w:style>
  <w:style w:type="numbering" w:customStyle="1" w:styleId="List48">
    <w:name w:val="List 48"/>
    <w:rsid w:val="004A5F4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7240">
      <w:bodyDiv w:val="1"/>
      <w:marLeft w:val="0"/>
      <w:marRight w:val="0"/>
      <w:marTop w:val="0"/>
      <w:marBottom w:val="0"/>
      <w:divBdr>
        <w:top w:val="none" w:sz="0" w:space="0" w:color="auto"/>
        <w:left w:val="none" w:sz="0" w:space="0" w:color="auto"/>
        <w:bottom w:val="none" w:sz="0" w:space="0" w:color="auto"/>
        <w:right w:val="none" w:sz="0" w:space="0" w:color="auto"/>
      </w:divBdr>
    </w:div>
    <w:div w:id="1517622176">
      <w:bodyDiv w:val="1"/>
      <w:marLeft w:val="0"/>
      <w:marRight w:val="0"/>
      <w:marTop w:val="0"/>
      <w:marBottom w:val="0"/>
      <w:divBdr>
        <w:top w:val="none" w:sz="0" w:space="0" w:color="auto"/>
        <w:left w:val="none" w:sz="0" w:space="0" w:color="auto"/>
        <w:bottom w:val="none" w:sz="0" w:space="0" w:color="auto"/>
        <w:right w:val="none" w:sz="0" w:space="0" w:color="auto"/>
      </w:divBdr>
      <w:divsChild>
        <w:div w:id="650519824">
          <w:marLeft w:val="0"/>
          <w:marRight w:val="0"/>
          <w:marTop w:val="0"/>
          <w:marBottom w:val="0"/>
          <w:divBdr>
            <w:top w:val="none" w:sz="0" w:space="0" w:color="auto"/>
            <w:left w:val="none" w:sz="0" w:space="0" w:color="auto"/>
            <w:bottom w:val="none" w:sz="0" w:space="0" w:color="auto"/>
            <w:right w:val="none" w:sz="0" w:space="0" w:color="auto"/>
          </w:divBdr>
          <w:divsChild>
            <w:div w:id="1429541373">
              <w:marLeft w:val="0"/>
              <w:marRight w:val="0"/>
              <w:marTop w:val="0"/>
              <w:marBottom w:val="0"/>
              <w:divBdr>
                <w:top w:val="none" w:sz="0" w:space="0" w:color="auto"/>
                <w:left w:val="none" w:sz="0" w:space="0" w:color="auto"/>
                <w:bottom w:val="none" w:sz="0" w:space="0" w:color="auto"/>
                <w:right w:val="none" w:sz="0" w:space="0" w:color="auto"/>
              </w:divBdr>
              <w:divsChild>
                <w:div w:id="1975791034">
                  <w:marLeft w:val="0"/>
                  <w:marRight w:val="0"/>
                  <w:marTop w:val="0"/>
                  <w:marBottom w:val="0"/>
                  <w:divBdr>
                    <w:top w:val="none" w:sz="0" w:space="0" w:color="auto"/>
                    <w:left w:val="none" w:sz="0" w:space="0" w:color="auto"/>
                    <w:bottom w:val="none" w:sz="0" w:space="0" w:color="auto"/>
                    <w:right w:val="none" w:sz="0" w:space="0" w:color="auto"/>
                  </w:divBdr>
                  <w:divsChild>
                    <w:div w:id="269749852">
                      <w:marLeft w:val="0"/>
                      <w:marRight w:val="0"/>
                      <w:marTop w:val="0"/>
                      <w:marBottom w:val="0"/>
                      <w:divBdr>
                        <w:top w:val="none" w:sz="0" w:space="0" w:color="auto"/>
                        <w:left w:val="none" w:sz="0" w:space="0" w:color="auto"/>
                        <w:bottom w:val="none" w:sz="0" w:space="0" w:color="auto"/>
                        <w:right w:val="none" w:sz="0" w:space="0" w:color="auto"/>
                      </w:divBdr>
                      <w:divsChild>
                        <w:div w:id="540552362">
                          <w:marLeft w:val="0"/>
                          <w:marRight w:val="0"/>
                          <w:marTop w:val="0"/>
                          <w:marBottom w:val="0"/>
                          <w:divBdr>
                            <w:top w:val="none" w:sz="0" w:space="0" w:color="auto"/>
                            <w:left w:val="none" w:sz="0" w:space="0" w:color="auto"/>
                            <w:bottom w:val="none" w:sz="0" w:space="0" w:color="auto"/>
                            <w:right w:val="none" w:sz="0" w:space="0" w:color="auto"/>
                          </w:divBdr>
                          <w:divsChild>
                            <w:div w:id="1640377735">
                              <w:marLeft w:val="2070"/>
                              <w:marRight w:val="3960"/>
                              <w:marTop w:val="0"/>
                              <w:marBottom w:val="0"/>
                              <w:divBdr>
                                <w:top w:val="none" w:sz="0" w:space="0" w:color="auto"/>
                                <w:left w:val="none" w:sz="0" w:space="0" w:color="auto"/>
                                <w:bottom w:val="none" w:sz="0" w:space="0" w:color="auto"/>
                                <w:right w:val="none" w:sz="0" w:space="0" w:color="auto"/>
                              </w:divBdr>
                              <w:divsChild>
                                <w:div w:id="805466863">
                                  <w:marLeft w:val="0"/>
                                  <w:marRight w:val="0"/>
                                  <w:marTop w:val="0"/>
                                  <w:marBottom w:val="0"/>
                                  <w:divBdr>
                                    <w:top w:val="none" w:sz="0" w:space="0" w:color="auto"/>
                                    <w:left w:val="none" w:sz="0" w:space="0" w:color="auto"/>
                                    <w:bottom w:val="none" w:sz="0" w:space="0" w:color="auto"/>
                                    <w:right w:val="none" w:sz="0" w:space="0" w:color="auto"/>
                                  </w:divBdr>
                                  <w:divsChild>
                                    <w:div w:id="2058626625">
                                      <w:marLeft w:val="0"/>
                                      <w:marRight w:val="0"/>
                                      <w:marTop w:val="0"/>
                                      <w:marBottom w:val="0"/>
                                      <w:divBdr>
                                        <w:top w:val="none" w:sz="0" w:space="0" w:color="auto"/>
                                        <w:left w:val="none" w:sz="0" w:space="0" w:color="auto"/>
                                        <w:bottom w:val="none" w:sz="0" w:space="0" w:color="auto"/>
                                        <w:right w:val="none" w:sz="0" w:space="0" w:color="auto"/>
                                      </w:divBdr>
                                      <w:divsChild>
                                        <w:div w:id="1037851721">
                                          <w:marLeft w:val="0"/>
                                          <w:marRight w:val="0"/>
                                          <w:marTop w:val="0"/>
                                          <w:marBottom w:val="0"/>
                                          <w:divBdr>
                                            <w:top w:val="none" w:sz="0" w:space="0" w:color="auto"/>
                                            <w:left w:val="none" w:sz="0" w:space="0" w:color="auto"/>
                                            <w:bottom w:val="none" w:sz="0" w:space="0" w:color="auto"/>
                                            <w:right w:val="none" w:sz="0" w:space="0" w:color="auto"/>
                                          </w:divBdr>
                                          <w:divsChild>
                                            <w:div w:id="969094329">
                                              <w:marLeft w:val="0"/>
                                              <w:marRight w:val="0"/>
                                              <w:marTop w:val="90"/>
                                              <w:marBottom w:val="0"/>
                                              <w:divBdr>
                                                <w:top w:val="none" w:sz="0" w:space="0" w:color="auto"/>
                                                <w:left w:val="none" w:sz="0" w:space="0" w:color="auto"/>
                                                <w:bottom w:val="none" w:sz="0" w:space="0" w:color="auto"/>
                                                <w:right w:val="none" w:sz="0" w:space="0" w:color="auto"/>
                                              </w:divBdr>
                                              <w:divsChild>
                                                <w:div w:id="765075990">
                                                  <w:marLeft w:val="0"/>
                                                  <w:marRight w:val="0"/>
                                                  <w:marTop w:val="0"/>
                                                  <w:marBottom w:val="0"/>
                                                  <w:divBdr>
                                                    <w:top w:val="none" w:sz="0" w:space="0" w:color="auto"/>
                                                    <w:left w:val="none" w:sz="0" w:space="0" w:color="auto"/>
                                                    <w:bottom w:val="none" w:sz="0" w:space="0" w:color="auto"/>
                                                    <w:right w:val="none" w:sz="0" w:space="0" w:color="auto"/>
                                                  </w:divBdr>
                                                  <w:divsChild>
                                                    <w:div w:id="28142000">
                                                      <w:marLeft w:val="0"/>
                                                      <w:marRight w:val="0"/>
                                                      <w:marTop w:val="0"/>
                                                      <w:marBottom w:val="0"/>
                                                      <w:divBdr>
                                                        <w:top w:val="none" w:sz="0" w:space="0" w:color="auto"/>
                                                        <w:left w:val="none" w:sz="0" w:space="0" w:color="auto"/>
                                                        <w:bottom w:val="none" w:sz="0" w:space="0" w:color="auto"/>
                                                        <w:right w:val="none" w:sz="0" w:space="0" w:color="auto"/>
                                                      </w:divBdr>
                                                      <w:divsChild>
                                                        <w:div w:id="27224141">
                                                          <w:marLeft w:val="0"/>
                                                          <w:marRight w:val="0"/>
                                                          <w:marTop w:val="0"/>
                                                          <w:marBottom w:val="405"/>
                                                          <w:divBdr>
                                                            <w:top w:val="none" w:sz="0" w:space="0" w:color="auto"/>
                                                            <w:left w:val="none" w:sz="0" w:space="0" w:color="auto"/>
                                                            <w:bottom w:val="none" w:sz="0" w:space="0" w:color="auto"/>
                                                            <w:right w:val="none" w:sz="0" w:space="0" w:color="auto"/>
                                                          </w:divBdr>
                                                          <w:divsChild>
                                                            <w:div w:id="2085033245">
                                                              <w:marLeft w:val="0"/>
                                                              <w:marRight w:val="0"/>
                                                              <w:marTop w:val="0"/>
                                                              <w:marBottom w:val="0"/>
                                                              <w:divBdr>
                                                                <w:top w:val="none" w:sz="0" w:space="0" w:color="auto"/>
                                                                <w:left w:val="none" w:sz="0" w:space="0" w:color="auto"/>
                                                                <w:bottom w:val="none" w:sz="0" w:space="0" w:color="auto"/>
                                                                <w:right w:val="none" w:sz="0" w:space="0" w:color="auto"/>
                                                              </w:divBdr>
                                                              <w:divsChild>
                                                                <w:div w:id="1486237209">
                                                                  <w:marLeft w:val="0"/>
                                                                  <w:marRight w:val="0"/>
                                                                  <w:marTop w:val="0"/>
                                                                  <w:marBottom w:val="0"/>
                                                                  <w:divBdr>
                                                                    <w:top w:val="none" w:sz="0" w:space="0" w:color="auto"/>
                                                                    <w:left w:val="none" w:sz="0" w:space="0" w:color="auto"/>
                                                                    <w:bottom w:val="none" w:sz="0" w:space="0" w:color="auto"/>
                                                                    <w:right w:val="none" w:sz="0" w:space="0" w:color="auto"/>
                                                                  </w:divBdr>
                                                                  <w:divsChild>
                                                                    <w:div w:id="253902301">
                                                                      <w:marLeft w:val="0"/>
                                                                      <w:marRight w:val="0"/>
                                                                      <w:marTop w:val="0"/>
                                                                      <w:marBottom w:val="0"/>
                                                                      <w:divBdr>
                                                                        <w:top w:val="none" w:sz="0" w:space="0" w:color="auto"/>
                                                                        <w:left w:val="none" w:sz="0" w:space="0" w:color="auto"/>
                                                                        <w:bottom w:val="none" w:sz="0" w:space="0" w:color="auto"/>
                                                                        <w:right w:val="none" w:sz="0" w:space="0" w:color="auto"/>
                                                                      </w:divBdr>
                                                                      <w:divsChild>
                                                                        <w:div w:id="1195266047">
                                                                          <w:marLeft w:val="0"/>
                                                                          <w:marRight w:val="0"/>
                                                                          <w:marTop w:val="0"/>
                                                                          <w:marBottom w:val="0"/>
                                                                          <w:divBdr>
                                                                            <w:top w:val="none" w:sz="0" w:space="0" w:color="auto"/>
                                                                            <w:left w:val="none" w:sz="0" w:space="0" w:color="auto"/>
                                                                            <w:bottom w:val="none" w:sz="0" w:space="0" w:color="auto"/>
                                                                            <w:right w:val="none" w:sz="0" w:space="0" w:color="auto"/>
                                                                          </w:divBdr>
                                                                          <w:divsChild>
                                                                            <w:div w:id="1554731783">
                                                                              <w:marLeft w:val="0"/>
                                                                              <w:marRight w:val="0"/>
                                                                              <w:marTop w:val="0"/>
                                                                              <w:marBottom w:val="0"/>
                                                                              <w:divBdr>
                                                                                <w:top w:val="none" w:sz="0" w:space="0" w:color="auto"/>
                                                                                <w:left w:val="none" w:sz="0" w:space="0" w:color="auto"/>
                                                                                <w:bottom w:val="none" w:sz="0" w:space="0" w:color="auto"/>
                                                                                <w:right w:val="none" w:sz="0" w:space="0" w:color="auto"/>
                                                                              </w:divBdr>
                                                                              <w:divsChild>
                                                                                <w:div w:id="544876959">
                                                                                  <w:marLeft w:val="0"/>
                                                                                  <w:marRight w:val="0"/>
                                                                                  <w:marTop w:val="0"/>
                                                                                  <w:marBottom w:val="0"/>
                                                                                  <w:divBdr>
                                                                                    <w:top w:val="none" w:sz="0" w:space="0" w:color="auto"/>
                                                                                    <w:left w:val="none" w:sz="0" w:space="0" w:color="auto"/>
                                                                                    <w:bottom w:val="none" w:sz="0" w:space="0" w:color="auto"/>
                                                                                    <w:right w:val="none" w:sz="0" w:space="0" w:color="auto"/>
                                                                                  </w:divBdr>
                                                                                  <w:divsChild>
                                                                                    <w:div w:id="1589460533">
                                                                                      <w:marLeft w:val="0"/>
                                                                                      <w:marRight w:val="0"/>
                                                                                      <w:marTop w:val="0"/>
                                                                                      <w:marBottom w:val="0"/>
                                                                                      <w:divBdr>
                                                                                        <w:top w:val="none" w:sz="0" w:space="0" w:color="auto"/>
                                                                                        <w:left w:val="none" w:sz="0" w:space="0" w:color="auto"/>
                                                                                        <w:bottom w:val="none" w:sz="0" w:space="0" w:color="auto"/>
                                                                                        <w:right w:val="none" w:sz="0" w:space="0" w:color="auto"/>
                                                                                      </w:divBdr>
                                                                                      <w:divsChild>
                                                                                        <w:div w:id="1096904904">
                                                                                          <w:marLeft w:val="0"/>
                                                                                          <w:marRight w:val="0"/>
                                                                                          <w:marTop w:val="0"/>
                                                                                          <w:marBottom w:val="0"/>
                                                                                          <w:divBdr>
                                                                                            <w:top w:val="none" w:sz="0" w:space="0" w:color="auto"/>
                                                                                            <w:left w:val="none" w:sz="0" w:space="0" w:color="auto"/>
                                                                                            <w:bottom w:val="none" w:sz="0" w:space="0" w:color="auto"/>
                                                                                            <w:right w:val="none" w:sz="0" w:space="0" w:color="auto"/>
                                                                                          </w:divBdr>
                                                                                        </w:div>
                                                                                        <w:div w:id="2066097080">
                                                                                          <w:marLeft w:val="0"/>
                                                                                          <w:marRight w:val="0"/>
                                                                                          <w:marTop w:val="0"/>
                                                                                          <w:marBottom w:val="0"/>
                                                                                          <w:divBdr>
                                                                                            <w:top w:val="none" w:sz="0" w:space="0" w:color="auto"/>
                                                                                            <w:left w:val="none" w:sz="0" w:space="0" w:color="auto"/>
                                                                                            <w:bottom w:val="none" w:sz="0" w:space="0" w:color="auto"/>
                                                                                            <w:right w:val="none" w:sz="0" w:space="0" w:color="auto"/>
                                                                                          </w:divBdr>
                                                                                          <w:divsChild>
                                                                                            <w:div w:id="16397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48F6-35BF-4914-83DD-E7BFEFCE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3493</Words>
  <Characters>19915</Characters>
  <Application>Microsoft Office Word</Application>
  <DocSecurity>0</DocSecurity>
  <Lines>165</Lines>
  <Paragraphs>46</Paragraphs>
  <ScaleCrop>false</ScaleCrop>
  <LinksUpToDate>false</LinksUpToDate>
  <CharactersWithSpaces>23362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103/19</dc:title>
  <dc:creator/>
  <cp:lastModifiedBy/>
  <cp:revision>1</cp:revision>
  <dcterms:created xsi:type="dcterms:W3CDTF">2019-07-22T13:49:00Z</dcterms:created>
  <dcterms:modified xsi:type="dcterms:W3CDTF">2019-07-22T13:49:00Z</dcterms:modified>
</cp:coreProperties>
</file>