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49F7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449E2C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C099A">
                              <w:rPr>
                                <w:rFonts w:asciiTheme="majorHAnsi" w:hAnsiTheme="majorHAnsi" w:cs="Arial"/>
                                <w:b/>
                                <w:bCs/>
                                <w:color w:val="0D0D0D" w:themeColor="text1" w:themeTint="F2"/>
                                <w:sz w:val="36"/>
                                <w:szCs w:val="40"/>
                              </w:rPr>
                              <w:t>189</w:t>
                            </w:r>
                            <w:r w:rsidR="00322450" w:rsidRPr="004B7EB6">
                              <w:rPr>
                                <w:rFonts w:asciiTheme="majorHAnsi" w:hAnsiTheme="majorHAnsi" w:cs="Arial"/>
                                <w:b/>
                                <w:bCs/>
                                <w:color w:val="0D0D0D" w:themeColor="text1" w:themeTint="F2"/>
                                <w:sz w:val="36"/>
                                <w:szCs w:val="40"/>
                              </w:rPr>
                              <w:t>/1</w:t>
                            </w:r>
                            <w:r w:rsidR="00257D55">
                              <w:rPr>
                                <w:rFonts w:asciiTheme="majorHAnsi" w:hAnsiTheme="majorHAnsi" w:cs="Arial"/>
                                <w:b/>
                                <w:bCs/>
                                <w:color w:val="0D0D0D" w:themeColor="text1" w:themeTint="F2"/>
                                <w:sz w:val="36"/>
                                <w:szCs w:val="40"/>
                              </w:rPr>
                              <w:t>9</w:t>
                            </w:r>
                          </w:p>
                          <w:p w14:paraId="081F51F3" w14:textId="38164A2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57D55">
                              <w:rPr>
                                <w:rFonts w:asciiTheme="majorHAnsi" w:hAnsiTheme="majorHAnsi" w:cs="Arial"/>
                                <w:b/>
                                <w:bCs/>
                                <w:color w:val="0D0D0D" w:themeColor="text1" w:themeTint="F2"/>
                                <w:sz w:val="36"/>
                                <w:szCs w:val="40"/>
                              </w:rPr>
                              <w:t>572</w:t>
                            </w:r>
                            <w:r w:rsidR="00F621C3">
                              <w:rPr>
                                <w:rFonts w:asciiTheme="majorHAnsi" w:hAnsiTheme="majorHAnsi" w:cs="Arial"/>
                                <w:b/>
                                <w:bCs/>
                                <w:color w:val="0D0D0D" w:themeColor="text1" w:themeTint="F2"/>
                                <w:sz w:val="36"/>
                                <w:szCs w:val="40"/>
                              </w:rPr>
                              <w:t>-</w:t>
                            </w:r>
                            <w:r w:rsidR="00257D55">
                              <w:rPr>
                                <w:rFonts w:asciiTheme="majorHAnsi" w:hAnsiTheme="majorHAnsi" w:cs="Arial"/>
                                <w:b/>
                                <w:bCs/>
                                <w:color w:val="0D0D0D" w:themeColor="text1" w:themeTint="F2"/>
                                <w:sz w:val="36"/>
                                <w:szCs w:val="40"/>
                              </w:rPr>
                              <w:t>11</w:t>
                            </w:r>
                          </w:p>
                          <w:p w14:paraId="34978E5A" w14:textId="0B57622B" w:rsidR="002C1641" w:rsidRPr="00670280" w:rsidRDefault="00F42B71" w:rsidP="004B7EB6">
                            <w:pPr>
                              <w:spacing w:line="276" w:lineRule="auto"/>
                              <w:rPr>
                                <w:rFonts w:asciiTheme="majorHAnsi" w:hAnsiTheme="majorHAnsi" w:cs="Arial"/>
                                <w:szCs w:val="22"/>
                              </w:rPr>
                            </w:pPr>
                            <w:r w:rsidRPr="00670280">
                              <w:rPr>
                                <w:rFonts w:asciiTheme="majorHAnsi" w:hAnsiTheme="majorHAnsi" w:cs="Arial"/>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2FA226C" w:rsidR="00F42B71" w:rsidRPr="004B625D" w:rsidRDefault="00257D5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SARAH LYN LANGTON AND FAMILY</w:t>
                            </w:r>
                          </w:p>
                          <w:p w14:paraId="48EBC31A" w14:textId="2CADB01F" w:rsidR="00F42B71" w:rsidRPr="004B625D" w:rsidRDefault="00257D5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VENEZUELA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449E2C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C099A">
                        <w:rPr>
                          <w:rFonts w:asciiTheme="majorHAnsi" w:hAnsiTheme="majorHAnsi" w:cs="Arial"/>
                          <w:b/>
                          <w:bCs/>
                          <w:color w:val="0D0D0D" w:themeColor="text1" w:themeTint="F2"/>
                          <w:sz w:val="36"/>
                          <w:szCs w:val="40"/>
                        </w:rPr>
                        <w:t>189</w:t>
                      </w:r>
                      <w:r w:rsidR="00322450" w:rsidRPr="004B7EB6">
                        <w:rPr>
                          <w:rFonts w:asciiTheme="majorHAnsi" w:hAnsiTheme="majorHAnsi" w:cs="Arial"/>
                          <w:b/>
                          <w:bCs/>
                          <w:color w:val="0D0D0D" w:themeColor="text1" w:themeTint="F2"/>
                          <w:sz w:val="36"/>
                          <w:szCs w:val="40"/>
                        </w:rPr>
                        <w:t>/1</w:t>
                      </w:r>
                      <w:r w:rsidR="00257D55">
                        <w:rPr>
                          <w:rFonts w:asciiTheme="majorHAnsi" w:hAnsiTheme="majorHAnsi" w:cs="Arial"/>
                          <w:b/>
                          <w:bCs/>
                          <w:color w:val="0D0D0D" w:themeColor="text1" w:themeTint="F2"/>
                          <w:sz w:val="36"/>
                          <w:szCs w:val="40"/>
                        </w:rPr>
                        <w:t>9</w:t>
                      </w:r>
                    </w:p>
                    <w:p w14:paraId="081F51F3" w14:textId="38164A2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57D55">
                        <w:rPr>
                          <w:rFonts w:asciiTheme="majorHAnsi" w:hAnsiTheme="majorHAnsi" w:cs="Arial"/>
                          <w:b/>
                          <w:bCs/>
                          <w:color w:val="0D0D0D" w:themeColor="text1" w:themeTint="F2"/>
                          <w:sz w:val="36"/>
                          <w:szCs w:val="40"/>
                        </w:rPr>
                        <w:t>572</w:t>
                      </w:r>
                      <w:r w:rsidR="00F621C3">
                        <w:rPr>
                          <w:rFonts w:asciiTheme="majorHAnsi" w:hAnsiTheme="majorHAnsi" w:cs="Arial"/>
                          <w:b/>
                          <w:bCs/>
                          <w:color w:val="0D0D0D" w:themeColor="text1" w:themeTint="F2"/>
                          <w:sz w:val="36"/>
                          <w:szCs w:val="40"/>
                        </w:rPr>
                        <w:t>-</w:t>
                      </w:r>
                      <w:r w:rsidR="00257D55">
                        <w:rPr>
                          <w:rFonts w:asciiTheme="majorHAnsi" w:hAnsiTheme="majorHAnsi" w:cs="Arial"/>
                          <w:b/>
                          <w:bCs/>
                          <w:color w:val="0D0D0D" w:themeColor="text1" w:themeTint="F2"/>
                          <w:sz w:val="36"/>
                          <w:szCs w:val="40"/>
                        </w:rPr>
                        <w:t>11</w:t>
                      </w:r>
                    </w:p>
                    <w:p w14:paraId="34978E5A" w14:textId="0B57622B" w:rsidR="002C1641" w:rsidRPr="00670280" w:rsidRDefault="00F42B71" w:rsidP="004B7EB6">
                      <w:pPr>
                        <w:spacing w:line="276" w:lineRule="auto"/>
                        <w:rPr>
                          <w:rFonts w:asciiTheme="majorHAnsi" w:hAnsiTheme="majorHAnsi" w:cs="Arial"/>
                          <w:szCs w:val="22"/>
                        </w:rPr>
                      </w:pPr>
                      <w:r w:rsidRPr="00670280">
                        <w:rPr>
                          <w:rFonts w:asciiTheme="majorHAnsi" w:hAnsiTheme="majorHAnsi" w:cs="Arial"/>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2FA226C" w:rsidR="00F42B71" w:rsidRPr="004B625D" w:rsidRDefault="00257D5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SARAH LYN LANGTON AND FAMILY</w:t>
                      </w:r>
                    </w:p>
                    <w:p w14:paraId="48EBC31A" w14:textId="2CADB01F" w:rsidR="00F42B71" w:rsidRPr="004B625D" w:rsidRDefault="00257D5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VENEZUELA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CF066C1" w:rsidR="00627C9F" w:rsidRPr="0069599A" w:rsidRDefault="009E566A" w:rsidP="009E566A">
                            <w:pPr>
                              <w:jc w:val="right"/>
                              <w:rPr>
                                <w:rFonts w:asciiTheme="minorHAnsi" w:hAnsiTheme="minorHAnsi"/>
                                <w:color w:val="FFFFFF" w:themeColor="background1"/>
                                <w:sz w:val="22"/>
                                <w:lang w:val="es-US"/>
                              </w:rPr>
                            </w:pPr>
                            <w:r w:rsidRPr="0069599A">
                              <w:rPr>
                                <w:rFonts w:asciiTheme="minorHAnsi" w:hAnsiTheme="minorHAnsi"/>
                                <w:color w:val="FFFFFF" w:themeColor="background1"/>
                                <w:sz w:val="22"/>
                                <w:lang w:val="es-US"/>
                              </w:rPr>
                              <w:t>OEA/Ser.L/V/II.</w:t>
                            </w:r>
                          </w:p>
                          <w:p w14:paraId="4AA08A8C" w14:textId="3F484699" w:rsidR="00627C9F" w:rsidRPr="006C099A" w:rsidRDefault="00CA6577" w:rsidP="009E566A">
                            <w:pPr>
                              <w:jc w:val="right"/>
                              <w:rPr>
                                <w:rFonts w:asciiTheme="minorHAnsi" w:hAnsiTheme="minorHAnsi"/>
                                <w:color w:val="FFFFFF" w:themeColor="background1"/>
                                <w:sz w:val="22"/>
                              </w:rPr>
                            </w:pPr>
                            <w:r w:rsidRPr="006C099A">
                              <w:rPr>
                                <w:rFonts w:asciiTheme="minorHAnsi" w:hAnsiTheme="minorHAnsi"/>
                                <w:color w:val="FFFFFF" w:themeColor="background1"/>
                                <w:sz w:val="22"/>
                              </w:rPr>
                              <w:t xml:space="preserve">Doc. </w:t>
                            </w:r>
                            <w:r w:rsidR="006C099A" w:rsidRPr="006C099A">
                              <w:rPr>
                                <w:rFonts w:asciiTheme="minorHAnsi" w:hAnsiTheme="minorHAnsi"/>
                                <w:color w:val="FFFFFF" w:themeColor="background1"/>
                                <w:sz w:val="22"/>
                              </w:rPr>
                              <w:t>2</w:t>
                            </w:r>
                            <w:r w:rsidR="006C099A">
                              <w:rPr>
                                <w:rFonts w:asciiTheme="minorHAnsi" w:hAnsiTheme="minorHAnsi"/>
                                <w:color w:val="FFFFFF" w:themeColor="background1"/>
                                <w:sz w:val="22"/>
                              </w:rPr>
                              <w:t>11</w:t>
                            </w:r>
                          </w:p>
                          <w:p w14:paraId="0BEFF61A" w14:textId="6D93D1F3" w:rsidR="00627C9F" w:rsidRPr="006C099A" w:rsidRDefault="006C099A"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 2019</w:t>
                            </w:r>
                          </w:p>
                          <w:p w14:paraId="0FC103BD" w14:textId="47EA0AF6" w:rsidR="00627C9F" w:rsidRPr="006C099A" w:rsidRDefault="00627C9F" w:rsidP="009E566A">
                            <w:pPr>
                              <w:jc w:val="right"/>
                              <w:rPr>
                                <w:rFonts w:asciiTheme="minorHAnsi" w:hAnsiTheme="minorHAnsi"/>
                                <w:color w:val="FFFFFF" w:themeColor="background1"/>
                                <w:sz w:val="22"/>
                              </w:rPr>
                            </w:pPr>
                            <w:r w:rsidRPr="006C099A">
                              <w:rPr>
                                <w:rFonts w:asciiTheme="minorHAnsi" w:hAnsiTheme="minorHAnsi"/>
                                <w:color w:val="FFFFFF" w:themeColor="background1"/>
                                <w:sz w:val="22"/>
                              </w:rPr>
                              <w:t>Original:</w:t>
                            </w:r>
                            <w:r w:rsidR="002C1641" w:rsidRPr="006C099A">
                              <w:rPr>
                                <w:rFonts w:asciiTheme="minorHAnsi" w:hAnsiTheme="minorHAnsi"/>
                                <w:color w:val="FFFFFF" w:themeColor="background1"/>
                                <w:sz w:val="22"/>
                              </w:rPr>
                              <w:t xml:space="preserve"> </w:t>
                            </w:r>
                            <w:r w:rsidR="00F42B71" w:rsidRPr="006C099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CF066C1" w:rsidR="00627C9F" w:rsidRPr="0069599A" w:rsidRDefault="009E566A" w:rsidP="009E566A">
                      <w:pPr>
                        <w:jc w:val="right"/>
                        <w:rPr>
                          <w:rFonts w:asciiTheme="minorHAnsi" w:hAnsiTheme="minorHAnsi"/>
                          <w:color w:val="FFFFFF" w:themeColor="background1"/>
                          <w:sz w:val="22"/>
                          <w:lang w:val="es-US"/>
                        </w:rPr>
                      </w:pPr>
                      <w:r w:rsidRPr="0069599A">
                        <w:rPr>
                          <w:rFonts w:asciiTheme="minorHAnsi" w:hAnsiTheme="minorHAnsi"/>
                          <w:color w:val="FFFFFF" w:themeColor="background1"/>
                          <w:sz w:val="22"/>
                          <w:lang w:val="es-US"/>
                        </w:rPr>
                        <w:t>OEA/Ser.L/V/II.</w:t>
                      </w:r>
                    </w:p>
                    <w:p w14:paraId="4AA08A8C" w14:textId="3F484699" w:rsidR="00627C9F" w:rsidRPr="006C099A" w:rsidRDefault="00CA6577" w:rsidP="009E566A">
                      <w:pPr>
                        <w:jc w:val="right"/>
                        <w:rPr>
                          <w:rFonts w:asciiTheme="minorHAnsi" w:hAnsiTheme="minorHAnsi"/>
                          <w:color w:val="FFFFFF" w:themeColor="background1"/>
                          <w:sz w:val="22"/>
                        </w:rPr>
                      </w:pPr>
                      <w:r w:rsidRPr="006C099A">
                        <w:rPr>
                          <w:rFonts w:asciiTheme="minorHAnsi" w:hAnsiTheme="minorHAnsi"/>
                          <w:color w:val="FFFFFF" w:themeColor="background1"/>
                          <w:sz w:val="22"/>
                        </w:rPr>
                        <w:t xml:space="preserve">Doc. </w:t>
                      </w:r>
                      <w:r w:rsidR="006C099A" w:rsidRPr="006C099A">
                        <w:rPr>
                          <w:rFonts w:asciiTheme="minorHAnsi" w:hAnsiTheme="minorHAnsi"/>
                          <w:color w:val="FFFFFF" w:themeColor="background1"/>
                          <w:sz w:val="22"/>
                        </w:rPr>
                        <w:t>2</w:t>
                      </w:r>
                      <w:r w:rsidR="006C099A">
                        <w:rPr>
                          <w:rFonts w:asciiTheme="minorHAnsi" w:hAnsiTheme="minorHAnsi"/>
                          <w:color w:val="FFFFFF" w:themeColor="background1"/>
                          <w:sz w:val="22"/>
                        </w:rPr>
                        <w:t>11</w:t>
                      </w:r>
                    </w:p>
                    <w:p w14:paraId="0BEFF61A" w14:textId="6D93D1F3" w:rsidR="00627C9F" w:rsidRPr="006C099A" w:rsidRDefault="006C099A"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 2019</w:t>
                      </w:r>
                    </w:p>
                    <w:p w14:paraId="0FC103BD" w14:textId="47EA0AF6" w:rsidR="00627C9F" w:rsidRPr="006C099A" w:rsidRDefault="00627C9F" w:rsidP="009E566A">
                      <w:pPr>
                        <w:jc w:val="right"/>
                        <w:rPr>
                          <w:rFonts w:asciiTheme="minorHAnsi" w:hAnsiTheme="minorHAnsi"/>
                          <w:color w:val="FFFFFF" w:themeColor="background1"/>
                          <w:sz w:val="22"/>
                        </w:rPr>
                      </w:pPr>
                      <w:r w:rsidRPr="006C099A">
                        <w:rPr>
                          <w:rFonts w:asciiTheme="minorHAnsi" w:hAnsiTheme="minorHAnsi"/>
                          <w:color w:val="FFFFFF" w:themeColor="background1"/>
                          <w:sz w:val="22"/>
                        </w:rPr>
                        <w:t>Original:</w:t>
                      </w:r>
                      <w:r w:rsidR="002C1641" w:rsidRPr="006C099A">
                        <w:rPr>
                          <w:rFonts w:asciiTheme="minorHAnsi" w:hAnsiTheme="minorHAnsi"/>
                          <w:color w:val="FFFFFF" w:themeColor="background1"/>
                          <w:sz w:val="22"/>
                        </w:rPr>
                        <w:t xml:space="preserve"> </w:t>
                      </w:r>
                      <w:r w:rsidR="00F42B71" w:rsidRPr="006C099A">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272C6F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6C099A">
                              <w:rPr>
                                <w:rFonts w:asciiTheme="majorHAnsi" w:hAnsiTheme="majorHAnsi"/>
                                <w:color w:val="0D0D0D" w:themeColor="text1" w:themeTint="F2"/>
                                <w:sz w:val="18"/>
                                <w:szCs w:val="20"/>
                              </w:rPr>
                              <w:t>December 5</w:t>
                            </w:r>
                            <w:r w:rsidR="000C4365">
                              <w:rPr>
                                <w:rFonts w:asciiTheme="majorHAnsi" w:hAnsiTheme="majorHAnsi"/>
                                <w:color w:val="0D0D0D" w:themeColor="text1" w:themeTint="F2"/>
                                <w:sz w:val="18"/>
                                <w:szCs w:val="20"/>
                              </w:rPr>
                              <w:t>, 201</w:t>
                            </w:r>
                            <w:r w:rsidR="006C099A">
                              <w:rPr>
                                <w:rFonts w:asciiTheme="majorHAnsi" w:hAnsiTheme="majorHAnsi"/>
                                <w:color w:val="0D0D0D" w:themeColor="text1" w:themeTint="F2"/>
                                <w:sz w:val="18"/>
                                <w:szCs w:val="20"/>
                              </w:rPr>
                              <w:t>9</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272C6F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6C099A">
                        <w:rPr>
                          <w:rFonts w:asciiTheme="majorHAnsi" w:hAnsiTheme="majorHAnsi"/>
                          <w:color w:val="0D0D0D" w:themeColor="text1" w:themeTint="F2"/>
                          <w:sz w:val="18"/>
                          <w:szCs w:val="20"/>
                        </w:rPr>
                        <w:t>December 5</w:t>
                      </w:r>
                      <w:r w:rsidR="000C4365">
                        <w:rPr>
                          <w:rFonts w:asciiTheme="majorHAnsi" w:hAnsiTheme="majorHAnsi"/>
                          <w:color w:val="0D0D0D" w:themeColor="text1" w:themeTint="F2"/>
                          <w:sz w:val="18"/>
                          <w:szCs w:val="20"/>
                        </w:rPr>
                        <w:t>, 201</w:t>
                      </w:r>
                      <w:r w:rsidR="006C099A">
                        <w:rPr>
                          <w:rFonts w:asciiTheme="majorHAnsi" w:hAnsiTheme="majorHAnsi"/>
                          <w:color w:val="0D0D0D" w:themeColor="text1" w:themeTint="F2"/>
                          <w:sz w:val="18"/>
                          <w:szCs w:val="20"/>
                        </w:rPr>
                        <w:t>9</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588D9D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C099A">
                              <w:rPr>
                                <w:rFonts w:asciiTheme="majorHAnsi" w:hAnsiTheme="majorHAnsi"/>
                                <w:color w:val="595959" w:themeColor="text1" w:themeTint="A6"/>
                                <w:sz w:val="18"/>
                              </w:rPr>
                              <w:t>189</w:t>
                            </w:r>
                            <w:r w:rsidR="00022CF5">
                              <w:rPr>
                                <w:rFonts w:asciiTheme="majorHAnsi" w:hAnsiTheme="majorHAnsi"/>
                                <w:color w:val="595959" w:themeColor="text1" w:themeTint="A6"/>
                                <w:sz w:val="18"/>
                              </w:rPr>
                              <w:t>/</w:t>
                            </w:r>
                            <w:r w:rsidR="006C099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57D55">
                              <w:rPr>
                                <w:rFonts w:asciiTheme="majorHAnsi" w:hAnsiTheme="majorHAnsi"/>
                                <w:color w:val="595959" w:themeColor="text1" w:themeTint="A6"/>
                                <w:sz w:val="18"/>
                              </w:rPr>
                              <w:t>572</w:t>
                            </w:r>
                            <w:r w:rsidR="00F621C3">
                              <w:rPr>
                                <w:rFonts w:asciiTheme="majorHAnsi" w:hAnsiTheme="majorHAnsi"/>
                                <w:color w:val="595959" w:themeColor="text1" w:themeTint="A6"/>
                                <w:sz w:val="18"/>
                              </w:rPr>
                              <w:t>-</w:t>
                            </w:r>
                            <w:r w:rsidR="00257D55">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6C099A">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257D55">
                              <w:rPr>
                                <w:rFonts w:asciiTheme="majorHAnsi" w:hAnsiTheme="majorHAnsi"/>
                                <w:color w:val="595959" w:themeColor="text1" w:themeTint="A6"/>
                                <w:sz w:val="18"/>
                              </w:rPr>
                              <w:t>Sarah Lyn Langton and family</w:t>
                            </w:r>
                            <w:r w:rsidRPr="003C32BC">
                              <w:rPr>
                                <w:rFonts w:asciiTheme="majorHAnsi" w:hAnsiTheme="majorHAnsi"/>
                                <w:color w:val="595959" w:themeColor="text1" w:themeTint="A6"/>
                                <w:sz w:val="18"/>
                              </w:rPr>
                              <w:t xml:space="preserve">. </w:t>
                            </w:r>
                            <w:r w:rsidR="00257D55">
                              <w:rPr>
                                <w:rFonts w:asciiTheme="majorHAnsi" w:hAnsiTheme="majorHAnsi"/>
                                <w:color w:val="595959" w:themeColor="text1" w:themeTint="A6"/>
                                <w:sz w:val="18"/>
                              </w:rPr>
                              <w:t>Venezuela</w:t>
                            </w:r>
                            <w:r w:rsidR="00022CF5">
                              <w:rPr>
                                <w:rFonts w:asciiTheme="majorHAnsi" w:hAnsiTheme="majorHAnsi"/>
                                <w:color w:val="595959" w:themeColor="text1" w:themeTint="A6"/>
                                <w:sz w:val="18"/>
                              </w:rPr>
                              <w:t xml:space="preserve">. </w:t>
                            </w:r>
                            <w:r w:rsidR="006C099A">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588D9D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C099A">
                        <w:rPr>
                          <w:rFonts w:asciiTheme="majorHAnsi" w:hAnsiTheme="majorHAnsi"/>
                          <w:color w:val="595959" w:themeColor="text1" w:themeTint="A6"/>
                          <w:sz w:val="18"/>
                        </w:rPr>
                        <w:t>189</w:t>
                      </w:r>
                      <w:r w:rsidR="00022CF5">
                        <w:rPr>
                          <w:rFonts w:asciiTheme="majorHAnsi" w:hAnsiTheme="majorHAnsi"/>
                          <w:color w:val="595959" w:themeColor="text1" w:themeTint="A6"/>
                          <w:sz w:val="18"/>
                        </w:rPr>
                        <w:t>/</w:t>
                      </w:r>
                      <w:r w:rsidR="006C099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57D55">
                        <w:rPr>
                          <w:rFonts w:asciiTheme="majorHAnsi" w:hAnsiTheme="majorHAnsi"/>
                          <w:color w:val="595959" w:themeColor="text1" w:themeTint="A6"/>
                          <w:sz w:val="18"/>
                        </w:rPr>
                        <w:t>572</w:t>
                      </w:r>
                      <w:r w:rsidR="00F621C3">
                        <w:rPr>
                          <w:rFonts w:asciiTheme="majorHAnsi" w:hAnsiTheme="majorHAnsi"/>
                          <w:color w:val="595959" w:themeColor="text1" w:themeTint="A6"/>
                          <w:sz w:val="18"/>
                        </w:rPr>
                        <w:t>-</w:t>
                      </w:r>
                      <w:r w:rsidR="00257D55">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6C099A">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257D55">
                        <w:rPr>
                          <w:rFonts w:asciiTheme="majorHAnsi" w:hAnsiTheme="majorHAnsi"/>
                          <w:color w:val="595959" w:themeColor="text1" w:themeTint="A6"/>
                          <w:sz w:val="18"/>
                        </w:rPr>
                        <w:t>Sarah Lyn Langton and family</w:t>
                      </w:r>
                      <w:r w:rsidRPr="003C32BC">
                        <w:rPr>
                          <w:rFonts w:asciiTheme="majorHAnsi" w:hAnsiTheme="majorHAnsi"/>
                          <w:color w:val="595959" w:themeColor="text1" w:themeTint="A6"/>
                          <w:sz w:val="18"/>
                        </w:rPr>
                        <w:t xml:space="preserve">. </w:t>
                      </w:r>
                      <w:r w:rsidR="00257D55">
                        <w:rPr>
                          <w:rFonts w:asciiTheme="majorHAnsi" w:hAnsiTheme="majorHAnsi"/>
                          <w:color w:val="595959" w:themeColor="text1" w:themeTint="A6"/>
                          <w:sz w:val="18"/>
                        </w:rPr>
                        <w:t>Venezuela</w:t>
                      </w:r>
                      <w:r w:rsidR="00022CF5">
                        <w:rPr>
                          <w:rFonts w:asciiTheme="majorHAnsi" w:hAnsiTheme="majorHAnsi"/>
                          <w:color w:val="595959" w:themeColor="text1" w:themeTint="A6"/>
                          <w:sz w:val="18"/>
                        </w:rPr>
                        <w:t xml:space="preserve">. </w:t>
                      </w:r>
                      <w:r w:rsidR="006C099A">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41118750" w:rsidR="00F621C3" w:rsidRPr="00C355B4" w:rsidRDefault="00C81285" w:rsidP="009163FC">
            <w:pPr>
              <w:jc w:val="both"/>
              <w:rPr>
                <w:rFonts w:ascii="Cambria" w:hAnsi="Cambria"/>
                <w:bCs/>
                <w:sz w:val="19"/>
                <w:szCs w:val="19"/>
              </w:rPr>
            </w:pPr>
            <w:r>
              <w:rPr>
                <w:rFonts w:ascii="Cambria" w:hAnsi="Cambria"/>
                <w:bCs/>
                <w:sz w:val="19"/>
                <w:szCs w:val="19"/>
              </w:rPr>
              <w:t>REDRESS</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21D4394D" w:rsidR="00F621C3" w:rsidRPr="00C355B4" w:rsidRDefault="00C81285" w:rsidP="009163FC">
            <w:pPr>
              <w:jc w:val="both"/>
              <w:rPr>
                <w:rFonts w:ascii="Cambria" w:hAnsi="Cambria"/>
                <w:bCs/>
                <w:sz w:val="19"/>
                <w:szCs w:val="19"/>
              </w:rPr>
            </w:pPr>
            <w:r w:rsidRPr="009F7460">
              <w:rPr>
                <w:rFonts w:ascii="Cambria" w:hAnsi="Cambria"/>
                <w:bCs/>
                <w:sz w:val="19"/>
                <w:szCs w:val="19"/>
              </w:rPr>
              <w:t>Sarah Lyn Langton and family</w:t>
            </w:r>
            <w:r>
              <w:rPr>
                <w:rStyle w:val="FootnoteReference"/>
                <w:rFonts w:ascii="Cambria" w:hAnsi="Cambria"/>
                <w:bCs/>
                <w:sz w:val="19"/>
                <w:szCs w:val="19"/>
              </w:rPr>
              <w:footnoteReference w:id="2"/>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167E2659" w:rsidR="00F621C3" w:rsidRPr="00C355B4" w:rsidRDefault="00C81285" w:rsidP="00C81285">
            <w:pPr>
              <w:jc w:val="both"/>
              <w:rPr>
                <w:rFonts w:ascii="Cambria" w:hAnsi="Cambria"/>
                <w:bCs/>
                <w:sz w:val="19"/>
                <w:szCs w:val="19"/>
              </w:rPr>
            </w:pPr>
            <w:r>
              <w:rPr>
                <w:rFonts w:ascii="Cambria" w:hAnsi="Cambria"/>
                <w:bCs/>
                <w:sz w:val="19"/>
                <w:szCs w:val="19"/>
              </w:rPr>
              <w:t>Venezuela</w:t>
            </w:r>
            <w:r w:rsidR="003D6EE0" w:rsidRPr="003D6EE0">
              <w:rPr>
                <w:rFonts w:ascii="Cambria" w:hAnsi="Cambria"/>
                <w:bCs/>
                <w:color w:val="FF0000"/>
                <w:sz w:val="19"/>
                <w:szCs w:val="19"/>
              </w:rPr>
              <w:t xml:space="preserve"> </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0D6DB293" w:rsidR="00E47F3D" w:rsidRPr="00C355B4" w:rsidRDefault="00C81285" w:rsidP="00670280">
            <w:pPr>
              <w:jc w:val="both"/>
              <w:rPr>
                <w:rFonts w:ascii="Cambria" w:hAnsi="Cambria"/>
                <w:bCs/>
                <w:sz w:val="19"/>
                <w:szCs w:val="19"/>
              </w:rPr>
            </w:pPr>
            <w:r w:rsidRPr="00666340">
              <w:rPr>
                <w:rFonts w:ascii="Cambria" w:hAnsi="Cambria"/>
                <w:bCs/>
                <w:sz w:val="19"/>
                <w:szCs w:val="19"/>
              </w:rPr>
              <w:t xml:space="preserve">Articles </w:t>
            </w:r>
            <w:r>
              <w:rPr>
                <w:rFonts w:ascii="Cambria" w:hAnsi="Cambria"/>
                <w:bCs/>
                <w:sz w:val="19"/>
                <w:szCs w:val="19"/>
              </w:rPr>
              <w:t>4 (life),</w:t>
            </w:r>
            <w:r w:rsidRPr="00666340">
              <w:rPr>
                <w:rFonts w:ascii="Cambria" w:hAnsi="Cambria"/>
                <w:bCs/>
                <w:sz w:val="19"/>
                <w:szCs w:val="19"/>
              </w:rPr>
              <w:t xml:space="preserve"> </w:t>
            </w:r>
            <w:r>
              <w:rPr>
                <w:rFonts w:ascii="Cambria" w:hAnsi="Cambria"/>
                <w:bCs/>
                <w:sz w:val="19"/>
                <w:szCs w:val="19"/>
              </w:rPr>
              <w:t>5 (</w:t>
            </w:r>
            <w:r w:rsidR="0021485E">
              <w:rPr>
                <w:rFonts w:ascii="Cambria" w:hAnsi="Cambria"/>
                <w:bCs/>
                <w:sz w:val="19"/>
                <w:szCs w:val="19"/>
              </w:rPr>
              <w:t>humane treatment</w:t>
            </w:r>
            <w:r>
              <w:rPr>
                <w:rFonts w:ascii="Cambria" w:hAnsi="Cambria"/>
                <w:bCs/>
                <w:sz w:val="19"/>
                <w:szCs w:val="19"/>
              </w:rPr>
              <w:t>),</w:t>
            </w:r>
            <w:r w:rsidR="00670280">
              <w:rPr>
                <w:rFonts w:ascii="Cambria" w:hAnsi="Cambria"/>
                <w:bCs/>
                <w:sz w:val="19"/>
                <w:szCs w:val="19"/>
              </w:rPr>
              <w:t xml:space="preserve"> </w:t>
            </w:r>
            <w:r w:rsidRPr="00666340">
              <w:rPr>
                <w:rFonts w:ascii="Cambria" w:hAnsi="Cambria"/>
                <w:bCs/>
                <w:sz w:val="19"/>
                <w:szCs w:val="19"/>
              </w:rPr>
              <w:t xml:space="preserve">8 </w:t>
            </w:r>
            <w:r>
              <w:rPr>
                <w:rFonts w:ascii="Cambria" w:hAnsi="Cambria"/>
                <w:bCs/>
                <w:sz w:val="19"/>
                <w:szCs w:val="19"/>
              </w:rPr>
              <w:t>(</w:t>
            </w:r>
            <w:r w:rsidR="0021485E">
              <w:rPr>
                <w:rFonts w:ascii="Cambria" w:hAnsi="Cambria"/>
                <w:bCs/>
                <w:sz w:val="19"/>
                <w:szCs w:val="19"/>
              </w:rPr>
              <w:t>fair trial</w:t>
            </w:r>
            <w:r>
              <w:rPr>
                <w:rFonts w:ascii="Cambria" w:hAnsi="Cambria"/>
                <w:bCs/>
                <w:sz w:val="19"/>
                <w:szCs w:val="19"/>
              </w:rPr>
              <w:t xml:space="preserve">) and 25 (judicial protection) </w:t>
            </w:r>
            <w:r w:rsidRPr="00666340">
              <w:rPr>
                <w:rFonts w:ascii="Cambria" w:hAnsi="Cambria"/>
                <w:bCs/>
                <w:sz w:val="19"/>
                <w:szCs w:val="19"/>
              </w:rPr>
              <w:t>of the American Convention on Human Rights</w:t>
            </w:r>
            <w:r w:rsidRPr="00666340">
              <w:rPr>
                <w:rFonts w:ascii="Cambria" w:hAnsi="Cambria"/>
                <w:bCs/>
                <w:sz w:val="19"/>
                <w:szCs w:val="19"/>
                <w:vertAlign w:val="superscript"/>
              </w:rPr>
              <w:footnoteReference w:id="3"/>
            </w:r>
            <w:r>
              <w:rPr>
                <w:rFonts w:ascii="Cambria" w:hAnsi="Cambria"/>
                <w:bCs/>
                <w:sz w:val="19"/>
                <w:szCs w:val="19"/>
              </w:rPr>
              <w:t xml:space="preserve"> in relation to articles 1.1 (obligation to respect</w:t>
            </w:r>
            <w:r w:rsidR="00F12279">
              <w:rPr>
                <w:rFonts w:ascii="Cambria" w:hAnsi="Cambria"/>
                <w:bCs/>
                <w:sz w:val="19"/>
                <w:szCs w:val="19"/>
              </w:rPr>
              <w:t xml:space="preserve"> rights</w:t>
            </w:r>
            <w:r>
              <w:rPr>
                <w:rFonts w:ascii="Cambria" w:hAnsi="Cambria"/>
                <w:bCs/>
                <w:sz w:val="19"/>
                <w:szCs w:val="19"/>
              </w:rPr>
              <w:t>) and 2 (</w:t>
            </w:r>
            <w:r w:rsidR="00F12279">
              <w:rPr>
                <w:rFonts w:ascii="Cambria" w:hAnsi="Cambria"/>
                <w:bCs/>
                <w:sz w:val="19"/>
                <w:szCs w:val="19"/>
              </w:rPr>
              <w:t>domestic legal effect</w:t>
            </w:r>
            <w:r w:rsidRPr="00FD24DD">
              <w:rPr>
                <w:rFonts w:ascii="Cambria" w:hAnsi="Cambria"/>
                <w:bCs/>
                <w:sz w:val="19"/>
                <w:szCs w:val="19"/>
              </w:rPr>
              <w:t>)</w:t>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155A322D" w:rsidR="00F621C3" w:rsidRPr="00C355B4" w:rsidRDefault="00C81285" w:rsidP="009163FC">
            <w:pPr>
              <w:jc w:val="both"/>
              <w:rPr>
                <w:rFonts w:ascii="Cambria" w:hAnsi="Cambria"/>
                <w:bCs/>
                <w:sz w:val="19"/>
                <w:szCs w:val="19"/>
              </w:rPr>
            </w:pPr>
            <w:r>
              <w:rPr>
                <w:rFonts w:ascii="Cambria" w:hAnsi="Cambria"/>
                <w:bCs/>
                <w:sz w:val="19"/>
                <w:szCs w:val="19"/>
              </w:rPr>
              <w:t>April 25, 2011</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7CBDBF52" w:rsidR="00F621C3" w:rsidRPr="00C355B4" w:rsidRDefault="00C81285" w:rsidP="009163FC">
            <w:pPr>
              <w:jc w:val="both"/>
              <w:rPr>
                <w:rFonts w:ascii="Cambria" w:hAnsi="Cambria"/>
                <w:bCs/>
                <w:sz w:val="19"/>
                <w:szCs w:val="19"/>
              </w:rPr>
            </w:pPr>
            <w:r>
              <w:rPr>
                <w:rFonts w:ascii="Cambria" w:hAnsi="Cambria"/>
                <w:bCs/>
                <w:sz w:val="19"/>
                <w:szCs w:val="19"/>
              </w:rPr>
              <w:t>April 25, 2017</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1661AC8B" w:rsidR="00F621C3" w:rsidRPr="00C355B4" w:rsidRDefault="00C81285" w:rsidP="009163FC">
            <w:pPr>
              <w:jc w:val="both"/>
              <w:rPr>
                <w:rFonts w:ascii="Cambria" w:hAnsi="Cambria"/>
                <w:bCs/>
                <w:sz w:val="19"/>
                <w:szCs w:val="19"/>
              </w:rPr>
            </w:pPr>
            <w:r>
              <w:rPr>
                <w:rFonts w:ascii="Cambria" w:hAnsi="Cambria"/>
                <w:bCs/>
                <w:sz w:val="19"/>
                <w:szCs w:val="19"/>
              </w:rPr>
              <w:t>August 23, 2018</w:t>
            </w:r>
          </w:p>
        </w:tc>
      </w:tr>
      <w:tr w:rsidR="003771A3" w:rsidRPr="000B6B7A"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A863ACD" w14:textId="41BB6628" w:rsidR="003771A3" w:rsidRPr="00C355B4" w:rsidRDefault="00D61932" w:rsidP="009163FC">
            <w:pPr>
              <w:jc w:val="both"/>
              <w:rPr>
                <w:rFonts w:ascii="Cambria" w:hAnsi="Cambria"/>
                <w:bCs/>
                <w:sz w:val="19"/>
                <w:szCs w:val="19"/>
              </w:rPr>
            </w:pPr>
            <w:r>
              <w:rPr>
                <w:rFonts w:ascii="Cambria" w:hAnsi="Cambria"/>
                <w:bCs/>
                <w:sz w:val="19"/>
                <w:szCs w:val="19"/>
              </w:rPr>
              <w:t>May 13, 2019</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237A8D0C" w14:textId="07950548" w:rsidR="00F621C3" w:rsidRPr="00C355B4" w:rsidRDefault="00615BC7"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48257424" w14:textId="7AF85380" w:rsidR="00F621C3" w:rsidRPr="00C355B4" w:rsidRDefault="00615BC7"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74B3F783" w14:textId="23A8461F" w:rsidR="00F621C3" w:rsidRPr="00C355B4" w:rsidRDefault="00615BC7"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64B3F199" w14:textId="521C1362" w:rsidR="00F621C3" w:rsidRPr="00C355B4" w:rsidRDefault="00615BC7" w:rsidP="009163FC">
            <w:pPr>
              <w:jc w:val="both"/>
              <w:rPr>
                <w:rFonts w:asciiTheme="majorHAnsi" w:hAnsiTheme="majorHAnsi"/>
                <w:bCs/>
                <w:sz w:val="19"/>
                <w:szCs w:val="19"/>
              </w:rPr>
            </w:pPr>
            <w:r w:rsidRPr="00615BC7">
              <w:rPr>
                <w:rFonts w:asciiTheme="majorHAnsi" w:hAnsiTheme="majorHAnsi"/>
                <w:bCs/>
                <w:sz w:val="19"/>
                <w:szCs w:val="19"/>
              </w:rPr>
              <w:t>Yes, American Convention (since August 9, 1977, date of deposit of instrument of ratification until September 10, 2013, date when the denunciation took effect)</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4091A423" w14:textId="77777777" w:rsidTr="00615BC7">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1A208905" w:rsidR="00F621C3" w:rsidRPr="00C355B4" w:rsidRDefault="00615BC7" w:rsidP="00615BC7">
            <w:pPr>
              <w:jc w:val="both"/>
              <w:rPr>
                <w:rFonts w:ascii="Cambria" w:hAnsi="Cambria"/>
                <w:bCs/>
                <w:sz w:val="19"/>
                <w:szCs w:val="19"/>
              </w:rPr>
            </w:pPr>
            <w:r>
              <w:rPr>
                <w:rFonts w:ascii="Cambria" w:hAnsi="Cambria"/>
                <w:bCs/>
                <w:sz w:val="19"/>
                <w:szCs w:val="19"/>
              </w:rPr>
              <w:t>No</w:t>
            </w:r>
          </w:p>
        </w:tc>
      </w:tr>
      <w:tr w:rsidR="00F621C3" w:rsidRPr="000B6B7A" w14:paraId="24B3B5A9" w14:textId="77777777" w:rsidTr="00615BC7">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6BAD10A1" w:rsidR="00F621C3" w:rsidRPr="00C355B4" w:rsidRDefault="00615BC7" w:rsidP="0066007D">
            <w:pPr>
              <w:jc w:val="both"/>
              <w:rPr>
                <w:rFonts w:ascii="Cambria" w:hAnsi="Cambria"/>
                <w:bCs/>
                <w:sz w:val="19"/>
                <w:szCs w:val="19"/>
              </w:rPr>
            </w:pPr>
            <w:r w:rsidRPr="00666340">
              <w:rPr>
                <w:rFonts w:ascii="Cambria" w:hAnsi="Cambria"/>
                <w:bCs/>
                <w:sz w:val="19"/>
                <w:szCs w:val="19"/>
              </w:rPr>
              <w:t>Articles</w:t>
            </w:r>
            <w:r>
              <w:rPr>
                <w:rFonts w:ascii="Cambria" w:hAnsi="Cambria"/>
                <w:bCs/>
                <w:sz w:val="19"/>
                <w:szCs w:val="19"/>
              </w:rPr>
              <w:t xml:space="preserve"> 4 (life),</w:t>
            </w:r>
            <w:r w:rsidRPr="00666340">
              <w:rPr>
                <w:rFonts w:ascii="Cambria" w:hAnsi="Cambria"/>
                <w:bCs/>
                <w:sz w:val="19"/>
                <w:szCs w:val="19"/>
              </w:rPr>
              <w:t xml:space="preserve"> 5</w:t>
            </w:r>
            <w:r>
              <w:rPr>
                <w:rFonts w:ascii="Cambria" w:hAnsi="Cambria"/>
                <w:bCs/>
                <w:sz w:val="19"/>
                <w:szCs w:val="19"/>
              </w:rPr>
              <w:t xml:space="preserve"> (</w:t>
            </w:r>
            <w:r w:rsidR="0066007D">
              <w:rPr>
                <w:rFonts w:ascii="Cambria" w:hAnsi="Cambria"/>
                <w:bCs/>
                <w:sz w:val="19"/>
                <w:szCs w:val="19"/>
              </w:rPr>
              <w:t>humane treatment</w:t>
            </w:r>
            <w:r>
              <w:rPr>
                <w:rFonts w:ascii="Cambria" w:hAnsi="Cambria"/>
                <w:bCs/>
                <w:sz w:val="19"/>
                <w:szCs w:val="19"/>
              </w:rPr>
              <w:t>),</w:t>
            </w:r>
            <w:r w:rsidRPr="00666340">
              <w:rPr>
                <w:rFonts w:ascii="Cambria" w:hAnsi="Cambria"/>
                <w:bCs/>
                <w:sz w:val="19"/>
                <w:szCs w:val="19"/>
              </w:rPr>
              <w:t xml:space="preserve"> 8 </w:t>
            </w:r>
            <w:r>
              <w:rPr>
                <w:rFonts w:ascii="Cambria" w:hAnsi="Cambria"/>
                <w:bCs/>
                <w:sz w:val="19"/>
                <w:szCs w:val="19"/>
              </w:rPr>
              <w:t>(</w:t>
            </w:r>
            <w:r w:rsidR="0066007D">
              <w:rPr>
                <w:rFonts w:ascii="Cambria" w:hAnsi="Cambria"/>
                <w:bCs/>
                <w:sz w:val="19"/>
                <w:szCs w:val="19"/>
              </w:rPr>
              <w:t>fair trial</w:t>
            </w:r>
            <w:r>
              <w:rPr>
                <w:rFonts w:ascii="Cambria" w:hAnsi="Cambria"/>
                <w:bCs/>
                <w:sz w:val="19"/>
                <w:szCs w:val="19"/>
              </w:rPr>
              <w:t>), 25 (judicial protection) and</w:t>
            </w:r>
            <w:r w:rsidRPr="00666340">
              <w:rPr>
                <w:rFonts w:ascii="Cambria" w:hAnsi="Cambria"/>
                <w:bCs/>
                <w:sz w:val="19"/>
                <w:szCs w:val="19"/>
              </w:rPr>
              <w:t xml:space="preserve"> 2</w:t>
            </w:r>
            <w:r>
              <w:rPr>
                <w:rFonts w:ascii="Cambria" w:hAnsi="Cambria"/>
                <w:bCs/>
                <w:sz w:val="19"/>
                <w:szCs w:val="19"/>
              </w:rPr>
              <w:t>6 (economic, social and cultural rights)</w:t>
            </w:r>
            <w:r w:rsidRPr="00666340">
              <w:rPr>
                <w:rFonts w:ascii="Cambria" w:hAnsi="Cambria"/>
                <w:bCs/>
                <w:sz w:val="19"/>
                <w:szCs w:val="19"/>
              </w:rPr>
              <w:t xml:space="preserve"> of the American Convention on Human Rights</w:t>
            </w:r>
            <w:r>
              <w:rPr>
                <w:rFonts w:ascii="Cambria" w:hAnsi="Cambria"/>
                <w:bCs/>
                <w:sz w:val="19"/>
                <w:szCs w:val="19"/>
              </w:rPr>
              <w:t xml:space="preserve"> in relation to articles 1.1 (obligation to respect</w:t>
            </w:r>
            <w:r w:rsidR="0066007D">
              <w:rPr>
                <w:rFonts w:ascii="Cambria" w:hAnsi="Cambria"/>
                <w:bCs/>
                <w:sz w:val="19"/>
                <w:szCs w:val="19"/>
              </w:rPr>
              <w:t xml:space="preserve"> rights</w:t>
            </w:r>
            <w:r>
              <w:rPr>
                <w:rFonts w:ascii="Cambria" w:hAnsi="Cambria"/>
                <w:bCs/>
                <w:sz w:val="19"/>
                <w:szCs w:val="19"/>
              </w:rPr>
              <w:t>) and 2 (</w:t>
            </w:r>
            <w:r w:rsidR="0066007D">
              <w:rPr>
                <w:rFonts w:ascii="Cambria" w:hAnsi="Cambria"/>
                <w:bCs/>
                <w:sz w:val="19"/>
                <w:szCs w:val="19"/>
              </w:rPr>
              <w:t>domestic legal effect</w:t>
            </w:r>
            <w:r w:rsidRPr="00FE678F">
              <w:rPr>
                <w:rFonts w:ascii="Cambria" w:hAnsi="Cambria"/>
                <w:bCs/>
                <w:sz w:val="19"/>
                <w:szCs w:val="19"/>
              </w:rPr>
              <w:t>)</w:t>
            </w:r>
          </w:p>
        </w:tc>
      </w:tr>
      <w:tr w:rsidR="00F621C3" w:rsidRPr="000B6B7A" w14:paraId="4DFB74FC" w14:textId="77777777" w:rsidTr="00615BC7">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32DC56B" w14:textId="1B8A5AD3" w:rsidR="00F621C3" w:rsidRPr="00C355B4" w:rsidRDefault="00615BC7" w:rsidP="00615BC7">
            <w:pPr>
              <w:jc w:val="both"/>
              <w:rPr>
                <w:rFonts w:ascii="Cambria" w:hAnsi="Cambria"/>
                <w:bCs/>
                <w:sz w:val="19"/>
                <w:szCs w:val="19"/>
              </w:rPr>
            </w:pPr>
            <w:r>
              <w:rPr>
                <w:rFonts w:ascii="Cambria" w:hAnsi="Cambria"/>
                <w:bCs/>
                <w:sz w:val="19"/>
                <w:szCs w:val="19"/>
              </w:rPr>
              <w:t>The exception to article 46.2.a and c of the American Convention applies</w:t>
            </w:r>
          </w:p>
        </w:tc>
      </w:tr>
      <w:tr w:rsidR="00F621C3" w:rsidRPr="000B6B7A" w14:paraId="6D900199" w14:textId="77777777" w:rsidTr="00615BC7">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270B44C9" w:rsidR="00F621C3" w:rsidRPr="00C355B4" w:rsidRDefault="00615BC7" w:rsidP="00615BC7">
            <w:pPr>
              <w:jc w:val="both"/>
              <w:rPr>
                <w:rFonts w:asciiTheme="majorHAnsi" w:hAnsiTheme="majorHAnsi"/>
                <w:bCs/>
                <w:sz w:val="19"/>
                <w:szCs w:val="19"/>
              </w:rPr>
            </w:pPr>
            <w:r w:rsidRPr="006E0299">
              <w:rPr>
                <w:rFonts w:ascii="Cambria" w:hAnsi="Cambria"/>
                <w:bCs/>
                <w:sz w:val="20"/>
                <w:szCs w:val="20"/>
              </w:rPr>
              <w:t xml:space="preserve">Yes, </w:t>
            </w:r>
            <w:r w:rsidRPr="006E0299">
              <w:rPr>
                <w:rFonts w:ascii="Cambria" w:hAnsi="Cambria"/>
                <w:bCs/>
                <w:sz w:val="19"/>
                <w:szCs w:val="19"/>
              </w:rPr>
              <w:t>under the terms of Section VI</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3530E0A8" w14:textId="4134DC84" w:rsidR="00AF0073" w:rsidRPr="00E317F6" w:rsidRDefault="00AF0073" w:rsidP="00AF0073">
      <w:pPr>
        <w:pStyle w:val="ListParagraph"/>
        <w:numPr>
          <w:ilvl w:val="0"/>
          <w:numId w:val="103"/>
        </w:numPr>
        <w:jc w:val="both"/>
      </w:pPr>
      <w:r w:rsidRPr="0009762C">
        <w:rPr>
          <w:sz w:val="20"/>
          <w:szCs w:val="20"/>
        </w:rPr>
        <w:t xml:space="preserve">The petitioner alleges that the State is responsible for the death of the alleged victim, as a result of </w:t>
      </w:r>
      <w:r>
        <w:rPr>
          <w:sz w:val="20"/>
          <w:szCs w:val="20"/>
        </w:rPr>
        <w:t>its</w:t>
      </w:r>
      <w:r w:rsidRPr="0009762C">
        <w:rPr>
          <w:sz w:val="20"/>
          <w:szCs w:val="20"/>
        </w:rPr>
        <w:t xml:space="preserve"> negligence in providing h</w:t>
      </w:r>
      <w:r>
        <w:rPr>
          <w:sz w:val="20"/>
          <w:szCs w:val="20"/>
        </w:rPr>
        <w:t>er</w:t>
      </w:r>
      <w:r w:rsidRPr="0009762C">
        <w:rPr>
          <w:sz w:val="20"/>
          <w:szCs w:val="20"/>
        </w:rPr>
        <w:t xml:space="preserve"> with the necessary and timely medical attention, while </w:t>
      </w:r>
      <w:r>
        <w:rPr>
          <w:sz w:val="20"/>
          <w:szCs w:val="20"/>
        </w:rPr>
        <w:t>s</w:t>
      </w:r>
      <w:r w:rsidRPr="0009762C">
        <w:rPr>
          <w:sz w:val="20"/>
          <w:szCs w:val="20"/>
        </w:rPr>
        <w:t xml:space="preserve">he was deprived of liberty at the National Institute for Female Orientation (hereinafter "INOF"). It indicates that the alleged victim, of British nationality, was sentenced to prison in Venezuela for drug trafficking on August 8, 2000. </w:t>
      </w:r>
      <w:r>
        <w:rPr>
          <w:sz w:val="20"/>
          <w:szCs w:val="20"/>
        </w:rPr>
        <w:t>It</w:t>
      </w:r>
      <w:r w:rsidRPr="0009762C">
        <w:rPr>
          <w:sz w:val="20"/>
          <w:szCs w:val="20"/>
        </w:rPr>
        <w:t xml:space="preserve"> alleges that on March 6, 2001, the alleged victim, who had type I diabetes mellitus</w:t>
      </w:r>
      <w:r>
        <w:rPr>
          <w:sz w:val="20"/>
          <w:szCs w:val="20"/>
        </w:rPr>
        <w:t xml:space="preserve"> and</w:t>
      </w:r>
      <w:r w:rsidRPr="0009762C">
        <w:rPr>
          <w:sz w:val="20"/>
          <w:szCs w:val="20"/>
        </w:rPr>
        <w:t xml:space="preserve"> mental health problems, conditions </w:t>
      </w:r>
      <w:r>
        <w:rPr>
          <w:sz w:val="20"/>
          <w:szCs w:val="20"/>
        </w:rPr>
        <w:t>of which the State was aware</w:t>
      </w:r>
      <w:r w:rsidRPr="0009762C">
        <w:rPr>
          <w:sz w:val="20"/>
          <w:szCs w:val="20"/>
        </w:rPr>
        <w:t xml:space="preserve">, suffered an attack of hypoglycemia </w:t>
      </w:r>
      <w:r>
        <w:rPr>
          <w:sz w:val="20"/>
          <w:szCs w:val="20"/>
        </w:rPr>
        <w:t>while she was being</w:t>
      </w:r>
      <w:r w:rsidRPr="0009762C">
        <w:rPr>
          <w:sz w:val="20"/>
          <w:szCs w:val="20"/>
        </w:rPr>
        <w:t xml:space="preserve"> transferred to the Victorino Santaella General Hospital in Los Teques, where she was discharged the same day, without formal diagnosis. The next day, while she was in her cell, she began to convulse and fainted </w:t>
      </w:r>
      <w:r>
        <w:rPr>
          <w:sz w:val="20"/>
          <w:szCs w:val="20"/>
        </w:rPr>
        <w:t xml:space="preserve">remaining </w:t>
      </w:r>
      <w:r w:rsidRPr="0009762C">
        <w:rPr>
          <w:sz w:val="20"/>
          <w:szCs w:val="20"/>
        </w:rPr>
        <w:t xml:space="preserve">unconscious and unable to administer her insulin dose. The petitioner alleges that despite the insistent call for help from the other inmates, the INOF staff took more than two hours to assist and transfer the alleged victim to the ambulance to be taken to the Victorino Santaella Hospital in a critical </w:t>
      </w:r>
      <w:r>
        <w:rPr>
          <w:sz w:val="20"/>
          <w:szCs w:val="20"/>
        </w:rPr>
        <w:t>condition</w:t>
      </w:r>
      <w:r w:rsidRPr="0009762C">
        <w:rPr>
          <w:sz w:val="20"/>
          <w:szCs w:val="20"/>
        </w:rPr>
        <w:t xml:space="preserve">. </w:t>
      </w:r>
      <w:r>
        <w:rPr>
          <w:sz w:val="20"/>
          <w:szCs w:val="20"/>
        </w:rPr>
        <w:t>As</w:t>
      </w:r>
      <w:r w:rsidRPr="0009762C">
        <w:rPr>
          <w:sz w:val="20"/>
          <w:szCs w:val="20"/>
        </w:rPr>
        <w:t xml:space="preserve"> the public hospital lacked adequate facilities, the defense attorney for the alleged victim managed h</w:t>
      </w:r>
      <w:r>
        <w:rPr>
          <w:sz w:val="20"/>
          <w:szCs w:val="20"/>
        </w:rPr>
        <w:t>er</w:t>
      </w:r>
      <w:r w:rsidRPr="0009762C">
        <w:rPr>
          <w:sz w:val="20"/>
          <w:szCs w:val="20"/>
        </w:rPr>
        <w:t xml:space="preserve"> transfer to a private medical center. However, when </w:t>
      </w:r>
      <w:r>
        <w:rPr>
          <w:sz w:val="20"/>
          <w:szCs w:val="20"/>
        </w:rPr>
        <w:t>s</w:t>
      </w:r>
      <w:r w:rsidRPr="0009762C">
        <w:rPr>
          <w:sz w:val="20"/>
          <w:szCs w:val="20"/>
        </w:rPr>
        <w:t xml:space="preserve">he entered, on the morning of March 8, </w:t>
      </w:r>
      <w:r>
        <w:rPr>
          <w:sz w:val="20"/>
          <w:szCs w:val="20"/>
        </w:rPr>
        <w:t>s</w:t>
      </w:r>
      <w:r w:rsidRPr="0009762C">
        <w:rPr>
          <w:sz w:val="20"/>
          <w:szCs w:val="20"/>
        </w:rPr>
        <w:t>he was already in a state of diabetic coma. The alleged victim died on March 13, due to anoxic encephalopathy and diabetes mellitus type I, according to the autopsy.</w:t>
      </w:r>
    </w:p>
    <w:p w14:paraId="2F276BAB" w14:textId="77777777" w:rsidR="00AF0073" w:rsidRPr="00666340" w:rsidRDefault="00AF0073" w:rsidP="00AF0073">
      <w:pPr>
        <w:pStyle w:val="ListParagraph"/>
        <w:jc w:val="both"/>
      </w:pPr>
    </w:p>
    <w:p w14:paraId="165A4269" w14:textId="77777777" w:rsidR="00AF0073" w:rsidRDefault="00AF0073" w:rsidP="00AF0073">
      <w:pPr>
        <w:numPr>
          <w:ilvl w:val="0"/>
          <w:numId w:val="103"/>
        </w:numPr>
        <w:suppressAutoHyphens/>
        <w:spacing w:after="120"/>
        <w:jc w:val="both"/>
        <w:rPr>
          <w:rFonts w:ascii="Cambria" w:eastAsia="Cambria" w:hAnsi="Cambria" w:cs="Cambria"/>
          <w:sz w:val="20"/>
          <w:szCs w:val="20"/>
          <w:u w:color="000000"/>
          <w:lang w:eastAsia="es-ES"/>
        </w:rPr>
      </w:pPr>
      <w:r w:rsidRPr="00BF4A7B">
        <w:rPr>
          <w:rFonts w:ascii="Cambria" w:eastAsia="Cambria" w:hAnsi="Cambria" w:cs="Cambria"/>
          <w:sz w:val="20"/>
          <w:szCs w:val="20"/>
          <w:u w:color="000000"/>
          <w:lang w:eastAsia="es-ES"/>
        </w:rPr>
        <w:t xml:space="preserve">The petitioner maintains that the Venezuelan authorities were aware of the health condition of the alleged victim, regarding </w:t>
      </w:r>
      <w:r>
        <w:rPr>
          <w:rFonts w:ascii="Cambria" w:eastAsia="Cambria" w:hAnsi="Cambria" w:cs="Cambria"/>
          <w:sz w:val="20"/>
          <w:szCs w:val="20"/>
          <w:u w:color="000000"/>
          <w:lang w:eastAsia="es-ES"/>
        </w:rPr>
        <w:t xml:space="preserve">his </w:t>
      </w:r>
      <w:r w:rsidRPr="00BF4A7B">
        <w:rPr>
          <w:rFonts w:ascii="Cambria" w:eastAsia="Cambria" w:hAnsi="Cambria" w:cs="Cambria"/>
          <w:sz w:val="20"/>
          <w:szCs w:val="20"/>
          <w:u w:color="000000"/>
          <w:lang w:eastAsia="es-ES"/>
        </w:rPr>
        <w:t>diabetes as well as h</w:t>
      </w:r>
      <w:r>
        <w:rPr>
          <w:rFonts w:ascii="Cambria" w:eastAsia="Cambria" w:hAnsi="Cambria" w:cs="Cambria"/>
          <w:sz w:val="20"/>
          <w:szCs w:val="20"/>
          <w:u w:color="000000"/>
          <w:lang w:eastAsia="es-ES"/>
        </w:rPr>
        <w:t>er</w:t>
      </w:r>
      <w:r w:rsidRPr="00BF4A7B">
        <w:rPr>
          <w:rFonts w:ascii="Cambria" w:eastAsia="Cambria" w:hAnsi="Cambria" w:cs="Cambria"/>
          <w:sz w:val="20"/>
          <w:szCs w:val="20"/>
          <w:u w:color="000000"/>
          <w:lang w:eastAsia="es-ES"/>
        </w:rPr>
        <w:t xml:space="preserve"> mental health. They also indicate that on several occasions the alleged victim had to go to the hospital because h</w:t>
      </w:r>
      <w:r>
        <w:rPr>
          <w:rFonts w:ascii="Cambria" w:eastAsia="Cambria" w:hAnsi="Cambria" w:cs="Cambria"/>
          <w:sz w:val="20"/>
          <w:szCs w:val="20"/>
          <w:u w:color="000000"/>
          <w:lang w:eastAsia="es-ES"/>
        </w:rPr>
        <w:t>er</w:t>
      </w:r>
      <w:r w:rsidRPr="00BF4A7B">
        <w:rPr>
          <w:rFonts w:ascii="Cambria" w:eastAsia="Cambria" w:hAnsi="Cambria" w:cs="Cambria"/>
          <w:sz w:val="20"/>
          <w:szCs w:val="20"/>
          <w:u w:color="000000"/>
          <w:lang w:eastAsia="es-ES"/>
        </w:rPr>
        <w:t xml:space="preserve"> insulin dose was not provided in time at the INOF. They also allege that during the events of March 2001, there were no doctors or equivalent personnel with the capacity to supply medical needs in case of emergency in the INOF.</w:t>
      </w:r>
    </w:p>
    <w:p w14:paraId="1FB26DF8" w14:textId="23288CE6" w:rsidR="00AF0073" w:rsidRDefault="00AF0073" w:rsidP="00AF0073">
      <w:pPr>
        <w:numPr>
          <w:ilvl w:val="0"/>
          <w:numId w:val="103"/>
        </w:numPr>
        <w:suppressAutoHyphens/>
        <w:spacing w:after="120"/>
        <w:jc w:val="both"/>
        <w:rPr>
          <w:rFonts w:ascii="Cambria" w:eastAsia="Cambria" w:hAnsi="Cambria" w:cs="Cambria"/>
          <w:sz w:val="20"/>
          <w:szCs w:val="20"/>
          <w:u w:color="000000"/>
          <w:lang w:eastAsia="es-ES"/>
        </w:rPr>
      </w:pPr>
      <w:r w:rsidRPr="00991C91">
        <w:rPr>
          <w:rFonts w:ascii="Cambria" w:eastAsia="Cambria" w:hAnsi="Cambria" w:cs="Cambria"/>
          <w:sz w:val="20"/>
          <w:szCs w:val="20"/>
          <w:u w:color="000000"/>
          <w:lang w:eastAsia="es-ES"/>
        </w:rPr>
        <w:t>On March 7, 2002, a citizen notified the facts to the Attorney General of the Republic, and on April 30, a criminal investigation was o</w:t>
      </w:r>
      <w:r>
        <w:rPr>
          <w:rFonts w:ascii="Cambria" w:eastAsia="Cambria" w:hAnsi="Cambria" w:cs="Cambria"/>
          <w:sz w:val="20"/>
          <w:szCs w:val="20"/>
          <w:u w:color="000000"/>
          <w:lang w:eastAsia="es-ES"/>
        </w:rPr>
        <w:t>pened</w:t>
      </w:r>
      <w:r w:rsidRPr="00991C91">
        <w:rPr>
          <w:rFonts w:ascii="Cambria" w:eastAsia="Cambria" w:hAnsi="Cambria" w:cs="Cambria"/>
          <w:sz w:val="20"/>
          <w:szCs w:val="20"/>
          <w:u w:color="000000"/>
          <w:lang w:eastAsia="es-ES"/>
        </w:rPr>
        <w:t xml:space="preserve">. In 2004, the father of the alleged victim was informed that the investigation was in its final stage. Between 2006 and 2007, 4 people were charged for the crime of negligent homicide or for the crime of abandonment of a child or other incapable person and, in 2008, the accusations against the </w:t>
      </w:r>
      <w:r>
        <w:rPr>
          <w:rFonts w:ascii="Cambria" w:eastAsia="Cambria" w:hAnsi="Cambria" w:cs="Cambria"/>
          <w:sz w:val="20"/>
          <w:szCs w:val="20"/>
          <w:u w:color="000000"/>
          <w:lang w:eastAsia="es-ES"/>
        </w:rPr>
        <w:t>defendants</w:t>
      </w:r>
      <w:r w:rsidRPr="00991C91">
        <w:rPr>
          <w:rFonts w:ascii="Cambria" w:eastAsia="Cambria" w:hAnsi="Cambria" w:cs="Cambria"/>
          <w:sz w:val="20"/>
          <w:szCs w:val="20"/>
          <w:u w:color="000000"/>
          <w:lang w:eastAsia="es-ES"/>
        </w:rPr>
        <w:t xml:space="preserve"> were submitted for the crime of culpable homicide or omission of relief. </w:t>
      </w:r>
      <w:r>
        <w:rPr>
          <w:rFonts w:ascii="Cambria" w:eastAsia="Cambria" w:hAnsi="Cambria" w:cs="Cambria"/>
          <w:sz w:val="20"/>
          <w:szCs w:val="20"/>
          <w:u w:color="000000"/>
          <w:lang w:eastAsia="es-ES"/>
        </w:rPr>
        <w:t>The petitioners</w:t>
      </w:r>
      <w:r w:rsidRPr="00991C91">
        <w:rPr>
          <w:rFonts w:ascii="Cambria" w:eastAsia="Cambria" w:hAnsi="Cambria" w:cs="Cambria"/>
          <w:sz w:val="20"/>
          <w:szCs w:val="20"/>
          <w:u w:color="000000"/>
          <w:lang w:eastAsia="es-ES"/>
        </w:rPr>
        <w:t xml:space="preserve"> allege that the preliminary and merits hearings were not held until October 20, 2010, more than two years after the accusations. On October 29, 2010, the Court of First Instance acting as Control No</w:t>
      </w:r>
      <w:r>
        <w:rPr>
          <w:rFonts w:ascii="Cambria" w:eastAsia="Cambria" w:hAnsi="Cambria" w:cs="Cambria"/>
          <w:sz w:val="20"/>
          <w:szCs w:val="20"/>
          <w:u w:color="000000"/>
          <w:lang w:eastAsia="es-ES"/>
        </w:rPr>
        <w:t>.</w:t>
      </w:r>
      <w:r w:rsidRPr="00991C91">
        <w:rPr>
          <w:rFonts w:ascii="Cambria" w:eastAsia="Cambria" w:hAnsi="Cambria" w:cs="Cambria"/>
          <w:sz w:val="20"/>
          <w:szCs w:val="20"/>
          <w:u w:color="000000"/>
          <w:lang w:eastAsia="es-ES"/>
        </w:rPr>
        <w:t xml:space="preserve"> 3 of the Criminal Judicial Circuit of the Judicial District of the State of Miranda </w:t>
      </w:r>
      <w:r w:rsidR="00791893">
        <w:rPr>
          <w:rFonts w:ascii="Cambria" w:eastAsia="Cambria" w:hAnsi="Cambria" w:cs="Cambria"/>
          <w:sz w:val="20"/>
          <w:szCs w:val="20"/>
          <w:u w:color="000000"/>
          <w:lang w:eastAsia="es-ES"/>
        </w:rPr>
        <w:t>di</w:t>
      </w:r>
      <w:r w:rsidR="00907BDF">
        <w:rPr>
          <w:rFonts w:ascii="Cambria" w:eastAsia="Cambria" w:hAnsi="Cambria" w:cs="Cambria"/>
          <w:sz w:val="20"/>
          <w:szCs w:val="20"/>
          <w:u w:color="000000"/>
          <w:lang w:eastAsia="es-ES"/>
        </w:rPr>
        <w:t>s</w:t>
      </w:r>
      <w:r w:rsidR="00791893">
        <w:rPr>
          <w:rFonts w:ascii="Cambria" w:eastAsia="Cambria" w:hAnsi="Cambria" w:cs="Cambria"/>
          <w:sz w:val="20"/>
          <w:szCs w:val="20"/>
          <w:u w:color="000000"/>
          <w:lang w:eastAsia="es-ES"/>
        </w:rPr>
        <w:t>missed the case</w:t>
      </w:r>
      <w:r w:rsidRPr="00991C91">
        <w:rPr>
          <w:rFonts w:ascii="Cambria" w:eastAsia="Cambria" w:hAnsi="Cambria" w:cs="Cambria"/>
          <w:sz w:val="20"/>
          <w:szCs w:val="20"/>
          <w:u w:color="000000"/>
          <w:lang w:eastAsia="es-ES"/>
        </w:rPr>
        <w:t xml:space="preserve"> because the statute of limitations operated in relation to the crime of wrongful homicide, because it had been more than three years since the commission of the alleged punishable </w:t>
      </w:r>
      <w:r>
        <w:rPr>
          <w:rFonts w:ascii="Cambria" w:eastAsia="Cambria" w:hAnsi="Cambria" w:cs="Cambria"/>
          <w:sz w:val="20"/>
          <w:szCs w:val="20"/>
          <w:u w:color="000000"/>
          <w:lang w:eastAsia="es-ES"/>
        </w:rPr>
        <w:t xml:space="preserve">act </w:t>
      </w:r>
      <w:r w:rsidRPr="00991C91">
        <w:rPr>
          <w:rFonts w:ascii="Cambria" w:eastAsia="Cambria" w:hAnsi="Cambria" w:cs="Cambria"/>
          <w:sz w:val="20"/>
          <w:szCs w:val="20"/>
          <w:u w:color="000000"/>
          <w:lang w:eastAsia="es-ES"/>
        </w:rPr>
        <w:t>and his first summons as defendants</w:t>
      </w:r>
      <w:r>
        <w:rPr>
          <w:rFonts w:ascii="Cambria" w:eastAsia="Cambria" w:hAnsi="Cambria" w:cs="Cambria"/>
          <w:sz w:val="20"/>
          <w:szCs w:val="20"/>
          <w:u w:color="000000"/>
          <w:lang w:eastAsia="es-ES"/>
        </w:rPr>
        <w:t>;</w:t>
      </w:r>
      <w:r w:rsidRPr="00991C91">
        <w:rPr>
          <w:rFonts w:ascii="Cambria" w:eastAsia="Cambria" w:hAnsi="Cambria" w:cs="Cambria"/>
          <w:sz w:val="20"/>
          <w:szCs w:val="20"/>
          <w:u w:color="000000"/>
          <w:lang w:eastAsia="es-ES"/>
        </w:rPr>
        <w:t xml:space="preserve"> and, regarding the crime of abandonment of persons, operated the statute of limitations because nine years, seven months and twelve </w:t>
      </w:r>
      <w:r>
        <w:rPr>
          <w:rFonts w:ascii="Cambria" w:eastAsia="Cambria" w:hAnsi="Cambria" w:cs="Cambria"/>
          <w:sz w:val="20"/>
          <w:szCs w:val="20"/>
          <w:u w:color="000000"/>
          <w:lang w:eastAsia="es-ES"/>
        </w:rPr>
        <w:t xml:space="preserve">days </w:t>
      </w:r>
      <w:r w:rsidRPr="00991C91">
        <w:rPr>
          <w:rFonts w:ascii="Cambria" w:eastAsia="Cambria" w:hAnsi="Cambria" w:cs="Cambria"/>
          <w:sz w:val="20"/>
          <w:szCs w:val="20"/>
          <w:u w:color="000000"/>
          <w:lang w:eastAsia="es-ES"/>
        </w:rPr>
        <w:t xml:space="preserve">had elapsed between the denounced event and the holding of the hearing. In view of the statute of limitations, the </w:t>
      </w:r>
      <w:r>
        <w:rPr>
          <w:rFonts w:ascii="Cambria" w:eastAsia="Cambria" w:hAnsi="Cambria" w:cs="Cambria"/>
          <w:sz w:val="20"/>
          <w:szCs w:val="20"/>
          <w:u w:color="000000"/>
          <w:lang w:eastAsia="es-ES"/>
        </w:rPr>
        <w:t>defendants were acquitted</w:t>
      </w:r>
      <w:r w:rsidRPr="00991C91">
        <w:rPr>
          <w:rFonts w:ascii="Cambria" w:eastAsia="Cambria" w:hAnsi="Cambria" w:cs="Cambria"/>
          <w:sz w:val="20"/>
          <w:szCs w:val="20"/>
          <w:u w:color="000000"/>
          <w:lang w:eastAsia="es-ES"/>
        </w:rPr>
        <w:t>.</w:t>
      </w:r>
      <w:r>
        <w:rPr>
          <w:rStyle w:val="FootnoteReference"/>
          <w:rFonts w:ascii="Cambria" w:eastAsia="Cambria" w:hAnsi="Cambria" w:cs="Cambria"/>
          <w:sz w:val="20"/>
          <w:szCs w:val="20"/>
          <w:u w:color="000000"/>
          <w:lang w:eastAsia="es-ES"/>
        </w:rPr>
        <w:footnoteReference w:id="5"/>
      </w:r>
      <w:r w:rsidRPr="00991C91">
        <w:rPr>
          <w:rFonts w:ascii="Cambria" w:eastAsia="Cambria" w:hAnsi="Cambria" w:cs="Cambria"/>
          <w:sz w:val="20"/>
          <w:szCs w:val="20"/>
          <w:u w:color="000000"/>
          <w:lang w:eastAsia="es-ES"/>
        </w:rPr>
        <w:t xml:space="preserve"> The petitioner alleges that the authorities did not act with due diligence to avoid excessive delay in the initiation of the criminal action and in the development of the investigative process. It argues that it was the Public Ministry that had the power and obligation to consider appealing the October 29 ruling in the interest of justice. Faced with the inaction of the Public Ministry, the sentence became </w:t>
      </w:r>
      <w:r w:rsidRPr="00E317F6">
        <w:rPr>
          <w:rFonts w:ascii="Cambria" w:eastAsia="Cambria" w:hAnsi="Cambria" w:cs="Cambria"/>
          <w:i/>
          <w:sz w:val="20"/>
          <w:szCs w:val="20"/>
          <w:u w:color="000000"/>
          <w:lang w:eastAsia="es-ES"/>
        </w:rPr>
        <w:t>res judicata</w:t>
      </w:r>
      <w:r w:rsidRPr="00991C91">
        <w:rPr>
          <w:rFonts w:ascii="Cambria" w:eastAsia="Cambria" w:hAnsi="Cambria" w:cs="Cambria"/>
          <w:sz w:val="20"/>
          <w:szCs w:val="20"/>
          <w:u w:color="000000"/>
          <w:lang w:eastAsia="es-ES"/>
        </w:rPr>
        <w:t xml:space="preserve">, taking the process to its final stage. It </w:t>
      </w:r>
      <w:r w:rsidR="005F3665">
        <w:rPr>
          <w:rFonts w:ascii="Cambria" w:eastAsia="Cambria" w:hAnsi="Cambria" w:cs="Cambria"/>
          <w:sz w:val="20"/>
          <w:szCs w:val="20"/>
          <w:u w:color="000000"/>
          <w:lang w:eastAsia="es-ES"/>
        </w:rPr>
        <w:t>contends</w:t>
      </w:r>
      <w:r w:rsidRPr="00991C91">
        <w:rPr>
          <w:rFonts w:ascii="Cambria" w:eastAsia="Cambria" w:hAnsi="Cambria" w:cs="Cambria"/>
          <w:sz w:val="20"/>
          <w:szCs w:val="20"/>
          <w:u w:color="000000"/>
          <w:lang w:eastAsia="es-ES"/>
        </w:rPr>
        <w:t xml:space="preserve"> that despite the existence of </w:t>
      </w:r>
      <w:r w:rsidR="009C7440">
        <w:rPr>
          <w:rFonts w:ascii="Cambria" w:eastAsia="Cambria" w:hAnsi="Cambria" w:cs="Cambria"/>
          <w:sz w:val="20"/>
          <w:szCs w:val="20"/>
          <w:u w:color="000000"/>
          <w:lang w:eastAsia="es-ES"/>
        </w:rPr>
        <w:t>remedies</w:t>
      </w:r>
      <w:r w:rsidRPr="00991C91">
        <w:rPr>
          <w:rFonts w:ascii="Cambria" w:eastAsia="Cambria" w:hAnsi="Cambria" w:cs="Cambria"/>
          <w:sz w:val="20"/>
          <w:szCs w:val="20"/>
          <w:u w:color="000000"/>
          <w:lang w:eastAsia="es-ES"/>
        </w:rPr>
        <w:t xml:space="preserve"> for the protection of rights that </w:t>
      </w:r>
      <w:r w:rsidR="002772AB">
        <w:rPr>
          <w:rFonts w:ascii="Cambria" w:eastAsia="Cambria" w:hAnsi="Cambria" w:cs="Cambria"/>
          <w:sz w:val="20"/>
          <w:szCs w:val="20"/>
          <w:u w:color="000000"/>
          <w:lang w:eastAsia="es-ES"/>
        </w:rPr>
        <w:t>were</w:t>
      </w:r>
      <w:r w:rsidRPr="00991C91">
        <w:rPr>
          <w:rFonts w:ascii="Cambria" w:eastAsia="Cambria" w:hAnsi="Cambria" w:cs="Cambria"/>
          <w:sz w:val="20"/>
          <w:szCs w:val="20"/>
          <w:u w:color="000000"/>
          <w:lang w:eastAsia="es-ES"/>
        </w:rPr>
        <w:t xml:space="preserve"> allegedly violated, these remedies are not effective.</w:t>
      </w:r>
    </w:p>
    <w:p w14:paraId="47F5CE2C" w14:textId="3AC45B97" w:rsidR="003D6EE0" w:rsidRPr="006318B2" w:rsidRDefault="00AF0073" w:rsidP="00AF00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871797">
        <w:rPr>
          <w:rFonts w:ascii="Cambria" w:eastAsia="Cambria" w:hAnsi="Cambria" w:cs="Cambria"/>
          <w:sz w:val="20"/>
          <w:szCs w:val="20"/>
          <w:u w:color="000000"/>
          <w:lang w:eastAsia="es-ES"/>
        </w:rPr>
        <w:t>For its part, the State alleges that the petition must be declared inadmissible because domestic remedies have not been exhausted. It argues that the petitioners, in their capacity as victims in the criminal proceedings, did not file an appeal against the judgment of October 29, 201</w:t>
      </w:r>
      <w:r>
        <w:rPr>
          <w:rFonts w:ascii="Cambria" w:eastAsia="Cambria" w:hAnsi="Cambria" w:cs="Cambria"/>
          <w:sz w:val="20"/>
          <w:szCs w:val="20"/>
          <w:u w:color="000000"/>
          <w:lang w:eastAsia="es-ES"/>
        </w:rPr>
        <w:t xml:space="preserve">0 </w:t>
      </w:r>
      <w:r w:rsidR="005D2414">
        <w:rPr>
          <w:rFonts w:ascii="Cambria" w:eastAsia="Cambria" w:hAnsi="Cambria" w:cs="Cambria"/>
          <w:sz w:val="20"/>
          <w:szCs w:val="20"/>
          <w:u w:color="000000"/>
          <w:lang w:eastAsia="es-ES"/>
        </w:rPr>
        <w:t>had</w:t>
      </w:r>
      <w:r>
        <w:rPr>
          <w:rFonts w:ascii="Cambria" w:eastAsia="Cambria" w:hAnsi="Cambria" w:cs="Cambria"/>
          <w:sz w:val="20"/>
          <w:szCs w:val="20"/>
          <w:u w:color="000000"/>
          <w:lang w:eastAsia="es-ES"/>
        </w:rPr>
        <w:t xml:space="preserve"> they</w:t>
      </w:r>
      <w:r w:rsidRPr="00871797">
        <w:rPr>
          <w:rFonts w:ascii="Cambria" w:eastAsia="Cambria" w:hAnsi="Cambria" w:cs="Cambria"/>
          <w:sz w:val="20"/>
          <w:szCs w:val="20"/>
          <w:u w:color="000000"/>
          <w:lang w:eastAsia="es-ES"/>
        </w:rPr>
        <w:t xml:space="preserve"> considered</w:t>
      </w:r>
      <w:r w:rsidR="005D2414">
        <w:rPr>
          <w:rFonts w:ascii="Cambria" w:eastAsia="Cambria" w:hAnsi="Cambria" w:cs="Cambria"/>
          <w:sz w:val="20"/>
          <w:szCs w:val="20"/>
          <w:u w:color="000000"/>
          <w:lang w:eastAsia="es-ES"/>
        </w:rPr>
        <w:t xml:space="preserve"> that this sentence entailed a violation of</w:t>
      </w:r>
      <w:r w:rsidRPr="00871797">
        <w:rPr>
          <w:rFonts w:ascii="Cambria" w:eastAsia="Cambria" w:hAnsi="Cambria" w:cs="Cambria"/>
          <w:sz w:val="20"/>
          <w:szCs w:val="20"/>
          <w:u w:color="000000"/>
          <w:lang w:eastAsia="es-ES"/>
        </w:rPr>
        <w:t xml:space="preserve"> their rights, a breach of the law</w:t>
      </w:r>
      <w:r>
        <w:rPr>
          <w:rFonts w:ascii="Cambria" w:eastAsia="Cambria" w:hAnsi="Cambria" w:cs="Cambria"/>
          <w:sz w:val="20"/>
          <w:szCs w:val="20"/>
          <w:u w:color="000000"/>
          <w:lang w:eastAsia="es-ES"/>
        </w:rPr>
        <w:t xml:space="preserve"> </w:t>
      </w:r>
      <w:r w:rsidRPr="00871797">
        <w:rPr>
          <w:rFonts w:ascii="Cambria" w:eastAsia="Cambria" w:hAnsi="Cambria" w:cs="Cambria"/>
          <w:sz w:val="20"/>
          <w:szCs w:val="20"/>
          <w:u w:color="000000"/>
          <w:lang w:eastAsia="es-ES"/>
        </w:rPr>
        <w:t xml:space="preserve">or, simply to express their disagreement with it. Likewise, after attempting such an appeal, they </w:t>
      </w:r>
      <w:r w:rsidR="005D2414">
        <w:rPr>
          <w:rFonts w:ascii="Cambria" w:eastAsia="Cambria" w:hAnsi="Cambria" w:cs="Cambria"/>
          <w:sz w:val="20"/>
          <w:szCs w:val="20"/>
          <w:u w:color="000000"/>
          <w:lang w:eastAsia="es-ES"/>
        </w:rPr>
        <w:t>would have had</w:t>
      </w:r>
      <w:r w:rsidRPr="00871797">
        <w:rPr>
          <w:rFonts w:ascii="Cambria" w:eastAsia="Cambria" w:hAnsi="Cambria" w:cs="Cambria"/>
          <w:sz w:val="20"/>
          <w:szCs w:val="20"/>
          <w:u w:color="000000"/>
          <w:lang w:eastAsia="es-ES"/>
        </w:rPr>
        <w:t xml:space="preserve"> to file an appeal for cassation, which would have exhausted the domestic jurisdiction.</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B583BBE" w14:textId="6630CE89" w:rsidR="00AF0073" w:rsidRPr="00962982" w:rsidRDefault="00AF0073" w:rsidP="00AF0073">
      <w:pPr>
        <w:pStyle w:val="ListParagraph"/>
        <w:numPr>
          <w:ilvl w:val="0"/>
          <w:numId w:val="103"/>
        </w:numPr>
        <w:suppressAutoHyphens/>
        <w:spacing w:after="120"/>
        <w:jc w:val="both"/>
        <w:rPr>
          <w:rFonts w:asciiTheme="majorHAnsi" w:hAnsiTheme="majorHAnsi"/>
          <w:sz w:val="20"/>
          <w:szCs w:val="20"/>
        </w:rPr>
      </w:pPr>
      <w:r w:rsidRPr="00871797">
        <w:rPr>
          <w:bCs/>
          <w:sz w:val="20"/>
          <w:szCs w:val="20"/>
        </w:rPr>
        <w:t>The Commission observes that on October 29, 2010, the First Instance Court of Control No. 3 of the Criminal Judicial Circuit dismissed the criminal case due to the</w:t>
      </w:r>
      <w:r w:rsidR="00CB3998">
        <w:rPr>
          <w:bCs/>
          <w:sz w:val="20"/>
          <w:szCs w:val="20"/>
        </w:rPr>
        <w:t xml:space="preserve"> application of the</w:t>
      </w:r>
      <w:r w:rsidRPr="00871797">
        <w:rPr>
          <w:bCs/>
          <w:sz w:val="20"/>
          <w:szCs w:val="20"/>
        </w:rPr>
        <w:t xml:space="preserve"> statute of limitations. The Commission notes that the State </w:t>
      </w:r>
      <w:r w:rsidR="00737506">
        <w:rPr>
          <w:bCs/>
          <w:sz w:val="20"/>
          <w:szCs w:val="20"/>
        </w:rPr>
        <w:t>mentions</w:t>
      </w:r>
      <w:r w:rsidRPr="00871797">
        <w:rPr>
          <w:bCs/>
          <w:sz w:val="20"/>
          <w:szCs w:val="20"/>
        </w:rPr>
        <w:t xml:space="preserve"> the </w:t>
      </w:r>
      <w:r w:rsidR="00DD110A">
        <w:rPr>
          <w:bCs/>
          <w:sz w:val="20"/>
          <w:szCs w:val="20"/>
        </w:rPr>
        <w:t xml:space="preserve">remedies of </w:t>
      </w:r>
      <w:r w:rsidRPr="00871797">
        <w:rPr>
          <w:bCs/>
          <w:sz w:val="20"/>
          <w:szCs w:val="20"/>
        </w:rPr>
        <w:t xml:space="preserve">appeal and </w:t>
      </w:r>
      <w:r w:rsidR="00DD110A">
        <w:rPr>
          <w:bCs/>
          <w:sz w:val="20"/>
          <w:szCs w:val="20"/>
        </w:rPr>
        <w:t xml:space="preserve">appeal for </w:t>
      </w:r>
      <w:r w:rsidRPr="00871797">
        <w:rPr>
          <w:bCs/>
          <w:sz w:val="20"/>
          <w:szCs w:val="20"/>
        </w:rPr>
        <w:t xml:space="preserve">cassation, which were available to the petitioners. However, the Commission reiterates that the precedents established by the IACHR indicate that whenever an alleged crime is prosecuted </w:t>
      </w:r>
      <w:r w:rsidRPr="000D5125">
        <w:rPr>
          <w:bCs/>
          <w:i/>
          <w:sz w:val="20"/>
          <w:szCs w:val="20"/>
        </w:rPr>
        <w:t>ex officio</w:t>
      </w:r>
      <w:r w:rsidRPr="00871797">
        <w:rPr>
          <w:bCs/>
          <w:sz w:val="20"/>
          <w:szCs w:val="20"/>
        </w:rPr>
        <w:t xml:space="preserve">, the State has the obligation to promote and advance criminal proceedings and that this is the best way to clarify the </w:t>
      </w:r>
      <w:r>
        <w:rPr>
          <w:bCs/>
          <w:sz w:val="20"/>
          <w:szCs w:val="20"/>
        </w:rPr>
        <w:t xml:space="preserve">alleged </w:t>
      </w:r>
      <w:r w:rsidRPr="00871797">
        <w:rPr>
          <w:bCs/>
          <w:sz w:val="20"/>
          <w:szCs w:val="20"/>
        </w:rPr>
        <w:t xml:space="preserve">facts, </w:t>
      </w:r>
      <w:r>
        <w:rPr>
          <w:bCs/>
          <w:sz w:val="20"/>
          <w:szCs w:val="20"/>
        </w:rPr>
        <w:t>prosecute</w:t>
      </w:r>
      <w:r w:rsidRPr="00871797">
        <w:rPr>
          <w:bCs/>
          <w:sz w:val="20"/>
          <w:szCs w:val="20"/>
        </w:rPr>
        <w:t xml:space="preserve"> those responsible and establish the corresponding criminal sanctions, in addition to enabling other forms of pecuniary reparation. In addition, the Commission has established that, as a general rule, a criminal investigation must be promptly conducted to protect the interests of the victims, preserve the evidence and even safeguard the rights of any person who</w:t>
      </w:r>
      <w:r>
        <w:rPr>
          <w:bCs/>
          <w:sz w:val="20"/>
          <w:szCs w:val="20"/>
        </w:rPr>
        <w:t>,</w:t>
      </w:r>
      <w:r w:rsidRPr="00871797">
        <w:rPr>
          <w:bCs/>
          <w:sz w:val="20"/>
          <w:szCs w:val="20"/>
        </w:rPr>
        <w:t xml:space="preserve"> in the context of the investigation</w:t>
      </w:r>
      <w:r>
        <w:rPr>
          <w:bCs/>
          <w:sz w:val="20"/>
          <w:szCs w:val="20"/>
        </w:rPr>
        <w:t>,</w:t>
      </w:r>
      <w:r w:rsidRPr="00871797">
        <w:rPr>
          <w:bCs/>
          <w:sz w:val="20"/>
          <w:szCs w:val="20"/>
        </w:rPr>
        <w:t xml:space="preserve"> is considered suspicious.</w:t>
      </w:r>
      <w:r>
        <w:rPr>
          <w:rStyle w:val="FootnoteReference"/>
          <w:bCs/>
          <w:sz w:val="20"/>
          <w:szCs w:val="20"/>
        </w:rPr>
        <w:footnoteReference w:id="6"/>
      </w:r>
      <w:r w:rsidRPr="00871797">
        <w:rPr>
          <w:bCs/>
          <w:sz w:val="20"/>
          <w:szCs w:val="20"/>
        </w:rPr>
        <w:t xml:space="preserve"> Therefore, </w:t>
      </w:r>
      <w:r w:rsidRPr="00962982">
        <w:rPr>
          <w:rFonts w:asciiTheme="majorHAnsi" w:hAnsiTheme="majorHAnsi"/>
          <w:bCs/>
          <w:sz w:val="20"/>
          <w:szCs w:val="20"/>
        </w:rPr>
        <w:t>the Commission considers that taking into account the context and the time elapsed since the facts denounced, the exception provided for in Article 46.2.a and c of the Convention applies.</w:t>
      </w:r>
    </w:p>
    <w:p w14:paraId="2BDBAE9F" w14:textId="09557A6C" w:rsidR="00263BF5" w:rsidRPr="000B6B7A" w:rsidRDefault="00AF0073" w:rsidP="00AF00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962982">
        <w:rPr>
          <w:rFonts w:asciiTheme="majorHAnsi" w:hAnsiTheme="majorHAnsi"/>
          <w:sz w:val="20"/>
          <w:szCs w:val="20"/>
        </w:rPr>
        <w:t xml:space="preserve">In the same way, the Commission notes that the petition was received on April 25, 2011, and the facts denounced began in March 2001 and its alleged effects extend to the present. Therefore, the Commission considers that the petition was filed within a reasonable period of time and that the admissibility requirement regarding the filing period </w:t>
      </w:r>
      <w:r w:rsidR="008047D2">
        <w:rPr>
          <w:rFonts w:asciiTheme="majorHAnsi" w:hAnsiTheme="majorHAnsi"/>
          <w:sz w:val="20"/>
          <w:szCs w:val="20"/>
        </w:rPr>
        <w:t>is</w:t>
      </w:r>
      <w:r w:rsidRPr="00962982">
        <w:rPr>
          <w:rFonts w:asciiTheme="majorHAnsi" w:hAnsiTheme="majorHAnsi"/>
          <w:sz w:val="20"/>
          <w:szCs w:val="20"/>
        </w:rPr>
        <w:t xml:space="preserve"> satisfied.</w:t>
      </w:r>
    </w:p>
    <w:p w14:paraId="378478A0" w14:textId="26729B2B"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6D0E085" w:rsidR="00F621C3" w:rsidRPr="00E31A41" w:rsidRDefault="00AF0073" w:rsidP="00E31A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E31A41">
        <w:rPr>
          <w:rFonts w:ascii="Cambria" w:eastAsia="Cambria" w:hAnsi="Cambria" w:cs="Cambria"/>
          <w:color w:val="000000"/>
          <w:sz w:val="20"/>
          <w:szCs w:val="20"/>
          <w:u w:color="000000"/>
          <w:lang w:eastAsia="es-ES"/>
        </w:rPr>
        <w:lastRenderedPageBreak/>
        <w:t xml:space="preserve">In view of the factual and legal elements put forward by the parties and the nature of the matter brought to its attention, the Commission considers that, if proven, the allegations related to the lack of access to adequate health services </w:t>
      </w:r>
      <w:r w:rsidR="00E31A41" w:rsidRPr="00E31A41">
        <w:rPr>
          <w:rFonts w:ascii="Cambria" w:eastAsia="Cambria" w:hAnsi="Cambria" w:cs="Cambria"/>
          <w:color w:val="000000"/>
          <w:sz w:val="20"/>
          <w:szCs w:val="20"/>
          <w:u w:color="000000"/>
          <w:lang w:eastAsia="es-ES"/>
        </w:rPr>
        <w:t xml:space="preserve">and </w:t>
      </w:r>
      <w:r w:rsidR="00E31A41">
        <w:rPr>
          <w:rFonts w:ascii="Cambria" w:eastAsia="Cambria" w:hAnsi="Cambria" w:cs="Cambria"/>
          <w:color w:val="000000"/>
          <w:sz w:val="20"/>
          <w:szCs w:val="20"/>
          <w:u w:color="000000"/>
          <w:lang w:eastAsia="es-ES"/>
        </w:rPr>
        <w:t xml:space="preserve">lack of care by the </w:t>
      </w:r>
      <w:r w:rsidR="00E31A41" w:rsidRPr="00E31A41">
        <w:rPr>
          <w:rFonts w:ascii="Cambria" w:eastAsia="Cambria" w:hAnsi="Cambria" w:cs="Cambria"/>
          <w:color w:val="000000"/>
          <w:sz w:val="20"/>
          <w:szCs w:val="20"/>
          <w:u w:color="000000"/>
          <w:lang w:eastAsia="es-ES"/>
        </w:rPr>
        <w:t>public authorities</w:t>
      </w:r>
      <w:r w:rsidR="00E31A41">
        <w:rPr>
          <w:rFonts w:ascii="Cambria" w:eastAsia="Cambria" w:hAnsi="Cambria" w:cs="Cambria"/>
          <w:color w:val="000000"/>
          <w:sz w:val="20"/>
          <w:szCs w:val="20"/>
          <w:u w:color="000000"/>
          <w:lang w:eastAsia="es-ES"/>
        </w:rPr>
        <w:t>, as well as</w:t>
      </w:r>
      <w:r w:rsidRPr="00E31A41">
        <w:rPr>
          <w:rFonts w:ascii="Cambria" w:eastAsia="Cambria" w:hAnsi="Cambria" w:cs="Cambria"/>
          <w:color w:val="000000"/>
          <w:sz w:val="20"/>
          <w:szCs w:val="20"/>
          <w:u w:color="000000"/>
          <w:lang w:eastAsia="es-ES"/>
        </w:rPr>
        <w:t xml:space="preserve"> the subsequent death of the alleged victim while </w:t>
      </w:r>
      <w:r w:rsidR="00DF212E" w:rsidRPr="00E31A41">
        <w:rPr>
          <w:rFonts w:ascii="Cambria" w:eastAsia="Cambria" w:hAnsi="Cambria" w:cs="Cambria"/>
          <w:color w:val="000000"/>
          <w:sz w:val="20"/>
          <w:szCs w:val="20"/>
          <w:u w:color="000000"/>
          <w:lang w:eastAsia="es-ES"/>
        </w:rPr>
        <w:t>s</w:t>
      </w:r>
      <w:r w:rsidRPr="00E31A41">
        <w:rPr>
          <w:rFonts w:ascii="Cambria" w:eastAsia="Cambria" w:hAnsi="Cambria" w:cs="Cambria"/>
          <w:color w:val="000000"/>
          <w:sz w:val="20"/>
          <w:szCs w:val="20"/>
          <w:u w:color="000000"/>
          <w:lang w:eastAsia="es-ES"/>
        </w:rPr>
        <w:t>he was deprived of her liberty</w:t>
      </w:r>
      <w:r w:rsidR="005D2BEE" w:rsidRPr="00E31A41">
        <w:rPr>
          <w:rFonts w:ascii="Cambria" w:eastAsia="Cambria" w:hAnsi="Cambria" w:cs="Cambria"/>
          <w:color w:val="000000"/>
          <w:sz w:val="20"/>
          <w:szCs w:val="20"/>
          <w:u w:color="000000"/>
          <w:lang w:eastAsia="es-ES"/>
        </w:rPr>
        <w:t>, and in state custody</w:t>
      </w:r>
      <w:r w:rsidRPr="00E31A41">
        <w:rPr>
          <w:rFonts w:ascii="Cambria" w:eastAsia="Cambria" w:hAnsi="Cambria" w:cs="Cambria"/>
          <w:color w:val="000000"/>
          <w:sz w:val="20"/>
          <w:szCs w:val="20"/>
          <w:u w:color="000000"/>
          <w:lang w:eastAsia="es-ES"/>
        </w:rPr>
        <w:t>, as well as the unjustified delay in the investigation and the development of the criminal process, added to the impunity in which the facts remain, could amount to possible violations of articles 4 (life), 5 (</w:t>
      </w:r>
      <w:r w:rsidR="00DF212E" w:rsidRPr="00E31A41">
        <w:rPr>
          <w:rFonts w:ascii="Cambria" w:eastAsia="Cambria" w:hAnsi="Cambria" w:cs="Cambria"/>
          <w:color w:val="000000"/>
          <w:sz w:val="20"/>
          <w:szCs w:val="20"/>
          <w:u w:color="000000"/>
          <w:lang w:eastAsia="es-ES"/>
        </w:rPr>
        <w:t>humane treatment</w:t>
      </w:r>
      <w:r w:rsidRPr="00E31A41">
        <w:rPr>
          <w:rFonts w:ascii="Cambria" w:eastAsia="Cambria" w:hAnsi="Cambria" w:cs="Cambria"/>
          <w:color w:val="000000"/>
          <w:sz w:val="20"/>
          <w:szCs w:val="20"/>
          <w:u w:color="000000"/>
          <w:lang w:eastAsia="es-ES"/>
        </w:rPr>
        <w:t>), 8 (</w:t>
      </w:r>
      <w:r w:rsidR="00DF212E" w:rsidRPr="00E31A41">
        <w:rPr>
          <w:rFonts w:ascii="Cambria" w:eastAsia="Cambria" w:hAnsi="Cambria" w:cs="Cambria"/>
          <w:color w:val="000000"/>
          <w:sz w:val="20"/>
          <w:szCs w:val="20"/>
          <w:u w:color="000000"/>
          <w:lang w:eastAsia="es-ES"/>
        </w:rPr>
        <w:t>fair trial</w:t>
      </w:r>
      <w:r w:rsidRPr="00E31A41">
        <w:rPr>
          <w:rFonts w:ascii="Cambria" w:eastAsia="Cambria" w:hAnsi="Cambria" w:cs="Cambria"/>
          <w:color w:val="000000"/>
          <w:sz w:val="20"/>
          <w:szCs w:val="20"/>
          <w:u w:color="000000"/>
          <w:lang w:eastAsia="es-ES"/>
        </w:rPr>
        <w:t>), 25 (judicial protection) and 26 (economic, social and cultural rights) of the American Convention, in accordance with its articles 1.1 (obligation to respect rights) and 2 (</w:t>
      </w:r>
      <w:r w:rsidR="00DF212E" w:rsidRPr="00E31A41">
        <w:rPr>
          <w:rFonts w:ascii="Cambria" w:eastAsia="Cambria" w:hAnsi="Cambria" w:cs="Cambria"/>
          <w:color w:val="000000"/>
          <w:sz w:val="20"/>
          <w:szCs w:val="20"/>
          <w:u w:color="000000"/>
          <w:lang w:eastAsia="es-ES"/>
        </w:rPr>
        <w:t>domestic legal effects</w:t>
      </w:r>
      <w:r w:rsidRPr="00E31A41">
        <w:rPr>
          <w:rFonts w:ascii="Cambria" w:eastAsia="Cambria" w:hAnsi="Cambria" w:cs="Cambria"/>
          <w:color w:val="000000"/>
          <w:sz w:val="20"/>
          <w:szCs w:val="20"/>
          <w:u w:color="000000"/>
          <w:lang w:eastAsia="es-ES"/>
        </w:rPr>
        <w:t>).</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F8C6E69" w14:textId="77777777" w:rsidR="00AF0073" w:rsidRPr="00A95529" w:rsidRDefault="00AF0073" w:rsidP="00AF0073">
      <w:pPr>
        <w:numPr>
          <w:ilvl w:val="0"/>
          <w:numId w:val="105"/>
        </w:numPr>
        <w:suppressAutoHyphens/>
        <w:spacing w:after="120"/>
        <w:jc w:val="both"/>
        <w:rPr>
          <w:rFonts w:ascii="Cambria" w:hAnsi="Cambria"/>
          <w:sz w:val="20"/>
          <w:szCs w:val="20"/>
        </w:rPr>
      </w:pPr>
      <w:r w:rsidRPr="00666340">
        <w:rPr>
          <w:rFonts w:ascii="Cambria" w:hAnsi="Cambria"/>
          <w:sz w:val="20"/>
          <w:szCs w:val="20"/>
        </w:rPr>
        <w:t xml:space="preserve">To find the instant petition admissible in relation to Articles </w:t>
      </w:r>
      <w:r>
        <w:rPr>
          <w:rFonts w:ascii="Cambria" w:hAnsi="Cambria"/>
          <w:sz w:val="20"/>
          <w:szCs w:val="20"/>
        </w:rPr>
        <w:t xml:space="preserve">4, </w:t>
      </w:r>
      <w:r w:rsidRPr="00666340">
        <w:rPr>
          <w:rFonts w:ascii="Cambria" w:hAnsi="Cambria"/>
          <w:bCs/>
          <w:sz w:val="20"/>
          <w:szCs w:val="20"/>
        </w:rPr>
        <w:t>5, 8</w:t>
      </w:r>
      <w:r>
        <w:rPr>
          <w:rFonts w:ascii="Cambria" w:hAnsi="Cambria"/>
          <w:bCs/>
          <w:sz w:val="20"/>
          <w:szCs w:val="20"/>
        </w:rPr>
        <w:t>,</w:t>
      </w:r>
      <w:r w:rsidRPr="00666340">
        <w:rPr>
          <w:rFonts w:ascii="Cambria" w:hAnsi="Cambria"/>
          <w:bCs/>
          <w:sz w:val="20"/>
          <w:szCs w:val="20"/>
        </w:rPr>
        <w:t xml:space="preserve"> 25 </w:t>
      </w:r>
      <w:r>
        <w:rPr>
          <w:rFonts w:ascii="Cambria" w:hAnsi="Cambria"/>
          <w:bCs/>
          <w:sz w:val="20"/>
          <w:szCs w:val="20"/>
        </w:rPr>
        <w:t xml:space="preserve">and 26 </w:t>
      </w:r>
      <w:r w:rsidRPr="00666340">
        <w:rPr>
          <w:rFonts w:ascii="Cambria" w:hAnsi="Cambria"/>
          <w:bCs/>
          <w:sz w:val="20"/>
          <w:szCs w:val="20"/>
        </w:rPr>
        <w:t>of the American Convention, in accordance with articles 1.1 and 2</w:t>
      </w:r>
      <w:r>
        <w:rPr>
          <w:rFonts w:ascii="Cambria" w:hAnsi="Cambria"/>
          <w:bCs/>
          <w:sz w:val="20"/>
          <w:szCs w:val="20"/>
        </w:rPr>
        <w:t>;</w:t>
      </w:r>
    </w:p>
    <w:p w14:paraId="22CC8DDA" w14:textId="30FB3B7A" w:rsidR="00F621C3" w:rsidRPr="001F1902" w:rsidRDefault="00AF0073" w:rsidP="00AF007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1C6AA622" w14:textId="4CC3F6CC" w:rsidR="00F621C3" w:rsidRPr="000B6B7A" w:rsidRDefault="00D350D1" w:rsidP="00D350D1">
      <w:pPr>
        <w:pStyle w:val="ListParagraph"/>
        <w:suppressAutoHyphens/>
        <w:spacing w:before="240" w:after="240"/>
        <w:ind w:left="0"/>
        <w:jc w:val="both"/>
        <w:rPr>
          <w:rFonts w:asciiTheme="majorHAnsi" w:hAnsiTheme="majorHAnsi"/>
          <w:sz w:val="20"/>
          <w:szCs w:val="20"/>
        </w:rPr>
      </w:pPr>
      <w:r>
        <w:rPr>
          <w:rFonts w:eastAsia="Arial Unicode MS" w:cs="Times New Roman"/>
          <w:color w:val="auto"/>
          <w:sz w:val="20"/>
          <w:szCs w:val="20"/>
          <w:lang w:eastAsia="en-US"/>
        </w:rPr>
        <w:tab/>
      </w:r>
      <w:r w:rsidRPr="00D350D1">
        <w:rPr>
          <w:rFonts w:eastAsia="Arial Unicode MS" w:cs="Times New Roman"/>
          <w:color w:val="auto"/>
          <w:sz w:val="20"/>
          <w:szCs w:val="20"/>
          <w:lang w:eastAsia="en-US"/>
        </w:rPr>
        <w:t xml:space="preserve">Approved by the Inter-American Commission on Human Rights on the </w:t>
      </w:r>
      <w:r>
        <w:rPr>
          <w:rFonts w:eastAsia="Arial Unicode MS" w:cs="Times New Roman"/>
          <w:color w:val="auto"/>
          <w:sz w:val="20"/>
          <w:szCs w:val="20"/>
          <w:lang w:eastAsia="en-US"/>
        </w:rPr>
        <w:t>5</w:t>
      </w:r>
      <w:r w:rsidRPr="00D350D1">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w:t>
      </w:r>
      <w:r w:rsidRPr="00D350D1">
        <w:rPr>
          <w:rFonts w:eastAsia="Arial Unicode MS" w:cs="Times New Roman"/>
          <w:color w:val="auto"/>
          <w:sz w:val="20"/>
          <w:szCs w:val="20"/>
          <w:lang w:eastAsia="en-US"/>
        </w:rPr>
        <w:t xml:space="preserve">day of the month of </w:t>
      </w:r>
      <w:r>
        <w:rPr>
          <w:rFonts w:eastAsia="Arial Unicode MS" w:cs="Times New Roman"/>
          <w:color w:val="auto"/>
          <w:sz w:val="20"/>
          <w:szCs w:val="20"/>
          <w:lang w:eastAsia="en-US"/>
        </w:rPr>
        <w:t>December</w:t>
      </w:r>
      <w:r w:rsidRPr="00D350D1">
        <w:rPr>
          <w:rFonts w:eastAsia="Arial Unicode MS" w:cs="Times New Roman"/>
          <w:color w:val="auto"/>
          <w:sz w:val="20"/>
          <w:szCs w:val="20"/>
          <w:lang w:eastAsia="en-US"/>
        </w:rPr>
        <w:t>, 2019. (Signed):  Esmeralda E. Arosemena Bernal de Troitiño, President; Joel Hernández García, First Vice President; Antonia Urrejola, Second Vice President; Margarette May Macaulay, Francisco José Eguiguren Praeli, Luis Ernesto Vargas Silva and Flávia Piovesan, Commissioners.</w:t>
      </w: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669F" w14:textId="77777777" w:rsidR="00791AB8" w:rsidRDefault="00791AB8" w:rsidP="00036A8A">
      <w:r>
        <w:separator/>
      </w:r>
    </w:p>
  </w:endnote>
  <w:endnote w:type="continuationSeparator" w:id="0">
    <w:p w14:paraId="72E6A91B" w14:textId="77777777" w:rsidR="00791AB8" w:rsidRDefault="00791AB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AC22" w14:textId="77777777" w:rsidR="0069599A" w:rsidRDefault="00695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9599A">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931B0" w14:textId="77777777" w:rsidR="00791AB8" w:rsidRPr="00036A8A" w:rsidRDefault="00791AB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70CDD4" w14:textId="77777777" w:rsidR="00791AB8" w:rsidRPr="00036A8A" w:rsidRDefault="00791AB8" w:rsidP="00036A8A">
      <w:pPr>
        <w:rPr>
          <w:rFonts w:asciiTheme="majorHAnsi" w:hAnsiTheme="majorHAnsi"/>
          <w:sz w:val="16"/>
          <w:szCs w:val="16"/>
        </w:rPr>
      </w:pPr>
      <w:r w:rsidRPr="00036A8A">
        <w:rPr>
          <w:rFonts w:asciiTheme="majorHAnsi" w:hAnsiTheme="majorHAnsi"/>
          <w:sz w:val="16"/>
          <w:szCs w:val="16"/>
        </w:rPr>
        <w:separator/>
      </w:r>
    </w:p>
    <w:p w14:paraId="6995069E" w14:textId="77777777" w:rsidR="00791AB8" w:rsidRPr="00036A8A" w:rsidRDefault="00791AB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EA2D3F8" w14:textId="77777777" w:rsidR="00791AB8" w:rsidRPr="0093441A" w:rsidRDefault="00791AB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5A6F272" w14:textId="77777777" w:rsidR="00C81285" w:rsidRPr="009F7460" w:rsidRDefault="00C81285" w:rsidP="00053326">
      <w:pPr>
        <w:pStyle w:val="FootnoteText"/>
        <w:ind w:firstLine="720"/>
        <w:rPr>
          <w:rFonts w:ascii="Cambria" w:hAnsi="Cambria"/>
          <w:sz w:val="16"/>
          <w:szCs w:val="16"/>
        </w:rPr>
      </w:pPr>
      <w:r w:rsidRPr="009F7460">
        <w:rPr>
          <w:rStyle w:val="FootnoteReference"/>
          <w:rFonts w:ascii="Cambria" w:hAnsi="Cambria"/>
          <w:sz w:val="16"/>
          <w:szCs w:val="16"/>
        </w:rPr>
        <w:footnoteRef/>
      </w:r>
      <w:r w:rsidRPr="009F7460">
        <w:rPr>
          <w:rFonts w:ascii="Cambria" w:hAnsi="Cambria"/>
          <w:sz w:val="16"/>
          <w:szCs w:val="16"/>
        </w:rPr>
        <w:t xml:space="preserve"> Terry Langton and Lyn Langton, parents of the alleged victim. </w:t>
      </w:r>
    </w:p>
  </w:footnote>
  <w:footnote w:id="3">
    <w:p w14:paraId="7BD78019" w14:textId="77777777" w:rsidR="00C81285" w:rsidRPr="00666340" w:rsidRDefault="00C81285" w:rsidP="00053326">
      <w:pPr>
        <w:pStyle w:val="FootnoteText"/>
        <w:ind w:firstLine="720"/>
        <w:jc w:val="both"/>
        <w:rPr>
          <w:rFonts w:ascii="Cambria" w:hAnsi="Cambria"/>
          <w:sz w:val="16"/>
          <w:szCs w:val="16"/>
        </w:rPr>
      </w:pPr>
      <w:r w:rsidRPr="00666340">
        <w:rPr>
          <w:rStyle w:val="FootnoteReference"/>
          <w:rFonts w:ascii="Cambria" w:hAnsi="Cambria"/>
          <w:sz w:val="16"/>
          <w:szCs w:val="16"/>
        </w:rPr>
        <w:footnoteRef/>
      </w:r>
      <w:r w:rsidRPr="00666340">
        <w:rPr>
          <w:rFonts w:ascii="Cambria" w:hAnsi="Cambria"/>
          <w:sz w:val="16"/>
          <w:szCs w:val="16"/>
        </w:rPr>
        <w:t xml:space="preserve"> Hereinafter “America Convention” or “Convention”.</w:t>
      </w:r>
    </w:p>
  </w:footnote>
  <w:footnote w:id="4">
    <w:p w14:paraId="6F51BDAF" w14:textId="5F4755E7" w:rsidR="00653EA6" w:rsidRPr="008546E5" w:rsidRDefault="00653EA6" w:rsidP="00053326">
      <w:pPr>
        <w:pStyle w:val="FootnoteText"/>
        <w:ind w:firstLine="720"/>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5">
    <w:p w14:paraId="5578DB5F" w14:textId="32DAB9B6" w:rsidR="00AF0073" w:rsidRPr="00871797" w:rsidRDefault="00AF0073" w:rsidP="00053326">
      <w:pPr>
        <w:pStyle w:val="FootnoteText"/>
        <w:ind w:firstLine="720"/>
        <w:rPr>
          <w:rFonts w:ascii="Cambria" w:hAnsi="Cambria"/>
          <w:sz w:val="16"/>
          <w:szCs w:val="16"/>
        </w:rPr>
      </w:pPr>
      <w:r w:rsidRPr="00871797">
        <w:rPr>
          <w:rStyle w:val="FootnoteReference"/>
          <w:rFonts w:ascii="Cambria" w:hAnsi="Cambria"/>
          <w:sz w:val="16"/>
          <w:szCs w:val="16"/>
        </w:rPr>
        <w:footnoteRef/>
      </w:r>
      <w:r w:rsidRPr="00871797">
        <w:rPr>
          <w:rFonts w:ascii="Cambria" w:hAnsi="Cambria"/>
          <w:sz w:val="16"/>
          <w:szCs w:val="16"/>
        </w:rPr>
        <w:t xml:space="preserve"> In its decision, the Tribunal established that the alleged punishable acts had occurred and</w:t>
      </w:r>
      <w:r w:rsidR="00DE6E7C">
        <w:rPr>
          <w:rFonts w:ascii="Cambria" w:hAnsi="Cambria"/>
          <w:sz w:val="16"/>
          <w:szCs w:val="16"/>
        </w:rPr>
        <w:t>,</w:t>
      </w:r>
      <w:r w:rsidRPr="00871797">
        <w:rPr>
          <w:rFonts w:ascii="Cambria" w:hAnsi="Cambria"/>
          <w:sz w:val="16"/>
          <w:szCs w:val="16"/>
        </w:rPr>
        <w:t xml:space="preserve"> based on the evidence presented in the file</w:t>
      </w:r>
      <w:r w:rsidR="00DE6E7C">
        <w:rPr>
          <w:rFonts w:ascii="Cambria" w:hAnsi="Cambria"/>
          <w:sz w:val="16"/>
          <w:szCs w:val="16"/>
        </w:rPr>
        <w:t>,</w:t>
      </w:r>
      <w:r w:rsidRPr="00871797">
        <w:rPr>
          <w:rFonts w:ascii="Cambria" w:hAnsi="Cambria"/>
          <w:sz w:val="16"/>
          <w:szCs w:val="16"/>
        </w:rPr>
        <w:t xml:space="preserve"> they c</w:t>
      </w:r>
      <w:r>
        <w:rPr>
          <w:rFonts w:ascii="Cambria" w:hAnsi="Cambria"/>
          <w:sz w:val="16"/>
          <w:szCs w:val="16"/>
        </w:rPr>
        <w:t>ould</w:t>
      </w:r>
      <w:r w:rsidRPr="00871797">
        <w:rPr>
          <w:rFonts w:ascii="Cambria" w:hAnsi="Cambria"/>
          <w:sz w:val="16"/>
          <w:szCs w:val="16"/>
        </w:rPr>
        <w:t xml:space="preserve"> be attributed to the defendants.</w:t>
      </w:r>
    </w:p>
  </w:footnote>
  <w:footnote w:id="6">
    <w:p w14:paraId="00457E04" w14:textId="77777777" w:rsidR="00AF0073" w:rsidRPr="000D5125" w:rsidRDefault="00AF0073" w:rsidP="00053326">
      <w:pPr>
        <w:pStyle w:val="FootnoteText"/>
        <w:ind w:firstLine="720"/>
        <w:rPr>
          <w:lang w:val="es-ES"/>
        </w:rPr>
      </w:pPr>
      <w:r>
        <w:rPr>
          <w:rStyle w:val="FootnoteReference"/>
        </w:rPr>
        <w:footnoteRef/>
      </w:r>
      <w:r w:rsidRPr="000D5125">
        <w:t xml:space="preserve"> </w:t>
      </w:r>
      <w:r w:rsidRPr="000D5125">
        <w:rPr>
          <w:rFonts w:ascii="Cambria" w:hAnsi="Cambria"/>
          <w:sz w:val="16"/>
          <w:szCs w:val="16"/>
        </w:rPr>
        <w:t xml:space="preserve">IACHR, Report No.49/14. Petition 1196/07. Admissibility. </w:t>
      </w:r>
      <w:r>
        <w:rPr>
          <w:rFonts w:ascii="Cambria" w:hAnsi="Cambria"/>
          <w:sz w:val="16"/>
          <w:szCs w:val="16"/>
          <w:lang w:val="es-ES"/>
        </w:rPr>
        <w:t>Juan Carlos Martínez Gil, Colombia, July 21, 2014, par.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91AB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B493" w14:textId="77777777" w:rsidR="0069599A" w:rsidRDefault="00695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53326"/>
    <w:rsid w:val="000639C0"/>
    <w:rsid w:val="00070F3A"/>
    <w:rsid w:val="000716C5"/>
    <w:rsid w:val="00075E23"/>
    <w:rsid w:val="00092F32"/>
    <w:rsid w:val="0009344A"/>
    <w:rsid w:val="000A575F"/>
    <w:rsid w:val="000C4365"/>
    <w:rsid w:val="000D10DB"/>
    <w:rsid w:val="0010248A"/>
    <w:rsid w:val="00114A40"/>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04A8A"/>
    <w:rsid w:val="00210E0E"/>
    <w:rsid w:val="00210F4B"/>
    <w:rsid w:val="0021485E"/>
    <w:rsid w:val="00230163"/>
    <w:rsid w:val="0023351C"/>
    <w:rsid w:val="00247403"/>
    <w:rsid w:val="00247542"/>
    <w:rsid w:val="00257893"/>
    <w:rsid w:val="00257D55"/>
    <w:rsid w:val="00263BF5"/>
    <w:rsid w:val="00266092"/>
    <w:rsid w:val="00266B61"/>
    <w:rsid w:val="0026712A"/>
    <w:rsid w:val="002704DB"/>
    <w:rsid w:val="002760CE"/>
    <w:rsid w:val="002772AB"/>
    <w:rsid w:val="002B7A85"/>
    <w:rsid w:val="002C1641"/>
    <w:rsid w:val="002D7EA2"/>
    <w:rsid w:val="002E15DF"/>
    <w:rsid w:val="002E187C"/>
    <w:rsid w:val="002E6E57"/>
    <w:rsid w:val="00301075"/>
    <w:rsid w:val="00302733"/>
    <w:rsid w:val="00311A4F"/>
    <w:rsid w:val="00314078"/>
    <w:rsid w:val="00316EB5"/>
    <w:rsid w:val="00321AFD"/>
    <w:rsid w:val="00322450"/>
    <w:rsid w:val="003246B5"/>
    <w:rsid w:val="0033169F"/>
    <w:rsid w:val="003414AC"/>
    <w:rsid w:val="00356185"/>
    <w:rsid w:val="00360380"/>
    <w:rsid w:val="003771A3"/>
    <w:rsid w:val="00386CF0"/>
    <w:rsid w:val="003A4348"/>
    <w:rsid w:val="003C32BC"/>
    <w:rsid w:val="003D4403"/>
    <w:rsid w:val="003D6EE0"/>
    <w:rsid w:val="003E27CD"/>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2414"/>
    <w:rsid w:val="005D2BEE"/>
    <w:rsid w:val="005F0F33"/>
    <w:rsid w:val="005F3665"/>
    <w:rsid w:val="00600DEB"/>
    <w:rsid w:val="00613027"/>
    <w:rsid w:val="00615BC7"/>
    <w:rsid w:val="00627C9F"/>
    <w:rsid w:val="006311DA"/>
    <w:rsid w:val="006311E9"/>
    <w:rsid w:val="006318B2"/>
    <w:rsid w:val="00632354"/>
    <w:rsid w:val="00642810"/>
    <w:rsid w:val="00652333"/>
    <w:rsid w:val="00653EA6"/>
    <w:rsid w:val="0066007D"/>
    <w:rsid w:val="00670280"/>
    <w:rsid w:val="0068009E"/>
    <w:rsid w:val="0069599A"/>
    <w:rsid w:val="006A17D2"/>
    <w:rsid w:val="006A73E6"/>
    <w:rsid w:val="006B2D5C"/>
    <w:rsid w:val="006C099A"/>
    <w:rsid w:val="006C4EB1"/>
    <w:rsid w:val="006D4707"/>
    <w:rsid w:val="006E0166"/>
    <w:rsid w:val="006E7B34"/>
    <w:rsid w:val="00701B24"/>
    <w:rsid w:val="00706858"/>
    <w:rsid w:val="0071495F"/>
    <w:rsid w:val="00737506"/>
    <w:rsid w:val="0073798E"/>
    <w:rsid w:val="00745899"/>
    <w:rsid w:val="007607C4"/>
    <w:rsid w:val="0076643F"/>
    <w:rsid w:val="00781653"/>
    <w:rsid w:val="00791893"/>
    <w:rsid w:val="00791AB8"/>
    <w:rsid w:val="007A2F70"/>
    <w:rsid w:val="007C3334"/>
    <w:rsid w:val="007C52BB"/>
    <w:rsid w:val="007D2B98"/>
    <w:rsid w:val="007F7980"/>
    <w:rsid w:val="00803F1C"/>
    <w:rsid w:val="008047D2"/>
    <w:rsid w:val="0080600E"/>
    <w:rsid w:val="00817612"/>
    <w:rsid w:val="00837C45"/>
    <w:rsid w:val="00853419"/>
    <w:rsid w:val="008546E5"/>
    <w:rsid w:val="00897E12"/>
    <w:rsid w:val="008D43BA"/>
    <w:rsid w:val="008E3759"/>
    <w:rsid w:val="008E40F5"/>
    <w:rsid w:val="008F2006"/>
    <w:rsid w:val="009041DC"/>
    <w:rsid w:val="00907BDF"/>
    <w:rsid w:val="009104B4"/>
    <w:rsid w:val="009228DA"/>
    <w:rsid w:val="00925FCD"/>
    <w:rsid w:val="0093441A"/>
    <w:rsid w:val="00954BF7"/>
    <w:rsid w:val="00962982"/>
    <w:rsid w:val="0096706E"/>
    <w:rsid w:val="00981FBA"/>
    <w:rsid w:val="0098783D"/>
    <w:rsid w:val="009B381B"/>
    <w:rsid w:val="009C7440"/>
    <w:rsid w:val="009D7611"/>
    <w:rsid w:val="009E53DE"/>
    <w:rsid w:val="009E566A"/>
    <w:rsid w:val="00A12DBC"/>
    <w:rsid w:val="00A43458"/>
    <w:rsid w:val="00A528D1"/>
    <w:rsid w:val="00A66BE5"/>
    <w:rsid w:val="00AD37C1"/>
    <w:rsid w:val="00AE66EC"/>
    <w:rsid w:val="00AE6F91"/>
    <w:rsid w:val="00AF0073"/>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355B4"/>
    <w:rsid w:val="00C55560"/>
    <w:rsid w:val="00C66B72"/>
    <w:rsid w:val="00C81285"/>
    <w:rsid w:val="00C9567A"/>
    <w:rsid w:val="00CA6577"/>
    <w:rsid w:val="00CB2660"/>
    <w:rsid w:val="00CB3998"/>
    <w:rsid w:val="00CC5E90"/>
    <w:rsid w:val="00CD046C"/>
    <w:rsid w:val="00CE5199"/>
    <w:rsid w:val="00CE66D5"/>
    <w:rsid w:val="00CE6DB1"/>
    <w:rsid w:val="00D34786"/>
    <w:rsid w:val="00D350D1"/>
    <w:rsid w:val="00D40A1E"/>
    <w:rsid w:val="00D533C0"/>
    <w:rsid w:val="00D61932"/>
    <w:rsid w:val="00D712D3"/>
    <w:rsid w:val="00D71422"/>
    <w:rsid w:val="00D7145E"/>
    <w:rsid w:val="00D75084"/>
    <w:rsid w:val="00D7558D"/>
    <w:rsid w:val="00D81D92"/>
    <w:rsid w:val="00D93446"/>
    <w:rsid w:val="00DA7B5F"/>
    <w:rsid w:val="00DD110A"/>
    <w:rsid w:val="00DD7F71"/>
    <w:rsid w:val="00DE6E7C"/>
    <w:rsid w:val="00DF078B"/>
    <w:rsid w:val="00DF212E"/>
    <w:rsid w:val="00DF350D"/>
    <w:rsid w:val="00E227C1"/>
    <w:rsid w:val="00E31A41"/>
    <w:rsid w:val="00E43157"/>
    <w:rsid w:val="00E47F3D"/>
    <w:rsid w:val="00E533FF"/>
    <w:rsid w:val="00E709B3"/>
    <w:rsid w:val="00E7588C"/>
    <w:rsid w:val="00E7797F"/>
    <w:rsid w:val="00E850B6"/>
    <w:rsid w:val="00E8789F"/>
    <w:rsid w:val="00E97B71"/>
    <w:rsid w:val="00EA7D86"/>
    <w:rsid w:val="00EB454D"/>
    <w:rsid w:val="00ED0D1B"/>
    <w:rsid w:val="00EE3522"/>
    <w:rsid w:val="00EF619B"/>
    <w:rsid w:val="00F00B55"/>
    <w:rsid w:val="00F12279"/>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6C2-14F9-4473-AC43-0D007B75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7995</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189/19</dc:title>
  <dc:creator/>
  <cp:lastModifiedBy/>
  <cp:revision>1</cp:revision>
  <dcterms:created xsi:type="dcterms:W3CDTF">2020-04-02T14:48:00Z</dcterms:created>
  <dcterms:modified xsi:type="dcterms:W3CDTF">2020-04-02T14:48:00Z</dcterms:modified>
</cp:coreProperties>
</file>