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4F1697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18641" w14:textId="20DF4391" w:rsidR="00E41AD3" w:rsidRPr="004E2649" w:rsidRDefault="00E41AD3" w:rsidP="00E41AD3">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sidR="0088168E">
                              <w:rPr>
                                <w:rFonts w:asciiTheme="majorHAnsi" w:hAnsiTheme="majorHAnsi" w:cs="Arial"/>
                                <w:b/>
                                <w:bCs/>
                                <w:color w:val="0D0D0D" w:themeColor="text1" w:themeTint="F2"/>
                                <w:sz w:val="36"/>
                                <w:szCs w:val="22"/>
                                <w:lang w:val="en"/>
                              </w:rPr>
                              <w:t xml:space="preserve"> 251</w:t>
                            </w:r>
                            <w:r>
                              <w:rPr>
                                <w:rFonts w:asciiTheme="majorHAnsi" w:hAnsiTheme="majorHAnsi" w:cs="Arial"/>
                                <w:b/>
                                <w:bCs/>
                                <w:color w:val="0D0D0D" w:themeColor="text1" w:themeTint="F2"/>
                                <w:sz w:val="36"/>
                                <w:szCs w:val="22"/>
                                <w:lang w:val="en"/>
                              </w:rPr>
                              <w:t>/</w:t>
                            </w:r>
                            <w:r w:rsidR="0088168E">
                              <w:rPr>
                                <w:rFonts w:asciiTheme="majorHAnsi" w:hAnsiTheme="majorHAnsi" w:cs="Arial"/>
                                <w:b/>
                                <w:bCs/>
                                <w:color w:val="0D0D0D" w:themeColor="text1" w:themeTint="F2"/>
                                <w:sz w:val="36"/>
                                <w:szCs w:val="22"/>
                                <w:lang w:val="en"/>
                              </w:rPr>
                              <w:t>20</w:t>
                            </w:r>
                          </w:p>
                          <w:p w14:paraId="5FB82CA6" w14:textId="77777777" w:rsidR="00E41AD3" w:rsidRDefault="00E41AD3" w:rsidP="00E41AD3">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1422-09 </w:t>
                            </w:r>
                          </w:p>
                          <w:p w14:paraId="3795CF9F" w14:textId="77777777" w:rsidR="00E41AD3" w:rsidRPr="0010736F" w:rsidRDefault="00E41AD3" w:rsidP="00E41AD3">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ADMISSIBILITY</w:t>
                            </w:r>
                          </w:p>
                          <w:p w14:paraId="094ACF25" w14:textId="77777777" w:rsidR="00E41AD3" w:rsidRPr="0010736F" w:rsidRDefault="00E41AD3" w:rsidP="00E41AD3">
                            <w:pPr>
                              <w:spacing w:line="276" w:lineRule="auto"/>
                              <w:rPr>
                                <w:rFonts w:asciiTheme="majorHAnsi" w:hAnsiTheme="majorHAnsi" w:cs="Arial"/>
                                <w:color w:val="0D0D0D" w:themeColor="text1" w:themeTint="F2"/>
                                <w:szCs w:val="22"/>
                              </w:rPr>
                            </w:pPr>
                            <w:bookmarkStart w:id="1" w:name="_ftnref1"/>
                          </w:p>
                          <w:p w14:paraId="15F983C1" w14:textId="696CAA8C" w:rsidR="00E41AD3" w:rsidRPr="0010736F" w:rsidRDefault="00565C19" w:rsidP="00E41AD3">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RELATIVES OF</w:t>
                            </w:r>
                            <w:r w:rsidR="00CE264A">
                              <w:rPr>
                                <w:rFonts w:asciiTheme="majorHAnsi" w:hAnsiTheme="majorHAnsi" w:cs="Arial"/>
                                <w:color w:val="0D0D0D" w:themeColor="text1" w:themeTint="F2"/>
                                <w:szCs w:val="22"/>
                                <w:lang w:val="en"/>
                              </w:rPr>
                              <w:t xml:space="preserve"> RENÉ ROBERTO ACUÑA REYES</w:t>
                            </w:r>
                          </w:p>
                          <w:bookmarkEnd w:id="1"/>
                          <w:p w14:paraId="20403744" w14:textId="77777777" w:rsidR="00E41AD3" w:rsidRPr="0010736F" w:rsidRDefault="00E41AD3" w:rsidP="00E41AD3">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CHILE</w:t>
                            </w:r>
                          </w:p>
                          <w:p w14:paraId="5A94EF5D" w14:textId="77777777" w:rsidR="00E41AD3" w:rsidRPr="00AE5488" w:rsidRDefault="00E41AD3" w:rsidP="00E41AD3">
                            <w:pPr>
                              <w:rPr>
                                <w:color w:val="0D0D0D" w:themeColor="text1" w:themeTint="F2"/>
                              </w:rPr>
                            </w:pPr>
                          </w:p>
                          <w:p w14:paraId="67476ECA" w14:textId="507B9435" w:rsidR="005B52B0" w:rsidRPr="000C4365" w:rsidRDefault="005B52B0" w:rsidP="00261E08">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C1DDC71"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2FF18641" w14:textId="20DF4391" w:rsidR="00E41AD3" w:rsidRPr="004E2649" w:rsidRDefault="00E41AD3" w:rsidP="00E41AD3">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sidR="0088168E">
                        <w:rPr>
                          <w:rFonts w:asciiTheme="majorHAnsi" w:hAnsiTheme="majorHAnsi" w:cs="Arial"/>
                          <w:b/>
                          <w:bCs/>
                          <w:color w:val="0D0D0D" w:themeColor="text1" w:themeTint="F2"/>
                          <w:sz w:val="36"/>
                          <w:szCs w:val="22"/>
                          <w:lang w:val="en"/>
                        </w:rPr>
                        <w:t xml:space="preserve"> 251</w:t>
                      </w:r>
                      <w:r>
                        <w:rPr>
                          <w:rFonts w:asciiTheme="majorHAnsi" w:hAnsiTheme="majorHAnsi" w:cs="Arial"/>
                          <w:b/>
                          <w:bCs/>
                          <w:color w:val="0D0D0D" w:themeColor="text1" w:themeTint="F2"/>
                          <w:sz w:val="36"/>
                          <w:szCs w:val="22"/>
                          <w:lang w:val="en"/>
                        </w:rPr>
                        <w:t>/</w:t>
                      </w:r>
                      <w:r w:rsidR="0088168E">
                        <w:rPr>
                          <w:rFonts w:asciiTheme="majorHAnsi" w:hAnsiTheme="majorHAnsi" w:cs="Arial"/>
                          <w:b/>
                          <w:bCs/>
                          <w:color w:val="0D0D0D" w:themeColor="text1" w:themeTint="F2"/>
                          <w:sz w:val="36"/>
                          <w:szCs w:val="22"/>
                          <w:lang w:val="en"/>
                        </w:rPr>
                        <w:t>20</w:t>
                      </w:r>
                    </w:p>
                    <w:p w14:paraId="5FB82CA6" w14:textId="77777777" w:rsidR="00E41AD3" w:rsidRDefault="00E41AD3" w:rsidP="00E41AD3">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1422-09 </w:t>
                      </w:r>
                    </w:p>
                    <w:p w14:paraId="3795CF9F" w14:textId="77777777" w:rsidR="00E41AD3" w:rsidRPr="0010736F" w:rsidRDefault="00E41AD3" w:rsidP="00E41AD3">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ADMISSIBILITY</w:t>
                      </w:r>
                    </w:p>
                    <w:p w14:paraId="094ACF25" w14:textId="77777777" w:rsidR="00E41AD3" w:rsidRPr="0010736F" w:rsidRDefault="00E41AD3" w:rsidP="00E41AD3">
                      <w:pPr>
                        <w:spacing w:line="276" w:lineRule="auto"/>
                        <w:rPr>
                          <w:rFonts w:asciiTheme="majorHAnsi" w:hAnsiTheme="majorHAnsi" w:cs="Arial"/>
                          <w:color w:val="0D0D0D" w:themeColor="text1" w:themeTint="F2"/>
                          <w:szCs w:val="22"/>
                        </w:rPr>
                      </w:pPr>
                      <w:bookmarkStart w:id="1" w:name="_ftnref1"/>
                    </w:p>
                    <w:p w14:paraId="15F983C1" w14:textId="696CAA8C" w:rsidR="00E41AD3" w:rsidRPr="0010736F" w:rsidRDefault="00565C19" w:rsidP="00E41AD3">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RELATIVES OF</w:t>
                      </w:r>
                      <w:r w:rsidR="00CE264A">
                        <w:rPr>
                          <w:rFonts w:asciiTheme="majorHAnsi" w:hAnsiTheme="majorHAnsi" w:cs="Arial"/>
                          <w:color w:val="0D0D0D" w:themeColor="text1" w:themeTint="F2"/>
                          <w:szCs w:val="22"/>
                          <w:lang w:val="en"/>
                        </w:rPr>
                        <w:t xml:space="preserve"> RENÉ ROBERTO ACUÑA REYES</w:t>
                      </w:r>
                    </w:p>
                    <w:bookmarkEnd w:id="1"/>
                    <w:p w14:paraId="20403744" w14:textId="77777777" w:rsidR="00E41AD3" w:rsidRPr="0010736F" w:rsidRDefault="00E41AD3" w:rsidP="00E41AD3">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CHILE</w:t>
                      </w:r>
                    </w:p>
                    <w:p w14:paraId="5A94EF5D" w14:textId="77777777" w:rsidR="00E41AD3" w:rsidRPr="00AE5488" w:rsidRDefault="00E41AD3" w:rsidP="00E41AD3">
                      <w:pPr>
                        <w:rPr>
                          <w:color w:val="0D0D0D" w:themeColor="text1" w:themeTint="F2"/>
                        </w:rPr>
                      </w:pPr>
                    </w:p>
                    <w:p w14:paraId="67476ECA" w14:textId="507B9435" w:rsidR="005B52B0" w:rsidRPr="000C4365" w:rsidRDefault="005B52B0" w:rsidP="00261E08">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6813CEB4"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2B86BB36" w14:textId="258A832B"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88168E">
                              <w:rPr>
                                <w:rFonts w:asciiTheme="minorHAnsi" w:hAnsiTheme="minorHAnsi"/>
                                <w:color w:val="FFFFFF" w:themeColor="background1"/>
                                <w:sz w:val="22"/>
                                <w:lang w:val="pt-BR"/>
                              </w:rPr>
                              <w:t xml:space="preserve"> 267</w:t>
                            </w:r>
                            <w:r w:rsidRPr="00466D0B">
                              <w:rPr>
                                <w:rFonts w:asciiTheme="minorHAnsi" w:hAnsiTheme="minorHAnsi"/>
                                <w:color w:val="FFFFFF" w:themeColor="background1"/>
                                <w:sz w:val="22"/>
                                <w:lang w:val="pt-BR"/>
                              </w:rPr>
                              <w:t xml:space="preserve"> </w:t>
                            </w:r>
                          </w:p>
                          <w:p w14:paraId="6AC8D657" w14:textId="695F28F7" w:rsidR="00627C9F" w:rsidRPr="004B7EB6" w:rsidRDefault="0088168E" w:rsidP="009E566A">
                            <w:pPr>
                              <w:jc w:val="right"/>
                              <w:rPr>
                                <w:rFonts w:asciiTheme="minorHAnsi" w:hAnsiTheme="minorHAnsi"/>
                                <w:color w:val="FFFFFF" w:themeColor="background1"/>
                                <w:sz w:val="22"/>
                              </w:rPr>
                            </w:pPr>
                            <w:r>
                              <w:rPr>
                                <w:rFonts w:asciiTheme="minorHAnsi" w:hAnsiTheme="minorHAnsi"/>
                                <w:color w:val="FFFFFF" w:themeColor="background1"/>
                                <w:sz w:val="22"/>
                              </w:rPr>
                              <w:t>21 September</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6813CEB4"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2B86BB36" w14:textId="258A832B"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88168E">
                        <w:rPr>
                          <w:rFonts w:asciiTheme="minorHAnsi" w:hAnsiTheme="minorHAnsi"/>
                          <w:color w:val="FFFFFF" w:themeColor="background1"/>
                          <w:sz w:val="22"/>
                          <w:lang w:val="pt-BR"/>
                        </w:rPr>
                        <w:t xml:space="preserve"> 267</w:t>
                      </w:r>
                      <w:r w:rsidRPr="00466D0B">
                        <w:rPr>
                          <w:rFonts w:asciiTheme="minorHAnsi" w:hAnsiTheme="minorHAnsi"/>
                          <w:color w:val="FFFFFF" w:themeColor="background1"/>
                          <w:sz w:val="22"/>
                          <w:lang w:val="pt-BR"/>
                        </w:rPr>
                        <w:t xml:space="preserve"> </w:t>
                      </w:r>
                    </w:p>
                    <w:p w14:paraId="6AC8D657" w14:textId="695F28F7" w:rsidR="00627C9F" w:rsidRPr="004B7EB6" w:rsidRDefault="0088168E" w:rsidP="009E566A">
                      <w:pPr>
                        <w:jc w:val="right"/>
                        <w:rPr>
                          <w:rFonts w:asciiTheme="minorHAnsi" w:hAnsiTheme="minorHAnsi"/>
                          <w:color w:val="FFFFFF" w:themeColor="background1"/>
                          <w:sz w:val="22"/>
                        </w:rPr>
                      </w:pPr>
                      <w:r>
                        <w:rPr>
                          <w:rFonts w:asciiTheme="minorHAnsi" w:hAnsiTheme="minorHAnsi"/>
                          <w:color w:val="FFFFFF" w:themeColor="background1"/>
                          <w:sz w:val="22"/>
                        </w:rPr>
                        <w:t>21 September</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3E1F635E" w:rsidR="009B306D" w:rsidRPr="009B306D" w:rsidRDefault="009B306D"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 xml:space="preserve">Electronically approved by the Commission on </w:t>
                            </w:r>
                            <w:r w:rsidR="0088168E">
                              <w:rPr>
                                <w:rFonts w:asciiTheme="majorHAnsi" w:hAnsiTheme="majorHAnsi"/>
                                <w:color w:val="0D0D0D" w:themeColor="text1" w:themeTint="F2"/>
                                <w:sz w:val="20"/>
                              </w:rPr>
                              <w:t>September 21</w:t>
                            </w:r>
                            <w:r>
                              <w:rPr>
                                <w:rFonts w:asciiTheme="majorHAnsi" w:hAnsiTheme="majorHAnsi"/>
                                <w:color w:val="0D0D0D" w:themeColor="text1" w:themeTint="F2"/>
                                <w:sz w:val="20"/>
                              </w:rPr>
                              <w:t>, 20</w:t>
                            </w:r>
                            <w:r w:rsidR="0088168E">
                              <w:rPr>
                                <w:rFonts w:asciiTheme="majorHAnsi" w:hAnsiTheme="majorHAnsi"/>
                                <w:color w:val="0D0D0D" w:themeColor="text1" w:themeTint="F2"/>
                                <w:sz w:val="20"/>
                              </w:rPr>
                              <w:t>20</w:t>
                            </w:r>
                            <w:r w:rsidR="00062FEF">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3E1F635E" w:rsidR="009B306D" w:rsidRPr="009B306D" w:rsidRDefault="009B306D"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 xml:space="preserve">Electronically approved by the Commission on </w:t>
                      </w:r>
                      <w:r w:rsidR="0088168E">
                        <w:rPr>
                          <w:rFonts w:asciiTheme="majorHAnsi" w:hAnsiTheme="majorHAnsi"/>
                          <w:color w:val="0D0D0D" w:themeColor="text1" w:themeTint="F2"/>
                          <w:sz w:val="20"/>
                        </w:rPr>
                        <w:t>September 21</w:t>
                      </w:r>
                      <w:r>
                        <w:rPr>
                          <w:rFonts w:asciiTheme="majorHAnsi" w:hAnsiTheme="majorHAnsi"/>
                          <w:color w:val="0D0D0D" w:themeColor="text1" w:themeTint="F2"/>
                          <w:sz w:val="20"/>
                        </w:rPr>
                        <w:t>, 20</w:t>
                      </w:r>
                      <w:r w:rsidR="0088168E">
                        <w:rPr>
                          <w:rFonts w:asciiTheme="majorHAnsi" w:hAnsiTheme="majorHAnsi"/>
                          <w:color w:val="0D0D0D" w:themeColor="text1" w:themeTint="F2"/>
                          <w:sz w:val="20"/>
                        </w:rPr>
                        <w:t>20</w:t>
                      </w:r>
                      <w:r w:rsidR="00062FEF">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5E5F0B24" w:rsidR="00F644E6" w:rsidRPr="00E41AD3" w:rsidRDefault="00E41AD3" w:rsidP="00E41AD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88168E">
                              <w:rPr>
                                <w:rFonts w:asciiTheme="majorHAnsi" w:hAnsiTheme="majorHAnsi"/>
                                <w:color w:val="595959" w:themeColor="text1" w:themeTint="A6"/>
                                <w:sz w:val="18"/>
                                <w:szCs w:val="18"/>
                                <w:lang w:val="en"/>
                              </w:rPr>
                              <w:t>251</w:t>
                            </w:r>
                            <w:r>
                              <w:rPr>
                                <w:rFonts w:asciiTheme="majorHAnsi" w:hAnsiTheme="majorHAnsi"/>
                                <w:color w:val="595959" w:themeColor="text1" w:themeTint="A6"/>
                                <w:sz w:val="18"/>
                                <w:szCs w:val="18"/>
                                <w:lang w:val="en"/>
                              </w:rPr>
                              <w:t>/</w:t>
                            </w:r>
                            <w:r w:rsidR="0088168E">
                              <w:rPr>
                                <w:rFonts w:asciiTheme="majorHAnsi" w:hAnsiTheme="majorHAnsi"/>
                                <w:color w:val="595959" w:themeColor="text1" w:themeTint="A6"/>
                                <w:sz w:val="18"/>
                                <w:szCs w:val="18"/>
                                <w:lang w:val="en"/>
                              </w:rPr>
                              <w:t>20</w:t>
                            </w:r>
                            <w:r>
                              <w:rPr>
                                <w:rFonts w:asciiTheme="majorHAnsi" w:hAnsiTheme="majorHAnsi"/>
                                <w:color w:val="595959" w:themeColor="text1" w:themeTint="A6"/>
                                <w:sz w:val="18"/>
                                <w:szCs w:val="18"/>
                                <w:lang w:val="en"/>
                              </w:rPr>
                              <w:t xml:space="preserve">. Petition 1422-09. Admissibility. </w:t>
                            </w:r>
                            <w:r w:rsidR="00565C19">
                              <w:rPr>
                                <w:rFonts w:asciiTheme="majorHAnsi" w:hAnsiTheme="majorHAnsi"/>
                                <w:color w:val="595959" w:themeColor="text1" w:themeTint="A6"/>
                                <w:sz w:val="18"/>
                                <w:szCs w:val="18"/>
                                <w:lang w:val="en"/>
                              </w:rPr>
                              <w:t>Relatives</w:t>
                            </w:r>
                            <w:r w:rsidR="00CE264A">
                              <w:rPr>
                                <w:rFonts w:asciiTheme="majorHAnsi" w:hAnsiTheme="majorHAnsi"/>
                                <w:color w:val="595959" w:themeColor="text1" w:themeTint="A6"/>
                                <w:sz w:val="18"/>
                                <w:szCs w:val="18"/>
                                <w:lang w:val="en"/>
                              </w:rPr>
                              <w:t xml:space="preserve"> of </w:t>
                            </w:r>
                            <w:r>
                              <w:rPr>
                                <w:rFonts w:asciiTheme="majorHAnsi" w:hAnsiTheme="majorHAnsi"/>
                                <w:color w:val="595959" w:themeColor="text1" w:themeTint="A6"/>
                                <w:sz w:val="18"/>
                                <w:szCs w:val="18"/>
                                <w:lang w:val="en"/>
                              </w:rPr>
                              <w:t xml:space="preserve">René Roberto Acuña Reyes. Chile. </w:t>
                            </w:r>
                            <w:r w:rsidR="0088168E">
                              <w:rPr>
                                <w:rFonts w:asciiTheme="majorHAnsi" w:hAnsiTheme="majorHAnsi"/>
                                <w:color w:val="595959" w:themeColor="text1" w:themeTint="A6"/>
                                <w:sz w:val="18"/>
                                <w:szCs w:val="18"/>
                                <w:lang w:val="en"/>
                              </w:rPr>
                              <w:t xml:space="preserve">21 </w:t>
                            </w:r>
                            <w:proofErr w:type="spellStart"/>
                            <w:r w:rsidR="0088168E">
                              <w:rPr>
                                <w:rFonts w:asciiTheme="majorHAnsi" w:hAnsiTheme="majorHAnsi"/>
                                <w:color w:val="595959" w:themeColor="text1" w:themeTint="A6"/>
                                <w:sz w:val="18"/>
                                <w:szCs w:val="18"/>
                                <w:lang w:val="en"/>
                              </w:rPr>
                              <w:t>septiembre</w:t>
                            </w:r>
                            <w:proofErr w:type="spellEnd"/>
                            <w:r w:rsidR="0088168E">
                              <w:rPr>
                                <w:rFonts w:asciiTheme="majorHAnsi" w:hAnsiTheme="majorHAnsi"/>
                                <w:color w:val="595959" w:themeColor="text1" w:themeTint="A6"/>
                                <w:sz w:val="18"/>
                                <w:szCs w:val="18"/>
                                <w:lang w:val="en"/>
                              </w:rPr>
                              <w:t xml:space="preserve"> 2020</w:t>
                            </w:r>
                            <w:r>
                              <w:rPr>
                                <w:rFonts w:asciiTheme="majorHAnsi" w:hAnsiTheme="majorHAnsi"/>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5E5F0B24" w:rsidR="00F644E6" w:rsidRPr="00E41AD3" w:rsidRDefault="00E41AD3" w:rsidP="00E41AD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88168E">
                        <w:rPr>
                          <w:rFonts w:asciiTheme="majorHAnsi" w:hAnsiTheme="majorHAnsi"/>
                          <w:color w:val="595959" w:themeColor="text1" w:themeTint="A6"/>
                          <w:sz w:val="18"/>
                          <w:szCs w:val="18"/>
                          <w:lang w:val="en"/>
                        </w:rPr>
                        <w:t>251</w:t>
                      </w:r>
                      <w:r>
                        <w:rPr>
                          <w:rFonts w:asciiTheme="majorHAnsi" w:hAnsiTheme="majorHAnsi"/>
                          <w:color w:val="595959" w:themeColor="text1" w:themeTint="A6"/>
                          <w:sz w:val="18"/>
                          <w:szCs w:val="18"/>
                          <w:lang w:val="en"/>
                        </w:rPr>
                        <w:t>/</w:t>
                      </w:r>
                      <w:r w:rsidR="0088168E">
                        <w:rPr>
                          <w:rFonts w:asciiTheme="majorHAnsi" w:hAnsiTheme="majorHAnsi"/>
                          <w:color w:val="595959" w:themeColor="text1" w:themeTint="A6"/>
                          <w:sz w:val="18"/>
                          <w:szCs w:val="18"/>
                          <w:lang w:val="en"/>
                        </w:rPr>
                        <w:t>20</w:t>
                      </w:r>
                      <w:r>
                        <w:rPr>
                          <w:rFonts w:asciiTheme="majorHAnsi" w:hAnsiTheme="majorHAnsi"/>
                          <w:color w:val="595959" w:themeColor="text1" w:themeTint="A6"/>
                          <w:sz w:val="18"/>
                          <w:szCs w:val="18"/>
                          <w:lang w:val="en"/>
                        </w:rPr>
                        <w:t xml:space="preserve">. Petition 1422-09. Admissibility. </w:t>
                      </w:r>
                      <w:r w:rsidR="00565C19">
                        <w:rPr>
                          <w:rFonts w:asciiTheme="majorHAnsi" w:hAnsiTheme="majorHAnsi"/>
                          <w:color w:val="595959" w:themeColor="text1" w:themeTint="A6"/>
                          <w:sz w:val="18"/>
                          <w:szCs w:val="18"/>
                          <w:lang w:val="en"/>
                        </w:rPr>
                        <w:t>Relatives</w:t>
                      </w:r>
                      <w:r w:rsidR="00CE264A">
                        <w:rPr>
                          <w:rFonts w:asciiTheme="majorHAnsi" w:hAnsiTheme="majorHAnsi"/>
                          <w:color w:val="595959" w:themeColor="text1" w:themeTint="A6"/>
                          <w:sz w:val="18"/>
                          <w:szCs w:val="18"/>
                          <w:lang w:val="en"/>
                        </w:rPr>
                        <w:t xml:space="preserve"> of </w:t>
                      </w:r>
                      <w:r>
                        <w:rPr>
                          <w:rFonts w:asciiTheme="majorHAnsi" w:hAnsiTheme="majorHAnsi"/>
                          <w:color w:val="595959" w:themeColor="text1" w:themeTint="A6"/>
                          <w:sz w:val="18"/>
                          <w:szCs w:val="18"/>
                          <w:lang w:val="en"/>
                        </w:rPr>
                        <w:t xml:space="preserve">René Roberto Acuña Reyes. Chile. </w:t>
                      </w:r>
                      <w:r w:rsidR="0088168E">
                        <w:rPr>
                          <w:rFonts w:asciiTheme="majorHAnsi" w:hAnsiTheme="majorHAnsi"/>
                          <w:color w:val="595959" w:themeColor="text1" w:themeTint="A6"/>
                          <w:sz w:val="18"/>
                          <w:szCs w:val="18"/>
                          <w:lang w:val="en"/>
                        </w:rPr>
                        <w:t>21 septiembre 2020</w:t>
                      </w:r>
                      <w:r>
                        <w:rPr>
                          <w:rFonts w:asciiTheme="majorHAnsi" w:hAnsiTheme="majorHAnsi"/>
                          <w:color w:val="595959" w:themeColor="text1" w:themeTint="A6"/>
                          <w:sz w:val="18"/>
                          <w:szCs w:val="18"/>
                          <w:lang w:val="en"/>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2F84829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8168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2F84829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8168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0D1CC739" w14:textId="77777777" w:rsidTr="009F0C0E">
        <w:tc>
          <w:tcPr>
            <w:tcW w:w="2790" w:type="dxa"/>
            <w:tcBorders>
              <w:top w:val="single" w:sz="4" w:space="0" w:color="auto"/>
              <w:bottom w:val="single" w:sz="6" w:space="0" w:color="auto"/>
            </w:tcBorders>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143C8721" w:rsidR="00261E08" w:rsidRPr="003A5566" w:rsidRDefault="00E41AD3" w:rsidP="009163FC">
            <w:pPr>
              <w:jc w:val="both"/>
              <w:rPr>
                <w:rFonts w:asciiTheme="majorHAnsi" w:hAnsiTheme="majorHAnsi"/>
                <w:bCs/>
                <w:sz w:val="19"/>
                <w:szCs w:val="19"/>
              </w:rPr>
            </w:pPr>
            <w:r>
              <w:rPr>
                <w:rFonts w:ascii="Cambria" w:hAnsi="Cambria"/>
                <w:bCs/>
                <w:sz w:val="19"/>
                <w:szCs w:val="19"/>
                <w:lang w:val="es-ES"/>
              </w:rPr>
              <w:t>Nelson Caucoto Pereira</w:t>
            </w:r>
            <w:r>
              <w:rPr>
                <w:rStyle w:val="FootnoteReference"/>
                <w:rFonts w:ascii="Cambria" w:hAnsi="Cambria"/>
                <w:bCs/>
                <w:sz w:val="19"/>
                <w:szCs w:val="19"/>
                <w:lang w:val="es-ES"/>
              </w:rPr>
              <w:footnoteReference w:id="2"/>
            </w:r>
          </w:p>
        </w:tc>
      </w:tr>
      <w:tr w:rsidR="00261E08" w:rsidRPr="003A5566" w14:paraId="4A730984" w14:textId="77777777" w:rsidTr="009F0C0E">
        <w:tc>
          <w:tcPr>
            <w:tcW w:w="2790" w:type="dxa"/>
            <w:tcBorders>
              <w:top w:val="single" w:sz="6" w:space="0" w:color="auto"/>
              <w:bottom w:val="single" w:sz="6" w:space="0" w:color="auto"/>
            </w:tcBorders>
            <w:shd w:val="clear" w:color="auto" w:fill="67AE3C"/>
            <w:vAlign w:val="center"/>
          </w:tcPr>
          <w:p w14:paraId="241395B3"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14:paraId="1E62AC27" w14:textId="35D67CDC" w:rsidR="00261E08" w:rsidRPr="008B41F6" w:rsidRDefault="00565C19" w:rsidP="00CE264A">
            <w:pPr>
              <w:jc w:val="both"/>
              <w:rPr>
                <w:rFonts w:asciiTheme="majorHAnsi" w:hAnsiTheme="majorHAnsi"/>
                <w:bCs/>
                <w:sz w:val="19"/>
                <w:szCs w:val="19"/>
              </w:rPr>
            </w:pPr>
            <w:r>
              <w:rPr>
                <w:rFonts w:ascii="Cambria" w:hAnsi="Cambria"/>
                <w:bCs/>
                <w:sz w:val="19"/>
                <w:szCs w:val="19"/>
              </w:rPr>
              <w:t>Relatives</w:t>
            </w:r>
            <w:r w:rsidR="00CE264A">
              <w:rPr>
                <w:rFonts w:ascii="Cambria" w:hAnsi="Cambria"/>
                <w:bCs/>
                <w:sz w:val="19"/>
                <w:szCs w:val="19"/>
              </w:rPr>
              <w:t xml:space="preserve"> of </w:t>
            </w:r>
            <w:r w:rsidR="008B41F6" w:rsidRPr="008B41F6">
              <w:rPr>
                <w:rFonts w:ascii="Cambria" w:hAnsi="Cambria"/>
                <w:bCs/>
                <w:sz w:val="19"/>
                <w:szCs w:val="19"/>
              </w:rPr>
              <w:t>René Roberto Acuña Reyes</w:t>
            </w:r>
            <w:r w:rsidR="008B41F6">
              <w:rPr>
                <w:rStyle w:val="FootnoteReference"/>
                <w:rFonts w:ascii="Cambria" w:hAnsi="Cambria"/>
                <w:bCs/>
                <w:sz w:val="19"/>
                <w:szCs w:val="19"/>
              </w:rPr>
              <w:footnoteReference w:id="3"/>
            </w:r>
          </w:p>
        </w:tc>
      </w:tr>
      <w:tr w:rsidR="00261E08" w:rsidRPr="003A5566"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3041D3C9" w:rsidR="00261E08" w:rsidRPr="003A5566" w:rsidRDefault="008B41F6" w:rsidP="009163FC">
            <w:pPr>
              <w:jc w:val="both"/>
              <w:rPr>
                <w:rFonts w:asciiTheme="majorHAnsi" w:hAnsiTheme="majorHAnsi"/>
                <w:bCs/>
                <w:sz w:val="19"/>
                <w:szCs w:val="19"/>
              </w:rPr>
            </w:pPr>
            <w:r>
              <w:rPr>
                <w:rFonts w:asciiTheme="majorHAnsi" w:hAnsiTheme="majorHAnsi"/>
                <w:bCs/>
                <w:sz w:val="19"/>
                <w:szCs w:val="19"/>
              </w:rPr>
              <w:t>Chile</w:t>
            </w:r>
            <w:r w:rsidR="00074B11">
              <w:rPr>
                <w:rStyle w:val="FootnoteReference"/>
                <w:rFonts w:asciiTheme="majorHAnsi" w:hAnsiTheme="majorHAnsi"/>
                <w:bCs/>
                <w:sz w:val="19"/>
                <w:szCs w:val="19"/>
              </w:rPr>
              <w:footnoteReference w:id="4"/>
            </w:r>
          </w:p>
        </w:tc>
      </w:tr>
      <w:tr w:rsidR="00261E08" w:rsidRPr="003A5566"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3D4B2E5C" w:rsidR="00261E08" w:rsidRPr="003A5566" w:rsidRDefault="008B41F6" w:rsidP="00CE264A">
            <w:pPr>
              <w:jc w:val="both"/>
              <w:rPr>
                <w:rFonts w:asciiTheme="majorHAnsi" w:hAnsiTheme="majorHAnsi"/>
                <w:bCs/>
                <w:sz w:val="19"/>
                <w:szCs w:val="19"/>
              </w:rPr>
            </w:pPr>
            <w:r>
              <w:rPr>
                <w:rFonts w:asciiTheme="majorHAnsi" w:hAnsiTheme="majorHAnsi"/>
                <w:sz w:val="19"/>
                <w:szCs w:val="19"/>
              </w:rPr>
              <w:t>Articles 8 (fair trial) and 25 (judicial protection) of the American Convention on Human Rights,</w:t>
            </w:r>
            <w:r>
              <w:rPr>
                <w:rStyle w:val="FootnoteReference"/>
                <w:rFonts w:asciiTheme="majorHAnsi" w:hAnsiTheme="majorHAnsi"/>
                <w:sz w:val="19"/>
                <w:szCs w:val="19"/>
              </w:rPr>
              <w:footnoteReference w:id="5"/>
            </w:r>
            <w:r>
              <w:rPr>
                <w:rFonts w:asciiTheme="majorHAnsi" w:hAnsiTheme="majorHAnsi"/>
                <w:sz w:val="19"/>
                <w:szCs w:val="19"/>
              </w:rPr>
              <w:t xml:space="preserve"> </w:t>
            </w:r>
            <w:r w:rsidR="00CE264A">
              <w:rPr>
                <w:rFonts w:asciiTheme="majorHAnsi" w:hAnsiTheme="majorHAnsi"/>
                <w:sz w:val="19"/>
                <w:szCs w:val="19"/>
              </w:rPr>
              <w:t>along with</w:t>
            </w:r>
            <w:r>
              <w:rPr>
                <w:rFonts w:asciiTheme="majorHAnsi" w:hAnsiTheme="majorHAnsi"/>
                <w:sz w:val="19"/>
                <w:szCs w:val="19"/>
              </w:rPr>
              <w:t xml:space="preserve"> its Articles 1.1 (obligation to respect rights) and 2 (domestic legal effects)</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D707F4" w:rsidRDefault="00AB4FA4" w:rsidP="00B06BB7">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vAlign w:val="center"/>
          </w:tcPr>
          <w:p w14:paraId="7EADD3E8" w14:textId="52006E79" w:rsidR="00261E08" w:rsidRPr="003A5566" w:rsidRDefault="008B41F6" w:rsidP="009163FC">
            <w:pPr>
              <w:jc w:val="both"/>
              <w:rPr>
                <w:rFonts w:asciiTheme="majorHAnsi" w:hAnsiTheme="majorHAnsi"/>
                <w:bCs/>
                <w:sz w:val="19"/>
                <w:szCs w:val="19"/>
              </w:rPr>
            </w:pPr>
            <w:r>
              <w:rPr>
                <w:rFonts w:asciiTheme="majorHAnsi" w:hAnsiTheme="majorHAnsi"/>
                <w:bCs/>
                <w:sz w:val="19"/>
                <w:szCs w:val="19"/>
              </w:rPr>
              <w:t>November 8, 2009</w:t>
            </w:r>
          </w:p>
        </w:tc>
      </w:tr>
      <w:tr w:rsidR="00261E08" w:rsidRPr="003A5566"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25D0EC0" w14:textId="1D5227BE" w:rsidR="00261E08" w:rsidRPr="003A5566" w:rsidRDefault="008B41F6" w:rsidP="009163FC">
            <w:pPr>
              <w:jc w:val="both"/>
              <w:rPr>
                <w:rFonts w:asciiTheme="majorHAnsi" w:hAnsiTheme="majorHAnsi"/>
                <w:bCs/>
                <w:sz w:val="19"/>
                <w:szCs w:val="19"/>
              </w:rPr>
            </w:pPr>
            <w:r>
              <w:rPr>
                <w:rFonts w:asciiTheme="majorHAnsi" w:hAnsiTheme="majorHAnsi"/>
                <w:bCs/>
                <w:sz w:val="19"/>
                <w:szCs w:val="19"/>
              </w:rPr>
              <w:t>May 9, 2014</w:t>
            </w:r>
          </w:p>
        </w:tc>
      </w:tr>
      <w:tr w:rsidR="00261E08" w:rsidRPr="003A5566"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B420FC0" w14:textId="6791BCC6" w:rsidR="00261E08" w:rsidRPr="003A5566" w:rsidRDefault="008B41F6" w:rsidP="009163FC">
            <w:pPr>
              <w:jc w:val="both"/>
              <w:rPr>
                <w:rFonts w:asciiTheme="majorHAnsi" w:hAnsiTheme="majorHAnsi"/>
                <w:bCs/>
                <w:sz w:val="19"/>
                <w:szCs w:val="19"/>
              </w:rPr>
            </w:pPr>
            <w:r>
              <w:rPr>
                <w:rFonts w:asciiTheme="majorHAnsi" w:hAnsiTheme="majorHAnsi"/>
                <w:bCs/>
                <w:sz w:val="19"/>
                <w:szCs w:val="19"/>
              </w:rPr>
              <w:t>July 3, 2014</w:t>
            </w:r>
          </w:p>
        </w:tc>
      </w:tr>
      <w:tr w:rsidR="00CE264A" w:rsidRPr="003A5566" w14:paraId="26FE2F38" w14:textId="77777777" w:rsidTr="00C355B4">
        <w:trPr>
          <w:trHeight w:val="264"/>
        </w:trPr>
        <w:tc>
          <w:tcPr>
            <w:tcW w:w="2790" w:type="dxa"/>
            <w:tcBorders>
              <w:top w:val="single" w:sz="6" w:space="0" w:color="auto"/>
              <w:bottom w:val="single" w:sz="6" w:space="0" w:color="auto"/>
            </w:tcBorders>
            <w:shd w:val="clear" w:color="auto" w:fill="67AE3C"/>
            <w:vAlign w:val="center"/>
          </w:tcPr>
          <w:p w14:paraId="241BE117" w14:textId="721A353F" w:rsidR="00CE264A" w:rsidRPr="003A5566" w:rsidRDefault="00CE264A" w:rsidP="00CE264A">
            <w:pPr>
              <w:jc w:val="center"/>
              <w:rPr>
                <w:rFonts w:asciiTheme="majorHAnsi" w:hAnsiTheme="majorHAnsi"/>
                <w:color w:val="FFFFFF" w:themeColor="background1"/>
                <w:sz w:val="19"/>
                <w:szCs w:val="19"/>
              </w:rPr>
            </w:pPr>
            <w:r>
              <w:rPr>
                <w:rFonts w:asciiTheme="majorHAnsi" w:hAnsiTheme="majorHAnsi"/>
                <w:color w:val="FFFFFF" w:themeColor="background1"/>
                <w:sz w:val="19"/>
                <w:szCs w:val="19"/>
              </w:rPr>
              <w:t>Additional information by the petitioner</w:t>
            </w:r>
          </w:p>
        </w:tc>
        <w:tc>
          <w:tcPr>
            <w:tcW w:w="6570" w:type="dxa"/>
            <w:vAlign w:val="center"/>
          </w:tcPr>
          <w:p w14:paraId="5C96F9E8" w14:textId="03BA0119" w:rsidR="00CE264A" w:rsidRDefault="00CE264A" w:rsidP="009163FC">
            <w:pPr>
              <w:jc w:val="both"/>
              <w:rPr>
                <w:rFonts w:asciiTheme="majorHAnsi" w:hAnsiTheme="majorHAnsi"/>
                <w:bCs/>
                <w:sz w:val="19"/>
                <w:szCs w:val="19"/>
              </w:rPr>
            </w:pPr>
            <w:r>
              <w:rPr>
                <w:rFonts w:asciiTheme="majorHAnsi" w:hAnsiTheme="majorHAnsi"/>
                <w:bCs/>
                <w:sz w:val="19"/>
                <w:szCs w:val="19"/>
              </w:rPr>
              <w:t>August 19, 2019</w:t>
            </w:r>
          </w:p>
        </w:tc>
      </w:tr>
      <w:tr w:rsidR="00752D34" w:rsidRPr="003A5566" w14:paraId="061438F4" w14:textId="77777777" w:rsidTr="00C355B4">
        <w:tc>
          <w:tcPr>
            <w:tcW w:w="2790" w:type="dxa"/>
            <w:tcBorders>
              <w:top w:val="single" w:sz="6" w:space="0" w:color="auto"/>
              <w:bottom w:val="single" w:sz="6" w:space="0" w:color="auto"/>
            </w:tcBorders>
            <w:shd w:val="clear" w:color="auto" w:fill="67AE3C"/>
            <w:vAlign w:val="center"/>
          </w:tcPr>
          <w:p w14:paraId="5760FBA5" w14:textId="391378F7" w:rsidR="00752D34" w:rsidRPr="003D1E33" w:rsidRDefault="00113A4F" w:rsidP="00653EA6">
            <w:pPr>
              <w:jc w:val="center"/>
              <w:rPr>
                <w:rFonts w:asciiTheme="majorHAnsi" w:hAnsiTheme="majorHAnsi"/>
                <w:bCs/>
                <w:color w:val="FFFFFF" w:themeColor="background1"/>
                <w:sz w:val="19"/>
                <w:szCs w:val="19"/>
              </w:rPr>
            </w:pPr>
            <w:r w:rsidRPr="003D1E33">
              <w:rPr>
                <w:rFonts w:asciiTheme="majorHAnsi" w:hAnsiTheme="majorHAnsi"/>
                <w:bCs/>
                <w:color w:val="FFFFFF" w:themeColor="background1"/>
                <w:sz w:val="19"/>
                <w:szCs w:val="19"/>
              </w:rPr>
              <w:t>Notification of the possible archiving of the petition</w:t>
            </w:r>
          </w:p>
        </w:tc>
        <w:tc>
          <w:tcPr>
            <w:tcW w:w="6570" w:type="dxa"/>
            <w:vAlign w:val="center"/>
          </w:tcPr>
          <w:p w14:paraId="3EA2C960" w14:textId="57453959" w:rsidR="00752D34" w:rsidRPr="003A5566" w:rsidRDefault="008B41F6" w:rsidP="009163FC">
            <w:pPr>
              <w:jc w:val="both"/>
              <w:rPr>
                <w:rFonts w:asciiTheme="majorHAnsi" w:hAnsiTheme="majorHAnsi"/>
                <w:bCs/>
                <w:sz w:val="19"/>
                <w:szCs w:val="19"/>
              </w:rPr>
            </w:pPr>
            <w:r>
              <w:rPr>
                <w:rFonts w:asciiTheme="majorHAnsi" w:hAnsiTheme="majorHAnsi"/>
                <w:bCs/>
                <w:sz w:val="19"/>
                <w:szCs w:val="19"/>
              </w:rPr>
              <w:t>November 30, 2017</w:t>
            </w:r>
          </w:p>
        </w:tc>
      </w:tr>
      <w:tr w:rsidR="00113A4F" w:rsidRPr="003A5566" w14:paraId="663B0D20" w14:textId="77777777" w:rsidTr="00C355B4">
        <w:tc>
          <w:tcPr>
            <w:tcW w:w="2790" w:type="dxa"/>
            <w:tcBorders>
              <w:top w:val="single" w:sz="6" w:space="0" w:color="auto"/>
              <w:bottom w:val="single" w:sz="6" w:space="0" w:color="auto"/>
            </w:tcBorders>
            <w:shd w:val="clear" w:color="auto" w:fill="67AE3C"/>
            <w:vAlign w:val="center"/>
          </w:tcPr>
          <w:p w14:paraId="59B9D9B2" w14:textId="407B8C6F" w:rsidR="00113A4F" w:rsidRPr="003D1E33" w:rsidRDefault="00113A4F" w:rsidP="00653EA6">
            <w:pPr>
              <w:jc w:val="center"/>
              <w:rPr>
                <w:rFonts w:asciiTheme="majorHAnsi" w:hAnsiTheme="majorHAnsi"/>
                <w:bCs/>
                <w:color w:val="FFFFFF" w:themeColor="background1"/>
                <w:sz w:val="19"/>
                <w:szCs w:val="19"/>
              </w:rPr>
            </w:pPr>
            <w:r w:rsidRPr="003D1E33">
              <w:rPr>
                <w:rFonts w:asciiTheme="majorHAnsi" w:hAnsiTheme="majorHAnsi"/>
                <w:bCs/>
                <w:color w:val="FFFFFF" w:themeColor="background1"/>
                <w:sz w:val="19"/>
                <w:szCs w:val="19"/>
              </w:rPr>
              <w:t>Petitioner’s response to the notification on the possible archiving of the petition</w:t>
            </w:r>
          </w:p>
        </w:tc>
        <w:tc>
          <w:tcPr>
            <w:tcW w:w="6570" w:type="dxa"/>
            <w:vAlign w:val="center"/>
          </w:tcPr>
          <w:p w14:paraId="49E16060" w14:textId="3DB51E7F" w:rsidR="00113A4F" w:rsidRPr="003A5566" w:rsidRDefault="008B41F6" w:rsidP="009163FC">
            <w:pPr>
              <w:jc w:val="both"/>
              <w:rPr>
                <w:rFonts w:asciiTheme="majorHAnsi" w:hAnsiTheme="majorHAnsi"/>
                <w:bCs/>
                <w:sz w:val="19"/>
                <w:szCs w:val="19"/>
              </w:rPr>
            </w:pPr>
            <w:r>
              <w:rPr>
                <w:rFonts w:asciiTheme="majorHAnsi" w:hAnsiTheme="majorHAnsi"/>
                <w:bCs/>
                <w:sz w:val="19"/>
                <w:szCs w:val="19"/>
              </w:rPr>
              <w:t>December 1, 2017</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3A5566"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i/>
                <w:color w:val="FFFFFF" w:themeColor="background1"/>
                <w:sz w:val="19"/>
                <w:szCs w:val="19"/>
              </w:rPr>
              <w:t>Ratione personae</w:t>
            </w:r>
          </w:p>
        </w:tc>
        <w:tc>
          <w:tcPr>
            <w:tcW w:w="6622" w:type="dxa"/>
            <w:vAlign w:val="center"/>
          </w:tcPr>
          <w:p w14:paraId="21522B2E" w14:textId="067C6A2C" w:rsidR="00261E08" w:rsidRPr="003A5566" w:rsidRDefault="008B41F6" w:rsidP="009163FC">
            <w:pPr>
              <w:rPr>
                <w:rFonts w:asciiTheme="majorHAnsi" w:hAnsiTheme="majorHAnsi"/>
                <w:bCs/>
                <w:sz w:val="19"/>
                <w:szCs w:val="19"/>
              </w:rPr>
            </w:pPr>
            <w:r>
              <w:rPr>
                <w:rFonts w:asciiTheme="majorHAnsi" w:hAnsiTheme="majorHAnsi"/>
                <w:bCs/>
                <w:sz w:val="19"/>
                <w:szCs w:val="19"/>
              </w:rPr>
              <w:t>Yes</w:t>
            </w:r>
          </w:p>
        </w:tc>
      </w:tr>
      <w:tr w:rsidR="00261E08" w:rsidRPr="003A5566" w14:paraId="6438DD58" w14:textId="77777777" w:rsidTr="00FB2DCE">
        <w:trPr>
          <w:cantSplit/>
        </w:trPr>
        <w:tc>
          <w:tcPr>
            <w:tcW w:w="2763" w:type="dxa"/>
            <w:tcBorders>
              <w:top w:val="single" w:sz="6" w:space="0" w:color="auto"/>
              <w:bottom w:val="single" w:sz="6" w:space="0" w:color="auto"/>
            </w:tcBorders>
            <w:shd w:val="clear" w:color="auto" w:fill="67AE3C"/>
            <w:vAlign w:val="center"/>
          </w:tcPr>
          <w:p w14:paraId="43AB8B19" w14:textId="6682D91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loci</w:t>
            </w:r>
          </w:p>
        </w:tc>
        <w:tc>
          <w:tcPr>
            <w:tcW w:w="6622" w:type="dxa"/>
            <w:vAlign w:val="center"/>
          </w:tcPr>
          <w:p w14:paraId="27041F7E" w14:textId="03347B67" w:rsidR="00261E08" w:rsidRPr="003A5566" w:rsidRDefault="008B41F6" w:rsidP="009163FC">
            <w:pPr>
              <w:rPr>
                <w:rFonts w:asciiTheme="majorHAnsi" w:hAnsiTheme="majorHAnsi"/>
                <w:bCs/>
                <w:sz w:val="19"/>
                <w:szCs w:val="19"/>
              </w:rPr>
            </w:pPr>
            <w:r>
              <w:rPr>
                <w:rFonts w:asciiTheme="majorHAnsi" w:hAnsiTheme="majorHAnsi"/>
                <w:bCs/>
                <w:sz w:val="19"/>
                <w:szCs w:val="19"/>
              </w:rPr>
              <w:t>Yes</w:t>
            </w:r>
          </w:p>
        </w:tc>
      </w:tr>
      <w:tr w:rsidR="00261E08" w:rsidRPr="003A5566" w14:paraId="5140C2B6" w14:textId="77777777" w:rsidTr="00FB2DCE">
        <w:trPr>
          <w:cantSplit/>
        </w:trPr>
        <w:tc>
          <w:tcPr>
            <w:tcW w:w="2763" w:type="dxa"/>
            <w:tcBorders>
              <w:top w:val="single" w:sz="6" w:space="0" w:color="auto"/>
              <w:bottom w:val="single" w:sz="6" w:space="0" w:color="auto"/>
            </w:tcBorders>
            <w:shd w:val="clear" w:color="auto" w:fill="67AE3C"/>
            <w:vAlign w:val="center"/>
          </w:tcPr>
          <w:p w14:paraId="74905820" w14:textId="44CF3A98"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temporis</w:t>
            </w:r>
          </w:p>
        </w:tc>
        <w:tc>
          <w:tcPr>
            <w:tcW w:w="6622" w:type="dxa"/>
            <w:vAlign w:val="center"/>
          </w:tcPr>
          <w:p w14:paraId="6091B7B0" w14:textId="76F08E72" w:rsidR="00261E08" w:rsidRPr="003A5566" w:rsidRDefault="008B41F6" w:rsidP="009163FC">
            <w:pPr>
              <w:rPr>
                <w:rFonts w:asciiTheme="majorHAnsi" w:hAnsiTheme="majorHAnsi"/>
                <w:bCs/>
                <w:sz w:val="19"/>
                <w:szCs w:val="19"/>
              </w:rPr>
            </w:pPr>
            <w:r>
              <w:rPr>
                <w:rFonts w:asciiTheme="majorHAnsi" w:hAnsiTheme="majorHAnsi"/>
                <w:bCs/>
                <w:sz w:val="19"/>
                <w:szCs w:val="19"/>
              </w:rPr>
              <w:t>Yes</w:t>
            </w:r>
          </w:p>
        </w:tc>
      </w:tr>
      <w:tr w:rsidR="00261E08" w:rsidRPr="003A5566" w14:paraId="33238134" w14:textId="77777777" w:rsidTr="00FB2DCE">
        <w:trPr>
          <w:cantSplit/>
        </w:trPr>
        <w:tc>
          <w:tcPr>
            <w:tcW w:w="2763" w:type="dxa"/>
            <w:tcBorders>
              <w:top w:val="single" w:sz="6" w:space="0" w:color="auto"/>
              <w:bottom w:val="single" w:sz="6" w:space="0" w:color="auto"/>
            </w:tcBorders>
            <w:shd w:val="clear" w:color="auto" w:fill="67AE3C"/>
            <w:vAlign w:val="center"/>
          </w:tcPr>
          <w:p w14:paraId="3C7AAFE9" w14:textId="5D07C0FE"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materiae</w:t>
            </w:r>
          </w:p>
        </w:tc>
        <w:tc>
          <w:tcPr>
            <w:tcW w:w="6622" w:type="dxa"/>
            <w:vAlign w:val="center"/>
          </w:tcPr>
          <w:p w14:paraId="49BB57C8" w14:textId="3586A6BF" w:rsidR="00261E08" w:rsidRPr="003A5566" w:rsidRDefault="008B41F6" w:rsidP="00CE264A">
            <w:pPr>
              <w:jc w:val="both"/>
              <w:rPr>
                <w:rFonts w:asciiTheme="majorHAnsi" w:hAnsiTheme="majorHAnsi"/>
                <w:bCs/>
                <w:sz w:val="19"/>
                <w:szCs w:val="19"/>
              </w:rPr>
            </w:pPr>
            <w:r>
              <w:rPr>
                <w:rFonts w:asciiTheme="majorHAnsi" w:hAnsiTheme="majorHAnsi"/>
                <w:bCs/>
                <w:sz w:val="19"/>
                <w:szCs w:val="19"/>
              </w:rPr>
              <w:t>Yes, American Convention (deposit of ratification instrument on August 21, 1990)</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3A5566"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12C65658" w:rsidR="00261E08" w:rsidRPr="003A5566" w:rsidRDefault="00074B11"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692F1257" w:rsidR="00261E08" w:rsidRPr="003A5566" w:rsidRDefault="00074B11" w:rsidP="00CE264A">
            <w:pPr>
              <w:jc w:val="both"/>
              <w:rPr>
                <w:rFonts w:asciiTheme="majorHAnsi" w:hAnsiTheme="majorHAnsi"/>
                <w:bCs/>
                <w:sz w:val="19"/>
                <w:szCs w:val="19"/>
              </w:rPr>
            </w:pPr>
            <w:r>
              <w:rPr>
                <w:rFonts w:ascii="Cambria" w:hAnsi="Cambria"/>
                <w:sz w:val="20"/>
                <w:szCs w:val="20"/>
                <w:lang w:val="en"/>
              </w:rPr>
              <w:t>Articles</w:t>
            </w:r>
            <w:r w:rsidR="00CE264A">
              <w:rPr>
                <w:rFonts w:ascii="Cambria" w:hAnsi="Cambria"/>
                <w:sz w:val="20"/>
                <w:szCs w:val="20"/>
                <w:lang w:val="en"/>
              </w:rPr>
              <w:t xml:space="preserve"> </w:t>
            </w:r>
            <w:r>
              <w:rPr>
                <w:rFonts w:ascii="Cambria" w:hAnsi="Cambria"/>
                <w:sz w:val="20"/>
                <w:szCs w:val="20"/>
                <w:lang w:val="en"/>
              </w:rPr>
              <w:t xml:space="preserve">8 (fair trial) and 25 (judicial protection) of the American Convention, </w:t>
            </w:r>
            <w:r w:rsidR="00DC49E8">
              <w:rPr>
                <w:rFonts w:ascii="Cambria" w:hAnsi="Cambria"/>
                <w:sz w:val="20"/>
                <w:szCs w:val="20"/>
                <w:lang w:val="en"/>
              </w:rPr>
              <w:t>in relation with</w:t>
            </w:r>
            <w:r>
              <w:rPr>
                <w:rFonts w:ascii="Cambria" w:hAnsi="Cambria"/>
                <w:sz w:val="20"/>
                <w:szCs w:val="20"/>
                <w:lang w:val="en"/>
              </w:rPr>
              <w:t xml:space="preserve"> its Articles 1.1 (obligation to respect rights) and 2 (domestic legal effects)</w:t>
            </w:r>
          </w:p>
        </w:tc>
      </w:tr>
      <w:tr w:rsidR="00261E08" w:rsidRPr="003A5566"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71394660" w:rsidR="00261E08" w:rsidRPr="003A5566" w:rsidRDefault="00074B11" w:rsidP="00CE264A">
            <w:pPr>
              <w:rPr>
                <w:rFonts w:asciiTheme="majorHAnsi" w:hAnsiTheme="majorHAnsi"/>
                <w:bCs/>
                <w:sz w:val="19"/>
                <w:szCs w:val="19"/>
              </w:rPr>
            </w:pPr>
            <w:r>
              <w:rPr>
                <w:rFonts w:asciiTheme="majorHAnsi" w:hAnsiTheme="majorHAnsi"/>
                <w:bCs/>
                <w:sz w:val="19"/>
                <w:szCs w:val="19"/>
              </w:rPr>
              <w:t xml:space="preserve">Yes, </w:t>
            </w:r>
            <w:r w:rsidR="00CE264A">
              <w:rPr>
                <w:rFonts w:asciiTheme="majorHAnsi" w:hAnsiTheme="majorHAnsi"/>
                <w:bCs/>
                <w:sz w:val="19"/>
                <w:szCs w:val="19"/>
              </w:rPr>
              <w:t>on May 8, 2009</w:t>
            </w:r>
          </w:p>
        </w:tc>
      </w:tr>
      <w:tr w:rsidR="00261E08" w:rsidRPr="003A5566"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4B16BD65" w:rsidR="00261E08" w:rsidRPr="003A5566" w:rsidRDefault="00074B11" w:rsidP="00CE264A">
            <w:pPr>
              <w:rPr>
                <w:rFonts w:asciiTheme="majorHAnsi" w:hAnsiTheme="majorHAnsi"/>
                <w:bCs/>
                <w:sz w:val="19"/>
                <w:szCs w:val="19"/>
              </w:rPr>
            </w:pPr>
            <w:r>
              <w:rPr>
                <w:rFonts w:asciiTheme="majorHAnsi" w:hAnsiTheme="majorHAnsi"/>
                <w:bCs/>
                <w:sz w:val="19"/>
                <w:szCs w:val="19"/>
              </w:rPr>
              <w:t xml:space="preserve">Yes, </w:t>
            </w:r>
            <w:r w:rsidR="00CE264A">
              <w:rPr>
                <w:rFonts w:asciiTheme="majorHAnsi" w:hAnsiTheme="majorHAnsi"/>
                <w:bCs/>
                <w:sz w:val="19"/>
                <w:szCs w:val="19"/>
              </w:rPr>
              <w:t>on November 8, 2009</w:t>
            </w:r>
          </w:p>
        </w:tc>
      </w:tr>
    </w:tbl>
    <w:p w14:paraId="3FEBD323" w14:textId="320F7A95"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FACTS</w:t>
      </w:r>
    </w:p>
    <w:p w14:paraId="011C12FC" w14:textId="616956E5" w:rsidR="00E41AD3" w:rsidRDefault="00E41AD3" w:rsidP="009579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 claims </w:t>
      </w:r>
      <w:r w:rsidR="002C6652">
        <w:rPr>
          <w:rFonts w:ascii="Cambria" w:hAnsi="Cambria"/>
          <w:sz w:val="20"/>
          <w:szCs w:val="20"/>
          <w:lang w:val="en"/>
        </w:rPr>
        <w:t>lack of reparations to</w:t>
      </w:r>
      <w:r>
        <w:rPr>
          <w:rFonts w:ascii="Cambria" w:hAnsi="Cambria"/>
          <w:sz w:val="20"/>
          <w:szCs w:val="20"/>
          <w:lang w:val="en"/>
        </w:rPr>
        <w:t xml:space="preserve"> the relatives of René Roberto Acuña Reyes (or hereinafter “the alleged victim”) for damage resulting from the alleged victim’s illegal detention and subsequent forced disappearance</w:t>
      </w:r>
      <w:r w:rsidR="0095799D">
        <w:rPr>
          <w:rFonts w:ascii="Cambria" w:hAnsi="Cambria"/>
          <w:sz w:val="20"/>
          <w:szCs w:val="20"/>
          <w:lang w:val="en"/>
        </w:rPr>
        <w:t xml:space="preserve">. </w:t>
      </w:r>
      <w:r w:rsidR="0095799D" w:rsidRPr="0095799D">
        <w:rPr>
          <w:rFonts w:ascii="Cambria" w:hAnsi="Cambria"/>
          <w:sz w:val="20"/>
          <w:szCs w:val="20"/>
          <w:lang w:val="en"/>
        </w:rPr>
        <w:t xml:space="preserve">It states that it does not request that the Commission rule on the </w:t>
      </w:r>
      <w:r w:rsidR="0095799D">
        <w:rPr>
          <w:rFonts w:ascii="Cambria" w:hAnsi="Cambria"/>
          <w:sz w:val="20"/>
          <w:szCs w:val="20"/>
          <w:lang w:val="en"/>
        </w:rPr>
        <w:t>detention</w:t>
      </w:r>
      <w:r w:rsidR="0095799D" w:rsidRPr="0095799D">
        <w:rPr>
          <w:rFonts w:ascii="Cambria" w:hAnsi="Cambria"/>
          <w:sz w:val="20"/>
          <w:szCs w:val="20"/>
          <w:lang w:val="en"/>
        </w:rPr>
        <w:t xml:space="preserve"> and subsequent disappearance of the alleged victim, but on the denial of justice by the civil courts.</w:t>
      </w:r>
    </w:p>
    <w:p w14:paraId="2D10F7CF" w14:textId="4226AAC4" w:rsidR="00E41AD3" w:rsidRPr="00085AFD" w:rsidRDefault="009D48EF" w:rsidP="00E41A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According to the petition</w:t>
      </w:r>
      <w:r w:rsidR="00DC49E8">
        <w:rPr>
          <w:rFonts w:ascii="Cambria" w:hAnsi="Cambria"/>
          <w:sz w:val="20"/>
          <w:szCs w:val="20"/>
          <w:lang w:val="en"/>
        </w:rPr>
        <w:t>er</w:t>
      </w:r>
      <w:r>
        <w:rPr>
          <w:rFonts w:ascii="Cambria" w:hAnsi="Cambria"/>
          <w:sz w:val="20"/>
          <w:szCs w:val="20"/>
          <w:lang w:val="en"/>
        </w:rPr>
        <w:t xml:space="preserve">, </w:t>
      </w:r>
      <w:r w:rsidR="00E41AD3">
        <w:rPr>
          <w:rFonts w:ascii="Cambria" w:hAnsi="Cambria"/>
          <w:sz w:val="20"/>
          <w:szCs w:val="20"/>
          <w:lang w:val="en"/>
        </w:rPr>
        <w:t>the alleged victim, a leader of the Revolutionary Left Movement (</w:t>
      </w:r>
      <w:r w:rsidR="00E41AD3">
        <w:rPr>
          <w:rFonts w:ascii="Cambria" w:hAnsi="Cambria"/>
          <w:i/>
          <w:iCs/>
          <w:sz w:val="20"/>
          <w:szCs w:val="20"/>
          <w:lang w:val="en"/>
        </w:rPr>
        <w:t>Movimiento de Izquierda Revolucionaria</w:t>
      </w:r>
      <w:r w:rsidR="00E41AD3">
        <w:rPr>
          <w:rFonts w:ascii="Cambria" w:hAnsi="Cambria"/>
          <w:sz w:val="20"/>
          <w:szCs w:val="20"/>
          <w:lang w:val="en"/>
        </w:rPr>
        <w:t>), was arrested by agents of the Directorate of National Intelligence (</w:t>
      </w:r>
      <w:r w:rsidR="00E41AD3">
        <w:rPr>
          <w:rFonts w:ascii="Cambria" w:hAnsi="Cambria"/>
          <w:i/>
          <w:iCs/>
          <w:sz w:val="20"/>
          <w:szCs w:val="20"/>
          <w:lang w:val="en"/>
        </w:rPr>
        <w:t>Dirección de Inteligencia Nacional</w:t>
      </w:r>
      <w:r w:rsidR="00E41AD3">
        <w:rPr>
          <w:rFonts w:ascii="Cambria" w:hAnsi="Cambria"/>
          <w:sz w:val="20"/>
          <w:szCs w:val="20"/>
          <w:lang w:val="en"/>
        </w:rPr>
        <w:t>,</w:t>
      </w:r>
      <w:r w:rsidR="00E41AD3">
        <w:rPr>
          <w:rFonts w:ascii="Cambria" w:hAnsi="Cambria"/>
          <w:i/>
          <w:iCs/>
          <w:sz w:val="20"/>
          <w:szCs w:val="20"/>
          <w:lang w:val="en"/>
        </w:rPr>
        <w:t xml:space="preserve"> </w:t>
      </w:r>
      <w:r w:rsidR="00E41AD3">
        <w:rPr>
          <w:rFonts w:ascii="Cambria" w:hAnsi="Cambria"/>
          <w:sz w:val="20"/>
          <w:szCs w:val="20"/>
          <w:lang w:val="en"/>
        </w:rPr>
        <w:t xml:space="preserve">“DINA”), at his domicile on February 14, 1975. </w:t>
      </w:r>
      <w:r>
        <w:rPr>
          <w:rFonts w:ascii="Cambria" w:hAnsi="Cambria"/>
          <w:sz w:val="20"/>
          <w:szCs w:val="20"/>
          <w:lang w:val="en"/>
        </w:rPr>
        <w:t xml:space="preserve">The petitioner </w:t>
      </w:r>
      <w:r w:rsidR="00F11142">
        <w:rPr>
          <w:rFonts w:ascii="Cambria" w:hAnsi="Cambria"/>
          <w:sz w:val="20"/>
          <w:szCs w:val="20"/>
          <w:lang w:val="en"/>
        </w:rPr>
        <w:t>indicates</w:t>
      </w:r>
      <w:r>
        <w:rPr>
          <w:rFonts w:ascii="Cambria" w:hAnsi="Cambria"/>
          <w:sz w:val="20"/>
          <w:szCs w:val="20"/>
          <w:lang w:val="en"/>
        </w:rPr>
        <w:t xml:space="preserve"> that </w:t>
      </w:r>
      <w:r>
        <w:rPr>
          <w:rFonts w:ascii="Cambria" w:hAnsi="Cambria"/>
          <w:sz w:val="20"/>
          <w:szCs w:val="20"/>
          <w:lang w:val="en"/>
        </w:rPr>
        <w:lastRenderedPageBreak/>
        <w:t>t</w:t>
      </w:r>
      <w:r w:rsidR="00E41AD3">
        <w:rPr>
          <w:rFonts w:ascii="Cambria" w:hAnsi="Cambria"/>
          <w:sz w:val="20"/>
          <w:szCs w:val="20"/>
          <w:lang w:val="en"/>
        </w:rPr>
        <w:t xml:space="preserve">he alleged victim was seriously </w:t>
      </w:r>
      <w:r>
        <w:rPr>
          <w:rFonts w:ascii="Cambria" w:hAnsi="Cambria"/>
          <w:sz w:val="20"/>
          <w:szCs w:val="20"/>
          <w:lang w:val="en"/>
        </w:rPr>
        <w:t>wounded</w:t>
      </w:r>
      <w:r w:rsidR="00E41AD3">
        <w:rPr>
          <w:rFonts w:ascii="Cambria" w:hAnsi="Cambria"/>
          <w:sz w:val="20"/>
          <w:szCs w:val="20"/>
          <w:lang w:val="en"/>
        </w:rPr>
        <w:t xml:space="preserve"> when the agents shot him as he tried to escape</w:t>
      </w:r>
      <w:r>
        <w:rPr>
          <w:rFonts w:ascii="Cambria" w:hAnsi="Cambria"/>
          <w:sz w:val="20"/>
          <w:szCs w:val="20"/>
          <w:lang w:val="en"/>
        </w:rPr>
        <w:t xml:space="preserve"> and</w:t>
      </w:r>
      <w:r w:rsidR="00E41AD3">
        <w:rPr>
          <w:rFonts w:ascii="Cambria" w:hAnsi="Cambria"/>
          <w:sz w:val="20"/>
          <w:szCs w:val="20"/>
          <w:lang w:val="en"/>
        </w:rPr>
        <w:t xml:space="preserve"> </w:t>
      </w:r>
      <w:r w:rsidR="00F11142">
        <w:rPr>
          <w:rFonts w:ascii="Cambria" w:hAnsi="Cambria"/>
          <w:sz w:val="20"/>
          <w:szCs w:val="20"/>
          <w:lang w:val="en"/>
        </w:rPr>
        <w:t xml:space="preserve">was </w:t>
      </w:r>
      <w:r w:rsidR="00E41AD3">
        <w:rPr>
          <w:rFonts w:ascii="Cambria" w:hAnsi="Cambria"/>
          <w:sz w:val="20"/>
          <w:szCs w:val="20"/>
          <w:lang w:val="en"/>
        </w:rPr>
        <w:t xml:space="preserve">left </w:t>
      </w:r>
      <w:r w:rsidR="00462449">
        <w:rPr>
          <w:rFonts w:ascii="Cambria" w:hAnsi="Cambria"/>
          <w:sz w:val="20"/>
          <w:szCs w:val="20"/>
          <w:lang w:val="en"/>
        </w:rPr>
        <w:t>bleeding</w:t>
      </w:r>
      <w:r w:rsidR="00E41AD3">
        <w:rPr>
          <w:rFonts w:ascii="Cambria" w:hAnsi="Cambria"/>
          <w:sz w:val="20"/>
          <w:szCs w:val="20"/>
          <w:lang w:val="en"/>
        </w:rPr>
        <w:t xml:space="preserve"> on the ground for an hour. </w:t>
      </w:r>
      <w:r w:rsidR="00F11142">
        <w:rPr>
          <w:rFonts w:ascii="Cambria" w:hAnsi="Cambria"/>
          <w:sz w:val="20"/>
          <w:szCs w:val="20"/>
          <w:lang w:val="en"/>
        </w:rPr>
        <w:t>He submits that, a</w:t>
      </w:r>
      <w:r w:rsidR="00E41AD3">
        <w:rPr>
          <w:rFonts w:ascii="Cambria" w:hAnsi="Cambria"/>
          <w:sz w:val="20"/>
          <w:szCs w:val="20"/>
          <w:lang w:val="en"/>
        </w:rPr>
        <w:t xml:space="preserve">fterward, </w:t>
      </w:r>
      <w:r w:rsidR="00F11142">
        <w:rPr>
          <w:rFonts w:ascii="Cambria" w:hAnsi="Cambria"/>
          <w:sz w:val="20"/>
          <w:szCs w:val="20"/>
          <w:lang w:val="en"/>
        </w:rPr>
        <w:t>the alleged victim</w:t>
      </w:r>
      <w:r w:rsidR="00E41AD3">
        <w:rPr>
          <w:rFonts w:ascii="Cambria" w:hAnsi="Cambria"/>
          <w:sz w:val="20"/>
          <w:szCs w:val="20"/>
          <w:lang w:val="en"/>
        </w:rPr>
        <w:t xml:space="preserve"> was taken to Villa Grimaldi, </w:t>
      </w:r>
      <w:r w:rsidR="00AA715F">
        <w:rPr>
          <w:rFonts w:ascii="Cambria" w:hAnsi="Cambria"/>
          <w:sz w:val="20"/>
          <w:szCs w:val="20"/>
          <w:lang w:val="en"/>
        </w:rPr>
        <w:t>DINA</w:t>
      </w:r>
      <w:r w:rsidR="00E41AD3">
        <w:rPr>
          <w:rFonts w:ascii="Cambria" w:hAnsi="Cambria"/>
          <w:sz w:val="20"/>
          <w:szCs w:val="20"/>
          <w:lang w:val="en"/>
        </w:rPr>
        <w:t xml:space="preserve"> secret premises then, where he was interrogated and tortured. </w:t>
      </w:r>
      <w:r w:rsidR="00F11142">
        <w:rPr>
          <w:rFonts w:ascii="Cambria" w:hAnsi="Cambria"/>
          <w:sz w:val="20"/>
          <w:szCs w:val="20"/>
          <w:lang w:val="en"/>
        </w:rPr>
        <w:t>According to the petition, t</w:t>
      </w:r>
      <w:r w:rsidR="00E41AD3">
        <w:rPr>
          <w:rFonts w:ascii="Cambria" w:hAnsi="Cambria"/>
          <w:sz w:val="20"/>
          <w:szCs w:val="20"/>
          <w:lang w:val="en"/>
        </w:rPr>
        <w:t xml:space="preserve">he alleged victim was taken to Santa Lucía private hospital and operated </w:t>
      </w:r>
      <w:r w:rsidR="00F11142">
        <w:rPr>
          <w:rFonts w:ascii="Cambria" w:hAnsi="Cambria"/>
          <w:sz w:val="20"/>
          <w:szCs w:val="20"/>
          <w:lang w:val="en"/>
        </w:rPr>
        <w:t xml:space="preserve">on </w:t>
      </w:r>
      <w:r w:rsidR="00E41AD3">
        <w:rPr>
          <w:rFonts w:ascii="Cambria" w:hAnsi="Cambria"/>
          <w:sz w:val="20"/>
          <w:szCs w:val="20"/>
          <w:lang w:val="en"/>
        </w:rPr>
        <w:t>to remove a projectile</w:t>
      </w:r>
      <w:r w:rsidR="00F11142">
        <w:rPr>
          <w:rFonts w:ascii="Cambria" w:hAnsi="Cambria"/>
          <w:sz w:val="20"/>
          <w:szCs w:val="20"/>
          <w:lang w:val="en"/>
        </w:rPr>
        <w:t xml:space="preserve"> as the gunshot wound</w:t>
      </w:r>
      <w:r w:rsidR="00E41AD3">
        <w:rPr>
          <w:rFonts w:ascii="Cambria" w:hAnsi="Cambria"/>
          <w:sz w:val="20"/>
          <w:szCs w:val="20"/>
          <w:lang w:val="en"/>
        </w:rPr>
        <w:t xml:space="preserve"> </w:t>
      </w:r>
      <w:r w:rsidR="00F11142">
        <w:rPr>
          <w:rFonts w:ascii="Cambria" w:hAnsi="Cambria"/>
          <w:sz w:val="20"/>
          <w:szCs w:val="20"/>
          <w:lang w:val="en"/>
        </w:rPr>
        <w:t>had caused him</w:t>
      </w:r>
      <w:r w:rsidR="00E41AD3">
        <w:rPr>
          <w:rFonts w:ascii="Cambria" w:hAnsi="Cambria"/>
          <w:sz w:val="20"/>
          <w:szCs w:val="20"/>
          <w:lang w:val="en"/>
        </w:rPr>
        <w:t xml:space="preserve"> an infection in his left ear. </w:t>
      </w:r>
      <w:r w:rsidR="00F11142">
        <w:rPr>
          <w:rFonts w:ascii="Cambria" w:hAnsi="Cambria"/>
          <w:sz w:val="20"/>
          <w:szCs w:val="20"/>
          <w:lang w:val="en"/>
        </w:rPr>
        <w:t>The petitioner</w:t>
      </w:r>
      <w:r w:rsidR="00E41AD3">
        <w:rPr>
          <w:rFonts w:ascii="Cambria" w:hAnsi="Cambria"/>
          <w:sz w:val="20"/>
          <w:szCs w:val="20"/>
          <w:lang w:val="en"/>
        </w:rPr>
        <w:t xml:space="preserve"> argues that the alleged victim was returned to Villa Grimaldi and held in the area called “La Torre” despite his fragile condition.</w:t>
      </w:r>
      <w:r w:rsidR="00E41AD3">
        <w:rPr>
          <w:rStyle w:val="FootnoteReference"/>
          <w:rFonts w:ascii="Cambria" w:hAnsi="Cambria"/>
          <w:sz w:val="20"/>
          <w:szCs w:val="20"/>
          <w:lang w:val="en"/>
        </w:rPr>
        <w:footnoteReference w:id="7"/>
      </w:r>
      <w:r w:rsidR="00E41AD3">
        <w:rPr>
          <w:rFonts w:ascii="Cambria" w:hAnsi="Cambria"/>
          <w:sz w:val="20"/>
          <w:szCs w:val="20"/>
          <w:lang w:val="en"/>
        </w:rPr>
        <w:t xml:space="preserve"> According to the petition, on February 28, 1975, the alleged victim, along with a group of detainees, was taken from Villa Grimaldi to be held in Osorno,</w:t>
      </w:r>
      <w:r w:rsidR="00E41AD3">
        <w:rPr>
          <w:rStyle w:val="FootnoteReference"/>
          <w:rFonts w:ascii="Cambria" w:hAnsi="Cambria"/>
          <w:sz w:val="20"/>
          <w:szCs w:val="20"/>
          <w:lang w:val="en"/>
        </w:rPr>
        <w:footnoteReference w:id="8"/>
      </w:r>
      <w:r w:rsidR="00E41AD3">
        <w:rPr>
          <w:rFonts w:ascii="Cambria" w:hAnsi="Cambria"/>
          <w:sz w:val="20"/>
          <w:szCs w:val="20"/>
          <w:lang w:val="en"/>
        </w:rPr>
        <w:t xml:space="preserve"> yet his whereabouts remain </w:t>
      </w:r>
      <w:r w:rsidR="00C37E0C">
        <w:rPr>
          <w:rFonts w:ascii="Cambria" w:hAnsi="Cambria"/>
          <w:sz w:val="20"/>
          <w:szCs w:val="20"/>
          <w:lang w:val="en"/>
        </w:rPr>
        <w:t>unknown</w:t>
      </w:r>
      <w:r w:rsidR="00E41AD3">
        <w:rPr>
          <w:rFonts w:ascii="Cambria" w:hAnsi="Cambria"/>
          <w:sz w:val="20"/>
          <w:szCs w:val="20"/>
          <w:lang w:val="en"/>
        </w:rPr>
        <w:t xml:space="preserve"> to date.</w:t>
      </w:r>
      <w:r w:rsidR="00E41AD3">
        <w:rPr>
          <w:rStyle w:val="FootnoteReference"/>
          <w:rFonts w:ascii="Cambria" w:hAnsi="Cambria"/>
          <w:sz w:val="20"/>
          <w:szCs w:val="20"/>
          <w:lang w:val="en"/>
        </w:rPr>
        <w:footnoteReference w:id="9"/>
      </w:r>
      <w:r w:rsidR="00512056">
        <w:rPr>
          <w:rFonts w:ascii="Cambria" w:hAnsi="Cambria"/>
          <w:sz w:val="20"/>
          <w:szCs w:val="20"/>
          <w:lang w:val="en"/>
        </w:rPr>
        <w:t xml:space="preserve"> </w:t>
      </w:r>
    </w:p>
    <w:p w14:paraId="7EFF84C2" w14:textId="313FC15C" w:rsidR="00E41AD3" w:rsidRPr="004A0C89" w:rsidRDefault="00E41AD3" w:rsidP="00E41A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 </w:t>
      </w:r>
      <w:r w:rsidR="00B6214F">
        <w:rPr>
          <w:rFonts w:ascii="Cambria" w:hAnsi="Cambria"/>
          <w:sz w:val="20"/>
          <w:szCs w:val="20"/>
          <w:lang w:val="en"/>
        </w:rPr>
        <w:t>claims</w:t>
      </w:r>
      <w:r>
        <w:rPr>
          <w:rFonts w:ascii="Cambria" w:hAnsi="Cambria"/>
          <w:sz w:val="20"/>
          <w:szCs w:val="20"/>
          <w:lang w:val="en"/>
        </w:rPr>
        <w:t xml:space="preserve"> that on March 7, 1975, a complaint was filed before the First Criminal Court for kidnap and wounds. Due to the </w:t>
      </w:r>
      <w:r w:rsidR="00E51526">
        <w:rPr>
          <w:rFonts w:ascii="Cambria" w:hAnsi="Cambria"/>
          <w:sz w:val="20"/>
          <w:szCs w:val="20"/>
          <w:lang w:val="en"/>
        </w:rPr>
        <w:t>adverse</w:t>
      </w:r>
      <w:r>
        <w:rPr>
          <w:rFonts w:ascii="Cambria" w:hAnsi="Cambria"/>
          <w:sz w:val="20"/>
          <w:szCs w:val="20"/>
          <w:lang w:val="en"/>
        </w:rPr>
        <w:t xml:space="preserve"> reports </w:t>
      </w:r>
      <w:r w:rsidR="00152708">
        <w:rPr>
          <w:rFonts w:ascii="Cambria" w:hAnsi="Cambria"/>
          <w:sz w:val="20"/>
          <w:szCs w:val="20"/>
          <w:lang w:val="en"/>
        </w:rPr>
        <w:t>regarding the alleged victim’s detention</w:t>
      </w:r>
      <w:r>
        <w:rPr>
          <w:rFonts w:ascii="Cambria" w:hAnsi="Cambria"/>
          <w:sz w:val="20"/>
          <w:szCs w:val="20"/>
          <w:lang w:val="en"/>
        </w:rPr>
        <w:t xml:space="preserve">, </w:t>
      </w:r>
      <w:r w:rsidR="00152708">
        <w:rPr>
          <w:rFonts w:ascii="Cambria" w:hAnsi="Cambria"/>
          <w:sz w:val="20"/>
          <w:szCs w:val="20"/>
          <w:lang w:val="en"/>
        </w:rPr>
        <w:t>a</w:t>
      </w:r>
      <w:r>
        <w:rPr>
          <w:rFonts w:ascii="Cambria" w:hAnsi="Cambria"/>
          <w:sz w:val="20"/>
          <w:szCs w:val="20"/>
          <w:lang w:val="en"/>
        </w:rPr>
        <w:t xml:space="preserve"> temporary stay of proceedings was ruled on May 19, 1975</w:t>
      </w:r>
      <w:r w:rsidR="00801F79">
        <w:rPr>
          <w:rFonts w:ascii="Cambria" w:hAnsi="Cambria"/>
          <w:sz w:val="20"/>
          <w:szCs w:val="20"/>
          <w:lang w:val="en"/>
        </w:rPr>
        <w:t>,</w:t>
      </w:r>
      <w:r>
        <w:rPr>
          <w:rFonts w:ascii="Cambria" w:hAnsi="Cambria"/>
          <w:sz w:val="20"/>
          <w:szCs w:val="20"/>
          <w:lang w:val="en"/>
        </w:rPr>
        <w:t xml:space="preserve"> based on the lack of evidence of the reported crime. The Court of Appeals upheld th</w:t>
      </w:r>
      <w:r w:rsidR="00B6214F">
        <w:rPr>
          <w:rFonts w:ascii="Cambria" w:hAnsi="Cambria"/>
          <w:sz w:val="20"/>
          <w:szCs w:val="20"/>
          <w:lang w:val="en"/>
        </w:rPr>
        <w:t>at</w:t>
      </w:r>
      <w:r>
        <w:rPr>
          <w:rFonts w:ascii="Cambria" w:hAnsi="Cambria"/>
          <w:sz w:val="20"/>
          <w:szCs w:val="20"/>
          <w:lang w:val="en"/>
        </w:rPr>
        <w:t xml:space="preserve"> judgment on July 21, 1975. On July 16, 1980, a complaint was filed against</w:t>
      </w:r>
      <w:r w:rsidR="00462449">
        <w:rPr>
          <w:rFonts w:ascii="Cambria" w:hAnsi="Cambria"/>
          <w:sz w:val="20"/>
          <w:szCs w:val="20"/>
          <w:lang w:val="en"/>
        </w:rPr>
        <w:t xml:space="preserve"> </w:t>
      </w:r>
      <w:r>
        <w:rPr>
          <w:rFonts w:ascii="Cambria" w:hAnsi="Cambria"/>
          <w:sz w:val="20"/>
          <w:szCs w:val="20"/>
          <w:lang w:val="en"/>
        </w:rPr>
        <w:t xml:space="preserve">DINA for kidnap. On June 18, it was </w:t>
      </w:r>
      <w:r w:rsidR="00B6214F">
        <w:rPr>
          <w:rFonts w:ascii="Cambria" w:hAnsi="Cambria"/>
          <w:sz w:val="20"/>
          <w:szCs w:val="20"/>
          <w:lang w:val="en"/>
        </w:rPr>
        <w:t>sent</w:t>
      </w:r>
      <w:r>
        <w:rPr>
          <w:rFonts w:ascii="Cambria" w:hAnsi="Cambria"/>
          <w:sz w:val="20"/>
          <w:szCs w:val="20"/>
          <w:lang w:val="en"/>
        </w:rPr>
        <w:t xml:space="preserve"> to the 2nd Military Attorney General’s Office to join</w:t>
      </w:r>
      <w:r w:rsidR="00B6214F">
        <w:rPr>
          <w:rFonts w:ascii="Cambria" w:hAnsi="Cambria"/>
          <w:sz w:val="20"/>
          <w:szCs w:val="20"/>
          <w:lang w:val="en"/>
        </w:rPr>
        <w:t xml:space="preserve"> it</w:t>
      </w:r>
      <w:r>
        <w:rPr>
          <w:rFonts w:ascii="Cambria" w:hAnsi="Cambria"/>
          <w:sz w:val="20"/>
          <w:szCs w:val="20"/>
          <w:lang w:val="en"/>
        </w:rPr>
        <w:t xml:space="preserve"> with proceedings held </w:t>
      </w:r>
      <w:r w:rsidR="00B6214F">
        <w:rPr>
          <w:rFonts w:ascii="Cambria" w:hAnsi="Cambria"/>
          <w:sz w:val="20"/>
          <w:szCs w:val="20"/>
          <w:lang w:val="en"/>
        </w:rPr>
        <w:t>because</w:t>
      </w:r>
      <w:r>
        <w:rPr>
          <w:rFonts w:ascii="Cambria" w:hAnsi="Cambria"/>
          <w:sz w:val="20"/>
          <w:szCs w:val="20"/>
          <w:lang w:val="en"/>
        </w:rPr>
        <w:t xml:space="preserve"> of a claim against a general and other DINA agents. On November 20, 1989—after four years’ procedural inactivity—, the Military Attorney General </w:t>
      </w:r>
      <w:r w:rsidR="00B6214F">
        <w:rPr>
          <w:rFonts w:ascii="Cambria" w:hAnsi="Cambria"/>
          <w:sz w:val="20"/>
          <w:szCs w:val="20"/>
          <w:lang w:val="en"/>
        </w:rPr>
        <w:t>requested</w:t>
      </w:r>
      <w:r>
        <w:rPr>
          <w:rFonts w:ascii="Cambria" w:hAnsi="Cambria"/>
          <w:sz w:val="20"/>
          <w:szCs w:val="20"/>
          <w:lang w:val="en"/>
        </w:rPr>
        <w:t xml:space="preserve"> the application of the Amnesty Decree-Law </w:t>
      </w:r>
      <w:r w:rsidR="00462449">
        <w:rPr>
          <w:rFonts w:ascii="Cambria" w:hAnsi="Cambria"/>
          <w:sz w:val="20"/>
          <w:szCs w:val="20"/>
          <w:lang w:val="en"/>
        </w:rPr>
        <w:t>because</w:t>
      </w:r>
      <w:r>
        <w:rPr>
          <w:rFonts w:ascii="Cambria" w:hAnsi="Cambria"/>
          <w:sz w:val="20"/>
          <w:szCs w:val="20"/>
          <w:lang w:val="en"/>
        </w:rPr>
        <w:t xml:space="preserve"> in the 10-year</w:t>
      </w:r>
      <w:r w:rsidR="00567172">
        <w:rPr>
          <w:rFonts w:ascii="Cambria" w:hAnsi="Cambria"/>
          <w:sz w:val="20"/>
          <w:szCs w:val="20"/>
          <w:lang w:val="en"/>
        </w:rPr>
        <w:t>-</w:t>
      </w:r>
      <w:r>
        <w:rPr>
          <w:rFonts w:ascii="Cambria" w:hAnsi="Cambria"/>
          <w:sz w:val="20"/>
          <w:szCs w:val="20"/>
          <w:lang w:val="en"/>
        </w:rPr>
        <w:t>long proceedings no one had been found guilty. On November 30, 1989, the 2nd Military Court found the request admissible</w:t>
      </w:r>
      <w:r w:rsidR="000B1041">
        <w:rPr>
          <w:rFonts w:ascii="Cambria" w:hAnsi="Cambria"/>
          <w:sz w:val="20"/>
          <w:szCs w:val="20"/>
          <w:lang w:val="en"/>
        </w:rPr>
        <w:t xml:space="preserve"> and</w:t>
      </w:r>
      <w:r>
        <w:rPr>
          <w:rFonts w:ascii="Cambria" w:hAnsi="Cambria"/>
          <w:sz w:val="20"/>
          <w:szCs w:val="20"/>
          <w:lang w:val="en"/>
        </w:rPr>
        <w:t xml:space="preserve"> </w:t>
      </w:r>
      <w:r w:rsidR="00462449">
        <w:rPr>
          <w:rFonts w:ascii="Cambria" w:hAnsi="Cambria"/>
          <w:sz w:val="20"/>
          <w:szCs w:val="20"/>
          <w:lang w:val="en"/>
        </w:rPr>
        <w:t>its</w:t>
      </w:r>
      <w:r>
        <w:rPr>
          <w:rFonts w:ascii="Cambria" w:hAnsi="Cambria"/>
          <w:sz w:val="20"/>
          <w:szCs w:val="20"/>
          <w:lang w:val="en"/>
        </w:rPr>
        <w:t xml:space="preserve"> judge ruled to permanently dismiss the case because “the criminal </w:t>
      </w:r>
      <w:r w:rsidR="00462449">
        <w:rPr>
          <w:rFonts w:ascii="Cambria" w:hAnsi="Cambria"/>
          <w:sz w:val="20"/>
          <w:szCs w:val="20"/>
          <w:lang w:val="en"/>
        </w:rPr>
        <w:t>responsibility</w:t>
      </w:r>
      <w:r>
        <w:rPr>
          <w:rFonts w:ascii="Cambria" w:hAnsi="Cambria"/>
          <w:sz w:val="20"/>
          <w:szCs w:val="20"/>
          <w:lang w:val="en"/>
        </w:rPr>
        <w:t xml:space="preserve"> of the persons allegedly responsible for the reported facts was extinguished.” An appeal was filed. According to the petitioner, by December 1992 the appeal was still pending. Likewise, he submits that several DINA agents named in the abovementioned complaint were later prosecuted and detained based on other complaints.</w:t>
      </w:r>
      <w:r w:rsidR="00B82A3A">
        <w:rPr>
          <w:rFonts w:ascii="Cambria" w:hAnsi="Cambria"/>
          <w:sz w:val="20"/>
          <w:szCs w:val="20"/>
          <w:lang w:val="en"/>
        </w:rPr>
        <w:t xml:space="preserve"> </w:t>
      </w:r>
    </w:p>
    <w:p w14:paraId="2B94F389" w14:textId="56020C11" w:rsidR="00E41AD3" w:rsidRDefault="00E41AD3" w:rsidP="00E41A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As to the reparation proceedings, the petitioner indicates that on June 12, 2000, a compensation claim was lodged before the 24th Civil Court of Santiago. On March 13, 2002, the court reject</w:t>
      </w:r>
      <w:r w:rsidR="000B1041">
        <w:rPr>
          <w:rFonts w:ascii="Cambria" w:hAnsi="Cambria"/>
          <w:sz w:val="20"/>
          <w:szCs w:val="20"/>
          <w:lang w:val="en"/>
        </w:rPr>
        <w:t>ed</w:t>
      </w:r>
      <w:r>
        <w:rPr>
          <w:rFonts w:ascii="Cambria" w:hAnsi="Cambria"/>
          <w:sz w:val="20"/>
          <w:szCs w:val="20"/>
          <w:lang w:val="en"/>
        </w:rPr>
        <w:t xml:space="preserve"> the claim on considering it barred by the statute of limitations. That decision was appealed</w:t>
      </w:r>
      <w:r w:rsidR="000B1041">
        <w:rPr>
          <w:rFonts w:ascii="Cambria" w:hAnsi="Cambria"/>
          <w:sz w:val="20"/>
          <w:szCs w:val="20"/>
          <w:lang w:val="en"/>
        </w:rPr>
        <w:t xml:space="preserve"> </w:t>
      </w:r>
      <w:r>
        <w:rPr>
          <w:rFonts w:ascii="Cambria" w:hAnsi="Cambria"/>
          <w:sz w:val="20"/>
          <w:szCs w:val="20"/>
          <w:lang w:val="en"/>
        </w:rPr>
        <w:t>before the Court of Appeals of Santiago</w:t>
      </w:r>
      <w:r w:rsidR="000B1041">
        <w:rPr>
          <w:rFonts w:ascii="Cambria" w:hAnsi="Cambria"/>
          <w:sz w:val="20"/>
          <w:szCs w:val="20"/>
          <w:lang w:val="en"/>
        </w:rPr>
        <w:t>, which found it admissible</w:t>
      </w:r>
      <w:r>
        <w:rPr>
          <w:rFonts w:ascii="Cambria" w:hAnsi="Cambria"/>
          <w:sz w:val="20"/>
          <w:szCs w:val="20"/>
          <w:lang w:val="en"/>
        </w:rPr>
        <w:t xml:space="preserve">. </w:t>
      </w:r>
      <w:r w:rsidR="000B1041">
        <w:rPr>
          <w:rFonts w:ascii="Cambria" w:hAnsi="Cambria"/>
          <w:sz w:val="20"/>
          <w:szCs w:val="20"/>
          <w:lang w:val="en"/>
        </w:rPr>
        <w:t>On</w:t>
      </w:r>
      <w:r>
        <w:rPr>
          <w:rFonts w:ascii="Cambria" w:hAnsi="Cambria"/>
          <w:sz w:val="20"/>
          <w:szCs w:val="20"/>
          <w:lang w:val="en"/>
        </w:rPr>
        <w:t xml:space="preserve"> May 11, 2007, the</w:t>
      </w:r>
      <w:r w:rsidR="000B1041">
        <w:rPr>
          <w:rFonts w:ascii="Cambria" w:hAnsi="Cambria"/>
          <w:sz w:val="20"/>
          <w:szCs w:val="20"/>
          <w:lang w:val="en"/>
        </w:rPr>
        <w:t xml:space="preserve"> said</w:t>
      </w:r>
      <w:r>
        <w:rPr>
          <w:rFonts w:ascii="Cambria" w:hAnsi="Cambria"/>
          <w:sz w:val="20"/>
          <w:szCs w:val="20"/>
          <w:lang w:val="en"/>
        </w:rPr>
        <w:t xml:space="preserve"> court sentenced the State to pay compensation on account that </w:t>
      </w:r>
      <w:r w:rsidR="000B1041">
        <w:rPr>
          <w:rFonts w:ascii="Cambria" w:hAnsi="Cambria"/>
          <w:sz w:val="20"/>
          <w:szCs w:val="20"/>
          <w:lang w:val="en"/>
        </w:rPr>
        <w:t>a</w:t>
      </w:r>
      <w:r>
        <w:rPr>
          <w:rFonts w:ascii="Cambria" w:hAnsi="Cambria"/>
          <w:sz w:val="20"/>
          <w:szCs w:val="20"/>
          <w:lang w:val="en"/>
        </w:rPr>
        <w:t xml:space="preserve"> civil action may not be extinguished </w:t>
      </w:r>
      <w:r w:rsidR="000B1041">
        <w:rPr>
          <w:rFonts w:ascii="Cambria" w:hAnsi="Cambria"/>
          <w:sz w:val="20"/>
          <w:szCs w:val="20"/>
          <w:lang w:val="en"/>
        </w:rPr>
        <w:t>when</w:t>
      </w:r>
      <w:r>
        <w:rPr>
          <w:rFonts w:ascii="Cambria" w:hAnsi="Cambria"/>
          <w:sz w:val="20"/>
          <w:szCs w:val="20"/>
          <w:lang w:val="en"/>
        </w:rPr>
        <w:t xml:space="preserve"> it stems from a </w:t>
      </w:r>
      <w:r w:rsidR="000B1041">
        <w:rPr>
          <w:rFonts w:ascii="Cambria" w:hAnsi="Cambria"/>
          <w:sz w:val="20"/>
          <w:szCs w:val="20"/>
          <w:lang w:val="en"/>
        </w:rPr>
        <w:t xml:space="preserve">human rights </w:t>
      </w:r>
      <w:r>
        <w:rPr>
          <w:rFonts w:ascii="Cambria" w:hAnsi="Cambria"/>
          <w:sz w:val="20"/>
          <w:szCs w:val="20"/>
          <w:lang w:val="en"/>
        </w:rPr>
        <w:t>violation. However, the State lodged an appeal for annulment, and on March 30, 2009, the Supreme Court revoked the judgment by the Court of Appeals on considering that there are no</w:t>
      </w:r>
      <w:r>
        <w:rPr>
          <w:lang w:val="en"/>
        </w:rPr>
        <w:t xml:space="preserve"> </w:t>
      </w:r>
      <w:r>
        <w:rPr>
          <w:rFonts w:ascii="Cambria" w:hAnsi="Cambria"/>
          <w:sz w:val="20"/>
          <w:szCs w:val="20"/>
          <w:lang w:val="en"/>
        </w:rPr>
        <w:t>rules establishing the non-extinguishable nature of actions aimed at obtaining recognition of the State’s extracontractual liability. On May 8, 2009, the trial court’s judge issued an enforcement order, rendering the Supreme Court’s decision a final judgment. According to the petition</w:t>
      </w:r>
      <w:r w:rsidR="00D845AA">
        <w:rPr>
          <w:rFonts w:ascii="Cambria" w:hAnsi="Cambria"/>
          <w:sz w:val="20"/>
          <w:szCs w:val="20"/>
          <w:lang w:val="en"/>
        </w:rPr>
        <w:t>er</w:t>
      </w:r>
      <w:r>
        <w:rPr>
          <w:rFonts w:ascii="Cambria" w:hAnsi="Cambria"/>
          <w:sz w:val="20"/>
          <w:szCs w:val="20"/>
          <w:lang w:val="en"/>
        </w:rPr>
        <w:t>, th</w:t>
      </w:r>
      <w:r w:rsidR="000B1041">
        <w:rPr>
          <w:rFonts w:ascii="Cambria" w:hAnsi="Cambria"/>
          <w:sz w:val="20"/>
          <w:szCs w:val="20"/>
          <w:lang w:val="en"/>
        </w:rPr>
        <w:t>at</w:t>
      </w:r>
      <w:r>
        <w:rPr>
          <w:rFonts w:ascii="Cambria" w:hAnsi="Cambria"/>
          <w:sz w:val="20"/>
          <w:szCs w:val="20"/>
          <w:lang w:val="en"/>
        </w:rPr>
        <w:t xml:space="preserve"> decision exhausted the domestic proceedings.</w:t>
      </w:r>
      <w:r w:rsidR="00B82A3A">
        <w:rPr>
          <w:rFonts w:ascii="Cambria" w:hAnsi="Cambria"/>
          <w:sz w:val="20"/>
          <w:szCs w:val="20"/>
          <w:lang w:val="en"/>
        </w:rPr>
        <w:t xml:space="preserve"> </w:t>
      </w:r>
    </w:p>
    <w:p w14:paraId="6652025C" w14:textId="3863D5A3" w:rsidR="00E41AD3" w:rsidRPr="008E0D74" w:rsidRDefault="00E41AD3" w:rsidP="00FF55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8E0D74">
        <w:rPr>
          <w:rFonts w:ascii="Cambria" w:hAnsi="Cambria"/>
          <w:sz w:val="20"/>
          <w:szCs w:val="20"/>
          <w:lang w:val="en"/>
        </w:rPr>
        <w:t xml:space="preserve">The State indicates that </w:t>
      </w:r>
      <w:r w:rsidR="00AB50DE" w:rsidRPr="008E0D74">
        <w:rPr>
          <w:rFonts w:ascii="Cambria" w:hAnsi="Cambria"/>
          <w:sz w:val="20"/>
          <w:szCs w:val="20"/>
          <w:lang w:val="en"/>
        </w:rPr>
        <w:t>regarding</w:t>
      </w:r>
      <w:r w:rsidRPr="008E0D74">
        <w:rPr>
          <w:rFonts w:ascii="Cambria" w:hAnsi="Cambria"/>
          <w:sz w:val="20"/>
          <w:szCs w:val="20"/>
          <w:lang w:val="en"/>
        </w:rPr>
        <w:t xml:space="preserve"> the prosecution of criminal responsibility, the national legal framework includes an adequate procedure—under file no. 2182-98 Villa Grimaldi—, currently underway.</w:t>
      </w:r>
      <w:r w:rsidR="00AB50DE" w:rsidRPr="008E0D74">
        <w:rPr>
          <w:rFonts w:ascii="Cambria" w:hAnsi="Cambria"/>
          <w:sz w:val="20"/>
          <w:szCs w:val="20"/>
          <w:lang w:val="en"/>
        </w:rPr>
        <w:t xml:space="preserve"> </w:t>
      </w:r>
      <w:r w:rsidR="00524674" w:rsidRPr="008E0D74">
        <w:rPr>
          <w:rFonts w:ascii="Cambria" w:hAnsi="Cambria"/>
          <w:sz w:val="20"/>
          <w:szCs w:val="20"/>
          <w:lang w:val="en"/>
        </w:rPr>
        <w:t xml:space="preserve">Accordingly, it deems that </w:t>
      </w:r>
      <w:r w:rsidRPr="008E0D74">
        <w:rPr>
          <w:rFonts w:ascii="Cambria" w:hAnsi="Cambria"/>
          <w:sz w:val="20"/>
          <w:szCs w:val="20"/>
          <w:lang w:val="en"/>
        </w:rPr>
        <w:t xml:space="preserve">domestic remedies have not been exhausted and that the Commission lacks jurisdiction </w:t>
      </w:r>
      <w:r w:rsidR="00524674" w:rsidRPr="008E0D74">
        <w:rPr>
          <w:rFonts w:ascii="Cambria" w:hAnsi="Cambria"/>
          <w:sz w:val="20"/>
          <w:szCs w:val="20"/>
          <w:lang w:val="en"/>
        </w:rPr>
        <w:t>on</w:t>
      </w:r>
      <w:r w:rsidRPr="008E0D74">
        <w:rPr>
          <w:rFonts w:ascii="Cambria" w:hAnsi="Cambria"/>
          <w:sz w:val="20"/>
          <w:szCs w:val="20"/>
          <w:lang w:val="en"/>
        </w:rPr>
        <w:t xml:space="preserve"> this matter. </w:t>
      </w:r>
      <w:r w:rsidR="00524674" w:rsidRPr="008E0D74">
        <w:rPr>
          <w:rFonts w:ascii="Cambria" w:hAnsi="Cambria"/>
          <w:sz w:val="20"/>
          <w:szCs w:val="20"/>
          <w:lang w:val="en"/>
        </w:rPr>
        <w:t>A</w:t>
      </w:r>
      <w:r w:rsidRPr="008E0D74">
        <w:rPr>
          <w:rFonts w:ascii="Cambria" w:hAnsi="Cambria"/>
          <w:sz w:val="20"/>
          <w:szCs w:val="20"/>
          <w:lang w:val="en"/>
        </w:rPr>
        <w:t xml:space="preserve">s </w:t>
      </w:r>
      <w:r w:rsidR="00524674" w:rsidRPr="008E0D74">
        <w:rPr>
          <w:rFonts w:ascii="Cambria" w:hAnsi="Cambria"/>
          <w:sz w:val="20"/>
          <w:szCs w:val="20"/>
          <w:lang w:val="en"/>
        </w:rPr>
        <w:t>for</w:t>
      </w:r>
      <w:r w:rsidRPr="008E0D74">
        <w:rPr>
          <w:rFonts w:ascii="Cambria" w:hAnsi="Cambria"/>
          <w:sz w:val="20"/>
          <w:szCs w:val="20"/>
          <w:lang w:val="en"/>
        </w:rPr>
        <w:t xml:space="preserve"> the alleged lack of civil reparation, it indicates that it has no observations on the fulfillment of formal requirements.</w:t>
      </w:r>
      <w:r w:rsidR="00B82A3A" w:rsidRPr="008E0D74">
        <w:rPr>
          <w:rFonts w:ascii="Cambria" w:hAnsi="Cambria"/>
          <w:sz w:val="20"/>
          <w:szCs w:val="20"/>
          <w:lang w:val="en"/>
        </w:rPr>
        <w:t xml:space="preserve"> </w:t>
      </w:r>
      <w:r w:rsidRPr="008E0D74">
        <w:rPr>
          <w:rFonts w:ascii="Cambria" w:hAnsi="Cambria"/>
          <w:sz w:val="20"/>
          <w:szCs w:val="20"/>
          <w:lang w:val="en"/>
        </w:rPr>
        <w:t xml:space="preserve">Additionally, it </w:t>
      </w:r>
      <w:r w:rsidR="00524674" w:rsidRPr="008E0D74">
        <w:rPr>
          <w:rFonts w:ascii="Cambria" w:hAnsi="Cambria"/>
          <w:sz w:val="20"/>
          <w:szCs w:val="20"/>
          <w:lang w:val="en"/>
        </w:rPr>
        <w:t>contends</w:t>
      </w:r>
      <w:r w:rsidRPr="008E0D74">
        <w:rPr>
          <w:rFonts w:ascii="Cambria" w:hAnsi="Cambria"/>
          <w:sz w:val="20"/>
          <w:szCs w:val="20"/>
          <w:lang w:val="en"/>
        </w:rPr>
        <w:t xml:space="preserve"> that the petition is inadmissible in that the alleged facts took place before Chile ratified the American Convention on March 11, 1990. Consequently, it claims that the Commission cannot rule on them for lack of jurisdiction </w:t>
      </w:r>
      <w:r w:rsidRPr="008E0D74">
        <w:rPr>
          <w:rFonts w:ascii="Cambria" w:hAnsi="Cambria"/>
          <w:i/>
          <w:iCs/>
          <w:sz w:val="20"/>
          <w:szCs w:val="20"/>
          <w:lang w:val="en"/>
        </w:rPr>
        <w:t>ratione temporis</w:t>
      </w:r>
      <w:r w:rsidRPr="008E0D74">
        <w:rPr>
          <w:rFonts w:ascii="Cambria" w:hAnsi="Cambria"/>
          <w:sz w:val="20"/>
          <w:szCs w:val="20"/>
          <w:lang w:val="en"/>
        </w:rPr>
        <w:t>.</w:t>
      </w:r>
      <w:r w:rsidR="00B82A3A" w:rsidRPr="008E0D74">
        <w:rPr>
          <w:rFonts w:ascii="Cambria" w:hAnsi="Cambria"/>
          <w:sz w:val="20"/>
          <w:szCs w:val="20"/>
          <w:lang w:val="en"/>
        </w:rPr>
        <w:t xml:space="preserve"> </w:t>
      </w:r>
    </w:p>
    <w:p w14:paraId="73317622" w14:textId="77777777" w:rsidR="00E41AD3" w:rsidRPr="00006B74" w:rsidRDefault="00E41AD3" w:rsidP="00E41AD3">
      <w:pPr>
        <w:pStyle w:val="ListParagraph"/>
        <w:spacing w:before="120" w:after="120"/>
        <w:jc w:val="both"/>
        <w:rPr>
          <w:rFonts w:asciiTheme="majorHAnsi" w:hAnsiTheme="majorHAnsi"/>
          <w:b/>
          <w:bCs/>
          <w:sz w:val="20"/>
          <w:szCs w:val="20"/>
        </w:rPr>
      </w:pPr>
      <w:r>
        <w:rPr>
          <w:rFonts w:asciiTheme="majorHAnsi" w:hAnsiTheme="majorHAnsi"/>
          <w:b/>
          <w:bCs/>
          <w:sz w:val="20"/>
          <w:szCs w:val="20"/>
          <w:lang w:val="en"/>
        </w:rPr>
        <w:t xml:space="preserve">VI. </w:t>
      </w:r>
      <w:r>
        <w:rPr>
          <w:rFonts w:asciiTheme="majorHAnsi" w:hAnsiTheme="majorHAnsi"/>
          <w:b/>
          <w:bCs/>
          <w:sz w:val="20"/>
          <w:szCs w:val="20"/>
          <w:lang w:val="en"/>
        </w:rPr>
        <w:tab/>
        <w:t>EXHAUSTION OF DOMESTIC REMEDIES AND TIMELINESS OF THE PETITION</w:t>
      </w:r>
    </w:p>
    <w:p w14:paraId="7BEFB5B8" w14:textId="77777777" w:rsidR="008E0D74" w:rsidRPr="008E0D74" w:rsidRDefault="008E0D74" w:rsidP="00E023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8E0D74">
        <w:rPr>
          <w:rFonts w:asciiTheme="majorHAnsi" w:hAnsiTheme="majorHAnsi"/>
          <w:sz w:val="20"/>
          <w:szCs w:val="20"/>
        </w:rPr>
        <w:t xml:space="preserve">The IACHR notes that the petitioner affirms that the petition is limited to denouncing the lack of access to civil reparation for the alleged victims arising from the disappearance of Mr. Acuña Reyes, whose civil lawsuit was rejected based on the grounds of the statute of limitations. The Commission observes that in the administrative contentious jurisdiction, domestic remedies </w:t>
      </w:r>
      <w:r w:rsidRPr="008E0D74">
        <w:rPr>
          <w:rFonts w:ascii="Cambria" w:hAnsi="Cambria"/>
          <w:sz w:val="20"/>
          <w:szCs w:val="20"/>
          <w:lang w:val="en"/>
        </w:rPr>
        <w:t>were exhausted with the trial court’s enforcement order, dated May 8, 2009, regarding the Supreme Court’s decision of March 30, 2009</w:t>
      </w:r>
      <w:r w:rsidRPr="008E0D74">
        <w:rPr>
          <w:rFonts w:asciiTheme="majorHAnsi" w:hAnsiTheme="majorHAnsi"/>
          <w:sz w:val="20"/>
          <w:szCs w:val="20"/>
        </w:rPr>
        <w:t xml:space="preserve">. </w:t>
      </w:r>
      <w:r w:rsidR="0008662F" w:rsidRPr="008E0D74">
        <w:rPr>
          <w:rFonts w:ascii="Cambria" w:hAnsi="Cambria"/>
          <w:sz w:val="20"/>
          <w:szCs w:val="20"/>
          <w:lang w:val="en"/>
        </w:rPr>
        <w:t>Therefore</w:t>
      </w:r>
      <w:r w:rsidR="00E41AD3" w:rsidRPr="008E0D74">
        <w:rPr>
          <w:rFonts w:ascii="Cambria" w:hAnsi="Cambria"/>
          <w:sz w:val="20"/>
          <w:szCs w:val="20"/>
          <w:lang w:val="en"/>
        </w:rPr>
        <w:t>, the Commission finds that the petition meets the requirement set forth in Ar</w:t>
      </w:r>
      <w:r>
        <w:rPr>
          <w:rFonts w:ascii="Cambria" w:hAnsi="Cambria"/>
          <w:sz w:val="20"/>
          <w:szCs w:val="20"/>
          <w:lang w:val="en"/>
        </w:rPr>
        <w:t>ticle 46.1.a of the Convention.</w:t>
      </w:r>
    </w:p>
    <w:p w14:paraId="20BF9155" w14:textId="6D15E499" w:rsidR="00E41AD3" w:rsidRPr="008E0D74" w:rsidRDefault="00E41AD3" w:rsidP="00E023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8E0D74">
        <w:rPr>
          <w:rFonts w:ascii="Cambria" w:hAnsi="Cambria"/>
          <w:sz w:val="20"/>
          <w:szCs w:val="20"/>
          <w:lang w:val="en"/>
        </w:rPr>
        <w:lastRenderedPageBreak/>
        <w:t xml:space="preserve">The petition was filed to the IACHR on November 8, 2009; </w:t>
      </w:r>
      <w:r w:rsidR="00A14E2A" w:rsidRPr="008E0D74">
        <w:rPr>
          <w:rFonts w:ascii="Cambria" w:hAnsi="Cambria"/>
          <w:sz w:val="20"/>
          <w:szCs w:val="20"/>
          <w:lang w:val="en"/>
        </w:rPr>
        <w:t>thus</w:t>
      </w:r>
      <w:r w:rsidRPr="008E0D74">
        <w:rPr>
          <w:rFonts w:ascii="Cambria" w:hAnsi="Cambria"/>
          <w:sz w:val="20"/>
          <w:szCs w:val="20"/>
          <w:lang w:val="en"/>
        </w:rPr>
        <w:t>, it meets the requirement in Articles 46.1.b of the Convention and 32.1 of the IACHR Rules of Procedure.</w:t>
      </w:r>
      <w:r w:rsidR="00B82A3A" w:rsidRPr="008E0D74">
        <w:rPr>
          <w:rFonts w:ascii="Cambria" w:hAnsi="Cambria"/>
          <w:sz w:val="20"/>
          <w:szCs w:val="20"/>
          <w:lang w:val="en"/>
        </w:rPr>
        <w:t xml:space="preserve"> </w:t>
      </w:r>
    </w:p>
    <w:p w14:paraId="703728F7" w14:textId="77777777" w:rsidR="00E41AD3" w:rsidRPr="00006B74" w:rsidRDefault="00E41AD3" w:rsidP="00E41AD3">
      <w:pPr>
        <w:pStyle w:val="ListParagraph"/>
        <w:spacing w:before="120" w:after="1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b/>
          <w:bCs/>
          <w:sz w:val="20"/>
          <w:szCs w:val="20"/>
          <w:lang w:val="en"/>
        </w:rPr>
        <w:tab/>
        <w:t>COLORABLE CLAIM</w:t>
      </w:r>
    </w:p>
    <w:p w14:paraId="144DE574" w14:textId="4B02A502" w:rsidR="00E41AD3" w:rsidRPr="00085AF7" w:rsidRDefault="008E0D74" w:rsidP="00C424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085AF7">
        <w:rPr>
          <w:rFonts w:ascii="Cambria" w:hAnsi="Cambria"/>
          <w:sz w:val="20"/>
          <w:szCs w:val="20"/>
          <w:lang w:val="en"/>
        </w:rPr>
        <w:t xml:space="preserve">The Commission notes that this petition includes allegations regarding the </w:t>
      </w:r>
      <w:r w:rsidR="00085AF7" w:rsidRPr="00085AF7">
        <w:rPr>
          <w:rFonts w:ascii="Cambria" w:hAnsi="Cambria"/>
          <w:sz w:val="20"/>
          <w:szCs w:val="20"/>
          <w:lang w:val="en"/>
        </w:rPr>
        <w:t xml:space="preserve">lack of compensation for the detention and forced disappearance as a result of the application of the statute of limitations. </w:t>
      </w:r>
      <w:r w:rsidR="0052771D" w:rsidRPr="0052771D">
        <w:rPr>
          <w:rFonts w:asciiTheme="majorHAnsi" w:hAnsiTheme="majorHAnsi"/>
          <w:color w:val="000000" w:themeColor="text1"/>
          <w:sz w:val="20"/>
          <w:szCs w:val="20"/>
          <w:bdr w:val="none" w:sz="0" w:space="0" w:color="auto"/>
        </w:rPr>
        <w:t>As regards the civil actions for reparations in matters such as the instant one, both the Commission and the Inter-American Court of Human Rights have found that the application of the statute of limitations is an obstacle to effective access to justice for victims seeking reparations</w:t>
      </w:r>
      <w:r w:rsidR="0052771D" w:rsidRPr="0052771D">
        <w:rPr>
          <w:rFonts w:asciiTheme="majorHAnsi" w:hAnsiTheme="majorHAnsi"/>
          <w:color w:val="000000" w:themeColor="text1"/>
          <w:sz w:val="20"/>
          <w:szCs w:val="20"/>
          <w:bdr w:val="none" w:sz="0" w:space="0" w:color="auto"/>
          <w:vertAlign w:val="superscript"/>
        </w:rPr>
        <w:footnoteReference w:id="10"/>
      </w:r>
      <w:r w:rsidR="0052771D" w:rsidRPr="0052771D">
        <w:rPr>
          <w:rFonts w:asciiTheme="majorHAnsi" w:hAnsiTheme="majorHAnsi"/>
          <w:color w:val="000000" w:themeColor="text1"/>
          <w:sz w:val="20"/>
          <w:szCs w:val="20"/>
          <w:bdr w:val="none" w:sz="0" w:space="0" w:color="auto"/>
        </w:rPr>
        <w:t xml:space="preserve">. Bearing this in mind, the IACHR considers that the allegations of the petitioners are not manifestly groundless and require an analysis on the merits, since the alleged facts, if proven, could characterize violations of Articles </w:t>
      </w:r>
      <w:r w:rsidR="0052771D">
        <w:rPr>
          <w:sz w:val="20"/>
          <w:szCs w:val="20"/>
          <w:bdr w:val="none" w:sz="0" w:space="0" w:color="auto"/>
        </w:rPr>
        <w:t>8</w:t>
      </w:r>
      <w:r w:rsidR="00E41AD3" w:rsidRPr="00085AF7">
        <w:rPr>
          <w:rFonts w:ascii="Cambria" w:hAnsi="Cambria"/>
          <w:sz w:val="20"/>
          <w:szCs w:val="20"/>
          <w:lang w:val="en"/>
        </w:rPr>
        <w:t xml:space="preserve"> (fair trial) and 25 (judicial protection) of the American Convention, in connection with its </w:t>
      </w:r>
      <w:r w:rsidRPr="00085AF7">
        <w:rPr>
          <w:rFonts w:ascii="Cambria" w:hAnsi="Cambria"/>
          <w:sz w:val="20"/>
          <w:szCs w:val="20"/>
          <w:lang w:val="en"/>
        </w:rPr>
        <w:t>a</w:t>
      </w:r>
      <w:r w:rsidR="00E41AD3" w:rsidRPr="00085AF7">
        <w:rPr>
          <w:rFonts w:ascii="Cambria" w:hAnsi="Cambria"/>
          <w:sz w:val="20"/>
          <w:szCs w:val="20"/>
          <w:lang w:val="en"/>
        </w:rPr>
        <w:t>rticles 1.1 (obligation to respect rights) and 2 (domestic legal effects).</w:t>
      </w:r>
      <w:r w:rsidR="00B82A3A" w:rsidRPr="00085AF7">
        <w:rPr>
          <w:rFonts w:ascii="Cambria" w:hAnsi="Cambria"/>
          <w:sz w:val="20"/>
          <w:szCs w:val="20"/>
          <w:lang w:val="en"/>
        </w:rPr>
        <w:t xml:space="preserve"> </w:t>
      </w:r>
    </w:p>
    <w:p w14:paraId="0B6855AE" w14:textId="77777777" w:rsidR="00E41AD3" w:rsidRPr="00006B74" w:rsidRDefault="00E41AD3" w:rsidP="00E41A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3CABB314" w14:textId="4266ADC5" w:rsidR="00E41AD3" w:rsidRPr="00D57038" w:rsidRDefault="00E41AD3" w:rsidP="00E41AD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Theme="majorHAnsi" w:hAnsiTheme="majorHAnsi"/>
          <w:sz w:val="20"/>
          <w:szCs w:val="20"/>
          <w:lang w:val="en"/>
        </w:rPr>
        <w:t xml:space="preserve">To declare the instant petition admissible in relation to Articles 8 and 25 of the American Convention, in relation to its </w:t>
      </w:r>
      <w:r w:rsidR="008E0D74">
        <w:rPr>
          <w:rFonts w:asciiTheme="majorHAnsi" w:hAnsiTheme="majorHAnsi"/>
          <w:sz w:val="20"/>
          <w:szCs w:val="20"/>
          <w:lang w:val="en"/>
        </w:rPr>
        <w:t>a</w:t>
      </w:r>
      <w:r>
        <w:rPr>
          <w:rFonts w:asciiTheme="majorHAnsi" w:hAnsiTheme="majorHAnsi"/>
          <w:sz w:val="20"/>
          <w:szCs w:val="20"/>
          <w:lang w:val="en"/>
        </w:rPr>
        <w:t>rticles 1.1 and 2;</w:t>
      </w:r>
      <w:r>
        <w:rPr>
          <w:rFonts w:ascii="Cambria" w:hAnsi="Cambria"/>
          <w:sz w:val="20"/>
          <w:szCs w:val="20"/>
          <w:lang w:val="en"/>
        </w:rPr>
        <w:t xml:space="preserve"> </w:t>
      </w:r>
      <w:r>
        <w:rPr>
          <w:rFonts w:asciiTheme="majorHAnsi" w:hAnsiTheme="majorHAnsi"/>
          <w:sz w:val="20"/>
          <w:szCs w:val="20"/>
          <w:lang w:val="en"/>
        </w:rPr>
        <w:t>and</w:t>
      </w:r>
      <w:r w:rsidR="00B82A3A">
        <w:rPr>
          <w:rFonts w:asciiTheme="majorHAnsi" w:hAnsiTheme="majorHAnsi"/>
          <w:sz w:val="20"/>
          <w:szCs w:val="20"/>
          <w:lang w:val="en"/>
        </w:rPr>
        <w:t xml:space="preserve"> </w:t>
      </w:r>
    </w:p>
    <w:p w14:paraId="2201C8F4" w14:textId="1EB43534" w:rsidR="00E41AD3" w:rsidRPr="00006B74" w:rsidRDefault="00E41AD3" w:rsidP="00E41AD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To notify the parties of this decision; to continue with the analysis on the merits; and to publish this decision and include it in its Annual Report to the General Assembly of the Organization of American States.</w:t>
      </w:r>
      <w:r w:rsidR="00B82A3A">
        <w:rPr>
          <w:rFonts w:asciiTheme="majorHAnsi" w:hAnsiTheme="majorHAnsi"/>
          <w:sz w:val="20"/>
          <w:szCs w:val="20"/>
          <w:lang w:val="en"/>
        </w:rPr>
        <w:t xml:space="preserve"> </w:t>
      </w:r>
    </w:p>
    <w:p w14:paraId="135A3E92" w14:textId="31ABC084" w:rsidR="0088168E" w:rsidRPr="00365F2F" w:rsidRDefault="00E41AD3" w:rsidP="0088168E">
      <w:pPr>
        <w:suppressAutoHyphens/>
        <w:ind w:firstLine="720"/>
        <w:jc w:val="both"/>
        <w:rPr>
          <w:rFonts w:ascii="Cambria" w:hAnsi="Cambria"/>
          <w:spacing w:val="-2"/>
          <w:sz w:val="20"/>
        </w:rPr>
      </w:pPr>
      <w:r w:rsidRPr="000B6B7A">
        <w:rPr>
          <w:rFonts w:asciiTheme="majorHAnsi" w:hAnsiTheme="majorHAnsi"/>
          <w:sz w:val="20"/>
          <w:szCs w:val="20"/>
        </w:rPr>
        <w:t xml:space="preserve"> </w:t>
      </w:r>
      <w:r w:rsidR="0088168E">
        <w:rPr>
          <w:rFonts w:ascii="Cambria" w:hAnsi="Cambria"/>
          <w:spacing w:val="-2"/>
          <w:sz w:val="20"/>
        </w:rPr>
        <w:t>Approved by the Inter-American Commission on Human Rights</w:t>
      </w:r>
      <w:r w:rsidR="0088168E" w:rsidRPr="00365F2F">
        <w:rPr>
          <w:rFonts w:ascii="Cambria" w:hAnsi="Cambria"/>
          <w:spacing w:val="-2"/>
          <w:sz w:val="20"/>
        </w:rPr>
        <w:t xml:space="preserve"> on the </w:t>
      </w:r>
      <w:r w:rsidR="0088168E">
        <w:rPr>
          <w:rFonts w:ascii="Cambria" w:hAnsi="Cambria"/>
          <w:spacing w:val="-2"/>
          <w:sz w:val="20"/>
        </w:rPr>
        <w:t>21</w:t>
      </w:r>
      <w:r w:rsidR="0088168E" w:rsidRPr="0088168E">
        <w:rPr>
          <w:rFonts w:ascii="Cambria" w:hAnsi="Cambria"/>
          <w:spacing w:val="-2"/>
          <w:sz w:val="20"/>
          <w:vertAlign w:val="superscript"/>
        </w:rPr>
        <w:t>st</w:t>
      </w:r>
      <w:r w:rsidR="0088168E">
        <w:rPr>
          <w:rFonts w:ascii="Cambria" w:hAnsi="Cambria"/>
          <w:spacing w:val="-2"/>
          <w:sz w:val="20"/>
        </w:rPr>
        <w:t xml:space="preserve"> </w:t>
      </w:r>
      <w:r w:rsidR="0088168E" w:rsidRPr="00365F2F">
        <w:rPr>
          <w:rFonts w:ascii="Cambria" w:hAnsi="Cambria"/>
          <w:spacing w:val="-2"/>
          <w:sz w:val="20"/>
        </w:rPr>
        <w:t>day of the month of</w:t>
      </w:r>
      <w:r w:rsidR="0088168E">
        <w:rPr>
          <w:rFonts w:ascii="Cambria" w:hAnsi="Cambria"/>
          <w:spacing w:val="-2"/>
          <w:sz w:val="20"/>
        </w:rPr>
        <w:t xml:space="preserve"> September,</w:t>
      </w:r>
      <w:r w:rsidR="0088168E" w:rsidRPr="00365F2F">
        <w:rPr>
          <w:rFonts w:ascii="Cambria" w:hAnsi="Cambria"/>
          <w:spacing w:val="-2"/>
          <w:sz w:val="20"/>
        </w:rPr>
        <w:t xml:space="preserve"> </w:t>
      </w:r>
      <w:r w:rsidR="0088168E">
        <w:rPr>
          <w:rFonts w:ascii="Cambria" w:hAnsi="Cambria"/>
          <w:spacing w:val="-2"/>
          <w:sz w:val="20"/>
        </w:rPr>
        <w:t>2020</w:t>
      </w:r>
      <w:r w:rsidR="0088168E" w:rsidRPr="00365F2F">
        <w:rPr>
          <w:rFonts w:ascii="Cambria" w:hAnsi="Cambria"/>
          <w:spacing w:val="-2"/>
          <w:sz w:val="20"/>
        </w:rPr>
        <w:t xml:space="preserve">. </w:t>
      </w:r>
      <w:r w:rsidR="0088168E" w:rsidRPr="007F3C48">
        <w:rPr>
          <w:rFonts w:ascii="Cambria" w:hAnsi="Cambria"/>
          <w:spacing w:val="-2"/>
          <w:sz w:val="20"/>
        </w:rPr>
        <w:t xml:space="preserve">(Signed):  </w:t>
      </w:r>
      <w:r w:rsidR="0088168E" w:rsidRPr="007F3C48">
        <w:rPr>
          <w:rFonts w:asciiTheme="majorHAnsi" w:hAnsiTheme="majorHAnsi" w:cs="Arial"/>
          <w:noProof/>
          <w:spacing w:val="-2"/>
          <w:sz w:val="20"/>
          <w:szCs w:val="20"/>
        </w:rPr>
        <w:t>Joel H</w:t>
      </w:r>
      <w:r w:rsidR="0088168E">
        <w:rPr>
          <w:rFonts w:asciiTheme="majorHAnsi" w:hAnsiTheme="majorHAnsi" w:cs="Arial"/>
          <w:noProof/>
          <w:spacing w:val="-2"/>
          <w:sz w:val="20"/>
          <w:szCs w:val="20"/>
        </w:rPr>
        <w:t xml:space="preserve">ernández, President; </w:t>
      </w:r>
      <w:r w:rsidR="00062FEF">
        <w:rPr>
          <w:rFonts w:asciiTheme="majorHAnsi" w:hAnsiTheme="majorHAnsi" w:cs="Arial"/>
          <w:noProof/>
          <w:spacing w:val="-2"/>
          <w:sz w:val="20"/>
          <w:szCs w:val="20"/>
        </w:rPr>
        <w:t>Flávia Piovesan, Second Vice-</w:t>
      </w:r>
      <w:r w:rsidR="0088168E" w:rsidRPr="007F3C48">
        <w:rPr>
          <w:rFonts w:asciiTheme="majorHAnsi" w:hAnsiTheme="majorHAnsi" w:cs="Arial"/>
          <w:noProof/>
          <w:spacing w:val="-2"/>
          <w:sz w:val="20"/>
          <w:szCs w:val="20"/>
        </w:rPr>
        <w:t xml:space="preserve">President; </w:t>
      </w:r>
      <w:r w:rsidR="0088168E" w:rsidRPr="00DD57A5">
        <w:rPr>
          <w:rFonts w:asciiTheme="majorHAnsi" w:hAnsiTheme="majorHAnsi" w:cs="Arial"/>
          <w:noProof/>
          <w:spacing w:val="-2"/>
          <w:sz w:val="20"/>
          <w:szCs w:val="20"/>
        </w:rPr>
        <w:t>Margarette May Macaulay, Esmeralda E. Arosemena Bernal de Troitiño,</w:t>
      </w:r>
      <w:r w:rsidR="0088168E" w:rsidRPr="007F3C48">
        <w:rPr>
          <w:rFonts w:asciiTheme="majorHAnsi" w:hAnsiTheme="majorHAnsi" w:cs="Arial"/>
          <w:noProof/>
          <w:spacing w:val="-2"/>
          <w:sz w:val="20"/>
          <w:szCs w:val="20"/>
        </w:rPr>
        <w:t xml:space="preserve"> Julissa Mantilla Falcón</w:t>
      </w:r>
      <w:r w:rsidR="0088168E">
        <w:rPr>
          <w:rFonts w:asciiTheme="majorHAnsi" w:hAnsiTheme="majorHAnsi" w:cs="Arial"/>
          <w:noProof/>
          <w:spacing w:val="-2"/>
          <w:sz w:val="20"/>
          <w:szCs w:val="20"/>
        </w:rPr>
        <w:t>,</w:t>
      </w:r>
      <w:r w:rsidR="0088168E" w:rsidRPr="007F3C48">
        <w:rPr>
          <w:rFonts w:asciiTheme="majorHAnsi" w:hAnsiTheme="majorHAnsi" w:cs="Arial"/>
          <w:noProof/>
          <w:spacing w:val="-2"/>
          <w:sz w:val="20"/>
          <w:szCs w:val="20"/>
        </w:rPr>
        <w:t xml:space="preserve"> </w:t>
      </w:r>
      <w:r w:rsidR="0088168E">
        <w:rPr>
          <w:rFonts w:asciiTheme="majorHAnsi" w:hAnsiTheme="majorHAnsi" w:cs="Arial"/>
          <w:noProof/>
          <w:spacing w:val="-2"/>
          <w:sz w:val="20"/>
          <w:szCs w:val="20"/>
        </w:rPr>
        <w:t>and</w:t>
      </w:r>
      <w:r w:rsidR="0088168E" w:rsidRPr="007F3C48">
        <w:rPr>
          <w:rFonts w:asciiTheme="majorHAnsi" w:hAnsiTheme="majorHAnsi" w:cs="Arial"/>
          <w:noProof/>
          <w:spacing w:val="-2"/>
          <w:sz w:val="20"/>
          <w:szCs w:val="20"/>
        </w:rPr>
        <w:t xml:space="preserve"> Stuardo Ralón Orellana,</w:t>
      </w:r>
      <w:r w:rsidR="0088168E">
        <w:rPr>
          <w:rFonts w:asciiTheme="majorHAnsi" w:hAnsiTheme="majorHAnsi" w:cs="Arial"/>
          <w:noProof/>
          <w:spacing w:val="-2"/>
          <w:sz w:val="20"/>
          <w:szCs w:val="20"/>
        </w:rPr>
        <w:t xml:space="preserve"> </w:t>
      </w:r>
      <w:r w:rsidR="0088168E" w:rsidRPr="00365F2F">
        <w:rPr>
          <w:rFonts w:ascii="Cambria" w:hAnsi="Cambria"/>
          <w:spacing w:val="-2"/>
          <w:sz w:val="20"/>
        </w:rPr>
        <w:t>Commissioners.</w:t>
      </w:r>
    </w:p>
    <w:p w14:paraId="49C91919" w14:textId="52BB4413" w:rsidR="00F621C3" w:rsidRPr="000B6B7A" w:rsidRDefault="00F621C3" w:rsidP="00E41AD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p w14:paraId="42D4A60E"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2F335FC"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97FD7" w14:textId="77777777" w:rsidR="009606A2" w:rsidRDefault="009606A2" w:rsidP="00036A8A">
      <w:r>
        <w:separator/>
      </w:r>
    </w:p>
  </w:endnote>
  <w:endnote w:type="continuationSeparator" w:id="0">
    <w:p w14:paraId="0809AEFC" w14:textId="77777777" w:rsidR="009606A2" w:rsidRDefault="009606A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6EFB2" w14:textId="77777777" w:rsidR="00380543" w:rsidRDefault="003805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131D4E49"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80543">
          <w:rPr>
            <w:noProof/>
            <w:sz w:val="16"/>
          </w:rPr>
          <w:t>1</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1F466" w14:textId="77777777" w:rsidR="009606A2" w:rsidRPr="00036A8A" w:rsidRDefault="009606A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F310FC5" w14:textId="77777777" w:rsidR="009606A2" w:rsidRPr="00036A8A" w:rsidRDefault="009606A2" w:rsidP="00036A8A">
      <w:pPr>
        <w:rPr>
          <w:rFonts w:asciiTheme="majorHAnsi" w:hAnsiTheme="majorHAnsi"/>
          <w:sz w:val="16"/>
          <w:szCs w:val="16"/>
        </w:rPr>
      </w:pPr>
      <w:r w:rsidRPr="00036A8A">
        <w:rPr>
          <w:rFonts w:asciiTheme="majorHAnsi" w:hAnsiTheme="majorHAnsi"/>
          <w:sz w:val="16"/>
          <w:szCs w:val="16"/>
        </w:rPr>
        <w:separator/>
      </w:r>
    </w:p>
    <w:p w14:paraId="4836EBCE" w14:textId="77777777" w:rsidR="009606A2" w:rsidRPr="00036A8A" w:rsidRDefault="009606A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D128136" w14:textId="77777777" w:rsidR="009606A2" w:rsidRPr="0093441A" w:rsidRDefault="009606A2"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118B6C1" w14:textId="438B7079" w:rsidR="00E41AD3" w:rsidRPr="00C71825" w:rsidRDefault="0088168E" w:rsidP="00E41AD3">
      <w:pPr>
        <w:pStyle w:val="FootnoteText"/>
        <w:jc w:val="both"/>
        <w:rPr>
          <w:rFonts w:asciiTheme="majorHAnsi" w:hAnsiTheme="majorHAnsi"/>
          <w:color w:val="auto"/>
          <w:sz w:val="16"/>
          <w:szCs w:val="16"/>
        </w:rPr>
      </w:pPr>
      <w:r>
        <w:rPr>
          <w:rFonts w:asciiTheme="majorHAnsi" w:hAnsiTheme="majorHAnsi"/>
          <w:color w:val="auto"/>
          <w:sz w:val="16"/>
          <w:szCs w:val="16"/>
        </w:rPr>
        <w:tab/>
      </w:r>
      <w:r w:rsidR="00E41AD3" w:rsidRPr="00C71825">
        <w:rPr>
          <w:rStyle w:val="FootnoteReference"/>
          <w:rFonts w:asciiTheme="majorHAnsi" w:hAnsiTheme="majorHAnsi"/>
          <w:color w:val="auto"/>
          <w:sz w:val="16"/>
          <w:szCs w:val="16"/>
        </w:rPr>
        <w:footnoteRef/>
      </w:r>
      <w:r w:rsidR="00E41AD3" w:rsidRPr="00C71825">
        <w:rPr>
          <w:rFonts w:asciiTheme="majorHAnsi" w:hAnsiTheme="majorHAnsi"/>
          <w:color w:val="auto"/>
          <w:sz w:val="16"/>
          <w:szCs w:val="16"/>
        </w:rPr>
        <w:t xml:space="preserve"> The petition was initially filed also by Franz Moller Morris</w:t>
      </w:r>
      <w:r w:rsidR="002C6652" w:rsidRPr="00C71825">
        <w:rPr>
          <w:rFonts w:asciiTheme="majorHAnsi" w:hAnsiTheme="majorHAnsi"/>
          <w:color w:val="auto"/>
          <w:sz w:val="16"/>
          <w:szCs w:val="16"/>
        </w:rPr>
        <w:t>. However,</w:t>
      </w:r>
      <w:r w:rsidR="00E41AD3" w:rsidRPr="00C71825">
        <w:rPr>
          <w:rFonts w:asciiTheme="majorHAnsi" w:hAnsiTheme="majorHAnsi"/>
          <w:color w:val="auto"/>
          <w:sz w:val="16"/>
          <w:szCs w:val="16"/>
        </w:rPr>
        <w:t xml:space="preserve"> by a notification dated September 26, 2017, he informed his withdrawal from representation.</w:t>
      </w:r>
    </w:p>
  </w:footnote>
  <w:footnote w:id="3">
    <w:p w14:paraId="40691F85" w14:textId="5B2DE298" w:rsidR="008B41F6" w:rsidRPr="00C71825" w:rsidRDefault="0088168E" w:rsidP="008B41F6">
      <w:pPr>
        <w:pStyle w:val="FootnoteText"/>
        <w:jc w:val="both"/>
        <w:rPr>
          <w:rFonts w:asciiTheme="majorHAnsi" w:hAnsiTheme="majorHAnsi"/>
          <w:sz w:val="16"/>
          <w:szCs w:val="16"/>
        </w:rPr>
      </w:pPr>
      <w:r>
        <w:rPr>
          <w:rFonts w:asciiTheme="majorHAnsi" w:hAnsiTheme="majorHAnsi"/>
          <w:sz w:val="16"/>
          <w:szCs w:val="16"/>
        </w:rPr>
        <w:tab/>
      </w:r>
      <w:r w:rsidR="008B41F6" w:rsidRPr="00C71825">
        <w:rPr>
          <w:rFonts w:asciiTheme="majorHAnsi" w:hAnsiTheme="majorHAnsi"/>
          <w:sz w:val="16"/>
          <w:szCs w:val="16"/>
          <w:vertAlign w:val="superscript"/>
        </w:rPr>
        <w:footnoteRef/>
      </w:r>
      <w:r w:rsidR="008B41F6" w:rsidRPr="00C71825">
        <w:rPr>
          <w:rFonts w:asciiTheme="majorHAnsi" w:hAnsiTheme="majorHAnsi"/>
          <w:sz w:val="16"/>
          <w:szCs w:val="16"/>
        </w:rPr>
        <w:t xml:space="preserve"> María Erma Reyes Gallardo, the alleged victim’s mother; and María Yolanda Acuña Reyes and Jorge Antonio Acuña Reyes, the alleged victim’s siblings.</w:t>
      </w:r>
    </w:p>
  </w:footnote>
  <w:footnote w:id="4">
    <w:p w14:paraId="68669238" w14:textId="5DBEC0D1" w:rsidR="00074B11" w:rsidRPr="00C71825" w:rsidRDefault="0088168E" w:rsidP="00074B11">
      <w:pPr>
        <w:pStyle w:val="FootnoteText"/>
        <w:jc w:val="both"/>
        <w:rPr>
          <w:rFonts w:asciiTheme="majorHAnsi" w:hAnsiTheme="majorHAnsi"/>
          <w:sz w:val="16"/>
          <w:szCs w:val="16"/>
        </w:rPr>
      </w:pPr>
      <w:r>
        <w:rPr>
          <w:rFonts w:asciiTheme="majorHAnsi" w:hAnsiTheme="majorHAnsi"/>
          <w:sz w:val="16"/>
          <w:szCs w:val="16"/>
        </w:rPr>
        <w:tab/>
      </w:r>
      <w:r w:rsidR="00074B11" w:rsidRPr="00C71825">
        <w:rPr>
          <w:rStyle w:val="FootnoteReference"/>
          <w:rFonts w:asciiTheme="majorHAnsi" w:hAnsiTheme="majorHAnsi"/>
          <w:sz w:val="16"/>
          <w:szCs w:val="16"/>
        </w:rPr>
        <w:footnoteRef/>
      </w:r>
      <w:r w:rsidR="00074B11" w:rsidRPr="00C71825">
        <w:rPr>
          <w:rFonts w:asciiTheme="majorHAnsi" w:hAnsiTheme="majorHAnsi"/>
          <w:sz w:val="16"/>
          <w:szCs w:val="16"/>
        </w:rPr>
        <w:t xml:space="preserve"> Pursuant to Article 17.2.</w:t>
      </w:r>
      <w:proofErr w:type="spellStart"/>
      <w:r w:rsidR="00074B11" w:rsidRPr="00C71825">
        <w:rPr>
          <w:rFonts w:asciiTheme="majorHAnsi" w:hAnsiTheme="majorHAnsi"/>
          <w:sz w:val="16"/>
          <w:szCs w:val="16"/>
        </w:rPr>
        <w:t>a</w:t>
      </w:r>
      <w:proofErr w:type="spellEnd"/>
      <w:r w:rsidR="00074B11" w:rsidRPr="00C71825">
        <w:rPr>
          <w:rFonts w:asciiTheme="majorHAnsi" w:hAnsiTheme="majorHAnsi"/>
          <w:sz w:val="16"/>
          <w:szCs w:val="16"/>
        </w:rPr>
        <w:t xml:space="preserve"> of the IACHR Rules of Procedure, Commissioner Antonia Urrejola Noguera, a Chilean national, did not participate in the debate or the decision on this matter.</w:t>
      </w:r>
    </w:p>
  </w:footnote>
  <w:footnote w:id="5">
    <w:p w14:paraId="5550BDFD" w14:textId="4E4EF0AE" w:rsidR="008B41F6" w:rsidRPr="00C71825" w:rsidRDefault="0088168E">
      <w:pPr>
        <w:pStyle w:val="FootnoteText"/>
        <w:rPr>
          <w:rFonts w:asciiTheme="majorHAnsi" w:hAnsiTheme="majorHAnsi"/>
          <w:sz w:val="16"/>
          <w:szCs w:val="16"/>
        </w:rPr>
      </w:pPr>
      <w:r>
        <w:rPr>
          <w:rFonts w:asciiTheme="majorHAnsi" w:hAnsiTheme="majorHAnsi"/>
          <w:sz w:val="16"/>
          <w:szCs w:val="16"/>
        </w:rPr>
        <w:tab/>
      </w:r>
      <w:r w:rsidR="008B41F6" w:rsidRPr="00C71825">
        <w:rPr>
          <w:rStyle w:val="FootnoteReference"/>
          <w:rFonts w:asciiTheme="majorHAnsi" w:hAnsiTheme="majorHAnsi"/>
          <w:sz w:val="16"/>
          <w:szCs w:val="16"/>
        </w:rPr>
        <w:footnoteRef/>
      </w:r>
      <w:r w:rsidR="008B41F6" w:rsidRPr="00C71825">
        <w:rPr>
          <w:rFonts w:asciiTheme="majorHAnsi" w:hAnsiTheme="majorHAnsi"/>
          <w:sz w:val="16"/>
          <w:szCs w:val="16"/>
        </w:rPr>
        <w:t xml:space="preserve"> Hereinafter “</w:t>
      </w:r>
      <w:r w:rsidR="00074B11" w:rsidRPr="00C71825">
        <w:rPr>
          <w:rFonts w:asciiTheme="majorHAnsi" w:hAnsiTheme="majorHAnsi"/>
          <w:sz w:val="16"/>
          <w:szCs w:val="16"/>
        </w:rPr>
        <w:t xml:space="preserve">American </w:t>
      </w:r>
      <w:r w:rsidR="008B41F6" w:rsidRPr="00C71825">
        <w:rPr>
          <w:rFonts w:asciiTheme="majorHAnsi" w:hAnsiTheme="majorHAnsi"/>
          <w:sz w:val="16"/>
          <w:szCs w:val="16"/>
        </w:rPr>
        <w:t>Convention” or “Convention.”</w:t>
      </w:r>
    </w:p>
  </w:footnote>
  <w:footnote w:id="6">
    <w:p w14:paraId="55774E34" w14:textId="36FED04D" w:rsidR="00653EA6" w:rsidRPr="00C71825" w:rsidRDefault="0088168E" w:rsidP="009D59D2">
      <w:pPr>
        <w:pStyle w:val="FootnoteText"/>
        <w:jc w:val="both"/>
        <w:rPr>
          <w:rFonts w:asciiTheme="majorHAnsi" w:hAnsiTheme="majorHAnsi"/>
          <w:sz w:val="16"/>
          <w:szCs w:val="16"/>
        </w:rPr>
      </w:pPr>
      <w:r>
        <w:rPr>
          <w:rFonts w:asciiTheme="majorHAnsi" w:hAnsiTheme="majorHAnsi"/>
          <w:sz w:val="16"/>
          <w:szCs w:val="16"/>
        </w:rPr>
        <w:tab/>
      </w:r>
      <w:r w:rsidR="00653EA6" w:rsidRPr="00C71825">
        <w:rPr>
          <w:rStyle w:val="FootnoteReference"/>
          <w:rFonts w:asciiTheme="majorHAnsi" w:hAnsiTheme="majorHAnsi"/>
          <w:sz w:val="16"/>
          <w:szCs w:val="16"/>
        </w:rPr>
        <w:footnoteRef/>
      </w:r>
      <w:r w:rsidR="00653EA6" w:rsidRPr="00C71825">
        <w:rPr>
          <w:rFonts w:asciiTheme="majorHAnsi" w:hAnsiTheme="majorHAnsi"/>
          <w:sz w:val="16"/>
          <w:szCs w:val="16"/>
        </w:rPr>
        <w:t xml:space="preserve"> The observations </w:t>
      </w:r>
      <w:r w:rsidR="00321AFD" w:rsidRPr="00C71825">
        <w:rPr>
          <w:rFonts w:asciiTheme="majorHAnsi" w:hAnsiTheme="majorHAnsi"/>
          <w:sz w:val="16"/>
          <w:szCs w:val="16"/>
        </w:rPr>
        <w:t>submitted</w:t>
      </w:r>
      <w:r w:rsidR="00653EA6" w:rsidRPr="00C71825">
        <w:rPr>
          <w:rFonts w:asciiTheme="majorHAnsi" w:hAnsiTheme="majorHAnsi"/>
          <w:sz w:val="16"/>
          <w:szCs w:val="16"/>
        </w:rPr>
        <w:t xml:space="preserve"> by each party were duly transmitted to the opposing party.</w:t>
      </w:r>
    </w:p>
  </w:footnote>
  <w:footnote w:id="7">
    <w:p w14:paraId="39870571" w14:textId="6AD508DC" w:rsidR="00E41AD3" w:rsidRPr="00C71825" w:rsidRDefault="0088168E" w:rsidP="00E41AD3">
      <w:pPr>
        <w:pStyle w:val="FootnoteText"/>
        <w:tabs>
          <w:tab w:val="right" w:pos="9360"/>
        </w:tabs>
        <w:jc w:val="both"/>
        <w:rPr>
          <w:rFonts w:asciiTheme="majorHAnsi" w:hAnsiTheme="majorHAnsi"/>
          <w:color w:val="auto"/>
          <w:sz w:val="16"/>
          <w:szCs w:val="16"/>
        </w:rPr>
      </w:pPr>
      <w:r>
        <w:rPr>
          <w:rFonts w:asciiTheme="majorHAnsi" w:hAnsiTheme="majorHAnsi"/>
          <w:color w:val="auto"/>
          <w:sz w:val="16"/>
          <w:szCs w:val="16"/>
        </w:rPr>
        <w:t xml:space="preserve">                    </w:t>
      </w:r>
      <w:r w:rsidR="00E41AD3" w:rsidRPr="00C71825">
        <w:rPr>
          <w:rStyle w:val="FootnoteReference"/>
          <w:rFonts w:asciiTheme="majorHAnsi" w:hAnsiTheme="majorHAnsi"/>
          <w:color w:val="auto"/>
          <w:sz w:val="16"/>
          <w:szCs w:val="16"/>
        </w:rPr>
        <w:footnoteRef/>
      </w:r>
      <w:r w:rsidR="00E41AD3" w:rsidRPr="00C71825">
        <w:rPr>
          <w:rFonts w:asciiTheme="majorHAnsi" w:hAnsiTheme="majorHAnsi"/>
          <w:color w:val="auto"/>
          <w:sz w:val="16"/>
          <w:szCs w:val="16"/>
        </w:rPr>
        <w:t xml:space="preserve"> The petitioner claims that, in general, detainees held in that area were eventually disappeared.</w:t>
      </w:r>
      <w:r w:rsidR="00E41AD3" w:rsidRPr="00C71825">
        <w:rPr>
          <w:rFonts w:asciiTheme="majorHAnsi" w:hAnsiTheme="majorHAnsi"/>
          <w:color w:val="auto"/>
          <w:sz w:val="16"/>
          <w:szCs w:val="16"/>
        </w:rPr>
        <w:tab/>
      </w:r>
    </w:p>
  </w:footnote>
  <w:footnote w:id="8">
    <w:p w14:paraId="0BE8A0DD" w14:textId="3516706C" w:rsidR="00E41AD3" w:rsidRPr="00C71825" w:rsidRDefault="0088168E" w:rsidP="00E41AD3">
      <w:pPr>
        <w:pStyle w:val="FootnoteText"/>
        <w:jc w:val="both"/>
        <w:rPr>
          <w:rFonts w:asciiTheme="majorHAnsi" w:hAnsiTheme="majorHAnsi"/>
          <w:color w:val="auto"/>
          <w:sz w:val="16"/>
          <w:szCs w:val="16"/>
        </w:rPr>
      </w:pPr>
      <w:r>
        <w:rPr>
          <w:rFonts w:asciiTheme="majorHAnsi" w:hAnsiTheme="majorHAnsi"/>
          <w:color w:val="auto"/>
          <w:sz w:val="16"/>
          <w:szCs w:val="16"/>
        </w:rPr>
        <w:tab/>
      </w:r>
      <w:r w:rsidR="00E41AD3" w:rsidRPr="00C71825">
        <w:rPr>
          <w:rStyle w:val="FootnoteReference"/>
          <w:rFonts w:asciiTheme="majorHAnsi" w:hAnsiTheme="majorHAnsi"/>
          <w:color w:val="auto"/>
          <w:sz w:val="16"/>
          <w:szCs w:val="16"/>
        </w:rPr>
        <w:footnoteRef/>
      </w:r>
      <w:r w:rsidR="00E41AD3" w:rsidRPr="00C71825">
        <w:rPr>
          <w:rFonts w:asciiTheme="majorHAnsi" w:hAnsiTheme="majorHAnsi"/>
          <w:color w:val="auto"/>
          <w:sz w:val="16"/>
          <w:szCs w:val="16"/>
        </w:rPr>
        <w:t xml:space="preserve"> The petitioner indicates that according to the report by the Commission </w:t>
      </w:r>
      <w:r w:rsidR="00EE3E46" w:rsidRPr="00C71825">
        <w:rPr>
          <w:rFonts w:asciiTheme="majorHAnsi" w:hAnsiTheme="majorHAnsi"/>
          <w:color w:val="auto"/>
          <w:sz w:val="16"/>
          <w:szCs w:val="16"/>
        </w:rPr>
        <w:t xml:space="preserve">of Inquiry </w:t>
      </w:r>
      <w:r w:rsidR="00E41AD3" w:rsidRPr="00C71825">
        <w:rPr>
          <w:rFonts w:asciiTheme="majorHAnsi" w:hAnsiTheme="majorHAnsi"/>
          <w:color w:val="auto"/>
          <w:sz w:val="16"/>
          <w:szCs w:val="16"/>
        </w:rPr>
        <w:t xml:space="preserve">on Human Rights, detainee destinations </w:t>
      </w:r>
      <w:r>
        <w:rPr>
          <w:rFonts w:asciiTheme="majorHAnsi" w:hAnsiTheme="majorHAnsi"/>
          <w:color w:val="auto"/>
          <w:sz w:val="16"/>
          <w:szCs w:val="16"/>
        </w:rPr>
        <w:tab/>
      </w:r>
      <w:r w:rsidR="00E41AD3" w:rsidRPr="00C71825">
        <w:rPr>
          <w:rFonts w:asciiTheme="majorHAnsi" w:hAnsiTheme="majorHAnsi"/>
          <w:color w:val="auto"/>
          <w:sz w:val="16"/>
          <w:szCs w:val="16"/>
        </w:rPr>
        <w:t>were key words indicating the future awaiting detainees.</w:t>
      </w:r>
    </w:p>
  </w:footnote>
  <w:footnote w:id="9">
    <w:p w14:paraId="766FE578" w14:textId="5F9C9B31" w:rsidR="00E41AD3" w:rsidRPr="00C71825" w:rsidRDefault="0088168E" w:rsidP="00E41AD3">
      <w:pPr>
        <w:pStyle w:val="FootnoteText"/>
        <w:jc w:val="both"/>
        <w:rPr>
          <w:rFonts w:asciiTheme="majorHAnsi" w:hAnsiTheme="majorHAnsi"/>
          <w:color w:val="auto"/>
          <w:sz w:val="16"/>
          <w:szCs w:val="16"/>
        </w:rPr>
      </w:pPr>
      <w:r>
        <w:rPr>
          <w:rFonts w:asciiTheme="majorHAnsi" w:hAnsiTheme="majorHAnsi"/>
          <w:color w:val="auto"/>
          <w:sz w:val="16"/>
          <w:szCs w:val="16"/>
        </w:rPr>
        <w:tab/>
      </w:r>
      <w:r w:rsidR="00E41AD3" w:rsidRPr="00C71825">
        <w:rPr>
          <w:rStyle w:val="FootnoteReference"/>
          <w:rFonts w:asciiTheme="majorHAnsi" w:hAnsiTheme="majorHAnsi"/>
          <w:color w:val="auto"/>
          <w:sz w:val="16"/>
          <w:szCs w:val="16"/>
        </w:rPr>
        <w:footnoteRef/>
      </w:r>
      <w:r w:rsidR="00E41AD3" w:rsidRPr="00C71825">
        <w:rPr>
          <w:rFonts w:asciiTheme="majorHAnsi" w:hAnsiTheme="majorHAnsi"/>
          <w:color w:val="auto"/>
          <w:sz w:val="16"/>
          <w:szCs w:val="16"/>
        </w:rPr>
        <w:t xml:space="preserve"> The petitioner indicates that the alleged victim’s name appears on a list of 119 people allegedly killed abroad in clashes between far-left groups, published in magazine issues from Argentina and Brazil. According to him, however, the 119 names seem to belong to people allegedly arrested between June 1974 and February 1975—whom witnesses saw at the secret premises of </w:t>
      </w:r>
      <w:r w:rsidR="00C11E5A" w:rsidRPr="00C71825">
        <w:rPr>
          <w:rFonts w:asciiTheme="majorHAnsi" w:hAnsiTheme="majorHAnsi"/>
          <w:color w:val="auto"/>
          <w:sz w:val="16"/>
          <w:szCs w:val="16"/>
        </w:rPr>
        <w:t xml:space="preserve">the </w:t>
      </w:r>
      <w:r w:rsidR="00E41AD3" w:rsidRPr="00C71825">
        <w:rPr>
          <w:rFonts w:asciiTheme="majorHAnsi" w:hAnsiTheme="majorHAnsi"/>
          <w:color w:val="auto"/>
          <w:sz w:val="16"/>
          <w:szCs w:val="16"/>
        </w:rPr>
        <w:t>DINA—, all of whom remain missing to date.</w:t>
      </w:r>
    </w:p>
  </w:footnote>
  <w:footnote w:id="10">
    <w:p w14:paraId="10CD02C9" w14:textId="59D5478A" w:rsidR="0052771D" w:rsidRDefault="0088168E" w:rsidP="0052771D">
      <w:pPr>
        <w:pBdr>
          <w:top w:val="none" w:sz="0" w:space="0" w:color="auto"/>
          <w:left w:val="none" w:sz="0" w:space="0" w:color="auto"/>
          <w:bottom w:val="none" w:sz="0" w:space="0" w:color="auto"/>
          <w:right w:val="none" w:sz="0" w:space="0" w:color="auto"/>
        </w:pBdr>
        <w:jc w:val="both"/>
      </w:pPr>
      <w:r>
        <w:rPr>
          <w:rFonts w:ascii="Cambria" w:hAnsi="Cambria"/>
          <w:sz w:val="16"/>
          <w:szCs w:val="16"/>
        </w:rPr>
        <w:tab/>
      </w:r>
      <w:r w:rsidR="0052771D" w:rsidRPr="00F66081">
        <w:rPr>
          <w:rStyle w:val="FootnoteReference"/>
          <w:rFonts w:ascii="Cambria" w:hAnsi="Cambria"/>
          <w:sz w:val="16"/>
          <w:szCs w:val="16"/>
        </w:rPr>
        <w:footnoteRef/>
      </w:r>
      <w:r w:rsidR="0052771D" w:rsidRPr="00F66081">
        <w:rPr>
          <w:rFonts w:ascii="Cambria" w:hAnsi="Cambria"/>
          <w:sz w:val="16"/>
          <w:szCs w:val="16"/>
        </w:rPr>
        <w:t xml:space="preserve"> </w:t>
      </w:r>
      <w:r w:rsidR="0052771D" w:rsidRPr="00F66081">
        <w:rPr>
          <w:rFonts w:ascii="Cambria" w:hAnsi="Cambria"/>
          <w:sz w:val="16"/>
          <w:szCs w:val="16"/>
          <w:lang w:eastAsia="fr-FR"/>
        </w:rPr>
        <w:t xml:space="preserve">IACHR, Report No. 52/16, Case 12.521. Merits. </w:t>
      </w:r>
      <w:r w:rsidR="0052771D" w:rsidRPr="00F66081">
        <w:rPr>
          <w:rFonts w:ascii="Cambria" w:hAnsi="Cambria"/>
          <w:sz w:val="16"/>
          <w:szCs w:val="16"/>
          <w:lang w:val="es-ES" w:eastAsia="fr-FR"/>
        </w:rPr>
        <w:t xml:space="preserve">Maria Laura Órdenes Guerra et al. </w:t>
      </w:r>
      <w:r w:rsidR="0052771D" w:rsidRPr="00062FEF">
        <w:rPr>
          <w:rFonts w:ascii="Cambria" w:hAnsi="Cambria"/>
          <w:sz w:val="16"/>
          <w:szCs w:val="16"/>
          <w:lang w:eastAsia="fr-FR"/>
        </w:rPr>
        <w:t xml:space="preserve">Chile. </w:t>
      </w:r>
      <w:r w:rsidR="0052771D" w:rsidRPr="00F66081">
        <w:rPr>
          <w:rFonts w:ascii="Cambria" w:hAnsi="Cambria"/>
          <w:sz w:val="16"/>
          <w:szCs w:val="16"/>
          <w:lang w:eastAsia="fr-FR"/>
        </w:rPr>
        <w:t xml:space="preserve">November 30, 2016; IACHR, Report No. 5/19. Petition 1560-08. Admissibility. Juan Paredes Barrientos and Family. Chile. January 31, 2019; </w:t>
      </w:r>
      <w:r w:rsidR="0052771D" w:rsidRPr="00F66081">
        <w:rPr>
          <w:rFonts w:ascii="Cambria" w:hAnsi="Cambria"/>
          <w:bCs/>
          <w:color w:val="000000"/>
          <w:sz w:val="16"/>
          <w:szCs w:val="16"/>
          <w:shd w:val="clear" w:color="auto" w:fill="FFFFFF"/>
          <w:lang w:eastAsia="fr-FR"/>
        </w:rPr>
        <w:t xml:space="preserve">I/A Court H.R., Case of </w:t>
      </w:r>
      <w:proofErr w:type="spellStart"/>
      <w:r w:rsidR="0052771D" w:rsidRPr="00F66081">
        <w:rPr>
          <w:rFonts w:ascii="Cambria" w:hAnsi="Cambria"/>
          <w:bCs/>
          <w:color w:val="000000"/>
          <w:sz w:val="16"/>
          <w:szCs w:val="16"/>
          <w:shd w:val="clear" w:color="auto" w:fill="FFFFFF"/>
          <w:lang w:eastAsia="fr-FR"/>
        </w:rPr>
        <w:t>Órdenes</w:t>
      </w:r>
      <w:proofErr w:type="spellEnd"/>
      <w:r w:rsidR="0052771D" w:rsidRPr="00F66081">
        <w:rPr>
          <w:rFonts w:ascii="Cambria" w:hAnsi="Cambria"/>
          <w:bCs/>
          <w:color w:val="000000"/>
          <w:sz w:val="16"/>
          <w:szCs w:val="16"/>
          <w:shd w:val="clear" w:color="auto" w:fill="FFFFFF"/>
          <w:lang w:eastAsia="fr-FR"/>
        </w:rPr>
        <w:t xml:space="preserve"> Guerra et al. v. Chile. Merits, Reparations and Costs. Judgment of November 29,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9606A2"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20169" w14:textId="77777777" w:rsidR="00380543" w:rsidRDefault="003805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788C"/>
    <w:rsid w:val="00022CF5"/>
    <w:rsid w:val="00036A8A"/>
    <w:rsid w:val="00040C3A"/>
    <w:rsid w:val="000460CA"/>
    <w:rsid w:val="00062FEF"/>
    <w:rsid w:val="000639C0"/>
    <w:rsid w:val="00070F3A"/>
    <w:rsid w:val="000716C5"/>
    <w:rsid w:val="00074B11"/>
    <w:rsid w:val="00075E23"/>
    <w:rsid w:val="00085AF7"/>
    <w:rsid w:val="0008662F"/>
    <w:rsid w:val="00092F32"/>
    <w:rsid w:val="0009344A"/>
    <w:rsid w:val="000A575F"/>
    <w:rsid w:val="000B1041"/>
    <w:rsid w:val="000C4365"/>
    <w:rsid w:val="000D10DB"/>
    <w:rsid w:val="00113A4F"/>
    <w:rsid w:val="00115F41"/>
    <w:rsid w:val="00124116"/>
    <w:rsid w:val="00126E08"/>
    <w:rsid w:val="0013104F"/>
    <w:rsid w:val="00137EBA"/>
    <w:rsid w:val="00145EDC"/>
    <w:rsid w:val="00152708"/>
    <w:rsid w:val="00153084"/>
    <w:rsid w:val="00164565"/>
    <w:rsid w:val="00167A34"/>
    <w:rsid w:val="001714B4"/>
    <w:rsid w:val="0018037F"/>
    <w:rsid w:val="001A5F27"/>
    <w:rsid w:val="001A65E4"/>
    <w:rsid w:val="001A7870"/>
    <w:rsid w:val="001C1B41"/>
    <w:rsid w:val="001E366B"/>
    <w:rsid w:val="001F1902"/>
    <w:rsid w:val="00210E0E"/>
    <w:rsid w:val="00210F4B"/>
    <w:rsid w:val="00230163"/>
    <w:rsid w:val="0023351C"/>
    <w:rsid w:val="00234C8F"/>
    <w:rsid w:val="00247403"/>
    <w:rsid w:val="00247542"/>
    <w:rsid w:val="00257893"/>
    <w:rsid w:val="00261E08"/>
    <w:rsid w:val="00262ADD"/>
    <w:rsid w:val="00263BF5"/>
    <w:rsid w:val="00266092"/>
    <w:rsid w:val="00266B61"/>
    <w:rsid w:val="0026712A"/>
    <w:rsid w:val="002704DB"/>
    <w:rsid w:val="002760CE"/>
    <w:rsid w:val="002826D3"/>
    <w:rsid w:val="00293E62"/>
    <w:rsid w:val="002A6B0C"/>
    <w:rsid w:val="002B7A85"/>
    <w:rsid w:val="002C1641"/>
    <w:rsid w:val="002C6652"/>
    <w:rsid w:val="002D7EA2"/>
    <w:rsid w:val="002E15DF"/>
    <w:rsid w:val="002E187C"/>
    <w:rsid w:val="002E6E57"/>
    <w:rsid w:val="00301075"/>
    <w:rsid w:val="00302733"/>
    <w:rsid w:val="003047B6"/>
    <w:rsid w:val="003053BF"/>
    <w:rsid w:val="00311A4F"/>
    <w:rsid w:val="00313594"/>
    <w:rsid w:val="00314078"/>
    <w:rsid w:val="00315387"/>
    <w:rsid w:val="00321AFD"/>
    <w:rsid w:val="00322450"/>
    <w:rsid w:val="003246B5"/>
    <w:rsid w:val="0033169F"/>
    <w:rsid w:val="00333653"/>
    <w:rsid w:val="003414AC"/>
    <w:rsid w:val="00356185"/>
    <w:rsid w:val="00360380"/>
    <w:rsid w:val="00366C17"/>
    <w:rsid w:val="003771A3"/>
    <w:rsid w:val="00380543"/>
    <w:rsid w:val="00386CF0"/>
    <w:rsid w:val="003A4348"/>
    <w:rsid w:val="003A5566"/>
    <w:rsid w:val="003B2AAA"/>
    <w:rsid w:val="003B686B"/>
    <w:rsid w:val="003C32BC"/>
    <w:rsid w:val="003D1E33"/>
    <w:rsid w:val="003D6EE0"/>
    <w:rsid w:val="003E1CF5"/>
    <w:rsid w:val="003E3E03"/>
    <w:rsid w:val="003F1BBF"/>
    <w:rsid w:val="004162B1"/>
    <w:rsid w:val="004165C2"/>
    <w:rsid w:val="00433117"/>
    <w:rsid w:val="0043489C"/>
    <w:rsid w:val="004434A5"/>
    <w:rsid w:val="00450A4A"/>
    <w:rsid w:val="00462449"/>
    <w:rsid w:val="004666FB"/>
    <w:rsid w:val="00466D0B"/>
    <w:rsid w:val="00467B7E"/>
    <w:rsid w:val="0049419D"/>
    <w:rsid w:val="004B2762"/>
    <w:rsid w:val="004B7EB6"/>
    <w:rsid w:val="004C41DE"/>
    <w:rsid w:val="004C4B62"/>
    <w:rsid w:val="004D6025"/>
    <w:rsid w:val="004D72BC"/>
    <w:rsid w:val="004F6B67"/>
    <w:rsid w:val="00501399"/>
    <w:rsid w:val="00507BC4"/>
    <w:rsid w:val="00512056"/>
    <w:rsid w:val="005128E4"/>
    <w:rsid w:val="005243C2"/>
    <w:rsid w:val="00524674"/>
    <w:rsid w:val="00525560"/>
    <w:rsid w:val="0052771D"/>
    <w:rsid w:val="005357A6"/>
    <w:rsid w:val="00544C49"/>
    <w:rsid w:val="00565C19"/>
    <w:rsid w:val="00567172"/>
    <w:rsid w:val="005704A8"/>
    <w:rsid w:val="0057402A"/>
    <w:rsid w:val="005771D0"/>
    <w:rsid w:val="005816E5"/>
    <w:rsid w:val="0059191A"/>
    <w:rsid w:val="005921FF"/>
    <w:rsid w:val="00592718"/>
    <w:rsid w:val="005A6D0E"/>
    <w:rsid w:val="005B222D"/>
    <w:rsid w:val="005B52B0"/>
    <w:rsid w:val="005B6806"/>
    <w:rsid w:val="005C00F9"/>
    <w:rsid w:val="005C4225"/>
    <w:rsid w:val="005D2EF7"/>
    <w:rsid w:val="005F0F33"/>
    <w:rsid w:val="005F3E64"/>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270D"/>
    <w:rsid w:val="006E7B34"/>
    <w:rsid w:val="00701B24"/>
    <w:rsid w:val="00706858"/>
    <w:rsid w:val="00713AED"/>
    <w:rsid w:val="0071495F"/>
    <w:rsid w:val="0073798E"/>
    <w:rsid w:val="00740872"/>
    <w:rsid w:val="007444D4"/>
    <w:rsid w:val="00745899"/>
    <w:rsid w:val="00752D34"/>
    <w:rsid w:val="007607C4"/>
    <w:rsid w:val="0076643F"/>
    <w:rsid w:val="00781653"/>
    <w:rsid w:val="007A2082"/>
    <w:rsid w:val="007A2F70"/>
    <w:rsid w:val="007C3334"/>
    <w:rsid w:val="007C52BB"/>
    <w:rsid w:val="007D2B98"/>
    <w:rsid w:val="007F6DE9"/>
    <w:rsid w:val="007F7980"/>
    <w:rsid w:val="00801F79"/>
    <w:rsid w:val="00803F1C"/>
    <w:rsid w:val="0080600E"/>
    <w:rsid w:val="00817612"/>
    <w:rsid w:val="008258D7"/>
    <w:rsid w:val="00837C45"/>
    <w:rsid w:val="00853419"/>
    <w:rsid w:val="008546E5"/>
    <w:rsid w:val="008801F8"/>
    <w:rsid w:val="0088168E"/>
    <w:rsid w:val="00897E12"/>
    <w:rsid w:val="008B41F6"/>
    <w:rsid w:val="008D43BA"/>
    <w:rsid w:val="008E0D74"/>
    <w:rsid w:val="008E3759"/>
    <w:rsid w:val="008E40F5"/>
    <w:rsid w:val="008E4EEF"/>
    <w:rsid w:val="009041DC"/>
    <w:rsid w:val="009104B4"/>
    <w:rsid w:val="009228DA"/>
    <w:rsid w:val="00925FCD"/>
    <w:rsid w:val="0093441A"/>
    <w:rsid w:val="00936805"/>
    <w:rsid w:val="0095316B"/>
    <w:rsid w:val="00954BF7"/>
    <w:rsid w:val="0095799D"/>
    <w:rsid w:val="009606A2"/>
    <w:rsid w:val="0096706E"/>
    <w:rsid w:val="00981FBA"/>
    <w:rsid w:val="0098783D"/>
    <w:rsid w:val="009B306D"/>
    <w:rsid w:val="009B381B"/>
    <w:rsid w:val="009D48EF"/>
    <w:rsid w:val="009D59D2"/>
    <w:rsid w:val="009D7611"/>
    <w:rsid w:val="009E53DE"/>
    <w:rsid w:val="009E566A"/>
    <w:rsid w:val="00A0523B"/>
    <w:rsid w:val="00A12DBC"/>
    <w:rsid w:val="00A14E2A"/>
    <w:rsid w:val="00A1584F"/>
    <w:rsid w:val="00A2467F"/>
    <w:rsid w:val="00A43458"/>
    <w:rsid w:val="00A528D1"/>
    <w:rsid w:val="00A66BE5"/>
    <w:rsid w:val="00AA715F"/>
    <w:rsid w:val="00AB4FA4"/>
    <w:rsid w:val="00AB50DE"/>
    <w:rsid w:val="00AD37C1"/>
    <w:rsid w:val="00AE2C03"/>
    <w:rsid w:val="00AE66EC"/>
    <w:rsid w:val="00AE6F91"/>
    <w:rsid w:val="00AF5571"/>
    <w:rsid w:val="00B06BB7"/>
    <w:rsid w:val="00B06F3D"/>
    <w:rsid w:val="00B167E9"/>
    <w:rsid w:val="00B179ED"/>
    <w:rsid w:val="00B314DB"/>
    <w:rsid w:val="00B31EBE"/>
    <w:rsid w:val="00B3718B"/>
    <w:rsid w:val="00B44B23"/>
    <w:rsid w:val="00B4632A"/>
    <w:rsid w:val="00B6214F"/>
    <w:rsid w:val="00B82A3A"/>
    <w:rsid w:val="00B92E49"/>
    <w:rsid w:val="00B952CE"/>
    <w:rsid w:val="00BA276C"/>
    <w:rsid w:val="00BA6635"/>
    <w:rsid w:val="00BB306F"/>
    <w:rsid w:val="00BD232B"/>
    <w:rsid w:val="00BD2E42"/>
    <w:rsid w:val="00BD4B89"/>
    <w:rsid w:val="00BE6657"/>
    <w:rsid w:val="00BF3DB7"/>
    <w:rsid w:val="00C02721"/>
    <w:rsid w:val="00C11E5A"/>
    <w:rsid w:val="00C21762"/>
    <w:rsid w:val="00C24543"/>
    <w:rsid w:val="00C256A2"/>
    <w:rsid w:val="00C3492D"/>
    <w:rsid w:val="00C355B4"/>
    <w:rsid w:val="00C37E0C"/>
    <w:rsid w:val="00C55560"/>
    <w:rsid w:val="00C66B72"/>
    <w:rsid w:val="00C71825"/>
    <w:rsid w:val="00C77713"/>
    <w:rsid w:val="00C87C57"/>
    <w:rsid w:val="00C9567A"/>
    <w:rsid w:val="00C962B2"/>
    <w:rsid w:val="00CA6577"/>
    <w:rsid w:val="00CB2660"/>
    <w:rsid w:val="00CC5E90"/>
    <w:rsid w:val="00CD046C"/>
    <w:rsid w:val="00CE264A"/>
    <w:rsid w:val="00CE5199"/>
    <w:rsid w:val="00CE66D5"/>
    <w:rsid w:val="00D06C35"/>
    <w:rsid w:val="00D219EA"/>
    <w:rsid w:val="00D34786"/>
    <w:rsid w:val="00D40A1E"/>
    <w:rsid w:val="00D533C0"/>
    <w:rsid w:val="00D66D3C"/>
    <w:rsid w:val="00D707F4"/>
    <w:rsid w:val="00D712D3"/>
    <w:rsid w:val="00D71422"/>
    <w:rsid w:val="00D7145E"/>
    <w:rsid w:val="00D75084"/>
    <w:rsid w:val="00D7558D"/>
    <w:rsid w:val="00D81D92"/>
    <w:rsid w:val="00D845AA"/>
    <w:rsid w:val="00D911AC"/>
    <w:rsid w:val="00D93446"/>
    <w:rsid w:val="00DA7B5F"/>
    <w:rsid w:val="00DC49E8"/>
    <w:rsid w:val="00DC7B91"/>
    <w:rsid w:val="00DF078B"/>
    <w:rsid w:val="00DF350D"/>
    <w:rsid w:val="00E227C1"/>
    <w:rsid w:val="00E41AD3"/>
    <w:rsid w:val="00E43157"/>
    <w:rsid w:val="00E47F3D"/>
    <w:rsid w:val="00E51526"/>
    <w:rsid w:val="00E533FF"/>
    <w:rsid w:val="00E709B3"/>
    <w:rsid w:val="00E7588C"/>
    <w:rsid w:val="00E76E74"/>
    <w:rsid w:val="00E7797F"/>
    <w:rsid w:val="00E850B6"/>
    <w:rsid w:val="00E8789F"/>
    <w:rsid w:val="00E97B71"/>
    <w:rsid w:val="00EB454D"/>
    <w:rsid w:val="00ED0D1B"/>
    <w:rsid w:val="00ED5FB1"/>
    <w:rsid w:val="00EE3522"/>
    <w:rsid w:val="00EE3E46"/>
    <w:rsid w:val="00EF619B"/>
    <w:rsid w:val="00F00B55"/>
    <w:rsid w:val="00F11142"/>
    <w:rsid w:val="00F1380F"/>
    <w:rsid w:val="00F14F0E"/>
    <w:rsid w:val="00F15A3B"/>
    <w:rsid w:val="00F24C29"/>
    <w:rsid w:val="00F253CC"/>
    <w:rsid w:val="00F42B71"/>
    <w:rsid w:val="00F455FB"/>
    <w:rsid w:val="00F56BA5"/>
    <w:rsid w:val="00F621C3"/>
    <w:rsid w:val="00F644E6"/>
    <w:rsid w:val="00F9653B"/>
    <w:rsid w:val="00FB2DCE"/>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D02E-ABD8-452D-BE96-A635DF39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7283</Characters>
  <Application>Microsoft Office Word</Application>
  <DocSecurity>0</DocSecurity>
  <Lines>140</Lines>
  <Paragraphs>41</Paragraphs>
  <ScaleCrop>false</ScaleCrop>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251/20</dc:title>
  <dc:creator/>
  <cp:lastModifiedBy/>
  <cp:revision>1</cp:revision>
  <dcterms:created xsi:type="dcterms:W3CDTF">2021-01-11T17:27:00Z</dcterms:created>
  <dcterms:modified xsi:type="dcterms:W3CDTF">2021-01-11T17:27:00Z</dcterms:modified>
</cp:coreProperties>
</file>