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6DC689D8"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072DE020"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C13D584"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6D963C38"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66528E60"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3E227F8A"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5AC61B12" w:rsidR="00040C3A" w:rsidRPr="003C32BC" w:rsidRDefault="00DF34C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99ACCFE">
                <wp:simplePos x="0" y="0"/>
                <wp:positionH relativeFrom="column">
                  <wp:posOffset>-408214</wp:posOffset>
                </wp:positionH>
                <wp:positionV relativeFrom="paragraph">
                  <wp:posOffset>129086</wp:posOffset>
                </wp:positionV>
                <wp:extent cx="142557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2557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04EA4BAC"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2159FBE"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F34C6">
                              <w:rPr>
                                <w:rFonts w:asciiTheme="minorHAnsi" w:hAnsiTheme="minorHAnsi"/>
                                <w:color w:val="FFFFFF" w:themeColor="background1"/>
                                <w:sz w:val="22"/>
                                <w:lang w:val="pt-BR"/>
                              </w:rPr>
                              <w:t>161</w:t>
                            </w:r>
                          </w:p>
                          <w:p w14:paraId="0C0DDD58" w14:textId="77777777" w:rsidR="00DF34C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DF34C6">
                              <w:rPr>
                                <w:rFonts w:asciiTheme="minorHAnsi" w:hAnsiTheme="minorHAnsi"/>
                                <w:color w:val="FFFFFF" w:themeColor="background1"/>
                                <w:sz w:val="22"/>
                              </w:rPr>
                              <w:t>9 June</w:t>
                            </w:r>
                            <w:r w:rsidR="00302748">
                              <w:rPr>
                                <w:rFonts w:asciiTheme="minorHAnsi" w:hAnsiTheme="minorHAnsi"/>
                                <w:color w:val="FFFFFF" w:themeColor="background1"/>
                                <w:sz w:val="22"/>
                              </w:rPr>
                              <w:t xml:space="preserve"> </w:t>
                            </w:r>
                            <w:r w:rsidR="006614CA">
                              <w:rPr>
                                <w:rFonts w:asciiTheme="minorHAnsi" w:hAnsiTheme="minorHAnsi"/>
                                <w:color w:val="FFFFFF" w:themeColor="background1"/>
                                <w:sz w:val="22"/>
                              </w:rPr>
                              <w:t>2020</w:t>
                            </w:r>
                            <w:r w:rsidR="00DF34C6">
                              <w:rPr>
                                <w:rFonts w:asciiTheme="minorHAnsi" w:hAnsiTheme="minorHAnsi"/>
                                <w:color w:val="FFFFFF" w:themeColor="background1"/>
                                <w:sz w:val="22"/>
                              </w:rPr>
                              <w:t xml:space="preserve"> </w:t>
                            </w:r>
                          </w:p>
                          <w:p w14:paraId="5F1F7BEA" w14:textId="3F62DE0B" w:rsidR="00302748" w:rsidRPr="00302748"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DF34C6">
                              <w:rPr>
                                <w:rFonts w:asciiTheme="minorHAnsi" w:hAnsiTheme="minorHAnsi"/>
                                <w:color w:val="FFFFFF" w:themeColor="background1"/>
                                <w:sz w:val="22"/>
                              </w:rPr>
                              <w:t xml:space="preserve"> </w:t>
                            </w:r>
                            <w:r w:rsidR="006C0E9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5BFE5E" id="_x0000_t202" coordsize="21600,21600" o:spt="202" path="m,l,21600r21600,l21600,xe">
                <v:stroke joinstyle="miter"/>
                <v:path gradientshapeok="t" o:connecttype="rect"/>
              </v:shapetype>
              <v:shape id="Text Box 8" o:spid="_x0000_s1027" type="#_x0000_t202" style="position:absolute;left:0;text-align:left;margin-left:-32.15pt;margin-top:10.15pt;width:112.2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" filled="f" stroked="f" strokeweight=".5pt">
                <v:textbox>
                  <w:txbxContent>
                    <w:p w14:paraId="3F823D97" w14:textId="04EA4BAC"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2159FBE"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F34C6">
                        <w:rPr>
                          <w:rFonts w:asciiTheme="minorHAnsi" w:hAnsiTheme="minorHAnsi"/>
                          <w:color w:val="FFFFFF" w:themeColor="background1"/>
                          <w:sz w:val="22"/>
                          <w:lang w:val="pt-BR"/>
                        </w:rPr>
                        <w:t>161</w:t>
                      </w:r>
                    </w:p>
                    <w:p w14:paraId="0C0DDD58" w14:textId="77777777" w:rsidR="00DF34C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DF34C6">
                        <w:rPr>
                          <w:rFonts w:asciiTheme="minorHAnsi" w:hAnsiTheme="minorHAnsi"/>
                          <w:color w:val="FFFFFF" w:themeColor="background1"/>
                          <w:sz w:val="22"/>
                        </w:rPr>
                        <w:t>9 June</w:t>
                      </w:r>
                      <w:r w:rsidR="00302748">
                        <w:rPr>
                          <w:rFonts w:asciiTheme="minorHAnsi" w:hAnsiTheme="minorHAnsi"/>
                          <w:color w:val="FFFFFF" w:themeColor="background1"/>
                          <w:sz w:val="22"/>
                        </w:rPr>
                        <w:t xml:space="preserve"> </w:t>
                      </w:r>
                      <w:r w:rsidR="006614CA">
                        <w:rPr>
                          <w:rFonts w:asciiTheme="minorHAnsi" w:hAnsiTheme="minorHAnsi"/>
                          <w:color w:val="FFFFFF" w:themeColor="background1"/>
                          <w:sz w:val="22"/>
                        </w:rPr>
                        <w:t>2020</w:t>
                      </w:r>
                      <w:r w:rsidR="00DF34C6">
                        <w:rPr>
                          <w:rFonts w:asciiTheme="minorHAnsi" w:hAnsiTheme="minorHAnsi"/>
                          <w:color w:val="FFFFFF" w:themeColor="background1"/>
                          <w:sz w:val="22"/>
                        </w:rPr>
                        <w:t xml:space="preserve"> </w:t>
                      </w:r>
                    </w:p>
                    <w:p w14:paraId="5F1F7BEA" w14:textId="3F62DE0B" w:rsidR="00302748" w:rsidRPr="00302748"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DF34C6">
                        <w:rPr>
                          <w:rFonts w:asciiTheme="minorHAnsi" w:hAnsiTheme="minorHAnsi"/>
                          <w:color w:val="FFFFFF" w:themeColor="background1"/>
                          <w:sz w:val="22"/>
                        </w:rPr>
                        <w:t xml:space="preserve"> </w:t>
                      </w:r>
                      <w:r w:rsidR="006C0E96">
                        <w:rPr>
                          <w:rFonts w:asciiTheme="minorHAnsi" w:hAnsiTheme="minorHAnsi"/>
                          <w:color w:val="FFFFFF" w:themeColor="background1"/>
                          <w:sz w:val="22"/>
                        </w:rPr>
                        <w:t>Spanish</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5C1EE12A">
                <wp:simplePos x="0" y="0"/>
                <wp:positionH relativeFrom="column">
                  <wp:posOffset>1198608</wp:posOffset>
                </wp:positionH>
                <wp:positionV relativeFrom="paragraph">
                  <wp:posOffset>78740</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CBAE56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F34C6">
                              <w:rPr>
                                <w:rFonts w:asciiTheme="majorHAnsi" w:hAnsiTheme="majorHAnsi" w:cs="Arial"/>
                                <w:b/>
                                <w:bCs/>
                                <w:color w:val="0D0D0D" w:themeColor="text1" w:themeTint="F2"/>
                                <w:sz w:val="36"/>
                                <w:szCs w:val="40"/>
                              </w:rPr>
                              <w:t>151</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F7F41F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02748">
                              <w:rPr>
                                <w:rFonts w:asciiTheme="majorHAnsi" w:hAnsiTheme="majorHAnsi" w:cs="Arial"/>
                                <w:b/>
                                <w:bCs/>
                                <w:color w:val="0D0D0D" w:themeColor="text1" w:themeTint="F2"/>
                                <w:sz w:val="36"/>
                                <w:szCs w:val="40"/>
                              </w:rPr>
                              <w:t>1777-11</w:t>
                            </w:r>
                          </w:p>
                          <w:p w14:paraId="34978E5A" w14:textId="409B8FC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C4D3071" w14:textId="62B00297" w:rsidR="00302748" w:rsidRPr="00DF34C6" w:rsidRDefault="006C0E96" w:rsidP="00302748">
                            <w:pPr>
                              <w:spacing w:line="276" w:lineRule="auto"/>
                              <w:rPr>
                                <w:rFonts w:asciiTheme="majorHAnsi" w:hAnsiTheme="majorHAnsi" w:cs="Arial"/>
                                <w:color w:val="0D0D0D" w:themeColor="text1" w:themeTint="F2"/>
                                <w:szCs w:val="22"/>
                                <w:lang w:val="pt-BR"/>
                              </w:rPr>
                            </w:pPr>
                            <w:r w:rsidRPr="00DF34C6">
                              <w:rPr>
                                <w:rFonts w:asciiTheme="majorHAnsi" w:hAnsiTheme="majorHAnsi" w:cs="Arial"/>
                                <w:color w:val="0D0D0D" w:themeColor="text1" w:themeTint="F2"/>
                                <w:szCs w:val="22"/>
                                <w:lang w:val="pt-BR"/>
                              </w:rPr>
                              <w:t>RELATIVES</w:t>
                            </w:r>
                            <w:r w:rsidR="00302748" w:rsidRPr="00DF34C6">
                              <w:rPr>
                                <w:rFonts w:asciiTheme="majorHAnsi" w:hAnsiTheme="majorHAnsi" w:cs="Arial"/>
                                <w:color w:val="0D0D0D" w:themeColor="text1" w:themeTint="F2"/>
                                <w:szCs w:val="22"/>
                                <w:lang w:val="pt-BR"/>
                              </w:rPr>
                              <w:t xml:space="preserve"> OF HÉCTOR PATRICIO VERGARA DOXRUD</w:t>
                            </w:r>
                          </w:p>
                          <w:p w14:paraId="18483599" w14:textId="77777777" w:rsidR="00302748" w:rsidRPr="0010736F" w:rsidRDefault="00302748" w:rsidP="0030274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8" type="#_x0000_t202" style="position:absolute;left:0;text-align:left;margin-left:94.4pt;margin-top:6.2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" filled="f" stroked="f" strokeweight=".5pt">
                <v:textbox>
                  <w:txbxContent>
                    <w:p w14:paraId="6F7C2188" w14:textId="2CBAE56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F34C6">
                        <w:rPr>
                          <w:rFonts w:asciiTheme="majorHAnsi" w:hAnsiTheme="majorHAnsi" w:cs="Arial"/>
                          <w:b/>
                          <w:bCs/>
                          <w:color w:val="0D0D0D" w:themeColor="text1" w:themeTint="F2"/>
                          <w:sz w:val="36"/>
                          <w:szCs w:val="40"/>
                        </w:rPr>
                        <w:t>151</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F7F41F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02748">
                        <w:rPr>
                          <w:rFonts w:asciiTheme="majorHAnsi" w:hAnsiTheme="majorHAnsi" w:cs="Arial"/>
                          <w:b/>
                          <w:bCs/>
                          <w:color w:val="0D0D0D" w:themeColor="text1" w:themeTint="F2"/>
                          <w:sz w:val="36"/>
                          <w:szCs w:val="40"/>
                        </w:rPr>
                        <w:t>1777-11</w:t>
                      </w:r>
                    </w:p>
                    <w:p w14:paraId="34978E5A" w14:textId="409B8FC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C4D3071" w14:textId="62B00297" w:rsidR="00302748" w:rsidRPr="00DF34C6" w:rsidRDefault="006C0E96" w:rsidP="00302748">
                      <w:pPr>
                        <w:spacing w:line="276" w:lineRule="auto"/>
                        <w:rPr>
                          <w:rFonts w:asciiTheme="majorHAnsi" w:hAnsiTheme="majorHAnsi" w:cs="Arial"/>
                          <w:color w:val="0D0D0D" w:themeColor="text1" w:themeTint="F2"/>
                          <w:szCs w:val="22"/>
                          <w:lang w:val="pt-BR"/>
                        </w:rPr>
                      </w:pPr>
                      <w:r w:rsidRPr="00DF34C6">
                        <w:rPr>
                          <w:rFonts w:asciiTheme="majorHAnsi" w:hAnsiTheme="majorHAnsi" w:cs="Arial"/>
                          <w:color w:val="0D0D0D" w:themeColor="text1" w:themeTint="F2"/>
                          <w:szCs w:val="22"/>
                          <w:lang w:val="pt-BR"/>
                        </w:rPr>
                        <w:t>RELATIVES</w:t>
                      </w:r>
                      <w:r w:rsidR="00302748" w:rsidRPr="00DF34C6">
                        <w:rPr>
                          <w:rFonts w:asciiTheme="majorHAnsi" w:hAnsiTheme="majorHAnsi" w:cs="Arial"/>
                          <w:color w:val="0D0D0D" w:themeColor="text1" w:themeTint="F2"/>
                          <w:szCs w:val="22"/>
                          <w:lang w:val="pt-BR"/>
                        </w:rPr>
                        <w:t xml:space="preserve"> OF HÉCTOR PATRICIO VERGARA DOXRUD</w:t>
                      </w:r>
                    </w:p>
                    <w:p w14:paraId="18483599" w14:textId="77777777" w:rsidR="00302748" w:rsidRPr="0010736F" w:rsidRDefault="00302748" w:rsidP="0030274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14:paraId="3765F9FA" w14:textId="67B9D21B"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C27526">
      <w:pP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820996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DF34C6">
                              <w:rPr>
                                <w:rFonts w:asciiTheme="majorHAnsi" w:hAnsiTheme="majorHAnsi"/>
                                <w:color w:val="0D0D0D" w:themeColor="text1" w:themeTint="F2"/>
                                <w:sz w:val="18"/>
                                <w:szCs w:val="20"/>
                              </w:rPr>
                              <w:t>electronically</w:t>
                            </w:r>
                            <w:r w:rsidR="00DF34C6"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DF34C6">
                              <w:rPr>
                                <w:rFonts w:asciiTheme="majorHAnsi" w:hAnsiTheme="majorHAnsi"/>
                                <w:color w:val="0D0D0D" w:themeColor="text1" w:themeTint="F2"/>
                                <w:sz w:val="18"/>
                                <w:szCs w:val="20"/>
                              </w:rPr>
                              <w:t>June 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F5075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820996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DF34C6">
                        <w:rPr>
                          <w:rFonts w:asciiTheme="majorHAnsi" w:hAnsiTheme="majorHAnsi"/>
                          <w:color w:val="0D0D0D" w:themeColor="text1" w:themeTint="F2"/>
                          <w:sz w:val="18"/>
                          <w:szCs w:val="20"/>
                        </w:rPr>
                        <w:t>electronically</w:t>
                      </w:r>
                      <w:r w:rsidR="00DF34C6"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DF34C6">
                        <w:rPr>
                          <w:rFonts w:asciiTheme="majorHAnsi" w:hAnsiTheme="majorHAnsi"/>
                          <w:color w:val="0D0D0D" w:themeColor="text1" w:themeTint="F2"/>
                          <w:sz w:val="18"/>
                          <w:szCs w:val="20"/>
                        </w:rPr>
                        <w:t>June 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F5075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7DAE5D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F34C6">
                              <w:rPr>
                                <w:rFonts w:asciiTheme="majorHAnsi" w:hAnsiTheme="majorHAnsi"/>
                                <w:color w:val="595959" w:themeColor="text1" w:themeTint="A6"/>
                                <w:sz w:val="18"/>
                              </w:rPr>
                              <w:t>151</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C0E96">
                              <w:rPr>
                                <w:rFonts w:asciiTheme="majorHAnsi" w:hAnsiTheme="majorHAnsi"/>
                                <w:color w:val="595959" w:themeColor="text1" w:themeTint="A6"/>
                                <w:sz w:val="18"/>
                              </w:rPr>
                              <w:t>1777</w:t>
                            </w:r>
                            <w:r w:rsidR="00F621C3">
                              <w:rPr>
                                <w:rFonts w:asciiTheme="majorHAnsi" w:hAnsiTheme="majorHAnsi"/>
                                <w:color w:val="595959" w:themeColor="text1" w:themeTint="A6"/>
                                <w:sz w:val="18"/>
                              </w:rPr>
                              <w:t>-</w:t>
                            </w:r>
                            <w:r w:rsidR="006C0E96">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6C0E96">
                              <w:rPr>
                                <w:rFonts w:asciiTheme="majorHAnsi" w:hAnsiTheme="majorHAnsi"/>
                                <w:color w:val="595959" w:themeColor="text1" w:themeTint="A6"/>
                                <w:sz w:val="18"/>
                              </w:rPr>
                              <w:t xml:space="preserve">Relatives of </w:t>
                            </w:r>
                            <w:proofErr w:type="spellStart"/>
                            <w:r w:rsidR="006C0E96" w:rsidRPr="006C0E96">
                              <w:rPr>
                                <w:rFonts w:ascii="Cambria" w:hAnsi="Cambria"/>
                                <w:bCs/>
                                <w:color w:val="595959" w:themeColor="text1" w:themeTint="A6"/>
                                <w:sz w:val="19"/>
                                <w:szCs w:val="19"/>
                              </w:rPr>
                              <w:t>Héctor</w:t>
                            </w:r>
                            <w:proofErr w:type="spellEnd"/>
                            <w:r w:rsidR="006C0E96" w:rsidRPr="006C0E96">
                              <w:rPr>
                                <w:rFonts w:ascii="Cambria" w:hAnsi="Cambria"/>
                                <w:bCs/>
                                <w:color w:val="595959" w:themeColor="text1" w:themeTint="A6"/>
                                <w:sz w:val="19"/>
                                <w:szCs w:val="19"/>
                              </w:rPr>
                              <w:t xml:space="preserve"> Patricio Vergara </w:t>
                            </w:r>
                            <w:proofErr w:type="spellStart"/>
                            <w:r w:rsidR="006C0E96" w:rsidRPr="006C0E96">
                              <w:rPr>
                                <w:rFonts w:ascii="Cambria" w:hAnsi="Cambria"/>
                                <w:bCs/>
                                <w:color w:val="595959" w:themeColor="text1" w:themeTint="A6"/>
                                <w:sz w:val="19"/>
                                <w:szCs w:val="19"/>
                              </w:rPr>
                              <w:t>Doxrud</w:t>
                            </w:r>
                            <w:proofErr w:type="spellEnd"/>
                            <w:r w:rsidRPr="003C32BC">
                              <w:rPr>
                                <w:rFonts w:asciiTheme="majorHAnsi" w:hAnsiTheme="majorHAnsi"/>
                                <w:color w:val="595959" w:themeColor="text1" w:themeTint="A6"/>
                                <w:sz w:val="18"/>
                              </w:rPr>
                              <w:t>.</w:t>
                            </w:r>
                            <w:r w:rsidR="006C0E96">
                              <w:rPr>
                                <w:rFonts w:asciiTheme="majorHAnsi" w:hAnsiTheme="majorHAnsi"/>
                                <w:color w:val="595959" w:themeColor="text1" w:themeTint="A6"/>
                                <w:sz w:val="18"/>
                              </w:rPr>
                              <w:t xml:space="preserve"> Chile</w:t>
                            </w:r>
                            <w:r w:rsidR="00022CF5">
                              <w:rPr>
                                <w:rFonts w:asciiTheme="majorHAnsi" w:hAnsiTheme="majorHAnsi"/>
                                <w:color w:val="595959" w:themeColor="text1" w:themeTint="A6"/>
                                <w:sz w:val="18"/>
                              </w:rPr>
                              <w:t xml:space="preserve">. </w:t>
                            </w:r>
                            <w:r w:rsidR="00DF34C6">
                              <w:rPr>
                                <w:rFonts w:asciiTheme="majorHAnsi" w:hAnsiTheme="majorHAnsi"/>
                                <w:color w:val="595959" w:themeColor="text1" w:themeTint="A6"/>
                                <w:sz w:val="18"/>
                              </w:rPr>
                              <w:t>June 9,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7DAE5D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DF34C6">
                        <w:rPr>
                          <w:rFonts w:asciiTheme="majorHAnsi" w:hAnsiTheme="majorHAnsi"/>
                          <w:color w:val="595959" w:themeColor="text1" w:themeTint="A6"/>
                          <w:sz w:val="18"/>
                        </w:rPr>
                        <w:t>151</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C0E96">
                        <w:rPr>
                          <w:rFonts w:asciiTheme="majorHAnsi" w:hAnsiTheme="majorHAnsi"/>
                          <w:color w:val="595959" w:themeColor="text1" w:themeTint="A6"/>
                          <w:sz w:val="18"/>
                        </w:rPr>
                        <w:t>1777</w:t>
                      </w:r>
                      <w:r w:rsidR="00F621C3">
                        <w:rPr>
                          <w:rFonts w:asciiTheme="majorHAnsi" w:hAnsiTheme="majorHAnsi"/>
                          <w:color w:val="595959" w:themeColor="text1" w:themeTint="A6"/>
                          <w:sz w:val="18"/>
                        </w:rPr>
                        <w:t>-</w:t>
                      </w:r>
                      <w:r w:rsidR="006C0E96">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6C0E96">
                        <w:rPr>
                          <w:rFonts w:asciiTheme="majorHAnsi" w:hAnsiTheme="majorHAnsi"/>
                          <w:color w:val="595959" w:themeColor="text1" w:themeTint="A6"/>
                          <w:sz w:val="18"/>
                        </w:rPr>
                        <w:t xml:space="preserve">Relatives of </w:t>
                      </w:r>
                      <w:proofErr w:type="spellStart"/>
                      <w:r w:rsidR="006C0E96" w:rsidRPr="006C0E96">
                        <w:rPr>
                          <w:rFonts w:ascii="Cambria" w:hAnsi="Cambria"/>
                          <w:bCs/>
                          <w:color w:val="595959" w:themeColor="text1" w:themeTint="A6"/>
                          <w:sz w:val="19"/>
                          <w:szCs w:val="19"/>
                        </w:rPr>
                        <w:t>Héctor</w:t>
                      </w:r>
                      <w:proofErr w:type="spellEnd"/>
                      <w:r w:rsidR="006C0E96" w:rsidRPr="006C0E96">
                        <w:rPr>
                          <w:rFonts w:ascii="Cambria" w:hAnsi="Cambria"/>
                          <w:bCs/>
                          <w:color w:val="595959" w:themeColor="text1" w:themeTint="A6"/>
                          <w:sz w:val="19"/>
                          <w:szCs w:val="19"/>
                        </w:rPr>
                        <w:t xml:space="preserve"> Patricio Vergara </w:t>
                      </w:r>
                      <w:proofErr w:type="spellStart"/>
                      <w:r w:rsidR="006C0E96" w:rsidRPr="006C0E96">
                        <w:rPr>
                          <w:rFonts w:ascii="Cambria" w:hAnsi="Cambria"/>
                          <w:bCs/>
                          <w:color w:val="595959" w:themeColor="text1" w:themeTint="A6"/>
                          <w:sz w:val="19"/>
                          <w:szCs w:val="19"/>
                        </w:rPr>
                        <w:t>Doxrud</w:t>
                      </w:r>
                      <w:proofErr w:type="spellEnd"/>
                      <w:r w:rsidRPr="003C32BC">
                        <w:rPr>
                          <w:rFonts w:asciiTheme="majorHAnsi" w:hAnsiTheme="majorHAnsi"/>
                          <w:color w:val="595959" w:themeColor="text1" w:themeTint="A6"/>
                          <w:sz w:val="18"/>
                        </w:rPr>
                        <w:t>.</w:t>
                      </w:r>
                      <w:r w:rsidR="006C0E96">
                        <w:rPr>
                          <w:rFonts w:asciiTheme="majorHAnsi" w:hAnsiTheme="majorHAnsi"/>
                          <w:color w:val="595959" w:themeColor="text1" w:themeTint="A6"/>
                          <w:sz w:val="18"/>
                        </w:rPr>
                        <w:t xml:space="preserve"> Chile</w:t>
                      </w:r>
                      <w:r w:rsidR="00022CF5">
                        <w:rPr>
                          <w:rFonts w:asciiTheme="majorHAnsi" w:hAnsiTheme="majorHAnsi"/>
                          <w:color w:val="595959" w:themeColor="text1" w:themeTint="A6"/>
                          <w:sz w:val="18"/>
                        </w:rPr>
                        <w:t xml:space="preserve">. </w:t>
                      </w:r>
                      <w:r w:rsidR="00DF34C6">
                        <w:rPr>
                          <w:rFonts w:asciiTheme="majorHAnsi" w:hAnsiTheme="majorHAnsi"/>
                          <w:color w:val="595959" w:themeColor="text1" w:themeTint="A6"/>
                          <w:sz w:val="18"/>
                        </w:rPr>
                        <w:t>June 9, 2020</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6C0E96">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6C0E96" w:rsidRDefault="003771A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Petitioner</w:t>
            </w:r>
            <w:r w:rsidR="00F621C3" w:rsidRPr="006C0E96">
              <w:rPr>
                <w:rFonts w:ascii="Cambria" w:hAnsi="Cambria"/>
                <w:bCs/>
                <w:color w:val="FFFFFF" w:themeColor="background1"/>
                <w:sz w:val="20"/>
                <w:szCs w:val="20"/>
              </w:rPr>
              <w:t>:</w:t>
            </w:r>
          </w:p>
        </w:tc>
        <w:tc>
          <w:tcPr>
            <w:tcW w:w="5670" w:type="dxa"/>
            <w:vAlign w:val="center"/>
          </w:tcPr>
          <w:p w14:paraId="0674C7B8" w14:textId="64691E77" w:rsidR="00F621C3" w:rsidRPr="000B6B7A" w:rsidRDefault="00302748" w:rsidP="009163FC">
            <w:pPr>
              <w:jc w:val="both"/>
              <w:rPr>
                <w:rFonts w:ascii="Cambria" w:hAnsi="Cambria"/>
                <w:bCs/>
                <w:sz w:val="20"/>
                <w:szCs w:val="20"/>
              </w:rPr>
            </w:pPr>
            <w:r w:rsidRPr="00ED70FC">
              <w:rPr>
                <w:rFonts w:ascii="Cambria" w:hAnsi="Cambria"/>
                <w:bCs/>
                <w:sz w:val="19"/>
                <w:szCs w:val="19"/>
                <w:lang w:val="es-ES"/>
              </w:rPr>
              <w:t>N</w:t>
            </w:r>
            <w:r>
              <w:rPr>
                <w:rFonts w:ascii="Cambria" w:hAnsi="Cambria"/>
                <w:bCs/>
                <w:sz w:val="19"/>
                <w:szCs w:val="19"/>
                <w:lang w:val="es-ES"/>
              </w:rPr>
              <w:t xml:space="preserve">elson </w:t>
            </w:r>
            <w:proofErr w:type="spellStart"/>
            <w:r>
              <w:rPr>
                <w:rFonts w:ascii="Cambria" w:hAnsi="Cambria"/>
                <w:bCs/>
                <w:sz w:val="19"/>
                <w:szCs w:val="19"/>
                <w:lang w:val="es-ES"/>
              </w:rPr>
              <w:t>Caucoto</w:t>
            </w:r>
            <w:proofErr w:type="spellEnd"/>
            <w:r>
              <w:rPr>
                <w:rFonts w:ascii="Cambria" w:hAnsi="Cambria"/>
                <w:bCs/>
                <w:sz w:val="19"/>
                <w:szCs w:val="19"/>
                <w:lang w:val="es-ES"/>
              </w:rPr>
              <w:t xml:space="preserve"> Pereira</w:t>
            </w:r>
            <w:r>
              <w:rPr>
                <w:rStyle w:val="FootnoteReference"/>
                <w:rFonts w:ascii="Cambria" w:hAnsi="Cambria"/>
                <w:bCs/>
                <w:sz w:val="19"/>
                <w:szCs w:val="19"/>
                <w:lang w:val="es-ES"/>
              </w:rPr>
              <w:footnoteReference w:id="2"/>
            </w:r>
          </w:p>
        </w:tc>
      </w:tr>
      <w:tr w:rsidR="00F621C3" w:rsidRPr="00DF34C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6C0E96" w:rsidRDefault="00607F58" w:rsidP="009163FC">
            <w:pPr>
              <w:jc w:val="center"/>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6C0E96">
                  <w:rPr>
                    <w:rFonts w:ascii="Cambria" w:hAnsi="Cambria"/>
                    <w:bCs/>
                    <w:color w:val="FFFFFF" w:themeColor="background1"/>
                    <w:sz w:val="20"/>
                    <w:szCs w:val="20"/>
                  </w:rPr>
                  <w:t>Alleged victim</w:t>
                </w:r>
              </w:sdtContent>
            </w:sdt>
            <w:r w:rsidR="00F621C3" w:rsidRPr="006C0E96">
              <w:rPr>
                <w:rFonts w:ascii="Cambria" w:hAnsi="Cambria"/>
                <w:bCs/>
                <w:color w:val="FFFFFF" w:themeColor="background1"/>
                <w:sz w:val="20"/>
                <w:szCs w:val="20"/>
              </w:rPr>
              <w:t>:</w:t>
            </w:r>
          </w:p>
        </w:tc>
        <w:tc>
          <w:tcPr>
            <w:tcW w:w="5670" w:type="dxa"/>
            <w:vAlign w:val="center"/>
          </w:tcPr>
          <w:p w14:paraId="60895337" w14:textId="402D57B1" w:rsidR="00F621C3" w:rsidRPr="00DF34C6" w:rsidRDefault="006C0E96" w:rsidP="009163FC">
            <w:pPr>
              <w:jc w:val="both"/>
              <w:rPr>
                <w:rFonts w:ascii="Cambria" w:hAnsi="Cambria"/>
                <w:bCs/>
                <w:sz w:val="20"/>
                <w:szCs w:val="20"/>
                <w:lang w:val="pt-BR"/>
              </w:rPr>
            </w:pPr>
            <w:r w:rsidRPr="00DF34C6">
              <w:rPr>
                <w:rFonts w:ascii="Cambria" w:hAnsi="Cambria"/>
                <w:bCs/>
                <w:sz w:val="19"/>
                <w:szCs w:val="19"/>
                <w:lang w:val="pt-BR"/>
              </w:rPr>
              <w:t>Relatives</w:t>
            </w:r>
            <w:r w:rsidR="00302748" w:rsidRPr="00DF34C6">
              <w:rPr>
                <w:rFonts w:ascii="Cambria" w:hAnsi="Cambria"/>
                <w:bCs/>
                <w:sz w:val="19"/>
                <w:szCs w:val="19"/>
                <w:lang w:val="pt-BR"/>
              </w:rPr>
              <w:t xml:space="preserve"> of Héctor Patricio Vergara Doxrud</w:t>
            </w:r>
            <w:r w:rsidR="00302748" w:rsidRPr="0019517D">
              <w:rPr>
                <w:rStyle w:val="FootnoteReference"/>
                <w:rFonts w:ascii="Cambria" w:hAnsi="Cambria"/>
                <w:bCs/>
                <w:sz w:val="19"/>
                <w:szCs w:val="19"/>
                <w:lang w:val="es-ES"/>
              </w:rPr>
              <w:footnoteReference w:id="3"/>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6C0E96" w:rsidRDefault="005816E5" w:rsidP="005816E5">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 xml:space="preserve">Respondent </w:t>
            </w:r>
            <w:r w:rsidR="00F621C3" w:rsidRPr="006C0E96">
              <w:rPr>
                <w:rFonts w:ascii="Cambria" w:hAnsi="Cambria"/>
                <w:bCs/>
                <w:color w:val="FFFFFF" w:themeColor="background1"/>
                <w:sz w:val="20"/>
                <w:szCs w:val="20"/>
              </w:rPr>
              <w:t>State:</w:t>
            </w:r>
          </w:p>
        </w:tc>
        <w:tc>
          <w:tcPr>
            <w:tcW w:w="5670" w:type="dxa"/>
            <w:vAlign w:val="center"/>
          </w:tcPr>
          <w:p w14:paraId="3539D391" w14:textId="544230B1" w:rsidR="00F621C3" w:rsidRPr="000B6B7A" w:rsidRDefault="00302748" w:rsidP="009163FC">
            <w:pPr>
              <w:jc w:val="both"/>
              <w:rPr>
                <w:rFonts w:ascii="Cambria" w:hAnsi="Cambria"/>
                <w:bCs/>
                <w:sz w:val="20"/>
                <w:szCs w:val="20"/>
              </w:rPr>
            </w:pPr>
            <w:r w:rsidRPr="0019517D">
              <w:rPr>
                <w:rFonts w:ascii="Cambria" w:hAnsi="Cambria"/>
                <w:bCs/>
                <w:sz w:val="19"/>
                <w:szCs w:val="19"/>
                <w:lang w:val="es-ES"/>
              </w:rPr>
              <w:t>Chile</w:t>
            </w:r>
            <w:r w:rsidRPr="0019517D">
              <w:rPr>
                <w:rStyle w:val="FootnoteReference"/>
                <w:rFonts w:ascii="Cambria" w:hAnsi="Cambria"/>
                <w:bCs/>
                <w:sz w:val="19"/>
                <w:szCs w:val="19"/>
                <w:lang w:val="es-ES"/>
              </w:rPr>
              <w:footnoteReference w:id="4"/>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6C0E96" w:rsidRDefault="00E47F3D" w:rsidP="00E7588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 xml:space="preserve">Rights </w:t>
            </w:r>
            <w:r w:rsidR="00E7588C" w:rsidRPr="006C0E96">
              <w:rPr>
                <w:rFonts w:ascii="Cambria" w:hAnsi="Cambria"/>
                <w:bCs/>
                <w:color w:val="FFFFFF" w:themeColor="background1"/>
                <w:sz w:val="20"/>
                <w:szCs w:val="20"/>
              </w:rPr>
              <w:t>invoked:</w:t>
            </w:r>
          </w:p>
        </w:tc>
        <w:tc>
          <w:tcPr>
            <w:tcW w:w="5670" w:type="dxa"/>
            <w:vAlign w:val="center"/>
          </w:tcPr>
          <w:p w14:paraId="51EEF9D2" w14:textId="6BCB21AF" w:rsidR="00E47F3D" w:rsidRPr="000B6B7A" w:rsidRDefault="00302748" w:rsidP="006C0E96">
            <w:pPr>
              <w:jc w:val="both"/>
              <w:rPr>
                <w:rFonts w:ascii="Cambria" w:hAnsi="Cambria"/>
                <w:bCs/>
                <w:sz w:val="20"/>
                <w:szCs w:val="20"/>
              </w:rPr>
            </w:pPr>
            <w:r w:rsidRPr="006C0E96">
              <w:rPr>
                <w:rFonts w:ascii="Cambria" w:hAnsi="Cambria"/>
                <w:bCs/>
                <w:sz w:val="19"/>
                <w:szCs w:val="19"/>
              </w:rPr>
              <w:t>Article 8 (</w:t>
            </w:r>
            <w:r w:rsidR="006C0E96">
              <w:rPr>
                <w:rFonts w:ascii="Cambria" w:hAnsi="Cambria"/>
                <w:bCs/>
                <w:sz w:val="19"/>
                <w:szCs w:val="19"/>
              </w:rPr>
              <w:t>fair trial</w:t>
            </w:r>
            <w:r w:rsidRPr="006C0E96">
              <w:rPr>
                <w:rFonts w:ascii="Cambria" w:hAnsi="Cambria"/>
                <w:bCs/>
                <w:sz w:val="19"/>
                <w:szCs w:val="19"/>
              </w:rPr>
              <w:t>) and 25 (judicial protection) of the American Convention on Human Rights</w:t>
            </w:r>
            <w:r w:rsidRPr="0019517D">
              <w:rPr>
                <w:rStyle w:val="FootnoteReference"/>
                <w:rFonts w:ascii="Cambria" w:hAnsi="Cambria"/>
                <w:bCs/>
                <w:sz w:val="19"/>
                <w:szCs w:val="19"/>
                <w:lang w:val="es-ES"/>
              </w:rPr>
              <w:footnoteReference w:id="5"/>
            </w:r>
            <w:r w:rsidRPr="006C0E96">
              <w:rPr>
                <w:rFonts w:ascii="Cambria" w:hAnsi="Cambria"/>
                <w:bCs/>
                <w:sz w:val="19"/>
                <w:szCs w:val="19"/>
              </w:rPr>
              <w:t>, in relation to Articles 1.1 (</w:t>
            </w:r>
            <w:r w:rsidR="006C0E96">
              <w:rPr>
                <w:rFonts w:ascii="Cambria" w:hAnsi="Cambria"/>
                <w:bCs/>
                <w:sz w:val="19"/>
                <w:szCs w:val="19"/>
              </w:rPr>
              <w:t>obligation</w:t>
            </w:r>
            <w:r w:rsidRPr="006C0E96">
              <w:rPr>
                <w:rFonts w:ascii="Cambria" w:hAnsi="Cambria"/>
                <w:bCs/>
                <w:sz w:val="19"/>
                <w:szCs w:val="19"/>
              </w:rPr>
              <w:t xml:space="preserve"> to respect rights) and 2 </w:t>
            </w:r>
            <w:r w:rsidRPr="00302748">
              <w:rPr>
                <w:rFonts w:ascii="Cambria" w:hAnsi="Cambria"/>
                <w:bCs/>
                <w:sz w:val="20"/>
                <w:szCs w:val="20"/>
              </w:rPr>
              <w:t>(</w:t>
            </w:r>
            <w:r w:rsidR="006C0E96">
              <w:rPr>
                <w:rFonts w:ascii="Cambria" w:hAnsi="Cambria"/>
                <w:bCs/>
                <w:sz w:val="20"/>
                <w:szCs w:val="20"/>
              </w:rPr>
              <w:t>domestic legal effects</w:t>
            </w:r>
            <w:r w:rsidRPr="00302748">
              <w:rPr>
                <w:rFonts w:ascii="Cambria" w:hAnsi="Cambria"/>
                <w:bCs/>
                <w:sz w:val="20"/>
                <w:szCs w:val="20"/>
              </w:rPr>
              <w:t>)</w:t>
            </w:r>
          </w:p>
        </w:tc>
      </w:tr>
    </w:tbl>
    <w:p w14:paraId="006E8D49" w14:textId="1C646C41" w:rsidR="00F621C3" w:rsidRPr="000B6B7A" w:rsidRDefault="00F621C3" w:rsidP="006C0E96">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6C0E96" w:rsidRDefault="00B06BB7" w:rsidP="00B06BB7">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Filing of the petition</w:t>
            </w:r>
            <w:r w:rsidR="00F621C3" w:rsidRPr="006C0E96">
              <w:rPr>
                <w:rFonts w:ascii="Cambria" w:hAnsi="Cambria"/>
                <w:bCs/>
                <w:color w:val="FFFFFF" w:themeColor="background1"/>
                <w:sz w:val="20"/>
                <w:szCs w:val="20"/>
              </w:rPr>
              <w:t>:</w:t>
            </w:r>
          </w:p>
        </w:tc>
        <w:tc>
          <w:tcPr>
            <w:tcW w:w="5670" w:type="dxa"/>
            <w:vAlign w:val="center"/>
          </w:tcPr>
          <w:p w14:paraId="1C0C3DE2" w14:textId="69A6F650" w:rsidR="00F621C3" w:rsidRPr="000B6B7A" w:rsidRDefault="00302748" w:rsidP="009163FC">
            <w:pPr>
              <w:jc w:val="both"/>
              <w:rPr>
                <w:rFonts w:ascii="Cambria" w:hAnsi="Cambria"/>
                <w:bCs/>
                <w:sz w:val="20"/>
                <w:szCs w:val="20"/>
              </w:rPr>
            </w:pPr>
            <w:proofErr w:type="spellStart"/>
            <w:r>
              <w:rPr>
                <w:rFonts w:ascii="Cambria" w:hAnsi="Cambria"/>
                <w:bCs/>
                <w:sz w:val="19"/>
                <w:szCs w:val="19"/>
                <w:lang w:val="es-ES"/>
              </w:rPr>
              <w:t>December</w:t>
            </w:r>
            <w:proofErr w:type="spellEnd"/>
            <w:r>
              <w:rPr>
                <w:rFonts w:ascii="Cambria" w:hAnsi="Cambria"/>
                <w:bCs/>
                <w:sz w:val="19"/>
                <w:szCs w:val="19"/>
                <w:lang w:val="es-ES"/>
              </w:rPr>
              <w:t xml:space="preserve"> 13, 2011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6C0E96" w:rsidRDefault="00B06BB7" w:rsidP="00B06BB7">
            <w:pPr>
              <w:jc w:val="center"/>
              <w:rPr>
                <w:rFonts w:ascii="Cambria" w:hAnsi="Cambria"/>
                <w:bCs/>
                <w:color w:val="FFFFFF" w:themeColor="background1"/>
                <w:sz w:val="20"/>
                <w:szCs w:val="20"/>
              </w:rPr>
            </w:pPr>
            <w:r w:rsidRPr="006C0E96">
              <w:rPr>
                <w:rFonts w:ascii="Cambria" w:hAnsi="Cambria"/>
                <w:color w:val="FFFFFF" w:themeColor="background1"/>
                <w:sz w:val="20"/>
                <w:szCs w:val="20"/>
              </w:rPr>
              <w:t>Notification of the petition to</w:t>
            </w:r>
            <w:r w:rsidR="00F621C3" w:rsidRPr="006C0E96">
              <w:rPr>
                <w:rFonts w:ascii="Cambria" w:hAnsi="Cambria"/>
                <w:color w:val="FFFFFF" w:themeColor="background1"/>
                <w:sz w:val="20"/>
                <w:szCs w:val="20"/>
              </w:rPr>
              <w:t xml:space="preserve"> the State:</w:t>
            </w:r>
          </w:p>
        </w:tc>
        <w:tc>
          <w:tcPr>
            <w:tcW w:w="5670" w:type="dxa"/>
            <w:vAlign w:val="center"/>
          </w:tcPr>
          <w:p w14:paraId="22ADBFFE" w14:textId="4B51AE60" w:rsidR="00F621C3" w:rsidRPr="000B6B7A" w:rsidRDefault="00302748" w:rsidP="009163FC">
            <w:pPr>
              <w:jc w:val="both"/>
              <w:rPr>
                <w:rFonts w:ascii="Cambria" w:hAnsi="Cambria"/>
                <w:bCs/>
                <w:sz w:val="20"/>
                <w:szCs w:val="20"/>
              </w:rPr>
            </w:pPr>
            <w:r>
              <w:rPr>
                <w:rFonts w:ascii="Cambria" w:hAnsi="Cambria"/>
                <w:bCs/>
                <w:sz w:val="20"/>
                <w:szCs w:val="20"/>
              </w:rPr>
              <w:t>May 23, 2017</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6C0E96" w:rsidRDefault="00F621C3" w:rsidP="009163FC">
            <w:pPr>
              <w:jc w:val="center"/>
              <w:rPr>
                <w:rFonts w:ascii="Cambria" w:hAnsi="Cambria"/>
                <w:bCs/>
                <w:color w:val="FFFFFF" w:themeColor="background1"/>
                <w:sz w:val="20"/>
                <w:szCs w:val="20"/>
              </w:rPr>
            </w:pPr>
            <w:r w:rsidRPr="006C0E96">
              <w:rPr>
                <w:rFonts w:ascii="Cambria" w:hAnsi="Cambria"/>
                <w:color w:val="FFFFFF" w:themeColor="background1"/>
                <w:sz w:val="20"/>
                <w:szCs w:val="20"/>
              </w:rPr>
              <w:t>State’s first response:</w:t>
            </w:r>
          </w:p>
        </w:tc>
        <w:tc>
          <w:tcPr>
            <w:tcW w:w="5670" w:type="dxa"/>
            <w:vAlign w:val="center"/>
          </w:tcPr>
          <w:p w14:paraId="19C5DA57" w14:textId="63E138BB" w:rsidR="00F621C3" w:rsidRPr="000B6B7A" w:rsidRDefault="00302748" w:rsidP="009163FC">
            <w:pPr>
              <w:jc w:val="both"/>
              <w:rPr>
                <w:rFonts w:ascii="Cambria" w:hAnsi="Cambria"/>
                <w:bCs/>
                <w:sz w:val="20"/>
                <w:szCs w:val="20"/>
              </w:rPr>
            </w:pPr>
            <w:proofErr w:type="spellStart"/>
            <w:r>
              <w:rPr>
                <w:rFonts w:ascii="Cambria" w:hAnsi="Cambria"/>
                <w:bCs/>
                <w:sz w:val="19"/>
                <w:szCs w:val="19"/>
                <w:lang w:val="es-ES"/>
              </w:rPr>
              <w:t>December</w:t>
            </w:r>
            <w:proofErr w:type="spellEnd"/>
            <w:r>
              <w:rPr>
                <w:rFonts w:ascii="Cambria" w:hAnsi="Cambria"/>
                <w:bCs/>
                <w:sz w:val="19"/>
                <w:szCs w:val="19"/>
                <w:lang w:val="es-ES"/>
              </w:rPr>
              <w:t xml:space="preserve"> 26, 2017</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6C0E96" w:rsidRDefault="003771A3" w:rsidP="0023351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Additional observations from the petition</w:t>
            </w:r>
            <w:r w:rsidR="0023351C" w:rsidRPr="006C0E96">
              <w:rPr>
                <w:rFonts w:ascii="Cambria" w:hAnsi="Cambria"/>
                <w:bCs/>
                <w:color w:val="FFFFFF" w:themeColor="background1"/>
                <w:sz w:val="20"/>
                <w:szCs w:val="20"/>
              </w:rPr>
              <w:t>er</w:t>
            </w:r>
            <w:r w:rsidRPr="006C0E96">
              <w:rPr>
                <w:rFonts w:ascii="Cambria" w:hAnsi="Cambria"/>
                <w:bCs/>
                <w:color w:val="FFFFFF" w:themeColor="background1"/>
                <w:sz w:val="20"/>
                <w:szCs w:val="20"/>
              </w:rPr>
              <w:t>:</w:t>
            </w:r>
          </w:p>
        </w:tc>
        <w:tc>
          <w:tcPr>
            <w:tcW w:w="5670" w:type="dxa"/>
            <w:vAlign w:val="center"/>
          </w:tcPr>
          <w:p w14:paraId="2A863ACD" w14:textId="07C9AFFD" w:rsidR="003771A3" w:rsidRPr="000B6B7A" w:rsidRDefault="00302748" w:rsidP="009163FC">
            <w:pPr>
              <w:jc w:val="both"/>
              <w:rPr>
                <w:rFonts w:ascii="Cambria" w:hAnsi="Cambria"/>
                <w:bCs/>
                <w:sz w:val="20"/>
                <w:szCs w:val="20"/>
              </w:rPr>
            </w:pPr>
            <w:r>
              <w:rPr>
                <w:rFonts w:ascii="Cambria" w:hAnsi="Cambria"/>
                <w:bCs/>
                <w:sz w:val="20"/>
                <w:szCs w:val="20"/>
              </w:rPr>
              <w:t>February 12, 2018</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6C0E96" w:rsidRDefault="00B06BB7" w:rsidP="00D75084">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Notification</w:t>
            </w:r>
            <w:r w:rsidR="003771A3" w:rsidRPr="006C0E96">
              <w:rPr>
                <w:rFonts w:ascii="Cambria" w:hAnsi="Cambria"/>
                <w:bCs/>
                <w:color w:val="FFFFFF" w:themeColor="background1"/>
                <w:sz w:val="20"/>
                <w:szCs w:val="20"/>
              </w:rPr>
              <w:t xml:space="preserve"> of the possible archiving of the petition:</w:t>
            </w:r>
          </w:p>
        </w:tc>
        <w:tc>
          <w:tcPr>
            <w:tcW w:w="5670" w:type="dxa"/>
            <w:vAlign w:val="center"/>
          </w:tcPr>
          <w:p w14:paraId="1C4A82C3" w14:textId="3AD2897F" w:rsidR="003771A3" w:rsidRPr="000B6B7A" w:rsidRDefault="00302748" w:rsidP="009163FC">
            <w:pPr>
              <w:jc w:val="both"/>
              <w:rPr>
                <w:rFonts w:ascii="Cambria" w:hAnsi="Cambria"/>
                <w:bCs/>
                <w:sz w:val="20"/>
                <w:szCs w:val="20"/>
              </w:rPr>
            </w:pPr>
            <w:proofErr w:type="spellStart"/>
            <w:r>
              <w:rPr>
                <w:rFonts w:ascii="Cambria" w:hAnsi="Cambria"/>
                <w:bCs/>
                <w:sz w:val="19"/>
                <w:szCs w:val="19"/>
                <w:lang w:val="es-ES"/>
              </w:rPr>
              <w:t>April</w:t>
            </w:r>
            <w:proofErr w:type="spellEnd"/>
            <w:r>
              <w:rPr>
                <w:rFonts w:ascii="Cambria" w:hAnsi="Cambria"/>
                <w:bCs/>
                <w:sz w:val="19"/>
                <w:szCs w:val="19"/>
                <w:lang w:val="es-ES"/>
              </w:rPr>
              <w:t xml:space="preserve"> 18, 2011</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6C0E96" w:rsidRDefault="00B06BB7" w:rsidP="00B06BB7">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P</w:t>
            </w:r>
            <w:r w:rsidR="003771A3" w:rsidRPr="006C0E96">
              <w:rPr>
                <w:rFonts w:ascii="Cambria" w:hAnsi="Cambria"/>
                <w:bCs/>
                <w:color w:val="FFFFFF" w:themeColor="background1"/>
                <w:sz w:val="20"/>
                <w:szCs w:val="20"/>
              </w:rPr>
              <w:t>etitioner</w:t>
            </w:r>
            <w:r w:rsidRPr="006C0E96">
              <w:rPr>
                <w:rFonts w:ascii="Cambria" w:hAnsi="Cambria"/>
                <w:bCs/>
                <w:color w:val="FFFFFF" w:themeColor="background1"/>
                <w:sz w:val="20"/>
                <w:szCs w:val="20"/>
              </w:rPr>
              <w:t>’s</w:t>
            </w:r>
            <w:r w:rsidR="003771A3" w:rsidRPr="006C0E96">
              <w:rPr>
                <w:rFonts w:ascii="Cambria" w:hAnsi="Cambria"/>
                <w:bCs/>
                <w:color w:val="FFFFFF" w:themeColor="background1"/>
                <w:sz w:val="20"/>
                <w:szCs w:val="20"/>
              </w:rPr>
              <w:t xml:space="preserve"> respon</w:t>
            </w:r>
            <w:r w:rsidRPr="006C0E96">
              <w:rPr>
                <w:rFonts w:ascii="Cambria" w:hAnsi="Cambria"/>
                <w:bCs/>
                <w:color w:val="FFFFFF" w:themeColor="background1"/>
                <w:sz w:val="20"/>
                <w:szCs w:val="20"/>
              </w:rPr>
              <w:t>se</w:t>
            </w:r>
            <w:r w:rsidR="003771A3" w:rsidRPr="006C0E96">
              <w:rPr>
                <w:rFonts w:ascii="Cambria" w:hAnsi="Cambria"/>
                <w:bCs/>
                <w:color w:val="FFFFFF" w:themeColor="background1"/>
                <w:sz w:val="20"/>
                <w:szCs w:val="20"/>
              </w:rPr>
              <w:t xml:space="preserve"> to the notification regarding the possible archiving of the petition:</w:t>
            </w:r>
          </w:p>
        </w:tc>
        <w:tc>
          <w:tcPr>
            <w:tcW w:w="5670" w:type="dxa"/>
            <w:vAlign w:val="center"/>
          </w:tcPr>
          <w:p w14:paraId="6F6B7BFD" w14:textId="793C1546" w:rsidR="003771A3" w:rsidRPr="000B6B7A" w:rsidRDefault="00302748" w:rsidP="009163FC">
            <w:pPr>
              <w:jc w:val="both"/>
              <w:rPr>
                <w:rFonts w:ascii="Cambria" w:hAnsi="Cambria"/>
                <w:bCs/>
                <w:sz w:val="20"/>
                <w:szCs w:val="20"/>
              </w:rPr>
            </w:pPr>
            <w:proofErr w:type="spellStart"/>
            <w:r>
              <w:rPr>
                <w:rFonts w:ascii="Cambria" w:hAnsi="Cambria"/>
                <w:bCs/>
                <w:sz w:val="19"/>
                <w:szCs w:val="19"/>
                <w:lang w:val="es-ES"/>
              </w:rPr>
              <w:t>April</w:t>
            </w:r>
            <w:proofErr w:type="spellEnd"/>
            <w:r>
              <w:rPr>
                <w:rFonts w:ascii="Cambria" w:hAnsi="Cambria"/>
                <w:bCs/>
                <w:sz w:val="19"/>
                <w:szCs w:val="19"/>
                <w:lang w:val="es-ES"/>
              </w:rPr>
              <w:t xml:space="preserve"> 18, 2011</w:t>
            </w:r>
          </w:p>
        </w:tc>
      </w:tr>
    </w:tbl>
    <w:p w14:paraId="7F88B361" w14:textId="77777777" w:rsidR="00F621C3" w:rsidRPr="000B6B7A" w:rsidRDefault="00F621C3" w:rsidP="006C0E96">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6C0E96" w:rsidRDefault="00F621C3" w:rsidP="009163FC">
            <w:pPr>
              <w:jc w:val="center"/>
              <w:rPr>
                <w:rFonts w:ascii="Cambria" w:hAnsi="Cambria"/>
                <w:bCs/>
                <w:i/>
                <w:color w:val="FFFFFF" w:themeColor="background1"/>
                <w:sz w:val="20"/>
                <w:szCs w:val="20"/>
              </w:rPr>
            </w:pPr>
            <w:r w:rsidRPr="006C0E96">
              <w:rPr>
                <w:rFonts w:ascii="Cambria" w:hAnsi="Cambria"/>
                <w:bCs/>
                <w:color w:val="FFFFFF" w:themeColor="background1"/>
                <w:sz w:val="20"/>
                <w:szCs w:val="20"/>
              </w:rPr>
              <w:t>Competence</w:t>
            </w:r>
            <w:r w:rsidRPr="006C0E96">
              <w:rPr>
                <w:rFonts w:ascii="Cambria" w:hAnsi="Cambria"/>
                <w:bCs/>
                <w:i/>
                <w:color w:val="FFFFFF" w:themeColor="background1"/>
                <w:sz w:val="20"/>
                <w:szCs w:val="20"/>
              </w:rPr>
              <w:t xml:space="preserve"> </w:t>
            </w:r>
            <w:proofErr w:type="spellStart"/>
            <w:r w:rsidRPr="006C0E96">
              <w:rPr>
                <w:rFonts w:ascii="Cambria" w:hAnsi="Cambria"/>
                <w:bCs/>
                <w:i/>
                <w:color w:val="FFFFFF" w:themeColor="background1"/>
                <w:sz w:val="20"/>
                <w:szCs w:val="20"/>
              </w:rPr>
              <w:t>Ratione</w:t>
            </w:r>
            <w:proofErr w:type="spellEnd"/>
            <w:r w:rsidRPr="006C0E96">
              <w:rPr>
                <w:rFonts w:ascii="Cambria" w:hAnsi="Cambria"/>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6C0E96" w:rsidRDefault="00F621C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Competence</w:t>
            </w:r>
            <w:r w:rsidRPr="006C0E96">
              <w:rPr>
                <w:rFonts w:ascii="Cambria" w:hAnsi="Cambria"/>
                <w:bCs/>
                <w:i/>
                <w:color w:val="FFFFFF" w:themeColor="background1"/>
                <w:sz w:val="20"/>
                <w:szCs w:val="20"/>
              </w:rPr>
              <w:t xml:space="preserve"> </w:t>
            </w:r>
            <w:proofErr w:type="spellStart"/>
            <w:r w:rsidRPr="006C0E96">
              <w:rPr>
                <w:rFonts w:ascii="Cambria" w:hAnsi="Cambria"/>
                <w:bCs/>
                <w:i/>
                <w:color w:val="FFFFFF" w:themeColor="background1"/>
                <w:sz w:val="20"/>
                <w:szCs w:val="20"/>
              </w:rPr>
              <w:t>Ratione</w:t>
            </w:r>
            <w:proofErr w:type="spellEnd"/>
            <w:r w:rsidRPr="006C0E96">
              <w:rPr>
                <w:rFonts w:ascii="Cambria" w:hAnsi="Cambria"/>
                <w:bCs/>
                <w:i/>
                <w:color w:val="FFFFFF" w:themeColor="background1"/>
                <w:sz w:val="20"/>
                <w:szCs w:val="20"/>
              </w:rPr>
              <w:t xml:space="preserve"> loci</w:t>
            </w:r>
            <w:r w:rsidRPr="006C0E96">
              <w:rPr>
                <w:rFonts w:ascii="Cambria" w:hAnsi="Cambria"/>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6C0E96" w:rsidRDefault="00F621C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Competence</w:t>
            </w:r>
            <w:r w:rsidRPr="006C0E96">
              <w:rPr>
                <w:rFonts w:ascii="Cambria" w:hAnsi="Cambria"/>
                <w:bCs/>
                <w:i/>
                <w:color w:val="FFFFFF" w:themeColor="background1"/>
                <w:sz w:val="20"/>
                <w:szCs w:val="20"/>
              </w:rPr>
              <w:t xml:space="preserve"> </w:t>
            </w:r>
            <w:proofErr w:type="spellStart"/>
            <w:r w:rsidRPr="006C0E96">
              <w:rPr>
                <w:rFonts w:ascii="Cambria" w:hAnsi="Cambria"/>
                <w:bCs/>
                <w:i/>
                <w:color w:val="FFFFFF" w:themeColor="background1"/>
                <w:sz w:val="20"/>
                <w:szCs w:val="20"/>
              </w:rPr>
              <w:t>Ratione</w:t>
            </w:r>
            <w:proofErr w:type="spellEnd"/>
            <w:r w:rsidRPr="006C0E96">
              <w:rPr>
                <w:rFonts w:ascii="Cambria" w:hAnsi="Cambria"/>
                <w:bCs/>
                <w:i/>
                <w:color w:val="FFFFFF" w:themeColor="background1"/>
                <w:sz w:val="20"/>
                <w:szCs w:val="20"/>
              </w:rPr>
              <w:t xml:space="preserve"> </w:t>
            </w:r>
            <w:proofErr w:type="spellStart"/>
            <w:r w:rsidRPr="006C0E96">
              <w:rPr>
                <w:rFonts w:ascii="Cambria" w:hAnsi="Cambria"/>
                <w:bCs/>
                <w:i/>
                <w:color w:val="FFFFFF" w:themeColor="background1"/>
                <w:sz w:val="20"/>
                <w:szCs w:val="20"/>
              </w:rPr>
              <w:t>temporis</w:t>
            </w:r>
            <w:proofErr w:type="spellEnd"/>
            <w:r w:rsidRPr="006C0E96">
              <w:rPr>
                <w:rFonts w:ascii="Cambria" w:hAnsi="Cambria"/>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6C0E96" w:rsidRDefault="00F621C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Competence</w:t>
            </w:r>
            <w:r w:rsidRPr="006C0E96">
              <w:rPr>
                <w:rFonts w:ascii="Cambria" w:hAnsi="Cambria"/>
                <w:bCs/>
                <w:i/>
                <w:color w:val="FFFFFF" w:themeColor="background1"/>
                <w:sz w:val="20"/>
                <w:szCs w:val="20"/>
              </w:rPr>
              <w:t xml:space="preserve"> </w:t>
            </w:r>
            <w:proofErr w:type="spellStart"/>
            <w:r w:rsidRPr="006C0E96">
              <w:rPr>
                <w:rFonts w:ascii="Cambria" w:hAnsi="Cambria"/>
                <w:bCs/>
                <w:i/>
                <w:color w:val="FFFFFF" w:themeColor="background1"/>
                <w:sz w:val="20"/>
                <w:szCs w:val="20"/>
              </w:rPr>
              <w:t>Ratione</w:t>
            </w:r>
            <w:proofErr w:type="spellEnd"/>
            <w:r w:rsidRPr="006C0E96">
              <w:rPr>
                <w:rFonts w:ascii="Cambria" w:hAnsi="Cambria"/>
                <w:bCs/>
                <w:i/>
                <w:color w:val="FFFFFF" w:themeColor="background1"/>
                <w:sz w:val="20"/>
                <w:szCs w:val="20"/>
              </w:rPr>
              <w:t xml:space="preserve"> </w:t>
            </w:r>
            <w:proofErr w:type="spellStart"/>
            <w:r w:rsidRPr="006C0E96">
              <w:rPr>
                <w:rFonts w:ascii="Cambria" w:hAnsi="Cambria"/>
                <w:bCs/>
                <w:i/>
                <w:color w:val="FFFFFF" w:themeColor="background1"/>
                <w:sz w:val="20"/>
                <w:szCs w:val="20"/>
              </w:rPr>
              <w:t>materiae</w:t>
            </w:r>
            <w:proofErr w:type="spellEnd"/>
            <w:r w:rsidRPr="006C0E96">
              <w:rPr>
                <w:rFonts w:ascii="Cambria" w:hAnsi="Cambria"/>
                <w:bCs/>
                <w:color w:val="FFFFFF" w:themeColor="background1"/>
                <w:sz w:val="20"/>
                <w:szCs w:val="20"/>
              </w:rPr>
              <w:t>:</w:t>
            </w:r>
          </w:p>
        </w:tc>
        <w:tc>
          <w:tcPr>
            <w:tcW w:w="5670" w:type="dxa"/>
            <w:vAlign w:val="center"/>
          </w:tcPr>
          <w:p w14:paraId="64B3F199" w14:textId="6F62FA0D" w:rsidR="00F621C3" w:rsidRPr="000B6B7A" w:rsidRDefault="00302748" w:rsidP="009163FC">
            <w:pPr>
              <w:jc w:val="both"/>
              <w:rPr>
                <w:rFonts w:asciiTheme="majorHAnsi" w:hAnsiTheme="majorHAnsi"/>
                <w:bCs/>
                <w:sz w:val="20"/>
                <w:szCs w:val="20"/>
              </w:rPr>
            </w:pPr>
            <w:r w:rsidRPr="00302748">
              <w:rPr>
                <w:rFonts w:asciiTheme="majorHAnsi" w:hAnsiTheme="majorHAnsi"/>
                <w:bCs/>
                <w:sz w:val="20"/>
                <w:szCs w:val="20"/>
              </w:rPr>
              <w:t>Yes, American Convention (deposit of the instrument of ratification made on August 21, 1990)</w:t>
            </w:r>
          </w:p>
        </w:tc>
      </w:tr>
    </w:tbl>
    <w:p w14:paraId="0408D4CD" w14:textId="54A61356" w:rsidR="00F621C3" w:rsidRPr="000B6B7A" w:rsidRDefault="00F621C3" w:rsidP="006C0E96">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6C0E96" w:rsidRDefault="00F621C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 xml:space="preserve">Duplication of procedures and International </w:t>
            </w:r>
            <w:r w:rsidRPr="006C0E96">
              <w:rPr>
                <w:rFonts w:ascii="Cambria" w:hAnsi="Cambria"/>
                <w:bCs/>
                <w:i/>
                <w:color w:val="FFFFFF" w:themeColor="background1"/>
                <w:sz w:val="20"/>
                <w:szCs w:val="20"/>
              </w:rPr>
              <w:t>res judicata</w:t>
            </w:r>
            <w:r w:rsidRPr="006C0E96">
              <w:rPr>
                <w:rFonts w:ascii="Cambria" w:hAnsi="Cambria"/>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6C0E96" w:rsidRDefault="00F621C3" w:rsidP="009163FC">
            <w:pPr>
              <w:jc w:val="center"/>
              <w:rPr>
                <w:rFonts w:ascii="Cambria" w:hAnsi="Cambria"/>
                <w:bCs/>
                <w:i/>
                <w:color w:val="FFFFFF" w:themeColor="background1"/>
                <w:sz w:val="20"/>
                <w:szCs w:val="20"/>
              </w:rPr>
            </w:pPr>
            <w:r w:rsidRPr="006C0E96">
              <w:rPr>
                <w:rFonts w:ascii="Cambria" w:hAnsi="Cambria"/>
                <w:bCs/>
                <w:color w:val="FFFFFF" w:themeColor="background1"/>
                <w:sz w:val="20"/>
                <w:szCs w:val="20"/>
              </w:rPr>
              <w:t>Rights declared admissible</w:t>
            </w:r>
          </w:p>
        </w:tc>
        <w:tc>
          <w:tcPr>
            <w:tcW w:w="5670" w:type="dxa"/>
            <w:vAlign w:val="center"/>
          </w:tcPr>
          <w:p w14:paraId="33BE4040" w14:textId="7768A6A8" w:rsidR="00F621C3" w:rsidRPr="000B6B7A" w:rsidRDefault="00302748" w:rsidP="006C0E96">
            <w:pPr>
              <w:jc w:val="both"/>
              <w:rPr>
                <w:rFonts w:ascii="Cambria" w:hAnsi="Cambria"/>
                <w:bCs/>
                <w:sz w:val="20"/>
                <w:szCs w:val="20"/>
              </w:rPr>
            </w:pPr>
            <w:r w:rsidRPr="00302748">
              <w:rPr>
                <w:rFonts w:ascii="Cambria" w:hAnsi="Cambria"/>
                <w:bCs/>
                <w:sz w:val="20"/>
                <w:szCs w:val="20"/>
              </w:rPr>
              <w:t>Articles 8 (</w:t>
            </w:r>
            <w:r w:rsidR="006C0E96">
              <w:rPr>
                <w:rFonts w:ascii="Cambria" w:hAnsi="Cambria"/>
                <w:bCs/>
                <w:sz w:val="20"/>
                <w:szCs w:val="20"/>
              </w:rPr>
              <w:t>fair trial</w:t>
            </w:r>
            <w:r w:rsidRPr="00302748">
              <w:rPr>
                <w:rFonts w:ascii="Cambria" w:hAnsi="Cambria"/>
                <w:bCs/>
                <w:sz w:val="20"/>
                <w:szCs w:val="20"/>
              </w:rPr>
              <w:t>) and 25 (judicial protection) of the American Convention in relation to its articles 1.1 (obligation to respect rights) and 2 (</w:t>
            </w:r>
            <w:r w:rsidR="006C0E96">
              <w:rPr>
                <w:rFonts w:ascii="Cambria" w:hAnsi="Cambria"/>
                <w:bCs/>
                <w:sz w:val="20"/>
                <w:szCs w:val="20"/>
              </w:rPr>
              <w:t>domestic legal effects</w:t>
            </w:r>
            <w:r w:rsidRPr="00302748">
              <w:rPr>
                <w:rFonts w:ascii="Cambria" w:hAnsi="Cambria"/>
                <w:bCs/>
                <w:sz w:val="20"/>
                <w:szCs w:val="20"/>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6C0E96" w:rsidRDefault="00F621C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Exhaustion of domestic remedies or applicability of an exception to the rule:</w:t>
            </w:r>
          </w:p>
        </w:tc>
        <w:tc>
          <w:tcPr>
            <w:tcW w:w="5670" w:type="dxa"/>
            <w:vAlign w:val="center"/>
          </w:tcPr>
          <w:p w14:paraId="432DC56B" w14:textId="3D9F8A29" w:rsidR="00F621C3" w:rsidRPr="000B6B7A" w:rsidRDefault="00302748" w:rsidP="009163FC">
            <w:pPr>
              <w:rPr>
                <w:rFonts w:ascii="Cambria" w:hAnsi="Cambria"/>
                <w:bCs/>
                <w:sz w:val="20"/>
                <w:szCs w:val="20"/>
              </w:rPr>
            </w:pPr>
            <w:r>
              <w:rPr>
                <w:rFonts w:asciiTheme="majorHAnsi" w:hAnsiTheme="majorHAnsi"/>
                <w:sz w:val="19"/>
                <w:szCs w:val="19"/>
                <w:lang w:val="es-MX"/>
              </w:rPr>
              <w:t>Yes</w:t>
            </w:r>
            <w:r w:rsidRPr="00AF05D4">
              <w:rPr>
                <w:rFonts w:asciiTheme="majorHAnsi" w:hAnsiTheme="majorHAnsi"/>
                <w:sz w:val="19"/>
                <w:szCs w:val="19"/>
                <w:lang w:val="es-MX"/>
              </w:rPr>
              <w:t xml:space="preserve">, </w:t>
            </w:r>
            <w:r>
              <w:rPr>
                <w:rFonts w:asciiTheme="majorHAnsi" w:hAnsiTheme="majorHAnsi"/>
                <w:sz w:val="19"/>
                <w:szCs w:val="19"/>
                <w:lang w:val="es-MX"/>
              </w:rPr>
              <w:t>June 13, 2011</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6C0E96" w:rsidRDefault="00F621C3" w:rsidP="009163FC">
            <w:pPr>
              <w:jc w:val="center"/>
              <w:rPr>
                <w:rFonts w:ascii="Cambria" w:hAnsi="Cambria"/>
                <w:bCs/>
                <w:color w:val="FFFFFF" w:themeColor="background1"/>
                <w:sz w:val="20"/>
                <w:szCs w:val="20"/>
              </w:rPr>
            </w:pPr>
            <w:r w:rsidRPr="006C0E96">
              <w:rPr>
                <w:rFonts w:ascii="Cambria" w:hAnsi="Cambria"/>
                <w:bCs/>
                <w:color w:val="FFFFFF" w:themeColor="background1"/>
                <w:sz w:val="20"/>
                <w:szCs w:val="20"/>
              </w:rPr>
              <w:t>Timeliness of the petition:</w:t>
            </w:r>
          </w:p>
        </w:tc>
        <w:tc>
          <w:tcPr>
            <w:tcW w:w="5670" w:type="dxa"/>
            <w:vAlign w:val="center"/>
          </w:tcPr>
          <w:p w14:paraId="6A26CCE9" w14:textId="7B3995BA" w:rsidR="00F621C3" w:rsidRPr="000B6B7A" w:rsidRDefault="00302748" w:rsidP="009163FC">
            <w:pPr>
              <w:rPr>
                <w:rFonts w:asciiTheme="majorHAnsi" w:hAnsiTheme="majorHAnsi"/>
                <w:bCs/>
                <w:sz w:val="20"/>
                <w:szCs w:val="20"/>
              </w:rPr>
            </w:pPr>
            <w:r>
              <w:rPr>
                <w:rFonts w:asciiTheme="majorHAnsi" w:hAnsiTheme="majorHAnsi"/>
                <w:sz w:val="19"/>
                <w:szCs w:val="19"/>
                <w:lang w:val="es-MX"/>
              </w:rPr>
              <w:t>Yes</w:t>
            </w:r>
            <w:r w:rsidRPr="00AF05D4">
              <w:rPr>
                <w:rFonts w:asciiTheme="majorHAnsi" w:hAnsiTheme="majorHAnsi"/>
                <w:sz w:val="19"/>
                <w:szCs w:val="19"/>
                <w:lang w:val="es-MX"/>
              </w:rPr>
              <w:t xml:space="preserve">, </w:t>
            </w:r>
            <w:r>
              <w:rPr>
                <w:rFonts w:asciiTheme="majorHAnsi" w:hAnsiTheme="majorHAnsi"/>
                <w:sz w:val="19"/>
                <w:szCs w:val="19"/>
                <w:lang w:val="es-MX"/>
              </w:rPr>
              <w:t>December 13,  2011</w:t>
            </w:r>
          </w:p>
        </w:tc>
      </w:tr>
    </w:tbl>
    <w:p w14:paraId="22BE12EB" w14:textId="17AF7D06" w:rsidR="00BF4B32" w:rsidRDefault="00F621C3" w:rsidP="006C0E96">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055A5839" w:rsidR="00F621C3" w:rsidRPr="00BF4B32" w:rsidRDefault="00BF4B32" w:rsidP="006C0E96">
      <w:pPr>
        <w:pStyle w:val="ListParagraph"/>
        <w:numPr>
          <w:ilvl w:val="0"/>
          <w:numId w:val="107"/>
        </w:numPr>
        <w:spacing w:after="120"/>
        <w:ind w:left="0" w:firstLine="720"/>
        <w:jc w:val="both"/>
        <w:rPr>
          <w:rFonts w:asciiTheme="majorHAnsi" w:hAnsiTheme="majorHAnsi"/>
          <w:b/>
          <w:sz w:val="20"/>
          <w:szCs w:val="20"/>
        </w:rPr>
      </w:pPr>
      <w:r w:rsidRPr="00BF4B32">
        <w:rPr>
          <w:sz w:val="20"/>
          <w:szCs w:val="20"/>
        </w:rPr>
        <w:t xml:space="preserve">The petitioner denounces the lack of reparation to the relatives of </w:t>
      </w:r>
      <w:proofErr w:type="spellStart"/>
      <w:r w:rsidRPr="00BF4B32">
        <w:rPr>
          <w:sz w:val="20"/>
          <w:szCs w:val="20"/>
        </w:rPr>
        <w:t>Héctor</w:t>
      </w:r>
      <w:proofErr w:type="spellEnd"/>
      <w:r w:rsidRPr="00BF4B32">
        <w:rPr>
          <w:sz w:val="20"/>
          <w:szCs w:val="20"/>
        </w:rPr>
        <w:t xml:space="preserve"> Patricio Vergara </w:t>
      </w:r>
      <w:proofErr w:type="spellStart"/>
      <w:r w:rsidRPr="00BF4B32">
        <w:rPr>
          <w:sz w:val="20"/>
          <w:szCs w:val="20"/>
        </w:rPr>
        <w:t>Doxrud</w:t>
      </w:r>
      <w:proofErr w:type="spellEnd"/>
      <w:r w:rsidRPr="00BF4B32">
        <w:rPr>
          <w:sz w:val="20"/>
          <w:szCs w:val="20"/>
        </w:rPr>
        <w:t xml:space="preserve"> (or hereinafter “alleged victim”) for the damages caused by his extrajudicial detention, torture and subsequent forced disappearance, as well as </w:t>
      </w:r>
      <w:r w:rsidR="00D86AC6">
        <w:rPr>
          <w:sz w:val="20"/>
          <w:szCs w:val="20"/>
        </w:rPr>
        <w:t xml:space="preserve">the </w:t>
      </w:r>
      <w:r w:rsidRPr="00BF4B32">
        <w:rPr>
          <w:sz w:val="20"/>
          <w:szCs w:val="20"/>
        </w:rPr>
        <w:t xml:space="preserve">violation of </w:t>
      </w:r>
      <w:r w:rsidR="006C0E96">
        <w:rPr>
          <w:sz w:val="20"/>
          <w:szCs w:val="20"/>
        </w:rPr>
        <w:t xml:space="preserve">the right to a fair trial </w:t>
      </w:r>
      <w:r w:rsidRPr="00BF4B32">
        <w:rPr>
          <w:sz w:val="20"/>
          <w:szCs w:val="20"/>
        </w:rPr>
        <w:t xml:space="preserve">and the right to judicial protection in the framework of civil proceedings, </w:t>
      </w:r>
      <w:r>
        <w:rPr>
          <w:sz w:val="20"/>
          <w:szCs w:val="20"/>
        </w:rPr>
        <w:t xml:space="preserve">which constituted a </w:t>
      </w:r>
      <w:r w:rsidRPr="00BF4B32">
        <w:rPr>
          <w:sz w:val="20"/>
          <w:szCs w:val="20"/>
        </w:rPr>
        <w:t>denial of justice.</w:t>
      </w:r>
    </w:p>
    <w:p w14:paraId="35F5E8D0" w14:textId="02CC6E8F" w:rsidR="00BF4B32" w:rsidRPr="00C14851" w:rsidRDefault="00BF4B32" w:rsidP="006C0E96">
      <w:pPr>
        <w:pStyle w:val="ListParagraph"/>
        <w:numPr>
          <w:ilvl w:val="0"/>
          <w:numId w:val="107"/>
        </w:numPr>
        <w:spacing w:after="120"/>
        <w:ind w:left="0" w:firstLine="720"/>
        <w:jc w:val="both"/>
        <w:rPr>
          <w:rFonts w:asciiTheme="majorHAnsi" w:hAnsiTheme="majorHAnsi"/>
          <w:b/>
          <w:sz w:val="20"/>
          <w:szCs w:val="20"/>
        </w:rPr>
      </w:pPr>
      <w:r w:rsidRPr="00BF4B32">
        <w:rPr>
          <w:rFonts w:asciiTheme="majorHAnsi" w:hAnsiTheme="majorHAnsi"/>
          <w:bCs/>
          <w:sz w:val="20"/>
          <w:szCs w:val="20"/>
        </w:rPr>
        <w:lastRenderedPageBreak/>
        <w:t xml:space="preserve">The petitioner </w:t>
      </w:r>
      <w:r w:rsidR="006C0E96">
        <w:rPr>
          <w:rFonts w:asciiTheme="majorHAnsi" w:hAnsiTheme="majorHAnsi"/>
          <w:bCs/>
          <w:sz w:val="20"/>
          <w:szCs w:val="20"/>
        </w:rPr>
        <w:t>contends</w:t>
      </w:r>
      <w:r w:rsidR="00CA14B3">
        <w:rPr>
          <w:rStyle w:val="FootnoteReference"/>
          <w:sz w:val="20"/>
          <w:szCs w:val="20"/>
          <w:lang w:val="es-ES"/>
        </w:rPr>
        <w:footnoteReference w:id="7"/>
      </w:r>
      <w:r w:rsidRPr="00BF4B32">
        <w:rPr>
          <w:rFonts w:asciiTheme="majorHAnsi" w:hAnsiTheme="majorHAnsi"/>
          <w:bCs/>
          <w:sz w:val="20"/>
          <w:szCs w:val="20"/>
        </w:rPr>
        <w:t xml:space="preserve"> that the alleged victim, a member of the Unitary Popular Action Movement (MAPU), was detained on September 17, 1974 </w:t>
      </w:r>
      <w:r>
        <w:rPr>
          <w:rFonts w:asciiTheme="majorHAnsi" w:hAnsiTheme="majorHAnsi"/>
          <w:bCs/>
          <w:sz w:val="20"/>
          <w:szCs w:val="20"/>
        </w:rPr>
        <w:t>at</w:t>
      </w:r>
      <w:r w:rsidRPr="00BF4B32">
        <w:rPr>
          <w:rFonts w:asciiTheme="majorHAnsi" w:hAnsiTheme="majorHAnsi"/>
          <w:bCs/>
          <w:sz w:val="20"/>
          <w:szCs w:val="20"/>
        </w:rPr>
        <w:t xml:space="preserve"> his private office by members of the National Intelligence Directorate (DINA), without a judicial arrest warrant</w:t>
      </w:r>
      <w:r w:rsidR="00D86AC6">
        <w:rPr>
          <w:rFonts w:asciiTheme="majorHAnsi" w:hAnsiTheme="majorHAnsi"/>
          <w:bCs/>
          <w:sz w:val="20"/>
          <w:szCs w:val="20"/>
        </w:rPr>
        <w:t xml:space="preserve"> or search warrant</w:t>
      </w:r>
      <w:r w:rsidRPr="00BF4B32">
        <w:rPr>
          <w:rFonts w:asciiTheme="majorHAnsi" w:hAnsiTheme="majorHAnsi"/>
          <w:bCs/>
          <w:sz w:val="20"/>
          <w:szCs w:val="20"/>
        </w:rPr>
        <w:t xml:space="preserve">. </w:t>
      </w:r>
      <w:r w:rsidR="00CE38AA">
        <w:rPr>
          <w:rFonts w:asciiTheme="majorHAnsi" w:hAnsiTheme="majorHAnsi"/>
          <w:bCs/>
          <w:sz w:val="20"/>
          <w:szCs w:val="20"/>
        </w:rPr>
        <w:t>The p</w:t>
      </w:r>
      <w:r w:rsidR="00C14851">
        <w:rPr>
          <w:rFonts w:asciiTheme="majorHAnsi" w:hAnsiTheme="majorHAnsi"/>
          <w:bCs/>
          <w:sz w:val="20"/>
          <w:szCs w:val="20"/>
        </w:rPr>
        <w:t xml:space="preserve">etitioner </w:t>
      </w:r>
      <w:r w:rsidRPr="00BF4B32">
        <w:rPr>
          <w:rFonts w:asciiTheme="majorHAnsi" w:hAnsiTheme="majorHAnsi"/>
          <w:bCs/>
          <w:sz w:val="20"/>
          <w:szCs w:val="20"/>
        </w:rPr>
        <w:t>indicates that on September 21 of the same year, the alleged victim telephoned his spouse and asked h</w:t>
      </w:r>
      <w:r w:rsidR="00C14851">
        <w:rPr>
          <w:rFonts w:asciiTheme="majorHAnsi" w:hAnsiTheme="majorHAnsi"/>
          <w:bCs/>
          <w:sz w:val="20"/>
          <w:szCs w:val="20"/>
        </w:rPr>
        <w:t>er</w:t>
      </w:r>
      <w:r w:rsidRPr="00BF4B32">
        <w:rPr>
          <w:rFonts w:asciiTheme="majorHAnsi" w:hAnsiTheme="majorHAnsi"/>
          <w:bCs/>
          <w:sz w:val="20"/>
          <w:szCs w:val="20"/>
        </w:rPr>
        <w:t xml:space="preserve"> to hand over the family savings to two people who would go to his house. She handed</w:t>
      </w:r>
      <w:r w:rsidR="009D41B0">
        <w:rPr>
          <w:rFonts w:asciiTheme="majorHAnsi" w:hAnsiTheme="majorHAnsi"/>
          <w:bCs/>
          <w:sz w:val="20"/>
          <w:szCs w:val="20"/>
        </w:rPr>
        <w:t xml:space="preserve"> them</w:t>
      </w:r>
      <w:r w:rsidRPr="00BF4B32">
        <w:rPr>
          <w:rFonts w:asciiTheme="majorHAnsi" w:hAnsiTheme="majorHAnsi"/>
          <w:bCs/>
          <w:sz w:val="20"/>
          <w:szCs w:val="20"/>
        </w:rPr>
        <w:t xml:space="preserve"> over the savings and when </w:t>
      </w:r>
      <w:r w:rsidR="00D86AC6">
        <w:rPr>
          <w:rFonts w:asciiTheme="majorHAnsi" w:hAnsiTheme="majorHAnsi"/>
          <w:bCs/>
          <w:sz w:val="20"/>
          <w:szCs w:val="20"/>
        </w:rPr>
        <w:t xml:space="preserve">she </w:t>
      </w:r>
      <w:r w:rsidRPr="00BF4B32">
        <w:rPr>
          <w:rFonts w:asciiTheme="majorHAnsi" w:hAnsiTheme="majorHAnsi"/>
          <w:bCs/>
          <w:sz w:val="20"/>
          <w:szCs w:val="20"/>
        </w:rPr>
        <w:t>asked</w:t>
      </w:r>
      <w:r w:rsidR="009D41B0">
        <w:rPr>
          <w:rFonts w:asciiTheme="majorHAnsi" w:hAnsiTheme="majorHAnsi"/>
          <w:bCs/>
          <w:sz w:val="20"/>
          <w:szCs w:val="20"/>
        </w:rPr>
        <w:t xml:space="preserve"> them</w:t>
      </w:r>
      <w:r w:rsidRPr="00BF4B32">
        <w:rPr>
          <w:rFonts w:asciiTheme="majorHAnsi" w:hAnsiTheme="majorHAnsi"/>
          <w:bCs/>
          <w:sz w:val="20"/>
          <w:szCs w:val="20"/>
        </w:rPr>
        <w:t xml:space="preserve"> to identify </w:t>
      </w:r>
      <w:r w:rsidR="00C14851">
        <w:rPr>
          <w:rFonts w:asciiTheme="majorHAnsi" w:hAnsiTheme="majorHAnsi"/>
          <w:bCs/>
          <w:sz w:val="20"/>
          <w:szCs w:val="20"/>
        </w:rPr>
        <w:t>themselves</w:t>
      </w:r>
      <w:r w:rsidRPr="00BF4B32">
        <w:rPr>
          <w:rFonts w:asciiTheme="majorHAnsi" w:hAnsiTheme="majorHAnsi"/>
          <w:bCs/>
          <w:sz w:val="20"/>
          <w:szCs w:val="20"/>
        </w:rPr>
        <w:t xml:space="preserve"> and</w:t>
      </w:r>
      <w:r w:rsidR="00C14851">
        <w:rPr>
          <w:rFonts w:asciiTheme="majorHAnsi" w:hAnsiTheme="majorHAnsi"/>
          <w:bCs/>
          <w:sz w:val="20"/>
          <w:szCs w:val="20"/>
        </w:rPr>
        <w:t xml:space="preserve"> </w:t>
      </w:r>
      <w:r w:rsidR="009D41B0">
        <w:rPr>
          <w:rFonts w:asciiTheme="majorHAnsi" w:hAnsiTheme="majorHAnsi"/>
          <w:bCs/>
          <w:sz w:val="20"/>
          <w:szCs w:val="20"/>
        </w:rPr>
        <w:t>give her</w:t>
      </w:r>
      <w:r w:rsidR="00C14851">
        <w:rPr>
          <w:rFonts w:asciiTheme="majorHAnsi" w:hAnsiTheme="majorHAnsi"/>
          <w:bCs/>
          <w:sz w:val="20"/>
          <w:szCs w:val="20"/>
        </w:rPr>
        <w:t xml:space="preserve"> a</w:t>
      </w:r>
      <w:r w:rsidRPr="00BF4B32">
        <w:rPr>
          <w:rFonts w:asciiTheme="majorHAnsi" w:hAnsiTheme="majorHAnsi"/>
          <w:bCs/>
          <w:sz w:val="20"/>
          <w:szCs w:val="20"/>
        </w:rPr>
        <w:t xml:space="preserve"> receipt, they refused. Likewise, they recommended that </w:t>
      </w:r>
      <w:r w:rsidR="00C14851">
        <w:rPr>
          <w:rFonts w:asciiTheme="majorHAnsi" w:hAnsiTheme="majorHAnsi"/>
          <w:bCs/>
          <w:sz w:val="20"/>
          <w:szCs w:val="20"/>
        </w:rPr>
        <w:t>she not</w:t>
      </w:r>
      <w:r w:rsidRPr="00BF4B32">
        <w:rPr>
          <w:rFonts w:asciiTheme="majorHAnsi" w:hAnsiTheme="majorHAnsi"/>
          <w:bCs/>
          <w:sz w:val="20"/>
          <w:szCs w:val="20"/>
        </w:rPr>
        <w:t xml:space="preserve"> take any steps to locate the </w:t>
      </w:r>
      <w:r w:rsidR="009D41B0">
        <w:rPr>
          <w:rFonts w:asciiTheme="majorHAnsi" w:hAnsiTheme="majorHAnsi"/>
          <w:bCs/>
          <w:sz w:val="20"/>
          <w:szCs w:val="20"/>
        </w:rPr>
        <w:t>alleged victim</w:t>
      </w:r>
      <w:r w:rsidRPr="00BF4B32">
        <w:rPr>
          <w:rFonts w:asciiTheme="majorHAnsi" w:hAnsiTheme="majorHAnsi"/>
          <w:bCs/>
          <w:sz w:val="20"/>
          <w:szCs w:val="20"/>
        </w:rPr>
        <w:t xml:space="preserve">, since this </w:t>
      </w:r>
      <w:r w:rsidR="009D41B0">
        <w:rPr>
          <w:rFonts w:asciiTheme="majorHAnsi" w:hAnsiTheme="majorHAnsi"/>
          <w:bCs/>
          <w:sz w:val="20"/>
          <w:szCs w:val="20"/>
        </w:rPr>
        <w:t>could expose her at risk</w:t>
      </w:r>
      <w:r w:rsidRPr="00BF4B32">
        <w:rPr>
          <w:rFonts w:asciiTheme="majorHAnsi" w:hAnsiTheme="majorHAnsi"/>
          <w:bCs/>
          <w:sz w:val="20"/>
          <w:szCs w:val="20"/>
        </w:rPr>
        <w:t xml:space="preserve">. Witnesses learned that the alleged victim was detained in </w:t>
      </w:r>
      <w:proofErr w:type="spellStart"/>
      <w:r w:rsidRPr="00BF4B32">
        <w:rPr>
          <w:rFonts w:asciiTheme="majorHAnsi" w:hAnsiTheme="majorHAnsi"/>
          <w:bCs/>
          <w:sz w:val="20"/>
          <w:szCs w:val="20"/>
        </w:rPr>
        <w:t>Cuatro</w:t>
      </w:r>
      <w:proofErr w:type="spellEnd"/>
      <w:r w:rsidRPr="00BF4B32">
        <w:rPr>
          <w:rFonts w:asciiTheme="majorHAnsi" w:hAnsiTheme="majorHAnsi"/>
          <w:bCs/>
          <w:sz w:val="20"/>
          <w:szCs w:val="20"/>
        </w:rPr>
        <w:t xml:space="preserve"> </w:t>
      </w:r>
      <w:proofErr w:type="spellStart"/>
      <w:r w:rsidRPr="00BF4B32">
        <w:rPr>
          <w:rFonts w:asciiTheme="majorHAnsi" w:hAnsiTheme="majorHAnsi"/>
          <w:bCs/>
          <w:sz w:val="20"/>
          <w:szCs w:val="20"/>
        </w:rPr>
        <w:t>Álamos</w:t>
      </w:r>
      <w:proofErr w:type="spellEnd"/>
      <w:r w:rsidRPr="00BF4B32">
        <w:rPr>
          <w:rFonts w:asciiTheme="majorHAnsi" w:hAnsiTheme="majorHAnsi"/>
          <w:bCs/>
          <w:sz w:val="20"/>
          <w:szCs w:val="20"/>
        </w:rPr>
        <w:t xml:space="preserve"> where he was violently beaten, tortured and interrogated. </w:t>
      </w:r>
      <w:r w:rsidR="00C14851">
        <w:rPr>
          <w:rFonts w:asciiTheme="majorHAnsi" w:hAnsiTheme="majorHAnsi"/>
          <w:bCs/>
          <w:sz w:val="20"/>
          <w:szCs w:val="20"/>
        </w:rPr>
        <w:t>He</w:t>
      </w:r>
      <w:r w:rsidRPr="00BF4B32">
        <w:rPr>
          <w:rFonts w:asciiTheme="majorHAnsi" w:hAnsiTheme="majorHAnsi"/>
          <w:bCs/>
          <w:sz w:val="20"/>
          <w:szCs w:val="20"/>
        </w:rPr>
        <w:t xml:space="preserve"> was transferred to Villa Grimaldi and later returned to </w:t>
      </w:r>
      <w:proofErr w:type="spellStart"/>
      <w:r w:rsidRPr="00BF4B32">
        <w:rPr>
          <w:rFonts w:asciiTheme="majorHAnsi" w:hAnsiTheme="majorHAnsi"/>
          <w:bCs/>
          <w:sz w:val="20"/>
          <w:szCs w:val="20"/>
        </w:rPr>
        <w:t>Cuatro</w:t>
      </w:r>
      <w:proofErr w:type="spellEnd"/>
      <w:r w:rsidRPr="00BF4B32">
        <w:rPr>
          <w:rFonts w:asciiTheme="majorHAnsi" w:hAnsiTheme="majorHAnsi"/>
          <w:bCs/>
          <w:sz w:val="20"/>
          <w:szCs w:val="20"/>
        </w:rPr>
        <w:t xml:space="preserve"> </w:t>
      </w:r>
      <w:proofErr w:type="spellStart"/>
      <w:r w:rsidRPr="00BF4B32">
        <w:rPr>
          <w:rFonts w:asciiTheme="majorHAnsi" w:hAnsiTheme="majorHAnsi"/>
          <w:bCs/>
          <w:sz w:val="20"/>
          <w:szCs w:val="20"/>
        </w:rPr>
        <w:t>Álamos</w:t>
      </w:r>
      <w:proofErr w:type="spellEnd"/>
      <w:r w:rsidRPr="00BF4B32">
        <w:rPr>
          <w:rFonts w:asciiTheme="majorHAnsi" w:hAnsiTheme="majorHAnsi"/>
          <w:bCs/>
          <w:sz w:val="20"/>
          <w:szCs w:val="20"/>
        </w:rPr>
        <w:t xml:space="preserve">. </w:t>
      </w:r>
      <w:r w:rsidR="00D86AC6">
        <w:rPr>
          <w:rFonts w:asciiTheme="majorHAnsi" w:hAnsiTheme="majorHAnsi"/>
          <w:bCs/>
          <w:sz w:val="20"/>
          <w:szCs w:val="20"/>
        </w:rPr>
        <w:t>In</w:t>
      </w:r>
      <w:r w:rsidRPr="00BF4B32">
        <w:rPr>
          <w:rFonts w:asciiTheme="majorHAnsi" w:hAnsiTheme="majorHAnsi"/>
          <w:bCs/>
          <w:sz w:val="20"/>
          <w:szCs w:val="20"/>
        </w:rPr>
        <w:t xml:space="preserve"> January 1975, Army General (R) Roberto Fuentes confirmed to the family that Mr. Vergara </w:t>
      </w:r>
      <w:proofErr w:type="spellStart"/>
      <w:r w:rsidRPr="00BF4B32">
        <w:rPr>
          <w:rFonts w:asciiTheme="majorHAnsi" w:hAnsiTheme="majorHAnsi"/>
          <w:bCs/>
          <w:sz w:val="20"/>
          <w:szCs w:val="20"/>
        </w:rPr>
        <w:t>Doxrud</w:t>
      </w:r>
      <w:proofErr w:type="spellEnd"/>
      <w:r w:rsidRPr="00BF4B32">
        <w:rPr>
          <w:rFonts w:asciiTheme="majorHAnsi" w:hAnsiTheme="majorHAnsi"/>
          <w:bCs/>
          <w:sz w:val="20"/>
          <w:szCs w:val="20"/>
        </w:rPr>
        <w:t xml:space="preserve"> was still detained in </w:t>
      </w:r>
      <w:proofErr w:type="spellStart"/>
      <w:r w:rsidRPr="00BF4B32">
        <w:rPr>
          <w:rFonts w:asciiTheme="majorHAnsi" w:hAnsiTheme="majorHAnsi"/>
          <w:bCs/>
          <w:sz w:val="20"/>
          <w:szCs w:val="20"/>
        </w:rPr>
        <w:t>Cuatro</w:t>
      </w:r>
      <w:proofErr w:type="spellEnd"/>
      <w:r w:rsidRPr="00BF4B32">
        <w:rPr>
          <w:rFonts w:asciiTheme="majorHAnsi" w:hAnsiTheme="majorHAnsi"/>
          <w:bCs/>
          <w:sz w:val="20"/>
          <w:szCs w:val="20"/>
        </w:rPr>
        <w:t xml:space="preserve"> </w:t>
      </w:r>
      <w:proofErr w:type="spellStart"/>
      <w:r w:rsidRPr="00BF4B32">
        <w:rPr>
          <w:rFonts w:asciiTheme="majorHAnsi" w:hAnsiTheme="majorHAnsi"/>
          <w:bCs/>
          <w:sz w:val="20"/>
          <w:szCs w:val="20"/>
        </w:rPr>
        <w:t>Álamos</w:t>
      </w:r>
      <w:proofErr w:type="spellEnd"/>
      <w:r w:rsidRPr="00BF4B32">
        <w:rPr>
          <w:rFonts w:asciiTheme="majorHAnsi" w:hAnsiTheme="majorHAnsi"/>
          <w:bCs/>
          <w:sz w:val="20"/>
          <w:szCs w:val="20"/>
        </w:rPr>
        <w:t xml:space="preserve"> and that he would be expelled to Norway, which ultimately did not occur. His arrest was denied by </w:t>
      </w:r>
      <w:r w:rsidR="009D41B0">
        <w:rPr>
          <w:rFonts w:asciiTheme="majorHAnsi" w:hAnsiTheme="majorHAnsi"/>
          <w:bCs/>
          <w:sz w:val="20"/>
          <w:szCs w:val="20"/>
        </w:rPr>
        <w:t>the</w:t>
      </w:r>
      <w:r w:rsidRPr="00BF4B32">
        <w:rPr>
          <w:rFonts w:asciiTheme="majorHAnsi" w:hAnsiTheme="majorHAnsi"/>
          <w:bCs/>
          <w:sz w:val="20"/>
          <w:szCs w:val="20"/>
        </w:rPr>
        <w:t xml:space="preserve"> authorities, and his whereabouts remain unknown to this day.</w:t>
      </w:r>
    </w:p>
    <w:p w14:paraId="4AFC9A90" w14:textId="5FAB6C43" w:rsidR="00C14851" w:rsidRDefault="00C14851" w:rsidP="006C0E96">
      <w:pPr>
        <w:pStyle w:val="ListParagraph"/>
        <w:numPr>
          <w:ilvl w:val="0"/>
          <w:numId w:val="107"/>
        </w:numPr>
        <w:spacing w:after="120"/>
        <w:ind w:left="0" w:firstLine="720"/>
        <w:jc w:val="both"/>
        <w:rPr>
          <w:rFonts w:asciiTheme="majorHAnsi" w:hAnsiTheme="majorHAnsi"/>
          <w:bCs/>
          <w:sz w:val="20"/>
          <w:szCs w:val="20"/>
        </w:rPr>
      </w:pPr>
      <w:r w:rsidRPr="00C14851">
        <w:rPr>
          <w:rFonts w:asciiTheme="majorHAnsi" w:hAnsiTheme="majorHAnsi"/>
          <w:bCs/>
          <w:sz w:val="20"/>
          <w:szCs w:val="20"/>
        </w:rPr>
        <w:t xml:space="preserve">On September 23, an appeal for amparo was filed with the Santiago Court of Appeals and on October 11, 1974, the Ministry of the Interior reported </w:t>
      </w:r>
      <w:r>
        <w:rPr>
          <w:rFonts w:asciiTheme="majorHAnsi" w:hAnsiTheme="majorHAnsi"/>
          <w:bCs/>
          <w:sz w:val="20"/>
          <w:szCs w:val="20"/>
        </w:rPr>
        <w:t>that there existed no</w:t>
      </w:r>
      <w:r w:rsidR="009D41B0">
        <w:rPr>
          <w:rFonts w:asciiTheme="majorHAnsi" w:hAnsiTheme="majorHAnsi"/>
          <w:bCs/>
          <w:sz w:val="20"/>
          <w:szCs w:val="20"/>
        </w:rPr>
        <w:t xml:space="preserve"> record of </w:t>
      </w:r>
      <w:r>
        <w:rPr>
          <w:rFonts w:asciiTheme="majorHAnsi" w:hAnsiTheme="majorHAnsi"/>
          <w:bCs/>
          <w:sz w:val="20"/>
          <w:szCs w:val="20"/>
        </w:rPr>
        <w:t>arrest</w:t>
      </w:r>
      <w:r w:rsidR="009D41B0">
        <w:rPr>
          <w:rFonts w:asciiTheme="majorHAnsi" w:hAnsiTheme="majorHAnsi"/>
          <w:bCs/>
          <w:sz w:val="20"/>
          <w:szCs w:val="20"/>
        </w:rPr>
        <w:t xml:space="preserve"> of</w:t>
      </w:r>
      <w:r>
        <w:rPr>
          <w:rFonts w:asciiTheme="majorHAnsi" w:hAnsiTheme="majorHAnsi"/>
          <w:bCs/>
          <w:sz w:val="20"/>
          <w:szCs w:val="20"/>
        </w:rPr>
        <w:t xml:space="preserve"> </w:t>
      </w:r>
      <w:r w:rsidRPr="00C14851">
        <w:rPr>
          <w:rFonts w:asciiTheme="majorHAnsi" w:hAnsiTheme="majorHAnsi"/>
          <w:bCs/>
          <w:sz w:val="20"/>
          <w:szCs w:val="20"/>
        </w:rPr>
        <w:t>the alleged victim. The Court rejected the appeal and forwarded the information to the Sixth Criminal Court to investigate</w:t>
      </w:r>
      <w:r w:rsidR="009D41B0">
        <w:rPr>
          <w:rFonts w:asciiTheme="majorHAnsi" w:hAnsiTheme="majorHAnsi"/>
          <w:bCs/>
          <w:sz w:val="20"/>
          <w:szCs w:val="20"/>
        </w:rPr>
        <w:t xml:space="preserve"> the presumed disappearance of the alleged victim</w:t>
      </w:r>
      <w:r w:rsidR="00D86AC6">
        <w:rPr>
          <w:rFonts w:asciiTheme="majorHAnsi" w:hAnsiTheme="majorHAnsi"/>
          <w:bCs/>
          <w:sz w:val="20"/>
          <w:szCs w:val="20"/>
        </w:rPr>
        <w:t>,</w:t>
      </w:r>
      <w:r w:rsidR="00044569">
        <w:rPr>
          <w:rFonts w:asciiTheme="majorHAnsi" w:hAnsiTheme="majorHAnsi"/>
          <w:bCs/>
          <w:sz w:val="20"/>
          <w:szCs w:val="20"/>
        </w:rPr>
        <w:t xml:space="preserve"> which </w:t>
      </w:r>
      <w:r w:rsidRPr="00C14851">
        <w:rPr>
          <w:rFonts w:asciiTheme="majorHAnsi" w:hAnsiTheme="majorHAnsi"/>
          <w:bCs/>
          <w:sz w:val="20"/>
          <w:szCs w:val="20"/>
        </w:rPr>
        <w:t>began on January 6, 1975. Due diligence was carried out without success, for which on September 15, 1975 the cause</w:t>
      </w:r>
      <w:r w:rsidR="00044569">
        <w:rPr>
          <w:rFonts w:asciiTheme="majorHAnsi" w:hAnsiTheme="majorHAnsi"/>
          <w:bCs/>
          <w:sz w:val="20"/>
          <w:szCs w:val="20"/>
        </w:rPr>
        <w:t xml:space="preserve"> was temporarily dismissed</w:t>
      </w:r>
      <w:r w:rsidRPr="00C14851">
        <w:rPr>
          <w:rFonts w:asciiTheme="majorHAnsi" w:hAnsiTheme="majorHAnsi"/>
          <w:bCs/>
          <w:sz w:val="20"/>
          <w:szCs w:val="20"/>
        </w:rPr>
        <w:t>. The Prosecutor of the Court of Appeals asked t</w:t>
      </w:r>
      <w:r w:rsidR="00A15317">
        <w:rPr>
          <w:rFonts w:asciiTheme="majorHAnsi" w:hAnsiTheme="majorHAnsi"/>
          <w:bCs/>
          <w:sz w:val="20"/>
          <w:szCs w:val="20"/>
        </w:rPr>
        <w:t xml:space="preserve">hat the case be reopened </w:t>
      </w:r>
      <w:r w:rsidRPr="00C14851">
        <w:rPr>
          <w:rFonts w:asciiTheme="majorHAnsi" w:hAnsiTheme="majorHAnsi"/>
          <w:bCs/>
          <w:sz w:val="20"/>
          <w:szCs w:val="20"/>
        </w:rPr>
        <w:t xml:space="preserve">to hear </w:t>
      </w:r>
      <w:r w:rsidR="00D86AC6">
        <w:rPr>
          <w:rFonts w:asciiTheme="majorHAnsi" w:hAnsiTheme="majorHAnsi"/>
          <w:bCs/>
          <w:sz w:val="20"/>
          <w:szCs w:val="20"/>
        </w:rPr>
        <w:t xml:space="preserve">from </w:t>
      </w:r>
      <w:r w:rsidRPr="00C14851">
        <w:rPr>
          <w:rFonts w:asciiTheme="majorHAnsi" w:hAnsiTheme="majorHAnsi"/>
          <w:bCs/>
          <w:sz w:val="20"/>
          <w:szCs w:val="20"/>
        </w:rPr>
        <w:t xml:space="preserve">a witness, Miguel </w:t>
      </w:r>
      <w:proofErr w:type="spellStart"/>
      <w:r w:rsidRPr="00C14851">
        <w:rPr>
          <w:rFonts w:asciiTheme="majorHAnsi" w:hAnsiTheme="majorHAnsi"/>
          <w:bCs/>
          <w:sz w:val="20"/>
          <w:szCs w:val="20"/>
        </w:rPr>
        <w:t>Baeza</w:t>
      </w:r>
      <w:proofErr w:type="spellEnd"/>
      <w:r w:rsidRPr="00C14851">
        <w:rPr>
          <w:rFonts w:asciiTheme="majorHAnsi" w:hAnsiTheme="majorHAnsi"/>
          <w:bCs/>
          <w:sz w:val="20"/>
          <w:szCs w:val="20"/>
        </w:rPr>
        <w:t xml:space="preserve"> </w:t>
      </w:r>
      <w:proofErr w:type="spellStart"/>
      <w:r w:rsidRPr="00C14851">
        <w:rPr>
          <w:rFonts w:asciiTheme="majorHAnsi" w:hAnsiTheme="majorHAnsi"/>
          <w:bCs/>
          <w:sz w:val="20"/>
          <w:szCs w:val="20"/>
        </w:rPr>
        <w:t>Chaud</w:t>
      </w:r>
      <w:proofErr w:type="spellEnd"/>
      <w:r w:rsidRPr="00C14851">
        <w:rPr>
          <w:rFonts w:asciiTheme="majorHAnsi" w:hAnsiTheme="majorHAnsi"/>
          <w:bCs/>
          <w:sz w:val="20"/>
          <w:szCs w:val="20"/>
        </w:rPr>
        <w:t xml:space="preserve">, </w:t>
      </w:r>
      <w:r w:rsidR="00044569">
        <w:rPr>
          <w:rFonts w:asciiTheme="majorHAnsi" w:hAnsiTheme="majorHAnsi"/>
          <w:bCs/>
          <w:sz w:val="20"/>
          <w:szCs w:val="20"/>
        </w:rPr>
        <w:t xml:space="preserve">who was </w:t>
      </w:r>
      <w:r w:rsidRPr="00C14851">
        <w:rPr>
          <w:rFonts w:asciiTheme="majorHAnsi" w:hAnsiTheme="majorHAnsi"/>
          <w:bCs/>
          <w:sz w:val="20"/>
          <w:szCs w:val="20"/>
        </w:rPr>
        <w:t xml:space="preserve">detained in </w:t>
      </w:r>
      <w:proofErr w:type="spellStart"/>
      <w:r w:rsidRPr="00C14851">
        <w:rPr>
          <w:rFonts w:asciiTheme="majorHAnsi" w:hAnsiTheme="majorHAnsi"/>
          <w:bCs/>
          <w:sz w:val="20"/>
          <w:szCs w:val="20"/>
        </w:rPr>
        <w:t>Tres</w:t>
      </w:r>
      <w:proofErr w:type="spellEnd"/>
      <w:r w:rsidRPr="00C14851">
        <w:rPr>
          <w:rFonts w:asciiTheme="majorHAnsi" w:hAnsiTheme="majorHAnsi"/>
          <w:bCs/>
          <w:sz w:val="20"/>
          <w:szCs w:val="20"/>
        </w:rPr>
        <w:t xml:space="preserve"> </w:t>
      </w:r>
      <w:proofErr w:type="spellStart"/>
      <w:r w:rsidRPr="00C14851">
        <w:rPr>
          <w:rFonts w:asciiTheme="majorHAnsi" w:hAnsiTheme="majorHAnsi"/>
          <w:bCs/>
          <w:sz w:val="20"/>
          <w:szCs w:val="20"/>
        </w:rPr>
        <w:t>Álamos</w:t>
      </w:r>
      <w:proofErr w:type="spellEnd"/>
      <w:r w:rsidRPr="00C14851">
        <w:rPr>
          <w:rFonts w:asciiTheme="majorHAnsi" w:hAnsiTheme="majorHAnsi"/>
          <w:bCs/>
          <w:sz w:val="20"/>
          <w:szCs w:val="20"/>
        </w:rPr>
        <w:t>. The authorit</w:t>
      </w:r>
      <w:r w:rsidR="00044569">
        <w:rPr>
          <w:rFonts w:asciiTheme="majorHAnsi" w:hAnsiTheme="majorHAnsi"/>
          <w:bCs/>
          <w:sz w:val="20"/>
          <w:szCs w:val="20"/>
        </w:rPr>
        <w:t>ies</w:t>
      </w:r>
      <w:r w:rsidRPr="00C14851">
        <w:rPr>
          <w:rFonts w:asciiTheme="majorHAnsi" w:hAnsiTheme="majorHAnsi"/>
          <w:bCs/>
          <w:sz w:val="20"/>
          <w:szCs w:val="20"/>
        </w:rPr>
        <w:t xml:space="preserve"> reported that the possible witness had been expelled from Chile to France on June 26, 1975, and finally on November 24, 1975, the investigation was </w:t>
      </w:r>
      <w:r w:rsidR="00044569" w:rsidRPr="00C14851">
        <w:rPr>
          <w:rFonts w:asciiTheme="majorHAnsi" w:hAnsiTheme="majorHAnsi"/>
          <w:bCs/>
          <w:sz w:val="20"/>
          <w:szCs w:val="20"/>
        </w:rPr>
        <w:t>closed,</w:t>
      </w:r>
      <w:r w:rsidRPr="00C14851">
        <w:rPr>
          <w:rFonts w:asciiTheme="majorHAnsi" w:hAnsiTheme="majorHAnsi"/>
          <w:bCs/>
          <w:sz w:val="20"/>
          <w:szCs w:val="20"/>
        </w:rPr>
        <w:t xml:space="preserve"> and the case was temporarily dismissed. On January 13, 1978, the National Union of Education Workers presented, from Mexico, a new appeal for amparo, which was never submitted for processing because the Court understood that they were not persons capable of appearing in court, </w:t>
      </w:r>
      <w:r w:rsidR="00044569">
        <w:rPr>
          <w:rFonts w:asciiTheme="majorHAnsi" w:hAnsiTheme="majorHAnsi"/>
          <w:bCs/>
          <w:sz w:val="20"/>
          <w:szCs w:val="20"/>
        </w:rPr>
        <w:t>although this was never</w:t>
      </w:r>
      <w:r w:rsidRPr="00C14851">
        <w:rPr>
          <w:rFonts w:asciiTheme="majorHAnsi" w:hAnsiTheme="majorHAnsi"/>
          <w:bCs/>
          <w:sz w:val="20"/>
          <w:szCs w:val="20"/>
        </w:rPr>
        <w:t xml:space="preserve"> verified. The family took other steps, such as visiting the President of the Supreme Court, who contacted the Director of DINA</w:t>
      </w:r>
      <w:r w:rsidR="00A15317">
        <w:rPr>
          <w:rFonts w:asciiTheme="majorHAnsi" w:hAnsiTheme="majorHAnsi"/>
          <w:bCs/>
          <w:sz w:val="20"/>
          <w:szCs w:val="20"/>
        </w:rPr>
        <w:t>, who purported</w:t>
      </w:r>
      <w:r w:rsidRPr="00C14851">
        <w:rPr>
          <w:rFonts w:asciiTheme="majorHAnsi" w:hAnsiTheme="majorHAnsi"/>
          <w:bCs/>
          <w:sz w:val="20"/>
          <w:szCs w:val="20"/>
        </w:rPr>
        <w:t xml:space="preserve"> that the alleged victim was a dangerous person and that he was probably in Argentina. However, all efforts to establish the fate and whereabouts of the alleged victim were unsuccessful.</w:t>
      </w:r>
    </w:p>
    <w:p w14:paraId="6C38AC1C" w14:textId="50E8B894" w:rsidR="00C14851" w:rsidRDefault="00044569" w:rsidP="006C0E96">
      <w:pPr>
        <w:pStyle w:val="ListParagraph"/>
        <w:numPr>
          <w:ilvl w:val="0"/>
          <w:numId w:val="107"/>
        </w:numPr>
        <w:spacing w:after="120"/>
        <w:ind w:left="0" w:firstLine="720"/>
        <w:jc w:val="both"/>
        <w:rPr>
          <w:rFonts w:asciiTheme="majorHAnsi" w:hAnsiTheme="majorHAnsi"/>
          <w:bCs/>
          <w:sz w:val="20"/>
          <w:szCs w:val="20"/>
        </w:rPr>
      </w:pPr>
      <w:r w:rsidRPr="00044569">
        <w:rPr>
          <w:rFonts w:asciiTheme="majorHAnsi" w:hAnsiTheme="majorHAnsi"/>
          <w:bCs/>
          <w:sz w:val="20"/>
          <w:szCs w:val="20"/>
        </w:rPr>
        <w:t xml:space="preserve">On July 18, 2001, </w:t>
      </w:r>
      <w:r w:rsidR="00A15317">
        <w:rPr>
          <w:rFonts w:asciiTheme="majorHAnsi" w:hAnsiTheme="majorHAnsi"/>
          <w:bCs/>
          <w:sz w:val="20"/>
          <w:szCs w:val="20"/>
        </w:rPr>
        <w:t>a</w:t>
      </w:r>
      <w:r w:rsidRPr="00044569">
        <w:rPr>
          <w:rFonts w:asciiTheme="majorHAnsi" w:hAnsiTheme="majorHAnsi"/>
          <w:bCs/>
          <w:sz w:val="20"/>
          <w:szCs w:val="20"/>
        </w:rPr>
        <w:t xml:space="preserve"> civil case was initiated </w:t>
      </w:r>
      <w:r w:rsidR="00A15317">
        <w:rPr>
          <w:rFonts w:asciiTheme="majorHAnsi" w:hAnsiTheme="majorHAnsi"/>
          <w:bCs/>
          <w:sz w:val="20"/>
          <w:szCs w:val="20"/>
        </w:rPr>
        <w:t>before</w:t>
      </w:r>
      <w:r w:rsidRPr="00044569">
        <w:rPr>
          <w:rFonts w:asciiTheme="majorHAnsi" w:hAnsiTheme="majorHAnsi"/>
          <w:bCs/>
          <w:sz w:val="20"/>
          <w:szCs w:val="20"/>
        </w:rPr>
        <w:t xml:space="preserve"> the 12th Santiago Civil Court, whose sentence was </w:t>
      </w:r>
      <w:r w:rsidR="00A15317">
        <w:rPr>
          <w:rFonts w:asciiTheme="majorHAnsi" w:hAnsiTheme="majorHAnsi"/>
          <w:bCs/>
          <w:sz w:val="20"/>
          <w:szCs w:val="20"/>
        </w:rPr>
        <w:t>issued</w:t>
      </w:r>
      <w:r w:rsidRPr="00044569">
        <w:rPr>
          <w:rFonts w:asciiTheme="majorHAnsi" w:hAnsiTheme="majorHAnsi"/>
          <w:bCs/>
          <w:sz w:val="20"/>
          <w:szCs w:val="20"/>
        </w:rPr>
        <w:t xml:space="preserve"> on May 31, 2004, accepting the claim of the </w:t>
      </w:r>
      <w:r w:rsidR="00A15317">
        <w:rPr>
          <w:rFonts w:asciiTheme="majorHAnsi" w:hAnsiTheme="majorHAnsi"/>
          <w:bCs/>
          <w:sz w:val="20"/>
          <w:szCs w:val="20"/>
        </w:rPr>
        <w:t>relatives</w:t>
      </w:r>
      <w:r w:rsidRPr="00044569">
        <w:rPr>
          <w:rFonts w:asciiTheme="majorHAnsi" w:hAnsiTheme="majorHAnsi"/>
          <w:bCs/>
          <w:sz w:val="20"/>
          <w:szCs w:val="20"/>
        </w:rPr>
        <w:t xml:space="preserve"> of the alleged victim for compensation. In a judgment of December 31, 2008, the Santiago Court of Appeals confirmed the first instance sentence, forcing the State to compensate. Against this ruling, the Chilean Treasury appealed in cassation to the Supreme Court, and on May 23, 2011, this appeal was upheld, reversing the ruling granting compensation. On June 13, 2011, </w:t>
      </w:r>
      <w:r w:rsidR="00A15317">
        <w:rPr>
          <w:rFonts w:asciiTheme="majorHAnsi" w:hAnsiTheme="majorHAnsi"/>
          <w:bCs/>
          <w:sz w:val="20"/>
          <w:szCs w:val="20"/>
        </w:rPr>
        <w:t>a</w:t>
      </w:r>
      <w:r w:rsidRPr="00044569">
        <w:rPr>
          <w:rFonts w:asciiTheme="majorHAnsi" w:hAnsiTheme="majorHAnsi"/>
          <w:bCs/>
          <w:sz w:val="20"/>
          <w:szCs w:val="20"/>
        </w:rPr>
        <w:t xml:space="preserve"> "compliance</w:t>
      </w:r>
      <w:r w:rsidR="00A15317">
        <w:rPr>
          <w:rFonts w:asciiTheme="majorHAnsi" w:hAnsiTheme="majorHAnsi"/>
          <w:bCs/>
          <w:sz w:val="20"/>
          <w:szCs w:val="20"/>
        </w:rPr>
        <w:t xml:space="preserve"> order</w:t>
      </w:r>
      <w:r w:rsidRPr="00044569">
        <w:rPr>
          <w:rFonts w:asciiTheme="majorHAnsi" w:hAnsiTheme="majorHAnsi"/>
          <w:bCs/>
          <w:sz w:val="20"/>
          <w:szCs w:val="20"/>
        </w:rPr>
        <w:t>" was issued by the Civil Court of first instance.</w:t>
      </w:r>
    </w:p>
    <w:p w14:paraId="023E2E4A" w14:textId="0BF9682D" w:rsidR="00044569" w:rsidRPr="00C14851" w:rsidRDefault="00044569" w:rsidP="006C0E96">
      <w:pPr>
        <w:pStyle w:val="ListParagraph"/>
        <w:numPr>
          <w:ilvl w:val="0"/>
          <w:numId w:val="107"/>
        </w:numPr>
        <w:spacing w:after="120"/>
        <w:ind w:left="0" w:firstLine="720"/>
        <w:jc w:val="both"/>
        <w:rPr>
          <w:rFonts w:asciiTheme="majorHAnsi" w:hAnsiTheme="majorHAnsi"/>
          <w:bCs/>
          <w:sz w:val="20"/>
          <w:szCs w:val="20"/>
        </w:rPr>
      </w:pPr>
      <w:r w:rsidRPr="00044569">
        <w:rPr>
          <w:rFonts w:asciiTheme="majorHAnsi" w:hAnsiTheme="majorHAnsi"/>
          <w:bCs/>
          <w:sz w:val="20"/>
          <w:szCs w:val="20"/>
        </w:rPr>
        <w:t xml:space="preserve">For its part, the State indicates that the petition lacks a clear and coherent account that allows an adequate understanding of the alleged violations, however, in the interest of good faith and understanding that the petitioners' claim is based </w:t>
      </w:r>
      <w:r>
        <w:rPr>
          <w:rFonts w:asciiTheme="majorHAnsi" w:hAnsiTheme="majorHAnsi"/>
          <w:bCs/>
          <w:sz w:val="20"/>
          <w:szCs w:val="20"/>
        </w:rPr>
        <w:t>i</w:t>
      </w:r>
      <w:r w:rsidRPr="00044569">
        <w:rPr>
          <w:rFonts w:asciiTheme="majorHAnsi" w:hAnsiTheme="majorHAnsi"/>
          <w:bCs/>
          <w:sz w:val="20"/>
          <w:szCs w:val="20"/>
        </w:rPr>
        <w:t xml:space="preserve">n the civil sphere, it has no objections to raise regarding compliance with the formal requirements, without prejudice to the observations on the merits it may make at the appropriate time. Regarding </w:t>
      </w:r>
      <w:r w:rsidR="00956DFD">
        <w:rPr>
          <w:rFonts w:asciiTheme="majorHAnsi" w:hAnsiTheme="majorHAnsi"/>
          <w:bCs/>
          <w:sz w:val="20"/>
          <w:szCs w:val="20"/>
        </w:rPr>
        <w:t>alleged</w:t>
      </w:r>
      <w:r w:rsidRPr="00044569">
        <w:rPr>
          <w:rFonts w:asciiTheme="majorHAnsi" w:hAnsiTheme="majorHAnsi"/>
          <w:bCs/>
          <w:sz w:val="20"/>
          <w:szCs w:val="20"/>
        </w:rPr>
        <w:t xml:space="preserve"> events that would have taken place in September 1974, consisting of the violation of the rights to life, personal integrity, and personal liberty of the alleged victim, the State indicates that there is</w:t>
      </w:r>
      <w:r w:rsidR="00956DFD">
        <w:rPr>
          <w:rFonts w:asciiTheme="majorHAnsi" w:hAnsiTheme="majorHAnsi"/>
          <w:bCs/>
          <w:sz w:val="20"/>
          <w:szCs w:val="20"/>
        </w:rPr>
        <w:t xml:space="preserve"> a conviction for the crime of </w:t>
      </w:r>
      <w:r w:rsidRPr="00044569">
        <w:rPr>
          <w:rFonts w:asciiTheme="majorHAnsi" w:hAnsiTheme="majorHAnsi"/>
          <w:bCs/>
          <w:sz w:val="20"/>
          <w:szCs w:val="20"/>
        </w:rPr>
        <w:t xml:space="preserve">kidnapping against Juan Manuel Contreras </w:t>
      </w:r>
      <w:proofErr w:type="spellStart"/>
      <w:r w:rsidRPr="00044569">
        <w:rPr>
          <w:rFonts w:asciiTheme="majorHAnsi" w:hAnsiTheme="majorHAnsi"/>
          <w:bCs/>
          <w:sz w:val="20"/>
          <w:szCs w:val="20"/>
        </w:rPr>
        <w:t>Sepúlveda</w:t>
      </w:r>
      <w:proofErr w:type="spellEnd"/>
      <w:r w:rsidRPr="00044569">
        <w:rPr>
          <w:rFonts w:asciiTheme="majorHAnsi" w:hAnsiTheme="majorHAnsi"/>
          <w:bCs/>
          <w:sz w:val="20"/>
          <w:szCs w:val="20"/>
        </w:rPr>
        <w:t xml:space="preserve">, Marcelo </w:t>
      </w:r>
      <w:proofErr w:type="spellStart"/>
      <w:r w:rsidRPr="00044569">
        <w:rPr>
          <w:rFonts w:asciiTheme="majorHAnsi" w:hAnsiTheme="majorHAnsi"/>
          <w:bCs/>
          <w:sz w:val="20"/>
          <w:szCs w:val="20"/>
        </w:rPr>
        <w:t>Moren</w:t>
      </w:r>
      <w:proofErr w:type="spellEnd"/>
      <w:r w:rsidRPr="00044569">
        <w:rPr>
          <w:rFonts w:asciiTheme="majorHAnsi" w:hAnsiTheme="majorHAnsi"/>
          <w:bCs/>
          <w:sz w:val="20"/>
          <w:szCs w:val="20"/>
        </w:rPr>
        <w:t xml:space="preserve"> Brito, both deceased, and against César </w:t>
      </w:r>
      <w:proofErr w:type="spellStart"/>
      <w:r w:rsidRPr="00044569">
        <w:rPr>
          <w:rFonts w:asciiTheme="majorHAnsi" w:hAnsiTheme="majorHAnsi"/>
          <w:bCs/>
          <w:sz w:val="20"/>
          <w:szCs w:val="20"/>
        </w:rPr>
        <w:t>Manríquez</w:t>
      </w:r>
      <w:proofErr w:type="spellEnd"/>
      <w:r w:rsidRPr="00044569">
        <w:rPr>
          <w:rFonts w:asciiTheme="majorHAnsi" w:hAnsiTheme="majorHAnsi"/>
          <w:bCs/>
          <w:sz w:val="20"/>
          <w:szCs w:val="20"/>
        </w:rPr>
        <w:t xml:space="preserve"> Bravo and Orlando José Manzo Durán, dated June 18, 2012. Additionally, </w:t>
      </w:r>
      <w:r w:rsidR="00130279">
        <w:rPr>
          <w:rFonts w:asciiTheme="majorHAnsi" w:hAnsiTheme="majorHAnsi"/>
          <w:bCs/>
          <w:sz w:val="20"/>
          <w:szCs w:val="20"/>
        </w:rPr>
        <w:t>t</w:t>
      </w:r>
      <w:r w:rsidRPr="00044569">
        <w:rPr>
          <w:rFonts w:asciiTheme="majorHAnsi" w:hAnsiTheme="majorHAnsi"/>
          <w:bCs/>
          <w:sz w:val="20"/>
          <w:szCs w:val="20"/>
        </w:rPr>
        <w:t xml:space="preserve">he </w:t>
      </w:r>
      <w:r w:rsidR="00130279">
        <w:rPr>
          <w:rFonts w:asciiTheme="majorHAnsi" w:hAnsiTheme="majorHAnsi"/>
          <w:bCs/>
          <w:sz w:val="20"/>
          <w:szCs w:val="20"/>
        </w:rPr>
        <w:t>State recalls its</w:t>
      </w:r>
      <w:r w:rsidRPr="00044569">
        <w:rPr>
          <w:rFonts w:asciiTheme="majorHAnsi" w:hAnsiTheme="majorHAnsi"/>
          <w:bCs/>
          <w:sz w:val="20"/>
          <w:szCs w:val="20"/>
        </w:rPr>
        <w:t xml:space="preserve"> reservations to the American Convention, by virtue of which </w:t>
      </w:r>
      <w:r w:rsidR="00130279">
        <w:rPr>
          <w:rFonts w:asciiTheme="majorHAnsi" w:hAnsiTheme="majorHAnsi"/>
          <w:bCs/>
          <w:sz w:val="20"/>
          <w:szCs w:val="20"/>
        </w:rPr>
        <w:t xml:space="preserve">it was </w:t>
      </w:r>
      <w:r w:rsidRPr="00044569">
        <w:rPr>
          <w:rFonts w:asciiTheme="majorHAnsi" w:hAnsiTheme="majorHAnsi"/>
          <w:bCs/>
          <w:sz w:val="20"/>
          <w:szCs w:val="20"/>
        </w:rPr>
        <w:t>acknowledg</w:t>
      </w:r>
      <w:r w:rsidR="00130279">
        <w:rPr>
          <w:rFonts w:asciiTheme="majorHAnsi" w:hAnsiTheme="majorHAnsi"/>
          <w:bCs/>
          <w:sz w:val="20"/>
          <w:szCs w:val="20"/>
        </w:rPr>
        <w:t>ed</w:t>
      </w:r>
      <w:r w:rsidRPr="00044569">
        <w:rPr>
          <w:rFonts w:asciiTheme="majorHAnsi" w:hAnsiTheme="majorHAnsi"/>
          <w:bCs/>
          <w:sz w:val="20"/>
          <w:szCs w:val="20"/>
        </w:rPr>
        <w:t xml:space="preserve"> </w:t>
      </w:r>
      <w:r w:rsidR="00956DFD">
        <w:rPr>
          <w:rFonts w:asciiTheme="majorHAnsi" w:hAnsiTheme="majorHAnsi"/>
          <w:bCs/>
          <w:sz w:val="20"/>
          <w:szCs w:val="20"/>
        </w:rPr>
        <w:t xml:space="preserve">that </w:t>
      </w:r>
      <w:r w:rsidR="00130279">
        <w:rPr>
          <w:rFonts w:asciiTheme="majorHAnsi" w:hAnsiTheme="majorHAnsi"/>
          <w:bCs/>
          <w:sz w:val="20"/>
          <w:szCs w:val="20"/>
        </w:rPr>
        <w:t xml:space="preserve">the </w:t>
      </w:r>
      <w:r w:rsidR="00956DFD">
        <w:rPr>
          <w:rFonts w:asciiTheme="majorHAnsi" w:hAnsiTheme="majorHAnsi"/>
          <w:bCs/>
          <w:sz w:val="20"/>
          <w:szCs w:val="20"/>
        </w:rPr>
        <w:t>jurisdiction</w:t>
      </w:r>
      <w:r w:rsidRPr="00044569">
        <w:rPr>
          <w:rFonts w:asciiTheme="majorHAnsi" w:hAnsiTheme="majorHAnsi"/>
          <w:bCs/>
          <w:sz w:val="20"/>
          <w:szCs w:val="20"/>
        </w:rPr>
        <w:t xml:space="preserve"> conferred by the State</w:t>
      </w:r>
      <w:r w:rsidR="00956DFD">
        <w:rPr>
          <w:rFonts w:asciiTheme="majorHAnsi" w:hAnsiTheme="majorHAnsi"/>
          <w:bCs/>
          <w:sz w:val="20"/>
          <w:szCs w:val="20"/>
        </w:rPr>
        <w:t xml:space="preserve"> to the Commission</w:t>
      </w:r>
      <w:r w:rsidRPr="00044569">
        <w:rPr>
          <w:rFonts w:asciiTheme="majorHAnsi" w:hAnsiTheme="majorHAnsi"/>
          <w:bCs/>
          <w:sz w:val="20"/>
          <w:szCs w:val="20"/>
        </w:rPr>
        <w:t xml:space="preserve"> refer</w:t>
      </w:r>
      <w:r w:rsidR="00130279">
        <w:rPr>
          <w:rFonts w:asciiTheme="majorHAnsi" w:hAnsiTheme="majorHAnsi"/>
          <w:bCs/>
          <w:sz w:val="20"/>
          <w:szCs w:val="20"/>
        </w:rPr>
        <w:t>s</w:t>
      </w:r>
      <w:r w:rsidRPr="00044569">
        <w:rPr>
          <w:rFonts w:asciiTheme="majorHAnsi" w:hAnsiTheme="majorHAnsi"/>
          <w:bCs/>
          <w:sz w:val="20"/>
          <w:szCs w:val="20"/>
        </w:rPr>
        <w:t xml:space="preserve"> to events subsequent to the date of deposit of the instrument of ratification, or, in any case, to events whose principle of execution </w:t>
      </w:r>
      <w:r w:rsidR="00956DFD">
        <w:rPr>
          <w:rFonts w:asciiTheme="majorHAnsi" w:hAnsiTheme="majorHAnsi"/>
          <w:bCs/>
          <w:sz w:val="20"/>
          <w:szCs w:val="20"/>
        </w:rPr>
        <w:t>started</w:t>
      </w:r>
      <w:r w:rsidRPr="00044569">
        <w:rPr>
          <w:rFonts w:asciiTheme="majorHAnsi" w:hAnsiTheme="majorHAnsi"/>
          <w:bCs/>
          <w:sz w:val="20"/>
          <w:szCs w:val="20"/>
        </w:rPr>
        <w:t xml:space="preserve"> after March 11, 1990. Therefore, the Commission would not have jurisdiction to rule on them due to a </w:t>
      </w:r>
      <w:proofErr w:type="spellStart"/>
      <w:r w:rsidRPr="00130279">
        <w:rPr>
          <w:rFonts w:asciiTheme="majorHAnsi" w:hAnsiTheme="majorHAnsi"/>
          <w:bCs/>
          <w:i/>
          <w:iCs/>
          <w:sz w:val="20"/>
          <w:szCs w:val="20"/>
        </w:rPr>
        <w:t>ratione</w:t>
      </w:r>
      <w:proofErr w:type="spellEnd"/>
      <w:r w:rsidRPr="00130279">
        <w:rPr>
          <w:rFonts w:asciiTheme="majorHAnsi" w:hAnsiTheme="majorHAnsi"/>
          <w:bCs/>
          <w:i/>
          <w:iCs/>
          <w:sz w:val="20"/>
          <w:szCs w:val="20"/>
        </w:rPr>
        <w:t xml:space="preserve"> </w:t>
      </w:r>
      <w:proofErr w:type="spellStart"/>
      <w:r w:rsidRPr="00130279">
        <w:rPr>
          <w:rFonts w:asciiTheme="majorHAnsi" w:hAnsiTheme="majorHAnsi"/>
          <w:bCs/>
          <w:i/>
          <w:iCs/>
          <w:sz w:val="20"/>
          <w:szCs w:val="20"/>
        </w:rPr>
        <w:t>temporis</w:t>
      </w:r>
      <w:proofErr w:type="spellEnd"/>
      <w:r w:rsidRPr="00044569">
        <w:rPr>
          <w:rFonts w:asciiTheme="majorHAnsi" w:hAnsiTheme="majorHAnsi"/>
          <w:bCs/>
          <w:sz w:val="20"/>
          <w:szCs w:val="20"/>
        </w:rPr>
        <w:t xml:space="preserve"> restriction.</w:t>
      </w:r>
    </w:p>
    <w:p w14:paraId="55505107" w14:textId="28153572" w:rsidR="00F621C3" w:rsidRPr="000B6B7A" w:rsidRDefault="00F621C3" w:rsidP="006C0E96">
      <w:pPr>
        <w:spacing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4FF0C839" w14:textId="25583D1B" w:rsidR="00130279" w:rsidRDefault="00130279" w:rsidP="006C0E96">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130279">
        <w:rPr>
          <w:sz w:val="20"/>
          <w:szCs w:val="20"/>
        </w:rPr>
        <w:t xml:space="preserve">The IACHR notes that the petitioner affirms that the petition is limited to denouncing the lack of access to civil reparation for the alleged victims derived from the kidnapping, torture, and forced disappearance of Patricio </w:t>
      </w:r>
      <w:proofErr w:type="spellStart"/>
      <w:r w:rsidRPr="00130279">
        <w:rPr>
          <w:sz w:val="20"/>
          <w:szCs w:val="20"/>
        </w:rPr>
        <w:t>Héctor</w:t>
      </w:r>
      <w:proofErr w:type="spellEnd"/>
      <w:r w:rsidRPr="00130279">
        <w:rPr>
          <w:sz w:val="20"/>
          <w:szCs w:val="20"/>
        </w:rPr>
        <w:t xml:space="preserve"> Vergara </w:t>
      </w:r>
      <w:proofErr w:type="spellStart"/>
      <w:r w:rsidRPr="00130279">
        <w:rPr>
          <w:sz w:val="20"/>
          <w:szCs w:val="20"/>
        </w:rPr>
        <w:t>Doxrud</w:t>
      </w:r>
      <w:proofErr w:type="spellEnd"/>
      <w:r w:rsidRPr="00130279">
        <w:rPr>
          <w:sz w:val="20"/>
          <w:szCs w:val="20"/>
        </w:rPr>
        <w:t xml:space="preserve">, whose civil lawsuit was rejected based on the grounds of </w:t>
      </w:r>
      <w:r w:rsidRPr="00130279">
        <w:rPr>
          <w:sz w:val="20"/>
          <w:szCs w:val="20"/>
        </w:rPr>
        <w:lastRenderedPageBreak/>
        <w:t>prescription. The Commission observes that in the civil jurisdiction the case was initiated on July 18, 2001 before the 12th Civil Court of Santiago and that on June 13, 2011, the judge of first ins</w:t>
      </w:r>
      <w:r w:rsidR="00091BA9">
        <w:rPr>
          <w:sz w:val="20"/>
          <w:szCs w:val="20"/>
        </w:rPr>
        <w:t>tance issued an order to comply</w:t>
      </w:r>
      <w:r w:rsidRPr="00130279">
        <w:rPr>
          <w:sz w:val="20"/>
          <w:szCs w:val="20"/>
        </w:rPr>
        <w:t xml:space="preserve"> regarding the Supreme Court</w:t>
      </w:r>
      <w:r>
        <w:rPr>
          <w:sz w:val="20"/>
          <w:szCs w:val="20"/>
        </w:rPr>
        <w:t>’s decision</w:t>
      </w:r>
      <w:r w:rsidRPr="00130279">
        <w:rPr>
          <w:sz w:val="20"/>
          <w:szCs w:val="20"/>
        </w:rPr>
        <w:t xml:space="preserve"> o</w:t>
      </w:r>
      <w:r>
        <w:rPr>
          <w:sz w:val="20"/>
          <w:szCs w:val="20"/>
        </w:rPr>
        <w:t>f</w:t>
      </w:r>
      <w:r w:rsidRPr="00130279">
        <w:rPr>
          <w:sz w:val="20"/>
          <w:szCs w:val="20"/>
        </w:rPr>
        <w:t xml:space="preserve"> May 23, 2011, rejecting the petitioners' claims. Based on this, the Commission concludes that domestic remedies have been exhausted and that the present petition meets the requirement established in Article 46.1.a of the Convention.</w:t>
      </w:r>
    </w:p>
    <w:p w14:paraId="19DD2262" w14:textId="1914D9B6" w:rsidR="00130279" w:rsidRPr="00130279" w:rsidRDefault="00130279" w:rsidP="006C0E96">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130279">
        <w:rPr>
          <w:sz w:val="20"/>
          <w:szCs w:val="20"/>
        </w:rPr>
        <w:t xml:space="preserve"> Likewise, the petition was presented to the IACHR on December 13, 2011, complying with the filing deadline requirement established in Articles 46.1.b of the Convention and 32.1 of the IACHR Rules of Procedure.</w:t>
      </w:r>
    </w:p>
    <w:p w14:paraId="70146B96" w14:textId="7FB1A58C" w:rsidR="00F621C3" w:rsidRDefault="00F621C3" w:rsidP="006C0E96">
      <w:pPr>
        <w:pStyle w:val="ListParagraph"/>
        <w:spacing w:after="120"/>
        <w:ind w:left="0" w:firstLine="720"/>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5D28DB47" w14:textId="1D82C387" w:rsidR="00130279" w:rsidRPr="00130279" w:rsidRDefault="008C2E9A" w:rsidP="006C0E96">
      <w:pPr>
        <w:pStyle w:val="ListParagraph"/>
        <w:numPr>
          <w:ilvl w:val="0"/>
          <w:numId w:val="107"/>
        </w:numPr>
        <w:spacing w:after="120"/>
        <w:ind w:left="0" w:firstLine="720"/>
        <w:jc w:val="both"/>
        <w:rPr>
          <w:rFonts w:asciiTheme="majorHAnsi" w:hAnsiTheme="majorHAnsi"/>
          <w:bCs/>
          <w:sz w:val="20"/>
          <w:szCs w:val="20"/>
        </w:rPr>
      </w:pPr>
      <w:r w:rsidRPr="0032474F">
        <w:rPr>
          <w:sz w:val="20"/>
          <w:szCs w:val="20"/>
        </w:rPr>
        <w:t>The Commission observes that the relatives of the alleged victim had access to the remedies provided in the Chilean law and that the matter was analyzed and resolved internally, including by the Supreme Court, the highest judicial instance. However, the petition includes claims regarding the lack of compensation to the relatives of the alleged victim for his kidnapping</w:t>
      </w:r>
      <w:r>
        <w:rPr>
          <w:sz w:val="20"/>
          <w:szCs w:val="20"/>
        </w:rPr>
        <w:t>, torture</w:t>
      </w:r>
      <w:r w:rsidRPr="0032474F">
        <w:rPr>
          <w:sz w:val="20"/>
          <w:szCs w:val="20"/>
        </w:rPr>
        <w:t xml:space="preserve"> and forced disappearance, in judicial application of the statute of limitations in civil matters. Regarding civil actions for reparation for crimes against humanity, as in the present petition, both the Commission and the Inter-American Court have said that the application of the statute of limitations constitutes an obstacle to effective access to justice to guarantee the right of the victims to be repaired, and therefore should not be applied in such circumstances</w:t>
      </w:r>
      <w:r w:rsidRPr="0032474F">
        <w:rPr>
          <w:rStyle w:val="FootnoteReference"/>
          <w:sz w:val="20"/>
          <w:szCs w:val="20"/>
        </w:rPr>
        <w:footnoteReference w:id="8"/>
      </w:r>
      <w:r w:rsidRPr="0032474F">
        <w:rPr>
          <w:sz w:val="20"/>
          <w:szCs w:val="20"/>
        </w:rPr>
        <w:t xml:space="preserve">. Therefore, the Inter-American Commission considers that it is incumbent on it to exercise its complementary competence in this matter and to analyze in the merits stage whether the domestic system offered the petitioners the adequate channels to seek due reparation and guarantee the right to an effective judicial protection. </w:t>
      </w:r>
      <w:r w:rsidRPr="0032474F">
        <w:rPr>
          <w:bCs/>
          <w:sz w:val="20"/>
          <w:szCs w:val="20"/>
        </w:rPr>
        <w:t xml:space="preserve">Taking into account the foregoing, the IACHR </w:t>
      </w:r>
      <w:r w:rsidRPr="0032474F">
        <w:rPr>
          <w:sz w:val="20"/>
          <w:szCs w:val="20"/>
        </w:rPr>
        <w:t xml:space="preserve">considers that the allegations of the petitioners are not manifestly groundless and require an analysis on the merits, since the alleged facts, if proven, could characterize </w:t>
      </w:r>
      <w:r w:rsidRPr="0032474F">
        <w:rPr>
          <w:bCs/>
          <w:sz w:val="20"/>
          <w:szCs w:val="20"/>
        </w:rPr>
        <w:t>violations of Articles 8</w:t>
      </w:r>
      <w:r w:rsidRPr="0032474F">
        <w:rPr>
          <w:sz w:val="20"/>
          <w:szCs w:val="20"/>
          <w:lang w:val="en"/>
        </w:rPr>
        <w:t xml:space="preserve"> (fair trial) and 25 (judicial protection) of the American Convention, with regard to Articles 1.1 (obligation to respect rights) and 2 (domestic legal effects), in conformity with similar cases already decided upon by the IACHR.</w:t>
      </w:r>
      <w:r w:rsidRPr="0032474F">
        <w:rPr>
          <w:rStyle w:val="FootnoteReference"/>
          <w:sz w:val="20"/>
          <w:szCs w:val="20"/>
          <w:lang w:val="en"/>
        </w:rPr>
        <w:footnoteReference w:id="9"/>
      </w:r>
    </w:p>
    <w:p w14:paraId="5A70550C" w14:textId="77777777" w:rsidR="00F621C3" w:rsidRPr="000B6B7A" w:rsidRDefault="00F621C3" w:rsidP="006C0E96">
      <w:pPr>
        <w:pStyle w:val="ListParagraph"/>
        <w:spacing w:after="120"/>
        <w:ind w:left="0" w:firstLine="7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3C7D9FA6" w14:textId="35A8F694" w:rsidR="00CA14B3" w:rsidRPr="00CA14B3" w:rsidRDefault="00CA14B3" w:rsidP="006C0E96">
      <w:pPr>
        <w:pStyle w:val="ListParagraph"/>
        <w:suppressAutoHyphens/>
        <w:spacing w:after="120"/>
        <w:ind w:left="0" w:firstLine="720"/>
        <w:jc w:val="both"/>
        <w:rPr>
          <w:rFonts w:asciiTheme="majorHAnsi" w:hAnsiTheme="majorHAnsi"/>
          <w:sz w:val="20"/>
          <w:szCs w:val="20"/>
        </w:rPr>
      </w:pPr>
      <w:r w:rsidRPr="00CA14B3">
        <w:rPr>
          <w:rFonts w:asciiTheme="majorHAnsi" w:hAnsiTheme="majorHAnsi"/>
          <w:sz w:val="20"/>
          <w:szCs w:val="20"/>
        </w:rPr>
        <w:t xml:space="preserve">1. </w:t>
      </w:r>
      <w:r w:rsidR="00F50752">
        <w:rPr>
          <w:rFonts w:asciiTheme="majorHAnsi" w:hAnsiTheme="majorHAnsi"/>
          <w:sz w:val="20"/>
          <w:szCs w:val="20"/>
        </w:rPr>
        <w:tab/>
      </w:r>
      <w:r w:rsidRPr="00CA14B3">
        <w:rPr>
          <w:rFonts w:asciiTheme="majorHAnsi" w:hAnsiTheme="majorHAnsi"/>
          <w:sz w:val="20"/>
          <w:szCs w:val="20"/>
        </w:rPr>
        <w:t>To declare this petition admissible in relation to Articles 8 and 25 of the American Convention, in relation to Articles 1.1 and 2; and</w:t>
      </w:r>
    </w:p>
    <w:p w14:paraId="1C0B784B" w14:textId="2E086B87" w:rsidR="00DF34C6" w:rsidRDefault="00CA14B3" w:rsidP="006C0E96">
      <w:pPr>
        <w:pStyle w:val="ListParagraph"/>
        <w:suppressAutoHyphens/>
        <w:spacing w:after="120"/>
        <w:ind w:left="0" w:firstLine="720"/>
        <w:jc w:val="both"/>
        <w:rPr>
          <w:rFonts w:asciiTheme="majorHAnsi" w:hAnsiTheme="majorHAnsi"/>
          <w:sz w:val="20"/>
          <w:szCs w:val="20"/>
        </w:rPr>
      </w:pPr>
      <w:r w:rsidRPr="00CA14B3">
        <w:rPr>
          <w:rFonts w:asciiTheme="majorHAnsi" w:hAnsiTheme="majorHAnsi"/>
          <w:sz w:val="20"/>
          <w:szCs w:val="20"/>
        </w:rPr>
        <w:t xml:space="preserve">2. </w:t>
      </w:r>
      <w:r w:rsidR="00F50752">
        <w:rPr>
          <w:rFonts w:asciiTheme="majorHAnsi" w:hAnsiTheme="majorHAnsi"/>
          <w:sz w:val="20"/>
          <w:szCs w:val="20"/>
        </w:rPr>
        <w:tab/>
      </w:r>
      <w:r w:rsidRPr="00CA14B3">
        <w:rPr>
          <w:rFonts w:asciiTheme="majorHAnsi" w:hAnsiTheme="majorHAnsi"/>
          <w:sz w:val="20"/>
          <w:szCs w:val="20"/>
        </w:rPr>
        <w:t>Notify the parties of this decision; continue with the analysis of the merits of the matter; and publish this decision and include it in its Annual Report to the General Assembly of the Organization of American States.</w:t>
      </w:r>
    </w:p>
    <w:p w14:paraId="0C78DB9D" w14:textId="0ACF6FF0" w:rsidR="00DF34C6" w:rsidRDefault="00DF34C6" w:rsidP="00DF34C6">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9</w:t>
      </w:r>
      <w:r w:rsidRPr="00DF34C6">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DF34C6"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33E82" w14:textId="77777777" w:rsidR="00607F58" w:rsidRDefault="00607F58" w:rsidP="00036A8A">
      <w:r>
        <w:separator/>
      </w:r>
    </w:p>
  </w:endnote>
  <w:endnote w:type="continuationSeparator" w:id="0">
    <w:p w14:paraId="4E6955A0" w14:textId="77777777" w:rsidR="00607F58" w:rsidRDefault="00607F5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A0A6A" w14:textId="77777777" w:rsidR="00D002C6" w:rsidRDefault="00D00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21F8A18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002C6">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FBEDA" w14:textId="77777777" w:rsidR="00607F58" w:rsidRPr="00036A8A" w:rsidRDefault="00607F5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BCAEB3C" w14:textId="77777777" w:rsidR="00607F58" w:rsidRPr="00036A8A" w:rsidRDefault="00607F58" w:rsidP="00036A8A">
      <w:pPr>
        <w:rPr>
          <w:rFonts w:asciiTheme="majorHAnsi" w:hAnsiTheme="majorHAnsi"/>
          <w:sz w:val="16"/>
          <w:szCs w:val="16"/>
        </w:rPr>
      </w:pPr>
      <w:r w:rsidRPr="00036A8A">
        <w:rPr>
          <w:rFonts w:asciiTheme="majorHAnsi" w:hAnsiTheme="majorHAnsi"/>
          <w:sz w:val="16"/>
          <w:szCs w:val="16"/>
        </w:rPr>
        <w:separator/>
      </w:r>
    </w:p>
    <w:p w14:paraId="72AF3908" w14:textId="77777777" w:rsidR="00607F58" w:rsidRPr="00036A8A" w:rsidRDefault="00607F5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8270681" w14:textId="77777777" w:rsidR="00607F58" w:rsidRPr="0093441A" w:rsidRDefault="00607F5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FC2AC99" w14:textId="778D9310" w:rsidR="00302748" w:rsidRPr="006C0E96" w:rsidRDefault="00DF34C6" w:rsidP="00302748">
      <w:pPr>
        <w:pStyle w:val="FootnoteText"/>
        <w:jc w:val="both"/>
        <w:rPr>
          <w:rFonts w:asciiTheme="majorHAnsi" w:hAnsiTheme="majorHAnsi"/>
          <w:sz w:val="16"/>
          <w:szCs w:val="16"/>
        </w:rPr>
      </w:pPr>
      <w:r>
        <w:rPr>
          <w:rFonts w:asciiTheme="majorHAnsi" w:hAnsiTheme="majorHAnsi"/>
          <w:sz w:val="16"/>
          <w:szCs w:val="16"/>
        </w:rPr>
        <w:tab/>
      </w:r>
      <w:r w:rsidR="00302748" w:rsidRPr="00734BF3">
        <w:rPr>
          <w:rStyle w:val="FootnoteReference"/>
          <w:rFonts w:asciiTheme="majorHAnsi" w:hAnsiTheme="majorHAnsi"/>
          <w:sz w:val="16"/>
          <w:szCs w:val="16"/>
        </w:rPr>
        <w:footnoteRef/>
      </w:r>
      <w:r w:rsidR="006C0E96">
        <w:rPr>
          <w:rFonts w:asciiTheme="majorHAnsi" w:hAnsiTheme="majorHAnsi"/>
          <w:sz w:val="16"/>
          <w:szCs w:val="16"/>
        </w:rPr>
        <w:t xml:space="preserve"> </w:t>
      </w:r>
      <w:r w:rsidR="00CA14B3" w:rsidRPr="006C0E96">
        <w:rPr>
          <w:rFonts w:asciiTheme="majorHAnsi" w:hAnsiTheme="majorHAnsi"/>
          <w:sz w:val="16"/>
          <w:szCs w:val="16"/>
        </w:rPr>
        <w:t>The petition was also initially filed by Franz Moller Morris, however by way of communication dated September 26, 2017, Franz Moller Morris indicated that he was resigning from being a petitioner.</w:t>
      </w:r>
    </w:p>
  </w:footnote>
  <w:footnote w:id="3">
    <w:p w14:paraId="6831BAC6" w14:textId="3DAF9E8D" w:rsidR="00302748" w:rsidRPr="006C0E96" w:rsidRDefault="00DF34C6" w:rsidP="00302748">
      <w:pPr>
        <w:pStyle w:val="FootnoteText"/>
        <w:jc w:val="both"/>
        <w:rPr>
          <w:rFonts w:asciiTheme="majorHAnsi" w:hAnsiTheme="majorHAnsi"/>
          <w:color w:val="auto"/>
          <w:sz w:val="16"/>
          <w:szCs w:val="16"/>
        </w:rPr>
      </w:pPr>
      <w:r>
        <w:rPr>
          <w:rFonts w:asciiTheme="majorHAnsi" w:hAnsiTheme="majorHAnsi"/>
          <w:color w:val="auto"/>
          <w:sz w:val="16"/>
          <w:szCs w:val="16"/>
        </w:rPr>
        <w:tab/>
      </w:r>
      <w:r w:rsidR="00302748" w:rsidRPr="006A4D5D">
        <w:rPr>
          <w:rStyle w:val="FootnoteReference"/>
          <w:rFonts w:asciiTheme="majorHAnsi" w:hAnsiTheme="majorHAnsi"/>
          <w:sz w:val="16"/>
          <w:szCs w:val="16"/>
        </w:rPr>
        <w:footnoteRef/>
      </w:r>
      <w:r w:rsidR="00CA14B3" w:rsidRPr="006C0E96">
        <w:rPr>
          <w:rFonts w:asciiTheme="majorHAnsi" w:hAnsiTheme="majorHAnsi"/>
          <w:color w:val="auto"/>
          <w:sz w:val="16"/>
          <w:szCs w:val="16"/>
        </w:rPr>
        <w:t xml:space="preserve"> </w:t>
      </w:r>
      <w:proofErr w:type="spellStart"/>
      <w:r w:rsidR="00CA14B3" w:rsidRPr="006C0E96">
        <w:rPr>
          <w:rFonts w:asciiTheme="majorHAnsi" w:hAnsiTheme="majorHAnsi"/>
          <w:color w:val="auto"/>
          <w:sz w:val="16"/>
          <w:szCs w:val="16"/>
        </w:rPr>
        <w:t>Mónica</w:t>
      </w:r>
      <w:proofErr w:type="spellEnd"/>
      <w:r w:rsidR="00CA14B3" w:rsidRPr="006C0E96">
        <w:rPr>
          <w:rFonts w:asciiTheme="majorHAnsi" w:hAnsiTheme="majorHAnsi"/>
          <w:color w:val="auto"/>
          <w:sz w:val="16"/>
          <w:szCs w:val="16"/>
        </w:rPr>
        <w:t xml:space="preserve"> García </w:t>
      </w:r>
      <w:proofErr w:type="spellStart"/>
      <w:r w:rsidR="00CA14B3" w:rsidRPr="006C0E96">
        <w:rPr>
          <w:rFonts w:asciiTheme="majorHAnsi" w:hAnsiTheme="majorHAnsi"/>
          <w:color w:val="auto"/>
          <w:sz w:val="16"/>
          <w:szCs w:val="16"/>
        </w:rPr>
        <w:t>Vivanco</w:t>
      </w:r>
      <w:proofErr w:type="spellEnd"/>
      <w:r w:rsidR="00CA14B3" w:rsidRPr="006C0E96">
        <w:rPr>
          <w:rFonts w:asciiTheme="majorHAnsi" w:hAnsiTheme="majorHAnsi"/>
          <w:color w:val="auto"/>
          <w:sz w:val="16"/>
          <w:szCs w:val="16"/>
        </w:rPr>
        <w:t>, widow of the alleged victim, Patricio Ignacio Vergara García and Macarena de Lourdes Vergara Garcia, children of the alleged victim.</w:t>
      </w:r>
    </w:p>
  </w:footnote>
  <w:footnote w:id="4">
    <w:p w14:paraId="0A52D8D6" w14:textId="2A4DC3DE" w:rsidR="00302748" w:rsidRPr="006C0E96" w:rsidRDefault="00DF34C6" w:rsidP="00302748">
      <w:pPr>
        <w:pStyle w:val="FootnoteText"/>
        <w:jc w:val="both"/>
        <w:rPr>
          <w:rFonts w:asciiTheme="majorHAnsi" w:hAnsiTheme="majorHAnsi"/>
          <w:sz w:val="16"/>
          <w:szCs w:val="16"/>
        </w:rPr>
      </w:pPr>
      <w:r>
        <w:rPr>
          <w:rFonts w:asciiTheme="majorHAnsi" w:hAnsiTheme="majorHAnsi"/>
          <w:color w:val="auto"/>
          <w:sz w:val="16"/>
          <w:szCs w:val="16"/>
        </w:rPr>
        <w:tab/>
      </w:r>
      <w:r w:rsidR="00302748" w:rsidRPr="007D4106">
        <w:rPr>
          <w:rStyle w:val="FootnoteReference"/>
          <w:rFonts w:asciiTheme="majorHAnsi" w:hAnsiTheme="majorHAnsi"/>
          <w:color w:val="auto"/>
          <w:sz w:val="16"/>
          <w:szCs w:val="16"/>
        </w:rPr>
        <w:footnoteRef/>
      </w:r>
      <w:r w:rsidR="00CA14B3" w:rsidRPr="006C0E96">
        <w:rPr>
          <w:rFonts w:asciiTheme="majorHAnsi" w:hAnsiTheme="majorHAnsi"/>
          <w:color w:val="auto"/>
          <w:sz w:val="16"/>
          <w:szCs w:val="16"/>
        </w:rPr>
        <w:t>Pursuant to Article 17.2.</w:t>
      </w:r>
      <w:proofErr w:type="spellStart"/>
      <w:r w:rsidR="00CA14B3" w:rsidRPr="006C0E96">
        <w:rPr>
          <w:rFonts w:asciiTheme="majorHAnsi" w:hAnsiTheme="majorHAnsi"/>
          <w:color w:val="auto"/>
          <w:sz w:val="16"/>
          <w:szCs w:val="16"/>
        </w:rPr>
        <w:t>a</w:t>
      </w:r>
      <w:proofErr w:type="spellEnd"/>
      <w:r w:rsidR="00CA14B3" w:rsidRPr="006C0E96">
        <w:rPr>
          <w:rFonts w:asciiTheme="majorHAnsi" w:hAnsiTheme="majorHAnsi"/>
          <w:color w:val="auto"/>
          <w:sz w:val="16"/>
          <w:szCs w:val="16"/>
        </w:rPr>
        <w:t xml:space="preserve"> of the Commission's Regulations, Commissioner Antonia Urrejola Noguera, a Chilean national, did not participate in the debate </w:t>
      </w:r>
      <w:r w:rsidR="00D86AC6" w:rsidRPr="006C0E96">
        <w:rPr>
          <w:rFonts w:asciiTheme="majorHAnsi" w:hAnsiTheme="majorHAnsi"/>
          <w:color w:val="auto"/>
          <w:sz w:val="16"/>
          <w:szCs w:val="16"/>
        </w:rPr>
        <w:t>n</w:t>
      </w:r>
      <w:r w:rsidR="00CA14B3" w:rsidRPr="006C0E96">
        <w:rPr>
          <w:rFonts w:asciiTheme="majorHAnsi" w:hAnsiTheme="majorHAnsi"/>
          <w:color w:val="auto"/>
          <w:sz w:val="16"/>
          <w:szCs w:val="16"/>
        </w:rPr>
        <w:t>or decision on this matter</w:t>
      </w:r>
      <w:r w:rsidR="00302748" w:rsidRPr="006C0E96">
        <w:rPr>
          <w:rFonts w:asciiTheme="majorHAnsi" w:hAnsiTheme="majorHAnsi"/>
          <w:color w:val="auto"/>
          <w:sz w:val="16"/>
          <w:szCs w:val="16"/>
        </w:rPr>
        <w:t>.</w:t>
      </w:r>
    </w:p>
  </w:footnote>
  <w:footnote w:id="5">
    <w:p w14:paraId="6B38B830" w14:textId="2A43EF61" w:rsidR="00302748" w:rsidRPr="006C0E96" w:rsidRDefault="00DF34C6" w:rsidP="00302748">
      <w:pPr>
        <w:pStyle w:val="FootnoteText"/>
        <w:jc w:val="both"/>
        <w:rPr>
          <w:rFonts w:asciiTheme="majorHAnsi" w:hAnsiTheme="majorHAnsi"/>
          <w:sz w:val="16"/>
          <w:szCs w:val="16"/>
        </w:rPr>
      </w:pPr>
      <w:r>
        <w:rPr>
          <w:rFonts w:asciiTheme="majorHAnsi" w:hAnsiTheme="majorHAnsi"/>
          <w:sz w:val="16"/>
          <w:szCs w:val="16"/>
        </w:rPr>
        <w:tab/>
      </w:r>
      <w:r w:rsidR="00302748" w:rsidRPr="00734BF3">
        <w:rPr>
          <w:rStyle w:val="FootnoteReference"/>
          <w:rFonts w:asciiTheme="majorHAnsi" w:hAnsiTheme="majorHAnsi"/>
          <w:sz w:val="16"/>
          <w:szCs w:val="16"/>
        </w:rPr>
        <w:footnoteRef/>
      </w:r>
      <w:r w:rsidR="00CA14B3" w:rsidRPr="006C0E96">
        <w:rPr>
          <w:rFonts w:asciiTheme="majorHAnsi" w:hAnsiTheme="majorHAnsi"/>
          <w:sz w:val="16"/>
          <w:szCs w:val="16"/>
        </w:rPr>
        <w:t xml:space="preserve"> Hereinafter "the American Convention" or "the Convention".</w:t>
      </w:r>
    </w:p>
  </w:footnote>
  <w:footnote w:id="6">
    <w:p w14:paraId="6F51BDAF" w14:textId="0318F339" w:rsidR="00653EA6" w:rsidRPr="000B6B7A" w:rsidRDefault="00DF34C6" w:rsidP="00CA14B3">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7">
    <w:p w14:paraId="7C5F758D" w14:textId="315A0348" w:rsidR="00CA14B3" w:rsidRPr="006C0E96" w:rsidRDefault="00DF34C6" w:rsidP="00CA14B3">
      <w:pPr>
        <w:pStyle w:val="FootnoteText"/>
        <w:jc w:val="both"/>
      </w:pPr>
      <w:r>
        <w:rPr>
          <w:rFonts w:asciiTheme="majorHAnsi" w:hAnsiTheme="majorHAnsi"/>
          <w:sz w:val="16"/>
          <w:szCs w:val="16"/>
        </w:rPr>
        <w:tab/>
      </w:r>
      <w:r w:rsidR="00CA14B3" w:rsidRPr="002E5993">
        <w:rPr>
          <w:rStyle w:val="FootnoteReference"/>
          <w:rFonts w:asciiTheme="majorHAnsi" w:hAnsiTheme="majorHAnsi"/>
          <w:sz w:val="16"/>
          <w:szCs w:val="16"/>
        </w:rPr>
        <w:footnoteRef/>
      </w:r>
      <w:r w:rsidR="00CA14B3" w:rsidRPr="006C0E96">
        <w:rPr>
          <w:rFonts w:asciiTheme="majorHAnsi" w:hAnsiTheme="majorHAnsi"/>
          <w:sz w:val="16"/>
          <w:szCs w:val="16"/>
        </w:rPr>
        <w:t xml:space="preserve"> The petitioner based his account and the events denounced in this petition on the report of the National Truth and Reconciliation Commission (</w:t>
      </w:r>
      <w:proofErr w:type="spellStart"/>
      <w:r w:rsidR="00CA14B3" w:rsidRPr="006C0E96">
        <w:rPr>
          <w:rFonts w:asciiTheme="majorHAnsi" w:hAnsiTheme="majorHAnsi"/>
          <w:sz w:val="16"/>
          <w:szCs w:val="16"/>
        </w:rPr>
        <w:t>Rettig</w:t>
      </w:r>
      <w:proofErr w:type="spellEnd"/>
      <w:r w:rsidR="00CA14B3" w:rsidRPr="006C0E96">
        <w:rPr>
          <w:rFonts w:asciiTheme="majorHAnsi" w:hAnsiTheme="majorHAnsi"/>
          <w:sz w:val="16"/>
          <w:szCs w:val="16"/>
        </w:rPr>
        <w:t xml:space="preserve"> Report).</w:t>
      </w:r>
    </w:p>
  </w:footnote>
  <w:footnote w:id="8">
    <w:p w14:paraId="3FFE7280" w14:textId="41E78282" w:rsidR="008C2E9A" w:rsidRPr="00A022F8" w:rsidRDefault="00DF34C6" w:rsidP="008C2E9A">
      <w:pPr>
        <w:pStyle w:val="FootnoteText"/>
        <w:jc w:val="both"/>
        <w:rPr>
          <w:rFonts w:ascii="Cambria" w:hAnsi="Cambria"/>
          <w:sz w:val="16"/>
          <w:szCs w:val="16"/>
        </w:rPr>
      </w:pPr>
      <w:r>
        <w:rPr>
          <w:rFonts w:ascii="Cambria" w:hAnsi="Cambria"/>
          <w:sz w:val="16"/>
          <w:szCs w:val="16"/>
        </w:rPr>
        <w:tab/>
      </w:r>
      <w:r w:rsidR="008C2E9A" w:rsidRPr="00A022F8">
        <w:rPr>
          <w:rStyle w:val="FootnoteReference"/>
          <w:rFonts w:ascii="Cambria" w:hAnsi="Cambria"/>
          <w:sz w:val="16"/>
          <w:szCs w:val="16"/>
        </w:rPr>
        <w:footnoteRef/>
      </w:r>
      <w:r w:rsidR="008C2E9A" w:rsidRPr="008C2E9A">
        <w:rPr>
          <w:rFonts w:ascii="Cambria" w:hAnsi="Cambria"/>
          <w:sz w:val="16"/>
          <w:szCs w:val="16"/>
        </w:rPr>
        <w:t xml:space="preserve"> </w:t>
      </w:r>
      <w:r w:rsidR="008C2E9A" w:rsidRPr="008C2E9A">
        <w:rPr>
          <w:rFonts w:ascii="Cambria" w:eastAsia="Times New Roman" w:hAnsi="Cambria"/>
          <w:sz w:val="16"/>
          <w:szCs w:val="16"/>
          <w:lang w:eastAsia="fr-FR"/>
        </w:rPr>
        <w:t xml:space="preserve">IACHR, Report No. 52/16, Case 12.521. </w:t>
      </w:r>
      <w:r w:rsidR="008C2E9A" w:rsidRPr="00A022F8">
        <w:rPr>
          <w:rFonts w:ascii="Cambria" w:eastAsia="Times New Roman" w:hAnsi="Cambria"/>
          <w:sz w:val="16"/>
          <w:szCs w:val="16"/>
          <w:lang w:eastAsia="fr-FR"/>
        </w:rPr>
        <w:t xml:space="preserve">Background. Maria Laura </w:t>
      </w:r>
      <w:proofErr w:type="spellStart"/>
      <w:r w:rsidR="008C2E9A" w:rsidRPr="00A022F8">
        <w:rPr>
          <w:rFonts w:ascii="Cambria" w:eastAsia="Times New Roman" w:hAnsi="Cambria"/>
          <w:sz w:val="16"/>
          <w:szCs w:val="16"/>
          <w:lang w:eastAsia="fr-FR"/>
        </w:rPr>
        <w:t>Ordenes</w:t>
      </w:r>
      <w:proofErr w:type="spellEnd"/>
      <w:r w:rsidR="008C2E9A" w:rsidRPr="00A022F8">
        <w:rPr>
          <w:rFonts w:ascii="Cambria" w:eastAsia="Times New Roman" w:hAnsi="Cambria"/>
          <w:sz w:val="16"/>
          <w:szCs w:val="16"/>
          <w:lang w:eastAsia="fr-FR"/>
        </w:rPr>
        <w:t xml:space="preserve"> Guerra and others. Chile. November 30, 2016, para. 134; See also IACHR, Report No. 5/19, Petition 1560-08. Admissibility. Juan Paredes Barrientos and Family. Chile. January 31, 2019; I/A Court HR, Case of </w:t>
      </w:r>
      <w:proofErr w:type="spellStart"/>
      <w:r w:rsidR="008C2E9A" w:rsidRPr="00A022F8">
        <w:rPr>
          <w:rFonts w:ascii="Cambria" w:eastAsia="Times New Roman" w:hAnsi="Cambria"/>
          <w:sz w:val="16"/>
          <w:szCs w:val="16"/>
          <w:lang w:eastAsia="fr-FR"/>
        </w:rPr>
        <w:t>Ordenes</w:t>
      </w:r>
      <w:proofErr w:type="spellEnd"/>
      <w:r w:rsidR="008C2E9A" w:rsidRPr="00A022F8">
        <w:rPr>
          <w:rFonts w:ascii="Cambria" w:eastAsia="Times New Roman" w:hAnsi="Cambria"/>
          <w:sz w:val="16"/>
          <w:szCs w:val="16"/>
          <w:lang w:eastAsia="fr-FR"/>
        </w:rPr>
        <w:t xml:space="preserve"> Guerra and others vs. Chile, Judgment of November 29, 2018 (Merits, Reparations and Costs), para. 89.</w:t>
      </w:r>
    </w:p>
  </w:footnote>
  <w:footnote w:id="9">
    <w:p w14:paraId="1F7B5D96" w14:textId="4E15387E" w:rsidR="008C2E9A" w:rsidRPr="00A022F8" w:rsidRDefault="00DF34C6" w:rsidP="008C2E9A">
      <w:pPr>
        <w:pStyle w:val="FootnoteText"/>
        <w:jc w:val="both"/>
        <w:rPr>
          <w:rFonts w:ascii="Cambria" w:hAnsi="Cambria"/>
          <w:sz w:val="16"/>
          <w:szCs w:val="16"/>
          <w:lang w:val="fr-CA"/>
        </w:rPr>
      </w:pPr>
      <w:r>
        <w:rPr>
          <w:rFonts w:ascii="Cambria" w:hAnsi="Cambria"/>
          <w:sz w:val="16"/>
          <w:szCs w:val="16"/>
        </w:rPr>
        <w:tab/>
      </w:r>
      <w:r w:rsidR="008C2E9A" w:rsidRPr="00A022F8">
        <w:rPr>
          <w:rStyle w:val="FootnoteReference"/>
          <w:rFonts w:ascii="Cambria" w:hAnsi="Cambria"/>
          <w:sz w:val="16"/>
          <w:szCs w:val="16"/>
        </w:rPr>
        <w:footnoteRef/>
      </w:r>
      <w:r w:rsidR="008C2E9A" w:rsidRPr="008C2E9A">
        <w:rPr>
          <w:rFonts w:ascii="Cambria" w:hAnsi="Cambria"/>
          <w:sz w:val="16"/>
          <w:szCs w:val="16"/>
        </w:rPr>
        <w:t xml:space="preserve"> See IACHR, Report No. 152/17. </w:t>
      </w:r>
      <w:r w:rsidR="008C2E9A" w:rsidRPr="00A022F8">
        <w:rPr>
          <w:rFonts w:ascii="Cambria" w:hAnsi="Cambria"/>
          <w:sz w:val="16"/>
          <w:szCs w:val="16"/>
          <w:lang w:val="en"/>
        </w:rPr>
        <w:t xml:space="preserve">Admissibility. Hugo </w:t>
      </w:r>
      <w:proofErr w:type="spellStart"/>
      <w:r w:rsidR="008C2E9A" w:rsidRPr="00A022F8">
        <w:rPr>
          <w:rFonts w:ascii="Cambria" w:hAnsi="Cambria"/>
          <w:sz w:val="16"/>
          <w:szCs w:val="16"/>
          <w:lang w:val="en"/>
        </w:rPr>
        <w:t>Tomás</w:t>
      </w:r>
      <w:proofErr w:type="spellEnd"/>
      <w:r w:rsidR="008C2E9A" w:rsidRPr="00A022F8">
        <w:rPr>
          <w:rFonts w:ascii="Cambria" w:hAnsi="Cambria"/>
          <w:sz w:val="16"/>
          <w:szCs w:val="16"/>
          <w:lang w:val="en"/>
        </w:rPr>
        <w:t xml:space="preserve"> </w:t>
      </w:r>
      <w:proofErr w:type="spellStart"/>
      <w:r w:rsidR="008C2E9A" w:rsidRPr="00A022F8">
        <w:rPr>
          <w:rFonts w:ascii="Cambria" w:hAnsi="Cambria"/>
          <w:sz w:val="16"/>
          <w:szCs w:val="16"/>
          <w:lang w:val="en"/>
        </w:rPr>
        <w:t>Martínez</w:t>
      </w:r>
      <w:proofErr w:type="spellEnd"/>
      <w:r w:rsidR="008C2E9A" w:rsidRPr="00A022F8">
        <w:rPr>
          <w:rFonts w:ascii="Cambria" w:hAnsi="Cambria"/>
          <w:sz w:val="16"/>
          <w:szCs w:val="16"/>
          <w:lang w:val="en"/>
        </w:rPr>
        <w:t xml:space="preserve"> </w:t>
      </w:r>
      <w:proofErr w:type="spellStart"/>
      <w:r w:rsidR="008C2E9A" w:rsidRPr="00A022F8">
        <w:rPr>
          <w:rFonts w:ascii="Cambria" w:hAnsi="Cambria"/>
          <w:sz w:val="16"/>
          <w:szCs w:val="16"/>
          <w:lang w:val="en"/>
        </w:rPr>
        <w:t>Guillén</w:t>
      </w:r>
      <w:proofErr w:type="spellEnd"/>
      <w:r w:rsidR="008C2E9A" w:rsidRPr="00A022F8">
        <w:rPr>
          <w:rFonts w:ascii="Cambria" w:hAnsi="Cambria"/>
          <w:sz w:val="16"/>
          <w:szCs w:val="16"/>
          <w:lang w:val="en"/>
        </w:rPr>
        <w:t xml:space="preserve"> and Others. 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607F58"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4290" w14:textId="77777777" w:rsidR="00D002C6" w:rsidRDefault="00D00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F90DD6"/>
    <w:multiLevelType w:val="hybridMultilevel"/>
    <w:tmpl w:val="2EE4408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2"/>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55"/>
  </w:num>
  <w:num w:numId="107">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569"/>
    <w:rsid w:val="000639C0"/>
    <w:rsid w:val="00070F3A"/>
    <w:rsid w:val="000716C5"/>
    <w:rsid w:val="00075E23"/>
    <w:rsid w:val="00091BA9"/>
    <w:rsid w:val="00092F32"/>
    <w:rsid w:val="0009344A"/>
    <w:rsid w:val="000A575F"/>
    <w:rsid w:val="000B13DA"/>
    <w:rsid w:val="000C4365"/>
    <w:rsid w:val="000D10DB"/>
    <w:rsid w:val="000F2EE0"/>
    <w:rsid w:val="00124116"/>
    <w:rsid w:val="00130279"/>
    <w:rsid w:val="0013104F"/>
    <w:rsid w:val="00137EBA"/>
    <w:rsid w:val="00145EDC"/>
    <w:rsid w:val="00153084"/>
    <w:rsid w:val="00157B97"/>
    <w:rsid w:val="00167A34"/>
    <w:rsid w:val="001714B4"/>
    <w:rsid w:val="00177536"/>
    <w:rsid w:val="0018037F"/>
    <w:rsid w:val="001A5F27"/>
    <w:rsid w:val="001A65E4"/>
    <w:rsid w:val="001A7870"/>
    <w:rsid w:val="001C1B41"/>
    <w:rsid w:val="001C6DCF"/>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763D3"/>
    <w:rsid w:val="002B7A85"/>
    <w:rsid w:val="002C1641"/>
    <w:rsid w:val="002D7EA2"/>
    <w:rsid w:val="002E15DF"/>
    <w:rsid w:val="002E187C"/>
    <w:rsid w:val="002E6E57"/>
    <w:rsid w:val="00301075"/>
    <w:rsid w:val="00302733"/>
    <w:rsid w:val="00302748"/>
    <w:rsid w:val="00311A4F"/>
    <w:rsid w:val="00314078"/>
    <w:rsid w:val="00321AFD"/>
    <w:rsid w:val="00322450"/>
    <w:rsid w:val="003246B5"/>
    <w:rsid w:val="0033169F"/>
    <w:rsid w:val="003414AC"/>
    <w:rsid w:val="00356185"/>
    <w:rsid w:val="00360380"/>
    <w:rsid w:val="003771A3"/>
    <w:rsid w:val="00386CF0"/>
    <w:rsid w:val="003A18A7"/>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C7A36"/>
    <w:rsid w:val="004D6025"/>
    <w:rsid w:val="004D72BC"/>
    <w:rsid w:val="004F6B67"/>
    <w:rsid w:val="00501399"/>
    <w:rsid w:val="00507BC4"/>
    <w:rsid w:val="005128E4"/>
    <w:rsid w:val="00525560"/>
    <w:rsid w:val="005357A6"/>
    <w:rsid w:val="005406C2"/>
    <w:rsid w:val="00544C49"/>
    <w:rsid w:val="005607F2"/>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07F58"/>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0E96"/>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32B"/>
    <w:rsid w:val="00837C45"/>
    <w:rsid w:val="00853419"/>
    <w:rsid w:val="00897E12"/>
    <w:rsid w:val="008C2E9A"/>
    <w:rsid w:val="008D43BA"/>
    <w:rsid w:val="008E3759"/>
    <w:rsid w:val="009041DC"/>
    <w:rsid w:val="009104B4"/>
    <w:rsid w:val="009228DA"/>
    <w:rsid w:val="00925FCD"/>
    <w:rsid w:val="0093441A"/>
    <w:rsid w:val="00954BF7"/>
    <w:rsid w:val="00956DFD"/>
    <w:rsid w:val="0096706E"/>
    <w:rsid w:val="00981FBA"/>
    <w:rsid w:val="009B381B"/>
    <w:rsid w:val="009D41B0"/>
    <w:rsid w:val="009D7611"/>
    <w:rsid w:val="009E53DE"/>
    <w:rsid w:val="009E566A"/>
    <w:rsid w:val="00A12DBC"/>
    <w:rsid w:val="00A15317"/>
    <w:rsid w:val="00A23E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E45B0"/>
    <w:rsid w:val="00BF4B32"/>
    <w:rsid w:val="00C14851"/>
    <w:rsid w:val="00C21762"/>
    <w:rsid w:val="00C24543"/>
    <w:rsid w:val="00C256A2"/>
    <w:rsid w:val="00C27526"/>
    <w:rsid w:val="00C3492D"/>
    <w:rsid w:val="00C55560"/>
    <w:rsid w:val="00C66B72"/>
    <w:rsid w:val="00C9567A"/>
    <w:rsid w:val="00CA14B3"/>
    <w:rsid w:val="00CA6577"/>
    <w:rsid w:val="00CB2660"/>
    <w:rsid w:val="00CC5E90"/>
    <w:rsid w:val="00CD046C"/>
    <w:rsid w:val="00CE38AA"/>
    <w:rsid w:val="00CE5199"/>
    <w:rsid w:val="00CE66D5"/>
    <w:rsid w:val="00CF540A"/>
    <w:rsid w:val="00D002C6"/>
    <w:rsid w:val="00D34786"/>
    <w:rsid w:val="00D40A1E"/>
    <w:rsid w:val="00D533C0"/>
    <w:rsid w:val="00D712D3"/>
    <w:rsid w:val="00D71422"/>
    <w:rsid w:val="00D7145E"/>
    <w:rsid w:val="00D75084"/>
    <w:rsid w:val="00D7558D"/>
    <w:rsid w:val="00D81D92"/>
    <w:rsid w:val="00D86AC6"/>
    <w:rsid w:val="00D93446"/>
    <w:rsid w:val="00DA7B5F"/>
    <w:rsid w:val="00DF078B"/>
    <w:rsid w:val="00DF34C6"/>
    <w:rsid w:val="00DF350D"/>
    <w:rsid w:val="00E227C1"/>
    <w:rsid w:val="00E43157"/>
    <w:rsid w:val="00E47F3D"/>
    <w:rsid w:val="00E533FF"/>
    <w:rsid w:val="00E709B3"/>
    <w:rsid w:val="00E7588C"/>
    <w:rsid w:val="00E850B6"/>
    <w:rsid w:val="00E8789F"/>
    <w:rsid w:val="00E97B71"/>
    <w:rsid w:val="00EB454D"/>
    <w:rsid w:val="00ED0D1B"/>
    <w:rsid w:val="00EE3522"/>
    <w:rsid w:val="00EF619B"/>
    <w:rsid w:val="00EF71BA"/>
    <w:rsid w:val="00F00B55"/>
    <w:rsid w:val="00F1380F"/>
    <w:rsid w:val="00F14F0E"/>
    <w:rsid w:val="00F15A3B"/>
    <w:rsid w:val="00F24C29"/>
    <w:rsid w:val="00F253CC"/>
    <w:rsid w:val="00F25A0A"/>
    <w:rsid w:val="00F42B71"/>
    <w:rsid w:val="00F50752"/>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2B1507"/>
    <w:rsid w:val="004108B1"/>
    <w:rsid w:val="006820AF"/>
    <w:rsid w:val="00733948"/>
    <w:rsid w:val="008250CF"/>
    <w:rsid w:val="00AB44F1"/>
    <w:rsid w:val="00BA7C1A"/>
    <w:rsid w:val="00C23A73"/>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A546-22FD-4161-B32A-0B6DF85C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151/20</dc:title>
  <dc:creator/>
  <cp:lastModifiedBy/>
  <cp:revision>1</cp:revision>
  <dcterms:created xsi:type="dcterms:W3CDTF">2020-07-22T16:08:00Z</dcterms:created>
  <dcterms:modified xsi:type="dcterms:W3CDTF">2020-07-22T16:09:00Z</dcterms:modified>
</cp:coreProperties>
</file>