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A912" w14:textId="34D72903" w:rsidR="00040C3A" w:rsidRPr="009B3F2A" w:rsidRDefault="00CC30D6" w:rsidP="009B3F2A">
      <w:pPr>
        <w:ind w:firstLine="720"/>
        <w:jc w:val="both"/>
        <w:rPr>
          <w:rFonts w:asciiTheme="majorHAnsi" w:hAnsiTheme="majorHAnsi" w:cs="Univers"/>
          <w:b/>
          <w:bCs/>
          <w:sz w:val="20"/>
          <w:szCs w:val="20"/>
          <w:lang w:val="es-ES_tradnl"/>
        </w:rPr>
      </w:pPr>
      <w:r>
        <w:rPr>
          <w:noProof/>
        </w:rPr>
        <mc:AlternateContent>
          <mc:Choice Requires="wps">
            <w:drawing>
              <wp:anchor distT="0" distB="0" distL="114300" distR="114300" simplePos="0" relativeHeight="251684864" behindDoc="0" locked="0" layoutInCell="1" allowOverlap="1" wp14:anchorId="3D4D37A0" wp14:editId="50281FC1">
                <wp:simplePos x="0" y="0"/>
                <wp:positionH relativeFrom="column">
                  <wp:posOffset>-228600</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4071E" id="Rectangle 1" o:spid="_x0000_s1026" style="position:absolute;margin-left:-18pt;margin-top:-30pt;width:111pt;height:706.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" fillcolor="#67ae3c" stroked="f" strokeweight="2pt"/>
            </w:pict>
          </mc:Fallback>
        </mc:AlternateContent>
      </w:r>
      <w:r w:rsidR="003E6CA1" w:rsidRPr="009B3F2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77BDC00" wp14:editId="5217D1C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17FC3" w14:textId="2751F2C3" w:rsidR="00174051" w:rsidRDefault="00CC30D6" w:rsidP="00AE5488">
                            <w:r>
                              <w:rPr>
                                <w:noProof/>
                              </w:rPr>
                              <w:drawing>
                                <wp:inline distT="0" distB="0" distL="0" distR="0" wp14:anchorId="0DDAF5B7" wp14:editId="241133EA">
                                  <wp:extent cx="2522220" cy="485775"/>
                                  <wp:effectExtent l="0" t="0" r="0" b="9525"/>
                                  <wp:docPr id="15" name="Picture 15"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174051">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BDC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8817FC3" w14:textId="2751F2C3" w:rsidR="00174051" w:rsidRDefault="00CC30D6" w:rsidP="00AE5488">
                      <w:r>
                        <w:rPr>
                          <w:noProof/>
                        </w:rPr>
                        <w:drawing>
                          <wp:inline distT="0" distB="0" distL="0" distR="0" wp14:anchorId="0DDAF5B7" wp14:editId="241133EA">
                            <wp:extent cx="2522220" cy="485775"/>
                            <wp:effectExtent l="0" t="0" r="0" b="9525"/>
                            <wp:docPr id="15" name="Picture 15"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174051">
                        <w:tab/>
                        <w:t xml:space="preserve">                              </w:t>
                      </w:r>
                    </w:p>
                  </w:txbxContent>
                </v:textbox>
              </v:shape>
            </w:pict>
          </mc:Fallback>
        </mc:AlternateContent>
      </w:r>
    </w:p>
    <w:p w14:paraId="39BC0F80" w14:textId="77777777" w:rsidR="00040C3A" w:rsidRPr="009B3F2A" w:rsidRDefault="00040C3A" w:rsidP="009B3F2A">
      <w:pPr>
        <w:tabs>
          <w:tab w:val="center" w:pos="5400"/>
        </w:tabs>
        <w:suppressAutoHyphens/>
        <w:ind w:firstLine="720"/>
        <w:jc w:val="both"/>
        <w:rPr>
          <w:rFonts w:asciiTheme="majorHAnsi" w:hAnsiTheme="majorHAnsi"/>
          <w:sz w:val="20"/>
          <w:szCs w:val="20"/>
          <w:lang w:val="es-ES"/>
        </w:rPr>
      </w:pPr>
    </w:p>
    <w:p w14:paraId="7EAB73FE" w14:textId="77777777" w:rsidR="00040C3A" w:rsidRPr="009B3F2A" w:rsidRDefault="00040C3A" w:rsidP="009B3F2A">
      <w:pPr>
        <w:tabs>
          <w:tab w:val="center" w:pos="5400"/>
        </w:tabs>
        <w:suppressAutoHyphens/>
        <w:ind w:firstLine="720"/>
        <w:jc w:val="both"/>
        <w:rPr>
          <w:rFonts w:asciiTheme="majorHAnsi" w:hAnsiTheme="majorHAnsi"/>
          <w:sz w:val="20"/>
          <w:szCs w:val="20"/>
          <w:lang w:val="es-ES"/>
        </w:rPr>
      </w:pPr>
    </w:p>
    <w:p w14:paraId="128DD6F4" w14:textId="77777777" w:rsidR="005128E4" w:rsidRPr="009B3F2A" w:rsidRDefault="005128E4" w:rsidP="009B3F2A">
      <w:pPr>
        <w:tabs>
          <w:tab w:val="center" w:pos="5400"/>
        </w:tabs>
        <w:suppressAutoHyphens/>
        <w:ind w:firstLine="720"/>
        <w:rPr>
          <w:rFonts w:asciiTheme="majorHAnsi" w:hAnsiTheme="majorHAnsi"/>
          <w:sz w:val="20"/>
          <w:szCs w:val="20"/>
          <w:lang w:val="es-ES_tradnl"/>
        </w:rPr>
      </w:pPr>
    </w:p>
    <w:p w14:paraId="667C15E5" w14:textId="77777777" w:rsidR="005128E4" w:rsidRPr="009B3F2A" w:rsidRDefault="005128E4" w:rsidP="009B3F2A">
      <w:pPr>
        <w:tabs>
          <w:tab w:val="center" w:pos="5400"/>
        </w:tabs>
        <w:suppressAutoHyphens/>
        <w:ind w:firstLine="720"/>
        <w:rPr>
          <w:rFonts w:asciiTheme="majorHAnsi" w:hAnsiTheme="majorHAnsi"/>
          <w:sz w:val="20"/>
          <w:szCs w:val="20"/>
          <w:lang w:val="es-ES_tradnl"/>
        </w:rPr>
      </w:pPr>
    </w:p>
    <w:p w14:paraId="4160E86E" w14:textId="77777777" w:rsidR="005128E4" w:rsidRPr="009B3F2A" w:rsidRDefault="005128E4" w:rsidP="009B3F2A">
      <w:pPr>
        <w:tabs>
          <w:tab w:val="center" w:pos="5400"/>
        </w:tabs>
        <w:suppressAutoHyphens/>
        <w:ind w:firstLine="720"/>
        <w:rPr>
          <w:rFonts w:asciiTheme="majorHAnsi" w:hAnsiTheme="majorHAnsi"/>
          <w:sz w:val="20"/>
          <w:szCs w:val="20"/>
          <w:lang w:val="es-ES_tradnl"/>
        </w:rPr>
      </w:pPr>
    </w:p>
    <w:p w14:paraId="3DC18F90"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45AD6BB7"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290A349B" w14:textId="77777777" w:rsidR="005B52B0" w:rsidRPr="009B3F2A" w:rsidRDefault="005B52B0" w:rsidP="009B3F2A">
      <w:pPr>
        <w:tabs>
          <w:tab w:val="center" w:pos="5400"/>
        </w:tabs>
        <w:suppressAutoHyphens/>
        <w:ind w:firstLine="720"/>
        <w:jc w:val="center"/>
        <w:rPr>
          <w:rFonts w:asciiTheme="majorHAnsi" w:hAnsiTheme="majorHAnsi"/>
          <w:sz w:val="20"/>
          <w:szCs w:val="20"/>
          <w:lang w:val="es-ES_tradnl"/>
        </w:rPr>
      </w:pPr>
    </w:p>
    <w:p w14:paraId="0790F215" w14:textId="77777777" w:rsidR="005B52B0" w:rsidRPr="009B3F2A" w:rsidRDefault="005B52B0" w:rsidP="009B3F2A">
      <w:pPr>
        <w:tabs>
          <w:tab w:val="center" w:pos="5400"/>
        </w:tabs>
        <w:suppressAutoHyphens/>
        <w:ind w:firstLine="720"/>
        <w:jc w:val="center"/>
        <w:rPr>
          <w:rFonts w:asciiTheme="majorHAnsi" w:hAnsiTheme="majorHAnsi"/>
          <w:sz w:val="20"/>
          <w:szCs w:val="20"/>
          <w:lang w:val="es-ES_tradnl"/>
        </w:rPr>
      </w:pPr>
    </w:p>
    <w:p w14:paraId="5EA3C5F3" w14:textId="77777777" w:rsidR="005B52B0" w:rsidRPr="009B3F2A" w:rsidRDefault="005B52B0" w:rsidP="009B3F2A">
      <w:pPr>
        <w:tabs>
          <w:tab w:val="center" w:pos="5400"/>
        </w:tabs>
        <w:suppressAutoHyphens/>
        <w:ind w:firstLine="720"/>
        <w:jc w:val="center"/>
        <w:rPr>
          <w:rFonts w:asciiTheme="majorHAnsi" w:hAnsiTheme="majorHAnsi"/>
          <w:sz w:val="20"/>
          <w:szCs w:val="20"/>
          <w:lang w:val="es-ES_tradnl"/>
        </w:rPr>
      </w:pPr>
    </w:p>
    <w:p w14:paraId="4BEDEF91"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020C63EC" w14:textId="01DE825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30620AD5" w14:textId="503B0099" w:rsidR="00040C3A" w:rsidRPr="009B3F2A" w:rsidRDefault="00CC30D6" w:rsidP="009B3F2A">
      <w:pPr>
        <w:tabs>
          <w:tab w:val="center" w:pos="5400"/>
        </w:tabs>
        <w:suppressAutoHyphens/>
        <w:ind w:firstLine="720"/>
        <w:jc w:val="center"/>
        <w:rPr>
          <w:rFonts w:asciiTheme="majorHAnsi" w:hAnsiTheme="majorHAnsi"/>
          <w:sz w:val="20"/>
          <w:szCs w:val="20"/>
          <w:lang w:val="es-ES_tradnl"/>
        </w:rPr>
      </w:pPr>
      <w:r>
        <w:rPr>
          <w:noProof/>
          <w:bdr w:val="none" w:sz="0" w:space="0" w:color="auto"/>
        </w:rPr>
        <mc:AlternateContent>
          <mc:Choice Requires="wps">
            <w:drawing>
              <wp:anchor distT="0" distB="0" distL="114300" distR="114300" simplePos="0" relativeHeight="251686912" behindDoc="0" locked="0" layoutInCell="1" allowOverlap="1" wp14:anchorId="5B24ED77" wp14:editId="17C6D066">
                <wp:simplePos x="0" y="0"/>
                <wp:positionH relativeFrom="column">
                  <wp:posOffset>-219075</wp:posOffset>
                </wp:positionH>
                <wp:positionV relativeFrom="paragraph">
                  <wp:posOffset>190500</wp:posOffset>
                </wp:positionV>
                <wp:extent cx="1390650" cy="137731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6E358" w14:textId="0C6D96ED" w:rsidR="00CC30D6" w:rsidRPr="00F77E38" w:rsidRDefault="00E3215A" w:rsidP="00CC30D6">
                            <w:pPr>
                              <w:spacing w:line="276" w:lineRule="auto"/>
                              <w:jc w:val="right"/>
                              <w:rPr>
                                <w:rFonts w:asciiTheme="minorHAnsi" w:hAnsiTheme="minorHAnsi"/>
                                <w:color w:val="FFFFFF" w:themeColor="background1"/>
                                <w:sz w:val="22"/>
                                <w:lang w:val="pt-BR"/>
                              </w:rPr>
                            </w:pPr>
                            <w:r w:rsidRPr="00F77E38">
                              <w:rPr>
                                <w:rFonts w:asciiTheme="minorHAnsi" w:hAnsiTheme="minorHAnsi"/>
                                <w:color w:val="FFFFFF" w:themeColor="background1"/>
                                <w:sz w:val="22"/>
                                <w:lang w:val="pt-BR"/>
                              </w:rPr>
                              <w:t>OEA/Ser.L/V/II.</w:t>
                            </w:r>
                          </w:p>
                          <w:p w14:paraId="2D3C7D23" w14:textId="37630155" w:rsidR="00CC30D6" w:rsidRPr="00F77E38" w:rsidRDefault="00E3215A" w:rsidP="00CC30D6">
                            <w:pPr>
                              <w:spacing w:line="276" w:lineRule="auto"/>
                              <w:jc w:val="right"/>
                              <w:rPr>
                                <w:rFonts w:asciiTheme="minorHAnsi" w:hAnsiTheme="minorHAnsi"/>
                                <w:color w:val="FFFFFF" w:themeColor="background1"/>
                                <w:sz w:val="22"/>
                                <w:lang w:val="pt-BR"/>
                              </w:rPr>
                            </w:pPr>
                            <w:r w:rsidRPr="00F77E38">
                              <w:rPr>
                                <w:rFonts w:asciiTheme="minorHAnsi" w:hAnsiTheme="minorHAnsi"/>
                                <w:color w:val="FFFFFF" w:themeColor="background1"/>
                                <w:sz w:val="22"/>
                                <w:lang w:val="pt-BR"/>
                              </w:rPr>
                              <w:t>Doc. 33</w:t>
                            </w:r>
                          </w:p>
                          <w:p w14:paraId="04997D36" w14:textId="1CB65ACF" w:rsidR="00CC30D6" w:rsidRDefault="00E3215A" w:rsidP="00CC30D6">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April 13</w:t>
                            </w:r>
                            <w:r w:rsidR="00CC30D6">
                              <w:rPr>
                                <w:rFonts w:asciiTheme="minorHAnsi" w:hAnsiTheme="minorHAnsi"/>
                                <w:color w:val="FFFFFF" w:themeColor="background1"/>
                                <w:sz w:val="22"/>
                              </w:rPr>
                              <w:t>, 2020</w:t>
                            </w:r>
                          </w:p>
                          <w:p w14:paraId="0F653DC3" w14:textId="77777777" w:rsidR="00CC30D6" w:rsidRDefault="00CC30D6" w:rsidP="00CC30D6">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ED77" id="Text Box 2" o:spid="_x0000_s1027" type="#_x0000_t202" style="position:absolute;left:0;text-align:left;margin-left:-17.25pt;margin-top:15pt;width:109.5pt;height:10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" filled="f" stroked="f" strokeweight=".5pt">
                <v:textbox>
                  <w:txbxContent>
                    <w:p w14:paraId="32B6E358" w14:textId="0C6D96ED" w:rsidR="00CC30D6" w:rsidRPr="00F77E38" w:rsidRDefault="00E3215A" w:rsidP="00CC30D6">
                      <w:pPr>
                        <w:spacing w:line="276" w:lineRule="auto"/>
                        <w:jc w:val="right"/>
                        <w:rPr>
                          <w:rFonts w:asciiTheme="minorHAnsi" w:hAnsiTheme="minorHAnsi"/>
                          <w:color w:val="FFFFFF" w:themeColor="background1"/>
                          <w:sz w:val="22"/>
                          <w:lang w:val="pt-BR"/>
                        </w:rPr>
                      </w:pPr>
                      <w:r w:rsidRPr="00F77E38">
                        <w:rPr>
                          <w:rFonts w:asciiTheme="minorHAnsi" w:hAnsiTheme="minorHAnsi"/>
                          <w:color w:val="FFFFFF" w:themeColor="background1"/>
                          <w:sz w:val="22"/>
                          <w:lang w:val="pt-BR"/>
                        </w:rPr>
                        <w:t>OEA/Ser.L/V/II.</w:t>
                      </w:r>
                    </w:p>
                    <w:p w14:paraId="2D3C7D23" w14:textId="37630155" w:rsidR="00CC30D6" w:rsidRPr="00F77E38" w:rsidRDefault="00E3215A" w:rsidP="00CC30D6">
                      <w:pPr>
                        <w:spacing w:line="276" w:lineRule="auto"/>
                        <w:jc w:val="right"/>
                        <w:rPr>
                          <w:rFonts w:asciiTheme="minorHAnsi" w:hAnsiTheme="minorHAnsi"/>
                          <w:color w:val="FFFFFF" w:themeColor="background1"/>
                          <w:sz w:val="22"/>
                          <w:lang w:val="pt-BR"/>
                        </w:rPr>
                      </w:pPr>
                      <w:r w:rsidRPr="00F77E38">
                        <w:rPr>
                          <w:rFonts w:asciiTheme="minorHAnsi" w:hAnsiTheme="minorHAnsi"/>
                          <w:color w:val="FFFFFF" w:themeColor="background1"/>
                          <w:sz w:val="22"/>
                          <w:lang w:val="pt-BR"/>
                        </w:rPr>
                        <w:t>Doc. 33</w:t>
                      </w:r>
                    </w:p>
                    <w:p w14:paraId="04997D36" w14:textId="1CB65ACF" w:rsidR="00CC30D6" w:rsidRDefault="00E3215A" w:rsidP="00CC30D6">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April 13</w:t>
                      </w:r>
                      <w:r w:rsidR="00CC30D6">
                        <w:rPr>
                          <w:rFonts w:asciiTheme="minorHAnsi" w:hAnsiTheme="minorHAnsi"/>
                          <w:color w:val="FFFFFF" w:themeColor="background1"/>
                          <w:sz w:val="22"/>
                        </w:rPr>
                        <w:t>, 2020</w:t>
                      </w:r>
                    </w:p>
                    <w:p w14:paraId="0F653DC3" w14:textId="77777777" w:rsidR="00CC30D6" w:rsidRDefault="00CC30D6" w:rsidP="00CC30D6">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r w:rsidR="003D3BC2" w:rsidRPr="009B3F2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C915C97" wp14:editId="74D1C8C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CEF0" w14:textId="1D9238AF" w:rsidR="00174051" w:rsidRPr="006D7F3A" w:rsidRDefault="00CC30D6"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40"/>
                              </w:rPr>
                              <w:t xml:space="preserve">REPORT </w:t>
                            </w:r>
                            <w:r w:rsidR="00174051" w:rsidRPr="006D7F3A">
                              <w:rPr>
                                <w:rFonts w:asciiTheme="majorHAnsi" w:hAnsiTheme="majorHAnsi" w:cs="Arial"/>
                                <w:b/>
                                <w:bCs/>
                                <w:color w:val="0D0D0D" w:themeColor="text1" w:themeTint="F2"/>
                                <w:sz w:val="36"/>
                                <w:szCs w:val="40"/>
                              </w:rPr>
                              <w:t>No.</w:t>
                            </w:r>
                            <w:r w:rsidR="00174051" w:rsidRPr="006D7F3A">
                              <w:rPr>
                                <w:rFonts w:asciiTheme="majorHAnsi" w:hAnsiTheme="majorHAnsi" w:cs="Arial"/>
                                <w:b/>
                                <w:bCs/>
                                <w:color w:val="0D0D0D" w:themeColor="text1" w:themeTint="F2"/>
                                <w:sz w:val="36"/>
                                <w:szCs w:val="22"/>
                              </w:rPr>
                              <w:t xml:space="preserve"> </w:t>
                            </w:r>
                            <w:r w:rsidR="00E3215A">
                              <w:rPr>
                                <w:rFonts w:asciiTheme="majorHAnsi" w:hAnsiTheme="majorHAnsi" w:cs="Arial"/>
                                <w:b/>
                                <w:bCs/>
                                <w:color w:val="0D0D0D" w:themeColor="text1" w:themeTint="F2"/>
                                <w:sz w:val="36"/>
                                <w:szCs w:val="22"/>
                              </w:rPr>
                              <w:t>23</w:t>
                            </w:r>
                            <w:r w:rsidR="00174051" w:rsidRPr="006D7F3A">
                              <w:rPr>
                                <w:rFonts w:asciiTheme="majorHAnsi" w:hAnsiTheme="majorHAnsi" w:cs="Arial"/>
                                <w:b/>
                                <w:bCs/>
                                <w:color w:val="0D0D0D" w:themeColor="text1" w:themeTint="F2"/>
                                <w:sz w:val="36"/>
                                <w:szCs w:val="22"/>
                              </w:rPr>
                              <w:t>/20</w:t>
                            </w:r>
                          </w:p>
                          <w:p w14:paraId="6F31A8E6" w14:textId="03193C2B" w:rsidR="00174051" w:rsidRPr="006D7F3A" w:rsidRDefault="00EC2C4D"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CASE</w:t>
                            </w:r>
                            <w:r w:rsidR="00174051" w:rsidRPr="006D7F3A">
                              <w:rPr>
                                <w:rFonts w:asciiTheme="majorHAnsi" w:hAnsiTheme="majorHAnsi" w:cs="Arial"/>
                                <w:b/>
                                <w:color w:val="0D0D0D" w:themeColor="text1" w:themeTint="F2"/>
                                <w:sz w:val="36"/>
                                <w:szCs w:val="22"/>
                              </w:rPr>
                              <w:t xml:space="preserve"> 1275-04 A </w:t>
                            </w:r>
                          </w:p>
                          <w:p w14:paraId="0C95089B" w14:textId="77777777" w:rsidR="00CC30D6" w:rsidRDefault="00CC30D6" w:rsidP="00CC30D6">
                            <w:pPr>
                              <w:spacing w:line="276" w:lineRule="auto"/>
                              <w:rPr>
                                <w:rFonts w:asciiTheme="majorHAnsi" w:hAnsiTheme="majorHAnsi" w:cs="Arial"/>
                                <w:color w:val="0D0D0D" w:themeColor="text1" w:themeTint="F2"/>
                                <w:szCs w:val="22"/>
                              </w:rPr>
                            </w:pPr>
                            <w:bookmarkStart w:id="0" w:name="_ftnref1"/>
                            <w:r>
                              <w:rPr>
                                <w:rFonts w:asciiTheme="majorHAnsi" w:hAnsiTheme="majorHAnsi" w:cs="Arial"/>
                                <w:color w:val="0D0D0D" w:themeColor="text1" w:themeTint="F2"/>
                                <w:szCs w:val="22"/>
                              </w:rPr>
                              <w:t>REPORT ON FRIENDLY SETTLEMENT</w:t>
                            </w:r>
                          </w:p>
                          <w:p w14:paraId="523A33B6" w14:textId="77777777" w:rsidR="00174051" w:rsidRPr="006D7F3A" w:rsidRDefault="00174051" w:rsidP="00997BC5">
                            <w:pPr>
                              <w:spacing w:line="276" w:lineRule="auto"/>
                              <w:rPr>
                                <w:rFonts w:asciiTheme="majorHAnsi" w:hAnsiTheme="majorHAnsi" w:cs="Arial"/>
                                <w:color w:val="0D0D0D" w:themeColor="text1" w:themeTint="F2"/>
                                <w:szCs w:val="22"/>
                              </w:rPr>
                            </w:pPr>
                          </w:p>
                          <w:p w14:paraId="1DDEABAE" w14:textId="429AFB02" w:rsidR="00174051" w:rsidRPr="0010736F" w:rsidRDefault="001740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LUIS RIVERA MATUS</w:t>
                            </w:r>
                          </w:p>
                          <w:bookmarkEnd w:id="0"/>
                          <w:p w14:paraId="026CEE88" w14:textId="4C43044E" w:rsidR="00174051" w:rsidRPr="0010736F" w:rsidRDefault="001740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2807935A" w14:textId="77777777" w:rsidR="00174051" w:rsidRPr="00AE5488" w:rsidRDefault="0017405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5C97"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338ACEF0" w14:textId="1D9238AF" w:rsidR="00174051" w:rsidRPr="006D7F3A" w:rsidRDefault="00CC30D6"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40"/>
                        </w:rPr>
                        <w:t xml:space="preserve">REPORT </w:t>
                      </w:r>
                      <w:r w:rsidR="00174051" w:rsidRPr="006D7F3A">
                        <w:rPr>
                          <w:rFonts w:asciiTheme="majorHAnsi" w:hAnsiTheme="majorHAnsi" w:cs="Arial"/>
                          <w:b/>
                          <w:bCs/>
                          <w:color w:val="0D0D0D" w:themeColor="text1" w:themeTint="F2"/>
                          <w:sz w:val="36"/>
                          <w:szCs w:val="40"/>
                        </w:rPr>
                        <w:t>No.</w:t>
                      </w:r>
                      <w:r w:rsidR="00174051" w:rsidRPr="006D7F3A">
                        <w:rPr>
                          <w:rFonts w:asciiTheme="majorHAnsi" w:hAnsiTheme="majorHAnsi" w:cs="Arial"/>
                          <w:b/>
                          <w:bCs/>
                          <w:color w:val="0D0D0D" w:themeColor="text1" w:themeTint="F2"/>
                          <w:sz w:val="36"/>
                          <w:szCs w:val="22"/>
                        </w:rPr>
                        <w:t xml:space="preserve"> </w:t>
                      </w:r>
                      <w:r w:rsidR="00E3215A">
                        <w:rPr>
                          <w:rFonts w:asciiTheme="majorHAnsi" w:hAnsiTheme="majorHAnsi" w:cs="Arial"/>
                          <w:b/>
                          <w:bCs/>
                          <w:color w:val="0D0D0D" w:themeColor="text1" w:themeTint="F2"/>
                          <w:sz w:val="36"/>
                          <w:szCs w:val="22"/>
                        </w:rPr>
                        <w:t>23</w:t>
                      </w:r>
                      <w:r w:rsidR="00174051" w:rsidRPr="006D7F3A">
                        <w:rPr>
                          <w:rFonts w:asciiTheme="majorHAnsi" w:hAnsiTheme="majorHAnsi" w:cs="Arial"/>
                          <w:b/>
                          <w:bCs/>
                          <w:color w:val="0D0D0D" w:themeColor="text1" w:themeTint="F2"/>
                          <w:sz w:val="36"/>
                          <w:szCs w:val="22"/>
                        </w:rPr>
                        <w:t>/20</w:t>
                      </w:r>
                    </w:p>
                    <w:p w14:paraId="6F31A8E6" w14:textId="03193C2B" w:rsidR="00174051" w:rsidRPr="006D7F3A" w:rsidRDefault="00EC2C4D"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CASE</w:t>
                      </w:r>
                      <w:r w:rsidR="00174051" w:rsidRPr="006D7F3A">
                        <w:rPr>
                          <w:rFonts w:asciiTheme="majorHAnsi" w:hAnsiTheme="majorHAnsi" w:cs="Arial"/>
                          <w:b/>
                          <w:color w:val="0D0D0D" w:themeColor="text1" w:themeTint="F2"/>
                          <w:sz w:val="36"/>
                          <w:szCs w:val="22"/>
                        </w:rPr>
                        <w:t xml:space="preserve"> 1275-04 A </w:t>
                      </w:r>
                    </w:p>
                    <w:p w14:paraId="0C95089B" w14:textId="77777777" w:rsidR="00CC30D6" w:rsidRDefault="00CC30D6" w:rsidP="00CC30D6">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FRIENDLY SETTLEMENT</w:t>
                      </w:r>
                    </w:p>
                    <w:p w14:paraId="523A33B6" w14:textId="77777777" w:rsidR="00174051" w:rsidRPr="006D7F3A" w:rsidRDefault="00174051" w:rsidP="00997BC5">
                      <w:pPr>
                        <w:spacing w:line="276" w:lineRule="auto"/>
                        <w:rPr>
                          <w:rFonts w:asciiTheme="majorHAnsi" w:hAnsiTheme="majorHAnsi" w:cs="Arial"/>
                          <w:color w:val="0D0D0D" w:themeColor="text1" w:themeTint="F2"/>
                          <w:szCs w:val="22"/>
                        </w:rPr>
                      </w:pPr>
                    </w:p>
                    <w:p w14:paraId="1DDEABAE" w14:textId="429AFB02" w:rsidR="00174051" w:rsidRPr="0010736F" w:rsidRDefault="001740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LUIS RIVERA MATUS</w:t>
                      </w:r>
                    </w:p>
                    <w:bookmarkEnd w:id="1"/>
                    <w:p w14:paraId="026CEE88" w14:textId="4C43044E" w:rsidR="00174051" w:rsidRPr="0010736F" w:rsidRDefault="001740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2807935A" w14:textId="77777777" w:rsidR="00174051" w:rsidRPr="00AE5488" w:rsidRDefault="00174051" w:rsidP="007A5817">
                      <w:pPr>
                        <w:rPr>
                          <w:color w:val="0D0D0D" w:themeColor="text1" w:themeTint="F2"/>
                          <w:lang w:val="es-ES_tradnl"/>
                        </w:rPr>
                      </w:pPr>
                    </w:p>
                  </w:txbxContent>
                </v:textbox>
              </v:shape>
            </w:pict>
          </mc:Fallback>
        </mc:AlternateContent>
      </w:r>
    </w:p>
    <w:p w14:paraId="3C466CC4" w14:textId="452E1315"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74C76E72" w14:textId="1538EB1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21E5040D" w14:textId="73B37CB3" w:rsidR="00040C3A" w:rsidRPr="009B3F2A" w:rsidRDefault="00040C3A" w:rsidP="009B3F2A">
      <w:pPr>
        <w:tabs>
          <w:tab w:val="center" w:pos="5400"/>
        </w:tabs>
        <w:suppressAutoHyphens/>
        <w:ind w:firstLine="720"/>
        <w:jc w:val="center"/>
        <w:rPr>
          <w:rFonts w:asciiTheme="majorHAnsi" w:hAnsiTheme="majorHAnsi" w:cs="Arial"/>
          <w:sz w:val="20"/>
          <w:szCs w:val="20"/>
          <w:lang w:val="es-ES_tradnl"/>
        </w:rPr>
      </w:pPr>
    </w:p>
    <w:p w14:paraId="69D92B48"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4B5E4AB6"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7B6514FC"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6FE304D3"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733D0776" w14:textId="77777777" w:rsidR="005128E4" w:rsidRPr="009B3F2A" w:rsidRDefault="005128E4" w:rsidP="009B3F2A">
      <w:pPr>
        <w:tabs>
          <w:tab w:val="center" w:pos="5400"/>
        </w:tabs>
        <w:suppressAutoHyphens/>
        <w:ind w:firstLine="720"/>
        <w:jc w:val="center"/>
        <w:rPr>
          <w:rFonts w:asciiTheme="majorHAnsi" w:hAnsiTheme="majorHAnsi"/>
          <w:sz w:val="20"/>
          <w:szCs w:val="20"/>
          <w:lang w:val="es-ES_tradnl"/>
        </w:rPr>
      </w:pPr>
    </w:p>
    <w:p w14:paraId="075440F7"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464D0A63" w14:textId="77777777" w:rsidR="005128E4" w:rsidRPr="009B3F2A" w:rsidRDefault="005128E4" w:rsidP="009B3F2A">
      <w:pPr>
        <w:tabs>
          <w:tab w:val="center" w:pos="5400"/>
        </w:tabs>
        <w:suppressAutoHyphens/>
        <w:ind w:firstLine="720"/>
        <w:jc w:val="center"/>
        <w:rPr>
          <w:rFonts w:asciiTheme="majorHAnsi" w:hAnsiTheme="majorHAnsi"/>
          <w:sz w:val="20"/>
          <w:szCs w:val="20"/>
          <w:lang w:val="es-ES_tradnl"/>
        </w:rPr>
      </w:pPr>
    </w:p>
    <w:p w14:paraId="14945CD2" w14:textId="77777777" w:rsidR="005128E4" w:rsidRPr="009B3F2A" w:rsidRDefault="005128E4" w:rsidP="009B3F2A">
      <w:pPr>
        <w:tabs>
          <w:tab w:val="center" w:pos="5400"/>
        </w:tabs>
        <w:suppressAutoHyphens/>
        <w:ind w:firstLine="720"/>
        <w:jc w:val="center"/>
        <w:rPr>
          <w:rFonts w:asciiTheme="majorHAnsi" w:hAnsiTheme="majorHAnsi"/>
          <w:sz w:val="20"/>
          <w:szCs w:val="20"/>
          <w:lang w:val="es-ES_tradnl"/>
        </w:rPr>
      </w:pPr>
    </w:p>
    <w:p w14:paraId="1AB9AA80" w14:textId="77777777" w:rsidR="005128E4" w:rsidRPr="009B3F2A" w:rsidRDefault="005128E4" w:rsidP="009B3F2A">
      <w:pPr>
        <w:tabs>
          <w:tab w:val="center" w:pos="5400"/>
        </w:tabs>
        <w:suppressAutoHyphens/>
        <w:ind w:firstLine="720"/>
        <w:jc w:val="center"/>
        <w:rPr>
          <w:rFonts w:asciiTheme="majorHAnsi" w:hAnsiTheme="majorHAnsi"/>
          <w:sz w:val="20"/>
          <w:szCs w:val="20"/>
          <w:lang w:val="es-ES_tradnl"/>
        </w:rPr>
      </w:pPr>
    </w:p>
    <w:p w14:paraId="5FCEAB8B"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1697D26F" w14:textId="77777777" w:rsidR="00040C3A" w:rsidRPr="009B3F2A" w:rsidRDefault="00040C3A" w:rsidP="009B3F2A">
      <w:pPr>
        <w:tabs>
          <w:tab w:val="center" w:pos="5400"/>
        </w:tabs>
        <w:suppressAutoHyphens/>
        <w:ind w:firstLine="720"/>
        <w:jc w:val="center"/>
        <w:rPr>
          <w:rFonts w:asciiTheme="majorHAnsi" w:hAnsiTheme="majorHAnsi"/>
          <w:sz w:val="20"/>
          <w:szCs w:val="20"/>
          <w:lang w:val="es-ES_tradnl"/>
        </w:rPr>
      </w:pPr>
    </w:p>
    <w:p w14:paraId="5970A51E"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517B63F6"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05B6BC12"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4E59C100"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644DFB42"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1EAD0026"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6DEB7E3B"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7E5681C2"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57BCF812"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0785A97A"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2DC3661E"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3C315A9A"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4C6D8748"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20EBBDFC" w14:textId="1366B495" w:rsidR="00A50FCF" w:rsidRPr="009B3F2A" w:rsidRDefault="00B64891" w:rsidP="009B3F2A">
      <w:pPr>
        <w:tabs>
          <w:tab w:val="center" w:pos="5400"/>
        </w:tabs>
        <w:suppressAutoHyphens/>
        <w:ind w:firstLine="720"/>
        <w:jc w:val="center"/>
        <w:rPr>
          <w:rFonts w:asciiTheme="majorHAnsi" w:hAnsiTheme="majorHAnsi"/>
          <w:sz w:val="20"/>
          <w:szCs w:val="20"/>
          <w:lang w:val="es-ES_tradnl"/>
        </w:rPr>
      </w:pPr>
      <w:r w:rsidRPr="009B3F2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39E585B" wp14:editId="18EC9978">
                <wp:simplePos x="0" y="0"/>
                <wp:positionH relativeFrom="column">
                  <wp:posOffset>1339850</wp:posOffset>
                </wp:positionH>
                <wp:positionV relativeFrom="paragraph">
                  <wp:posOffset>123825</wp:posOffset>
                </wp:positionV>
                <wp:extent cx="4933950" cy="69659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9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23008" w14:textId="77777777" w:rsidR="00174051" w:rsidRDefault="00174051" w:rsidP="00DD3D86">
                            <w:pPr>
                              <w:tabs>
                                <w:tab w:val="center" w:pos="5400"/>
                              </w:tabs>
                              <w:suppressAutoHyphens/>
                              <w:spacing w:before="60"/>
                              <w:rPr>
                                <w:rFonts w:asciiTheme="majorHAnsi" w:hAnsiTheme="majorHAnsi"/>
                                <w:color w:val="0D0D0D" w:themeColor="text1" w:themeTint="F2"/>
                                <w:sz w:val="18"/>
                                <w:szCs w:val="22"/>
                                <w:lang w:val="es-ES"/>
                              </w:rPr>
                            </w:pPr>
                          </w:p>
                          <w:p w14:paraId="29C690ED" w14:textId="77777777" w:rsidR="00174051" w:rsidRDefault="00174051" w:rsidP="00DD3D86">
                            <w:pPr>
                              <w:tabs>
                                <w:tab w:val="center" w:pos="5400"/>
                              </w:tabs>
                              <w:suppressAutoHyphens/>
                              <w:spacing w:before="60"/>
                              <w:rPr>
                                <w:rFonts w:asciiTheme="majorHAnsi" w:hAnsiTheme="majorHAnsi"/>
                                <w:color w:val="0D0D0D" w:themeColor="text1" w:themeTint="F2"/>
                                <w:sz w:val="18"/>
                                <w:szCs w:val="22"/>
                                <w:lang w:val="es-ES"/>
                              </w:rPr>
                            </w:pPr>
                          </w:p>
                          <w:p w14:paraId="17BDCC12" w14:textId="3D23BDA2" w:rsidR="00CC30D6" w:rsidRDefault="00CC30D6" w:rsidP="00CC30D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bookmarkStart w:id="2" w:name="_Hlk33460101"/>
                            <w:r w:rsidR="000C3D52">
                              <w:rPr>
                                <w:rFonts w:asciiTheme="majorHAnsi" w:hAnsiTheme="majorHAnsi"/>
                                <w:color w:val="0D0D0D" w:themeColor="text1" w:themeTint="F2"/>
                                <w:sz w:val="18"/>
                                <w:szCs w:val="22"/>
                              </w:rPr>
                              <w:t>April</w:t>
                            </w:r>
                            <w:r w:rsidR="00E3215A">
                              <w:rPr>
                                <w:rFonts w:asciiTheme="majorHAnsi" w:hAnsiTheme="majorHAnsi"/>
                                <w:color w:val="0D0D0D" w:themeColor="text1" w:themeTint="F2"/>
                                <w:sz w:val="18"/>
                                <w:szCs w:val="22"/>
                              </w:rPr>
                              <w:t xml:space="preserve"> 13</w:t>
                            </w:r>
                            <w:r>
                              <w:rPr>
                                <w:rFonts w:asciiTheme="majorHAnsi" w:hAnsiTheme="majorHAnsi"/>
                                <w:color w:val="0D0D0D" w:themeColor="text1" w:themeTint="F2"/>
                                <w:sz w:val="18"/>
                                <w:szCs w:val="22"/>
                              </w:rPr>
                              <w:t>, 2020</w:t>
                            </w:r>
                            <w:bookmarkEnd w:id="2"/>
                            <w:r w:rsidR="004E212E">
                              <w:rPr>
                                <w:rFonts w:asciiTheme="majorHAnsi" w:hAnsiTheme="majorHAnsi"/>
                                <w:color w:val="0D0D0D" w:themeColor="text1" w:themeTint="F2"/>
                                <w:sz w:val="18"/>
                                <w:szCs w:val="22"/>
                              </w:rPr>
                              <w:t>.</w:t>
                            </w:r>
                          </w:p>
                          <w:p w14:paraId="655A3E3D" w14:textId="77777777" w:rsidR="00174051" w:rsidRPr="00CC30D6" w:rsidRDefault="00174051" w:rsidP="00247403">
                            <w:pPr>
                              <w:tabs>
                                <w:tab w:val="center" w:pos="5400"/>
                              </w:tabs>
                              <w:suppressAutoHyphens/>
                              <w:spacing w:before="60"/>
                              <w:rPr>
                                <w:rFonts w:asciiTheme="minorHAnsi" w:hAnsiTheme="minorHAnsi" w:cs="Univers"/>
                                <w:color w:val="0D0D0D" w:themeColor="text1" w:themeTint="F2"/>
                                <w:sz w:val="20"/>
                                <w:szCs w:val="20"/>
                              </w:rPr>
                            </w:pPr>
                          </w:p>
                          <w:p w14:paraId="5212AA10" w14:textId="77777777" w:rsidR="00174051" w:rsidRPr="00CC30D6" w:rsidRDefault="00174051"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585B" id="Text Box 7" o:spid="_x0000_s1029" type="#_x0000_t202" style="position:absolute;left:0;text-align:left;margin-left:105.5pt;margin-top:9.75pt;width:388.5pt;height: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" filled="f" stroked="f" strokeweight=".5pt">
                <v:textbox>
                  <w:txbxContent>
                    <w:p w14:paraId="0DA23008" w14:textId="77777777" w:rsidR="00174051" w:rsidRDefault="00174051" w:rsidP="00DD3D86">
                      <w:pPr>
                        <w:tabs>
                          <w:tab w:val="center" w:pos="5400"/>
                        </w:tabs>
                        <w:suppressAutoHyphens/>
                        <w:spacing w:before="60"/>
                        <w:rPr>
                          <w:rFonts w:asciiTheme="majorHAnsi" w:hAnsiTheme="majorHAnsi"/>
                          <w:color w:val="0D0D0D" w:themeColor="text1" w:themeTint="F2"/>
                          <w:sz w:val="18"/>
                          <w:szCs w:val="22"/>
                          <w:lang w:val="es-ES"/>
                        </w:rPr>
                      </w:pPr>
                    </w:p>
                    <w:p w14:paraId="29C690ED" w14:textId="77777777" w:rsidR="00174051" w:rsidRDefault="00174051" w:rsidP="00DD3D86">
                      <w:pPr>
                        <w:tabs>
                          <w:tab w:val="center" w:pos="5400"/>
                        </w:tabs>
                        <w:suppressAutoHyphens/>
                        <w:spacing w:before="60"/>
                        <w:rPr>
                          <w:rFonts w:asciiTheme="majorHAnsi" w:hAnsiTheme="majorHAnsi"/>
                          <w:color w:val="0D0D0D" w:themeColor="text1" w:themeTint="F2"/>
                          <w:sz w:val="18"/>
                          <w:szCs w:val="22"/>
                          <w:lang w:val="es-ES"/>
                        </w:rPr>
                      </w:pPr>
                    </w:p>
                    <w:p w14:paraId="17BDCC12" w14:textId="3D23BDA2" w:rsidR="00CC30D6" w:rsidRDefault="00CC30D6" w:rsidP="00CC30D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bookmarkStart w:id="3" w:name="_Hlk33460101"/>
                      <w:r w:rsidR="000C3D52">
                        <w:rPr>
                          <w:rFonts w:asciiTheme="majorHAnsi" w:hAnsiTheme="majorHAnsi"/>
                          <w:color w:val="0D0D0D" w:themeColor="text1" w:themeTint="F2"/>
                          <w:sz w:val="18"/>
                          <w:szCs w:val="22"/>
                        </w:rPr>
                        <w:t>April</w:t>
                      </w:r>
                      <w:r w:rsidR="00E3215A">
                        <w:rPr>
                          <w:rFonts w:asciiTheme="majorHAnsi" w:hAnsiTheme="majorHAnsi"/>
                          <w:color w:val="0D0D0D" w:themeColor="text1" w:themeTint="F2"/>
                          <w:sz w:val="18"/>
                          <w:szCs w:val="22"/>
                        </w:rPr>
                        <w:t xml:space="preserve"> 13</w:t>
                      </w:r>
                      <w:r>
                        <w:rPr>
                          <w:rFonts w:asciiTheme="majorHAnsi" w:hAnsiTheme="majorHAnsi"/>
                          <w:color w:val="0D0D0D" w:themeColor="text1" w:themeTint="F2"/>
                          <w:sz w:val="18"/>
                          <w:szCs w:val="22"/>
                        </w:rPr>
                        <w:t>, 2020</w:t>
                      </w:r>
                      <w:bookmarkEnd w:id="3"/>
                      <w:r w:rsidR="004E212E">
                        <w:rPr>
                          <w:rFonts w:asciiTheme="majorHAnsi" w:hAnsiTheme="majorHAnsi"/>
                          <w:color w:val="0D0D0D" w:themeColor="text1" w:themeTint="F2"/>
                          <w:sz w:val="18"/>
                          <w:szCs w:val="22"/>
                        </w:rPr>
                        <w:t>.</w:t>
                      </w:r>
                    </w:p>
                    <w:p w14:paraId="655A3E3D" w14:textId="77777777" w:rsidR="00174051" w:rsidRPr="00CC30D6" w:rsidRDefault="00174051" w:rsidP="00247403">
                      <w:pPr>
                        <w:tabs>
                          <w:tab w:val="center" w:pos="5400"/>
                        </w:tabs>
                        <w:suppressAutoHyphens/>
                        <w:spacing w:before="60"/>
                        <w:rPr>
                          <w:rFonts w:asciiTheme="minorHAnsi" w:hAnsiTheme="minorHAnsi" w:cs="Univers"/>
                          <w:color w:val="0D0D0D" w:themeColor="text1" w:themeTint="F2"/>
                          <w:sz w:val="20"/>
                          <w:szCs w:val="20"/>
                        </w:rPr>
                      </w:pPr>
                    </w:p>
                    <w:p w14:paraId="5212AA10" w14:textId="77777777" w:rsidR="00174051" w:rsidRPr="00CC30D6" w:rsidRDefault="00174051"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EE42472" w14:textId="73976E13"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6156F038" w14:textId="6BF0072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5F4A8722" w14:textId="4F85AEC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492F07AE"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2C46805E"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27B76E0B" w14:textId="77777777" w:rsidR="00A50FCF" w:rsidRPr="009B3F2A" w:rsidRDefault="0090270B" w:rsidP="009B3F2A">
      <w:pPr>
        <w:tabs>
          <w:tab w:val="center" w:pos="5400"/>
        </w:tabs>
        <w:suppressAutoHyphens/>
        <w:ind w:firstLine="720"/>
        <w:jc w:val="center"/>
        <w:rPr>
          <w:rFonts w:asciiTheme="majorHAnsi" w:hAnsiTheme="majorHAnsi"/>
          <w:sz w:val="20"/>
          <w:szCs w:val="20"/>
          <w:lang w:val="es-ES_tradnl"/>
        </w:rPr>
      </w:pPr>
      <w:r w:rsidRPr="009B3F2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B614C32" wp14:editId="1EB4E75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C5155" w14:textId="04AA0157" w:rsidR="00174051" w:rsidRPr="00B64891" w:rsidRDefault="00F96EB2" w:rsidP="00113F73">
                            <w:pPr>
                              <w:spacing w:line="276" w:lineRule="auto"/>
                              <w:rPr>
                                <w:rFonts w:asciiTheme="majorHAnsi" w:hAnsiTheme="majorHAnsi"/>
                                <w:color w:val="595959" w:themeColor="text1" w:themeTint="A6"/>
                                <w:sz w:val="18"/>
                                <w:szCs w:val="18"/>
                                <w:lang w:val="es-CO"/>
                              </w:rPr>
                            </w:pPr>
                            <w:r w:rsidRPr="00E3215A">
                              <w:rPr>
                                <w:rFonts w:asciiTheme="majorHAnsi" w:hAnsiTheme="majorHAnsi"/>
                                <w:b/>
                                <w:color w:val="595959" w:themeColor="text1" w:themeTint="A6"/>
                                <w:sz w:val="18"/>
                                <w:szCs w:val="18"/>
                              </w:rPr>
                              <w:t>Cite as:</w:t>
                            </w:r>
                            <w:r w:rsidRPr="00E3215A">
                              <w:rPr>
                                <w:rFonts w:asciiTheme="majorHAnsi" w:hAnsiTheme="majorHAnsi"/>
                                <w:color w:val="595959" w:themeColor="text1" w:themeTint="A6"/>
                                <w:sz w:val="18"/>
                                <w:szCs w:val="18"/>
                              </w:rPr>
                              <w:t xml:space="preserve"> IACHR, Report No. </w:t>
                            </w:r>
                            <w:r w:rsidR="00E3215A" w:rsidRPr="00E3215A">
                              <w:rPr>
                                <w:rFonts w:asciiTheme="majorHAnsi" w:hAnsiTheme="majorHAnsi"/>
                                <w:color w:val="595959" w:themeColor="text1" w:themeTint="A6"/>
                                <w:sz w:val="18"/>
                                <w:szCs w:val="18"/>
                              </w:rPr>
                              <w:t>23</w:t>
                            </w:r>
                            <w:r w:rsidRPr="00F96EB2">
                              <w:rPr>
                                <w:rFonts w:asciiTheme="majorHAnsi" w:hAnsiTheme="majorHAnsi"/>
                                <w:color w:val="595959" w:themeColor="text1" w:themeTint="A6"/>
                                <w:sz w:val="18"/>
                                <w:szCs w:val="18"/>
                              </w:rPr>
                              <w:t xml:space="preserve">/20, Case </w:t>
                            </w:r>
                            <w:r w:rsidR="00174051" w:rsidRPr="00F96EB2">
                              <w:rPr>
                                <w:rFonts w:asciiTheme="majorHAnsi" w:hAnsiTheme="majorHAnsi"/>
                                <w:color w:val="595959" w:themeColor="text1" w:themeTint="A6"/>
                                <w:sz w:val="18"/>
                                <w:szCs w:val="18"/>
                              </w:rPr>
                              <w:t xml:space="preserve">1275-04 A. </w:t>
                            </w:r>
                            <w:r>
                              <w:rPr>
                                <w:rFonts w:asciiTheme="majorHAnsi" w:hAnsiTheme="majorHAnsi"/>
                                <w:color w:val="595959" w:themeColor="text1" w:themeTint="A6"/>
                                <w:sz w:val="18"/>
                              </w:rPr>
                              <w:t>Friendly Settlement</w:t>
                            </w:r>
                            <w:r w:rsidR="00174051" w:rsidRPr="00F96EB2">
                              <w:rPr>
                                <w:rFonts w:asciiTheme="majorHAnsi" w:hAnsiTheme="majorHAnsi"/>
                                <w:color w:val="595959" w:themeColor="text1" w:themeTint="A6"/>
                                <w:sz w:val="18"/>
                                <w:szCs w:val="18"/>
                              </w:rPr>
                              <w:t xml:space="preserve">. </w:t>
                            </w:r>
                            <w:r w:rsidR="00174051">
                              <w:rPr>
                                <w:rFonts w:asciiTheme="majorHAnsi" w:hAnsiTheme="majorHAnsi"/>
                                <w:color w:val="595959" w:themeColor="text1" w:themeTint="A6"/>
                                <w:sz w:val="18"/>
                                <w:szCs w:val="18"/>
                                <w:lang w:val="es-ES_tradnl"/>
                              </w:rPr>
                              <w:t xml:space="preserve">Juan Luis Rivera Matus. </w:t>
                            </w:r>
                            <w:r>
                              <w:rPr>
                                <w:rFonts w:asciiTheme="majorHAnsi" w:hAnsiTheme="majorHAnsi"/>
                                <w:color w:val="595959" w:themeColor="text1" w:themeTint="A6"/>
                                <w:sz w:val="18"/>
                                <w:szCs w:val="18"/>
                                <w:lang w:val="es-ES_tradnl"/>
                              </w:rPr>
                              <w:t>Chile</w:t>
                            </w:r>
                            <w:r w:rsidR="00174051" w:rsidRPr="00890650">
                              <w:rPr>
                                <w:rFonts w:asciiTheme="majorHAnsi" w:hAnsiTheme="majorHAnsi"/>
                                <w:color w:val="595959" w:themeColor="text1" w:themeTint="A6"/>
                                <w:sz w:val="18"/>
                                <w:szCs w:val="18"/>
                                <w:lang w:val="es-ES_tradnl"/>
                              </w:rPr>
                              <w:t xml:space="preserve">. </w:t>
                            </w:r>
                            <w:r w:rsidR="00E3215A">
                              <w:rPr>
                                <w:rFonts w:asciiTheme="majorHAnsi" w:hAnsiTheme="majorHAnsi"/>
                                <w:color w:val="595959" w:themeColor="text1" w:themeTint="A6"/>
                                <w:sz w:val="18"/>
                                <w:szCs w:val="18"/>
                                <w:lang w:val="pt-BR"/>
                              </w:rPr>
                              <w:t xml:space="preserve">April </w:t>
                            </w:r>
                            <w:r w:rsidR="00E3215A" w:rsidRPr="00F77E38">
                              <w:rPr>
                                <w:rFonts w:asciiTheme="majorHAnsi" w:hAnsiTheme="majorHAnsi"/>
                                <w:color w:val="595959" w:themeColor="text1" w:themeTint="A6"/>
                                <w:sz w:val="18"/>
                                <w:szCs w:val="18"/>
                                <w:lang w:val="pt-BR"/>
                              </w:rPr>
                              <w:t>13</w:t>
                            </w:r>
                            <w:r w:rsidRPr="00F77E38">
                              <w:rPr>
                                <w:rFonts w:asciiTheme="majorHAnsi" w:hAnsiTheme="majorHAnsi"/>
                                <w:color w:val="595959" w:themeColor="text1" w:themeTint="A6"/>
                                <w:sz w:val="18"/>
                                <w:szCs w:val="18"/>
                                <w:lang w:val="pt-BR"/>
                              </w:rPr>
                              <w:t>,</w:t>
                            </w:r>
                            <w:r w:rsidRPr="006D7F3A">
                              <w:rPr>
                                <w:rFonts w:asciiTheme="majorHAnsi" w:hAnsiTheme="majorHAnsi"/>
                                <w:color w:val="595959" w:themeColor="text1" w:themeTint="A6"/>
                                <w:sz w:val="18"/>
                                <w:szCs w:val="18"/>
                                <w:lang w:val="pt-BR"/>
                              </w:rPr>
                              <w:t xml:space="preserve"> 2020</w:t>
                            </w:r>
                            <w:r>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4C3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18C5155" w14:textId="04AA0157" w:rsidR="00174051" w:rsidRPr="00B64891" w:rsidRDefault="00F96EB2" w:rsidP="00113F73">
                      <w:pPr>
                        <w:spacing w:line="276" w:lineRule="auto"/>
                        <w:rPr>
                          <w:rFonts w:asciiTheme="majorHAnsi" w:hAnsiTheme="majorHAnsi"/>
                          <w:color w:val="595959" w:themeColor="text1" w:themeTint="A6"/>
                          <w:sz w:val="18"/>
                          <w:szCs w:val="18"/>
                          <w:lang w:val="es-CO"/>
                        </w:rPr>
                      </w:pPr>
                      <w:r w:rsidRPr="00E3215A">
                        <w:rPr>
                          <w:rFonts w:asciiTheme="majorHAnsi" w:hAnsiTheme="majorHAnsi"/>
                          <w:b/>
                          <w:color w:val="595959" w:themeColor="text1" w:themeTint="A6"/>
                          <w:sz w:val="18"/>
                          <w:szCs w:val="18"/>
                        </w:rPr>
                        <w:t>Cite as:</w:t>
                      </w:r>
                      <w:r w:rsidRPr="00E3215A">
                        <w:rPr>
                          <w:rFonts w:asciiTheme="majorHAnsi" w:hAnsiTheme="majorHAnsi"/>
                          <w:color w:val="595959" w:themeColor="text1" w:themeTint="A6"/>
                          <w:sz w:val="18"/>
                          <w:szCs w:val="18"/>
                        </w:rPr>
                        <w:t xml:space="preserve"> IACHR, Report No. </w:t>
                      </w:r>
                      <w:r w:rsidR="00E3215A" w:rsidRPr="00E3215A">
                        <w:rPr>
                          <w:rFonts w:asciiTheme="majorHAnsi" w:hAnsiTheme="majorHAnsi"/>
                          <w:color w:val="595959" w:themeColor="text1" w:themeTint="A6"/>
                          <w:sz w:val="18"/>
                          <w:szCs w:val="18"/>
                        </w:rPr>
                        <w:t>23</w:t>
                      </w:r>
                      <w:r w:rsidRPr="00F96EB2">
                        <w:rPr>
                          <w:rFonts w:asciiTheme="majorHAnsi" w:hAnsiTheme="majorHAnsi"/>
                          <w:color w:val="595959" w:themeColor="text1" w:themeTint="A6"/>
                          <w:sz w:val="18"/>
                          <w:szCs w:val="18"/>
                        </w:rPr>
                        <w:t xml:space="preserve">/20, Case </w:t>
                      </w:r>
                      <w:r w:rsidR="00174051" w:rsidRPr="00F96EB2">
                        <w:rPr>
                          <w:rFonts w:asciiTheme="majorHAnsi" w:hAnsiTheme="majorHAnsi"/>
                          <w:color w:val="595959" w:themeColor="text1" w:themeTint="A6"/>
                          <w:sz w:val="18"/>
                          <w:szCs w:val="18"/>
                        </w:rPr>
                        <w:t xml:space="preserve">1275-04 A. </w:t>
                      </w:r>
                      <w:r>
                        <w:rPr>
                          <w:rFonts w:asciiTheme="majorHAnsi" w:hAnsiTheme="majorHAnsi"/>
                          <w:color w:val="595959" w:themeColor="text1" w:themeTint="A6"/>
                          <w:sz w:val="18"/>
                        </w:rPr>
                        <w:t>Friendly Settlement</w:t>
                      </w:r>
                      <w:r w:rsidR="00174051" w:rsidRPr="00F96EB2">
                        <w:rPr>
                          <w:rFonts w:asciiTheme="majorHAnsi" w:hAnsiTheme="majorHAnsi"/>
                          <w:color w:val="595959" w:themeColor="text1" w:themeTint="A6"/>
                          <w:sz w:val="18"/>
                          <w:szCs w:val="18"/>
                        </w:rPr>
                        <w:t xml:space="preserve">. </w:t>
                      </w:r>
                      <w:r w:rsidR="00174051">
                        <w:rPr>
                          <w:rFonts w:asciiTheme="majorHAnsi" w:hAnsiTheme="majorHAnsi"/>
                          <w:color w:val="595959" w:themeColor="text1" w:themeTint="A6"/>
                          <w:sz w:val="18"/>
                          <w:szCs w:val="18"/>
                          <w:lang w:val="es-ES_tradnl"/>
                        </w:rPr>
                        <w:t xml:space="preserve">Juan Luis Rivera Matus. </w:t>
                      </w:r>
                      <w:r>
                        <w:rPr>
                          <w:rFonts w:asciiTheme="majorHAnsi" w:hAnsiTheme="majorHAnsi"/>
                          <w:color w:val="595959" w:themeColor="text1" w:themeTint="A6"/>
                          <w:sz w:val="18"/>
                          <w:szCs w:val="18"/>
                          <w:lang w:val="es-ES_tradnl"/>
                        </w:rPr>
                        <w:t>Chile</w:t>
                      </w:r>
                      <w:r w:rsidR="00174051" w:rsidRPr="00890650">
                        <w:rPr>
                          <w:rFonts w:asciiTheme="majorHAnsi" w:hAnsiTheme="majorHAnsi"/>
                          <w:color w:val="595959" w:themeColor="text1" w:themeTint="A6"/>
                          <w:sz w:val="18"/>
                          <w:szCs w:val="18"/>
                          <w:lang w:val="es-ES_tradnl"/>
                        </w:rPr>
                        <w:t xml:space="preserve">. </w:t>
                      </w:r>
                      <w:r w:rsidR="00E3215A">
                        <w:rPr>
                          <w:rFonts w:asciiTheme="majorHAnsi" w:hAnsiTheme="majorHAnsi"/>
                          <w:color w:val="595959" w:themeColor="text1" w:themeTint="A6"/>
                          <w:sz w:val="18"/>
                          <w:szCs w:val="18"/>
                          <w:lang w:val="pt-BR"/>
                        </w:rPr>
                        <w:t xml:space="preserve">April </w:t>
                      </w:r>
                      <w:r w:rsidR="00E3215A" w:rsidRPr="00F77E38">
                        <w:rPr>
                          <w:rFonts w:asciiTheme="majorHAnsi" w:hAnsiTheme="majorHAnsi"/>
                          <w:color w:val="595959" w:themeColor="text1" w:themeTint="A6"/>
                          <w:sz w:val="18"/>
                          <w:szCs w:val="18"/>
                          <w:lang w:val="pt-BR"/>
                        </w:rPr>
                        <w:t>13</w:t>
                      </w:r>
                      <w:r w:rsidRPr="00F77E38">
                        <w:rPr>
                          <w:rFonts w:asciiTheme="majorHAnsi" w:hAnsiTheme="majorHAnsi"/>
                          <w:color w:val="595959" w:themeColor="text1" w:themeTint="A6"/>
                          <w:sz w:val="18"/>
                          <w:szCs w:val="18"/>
                          <w:lang w:val="pt-BR"/>
                        </w:rPr>
                        <w:t>,</w:t>
                      </w:r>
                      <w:r w:rsidRPr="006D7F3A">
                        <w:rPr>
                          <w:rFonts w:asciiTheme="majorHAnsi" w:hAnsiTheme="majorHAnsi"/>
                          <w:color w:val="595959" w:themeColor="text1" w:themeTint="A6"/>
                          <w:sz w:val="18"/>
                          <w:szCs w:val="18"/>
                          <w:lang w:val="pt-BR"/>
                        </w:rPr>
                        <w:t xml:space="preserve"> 2020</w:t>
                      </w:r>
                      <w:r>
                        <w:rPr>
                          <w:rFonts w:asciiTheme="majorHAnsi" w:hAnsiTheme="majorHAnsi"/>
                          <w:color w:val="595959" w:themeColor="text1" w:themeTint="A6"/>
                          <w:sz w:val="18"/>
                          <w:szCs w:val="18"/>
                          <w:lang w:val="es-CO"/>
                        </w:rPr>
                        <w:t>.</w:t>
                      </w:r>
                    </w:p>
                  </w:txbxContent>
                </v:textbox>
              </v:shape>
            </w:pict>
          </mc:Fallback>
        </mc:AlternateContent>
      </w:r>
    </w:p>
    <w:p w14:paraId="430551F2" w14:textId="77777777" w:rsidR="00A50FCF" w:rsidRPr="009B3F2A" w:rsidRDefault="00A50FCF" w:rsidP="009B3F2A">
      <w:pPr>
        <w:tabs>
          <w:tab w:val="center" w:pos="5400"/>
        </w:tabs>
        <w:suppressAutoHyphens/>
        <w:ind w:firstLine="720"/>
        <w:jc w:val="center"/>
        <w:rPr>
          <w:rFonts w:asciiTheme="majorHAnsi" w:hAnsiTheme="majorHAnsi"/>
          <w:sz w:val="20"/>
          <w:szCs w:val="20"/>
          <w:lang w:val="es-ES_tradnl"/>
        </w:rPr>
      </w:pPr>
    </w:p>
    <w:p w14:paraId="3E25825D" w14:textId="77777777" w:rsidR="0090270B" w:rsidRPr="009B3F2A" w:rsidRDefault="00D306D1" w:rsidP="009B3F2A">
      <w:pPr>
        <w:tabs>
          <w:tab w:val="center" w:pos="5400"/>
        </w:tabs>
        <w:suppressAutoHyphens/>
        <w:ind w:firstLine="720"/>
        <w:jc w:val="center"/>
        <w:rPr>
          <w:rFonts w:asciiTheme="majorHAnsi" w:hAnsiTheme="majorHAnsi"/>
          <w:b/>
          <w:sz w:val="20"/>
          <w:szCs w:val="20"/>
          <w:lang w:val="es-ES_tradnl"/>
        </w:rPr>
      </w:pPr>
      <w:r w:rsidRPr="009B3F2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D1BD1E5" wp14:editId="4F4FF72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97226" w14:textId="61F65CF4" w:rsidR="00174051" w:rsidRPr="00D72DC6" w:rsidRDefault="00F96EB2" w:rsidP="00F02AD1">
                            <w:pPr>
                              <w:rPr>
                                <w:color w:val="FFFFFF" w:themeColor="background1"/>
                                <w14:textFill>
                                  <w14:noFill/>
                                </w14:textFill>
                              </w:rPr>
                            </w:pPr>
                            <w:r>
                              <w:rPr>
                                <w:noProof/>
                              </w:rPr>
                              <w:drawing>
                                <wp:inline distT="0" distB="0" distL="0" distR="0" wp14:anchorId="4358F5F3" wp14:editId="46E0480A">
                                  <wp:extent cx="1123950" cy="377825"/>
                                  <wp:effectExtent l="0" t="0" r="0" b="3175"/>
                                  <wp:docPr id="6" name="Picture 6" descr="C:\Users\mfontana\Documents\Eva Fontana\GRAFICA CIDH\cartas\logos\oea-en.jpg"/>
                                  <wp:cNvGraphicFramePr/>
                                  <a:graphic xmlns:a="http://schemas.openxmlformats.org/drawingml/2006/main">
                                    <a:graphicData uri="http://schemas.openxmlformats.org/drawingml/2006/picture">
                                      <pic:pic xmlns:pic="http://schemas.openxmlformats.org/drawingml/2006/picture">
                                        <pic:nvPicPr>
                                          <pic:cNvPr id="6" name="Picture 6" descr="C:\Users\mfontana\Documents\Eva Fontana\GRAFICA CIDH\cartas\logos\oea-en.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BD1E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BB97226" w14:textId="61F65CF4" w:rsidR="00174051" w:rsidRPr="00D72DC6" w:rsidRDefault="00F96EB2" w:rsidP="00F02AD1">
                      <w:pPr>
                        <w:rPr>
                          <w:color w:val="FFFFFF" w:themeColor="background1"/>
                          <w14:textFill>
                            <w14:noFill/>
                          </w14:textFill>
                        </w:rPr>
                      </w:pPr>
                      <w:r>
                        <w:rPr>
                          <w:noProof/>
                        </w:rPr>
                        <w:drawing>
                          <wp:inline distT="0" distB="0" distL="0" distR="0" wp14:anchorId="4358F5F3" wp14:editId="46E0480A">
                            <wp:extent cx="1123950" cy="377825"/>
                            <wp:effectExtent l="0" t="0" r="0" b="3175"/>
                            <wp:docPr id="6" name="Picture 6" descr="C:\Users\mfontana\Documents\Eva Fontana\GRAFICA CIDH\cartas\logos\oea-en.jpg"/>
                            <wp:cNvGraphicFramePr/>
                            <a:graphic xmlns:a="http://schemas.openxmlformats.org/drawingml/2006/main">
                              <a:graphicData uri="http://schemas.openxmlformats.org/drawingml/2006/picture">
                                <pic:pic xmlns:pic="http://schemas.openxmlformats.org/drawingml/2006/picture">
                                  <pic:nvPicPr>
                                    <pic:cNvPr id="6" name="Picture 6" descr="C:\Users\mfontana\Documents\Eva Fontana\GRAFICA CIDH\cartas\logos\oea-en.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a:ln>
                                      <a:noFill/>
                                    </a:ln>
                                  </pic:spPr>
                                </pic:pic>
                              </a:graphicData>
                            </a:graphic>
                          </wp:inline>
                        </w:drawing>
                      </w:r>
                    </w:p>
                  </w:txbxContent>
                </v:textbox>
              </v:shape>
            </w:pict>
          </mc:Fallback>
        </mc:AlternateContent>
      </w:r>
      <w:r w:rsidRPr="009B3F2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9C8D55A" wp14:editId="38ADBD2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F3AB7" w14:textId="77777777" w:rsidR="00174051" w:rsidRPr="004B7EB6" w:rsidRDefault="0017405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D55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C0F3AB7" w14:textId="77777777" w:rsidR="00174051" w:rsidRPr="004B7EB6" w:rsidRDefault="0017405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006EE45" w14:textId="77777777" w:rsidR="0070697F" w:rsidRPr="009B3F2A" w:rsidRDefault="0070697F" w:rsidP="009B3F2A">
      <w:pPr>
        <w:tabs>
          <w:tab w:val="center" w:pos="5400"/>
        </w:tabs>
        <w:suppressAutoHyphens/>
        <w:ind w:firstLine="720"/>
        <w:jc w:val="center"/>
        <w:rPr>
          <w:rFonts w:asciiTheme="majorHAnsi" w:hAnsiTheme="majorHAnsi"/>
          <w:b/>
          <w:sz w:val="20"/>
          <w:szCs w:val="20"/>
          <w:lang w:val="es-ES_tradnl"/>
        </w:rPr>
        <w:sectPr w:rsidR="0070697F" w:rsidRPr="009B3F2A"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64EFA7A7" w14:textId="368D29B3" w:rsidR="00722C9F" w:rsidRPr="006D7F3A" w:rsidRDefault="00F96EB2" w:rsidP="009B3F2A">
      <w:pPr>
        <w:tabs>
          <w:tab w:val="center" w:pos="5400"/>
        </w:tabs>
        <w:suppressAutoHyphens/>
        <w:ind w:hanging="90"/>
        <w:jc w:val="center"/>
        <w:rPr>
          <w:rFonts w:asciiTheme="majorHAnsi" w:hAnsiTheme="majorHAnsi"/>
          <w:b/>
          <w:sz w:val="18"/>
          <w:szCs w:val="20"/>
        </w:rPr>
      </w:pPr>
      <w:r>
        <w:rPr>
          <w:rFonts w:asciiTheme="majorHAnsi" w:hAnsiTheme="majorHAnsi"/>
          <w:b/>
          <w:sz w:val="18"/>
          <w:szCs w:val="20"/>
        </w:rPr>
        <w:lastRenderedPageBreak/>
        <w:t xml:space="preserve">REPORT </w:t>
      </w:r>
      <w:r w:rsidR="00445D66" w:rsidRPr="006D7F3A">
        <w:rPr>
          <w:rFonts w:asciiTheme="majorHAnsi" w:hAnsiTheme="majorHAnsi"/>
          <w:b/>
          <w:sz w:val="18"/>
          <w:szCs w:val="20"/>
        </w:rPr>
        <w:t xml:space="preserve">No. </w:t>
      </w:r>
      <w:r w:rsidR="00E3215A">
        <w:rPr>
          <w:rFonts w:asciiTheme="majorHAnsi" w:hAnsiTheme="majorHAnsi"/>
          <w:b/>
          <w:sz w:val="18"/>
          <w:szCs w:val="20"/>
        </w:rPr>
        <w:t>23</w:t>
      </w:r>
      <w:r w:rsidR="00445D66" w:rsidRPr="006D7F3A">
        <w:rPr>
          <w:rFonts w:asciiTheme="majorHAnsi" w:hAnsiTheme="majorHAnsi"/>
          <w:b/>
          <w:sz w:val="18"/>
          <w:szCs w:val="20"/>
        </w:rPr>
        <w:t>/20</w:t>
      </w:r>
    </w:p>
    <w:p w14:paraId="58FFA2A9" w14:textId="2171F733" w:rsidR="00722C9F" w:rsidRPr="00F96EB2" w:rsidRDefault="00722C9F" w:rsidP="009B3F2A">
      <w:pPr>
        <w:tabs>
          <w:tab w:val="center" w:pos="5400"/>
        </w:tabs>
        <w:suppressAutoHyphens/>
        <w:ind w:hanging="90"/>
        <w:jc w:val="center"/>
        <w:rPr>
          <w:rFonts w:asciiTheme="majorHAnsi" w:hAnsiTheme="majorHAnsi"/>
          <w:b/>
          <w:sz w:val="18"/>
          <w:szCs w:val="20"/>
        </w:rPr>
      </w:pPr>
      <w:r w:rsidRPr="00F96EB2">
        <w:rPr>
          <w:rFonts w:asciiTheme="majorHAnsi" w:hAnsiTheme="majorHAnsi"/>
          <w:b/>
          <w:sz w:val="18"/>
          <w:szCs w:val="20"/>
        </w:rPr>
        <w:t>CAS</w:t>
      </w:r>
      <w:r w:rsidR="00F96EB2" w:rsidRPr="00F96EB2">
        <w:rPr>
          <w:rFonts w:asciiTheme="majorHAnsi" w:hAnsiTheme="majorHAnsi"/>
          <w:b/>
          <w:sz w:val="18"/>
          <w:szCs w:val="20"/>
        </w:rPr>
        <w:t>E</w:t>
      </w:r>
      <w:r w:rsidRPr="00F96EB2">
        <w:rPr>
          <w:rFonts w:asciiTheme="majorHAnsi" w:hAnsiTheme="majorHAnsi"/>
          <w:b/>
          <w:sz w:val="18"/>
          <w:szCs w:val="20"/>
        </w:rPr>
        <w:t xml:space="preserve"> </w:t>
      </w:r>
      <w:r w:rsidR="00BC1BF9" w:rsidRPr="00F96EB2">
        <w:rPr>
          <w:rFonts w:asciiTheme="majorHAnsi" w:hAnsiTheme="majorHAnsi"/>
          <w:b/>
          <w:sz w:val="18"/>
          <w:szCs w:val="20"/>
        </w:rPr>
        <w:t>1275-04 A</w:t>
      </w:r>
    </w:p>
    <w:p w14:paraId="58DBDDF8" w14:textId="609EA458" w:rsidR="00F96EB2" w:rsidRDefault="006D7F3A" w:rsidP="009B3F2A">
      <w:pPr>
        <w:tabs>
          <w:tab w:val="center" w:pos="5400"/>
        </w:tabs>
        <w:suppressAutoHyphens/>
        <w:ind w:hanging="90"/>
        <w:jc w:val="center"/>
        <w:rPr>
          <w:rFonts w:asciiTheme="majorHAnsi" w:hAnsiTheme="majorHAnsi"/>
          <w:sz w:val="18"/>
          <w:szCs w:val="20"/>
        </w:rPr>
      </w:pPr>
      <w:r>
        <w:rPr>
          <w:rFonts w:asciiTheme="majorHAnsi" w:hAnsiTheme="majorHAnsi"/>
          <w:sz w:val="18"/>
          <w:szCs w:val="20"/>
        </w:rPr>
        <w:t>R</w:t>
      </w:r>
      <w:r w:rsidR="00F96EB2">
        <w:rPr>
          <w:rFonts w:asciiTheme="majorHAnsi" w:hAnsiTheme="majorHAnsi"/>
          <w:sz w:val="18"/>
          <w:szCs w:val="20"/>
        </w:rPr>
        <w:t>EPORT ON FRIENDLY SETTLEMENT</w:t>
      </w:r>
    </w:p>
    <w:p w14:paraId="1B73E029" w14:textId="5D2B1545" w:rsidR="00722C9F" w:rsidRPr="00E3215A" w:rsidRDefault="00BC1BF9" w:rsidP="009B3F2A">
      <w:pPr>
        <w:tabs>
          <w:tab w:val="center" w:pos="5400"/>
        </w:tabs>
        <w:suppressAutoHyphens/>
        <w:ind w:hanging="90"/>
        <w:jc w:val="center"/>
        <w:rPr>
          <w:rFonts w:asciiTheme="majorHAnsi" w:hAnsiTheme="majorHAnsi"/>
          <w:sz w:val="18"/>
          <w:szCs w:val="20"/>
        </w:rPr>
      </w:pPr>
      <w:r w:rsidRPr="00E3215A">
        <w:rPr>
          <w:rFonts w:asciiTheme="majorHAnsi" w:hAnsiTheme="majorHAnsi"/>
          <w:sz w:val="18"/>
          <w:szCs w:val="20"/>
        </w:rPr>
        <w:t>JUAN LUIS RIVERA MATUS</w:t>
      </w:r>
    </w:p>
    <w:p w14:paraId="476B53CB" w14:textId="3E08DB67" w:rsidR="0070697F" w:rsidRPr="00E3215A" w:rsidRDefault="00BC1BF9" w:rsidP="009B3F2A">
      <w:pPr>
        <w:tabs>
          <w:tab w:val="center" w:pos="5400"/>
        </w:tabs>
        <w:suppressAutoHyphens/>
        <w:ind w:hanging="90"/>
        <w:jc w:val="center"/>
        <w:rPr>
          <w:rFonts w:asciiTheme="majorHAnsi" w:hAnsiTheme="majorHAnsi"/>
          <w:sz w:val="18"/>
          <w:szCs w:val="20"/>
        </w:rPr>
      </w:pPr>
      <w:r w:rsidRPr="00E3215A">
        <w:rPr>
          <w:rFonts w:asciiTheme="majorHAnsi" w:hAnsiTheme="majorHAnsi"/>
          <w:sz w:val="18"/>
          <w:szCs w:val="20"/>
        </w:rPr>
        <w:t>CHILE</w:t>
      </w:r>
    </w:p>
    <w:p w14:paraId="7B7A76D9" w14:textId="4E64102F" w:rsidR="00722C9F" w:rsidRPr="00E3215A" w:rsidRDefault="00E3215A" w:rsidP="00F96EB2">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APRIL 13</w:t>
      </w:r>
      <w:r w:rsidR="00F96EB2" w:rsidRPr="00E3215A">
        <w:rPr>
          <w:rFonts w:asciiTheme="majorHAnsi" w:hAnsiTheme="majorHAnsi"/>
          <w:sz w:val="18"/>
          <w:szCs w:val="20"/>
        </w:rPr>
        <w:t>, 2020</w:t>
      </w:r>
      <w:r w:rsidR="002375EB" w:rsidRPr="009B3F2A">
        <w:rPr>
          <w:rStyle w:val="FootnoteReference"/>
          <w:rFonts w:asciiTheme="majorHAnsi" w:hAnsiTheme="majorHAnsi"/>
          <w:sz w:val="18"/>
          <w:szCs w:val="20"/>
          <w:lang w:val="es-ES_tradnl"/>
        </w:rPr>
        <w:footnoteReference w:id="2"/>
      </w:r>
    </w:p>
    <w:p w14:paraId="242E5673" w14:textId="77777777" w:rsidR="00722C9F" w:rsidRPr="00E3215A" w:rsidRDefault="00722C9F" w:rsidP="009B3F2A">
      <w:pPr>
        <w:tabs>
          <w:tab w:val="center" w:pos="5400"/>
        </w:tabs>
        <w:suppressAutoHyphens/>
        <w:ind w:firstLine="720"/>
        <w:jc w:val="center"/>
        <w:rPr>
          <w:rFonts w:asciiTheme="majorHAnsi" w:hAnsiTheme="majorHAnsi"/>
          <w:sz w:val="20"/>
          <w:szCs w:val="20"/>
        </w:rPr>
      </w:pPr>
    </w:p>
    <w:p w14:paraId="7375BFDF" w14:textId="77777777" w:rsidR="00F96EB2" w:rsidRPr="00C05757" w:rsidRDefault="00F96EB2" w:rsidP="00C0575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rPr>
      </w:pPr>
      <w:r w:rsidRPr="00C05757">
        <w:rPr>
          <w:rFonts w:asciiTheme="majorHAnsi" w:hAnsiTheme="majorHAnsi"/>
          <w:b/>
          <w:sz w:val="20"/>
          <w:szCs w:val="20"/>
        </w:rPr>
        <w:t>SUMMARY AND RELEVANT PROCEDURAL ASPECTS OF THE FRIENDLY SETTLEMENT PROCESS</w:t>
      </w:r>
    </w:p>
    <w:p w14:paraId="2FE2562E" w14:textId="77777777" w:rsidR="00696428" w:rsidRPr="00C05757" w:rsidRDefault="00696428" w:rsidP="00C05757">
      <w:pPr>
        <w:ind w:firstLine="720"/>
        <w:rPr>
          <w:rFonts w:asciiTheme="majorHAnsi" w:hAnsiTheme="majorHAnsi"/>
          <w:b/>
          <w:sz w:val="20"/>
          <w:szCs w:val="20"/>
        </w:rPr>
      </w:pPr>
    </w:p>
    <w:p w14:paraId="63875DAC" w14:textId="0F28D257" w:rsidR="009258A3" w:rsidRPr="00C05757" w:rsidRDefault="00C319C7" w:rsidP="00C05757">
      <w:pPr>
        <w:pStyle w:val="ListParagraph"/>
        <w:numPr>
          <w:ilvl w:val="0"/>
          <w:numId w:val="55"/>
        </w:numPr>
        <w:tabs>
          <w:tab w:val="clear" w:pos="4320"/>
        </w:tabs>
        <w:ind w:left="0" w:firstLine="720"/>
        <w:jc w:val="both"/>
        <w:rPr>
          <w:rFonts w:asciiTheme="majorHAnsi" w:hAnsiTheme="majorHAnsi" w:cs="Arial"/>
          <w:sz w:val="20"/>
          <w:szCs w:val="20"/>
        </w:rPr>
      </w:pPr>
      <w:r w:rsidRPr="00C05757">
        <w:rPr>
          <w:rFonts w:asciiTheme="majorHAnsi" w:hAnsiTheme="majorHAnsi" w:cs="Arial"/>
          <w:sz w:val="20"/>
          <w:szCs w:val="20"/>
        </w:rPr>
        <w:t>On November 29, 2004, the Inter-American Commission on Human Rights (hereinafter “the Commission” or the “IACHR”) received a petition filed by Adil Brkovic Almonte, then replaced by Julia Urquieta (hereinafter “the petitioners” or “the petitioner”) in which the international responsibility of the Republic of Chile (hereinafter “the State” or “the Chilean State”) was claimed for the facts related to the lack of reparation in a civil proceeding for the detention and subsequent disappearance of Mr. Juan Luis Rivera Matus (hereinafter “alleged victim”) by State agents, on November 6, 1975.</w:t>
      </w:r>
    </w:p>
    <w:p w14:paraId="59F51552" w14:textId="77777777" w:rsidR="009F62F9" w:rsidRPr="00C05757" w:rsidRDefault="009F62F9" w:rsidP="00C05757">
      <w:pPr>
        <w:rPr>
          <w:rFonts w:asciiTheme="majorHAnsi" w:hAnsiTheme="majorHAnsi" w:cs="Arial"/>
          <w:sz w:val="20"/>
          <w:szCs w:val="20"/>
        </w:rPr>
      </w:pPr>
    </w:p>
    <w:p w14:paraId="0C985254" w14:textId="5342F096" w:rsidR="00403295" w:rsidRPr="00C05757" w:rsidRDefault="009F62F9" w:rsidP="00C05757">
      <w:pPr>
        <w:pStyle w:val="ListParagraph"/>
        <w:numPr>
          <w:ilvl w:val="0"/>
          <w:numId w:val="55"/>
        </w:numPr>
        <w:tabs>
          <w:tab w:val="clear" w:pos="4320"/>
        </w:tabs>
        <w:ind w:left="0" w:firstLine="720"/>
        <w:jc w:val="both"/>
        <w:rPr>
          <w:rFonts w:asciiTheme="majorHAnsi" w:hAnsiTheme="majorHAnsi" w:cs="Arial"/>
          <w:sz w:val="20"/>
          <w:szCs w:val="20"/>
        </w:rPr>
      </w:pPr>
      <w:r w:rsidRPr="00C05757">
        <w:rPr>
          <w:rFonts w:asciiTheme="majorHAnsi" w:hAnsiTheme="majorHAnsi" w:cs="Arial"/>
          <w:sz w:val="20"/>
          <w:szCs w:val="20"/>
        </w:rPr>
        <w:t xml:space="preserve">The petitioners argued the international responsibility of the Chilean State for the violation of Articles 4 (right to life), 5 (right to humane treatment), </w:t>
      </w:r>
      <w:r w:rsidR="003B3BD1" w:rsidRPr="00C05757">
        <w:rPr>
          <w:rFonts w:asciiTheme="majorHAnsi" w:hAnsiTheme="majorHAnsi" w:cs="Arial"/>
          <w:sz w:val="20"/>
          <w:szCs w:val="20"/>
        </w:rPr>
        <w:t xml:space="preserve">8 (right to a fair trial), and 25 (right to judicial protection) </w:t>
      </w:r>
      <w:r w:rsidRPr="00C05757">
        <w:rPr>
          <w:rFonts w:asciiTheme="majorHAnsi" w:hAnsiTheme="majorHAnsi" w:cs="Arial"/>
          <w:sz w:val="20"/>
          <w:szCs w:val="20"/>
        </w:rPr>
        <w:t>of the American Convention on Human Rights (hereinafter “American Convention” or “</w:t>
      </w:r>
      <w:r w:rsidR="003B3BD1" w:rsidRPr="00C05757">
        <w:rPr>
          <w:rFonts w:asciiTheme="majorHAnsi" w:hAnsiTheme="majorHAnsi" w:cs="Arial"/>
          <w:sz w:val="20"/>
          <w:szCs w:val="20"/>
        </w:rPr>
        <w:t>ACHR</w:t>
      </w:r>
      <w:r w:rsidRPr="00C05757">
        <w:rPr>
          <w:rFonts w:asciiTheme="majorHAnsi" w:hAnsiTheme="majorHAnsi" w:cs="Arial"/>
          <w:sz w:val="20"/>
          <w:szCs w:val="20"/>
        </w:rPr>
        <w:t xml:space="preserve">”) </w:t>
      </w:r>
      <w:r w:rsidR="006D7F3A" w:rsidRPr="00C05757">
        <w:rPr>
          <w:rFonts w:asciiTheme="majorHAnsi" w:hAnsiTheme="majorHAnsi" w:cs="Arial"/>
          <w:sz w:val="20"/>
          <w:szCs w:val="20"/>
        </w:rPr>
        <w:t>regarding</w:t>
      </w:r>
      <w:r w:rsidR="003B3BD1" w:rsidRPr="00C05757">
        <w:rPr>
          <w:rFonts w:asciiTheme="majorHAnsi" w:hAnsiTheme="majorHAnsi" w:cs="Arial"/>
          <w:sz w:val="20"/>
          <w:szCs w:val="20"/>
        </w:rPr>
        <w:t xml:space="preserve"> to</w:t>
      </w:r>
      <w:r w:rsidRPr="00C05757">
        <w:rPr>
          <w:rFonts w:asciiTheme="majorHAnsi" w:hAnsiTheme="majorHAnsi" w:cs="Arial"/>
          <w:sz w:val="20"/>
          <w:szCs w:val="20"/>
        </w:rPr>
        <w:t xml:space="preserve"> Art</w:t>
      </w:r>
      <w:r w:rsidR="006D7F3A" w:rsidRPr="00C05757">
        <w:rPr>
          <w:rFonts w:asciiTheme="majorHAnsi" w:hAnsiTheme="majorHAnsi" w:cs="Arial"/>
          <w:sz w:val="20"/>
          <w:szCs w:val="20"/>
        </w:rPr>
        <w:t>icle 1.1 of the same instrument. The petitioners claimed</w:t>
      </w:r>
      <w:r w:rsidRPr="00C05757">
        <w:rPr>
          <w:rFonts w:asciiTheme="majorHAnsi" w:hAnsiTheme="majorHAnsi" w:cs="Arial"/>
          <w:sz w:val="20"/>
          <w:szCs w:val="20"/>
        </w:rPr>
        <w:t xml:space="preserve"> that the State had breached the duty to </w:t>
      </w:r>
      <w:r w:rsidR="006D7F3A" w:rsidRPr="00C05757">
        <w:rPr>
          <w:rFonts w:asciiTheme="majorHAnsi" w:hAnsiTheme="majorHAnsi" w:cs="Arial"/>
          <w:sz w:val="20"/>
          <w:szCs w:val="20"/>
        </w:rPr>
        <w:t xml:space="preserve">repair </w:t>
      </w:r>
      <w:r w:rsidRPr="00C05757">
        <w:rPr>
          <w:rFonts w:asciiTheme="majorHAnsi" w:hAnsiTheme="majorHAnsi" w:cs="Arial"/>
          <w:sz w:val="20"/>
          <w:szCs w:val="20"/>
        </w:rPr>
        <w:t>adeq</w:t>
      </w:r>
      <w:r w:rsidR="006D7F3A" w:rsidRPr="00C05757">
        <w:rPr>
          <w:rFonts w:asciiTheme="majorHAnsi" w:hAnsiTheme="majorHAnsi" w:cs="Arial"/>
          <w:sz w:val="20"/>
          <w:szCs w:val="20"/>
        </w:rPr>
        <w:t>uately the damage caused</w:t>
      </w:r>
      <w:r w:rsidRPr="00C05757">
        <w:rPr>
          <w:rFonts w:asciiTheme="majorHAnsi" w:hAnsiTheme="majorHAnsi" w:cs="Arial"/>
          <w:sz w:val="20"/>
          <w:szCs w:val="20"/>
        </w:rPr>
        <w:t xml:space="preserve"> because its relatives would not have received financial compensation for the violations infringed upon Mr. Rivera Matus.</w:t>
      </w:r>
    </w:p>
    <w:p w14:paraId="69519F09" w14:textId="77777777" w:rsidR="00B474E6" w:rsidRPr="00C05757" w:rsidRDefault="00B474E6" w:rsidP="00C05757">
      <w:pPr>
        <w:rPr>
          <w:rFonts w:asciiTheme="majorHAnsi" w:hAnsiTheme="majorHAnsi" w:cs="Arial"/>
          <w:sz w:val="20"/>
          <w:szCs w:val="20"/>
        </w:rPr>
      </w:pPr>
    </w:p>
    <w:p w14:paraId="45D7CCB6" w14:textId="5ACBC488" w:rsidR="00B474E6" w:rsidRPr="00C05757" w:rsidRDefault="00B474E6" w:rsidP="00C057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Arial"/>
          <w:sz w:val="20"/>
          <w:szCs w:val="20"/>
        </w:rPr>
      </w:pPr>
      <w:r w:rsidRPr="00C05757">
        <w:rPr>
          <w:rFonts w:asciiTheme="majorHAnsi" w:hAnsiTheme="majorHAnsi" w:cs="Arial"/>
          <w:sz w:val="20"/>
          <w:szCs w:val="20"/>
        </w:rPr>
        <w:t>On January 28, 2008, the IACHR received thirteen new complaints related to alleged violations of the human rights of Mr. Juan Luis Rivera Matus and 48 other</w:t>
      </w:r>
      <w:r w:rsidR="00777C33" w:rsidRPr="00C05757">
        <w:rPr>
          <w:rFonts w:asciiTheme="majorHAnsi" w:hAnsiTheme="majorHAnsi" w:cs="Arial"/>
          <w:sz w:val="20"/>
          <w:szCs w:val="20"/>
        </w:rPr>
        <w:t xml:space="preserve"> individuals</w:t>
      </w:r>
      <w:r w:rsidRPr="00C05757">
        <w:rPr>
          <w:rFonts w:asciiTheme="majorHAnsi" w:hAnsiTheme="majorHAnsi" w:cs="Arial"/>
          <w:sz w:val="20"/>
          <w:szCs w:val="20"/>
        </w:rPr>
        <w:t xml:space="preserve"> submitted by the same petitioners</w:t>
      </w:r>
      <w:r w:rsidR="00914880" w:rsidRPr="00C05757">
        <w:rPr>
          <w:rFonts w:asciiTheme="majorHAnsi" w:hAnsiTheme="majorHAnsi" w:cs="Arial"/>
          <w:sz w:val="20"/>
          <w:szCs w:val="20"/>
        </w:rPr>
        <w:t>.</w:t>
      </w:r>
      <w:r w:rsidRPr="00C05757">
        <w:rPr>
          <w:rFonts w:asciiTheme="majorHAnsi" w:hAnsiTheme="majorHAnsi" w:cs="Arial"/>
          <w:sz w:val="20"/>
          <w:szCs w:val="20"/>
        </w:rPr>
        <w:t xml:space="preserve"> </w:t>
      </w:r>
      <w:r w:rsidR="00914880" w:rsidRPr="00C05757">
        <w:rPr>
          <w:rFonts w:asciiTheme="majorHAnsi" w:hAnsiTheme="majorHAnsi" w:cs="Arial"/>
          <w:sz w:val="20"/>
          <w:szCs w:val="20"/>
        </w:rPr>
        <w:t>The petitioners alleged</w:t>
      </w:r>
      <w:r w:rsidRPr="00C05757">
        <w:rPr>
          <w:rFonts w:asciiTheme="majorHAnsi" w:hAnsiTheme="majorHAnsi" w:cs="Arial"/>
          <w:sz w:val="20"/>
          <w:szCs w:val="20"/>
        </w:rPr>
        <w:t xml:space="preserve"> the international responsibility of the Chilean State for having applied the figure of the </w:t>
      </w:r>
      <w:r w:rsidRPr="00C05757">
        <w:rPr>
          <w:rFonts w:asciiTheme="majorHAnsi" w:hAnsiTheme="majorHAnsi" w:cs="Arial"/>
          <w:i/>
          <w:iCs/>
          <w:sz w:val="20"/>
          <w:szCs w:val="20"/>
        </w:rPr>
        <w:t>half prescription or gradual prescription</w:t>
      </w:r>
      <w:r w:rsidRPr="00C05757">
        <w:rPr>
          <w:rFonts w:asciiTheme="majorHAnsi" w:hAnsiTheme="majorHAnsi" w:cs="Arial"/>
          <w:sz w:val="20"/>
          <w:szCs w:val="20"/>
        </w:rPr>
        <w:t xml:space="preserve"> in criminal matters of article 103 of </w:t>
      </w:r>
      <w:r w:rsidR="00914880" w:rsidRPr="00C05757">
        <w:rPr>
          <w:rFonts w:asciiTheme="majorHAnsi" w:hAnsiTheme="majorHAnsi" w:cs="Arial"/>
          <w:sz w:val="20"/>
          <w:szCs w:val="20"/>
        </w:rPr>
        <w:t>the Chilean</w:t>
      </w:r>
      <w:r w:rsidRPr="00C05757">
        <w:rPr>
          <w:rFonts w:asciiTheme="majorHAnsi" w:hAnsiTheme="majorHAnsi" w:cs="Arial"/>
          <w:sz w:val="20"/>
          <w:szCs w:val="20"/>
        </w:rPr>
        <w:t xml:space="preserve"> Criminal Code through </w:t>
      </w:r>
      <w:r w:rsidR="00914880" w:rsidRPr="00C05757">
        <w:rPr>
          <w:rFonts w:asciiTheme="majorHAnsi" w:hAnsiTheme="majorHAnsi" w:cs="Arial"/>
          <w:sz w:val="20"/>
          <w:szCs w:val="20"/>
        </w:rPr>
        <w:t>decisions</w:t>
      </w:r>
      <w:r w:rsidRPr="00C05757">
        <w:rPr>
          <w:rFonts w:asciiTheme="majorHAnsi" w:hAnsiTheme="majorHAnsi" w:cs="Arial"/>
          <w:sz w:val="20"/>
          <w:szCs w:val="20"/>
        </w:rPr>
        <w:t xml:space="preserve"> of the Supreme Court </w:t>
      </w:r>
      <w:r w:rsidR="00654309" w:rsidRPr="00C05757">
        <w:rPr>
          <w:rFonts w:asciiTheme="majorHAnsi" w:hAnsiTheme="majorHAnsi" w:cs="Arial"/>
          <w:sz w:val="20"/>
          <w:szCs w:val="20"/>
        </w:rPr>
        <w:t>for</w:t>
      </w:r>
      <w:r w:rsidRPr="00C05757">
        <w:rPr>
          <w:rFonts w:asciiTheme="majorHAnsi" w:hAnsiTheme="majorHAnsi" w:cs="Arial"/>
          <w:sz w:val="20"/>
          <w:szCs w:val="20"/>
        </w:rPr>
        <w:t xml:space="preserve"> crimes against humanity. The petitioners alleged that the alleged victims had been arrested, disappeared</w:t>
      </w:r>
      <w:r w:rsidR="00814095" w:rsidRPr="00C05757">
        <w:rPr>
          <w:rFonts w:asciiTheme="majorHAnsi" w:hAnsiTheme="majorHAnsi" w:cs="Arial"/>
          <w:sz w:val="20"/>
          <w:szCs w:val="20"/>
        </w:rPr>
        <w:t>,</w:t>
      </w:r>
      <w:r w:rsidRPr="00C05757">
        <w:rPr>
          <w:rFonts w:asciiTheme="majorHAnsi" w:hAnsiTheme="majorHAnsi" w:cs="Arial"/>
          <w:sz w:val="20"/>
          <w:szCs w:val="20"/>
        </w:rPr>
        <w:t xml:space="preserve"> or executed politicians during the period of the Chilean military dictatorship, so that the application of the figure contemplated in the </w:t>
      </w:r>
      <w:r w:rsidR="00814095" w:rsidRPr="00C05757">
        <w:rPr>
          <w:rFonts w:asciiTheme="majorHAnsi" w:hAnsiTheme="majorHAnsi" w:cs="Arial"/>
          <w:sz w:val="20"/>
          <w:szCs w:val="20"/>
        </w:rPr>
        <w:t>criminal</w:t>
      </w:r>
      <w:r w:rsidRPr="00C05757">
        <w:rPr>
          <w:rFonts w:asciiTheme="majorHAnsi" w:hAnsiTheme="majorHAnsi" w:cs="Arial"/>
          <w:sz w:val="20"/>
          <w:szCs w:val="20"/>
        </w:rPr>
        <w:t xml:space="preserve"> code </w:t>
      </w:r>
      <w:r w:rsidR="00814095" w:rsidRPr="00C05757">
        <w:rPr>
          <w:rFonts w:asciiTheme="majorHAnsi" w:hAnsiTheme="majorHAnsi" w:cs="Arial"/>
          <w:sz w:val="20"/>
          <w:szCs w:val="20"/>
        </w:rPr>
        <w:t>to</w:t>
      </w:r>
      <w:r w:rsidRPr="00C05757">
        <w:rPr>
          <w:rFonts w:asciiTheme="majorHAnsi" w:hAnsiTheme="majorHAnsi" w:cs="Arial"/>
          <w:sz w:val="20"/>
          <w:szCs w:val="20"/>
        </w:rPr>
        <w:t xml:space="preserve"> their sentences would constitute a violation of articles </w:t>
      </w:r>
      <w:r w:rsidR="00814095" w:rsidRPr="00C05757">
        <w:rPr>
          <w:rFonts w:asciiTheme="majorHAnsi" w:hAnsiTheme="majorHAnsi" w:cs="Arial"/>
          <w:sz w:val="20"/>
          <w:szCs w:val="20"/>
        </w:rPr>
        <w:t>8 (right to a fair trial) and 25 (right to judicial protection)</w:t>
      </w:r>
      <w:r w:rsidRPr="00C05757">
        <w:rPr>
          <w:rFonts w:asciiTheme="majorHAnsi" w:hAnsiTheme="majorHAnsi" w:cs="Arial"/>
          <w:sz w:val="20"/>
          <w:szCs w:val="20"/>
        </w:rPr>
        <w:t xml:space="preserve"> of the American Convention in </w:t>
      </w:r>
      <w:r w:rsidR="00777C33" w:rsidRPr="00C05757">
        <w:rPr>
          <w:rFonts w:asciiTheme="majorHAnsi" w:hAnsiTheme="majorHAnsi" w:cs="Arial"/>
          <w:sz w:val="20"/>
          <w:szCs w:val="20"/>
        </w:rPr>
        <w:t>relation to</w:t>
      </w:r>
      <w:r w:rsidRPr="00C05757">
        <w:rPr>
          <w:rFonts w:asciiTheme="majorHAnsi" w:hAnsiTheme="majorHAnsi" w:cs="Arial"/>
          <w:sz w:val="20"/>
          <w:szCs w:val="20"/>
        </w:rPr>
        <w:t xml:space="preserve"> Article 1.1.</w:t>
      </w:r>
      <w:r w:rsidR="00777C33" w:rsidRPr="00C05757">
        <w:rPr>
          <w:rFonts w:asciiTheme="majorHAnsi" w:hAnsiTheme="majorHAnsi" w:cs="Arial"/>
          <w:sz w:val="20"/>
          <w:szCs w:val="20"/>
        </w:rPr>
        <w:t xml:space="preserve"> thereof.</w:t>
      </w:r>
    </w:p>
    <w:p w14:paraId="329C51A8" w14:textId="77777777" w:rsidR="00C5480C" w:rsidRPr="00C05757" w:rsidRDefault="00C5480C" w:rsidP="00C05757">
      <w:pPr>
        <w:rPr>
          <w:rFonts w:asciiTheme="majorHAnsi" w:hAnsiTheme="majorHAnsi" w:cs="Arial"/>
          <w:sz w:val="20"/>
          <w:szCs w:val="20"/>
        </w:rPr>
      </w:pPr>
    </w:p>
    <w:p w14:paraId="4E9E0EE0" w14:textId="4FD50C69" w:rsidR="00251CD8" w:rsidRPr="00C05757" w:rsidRDefault="00C5480C" w:rsidP="00C057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Arial"/>
          <w:sz w:val="20"/>
          <w:szCs w:val="20"/>
        </w:rPr>
      </w:pPr>
      <w:r w:rsidRPr="00C05757">
        <w:rPr>
          <w:rFonts w:asciiTheme="majorHAnsi" w:hAnsiTheme="majorHAnsi" w:cs="Arial"/>
          <w:sz w:val="20"/>
          <w:szCs w:val="20"/>
        </w:rPr>
        <w:t xml:space="preserve">The IACHR initially decided to accumulate all the </w:t>
      </w:r>
      <w:r w:rsidR="000E52AE" w:rsidRPr="00C05757">
        <w:rPr>
          <w:rFonts w:asciiTheme="majorHAnsi" w:hAnsiTheme="majorHAnsi" w:cs="Arial"/>
          <w:sz w:val="20"/>
          <w:szCs w:val="20"/>
        </w:rPr>
        <w:t>petitions</w:t>
      </w:r>
      <w:r w:rsidRPr="00C05757">
        <w:rPr>
          <w:rFonts w:asciiTheme="majorHAnsi" w:hAnsiTheme="majorHAnsi" w:cs="Arial"/>
          <w:sz w:val="20"/>
          <w:szCs w:val="20"/>
        </w:rPr>
        <w:t xml:space="preserve">, however, they were subsequently </w:t>
      </w:r>
      <w:r w:rsidR="000E52AE" w:rsidRPr="00C05757">
        <w:rPr>
          <w:rFonts w:asciiTheme="majorHAnsi" w:hAnsiTheme="majorHAnsi" w:cs="Arial"/>
          <w:sz w:val="20"/>
          <w:szCs w:val="20"/>
        </w:rPr>
        <w:t xml:space="preserve">separated </w:t>
      </w:r>
      <w:r w:rsidRPr="00C05757">
        <w:rPr>
          <w:rFonts w:asciiTheme="majorHAnsi" w:hAnsiTheme="majorHAnsi" w:cs="Arial"/>
          <w:sz w:val="20"/>
          <w:szCs w:val="20"/>
        </w:rPr>
        <w:t>to allow the negotiation of a friendly settlement agreement, initiating a friendly settlement process to resolve the matter related to P</w:t>
      </w:r>
      <w:r w:rsidR="00E7124E" w:rsidRPr="00C05757">
        <w:rPr>
          <w:rFonts w:asciiTheme="majorHAnsi" w:hAnsiTheme="majorHAnsi" w:cs="Arial"/>
          <w:sz w:val="20"/>
          <w:szCs w:val="20"/>
        </w:rPr>
        <w:t>-</w:t>
      </w:r>
      <w:r w:rsidRPr="00C05757">
        <w:rPr>
          <w:rFonts w:asciiTheme="majorHAnsi" w:hAnsiTheme="majorHAnsi" w:cs="Arial"/>
          <w:sz w:val="20"/>
          <w:szCs w:val="20"/>
        </w:rPr>
        <w:t xml:space="preserve">1275-04 A, </w:t>
      </w:r>
      <w:r w:rsidR="00EE0660" w:rsidRPr="00C05757">
        <w:rPr>
          <w:rFonts w:asciiTheme="majorHAnsi" w:hAnsiTheme="majorHAnsi" w:cs="Arial"/>
          <w:sz w:val="20"/>
          <w:szCs w:val="20"/>
        </w:rPr>
        <w:t>regarding</w:t>
      </w:r>
      <w:r w:rsidRPr="00C05757">
        <w:rPr>
          <w:rFonts w:asciiTheme="majorHAnsi" w:hAnsiTheme="majorHAnsi" w:cs="Arial"/>
          <w:sz w:val="20"/>
          <w:szCs w:val="20"/>
        </w:rPr>
        <w:t xml:space="preserve"> t</w:t>
      </w:r>
      <w:r w:rsidR="00E7124E" w:rsidRPr="00C05757">
        <w:rPr>
          <w:rFonts w:asciiTheme="majorHAnsi" w:hAnsiTheme="majorHAnsi" w:cs="Arial"/>
          <w:sz w:val="20"/>
          <w:szCs w:val="20"/>
        </w:rPr>
        <w:t xml:space="preserve">he other aspects </w:t>
      </w:r>
      <w:r w:rsidRPr="00C05757">
        <w:rPr>
          <w:rFonts w:asciiTheme="majorHAnsi" w:hAnsiTheme="majorHAnsi" w:cs="Arial"/>
          <w:sz w:val="20"/>
          <w:szCs w:val="20"/>
        </w:rPr>
        <w:t xml:space="preserve">of the initial petition related to the lack of access to </w:t>
      </w:r>
      <w:r w:rsidR="00E7124E" w:rsidRPr="00C05757">
        <w:rPr>
          <w:rFonts w:asciiTheme="majorHAnsi" w:hAnsiTheme="majorHAnsi" w:cs="Arial"/>
          <w:sz w:val="20"/>
          <w:szCs w:val="20"/>
        </w:rPr>
        <w:t>reparations</w:t>
      </w:r>
      <w:r w:rsidRPr="00C05757">
        <w:rPr>
          <w:rFonts w:asciiTheme="majorHAnsi" w:hAnsiTheme="majorHAnsi" w:cs="Arial"/>
          <w:sz w:val="20"/>
          <w:szCs w:val="20"/>
        </w:rPr>
        <w:t xml:space="preserve"> </w:t>
      </w:r>
      <w:r w:rsidR="00914880" w:rsidRPr="00C05757">
        <w:rPr>
          <w:rFonts w:asciiTheme="majorHAnsi" w:hAnsiTheme="majorHAnsi" w:cs="Arial"/>
          <w:sz w:val="20"/>
          <w:szCs w:val="20"/>
        </w:rPr>
        <w:t>under</w:t>
      </w:r>
      <w:r w:rsidRPr="00C05757">
        <w:rPr>
          <w:rFonts w:asciiTheme="majorHAnsi" w:hAnsiTheme="majorHAnsi" w:cs="Arial"/>
          <w:sz w:val="20"/>
          <w:szCs w:val="20"/>
        </w:rPr>
        <w:t xml:space="preserve"> the a civil trial for the facts related to the detention and subsequent disappearance of Mr. Juan Luis Rivera Matus.</w:t>
      </w:r>
    </w:p>
    <w:p w14:paraId="780C1868" w14:textId="77777777" w:rsidR="00EE0660" w:rsidRPr="00C05757" w:rsidRDefault="00EE0660" w:rsidP="00C05757">
      <w:pPr>
        <w:rPr>
          <w:rFonts w:asciiTheme="majorHAnsi" w:hAnsiTheme="majorHAnsi" w:cs="Arial"/>
          <w:sz w:val="20"/>
          <w:szCs w:val="20"/>
        </w:rPr>
      </w:pPr>
    </w:p>
    <w:p w14:paraId="2D878211" w14:textId="2EEEF5F9" w:rsidR="00EE0660" w:rsidRPr="00C05757" w:rsidRDefault="00EE0660" w:rsidP="00C057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Arial"/>
          <w:sz w:val="20"/>
          <w:szCs w:val="20"/>
        </w:rPr>
      </w:pPr>
      <w:r w:rsidRPr="00C05757">
        <w:rPr>
          <w:rFonts w:asciiTheme="majorHAnsi" w:hAnsiTheme="majorHAnsi" w:cs="Arial"/>
          <w:sz w:val="20"/>
          <w:szCs w:val="20"/>
        </w:rPr>
        <w:t xml:space="preserve">On December 6, 2019, after a negotiation process between the parties facilitated by the Commission, the State presented the final draft </w:t>
      </w:r>
      <w:r w:rsidR="00655C47" w:rsidRPr="00C05757">
        <w:rPr>
          <w:rFonts w:asciiTheme="majorHAnsi" w:hAnsiTheme="majorHAnsi" w:cs="Arial"/>
          <w:sz w:val="20"/>
          <w:szCs w:val="20"/>
        </w:rPr>
        <w:t>to</w:t>
      </w:r>
      <w:r w:rsidRPr="00C05757">
        <w:rPr>
          <w:rFonts w:asciiTheme="majorHAnsi" w:hAnsiTheme="majorHAnsi" w:cs="Arial"/>
          <w:sz w:val="20"/>
          <w:szCs w:val="20"/>
        </w:rPr>
        <w:t xml:space="preserve"> pursue a friendly settlement, </w:t>
      </w:r>
      <w:r w:rsidR="00655C47" w:rsidRPr="00C05757">
        <w:rPr>
          <w:rFonts w:asciiTheme="majorHAnsi" w:hAnsiTheme="majorHAnsi" w:cs="Arial"/>
          <w:sz w:val="20"/>
          <w:szCs w:val="20"/>
        </w:rPr>
        <w:t xml:space="preserve"> </w:t>
      </w:r>
      <w:r w:rsidRPr="00C05757">
        <w:rPr>
          <w:rFonts w:asciiTheme="majorHAnsi" w:hAnsiTheme="majorHAnsi" w:cs="Arial"/>
          <w:sz w:val="20"/>
          <w:szCs w:val="20"/>
        </w:rPr>
        <w:t xml:space="preserve">subsequently materialized with the signing of </w:t>
      </w:r>
      <w:r w:rsidR="00623AC9" w:rsidRPr="00C05757">
        <w:rPr>
          <w:rFonts w:asciiTheme="majorHAnsi" w:hAnsiTheme="majorHAnsi" w:cs="Arial"/>
          <w:sz w:val="20"/>
          <w:szCs w:val="20"/>
        </w:rPr>
        <w:t>a F</w:t>
      </w:r>
      <w:r w:rsidRPr="00C05757">
        <w:rPr>
          <w:rFonts w:asciiTheme="majorHAnsi" w:hAnsiTheme="majorHAnsi" w:cs="Arial"/>
          <w:sz w:val="20"/>
          <w:szCs w:val="20"/>
        </w:rPr>
        <w:t xml:space="preserve">riendly </w:t>
      </w:r>
      <w:r w:rsidR="00623AC9" w:rsidRPr="00C05757">
        <w:rPr>
          <w:rFonts w:asciiTheme="majorHAnsi" w:hAnsiTheme="majorHAnsi" w:cs="Arial"/>
          <w:sz w:val="20"/>
          <w:szCs w:val="20"/>
        </w:rPr>
        <w:t>Se</w:t>
      </w:r>
      <w:r w:rsidRPr="00C05757">
        <w:rPr>
          <w:rFonts w:asciiTheme="majorHAnsi" w:hAnsiTheme="majorHAnsi" w:cs="Arial"/>
          <w:sz w:val="20"/>
          <w:szCs w:val="20"/>
        </w:rPr>
        <w:t>ttlement</w:t>
      </w:r>
      <w:r w:rsidR="00623AC9" w:rsidRPr="00C05757">
        <w:rPr>
          <w:rFonts w:asciiTheme="majorHAnsi" w:hAnsiTheme="majorHAnsi" w:cs="Arial"/>
          <w:sz w:val="20"/>
          <w:szCs w:val="20"/>
        </w:rPr>
        <w:t xml:space="preserve"> Agreement</w:t>
      </w:r>
      <w:r w:rsidRPr="00C05757">
        <w:rPr>
          <w:rFonts w:asciiTheme="majorHAnsi" w:hAnsiTheme="majorHAnsi" w:cs="Arial"/>
          <w:sz w:val="20"/>
          <w:szCs w:val="20"/>
        </w:rPr>
        <w:t xml:space="preserve"> (hereinafter “</w:t>
      </w:r>
      <w:r w:rsidR="00623AC9" w:rsidRPr="00C05757">
        <w:rPr>
          <w:rFonts w:asciiTheme="majorHAnsi" w:hAnsiTheme="majorHAnsi" w:cs="Arial"/>
          <w:sz w:val="20"/>
          <w:szCs w:val="20"/>
        </w:rPr>
        <w:t>F</w:t>
      </w:r>
      <w:r w:rsidRPr="00C05757">
        <w:rPr>
          <w:rFonts w:asciiTheme="majorHAnsi" w:hAnsiTheme="majorHAnsi" w:cs="Arial"/>
          <w:sz w:val="20"/>
          <w:szCs w:val="20"/>
        </w:rPr>
        <w:t xml:space="preserve">SA” or “agreement”) on January 31, 2020, in Santiago de Chile. In </w:t>
      </w:r>
      <w:r w:rsidR="00655C47" w:rsidRPr="00C05757">
        <w:rPr>
          <w:rFonts w:asciiTheme="majorHAnsi" w:hAnsiTheme="majorHAnsi" w:cs="Arial"/>
          <w:sz w:val="20"/>
          <w:szCs w:val="20"/>
        </w:rPr>
        <w:t>the</w:t>
      </w:r>
      <w:r w:rsidRPr="00C05757">
        <w:rPr>
          <w:rFonts w:asciiTheme="majorHAnsi" w:hAnsiTheme="majorHAnsi" w:cs="Arial"/>
          <w:sz w:val="20"/>
          <w:szCs w:val="20"/>
        </w:rPr>
        <w:t xml:space="preserve"> </w:t>
      </w:r>
      <w:r w:rsidR="00655C47" w:rsidRPr="00C05757">
        <w:rPr>
          <w:rFonts w:asciiTheme="majorHAnsi" w:hAnsiTheme="majorHAnsi" w:cs="Arial"/>
          <w:sz w:val="20"/>
          <w:szCs w:val="20"/>
        </w:rPr>
        <w:t>agreement,</w:t>
      </w:r>
      <w:r w:rsidRPr="00C05757">
        <w:rPr>
          <w:rFonts w:asciiTheme="majorHAnsi" w:hAnsiTheme="majorHAnsi" w:cs="Arial"/>
          <w:sz w:val="20"/>
          <w:szCs w:val="20"/>
        </w:rPr>
        <w:t xml:space="preserve"> </w:t>
      </w:r>
      <w:r w:rsidR="00655C47" w:rsidRPr="00C05757">
        <w:rPr>
          <w:rFonts w:asciiTheme="majorHAnsi" w:hAnsiTheme="majorHAnsi" w:cs="Arial"/>
          <w:sz w:val="20"/>
          <w:szCs w:val="20"/>
        </w:rPr>
        <w:t>both</w:t>
      </w:r>
      <w:r w:rsidRPr="00C05757">
        <w:rPr>
          <w:rFonts w:asciiTheme="majorHAnsi" w:hAnsiTheme="majorHAnsi" w:cs="Arial"/>
          <w:sz w:val="20"/>
          <w:szCs w:val="20"/>
        </w:rPr>
        <w:t xml:space="preserve"> parties requested </w:t>
      </w:r>
      <w:r w:rsidR="00623AC9" w:rsidRPr="00C05757">
        <w:rPr>
          <w:rFonts w:asciiTheme="majorHAnsi" w:hAnsiTheme="majorHAnsi" w:cs="Arial"/>
          <w:sz w:val="20"/>
          <w:szCs w:val="20"/>
        </w:rPr>
        <w:t>its</w:t>
      </w:r>
      <w:r w:rsidRPr="00C05757">
        <w:rPr>
          <w:rFonts w:asciiTheme="majorHAnsi" w:hAnsiTheme="majorHAnsi" w:cs="Arial"/>
          <w:sz w:val="20"/>
          <w:szCs w:val="20"/>
        </w:rPr>
        <w:t xml:space="preserve"> approval and </w:t>
      </w:r>
      <w:r w:rsidR="00623AC9" w:rsidRPr="00C05757">
        <w:rPr>
          <w:rFonts w:asciiTheme="majorHAnsi" w:hAnsiTheme="majorHAnsi" w:cs="Arial"/>
          <w:sz w:val="20"/>
          <w:szCs w:val="20"/>
        </w:rPr>
        <w:t>agreed</w:t>
      </w:r>
      <w:r w:rsidRPr="00C05757">
        <w:rPr>
          <w:rFonts w:asciiTheme="majorHAnsi" w:hAnsiTheme="majorHAnsi" w:cs="Arial"/>
          <w:sz w:val="20"/>
          <w:szCs w:val="20"/>
        </w:rPr>
        <w:t xml:space="preserve"> to report in a timely manner on the progress in the materialization of the agreement.</w:t>
      </w:r>
    </w:p>
    <w:p w14:paraId="51ECFF25" w14:textId="77777777" w:rsidR="00720DA9" w:rsidRPr="00C05757" w:rsidRDefault="00720DA9" w:rsidP="00C05757">
      <w:pPr>
        <w:rPr>
          <w:rFonts w:asciiTheme="majorHAnsi" w:hAnsiTheme="majorHAnsi" w:cs="Arial"/>
          <w:sz w:val="20"/>
          <w:szCs w:val="20"/>
        </w:rPr>
      </w:pPr>
    </w:p>
    <w:p w14:paraId="76EB9C0D" w14:textId="15238876" w:rsidR="00720DA9" w:rsidRPr="00C05757" w:rsidRDefault="00A3118F" w:rsidP="00C057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rPr>
      </w:pPr>
      <w:r w:rsidRPr="00C05757">
        <w:rPr>
          <w:rFonts w:asciiTheme="majorHAnsi" w:hAnsiTheme="majorHAnsi" w:cs="Arial"/>
          <w:sz w:val="20"/>
          <w:szCs w:val="20"/>
        </w:rPr>
        <w:t>A</w:t>
      </w:r>
      <w:r w:rsidR="00720DA9" w:rsidRPr="00C05757">
        <w:rPr>
          <w:rFonts w:asciiTheme="majorHAnsi" w:hAnsiTheme="majorHAnsi" w:cs="Arial"/>
          <w:sz w:val="20"/>
          <w:szCs w:val="20"/>
        </w:rPr>
        <w:t xml:space="preserve">s established in article 49 of the Convention and article 40.5 of the Commission's Rules of Procedure, </w:t>
      </w:r>
      <w:r w:rsidRPr="00C05757">
        <w:rPr>
          <w:rFonts w:asciiTheme="majorHAnsi" w:hAnsiTheme="majorHAnsi" w:cs="Arial"/>
          <w:sz w:val="20"/>
          <w:szCs w:val="20"/>
        </w:rPr>
        <w:t xml:space="preserve">this friendly settlement report presents </w:t>
      </w:r>
      <w:r w:rsidR="00720DA9" w:rsidRPr="00C05757">
        <w:rPr>
          <w:rFonts w:asciiTheme="majorHAnsi" w:hAnsiTheme="majorHAnsi" w:cs="Arial"/>
          <w:sz w:val="20"/>
          <w:szCs w:val="20"/>
        </w:rPr>
        <w:t>a summary of the facts alleged</w:t>
      </w:r>
      <w:r w:rsidRPr="00C05757">
        <w:rPr>
          <w:rFonts w:asciiTheme="majorHAnsi" w:hAnsiTheme="majorHAnsi" w:cs="Arial"/>
          <w:sz w:val="20"/>
          <w:szCs w:val="20"/>
        </w:rPr>
        <w:t xml:space="preserve"> by the petitioner, as well as, </w:t>
      </w:r>
      <w:r w:rsidR="00720DA9" w:rsidRPr="00C05757">
        <w:rPr>
          <w:rFonts w:asciiTheme="majorHAnsi" w:hAnsiTheme="majorHAnsi" w:cs="Arial"/>
          <w:sz w:val="20"/>
          <w:szCs w:val="20"/>
        </w:rPr>
        <w:t xml:space="preserve">the </w:t>
      </w:r>
      <w:r w:rsidRPr="00C05757">
        <w:rPr>
          <w:rFonts w:asciiTheme="majorHAnsi" w:hAnsiTheme="majorHAnsi" w:cs="Arial"/>
          <w:sz w:val="20"/>
          <w:szCs w:val="20"/>
        </w:rPr>
        <w:t>transcription of the friendly settlement signed</w:t>
      </w:r>
      <w:r w:rsidR="00720DA9" w:rsidRPr="00C05757">
        <w:rPr>
          <w:rFonts w:asciiTheme="majorHAnsi" w:hAnsiTheme="majorHAnsi" w:cs="Arial"/>
          <w:sz w:val="20"/>
          <w:szCs w:val="20"/>
        </w:rPr>
        <w:t xml:space="preserve"> on </w:t>
      </w:r>
      <w:r w:rsidR="00C0657C" w:rsidRPr="00C05757">
        <w:rPr>
          <w:rFonts w:asciiTheme="majorHAnsi" w:hAnsiTheme="majorHAnsi" w:cs="Arial"/>
          <w:sz w:val="20"/>
          <w:szCs w:val="20"/>
        </w:rPr>
        <w:t xml:space="preserve">January 31, 2020 </w:t>
      </w:r>
      <w:r w:rsidR="00720DA9" w:rsidRPr="00C05757">
        <w:rPr>
          <w:rFonts w:asciiTheme="majorHAnsi" w:hAnsiTheme="majorHAnsi" w:cs="Arial"/>
          <w:sz w:val="20"/>
          <w:szCs w:val="20"/>
        </w:rPr>
        <w:t xml:space="preserve">by the petitioner and the representatives of the </w:t>
      </w:r>
      <w:r w:rsidR="00C0657C" w:rsidRPr="00C05757">
        <w:rPr>
          <w:rFonts w:asciiTheme="majorHAnsi" w:hAnsiTheme="majorHAnsi" w:cs="Arial"/>
          <w:sz w:val="20"/>
          <w:szCs w:val="20"/>
        </w:rPr>
        <w:t xml:space="preserve">Chilean </w:t>
      </w:r>
      <w:r w:rsidRPr="00C05757">
        <w:rPr>
          <w:rFonts w:asciiTheme="majorHAnsi" w:hAnsiTheme="majorHAnsi" w:cs="Arial"/>
          <w:sz w:val="20"/>
          <w:szCs w:val="20"/>
        </w:rPr>
        <w:t>State.</w:t>
      </w:r>
      <w:r w:rsidR="00720DA9" w:rsidRPr="00C05757">
        <w:rPr>
          <w:rFonts w:asciiTheme="majorHAnsi" w:hAnsiTheme="majorHAnsi" w:cs="Arial"/>
          <w:sz w:val="20"/>
          <w:szCs w:val="20"/>
        </w:rPr>
        <w:t xml:space="preserve"> Likewise, the </w:t>
      </w:r>
      <w:r w:rsidRPr="00C05757">
        <w:rPr>
          <w:rFonts w:asciiTheme="majorHAnsi" w:hAnsiTheme="majorHAnsi" w:cs="Arial"/>
          <w:sz w:val="20"/>
          <w:szCs w:val="20"/>
        </w:rPr>
        <w:t xml:space="preserve">Commission approves the </w:t>
      </w:r>
      <w:r w:rsidR="00720DA9" w:rsidRPr="00C05757">
        <w:rPr>
          <w:rFonts w:asciiTheme="majorHAnsi" w:hAnsiTheme="majorHAnsi" w:cs="Arial"/>
          <w:sz w:val="20"/>
          <w:szCs w:val="20"/>
        </w:rPr>
        <w:t xml:space="preserve">agreement signed between the parties and </w:t>
      </w:r>
      <w:r w:rsidRPr="00C05757">
        <w:rPr>
          <w:rFonts w:asciiTheme="majorHAnsi" w:hAnsiTheme="majorHAnsi" w:cs="Arial"/>
          <w:sz w:val="20"/>
          <w:szCs w:val="20"/>
        </w:rPr>
        <w:t>agrees to</w:t>
      </w:r>
      <w:r w:rsidR="00720DA9" w:rsidRPr="00C05757">
        <w:rPr>
          <w:rFonts w:asciiTheme="majorHAnsi" w:hAnsiTheme="majorHAnsi" w:cs="Arial"/>
          <w:sz w:val="20"/>
          <w:szCs w:val="20"/>
        </w:rPr>
        <w:t xml:space="preserve"> </w:t>
      </w:r>
      <w:r w:rsidRPr="00C05757">
        <w:rPr>
          <w:rFonts w:asciiTheme="majorHAnsi" w:hAnsiTheme="majorHAnsi" w:cs="Arial"/>
          <w:sz w:val="20"/>
          <w:szCs w:val="20"/>
        </w:rPr>
        <w:t>publish</w:t>
      </w:r>
      <w:r w:rsidR="00720DA9" w:rsidRPr="00C05757">
        <w:rPr>
          <w:rFonts w:asciiTheme="majorHAnsi" w:hAnsiTheme="majorHAnsi" w:cs="Arial"/>
          <w:sz w:val="20"/>
          <w:szCs w:val="20"/>
        </w:rPr>
        <w:t xml:space="preserve"> </w:t>
      </w:r>
      <w:r w:rsidRPr="00C05757">
        <w:rPr>
          <w:rFonts w:asciiTheme="majorHAnsi" w:hAnsiTheme="majorHAnsi" w:cs="Arial"/>
          <w:sz w:val="20"/>
          <w:szCs w:val="20"/>
        </w:rPr>
        <w:t xml:space="preserve">this report </w:t>
      </w:r>
      <w:r w:rsidR="00720DA9" w:rsidRPr="00C05757">
        <w:rPr>
          <w:rFonts w:asciiTheme="majorHAnsi" w:hAnsiTheme="majorHAnsi" w:cs="Arial"/>
          <w:sz w:val="20"/>
          <w:szCs w:val="20"/>
        </w:rPr>
        <w:t>in the Annual Report of the IACHR to the General Assembly of the Organization of American States.</w:t>
      </w:r>
    </w:p>
    <w:p w14:paraId="132B9684" w14:textId="77777777" w:rsidR="00696428" w:rsidRPr="00C05757" w:rsidRDefault="00696428" w:rsidP="00C05757">
      <w:pPr>
        <w:rPr>
          <w:rFonts w:asciiTheme="majorHAnsi" w:hAnsiTheme="majorHAnsi" w:cs="Calibri"/>
          <w:sz w:val="20"/>
          <w:szCs w:val="20"/>
        </w:rPr>
      </w:pPr>
    </w:p>
    <w:p w14:paraId="0A3A0A11" w14:textId="1FF06C42" w:rsidR="00696428" w:rsidRPr="00C05757" w:rsidRDefault="00F96EB2" w:rsidP="00C05757">
      <w:pPr>
        <w:pStyle w:val="ListParagraph"/>
        <w:numPr>
          <w:ilvl w:val="0"/>
          <w:numId w:val="56"/>
        </w:numPr>
        <w:ind w:left="0" w:firstLine="720"/>
        <w:rPr>
          <w:rFonts w:asciiTheme="majorHAnsi" w:hAnsiTheme="majorHAnsi"/>
          <w:b/>
          <w:sz w:val="20"/>
          <w:szCs w:val="20"/>
          <w:lang w:val="es-BO"/>
        </w:rPr>
      </w:pPr>
      <w:r w:rsidRPr="00C05757">
        <w:rPr>
          <w:rFonts w:asciiTheme="majorHAnsi" w:hAnsiTheme="majorHAnsi"/>
          <w:b/>
          <w:sz w:val="20"/>
          <w:szCs w:val="20"/>
          <w:lang w:val="es-BO"/>
        </w:rPr>
        <w:lastRenderedPageBreak/>
        <w:t>FACTS ALLEGED</w:t>
      </w:r>
    </w:p>
    <w:p w14:paraId="6FA0E5EB" w14:textId="77777777" w:rsidR="00696428" w:rsidRPr="00C05757" w:rsidRDefault="00696428" w:rsidP="00C05757">
      <w:pPr>
        <w:ind w:firstLine="720"/>
        <w:jc w:val="both"/>
        <w:rPr>
          <w:rFonts w:asciiTheme="majorHAnsi" w:hAnsiTheme="majorHAnsi"/>
          <w:b/>
          <w:sz w:val="20"/>
          <w:szCs w:val="20"/>
          <w:lang w:val="es-BO"/>
        </w:rPr>
      </w:pPr>
    </w:p>
    <w:p w14:paraId="78040754" w14:textId="2F0484AF" w:rsidR="006E7297" w:rsidRPr="00C05757" w:rsidRDefault="006E7297" w:rsidP="00C057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C05757">
        <w:rPr>
          <w:rFonts w:asciiTheme="majorHAnsi" w:hAnsiTheme="majorHAnsi" w:cs="Calibri"/>
          <w:sz w:val="20"/>
          <w:szCs w:val="20"/>
        </w:rPr>
        <w:t>The petitioner claimed that, on November 6, 1975, Mr. Juan Luis Rivera Matus, a trade union leader, would have been illegally deprived of his liberty by agents of the Chilean State</w:t>
      </w:r>
      <w:r w:rsidR="00432BB9" w:rsidRPr="00C05757">
        <w:rPr>
          <w:rFonts w:asciiTheme="majorHAnsi" w:hAnsiTheme="majorHAnsi" w:cs="Calibri"/>
          <w:sz w:val="20"/>
          <w:szCs w:val="20"/>
        </w:rPr>
        <w:t xml:space="preserve"> </w:t>
      </w:r>
      <w:r w:rsidRPr="00C05757">
        <w:rPr>
          <w:rFonts w:asciiTheme="majorHAnsi" w:hAnsiTheme="majorHAnsi" w:cs="Calibri"/>
          <w:sz w:val="20"/>
          <w:szCs w:val="20"/>
        </w:rPr>
        <w:t xml:space="preserve">when he was </w:t>
      </w:r>
      <w:r w:rsidR="00432BB9" w:rsidRPr="00C05757">
        <w:rPr>
          <w:rFonts w:asciiTheme="majorHAnsi" w:hAnsiTheme="majorHAnsi" w:cs="Calibri"/>
          <w:sz w:val="20"/>
          <w:szCs w:val="20"/>
        </w:rPr>
        <w:t xml:space="preserve">leaving </w:t>
      </w:r>
      <w:r w:rsidRPr="00C05757">
        <w:rPr>
          <w:rFonts w:asciiTheme="majorHAnsi" w:hAnsiTheme="majorHAnsi" w:cs="Calibri"/>
          <w:sz w:val="20"/>
          <w:szCs w:val="20"/>
        </w:rPr>
        <w:t>the General Management Building of Chilectra, company in which he worked. As indicated by the petitioners, the alleged victim would have been transferred to a secret detention headquarters called "</w:t>
      </w:r>
      <w:r w:rsidR="00432BB9" w:rsidRPr="00C05757">
        <w:rPr>
          <w:rFonts w:asciiTheme="majorHAnsi" w:hAnsiTheme="majorHAnsi" w:cs="Calibri"/>
          <w:sz w:val="20"/>
          <w:szCs w:val="20"/>
        </w:rPr>
        <w:t>Remo Cera</w:t>
      </w:r>
      <w:r w:rsidRPr="00C05757">
        <w:rPr>
          <w:rFonts w:asciiTheme="majorHAnsi" w:hAnsiTheme="majorHAnsi" w:cs="Calibri"/>
          <w:sz w:val="20"/>
          <w:szCs w:val="20"/>
        </w:rPr>
        <w:t xml:space="preserve">", which would correspond to the </w:t>
      </w:r>
      <w:r w:rsidR="00B0575D" w:rsidRPr="00C05757">
        <w:rPr>
          <w:rFonts w:asciiTheme="majorHAnsi" w:hAnsiTheme="majorHAnsi" w:cs="Calibri"/>
          <w:sz w:val="20"/>
          <w:szCs w:val="20"/>
        </w:rPr>
        <w:t xml:space="preserve">Colina </w:t>
      </w:r>
      <w:r w:rsidRPr="00C05757">
        <w:rPr>
          <w:rFonts w:asciiTheme="majorHAnsi" w:hAnsiTheme="majorHAnsi" w:cs="Calibri"/>
          <w:sz w:val="20"/>
          <w:szCs w:val="20"/>
        </w:rPr>
        <w:t>Artillery Regiment</w:t>
      </w:r>
      <w:r w:rsidR="001D1AF8" w:rsidRPr="00C05757">
        <w:rPr>
          <w:rFonts w:asciiTheme="majorHAnsi" w:hAnsiTheme="majorHAnsi" w:cs="Calibri"/>
          <w:sz w:val="20"/>
          <w:szCs w:val="20"/>
        </w:rPr>
        <w:t>. I</w:t>
      </w:r>
      <w:r w:rsidRPr="00C05757">
        <w:rPr>
          <w:rFonts w:asciiTheme="majorHAnsi" w:hAnsiTheme="majorHAnsi" w:cs="Calibri"/>
          <w:sz w:val="20"/>
          <w:szCs w:val="20"/>
        </w:rPr>
        <w:t>n this place</w:t>
      </w:r>
      <w:r w:rsidR="001D1AF8" w:rsidRPr="00C05757">
        <w:rPr>
          <w:rFonts w:asciiTheme="majorHAnsi" w:hAnsiTheme="majorHAnsi" w:cs="Calibri"/>
          <w:sz w:val="20"/>
          <w:szCs w:val="20"/>
        </w:rPr>
        <w:t>,</w:t>
      </w:r>
      <w:r w:rsidRPr="00C05757">
        <w:rPr>
          <w:rFonts w:asciiTheme="majorHAnsi" w:hAnsiTheme="majorHAnsi" w:cs="Calibri"/>
          <w:sz w:val="20"/>
          <w:szCs w:val="20"/>
        </w:rPr>
        <w:t xml:space="preserve"> he would have been held for more than 60 days and </w:t>
      </w:r>
      <w:r w:rsidR="00B0575D" w:rsidRPr="00C05757">
        <w:rPr>
          <w:rFonts w:asciiTheme="majorHAnsi" w:hAnsiTheme="majorHAnsi" w:cs="Calibri"/>
          <w:sz w:val="20"/>
          <w:szCs w:val="20"/>
        </w:rPr>
        <w:t xml:space="preserve">would have died </w:t>
      </w:r>
      <w:r w:rsidRPr="00C05757">
        <w:rPr>
          <w:rFonts w:asciiTheme="majorHAnsi" w:hAnsiTheme="majorHAnsi" w:cs="Calibri"/>
          <w:sz w:val="20"/>
          <w:szCs w:val="20"/>
        </w:rPr>
        <w:t xml:space="preserve">as a result of the torture to which he was subjected by his captors, which would constitute a violation of the rights enshrined in articles </w:t>
      </w:r>
      <w:r w:rsidR="00D30B82" w:rsidRPr="00C05757">
        <w:rPr>
          <w:rFonts w:asciiTheme="majorHAnsi" w:hAnsiTheme="majorHAnsi" w:cs="Calibri"/>
          <w:sz w:val="20"/>
          <w:szCs w:val="20"/>
        </w:rPr>
        <w:t>4 (right to life), 5 (right to humane treatment), 7 (right to personal liberty), 8 (right to a fair trial), and 25 (right to judicial protection)</w:t>
      </w:r>
      <w:r w:rsidRPr="00C05757">
        <w:rPr>
          <w:rFonts w:asciiTheme="majorHAnsi" w:hAnsiTheme="majorHAnsi" w:cs="Calibri"/>
          <w:sz w:val="20"/>
          <w:szCs w:val="20"/>
        </w:rPr>
        <w:t xml:space="preserve"> in connection with Articles 1.1 (obligation to respect rights) and 63.1 of the American Convention.</w:t>
      </w:r>
    </w:p>
    <w:p w14:paraId="4234DD41" w14:textId="77777777" w:rsidR="00957AC1" w:rsidRPr="00C05757" w:rsidRDefault="00957AC1" w:rsidP="00C05757">
      <w:pPr>
        <w:rPr>
          <w:rFonts w:asciiTheme="majorHAnsi" w:hAnsiTheme="majorHAnsi" w:cs="Calibri"/>
          <w:sz w:val="20"/>
          <w:szCs w:val="20"/>
        </w:rPr>
      </w:pPr>
    </w:p>
    <w:p w14:paraId="0D1B71DC" w14:textId="04E28F83" w:rsidR="00BB59FF" w:rsidRPr="00C05757" w:rsidRDefault="00957AC1" w:rsidP="00C057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C05757">
        <w:rPr>
          <w:rFonts w:asciiTheme="majorHAnsi" w:hAnsiTheme="majorHAnsi" w:cs="Calibri"/>
          <w:sz w:val="20"/>
          <w:szCs w:val="20"/>
        </w:rPr>
        <w:t xml:space="preserve">As alleged by the petitioners, after more than 25 years of uncertainty for the relatives of Mr. Rivera Matus, the Armed Forces, </w:t>
      </w:r>
      <w:r w:rsidR="00692103" w:rsidRPr="00C05757">
        <w:rPr>
          <w:rFonts w:asciiTheme="majorHAnsi" w:hAnsiTheme="majorHAnsi" w:cs="Calibri"/>
          <w:sz w:val="20"/>
          <w:szCs w:val="20"/>
        </w:rPr>
        <w:t xml:space="preserve">due to </w:t>
      </w:r>
      <w:r w:rsidRPr="00C05757">
        <w:rPr>
          <w:rFonts w:asciiTheme="majorHAnsi" w:hAnsiTheme="majorHAnsi" w:cs="Calibri"/>
          <w:sz w:val="20"/>
          <w:szCs w:val="20"/>
        </w:rPr>
        <w:t>a political initiative called the "</w:t>
      </w:r>
      <w:r w:rsidR="001D1AF8" w:rsidRPr="00C05757">
        <w:rPr>
          <w:rFonts w:asciiTheme="majorHAnsi" w:hAnsiTheme="majorHAnsi" w:cs="Calibri"/>
          <w:i/>
          <w:sz w:val="20"/>
          <w:szCs w:val="20"/>
        </w:rPr>
        <w:t>Mesa de Diálogo</w:t>
      </w:r>
      <w:r w:rsidR="00692103" w:rsidRPr="00C05757">
        <w:rPr>
          <w:rFonts w:asciiTheme="majorHAnsi" w:hAnsiTheme="majorHAnsi" w:cs="Calibri"/>
          <w:sz w:val="20"/>
          <w:szCs w:val="20"/>
        </w:rPr>
        <w:t xml:space="preserve">", would have recognized </w:t>
      </w:r>
      <w:r w:rsidRPr="00C05757">
        <w:rPr>
          <w:rFonts w:asciiTheme="majorHAnsi" w:hAnsiTheme="majorHAnsi" w:cs="Calibri"/>
          <w:sz w:val="20"/>
          <w:szCs w:val="20"/>
        </w:rPr>
        <w:t>that security agents, specifically from a group called "</w:t>
      </w:r>
      <w:r w:rsidR="001D1AF8" w:rsidRPr="00C05757">
        <w:rPr>
          <w:rFonts w:asciiTheme="majorHAnsi" w:hAnsiTheme="majorHAnsi" w:cs="Calibri"/>
          <w:i/>
          <w:sz w:val="20"/>
          <w:szCs w:val="20"/>
        </w:rPr>
        <w:t>Comando Conjunto</w:t>
      </w:r>
      <w:r w:rsidRPr="00C05757">
        <w:rPr>
          <w:rFonts w:asciiTheme="majorHAnsi" w:hAnsiTheme="majorHAnsi" w:cs="Calibri"/>
          <w:sz w:val="20"/>
          <w:szCs w:val="20"/>
        </w:rPr>
        <w:t xml:space="preserve">", would have arrested, executed, and thrown into the </w:t>
      </w:r>
      <w:r w:rsidR="00692103" w:rsidRPr="00C05757">
        <w:rPr>
          <w:rFonts w:asciiTheme="majorHAnsi" w:hAnsiTheme="majorHAnsi" w:cs="Calibri"/>
          <w:sz w:val="20"/>
          <w:szCs w:val="20"/>
        </w:rPr>
        <w:t>ocean</w:t>
      </w:r>
      <w:r w:rsidRPr="00C05757">
        <w:rPr>
          <w:rFonts w:asciiTheme="majorHAnsi" w:hAnsiTheme="majorHAnsi" w:cs="Calibri"/>
          <w:sz w:val="20"/>
          <w:szCs w:val="20"/>
        </w:rPr>
        <w:t xml:space="preserve"> the body of the alleged victim.</w:t>
      </w:r>
    </w:p>
    <w:p w14:paraId="70EBCCB3" w14:textId="77777777" w:rsidR="00BB59FF" w:rsidRPr="00C05757" w:rsidRDefault="00BB59FF" w:rsidP="00C05757">
      <w:pPr>
        <w:pStyle w:val="ListParagraph"/>
        <w:rPr>
          <w:rFonts w:asciiTheme="majorHAnsi" w:hAnsiTheme="majorHAnsi" w:cs="Calibri"/>
          <w:sz w:val="20"/>
          <w:szCs w:val="20"/>
        </w:rPr>
      </w:pPr>
    </w:p>
    <w:p w14:paraId="390E0247" w14:textId="5B7ADCD9" w:rsidR="00EF3561" w:rsidRPr="00C05757" w:rsidRDefault="00C350F8" w:rsidP="00C057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C05757">
        <w:rPr>
          <w:rFonts w:asciiTheme="majorHAnsi" w:hAnsiTheme="majorHAnsi" w:cs="Calibri"/>
          <w:sz w:val="20"/>
          <w:szCs w:val="20"/>
        </w:rPr>
        <w:t xml:space="preserve">However, on April 25, 2001, in the context of a judicial investigation carried out by the Minister of the Court of Appeals of Santiago, a clandestine grave with human remains would have been located in dependencies of Fort Arteaga, owned by the Chilean </w:t>
      </w:r>
      <w:r w:rsidR="00692103" w:rsidRPr="00C05757">
        <w:rPr>
          <w:rFonts w:asciiTheme="majorHAnsi" w:hAnsiTheme="majorHAnsi" w:cs="Calibri"/>
          <w:sz w:val="20"/>
          <w:szCs w:val="20"/>
        </w:rPr>
        <w:t>Army, which</w:t>
      </w:r>
      <w:r w:rsidRPr="00C05757">
        <w:rPr>
          <w:rFonts w:asciiTheme="majorHAnsi" w:hAnsiTheme="majorHAnsi" w:cs="Calibri"/>
          <w:sz w:val="20"/>
          <w:szCs w:val="20"/>
        </w:rPr>
        <w:t xml:space="preserve"> according to the expert reports would correspond to Mr. Juan Luis Rivera Matus. Subsequently, the death certificate would have been issued, establishing the date of the death of Mr. Rivera Matus on March 13, 2001.</w:t>
      </w:r>
    </w:p>
    <w:p w14:paraId="697A3A54" w14:textId="77777777" w:rsidR="00EF3561" w:rsidRPr="00C05757" w:rsidRDefault="00EF3561" w:rsidP="00C05757">
      <w:pPr>
        <w:pStyle w:val="ListParagraph"/>
        <w:rPr>
          <w:rFonts w:asciiTheme="majorHAnsi" w:hAnsiTheme="majorHAnsi" w:cs="Calibri"/>
          <w:sz w:val="20"/>
          <w:szCs w:val="20"/>
        </w:rPr>
      </w:pPr>
    </w:p>
    <w:p w14:paraId="43BDE78D" w14:textId="7C35DA8B" w:rsidR="005172B5" w:rsidRPr="00C05757" w:rsidRDefault="005172B5" w:rsidP="00C057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C05757">
        <w:rPr>
          <w:rFonts w:asciiTheme="majorHAnsi" w:hAnsiTheme="majorHAnsi" w:cs="Calibri"/>
          <w:sz w:val="20"/>
          <w:szCs w:val="20"/>
        </w:rPr>
        <w:t xml:space="preserve">The petitioners indicated that, in addition to the official recognition that would have been made by the Armed Forces on the participation of members of their institutions in the detention, torture, execution, and official concealment of the crime against Mr. Rivera Matus, already in 1991 the National Truth and Reconciliation Commission created through Supreme Decree No. 355, of the Ministry of Justice, would have reached the </w:t>
      </w:r>
      <w:r w:rsidR="00EF3561" w:rsidRPr="00C05757">
        <w:rPr>
          <w:rFonts w:asciiTheme="majorHAnsi" w:hAnsiTheme="majorHAnsi" w:cs="Calibri"/>
          <w:sz w:val="20"/>
          <w:szCs w:val="20"/>
        </w:rPr>
        <w:t>conclusion</w:t>
      </w:r>
      <w:r w:rsidRPr="00C05757">
        <w:rPr>
          <w:rFonts w:asciiTheme="majorHAnsi" w:hAnsiTheme="majorHAnsi" w:cs="Calibri"/>
          <w:sz w:val="20"/>
          <w:szCs w:val="20"/>
        </w:rPr>
        <w:t xml:space="preserve"> that Juan Rivera Matus would have been the victim of a violation of his fundamental human rights, by agents of the State of Chile.</w:t>
      </w:r>
    </w:p>
    <w:p w14:paraId="48FDA5AB" w14:textId="77777777" w:rsidR="00BE4097" w:rsidRPr="00C05757" w:rsidRDefault="00BE4097" w:rsidP="00C05757">
      <w:pPr>
        <w:rPr>
          <w:rFonts w:asciiTheme="majorHAnsi" w:hAnsiTheme="majorHAnsi" w:cs="Calibri"/>
          <w:sz w:val="20"/>
          <w:szCs w:val="20"/>
        </w:rPr>
      </w:pPr>
    </w:p>
    <w:p w14:paraId="1BFFE50E" w14:textId="6A6FDA7E" w:rsidR="006E5A77" w:rsidRPr="00C05757" w:rsidRDefault="00EF3561" w:rsidP="00C057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C05757">
        <w:rPr>
          <w:rFonts w:asciiTheme="majorHAnsi" w:hAnsiTheme="majorHAnsi" w:cs="Calibri"/>
          <w:sz w:val="20"/>
          <w:szCs w:val="20"/>
        </w:rPr>
        <w:t xml:space="preserve">Finally, the petitioner argued that the Chilean State would have breached its duty to </w:t>
      </w:r>
      <w:r w:rsidR="00C52F07" w:rsidRPr="00C05757">
        <w:rPr>
          <w:rFonts w:asciiTheme="majorHAnsi" w:hAnsiTheme="majorHAnsi" w:cs="Calibri"/>
          <w:sz w:val="20"/>
          <w:szCs w:val="20"/>
        </w:rPr>
        <w:t xml:space="preserve">repair </w:t>
      </w:r>
      <w:r w:rsidRPr="00C05757">
        <w:rPr>
          <w:rFonts w:asciiTheme="majorHAnsi" w:hAnsiTheme="majorHAnsi" w:cs="Calibri"/>
          <w:sz w:val="20"/>
          <w:szCs w:val="20"/>
        </w:rPr>
        <w:t>adequately the damage caused</w:t>
      </w:r>
      <w:r w:rsidR="00C52F07" w:rsidRPr="00C05757">
        <w:rPr>
          <w:rFonts w:asciiTheme="majorHAnsi" w:hAnsiTheme="majorHAnsi" w:cs="Calibri"/>
          <w:sz w:val="20"/>
          <w:szCs w:val="20"/>
        </w:rPr>
        <w:t>. S</w:t>
      </w:r>
      <w:r w:rsidRPr="00C05757">
        <w:rPr>
          <w:rFonts w:asciiTheme="majorHAnsi" w:hAnsiTheme="majorHAnsi" w:cs="Calibri"/>
          <w:sz w:val="20"/>
          <w:szCs w:val="20"/>
        </w:rPr>
        <w:t xml:space="preserve">ince the civil lawsuit they filed before the 29th Civil Court of Santiago, titled “Sánchez Olga and others with </w:t>
      </w:r>
      <w:r w:rsidR="00775436" w:rsidRPr="00C05757">
        <w:rPr>
          <w:rFonts w:asciiTheme="majorHAnsi" w:hAnsiTheme="majorHAnsi" w:cs="Calibri"/>
          <w:sz w:val="20"/>
          <w:szCs w:val="20"/>
        </w:rPr>
        <w:t>Treasury of</w:t>
      </w:r>
      <w:r w:rsidR="00C52F07" w:rsidRPr="00C05757">
        <w:rPr>
          <w:rFonts w:asciiTheme="majorHAnsi" w:hAnsiTheme="majorHAnsi" w:cs="Calibri"/>
          <w:sz w:val="20"/>
          <w:szCs w:val="20"/>
        </w:rPr>
        <w:t xml:space="preserve"> Chile” (</w:t>
      </w:r>
      <w:r w:rsidRPr="00C05757">
        <w:rPr>
          <w:rFonts w:asciiTheme="majorHAnsi" w:hAnsiTheme="majorHAnsi" w:cs="Calibri"/>
          <w:sz w:val="20"/>
          <w:szCs w:val="20"/>
        </w:rPr>
        <w:t xml:space="preserve"> Role No. 221-2002</w:t>
      </w:r>
      <w:r w:rsidR="00C52F07" w:rsidRPr="00C05757">
        <w:rPr>
          <w:rFonts w:asciiTheme="majorHAnsi" w:hAnsiTheme="majorHAnsi" w:cs="Calibri"/>
          <w:sz w:val="20"/>
          <w:szCs w:val="20"/>
        </w:rPr>
        <w:t>)</w:t>
      </w:r>
      <w:r w:rsidRPr="00C05757">
        <w:rPr>
          <w:rFonts w:asciiTheme="majorHAnsi" w:hAnsiTheme="majorHAnsi" w:cs="Calibri"/>
          <w:sz w:val="20"/>
          <w:szCs w:val="20"/>
        </w:rPr>
        <w:t>, would have been rejected by a judgment of May 27, 2004, issued by th</w:t>
      </w:r>
      <w:r w:rsidR="00692103" w:rsidRPr="00C05757">
        <w:rPr>
          <w:rFonts w:asciiTheme="majorHAnsi" w:hAnsiTheme="majorHAnsi" w:cs="Calibri"/>
          <w:sz w:val="20"/>
          <w:szCs w:val="20"/>
        </w:rPr>
        <w:t xml:space="preserve">e Judge of the </w:t>
      </w:r>
      <w:r w:rsidR="00C52F07" w:rsidRPr="00C05757">
        <w:rPr>
          <w:rFonts w:asciiTheme="majorHAnsi" w:hAnsiTheme="majorHAnsi" w:cs="Calibri"/>
          <w:sz w:val="20"/>
          <w:szCs w:val="20"/>
        </w:rPr>
        <w:t>same Court c</w:t>
      </w:r>
      <w:r w:rsidRPr="00C05757">
        <w:rPr>
          <w:rFonts w:asciiTheme="majorHAnsi" w:hAnsiTheme="majorHAnsi" w:cs="Calibri"/>
          <w:sz w:val="20"/>
          <w:szCs w:val="20"/>
        </w:rPr>
        <w:t xml:space="preserve">onsidering </w:t>
      </w:r>
      <w:r w:rsidR="00692103" w:rsidRPr="00C05757">
        <w:rPr>
          <w:rFonts w:asciiTheme="majorHAnsi" w:hAnsiTheme="majorHAnsi" w:cs="Calibri"/>
          <w:sz w:val="20"/>
          <w:szCs w:val="20"/>
        </w:rPr>
        <w:t>that,</w:t>
      </w:r>
      <w:r w:rsidRPr="00C05757">
        <w:rPr>
          <w:rFonts w:asciiTheme="majorHAnsi" w:hAnsiTheme="majorHAnsi" w:cs="Calibri"/>
          <w:sz w:val="20"/>
          <w:szCs w:val="20"/>
        </w:rPr>
        <w:t xml:space="preserve"> the responsibility of the Chilean State would have prescribed. The </w:t>
      </w:r>
      <w:r w:rsidR="00C52F07" w:rsidRPr="00C05757">
        <w:rPr>
          <w:rFonts w:asciiTheme="majorHAnsi" w:hAnsiTheme="majorHAnsi" w:cs="Calibri"/>
          <w:sz w:val="20"/>
          <w:szCs w:val="20"/>
        </w:rPr>
        <w:t>petitioners</w:t>
      </w:r>
      <w:r w:rsidRPr="00C05757">
        <w:rPr>
          <w:rFonts w:asciiTheme="majorHAnsi" w:hAnsiTheme="majorHAnsi" w:cs="Calibri"/>
          <w:sz w:val="20"/>
          <w:szCs w:val="20"/>
        </w:rPr>
        <w:t xml:space="preserve"> indicated that the Judge would have decided that according to the provisions contained in article 2332 of the Chilean Civil Code</w:t>
      </w:r>
      <w:r w:rsidR="00775436" w:rsidRPr="00C05757">
        <w:rPr>
          <w:rStyle w:val="FootnoteReference"/>
          <w:rFonts w:asciiTheme="majorHAnsi" w:hAnsiTheme="majorHAnsi" w:cs="Calibri"/>
          <w:sz w:val="20"/>
          <w:szCs w:val="20"/>
          <w:lang w:val="es-CO"/>
        </w:rPr>
        <w:footnoteReference w:id="3"/>
      </w:r>
      <w:r w:rsidRPr="00C05757">
        <w:rPr>
          <w:rFonts w:asciiTheme="majorHAnsi" w:hAnsiTheme="majorHAnsi" w:cs="Calibri"/>
          <w:sz w:val="20"/>
          <w:szCs w:val="20"/>
        </w:rPr>
        <w:t>, the statute of limitations established in the aforementioned a</w:t>
      </w:r>
      <w:r w:rsidR="00C52F07" w:rsidRPr="00C05757">
        <w:rPr>
          <w:rFonts w:asciiTheme="majorHAnsi" w:hAnsiTheme="majorHAnsi" w:cs="Calibri"/>
          <w:sz w:val="20"/>
          <w:szCs w:val="20"/>
        </w:rPr>
        <w:t>rticle would have been exceeded.</w:t>
      </w:r>
      <w:r w:rsidRPr="00C05757">
        <w:rPr>
          <w:rFonts w:asciiTheme="majorHAnsi" w:hAnsiTheme="majorHAnsi" w:cs="Calibri"/>
          <w:sz w:val="20"/>
          <w:szCs w:val="20"/>
        </w:rPr>
        <w:t xml:space="preserve"> </w:t>
      </w:r>
      <w:r w:rsidR="00C52F07" w:rsidRPr="00C05757">
        <w:rPr>
          <w:rFonts w:asciiTheme="majorHAnsi" w:hAnsiTheme="majorHAnsi" w:cs="Calibri"/>
          <w:sz w:val="20"/>
          <w:szCs w:val="20"/>
        </w:rPr>
        <w:t>S</w:t>
      </w:r>
      <w:r w:rsidR="00BE4097" w:rsidRPr="00C05757">
        <w:rPr>
          <w:rFonts w:asciiTheme="majorHAnsi" w:hAnsiTheme="majorHAnsi" w:cs="Calibri"/>
          <w:sz w:val="20"/>
          <w:szCs w:val="20"/>
        </w:rPr>
        <w:t>ince</w:t>
      </w:r>
      <w:r w:rsidRPr="00C05757">
        <w:rPr>
          <w:rFonts w:asciiTheme="majorHAnsi" w:hAnsiTheme="majorHAnsi" w:cs="Calibri"/>
          <w:sz w:val="20"/>
          <w:szCs w:val="20"/>
        </w:rPr>
        <w:t xml:space="preserve"> the alleged detention by agents of the State of Mr. Juan Luis Rivera Matus</w:t>
      </w:r>
      <w:r w:rsidR="00BE4097" w:rsidRPr="00C05757">
        <w:rPr>
          <w:rFonts w:asciiTheme="majorHAnsi" w:hAnsiTheme="majorHAnsi" w:cs="Calibri"/>
          <w:sz w:val="20"/>
          <w:szCs w:val="20"/>
        </w:rPr>
        <w:t xml:space="preserve"> </w:t>
      </w:r>
      <w:r w:rsidRPr="00C05757">
        <w:rPr>
          <w:rFonts w:asciiTheme="majorHAnsi" w:hAnsiTheme="majorHAnsi" w:cs="Calibri"/>
          <w:sz w:val="20"/>
          <w:szCs w:val="20"/>
        </w:rPr>
        <w:t>would have occurred on November 6, 1975, and the lawsuit filed by their relatives would have been notified on October 1, 2002, exceeding the four-year statute of limitations defined in the Civil Code.</w:t>
      </w:r>
    </w:p>
    <w:p w14:paraId="6DA5D3A6" w14:textId="0079551E" w:rsidR="003D3BCA" w:rsidRPr="00C05757" w:rsidRDefault="003D3BCA" w:rsidP="00C0575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highlight w:val="yellow"/>
        </w:rPr>
      </w:pPr>
    </w:p>
    <w:p w14:paraId="6C78E279" w14:textId="4CFA54E6" w:rsidR="00696428" w:rsidRPr="00C05757" w:rsidRDefault="00B74C01" w:rsidP="00C05757">
      <w:pPr>
        <w:pStyle w:val="ListParagraph"/>
        <w:numPr>
          <w:ilvl w:val="0"/>
          <w:numId w:val="56"/>
        </w:numPr>
        <w:ind w:left="0" w:firstLine="720"/>
        <w:rPr>
          <w:rFonts w:asciiTheme="majorHAnsi" w:hAnsiTheme="majorHAnsi"/>
          <w:b/>
          <w:sz w:val="20"/>
          <w:szCs w:val="20"/>
          <w:lang w:val="es-BO"/>
        </w:rPr>
      </w:pPr>
      <w:r w:rsidRPr="00C05757">
        <w:rPr>
          <w:rFonts w:asciiTheme="majorHAnsi" w:hAnsiTheme="majorHAnsi"/>
          <w:b/>
          <w:sz w:val="20"/>
          <w:szCs w:val="20"/>
          <w:lang w:val="es-BO"/>
        </w:rPr>
        <w:t>FRIENDLY SETTLEMENT</w:t>
      </w:r>
    </w:p>
    <w:p w14:paraId="7495400D" w14:textId="77777777" w:rsidR="00696428" w:rsidRPr="00C05757" w:rsidRDefault="00696428" w:rsidP="00C05757">
      <w:pPr>
        <w:pStyle w:val="ListParagraph"/>
        <w:ind w:left="1080" w:firstLine="720"/>
        <w:rPr>
          <w:rFonts w:asciiTheme="majorHAnsi" w:hAnsiTheme="majorHAnsi"/>
          <w:b/>
          <w:sz w:val="20"/>
          <w:szCs w:val="20"/>
          <w:lang w:val="es-BO"/>
        </w:rPr>
      </w:pPr>
    </w:p>
    <w:p w14:paraId="5CEA8799" w14:textId="510C242F" w:rsidR="00A95BB3" w:rsidRPr="00C05757" w:rsidRDefault="003D3BCA" w:rsidP="00C05757">
      <w:pPr>
        <w:pStyle w:val="ListParagraph"/>
        <w:numPr>
          <w:ilvl w:val="0"/>
          <w:numId w:val="55"/>
        </w:numPr>
        <w:tabs>
          <w:tab w:val="clear" w:pos="4320"/>
        </w:tabs>
        <w:ind w:left="0" w:firstLine="720"/>
        <w:contextualSpacing/>
        <w:jc w:val="both"/>
        <w:rPr>
          <w:rFonts w:asciiTheme="majorHAnsi" w:hAnsiTheme="majorHAnsi" w:cs="Calibri"/>
          <w:sz w:val="20"/>
          <w:szCs w:val="20"/>
        </w:rPr>
      </w:pPr>
      <w:r w:rsidRPr="00C05757">
        <w:rPr>
          <w:rFonts w:asciiTheme="majorHAnsi" w:hAnsiTheme="majorHAnsi" w:cs="Calibri"/>
          <w:sz w:val="20"/>
          <w:szCs w:val="20"/>
        </w:rPr>
        <w:t>On January 31, 2020, the parties signed a friendly settlement agreement, whose text states:</w:t>
      </w:r>
    </w:p>
    <w:p w14:paraId="22527054" w14:textId="77777777" w:rsidR="00696428" w:rsidRPr="009F2B09" w:rsidRDefault="00696428" w:rsidP="009F2B09">
      <w:pPr>
        <w:pStyle w:val="Style1"/>
        <w:kinsoku w:val="0"/>
        <w:autoSpaceDE/>
        <w:autoSpaceDN/>
        <w:adjustRightInd/>
        <w:ind w:left="720" w:right="720"/>
        <w:jc w:val="center"/>
        <w:rPr>
          <w:rStyle w:val="CharacterStyle1"/>
          <w:rFonts w:asciiTheme="majorHAnsi" w:hAnsiTheme="majorHAnsi" w:cs="Arial"/>
          <w:b/>
          <w:bCs/>
          <w:highlight w:val="lightGray"/>
        </w:rPr>
      </w:pPr>
    </w:p>
    <w:p w14:paraId="4FAC04B5" w14:textId="52898909" w:rsidR="00696428" w:rsidRPr="009F2B09" w:rsidRDefault="00B74C01" w:rsidP="009F2B09">
      <w:pPr>
        <w:tabs>
          <w:tab w:val="left" w:pos="360"/>
        </w:tabs>
        <w:ind w:left="720" w:right="720"/>
        <w:jc w:val="center"/>
        <w:rPr>
          <w:rFonts w:asciiTheme="majorHAnsi" w:hAnsiTheme="majorHAnsi" w:cs="Calibri"/>
          <w:b/>
          <w:sz w:val="20"/>
          <w:szCs w:val="20"/>
        </w:rPr>
      </w:pPr>
      <w:r w:rsidRPr="009F2B09">
        <w:rPr>
          <w:rFonts w:asciiTheme="majorHAnsi" w:hAnsiTheme="majorHAnsi" w:cs="Calibri"/>
          <w:b/>
          <w:sz w:val="20"/>
          <w:szCs w:val="20"/>
        </w:rPr>
        <w:t>DEFINITIVE FRIENDLY SETTLEMENT AGREEMENT</w:t>
      </w:r>
      <w:r w:rsidR="00696428" w:rsidRPr="009F2B09">
        <w:rPr>
          <w:rStyle w:val="FootnoteReference"/>
          <w:rFonts w:asciiTheme="majorHAnsi" w:hAnsiTheme="majorHAnsi" w:cs="Calibri"/>
          <w:b/>
          <w:sz w:val="20"/>
          <w:szCs w:val="20"/>
          <w:lang w:val="es-ES"/>
        </w:rPr>
        <w:footnoteReference w:id="4"/>
      </w:r>
    </w:p>
    <w:p w14:paraId="153D6474" w14:textId="1B48EC33" w:rsidR="00696428" w:rsidRPr="009F2B09" w:rsidRDefault="00696428" w:rsidP="009F2B09">
      <w:pPr>
        <w:tabs>
          <w:tab w:val="left" w:pos="360"/>
        </w:tabs>
        <w:ind w:left="720" w:right="720"/>
        <w:jc w:val="center"/>
        <w:rPr>
          <w:rFonts w:asciiTheme="majorHAnsi" w:hAnsiTheme="majorHAnsi" w:cs="Calibri"/>
          <w:b/>
          <w:sz w:val="20"/>
          <w:szCs w:val="20"/>
        </w:rPr>
      </w:pPr>
      <w:r w:rsidRPr="009F2B09">
        <w:rPr>
          <w:rFonts w:asciiTheme="majorHAnsi" w:hAnsiTheme="majorHAnsi" w:cs="Calibri"/>
          <w:b/>
          <w:sz w:val="20"/>
          <w:szCs w:val="20"/>
        </w:rPr>
        <w:t>CAS</w:t>
      </w:r>
      <w:r w:rsidR="00B74C01" w:rsidRPr="009F2B09">
        <w:rPr>
          <w:rFonts w:asciiTheme="majorHAnsi" w:hAnsiTheme="majorHAnsi" w:cs="Calibri"/>
          <w:b/>
          <w:sz w:val="20"/>
          <w:szCs w:val="20"/>
        </w:rPr>
        <w:t>E</w:t>
      </w:r>
      <w:r w:rsidRPr="009F2B09">
        <w:rPr>
          <w:rFonts w:asciiTheme="majorHAnsi" w:hAnsiTheme="majorHAnsi" w:cs="Calibri"/>
          <w:b/>
          <w:sz w:val="20"/>
          <w:szCs w:val="20"/>
        </w:rPr>
        <w:t xml:space="preserve"> </w:t>
      </w:r>
      <w:r w:rsidR="00B77BB8" w:rsidRPr="009F2B09">
        <w:rPr>
          <w:rFonts w:asciiTheme="majorHAnsi" w:hAnsiTheme="majorHAnsi" w:cs="Calibri"/>
          <w:b/>
          <w:sz w:val="20"/>
          <w:szCs w:val="20"/>
        </w:rPr>
        <w:t>1275-04 A</w:t>
      </w:r>
    </w:p>
    <w:p w14:paraId="6F4381AA" w14:textId="0E84A604" w:rsidR="00696428" w:rsidRPr="009F2B09" w:rsidRDefault="00B77BB8" w:rsidP="009F2B09">
      <w:pPr>
        <w:tabs>
          <w:tab w:val="left" w:pos="360"/>
        </w:tabs>
        <w:ind w:left="720" w:right="720"/>
        <w:jc w:val="center"/>
        <w:rPr>
          <w:rFonts w:asciiTheme="majorHAnsi" w:hAnsiTheme="majorHAnsi" w:cs="Calibri"/>
          <w:b/>
          <w:sz w:val="20"/>
          <w:szCs w:val="20"/>
        </w:rPr>
      </w:pPr>
      <w:r w:rsidRPr="009F2B09">
        <w:rPr>
          <w:rFonts w:asciiTheme="majorHAnsi" w:hAnsiTheme="majorHAnsi" w:cs="Calibri"/>
          <w:b/>
          <w:sz w:val="20"/>
          <w:szCs w:val="20"/>
        </w:rPr>
        <w:t>JUAN LUIS RIVERA MATUS</w:t>
      </w:r>
    </w:p>
    <w:p w14:paraId="12C69DE3" w14:textId="77777777" w:rsidR="00A95BB3" w:rsidRPr="009F2B09" w:rsidRDefault="00A95BB3" w:rsidP="009F2B09">
      <w:pPr>
        <w:pStyle w:val="ListParagraph"/>
        <w:ind w:right="720"/>
        <w:contextualSpacing/>
        <w:jc w:val="both"/>
        <w:rPr>
          <w:rFonts w:asciiTheme="majorHAnsi" w:hAnsiTheme="majorHAnsi" w:cs="Calibri"/>
          <w:sz w:val="20"/>
          <w:szCs w:val="20"/>
        </w:rPr>
      </w:pPr>
    </w:p>
    <w:p w14:paraId="1C637858" w14:textId="393DE4AA" w:rsidR="00B77BB8" w:rsidRPr="009F2B09" w:rsidRDefault="00B74C01" w:rsidP="009F2B09">
      <w:pPr>
        <w:tabs>
          <w:tab w:val="left" w:pos="360"/>
          <w:tab w:val="left" w:pos="810"/>
        </w:tabs>
        <w:ind w:left="720" w:right="720"/>
        <w:jc w:val="both"/>
        <w:rPr>
          <w:rFonts w:asciiTheme="majorHAnsi" w:eastAsia="Cambria" w:hAnsiTheme="majorHAnsi" w:cs="Calibri"/>
          <w:b/>
          <w:color w:val="000000"/>
          <w:sz w:val="20"/>
          <w:szCs w:val="20"/>
          <w:u w:color="000000"/>
          <w:lang w:eastAsia="es-ES"/>
        </w:rPr>
      </w:pPr>
      <w:r w:rsidRPr="009F2B09">
        <w:rPr>
          <w:rFonts w:asciiTheme="majorHAnsi" w:eastAsia="Cambria" w:hAnsiTheme="majorHAnsi" w:cs="Calibri"/>
          <w:b/>
          <w:color w:val="000000"/>
          <w:sz w:val="20"/>
          <w:szCs w:val="20"/>
          <w:u w:color="000000"/>
          <w:lang w:eastAsia="es-ES"/>
        </w:rPr>
        <w:t>FIRST</w:t>
      </w:r>
      <w:r w:rsidR="006931DA" w:rsidRPr="009F2B09">
        <w:rPr>
          <w:rFonts w:asciiTheme="majorHAnsi" w:eastAsia="Cambria" w:hAnsiTheme="majorHAnsi" w:cs="Calibri"/>
          <w:b/>
          <w:color w:val="000000"/>
          <w:sz w:val="20"/>
          <w:szCs w:val="20"/>
          <w:u w:color="000000"/>
          <w:lang w:eastAsia="es-ES"/>
        </w:rPr>
        <w:t xml:space="preserve">: </w:t>
      </w:r>
      <w:r w:rsidR="003D3BCA" w:rsidRPr="009F2B09">
        <w:rPr>
          <w:rFonts w:asciiTheme="majorHAnsi" w:eastAsia="Cambria" w:hAnsiTheme="majorHAnsi" w:cs="Calibri"/>
          <w:b/>
          <w:color w:val="000000"/>
          <w:sz w:val="20"/>
          <w:szCs w:val="20"/>
          <w:u w:color="000000"/>
          <w:lang w:eastAsia="es-ES"/>
        </w:rPr>
        <w:t>DESCRIPTION OF THE PARTIES</w:t>
      </w:r>
    </w:p>
    <w:p w14:paraId="08F6946C" w14:textId="77777777" w:rsidR="00B77BB8" w:rsidRPr="009F2B09" w:rsidRDefault="00B77BB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6A82A904" w14:textId="5256A5D9" w:rsidR="00490319" w:rsidRPr="009F2B09" w:rsidRDefault="00C05757"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Assenting in the present agreement, t</w:t>
      </w:r>
      <w:r w:rsidR="00490319" w:rsidRPr="009F2B09">
        <w:rPr>
          <w:rFonts w:asciiTheme="majorHAnsi" w:eastAsia="Cambria" w:hAnsiTheme="majorHAnsi" w:cs="Calibri"/>
          <w:color w:val="000000"/>
          <w:sz w:val="20"/>
          <w:szCs w:val="20"/>
          <w:u w:color="000000"/>
          <w:lang w:eastAsia="es-ES"/>
        </w:rPr>
        <w:t xml:space="preserve">he State of Chile (hereinafter "the State"), </w:t>
      </w:r>
      <w:r w:rsidR="0045655C" w:rsidRPr="009F2B09">
        <w:rPr>
          <w:rFonts w:asciiTheme="majorHAnsi" w:eastAsia="Cambria" w:hAnsiTheme="majorHAnsi" w:cs="Calibri"/>
          <w:color w:val="000000"/>
          <w:sz w:val="20"/>
          <w:szCs w:val="20"/>
          <w:u w:color="000000"/>
          <w:lang w:eastAsia="es-ES"/>
        </w:rPr>
        <w:t>a</w:t>
      </w:r>
      <w:r w:rsidR="00490319" w:rsidRPr="009F2B09">
        <w:rPr>
          <w:rFonts w:asciiTheme="majorHAnsi" w:eastAsia="Cambria" w:hAnsiTheme="majorHAnsi" w:cs="Calibri"/>
          <w:color w:val="000000"/>
          <w:sz w:val="20"/>
          <w:szCs w:val="20"/>
          <w:u w:color="000000"/>
          <w:lang w:eastAsia="es-ES"/>
        </w:rPr>
        <w:t xml:space="preserve"> State Party to the American Convention on Human Rights (hereinafter "the ACHR" or "the American </w:t>
      </w:r>
      <w:r w:rsidR="00490319" w:rsidRPr="009F2B09">
        <w:rPr>
          <w:rFonts w:asciiTheme="majorHAnsi" w:eastAsia="Cambria" w:hAnsiTheme="majorHAnsi" w:cs="Calibri"/>
          <w:color w:val="000000"/>
          <w:sz w:val="20"/>
          <w:szCs w:val="20"/>
          <w:u w:color="000000"/>
          <w:lang w:eastAsia="es-ES"/>
        </w:rPr>
        <w:lastRenderedPageBreak/>
        <w:t xml:space="preserve">Convention"), and on the other hand, the petitioners Ms. Gaby </w:t>
      </w:r>
      <w:r w:rsidRPr="009F2B09">
        <w:rPr>
          <w:rFonts w:asciiTheme="majorHAnsi" w:eastAsia="Cambria" w:hAnsiTheme="majorHAnsi" w:cs="Calibri"/>
          <w:color w:val="000000"/>
          <w:sz w:val="20"/>
          <w:szCs w:val="20"/>
          <w:u w:color="000000"/>
          <w:lang w:eastAsia="es-ES"/>
        </w:rPr>
        <w:t>Lucia</w:t>
      </w:r>
      <w:r w:rsidR="00490319" w:rsidRPr="009F2B09">
        <w:rPr>
          <w:rFonts w:asciiTheme="majorHAnsi" w:eastAsia="Cambria" w:hAnsiTheme="majorHAnsi" w:cs="Calibri"/>
          <w:color w:val="000000"/>
          <w:sz w:val="20"/>
          <w:szCs w:val="20"/>
          <w:u w:color="000000"/>
          <w:lang w:eastAsia="es-ES"/>
        </w:rPr>
        <w:t xml:space="preserve"> Rivera Sánchez, Ms. María </w:t>
      </w:r>
      <w:r w:rsidRPr="009F2B09">
        <w:rPr>
          <w:rFonts w:asciiTheme="majorHAnsi" w:eastAsia="Cambria" w:hAnsiTheme="majorHAnsi" w:cs="Calibri"/>
          <w:color w:val="000000"/>
          <w:sz w:val="20"/>
          <w:szCs w:val="20"/>
          <w:u w:color="000000"/>
          <w:lang w:eastAsia="es-ES"/>
        </w:rPr>
        <w:t>Angelica</w:t>
      </w:r>
      <w:r w:rsidR="00490319" w:rsidRPr="009F2B09">
        <w:rPr>
          <w:rFonts w:asciiTheme="majorHAnsi" w:eastAsia="Cambria" w:hAnsiTheme="majorHAnsi" w:cs="Calibri"/>
          <w:color w:val="000000"/>
          <w:sz w:val="20"/>
          <w:szCs w:val="20"/>
          <w:u w:color="000000"/>
          <w:lang w:eastAsia="es-ES"/>
        </w:rPr>
        <w:t xml:space="preserve"> Rivera Sánchez, Mr. Juan Patricio Rivera Sánchez, Ms. Jovina del Carmen Rivera Sánchez, Ms. Olga Matilde Rivera Sánchez, Ms. Cecilia de las Mercedes Rivera Sánchez, and Mr. Juan Carlos Rivera Sánchez, who prove that they are the sole successors of Mr. Juan Luis Rivera Matus (hereinafter, "the petitioners"), and that they are represented by Ms. Julia Urquieta.</w:t>
      </w:r>
    </w:p>
    <w:p w14:paraId="0035B077" w14:textId="15FFE2B7" w:rsidR="00B77BB8" w:rsidRPr="009F2B09" w:rsidRDefault="00490319" w:rsidP="009F2B09">
      <w:pPr>
        <w:tabs>
          <w:tab w:val="left" w:pos="360"/>
          <w:tab w:val="left" w:pos="810"/>
          <w:tab w:val="left" w:pos="56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ab/>
      </w:r>
    </w:p>
    <w:p w14:paraId="19544117" w14:textId="0EFACF2E" w:rsidR="00B77BB8" w:rsidRPr="009F2B09" w:rsidRDefault="00B74C01" w:rsidP="009F2B09">
      <w:pPr>
        <w:tabs>
          <w:tab w:val="left" w:pos="360"/>
          <w:tab w:val="left" w:pos="810"/>
        </w:tabs>
        <w:ind w:left="720" w:right="720"/>
        <w:jc w:val="both"/>
        <w:rPr>
          <w:rFonts w:asciiTheme="majorHAnsi" w:eastAsia="Cambria" w:hAnsiTheme="majorHAnsi" w:cs="Calibri"/>
          <w:b/>
          <w:color w:val="000000"/>
          <w:sz w:val="20"/>
          <w:szCs w:val="20"/>
          <w:u w:color="000000"/>
          <w:lang w:eastAsia="es-ES"/>
        </w:rPr>
      </w:pPr>
      <w:r w:rsidRPr="009F2B09">
        <w:rPr>
          <w:rFonts w:asciiTheme="majorHAnsi" w:eastAsia="Cambria" w:hAnsiTheme="majorHAnsi" w:cs="Calibri"/>
          <w:b/>
          <w:color w:val="000000"/>
          <w:sz w:val="20"/>
          <w:szCs w:val="20"/>
          <w:u w:color="000000"/>
          <w:lang w:eastAsia="es-ES"/>
        </w:rPr>
        <w:t>SECOND</w:t>
      </w:r>
      <w:r w:rsidR="006931DA" w:rsidRPr="009F2B09">
        <w:rPr>
          <w:rFonts w:asciiTheme="majorHAnsi" w:eastAsia="Cambria" w:hAnsiTheme="majorHAnsi" w:cs="Calibri"/>
          <w:b/>
          <w:color w:val="000000"/>
          <w:sz w:val="20"/>
          <w:szCs w:val="20"/>
          <w:u w:color="000000"/>
          <w:lang w:eastAsia="es-ES"/>
        </w:rPr>
        <w:t xml:space="preserve">: </w:t>
      </w:r>
      <w:r w:rsidR="0045655C" w:rsidRPr="009F2B09">
        <w:rPr>
          <w:rFonts w:asciiTheme="majorHAnsi" w:eastAsia="Cambria" w:hAnsiTheme="majorHAnsi" w:cs="Calibri"/>
          <w:b/>
          <w:color w:val="000000"/>
          <w:sz w:val="20"/>
          <w:szCs w:val="20"/>
          <w:u w:color="000000"/>
          <w:lang w:eastAsia="es-ES"/>
        </w:rPr>
        <w:t>BACKGROUND OF THE PROCESS IN WHICH THIS AGREEMENT IS FRAMED</w:t>
      </w:r>
    </w:p>
    <w:p w14:paraId="50F8DC42" w14:textId="77777777" w:rsidR="00B77BB8" w:rsidRPr="009F2B09" w:rsidRDefault="00B77BB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623DCFB9" w14:textId="3FED16AD" w:rsidR="00FE7658" w:rsidRPr="009F2B09" w:rsidRDefault="00FE765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On November 29, 2004, the Inter-American Commission on Human Rights (hereinafter "the Inter-American Commission", "the Commission" or "the IACHR") received a complaint lodged by the lawyer Mr. Adil Brkovic Almonte, then replaced by the Ms. Julia Urquieta, representing the petitioners, against the State. In the complaint, the petitioners allege the violation of Articles 4, 5, 7, 8, and 25, all of them in connection with Article 1.1 of the American Convention, for the detention and subsequent disappearance of Mr. Juan Luis Rivera Matus by agents of the State, on November 6, 1975.</w:t>
      </w:r>
    </w:p>
    <w:p w14:paraId="198994D0" w14:textId="77777777" w:rsidR="00B77BB8" w:rsidRPr="009F2B09" w:rsidRDefault="00B77BB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026DD672" w14:textId="49B759FE" w:rsidR="0063758F" w:rsidRPr="009F2B09" w:rsidRDefault="0063758F"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 xml:space="preserve">They </w:t>
      </w:r>
      <w:r w:rsidR="00C05757" w:rsidRPr="009F2B09">
        <w:rPr>
          <w:rFonts w:asciiTheme="majorHAnsi" w:eastAsia="Cambria" w:hAnsiTheme="majorHAnsi" w:cs="Calibri"/>
          <w:color w:val="000000"/>
          <w:sz w:val="20"/>
          <w:szCs w:val="20"/>
          <w:u w:color="000000"/>
          <w:lang w:eastAsia="es-ES"/>
        </w:rPr>
        <w:t>allege</w:t>
      </w:r>
      <w:r w:rsidRPr="009F2B09">
        <w:rPr>
          <w:rFonts w:asciiTheme="majorHAnsi" w:eastAsia="Cambria" w:hAnsiTheme="majorHAnsi" w:cs="Calibri"/>
          <w:color w:val="000000"/>
          <w:sz w:val="20"/>
          <w:szCs w:val="20"/>
          <w:u w:color="000000"/>
          <w:lang w:eastAsia="es-ES"/>
        </w:rPr>
        <w:t xml:space="preserve"> that the State had breached the duty to adequately repair the damage caused, because the petitioners did not receive fair financial compensation for the human rights violations committed against Mr. Rivera Matus. They argue that this occurred after the sentence dated May 27, 2004, delivered by the judge of the 29th Civil Court of Santiago, titled "Sánchez Olga and others with the Treasury of Chile," Role No. 2211-2002, which rejected the civil suit filed by the complainants on May 17, 2002, considering that the civil action to claim the responsibility of the State was prescribed.</w:t>
      </w:r>
    </w:p>
    <w:p w14:paraId="1AF45D73" w14:textId="77777777" w:rsidR="00115E8F" w:rsidRPr="009F2B09" w:rsidRDefault="00115E8F"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78520AF2" w14:textId="4AE96982" w:rsidR="007317C4" w:rsidRPr="009F2B09" w:rsidRDefault="007317C4"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On November 30, 2004, the IACHR acknowledged receipt of the petition presented by Mr. Brkovic Almonte, which was registered under number P-1275-04.</w:t>
      </w:r>
    </w:p>
    <w:p w14:paraId="6F5EC7BC" w14:textId="77777777" w:rsidR="00B77BB8" w:rsidRPr="009F2B09" w:rsidRDefault="00B77BB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75F64E3C" w14:textId="202954E3" w:rsidR="003025FD" w:rsidRPr="009F2B09" w:rsidRDefault="003025FD"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 xml:space="preserve">Subsequently, the IACHR received, in 2008, a new complaint in the case of Mr. Juan Luis Rivera Matus, presented by the same petitioners of the previous complaint, this time for the violation of articles 1.1, 8 and 25 of the American Convention, </w:t>
      </w:r>
      <w:r w:rsidR="002F0AEA" w:rsidRPr="009F2B09">
        <w:rPr>
          <w:rFonts w:asciiTheme="majorHAnsi" w:eastAsia="Cambria" w:hAnsiTheme="majorHAnsi" w:cs="Calibri"/>
          <w:color w:val="000000"/>
          <w:sz w:val="20"/>
          <w:szCs w:val="20"/>
          <w:u w:color="000000"/>
          <w:lang w:eastAsia="es-ES"/>
        </w:rPr>
        <w:t>by</w:t>
      </w:r>
      <w:r w:rsidRPr="009F2B09">
        <w:rPr>
          <w:rFonts w:asciiTheme="majorHAnsi" w:eastAsia="Cambria" w:hAnsiTheme="majorHAnsi" w:cs="Calibri"/>
          <w:color w:val="000000"/>
          <w:sz w:val="20"/>
          <w:szCs w:val="20"/>
          <w:u w:color="000000"/>
          <w:lang w:eastAsia="es-ES"/>
        </w:rPr>
        <w:t xml:space="preserve"> the judgment dated July 30, 2007, delivered by the Supreme Court</w:t>
      </w:r>
      <w:r w:rsidR="002F0AEA" w:rsidRPr="009F2B09">
        <w:rPr>
          <w:rFonts w:asciiTheme="majorHAnsi" w:eastAsia="Cambria" w:hAnsiTheme="majorHAnsi" w:cs="Calibri"/>
          <w:color w:val="000000"/>
          <w:sz w:val="20"/>
          <w:szCs w:val="20"/>
          <w:u w:color="000000"/>
          <w:lang w:eastAsia="es-ES"/>
        </w:rPr>
        <w:t xml:space="preserve"> </w:t>
      </w:r>
      <w:r w:rsidR="00BC0946" w:rsidRPr="009F2B09">
        <w:rPr>
          <w:rFonts w:asciiTheme="majorHAnsi" w:eastAsia="Cambria" w:hAnsiTheme="majorHAnsi" w:cs="Calibri"/>
          <w:color w:val="000000"/>
          <w:sz w:val="20"/>
          <w:szCs w:val="20"/>
          <w:u w:color="000000"/>
          <w:lang w:eastAsia="es-ES"/>
        </w:rPr>
        <w:t>o</w:t>
      </w:r>
      <w:r w:rsidR="00C750F9" w:rsidRPr="009F2B09">
        <w:rPr>
          <w:rFonts w:asciiTheme="majorHAnsi" w:eastAsia="Cambria" w:hAnsiTheme="majorHAnsi" w:cs="Calibri"/>
          <w:color w:val="000000"/>
          <w:sz w:val="20"/>
          <w:szCs w:val="20"/>
          <w:u w:color="000000"/>
          <w:lang w:eastAsia="es-ES"/>
        </w:rPr>
        <w:t>f</w:t>
      </w:r>
      <w:r w:rsidR="002F0AEA" w:rsidRPr="009F2B09">
        <w:rPr>
          <w:rFonts w:asciiTheme="majorHAnsi" w:eastAsia="Cambria" w:hAnsiTheme="majorHAnsi" w:cs="Calibri"/>
          <w:color w:val="000000"/>
          <w:sz w:val="20"/>
          <w:szCs w:val="20"/>
          <w:u w:color="000000"/>
          <w:lang w:eastAsia="es-ES"/>
        </w:rPr>
        <w:t xml:space="preserve"> Cassation</w:t>
      </w:r>
      <w:r w:rsidRPr="009F2B09">
        <w:rPr>
          <w:rFonts w:asciiTheme="majorHAnsi" w:eastAsia="Cambria" w:hAnsiTheme="majorHAnsi" w:cs="Calibri"/>
          <w:color w:val="000000"/>
          <w:sz w:val="20"/>
          <w:szCs w:val="20"/>
          <w:u w:color="000000"/>
          <w:lang w:eastAsia="es-ES"/>
        </w:rPr>
        <w:t xml:space="preserve"> Appeal</w:t>
      </w:r>
      <w:r w:rsidR="00BC0946" w:rsidRPr="009F2B09">
        <w:rPr>
          <w:rFonts w:asciiTheme="majorHAnsi" w:eastAsia="Cambria" w:hAnsiTheme="majorHAnsi" w:cs="Calibri"/>
          <w:color w:val="000000"/>
          <w:sz w:val="20"/>
          <w:szCs w:val="20"/>
          <w:u w:color="000000"/>
          <w:lang w:eastAsia="es-ES"/>
        </w:rPr>
        <w:t>,</w:t>
      </w:r>
      <w:r w:rsidRPr="009F2B09">
        <w:rPr>
          <w:rFonts w:asciiTheme="majorHAnsi" w:eastAsia="Cambria" w:hAnsiTheme="majorHAnsi" w:cs="Calibri"/>
          <w:color w:val="000000"/>
          <w:sz w:val="20"/>
          <w:szCs w:val="20"/>
          <w:u w:color="000000"/>
          <w:lang w:eastAsia="es-ES"/>
        </w:rPr>
        <w:t xml:space="preserve"> Role No. 3808-2006, in which it decided to apply the gradual prescription or half prescription in criminal matters of Article 103 of the Criminal Code, notwithstanding</w:t>
      </w:r>
      <w:r w:rsidR="00BC0946" w:rsidRPr="009F2B09">
        <w:rPr>
          <w:rFonts w:asciiTheme="majorHAnsi" w:eastAsia="Cambria" w:hAnsiTheme="majorHAnsi" w:cs="Calibri"/>
          <w:color w:val="000000"/>
          <w:sz w:val="20"/>
          <w:szCs w:val="20"/>
          <w:u w:color="000000"/>
          <w:lang w:eastAsia="es-ES"/>
        </w:rPr>
        <w:t xml:space="preserve"> it being a</w:t>
      </w:r>
      <w:r w:rsidRPr="009F2B09">
        <w:rPr>
          <w:rFonts w:asciiTheme="majorHAnsi" w:eastAsia="Cambria" w:hAnsiTheme="majorHAnsi" w:cs="Calibri"/>
          <w:color w:val="000000"/>
          <w:sz w:val="20"/>
          <w:szCs w:val="20"/>
          <w:u w:color="000000"/>
          <w:lang w:eastAsia="es-ES"/>
        </w:rPr>
        <w:t xml:space="preserve"> crime against humanity.</w:t>
      </w:r>
    </w:p>
    <w:p w14:paraId="74B3AC21" w14:textId="77777777" w:rsidR="00B77BB8" w:rsidRPr="009F2B09" w:rsidRDefault="00B77BB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71D3FEF3" w14:textId="5264E812" w:rsidR="00FF05B1" w:rsidRPr="009F2B09" w:rsidRDefault="00FF05B1"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In April 2010, the Commission decided to accumulate both petitions under number P-1275-04. However, by means of notes dated January 12 and February 6, 2015, the petitioners expressed to the IACHR their willingness to initiate a friendly settlement process only with regard to the lack of reparation</w:t>
      </w:r>
      <w:r w:rsidR="00F60EB0" w:rsidRPr="009F2B09">
        <w:rPr>
          <w:rFonts w:asciiTheme="majorHAnsi" w:eastAsia="Cambria" w:hAnsiTheme="majorHAnsi" w:cs="Calibri"/>
          <w:color w:val="000000"/>
          <w:sz w:val="20"/>
          <w:szCs w:val="20"/>
          <w:u w:color="000000"/>
          <w:lang w:eastAsia="es-ES"/>
        </w:rPr>
        <w:t>s</w:t>
      </w:r>
      <w:r w:rsidRPr="009F2B09">
        <w:rPr>
          <w:rFonts w:asciiTheme="majorHAnsi" w:eastAsia="Cambria" w:hAnsiTheme="majorHAnsi" w:cs="Calibri"/>
          <w:color w:val="000000"/>
          <w:sz w:val="20"/>
          <w:szCs w:val="20"/>
          <w:u w:color="000000"/>
          <w:lang w:eastAsia="es-ES"/>
        </w:rPr>
        <w:t xml:space="preserve"> of the relatives of Mr. Juan Luis. Rivera Matus, which refers to the complaint filed on November 29, 2004. On this matter, on June 16, 2016, the State informed the IACHR that it had held informal conversations with the petitioners, in which they would have formulated a </w:t>
      </w:r>
      <w:r w:rsidR="00F60EB0" w:rsidRPr="009F2B09">
        <w:rPr>
          <w:rFonts w:asciiTheme="majorHAnsi" w:eastAsia="Cambria" w:hAnsiTheme="majorHAnsi" w:cs="Calibri"/>
          <w:color w:val="000000"/>
          <w:sz w:val="20"/>
          <w:szCs w:val="20"/>
          <w:u w:color="000000"/>
          <w:lang w:eastAsia="es-ES"/>
        </w:rPr>
        <w:t>f</w:t>
      </w:r>
      <w:r w:rsidRPr="009F2B09">
        <w:rPr>
          <w:rFonts w:asciiTheme="majorHAnsi" w:eastAsia="Cambria" w:hAnsiTheme="majorHAnsi" w:cs="Calibri"/>
          <w:color w:val="000000"/>
          <w:sz w:val="20"/>
          <w:szCs w:val="20"/>
          <w:u w:color="000000"/>
          <w:lang w:eastAsia="es-ES"/>
        </w:rPr>
        <w:t xml:space="preserve">riendly </w:t>
      </w:r>
      <w:r w:rsidR="00F60EB0" w:rsidRPr="009F2B09">
        <w:rPr>
          <w:rFonts w:asciiTheme="majorHAnsi" w:eastAsia="Cambria" w:hAnsiTheme="majorHAnsi" w:cs="Calibri"/>
          <w:color w:val="000000"/>
          <w:sz w:val="20"/>
          <w:szCs w:val="20"/>
          <w:u w:color="000000"/>
          <w:lang w:eastAsia="es-ES"/>
        </w:rPr>
        <w:t>settlement</w:t>
      </w:r>
      <w:r w:rsidRPr="009F2B09">
        <w:rPr>
          <w:rFonts w:asciiTheme="majorHAnsi" w:eastAsia="Cambria" w:hAnsiTheme="majorHAnsi" w:cs="Calibri"/>
          <w:color w:val="000000"/>
          <w:sz w:val="20"/>
          <w:szCs w:val="20"/>
          <w:u w:color="000000"/>
          <w:lang w:eastAsia="es-ES"/>
        </w:rPr>
        <w:t xml:space="preserve"> proposal referring only to the issue of reparation, expressing its willingness to continue examining its feasibility.</w:t>
      </w:r>
    </w:p>
    <w:p w14:paraId="34488E59" w14:textId="77777777" w:rsidR="00B77BB8" w:rsidRPr="009F2B09" w:rsidRDefault="00B77BB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520F3C21" w14:textId="23C87E90" w:rsidR="00E51198" w:rsidRPr="009F2B09" w:rsidRDefault="00E5119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 xml:space="preserve">On July 25, 2016, the IACHR informed the parties that, after receiving their interest in </w:t>
      </w:r>
      <w:r w:rsidR="00B93A5D" w:rsidRPr="009F2B09">
        <w:rPr>
          <w:rFonts w:asciiTheme="majorHAnsi" w:eastAsia="Cambria" w:hAnsiTheme="majorHAnsi" w:cs="Calibri"/>
          <w:color w:val="000000"/>
          <w:sz w:val="20"/>
          <w:szCs w:val="20"/>
          <w:u w:color="000000"/>
          <w:lang w:eastAsia="es-ES"/>
        </w:rPr>
        <w:t>moving forward</w:t>
      </w:r>
      <w:r w:rsidRPr="009F2B09">
        <w:rPr>
          <w:rFonts w:asciiTheme="majorHAnsi" w:eastAsia="Cambria" w:hAnsiTheme="majorHAnsi" w:cs="Calibri"/>
          <w:color w:val="000000"/>
          <w:sz w:val="20"/>
          <w:szCs w:val="20"/>
          <w:u w:color="000000"/>
          <w:lang w:eastAsia="es-ES"/>
        </w:rPr>
        <w:t xml:space="preserve"> in the search for a friendly settlement, exclusively in the aspect related to the judicial declaration of the prescription of civil action, </w:t>
      </w:r>
      <w:r w:rsidR="00B93A5D" w:rsidRPr="009F2B09">
        <w:rPr>
          <w:rFonts w:asciiTheme="majorHAnsi" w:eastAsia="Cambria" w:hAnsiTheme="majorHAnsi" w:cs="Calibri"/>
          <w:color w:val="000000"/>
          <w:sz w:val="20"/>
          <w:szCs w:val="20"/>
          <w:u w:color="000000"/>
          <w:lang w:eastAsia="es-ES"/>
        </w:rPr>
        <w:t>in relation to t</w:t>
      </w:r>
      <w:r w:rsidRPr="009F2B09">
        <w:rPr>
          <w:rFonts w:asciiTheme="majorHAnsi" w:eastAsia="Cambria" w:hAnsiTheme="majorHAnsi" w:cs="Calibri"/>
          <w:color w:val="000000"/>
          <w:sz w:val="20"/>
          <w:szCs w:val="20"/>
          <w:u w:color="000000"/>
          <w:lang w:eastAsia="es-ES"/>
        </w:rPr>
        <w:t xml:space="preserve">he detention and extrajudicial execution of Mr. Juan Luis Rivera Matus, which refers to the complaint filed in 2004, </w:t>
      </w:r>
      <w:r w:rsidR="00B93A5D" w:rsidRPr="009F2B09">
        <w:rPr>
          <w:rFonts w:asciiTheme="majorHAnsi" w:eastAsia="Cambria" w:hAnsiTheme="majorHAnsi" w:cs="Calibri"/>
          <w:color w:val="000000"/>
          <w:sz w:val="20"/>
          <w:szCs w:val="20"/>
          <w:u w:color="000000"/>
          <w:lang w:eastAsia="es-ES"/>
        </w:rPr>
        <w:t>it</w:t>
      </w:r>
      <w:r w:rsidRPr="009F2B09">
        <w:rPr>
          <w:rFonts w:asciiTheme="majorHAnsi" w:eastAsia="Cambria" w:hAnsiTheme="majorHAnsi" w:cs="Calibri"/>
          <w:color w:val="000000"/>
          <w:sz w:val="20"/>
          <w:szCs w:val="20"/>
          <w:u w:color="000000"/>
          <w:lang w:eastAsia="es-ES"/>
        </w:rPr>
        <w:t xml:space="preserve"> decided that this complaint be processed separately under petition number P-1275-04 A, while the processing of the complaint of the year 2008, referring to the gradual prescription or half prescription in criminal matters will be carried out under number P-1275-04 B. Then, on March 9, 2017, the IACHR transmitted to the State the bas</w:t>
      </w:r>
      <w:r w:rsidR="00B93A5D" w:rsidRPr="009F2B09">
        <w:rPr>
          <w:rFonts w:asciiTheme="majorHAnsi" w:eastAsia="Cambria" w:hAnsiTheme="majorHAnsi" w:cs="Calibri"/>
          <w:color w:val="000000"/>
          <w:sz w:val="20"/>
          <w:szCs w:val="20"/>
          <w:u w:color="000000"/>
          <w:lang w:eastAsia="es-ES"/>
        </w:rPr>
        <w:t>i</w:t>
      </w:r>
      <w:r w:rsidRPr="009F2B09">
        <w:rPr>
          <w:rFonts w:asciiTheme="majorHAnsi" w:eastAsia="Cambria" w:hAnsiTheme="majorHAnsi" w:cs="Calibri"/>
          <w:color w:val="000000"/>
          <w:sz w:val="20"/>
          <w:szCs w:val="20"/>
          <w:u w:color="000000"/>
          <w:lang w:eastAsia="es-ES"/>
        </w:rPr>
        <w:t xml:space="preserve">s </w:t>
      </w:r>
      <w:r w:rsidR="00EA18FD" w:rsidRPr="009F2B09">
        <w:rPr>
          <w:rFonts w:asciiTheme="majorHAnsi" w:eastAsia="Cambria" w:hAnsiTheme="majorHAnsi" w:cs="Calibri"/>
          <w:color w:val="000000"/>
          <w:sz w:val="20"/>
          <w:szCs w:val="20"/>
          <w:u w:color="000000"/>
          <w:lang w:eastAsia="es-ES"/>
        </w:rPr>
        <w:t>for</w:t>
      </w:r>
      <w:r w:rsidRPr="009F2B09">
        <w:rPr>
          <w:rFonts w:asciiTheme="majorHAnsi" w:eastAsia="Cambria" w:hAnsiTheme="majorHAnsi" w:cs="Calibri"/>
          <w:color w:val="000000"/>
          <w:sz w:val="20"/>
          <w:szCs w:val="20"/>
          <w:u w:color="000000"/>
          <w:lang w:eastAsia="es-ES"/>
        </w:rPr>
        <w:t xml:space="preserve"> a friendly settlement proposal prepared by the petitioners, in relation to petition P-1275-04 A.</w:t>
      </w:r>
    </w:p>
    <w:p w14:paraId="45E7B940" w14:textId="65BAA7BC" w:rsidR="00DB248C" w:rsidRPr="009F2B09" w:rsidRDefault="00DB248C"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44C1CF2F" w14:textId="0C9D9ECB" w:rsidR="00DB248C" w:rsidRPr="009F2B09" w:rsidRDefault="00DB248C"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ED61B2">
        <w:rPr>
          <w:rFonts w:asciiTheme="majorHAnsi" w:eastAsia="Cambria" w:hAnsiTheme="majorHAnsi" w:cs="Calibri"/>
          <w:color w:val="000000"/>
          <w:sz w:val="20"/>
          <w:szCs w:val="20"/>
          <w:u w:color="000000"/>
          <w:lang w:eastAsia="es-ES"/>
        </w:rPr>
        <w:t xml:space="preserve">On November 11, 2019, a working meeting was held in Quito, Ecuador during the 174th Period of Sessions of the Inter-American Commission, in which Mrs. Gaby Rivera Matus and her </w:t>
      </w:r>
      <w:r w:rsidRPr="00ED61B2">
        <w:rPr>
          <w:rFonts w:asciiTheme="majorHAnsi" w:eastAsia="Cambria" w:hAnsiTheme="majorHAnsi" w:cs="Calibri"/>
          <w:color w:val="000000"/>
          <w:sz w:val="20"/>
          <w:szCs w:val="20"/>
          <w:u w:color="000000"/>
          <w:lang w:eastAsia="es-ES"/>
        </w:rPr>
        <w:lastRenderedPageBreak/>
        <w:t xml:space="preserve">representative lawyers participated, and </w:t>
      </w:r>
      <w:r w:rsidR="00ED61B2">
        <w:rPr>
          <w:rFonts w:asciiTheme="majorHAnsi" w:eastAsia="Cambria" w:hAnsiTheme="majorHAnsi" w:cs="Calibri"/>
          <w:color w:val="000000"/>
          <w:sz w:val="20"/>
          <w:szCs w:val="20"/>
          <w:u w:color="000000"/>
          <w:lang w:eastAsia="es-ES"/>
        </w:rPr>
        <w:t xml:space="preserve">representing the </w:t>
      </w:r>
      <w:r w:rsidR="00C750F9" w:rsidRPr="00ED61B2">
        <w:rPr>
          <w:rFonts w:asciiTheme="majorHAnsi" w:eastAsia="Cambria" w:hAnsiTheme="majorHAnsi" w:cs="Calibri"/>
          <w:color w:val="000000"/>
          <w:sz w:val="20"/>
          <w:szCs w:val="20"/>
          <w:u w:color="000000"/>
          <w:lang w:eastAsia="es-ES"/>
        </w:rPr>
        <w:t xml:space="preserve">State </w:t>
      </w:r>
      <w:r w:rsidRPr="00ED61B2">
        <w:rPr>
          <w:rFonts w:asciiTheme="majorHAnsi" w:eastAsia="Cambria" w:hAnsiTheme="majorHAnsi" w:cs="Calibri"/>
          <w:color w:val="000000"/>
          <w:sz w:val="20"/>
          <w:szCs w:val="20"/>
          <w:u w:color="000000"/>
          <w:lang w:eastAsia="es-ES"/>
        </w:rPr>
        <w:t>the Ministry of Foreign Affairs</w:t>
      </w:r>
      <w:r w:rsidR="00C750F9" w:rsidRPr="00ED61B2">
        <w:rPr>
          <w:rFonts w:asciiTheme="majorHAnsi" w:eastAsia="Cambria" w:hAnsiTheme="majorHAnsi" w:cs="Calibri"/>
          <w:color w:val="000000"/>
          <w:sz w:val="20"/>
          <w:szCs w:val="20"/>
          <w:u w:color="000000"/>
          <w:lang w:eastAsia="es-ES"/>
        </w:rPr>
        <w:t>,</w:t>
      </w:r>
      <w:r w:rsidRPr="00ED61B2">
        <w:rPr>
          <w:rFonts w:asciiTheme="majorHAnsi" w:eastAsia="Cambria" w:hAnsiTheme="majorHAnsi" w:cs="Calibri"/>
          <w:color w:val="000000"/>
          <w:sz w:val="20"/>
          <w:szCs w:val="20"/>
          <w:u w:color="000000"/>
          <w:lang w:eastAsia="es-ES"/>
        </w:rPr>
        <w:t xml:space="preserve"> </w:t>
      </w:r>
      <w:r w:rsidR="00C750F9" w:rsidRPr="00ED61B2">
        <w:rPr>
          <w:rFonts w:asciiTheme="majorHAnsi" w:eastAsia="Cambria" w:hAnsiTheme="majorHAnsi" w:cs="Calibri"/>
          <w:color w:val="000000"/>
          <w:sz w:val="20"/>
          <w:szCs w:val="20"/>
          <w:u w:color="000000"/>
          <w:lang w:eastAsia="es-ES"/>
        </w:rPr>
        <w:t xml:space="preserve">and </w:t>
      </w:r>
      <w:r w:rsidRPr="00ED61B2">
        <w:rPr>
          <w:rFonts w:asciiTheme="majorHAnsi" w:eastAsia="Cambria" w:hAnsiTheme="majorHAnsi" w:cs="Calibri"/>
          <w:color w:val="000000"/>
          <w:sz w:val="20"/>
          <w:szCs w:val="20"/>
          <w:u w:color="000000"/>
          <w:lang w:eastAsia="es-ES"/>
        </w:rPr>
        <w:t xml:space="preserve">the Undersecretariat of Human Rights of the Ministry of Justice and Human Rights, where the State expressed its willingness to initiate the negotiations for an eventual </w:t>
      </w:r>
      <w:r w:rsidR="00B30B25" w:rsidRPr="00ED61B2">
        <w:rPr>
          <w:rFonts w:asciiTheme="majorHAnsi" w:eastAsia="Cambria" w:hAnsiTheme="majorHAnsi" w:cs="Calibri"/>
          <w:color w:val="000000"/>
          <w:sz w:val="20"/>
          <w:szCs w:val="20"/>
          <w:u w:color="000000"/>
          <w:lang w:eastAsia="es-ES"/>
        </w:rPr>
        <w:t>adoption</w:t>
      </w:r>
      <w:r w:rsidRPr="00ED61B2">
        <w:rPr>
          <w:rFonts w:asciiTheme="majorHAnsi" w:eastAsia="Cambria" w:hAnsiTheme="majorHAnsi" w:cs="Calibri"/>
          <w:color w:val="000000"/>
          <w:sz w:val="20"/>
          <w:szCs w:val="20"/>
          <w:u w:color="000000"/>
          <w:lang w:eastAsia="es-ES"/>
        </w:rPr>
        <w:t xml:space="preserve"> of a friendly settlement agreement. On December 6, 2019, the State proposed a </w:t>
      </w:r>
      <w:r w:rsidR="00B30B25" w:rsidRPr="00ED61B2">
        <w:rPr>
          <w:rFonts w:asciiTheme="majorHAnsi" w:eastAsia="Cambria" w:hAnsiTheme="majorHAnsi" w:cs="Calibri"/>
          <w:color w:val="000000"/>
          <w:sz w:val="20"/>
          <w:szCs w:val="20"/>
          <w:u w:color="000000"/>
          <w:lang w:eastAsia="es-ES"/>
        </w:rPr>
        <w:t>formulation</w:t>
      </w:r>
      <w:r w:rsidRPr="00ED61B2">
        <w:rPr>
          <w:rFonts w:asciiTheme="majorHAnsi" w:eastAsia="Cambria" w:hAnsiTheme="majorHAnsi" w:cs="Calibri"/>
          <w:color w:val="000000"/>
          <w:sz w:val="20"/>
          <w:szCs w:val="20"/>
          <w:u w:color="000000"/>
          <w:lang w:eastAsia="es-ES"/>
        </w:rPr>
        <w:t xml:space="preserve"> regarding the main terms in which the agreement would be drafted based on the petitioners' proposal, which was accepted, without </w:t>
      </w:r>
      <w:r w:rsidR="00C86781" w:rsidRPr="00ED61B2">
        <w:rPr>
          <w:rFonts w:asciiTheme="majorHAnsi" w:eastAsia="Cambria" w:hAnsiTheme="majorHAnsi" w:cs="Calibri"/>
          <w:color w:val="000000"/>
          <w:sz w:val="20"/>
          <w:szCs w:val="20"/>
          <w:u w:color="000000"/>
          <w:lang w:eastAsia="es-ES"/>
        </w:rPr>
        <w:t>reservations</w:t>
      </w:r>
      <w:r w:rsidRPr="00ED61B2">
        <w:rPr>
          <w:rFonts w:asciiTheme="majorHAnsi" w:eastAsia="Cambria" w:hAnsiTheme="majorHAnsi" w:cs="Calibri"/>
          <w:color w:val="000000"/>
          <w:sz w:val="20"/>
          <w:szCs w:val="20"/>
          <w:u w:color="000000"/>
          <w:lang w:eastAsia="es-ES"/>
        </w:rPr>
        <w:t xml:space="preserve">, by </w:t>
      </w:r>
      <w:r w:rsidR="00B30B25" w:rsidRPr="00ED61B2">
        <w:rPr>
          <w:rFonts w:asciiTheme="majorHAnsi" w:eastAsia="Cambria" w:hAnsiTheme="majorHAnsi" w:cs="Calibri"/>
          <w:color w:val="000000"/>
          <w:sz w:val="20"/>
          <w:szCs w:val="20"/>
          <w:u w:color="000000"/>
          <w:lang w:eastAsia="es-ES"/>
        </w:rPr>
        <w:t>the petitioners</w:t>
      </w:r>
      <w:r w:rsidRPr="00ED61B2">
        <w:rPr>
          <w:rFonts w:asciiTheme="majorHAnsi" w:eastAsia="Cambria" w:hAnsiTheme="majorHAnsi" w:cs="Calibri"/>
          <w:color w:val="000000"/>
          <w:sz w:val="20"/>
          <w:szCs w:val="20"/>
          <w:u w:color="000000"/>
          <w:lang w:eastAsia="es-ES"/>
        </w:rPr>
        <w:t xml:space="preserve"> on December 9, 2019.</w:t>
      </w:r>
    </w:p>
    <w:p w14:paraId="2C77D639" w14:textId="60EB2EDE" w:rsidR="00EC2B14" w:rsidRPr="009F2B09" w:rsidRDefault="00EC2B14"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3971E7F8" w14:textId="58FDDF40" w:rsidR="00EC2B14" w:rsidRPr="009F2B09" w:rsidRDefault="00B74C01" w:rsidP="009F2B09">
      <w:pPr>
        <w:tabs>
          <w:tab w:val="left" w:pos="360"/>
          <w:tab w:val="left" w:pos="810"/>
        </w:tabs>
        <w:ind w:left="720" w:right="720"/>
        <w:jc w:val="both"/>
        <w:rPr>
          <w:rFonts w:asciiTheme="majorHAnsi" w:eastAsia="Cambria" w:hAnsiTheme="majorHAnsi" w:cs="Calibri"/>
          <w:b/>
          <w:color w:val="000000"/>
          <w:sz w:val="20"/>
          <w:szCs w:val="20"/>
          <w:u w:color="000000"/>
          <w:lang w:eastAsia="es-ES"/>
        </w:rPr>
      </w:pPr>
      <w:r w:rsidRPr="009F2B09">
        <w:rPr>
          <w:rFonts w:asciiTheme="majorHAnsi" w:eastAsia="Cambria" w:hAnsiTheme="majorHAnsi" w:cs="Calibri"/>
          <w:b/>
          <w:color w:val="000000"/>
          <w:sz w:val="20"/>
          <w:szCs w:val="20"/>
          <w:u w:color="000000"/>
          <w:lang w:eastAsia="es-ES"/>
        </w:rPr>
        <w:t>THIRD</w:t>
      </w:r>
      <w:r w:rsidR="006931DA" w:rsidRPr="009F2B09">
        <w:rPr>
          <w:rFonts w:asciiTheme="majorHAnsi" w:eastAsia="Cambria" w:hAnsiTheme="majorHAnsi" w:cs="Calibri"/>
          <w:b/>
          <w:color w:val="000000"/>
          <w:sz w:val="20"/>
          <w:szCs w:val="20"/>
          <w:u w:color="000000"/>
          <w:lang w:eastAsia="es-ES"/>
        </w:rPr>
        <w:t xml:space="preserve">: </w:t>
      </w:r>
      <w:r w:rsidR="006910D4" w:rsidRPr="009F2B09">
        <w:rPr>
          <w:rFonts w:asciiTheme="majorHAnsi" w:eastAsia="Cambria" w:hAnsiTheme="majorHAnsi" w:cs="Calibri"/>
          <w:b/>
          <w:color w:val="000000"/>
          <w:sz w:val="20"/>
          <w:szCs w:val="20"/>
          <w:u w:color="000000"/>
          <w:lang w:eastAsia="es-ES"/>
        </w:rPr>
        <w:t>COMMITMENTS UNDERTAKEN BY THE STATE AND THE PETITIONERS</w:t>
      </w:r>
    </w:p>
    <w:p w14:paraId="71C53FCC" w14:textId="77777777" w:rsidR="00B77BB8" w:rsidRPr="009F2B09" w:rsidRDefault="00B77BB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108CC99F" w14:textId="68FD938B" w:rsidR="00CE1431" w:rsidRPr="009F2B09" w:rsidRDefault="00CE1431" w:rsidP="009F2B09">
      <w:pPr>
        <w:tabs>
          <w:tab w:val="left" w:pos="810"/>
        </w:tabs>
        <w:ind w:left="720" w:right="720"/>
        <w:jc w:val="both"/>
        <w:rPr>
          <w:rFonts w:asciiTheme="majorHAnsi" w:hAnsiTheme="majorHAnsi" w:cs="Calibri"/>
          <w:sz w:val="20"/>
          <w:szCs w:val="20"/>
          <w:u w:color="000000"/>
        </w:rPr>
      </w:pPr>
      <w:r w:rsidRPr="009F2B09">
        <w:rPr>
          <w:rFonts w:asciiTheme="majorHAnsi" w:hAnsiTheme="majorHAnsi" w:cs="Calibri"/>
          <w:sz w:val="20"/>
          <w:szCs w:val="20"/>
          <w:u w:color="000000"/>
        </w:rPr>
        <w:t>By this act, the petitioners and the State enter into a friendly settlement agreement, which terminates the dispute corresponding to the petition identified under number P-1275-04 A "Juan Luis Rivera Matus", filed by the petitioners before the Inter-American Commission on Human Rights on November 29, 2004. The terms governing this agreement are as follows:</w:t>
      </w:r>
    </w:p>
    <w:p w14:paraId="64E65C39" w14:textId="77777777" w:rsidR="00B77BB8" w:rsidRPr="009F2B09" w:rsidRDefault="00B77BB8"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5A1134E5" w14:textId="598FE338" w:rsidR="007C6E75" w:rsidRPr="009F2B09" w:rsidRDefault="00F719BC" w:rsidP="009F2B09">
      <w:pPr>
        <w:pStyle w:val="ListParagraph"/>
        <w:numPr>
          <w:ilvl w:val="0"/>
          <w:numId w:val="62"/>
        </w:numPr>
        <w:ind w:left="720" w:right="720" w:firstLine="0"/>
        <w:jc w:val="both"/>
        <w:rPr>
          <w:rFonts w:asciiTheme="majorHAnsi" w:hAnsiTheme="majorHAnsi" w:cs="Calibri"/>
          <w:sz w:val="20"/>
          <w:szCs w:val="20"/>
        </w:rPr>
      </w:pPr>
      <w:r w:rsidRPr="009F2B09">
        <w:rPr>
          <w:rFonts w:asciiTheme="majorHAnsi" w:hAnsiTheme="majorHAnsi" w:cs="Calibri"/>
          <w:sz w:val="20"/>
          <w:szCs w:val="20"/>
        </w:rPr>
        <w:t xml:space="preserve">The State undertakes to pay Gaby </w:t>
      </w:r>
      <w:r w:rsidR="00ED61B2" w:rsidRPr="009F2B09">
        <w:rPr>
          <w:rFonts w:asciiTheme="majorHAnsi" w:hAnsiTheme="majorHAnsi" w:cs="Calibri"/>
          <w:sz w:val="20"/>
          <w:szCs w:val="20"/>
        </w:rPr>
        <w:t>Lucia</w:t>
      </w:r>
      <w:r w:rsidRPr="009F2B09">
        <w:rPr>
          <w:rFonts w:asciiTheme="majorHAnsi" w:hAnsiTheme="majorHAnsi" w:cs="Calibri"/>
          <w:sz w:val="20"/>
          <w:szCs w:val="20"/>
        </w:rPr>
        <w:t xml:space="preserve"> Rivera Sánchez, Mar</w:t>
      </w:r>
      <w:r w:rsidR="00ED61B2">
        <w:rPr>
          <w:rFonts w:asciiTheme="majorHAnsi" w:hAnsiTheme="majorHAnsi" w:cs="Calibri"/>
          <w:sz w:val="20"/>
          <w:szCs w:val="20"/>
        </w:rPr>
        <w:t>i</w:t>
      </w:r>
      <w:r w:rsidRPr="009F2B09">
        <w:rPr>
          <w:rFonts w:asciiTheme="majorHAnsi" w:hAnsiTheme="majorHAnsi" w:cs="Calibri"/>
          <w:sz w:val="20"/>
          <w:szCs w:val="20"/>
        </w:rPr>
        <w:t xml:space="preserve">a </w:t>
      </w:r>
      <w:r w:rsidR="00ED61B2" w:rsidRPr="009F2B09">
        <w:rPr>
          <w:rFonts w:asciiTheme="majorHAnsi" w:hAnsiTheme="majorHAnsi" w:cs="Calibri"/>
          <w:sz w:val="20"/>
          <w:szCs w:val="20"/>
        </w:rPr>
        <w:t>Angelica</w:t>
      </w:r>
      <w:r w:rsidRPr="009F2B09">
        <w:rPr>
          <w:rFonts w:asciiTheme="majorHAnsi" w:hAnsiTheme="majorHAnsi" w:cs="Calibri"/>
          <w:sz w:val="20"/>
          <w:szCs w:val="20"/>
        </w:rPr>
        <w:t xml:space="preserve"> Rivera Sánchez, Juan Patricio Rivera Sánchez, Jovina del Carmen Rivera Sánchez, Olga Matilde Rivera Sánchez, Cecilia de las Mercedes Rivera Sánchez</w:t>
      </w:r>
      <w:r w:rsidR="00261AA0" w:rsidRPr="009F2B09">
        <w:rPr>
          <w:rFonts w:asciiTheme="majorHAnsi" w:hAnsiTheme="majorHAnsi" w:cs="Calibri"/>
          <w:sz w:val="20"/>
          <w:szCs w:val="20"/>
        </w:rPr>
        <w:t>,</w:t>
      </w:r>
      <w:r w:rsidRPr="009F2B09">
        <w:rPr>
          <w:rFonts w:asciiTheme="majorHAnsi" w:hAnsiTheme="majorHAnsi" w:cs="Calibri"/>
          <w:sz w:val="20"/>
          <w:szCs w:val="20"/>
        </w:rPr>
        <w:t xml:space="preserve"> and Juan Carlos Rivera Sánchez, the liquid sum of $70,000,000</w:t>
      </w:r>
      <w:r w:rsidR="002C3664" w:rsidRPr="009F2B09">
        <w:rPr>
          <w:rFonts w:asciiTheme="majorHAnsi" w:hAnsiTheme="majorHAnsi" w:cs="Calibri"/>
          <w:sz w:val="20"/>
          <w:szCs w:val="20"/>
        </w:rPr>
        <w:t xml:space="preserve"> </w:t>
      </w:r>
      <w:r w:rsidRPr="009F2B09">
        <w:rPr>
          <w:rFonts w:asciiTheme="majorHAnsi" w:hAnsiTheme="majorHAnsi" w:cs="Calibri"/>
          <w:sz w:val="20"/>
          <w:szCs w:val="20"/>
        </w:rPr>
        <w:t>(seventy million Chilean pesos) to each of them.</w:t>
      </w:r>
    </w:p>
    <w:p w14:paraId="11729D55" w14:textId="77777777" w:rsidR="007C6E75" w:rsidRPr="009F2B09" w:rsidRDefault="007C6E75" w:rsidP="009F2B09">
      <w:pPr>
        <w:pStyle w:val="ListParagraph"/>
        <w:tabs>
          <w:tab w:val="left" w:pos="360"/>
          <w:tab w:val="left" w:pos="810"/>
        </w:tabs>
        <w:ind w:right="720"/>
        <w:jc w:val="both"/>
        <w:rPr>
          <w:rFonts w:asciiTheme="majorHAnsi" w:hAnsiTheme="majorHAnsi" w:cs="Calibri"/>
          <w:sz w:val="20"/>
          <w:szCs w:val="20"/>
        </w:rPr>
      </w:pPr>
    </w:p>
    <w:p w14:paraId="1483DC1B" w14:textId="0F228E23" w:rsidR="007C6E75" w:rsidRPr="009F2B09" w:rsidRDefault="00261AA0" w:rsidP="009F2B09">
      <w:pPr>
        <w:pStyle w:val="ListParagraph"/>
        <w:numPr>
          <w:ilvl w:val="0"/>
          <w:numId w:val="62"/>
        </w:numPr>
        <w:tabs>
          <w:tab w:val="left" w:pos="360"/>
          <w:tab w:val="left" w:pos="810"/>
        </w:tabs>
        <w:ind w:left="720" w:right="720" w:firstLine="0"/>
        <w:jc w:val="both"/>
        <w:rPr>
          <w:rFonts w:asciiTheme="majorHAnsi" w:hAnsiTheme="majorHAnsi" w:cs="Calibri"/>
          <w:sz w:val="20"/>
          <w:szCs w:val="20"/>
        </w:rPr>
      </w:pPr>
      <w:r w:rsidRPr="009F2B09">
        <w:rPr>
          <w:rFonts w:asciiTheme="majorHAnsi" w:hAnsiTheme="majorHAnsi" w:cs="Calibri"/>
          <w:sz w:val="20"/>
          <w:szCs w:val="20"/>
        </w:rPr>
        <w:t>The State, through the Ministry of Justice and Human Rights, will make the payment within a period of six months after the date of signing this agreement.</w:t>
      </w:r>
    </w:p>
    <w:p w14:paraId="5AC4BEAF" w14:textId="77777777" w:rsidR="00DA6D1C" w:rsidRPr="009F2B09" w:rsidRDefault="00DA6D1C" w:rsidP="009F2B09">
      <w:pPr>
        <w:ind w:left="720" w:right="720"/>
        <w:rPr>
          <w:rFonts w:asciiTheme="majorHAnsi" w:hAnsiTheme="majorHAnsi" w:cs="Calibri"/>
          <w:sz w:val="20"/>
          <w:szCs w:val="20"/>
        </w:rPr>
      </w:pPr>
    </w:p>
    <w:p w14:paraId="0F3E0EA6" w14:textId="5A5B28AD" w:rsidR="00DA6D1C" w:rsidRPr="009F2B09" w:rsidRDefault="00DA6D1C" w:rsidP="009F2B09">
      <w:pPr>
        <w:pStyle w:val="ListParagraph"/>
        <w:numPr>
          <w:ilvl w:val="0"/>
          <w:numId w:val="62"/>
        </w:numPr>
        <w:tabs>
          <w:tab w:val="left" w:pos="360"/>
          <w:tab w:val="left" w:pos="810"/>
        </w:tabs>
        <w:ind w:left="720" w:right="720" w:firstLine="0"/>
        <w:jc w:val="both"/>
        <w:rPr>
          <w:rFonts w:asciiTheme="majorHAnsi" w:hAnsiTheme="majorHAnsi" w:cs="Calibri"/>
          <w:sz w:val="20"/>
          <w:szCs w:val="20"/>
        </w:rPr>
      </w:pPr>
      <w:r w:rsidRPr="009F2B09">
        <w:rPr>
          <w:rFonts w:asciiTheme="majorHAnsi" w:hAnsiTheme="majorHAnsi" w:cs="Calibri"/>
          <w:sz w:val="20"/>
          <w:szCs w:val="20"/>
        </w:rPr>
        <w:t>The petitioners irrevocably waive any complaint, claim, petition and/or judicial or administrative action that they have filed or that they may bring, before any national, regional</w:t>
      </w:r>
      <w:r w:rsidR="006910D4" w:rsidRPr="009F2B09">
        <w:rPr>
          <w:rFonts w:asciiTheme="majorHAnsi" w:hAnsiTheme="majorHAnsi" w:cs="Calibri"/>
          <w:sz w:val="20"/>
          <w:szCs w:val="20"/>
        </w:rPr>
        <w:t>,</w:t>
      </w:r>
      <w:r w:rsidRPr="009F2B09">
        <w:rPr>
          <w:rFonts w:asciiTheme="majorHAnsi" w:hAnsiTheme="majorHAnsi" w:cs="Calibri"/>
          <w:sz w:val="20"/>
          <w:szCs w:val="20"/>
        </w:rPr>
        <w:t xml:space="preserve"> or international court or body, against the State of Chile, its organs, officials</w:t>
      </w:r>
      <w:r w:rsidR="006910D4" w:rsidRPr="009F2B09">
        <w:rPr>
          <w:rFonts w:asciiTheme="majorHAnsi" w:hAnsiTheme="majorHAnsi" w:cs="Calibri"/>
          <w:sz w:val="20"/>
          <w:szCs w:val="20"/>
        </w:rPr>
        <w:t>,</w:t>
      </w:r>
      <w:r w:rsidRPr="009F2B09">
        <w:rPr>
          <w:rFonts w:asciiTheme="majorHAnsi" w:hAnsiTheme="majorHAnsi" w:cs="Calibri"/>
          <w:sz w:val="20"/>
          <w:szCs w:val="20"/>
        </w:rPr>
        <w:t xml:space="preserve"> or agents, for the facts referred to in petition P-1275-04 A before the Commission, or for the direct or indirect consequences that may emanate from said facts. In this context, the petitioners may not c</w:t>
      </w:r>
      <w:r w:rsidR="00B30FA6" w:rsidRPr="009F2B09">
        <w:rPr>
          <w:rFonts w:asciiTheme="majorHAnsi" w:hAnsiTheme="majorHAnsi" w:cs="Calibri"/>
          <w:sz w:val="20"/>
          <w:szCs w:val="20"/>
        </w:rPr>
        <w:t>ontest</w:t>
      </w:r>
      <w:r w:rsidRPr="009F2B09">
        <w:rPr>
          <w:rFonts w:asciiTheme="majorHAnsi" w:hAnsiTheme="majorHAnsi" w:cs="Calibri"/>
          <w:sz w:val="20"/>
          <w:szCs w:val="20"/>
        </w:rPr>
        <w:t xml:space="preserve"> the sufficiency of the amount indicated in this agreement.</w:t>
      </w:r>
    </w:p>
    <w:p w14:paraId="5CEE0572" w14:textId="77777777" w:rsidR="007C6E75" w:rsidRPr="009F2B09" w:rsidRDefault="007C6E75" w:rsidP="009F2B09">
      <w:pPr>
        <w:pStyle w:val="ListParagraph"/>
        <w:ind w:right="720"/>
        <w:rPr>
          <w:rFonts w:asciiTheme="majorHAnsi" w:hAnsiTheme="majorHAnsi" w:cs="Calibri"/>
          <w:sz w:val="20"/>
          <w:szCs w:val="20"/>
        </w:rPr>
      </w:pPr>
    </w:p>
    <w:p w14:paraId="05AD7CF9" w14:textId="45D2A0F2" w:rsidR="006910D4" w:rsidRPr="009F2B09" w:rsidRDefault="00B74C01" w:rsidP="009F2B09">
      <w:pPr>
        <w:tabs>
          <w:tab w:val="left" w:pos="360"/>
          <w:tab w:val="left" w:pos="720"/>
        </w:tabs>
        <w:ind w:left="720" w:right="720"/>
        <w:jc w:val="both"/>
        <w:rPr>
          <w:rFonts w:asciiTheme="majorHAnsi" w:hAnsiTheme="majorHAnsi" w:cs="Calibri"/>
          <w:b/>
          <w:sz w:val="20"/>
          <w:szCs w:val="20"/>
          <w:u w:color="000000"/>
        </w:rPr>
      </w:pPr>
      <w:r w:rsidRPr="009F2B09">
        <w:rPr>
          <w:rFonts w:asciiTheme="majorHAnsi" w:eastAsia="Cambria" w:hAnsiTheme="majorHAnsi" w:cs="Calibri"/>
          <w:b/>
          <w:color w:val="000000"/>
          <w:sz w:val="20"/>
          <w:szCs w:val="20"/>
          <w:u w:color="000000"/>
          <w:lang w:eastAsia="es-ES"/>
        </w:rPr>
        <w:t>FOURTH</w:t>
      </w:r>
      <w:r w:rsidR="006931DA" w:rsidRPr="009F2B09">
        <w:rPr>
          <w:rFonts w:asciiTheme="majorHAnsi" w:hAnsiTheme="majorHAnsi" w:cs="Calibri"/>
          <w:b/>
          <w:sz w:val="20"/>
          <w:szCs w:val="20"/>
          <w:u w:color="000000"/>
        </w:rPr>
        <w:t xml:space="preserve">: </w:t>
      </w:r>
      <w:r w:rsidR="006910D4" w:rsidRPr="009F2B09">
        <w:rPr>
          <w:rFonts w:asciiTheme="majorHAnsi" w:hAnsiTheme="majorHAnsi" w:cs="Calibri"/>
          <w:b/>
          <w:sz w:val="20"/>
          <w:szCs w:val="20"/>
          <w:u w:color="000000"/>
        </w:rPr>
        <w:t>INTERNAL FOLLOW-UP MECHANISMS</w:t>
      </w:r>
    </w:p>
    <w:p w14:paraId="0F868F7A" w14:textId="14ABF69B" w:rsidR="006910D4" w:rsidRPr="009F2B09" w:rsidRDefault="00B77BB8" w:rsidP="009F2B09">
      <w:pPr>
        <w:tabs>
          <w:tab w:val="left" w:pos="360"/>
          <w:tab w:val="left" w:pos="72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 xml:space="preserve"> </w:t>
      </w:r>
    </w:p>
    <w:p w14:paraId="46D10653" w14:textId="465AE309" w:rsidR="006910D4" w:rsidRPr="009F2B09" w:rsidRDefault="006910D4"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 xml:space="preserve">In order to follow up on the commitments in this Agreement, the Parties agree to establish a "Monitoring Commission", which will be coordinated by the Human Rights Directorate of the Ministry of Foreign Affairs, with the technical advice and collaboration of the Secretariat for Rights Humans of the Ministry of Justice and Human Rights, in the preparation of progress and/or compliance reports </w:t>
      </w:r>
      <w:r w:rsidR="00B30FA6" w:rsidRPr="009F2B09">
        <w:rPr>
          <w:rFonts w:asciiTheme="majorHAnsi" w:eastAsia="Cambria" w:hAnsiTheme="majorHAnsi" w:cs="Calibri"/>
          <w:color w:val="000000"/>
          <w:sz w:val="20"/>
          <w:szCs w:val="20"/>
          <w:u w:color="000000"/>
          <w:lang w:eastAsia="es-ES"/>
        </w:rPr>
        <w:t xml:space="preserve">to be </w:t>
      </w:r>
      <w:r w:rsidRPr="009F2B09">
        <w:rPr>
          <w:rFonts w:asciiTheme="majorHAnsi" w:eastAsia="Cambria" w:hAnsiTheme="majorHAnsi" w:cs="Calibri"/>
          <w:color w:val="000000"/>
          <w:sz w:val="20"/>
          <w:szCs w:val="20"/>
          <w:u w:color="000000"/>
          <w:lang w:eastAsia="es-ES"/>
        </w:rPr>
        <w:t>submitted to the Inter-American Commission.</w:t>
      </w:r>
    </w:p>
    <w:p w14:paraId="702861B0" w14:textId="77777777" w:rsidR="007C6E75" w:rsidRPr="009F2B09" w:rsidRDefault="007C6E75"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24672201" w14:textId="73272F1B" w:rsidR="00743B00" w:rsidRPr="009F2B09" w:rsidRDefault="001912E1" w:rsidP="009F2B09">
      <w:pPr>
        <w:tabs>
          <w:tab w:val="left" w:pos="360"/>
          <w:tab w:val="left" w:pos="810"/>
        </w:tabs>
        <w:ind w:left="720" w:right="720"/>
        <w:jc w:val="both"/>
        <w:rPr>
          <w:rFonts w:asciiTheme="majorHAnsi" w:eastAsia="Cambria" w:hAnsiTheme="majorHAnsi" w:cs="Calibri"/>
          <w:b/>
          <w:color w:val="000000"/>
          <w:sz w:val="20"/>
          <w:szCs w:val="20"/>
          <w:u w:color="000000"/>
          <w:lang w:eastAsia="es-ES"/>
        </w:rPr>
      </w:pPr>
      <w:r w:rsidRPr="009F2B09">
        <w:rPr>
          <w:rFonts w:asciiTheme="majorHAnsi" w:eastAsia="Cambria" w:hAnsiTheme="majorHAnsi" w:cs="Calibri"/>
          <w:b/>
          <w:color w:val="000000"/>
          <w:sz w:val="20"/>
          <w:szCs w:val="20"/>
          <w:u w:color="000000"/>
          <w:lang w:eastAsia="es-ES"/>
        </w:rPr>
        <w:tab/>
      </w:r>
      <w:r w:rsidR="00B74C01" w:rsidRPr="009F2B09">
        <w:rPr>
          <w:rFonts w:asciiTheme="majorHAnsi" w:eastAsia="Cambria" w:hAnsiTheme="majorHAnsi" w:cs="Calibri"/>
          <w:b/>
          <w:color w:val="000000"/>
          <w:sz w:val="20"/>
          <w:szCs w:val="20"/>
          <w:u w:color="000000"/>
          <w:lang w:eastAsia="es-ES"/>
        </w:rPr>
        <w:t>FIFTH</w:t>
      </w:r>
      <w:r w:rsidR="006931DA" w:rsidRPr="009F2B09">
        <w:rPr>
          <w:rFonts w:asciiTheme="majorHAnsi" w:eastAsia="Cambria" w:hAnsiTheme="majorHAnsi" w:cs="Calibri"/>
          <w:b/>
          <w:color w:val="000000"/>
          <w:sz w:val="20"/>
          <w:szCs w:val="20"/>
          <w:u w:color="000000"/>
          <w:lang w:eastAsia="es-ES"/>
        </w:rPr>
        <w:t xml:space="preserve">: </w:t>
      </w:r>
      <w:r w:rsidR="00F0200D" w:rsidRPr="009F2B09">
        <w:rPr>
          <w:rFonts w:asciiTheme="majorHAnsi" w:eastAsia="Cambria" w:hAnsiTheme="majorHAnsi" w:cs="Calibri"/>
          <w:b/>
          <w:color w:val="000000"/>
          <w:sz w:val="20"/>
          <w:szCs w:val="20"/>
          <w:u w:color="000000"/>
          <w:lang w:eastAsia="es-ES"/>
        </w:rPr>
        <w:t>HOMOLOGATION</w:t>
      </w:r>
    </w:p>
    <w:p w14:paraId="42F373BE" w14:textId="77777777" w:rsidR="00743B00" w:rsidRPr="009F2B09" w:rsidRDefault="00743B00"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p>
    <w:p w14:paraId="14723F93" w14:textId="6A63FB3F" w:rsidR="00F0200D" w:rsidRPr="009F2B09" w:rsidRDefault="00F0200D" w:rsidP="009F2B09">
      <w:pPr>
        <w:tabs>
          <w:tab w:val="left" w:pos="360"/>
          <w:tab w:val="left" w:pos="810"/>
        </w:tabs>
        <w:ind w:left="720" w:right="720"/>
        <w:jc w:val="both"/>
        <w:rPr>
          <w:rFonts w:asciiTheme="majorHAnsi" w:eastAsia="Cambria" w:hAnsiTheme="majorHAnsi" w:cs="Calibri"/>
          <w:color w:val="000000"/>
          <w:sz w:val="20"/>
          <w:szCs w:val="20"/>
          <w:u w:color="000000"/>
          <w:lang w:eastAsia="es-ES"/>
        </w:rPr>
      </w:pPr>
      <w:r w:rsidRPr="009F2B09">
        <w:rPr>
          <w:rFonts w:asciiTheme="majorHAnsi" w:eastAsia="Cambria" w:hAnsiTheme="majorHAnsi" w:cs="Calibri"/>
          <w:color w:val="000000"/>
          <w:sz w:val="20"/>
          <w:szCs w:val="20"/>
          <w:u w:color="000000"/>
          <w:lang w:eastAsia="es-ES"/>
        </w:rPr>
        <w:t>The State and the petitioners shall notify the Inter-American Commission, immediately after the conclusion of this Agreement, of the end of the dispute, requesting to prepare and publish the respective friendly settlement report, as provided in Article 49 of the American Convention and 40.5 of the Rules of Procedure of the IACHR; and that, in addition, take</w:t>
      </w:r>
      <w:r w:rsidR="00ED61B2">
        <w:rPr>
          <w:rFonts w:asciiTheme="majorHAnsi" w:eastAsia="Cambria" w:hAnsiTheme="majorHAnsi" w:cs="Calibri"/>
          <w:color w:val="000000"/>
          <w:sz w:val="20"/>
          <w:szCs w:val="20"/>
          <w:u w:color="000000"/>
          <w:lang w:eastAsia="es-ES"/>
        </w:rPr>
        <w:t>s</w:t>
      </w:r>
      <w:r w:rsidRPr="009F2B09">
        <w:rPr>
          <w:rFonts w:asciiTheme="majorHAnsi" w:eastAsia="Cambria" w:hAnsiTheme="majorHAnsi" w:cs="Calibri"/>
          <w:color w:val="000000"/>
          <w:sz w:val="20"/>
          <w:szCs w:val="20"/>
          <w:u w:color="000000"/>
          <w:lang w:eastAsia="es-ES"/>
        </w:rPr>
        <w:t xml:space="preserve"> the </w:t>
      </w:r>
      <w:r w:rsidR="00DC4947" w:rsidRPr="009F2B09">
        <w:rPr>
          <w:rFonts w:asciiTheme="majorHAnsi" w:eastAsia="Cambria" w:hAnsiTheme="majorHAnsi" w:cs="Calibri"/>
          <w:color w:val="000000"/>
          <w:sz w:val="20"/>
          <w:szCs w:val="20"/>
          <w:u w:color="000000"/>
          <w:lang w:eastAsia="es-ES"/>
        </w:rPr>
        <w:t>monitoring</w:t>
      </w:r>
      <w:r w:rsidRPr="009F2B09">
        <w:rPr>
          <w:rFonts w:asciiTheme="majorHAnsi" w:eastAsia="Cambria" w:hAnsiTheme="majorHAnsi" w:cs="Calibri"/>
          <w:color w:val="000000"/>
          <w:sz w:val="20"/>
          <w:szCs w:val="20"/>
          <w:u w:color="000000"/>
          <w:lang w:eastAsia="es-ES"/>
        </w:rPr>
        <w:t xml:space="preserve"> measures it deems appropriate, in accordance with Article 48 of the Rules of Procedure of the IACHR.</w:t>
      </w:r>
    </w:p>
    <w:p w14:paraId="22205C04" w14:textId="77777777" w:rsidR="00696428" w:rsidRPr="009F2B09" w:rsidRDefault="00696428" w:rsidP="009F2B09">
      <w:pPr>
        <w:tabs>
          <w:tab w:val="left" w:pos="360"/>
        </w:tabs>
        <w:ind w:left="720" w:right="720"/>
        <w:jc w:val="both"/>
        <w:rPr>
          <w:rFonts w:asciiTheme="majorHAnsi" w:hAnsiTheme="majorHAnsi" w:cs="Calibri"/>
          <w:sz w:val="20"/>
          <w:szCs w:val="20"/>
          <w:highlight w:val="darkGray"/>
        </w:rPr>
      </w:pPr>
    </w:p>
    <w:p w14:paraId="4E76C272" w14:textId="7BE1B3B8" w:rsidR="00696428" w:rsidRPr="009F2B09" w:rsidRDefault="00B74C01" w:rsidP="00ED61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rPr>
      </w:pPr>
      <w:r w:rsidRPr="009F2B09">
        <w:rPr>
          <w:rFonts w:asciiTheme="majorHAnsi" w:hAnsiTheme="majorHAnsi"/>
          <w:b/>
          <w:sz w:val="20"/>
          <w:szCs w:val="20"/>
        </w:rPr>
        <w:t>DETERMINATION OF COMPATIBILITY AND COMPLIANCE.</w:t>
      </w:r>
    </w:p>
    <w:p w14:paraId="3D0E63B5" w14:textId="77777777" w:rsidR="00696428" w:rsidRPr="009F2B09" w:rsidRDefault="00696428" w:rsidP="00ED61B2">
      <w:pPr>
        <w:pStyle w:val="ListParagraph"/>
        <w:ind w:left="0" w:firstLine="720"/>
        <w:rPr>
          <w:rFonts w:asciiTheme="majorHAnsi" w:hAnsiTheme="majorHAnsi"/>
          <w:b/>
          <w:sz w:val="20"/>
          <w:szCs w:val="20"/>
        </w:rPr>
      </w:pPr>
    </w:p>
    <w:p w14:paraId="086B05C2" w14:textId="6E83267D" w:rsidR="004A721F" w:rsidRPr="009F2B09" w:rsidRDefault="004A721F" w:rsidP="00ED61B2">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rPr>
      </w:pPr>
      <w:r w:rsidRPr="009F2B09">
        <w:rPr>
          <w:rFonts w:asciiTheme="majorHAnsi" w:hAnsiTheme="majorHAnsi" w:cs="Calibri"/>
          <w:sz w:val="20"/>
          <w:szCs w:val="20"/>
        </w:rPr>
        <w:t xml:space="preserve">The IACHR reiterates that according to Articles 48.1.f and 49 of the American Convention, this procedure is intended to "reach a friendly settlement of the matter based on respect for the human rights recognized in the Convention." The acceptance of carrying out this process expresses the good faith of the State to comply with the purposes and objectives of the Convention by virtue of the </w:t>
      </w:r>
      <w:r w:rsidRPr="009F2B09">
        <w:rPr>
          <w:rFonts w:asciiTheme="majorHAnsi" w:hAnsiTheme="majorHAnsi" w:cs="Calibri"/>
          <w:i/>
          <w:iCs/>
          <w:sz w:val="20"/>
          <w:szCs w:val="20"/>
        </w:rPr>
        <w:t>Pacta Sunt Servanda</w:t>
      </w:r>
      <w:r w:rsidRPr="009F2B09">
        <w:rPr>
          <w:rFonts w:asciiTheme="majorHAnsi" w:hAnsiTheme="majorHAnsi" w:cs="Calibri"/>
          <w:sz w:val="20"/>
          <w:szCs w:val="20"/>
        </w:rPr>
        <w:t xml:space="preserve"> principle, </w:t>
      </w:r>
      <w:r w:rsidRPr="009F2B09">
        <w:rPr>
          <w:rFonts w:asciiTheme="majorHAnsi" w:hAnsiTheme="majorHAnsi" w:cs="Calibri"/>
          <w:sz w:val="20"/>
          <w:szCs w:val="20"/>
        </w:rPr>
        <w:lastRenderedPageBreak/>
        <w:t>whereby States must comply in good faith with the obligations assumed in the treaties</w:t>
      </w:r>
      <w:r w:rsidRPr="009F2B09">
        <w:rPr>
          <w:rStyle w:val="FootnoteReference"/>
          <w:rFonts w:asciiTheme="majorHAnsi" w:hAnsiTheme="majorHAnsi" w:cs="Calibri"/>
          <w:sz w:val="20"/>
          <w:szCs w:val="20"/>
          <w:lang w:val="es-ES_tradnl"/>
        </w:rPr>
        <w:footnoteReference w:id="5"/>
      </w:r>
      <w:r w:rsidRPr="009F2B09">
        <w:rPr>
          <w:rFonts w:asciiTheme="majorHAnsi" w:hAnsiTheme="majorHAnsi" w:cs="Calibri"/>
          <w:sz w:val="20"/>
          <w:szCs w:val="20"/>
        </w:rPr>
        <w:t xml:space="preserve">. The IACHR also wishes to reiterate that the friendly settlement procedure contemplated in the Convention allows the closure of individual cases in a non-contentious manner, and has demonstrated, in cases related to various countries, to offer an important solution </w:t>
      </w:r>
      <w:r w:rsidR="00DC4947" w:rsidRPr="009F2B09">
        <w:rPr>
          <w:rFonts w:asciiTheme="majorHAnsi" w:hAnsiTheme="majorHAnsi" w:cs="Calibri"/>
          <w:sz w:val="20"/>
          <w:szCs w:val="20"/>
        </w:rPr>
        <w:t>method</w:t>
      </w:r>
      <w:r w:rsidRPr="009F2B09">
        <w:rPr>
          <w:rFonts w:asciiTheme="majorHAnsi" w:hAnsiTheme="majorHAnsi" w:cs="Calibri"/>
          <w:sz w:val="20"/>
          <w:szCs w:val="20"/>
        </w:rPr>
        <w:t>, which can be used by both parties.</w:t>
      </w:r>
    </w:p>
    <w:p w14:paraId="2C915058" w14:textId="77777777" w:rsidR="00F12E66" w:rsidRPr="009F2B09" w:rsidRDefault="00F12E66" w:rsidP="00ED61B2">
      <w:pPr>
        <w:ind w:firstLine="720"/>
        <w:rPr>
          <w:rFonts w:asciiTheme="majorHAnsi" w:hAnsiTheme="majorHAnsi" w:cs="Calibri"/>
          <w:sz w:val="20"/>
          <w:szCs w:val="20"/>
        </w:rPr>
      </w:pPr>
    </w:p>
    <w:p w14:paraId="25AE50BB" w14:textId="5F202B9A" w:rsidR="00F12E66" w:rsidRPr="009F2B09" w:rsidRDefault="00F12E66" w:rsidP="00ED61B2">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rPr>
      </w:pPr>
      <w:r w:rsidRPr="009F2B09">
        <w:rPr>
          <w:rFonts w:asciiTheme="majorHAnsi" w:hAnsiTheme="majorHAnsi" w:cs="Calibri"/>
          <w:sz w:val="20"/>
          <w:szCs w:val="20"/>
        </w:rPr>
        <w:t>The Inter-American Commission has closely monitored the development of the friendly settlement achieved in this case and highly values the efforts made by both parties during the negotiation of the agreement to reach this friendly settlement that is compatible with the object and purpose of the Convention.</w:t>
      </w:r>
    </w:p>
    <w:p w14:paraId="4001A36A" w14:textId="77777777" w:rsidR="00F03ECC" w:rsidRPr="009F2B09" w:rsidRDefault="00F03ECC" w:rsidP="00ED61B2">
      <w:pPr>
        <w:ind w:firstLine="720"/>
        <w:rPr>
          <w:rFonts w:asciiTheme="majorHAnsi" w:hAnsiTheme="majorHAnsi" w:cs="Calibri"/>
          <w:sz w:val="20"/>
          <w:szCs w:val="20"/>
        </w:rPr>
      </w:pPr>
    </w:p>
    <w:p w14:paraId="2C32B9CC" w14:textId="20658B7A" w:rsidR="00696428" w:rsidRPr="009F2B09" w:rsidRDefault="00F03ECC" w:rsidP="00ED61B2">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rPr>
      </w:pPr>
      <w:r w:rsidRPr="009F2B09">
        <w:rPr>
          <w:rFonts w:asciiTheme="majorHAnsi" w:hAnsiTheme="majorHAnsi" w:cs="Calibri"/>
          <w:sz w:val="20"/>
          <w:szCs w:val="20"/>
        </w:rPr>
        <w:t xml:space="preserve">The IACHR observes that, in accordance with the provisions of </w:t>
      </w:r>
      <w:r w:rsidR="00222935" w:rsidRPr="009F2B09">
        <w:rPr>
          <w:rFonts w:asciiTheme="majorHAnsi" w:hAnsiTheme="majorHAnsi" w:cs="Calibri"/>
          <w:sz w:val="20"/>
          <w:szCs w:val="20"/>
        </w:rPr>
        <w:t xml:space="preserve">the fifth </w:t>
      </w:r>
      <w:r w:rsidRPr="009F2B09">
        <w:rPr>
          <w:rFonts w:asciiTheme="majorHAnsi" w:hAnsiTheme="majorHAnsi" w:cs="Calibri"/>
          <w:sz w:val="20"/>
          <w:szCs w:val="20"/>
        </w:rPr>
        <w:t>clause of the friendly settlement agreement, the parties agreed to request the Commission to issue the report contemplated in Article 49 of the American Convention, once the friendly settlement agreement was signed. Therefore, it is appropriate to assess the content of the friendly settlement agreement.</w:t>
      </w:r>
    </w:p>
    <w:p w14:paraId="6234975F" w14:textId="77777777" w:rsidR="003007D4" w:rsidRPr="009F2B09" w:rsidRDefault="003007D4" w:rsidP="00ED61B2">
      <w:pPr>
        <w:ind w:firstLine="720"/>
        <w:rPr>
          <w:rFonts w:asciiTheme="majorHAnsi" w:hAnsiTheme="majorHAnsi" w:cs="Calibri"/>
          <w:sz w:val="20"/>
          <w:szCs w:val="20"/>
        </w:rPr>
      </w:pPr>
    </w:p>
    <w:p w14:paraId="11EF6687" w14:textId="341DE7C0" w:rsidR="006A13CD" w:rsidRPr="009F2B09" w:rsidRDefault="006A13CD" w:rsidP="00ED61B2">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rPr>
      </w:pPr>
      <w:r w:rsidRPr="009F2B09">
        <w:rPr>
          <w:rFonts w:asciiTheme="majorHAnsi" w:hAnsiTheme="majorHAnsi" w:cs="Calibri"/>
          <w:sz w:val="20"/>
          <w:szCs w:val="20"/>
        </w:rPr>
        <w:t xml:space="preserve">In relation to </w:t>
      </w:r>
      <w:r w:rsidR="003D6520" w:rsidRPr="009F2B09">
        <w:rPr>
          <w:rFonts w:asciiTheme="majorHAnsi" w:hAnsiTheme="majorHAnsi"/>
          <w:sz w:val="20"/>
          <w:szCs w:val="20"/>
        </w:rPr>
        <w:t xml:space="preserve">subparagraph b of the third clause </w:t>
      </w:r>
      <w:r w:rsidRPr="009F2B09">
        <w:rPr>
          <w:rFonts w:asciiTheme="majorHAnsi" w:hAnsiTheme="majorHAnsi" w:cs="Calibri"/>
          <w:sz w:val="20"/>
          <w:szCs w:val="20"/>
        </w:rPr>
        <w:t xml:space="preserve">of the agreement (on economic reparation), the Commission observes that the State has a </w:t>
      </w:r>
      <w:r w:rsidR="001D5947" w:rsidRPr="009F2B09">
        <w:rPr>
          <w:rFonts w:asciiTheme="majorHAnsi" w:hAnsiTheme="majorHAnsi" w:cs="Calibri"/>
          <w:sz w:val="20"/>
          <w:szCs w:val="20"/>
        </w:rPr>
        <w:t>time frame</w:t>
      </w:r>
      <w:r w:rsidRPr="009F2B09">
        <w:rPr>
          <w:rFonts w:asciiTheme="majorHAnsi" w:hAnsiTheme="majorHAnsi" w:cs="Calibri"/>
          <w:sz w:val="20"/>
          <w:szCs w:val="20"/>
        </w:rPr>
        <w:t xml:space="preserve"> of six months </w:t>
      </w:r>
      <w:r w:rsidR="001D5947" w:rsidRPr="009F2B09">
        <w:rPr>
          <w:rFonts w:asciiTheme="majorHAnsi" w:hAnsiTheme="majorHAnsi" w:cs="Calibri"/>
          <w:sz w:val="20"/>
          <w:szCs w:val="20"/>
        </w:rPr>
        <w:t>since</w:t>
      </w:r>
      <w:r w:rsidRPr="009F2B09">
        <w:rPr>
          <w:rFonts w:asciiTheme="majorHAnsi" w:hAnsiTheme="majorHAnsi" w:cs="Calibri"/>
          <w:sz w:val="20"/>
          <w:szCs w:val="20"/>
        </w:rPr>
        <w:t xml:space="preserve"> the signing of the </w:t>
      </w:r>
      <w:r w:rsidR="003007D4" w:rsidRPr="009F2B09">
        <w:rPr>
          <w:rFonts w:asciiTheme="majorHAnsi" w:hAnsiTheme="majorHAnsi" w:cs="Calibri"/>
          <w:sz w:val="20"/>
          <w:szCs w:val="20"/>
        </w:rPr>
        <w:t>F</w:t>
      </w:r>
      <w:r w:rsidRPr="009F2B09">
        <w:rPr>
          <w:rFonts w:asciiTheme="majorHAnsi" w:hAnsiTheme="majorHAnsi" w:cs="Calibri"/>
          <w:sz w:val="20"/>
          <w:szCs w:val="20"/>
        </w:rPr>
        <w:t xml:space="preserve">SA to comply with the measure of economic reparation, for which considers that the </w:t>
      </w:r>
      <w:r w:rsidR="001D5947" w:rsidRPr="009F2B09">
        <w:rPr>
          <w:rFonts w:asciiTheme="majorHAnsi" w:hAnsiTheme="majorHAnsi" w:cs="Calibri"/>
          <w:sz w:val="20"/>
          <w:szCs w:val="20"/>
        </w:rPr>
        <w:t xml:space="preserve">compliance of this </w:t>
      </w:r>
      <w:r w:rsidRPr="009F2B09">
        <w:rPr>
          <w:rFonts w:asciiTheme="majorHAnsi" w:hAnsiTheme="majorHAnsi" w:cs="Calibri"/>
          <w:sz w:val="20"/>
          <w:szCs w:val="20"/>
        </w:rPr>
        <w:t>measure is pending and</w:t>
      </w:r>
      <w:r w:rsidR="003007D4" w:rsidRPr="009F2B09">
        <w:rPr>
          <w:rFonts w:asciiTheme="majorHAnsi" w:hAnsiTheme="majorHAnsi" w:cs="Calibri"/>
          <w:sz w:val="20"/>
          <w:szCs w:val="20"/>
        </w:rPr>
        <w:t xml:space="preserve"> so</w:t>
      </w:r>
      <w:r w:rsidR="001D5947" w:rsidRPr="009F2B09">
        <w:rPr>
          <w:rFonts w:asciiTheme="majorHAnsi" w:hAnsiTheme="majorHAnsi" w:cs="Calibri"/>
          <w:sz w:val="20"/>
          <w:szCs w:val="20"/>
        </w:rPr>
        <w:t xml:space="preserve"> declares it. The Commission awaits</w:t>
      </w:r>
      <w:r w:rsidRPr="009F2B09">
        <w:rPr>
          <w:rFonts w:asciiTheme="majorHAnsi" w:hAnsiTheme="majorHAnsi" w:cs="Calibri"/>
          <w:sz w:val="20"/>
          <w:szCs w:val="20"/>
        </w:rPr>
        <w:t xml:space="preserve"> updated information from the parties regarding its execution after the publication of this report.</w:t>
      </w:r>
    </w:p>
    <w:p w14:paraId="51ACF07B" w14:textId="77777777" w:rsidR="00563BAE" w:rsidRPr="009F2B09" w:rsidRDefault="00563BAE" w:rsidP="00ED61B2">
      <w:pPr>
        <w:ind w:firstLine="720"/>
        <w:rPr>
          <w:rFonts w:asciiTheme="majorHAnsi" w:hAnsiTheme="majorHAnsi" w:cs="Calibri"/>
          <w:sz w:val="20"/>
          <w:szCs w:val="20"/>
        </w:rPr>
      </w:pPr>
    </w:p>
    <w:p w14:paraId="7CC2E877" w14:textId="24413FAA" w:rsidR="003007D4" w:rsidRPr="009F2B09" w:rsidRDefault="001D5947" w:rsidP="00ED61B2">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rPr>
      </w:pPr>
      <w:r w:rsidRPr="009F2B09">
        <w:rPr>
          <w:rFonts w:asciiTheme="majorHAnsi" w:hAnsiTheme="majorHAnsi" w:cs="Calibri"/>
          <w:sz w:val="20"/>
          <w:szCs w:val="20"/>
        </w:rPr>
        <w:t>Furthermore</w:t>
      </w:r>
      <w:r w:rsidR="003007D4" w:rsidRPr="009F2B09">
        <w:rPr>
          <w:rFonts w:asciiTheme="majorHAnsi" w:hAnsiTheme="majorHAnsi" w:cs="Calibri"/>
          <w:sz w:val="20"/>
          <w:szCs w:val="20"/>
        </w:rPr>
        <w:t xml:space="preserve">, the Commission considers that the </w:t>
      </w:r>
      <w:r w:rsidR="00BA2B75" w:rsidRPr="009F2B09">
        <w:rPr>
          <w:rFonts w:asciiTheme="majorHAnsi" w:hAnsiTheme="majorHAnsi" w:cs="Calibri"/>
          <w:sz w:val="20"/>
          <w:szCs w:val="20"/>
        </w:rPr>
        <w:t>remaining</w:t>
      </w:r>
      <w:r w:rsidR="003007D4" w:rsidRPr="009F2B09">
        <w:rPr>
          <w:rFonts w:asciiTheme="majorHAnsi" w:hAnsiTheme="majorHAnsi" w:cs="Calibri"/>
          <w:sz w:val="20"/>
          <w:szCs w:val="20"/>
        </w:rPr>
        <w:t xml:space="preserve"> content of the agreement is declarative in nature, so it would not be </w:t>
      </w:r>
      <w:r w:rsidR="0091256E">
        <w:rPr>
          <w:rFonts w:asciiTheme="majorHAnsi" w:hAnsiTheme="majorHAnsi" w:cs="Calibri"/>
          <w:sz w:val="20"/>
          <w:szCs w:val="20"/>
        </w:rPr>
        <w:t>up to</w:t>
      </w:r>
      <w:r w:rsidR="003007D4" w:rsidRPr="009F2B09">
        <w:rPr>
          <w:rFonts w:asciiTheme="majorHAnsi" w:hAnsiTheme="majorHAnsi" w:cs="Calibri"/>
          <w:sz w:val="20"/>
          <w:szCs w:val="20"/>
        </w:rPr>
        <w:t xml:space="preserve"> the IACHR to monitor its compliance.</w:t>
      </w:r>
    </w:p>
    <w:p w14:paraId="09375BF0" w14:textId="77777777" w:rsidR="004A721F" w:rsidRPr="009F2B09" w:rsidRDefault="004A721F" w:rsidP="00ED61B2">
      <w:pPr>
        <w:ind w:firstLine="720"/>
        <w:rPr>
          <w:rFonts w:asciiTheme="majorHAnsi" w:hAnsiTheme="majorHAnsi" w:cs="Calibri"/>
          <w:sz w:val="20"/>
          <w:szCs w:val="20"/>
        </w:rPr>
      </w:pPr>
    </w:p>
    <w:p w14:paraId="12E65316" w14:textId="15D7B616" w:rsidR="009F025D" w:rsidRPr="009F2B09" w:rsidRDefault="00BA2B75" w:rsidP="00ED61B2">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rPr>
      </w:pPr>
      <w:r w:rsidRPr="009F2B09">
        <w:rPr>
          <w:rFonts w:asciiTheme="majorHAnsi" w:hAnsiTheme="majorHAnsi" w:cs="Calibri"/>
          <w:sz w:val="20"/>
          <w:szCs w:val="20"/>
        </w:rPr>
        <w:t>Therefore</w:t>
      </w:r>
      <w:r w:rsidR="009F025D" w:rsidRPr="009F2B09">
        <w:rPr>
          <w:rFonts w:asciiTheme="majorHAnsi" w:hAnsiTheme="majorHAnsi" w:cs="Calibri"/>
          <w:sz w:val="20"/>
          <w:szCs w:val="20"/>
        </w:rPr>
        <w:t>, the Commission declares that the friendly settlement agreement has a partial level of execution, so it will continue to monitor the implementation of the pending parts of the friendly settlement agreement until its full compliance.</w:t>
      </w:r>
    </w:p>
    <w:p w14:paraId="113A5415" w14:textId="3EEC9142" w:rsidR="00696428" w:rsidRPr="00C05757" w:rsidRDefault="00696428" w:rsidP="00ED61B2">
      <w:pPr>
        <w:tabs>
          <w:tab w:val="left" w:pos="0"/>
          <w:tab w:val="left" w:pos="180"/>
        </w:tabs>
        <w:ind w:firstLine="720"/>
        <w:jc w:val="both"/>
        <w:rPr>
          <w:rFonts w:asciiTheme="majorHAnsi" w:hAnsiTheme="majorHAnsi" w:cs="Calibri"/>
          <w:sz w:val="20"/>
          <w:szCs w:val="20"/>
          <w:highlight w:val="darkGray"/>
        </w:rPr>
      </w:pPr>
    </w:p>
    <w:p w14:paraId="05B86679" w14:textId="7A929BBB" w:rsidR="00696428" w:rsidRPr="00C05757" w:rsidRDefault="00696428" w:rsidP="00ED61B2">
      <w:pPr>
        <w:pStyle w:val="ListParagraph"/>
        <w:numPr>
          <w:ilvl w:val="0"/>
          <w:numId w:val="56"/>
        </w:numPr>
        <w:tabs>
          <w:tab w:val="left" w:pos="720"/>
        </w:tabs>
        <w:ind w:left="0" w:firstLine="720"/>
        <w:jc w:val="both"/>
        <w:rPr>
          <w:rFonts w:asciiTheme="majorHAnsi" w:hAnsiTheme="majorHAnsi" w:cs="Calibri"/>
          <w:b/>
          <w:sz w:val="20"/>
          <w:szCs w:val="20"/>
          <w:lang w:val="es-ES_tradnl"/>
        </w:rPr>
      </w:pPr>
      <w:r w:rsidRPr="00C05757">
        <w:rPr>
          <w:rFonts w:asciiTheme="majorHAnsi" w:hAnsiTheme="majorHAnsi" w:cs="Calibri"/>
          <w:b/>
          <w:sz w:val="20"/>
          <w:szCs w:val="20"/>
          <w:lang w:val="es-ES_tradnl"/>
        </w:rPr>
        <w:t xml:space="preserve">CONCLUSIONS </w:t>
      </w:r>
    </w:p>
    <w:p w14:paraId="0E3FF651" w14:textId="77777777" w:rsidR="00696428" w:rsidRPr="00C05757" w:rsidRDefault="00696428" w:rsidP="00ED61B2">
      <w:pPr>
        <w:pStyle w:val="ListParagraph"/>
        <w:tabs>
          <w:tab w:val="left" w:pos="720"/>
        </w:tabs>
        <w:ind w:left="0" w:firstLine="720"/>
        <w:jc w:val="both"/>
        <w:rPr>
          <w:rFonts w:asciiTheme="majorHAnsi" w:hAnsiTheme="majorHAnsi" w:cs="Calibri"/>
          <w:b/>
          <w:sz w:val="20"/>
          <w:szCs w:val="20"/>
          <w:lang w:val="es-ES_tradnl"/>
        </w:rPr>
      </w:pPr>
    </w:p>
    <w:p w14:paraId="46D94A68" w14:textId="434FA268" w:rsidR="00696428" w:rsidRPr="00C05757" w:rsidRDefault="00696428" w:rsidP="00ED61B2">
      <w:pPr>
        <w:tabs>
          <w:tab w:val="left" w:pos="720"/>
          <w:tab w:val="left" w:pos="1440"/>
        </w:tabs>
        <w:ind w:firstLine="720"/>
        <w:jc w:val="both"/>
        <w:rPr>
          <w:rFonts w:asciiTheme="majorHAnsi" w:hAnsiTheme="majorHAnsi" w:cs="Calibri"/>
          <w:b/>
          <w:sz w:val="20"/>
          <w:szCs w:val="20"/>
        </w:rPr>
      </w:pPr>
      <w:r w:rsidRPr="00C05757">
        <w:rPr>
          <w:rFonts w:asciiTheme="majorHAnsi" w:hAnsiTheme="majorHAnsi"/>
          <w:sz w:val="20"/>
          <w:szCs w:val="20"/>
        </w:rPr>
        <w:t xml:space="preserve">1. </w:t>
      </w:r>
      <w:r w:rsidRPr="00C05757">
        <w:rPr>
          <w:rFonts w:asciiTheme="majorHAnsi" w:hAnsiTheme="majorHAnsi"/>
          <w:sz w:val="20"/>
          <w:szCs w:val="20"/>
        </w:rPr>
        <w:tab/>
      </w:r>
      <w:r w:rsidR="004F369A" w:rsidRPr="00C05757">
        <w:rPr>
          <w:rFonts w:asciiTheme="majorHAnsi" w:hAnsiTheme="majorHAnsi"/>
          <w:sz w:val="20"/>
          <w:szCs w:val="20"/>
        </w:rPr>
        <w:t>Based on the foregoing considerations and by virtue of the procedure provided for in Articles 48.1.f and 49 of the American Convention, the Commission wishes to reiterate its deep appreciation for the efforts made by the parties and its satisfaction for the achievement of a friendly settlement in the present case, based on respect for human rights, and compatible with the object and purpose of the American Convention.</w:t>
      </w:r>
    </w:p>
    <w:p w14:paraId="19084E7A" w14:textId="77777777" w:rsidR="00696428" w:rsidRPr="00C05757" w:rsidRDefault="00696428" w:rsidP="00ED61B2">
      <w:pPr>
        <w:tabs>
          <w:tab w:val="left" w:pos="720"/>
        </w:tabs>
        <w:ind w:firstLine="720"/>
        <w:jc w:val="both"/>
        <w:rPr>
          <w:rFonts w:asciiTheme="majorHAnsi" w:hAnsiTheme="majorHAnsi" w:cs="Calibri"/>
          <w:b/>
          <w:sz w:val="20"/>
          <w:szCs w:val="20"/>
        </w:rPr>
      </w:pPr>
    </w:p>
    <w:p w14:paraId="6EB757DD" w14:textId="2D397363" w:rsidR="00696428" w:rsidRPr="00C05757" w:rsidRDefault="00696428" w:rsidP="00ED61B2">
      <w:pPr>
        <w:tabs>
          <w:tab w:val="left" w:pos="720"/>
          <w:tab w:val="left" w:pos="1440"/>
        </w:tabs>
        <w:ind w:firstLine="720"/>
        <w:jc w:val="both"/>
        <w:rPr>
          <w:rFonts w:asciiTheme="majorHAnsi" w:hAnsiTheme="majorHAnsi" w:cs="Calibri"/>
          <w:b/>
          <w:sz w:val="20"/>
          <w:szCs w:val="20"/>
        </w:rPr>
      </w:pPr>
      <w:r w:rsidRPr="00C05757">
        <w:rPr>
          <w:rFonts w:asciiTheme="majorHAnsi" w:hAnsiTheme="majorHAnsi"/>
          <w:sz w:val="20"/>
          <w:szCs w:val="20"/>
        </w:rPr>
        <w:t xml:space="preserve">2. </w:t>
      </w:r>
      <w:r w:rsidRPr="00C05757">
        <w:rPr>
          <w:rFonts w:asciiTheme="majorHAnsi" w:hAnsiTheme="majorHAnsi"/>
          <w:sz w:val="20"/>
          <w:szCs w:val="20"/>
        </w:rPr>
        <w:tab/>
      </w:r>
      <w:r w:rsidR="00ED61B2">
        <w:rPr>
          <w:rFonts w:asciiTheme="majorHAnsi" w:hAnsiTheme="majorHAnsi"/>
          <w:sz w:val="20"/>
          <w:szCs w:val="20"/>
        </w:rPr>
        <w:t xml:space="preserve">In accordance with </w:t>
      </w:r>
      <w:r w:rsidR="004F369A" w:rsidRPr="00C05757">
        <w:rPr>
          <w:rFonts w:asciiTheme="majorHAnsi" w:hAnsiTheme="majorHAnsi"/>
          <w:sz w:val="20"/>
          <w:szCs w:val="20"/>
        </w:rPr>
        <w:t>the considerations and conclusions set forth in this report,</w:t>
      </w:r>
    </w:p>
    <w:p w14:paraId="0AB2A64F" w14:textId="77777777" w:rsidR="00696428" w:rsidRPr="00C05757" w:rsidRDefault="00696428" w:rsidP="00ED61B2">
      <w:pPr>
        <w:tabs>
          <w:tab w:val="left" w:pos="720"/>
        </w:tabs>
        <w:ind w:firstLine="720"/>
        <w:jc w:val="both"/>
        <w:rPr>
          <w:rFonts w:asciiTheme="majorHAnsi" w:hAnsiTheme="majorHAnsi" w:cs="Calibri"/>
          <w:b/>
          <w:sz w:val="20"/>
          <w:szCs w:val="20"/>
        </w:rPr>
      </w:pPr>
    </w:p>
    <w:p w14:paraId="3DF574E1" w14:textId="56A8D4B1" w:rsidR="00696428" w:rsidRPr="00C05757" w:rsidRDefault="004F369A" w:rsidP="00C05757">
      <w:pPr>
        <w:tabs>
          <w:tab w:val="left" w:pos="720"/>
          <w:tab w:val="left" w:pos="1440"/>
        </w:tabs>
        <w:ind w:firstLine="720"/>
        <w:jc w:val="center"/>
        <w:rPr>
          <w:rFonts w:asciiTheme="majorHAnsi" w:hAnsiTheme="majorHAnsi"/>
          <w:b/>
          <w:bCs/>
          <w:sz w:val="20"/>
          <w:szCs w:val="20"/>
        </w:rPr>
      </w:pPr>
      <w:r w:rsidRPr="00C05757">
        <w:rPr>
          <w:rFonts w:asciiTheme="majorHAnsi" w:hAnsiTheme="majorHAnsi"/>
          <w:b/>
          <w:bCs/>
          <w:sz w:val="20"/>
          <w:szCs w:val="20"/>
        </w:rPr>
        <w:t>THE INTER-AMERICAN COMMISSION ON HUMAN RIGHTS</w:t>
      </w:r>
    </w:p>
    <w:p w14:paraId="0C91B908" w14:textId="6E44A5B1" w:rsidR="00696428" w:rsidRPr="00C05757" w:rsidRDefault="00696428" w:rsidP="006C7096">
      <w:pPr>
        <w:jc w:val="both"/>
        <w:rPr>
          <w:rFonts w:asciiTheme="majorHAnsi" w:hAnsiTheme="majorHAnsi"/>
          <w:b/>
          <w:bCs/>
          <w:sz w:val="20"/>
          <w:szCs w:val="20"/>
        </w:rPr>
      </w:pPr>
      <w:r w:rsidRPr="00C05757">
        <w:rPr>
          <w:rFonts w:asciiTheme="majorHAnsi" w:hAnsiTheme="majorHAnsi"/>
          <w:b/>
          <w:bCs/>
          <w:sz w:val="20"/>
          <w:szCs w:val="20"/>
        </w:rPr>
        <w:t>DECIDE</w:t>
      </w:r>
      <w:r w:rsidR="004F369A" w:rsidRPr="00C05757">
        <w:rPr>
          <w:rFonts w:asciiTheme="majorHAnsi" w:hAnsiTheme="majorHAnsi"/>
          <w:b/>
          <w:bCs/>
          <w:sz w:val="20"/>
          <w:szCs w:val="20"/>
        </w:rPr>
        <w:t>S</w:t>
      </w:r>
      <w:r w:rsidRPr="00C05757">
        <w:rPr>
          <w:rFonts w:asciiTheme="majorHAnsi" w:hAnsiTheme="majorHAnsi"/>
          <w:b/>
          <w:bCs/>
          <w:sz w:val="20"/>
          <w:szCs w:val="20"/>
        </w:rPr>
        <w:t>:</w:t>
      </w:r>
    </w:p>
    <w:p w14:paraId="4D74117E" w14:textId="77777777" w:rsidR="00696428" w:rsidRPr="00C05757" w:rsidRDefault="00696428" w:rsidP="00C05757">
      <w:pPr>
        <w:ind w:firstLine="720"/>
        <w:jc w:val="both"/>
        <w:rPr>
          <w:rFonts w:asciiTheme="majorHAnsi" w:hAnsiTheme="majorHAnsi"/>
          <w:b/>
          <w:bCs/>
          <w:sz w:val="20"/>
          <w:szCs w:val="20"/>
          <w:highlight w:val="darkGray"/>
        </w:rPr>
      </w:pPr>
    </w:p>
    <w:p w14:paraId="78CFE157" w14:textId="4E4F201A" w:rsidR="00696428" w:rsidRPr="00C05757" w:rsidRDefault="00563BAE" w:rsidP="00C0575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C05757">
        <w:rPr>
          <w:rFonts w:asciiTheme="majorHAnsi" w:hAnsiTheme="majorHAnsi"/>
          <w:sz w:val="20"/>
          <w:szCs w:val="20"/>
        </w:rPr>
        <w:t>To approve the terms of the agreement signed by the parties on January 31, 2020.</w:t>
      </w:r>
    </w:p>
    <w:p w14:paraId="7E46933F" w14:textId="4499777B" w:rsidR="00C26D66" w:rsidRPr="00C05757" w:rsidRDefault="00C26D66" w:rsidP="00C0575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rPr>
      </w:pPr>
    </w:p>
    <w:p w14:paraId="681CCEE4" w14:textId="4B9A693C" w:rsidR="00696428" w:rsidRPr="00C05757" w:rsidRDefault="00563BAE" w:rsidP="00C0575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rPr>
      </w:pPr>
      <w:r w:rsidRPr="00C05757">
        <w:rPr>
          <w:rFonts w:asciiTheme="majorHAnsi" w:hAnsiTheme="majorHAnsi"/>
          <w:sz w:val="20"/>
          <w:szCs w:val="20"/>
        </w:rPr>
        <w:t xml:space="preserve">To declare </w:t>
      </w:r>
      <w:r w:rsidR="003D6520" w:rsidRPr="00C05757">
        <w:rPr>
          <w:rFonts w:asciiTheme="majorHAnsi" w:hAnsiTheme="majorHAnsi"/>
          <w:sz w:val="20"/>
          <w:szCs w:val="20"/>
        </w:rPr>
        <w:t xml:space="preserve">subparagraph b of the third clause </w:t>
      </w:r>
      <w:r w:rsidRPr="00C05757">
        <w:rPr>
          <w:rFonts w:asciiTheme="majorHAnsi" w:hAnsiTheme="majorHAnsi"/>
          <w:sz w:val="20"/>
          <w:szCs w:val="20"/>
        </w:rPr>
        <w:t>(on economic compensation) pending compliance, according to the analysis contained in this report.</w:t>
      </w:r>
    </w:p>
    <w:p w14:paraId="5DE5ED49" w14:textId="77777777" w:rsidR="003D6520" w:rsidRPr="00C05757" w:rsidRDefault="003D6520" w:rsidP="00C05757">
      <w:pPr>
        <w:rPr>
          <w:rFonts w:asciiTheme="majorHAnsi" w:hAnsiTheme="majorHAnsi"/>
          <w:sz w:val="20"/>
          <w:szCs w:val="20"/>
        </w:rPr>
      </w:pPr>
    </w:p>
    <w:p w14:paraId="3CD1F662" w14:textId="055E8F8E" w:rsidR="003D6520" w:rsidRPr="00C05757" w:rsidRDefault="003D6520" w:rsidP="00C0575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rPr>
      </w:pPr>
      <w:r w:rsidRPr="00C05757">
        <w:rPr>
          <w:rFonts w:asciiTheme="majorHAnsi" w:hAnsiTheme="majorHAnsi"/>
          <w:sz w:val="20"/>
          <w:szCs w:val="20"/>
        </w:rPr>
        <w:t>To continue with the supervision of the commitments assumed in subparagraph b of the third clause (on economic compensation)</w:t>
      </w:r>
      <w:r w:rsidR="00222935" w:rsidRPr="00C05757">
        <w:rPr>
          <w:rFonts w:asciiTheme="majorHAnsi" w:hAnsiTheme="majorHAnsi"/>
          <w:sz w:val="20"/>
          <w:szCs w:val="20"/>
        </w:rPr>
        <w:t xml:space="preserve"> </w:t>
      </w:r>
      <w:r w:rsidRPr="00C05757">
        <w:rPr>
          <w:rFonts w:asciiTheme="majorHAnsi" w:hAnsiTheme="majorHAnsi"/>
          <w:sz w:val="20"/>
          <w:szCs w:val="20"/>
        </w:rPr>
        <w:t xml:space="preserve">by the State of Chile. To that end, </w:t>
      </w:r>
      <w:r w:rsidR="00222935" w:rsidRPr="00C05757">
        <w:rPr>
          <w:rFonts w:asciiTheme="majorHAnsi" w:hAnsiTheme="majorHAnsi"/>
          <w:sz w:val="20"/>
          <w:szCs w:val="20"/>
        </w:rPr>
        <w:t xml:space="preserve">it </w:t>
      </w:r>
      <w:r w:rsidRPr="00C05757">
        <w:rPr>
          <w:rFonts w:asciiTheme="majorHAnsi" w:hAnsiTheme="majorHAnsi"/>
          <w:sz w:val="20"/>
          <w:szCs w:val="20"/>
        </w:rPr>
        <w:t>remind</w:t>
      </w:r>
      <w:r w:rsidR="00222935" w:rsidRPr="00C05757">
        <w:rPr>
          <w:rFonts w:asciiTheme="majorHAnsi" w:hAnsiTheme="majorHAnsi"/>
          <w:sz w:val="20"/>
          <w:szCs w:val="20"/>
        </w:rPr>
        <w:t>s</w:t>
      </w:r>
      <w:r w:rsidRPr="00C05757">
        <w:rPr>
          <w:rFonts w:asciiTheme="majorHAnsi" w:hAnsiTheme="majorHAnsi"/>
          <w:sz w:val="20"/>
          <w:szCs w:val="20"/>
        </w:rPr>
        <w:t xml:space="preserve"> the parties of their commitment to periodically inform the IACHR about compliance with said measures.</w:t>
      </w:r>
    </w:p>
    <w:p w14:paraId="05257555" w14:textId="77777777" w:rsidR="00696428" w:rsidRPr="00C05757" w:rsidRDefault="00696428" w:rsidP="00C05757">
      <w:pPr>
        <w:tabs>
          <w:tab w:val="left" w:pos="1440"/>
          <w:tab w:val="num" w:pos="3240"/>
        </w:tabs>
        <w:ind w:firstLine="720"/>
        <w:jc w:val="both"/>
        <w:rPr>
          <w:rFonts w:asciiTheme="majorHAnsi" w:hAnsiTheme="majorHAnsi"/>
          <w:sz w:val="20"/>
          <w:szCs w:val="20"/>
        </w:rPr>
      </w:pPr>
    </w:p>
    <w:p w14:paraId="0912E166" w14:textId="4D7B8191" w:rsidR="00696428" w:rsidRPr="00C05757" w:rsidRDefault="004F369A" w:rsidP="00C05757">
      <w:pPr>
        <w:pStyle w:val="ListParagraph"/>
        <w:numPr>
          <w:ilvl w:val="0"/>
          <w:numId w:val="57"/>
        </w:numPr>
        <w:rPr>
          <w:rFonts w:asciiTheme="majorHAnsi" w:eastAsia="Arial Unicode MS" w:hAnsiTheme="majorHAnsi" w:cs="Times New Roman"/>
          <w:color w:val="auto"/>
          <w:sz w:val="20"/>
          <w:szCs w:val="20"/>
          <w:lang w:eastAsia="en-US"/>
        </w:rPr>
      </w:pPr>
      <w:r w:rsidRPr="00C05757">
        <w:rPr>
          <w:rFonts w:asciiTheme="majorHAnsi" w:eastAsia="Arial Unicode MS" w:hAnsiTheme="majorHAnsi" w:cs="Times New Roman"/>
          <w:color w:val="auto"/>
          <w:sz w:val="20"/>
          <w:szCs w:val="20"/>
          <w:lang w:eastAsia="en-US"/>
        </w:rPr>
        <w:t>To make this report public and include it in its Annual Report to the OAS General Assembly.</w:t>
      </w:r>
    </w:p>
    <w:p w14:paraId="68304388" w14:textId="19B6E5CA" w:rsidR="00F77E38" w:rsidRPr="00F77E38" w:rsidRDefault="004F369A" w:rsidP="00F77E38">
      <w:pPr>
        <w:suppressAutoHyphens/>
        <w:ind w:firstLine="720"/>
        <w:jc w:val="both"/>
        <w:rPr>
          <w:rFonts w:ascii="Cambria" w:hAnsi="Cambria"/>
          <w:sz w:val="20"/>
          <w:szCs w:val="20"/>
        </w:rPr>
      </w:pPr>
      <w:r w:rsidRPr="00C05757">
        <w:rPr>
          <w:rFonts w:asciiTheme="majorHAnsi" w:hAnsiTheme="majorHAnsi"/>
          <w:sz w:val="20"/>
          <w:szCs w:val="20"/>
        </w:rPr>
        <w:lastRenderedPageBreak/>
        <w:t xml:space="preserve">Approved by the Inter-American Commission on Human Rights on the </w:t>
      </w:r>
      <w:r w:rsidR="00E3215A">
        <w:rPr>
          <w:rFonts w:asciiTheme="majorHAnsi" w:hAnsiTheme="majorHAnsi"/>
          <w:sz w:val="20"/>
          <w:szCs w:val="20"/>
        </w:rPr>
        <w:t>13</w:t>
      </w:r>
      <w:r w:rsidRPr="00C05757">
        <w:rPr>
          <w:rFonts w:asciiTheme="majorHAnsi" w:hAnsiTheme="majorHAnsi"/>
          <w:sz w:val="20"/>
          <w:szCs w:val="20"/>
        </w:rPr>
        <w:t xml:space="preserve">day of the month of </w:t>
      </w:r>
      <w:r w:rsidR="00E3215A">
        <w:rPr>
          <w:rFonts w:asciiTheme="majorHAnsi" w:hAnsiTheme="majorHAnsi"/>
          <w:sz w:val="20"/>
          <w:szCs w:val="20"/>
        </w:rPr>
        <w:t>April</w:t>
      </w:r>
      <w:r w:rsidRPr="00C05757">
        <w:rPr>
          <w:rFonts w:asciiTheme="majorHAnsi" w:hAnsiTheme="majorHAnsi"/>
          <w:sz w:val="20"/>
          <w:szCs w:val="20"/>
        </w:rPr>
        <w:t xml:space="preserve"> 2020. (Signed):</w:t>
      </w:r>
      <w:r w:rsidR="00E3215A">
        <w:rPr>
          <w:rFonts w:asciiTheme="majorHAnsi" w:hAnsiTheme="majorHAnsi"/>
          <w:sz w:val="20"/>
          <w:szCs w:val="20"/>
        </w:rPr>
        <w:t xml:space="preserve"> </w:t>
      </w:r>
      <w:r w:rsidR="00F77E38">
        <w:rPr>
          <w:rFonts w:ascii="Cambria" w:hAnsi="Cambria"/>
          <w:sz w:val="20"/>
          <w:szCs w:val="20"/>
        </w:rPr>
        <w:t>Joel Hernández García President,</w:t>
      </w:r>
      <w:r w:rsidR="00F77E38" w:rsidRPr="00F77E38">
        <w:rPr>
          <w:rFonts w:ascii="Cambria" w:hAnsi="Cambria"/>
          <w:sz w:val="20"/>
          <w:szCs w:val="20"/>
        </w:rPr>
        <w:t xml:space="preserve"> Esmeralda E. Arosemena Bernal de Tro</w:t>
      </w:r>
      <w:r w:rsidR="00F77E38">
        <w:rPr>
          <w:rFonts w:ascii="Cambria" w:hAnsi="Cambria"/>
          <w:sz w:val="20"/>
          <w:szCs w:val="20"/>
        </w:rPr>
        <w:t>itiño and Julissa Mantilla Falcón,</w:t>
      </w:r>
      <w:r w:rsidR="00F77E38" w:rsidRPr="00F77E38">
        <w:rPr>
          <w:rFonts w:ascii="Cambria" w:hAnsi="Cambria"/>
          <w:sz w:val="20"/>
          <w:szCs w:val="20"/>
        </w:rPr>
        <w:t xml:space="preserve"> Members of the Commission.</w:t>
      </w:r>
    </w:p>
    <w:p w14:paraId="4BAF9C6A" w14:textId="20563D89" w:rsidR="00E3215A" w:rsidRPr="00E3215A" w:rsidRDefault="00E3215A" w:rsidP="00E3215A">
      <w:pPr>
        <w:ind w:firstLine="720"/>
        <w:jc w:val="both"/>
        <w:rPr>
          <w:rFonts w:asciiTheme="majorHAnsi" w:hAnsiTheme="majorHAnsi"/>
          <w:sz w:val="20"/>
          <w:szCs w:val="20"/>
        </w:rPr>
      </w:pPr>
    </w:p>
    <w:sectPr w:rsidR="00E3215A" w:rsidRPr="00E3215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C607" w14:textId="77777777" w:rsidR="00C374BD" w:rsidRDefault="00C374BD">
      <w:r>
        <w:separator/>
      </w:r>
    </w:p>
  </w:endnote>
  <w:endnote w:type="continuationSeparator" w:id="0">
    <w:p w14:paraId="12C709EF" w14:textId="77777777" w:rsidR="00C374BD" w:rsidRDefault="00C3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962DFC3" w14:textId="6991F464" w:rsidR="00174051" w:rsidRPr="00934A2C" w:rsidRDefault="0017405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C3D52">
          <w:rPr>
            <w:noProof/>
            <w:sz w:val="16"/>
            <w:szCs w:val="22"/>
          </w:rPr>
          <w:t>6</w:t>
        </w:r>
        <w:r w:rsidRPr="00934A2C">
          <w:rPr>
            <w:noProof/>
            <w:sz w:val="16"/>
            <w:szCs w:val="22"/>
          </w:rPr>
          <w:fldChar w:fldCharType="end"/>
        </w:r>
      </w:p>
    </w:sdtContent>
  </w:sdt>
  <w:p w14:paraId="412F0F16" w14:textId="77777777" w:rsidR="00174051" w:rsidRDefault="00174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A21C" w14:textId="77777777" w:rsidR="00174051" w:rsidRPr="00934A2C" w:rsidRDefault="00174051">
    <w:pPr>
      <w:pStyle w:val="Footer"/>
      <w:jc w:val="center"/>
      <w:rPr>
        <w:sz w:val="16"/>
        <w:szCs w:val="22"/>
      </w:rPr>
    </w:pPr>
  </w:p>
  <w:p w14:paraId="49370628" w14:textId="77777777" w:rsidR="00174051" w:rsidRDefault="00174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3367" w14:textId="77777777" w:rsidR="00C374BD" w:rsidRPr="000F35ED" w:rsidRDefault="00C374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0E7434" w14:textId="77777777" w:rsidR="00C374BD" w:rsidRPr="000F35ED" w:rsidRDefault="00C374BD" w:rsidP="000F35ED">
      <w:pPr>
        <w:rPr>
          <w:rFonts w:asciiTheme="majorHAnsi" w:hAnsiTheme="majorHAnsi"/>
          <w:sz w:val="16"/>
          <w:szCs w:val="16"/>
        </w:rPr>
      </w:pPr>
      <w:r w:rsidRPr="000F35ED">
        <w:rPr>
          <w:rFonts w:asciiTheme="majorHAnsi" w:hAnsiTheme="majorHAnsi"/>
          <w:sz w:val="16"/>
          <w:szCs w:val="16"/>
        </w:rPr>
        <w:separator/>
      </w:r>
    </w:p>
    <w:p w14:paraId="518CE234" w14:textId="77777777" w:rsidR="00C374BD" w:rsidRPr="000F35ED" w:rsidRDefault="00C374B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D9CB965" w14:textId="77777777" w:rsidR="00C374BD" w:rsidRPr="000F35ED" w:rsidRDefault="00C374B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F618C64" w14:textId="40B581AF" w:rsidR="00174051" w:rsidRPr="00623AC9" w:rsidRDefault="00174051" w:rsidP="00720DA9">
      <w:pPr>
        <w:pStyle w:val="FootnoteText"/>
        <w:ind w:firstLine="720"/>
        <w:jc w:val="both"/>
        <w:rPr>
          <w:rFonts w:asciiTheme="majorHAnsi" w:hAnsiTheme="majorHAnsi"/>
          <w:sz w:val="16"/>
          <w:szCs w:val="16"/>
        </w:rPr>
      </w:pPr>
      <w:r w:rsidRPr="009B3F2A">
        <w:rPr>
          <w:rStyle w:val="FootnoteReference"/>
          <w:rFonts w:asciiTheme="majorHAnsi" w:hAnsiTheme="majorHAnsi"/>
          <w:sz w:val="16"/>
          <w:szCs w:val="16"/>
        </w:rPr>
        <w:footnoteRef/>
      </w:r>
      <w:r w:rsidRPr="00720DA9">
        <w:rPr>
          <w:rFonts w:asciiTheme="majorHAnsi" w:hAnsiTheme="majorHAnsi"/>
          <w:sz w:val="16"/>
          <w:szCs w:val="16"/>
        </w:rPr>
        <w:t xml:space="preserve"> </w:t>
      </w:r>
      <w:r w:rsidR="00623AC9" w:rsidRPr="00623AC9">
        <w:rPr>
          <w:rFonts w:asciiTheme="majorHAnsi" w:hAnsiTheme="majorHAnsi"/>
          <w:sz w:val="16"/>
          <w:szCs w:val="16"/>
        </w:rPr>
        <w:t>Commissioner Antonia Urrejola, a national of Chile, did not participate in the consideration or vote on this case in accordance with Article 17 (2) (a) of the IACHR's regulations.</w:t>
      </w:r>
    </w:p>
  </w:footnote>
  <w:footnote w:id="3">
    <w:p w14:paraId="2BCC83A7" w14:textId="31F27CC1" w:rsidR="00775436" w:rsidRPr="00BE4097" w:rsidRDefault="00775436" w:rsidP="00775436">
      <w:pPr>
        <w:pStyle w:val="FootnoteText"/>
        <w:ind w:firstLine="720"/>
        <w:rPr>
          <w:rFonts w:asciiTheme="majorHAnsi" w:hAnsiTheme="majorHAnsi"/>
          <w:sz w:val="16"/>
          <w:szCs w:val="16"/>
        </w:rPr>
      </w:pPr>
      <w:r w:rsidRPr="009B3F2A">
        <w:rPr>
          <w:rStyle w:val="FootnoteReference"/>
          <w:rFonts w:asciiTheme="majorHAnsi" w:hAnsiTheme="majorHAnsi"/>
          <w:sz w:val="16"/>
          <w:szCs w:val="16"/>
        </w:rPr>
        <w:footnoteRef/>
      </w:r>
      <w:r w:rsidR="00BE4097" w:rsidRPr="00BE4097">
        <w:rPr>
          <w:rFonts w:asciiTheme="majorHAnsi" w:hAnsiTheme="majorHAnsi"/>
          <w:sz w:val="16"/>
          <w:szCs w:val="16"/>
        </w:rPr>
        <w:t>Article 2332 of the Civil Code, states that the action to enforce extra-contractual liability prescribes within four years from the date of the act.</w:t>
      </w:r>
    </w:p>
  </w:footnote>
  <w:footnote w:id="4">
    <w:p w14:paraId="1230C0AB" w14:textId="3BCE26B7" w:rsidR="00174051" w:rsidRPr="009F025D" w:rsidRDefault="00174051" w:rsidP="009B3F2A">
      <w:pPr>
        <w:pStyle w:val="FootnoteText"/>
        <w:ind w:firstLine="720"/>
        <w:jc w:val="both"/>
        <w:rPr>
          <w:rFonts w:asciiTheme="majorHAnsi" w:hAnsiTheme="majorHAnsi"/>
          <w:sz w:val="16"/>
          <w:szCs w:val="16"/>
        </w:rPr>
      </w:pPr>
      <w:r w:rsidRPr="009B3F2A">
        <w:rPr>
          <w:rStyle w:val="FootnoteReference"/>
          <w:rFonts w:asciiTheme="majorHAnsi" w:hAnsiTheme="majorHAnsi"/>
          <w:sz w:val="16"/>
          <w:szCs w:val="16"/>
        </w:rPr>
        <w:footnoteRef/>
      </w:r>
      <w:r w:rsidRPr="009F025D">
        <w:rPr>
          <w:rFonts w:asciiTheme="majorHAnsi" w:hAnsiTheme="majorHAnsi"/>
          <w:sz w:val="16"/>
          <w:szCs w:val="16"/>
        </w:rPr>
        <w:t xml:space="preserve"> </w:t>
      </w:r>
      <w:r w:rsidR="009F025D">
        <w:rPr>
          <w:rFonts w:asciiTheme="majorHAnsi" w:hAnsiTheme="majorHAnsi"/>
          <w:sz w:val="16"/>
          <w:szCs w:val="16"/>
        </w:rPr>
        <w:t>Numbering of the clauses outside the original text of the agreement.</w:t>
      </w:r>
    </w:p>
  </w:footnote>
  <w:footnote w:id="5">
    <w:p w14:paraId="14C60677" w14:textId="77777777" w:rsidR="004A721F" w:rsidRPr="009F025D" w:rsidRDefault="004A721F" w:rsidP="004A721F">
      <w:pPr>
        <w:pStyle w:val="FootnoteText"/>
        <w:ind w:firstLine="720"/>
        <w:jc w:val="both"/>
        <w:rPr>
          <w:rFonts w:asciiTheme="majorHAnsi" w:hAnsiTheme="majorHAnsi"/>
          <w:sz w:val="16"/>
          <w:szCs w:val="16"/>
        </w:rPr>
      </w:pPr>
      <w:r w:rsidRPr="009B3F2A">
        <w:rPr>
          <w:rStyle w:val="FootnoteReference"/>
          <w:rFonts w:asciiTheme="majorHAnsi" w:hAnsiTheme="majorHAnsi"/>
          <w:sz w:val="16"/>
          <w:szCs w:val="16"/>
        </w:rPr>
        <w:footnoteRef/>
      </w:r>
      <w:r w:rsidRPr="009F025D">
        <w:rPr>
          <w:rFonts w:asciiTheme="majorHAnsi" w:hAnsiTheme="majorHAnsi"/>
          <w:sz w:val="16"/>
          <w:szCs w:val="16"/>
        </w:rPr>
        <w:t xml:space="preserve"> </w:t>
      </w:r>
      <w:r>
        <w:rPr>
          <w:rFonts w:asciiTheme="majorHAnsi" w:hAnsiTheme="majorHAnsi"/>
          <w:iCs/>
          <w:sz w:val="16"/>
          <w:szCs w:val="16"/>
        </w:rPr>
        <w:t>Vienna Convention on the Law of Treaties, U.N. Doc A/CONF.39/27 (1969), Article 26: "</w:t>
      </w:r>
      <w:r>
        <w:rPr>
          <w:rFonts w:asciiTheme="majorHAnsi" w:hAnsiTheme="majorHAnsi"/>
          <w:b/>
          <w:bCs/>
          <w:iCs/>
          <w:sz w:val="16"/>
          <w:szCs w:val="16"/>
        </w:rPr>
        <w:t>Pacta sunt servanda</w:t>
      </w:r>
      <w:r>
        <w:rPr>
          <w:rFonts w:asciiTheme="majorHAnsi" w:hAnsiTheme="majorHAnsi"/>
          <w:iCs/>
          <w:sz w:val="16"/>
          <w:szCs w:val="16"/>
        </w:rPr>
        <w:t>".</w:t>
      </w:r>
      <w:r>
        <w:rPr>
          <w:rFonts w:asciiTheme="majorHAnsi" w:hAnsiTheme="majorHAnsi"/>
          <w:i/>
          <w:sz w:val="16"/>
          <w:szCs w:val="16"/>
        </w:rPr>
        <w:t xml:space="preserve"> Every treaty in force binds the parties and must be complied with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5006" w14:textId="77777777" w:rsidR="00174051" w:rsidRDefault="00174051" w:rsidP="001A2C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735D749" w14:textId="77777777" w:rsidR="00174051" w:rsidRDefault="00174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B145" w14:textId="5E4E5645" w:rsidR="00174051" w:rsidRDefault="00F96EB2" w:rsidP="00A50FCF">
    <w:pPr>
      <w:pStyle w:val="Header"/>
      <w:tabs>
        <w:tab w:val="clear" w:pos="4320"/>
        <w:tab w:val="clear" w:pos="8640"/>
      </w:tabs>
      <w:jc w:val="center"/>
      <w:rPr>
        <w:sz w:val="22"/>
        <w:szCs w:val="22"/>
      </w:rPr>
    </w:pPr>
    <w:r>
      <w:rPr>
        <w:noProof/>
      </w:rPr>
      <w:drawing>
        <wp:inline distT="0" distB="0" distL="0" distR="0" wp14:anchorId="7E506E9A" wp14:editId="6EB00C78">
          <wp:extent cx="2209800" cy="116840"/>
          <wp:effectExtent l="0" t="0" r="0" b="0"/>
          <wp:docPr id="21" name="Picture 21"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21" name="Picture 21" descr="C:\Users\mfontana\Documents\Eva Fontana\GRAFICA CIDH\cartas\logos\iachr-peq.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6840"/>
                  </a:xfrm>
                  <a:prstGeom prst="rect">
                    <a:avLst/>
                  </a:prstGeom>
                  <a:noFill/>
                  <a:ln>
                    <a:noFill/>
                  </a:ln>
                </pic:spPr>
              </pic:pic>
            </a:graphicData>
          </a:graphic>
        </wp:inline>
      </w:drawing>
    </w:r>
  </w:p>
  <w:p w14:paraId="24CA773D" w14:textId="77777777" w:rsidR="00174051" w:rsidRPr="00EC7D62" w:rsidRDefault="00C374BD" w:rsidP="00A50FCF">
    <w:pPr>
      <w:pStyle w:val="Header"/>
      <w:tabs>
        <w:tab w:val="clear" w:pos="4320"/>
        <w:tab w:val="clear" w:pos="8640"/>
      </w:tabs>
      <w:jc w:val="center"/>
      <w:rPr>
        <w:sz w:val="22"/>
        <w:szCs w:val="22"/>
      </w:rPr>
    </w:pPr>
    <w:r>
      <w:rPr>
        <w:sz w:val="22"/>
        <w:szCs w:val="22"/>
      </w:rPr>
      <w:pict w14:anchorId="628138A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16C1230"/>
    <w:multiLevelType w:val="hybridMultilevel"/>
    <w:tmpl w:val="1CAC5304"/>
    <w:lvl w:ilvl="0" w:tplc="C2EA0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A01677"/>
    <w:multiLevelType w:val="hybridMultilevel"/>
    <w:tmpl w:val="31722A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DA733FC"/>
    <w:multiLevelType w:val="hybridMultilevel"/>
    <w:tmpl w:val="07DCF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0D46622"/>
    <w:multiLevelType w:val="hybridMultilevel"/>
    <w:tmpl w:val="1D127A60"/>
    <w:lvl w:ilvl="0" w:tplc="B33EC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63711241">
    <w:abstractNumId w:val="3"/>
  </w:num>
  <w:num w:numId="2" w16cid:durableId="85469915">
    <w:abstractNumId w:val="4"/>
  </w:num>
  <w:num w:numId="3" w16cid:durableId="652022924">
    <w:abstractNumId w:val="56"/>
  </w:num>
  <w:num w:numId="4" w16cid:durableId="1637029200">
    <w:abstractNumId w:val="20"/>
  </w:num>
  <w:num w:numId="5" w16cid:durableId="1079592555">
    <w:abstractNumId w:val="48"/>
  </w:num>
  <w:num w:numId="6" w16cid:durableId="1300454948">
    <w:abstractNumId w:val="25"/>
  </w:num>
  <w:num w:numId="7" w16cid:durableId="187105954">
    <w:abstractNumId w:val="5"/>
  </w:num>
  <w:num w:numId="8" w16cid:durableId="772483146">
    <w:abstractNumId w:val="16"/>
  </w:num>
  <w:num w:numId="9" w16cid:durableId="1183398400">
    <w:abstractNumId w:val="43"/>
  </w:num>
  <w:num w:numId="10" w16cid:durableId="2087217800">
    <w:abstractNumId w:val="0"/>
  </w:num>
  <w:num w:numId="11" w16cid:durableId="1191459019">
    <w:abstractNumId w:val="37"/>
  </w:num>
  <w:num w:numId="12" w16cid:durableId="1210218057">
    <w:abstractNumId w:val="38"/>
  </w:num>
  <w:num w:numId="13" w16cid:durableId="104079520">
    <w:abstractNumId w:val="44"/>
  </w:num>
  <w:num w:numId="14" w16cid:durableId="173886392">
    <w:abstractNumId w:val="1"/>
  </w:num>
  <w:num w:numId="15" w16cid:durableId="318925294">
    <w:abstractNumId w:val="2"/>
  </w:num>
  <w:num w:numId="16" w16cid:durableId="1936475506">
    <w:abstractNumId w:val="6"/>
  </w:num>
  <w:num w:numId="17" w16cid:durableId="208999437">
    <w:abstractNumId w:val="7"/>
  </w:num>
  <w:num w:numId="18" w16cid:durableId="1401757411">
    <w:abstractNumId w:val="8"/>
  </w:num>
  <w:num w:numId="19" w16cid:durableId="1592933891">
    <w:abstractNumId w:val="9"/>
  </w:num>
  <w:num w:numId="20" w16cid:durableId="1409109734">
    <w:abstractNumId w:val="10"/>
  </w:num>
  <w:num w:numId="21" w16cid:durableId="2138984547">
    <w:abstractNumId w:val="11"/>
  </w:num>
  <w:num w:numId="22" w16cid:durableId="1427848554">
    <w:abstractNumId w:val="12"/>
  </w:num>
  <w:num w:numId="23" w16cid:durableId="2106489375">
    <w:abstractNumId w:val="13"/>
  </w:num>
  <w:num w:numId="24" w16cid:durableId="631978434">
    <w:abstractNumId w:val="14"/>
  </w:num>
  <w:num w:numId="25" w16cid:durableId="1175068833">
    <w:abstractNumId w:val="17"/>
  </w:num>
  <w:num w:numId="26" w16cid:durableId="1052316396">
    <w:abstractNumId w:val="18"/>
  </w:num>
  <w:num w:numId="27" w16cid:durableId="1629046670">
    <w:abstractNumId w:val="21"/>
  </w:num>
  <w:num w:numId="28" w16cid:durableId="14354697">
    <w:abstractNumId w:val="22"/>
  </w:num>
  <w:num w:numId="29" w16cid:durableId="114956687">
    <w:abstractNumId w:val="23"/>
  </w:num>
  <w:num w:numId="30" w16cid:durableId="1787389994">
    <w:abstractNumId w:val="24"/>
  </w:num>
  <w:num w:numId="31" w16cid:durableId="2084520087">
    <w:abstractNumId w:val="26"/>
  </w:num>
  <w:num w:numId="32" w16cid:durableId="1043794391">
    <w:abstractNumId w:val="27"/>
  </w:num>
  <w:num w:numId="33" w16cid:durableId="1452437078">
    <w:abstractNumId w:val="29"/>
  </w:num>
  <w:num w:numId="34" w16cid:durableId="1912502493">
    <w:abstractNumId w:val="30"/>
  </w:num>
  <w:num w:numId="35" w16cid:durableId="1852866200">
    <w:abstractNumId w:val="32"/>
  </w:num>
  <w:num w:numId="36" w16cid:durableId="627470810">
    <w:abstractNumId w:val="33"/>
  </w:num>
  <w:num w:numId="37" w16cid:durableId="122115738">
    <w:abstractNumId w:val="34"/>
  </w:num>
  <w:num w:numId="38" w16cid:durableId="888954740">
    <w:abstractNumId w:val="35"/>
  </w:num>
  <w:num w:numId="39" w16cid:durableId="2111661935">
    <w:abstractNumId w:val="40"/>
  </w:num>
  <w:num w:numId="40" w16cid:durableId="1081104449">
    <w:abstractNumId w:val="41"/>
  </w:num>
  <w:num w:numId="41" w16cid:durableId="1415710021">
    <w:abstractNumId w:val="47"/>
  </w:num>
  <w:num w:numId="42" w16cid:durableId="39059764">
    <w:abstractNumId w:val="49"/>
  </w:num>
  <w:num w:numId="43" w16cid:durableId="1471824816">
    <w:abstractNumId w:val="51"/>
  </w:num>
  <w:num w:numId="44" w16cid:durableId="229928394">
    <w:abstractNumId w:val="53"/>
  </w:num>
  <w:num w:numId="45" w16cid:durableId="1361124988">
    <w:abstractNumId w:val="55"/>
  </w:num>
  <w:num w:numId="46" w16cid:durableId="1482700014">
    <w:abstractNumId w:val="57"/>
  </w:num>
  <w:num w:numId="47" w16cid:durableId="849873336">
    <w:abstractNumId w:val="58"/>
  </w:num>
  <w:num w:numId="48" w16cid:durableId="925117989">
    <w:abstractNumId w:val="59"/>
  </w:num>
  <w:num w:numId="49" w16cid:durableId="1194919454">
    <w:abstractNumId w:val="60"/>
  </w:num>
  <w:num w:numId="50" w16cid:durableId="730419715">
    <w:abstractNumId w:val="61"/>
  </w:num>
  <w:num w:numId="51" w16cid:durableId="217980042">
    <w:abstractNumId w:val="19"/>
  </w:num>
  <w:num w:numId="52" w16cid:durableId="1276209538">
    <w:abstractNumId w:val="42"/>
  </w:num>
  <w:num w:numId="53" w16cid:durableId="1731271248">
    <w:abstractNumId w:val="52"/>
  </w:num>
  <w:num w:numId="54" w16cid:durableId="661932301">
    <w:abstractNumId w:val="45"/>
  </w:num>
  <w:num w:numId="55" w16cid:durableId="193731107">
    <w:abstractNumId w:val="50"/>
  </w:num>
  <w:num w:numId="56" w16cid:durableId="161744986">
    <w:abstractNumId w:val="54"/>
  </w:num>
  <w:num w:numId="57" w16cid:durableId="1390883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57195475">
    <w:abstractNumId w:val="31"/>
  </w:num>
  <w:num w:numId="59" w16cid:durableId="1776054530">
    <w:abstractNumId w:val="28"/>
  </w:num>
  <w:num w:numId="60" w16cid:durableId="1584221019">
    <w:abstractNumId w:val="15"/>
  </w:num>
  <w:num w:numId="61" w16cid:durableId="1656184964">
    <w:abstractNumId w:val="39"/>
  </w:num>
  <w:num w:numId="62" w16cid:durableId="197399253">
    <w:abstractNumId w:val="36"/>
  </w:num>
  <w:num w:numId="63" w16cid:durableId="1228030890">
    <w:abstractNumId w:val="46"/>
  </w:num>
  <w:num w:numId="64" w16cid:durableId="2010403722">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D4F"/>
    <w:rsid w:val="00006E1F"/>
    <w:rsid w:val="000070D7"/>
    <w:rsid w:val="00012AA9"/>
    <w:rsid w:val="0001788C"/>
    <w:rsid w:val="00026259"/>
    <w:rsid w:val="00040C3A"/>
    <w:rsid w:val="000412FE"/>
    <w:rsid w:val="00062C72"/>
    <w:rsid w:val="000716C5"/>
    <w:rsid w:val="00075E23"/>
    <w:rsid w:val="000775D3"/>
    <w:rsid w:val="0009203E"/>
    <w:rsid w:val="0009344A"/>
    <w:rsid w:val="00093F56"/>
    <w:rsid w:val="000A392E"/>
    <w:rsid w:val="000A575F"/>
    <w:rsid w:val="000A68B8"/>
    <w:rsid w:val="000C3D43"/>
    <w:rsid w:val="000C3D52"/>
    <w:rsid w:val="000D10DB"/>
    <w:rsid w:val="000D1425"/>
    <w:rsid w:val="000D6E50"/>
    <w:rsid w:val="000E19CD"/>
    <w:rsid w:val="000E52AE"/>
    <w:rsid w:val="000E5EB5"/>
    <w:rsid w:val="000F35ED"/>
    <w:rsid w:val="001011BD"/>
    <w:rsid w:val="00107131"/>
    <w:rsid w:val="0010736F"/>
    <w:rsid w:val="00113F73"/>
    <w:rsid w:val="001141CA"/>
    <w:rsid w:val="00115E8F"/>
    <w:rsid w:val="00121CC2"/>
    <w:rsid w:val="00133EE5"/>
    <w:rsid w:val="00135A8A"/>
    <w:rsid w:val="00144A86"/>
    <w:rsid w:val="00145E42"/>
    <w:rsid w:val="00167A34"/>
    <w:rsid w:val="00170685"/>
    <w:rsid w:val="00174051"/>
    <w:rsid w:val="001912E1"/>
    <w:rsid w:val="00192995"/>
    <w:rsid w:val="00192B35"/>
    <w:rsid w:val="001A2C14"/>
    <w:rsid w:val="001A7870"/>
    <w:rsid w:val="001B5265"/>
    <w:rsid w:val="001C1B41"/>
    <w:rsid w:val="001D1AF8"/>
    <w:rsid w:val="001D3885"/>
    <w:rsid w:val="001D41F7"/>
    <w:rsid w:val="001D5947"/>
    <w:rsid w:val="001D65EF"/>
    <w:rsid w:val="001E77FB"/>
    <w:rsid w:val="001F2A27"/>
    <w:rsid w:val="0020546A"/>
    <w:rsid w:val="00214454"/>
    <w:rsid w:val="00221FF4"/>
    <w:rsid w:val="00222935"/>
    <w:rsid w:val="002250A3"/>
    <w:rsid w:val="00233104"/>
    <w:rsid w:val="00234D59"/>
    <w:rsid w:val="00235217"/>
    <w:rsid w:val="002375EB"/>
    <w:rsid w:val="00246D1F"/>
    <w:rsid w:val="00247403"/>
    <w:rsid w:val="00247542"/>
    <w:rsid w:val="00251CD8"/>
    <w:rsid w:val="00261AA0"/>
    <w:rsid w:val="00266B61"/>
    <w:rsid w:val="0026712A"/>
    <w:rsid w:val="002704DB"/>
    <w:rsid w:val="002849CD"/>
    <w:rsid w:val="002958FA"/>
    <w:rsid w:val="002A0AAE"/>
    <w:rsid w:val="002A0BC1"/>
    <w:rsid w:val="002A5820"/>
    <w:rsid w:val="002A5E0E"/>
    <w:rsid w:val="002B107F"/>
    <w:rsid w:val="002C3664"/>
    <w:rsid w:val="002D2B26"/>
    <w:rsid w:val="002D7EA2"/>
    <w:rsid w:val="002E187C"/>
    <w:rsid w:val="002E7533"/>
    <w:rsid w:val="002F0AEA"/>
    <w:rsid w:val="003007D4"/>
    <w:rsid w:val="003025FD"/>
    <w:rsid w:val="00302733"/>
    <w:rsid w:val="00307C28"/>
    <w:rsid w:val="00314078"/>
    <w:rsid w:val="0031535D"/>
    <w:rsid w:val="003222E4"/>
    <w:rsid w:val="003234C2"/>
    <w:rsid w:val="0033169F"/>
    <w:rsid w:val="00341509"/>
    <w:rsid w:val="00346C95"/>
    <w:rsid w:val="00353EA1"/>
    <w:rsid w:val="00356185"/>
    <w:rsid w:val="00360380"/>
    <w:rsid w:val="00360830"/>
    <w:rsid w:val="003659C0"/>
    <w:rsid w:val="0037519E"/>
    <w:rsid w:val="00386CF0"/>
    <w:rsid w:val="003A125B"/>
    <w:rsid w:val="003B3BD1"/>
    <w:rsid w:val="003C676B"/>
    <w:rsid w:val="003D3BC2"/>
    <w:rsid w:val="003D3BCA"/>
    <w:rsid w:val="003D6520"/>
    <w:rsid w:val="003E6CA1"/>
    <w:rsid w:val="003E70CE"/>
    <w:rsid w:val="003F3CA5"/>
    <w:rsid w:val="00403295"/>
    <w:rsid w:val="004165C2"/>
    <w:rsid w:val="004323A6"/>
    <w:rsid w:val="00432BB9"/>
    <w:rsid w:val="00441ECB"/>
    <w:rsid w:val="004425A2"/>
    <w:rsid w:val="00445D66"/>
    <w:rsid w:val="00447D4E"/>
    <w:rsid w:val="0045655C"/>
    <w:rsid w:val="00463C2E"/>
    <w:rsid w:val="00467B7E"/>
    <w:rsid w:val="00477592"/>
    <w:rsid w:val="00486F1C"/>
    <w:rsid w:val="0048721F"/>
    <w:rsid w:val="00490319"/>
    <w:rsid w:val="0049419D"/>
    <w:rsid w:val="004A1EA2"/>
    <w:rsid w:val="004A6BD5"/>
    <w:rsid w:val="004A721F"/>
    <w:rsid w:val="004B07F8"/>
    <w:rsid w:val="004B4A5C"/>
    <w:rsid w:val="004C20D2"/>
    <w:rsid w:val="004C3F08"/>
    <w:rsid w:val="004C4B62"/>
    <w:rsid w:val="004C54C9"/>
    <w:rsid w:val="004D6025"/>
    <w:rsid w:val="004E212E"/>
    <w:rsid w:val="004E2649"/>
    <w:rsid w:val="004E69F0"/>
    <w:rsid w:val="004F3027"/>
    <w:rsid w:val="004F369A"/>
    <w:rsid w:val="004F42B8"/>
    <w:rsid w:val="00500FBF"/>
    <w:rsid w:val="00501399"/>
    <w:rsid w:val="0050542D"/>
    <w:rsid w:val="0050633D"/>
    <w:rsid w:val="00507BC4"/>
    <w:rsid w:val="005112AB"/>
    <w:rsid w:val="005128E4"/>
    <w:rsid w:val="005133DB"/>
    <w:rsid w:val="005172B5"/>
    <w:rsid w:val="00525560"/>
    <w:rsid w:val="00530407"/>
    <w:rsid w:val="00544C49"/>
    <w:rsid w:val="005516A1"/>
    <w:rsid w:val="00563BAE"/>
    <w:rsid w:val="0057402A"/>
    <w:rsid w:val="005771D0"/>
    <w:rsid w:val="0059191A"/>
    <w:rsid w:val="005921FF"/>
    <w:rsid w:val="00595EF4"/>
    <w:rsid w:val="005A6D0E"/>
    <w:rsid w:val="005A775C"/>
    <w:rsid w:val="005B52B0"/>
    <w:rsid w:val="005B5823"/>
    <w:rsid w:val="005B6806"/>
    <w:rsid w:val="005C4225"/>
    <w:rsid w:val="005F0DAD"/>
    <w:rsid w:val="005F0F33"/>
    <w:rsid w:val="00600DEB"/>
    <w:rsid w:val="00623AC9"/>
    <w:rsid w:val="00627C9F"/>
    <w:rsid w:val="006311E9"/>
    <w:rsid w:val="00632354"/>
    <w:rsid w:val="006340CF"/>
    <w:rsid w:val="00636F23"/>
    <w:rsid w:val="0063758F"/>
    <w:rsid w:val="00642810"/>
    <w:rsid w:val="006441AB"/>
    <w:rsid w:val="00647FC8"/>
    <w:rsid w:val="00652333"/>
    <w:rsid w:val="00654309"/>
    <w:rsid w:val="00655C47"/>
    <w:rsid w:val="00671191"/>
    <w:rsid w:val="0067189A"/>
    <w:rsid w:val="00671E5D"/>
    <w:rsid w:val="00677BB4"/>
    <w:rsid w:val="0068009E"/>
    <w:rsid w:val="0068014C"/>
    <w:rsid w:val="006910D4"/>
    <w:rsid w:val="00692103"/>
    <w:rsid w:val="00692219"/>
    <w:rsid w:val="006931DA"/>
    <w:rsid w:val="00696428"/>
    <w:rsid w:val="006A13CD"/>
    <w:rsid w:val="006A17D2"/>
    <w:rsid w:val="006A73E6"/>
    <w:rsid w:val="006B2D5C"/>
    <w:rsid w:val="006B750D"/>
    <w:rsid w:val="006C4EB1"/>
    <w:rsid w:val="006C7096"/>
    <w:rsid w:val="006C76B7"/>
    <w:rsid w:val="006D7F3A"/>
    <w:rsid w:val="006E0166"/>
    <w:rsid w:val="006E5A77"/>
    <w:rsid w:val="006E7297"/>
    <w:rsid w:val="006E7B34"/>
    <w:rsid w:val="006F6505"/>
    <w:rsid w:val="0070247C"/>
    <w:rsid w:val="00705E99"/>
    <w:rsid w:val="0070697F"/>
    <w:rsid w:val="00720DA9"/>
    <w:rsid w:val="0072199C"/>
    <w:rsid w:val="00722C9F"/>
    <w:rsid w:val="007253B8"/>
    <w:rsid w:val="007317C4"/>
    <w:rsid w:val="0073741F"/>
    <w:rsid w:val="00743B00"/>
    <w:rsid w:val="00764A37"/>
    <w:rsid w:val="0076643F"/>
    <w:rsid w:val="00771A5A"/>
    <w:rsid w:val="00775436"/>
    <w:rsid w:val="00776DA8"/>
    <w:rsid w:val="00777C33"/>
    <w:rsid w:val="00777F63"/>
    <w:rsid w:val="007A5817"/>
    <w:rsid w:val="007B60E9"/>
    <w:rsid w:val="007B6CC3"/>
    <w:rsid w:val="007C119E"/>
    <w:rsid w:val="007C3334"/>
    <w:rsid w:val="007C6E75"/>
    <w:rsid w:val="007D2626"/>
    <w:rsid w:val="007D2B98"/>
    <w:rsid w:val="007E21BC"/>
    <w:rsid w:val="00803F1C"/>
    <w:rsid w:val="0080600E"/>
    <w:rsid w:val="00814095"/>
    <w:rsid w:val="00817612"/>
    <w:rsid w:val="00822BED"/>
    <w:rsid w:val="00826A5D"/>
    <w:rsid w:val="0083365B"/>
    <w:rsid w:val="008338A4"/>
    <w:rsid w:val="00834CA1"/>
    <w:rsid w:val="00837C45"/>
    <w:rsid w:val="00844730"/>
    <w:rsid w:val="008457C2"/>
    <w:rsid w:val="00857A82"/>
    <w:rsid w:val="0087248D"/>
    <w:rsid w:val="00873836"/>
    <w:rsid w:val="00885737"/>
    <w:rsid w:val="00890650"/>
    <w:rsid w:val="00894E6F"/>
    <w:rsid w:val="00897E12"/>
    <w:rsid w:val="008A7E0F"/>
    <w:rsid w:val="008B12F5"/>
    <w:rsid w:val="008C3E44"/>
    <w:rsid w:val="008D768D"/>
    <w:rsid w:val="008E073D"/>
    <w:rsid w:val="008E3759"/>
    <w:rsid w:val="008F1912"/>
    <w:rsid w:val="0090270B"/>
    <w:rsid w:val="009041DC"/>
    <w:rsid w:val="00910F84"/>
    <w:rsid w:val="0091256E"/>
    <w:rsid w:val="00914880"/>
    <w:rsid w:val="00917B5A"/>
    <w:rsid w:val="00920A58"/>
    <w:rsid w:val="00920A8C"/>
    <w:rsid w:val="009235C1"/>
    <w:rsid w:val="009258A3"/>
    <w:rsid w:val="00934A2C"/>
    <w:rsid w:val="00954086"/>
    <w:rsid w:val="00957AC1"/>
    <w:rsid w:val="0096706E"/>
    <w:rsid w:val="009711CF"/>
    <w:rsid w:val="00975C4E"/>
    <w:rsid w:val="00981FBA"/>
    <w:rsid w:val="0098779D"/>
    <w:rsid w:val="0099098F"/>
    <w:rsid w:val="00997BC5"/>
    <w:rsid w:val="009A4F41"/>
    <w:rsid w:val="009A64E0"/>
    <w:rsid w:val="009B381B"/>
    <w:rsid w:val="009B3F2A"/>
    <w:rsid w:val="009D1753"/>
    <w:rsid w:val="009D2A4D"/>
    <w:rsid w:val="009D7611"/>
    <w:rsid w:val="009E0951"/>
    <w:rsid w:val="009E0B61"/>
    <w:rsid w:val="009E53DE"/>
    <w:rsid w:val="009E5565"/>
    <w:rsid w:val="009F025D"/>
    <w:rsid w:val="009F0E90"/>
    <w:rsid w:val="009F2B09"/>
    <w:rsid w:val="009F2C06"/>
    <w:rsid w:val="009F2EB0"/>
    <w:rsid w:val="009F37D6"/>
    <w:rsid w:val="009F62F9"/>
    <w:rsid w:val="00A00388"/>
    <w:rsid w:val="00A06B56"/>
    <w:rsid w:val="00A3118F"/>
    <w:rsid w:val="00A31C8C"/>
    <w:rsid w:val="00A328B3"/>
    <w:rsid w:val="00A35D88"/>
    <w:rsid w:val="00A50FCF"/>
    <w:rsid w:val="00A528D1"/>
    <w:rsid w:val="00A610CD"/>
    <w:rsid w:val="00A644D2"/>
    <w:rsid w:val="00A66723"/>
    <w:rsid w:val="00A83C05"/>
    <w:rsid w:val="00A86B6A"/>
    <w:rsid w:val="00A93A0B"/>
    <w:rsid w:val="00A95BB3"/>
    <w:rsid w:val="00A96718"/>
    <w:rsid w:val="00AA09A2"/>
    <w:rsid w:val="00AA7996"/>
    <w:rsid w:val="00AB7579"/>
    <w:rsid w:val="00AC19CB"/>
    <w:rsid w:val="00AC66A0"/>
    <w:rsid w:val="00AE5488"/>
    <w:rsid w:val="00AE54EB"/>
    <w:rsid w:val="00AE6F91"/>
    <w:rsid w:val="00AF4D4C"/>
    <w:rsid w:val="00AF5571"/>
    <w:rsid w:val="00AF7080"/>
    <w:rsid w:val="00B0575D"/>
    <w:rsid w:val="00B07341"/>
    <w:rsid w:val="00B107B0"/>
    <w:rsid w:val="00B25943"/>
    <w:rsid w:val="00B30539"/>
    <w:rsid w:val="00B30B25"/>
    <w:rsid w:val="00B30FA6"/>
    <w:rsid w:val="00B314DB"/>
    <w:rsid w:val="00B361F2"/>
    <w:rsid w:val="00B3718B"/>
    <w:rsid w:val="00B419B1"/>
    <w:rsid w:val="00B447E8"/>
    <w:rsid w:val="00B4632A"/>
    <w:rsid w:val="00B474E6"/>
    <w:rsid w:val="00B530F1"/>
    <w:rsid w:val="00B63AC9"/>
    <w:rsid w:val="00B64891"/>
    <w:rsid w:val="00B74C01"/>
    <w:rsid w:val="00B77BB8"/>
    <w:rsid w:val="00B81CA9"/>
    <w:rsid w:val="00B825B4"/>
    <w:rsid w:val="00B84841"/>
    <w:rsid w:val="00B90221"/>
    <w:rsid w:val="00B93A5D"/>
    <w:rsid w:val="00B95C8E"/>
    <w:rsid w:val="00BA276C"/>
    <w:rsid w:val="00BA2B75"/>
    <w:rsid w:val="00BB306F"/>
    <w:rsid w:val="00BB59FF"/>
    <w:rsid w:val="00BC0946"/>
    <w:rsid w:val="00BC1BF9"/>
    <w:rsid w:val="00BC3C48"/>
    <w:rsid w:val="00BD4B89"/>
    <w:rsid w:val="00BE01F9"/>
    <w:rsid w:val="00BE4097"/>
    <w:rsid w:val="00BE4C77"/>
    <w:rsid w:val="00BF6FD8"/>
    <w:rsid w:val="00C03680"/>
    <w:rsid w:val="00C0388B"/>
    <w:rsid w:val="00C054DF"/>
    <w:rsid w:val="00C05757"/>
    <w:rsid w:val="00C0657C"/>
    <w:rsid w:val="00C0780A"/>
    <w:rsid w:val="00C21762"/>
    <w:rsid w:val="00C24543"/>
    <w:rsid w:val="00C256A2"/>
    <w:rsid w:val="00C26D66"/>
    <w:rsid w:val="00C272CD"/>
    <w:rsid w:val="00C319C7"/>
    <w:rsid w:val="00C350F8"/>
    <w:rsid w:val="00C366F0"/>
    <w:rsid w:val="00C374BD"/>
    <w:rsid w:val="00C51515"/>
    <w:rsid w:val="00C51B99"/>
    <w:rsid w:val="00C52F07"/>
    <w:rsid w:val="00C5480C"/>
    <w:rsid w:val="00C5660B"/>
    <w:rsid w:val="00C66B72"/>
    <w:rsid w:val="00C66FF1"/>
    <w:rsid w:val="00C67267"/>
    <w:rsid w:val="00C703D4"/>
    <w:rsid w:val="00C71155"/>
    <w:rsid w:val="00C750F9"/>
    <w:rsid w:val="00C77657"/>
    <w:rsid w:val="00C86781"/>
    <w:rsid w:val="00C9567A"/>
    <w:rsid w:val="00C97BD4"/>
    <w:rsid w:val="00CB212D"/>
    <w:rsid w:val="00CB2660"/>
    <w:rsid w:val="00CC30D6"/>
    <w:rsid w:val="00CC5E90"/>
    <w:rsid w:val="00CD046C"/>
    <w:rsid w:val="00CE076C"/>
    <w:rsid w:val="00CE1431"/>
    <w:rsid w:val="00CE29D1"/>
    <w:rsid w:val="00CE5199"/>
    <w:rsid w:val="00CE66D5"/>
    <w:rsid w:val="00CF637A"/>
    <w:rsid w:val="00D059DE"/>
    <w:rsid w:val="00D116AB"/>
    <w:rsid w:val="00D13FCE"/>
    <w:rsid w:val="00D21E5C"/>
    <w:rsid w:val="00D306D1"/>
    <w:rsid w:val="00D30B82"/>
    <w:rsid w:val="00D30FEB"/>
    <w:rsid w:val="00D34786"/>
    <w:rsid w:val="00D37BFC"/>
    <w:rsid w:val="00D478E5"/>
    <w:rsid w:val="00D47A8E"/>
    <w:rsid w:val="00D52D14"/>
    <w:rsid w:val="00D55AE2"/>
    <w:rsid w:val="00D702DC"/>
    <w:rsid w:val="00D712D3"/>
    <w:rsid w:val="00D71422"/>
    <w:rsid w:val="00D72DC6"/>
    <w:rsid w:val="00D741C0"/>
    <w:rsid w:val="00D7558D"/>
    <w:rsid w:val="00D81D92"/>
    <w:rsid w:val="00DA6D1C"/>
    <w:rsid w:val="00DA7B5F"/>
    <w:rsid w:val="00DB248C"/>
    <w:rsid w:val="00DB6E5D"/>
    <w:rsid w:val="00DC11E7"/>
    <w:rsid w:val="00DC4947"/>
    <w:rsid w:val="00DC5D11"/>
    <w:rsid w:val="00DC7023"/>
    <w:rsid w:val="00DC72E7"/>
    <w:rsid w:val="00DC769A"/>
    <w:rsid w:val="00DD2F75"/>
    <w:rsid w:val="00DD3D86"/>
    <w:rsid w:val="00DD79F0"/>
    <w:rsid w:val="00DF1EC4"/>
    <w:rsid w:val="00DF4D9D"/>
    <w:rsid w:val="00E0340B"/>
    <w:rsid w:val="00E04A90"/>
    <w:rsid w:val="00E219C7"/>
    <w:rsid w:val="00E3215A"/>
    <w:rsid w:val="00E43157"/>
    <w:rsid w:val="00E461CE"/>
    <w:rsid w:val="00E51198"/>
    <w:rsid w:val="00E7124E"/>
    <w:rsid w:val="00E720CA"/>
    <w:rsid w:val="00E744BB"/>
    <w:rsid w:val="00E84EB5"/>
    <w:rsid w:val="00E85662"/>
    <w:rsid w:val="00E8789F"/>
    <w:rsid w:val="00E97683"/>
    <w:rsid w:val="00E97B71"/>
    <w:rsid w:val="00EA18FD"/>
    <w:rsid w:val="00EA3D34"/>
    <w:rsid w:val="00EB3649"/>
    <w:rsid w:val="00EB454D"/>
    <w:rsid w:val="00EB6291"/>
    <w:rsid w:val="00EC2B14"/>
    <w:rsid w:val="00EC2C4D"/>
    <w:rsid w:val="00ED61B2"/>
    <w:rsid w:val="00ED76BE"/>
    <w:rsid w:val="00EE0660"/>
    <w:rsid w:val="00EF3561"/>
    <w:rsid w:val="00EF5FFD"/>
    <w:rsid w:val="00EF619B"/>
    <w:rsid w:val="00F00B55"/>
    <w:rsid w:val="00F0200D"/>
    <w:rsid w:val="00F02AD1"/>
    <w:rsid w:val="00F03ECC"/>
    <w:rsid w:val="00F12E66"/>
    <w:rsid w:val="00F253CC"/>
    <w:rsid w:val="00F37106"/>
    <w:rsid w:val="00F4011F"/>
    <w:rsid w:val="00F519CF"/>
    <w:rsid w:val="00F56BA5"/>
    <w:rsid w:val="00F60E22"/>
    <w:rsid w:val="00F60EB0"/>
    <w:rsid w:val="00F719BC"/>
    <w:rsid w:val="00F77E38"/>
    <w:rsid w:val="00F81395"/>
    <w:rsid w:val="00F84AD9"/>
    <w:rsid w:val="00F917D1"/>
    <w:rsid w:val="00F9653B"/>
    <w:rsid w:val="00F96EB2"/>
    <w:rsid w:val="00FB62CF"/>
    <w:rsid w:val="00FC723C"/>
    <w:rsid w:val="00FD3C3B"/>
    <w:rsid w:val="00FE6B45"/>
    <w:rsid w:val="00FE7658"/>
    <w:rsid w:val="00FF0280"/>
    <w:rsid w:val="00FF05B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6964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696428"/>
    <w:rPr>
      <w:sz w:val="20"/>
    </w:rPr>
  </w:style>
  <w:style w:type="character" w:styleId="CommentReference">
    <w:name w:val="annotation reference"/>
    <w:basedOn w:val="DefaultParagraphFont"/>
    <w:uiPriority w:val="99"/>
    <w:semiHidden/>
    <w:unhideWhenUsed/>
    <w:rsid w:val="00696428"/>
    <w:rPr>
      <w:sz w:val="16"/>
      <w:szCs w:val="16"/>
    </w:rPr>
  </w:style>
  <w:style w:type="paragraph" w:styleId="CommentText">
    <w:name w:val="annotation text"/>
    <w:basedOn w:val="Normal"/>
    <w:link w:val="CommentTextChar"/>
    <w:uiPriority w:val="99"/>
    <w:semiHidden/>
    <w:unhideWhenUsed/>
    <w:rsid w:val="00696428"/>
    <w:rPr>
      <w:sz w:val="20"/>
      <w:szCs w:val="20"/>
    </w:rPr>
  </w:style>
  <w:style w:type="character" w:customStyle="1" w:styleId="CommentTextChar">
    <w:name w:val="Comment Text Char"/>
    <w:basedOn w:val="DefaultParagraphFont"/>
    <w:link w:val="CommentText"/>
    <w:uiPriority w:val="99"/>
    <w:semiHidden/>
    <w:rsid w:val="00696428"/>
    <w:rPr>
      <w:lang w:val="en-US" w:eastAsia="en-US"/>
    </w:rPr>
  </w:style>
  <w:style w:type="paragraph" w:styleId="Revision">
    <w:name w:val="Revision"/>
    <w:hidden/>
    <w:uiPriority w:val="99"/>
    <w:semiHidden/>
    <w:rsid w:val="00B63A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215">
      <w:bodyDiv w:val="1"/>
      <w:marLeft w:val="0"/>
      <w:marRight w:val="0"/>
      <w:marTop w:val="0"/>
      <w:marBottom w:val="0"/>
      <w:divBdr>
        <w:top w:val="none" w:sz="0" w:space="0" w:color="auto"/>
        <w:left w:val="none" w:sz="0" w:space="0" w:color="auto"/>
        <w:bottom w:val="none" w:sz="0" w:space="0" w:color="auto"/>
        <w:right w:val="none" w:sz="0" w:space="0" w:color="auto"/>
      </w:divBdr>
    </w:div>
    <w:div w:id="117604043">
      <w:bodyDiv w:val="1"/>
      <w:marLeft w:val="0"/>
      <w:marRight w:val="0"/>
      <w:marTop w:val="0"/>
      <w:marBottom w:val="0"/>
      <w:divBdr>
        <w:top w:val="none" w:sz="0" w:space="0" w:color="auto"/>
        <w:left w:val="none" w:sz="0" w:space="0" w:color="auto"/>
        <w:bottom w:val="none" w:sz="0" w:space="0" w:color="auto"/>
        <w:right w:val="none" w:sz="0" w:space="0" w:color="auto"/>
      </w:divBdr>
    </w:div>
    <w:div w:id="343171880">
      <w:bodyDiv w:val="1"/>
      <w:marLeft w:val="0"/>
      <w:marRight w:val="0"/>
      <w:marTop w:val="0"/>
      <w:marBottom w:val="0"/>
      <w:divBdr>
        <w:top w:val="none" w:sz="0" w:space="0" w:color="auto"/>
        <w:left w:val="none" w:sz="0" w:space="0" w:color="auto"/>
        <w:bottom w:val="none" w:sz="0" w:space="0" w:color="auto"/>
        <w:right w:val="none" w:sz="0" w:space="0" w:color="auto"/>
      </w:divBdr>
    </w:div>
    <w:div w:id="698896224">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52365">
      <w:bodyDiv w:val="1"/>
      <w:marLeft w:val="0"/>
      <w:marRight w:val="0"/>
      <w:marTop w:val="0"/>
      <w:marBottom w:val="0"/>
      <w:divBdr>
        <w:top w:val="none" w:sz="0" w:space="0" w:color="auto"/>
        <w:left w:val="none" w:sz="0" w:space="0" w:color="auto"/>
        <w:bottom w:val="none" w:sz="0" w:space="0" w:color="auto"/>
        <w:right w:val="none" w:sz="0" w:space="0" w:color="auto"/>
      </w:divBdr>
    </w:div>
    <w:div w:id="832910589">
      <w:bodyDiv w:val="1"/>
      <w:marLeft w:val="0"/>
      <w:marRight w:val="0"/>
      <w:marTop w:val="0"/>
      <w:marBottom w:val="0"/>
      <w:divBdr>
        <w:top w:val="none" w:sz="0" w:space="0" w:color="auto"/>
        <w:left w:val="none" w:sz="0" w:space="0" w:color="auto"/>
        <w:bottom w:val="none" w:sz="0" w:space="0" w:color="auto"/>
        <w:right w:val="none" w:sz="0" w:space="0" w:color="auto"/>
      </w:divBdr>
    </w:div>
    <w:div w:id="948783865">
      <w:bodyDiv w:val="1"/>
      <w:marLeft w:val="0"/>
      <w:marRight w:val="0"/>
      <w:marTop w:val="0"/>
      <w:marBottom w:val="0"/>
      <w:divBdr>
        <w:top w:val="none" w:sz="0" w:space="0" w:color="auto"/>
        <w:left w:val="none" w:sz="0" w:space="0" w:color="auto"/>
        <w:bottom w:val="none" w:sz="0" w:space="0" w:color="auto"/>
        <w:right w:val="none" w:sz="0" w:space="0" w:color="auto"/>
      </w:divBdr>
    </w:div>
    <w:div w:id="976301411">
      <w:bodyDiv w:val="1"/>
      <w:marLeft w:val="0"/>
      <w:marRight w:val="0"/>
      <w:marTop w:val="0"/>
      <w:marBottom w:val="0"/>
      <w:divBdr>
        <w:top w:val="none" w:sz="0" w:space="0" w:color="auto"/>
        <w:left w:val="none" w:sz="0" w:space="0" w:color="auto"/>
        <w:bottom w:val="none" w:sz="0" w:space="0" w:color="auto"/>
        <w:right w:val="none" w:sz="0" w:space="0" w:color="auto"/>
      </w:divBdr>
    </w:div>
    <w:div w:id="1044912151">
      <w:bodyDiv w:val="1"/>
      <w:marLeft w:val="0"/>
      <w:marRight w:val="0"/>
      <w:marTop w:val="0"/>
      <w:marBottom w:val="0"/>
      <w:divBdr>
        <w:top w:val="none" w:sz="0" w:space="0" w:color="auto"/>
        <w:left w:val="none" w:sz="0" w:space="0" w:color="auto"/>
        <w:bottom w:val="none" w:sz="0" w:space="0" w:color="auto"/>
        <w:right w:val="none" w:sz="0" w:space="0" w:color="auto"/>
      </w:divBdr>
    </w:div>
    <w:div w:id="1059787693">
      <w:bodyDiv w:val="1"/>
      <w:marLeft w:val="0"/>
      <w:marRight w:val="0"/>
      <w:marTop w:val="0"/>
      <w:marBottom w:val="0"/>
      <w:divBdr>
        <w:top w:val="none" w:sz="0" w:space="0" w:color="auto"/>
        <w:left w:val="none" w:sz="0" w:space="0" w:color="auto"/>
        <w:bottom w:val="none" w:sz="0" w:space="0" w:color="auto"/>
        <w:right w:val="none" w:sz="0" w:space="0" w:color="auto"/>
      </w:divBdr>
    </w:div>
    <w:div w:id="1137189981">
      <w:bodyDiv w:val="1"/>
      <w:marLeft w:val="0"/>
      <w:marRight w:val="0"/>
      <w:marTop w:val="0"/>
      <w:marBottom w:val="0"/>
      <w:divBdr>
        <w:top w:val="none" w:sz="0" w:space="0" w:color="auto"/>
        <w:left w:val="none" w:sz="0" w:space="0" w:color="auto"/>
        <w:bottom w:val="none" w:sz="0" w:space="0" w:color="auto"/>
        <w:right w:val="none" w:sz="0" w:space="0" w:color="auto"/>
      </w:divBdr>
    </w:div>
    <w:div w:id="1246767204">
      <w:bodyDiv w:val="1"/>
      <w:marLeft w:val="0"/>
      <w:marRight w:val="0"/>
      <w:marTop w:val="0"/>
      <w:marBottom w:val="0"/>
      <w:divBdr>
        <w:top w:val="none" w:sz="0" w:space="0" w:color="auto"/>
        <w:left w:val="none" w:sz="0" w:space="0" w:color="auto"/>
        <w:bottom w:val="none" w:sz="0" w:space="0" w:color="auto"/>
        <w:right w:val="none" w:sz="0" w:space="0" w:color="auto"/>
      </w:divBdr>
    </w:div>
    <w:div w:id="1338848968">
      <w:bodyDiv w:val="1"/>
      <w:marLeft w:val="0"/>
      <w:marRight w:val="0"/>
      <w:marTop w:val="0"/>
      <w:marBottom w:val="0"/>
      <w:divBdr>
        <w:top w:val="none" w:sz="0" w:space="0" w:color="auto"/>
        <w:left w:val="none" w:sz="0" w:space="0" w:color="auto"/>
        <w:bottom w:val="none" w:sz="0" w:space="0" w:color="auto"/>
        <w:right w:val="none" w:sz="0" w:space="0" w:color="auto"/>
      </w:divBdr>
    </w:div>
    <w:div w:id="1417937841">
      <w:bodyDiv w:val="1"/>
      <w:marLeft w:val="0"/>
      <w:marRight w:val="0"/>
      <w:marTop w:val="0"/>
      <w:marBottom w:val="0"/>
      <w:divBdr>
        <w:top w:val="none" w:sz="0" w:space="0" w:color="auto"/>
        <w:left w:val="none" w:sz="0" w:space="0" w:color="auto"/>
        <w:bottom w:val="none" w:sz="0" w:space="0" w:color="auto"/>
        <w:right w:val="none" w:sz="0" w:space="0" w:color="auto"/>
      </w:divBdr>
    </w:div>
    <w:div w:id="1492401875">
      <w:bodyDiv w:val="1"/>
      <w:marLeft w:val="0"/>
      <w:marRight w:val="0"/>
      <w:marTop w:val="0"/>
      <w:marBottom w:val="0"/>
      <w:divBdr>
        <w:top w:val="none" w:sz="0" w:space="0" w:color="auto"/>
        <w:left w:val="none" w:sz="0" w:space="0" w:color="auto"/>
        <w:bottom w:val="none" w:sz="0" w:space="0" w:color="auto"/>
        <w:right w:val="none" w:sz="0" w:space="0" w:color="auto"/>
      </w:divBdr>
    </w:div>
    <w:div w:id="15403634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29086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0BCE-61F1-4CE9-BE50-A383AC59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23/20</dc:title>
  <dc:creator/>
  <cp:lastModifiedBy/>
  <cp:revision>1</cp:revision>
  <dcterms:created xsi:type="dcterms:W3CDTF">2022-04-12T19:22:00Z</dcterms:created>
  <dcterms:modified xsi:type="dcterms:W3CDTF">2022-04-12T19:22:00Z</dcterms:modified>
</cp:coreProperties>
</file>