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3255072"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01FFD3A"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F82" w:rsidRPr="00892027" w:rsidRDefault="00A82F82" w:rsidP="00A82F82">
                            <w:pPr>
                              <w:spacing w:line="276" w:lineRule="auto"/>
                              <w:rPr>
                                <w:rFonts w:asciiTheme="majorHAnsi" w:hAnsiTheme="majorHAnsi" w:cs="Arial"/>
                                <w:b/>
                                <w:bCs/>
                                <w:color w:val="0D0D0D" w:themeColor="text1" w:themeTint="F2"/>
                                <w:sz w:val="36"/>
                                <w:szCs w:val="22"/>
                              </w:rPr>
                            </w:pPr>
                            <w:r w:rsidRPr="00892027">
                              <w:rPr>
                                <w:rFonts w:asciiTheme="majorHAnsi" w:hAnsiTheme="majorHAnsi" w:cs="Arial"/>
                                <w:b/>
                                <w:bCs/>
                                <w:color w:val="0D0D0D" w:themeColor="text1" w:themeTint="F2"/>
                                <w:sz w:val="36"/>
                                <w:szCs w:val="22"/>
                              </w:rPr>
                              <w:t xml:space="preserve">REPORT </w:t>
                            </w:r>
                            <w:r w:rsidRPr="00892027">
                              <w:rPr>
                                <w:rFonts w:asciiTheme="majorHAnsi" w:hAnsiTheme="majorHAnsi" w:cs="Arial"/>
                                <w:b/>
                                <w:bCs/>
                                <w:color w:val="0D0D0D" w:themeColor="text1" w:themeTint="F2"/>
                                <w:sz w:val="36"/>
                                <w:szCs w:val="40"/>
                              </w:rPr>
                              <w:t>No.</w:t>
                            </w:r>
                            <w:r w:rsidRPr="00892027">
                              <w:rPr>
                                <w:rFonts w:asciiTheme="majorHAnsi" w:hAnsiTheme="majorHAnsi" w:cs="Arial"/>
                                <w:b/>
                                <w:bCs/>
                                <w:color w:val="0D0D0D" w:themeColor="text1" w:themeTint="F2"/>
                                <w:sz w:val="36"/>
                                <w:szCs w:val="22"/>
                              </w:rPr>
                              <w:t xml:space="preserve"> </w:t>
                            </w:r>
                            <w:r w:rsidR="00251E01">
                              <w:rPr>
                                <w:rFonts w:asciiTheme="majorHAnsi" w:hAnsiTheme="majorHAnsi" w:cs="Arial"/>
                                <w:b/>
                                <w:bCs/>
                                <w:sz w:val="36"/>
                                <w:szCs w:val="22"/>
                              </w:rPr>
                              <w:t>333</w:t>
                            </w:r>
                            <w:r w:rsidRPr="00892027">
                              <w:rPr>
                                <w:rFonts w:asciiTheme="majorHAnsi" w:hAnsiTheme="majorHAnsi" w:cs="Arial"/>
                                <w:b/>
                                <w:bCs/>
                                <w:color w:val="0D0D0D" w:themeColor="text1" w:themeTint="F2"/>
                                <w:sz w:val="36"/>
                                <w:szCs w:val="22"/>
                              </w:rPr>
                              <w:t>/20</w:t>
                            </w:r>
                          </w:p>
                          <w:p w:rsidR="00A82F82" w:rsidRPr="00892027" w:rsidRDefault="00A82F82" w:rsidP="00A82F82">
                            <w:pPr>
                              <w:spacing w:line="276" w:lineRule="auto"/>
                              <w:rPr>
                                <w:rFonts w:asciiTheme="majorHAnsi" w:hAnsiTheme="majorHAnsi" w:cs="Arial"/>
                                <w:b/>
                                <w:bCs/>
                                <w:color w:val="0D0D0D" w:themeColor="text1" w:themeTint="F2"/>
                                <w:sz w:val="36"/>
                                <w:szCs w:val="22"/>
                              </w:rPr>
                            </w:pPr>
                            <w:r w:rsidRPr="00892027">
                              <w:rPr>
                                <w:rFonts w:asciiTheme="majorHAnsi" w:hAnsiTheme="majorHAnsi" w:cs="Arial"/>
                                <w:b/>
                                <w:bCs/>
                                <w:color w:val="0D0D0D" w:themeColor="text1" w:themeTint="F2"/>
                                <w:sz w:val="36"/>
                                <w:szCs w:val="22"/>
                              </w:rPr>
                              <w:t>CASE 13.421</w:t>
                            </w:r>
                          </w:p>
                          <w:p w:rsidR="00A82F82" w:rsidRPr="00892027" w:rsidRDefault="00A82F82" w:rsidP="00A82F82">
                            <w:pPr>
                              <w:spacing w:line="276" w:lineRule="auto"/>
                              <w:rPr>
                                <w:rFonts w:asciiTheme="majorHAnsi" w:hAnsiTheme="majorHAnsi" w:cs="Arial"/>
                                <w:color w:val="0D0D0D" w:themeColor="text1" w:themeTint="F2"/>
                                <w:szCs w:val="22"/>
                              </w:rPr>
                            </w:pPr>
                            <w:r w:rsidRPr="00892027">
                              <w:rPr>
                                <w:rFonts w:asciiTheme="majorHAnsi" w:hAnsiTheme="majorHAnsi" w:cs="Arial"/>
                                <w:color w:val="0D0D0D" w:themeColor="text1" w:themeTint="F2"/>
                                <w:szCs w:val="22"/>
                              </w:rPr>
                              <w:t>FRIENDLY SETTLEMENT</w:t>
                            </w:r>
                          </w:p>
                          <w:p w:rsidR="00A82F82" w:rsidRPr="00892027" w:rsidRDefault="00A82F82" w:rsidP="00A82F82">
                            <w:pPr>
                              <w:spacing w:line="276" w:lineRule="auto"/>
                              <w:rPr>
                                <w:rFonts w:asciiTheme="majorHAnsi" w:hAnsiTheme="majorHAnsi" w:cs="Arial"/>
                                <w:color w:val="0D0D0D" w:themeColor="text1" w:themeTint="F2"/>
                                <w:szCs w:val="22"/>
                              </w:rPr>
                            </w:pPr>
                            <w:bookmarkStart w:id="1" w:name="_ftnref1"/>
                          </w:p>
                          <w:bookmarkEnd w:id="1"/>
                          <w:p w:rsidR="00A82F82" w:rsidRPr="00251E01" w:rsidRDefault="00201367" w:rsidP="00A82F82">
                            <w:pPr>
                              <w:rPr>
                                <w:rFonts w:asciiTheme="majorHAnsi" w:hAnsiTheme="majorHAnsi" w:cs="Arial"/>
                                <w:color w:val="0D0D0D" w:themeColor="text1" w:themeTint="F2"/>
                                <w:szCs w:val="22"/>
                              </w:rPr>
                            </w:pPr>
                            <w:r>
                              <w:rPr>
                                <w:rFonts w:asciiTheme="majorHAnsi" w:hAnsiTheme="majorHAnsi" w:cs="Arial"/>
                                <w:color w:val="0D0D0D" w:themeColor="text1" w:themeTint="F2"/>
                                <w:szCs w:val="22"/>
                              </w:rPr>
                              <w:t>GEMINIANO GIL MARTI</w:t>
                            </w:r>
                            <w:r w:rsidR="00A82F82" w:rsidRPr="00251E01">
                              <w:rPr>
                                <w:rFonts w:asciiTheme="majorHAnsi" w:hAnsiTheme="majorHAnsi" w:cs="Arial"/>
                                <w:color w:val="0D0D0D" w:themeColor="text1" w:themeTint="F2"/>
                                <w:szCs w:val="22"/>
                              </w:rPr>
                              <w:t>NEZ AND FAMILY</w:t>
                            </w:r>
                          </w:p>
                          <w:p w:rsidR="005B52B0" w:rsidRPr="004B7EB6" w:rsidRDefault="00A82F82" w:rsidP="00A82F82">
                            <w:pPr>
                              <w:spacing w:line="276" w:lineRule="auto"/>
                              <w:rPr>
                                <w:rFonts w:asciiTheme="majorHAnsi" w:hAnsiTheme="majorHAnsi"/>
                                <w:color w:val="0D0D0D" w:themeColor="text1" w:themeTint="F2"/>
                                <w:lang w:val="es-ES_tradnl"/>
                              </w:rPr>
                            </w:pPr>
                            <w:r w:rsidRPr="00B54BF4">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7B546C3"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A82F82" w:rsidRPr="00892027" w:rsidRDefault="00A82F82" w:rsidP="00A82F82">
                      <w:pPr>
                        <w:spacing w:line="276" w:lineRule="auto"/>
                        <w:rPr>
                          <w:rFonts w:asciiTheme="majorHAnsi" w:hAnsiTheme="majorHAnsi" w:cs="Arial"/>
                          <w:b/>
                          <w:bCs/>
                          <w:color w:val="0D0D0D" w:themeColor="text1" w:themeTint="F2"/>
                          <w:sz w:val="36"/>
                          <w:szCs w:val="22"/>
                        </w:rPr>
                      </w:pPr>
                      <w:r w:rsidRPr="00892027">
                        <w:rPr>
                          <w:rFonts w:asciiTheme="majorHAnsi" w:hAnsiTheme="majorHAnsi" w:cs="Arial"/>
                          <w:b/>
                          <w:bCs/>
                          <w:color w:val="0D0D0D" w:themeColor="text1" w:themeTint="F2"/>
                          <w:sz w:val="36"/>
                          <w:szCs w:val="22"/>
                        </w:rPr>
                        <w:t xml:space="preserve">REPORT </w:t>
                      </w:r>
                      <w:r w:rsidRPr="00892027">
                        <w:rPr>
                          <w:rFonts w:asciiTheme="majorHAnsi" w:hAnsiTheme="majorHAnsi" w:cs="Arial"/>
                          <w:b/>
                          <w:bCs/>
                          <w:color w:val="0D0D0D" w:themeColor="text1" w:themeTint="F2"/>
                          <w:sz w:val="36"/>
                          <w:szCs w:val="40"/>
                        </w:rPr>
                        <w:t>No.</w:t>
                      </w:r>
                      <w:r w:rsidRPr="00892027">
                        <w:rPr>
                          <w:rFonts w:asciiTheme="majorHAnsi" w:hAnsiTheme="majorHAnsi" w:cs="Arial"/>
                          <w:b/>
                          <w:bCs/>
                          <w:color w:val="0D0D0D" w:themeColor="text1" w:themeTint="F2"/>
                          <w:sz w:val="36"/>
                          <w:szCs w:val="22"/>
                        </w:rPr>
                        <w:t xml:space="preserve"> </w:t>
                      </w:r>
                      <w:r w:rsidR="00251E01">
                        <w:rPr>
                          <w:rFonts w:asciiTheme="majorHAnsi" w:hAnsiTheme="majorHAnsi" w:cs="Arial"/>
                          <w:b/>
                          <w:bCs/>
                          <w:sz w:val="36"/>
                          <w:szCs w:val="22"/>
                        </w:rPr>
                        <w:t>333</w:t>
                      </w:r>
                      <w:r w:rsidRPr="00892027">
                        <w:rPr>
                          <w:rFonts w:asciiTheme="majorHAnsi" w:hAnsiTheme="majorHAnsi" w:cs="Arial"/>
                          <w:b/>
                          <w:bCs/>
                          <w:color w:val="0D0D0D" w:themeColor="text1" w:themeTint="F2"/>
                          <w:sz w:val="36"/>
                          <w:szCs w:val="22"/>
                        </w:rPr>
                        <w:t>/20</w:t>
                      </w:r>
                    </w:p>
                    <w:p w:rsidR="00A82F82" w:rsidRPr="00892027" w:rsidRDefault="00A82F82" w:rsidP="00A82F82">
                      <w:pPr>
                        <w:spacing w:line="276" w:lineRule="auto"/>
                        <w:rPr>
                          <w:rFonts w:asciiTheme="majorHAnsi" w:hAnsiTheme="majorHAnsi" w:cs="Arial"/>
                          <w:b/>
                          <w:bCs/>
                          <w:color w:val="0D0D0D" w:themeColor="text1" w:themeTint="F2"/>
                          <w:sz w:val="36"/>
                          <w:szCs w:val="22"/>
                        </w:rPr>
                      </w:pPr>
                      <w:r w:rsidRPr="00892027">
                        <w:rPr>
                          <w:rFonts w:asciiTheme="majorHAnsi" w:hAnsiTheme="majorHAnsi" w:cs="Arial"/>
                          <w:b/>
                          <w:bCs/>
                          <w:color w:val="0D0D0D" w:themeColor="text1" w:themeTint="F2"/>
                          <w:sz w:val="36"/>
                          <w:szCs w:val="22"/>
                        </w:rPr>
                        <w:t>CASE 13.421</w:t>
                      </w:r>
                    </w:p>
                    <w:p w:rsidR="00A82F82" w:rsidRPr="00892027" w:rsidRDefault="00A82F82" w:rsidP="00A82F82">
                      <w:pPr>
                        <w:spacing w:line="276" w:lineRule="auto"/>
                        <w:rPr>
                          <w:rFonts w:asciiTheme="majorHAnsi" w:hAnsiTheme="majorHAnsi" w:cs="Arial"/>
                          <w:color w:val="0D0D0D" w:themeColor="text1" w:themeTint="F2"/>
                          <w:szCs w:val="22"/>
                        </w:rPr>
                      </w:pPr>
                      <w:r w:rsidRPr="00892027">
                        <w:rPr>
                          <w:rFonts w:asciiTheme="majorHAnsi" w:hAnsiTheme="majorHAnsi" w:cs="Arial"/>
                          <w:color w:val="0D0D0D" w:themeColor="text1" w:themeTint="F2"/>
                          <w:szCs w:val="22"/>
                        </w:rPr>
                        <w:t>FRIENDLY SETTLEMENT</w:t>
                      </w:r>
                    </w:p>
                    <w:p w:rsidR="00A82F82" w:rsidRPr="00892027" w:rsidRDefault="00A82F82" w:rsidP="00A82F82">
                      <w:pPr>
                        <w:spacing w:line="276" w:lineRule="auto"/>
                        <w:rPr>
                          <w:rFonts w:asciiTheme="majorHAnsi" w:hAnsiTheme="majorHAnsi" w:cs="Arial"/>
                          <w:color w:val="0D0D0D" w:themeColor="text1" w:themeTint="F2"/>
                          <w:szCs w:val="22"/>
                        </w:rPr>
                      </w:pPr>
                      <w:bookmarkStart w:id="1" w:name="_ftnref1"/>
                    </w:p>
                    <w:bookmarkEnd w:id="1"/>
                    <w:p w:rsidR="00A82F82" w:rsidRPr="00251E01" w:rsidRDefault="00201367" w:rsidP="00A82F82">
                      <w:pPr>
                        <w:rPr>
                          <w:rFonts w:asciiTheme="majorHAnsi" w:hAnsiTheme="majorHAnsi" w:cs="Arial"/>
                          <w:color w:val="0D0D0D" w:themeColor="text1" w:themeTint="F2"/>
                          <w:szCs w:val="22"/>
                        </w:rPr>
                      </w:pPr>
                      <w:r>
                        <w:rPr>
                          <w:rFonts w:asciiTheme="majorHAnsi" w:hAnsiTheme="majorHAnsi" w:cs="Arial"/>
                          <w:color w:val="0D0D0D" w:themeColor="text1" w:themeTint="F2"/>
                          <w:szCs w:val="22"/>
                        </w:rPr>
                        <w:t>GEMINIANO GIL MARTI</w:t>
                      </w:r>
                      <w:r w:rsidR="00A82F82" w:rsidRPr="00251E01">
                        <w:rPr>
                          <w:rFonts w:asciiTheme="majorHAnsi" w:hAnsiTheme="majorHAnsi" w:cs="Arial"/>
                          <w:color w:val="0D0D0D" w:themeColor="text1" w:themeTint="F2"/>
                          <w:szCs w:val="22"/>
                        </w:rPr>
                        <w:t>NEZ AND FAMILY</w:t>
                      </w:r>
                    </w:p>
                    <w:p w:rsidR="005B52B0" w:rsidRPr="004B7EB6" w:rsidRDefault="00A82F82" w:rsidP="00A82F82">
                      <w:pPr>
                        <w:spacing w:line="276" w:lineRule="auto"/>
                        <w:rPr>
                          <w:rFonts w:asciiTheme="majorHAnsi" w:hAnsiTheme="majorHAnsi"/>
                          <w:color w:val="0D0D0D" w:themeColor="text1" w:themeTint="F2"/>
                          <w:lang w:val="es-ES_tradnl"/>
                        </w:rPr>
                      </w:pPr>
                      <w:r w:rsidRPr="00B54BF4">
                        <w:rPr>
                          <w:rFonts w:asciiTheme="majorHAnsi" w:hAnsiTheme="majorHAnsi" w:cs="Arial"/>
                          <w:color w:val="0D0D0D" w:themeColor="text1" w:themeTint="F2"/>
                          <w:szCs w:val="22"/>
                          <w:lang w:val="es-ES_tradnl"/>
                        </w:rPr>
                        <w:t>COLOMBIA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1511A3" w:rsidRDefault="00627C9F" w:rsidP="002C1641">
                            <w:pPr>
                              <w:jc w:val="right"/>
                              <w:rPr>
                                <w:rFonts w:asciiTheme="minorHAnsi" w:hAnsiTheme="minorHAnsi"/>
                                <w:color w:val="FFFFFF" w:themeColor="background1"/>
                                <w:sz w:val="22"/>
                                <w:lang w:val="es-US"/>
                              </w:rPr>
                            </w:pPr>
                            <w:r w:rsidRPr="001511A3">
                              <w:rPr>
                                <w:rFonts w:asciiTheme="minorHAnsi" w:hAnsiTheme="minorHAnsi"/>
                                <w:color w:val="FFFFFF" w:themeColor="background1"/>
                                <w:sz w:val="22"/>
                                <w:lang w:val="es-US"/>
                              </w:rPr>
                              <w:t>OEA/</w:t>
                            </w:r>
                            <w:proofErr w:type="spellStart"/>
                            <w:r w:rsidRPr="001511A3">
                              <w:rPr>
                                <w:rFonts w:asciiTheme="minorHAnsi" w:hAnsiTheme="minorHAnsi"/>
                                <w:color w:val="FFFFFF" w:themeColor="background1"/>
                                <w:sz w:val="22"/>
                                <w:lang w:val="es-US"/>
                              </w:rPr>
                              <w:t>Ser.L</w:t>
                            </w:r>
                            <w:proofErr w:type="spellEnd"/>
                            <w:r w:rsidRPr="001511A3">
                              <w:rPr>
                                <w:rFonts w:asciiTheme="minorHAnsi" w:hAnsiTheme="minorHAnsi"/>
                                <w:color w:val="FFFFFF" w:themeColor="background1"/>
                                <w:sz w:val="22"/>
                                <w:lang w:val="es-US"/>
                              </w:rPr>
                              <w:t>/V/II.</w:t>
                            </w:r>
                          </w:p>
                          <w:p w:rsidR="00627C9F" w:rsidRPr="0099175E" w:rsidRDefault="00627C9F" w:rsidP="002C1641">
                            <w:pPr>
                              <w:jc w:val="right"/>
                              <w:rPr>
                                <w:rFonts w:asciiTheme="minorHAnsi" w:hAnsiTheme="minorHAnsi"/>
                                <w:color w:val="FFFFFF" w:themeColor="background1"/>
                                <w:sz w:val="22"/>
                              </w:rPr>
                            </w:pPr>
                            <w:r w:rsidRPr="0099175E">
                              <w:rPr>
                                <w:rFonts w:asciiTheme="minorHAnsi" w:hAnsiTheme="minorHAnsi"/>
                                <w:color w:val="FFFFFF" w:themeColor="background1"/>
                                <w:sz w:val="22"/>
                              </w:rPr>
                              <w:t xml:space="preserve">Doc. </w:t>
                            </w:r>
                            <w:r w:rsidR="00251E01" w:rsidRPr="0099175E">
                              <w:rPr>
                                <w:rFonts w:asciiTheme="minorHAnsi" w:hAnsiTheme="minorHAnsi"/>
                                <w:color w:val="FFFFFF" w:themeColor="background1"/>
                                <w:sz w:val="22"/>
                              </w:rPr>
                              <w:t>351</w:t>
                            </w:r>
                          </w:p>
                          <w:p w:rsidR="00627C9F" w:rsidRPr="004B7EB6" w:rsidRDefault="00251E01" w:rsidP="002C1641">
                            <w:pPr>
                              <w:jc w:val="right"/>
                              <w:rPr>
                                <w:rFonts w:asciiTheme="minorHAnsi" w:hAnsiTheme="minorHAnsi"/>
                                <w:color w:val="FFFFFF" w:themeColor="background1"/>
                                <w:sz w:val="22"/>
                              </w:rPr>
                            </w:pPr>
                            <w:r>
                              <w:rPr>
                                <w:rFonts w:asciiTheme="minorHAnsi" w:hAnsiTheme="minorHAnsi"/>
                                <w:color w:val="FFFFFF" w:themeColor="background1"/>
                                <w:sz w:val="22"/>
                              </w:rPr>
                              <w:t>19 Nov</w:t>
                            </w:r>
                            <w:r w:rsidR="0099175E">
                              <w:rPr>
                                <w:rFonts w:asciiTheme="minorHAnsi" w:hAnsiTheme="minorHAnsi"/>
                                <w:color w:val="FFFFFF" w:themeColor="background1"/>
                                <w:sz w:val="22"/>
                              </w:rPr>
                              <w:t>ember</w:t>
                            </w:r>
                            <w:r w:rsidR="00A82F82">
                              <w:rPr>
                                <w:rFonts w:asciiTheme="minorHAnsi" w:hAnsiTheme="minorHAnsi"/>
                                <w:color w:val="FFFFFF" w:themeColor="background1"/>
                                <w:sz w:val="22"/>
                              </w:rPr>
                              <w:t xml:space="preserve"> 2020</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2E55DD">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046511D"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99175E" w:rsidRDefault="00627C9F" w:rsidP="002C1641">
                      <w:pPr>
                        <w:jc w:val="right"/>
                        <w:rPr>
                          <w:rFonts w:asciiTheme="minorHAnsi" w:hAnsiTheme="minorHAnsi"/>
                          <w:color w:val="FFFFFF" w:themeColor="background1"/>
                          <w:sz w:val="22"/>
                        </w:rPr>
                      </w:pPr>
                      <w:r w:rsidRPr="0099175E">
                        <w:rPr>
                          <w:rFonts w:asciiTheme="minorHAnsi" w:hAnsiTheme="minorHAnsi"/>
                          <w:color w:val="FFFFFF" w:themeColor="background1"/>
                          <w:sz w:val="22"/>
                        </w:rPr>
                        <w:t>OEA/Ser.L/V/II.</w:t>
                      </w:r>
                      <w:bookmarkStart w:id="2" w:name="_GoBack"/>
                      <w:bookmarkEnd w:id="2"/>
                    </w:p>
                    <w:p w:rsidR="00627C9F" w:rsidRPr="0099175E" w:rsidRDefault="00627C9F" w:rsidP="002C1641">
                      <w:pPr>
                        <w:jc w:val="right"/>
                        <w:rPr>
                          <w:rFonts w:asciiTheme="minorHAnsi" w:hAnsiTheme="minorHAnsi"/>
                          <w:color w:val="FFFFFF" w:themeColor="background1"/>
                          <w:sz w:val="22"/>
                        </w:rPr>
                      </w:pPr>
                      <w:r w:rsidRPr="0099175E">
                        <w:rPr>
                          <w:rFonts w:asciiTheme="minorHAnsi" w:hAnsiTheme="minorHAnsi"/>
                          <w:color w:val="FFFFFF" w:themeColor="background1"/>
                          <w:sz w:val="22"/>
                        </w:rPr>
                        <w:t xml:space="preserve">Doc. </w:t>
                      </w:r>
                      <w:r w:rsidR="00251E01" w:rsidRPr="0099175E">
                        <w:rPr>
                          <w:rFonts w:asciiTheme="minorHAnsi" w:hAnsiTheme="minorHAnsi"/>
                          <w:color w:val="FFFFFF" w:themeColor="background1"/>
                          <w:sz w:val="22"/>
                        </w:rPr>
                        <w:t>351</w:t>
                      </w:r>
                    </w:p>
                    <w:p w:rsidR="00627C9F" w:rsidRPr="004B7EB6" w:rsidRDefault="00251E01" w:rsidP="002C1641">
                      <w:pPr>
                        <w:jc w:val="right"/>
                        <w:rPr>
                          <w:rFonts w:asciiTheme="minorHAnsi" w:hAnsiTheme="minorHAnsi"/>
                          <w:color w:val="FFFFFF" w:themeColor="background1"/>
                          <w:sz w:val="22"/>
                        </w:rPr>
                      </w:pPr>
                      <w:r>
                        <w:rPr>
                          <w:rFonts w:asciiTheme="minorHAnsi" w:hAnsiTheme="minorHAnsi"/>
                          <w:color w:val="FFFFFF" w:themeColor="background1"/>
                          <w:sz w:val="22"/>
                        </w:rPr>
                        <w:t>19 Nov</w:t>
                      </w:r>
                      <w:r w:rsidR="0099175E">
                        <w:rPr>
                          <w:rFonts w:asciiTheme="minorHAnsi" w:hAnsiTheme="minorHAnsi"/>
                          <w:color w:val="FFFFFF" w:themeColor="background1"/>
                          <w:sz w:val="22"/>
                        </w:rPr>
                        <w:t>ember</w:t>
                      </w:r>
                      <w:r w:rsidR="00A82F82">
                        <w:rPr>
                          <w:rFonts w:asciiTheme="minorHAnsi" w:hAnsiTheme="minorHAnsi"/>
                          <w:color w:val="FFFFFF" w:themeColor="background1"/>
                          <w:sz w:val="22"/>
                        </w:rPr>
                        <w:t xml:space="preserve"> 2020</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2E55DD">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1E01" w:rsidRPr="00251E01" w:rsidRDefault="00251E01" w:rsidP="00251E01">
                            <w:pPr>
                              <w:tabs>
                                <w:tab w:val="center" w:pos="5400"/>
                              </w:tabs>
                              <w:suppressAutoHyphens/>
                              <w:spacing w:before="60"/>
                              <w:rPr>
                                <w:rFonts w:asciiTheme="majorHAnsi" w:hAnsiTheme="majorHAnsi"/>
                                <w:color w:val="0D0D0D" w:themeColor="text1" w:themeTint="F2"/>
                                <w:sz w:val="18"/>
                                <w:szCs w:val="20"/>
                              </w:rPr>
                            </w:pPr>
                            <w:r w:rsidRPr="00251E01">
                              <w:rPr>
                                <w:rFonts w:asciiTheme="majorHAnsi" w:hAnsiTheme="majorHAnsi"/>
                                <w:color w:val="0D0D0D" w:themeColor="text1" w:themeTint="F2"/>
                                <w:sz w:val="18"/>
                                <w:szCs w:val="20"/>
                              </w:rPr>
                              <w:t xml:space="preserve">Approved by the Commission at its session No. </w:t>
                            </w:r>
                            <w:r>
                              <w:rPr>
                                <w:rFonts w:asciiTheme="majorHAnsi" w:hAnsiTheme="majorHAnsi"/>
                                <w:color w:val="0D0D0D" w:themeColor="text1" w:themeTint="F2"/>
                                <w:sz w:val="18"/>
                                <w:szCs w:val="20"/>
                              </w:rPr>
                              <w:t>2192</w:t>
                            </w:r>
                            <w:r w:rsidRPr="00251E01">
                              <w:rPr>
                                <w:rFonts w:asciiTheme="majorHAnsi" w:hAnsiTheme="majorHAnsi"/>
                                <w:color w:val="0D0D0D" w:themeColor="text1" w:themeTint="F2"/>
                                <w:sz w:val="18"/>
                                <w:szCs w:val="20"/>
                              </w:rPr>
                              <w:t xml:space="preserve"> held on </w:t>
                            </w:r>
                            <w:r>
                              <w:rPr>
                                <w:rFonts w:asciiTheme="majorHAnsi" w:hAnsiTheme="majorHAnsi"/>
                                <w:color w:val="0D0D0D" w:themeColor="text1" w:themeTint="F2"/>
                                <w:sz w:val="18"/>
                                <w:szCs w:val="20"/>
                              </w:rPr>
                              <w:t>November 19, 2020</w:t>
                            </w:r>
                            <w:r w:rsidR="001511A3">
                              <w:rPr>
                                <w:rFonts w:asciiTheme="majorHAnsi" w:hAnsiTheme="majorHAnsi"/>
                                <w:color w:val="0D0D0D" w:themeColor="text1" w:themeTint="F2"/>
                                <w:sz w:val="18"/>
                                <w:szCs w:val="20"/>
                              </w:rPr>
                              <w:t>.</w:t>
                            </w:r>
                            <w:r w:rsidRPr="00251E01">
                              <w:rPr>
                                <w:rFonts w:asciiTheme="majorHAnsi" w:hAnsiTheme="majorHAnsi"/>
                                <w:color w:val="0D0D0D" w:themeColor="text1" w:themeTint="F2"/>
                                <w:sz w:val="18"/>
                                <w:szCs w:val="20"/>
                              </w:rPr>
                              <w:br/>
                            </w:r>
                          </w:p>
                          <w:p w:rsidR="00745899" w:rsidRPr="003C32BC" w:rsidRDefault="00745899" w:rsidP="00A82F8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689A7"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251E01" w:rsidRPr="00251E01" w:rsidRDefault="00251E01" w:rsidP="00251E01">
                      <w:pPr>
                        <w:tabs>
                          <w:tab w:val="center" w:pos="5400"/>
                        </w:tabs>
                        <w:suppressAutoHyphens/>
                        <w:spacing w:before="60"/>
                        <w:rPr>
                          <w:rFonts w:asciiTheme="majorHAnsi" w:hAnsiTheme="majorHAnsi"/>
                          <w:color w:val="0D0D0D" w:themeColor="text1" w:themeTint="F2"/>
                          <w:sz w:val="18"/>
                          <w:szCs w:val="20"/>
                        </w:rPr>
                      </w:pPr>
                      <w:r w:rsidRPr="00251E01">
                        <w:rPr>
                          <w:rFonts w:asciiTheme="majorHAnsi" w:hAnsiTheme="majorHAnsi"/>
                          <w:color w:val="0D0D0D" w:themeColor="text1" w:themeTint="F2"/>
                          <w:sz w:val="18"/>
                          <w:szCs w:val="20"/>
                        </w:rPr>
                        <w:t xml:space="preserve">Approved by the Commission at its session No. </w:t>
                      </w:r>
                      <w:r>
                        <w:rPr>
                          <w:rFonts w:asciiTheme="majorHAnsi" w:hAnsiTheme="majorHAnsi"/>
                          <w:color w:val="0D0D0D" w:themeColor="text1" w:themeTint="F2"/>
                          <w:sz w:val="18"/>
                          <w:szCs w:val="20"/>
                        </w:rPr>
                        <w:t>2192</w:t>
                      </w:r>
                      <w:r w:rsidRPr="00251E01">
                        <w:rPr>
                          <w:rFonts w:asciiTheme="majorHAnsi" w:hAnsiTheme="majorHAnsi"/>
                          <w:color w:val="0D0D0D" w:themeColor="text1" w:themeTint="F2"/>
                          <w:sz w:val="18"/>
                          <w:szCs w:val="20"/>
                        </w:rPr>
                        <w:t xml:space="preserve"> held on </w:t>
                      </w:r>
                      <w:r>
                        <w:rPr>
                          <w:rFonts w:asciiTheme="majorHAnsi" w:hAnsiTheme="majorHAnsi"/>
                          <w:color w:val="0D0D0D" w:themeColor="text1" w:themeTint="F2"/>
                          <w:sz w:val="18"/>
                          <w:szCs w:val="20"/>
                        </w:rPr>
                        <w:t>November 19, 2020</w:t>
                      </w:r>
                      <w:r w:rsidR="001511A3">
                        <w:rPr>
                          <w:rFonts w:asciiTheme="majorHAnsi" w:hAnsiTheme="majorHAnsi"/>
                          <w:color w:val="0D0D0D" w:themeColor="text1" w:themeTint="F2"/>
                          <w:sz w:val="18"/>
                          <w:szCs w:val="20"/>
                        </w:rPr>
                        <w:t>.</w:t>
                      </w:r>
                      <w:r w:rsidRPr="00251E01">
                        <w:rPr>
                          <w:rFonts w:asciiTheme="majorHAnsi" w:hAnsiTheme="majorHAnsi"/>
                          <w:color w:val="0D0D0D" w:themeColor="text1" w:themeTint="F2"/>
                          <w:sz w:val="18"/>
                          <w:szCs w:val="20"/>
                        </w:rPr>
                        <w:br/>
                      </w:r>
                    </w:p>
                    <w:p w:rsidR="00745899" w:rsidRPr="003C32BC" w:rsidRDefault="00745899" w:rsidP="00A82F8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137050">
                              <w:rPr>
                                <w:rFonts w:asciiTheme="majorHAnsi" w:hAnsiTheme="majorHAnsi"/>
                                <w:b/>
                                <w:color w:val="595959" w:themeColor="text1" w:themeTint="A6"/>
                                <w:sz w:val="18"/>
                              </w:rPr>
                              <w:t xml:space="preserve">Cite as: </w:t>
                            </w:r>
                            <w:r w:rsidR="00D21283" w:rsidRPr="00137050">
                              <w:rPr>
                                <w:rFonts w:asciiTheme="majorHAnsi" w:hAnsiTheme="majorHAnsi"/>
                                <w:color w:val="595959" w:themeColor="text1" w:themeTint="A6"/>
                                <w:sz w:val="18"/>
                              </w:rPr>
                              <w:t>IACHR, Report No. 333/20.</w:t>
                            </w:r>
                            <w:r w:rsidR="00A82F82" w:rsidRPr="00137050">
                              <w:rPr>
                                <w:rFonts w:asciiTheme="majorHAnsi" w:hAnsiTheme="majorHAnsi"/>
                                <w:color w:val="595959" w:themeColor="text1" w:themeTint="A6"/>
                                <w:sz w:val="18"/>
                              </w:rPr>
                              <w:t xml:space="preserve"> Case 13.421. </w:t>
                            </w:r>
                            <w:r w:rsidRPr="00137050">
                              <w:rPr>
                                <w:rFonts w:asciiTheme="majorHAnsi" w:hAnsiTheme="majorHAnsi"/>
                                <w:color w:val="595959" w:themeColor="text1" w:themeTint="A6"/>
                                <w:sz w:val="18"/>
                              </w:rPr>
                              <w:t xml:space="preserve">Friendly Settlement. </w:t>
                            </w:r>
                            <w:proofErr w:type="spellStart"/>
                            <w:r w:rsidR="00A82F82" w:rsidRPr="00137050">
                              <w:rPr>
                                <w:rFonts w:asciiTheme="majorHAnsi" w:hAnsiTheme="majorHAnsi"/>
                                <w:color w:val="595959" w:themeColor="text1" w:themeTint="A6"/>
                                <w:sz w:val="18"/>
                              </w:rPr>
                              <w:t>Geminiano</w:t>
                            </w:r>
                            <w:proofErr w:type="spellEnd"/>
                            <w:r w:rsidR="00A82F82" w:rsidRPr="00137050">
                              <w:rPr>
                                <w:rFonts w:asciiTheme="majorHAnsi" w:hAnsiTheme="majorHAnsi"/>
                                <w:color w:val="595959" w:themeColor="text1" w:themeTint="A6"/>
                                <w:sz w:val="18"/>
                              </w:rPr>
                              <w:t xml:space="preserve"> Gil Martinez</w:t>
                            </w:r>
                            <w:r w:rsidRPr="00137050">
                              <w:rPr>
                                <w:rFonts w:asciiTheme="majorHAnsi" w:hAnsiTheme="majorHAnsi"/>
                                <w:color w:val="595959" w:themeColor="text1" w:themeTint="A6"/>
                                <w:sz w:val="18"/>
                              </w:rPr>
                              <w:t xml:space="preserve">. </w:t>
                            </w:r>
                            <w:r w:rsidR="00A82F82" w:rsidRPr="00137050">
                              <w:rPr>
                                <w:rFonts w:asciiTheme="majorHAnsi" w:hAnsiTheme="majorHAnsi"/>
                                <w:color w:val="595959" w:themeColor="text1" w:themeTint="A6"/>
                                <w:sz w:val="18"/>
                              </w:rPr>
                              <w:t xml:space="preserve"> Colombia. </w:t>
                            </w:r>
                            <w:r w:rsidR="00D21283" w:rsidRPr="00137050">
                              <w:rPr>
                                <w:rFonts w:asciiTheme="majorHAnsi" w:hAnsiTheme="majorHAnsi"/>
                                <w:color w:val="595959" w:themeColor="text1" w:themeTint="A6"/>
                                <w:sz w:val="18"/>
                              </w:rPr>
                              <w:t>November 19,</w:t>
                            </w:r>
                            <w:r w:rsidR="00A82F82" w:rsidRPr="00137050">
                              <w:rPr>
                                <w:rFonts w:asciiTheme="majorHAnsi" w:hAnsiTheme="majorHAnsi"/>
                                <w:color w:val="595959" w:themeColor="text1" w:themeTint="A6"/>
                                <w:sz w:val="18"/>
                              </w:rPr>
                              <w:t xml:space="preserve"> 2020</w:t>
                            </w:r>
                            <w:r w:rsidRPr="00137050">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8417C1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137050">
                        <w:rPr>
                          <w:rFonts w:asciiTheme="majorHAnsi" w:hAnsiTheme="majorHAnsi"/>
                          <w:b/>
                          <w:color w:val="595959" w:themeColor="text1" w:themeTint="A6"/>
                          <w:sz w:val="18"/>
                        </w:rPr>
                        <w:t xml:space="preserve">Cite </w:t>
                      </w:r>
                      <w:proofErr w:type="gramStart"/>
                      <w:r w:rsidRPr="00137050">
                        <w:rPr>
                          <w:rFonts w:asciiTheme="majorHAnsi" w:hAnsiTheme="majorHAnsi"/>
                          <w:b/>
                          <w:color w:val="595959" w:themeColor="text1" w:themeTint="A6"/>
                          <w:sz w:val="18"/>
                        </w:rPr>
                        <w:t>as:</w:t>
                      </w:r>
                      <w:proofErr w:type="gramEnd"/>
                      <w:r w:rsidRPr="00137050">
                        <w:rPr>
                          <w:rFonts w:asciiTheme="majorHAnsi" w:hAnsiTheme="majorHAnsi"/>
                          <w:b/>
                          <w:color w:val="595959" w:themeColor="text1" w:themeTint="A6"/>
                          <w:sz w:val="18"/>
                        </w:rPr>
                        <w:t xml:space="preserve"> </w:t>
                      </w:r>
                      <w:r w:rsidR="00D21283" w:rsidRPr="00137050">
                        <w:rPr>
                          <w:rFonts w:asciiTheme="majorHAnsi" w:hAnsiTheme="majorHAnsi"/>
                          <w:color w:val="595959" w:themeColor="text1" w:themeTint="A6"/>
                          <w:sz w:val="18"/>
                        </w:rPr>
                        <w:t>IACHR, Report No. 333/20.</w:t>
                      </w:r>
                      <w:r w:rsidR="00A82F82" w:rsidRPr="00137050">
                        <w:rPr>
                          <w:rFonts w:asciiTheme="majorHAnsi" w:hAnsiTheme="majorHAnsi"/>
                          <w:color w:val="595959" w:themeColor="text1" w:themeTint="A6"/>
                          <w:sz w:val="18"/>
                        </w:rPr>
                        <w:t xml:space="preserve"> Case 13.421. </w:t>
                      </w:r>
                      <w:r w:rsidRPr="00137050">
                        <w:rPr>
                          <w:rFonts w:asciiTheme="majorHAnsi" w:hAnsiTheme="majorHAnsi"/>
                          <w:color w:val="595959" w:themeColor="text1" w:themeTint="A6"/>
                          <w:sz w:val="18"/>
                        </w:rPr>
                        <w:t xml:space="preserve">Friendly Settlement. </w:t>
                      </w:r>
                      <w:r w:rsidR="00A82F82" w:rsidRPr="00137050">
                        <w:rPr>
                          <w:rFonts w:asciiTheme="majorHAnsi" w:hAnsiTheme="majorHAnsi"/>
                          <w:color w:val="595959" w:themeColor="text1" w:themeTint="A6"/>
                          <w:sz w:val="18"/>
                        </w:rPr>
                        <w:t>Geminiano Gil Martinez</w:t>
                      </w:r>
                      <w:r w:rsidRPr="00137050">
                        <w:rPr>
                          <w:rFonts w:asciiTheme="majorHAnsi" w:hAnsiTheme="majorHAnsi"/>
                          <w:color w:val="595959" w:themeColor="text1" w:themeTint="A6"/>
                          <w:sz w:val="18"/>
                        </w:rPr>
                        <w:t xml:space="preserve">. </w:t>
                      </w:r>
                      <w:r w:rsidR="00A82F82" w:rsidRPr="00137050">
                        <w:rPr>
                          <w:rFonts w:asciiTheme="majorHAnsi" w:hAnsiTheme="majorHAnsi"/>
                          <w:color w:val="595959" w:themeColor="text1" w:themeTint="A6"/>
                          <w:sz w:val="18"/>
                        </w:rPr>
                        <w:t xml:space="preserve"> Colombia. </w:t>
                      </w:r>
                      <w:r w:rsidR="00D21283" w:rsidRPr="00137050">
                        <w:rPr>
                          <w:rFonts w:asciiTheme="majorHAnsi" w:hAnsiTheme="majorHAnsi"/>
                          <w:color w:val="595959" w:themeColor="text1" w:themeTint="A6"/>
                          <w:sz w:val="18"/>
                        </w:rPr>
                        <w:t>November 19,</w:t>
                      </w:r>
                      <w:r w:rsidR="00A82F82" w:rsidRPr="00137050">
                        <w:rPr>
                          <w:rFonts w:asciiTheme="majorHAnsi" w:hAnsiTheme="majorHAnsi"/>
                          <w:color w:val="595959" w:themeColor="text1" w:themeTint="A6"/>
                          <w:sz w:val="18"/>
                        </w:rPr>
                        <w:t xml:space="preserve"> 2020</w:t>
                      </w:r>
                      <w:r w:rsidRPr="00137050">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0476A0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815A8">
                            <w:r>
                              <w:rPr>
                                <w:noProof/>
                              </w:rPr>
                              <w:drawing>
                                <wp:inline distT="0" distB="0" distL="0" distR="0">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C29CFF1"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815A8">
                      <w:r>
                        <w:rPr>
                          <w:noProof/>
                        </w:rPr>
                        <w:drawing>
                          <wp:inline distT="0" distB="0" distL="0" distR="0">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rsidR="006311DA" w:rsidRPr="00FC3EB4" w:rsidRDefault="0099175E" w:rsidP="00145EDC">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REPORT No. 333</w:t>
      </w:r>
      <w:r w:rsidR="00A82F82">
        <w:rPr>
          <w:rFonts w:asciiTheme="majorHAnsi" w:hAnsiTheme="majorHAnsi"/>
          <w:b/>
          <w:sz w:val="18"/>
          <w:szCs w:val="20"/>
        </w:rPr>
        <w:t>/20</w:t>
      </w:r>
    </w:p>
    <w:p w:rsidR="006311DA" w:rsidRPr="00FC3EB4" w:rsidRDefault="006311DA" w:rsidP="00145EDC">
      <w:pPr>
        <w:tabs>
          <w:tab w:val="center" w:pos="5400"/>
        </w:tabs>
        <w:suppressAutoHyphens/>
        <w:spacing w:line="276" w:lineRule="auto"/>
        <w:jc w:val="center"/>
        <w:rPr>
          <w:rFonts w:asciiTheme="majorHAnsi" w:hAnsiTheme="majorHAnsi"/>
          <w:sz w:val="18"/>
          <w:szCs w:val="20"/>
        </w:rPr>
      </w:pPr>
      <w:r w:rsidRPr="00FC3EB4">
        <w:rPr>
          <w:rFonts w:asciiTheme="majorHAnsi" w:hAnsiTheme="majorHAnsi"/>
          <w:sz w:val="18"/>
          <w:szCs w:val="20"/>
        </w:rPr>
        <w:t>FRIENDLY SETTLEMENT</w:t>
      </w:r>
    </w:p>
    <w:p w:rsidR="00A82F82" w:rsidRPr="00892027" w:rsidRDefault="00A82F82" w:rsidP="00A82F82">
      <w:pPr>
        <w:tabs>
          <w:tab w:val="center" w:pos="5400"/>
        </w:tabs>
        <w:suppressAutoHyphens/>
        <w:jc w:val="center"/>
        <w:rPr>
          <w:rFonts w:asciiTheme="majorHAnsi" w:hAnsiTheme="majorHAnsi"/>
          <w:sz w:val="18"/>
          <w:szCs w:val="18"/>
        </w:rPr>
      </w:pPr>
      <w:r w:rsidRPr="00892027">
        <w:rPr>
          <w:rFonts w:asciiTheme="majorHAnsi" w:hAnsiTheme="majorHAnsi"/>
          <w:sz w:val="18"/>
          <w:szCs w:val="18"/>
        </w:rPr>
        <w:t>GEMINIANO GIL MARTINEZ AND FAMILY</w:t>
      </w:r>
    </w:p>
    <w:p w:rsidR="00A82F82" w:rsidRDefault="00A82F82" w:rsidP="00A82F82">
      <w:pPr>
        <w:tabs>
          <w:tab w:val="center" w:pos="5400"/>
        </w:tabs>
        <w:suppressAutoHyphens/>
        <w:jc w:val="center"/>
        <w:rPr>
          <w:rFonts w:asciiTheme="majorHAnsi" w:hAnsiTheme="majorHAnsi"/>
          <w:sz w:val="18"/>
          <w:szCs w:val="18"/>
        </w:rPr>
      </w:pPr>
      <w:r w:rsidRPr="00892027">
        <w:rPr>
          <w:rFonts w:asciiTheme="majorHAnsi" w:hAnsiTheme="majorHAnsi"/>
          <w:sz w:val="18"/>
          <w:szCs w:val="18"/>
        </w:rPr>
        <w:t>COLOMBIA</w:t>
      </w:r>
    </w:p>
    <w:p w:rsidR="00A82F82" w:rsidRPr="00892027" w:rsidRDefault="0099175E" w:rsidP="00A82F82">
      <w:pPr>
        <w:tabs>
          <w:tab w:val="center" w:pos="5400"/>
        </w:tabs>
        <w:suppressAutoHyphens/>
        <w:jc w:val="center"/>
        <w:rPr>
          <w:rFonts w:asciiTheme="majorHAnsi" w:hAnsiTheme="majorHAnsi"/>
          <w:sz w:val="18"/>
          <w:szCs w:val="18"/>
        </w:rPr>
      </w:pPr>
      <w:r>
        <w:rPr>
          <w:rFonts w:asciiTheme="majorHAnsi" w:hAnsiTheme="majorHAnsi"/>
          <w:sz w:val="18"/>
          <w:szCs w:val="18"/>
        </w:rPr>
        <w:t>NOVEMBER 19</w:t>
      </w:r>
      <w:r w:rsidR="00A82F82" w:rsidRPr="00892027">
        <w:rPr>
          <w:rFonts w:asciiTheme="majorHAnsi" w:hAnsiTheme="majorHAnsi"/>
          <w:sz w:val="18"/>
          <w:szCs w:val="18"/>
        </w:rPr>
        <w:t>, 2020</w:t>
      </w:r>
    </w:p>
    <w:p w:rsidR="00210E0E" w:rsidRDefault="00210E0E" w:rsidP="00145EDC">
      <w:pPr>
        <w:tabs>
          <w:tab w:val="center" w:pos="5400"/>
        </w:tabs>
        <w:suppressAutoHyphens/>
        <w:spacing w:line="276" w:lineRule="auto"/>
        <w:rPr>
          <w:rFonts w:asciiTheme="majorHAnsi" w:hAnsiTheme="majorHAnsi"/>
          <w:sz w:val="20"/>
          <w:szCs w:val="20"/>
        </w:rPr>
      </w:pPr>
    </w:p>
    <w:p w:rsidR="00A82F82" w:rsidRDefault="00A82F82" w:rsidP="00145EDC">
      <w:pPr>
        <w:tabs>
          <w:tab w:val="center" w:pos="5400"/>
        </w:tabs>
        <w:suppressAutoHyphens/>
        <w:spacing w:line="276" w:lineRule="auto"/>
        <w:rPr>
          <w:rFonts w:asciiTheme="majorHAnsi" w:hAnsiTheme="majorHAnsi"/>
          <w:sz w:val="20"/>
          <w:szCs w:val="20"/>
        </w:rPr>
      </w:pPr>
    </w:p>
    <w:p w:rsidR="00A82F82" w:rsidRPr="00A82F82" w:rsidRDefault="00A82F82" w:rsidP="00A82F82">
      <w:pPr>
        <w:pStyle w:val="ListParagraph"/>
        <w:numPr>
          <w:ilvl w:val="0"/>
          <w:numId w:val="105"/>
        </w:numPr>
        <w:ind w:left="0" w:firstLine="720"/>
        <w:rPr>
          <w:rFonts w:asciiTheme="majorHAnsi" w:hAnsiTheme="majorHAnsi"/>
          <w:b/>
          <w:sz w:val="20"/>
          <w:szCs w:val="20"/>
        </w:rPr>
      </w:pPr>
      <w:r w:rsidRPr="00A82F82">
        <w:rPr>
          <w:rFonts w:asciiTheme="majorHAnsi" w:hAnsiTheme="majorHAnsi"/>
          <w:b/>
          <w:sz w:val="20"/>
          <w:szCs w:val="20"/>
        </w:rPr>
        <w:t>SUMMARY AND RELEVANT PROCEDURAL ASPECTS OF THE FRIENDLY SETTLEMENT PROCESS</w:t>
      </w:r>
    </w:p>
    <w:p w:rsidR="00A82F82" w:rsidRPr="00A82F82" w:rsidRDefault="00A82F82" w:rsidP="00A82F82">
      <w:pPr>
        <w:ind w:firstLine="720"/>
        <w:rPr>
          <w:rFonts w:asciiTheme="majorHAnsi" w:hAnsiTheme="majorHAnsi"/>
          <w:b/>
          <w:sz w:val="20"/>
          <w:szCs w:val="20"/>
        </w:rPr>
      </w:pPr>
    </w:p>
    <w:p w:rsidR="00A82F82" w:rsidRPr="00A82F82" w:rsidRDefault="00A82F82" w:rsidP="00A82F82">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asciiTheme="majorHAnsi" w:hAnsiTheme="majorHAnsi" w:cs="Arial"/>
          <w:sz w:val="20"/>
          <w:szCs w:val="20"/>
        </w:rPr>
      </w:pPr>
      <w:r w:rsidRPr="00A82F82">
        <w:rPr>
          <w:rFonts w:asciiTheme="majorHAnsi" w:hAnsiTheme="majorHAnsi" w:cs="Arial"/>
          <w:sz w:val="20"/>
          <w:szCs w:val="20"/>
        </w:rPr>
        <w:t>On December 21, 2007, the Inter-American Commission on Human Rights (hereinafter “the Commission” or the “IACHR”) received a petition presented by Jesús Arcángel Alonso Guzmán (hereinafter “the petitioners”), against the Republic of Colombia (hereinafter, “the State” or “the Colombian State”) in which the international responsibility of the State was alleged in relation to the duty to prevent the kidnapping, subsequent murder, a lack of clarity regarding who authored the events, and unjustified delay in the criminal investigation to the detriment of Mr. Geminiano Gil Martínez and family. Later, Rigoberto Olivella Arzuaga assumed the representation of the victim's next of kin.</w:t>
      </w:r>
    </w:p>
    <w:p w:rsidR="00A82F82" w:rsidRPr="00A82F82"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jc w:val="both"/>
        <w:rPr>
          <w:rFonts w:asciiTheme="majorHAnsi" w:hAnsiTheme="majorHAnsi" w:cs="Arial"/>
          <w:sz w:val="20"/>
          <w:szCs w:val="20"/>
        </w:rPr>
      </w:pPr>
    </w:p>
    <w:p w:rsidR="00A82F82" w:rsidRPr="00A82F82" w:rsidRDefault="00A82F82" w:rsidP="00A82F82">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asciiTheme="majorHAnsi" w:hAnsiTheme="majorHAnsi" w:cs="Arial"/>
          <w:sz w:val="20"/>
          <w:szCs w:val="20"/>
        </w:rPr>
      </w:pPr>
      <w:r w:rsidRPr="00A82F82">
        <w:rPr>
          <w:rFonts w:asciiTheme="majorHAnsi" w:hAnsiTheme="majorHAnsi" w:cs="Arial"/>
          <w:sz w:val="20"/>
          <w:szCs w:val="20"/>
        </w:rPr>
        <w:t>The petitioners alleged that the Colombian State was responsible for the violation of the rights enshrined in Articles 1.1 (obligation to respect rights), 4 (ri</w:t>
      </w:r>
      <w:r w:rsidR="00520015">
        <w:rPr>
          <w:rFonts w:asciiTheme="majorHAnsi" w:hAnsiTheme="majorHAnsi" w:cs="Arial"/>
          <w:sz w:val="20"/>
          <w:szCs w:val="20"/>
        </w:rPr>
        <w:t>ght to life), 5 (personal integrity</w:t>
      </w:r>
      <w:r w:rsidRPr="00A82F82">
        <w:rPr>
          <w:rFonts w:asciiTheme="majorHAnsi" w:hAnsiTheme="majorHAnsi" w:cs="Arial"/>
          <w:sz w:val="20"/>
          <w:szCs w:val="20"/>
        </w:rPr>
        <w:t>), 7 (</w:t>
      </w:r>
      <w:r w:rsidR="00520015">
        <w:rPr>
          <w:rFonts w:asciiTheme="majorHAnsi" w:hAnsiTheme="majorHAnsi" w:cs="Arial"/>
          <w:sz w:val="20"/>
          <w:szCs w:val="20"/>
        </w:rPr>
        <w:t>personal liberty), 8 (judicial guarantees</w:t>
      </w:r>
      <w:r w:rsidRPr="00A82F82">
        <w:rPr>
          <w:rFonts w:asciiTheme="majorHAnsi" w:hAnsiTheme="majorHAnsi" w:cs="Arial"/>
          <w:sz w:val="20"/>
          <w:szCs w:val="20"/>
        </w:rPr>
        <w:t>) and 25 (</w:t>
      </w:r>
      <w:r w:rsidR="00520015">
        <w:rPr>
          <w:rFonts w:asciiTheme="majorHAnsi" w:hAnsiTheme="majorHAnsi" w:cs="Arial"/>
          <w:sz w:val="20"/>
          <w:szCs w:val="20"/>
        </w:rPr>
        <w:t xml:space="preserve">guarantees of </w:t>
      </w:r>
      <w:r w:rsidRPr="00A82F82">
        <w:rPr>
          <w:rFonts w:asciiTheme="majorHAnsi" w:hAnsiTheme="majorHAnsi" w:cs="Arial"/>
          <w:sz w:val="20"/>
          <w:szCs w:val="20"/>
        </w:rPr>
        <w:t>judicial protection) of the American Convention on Human Rights (hereinafter "Convention" or "American Convention" or "ACHR").</w:t>
      </w:r>
    </w:p>
    <w:p w:rsidR="00A82F82" w:rsidRPr="00A82F82"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jc w:val="both"/>
        <w:rPr>
          <w:rFonts w:asciiTheme="majorHAnsi" w:hAnsiTheme="majorHAnsi" w:cs="Arial"/>
          <w:sz w:val="20"/>
          <w:szCs w:val="20"/>
        </w:rPr>
      </w:pPr>
    </w:p>
    <w:p w:rsidR="00A82F82" w:rsidRPr="00A82F82" w:rsidRDefault="00A82F82" w:rsidP="00A82F82">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asciiTheme="majorHAnsi" w:hAnsiTheme="majorHAnsi" w:cs="Arial"/>
          <w:sz w:val="20"/>
          <w:szCs w:val="20"/>
        </w:rPr>
      </w:pPr>
      <w:r w:rsidRPr="00A82F82">
        <w:rPr>
          <w:rFonts w:asciiTheme="majorHAnsi" w:hAnsiTheme="majorHAnsi" w:cs="Arial"/>
          <w:sz w:val="20"/>
          <w:szCs w:val="20"/>
        </w:rPr>
        <w:t>On October 26, 2017, the IACHR issued Admissibility Report No. 141/17. In its report, the IACHR concluded that it was competent to declare the petition under study admissible, in relation to Articles 4 (right to life), 5 (</w:t>
      </w:r>
      <w:r w:rsidR="00520015">
        <w:rPr>
          <w:rFonts w:asciiTheme="majorHAnsi" w:hAnsiTheme="majorHAnsi" w:cs="Arial"/>
          <w:sz w:val="20"/>
          <w:szCs w:val="20"/>
        </w:rPr>
        <w:t>personal integrity</w:t>
      </w:r>
      <w:r w:rsidRPr="00A82F82">
        <w:rPr>
          <w:rFonts w:asciiTheme="majorHAnsi" w:hAnsiTheme="majorHAnsi" w:cs="Arial"/>
          <w:sz w:val="20"/>
          <w:szCs w:val="20"/>
        </w:rPr>
        <w:t>), 7 (personal liberty), 8 (</w:t>
      </w:r>
      <w:r w:rsidR="00520015">
        <w:rPr>
          <w:rFonts w:asciiTheme="majorHAnsi" w:hAnsiTheme="majorHAnsi" w:cs="Arial"/>
          <w:sz w:val="20"/>
          <w:szCs w:val="20"/>
        </w:rPr>
        <w:t>judicial guarantees</w:t>
      </w:r>
      <w:r w:rsidRPr="00A82F82">
        <w:rPr>
          <w:rFonts w:asciiTheme="majorHAnsi" w:hAnsiTheme="majorHAnsi" w:cs="Arial"/>
          <w:sz w:val="20"/>
          <w:szCs w:val="20"/>
        </w:rPr>
        <w:t>) and 25 (</w:t>
      </w:r>
      <w:r w:rsidR="00520015">
        <w:rPr>
          <w:rFonts w:asciiTheme="majorHAnsi" w:hAnsiTheme="majorHAnsi" w:cs="Arial"/>
          <w:sz w:val="20"/>
          <w:szCs w:val="20"/>
        </w:rPr>
        <w:t xml:space="preserve">guarantees of </w:t>
      </w:r>
      <w:r w:rsidRPr="00A82F82">
        <w:rPr>
          <w:rFonts w:asciiTheme="majorHAnsi" w:hAnsiTheme="majorHAnsi" w:cs="Arial"/>
          <w:sz w:val="20"/>
          <w:szCs w:val="20"/>
        </w:rPr>
        <w:t>judicial protection) of the Convention, in relation to its Article 1.1 (obligation to respect rights) of the American Convention.</w:t>
      </w:r>
    </w:p>
    <w:p w:rsidR="00A82F82" w:rsidRPr="00A82F82"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jc w:val="both"/>
        <w:rPr>
          <w:rFonts w:asciiTheme="majorHAnsi" w:hAnsiTheme="majorHAnsi" w:cs="Arial"/>
          <w:sz w:val="20"/>
          <w:szCs w:val="20"/>
        </w:rPr>
      </w:pPr>
    </w:p>
    <w:p w:rsidR="00A82F82" w:rsidRPr="00A82F82" w:rsidRDefault="00A82F82" w:rsidP="00A82F82">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asciiTheme="majorHAnsi" w:hAnsiTheme="majorHAnsi" w:cs="Arial"/>
          <w:sz w:val="20"/>
          <w:szCs w:val="20"/>
        </w:rPr>
      </w:pPr>
      <w:r w:rsidRPr="00A82F82">
        <w:rPr>
          <w:rFonts w:asciiTheme="majorHAnsi" w:hAnsiTheme="majorHAnsi" w:cs="Arial"/>
          <w:sz w:val="20"/>
          <w:szCs w:val="20"/>
        </w:rPr>
        <w:t>On April 26, 2019, the petitioning party expressed its interest in engaging in a friendly settlement, an offer that was accepted by the State on July 18, 2019. On August 2, 2019, the parties forwarded a Memorandum of Understanding to initiate the friendly settlement, which materialized with the signing of a friendly sett</w:t>
      </w:r>
      <w:r w:rsidR="00520015">
        <w:rPr>
          <w:rFonts w:asciiTheme="majorHAnsi" w:hAnsiTheme="majorHAnsi" w:cs="Arial"/>
          <w:sz w:val="20"/>
          <w:szCs w:val="20"/>
        </w:rPr>
        <w:t>lement agreement (hereinafter "F</w:t>
      </w:r>
      <w:r w:rsidRPr="00A82F82">
        <w:rPr>
          <w:rFonts w:asciiTheme="majorHAnsi" w:hAnsiTheme="majorHAnsi" w:cs="Arial"/>
          <w:sz w:val="20"/>
          <w:szCs w:val="20"/>
        </w:rPr>
        <w:t>SA" or "agreement") on December 4, 2019, in order to resolve the complaint filed before the IACHR out</w:t>
      </w:r>
      <w:r w:rsidR="00520015">
        <w:rPr>
          <w:rFonts w:asciiTheme="majorHAnsi" w:hAnsiTheme="majorHAnsi" w:cs="Arial"/>
          <w:sz w:val="20"/>
          <w:szCs w:val="20"/>
        </w:rPr>
        <w:t>side</w:t>
      </w:r>
      <w:r w:rsidRPr="00A82F82">
        <w:rPr>
          <w:rFonts w:asciiTheme="majorHAnsi" w:hAnsiTheme="majorHAnsi" w:cs="Arial"/>
          <w:sz w:val="20"/>
          <w:szCs w:val="20"/>
        </w:rPr>
        <w:t xml:space="preserve"> of contentious proceedings.</w:t>
      </w:r>
    </w:p>
    <w:p w:rsidR="00A82F82" w:rsidRPr="00A82F82"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jc w:val="both"/>
        <w:rPr>
          <w:rFonts w:asciiTheme="majorHAnsi" w:hAnsiTheme="majorHAnsi" w:cs="Arial"/>
          <w:sz w:val="20"/>
          <w:szCs w:val="20"/>
        </w:rPr>
      </w:pPr>
    </w:p>
    <w:p w:rsidR="00A82F82" w:rsidRPr="00A82F82" w:rsidRDefault="00A82F82" w:rsidP="00A82F82">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asciiTheme="majorHAnsi" w:hAnsiTheme="majorHAnsi" w:cs="Arial"/>
          <w:sz w:val="20"/>
          <w:szCs w:val="20"/>
        </w:rPr>
      </w:pPr>
      <w:r w:rsidRPr="00A82F82">
        <w:rPr>
          <w:rFonts w:asciiTheme="majorHAnsi" w:hAnsiTheme="majorHAnsi" w:cs="Calibri"/>
          <w:sz w:val="20"/>
          <w:szCs w:val="20"/>
        </w:rPr>
        <w:t>On July 2, 2020, the parties jointly requested approval of the friendly settlement agreement from the Commission.</w:t>
      </w:r>
    </w:p>
    <w:p w:rsidR="00A82F82" w:rsidRPr="00A82F82"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s>
        <w:ind w:firstLine="720"/>
        <w:jc w:val="both"/>
        <w:rPr>
          <w:rFonts w:asciiTheme="majorHAnsi" w:hAnsiTheme="majorHAnsi" w:cs="Arial"/>
          <w:sz w:val="20"/>
          <w:szCs w:val="20"/>
        </w:rPr>
      </w:pPr>
    </w:p>
    <w:p w:rsidR="00A82F82" w:rsidRPr="00A82F82" w:rsidRDefault="00A82F82" w:rsidP="00A82F82">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Arial"/>
          <w:sz w:val="20"/>
          <w:szCs w:val="20"/>
        </w:rPr>
      </w:pPr>
      <w:r w:rsidRPr="00A82F82">
        <w:rPr>
          <w:rFonts w:asciiTheme="majorHAnsi" w:hAnsiTheme="majorHAnsi" w:cs="Calibri"/>
          <w:sz w:val="20"/>
          <w:szCs w:val="20"/>
        </w:rPr>
        <w:t>In this friendly settlement report, as established in Article 49 of the Convention and in Article 40.5 of the Commission's Regulations, a review of the facts alleged by the petitioner is made and the friendly settlement agreement signed on December 4, 2019, by the petitioners and representatives of the Colombian State</w:t>
      </w:r>
      <w:r w:rsidR="00520015">
        <w:rPr>
          <w:rFonts w:asciiTheme="majorHAnsi" w:hAnsiTheme="majorHAnsi" w:cs="Calibri"/>
          <w:sz w:val="20"/>
          <w:szCs w:val="20"/>
        </w:rPr>
        <w:t xml:space="preserve"> is transcribed</w:t>
      </w:r>
      <w:r w:rsidRPr="00A82F82">
        <w:rPr>
          <w:rFonts w:asciiTheme="majorHAnsi" w:hAnsiTheme="majorHAnsi" w:cs="Calibri"/>
          <w:sz w:val="20"/>
          <w:szCs w:val="20"/>
        </w:rPr>
        <w:t xml:space="preserve">. Likewise, the agreement signed between the parties is approved and the publication of this report in the Annual Report of the IACHR to the General Assembly of the Organization of American States is agreed. </w:t>
      </w:r>
    </w:p>
    <w:p w:rsidR="00A82F82"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Arial"/>
          <w:sz w:val="20"/>
          <w:szCs w:val="20"/>
        </w:rPr>
      </w:pPr>
    </w:p>
    <w:p w:rsidR="00A82F82" w:rsidRPr="00A82F82" w:rsidRDefault="00A82F82" w:rsidP="00A82F82">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asciiTheme="majorHAnsi" w:hAnsiTheme="majorHAnsi" w:cs="Arial"/>
          <w:b/>
          <w:bCs/>
          <w:sz w:val="20"/>
          <w:szCs w:val="20"/>
        </w:rPr>
      </w:pPr>
      <w:r w:rsidRPr="00A82F82">
        <w:rPr>
          <w:rFonts w:asciiTheme="majorHAnsi" w:hAnsiTheme="majorHAnsi" w:cs="Arial"/>
          <w:b/>
          <w:bCs/>
          <w:sz w:val="20"/>
          <w:szCs w:val="20"/>
        </w:rPr>
        <w:t>THE ALLEGED FACTS</w:t>
      </w:r>
    </w:p>
    <w:p w:rsidR="00A82F82" w:rsidRPr="00A82F82"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s>
        <w:ind w:firstLine="720"/>
        <w:jc w:val="both"/>
        <w:rPr>
          <w:rFonts w:asciiTheme="majorHAnsi" w:hAnsiTheme="majorHAnsi" w:cs="Arial"/>
          <w:sz w:val="20"/>
          <w:szCs w:val="20"/>
        </w:rPr>
      </w:pPr>
    </w:p>
    <w:p w:rsidR="00A82F82" w:rsidRPr="00A82F82" w:rsidRDefault="00A82F82" w:rsidP="00A82F82">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asciiTheme="majorHAnsi" w:hAnsiTheme="majorHAnsi" w:cs="Arial"/>
          <w:sz w:val="20"/>
          <w:szCs w:val="20"/>
        </w:rPr>
      </w:pPr>
      <w:r w:rsidRPr="00A82F82">
        <w:rPr>
          <w:rFonts w:asciiTheme="majorHAnsi" w:hAnsiTheme="majorHAnsi" w:cs="Arial"/>
          <w:sz w:val="20"/>
          <w:szCs w:val="20"/>
        </w:rPr>
        <w:t xml:space="preserve">The petitioning party alleged that on December 6, 1989, Mr. Geminiano Gil Martínez was kidnapped when he was traveling from Granada, Department of Antioquia, to a camp located in the </w:t>
      </w:r>
      <w:r w:rsidR="00520015">
        <w:rPr>
          <w:rFonts w:asciiTheme="majorHAnsi" w:hAnsiTheme="majorHAnsi" w:cs="Arial"/>
          <w:sz w:val="20"/>
          <w:szCs w:val="20"/>
        </w:rPr>
        <w:t>village</w:t>
      </w:r>
      <w:r w:rsidRPr="00A82F82">
        <w:rPr>
          <w:rFonts w:asciiTheme="majorHAnsi" w:hAnsiTheme="majorHAnsi" w:cs="Arial"/>
          <w:sz w:val="20"/>
          <w:szCs w:val="20"/>
        </w:rPr>
        <w:t xml:space="preserve"> of Santa Ana, for work reasons. </w:t>
      </w:r>
      <w:r w:rsidR="00520015">
        <w:rPr>
          <w:rFonts w:asciiTheme="majorHAnsi" w:hAnsiTheme="majorHAnsi" w:cs="Arial"/>
          <w:sz w:val="20"/>
          <w:szCs w:val="20"/>
        </w:rPr>
        <w:t>It was</w:t>
      </w:r>
      <w:r w:rsidRPr="00A82F82">
        <w:rPr>
          <w:rFonts w:asciiTheme="majorHAnsi" w:hAnsiTheme="majorHAnsi" w:cs="Arial"/>
          <w:sz w:val="20"/>
          <w:szCs w:val="20"/>
        </w:rPr>
        <w:t xml:space="preserve"> also noted that on December 8, 1989 in the morning hours, the victim's wife received a call from an unidentified person, who informed her that her husband had been kidnapped along with another person. Later, in the afternoon, the authorities of the municipality of Guatapé found the body of the victim, along with the body of another person, and reported that he had died </w:t>
      </w:r>
      <w:r w:rsidR="00520015" w:rsidRPr="00A82F82">
        <w:rPr>
          <w:rFonts w:asciiTheme="majorHAnsi" w:hAnsiTheme="majorHAnsi" w:cs="Arial"/>
          <w:sz w:val="20"/>
          <w:szCs w:val="20"/>
        </w:rPr>
        <w:t>because</w:t>
      </w:r>
      <w:r w:rsidRPr="00A82F82">
        <w:rPr>
          <w:rFonts w:asciiTheme="majorHAnsi" w:hAnsiTheme="majorHAnsi" w:cs="Arial"/>
          <w:sz w:val="20"/>
          <w:szCs w:val="20"/>
        </w:rPr>
        <w:t xml:space="preserve"> of a gunshot wound to the head, possibly at the hands of armed groups. Additionally, on December 10, 1989, a press release was </w:t>
      </w:r>
      <w:r w:rsidRPr="00A82F82">
        <w:rPr>
          <w:rFonts w:asciiTheme="majorHAnsi" w:hAnsiTheme="majorHAnsi" w:cs="Arial"/>
          <w:sz w:val="20"/>
          <w:szCs w:val="20"/>
        </w:rPr>
        <w:lastRenderedPageBreak/>
        <w:t>published in the national newspaper "El Espectador" stating that the kidnapping had been carried out by members of the National Liberation Army.</w:t>
      </w:r>
    </w:p>
    <w:p w:rsidR="00A82F82" w:rsidRPr="00A82F82"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jc w:val="both"/>
        <w:rPr>
          <w:rFonts w:asciiTheme="majorHAnsi" w:hAnsiTheme="majorHAnsi" w:cs="Arial"/>
          <w:sz w:val="20"/>
          <w:szCs w:val="20"/>
        </w:rPr>
      </w:pPr>
    </w:p>
    <w:p w:rsidR="00A82F82" w:rsidRPr="00A82F82" w:rsidRDefault="00A82F82" w:rsidP="00A82F82">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asciiTheme="majorHAnsi" w:hAnsiTheme="majorHAnsi" w:cs="Arial"/>
          <w:sz w:val="20"/>
          <w:szCs w:val="20"/>
        </w:rPr>
      </w:pPr>
      <w:r w:rsidRPr="00A82F82">
        <w:rPr>
          <w:rFonts w:asciiTheme="majorHAnsi" w:hAnsiTheme="majorHAnsi" w:cs="Arial"/>
          <w:sz w:val="20"/>
          <w:szCs w:val="20"/>
        </w:rPr>
        <w:t>Additionally, the petitioning party reported that after the events an investigation was initiated before the Criminal Investigation Court of Guatapé and that on February 5, 2007, a right to petition was filed with the Attorney General's Office and the Antioquia Sectional Prosecutor's Office, requesting information on the investigation, which had begun in December 1989, into the alleged kidnapping and subsequent homicide of Geminiano Gil Martínez. The petitioning party highlighted that the Prosecutor's Office reported that there was no record of the facts and that according to the Municipal Criminal Court of Guatapé, the proceedings were forwarded, on March 28, 1990, to the 61st Criminal Investigation Court of the Municipality of San Rafael, which also had no record of the case. In addition, the petitioning party reported that it filed a direct reparation action against the Judicial Branch and the Office of the Attorney General of the Nation, as exhibited by an Order dated April 14, 2009, which was still pending a final judicial decision at the time of the presentation of the petition.</w:t>
      </w:r>
    </w:p>
    <w:p w:rsidR="00A82F82" w:rsidRPr="00A82F82"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jc w:val="both"/>
        <w:rPr>
          <w:rFonts w:asciiTheme="majorHAnsi" w:hAnsiTheme="majorHAnsi" w:cs="Arial"/>
          <w:sz w:val="20"/>
          <w:szCs w:val="20"/>
        </w:rPr>
      </w:pPr>
    </w:p>
    <w:p w:rsidR="00A82F82" w:rsidRPr="00A82F82" w:rsidRDefault="00A82F82" w:rsidP="00A82F82">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asciiTheme="majorHAnsi" w:hAnsiTheme="majorHAnsi" w:cs="Arial"/>
          <w:sz w:val="20"/>
          <w:szCs w:val="20"/>
        </w:rPr>
      </w:pPr>
      <w:r w:rsidRPr="00A82F82">
        <w:rPr>
          <w:rFonts w:asciiTheme="majorHAnsi" w:hAnsiTheme="majorHAnsi" w:cs="Arial"/>
          <w:sz w:val="20"/>
          <w:szCs w:val="20"/>
        </w:rPr>
        <w:t xml:space="preserve">Finally, the petitioners indicated that the Colombian State failed to comply with its duty to investigate, punish and repair the victims </w:t>
      </w:r>
      <w:r w:rsidR="00520015" w:rsidRPr="00A82F82">
        <w:rPr>
          <w:rFonts w:asciiTheme="majorHAnsi" w:hAnsiTheme="majorHAnsi" w:cs="Arial"/>
          <w:sz w:val="20"/>
          <w:szCs w:val="20"/>
        </w:rPr>
        <w:t>because</w:t>
      </w:r>
      <w:r w:rsidRPr="00A82F82">
        <w:rPr>
          <w:rFonts w:asciiTheme="majorHAnsi" w:hAnsiTheme="majorHAnsi" w:cs="Arial"/>
          <w:sz w:val="20"/>
          <w:szCs w:val="20"/>
        </w:rPr>
        <w:t xml:space="preserve"> of the failure to carry out the corresponding criminal actions. It also reported that at the time the petition was presented, 18 years had elapsed since the death of the victim without the perpetrators having been punished. Likewise, it pointed out that the events occurred in the context of the internal armed conflict and generalized insecurity in Colombia during the 1980s, specifically in the Department of Antioquia, and within the framework of a public policy of impunity.</w:t>
      </w:r>
    </w:p>
    <w:p w:rsidR="00A82F82" w:rsidRPr="00A82F82"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s>
        <w:ind w:firstLine="720"/>
        <w:jc w:val="both"/>
        <w:rPr>
          <w:rFonts w:asciiTheme="majorHAnsi" w:hAnsiTheme="majorHAnsi" w:cs="Arial"/>
          <w:sz w:val="20"/>
          <w:szCs w:val="20"/>
        </w:rPr>
      </w:pPr>
    </w:p>
    <w:p w:rsidR="00A82F82" w:rsidRPr="00A82F82" w:rsidRDefault="00A82F82" w:rsidP="00A82F82">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rFonts w:asciiTheme="majorHAnsi" w:hAnsiTheme="majorHAnsi"/>
          <w:b/>
          <w:sz w:val="20"/>
          <w:szCs w:val="20"/>
        </w:rPr>
      </w:pPr>
      <w:r w:rsidRPr="00A82F82">
        <w:rPr>
          <w:rFonts w:asciiTheme="majorHAnsi" w:hAnsiTheme="majorHAnsi"/>
          <w:b/>
          <w:sz w:val="20"/>
          <w:szCs w:val="20"/>
        </w:rPr>
        <w:t>FRIENDLY SETTLEMENT</w:t>
      </w:r>
    </w:p>
    <w:p w:rsidR="00A82F82" w:rsidRPr="00A82F82"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s>
        <w:ind w:firstLine="720"/>
        <w:jc w:val="both"/>
        <w:rPr>
          <w:rFonts w:asciiTheme="majorHAnsi" w:hAnsiTheme="majorHAnsi" w:cs="Arial"/>
          <w:sz w:val="20"/>
          <w:szCs w:val="20"/>
        </w:rPr>
      </w:pPr>
    </w:p>
    <w:p w:rsidR="00A82F82" w:rsidRPr="00A82F82"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s>
        <w:ind w:firstLine="720"/>
        <w:jc w:val="both"/>
        <w:rPr>
          <w:rFonts w:asciiTheme="majorHAnsi" w:hAnsiTheme="majorHAnsi" w:cs="Arial"/>
          <w:sz w:val="20"/>
          <w:szCs w:val="20"/>
        </w:rPr>
      </w:pPr>
    </w:p>
    <w:p w:rsidR="00A82F82" w:rsidRPr="00A82F82" w:rsidRDefault="00A82F82" w:rsidP="00A82F82">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asciiTheme="majorHAnsi" w:hAnsiTheme="majorHAnsi" w:cs="Arial"/>
          <w:sz w:val="20"/>
          <w:szCs w:val="20"/>
        </w:rPr>
      </w:pPr>
      <w:r w:rsidRPr="00A82F82">
        <w:rPr>
          <w:rFonts w:asciiTheme="majorHAnsi" w:hAnsiTheme="majorHAnsi" w:cs="Arial"/>
          <w:sz w:val="20"/>
          <w:szCs w:val="20"/>
        </w:rPr>
        <w:t>On December 4, 2019, the parties signed a friendly settlement agreement that establishes the following:</w:t>
      </w:r>
    </w:p>
    <w:p w:rsidR="00A82F82" w:rsidRPr="00892027"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 w:val="left" w:pos="8550"/>
          <w:tab w:val="left" w:pos="8640"/>
        </w:tabs>
        <w:ind w:left="720" w:right="720"/>
        <w:jc w:val="both"/>
        <w:rPr>
          <w:rFonts w:ascii="Cambria" w:hAnsi="Cambria" w:cs="Arial"/>
          <w:sz w:val="20"/>
          <w:szCs w:val="20"/>
        </w:rPr>
      </w:pPr>
    </w:p>
    <w:p w:rsidR="00A82F82" w:rsidRPr="00520015"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 w:val="left" w:pos="8550"/>
          <w:tab w:val="left" w:pos="8640"/>
        </w:tabs>
        <w:ind w:left="720" w:right="720"/>
        <w:jc w:val="center"/>
        <w:rPr>
          <w:rFonts w:ascii="Cambria" w:hAnsi="Cambria" w:cs="Arial"/>
          <w:b/>
          <w:sz w:val="20"/>
          <w:szCs w:val="20"/>
        </w:rPr>
      </w:pPr>
      <w:r w:rsidRPr="00520015">
        <w:rPr>
          <w:rFonts w:ascii="Cambria" w:hAnsi="Cambria" w:cs="Arial"/>
          <w:b/>
          <w:sz w:val="20"/>
          <w:szCs w:val="20"/>
        </w:rPr>
        <w:t>FRIENDLY SETTLEMENT AGREEMENT</w:t>
      </w:r>
    </w:p>
    <w:p w:rsidR="00A82F82" w:rsidRPr="00520015"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 w:val="left" w:pos="8550"/>
          <w:tab w:val="left" w:pos="8640"/>
        </w:tabs>
        <w:ind w:left="720" w:right="720"/>
        <w:jc w:val="center"/>
        <w:rPr>
          <w:rFonts w:ascii="Cambria" w:hAnsi="Cambria" w:cs="Arial"/>
          <w:b/>
          <w:sz w:val="20"/>
          <w:szCs w:val="20"/>
        </w:rPr>
      </w:pPr>
      <w:r w:rsidRPr="00520015">
        <w:rPr>
          <w:rFonts w:ascii="Cambria" w:hAnsi="Cambria" w:cs="Arial"/>
          <w:b/>
          <w:sz w:val="20"/>
          <w:szCs w:val="20"/>
        </w:rPr>
        <w:t>CASE 13.421</w:t>
      </w:r>
    </w:p>
    <w:p w:rsidR="00A82F82" w:rsidRPr="00520015"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 w:val="left" w:pos="8550"/>
          <w:tab w:val="left" w:pos="8640"/>
        </w:tabs>
        <w:ind w:left="720" w:right="720"/>
        <w:jc w:val="center"/>
        <w:rPr>
          <w:rFonts w:ascii="Cambria" w:hAnsi="Cambria" w:cs="Arial"/>
          <w:b/>
          <w:sz w:val="20"/>
          <w:szCs w:val="20"/>
        </w:rPr>
      </w:pPr>
      <w:r w:rsidRPr="00520015">
        <w:rPr>
          <w:rFonts w:ascii="Cambria" w:hAnsi="Cambria" w:cs="Arial"/>
          <w:b/>
          <w:sz w:val="20"/>
          <w:szCs w:val="20"/>
        </w:rPr>
        <w:t>GEMINIANO GIL MARTÍNEZ AND FAMILY</w:t>
      </w:r>
    </w:p>
    <w:p w:rsidR="00A82F82" w:rsidRPr="00520015"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 w:val="left" w:pos="8550"/>
          <w:tab w:val="left" w:pos="8640"/>
        </w:tabs>
        <w:ind w:left="720" w:right="720"/>
        <w:jc w:val="both"/>
        <w:rPr>
          <w:rFonts w:ascii="Cambria" w:hAnsi="Cambria" w:cs="Arial"/>
          <w:b/>
          <w:sz w:val="20"/>
          <w:szCs w:val="20"/>
        </w:rPr>
      </w:pPr>
    </w:p>
    <w:p w:rsidR="00A82F82" w:rsidRPr="00892027"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 w:val="left" w:pos="8550"/>
          <w:tab w:val="left" w:pos="8640"/>
        </w:tabs>
        <w:ind w:left="720" w:right="720"/>
        <w:jc w:val="both"/>
        <w:rPr>
          <w:rFonts w:ascii="Cambria" w:hAnsi="Cambria" w:cs="Arial"/>
          <w:sz w:val="20"/>
          <w:szCs w:val="20"/>
        </w:rPr>
      </w:pPr>
      <w:r w:rsidRPr="00892027">
        <w:rPr>
          <w:rFonts w:ascii="Cambria" w:hAnsi="Cambria" w:cs="Arial"/>
          <w:sz w:val="20"/>
          <w:szCs w:val="20"/>
        </w:rPr>
        <w:t>On December 4, 2019, in the city of Bogotá DC, María del Pilar Gutiérrez Perilla Advisor to the Directorate of International Legal Defense of the National Agency for Legal Defense of the State, who acts on behalf of the Colombian State, hereinafter " Colombian State ", and on the other hand, Rigoberto Olivella Arzuaga, who acts as petitioner in this case, and who will be referred to as</w:t>
      </w:r>
      <w:r w:rsidR="00520015">
        <w:rPr>
          <w:rFonts w:ascii="Cambria" w:hAnsi="Cambria" w:cs="Arial"/>
          <w:sz w:val="20"/>
          <w:szCs w:val="20"/>
        </w:rPr>
        <w:t xml:space="preserve"> </w:t>
      </w:r>
      <w:r w:rsidRPr="00892027">
        <w:rPr>
          <w:rFonts w:ascii="Cambria" w:hAnsi="Cambria" w:cs="Arial"/>
          <w:sz w:val="20"/>
          <w:szCs w:val="20"/>
        </w:rPr>
        <w:t>"</w:t>
      </w:r>
      <w:r w:rsidR="00520015">
        <w:rPr>
          <w:rFonts w:ascii="Cambria" w:hAnsi="Cambria" w:cs="Arial"/>
          <w:sz w:val="20"/>
          <w:szCs w:val="20"/>
        </w:rPr>
        <w:t>the petitioner</w:t>
      </w:r>
      <w:r w:rsidRPr="00892027">
        <w:rPr>
          <w:rFonts w:ascii="Cambria" w:hAnsi="Cambria" w:cs="Arial"/>
          <w:sz w:val="20"/>
          <w:szCs w:val="20"/>
        </w:rPr>
        <w:t>"</w:t>
      </w:r>
      <w:r w:rsidR="00520015">
        <w:rPr>
          <w:rFonts w:ascii="Cambria" w:hAnsi="Cambria" w:cs="Arial"/>
          <w:sz w:val="20"/>
          <w:szCs w:val="20"/>
        </w:rPr>
        <w:t xml:space="preserve"> </w:t>
      </w:r>
      <w:r w:rsidRPr="00892027">
        <w:rPr>
          <w:rFonts w:ascii="Cambria" w:hAnsi="Cambria" w:cs="Arial"/>
          <w:sz w:val="20"/>
          <w:szCs w:val="20"/>
        </w:rPr>
        <w:t>hereinafter, sign this Friendly Settlement Agreement in Case No</w:t>
      </w:r>
      <w:r w:rsidR="00520015">
        <w:rPr>
          <w:rFonts w:ascii="Cambria" w:hAnsi="Cambria" w:cs="Arial"/>
          <w:sz w:val="20"/>
          <w:szCs w:val="20"/>
        </w:rPr>
        <w:t>.</w:t>
      </w:r>
      <w:r w:rsidRPr="00892027">
        <w:rPr>
          <w:rFonts w:ascii="Cambria" w:hAnsi="Cambria" w:cs="Arial"/>
          <w:sz w:val="20"/>
          <w:szCs w:val="20"/>
        </w:rPr>
        <w:t xml:space="preserve"> 13.421 G</w:t>
      </w:r>
      <w:r w:rsidR="00520015">
        <w:rPr>
          <w:rFonts w:ascii="Cambria" w:hAnsi="Cambria" w:cs="Arial"/>
          <w:sz w:val="20"/>
          <w:szCs w:val="20"/>
        </w:rPr>
        <w:t>eminiano Gil Martínez y Familia</w:t>
      </w:r>
      <w:r w:rsidRPr="00892027">
        <w:rPr>
          <w:rFonts w:ascii="Cambria" w:hAnsi="Cambria" w:cs="Arial"/>
          <w:sz w:val="20"/>
          <w:szCs w:val="20"/>
        </w:rPr>
        <w:t>, processed before the Inter-American Commission on Human Rights.</w:t>
      </w:r>
    </w:p>
    <w:p w:rsidR="00A82F82" w:rsidRPr="00892027"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 w:val="left" w:pos="8550"/>
          <w:tab w:val="left" w:pos="8640"/>
        </w:tabs>
        <w:ind w:left="720" w:right="720"/>
        <w:jc w:val="both"/>
        <w:rPr>
          <w:rFonts w:ascii="Cambria" w:hAnsi="Cambria" w:cs="Arial"/>
          <w:sz w:val="20"/>
          <w:szCs w:val="20"/>
        </w:rPr>
      </w:pPr>
    </w:p>
    <w:p w:rsidR="00A82F82" w:rsidRPr="00892027"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 w:val="left" w:pos="8550"/>
          <w:tab w:val="left" w:pos="8640"/>
        </w:tabs>
        <w:ind w:left="720" w:right="720"/>
        <w:jc w:val="both"/>
        <w:rPr>
          <w:rFonts w:ascii="Cambria" w:hAnsi="Cambria" w:cs="Arial"/>
          <w:b/>
          <w:bCs/>
          <w:sz w:val="20"/>
          <w:szCs w:val="20"/>
        </w:rPr>
      </w:pPr>
      <w:r w:rsidRPr="00892027">
        <w:rPr>
          <w:rFonts w:ascii="Cambria" w:hAnsi="Cambria" w:cs="Arial"/>
          <w:b/>
          <w:bCs/>
          <w:sz w:val="20"/>
          <w:szCs w:val="20"/>
        </w:rPr>
        <w:t>PRELIMINARY CONSIDERATIONS</w:t>
      </w:r>
    </w:p>
    <w:p w:rsidR="00A82F82" w:rsidRPr="00892027"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 w:val="left" w:pos="8550"/>
          <w:tab w:val="left" w:pos="8640"/>
        </w:tabs>
        <w:ind w:left="720" w:right="720"/>
        <w:jc w:val="both"/>
        <w:rPr>
          <w:rFonts w:ascii="Cambria" w:hAnsi="Cambria" w:cs="Arial"/>
          <w:sz w:val="20"/>
          <w:szCs w:val="20"/>
        </w:rPr>
      </w:pPr>
    </w:p>
    <w:p w:rsidR="00A82F82" w:rsidRPr="00892027"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 w:val="left" w:pos="8550"/>
          <w:tab w:val="left" w:pos="8640"/>
        </w:tabs>
        <w:ind w:left="720" w:right="720"/>
        <w:jc w:val="both"/>
        <w:rPr>
          <w:rFonts w:ascii="Cambria" w:hAnsi="Cambria" w:cs="Arial"/>
          <w:sz w:val="20"/>
          <w:szCs w:val="20"/>
        </w:rPr>
      </w:pPr>
      <w:r w:rsidRPr="00892027">
        <w:rPr>
          <w:rFonts w:ascii="Cambria" w:hAnsi="Cambria" w:cs="Arial"/>
          <w:sz w:val="20"/>
          <w:szCs w:val="20"/>
        </w:rPr>
        <w:t xml:space="preserve">1. The facts of the petition refer to the kidnapping of Mr. Geminiano Gil Martínez on December 6, 1989, when he was traveling from Granada - Antioquia to a camp located in the Santa Ana </w:t>
      </w:r>
      <w:r w:rsidR="00520015">
        <w:rPr>
          <w:rFonts w:ascii="Cambria" w:hAnsi="Cambria" w:cs="Arial"/>
          <w:sz w:val="20"/>
          <w:szCs w:val="20"/>
        </w:rPr>
        <w:t>village</w:t>
      </w:r>
      <w:r w:rsidRPr="00892027">
        <w:rPr>
          <w:rFonts w:ascii="Cambria" w:hAnsi="Cambria" w:cs="Arial"/>
          <w:sz w:val="20"/>
          <w:szCs w:val="20"/>
        </w:rPr>
        <w:t>.</w:t>
      </w:r>
    </w:p>
    <w:p w:rsidR="00A82F82" w:rsidRPr="00892027"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 w:val="left" w:pos="8550"/>
          <w:tab w:val="left" w:pos="8640"/>
        </w:tabs>
        <w:ind w:left="720" w:right="720"/>
        <w:jc w:val="both"/>
        <w:rPr>
          <w:rFonts w:ascii="Cambria" w:hAnsi="Cambria" w:cs="Arial"/>
          <w:sz w:val="20"/>
          <w:szCs w:val="20"/>
        </w:rPr>
      </w:pPr>
    </w:p>
    <w:p w:rsidR="00A82F82" w:rsidRPr="00892027"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 w:val="left" w:pos="8550"/>
          <w:tab w:val="left" w:pos="8640"/>
        </w:tabs>
        <w:ind w:left="720" w:right="720"/>
        <w:jc w:val="both"/>
        <w:rPr>
          <w:rFonts w:ascii="Cambria" w:hAnsi="Cambria" w:cs="Arial"/>
          <w:sz w:val="20"/>
          <w:szCs w:val="20"/>
        </w:rPr>
      </w:pPr>
      <w:r w:rsidRPr="00892027">
        <w:rPr>
          <w:rFonts w:ascii="Cambria" w:hAnsi="Cambria" w:cs="Arial"/>
          <w:sz w:val="20"/>
          <w:szCs w:val="20"/>
        </w:rPr>
        <w:t>2. Later, in the afternoon, the authorities of the municipality of Guatapé found the body of Mr. Geminiano Gil Martínez along with the body of another person, and reported that he had died as a result of a wound with a firearm projectile.</w:t>
      </w:r>
    </w:p>
    <w:p w:rsidR="00A82F82" w:rsidRPr="00892027"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 w:val="left" w:pos="8550"/>
          <w:tab w:val="left" w:pos="8640"/>
        </w:tabs>
        <w:ind w:left="720" w:right="720"/>
        <w:jc w:val="both"/>
        <w:rPr>
          <w:rFonts w:ascii="Cambria" w:hAnsi="Cambria" w:cs="Arial"/>
          <w:sz w:val="20"/>
          <w:szCs w:val="20"/>
        </w:rPr>
      </w:pPr>
    </w:p>
    <w:p w:rsidR="00A82F82" w:rsidRPr="00892027"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 w:val="left" w:pos="8550"/>
          <w:tab w:val="left" w:pos="8640"/>
        </w:tabs>
        <w:ind w:left="720" w:right="720"/>
        <w:jc w:val="both"/>
        <w:rPr>
          <w:rFonts w:ascii="Cambria" w:hAnsi="Cambria" w:cs="Arial"/>
          <w:sz w:val="20"/>
          <w:szCs w:val="20"/>
        </w:rPr>
      </w:pPr>
      <w:r w:rsidRPr="00892027">
        <w:rPr>
          <w:rFonts w:ascii="Cambria" w:hAnsi="Cambria" w:cs="Arial"/>
          <w:sz w:val="20"/>
          <w:szCs w:val="20"/>
        </w:rPr>
        <w:t xml:space="preserve">3. For its part, the Sectional Prosecutor's Office of the Municipality of San Rafael issued an Inhibitory Resolution on November 11, </w:t>
      </w:r>
      <w:r w:rsidR="00520015" w:rsidRPr="00892027">
        <w:rPr>
          <w:rFonts w:ascii="Cambria" w:hAnsi="Cambria" w:cs="Arial"/>
          <w:sz w:val="20"/>
          <w:szCs w:val="20"/>
        </w:rPr>
        <w:t>1992;</w:t>
      </w:r>
      <w:r w:rsidRPr="00892027">
        <w:rPr>
          <w:rFonts w:ascii="Cambria" w:hAnsi="Cambria" w:cs="Arial"/>
          <w:sz w:val="20"/>
          <w:szCs w:val="20"/>
        </w:rPr>
        <w:t xml:space="preserve"> later the investigation was reopened, on April 16, 2012. Despite the fact that more than twenty years have passed since the presented facts, to date no progress has been made in clarifying what happened.</w:t>
      </w:r>
    </w:p>
    <w:p w:rsidR="00A82F82" w:rsidRPr="00892027"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 w:val="left" w:pos="8550"/>
          <w:tab w:val="left" w:pos="8640"/>
        </w:tabs>
        <w:ind w:left="720" w:right="720"/>
        <w:jc w:val="both"/>
        <w:rPr>
          <w:rFonts w:ascii="Cambria" w:hAnsi="Cambria" w:cs="Arial"/>
          <w:sz w:val="20"/>
          <w:szCs w:val="20"/>
        </w:rPr>
      </w:pPr>
    </w:p>
    <w:p w:rsidR="00A82F82" w:rsidRPr="00892027"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 w:val="left" w:pos="8550"/>
          <w:tab w:val="left" w:pos="8640"/>
        </w:tabs>
        <w:ind w:left="720" w:right="720"/>
        <w:jc w:val="both"/>
        <w:rPr>
          <w:rFonts w:ascii="Cambria" w:hAnsi="Cambria" w:cs="Arial"/>
          <w:sz w:val="20"/>
          <w:szCs w:val="20"/>
        </w:rPr>
      </w:pPr>
      <w:r w:rsidRPr="00892027">
        <w:rPr>
          <w:rFonts w:ascii="Cambria" w:hAnsi="Cambria" w:cs="Arial"/>
          <w:sz w:val="20"/>
          <w:szCs w:val="20"/>
        </w:rPr>
        <w:lastRenderedPageBreak/>
        <w:t>4. The petitioners filed an action for direct reparation and for improper administration of justice, which is pending a second instance ruling before the Council of State.</w:t>
      </w:r>
    </w:p>
    <w:p w:rsidR="00A82F82" w:rsidRPr="00892027"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 w:val="left" w:pos="8550"/>
          <w:tab w:val="left" w:pos="8640"/>
        </w:tabs>
        <w:ind w:left="720" w:right="720"/>
        <w:jc w:val="both"/>
        <w:rPr>
          <w:rFonts w:ascii="Cambria" w:hAnsi="Cambria" w:cs="Arial"/>
          <w:sz w:val="20"/>
          <w:szCs w:val="20"/>
        </w:rPr>
      </w:pPr>
    </w:p>
    <w:p w:rsidR="00A82F82" w:rsidRPr="00892027"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 w:val="left" w:pos="8550"/>
          <w:tab w:val="left" w:pos="8640"/>
        </w:tabs>
        <w:ind w:left="720" w:right="720"/>
        <w:jc w:val="both"/>
        <w:rPr>
          <w:rFonts w:ascii="Cambria" w:hAnsi="Cambria" w:cs="Arial"/>
          <w:sz w:val="20"/>
          <w:szCs w:val="20"/>
        </w:rPr>
      </w:pPr>
      <w:r w:rsidRPr="00892027">
        <w:rPr>
          <w:rFonts w:ascii="Cambria" w:hAnsi="Cambria" w:cs="Arial"/>
          <w:sz w:val="20"/>
          <w:szCs w:val="20"/>
        </w:rPr>
        <w:t>5. On December 21, 2007, the Inter-American Commission on Human Rights received a petition presented by Dr. Rigoberto Olivella Arzuaga, in which the international responsibility of the State was alleged for the facts surrounding the murde</w:t>
      </w:r>
      <w:r w:rsidR="00520015">
        <w:rPr>
          <w:rFonts w:ascii="Cambria" w:hAnsi="Cambria" w:cs="Arial"/>
          <w:sz w:val="20"/>
          <w:szCs w:val="20"/>
        </w:rPr>
        <w:t>r of Mr. Geminiano Martínez Gil (Sic)</w:t>
      </w:r>
      <w:r w:rsidRPr="00892027">
        <w:rPr>
          <w:rFonts w:ascii="Cambria" w:hAnsi="Cambria" w:cs="Arial"/>
          <w:sz w:val="20"/>
          <w:szCs w:val="20"/>
        </w:rPr>
        <w:t>, as well as the lack of investigation and clarification of the events that occurred.</w:t>
      </w:r>
    </w:p>
    <w:p w:rsidR="00A82F82" w:rsidRPr="00892027"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 w:val="left" w:pos="8550"/>
          <w:tab w:val="left" w:pos="8640"/>
        </w:tabs>
        <w:ind w:left="720" w:right="720"/>
        <w:jc w:val="both"/>
        <w:rPr>
          <w:rFonts w:ascii="Cambria" w:hAnsi="Cambria" w:cs="Arial"/>
          <w:sz w:val="20"/>
          <w:szCs w:val="20"/>
        </w:rPr>
      </w:pPr>
    </w:p>
    <w:p w:rsidR="00A82F82" w:rsidRPr="00892027"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 w:val="left" w:pos="8550"/>
          <w:tab w:val="left" w:pos="8640"/>
        </w:tabs>
        <w:ind w:left="720" w:right="720"/>
        <w:jc w:val="both"/>
        <w:rPr>
          <w:rFonts w:ascii="Cambria" w:hAnsi="Cambria" w:cs="Arial"/>
          <w:sz w:val="20"/>
          <w:szCs w:val="20"/>
        </w:rPr>
      </w:pPr>
      <w:r w:rsidRPr="00892027">
        <w:rPr>
          <w:rFonts w:ascii="Cambria" w:hAnsi="Cambria" w:cs="Arial"/>
          <w:sz w:val="20"/>
          <w:szCs w:val="20"/>
        </w:rPr>
        <w:t>6. By report No. 141/17 of October 26, 2017, the Inter-American Commission on Human Rights declared the petition admissible in relation to Articles 4, 5, 7, 8 and 25 of the American Convention on Human Rights, in relation to its article 1.1.</w:t>
      </w:r>
    </w:p>
    <w:p w:rsidR="00A82F82" w:rsidRPr="00892027"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 w:val="left" w:pos="8550"/>
          <w:tab w:val="left" w:pos="8640"/>
        </w:tabs>
        <w:ind w:left="720" w:right="720"/>
        <w:jc w:val="both"/>
        <w:rPr>
          <w:rFonts w:ascii="Cambria" w:hAnsi="Cambria" w:cs="Arial"/>
          <w:sz w:val="20"/>
          <w:szCs w:val="20"/>
        </w:rPr>
      </w:pPr>
    </w:p>
    <w:p w:rsidR="00A82F82" w:rsidRPr="00892027"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 w:val="left" w:pos="8550"/>
          <w:tab w:val="left" w:pos="8640"/>
        </w:tabs>
        <w:ind w:left="720" w:right="720"/>
        <w:jc w:val="both"/>
        <w:rPr>
          <w:rFonts w:ascii="Cambria" w:hAnsi="Cambria" w:cs="Arial"/>
          <w:sz w:val="20"/>
          <w:szCs w:val="20"/>
        </w:rPr>
      </w:pPr>
      <w:r w:rsidRPr="00892027">
        <w:rPr>
          <w:rFonts w:ascii="Cambria" w:hAnsi="Cambria" w:cs="Arial"/>
          <w:sz w:val="20"/>
          <w:szCs w:val="20"/>
        </w:rPr>
        <w:t>7. On July 24, 2019, the Colombian State and the representative of the victims signed a Memorandum of Understanding in order to reach a friendly settlement.</w:t>
      </w:r>
    </w:p>
    <w:p w:rsidR="00A82F82" w:rsidRPr="00892027"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 w:val="left" w:pos="8550"/>
          <w:tab w:val="left" w:pos="8640"/>
        </w:tabs>
        <w:ind w:left="720" w:right="720"/>
        <w:jc w:val="both"/>
        <w:rPr>
          <w:rFonts w:ascii="Cambria" w:hAnsi="Cambria" w:cs="Arial"/>
          <w:sz w:val="20"/>
          <w:szCs w:val="20"/>
        </w:rPr>
      </w:pPr>
    </w:p>
    <w:p w:rsidR="00A82F82" w:rsidRPr="00892027"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 w:val="left" w:pos="8550"/>
          <w:tab w:val="left" w:pos="8640"/>
        </w:tabs>
        <w:ind w:left="720" w:right="720"/>
        <w:jc w:val="both"/>
        <w:rPr>
          <w:rFonts w:ascii="Cambria" w:hAnsi="Cambria" w:cs="Arial"/>
          <w:sz w:val="20"/>
          <w:szCs w:val="20"/>
        </w:rPr>
      </w:pPr>
      <w:r w:rsidRPr="00892027">
        <w:rPr>
          <w:rFonts w:ascii="Cambria" w:hAnsi="Cambria" w:cs="Arial"/>
          <w:sz w:val="20"/>
          <w:szCs w:val="20"/>
        </w:rPr>
        <w:t>8. In the following months, joint meetings were held to analyze the proposals of both parties in order to reach a friendly settlement agreement.</w:t>
      </w:r>
    </w:p>
    <w:p w:rsidR="00A82F82" w:rsidRPr="00892027"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 w:val="left" w:pos="8550"/>
          <w:tab w:val="left" w:pos="8640"/>
        </w:tabs>
        <w:ind w:left="720" w:right="720"/>
        <w:jc w:val="both"/>
        <w:rPr>
          <w:rFonts w:ascii="Cambria" w:hAnsi="Cambria" w:cs="Arial"/>
          <w:sz w:val="20"/>
          <w:szCs w:val="20"/>
        </w:rPr>
      </w:pPr>
    </w:p>
    <w:p w:rsidR="00A82F82" w:rsidRPr="00892027"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 w:val="left" w:pos="8550"/>
          <w:tab w:val="left" w:pos="8640"/>
        </w:tabs>
        <w:ind w:left="720" w:right="720"/>
        <w:jc w:val="both"/>
        <w:rPr>
          <w:rFonts w:ascii="Cambria" w:hAnsi="Cambria" w:cs="Arial"/>
          <w:sz w:val="20"/>
          <w:szCs w:val="20"/>
        </w:rPr>
      </w:pPr>
      <w:r w:rsidRPr="00892027">
        <w:rPr>
          <w:rFonts w:ascii="Cambria" w:hAnsi="Cambria" w:cs="Arial"/>
          <w:sz w:val="20"/>
          <w:szCs w:val="20"/>
        </w:rPr>
        <w:t>9. The Colombian State and the representative of the victims decided to sign this Friendly Settlement Agreement, which will be governed under the following terms:</w:t>
      </w:r>
    </w:p>
    <w:p w:rsidR="00A82F82" w:rsidRPr="00892027" w:rsidRDefault="00A82F82" w:rsidP="00520015">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 w:val="left" w:pos="8550"/>
          <w:tab w:val="left" w:pos="8640"/>
        </w:tabs>
        <w:ind w:right="720"/>
        <w:jc w:val="both"/>
        <w:rPr>
          <w:rFonts w:ascii="Cambria" w:hAnsi="Cambria" w:cs="Arial"/>
          <w:b/>
          <w:bCs/>
          <w:sz w:val="20"/>
          <w:szCs w:val="20"/>
        </w:rPr>
      </w:pPr>
    </w:p>
    <w:p w:rsidR="00A82F82" w:rsidRPr="00892027" w:rsidRDefault="00A82F82" w:rsidP="00A82F82">
      <w:pPr>
        <w:widowControl w:val="0"/>
        <w:tabs>
          <w:tab w:val="left" w:pos="8550"/>
          <w:tab w:val="left" w:pos="8640"/>
        </w:tabs>
        <w:ind w:left="720" w:right="720"/>
        <w:jc w:val="both"/>
        <w:rPr>
          <w:rFonts w:ascii="Cambria" w:eastAsia="Times New Roman" w:hAnsi="Cambria"/>
          <w:b/>
          <w:bCs/>
          <w:sz w:val="20"/>
          <w:szCs w:val="20"/>
        </w:rPr>
      </w:pPr>
      <w:r w:rsidRPr="00892027">
        <w:rPr>
          <w:rFonts w:ascii="Cambria" w:eastAsia="Times New Roman" w:hAnsi="Cambria"/>
          <w:b/>
          <w:bCs/>
          <w:sz w:val="20"/>
          <w:szCs w:val="20"/>
        </w:rPr>
        <w:t>FIRST: ACKNOWLEDGMENT OF RESPONSIBILITY</w:t>
      </w:r>
    </w:p>
    <w:p w:rsidR="00A82F82" w:rsidRPr="00892027" w:rsidRDefault="00A82F82" w:rsidP="00A82F82">
      <w:pPr>
        <w:widowControl w:val="0"/>
        <w:tabs>
          <w:tab w:val="left" w:pos="8550"/>
          <w:tab w:val="left" w:pos="8640"/>
        </w:tabs>
        <w:ind w:left="720" w:right="720"/>
        <w:jc w:val="both"/>
        <w:rPr>
          <w:rFonts w:ascii="Cambria" w:eastAsia="Times New Roman" w:hAnsi="Cambria"/>
          <w:sz w:val="20"/>
          <w:szCs w:val="20"/>
        </w:rPr>
      </w:pPr>
    </w:p>
    <w:p w:rsidR="00A82F82" w:rsidRPr="00892027" w:rsidRDefault="00A82F82" w:rsidP="00A82F82">
      <w:pPr>
        <w:widowControl w:val="0"/>
        <w:tabs>
          <w:tab w:val="left" w:pos="8550"/>
          <w:tab w:val="left" w:pos="8640"/>
        </w:tabs>
        <w:ind w:left="720" w:right="720"/>
        <w:jc w:val="both"/>
        <w:rPr>
          <w:rFonts w:ascii="Cambria" w:eastAsia="Times New Roman" w:hAnsi="Cambria"/>
          <w:b/>
          <w:bCs/>
          <w:sz w:val="20"/>
          <w:szCs w:val="20"/>
        </w:rPr>
      </w:pPr>
      <w:r w:rsidRPr="00892027">
        <w:rPr>
          <w:rFonts w:ascii="Cambria" w:eastAsia="Times New Roman" w:hAnsi="Cambria"/>
          <w:sz w:val="20"/>
          <w:szCs w:val="20"/>
        </w:rPr>
        <w:t>The Colombian State recognizes international responsibility for the violation of Articles 8 (fair trial) and 25 (right to judicial protection) of the American Convention on Human Rights to the detriment of the victim's next of kin, due to the lack of diligence in the investigation of the events that occurred on December 6, 1989, in which Mr. Geminiano Gil Martínez died.</w:t>
      </w:r>
    </w:p>
    <w:p w:rsidR="00A82F82" w:rsidRPr="00892027" w:rsidRDefault="00A82F82" w:rsidP="00A82F82">
      <w:pPr>
        <w:widowControl w:val="0"/>
        <w:tabs>
          <w:tab w:val="left" w:pos="8550"/>
          <w:tab w:val="left" w:pos="8640"/>
        </w:tabs>
        <w:ind w:left="720" w:right="720"/>
        <w:jc w:val="both"/>
        <w:rPr>
          <w:rFonts w:ascii="Cambria" w:eastAsia="Times New Roman" w:hAnsi="Cambria"/>
          <w:b/>
          <w:bCs/>
          <w:sz w:val="20"/>
          <w:szCs w:val="20"/>
        </w:rPr>
      </w:pPr>
    </w:p>
    <w:p w:rsidR="00A82F82" w:rsidRPr="00892027" w:rsidRDefault="00A82F82" w:rsidP="00A82F82">
      <w:pPr>
        <w:widowControl w:val="0"/>
        <w:tabs>
          <w:tab w:val="left" w:pos="8550"/>
          <w:tab w:val="left" w:pos="8640"/>
        </w:tabs>
        <w:ind w:left="720" w:right="720"/>
        <w:jc w:val="both"/>
        <w:rPr>
          <w:rFonts w:ascii="Cambria" w:eastAsia="Times New Roman" w:hAnsi="Cambria"/>
          <w:b/>
          <w:bCs/>
          <w:sz w:val="20"/>
          <w:szCs w:val="20"/>
        </w:rPr>
      </w:pPr>
      <w:r w:rsidRPr="00892027">
        <w:rPr>
          <w:rFonts w:ascii="Cambria" w:eastAsia="Times New Roman" w:hAnsi="Cambria"/>
          <w:b/>
          <w:bCs/>
          <w:sz w:val="20"/>
          <w:szCs w:val="20"/>
        </w:rPr>
        <w:t>SECOND: WITHDRAWAL OF THE DIRECT REPAIR ACTION</w:t>
      </w:r>
    </w:p>
    <w:p w:rsidR="00A82F82" w:rsidRPr="00892027" w:rsidRDefault="00A82F82" w:rsidP="00A82F82">
      <w:pPr>
        <w:widowControl w:val="0"/>
        <w:tabs>
          <w:tab w:val="left" w:pos="8550"/>
          <w:tab w:val="left" w:pos="8640"/>
        </w:tabs>
        <w:ind w:left="720" w:right="720"/>
        <w:jc w:val="both"/>
        <w:rPr>
          <w:rFonts w:ascii="Cambria" w:eastAsia="Times New Roman" w:hAnsi="Cambria"/>
          <w:sz w:val="20"/>
          <w:szCs w:val="20"/>
        </w:rPr>
      </w:pPr>
    </w:p>
    <w:p w:rsidR="00A82F82" w:rsidRPr="00892027" w:rsidRDefault="00A82F82" w:rsidP="00A82F82">
      <w:pPr>
        <w:widowControl w:val="0"/>
        <w:tabs>
          <w:tab w:val="left" w:pos="8550"/>
          <w:tab w:val="left" w:pos="8640"/>
        </w:tabs>
        <w:ind w:left="720" w:right="720"/>
        <w:jc w:val="both"/>
        <w:rPr>
          <w:rFonts w:ascii="Cambria" w:eastAsia="Times New Roman" w:hAnsi="Cambria"/>
          <w:sz w:val="20"/>
          <w:szCs w:val="20"/>
        </w:rPr>
      </w:pPr>
      <w:r w:rsidRPr="00892027">
        <w:rPr>
          <w:rFonts w:ascii="Cambria" w:eastAsia="Times New Roman" w:hAnsi="Cambria"/>
          <w:sz w:val="20"/>
          <w:szCs w:val="20"/>
        </w:rPr>
        <w:t xml:space="preserve">Given that the Colombian State and the victims' representative signed this Friendly Settlement Agreement, the petitioner undertakes to desist from the Direct Reparation Action No. 05001233100020090059701 that is being processed in the second instance before the Council of State, Third Section. Likewise, it expressly </w:t>
      </w:r>
      <w:r w:rsidR="00520015">
        <w:rPr>
          <w:rFonts w:ascii="Cambria" w:eastAsia="Times New Roman" w:hAnsi="Cambria"/>
          <w:sz w:val="20"/>
          <w:szCs w:val="20"/>
        </w:rPr>
        <w:t>renounces</w:t>
      </w:r>
      <w:r w:rsidRPr="00892027">
        <w:rPr>
          <w:rFonts w:ascii="Cambria" w:eastAsia="Times New Roman" w:hAnsi="Cambria"/>
          <w:sz w:val="20"/>
          <w:szCs w:val="20"/>
        </w:rPr>
        <w:t xml:space="preserve"> to file another judicial action at the domestic level regarding the same facts and for the same claims.</w:t>
      </w:r>
    </w:p>
    <w:p w:rsidR="00A82F82" w:rsidRPr="00892027" w:rsidRDefault="00A82F82" w:rsidP="00A82F82">
      <w:pPr>
        <w:widowControl w:val="0"/>
        <w:tabs>
          <w:tab w:val="left" w:pos="8550"/>
          <w:tab w:val="left" w:pos="8640"/>
        </w:tabs>
        <w:ind w:left="720" w:right="720"/>
        <w:jc w:val="both"/>
        <w:rPr>
          <w:rFonts w:ascii="Cambria" w:eastAsia="Times New Roman" w:hAnsi="Cambria"/>
          <w:b/>
          <w:bCs/>
          <w:sz w:val="20"/>
          <w:szCs w:val="20"/>
        </w:rPr>
      </w:pPr>
    </w:p>
    <w:p w:rsidR="00A82F82" w:rsidRPr="00892027" w:rsidRDefault="00A82F82" w:rsidP="00A82F82">
      <w:pPr>
        <w:widowControl w:val="0"/>
        <w:tabs>
          <w:tab w:val="left" w:pos="8550"/>
          <w:tab w:val="left" w:pos="8640"/>
        </w:tabs>
        <w:ind w:left="720" w:right="720"/>
        <w:jc w:val="both"/>
        <w:rPr>
          <w:rFonts w:ascii="Cambria" w:eastAsia="Times New Roman" w:hAnsi="Cambria"/>
          <w:b/>
          <w:bCs/>
          <w:sz w:val="20"/>
          <w:szCs w:val="20"/>
        </w:rPr>
      </w:pPr>
      <w:r w:rsidRPr="00892027">
        <w:rPr>
          <w:rFonts w:ascii="Cambria" w:eastAsia="Times New Roman" w:hAnsi="Cambria"/>
          <w:b/>
          <w:bCs/>
          <w:sz w:val="20"/>
          <w:szCs w:val="20"/>
        </w:rPr>
        <w:t>THIRD: SATISFACTION MEASURES</w:t>
      </w:r>
    </w:p>
    <w:p w:rsidR="00A82F82" w:rsidRPr="00892027" w:rsidRDefault="00A82F82" w:rsidP="00A82F82">
      <w:pPr>
        <w:widowControl w:val="0"/>
        <w:tabs>
          <w:tab w:val="left" w:pos="8550"/>
          <w:tab w:val="left" w:pos="8640"/>
        </w:tabs>
        <w:ind w:left="720" w:right="720"/>
        <w:jc w:val="both"/>
        <w:rPr>
          <w:rFonts w:ascii="Cambria" w:eastAsia="Times New Roman" w:hAnsi="Cambria"/>
          <w:sz w:val="20"/>
          <w:szCs w:val="20"/>
        </w:rPr>
      </w:pPr>
    </w:p>
    <w:p w:rsidR="00A82F82" w:rsidRPr="00892027" w:rsidRDefault="00A82F82" w:rsidP="00A82F82">
      <w:pPr>
        <w:widowControl w:val="0"/>
        <w:tabs>
          <w:tab w:val="left" w:pos="8550"/>
          <w:tab w:val="left" w:pos="8640"/>
        </w:tabs>
        <w:ind w:left="720" w:right="720"/>
        <w:jc w:val="both"/>
        <w:rPr>
          <w:rFonts w:ascii="Cambria" w:eastAsia="Times New Roman" w:hAnsi="Cambria"/>
          <w:sz w:val="20"/>
          <w:szCs w:val="20"/>
        </w:rPr>
      </w:pPr>
      <w:r w:rsidRPr="00892027">
        <w:rPr>
          <w:rFonts w:ascii="Cambria" w:eastAsia="Times New Roman" w:hAnsi="Cambria"/>
          <w:sz w:val="20"/>
          <w:szCs w:val="20"/>
        </w:rPr>
        <w:t>The State of Colombia undertakes to carry out the following measures</w:t>
      </w:r>
      <w:r w:rsidR="00520015">
        <w:rPr>
          <w:rStyle w:val="FootnoteReference"/>
          <w:rFonts w:ascii="Cambria" w:eastAsia="Times New Roman" w:hAnsi="Cambria"/>
          <w:sz w:val="20"/>
          <w:szCs w:val="20"/>
        </w:rPr>
        <w:footnoteReference w:id="2"/>
      </w:r>
      <w:r w:rsidRPr="00892027">
        <w:rPr>
          <w:rFonts w:ascii="Cambria" w:eastAsia="Times New Roman" w:hAnsi="Cambria"/>
          <w:sz w:val="20"/>
          <w:szCs w:val="20"/>
        </w:rPr>
        <w:t>:</w:t>
      </w:r>
    </w:p>
    <w:p w:rsidR="00A82F82" w:rsidRPr="00892027" w:rsidRDefault="00A82F82" w:rsidP="00A82F82">
      <w:pPr>
        <w:widowControl w:val="0"/>
        <w:tabs>
          <w:tab w:val="left" w:pos="8550"/>
          <w:tab w:val="left" w:pos="8640"/>
        </w:tabs>
        <w:ind w:left="720" w:right="720"/>
        <w:jc w:val="both"/>
        <w:rPr>
          <w:rFonts w:ascii="Cambria" w:eastAsia="Times New Roman" w:hAnsi="Cambria"/>
          <w:sz w:val="20"/>
          <w:szCs w:val="20"/>
        </w:rPr>
      </w:pPr>
    </w:p>
    <w:p w:rsidR="00A82F82" w:rsidRPr="00892027" w:rsidRDefault="00A82F82" w:rsidP="00A82F82">
      <w:pPr>
        <w:widowControl w:val="0"/>
        <w:tabs>
          <w:tab w:val="left" w:pos="8550"/>
          <w:tab w:val="left" w:pos="8640"/>
        </w:tabs>
        <w:ind w:left="720" w:right="720"/>
        <w:jc w:val="both"/>
        <w:rPr>
          <w:rFonts w:ascii="Cambria" w:eastAsia="Times New Roman" w:hAnsi="Cambria"/>
          <w:sz w:val="20"/>
          <w:szCs w:val="20"/>
        </w:rPr>
      </w:pPr>
      <w:r w:rsidRPr="00892027">
        <w:rPr>
          <w:rFonts w:ascii="Cambria" w:eastAsia="Times New Roman" w:hAnsi="Cambria"/>
          <w:sz w:val="20"/>
          <w:szCs w:val="20"/>
        </w:rPr>
        <w:t>a) Act of Acknowledgment of Responsibility.</w:t>
      </w:r>
    </w:p>
    <w:p w:rsidR="00A82F82" w:rsidRPr="00892027" w:rsidRDefault="00A82F82" w:rsidP="00A82F82">
      <w:pPr>
        <w:widowControl w:val="0"/>
        <w:tabs>
          <w:tab w:val="left" w:pos="8550"/>
          <w:tab w:val="left" w:pos="8640"/>
        </w:tabs>
        <w:ind w:left="720" w:right="720"/>
        <w:jc w:val="both"/>
        <w:rPr>
          <w:rFonts w:ascii="Cambria" w:eastAsia="Times New Roman" w:hAnsi="Cambria"/>
          <w:sz w:val="20"/>
          <w:szCs w:val="20"/>
        </w:rPr>
      </w:pPr>
    </w:p>
    <w:p w:rsidR="00A82F82" w:rsidRPr="00892027" w:rsidRDefault="00A82F82" w:rsidP="00A82F82">
      <w:pPr>
        <w:widowControl w:val="0"/>
        <w:tabs>
          <w:tab w:val="left" w:pos="8550"/>
          <w:tab w:val="left" w:pos="8640"/>
        </w:tabs>
        <w:ind w:left="720" w:right="720"/>
        <w:jc w:val="both"/>
        <w:rPr>
          <w:rFonts w:ascii="Cambria" w:eastAsia="Times New Roman" w:hAnsi="Cambria"/>
          <w:sz w:val="20"/>
          <w:szCs w:val="20"/>
        </w:rPr>
      </w:pPr>
      <w:r w:rsidRPr="00892027">
        <w:rPr>
          <w:rFonts w:ascii="Cambria" w:eastAsia="Times New Roman" w:hAnsi="Cambria"/>
          <w:sz w:val="20"/>
          <w:szCs w:val="20"/>
        </w:rPr>
        <w:t xml:space="preserve">A private act of apology and </w:t>
      </w:r>
      <w:r w:rsidR="00520015">
        <w:rPr>
          <w:rFonts w:ascii="Cambria" w:eastAsia="Times New Roman" w:hAnsi="Cambria"/>
          <w:sz w:val="20"/>
          <w:szCs w:val="20"/>
        </w:rPr>
        <w:t>dignification at</w:t>
      </w:r>
      <w:r w:rsidRPr="00892027">
        <w:rPr>
          <w:rFonts w:ascii="Cambria" w:eastAsia="Times New Roman" w:hAnsi="Cambria"/>
          <w:sz w:val="20"/>
          <w:szCs w:val="20"/>
        </w:rPr>
        <w:t xml:space="preserve"> the Cathedral of Jesus Christ the Redeemer in the city of Bogotá, led by a high official of the National Government. The act of acknowledgment of responsibility will be carried out with the active participation of the next of kin and the representative of the victims. In it, state responsibility will be recognized in the terms established in this agreement. The Legal Defense Agency of the State, in coordination with the Ministry of National Defense, will be in charge of this event. </w:t>
      </w:r>
    </w:p>
    <w:p w:rsidR="00A82F82" w:rsidRPr="00892027" w:rsidRDefault="00A82F82" w:rsidP="00520015">
      <w:pPr>
        <w:widowControl w:val="0"/>
        <w:tabs>
          <w:tab w:val="left" w:pos="8550"/>
          <w:tab w:val="left" w:pos="8640"/>
        </w:tabs>
        <w:ind w:right="720"/>
        <w:jc w:val="both"/>
        <w:rPr>
          <w:rFonts w:ascii="Cambria" w:eastAsia="Times New Roman" w:hAnsi="Cambria"/>
          <w:sz w:val="20"/>
          <w:szCs w:val="20"/>
        </w:rPr>
      </w:pPr>
    </w:p>
    <w:p w:rsidR="00A82F82" w:rsidRPr="00892027" w:rsidRDefault="00A82F82" w:rsidP="00A82F82">
      <w:pPr>
        <w:widowControl w:val="0"/>
        <w:tabs>
          <w:tab w:val="left" w:pos="8550"/>
          <w:tab w:val="left" w:pos="8640"/>
        </w:tabs>
        <w:ind w:left="720" w:right="720"/>
        <w:jc w:val="both"/>
        <w:rPr>
          <w:rFonts w:ascii="Cambria" w:eastAsia="Times New Roman" w:hAnsi="Cambria"/>
          <w:sz w:val="20"/>
          <w:szCs w:val="20"/>
        </w:rPr>
      </w:pPr>
      <w:r w:rsidRPr="00892027">
        <w:rPr>
          <w:rFonts w:ascii="Cambria" w:eastAsia="Times New Roman" w:hAnsi="Cambria"/>
          <w:sz w:val="20"/>
          <w:szCs w:val="20"/>
        </w:rPr>
        <w:t>b) Delivery of reminders and invitations.</w:t>
      </w:r>
    </w:p>
    <w:p w:rsidR="00A82F82" w:rsidRPr="00892027" w:rsidRDefault="00A82F82" w:rsidP="00A82F82">
      <w:pPr>
        <w:widowControl w:val="0"/>
        <w:tabs>
          <w:tab w:val="left" w:pos="8550"/>
          <w:tab w:val="left" w:pos="8640"/>
        </w:tabs>
        <w:ind w:left="720" w:right="720"/>
        <w:jc w:val="both"/>
        <w:rPr>
          <w:rFonts w:ascii="Cambria" w:eastAsia="Times New Roman" w:hAnsi="Cambria"/>
          <w:sz w:val="20"/>
          <w:szCs w:val="20"/>
        </w:rPr>
      </w:pPr>
    </w:p>
    <w:p w:rsidR="00A82F82" w:rsidRPr="00892027" w:rsidRDefault="00A82F82" w:rsidP="00A82F82">
      <w:pPr>
        <w:widowControl w:val="0"/>
        <w:tabs>
          <w:tab w:val="left" w:pos="8550"/>
          <w:tab w:val="left" w:pos="8640"/>
        </w:tabs>
        <w:ind w:left="720" w:right="720"/>
        <w:jc w:val="both"/>
        <w:rPr>
          <w:rFonts w:ascii="Cambria" w:eastAsia="Times New Roman" w:hAnsi="Cambria"/>
          <w:sz w:val="20"/>
          <w:szCs w:val="20"/>
        </w:rPr>
      </w:pPr>
      <w:r w:rsidRPr="00892027">
        <w:rPr>
          <w:rFonts w:ascii="Cambria" w:eastAsia="Times New Roman" w:hAnsi="Cambria"/>
          <w:sz w:val="20"/>
          <w:szCs w:val="20"/>
        </w:rPr>
        <w:t xml:space="preserve">The Presidential Council for Human Rights will be in charge of preparing the reminders and invitations, which will be delivered in the Act of Acknowledgment of Responsibility. These </w:t>
      </w:r>
      <w:r w:rsidRPr="00892027">
        <w:rPr>
          <w:rFonts w:ascii="Cambria" w:eastAsia="Times New Roman" w:hAnsi="Cambria"/>
          <w:sz w:val="20"/>
          <w:szCs w:val="20"/>
        </w:rPr>
        <w:lastRenderedPageBreak/>
        <w:t>measures will be agreed upon by the victims and their representatives.</w:t>
      </w:r>
    </w:p>
    <w:p w:rsidR="00A82F82" w:rsidRPr="00892027" w:rsidRDefault="00A82F82" w:rsidP="00A82F82">
      <w:pPr>
        <w:widowControl w:val="0"/>
        <w:tabs>
          <w:tab w:val="left" w:pos="8550"/>
          <w:tab w:val="left" w:pos="8640"/>
        </w:tabs>
        <w:ind w:left="720" w:right="720"/>
        <w:jc w:val="both"/>
        <w:rPr>
          <w:rFonts w:ascii="Cambria" w:eastAsia="Times New Roman" w:hAnsi="Cambria"/>
          <w:sz w:val="20"/>
          <w:szCs w:val="20"/>
        </w:rPr>
      </w:pPr>
    </w:p>
    <w:p w:rsidR="00A82F82" w:rsidRPr="00892027" w:rsidRDefault="00A82F82" w:rsidP="00A82F82">
      <w:pPr>
        <w:widowControl w:val="0"/>
        <w:tabs>
          <w:tab w:val="left" w:pos="8550"/>
          <w:tab w:val="left" w:pos="8640"/>
        </w:tabs>
        <w:ind w:left="720" w:right="720"/>
        <w:jc w:val="both"/>
        <w:rPr>
          <w:rFonts w:ascii="Cambria" w:eastAsia="Times New Roman" w:hAnsi="Cambria"/>
          <w:sz w:val="20"/>
          <w:szCs w:val="20"/>
        </w:rPr>
      </w:pPr>
      <w:r w:rsidRPr="00892027">
        <w:rPr>
          <w:rFonts w:ascii="Cambria" w:eastAsia="Times New Roman" w:hAnsi="Cambria"/>
          <w:sz w:val="20"/>
          <w:szCs w:val="20"/>
        </w:rPr>
        <w:t>c) Publication of the facts.</w:t>
      </w:r>
    </w:p>
    <w:p w:rsidR="00A82F82" w:rsidRPr="00892027" w:rsidRDefault="00A82F82" w:rsidP="00A82F82">
      <w:pPr>
        <w:widowControl w:val="0"/>
        <w:tabs>
          <w:tab w:val="left" w:pos="8550"/>
          <w:tab w:val="left" w:pos="8640"/>
        </w:tabs>
        <w:ind w:left="720" w:right="720"/>
        <w:jc w:val="both"/>
        <w:rPr>
          <w:rFonts w:ascii="Cambria" w:eastAsia="Times New Roman" w:hAnsi="Cambria"/>
          <w:sz w:val="20"/>
          <w:szCs w:val="20"/>
        </w:rPr>
      </w:pPr>
    </w:p>
    <w:p w:rsidR="00A82F82" w:rsidRPr="00892027" w:rsidRDefault="00A82F82" w:rsidP="00A82F82">
      <w:pPr>
        <w:widowControl w:val="0"/>
        <w:tabs>
          <w:tab w:val="left" w:pos="8550"/>
          <w:tab w:val="left" w:pos="8640"/>
        </w:tabs>
        <w:ind w:left="720" w:right="720"/>
        <w:jc w:val="both"/>
        <w:rPr>
          <w:rFonts w:ascii="Cambria" w:eastAsia="Times New Roman" w:hAnsi="Cambria"/>
          <w:sz w:val="20"/>
          <w:szCs w:val="20"/>
        </w:rPr>
      </w:pPr>
      <w:r w:rsidRPr="00892027">
        <w:rPr>
          <w:rFonts w:ascii="Cambria" w:eastAsia="Times New Roman" w:hAnsi="Cambria"/>
          <w:sz w:val="20"/>
          <w:szCs w:val="20"/>
        </w:rPr>
        <w:t>The Colombian State und</w:t>
      </w:r>
      <w:r w:rsidR="00520015">
        <w:rPr>
          <w:rFonts w:ascii="Cambria" w:eastAsia="Times New Roman" w:hAnsi="Cambria"/>
          <w:sz w:val="20"/>
          <w:szCs w:val="20"/>
        </w:rPr>
        <w:t>ertakes to publish the report under</w:t>
      </w:r>
      <w:r w:rsidRPr="00892027">
        <w:rPr>
          <w:rFonts w:ascii="Cambria" w:eastAsia="Times New Roman" w:hAnsi="Cambria"/>
          <w:sz w:val="20"/>
          <w:szCs w:val="20"/>
        </w:rPr>
        <w:t xml:space="preserve"> Article 49 of the American Convention on Human Rights issued by the Inter-American Commission on Human Rights that approves </w:t>
      </w:r>
      <w:r w:rsidR="00520015">
        <w:rPr>
          <w:rFonts w:ascii="Cambria" w:eastAsia="Times New Roman" w:hAnsi="Cambria"/>
          <w:sz w:val="20"/>
          <w:szCs w:val="20"/>
        </w:rPr>
        <w:t>the</w:t>
      </w:r>
      <w:r w:rsidRPr="00892027">
        <w:rPr>
          <w:rFonts w:ascii="Cambria" w:eastAsia="Times New Roman" w:hAnsi="Cambria"/>
          <w:sz w:val="20"/>
          <w:szCs w:val="20"/>
        </w:rPr>
        <w:t xml:space="preserve"> friendly settlement agreement, on the website of the National Agency for Legal Defense of the State, within the term of six months.</w:t>
      </w:r>
    </w:p>
    <w:p w:rsidR="00A82F82" w:rsidRPr="00892027"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Cambria" w:eastAsia="Times New Roman" w:hAnsi="Cambria"/>
          <w:sz w:val="20"/>
          <w:szCs w:val="20"/>
        </w:rPr>
      </w:pPr>
    </w:p>
    <w:p w:rsidR="00A82F82" w:rsidRPr="00892027"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Cambria" w:hAnsi="Cambria"/>
          <w:b/>
          <w:bCs/>
          <w:sz w:val="20"/>
          <w:szCs w:val="20"/>
        </w:rPr>
      </w:pPr>
      <w:r w:rsidRPr="00892027">
        <w:rPr>
          <w:rFonts w:ascii="Cambria" w:hAnsi="Cambria"/>
          <w:b/>
          <w:bCs/>
          <w:sz w:val="20"/>
          <w:szCs w:val="20"/>
        </w:rPr>
        <w:t xml:space="preserve">FOURTH: PECUNIARY </w:t>
      </w:r>
      <w:r w:rsidR="00520015">
        <w:rPr>
          <w:rFonts w:ascii="Cambria" w:hAnsi="Cambria"/>
          <w:b/>
          <w:bCs/>
          <w:sz w:val="20"/>
          <w:szCs w:val="20"/>
        </w:rPr>
        <w:t>REPARATION</w:t>
      </w:r>
    </w:p>
    <w:p w:rsidR="00A82F82" w:rsidRPr="00892027"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Cambria" w:hAnsi="Cambria"/>
          <w:sz w:val="20"/>
          <w:szCs w:val="20"/>
        </w:rPr>
      </w:pPr>
    </w:p>
    <w:p w:rsidR="00A82F82" w:rsidRPr="00892027" w:rsidRDefault="00556E9D" w:rsidP="00A82F8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Cambria" w:hAnsi="Cambria"/>
          <w:sz w:val="20"/>
          <w:szCs w:val="20"/>
        </w:rPr>
      </w:pPr>
      <w:r w:rsidRPr="0076685D">
        <w:rPr>
          <w:rFonts w:ascii="Cambria" w:hAnsi="Cambria"/>
          <w:sz w:val="20"/>
          <w:szCs w:val="20"/>
        </w:rPr>
        <w:t>The State undertakes to apply Law 288 of 1996, once the friendly settlement agreement is homologated through the expedition of the report under article 49 of the American Convention on Human Rights</w:t>
      </w:r>
      <w:r w:rsidR="00A82F82" w:rsidRPr="0076685D">
        <w:rPr>
          <w:rFonts w:ascii="Cambria" w:hAnsi="Cambria"/>
          <w:sz w:val="20"/>
          <w:szCs w:val="20"/>
        </w:rPr>
        <w:t xml:space="preserve">. The </w:t>
      </w:r>
      <w:r w:rsidR="0076685D" w:rsidRPr="0076685D">
        <w:rPr>
          <w:rFonts w:ascii="Cambria" w:hAnsi="Cambria"/>
          <w:sz w:val="20"/>
          <w:szCs w:val="20"/>
        </w:rPr>
        <w:t>aforementioned</w:t>
      </w:r>
      <w:r w:rsidR="00A82F82" w:rsidRPr="0076685D">
        <w:rPr>
          <w:rFonts w:ascii="Cambria" w:hAnsi="Cambria"/>
          <w:sz w:val="20"/>
          <w:szCs w:val="20"/>
        </w:rPr>
        <w:t>, with the purpose of repairing the non-pecuniary and material damages that will be proven in favor of the victim's next of kin who have not been compensated through the Contentious-Administrative Jurisdiction, discounting, if applicable, the amounts recognized for reparations administratively. For these purposes, the criteria and amounts recognized by the current Jurisprudence of the State Council will be used.</w:t>
      </w:r>
    </w:p>
    <w:p w:rsidR="00A82F82" w:rsidRPr="00892027"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Cambria" w:hAnsi="Cambria"/>
          <w:sz w:val="20"/>
          <w:szCs w:val="20"/>
        </w:rPr>
      </w:pPr>
    </w:p>
    <w:p w:rsidR="00A82F82" w:rsidRPr="00892027"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Cambria" w:hAnsi="Cambria"/>
          <w:b/>
          <w:bCs/>
          <w:sz w:val="20"/>
          <w:szCs w:val="20"/>
        </w:rPr>
      </w:pPr>
      <w:r w:rsidRPr="00892027">
        <w:rPr>
          <w:rFonts w:ascii="Cambria" w:hAnsi="Cambria"/>
          <w:b/>
          <w:bCs/>
          <w:sz w:val="20"/>
          <w:szCs w:val="20"/>
        </w:rPr>
        <w:t>FIFTH: APPROVAL AND MONITORING</w:t>
      </w:r>
    </w:p>
    <w:p w:rsidR="00A82F82" w:rsidRPr="00892027"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Cambria" w:hAnsi="Cambria"/>
          <w:sz w:val="20"/>
          <w:szCs w:val="20"/>
        </w:rPr>
      </w:pPr>
    </w:p>
    <w:p w:rsidR="00A82F82"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Cambria" w:hAnsi="Cambria"/>
          <w:sz w:val="20"/>
          <w:szCs w:val="20"/>
        </w:rPr>
      </w:pPr>
      <w:r w:rsidRPr="00892027">
        <w:rPr>
          <w:rFonts w:ascii="Cambria" w:hAnsi="Cambria"/>
          <w:sz w:val="20"/>
          <w:szCs w:val="20"/>
        </w:rPr>
        <w:t>The parties request that the Inter-American Commission on Human Rights approve this agreement and follow it up.</w:t>
      </w:r>
    </w:p>
    <w:p w:rsidR="00585571" w:rsidRPr="00892027" w:rsidRDefault="00585571" w:rsidP="00A82F8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Cambria" w:hAnsi="Cambria"/>
          <w:sz w:val="20"/>
          <w:szCs w:val="20"/>
        </w:rPr>
      </w:pPr>
    </w:p>
    <w:p w:rsidR="00A82F82" w:rsidRPr="00892027"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Cambria" w:hAnsi="Cambria"/>
          <w:sz w:val="20"/>
          <w:szCs w:val="20"/>
        </w:rPr>
      </w:pPr>
    </w:p>
    <w:p w:rsidR="00A82F82" w:rsidRPr="00585571" w:rsidRDefault="00A82F82" w:rsidP="00585571">
      <w:pPr>
        <w:pStyle w:val="ListParagraph"/>
        <w:numPr>
          <w:ilvl w:val="0"/>
          <w:numId w:val="105"/>
        </w:numPr>
        <w:tabs>
          <w:tab w:val="left" w:pos="0"/>
          <w:tab w:val="left" w:pos="720"/>
        </w:tabs>
        <w:ind w:left="0" w:firstLine="720"/>
        <w:jc w:val="both"/>
        <w:rPr>
          <w:rFonts w:cs="Calibri"/>
          <w:b/>
          <w:bCs/>
          <w:sz w:val="20"/>
          <w:szCs w:val="20"/>
        </w:rPr>
      </w:pPr>
      <w:r w:rsidRPr="00585571">
        <w:rPr>
          <w:rFonts w:cs="Calibri"/>
          <w:b/>
          <w:bCs/>
          <w:sz w:val="20"/>
          <w:szCs w:val="20"/>
        </w:rPr>
        <w:t>DETERMINATION OF COMPATIBILITY AND COMPLIANCE</w:t>
      </w:r>
    </w:p>
    <w:p w:rsidR="00A82F82" w:rsidRPr="00892027" w:rsidRDefault="00A82F82" w:rsidP="00585571">
      <w:pPr>
        <w:tabs>
          <w:tab w:val="left" w:pos="0"/>
          <w:tab w:val="left" w:pos="720"/>
        </w:tabs>
        <w:ind w:firstLine="720"/>
        <w:jc w:val="both"/>
        <w:rPr>
          <w:rFonts w:ascii="Cambria" w:hAnsi="Cambria" w:cs="Calibri"/>
          <w:sz w:val="20"/>
          <w:szCs w:val="20"/>
        </w:rPr>
      </w:pPr>
    </w:p>
    <w:p w:rsidR="00A82F82" w:rsidRPr="00585571" w:rsidRDefault="00A82F82" w:rsidP="00585571">
      <w:pPr>
        <w:pStyle w:val="ListParagraph"/>
        <w:numPr>
          <w:ilvl w:val="0"/>
          <w:numId w:val="104"/>
        </w:numPr>
        <w:tabs>
          <w:tab w:val="left" w:pos="0"/>
          <w:tab w:val="left" w:pos="720"/>
        </w:tabs>
        <w:ind w:left="0" w:firstLine="720"/>
        <w:jc w:val="both"/>
        <w:rPr>
          <w:rFonts w:cs="Calibri"/>
          <w:sz w:val="20"/>
          <w:szCs w:val="20"/>
        </w:rPr>
      </w:pPr>
      <w:r w:rsidRPr="00585571">
        <w:rPr>
          <w:rFonts w:cs="Calibri"/>
          <w:sz w:val="20"/>
          <w:szCs w:val="20"/>
        </w:rPr>
        <w:t xml:space="preserve">The IACHR reiterates that according to Articles 48.1.f and 49 of the American Convention, the purpose of this procedure is "to reach a friendly settlement of the matter based on respect for the human rights recognized in the Convention." The acceptance of carrying out this procedure expresses the good faith of the State to comply with the purposes and objectives of the Convention by virtue of the principle </w:t>
      </w:r>
      <w:r w:rsidRPr="00585571">
        <w:rPr>
          <w:rFonts w:cs="Calibri"/>
          <w:i/>
          <w:iCs/>
          <w:sz w:val="20"/>
          <w:szCs w:val="20"/>
        </w:rPr>
        <w:t>pacta sunt servanda</w:t>
      </w:r>
      <w:r w:rsidRPr="00585571">
        <w:rPr>
          <w:rFonts w:cs="Calibri"/>
          <w:sz w:val="20"/>
          <w:szCs w:val="20"/>
        </w:rPr>
        <w:t>, by which States must comply in good faith with the obligations assumed in treaties</w:t>
      </w:r>
      <w:r w:rsidR="0076685D">
        <w:rPr>
          <w:rFonts w:cs="Calibri"/>
          <w:sz w:val="20"/>
          <w:szCs w:val="20"/>
        </w:rPr>
        <w:t>.</w:t>
      </w:r>
      <w:r w:rsidR="0076685D">
        <w:rPr>
          <w:rStyle w:val="FootnoteReference"/>
          <w:sz w:val="20"/>
          <w:szCs w:val="20"/>
        </w:rPr>
        <w:footnoteReference w:id="3"/>
      </w:r>
      <w:r w:rsidRPr="00585571">
        <w:rPr>
          <w:rFonts w:cs="Calibri"/>
          <w:sz w:val="20"/>
          <w:szCs w:val="20"/>
        </w:rPr>
        <w:t xml:space="preserve"> It also wishes to reiterate that the friendly settlement procedure contemplated in the Convention allows the termination of individual cases in a non-contentious manner, and has shown, in cases involving various countries, to offer an important vehicle for settlement, which can be used by both parties. </w:t>
      </w:r>
    </w:p>
    <w:p w:rsidR="00A82F82" w:rsidRPr="00892027" w:rsidRDefault="00A82F82" w:rsidP="00585571">
      <w:pPr>
        <w:tabs>
          <w:tab w:val="left" w:pos="0"/>
          <w:tab w:val="left" w:pos="720"/>
        </w:tabs>
        <w:ind w:firstLine="720"/>
        <w:jc w:val="both"/>
        <w:rPr>
          <w:rFonts w:ascii="Cambria" w:hAnsi="Cambria" w:cs="Calibri"/>
          <w:sz w:val="20"/>
          <w:szCs w:val="20"/>
        </w:rPr>
      </w:pPr>
    </w:p>
    <w:p w:rsidR="00A82F82" w:rsidRPr="00585571" w:rsidRDefault="00A82F82" w:rsidP="00585571">
      <w:pPr>
        <w:pStyle w:val="ListParagraph"/>
        <w:numPr>
          <w:ilvl w:val="0"/>
          <w:numId w:val="104"/>
        </w:numPr>
        <w:tabs>
          <w:tab w:val="left" w:pos="0"/>
          <w:tab w:val="left" w:pos="720"/>
        </w:tabs>
        <w:ind w:left="0" w:firstLine="720"/>
        <w:jc w:val="both"/>
        <w:rPr>
          <w:rFonts w:cs="Calibri"/>
          <w:sz w:val="20"/>
          <w:szCs w:val="20"/>
        </w:rPr>
      </w:pPr>
      <w:r w:rsidRPr="00585571">
        <w:rPr>
          <w:rFonts w:cs="Calibri"/>
          <w:sz w:val="20"/>
          <w:szCs w:val="20"/>
        </w:rPr>
        <w:t xml:space="preserve">The Inter-American Commission has closely followed the development of the friendly settlement reached in this case and highly values ​​the efforts made by both parties during the negotiation of the agreement to reach this friendly settlement, which is compatible with the object and purpose of the Convention. </w:t>
      </w:r>
    </w:p>
    <w:p w:rsidR="00A82F82" w:rsidRPr="00892027" w:rsidRDefault="00A82F82" w:rsidP="00585571">
      <w:pPr>
        <w:tabs>
          <w:tab w:val="left" w:pos="0"/>
          <w:tab w:val="left" w:pos="720"/>
        </w:tabs>
        <w:ind w:firstLine="720"/>
        <w:jc w:val="both"/>
        <w:rPr>
          <w:rFonts w:ascii="Cambria" w:hAnsi="Cambria" w:cs="Calibri"/>
          <w:sz w:val="20"/>
          <w:szCs w:val="20"/>
        </w:rPr>
      </w:pPr>
    </w:p>
    <w:p w:rsidR="00A82F82" w:rsidRPr="00585571" w:rsidRDefault="00A82F82" w:rsidP="00585571">
      <w:pPr>
        <w:pStyle w:val="ListParagraph"/>
        <w:numPr>
          <w:ilvl w:val="0"/>
          <w:numId w:val="104"/>
        </w:numPr>
        <w:tabs>
          <w:tab w:val="left" w:pos="0"/>
          <w:tab w:val="left" w:pos="720"/>
        </w:tabs>
        <w:ind w:left="0" w:firstLine="720"/>
        <w:jc w:val="both"/>
        <w:rPr>
          <w:rFonts w:cs="Calibri"/>
          <w:sz w:val="20"/>
          <w:szCs w:val="20"/>
        </w:rPr>
      </w:pPr>
      <w:r w:rsidRPr="00585571">
        <w:rPr>
          <w:rFonts w:cs="Calibri"/>
          <w:sz w:val="20"/>
          <w:szCs w:val="20"/>
        </w:rPr>
        <w:t>In accordance with the provisions of clause 5 of the friendly settlement agreement and in the joint communication of the parties of July 2, 2020, the parties asked the Commission to issue the friendly settlement report contemplated in Article 49 of the American Convention.</w:t>
      </w:r>
    </w:p>
    <w:p w:rsidR="00A82F82" w:rsidRPr="00892027" w:rsidRDefault="00A82F82" w:rsidP="00585571">
      <w:pPr>
        <w:tabs>
          <w:tab w:val="left" w:pos="0"/>
          <w:tab w:val="left" w:pos="720"/>
        </w:tabs>
        <w:ind w:firstLine="720"/>
        <w:jc w:val="both"/>
        <w:rPr>
          <w:rFonts w:ascii="Cambria" w:hAnsi="Cambria" w:cs="Calibri"/>
          <w:sz w:val="20"/>
          <w:szCs w:val="20"/>
        </w:rPr>
      </w:pPr>
    </w:p>
    <w:p w:rsidR="00A82F82" w:rsidRPr="00585571" w:rsidRDefault="00A82F82" w:rsidP="00585571">
      <w:pPr>
        <w:pStyle w:val="ListParagraph"/>
        <w:numPr>
          <w:ilvl w:val="0"/>
          <w:numId w:val="104"/>
        </w:numPr>
        <w:tabs>
          <w:tab w:val="left" w:pos="0"/>
          <w:tab w:val="left" w:pos="720"/>
        </w:tabs>
        <w:ind w:left="0" w:firstLine="720"/>
        <w:jc w:val="both"/>
        <w:rPr>
          <w:rFonts w:cs="Calibri"/>
          <w:sz w:val="20"/>
          <w:szCs w:val="20"/>
        </w:rPr>
      </w:pPr>
      <w:r w:rsidRPr="00585571">
        <w:rPr>
          <w:rFonts w:cs="Calibri"/>
          <w:sz w:val="20"/>
          <w:szCs w:val="20"/>
        </w:rPr>
        <w:t xml:space="preserve">The Inter-American Commission considers that clause 1 (Acknowledgment of the Responsibility of the Colombian State), 2 (Withdrawal of the Direct Reparation Action) and 5, (Approval and Follow-up of the friendly settlement agreement) are declarative in nature, therefore </w:t>
      </w:r>
      <w:r w:rsidR="0076685D">
        <w:rPr>
          <w:rFonts w:cs="Calibri"/>
          <w:sz w:val="20"/>
          <w:szCs w:val="20"/>
        </w:rPr>
        <w:t>it is not up to it to supervise its</w:t>
      </w:r>
      <w:r w:rsidRPr="00585571">
        <w:rPr>
          <w:rFonts w:cs="Calibri"/>
          <w:sz w:val="20"/>
          <w:szCs w:val="20"/>
        </w:rPr>
        <w:t xml:space="preserve"> execution.</w:t>
      </w:r>
    </w:p>
    <w:p w:rsidR="00A82F82" w:rsidRPr="00892027" w:rsidRDefault="00A82F82" w:rsidP="00585571">
      <w:pPr>
        <w:tabs>
          <w:tab w:val="left" w:pos="0"/>
          <w:tab w:val="left" w:pos="720"/>
        </w:tabs>
        <w:ind w:firstLine="720"/>
        <w:jc w:val="both"/>
        <w:rPr>
          <w:rFonts w:ascii="Cambria" w:hAnsi="Cambria" w:cs="Calibri"/>
          <w:sz w:val="20"/>
          <w:szCs w:val="20"/>
        </w:rPr>
      </w:pPr>
    </w:p>
    <w:p w:rsidR="00A82F82" w:rsidRPr="00585571" w:rsidRDefault="00A82F82" w:rsidP="00585571">
      <w:pPr>
        <w:pStyle w:val="ListParagraph"/>
        <w:numPr>
          <w:ilvl w:val="0"/>
          <w:numId w:val="104"/>
        </w:numPr>
        <w:tabs>
          <w:tab w:val="left" w:pos="0"/>
          <w:tab w:val="left" w:pos="720"/>
        </w:tabs>
        <w:ind w:left="0" w:firstLine="720"/>
        <w:jc w:val="both"/>
        <w:rPr>
          <w:rFonts w:cs="Calibri"/>
          <w:sz w:val="20"/>
          <w:szCs w:val="20"/>
        </w:rPr>
      </w:pPr>
      <w:r w:rsidRPr="00585571">
        <w:rPr>
          <w:rFonts w:cs="Calibri"/>
          <w:sz w:val="20"/>
          <w:szCs w:val="20"/>
        </w:rPr>
        <w:t xml:space="preserve">In relation to </w:t>
      </w:r>
      <w:r w:rsidR="0076685D">
        <w:rPr>
          <w:rFonts w:cs="Calibri"/>
          <w:sz w:val="20"/>
          <w:szCs w:val="20"/>
        </w:rPr>
        <w:t>literals</w:t>
      </w:r>
      <w:r w:rsidRPr="00585571">
        <w:rPr>
          <w:rFonts w:cs="Calibri"/>
          <w:sz w:val="20"/>
          <w:szCs w:val="20"/>
        </w:rPr>
        <w:t xml:space="preserve"> a and b of the third clause, re</w:t>
      </w:r>
      <w:r w:rsidR="0076685D">
        <w:rPr>
          <w:rFonts w:cs="Calibri"/>
          <w:sz w:val="20"/>
          <w:szCs w:val="20"/>
        </w:rPr>
        <w:t xml:space="preserve">ferring to the performance of a </w:t>
      </w:r>
      <w:r w:rsidR="0076685D" w:rsidRPr="00585571">
        <w:rPr>
          <w:rFonts w:cs="Calibri"/>
          <w:sz w:val="20"/>
          <w:szCs w:val="20"/>
        </w:rPr>
        <w:t>private</w:t>
      </w:r>
      <w:r w:rsidRPr="00585571">
        <w:rPr>
          <w:rFonts w:cs="Calibri"/>
          <w:sz w:val="20"/>
          <w:szCs w:val="20"/>
        </w:rPr>
        <w:t xml:space="preserve"> act of recognition of responsibility and the delivery of reminders and invitations, on July 2, 2020, the parties jointly </w:t>
      </w:r>
      <w:r w:rsidRPr="00585571">
        <w:rPr>
          <w:rFonts w:cs="Calibri"/>
          <w:sz w:val="20"/>
          <w:szCs w:val="20"/>
        </w:rPr>
        <w:lastRenderedPageBreak/>
        <w:t xml:space="preserve">informed the Commission that the </w:t>
      </w:r>
      <w:r w:rsidR="0076685D" w:rsidRPr="00585571">
        <w:rPr>
          <w:rFonts w:cs="Calibri"/>
          <w:sz w:val="20"/>
          <w:szCs w:val="20"/>
        </w:rPr>
        <w:t xml:space="preserve">private </w:t>
      </w:r>
      <w:r w:rsidRPr="00585571">
        <w:rPr>
          <w:rFonts w:cs="Calibri"/>
          <w:sz w:val="20"/>
          <w:szCs w:val="20"/>
        </w:rPr>
        <w:t xml:space="preserve">act of acknowledgment of responsibility and request for forgiveness was made, on December 21, 2019, around 11:55 a.m., at the </w:t>
      </w:r>
      <w:r w:rsidRPr="0076685D">
        <w:rPr>
          <w:rFonts w:cs="Calibri"/>
          <w:i/>
          <w:sz w:val="20"/>
          <w:szCs w:val="20"/>
        </w:rPr>
        <w:t>Catedral Castrense Jesús Redentor</w:t>
      </w:r>
      <w:r w:rsidRPr="00585571">
        <w:rPr>
          <w:rFonts w:cs="Calibri"/>
          <w:sz w:val="20"/>
          <w:szCs w:val="20"/>
        </w:rPr>
        <w:t>. In this regard, the parties stressed that the act of acknowledgment of responsibility was initiated with a liturgical act in commemoration of the 30th anniversary of the death of Geminiano Gil Martínez, which would have been a symbolic event of great relevance for the family. The event was chaired by the Director General of the National Agency for Legal Defense of the State, who on behalf of the Colombian State apologized to the victims and their next of kin for what happened, and acknowledged responsibility under the terms of this agreement. The parties confirmed that in order to comply with the measure, there was consistent communication between the State, the victims, and their repres</w:t>
      </w:r>
      <w:r w:rsidR="0076685D">
        <w:rPr>
          <w:rFonts w:cs="Calibri"/>
          <w:sz w:val="20"/>
          <w:szCs w:val="20"/>
        </w:rPr>
        <w:t>entatives, who agreed</w:t>
      </w:r>
      <w:r w:rsidRPr="00585571">
        <w:rPr>
          <w:rFonts w:cs="Calibri"/>
          <w:sz w:val="20"/>
          <w:szCs w:val="20"/>
        </w:rPr>
        <w:t xml:space="preserve"> the details for the implementation of the measure, including the date, time, place, and content of the order for the day, as well as other logistical aspects.</w:t>
      </w:r>
      <w:r w:rsidR="0076685D">
        <w:rPr>
          <w:rFonts w:cs="Calibri"/>
          <w:sz w:val="20"/>
          <w:szCs w:val="20"/>
        </w:rPr>
        <w:t xml:space="preserve"> </w:t>
      </w:r>
    </w:p>
    <w:p w:rsidR="00A82F82" w:rsidRPr="00892027" w:rsidRDefault="00A82F82" w:rsidP="00585571">
      <w:pPr>
        <w:tabs>
          <w:tab w:val="left" w:pos="0"/>
          <w:tab w:val="left" w:pos="720"/>
        </w:tabs>
        <w:ind w:firstLine="720"/>
        <w:jc w:val="both"/>
        <w:rPr>
          <w:rFonts w:ascii="Cambria" w:hAnsi="Cambria" w:cs="Calibri"/>
          <w:sz w:val="20"/>
          <w:szCs w:val="20"/>
        </w:rPr>
      </w:pPr>
    </w:p>
    <w:p w:rsidR="00A82F82" w:rsidRPr="00585571" w:rsidRDefault="00A82F82" w:rsidP="00585571">
      <w:pPr>
        <w:pStyle w:val="ListParagraph"/>
        <w:numPr>
          <w:ilvl w:val="0"/>
          <w:numId w:val="104"/>
        </w:numPr>
        <w:tabs>
          <w:tab w:val="left" w:pos="0"/>
          <w:tab w:val="left" w:pos="720"/>
        </w:tabs>
        <w:ind w:left="0" w:firstLine="720"/>
        <w:jc w:val="both"/>
        <w:rPr>
          <w:rFonts w:cs="Calibri"/>
          <w:sz w:val="20"/>
          <w:szCs w:val="20"/>
        </w:rPr>
      </w:pPr>
      <w:r w:rsidRPr="00585571">
        <w:rPr>
          <w:rFonts w:cs="Calibri"/>
          <w:sz w:val="20"/>
          <w:szCs w:val="20"/>
        </w:rPr>
        <w:t xml:space="preserve">Additionally, the parties jointly indicated that the State sent invitations to the event to the victims and their next of kin, and provided a photographic record of the invitations to the IACHR. In the same vein, it was reported that within the framework of the event, 80 reminders and 20 printed invitations were delivered, the designs of which had been agreed between the parties. The parties also provided a photographic record of the </w:t>
      </w:r>
      <w:r w:rsidR="00CB3BD8">
        <w:rPr>
          <w:rFonts w:cs="Calibri"/>
          <w:sz w:val="20"/>
          <w:szCs w:val="20"/>
        </w:rPr>
        <w:t>agenda</w:t>
      </w:r>
      <w:r w:rsidRPr="00585571">
        <w:rPr>
          <w:rFonts w:cs="Calibri"/>
          <w:sz w:val="20"/>
          <w:szCs w:val="20"/>
        </w:rPr>
        <w:t xml:space="preserve"> and the act, which included the participation of five family members of the victim, the Ministry of Defense and the ANDJE. Therefore, taking into consideration the information provided jointly by the parties, the Commission considers that </w:t>
      </w:r>
      <w:r w:rsidR="00CB3BD8">
        <w:rPr>
          <w:rFonts w:cs="Calibri"/>
          <w:sz w:val="20"/>
          <w:szCs w:val="20"/>
        </w:rPr>
        <w:t>literals</w:t>
      </w:r>
      <w:r w:rsidRPr="00585571">
        <w:rPr>
          <w:rFonts w:cs="Calibri"/>
          <w:sz w:val="20"/>
          <w:szCs w:val="20"/>
        </w:rPr>
        <w:t xml:space="preserve"> a and b of the third clause of the friendly settlement agreement have been fully complied with and declares so.</w:t>
      </w:r>
    </w:p>
    <w:p w:rsidR="00A82F82" w:rsidRPr="00892027" w:rsidRDefault="00A82F82" w:rsidP="00585571">
      <w:pPr>
        <w:tabs>
          <w:tab w:val="left" w:pos="0"/>
          <w:tab w:val="left" w:pos="720"/>
        </w:tabs>
        <w:ind w:firstLine="720"/>
        <w:jc w:val="both"/>
        <w:rPr>
          <w:rFonts w:ascii="Cambria" w:hAnsi="Cambria" w:cs="Calibri"/>
          <w:sz w:val="20"/>
          <w:szCs w:val="20"/>
        </w:rPr>
      </w:pPr>
    </w:p>
    <w:p w:rsidR="00A82F82" w:rsidRPr="00585571" w:rsidRDefault="00A82F82" w:rsidP="00585571">
      <w:pPr>
        <w:pStyle w:val="ListParagraph"/>
        <w:numPr>
          <w:ilvl w:val="0"/>
          <w:numId w:val="104"/>
        </w:numPr>
        <w:tabs>
          <w:tab w:val="left" w:pos="0"/>
          <w:tab w:val="left" w:pos="720"/>
        </w:tabs>
        <w:ind w:left="0" w:firstLine="720"/>
        <w:jc w:val="both"/>
        <w:rPr>
          <w:rFonts w:cs="Calibri"/>
          <w:sz w:val="20"/>
          <w:szCs w:val="20"/>
        </w:rPr>
      </w:pPr>
      <w:r w:rsidRPr="00585571">
        <w:rPr>
          <w:rFonts w:cs="Calibri"/>
          <w:sz w:val="20"/>
          <w:szCs w:val="20"/>
        </w:rPr>
        <w:t xml:space="preserve">In relation to </w:t>
      </w:r>
      <w:r w:rsidR="00CB3BD8">
        <w:rPr>
          <w:rFonts w:cs="Calibri"/>
          <w:sz w:val="20"/>
          <w:szCs w:val="20"/>
        </w:rPr>
        <w:t>literal</w:t>
      </w:r>
      <w:r w:rsidRPr="00585571">
        <w:rPr>
          <w:rFonts w:cs="Calibri"/>
          <w:sz w:val="20"/>
          <w:szCs w:val="20"/>
        </w:rPr>
        <w:t xml:space="preserve"> </w:t>
      </w:r>
      <w:r w:rsidR="00CB3BD8">
        <w:rPr>
          <w:rFonts w:cs="Calibri"/>
          <w:sz w:val="20"/>
          <w:szCs w:val="20"/>
        </w:rPr>
        <w:t>c</w:t>
      </w:r>
      <w:r w:rsidRPr="00585571">
        <w:rPr>
          <w:rFonts w:cs="Calibri"/>
          <w:sz w:val="20"/>
          <w:szCs w:val="20"/>
        </w:rPr>
        <w:t xml:space="preserve"> of the third clause related to the publication of the homologation report on the ANDJE</w:t>
      </w:r>
      <w:r w:rsidR="00CB3BD8">
        <w:rPr>
          <w:rFonts w:cs="Calibri"/>
          <w:sz w:val="20"/>
          <w:szCs w:val="20"/>
        </w:rPr>
        <w:t>’s</w:t>
      </w:r>
      <w:r w:rsidRPr="00585571">
        <w:rPr>
          <w:rFonts w:cs="Calibri"/>
          <w:sz w:val="20"/>
          <w:szCs w:val="20"/>
        </w:rPr>
        <w:t xml:space="preserve"> website, the Commission understands that said measure must be carried out after the publication of this report, for which reason it is pending compliance</w:t>
      </w:r>
      <w:r w:rsidR="00CB3BD8">
        <w:rPr>
          <w:rFonts w:cs="Calibri"/>
          <w:sz w:val="20"/>
          <w:szCs w:val="20"/>
        </w:rPr>
        <w:t xml:space="preserve"> and declares it so</w:t>
      </w:r>
      <w:r w:rsidRPr="00585571">
        <w:rPr>
          <w:rFonts w:cs="Calibri"/>
          <w:sz w:val="20"/>
          <w:szCs w:val="20"/>
        </w:rPr>
        <w:t xml:space="preserve">. </w:t>
      </w:r>
    </w:p>
    <w:p w:rsidR="00A82F82" w:rsidRPr="00892027" w:rsidRDefault="00A82F82" w:rsidP="00585571">
      <w:pPr>
        <w:tabs>
          <w:tab w:val="left" w:pos="0"/>
          <w:tab w:val="left" w:pos="720"/>
        </w:tabs>
        <w:ind w:firstLine="720"/>
        <w:jc w:val="both"/>
        <w:rPr>
          <w:rFonts w:ascii="Cambria" w:hAnsi="Cambria" w:cs="Calibri"/>
          <w:sz w:val="20"/>
          <w:szCs w:val="20"/>
        </w:rPr>
      </w:pPr>
    </w:p>
    <w:p w:rsidR="00A82F82" w:rsidRPr="00585571" w:rsidRDefault="00A82F82" w:rsidP="00585571">
      <w:pPr>
        <w:pStyle w:val="ListParagraph"/>
        <w:numPr>
          <w:ilvl w:val="0"/>
          <w:numId w:val="104"/>
        </w:numPr>
        <w:tabs>
          <w:tab w:val="left" w:pos="0"/>
          <w:tab w:val="left" w:pos="720"/>
        </w:tabs>
        <w:ind w:left="0" w:firstLine="720"/>
        <w:jc w:val="both"/>
        <w:rPr>
          <w:rFonts w:cs="Calibri"/>
          <w:sz w:val="20"/>
          <w:szCs w:val="20"/>
        </w:rPr>
      </w:pPr>
      <w:r w:rsidRPr="00585571">
        <w:rPr>
          <w:rFonts w:cs="Calibri"/>
          <w:sz w:val="20"/>
          <w:szCs w:val="20"/>
        </w:rPr>
        <w:t>In the same sense, in relation to the fourth clause, related to pecuniary reparation, the Commission observes that, according to the mechanism established in Law 288 of 1996, said measure must be complied with once this homologation report has been issued, Therefore, it considers that the measure is pending compliance and declares it so.</w:t>
      </w:r>
    </w:p>
    <w:p w:rsidR="00A82F82" w:rsidRPr="00892027" w:rsidRDefault="00A82F82" w:rsidP="00585571">
      <w:pPr>
        <w:tabs>
          <w:tab w:val="left" w:pos="0"/>
          <w:tab w:val="left" w:pos="720"/>
        </w:tabs>
        <w:ind w:firstLine="720"/>
        <w:jc w:val="both"/>
        <w:rPr>
          <w:rFonts w:ascii="Cambria" w:hAnsi="Cambria" w:cs="Calibri"/>
          <w:sz w:val="20"/>
          <w:szCs w:val="20"/>
        </w:rPr>
      </w:pPr>
    </w:p>
    <w:p w:rsidR="00A82F82" w:rsidRPr="00585571" w:rsidRDefault="00A82F82" w:rsidP="00585571">
      <w:pPr>
        <w:pStyle w:val="ListParagraph"/>
        <w:numPr>
          <w:ilvl w:val="0"/>
          <w:numId w:val="104"/>
        </w:numPr>
        <w:tabs>
          <w:tab w:val="left" w:pos="0"/>
          <w:tab w:val="left" w:pos="720"/>
        </w:tabs>
        <w:ind w:left="0" w:firstLine="720"/>
        <w:jc w:val="both"/>
        <w:rPr>
          <w:rFonts w:cs="Calibri"/>
          <w:sz w:val="20"/>
          <w:szCs w:val="20"/>
        </w:rPr>
      </w:pPr>
      <w:r w:rsidRPr="00585571">
        <w:rPr>
          <w:rFonts w:cs="Calibri"/>
          <w:sz w:val="20"/>
          <w:szCs w:val="20"/>
        </w:rPr>
        <w:t xml:space="preserve">Finally, the Commission concludes that </w:t>
      </w:r>
      <w:r w:rsidR="00CB3BD8">
        <w:rPr>
          <w:rFonts w:cs="Calibri"/>
          <w:sz w:val="20"/>
          <w:szCs w:val="20"/>
        </w:rPr>
        <w:t>literals</w:t>
      </w:r>
      <w:r w:rsidRPr="00585571">
        <w:rPr>
          <w:rFonts w:cs="Calibri"/>
          <w:sz w:val="20"/>
          <w:szCs w:val="20"/>
        </w:rPr>
        <w:t xml:space="preserve"> a and b of the third clause of the friendly settlement agreement (</w:t>
      </w:r>
      <w:r w:rsidR="00CB3BD8">
        <w:rPr>
          <w:rFonts w:cs="Calibri"/>
          <w:sz w:val="20"/>
          <w:szCs w:val="20"/>
        </w:rPr>
        <w:t>private act of apology and d</w:t>
      </w:r>
      <w:r w:rsidRPr="00585571">
        <w:rPr>
          <w:rFonts w:cs="Calibri"/>
          <w:sz w:val="20"/>
          <w:szCs w:val="20"/>
        </w:rPr>
        <w:t>elivery of invitations and reminders) have been fully complied with. On the other hand, the Commission considers that paragraph c of the third clause (</w:t>
      </w:r>
      <w:r w:rsidR="00CB3BD8">
        <w:rPr>
          <w:rFonts w:cs="Calibri"/>
          <w:sz w:val="20"/>
          <w:szCs w:val="20"/>
        </w:rPr>
        <w:t>p</w:t>
      </w:r>
      <w:r w:rsidRPr="00585571">
        <w:rPr>
          <w:rFonts w:cs="Calibri"/>
          <w:sz w:val="20"/>
          <w:szCs w:val="20"/>
        </w:rPr>
        <w:t xml:space="preserve">ublication of the homologation </w:t>
      </w:r>
      <w:r w:rsidR="00CB3BD8">
        <w:rPr>
          <w:rFonts w:cs="Calibri"/>
          <w:sz w:val="20"/>
          <w:szCs w:val="20"/>
        </w:rPr>
        <w:t>report) and the fourth clause (p</w:t>
      </w:r>
      <w:r w:rsidRPr="00585571">
        <w:rPr>
          <w:rFonts w:cs="Calibri"/>
          <w:sz w:val="20"/>
          <w:szCs w:val="20"/>
        </w:rPr>
        <w:t>ecuniary reparation) are pending compliance. Likewise, the IACHR will closely monitor the implementation of the other obligations assumed in the agreement, applying the guidelines prescribed in Article 49 of the Convention.</w:t>
      </w:r>
    </w:p>
    <w:p w:rsidR="00A82F82" w:rsidRPr="00892027" w:rsidRDefault="00A82F82" w:rsidP="00A82F82">
      <w:pPr>
        <w:tabs>
          <w:tab w:val="left" w:pos="0"/>
          <w:tab w:val="left" w:pos="810"/>
        </w:tabs>
        <w:ind w:firstLine="720"/>
        <w:jc w:val="both"/>
        <w:rPr>
          <w:rFonts w:ascii="Cambria" w:hAnsi="Cambria" w:cs="Calibri"/>
          <w:sz w:val="20"/>
          <w:szCs w:val="20"/>
        </w:rPr>
      </w:pPr>
    </w:p>
    <w:p w:rsidR="00A82F82" w:rsidRPr="00585571" w:rsidRDefault="00A82F82" w:rsidP="00585571">
      <w:pPr>
        <w:pStyle w:val="ListParagraph"/>
        <w:numPr>
          <w:ilvl w:val="0"/>
          <w:numId w:val="105"/>
        </w:numPr>
        <w:tabs>
          <w:tab w:val="left" w:pos="720"/>
        </w:tabs>
        <w:ind w:left="0" w:firstLine="720"/>
        <w:jc w:val="both"/>
        <w:rPr>
          <w:rFonts w:cs="Calibri"/>
          <w:b/>
          <w:sz w:val="20"/>
          <w:szCs w:val="20"/>
        </w:rPr>
      </w:pPr>
      <w:r w:rsidRPr="00585571">
        <w:rPr>
          <w:rFonts w:cs="Calibri"/>
          <w:b/>
          <w:sz w:val="20"/>
          <w:szCs w:val="20"/>
        </w:rPr>
        <w:t>CONCLUSIONS</w:t>
      </w:r>
    </w:p>
    <w:p w:rsidR="00A82F82" w:rsidRPr="00892027" w:rsidRDefault="00A82F82" w:rsidP="00A82F82">
      <w:pPr>
        <w:tabs>
          <w:tab w:val="left" w:pos="360"/>
        </w:tabs>
        <w:ind w:firstLine="360"/>
        <w:jc w:val="both"/>
        <w:rPr>
          <w:rFonts w:ascii="Cambria" w:hAnsi="Cambria" w:cs="Calibri"/>
          <w:b/>
          <w:sz w:val="20"/>
          <w:szCs w:val="20"/>
        </w:rPr>
      </w:pPr>
    </w:p>
    <w:p w:rsidR="00585571" w:rsidRDefault="00A82F82" w:rsidP="00585571">
      <w:pPr>
        <w:pStyle w:val="ListParagraph"/>
        <w:numPr>
          <w:ilvl w:val="0"/>
          <w:numId w:val="106"/>
        </w:numPr>
        <w:tabs>
          <w:tab w:val="left" w:pos="360"/>
        </w:tabs>
        <w:ind w:left="0" w:firstLine="720"/>
        <w:jc w:val="both"/>
        <w:rPr>
          <w:rFonts w:cs="Calibri"/>
          <w:bCs/>
          <w:sz w:val="20"/>
          <w:szCs w:val="20"/>
        </w:rPr>
      </w:pPr>
      <w:r w:rsidRPr="00585571">
        <w:rPr>
          <w:rFonts w:cs="Calibri"/>
          <w:bCs/>
          <w:sz w:val="20"/>
          <w:szCs w:val="20"/>
        </w:rPr>
        <w:t>Based on the foregoing considerations and by virtue of the procedure established in Articles 48.1.f and 49 of the American Convention, the Commission wishes to reiterate its deep appreciation for the efforts made by the parties and its satisfaction with the achievement of an amicable solution in the instant case, based on respect for human rights, and compatible with the object and purpose of the American Convention.</w:t>
      </w:r>
    </w:p>
    <w:p w:rsidR="00585571" w:rsidRDefault="00585571" w:rsidP="00585571">
      <w:pPr>
        <w:pStyle w:val="ListParagraph"/>
        <w:tabs>
          <w:tab w:val="left" w:pos="360"/>
        </w:tabs>
        <w:jc w:val="both"/>
        <w:rPr>
          <w:rFonts w:cs="Calibri"/>
          <w:bCs/>
          <w:sz w:val="20"/>
          <w:szCs w:val="20"/>
        </w:rPr>
      </w:pPr>
    </w:p>
    <w:p w:rsidR="00A82F82" w:rsidRPr="00585571" w:rsidRDefault="00A82F82" w:rsidP="00585571">
      <w:pPr>
        <w:pStyle w:val="ListParagraph"/>
        <w:numPr>
          <w:ilvl w:val="0"/>
          <w:numId w:val="106"/>
        </w:numPr>
        <w:tabs>
          <w:tab w:val="left" w:pos="360"/>
        </w:tabs>
        <w:ind w:left="0" w:firstLine="720"/>
        <w:jc w:val="both"/>
        <w:rPr>
          <w:rFonts w:cs="Calibri"/>
          <w:bCs/>
          <w:sz w:val="20"/>
          <w:szCs w:val="20"/>
        </w:rPr>
      </w:pPr>
      <w:r w:rsidRPr="00585571">
        <w:rPr>
          <w:rFonts w:cs="Calibri"/>
          <w:bCs/>
          <w:sz w:val="20"/>
          <w:szCs w:val="20"/>
        </w:rPr>
        <w:t>By virtue of the considerations and conclusions set out in this report,</w:t>
      </w:r>
    </w:p>
    <w:p w:rsidR="00A82F82" w:rsidRPr="00892027" w:rsidRDefault="00A82F82" w:rsidP="00A82F82">
      <w:pPr>
        <w:tabs>
          <w:tab w:val="left" w:pos="360"/>
        </w:tabs>
        <w:ind w:firstLine="360"/>
        <w:jc w:val="both"/>
        <w:rPr>
          <w:rFonts w:ascii="Cambria" w:hAnsi="Cambria" w:cs="Calibri"/>
          <w:bCs/>
          <w:sz w:val="20"/>
          <w:szCs w:val="20"/>
        </w:rPr>
      </w:pPr>
    </w:p>
    <w:p w:rsidR="00A82F82" w:rsidRPr="00585571" w:rsidRDefault="00A82F82" w:rsidP="00585571">
      <w:pPr>
        <w:tabs>
          <w:tab w:val="left" w:pos="360"/>
        </w:tabs>
        <w:jc w:val="center"/>
        <w:rPr>
          <w:rFonts w:ascii="Cambria" w:hAnsi="Cambria" w:cs="Calibri"/>
          <w:b/>
          <w:bCs/>
          <w:sz w:val="20"/>
          <w:szCs w:val="20"/>
        </w:rPr>
      </w:pPr>
      <w:r w:rsidRPr="00585571">
        <w:rPr>
          <w:rFonts w:ascii="Cambria" w:hAnsi="Cambria" w:cs="Calibri"/>
          <w:b/>
          <w:bCs/>
          <w:sz w:val="20"/>
          <w:szCs w:val="20"/>
        </w:rPr>
        <w:t>THE INTER-AMERICAN COMMISSION ON HUMAN RIGHTS</w:t>
      </w:r>
    </w:p>
    <w:p w:rsidR="00A82F82" w:rsidRPr="00892027" w:rsidRDefault="00A82F82" w:rsidP="00A82F82">
      <w:pPr>
        <w:tabs>
          <w:tab w:val="left" w:pos="360"/>
        </w:tabs>
        <w:ind w:firstLine="360"/>
        <w:jc w:val="both"/>
        <w:rPr>
          <w:rFonts w:ascii="Cambria" w:hAnsi="Cambria" w:cs="Calibri"/>
          <w:bCs/>
          <w:sz w:val="20"/>
          <w:szCs w:val="20"/>
        </w:rPr>
      </w:pPr>
    </w:p>
    <w:p w:rsidR="00A82F82" w:rsidRPr="00892027" w:rsidRDefault="00A82F82" w:rsidP="001511A3">
      <w:pPr>
        <w:tabs>
          <w:tab w:val="left" w:pos="360"/>
        </w:tabs>
        <w:jc w:val="both"/>
        <w:rPr>
          <w:rFonts w:ascii="Cambria" w:hAnsi="Cambria" w:cs="Calibri"/>
          <w:bCs/>
          <w:sz w:val="20"/>
          <w:szCs w:val="20"/>
        </w:rPr>
      </w:pPr>
      <w:r w:rsidRPr="00585571">
        <w:rPr>
          <w:rFonts w:ascii="Cambria" w:hAnsi="Cambria" w:cs="Calibri"/>
          <w:b/>
          <w:bCs/>
          <w:sz w:val="20"/>
          <w:szCs w:val="20"/>
        </w:rPr>
        <w:t>DECIDE</w:t>
      </w:r>
      <w:r w:rsidR="00585571" w:rsidRPr="00585571">
        <w:rPr>
          <w:rFonts w:ascii="Cambria" w:hAnsi="Cambria" w:cs="Calibri"/>
          <w:b/>
          <w:bCs/>
          <w:sz w:val="20"/>
          <w:szCs w:val="20"/>
        </w:rPr>
        <w:t>S TO</w:t>
      </w:r>
      <w:r w:rsidRPr="00892027">
        <w:rPr>
          <w:rFonts w:ascii="Cambria" w:hAnsi="Cambria" w:cs="Calibri"/>
          <w:bCs/>
          <w:sz w:val="20"/>
          <w:szCs w:val="20"/>
        </w:rPr>
        <w:t>:</w:t>
      </w:r>
    </w:p>
    <w:p w:rsidR="00A82F82" w:rsidRPr="00892027" w:rsidRDefault="00A82F82" w:rsidP="00A82F82">
      <w:pPr>
        <w:tabs>
          <w:tab w:val="left" w:pos="360"/>
        </w:tabs>
        <w:ind w:firstLine="360"/>
        <w:jc w:val="both"/>
        <w:rPr>
          <w:rFonts w:ascii="Cambria" w:hAnsi="Cambria" w:cs="Calibri"/>
          <w:bCs/>
          <w:sz w:val="20"/>
          <w:szCs w:val="20"/>
        </w:rPr>
      </w:pPr>
    </w:p>
    <w:p w:rsidR="00A82F82" w:rsidRPr="0046274D" w:rsidRDefault="00A82F82" w:rsidP="0046274D">
      <w:pPr>
        <w:pStyle w:val="ListParagraph"/>
        <w:numPr>
          <w:ilvl w:val="0"/>
          <w:numId w:val="107"/>
        </w:numPr>
        <w:tabs>
          <w:tab w:val="left" w:pos="720"/>
        </w:tabs>
        <w:ind w:left="0" w:firstLine="720"/>
        <w:jc w:val="both"/>
        <w:rPr>
          <w:rFonts w:cs="Calibri"/>
          <w:bCs/>
          <w:sz w:val="20"/>
          <w:szCs w:val="20"/>
        </w:rPr>
      </w:pPr>
      <w:r w:rsidRPr="0046274D">
        <w:rPr>
          <w:rFonts w:cs="Calibri"/>
          <w:bCs/>
          <w:sz w:val="20"/>
          <w:szCs w:val="20"/>
        </w:rPr>
        <w:t>Approve the terms of the agreement signed by the parties on December 4, 2019.</w:t>
      </w:r>
    </w:p>
    <w:p w:rsidR="00A82F82" w:rsidRPr="00892027" w:rsidRDefault="00A82F82" w:rsidP="0046274D">
      <w:pPr>
        <w:tabs>
          <w:tab w:val="left" w:pos="720"/>
        </w:tabs>
        <w:ind w:firstLine="720"/>
        <w:jc w:val="both"/>
        <w:rPr>
          <w:rFonts w:ascii="Cambria" w:hAnsi="Cambria" w:cs="Calibri"/>
          <w:bCs/>
          <w:sz w:val="20"/>
          <w:szCs w:val="20"/>
        </w:rPr>
      </w:pPr>
    </w:p>
    <w:p w:rsidR="00A82F82" w:rsidRPr="0046274D" w:rsidRDefault="00A82F82" w:rsidP="0046274D">
      <w:pPr>
        <w:pStyle w:val="ListParagraph"/>
        <w:numPr>
          <w:ilvl w:val="0"/>
          <w:numId w:val="107"/>
        </w:numPr>
        <w:tabs>
          <w:tab w:val="left" w:pos="720"/>
        </w:tabs>
        <w:ind w:left="0" w:firstLine="720"/>
        <w:jc w:val="both"/>
        <w:rPr>
          <w:rFonts w:cs="Calibri"/>
          <w:bCs/>
          <w:sz w:val="20"/>
          <w:szCs w:val="20"/>
        </w:rPr>
      </w:pPr>
      <w:r w:rsidRPr="0046274D">
        <w:rPr>
          <w:rFonts w:cs="Calibri"/>
          <w:bCs/>
          <w:sz w:val="20"/>
          <w:szCs w:val="20"/>
        </w:rPr>
        <w:t xml:space="preserve">Declare that </w:t>
      </w:r>
      <w:r w:rsidR="00CB3BD8">
        <w:rPr>
          <w:rFonts w:cs="Calibri"/>
          <w:bCs/>
          <w:sz w:val="20"/>
          <w:szCs w:val="20"/>
        </w:rPr>
        <w:t>literals</w:t>
      </w:r>
      <w:r w:rsidR="005E5473">
        <w:rPr>
          <w:rFonts w:cs="Calibri"/>
          <w:bCs/>
          <w:sz w:val="20"/>
          <w:szCs w:val="20"/>
        </w:rPr>
        <w:t xml:space="preserve"> a) </w:t>
      </w:r>
      <w:r w:rsidRPr="0046274D">
        <w:rPr>
          <w:rFonts w:cs="Calibri"/>
          <w:bCs/>
          <w:sz w:val="20"/>
          <w:szCs w:val="20"/>
        </w:rPr>
        <w:t>and b</w:t>
      </w:r>
      <w:r w:rsidR="005E5473">
        <w:rPr>
          <w:rFonts w:cs="Calibri"/>
          <w:bCs/>
          <w:sz w:val="20"/>
          <w:szCs w:val="20"/>
        </w:rPr>
        <w:t>)</w:t>
      </w:r>
      <w:r w:rsidRPr="0046274D">
        <w:rPr>
          <w:rFonts w:cs="Calibri"/>
          <w:bCs/>
          <w:sz w:val="20"/>
          <w:szCs w:val="20"/>
        </w:rPr>
        <w:t xml:space="preserve"> of the third clause of the friendly settlement agreement </w:t>
      </w:r>
      <w:r w:rsidR="00CB3BD8">
        <w:rPr>
          <w:rFonts w:cs="Calibri"/>
          <w:bCs/>
          <w:sz w:val="20"/>
          <w:szCs w:val="20"/>
        </w:rPr>
        <w:t>have been fully complied with (p</w:t>
      </w:r>
      <w:r w:rsidRPr="0046274D">
        <w:rPr>
          <w:rFonts w:cs="Calibri"/>
          <w:bCs/>
          <w:sz w:val="20"/>
          <w:szCs w:val="20"/>
        </w:rPr>
        <w:t>rivate act of apologies and delivery of invitations and reminders), according to the analysis contained in this report.</w:t>
      </w:r>
    </w:p>
    <w:p w:rsidR="00A82F82" w:rsidRPr="00892027" w:rsidRDefault="00A82F82" w:rsidP="0046274D">
      <w:pPr>
        <w:tabs>
          <w:tab w:val="left" w:pos="720"/>
        </w:tabs>
        <w:ind w:firstLine="720"/>
        <w:jc w:val="both"/>
        <w:rPr>
          <w:rFonts w:ascii="Cambria" w:hAnsi="Cambria" w:cs="Calibri"/>
          <w:bCs/>
          <w:sz w:val="20"/>
          <w:szCs w:val="20"/>
        </w:rPr>
      </w:pPr>
    </w:p>
    <w:p w:rsidR="00A82F82" w:rsidRPr="0046274D" w:rsidRDefault="00A82F82" w:rsidP="0046274D">
      <w:pPr>
        <w:pStyle w:val="ListParagraph"/>
        <w:numPr>
          <w:ilvl w:val="0"/>
          <w:numId w:val="107"/>
        </w:numPr>
        <w:tabs>
          <w:tab w:val="left" w:pos="720"/>
        </w:tabs>
        <w:ind w:left="0" w:firstLine="720"/>
        <w:jc w:val="both"/>
        <w:rPr>
          <w:rFonts w:cs="Calibri"/>
          <w:bCs/>
          <w:sz w:val="20"/>
          <w:szCs w:val="20"/>
        </w:rPr>
      </w:pPr>
      <w:r w:rsidRPr="0046274D">
        <w:rPr>
          <w:rFonts w:cs="Calibri"/>
          <w:bCs/>
          <w:sz w:val="20"/>
          <w:szCs w:val="20"/>
        </w:rPr>
        <w:lastRenderedPageBreak/>
        <w:t xml:space="preserve">Declare pending compliance with </w:t>
      </w:r>
      <w:r w:rsidR="00CB3BD8">
        <w:rPr>
          <w:rFonts w:cs="Calibri"/>
          <w:bCs/>
          <w:sz w:val="20"/>
          <w:szCs w:val="20"/>
        </w:rPr>
        <w:t>literal</w:t>
      </w:r>
      <w:r w:rsidRPr="0046274D">
        <w:rPr>
          <w:rFonts w:cs="Calibri"/>
          <w:bCs/>
          <w:sz w:val="20"/>
          <w:szCs w:val="20"/>
        </w:rPr>
        <w:t xml:space="preserve"> c</w:t>
      </w:r>
      <w:r w:rsidR="005E5473">
        <w:rPr>
          <w:rFonts w:cs="Calibri"/>
          <w:bCs/>
          <w:sz w:val="20"/>
          <w:szCs w:val="20"/>
        </w:rPr>
        <w:t>)</w:t>
      </w:r>
      <w:r w:rsidRPr="0046274D">
        <w:rPr>
          <w:rFonts w:cs="Calibri"/>
          <w:bCs/>
          <w:sz w:val="20"/>
          <w:szCs w:val="20"/>
        </w:rPr>
        <w:t xml:space="preserve"> of the third clause (publication of the homologation </w:t>
      </w:r>
      <w:r w:rsidR="00CB3BD8">
        <w:rPr>
          <w:rFonts w:cs="Calibri"/>
          <w:bCs/>
          <w:sz w:val="20"/>
          <w:szCs w:val="20"/>
        </w:rPr>
        <w:t>report) and the fourth clause (pecuniary r</w:t>
      </w:r>
      <w:r w:rsidRPr="0046274D">
        <w:rPr>
          <w:rFonts w:cs="Calibri"/>
          <w:bCs/>
          <w:sz w:val="20"/>
          <w:szCs w:val="20"/>
        </w:rPr>
        <w:t>eparations), according to the analysis contained in this report.</w:t>
      </w:r>
    </w:p>
    <w:p w:rsidR="00A82F82" w:rsidRPr="00892027" w:rsidRDefault="00A82F82" w:rsidP="0046274D">
      <w:pPr>
        <w:tabs>
          <w:tab w:val="left" w:pos="720"/>
        </w:tabs>
        <w:ind w:firstLine="720"/>
        <w:jc w:val="both"/>
        <w:rPr>
          <w:rFonts w:ascii="Cambria" w:hAnsi="Cambria" w:cs="Calibri"/>
          <w:bCs/>
          <w:sz w:val="20"/>
          <w:szCs w:val="20"/>
        </w:rPr>
      </w:pPr>
    </w:p>
    <w:p w:rsidR="00A82F82" w:rsidRPr="0046274D" w:rsidRDefault="00A82F82" w:rsidP="0046274D">
      <w:pPr>
        <w:pStyle w:val="ListParagraph"/>
        <w:numPr>
          <w:ilvl w:val="0"/>
          <w:numId w:val="107"/>
        </w:numPr>
        <w:tabs>
          <w:tab w:val="left" w:pos="720"/>
        </w:tabs>
        <w:ind w:left="0" w:firstLine="720"/>
        <w:jc w:val="both"/>
        <w:rPr>
          <w:rFonts w:cs="Calibri"/>
          <w:bCs/>
          <w:sz w:val="20"/>
          <w:szCs w:val="20"/>
        </w:rPr>
      </w:pPr>
      <w:r w:rsidRPr="0046274D">
        <w:rPr>
          <w:rFonts w:cs="Calibri"/>
          <w:bCs/>
          <w:sz w:val="20"/>
          <w:szCs w:val="20"/>
        </w:rPr>
        <w:t>Continue with the supervision of the third and fourth clauses of the friendly settlement agreement until they are fully complied with, according to the analysis contained in this report. To this end, remind the parties of their commitment to periodically inform the IACHR on its compliance.</w:t>
      </w:r>
    </w:p>
    <w:p w:rsidR="00A82F82" w:rsidRPr="00892027" w:rsidRDefault="00A82F82" w:rsidP="0046274D">
      <w:pPr>
        <w:tabs>
          <w:tab w:val="left" w:pos="720"/>
        </w:tabs>
        <w:ind w:firstLine="720"/>
        <w:jc w:val="both"/>
        <w:rPr>
          <w:rFonts w:ascii="Cambria" w:hAnsi="Cambria" w:cs="Calibri"/>
          <w:bCs/>
          <w:sz w:val="20"/>
          <w:szCs w:val="20"/>
        </w:rPr>
      </w:pPr>
    </w:p>
    <w:p w:rsidR="00A82F82" w:rsidRPr="0046274D" w:rsidRDefault="00A82F82" w:rsidP="0046274D">
      <w:pPr>
        <w:pStyle w:val="ListParagraph"/>
        <w:numPr>
          <w:ilvl w:val="0"/>
          <w:numId w:val="107"/>
        </w:numPr>
        <w:tabs>
          <w:tab w:val="left" w:pos="720"/>
        </w:tabs>
        <w:ind w:left="0" w:firstLine="720"/>
        <w:jc w:val="both"/>
        <w:rPr>
          <w:bCs/>
          <w:sz w:val="20"/>
          <w:szCs w:val="20"/>
        </w:rPr>
      </w:pPr>
      <w:r w:rsidRPr="0046274D">
        <w:rPr>
          <w:rFonts w:cs="Calibri"/>
          <w:bCs/>
          <w:sz w:val="20"/>
          <w:szCs w:val="20"/>
        </w:rPr>
        <w:t>Make this report public and include it in its Annual Report to the OAS General Assembly.</w:t>
      </w:r>
    </w:p>
    <w:p w:rsidR="00A82F82" w:rsidRPr="00892027" w:rsidRDefault="00A82F82" w:rsidP="00A82F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ind w:left="360" w:firstLine="720"/>
        <w:jc w:val="both"/>
        <w:rPr>
          <w:rFonts w:asciiTheme="majorHAnsi" w:hAnsiTheme="majorHAnsi"/>
          <w:bCs/>
          <w:sz w:val="20"/>
          <w:szCs w:val="20"/>
        </w:rPr>
      </w:pPr>
    </w:p>
    <w:p w:rsidR="00A064F2" w:rsidRDefault="00A064F2" w:rsidP="00A064F2">
      <w:pPr>
        <w:suppressAutoHyphens/>
        <w:ind w:firstLine="720"/>
        <w:jc w:val="both"/>
        <w:rPr>
          <w:rFonts w:ascii="Cambria" w:hAnsi="Cambria"/>
          <w:sz w:val="20"/>
          <w:szCs w:val="20"/>
        </w:rPr>
      </w:pPr>
      <w:r w:rsidRPr="007C1554">
        <w:rPr>
          <w:rFonts w:asciiTheme="majorHAnsi" w:eastAsia="MS Mincho" w:hAnsiTheme="majorHAnsi"/>
          <w:sz w:val="20"/>
          <w:szCs w:val="20"/>
        </w:rPr>
        <w:t xml:space="preserve">Approved by the Inter-American Commission on Human Rights on </w:t>
      </w:r>
      <w:r>
        <w:rPr>
          <w:rFonts w:asciiTheme="majorHAnsi" w:eastAsia="MS Mincho" w:hAnsiTheme="majorHAnsi"/>
          <w:sz w:val="20"/>
          <w:szCs w:val="20"/>
        </w:rPr>
        <w:t>November 19</w:t>
      </w:r>
      <w:r w:rsidRPr="007C1554">
        <w:rPr>
          <w:rFonts w:asciiTheme="majorHAnsi" w:eastAsia="MS Mincho" w:hAnsiTheme="majorHAnsi"/>
          <w:sz w:val="20"/>
          <w:szCs w:val="20"/>
        </w:rPr>
        <w:t xml:space="preserve">, 2020. (Signed): </w:t>
      </w:r>
      <w:r w:rsidRPr="007C1554">
        <w:rPr>
          <w:rFonts w:ascii="Cambria" w:hAnsi="Cambria"/>
          <w:sz w:val="20"/>
          <w:szCs w:val="20"/>
        </w:rPr>
        <w:t>Joel Hernández García</w:t>
      </w:r>
      <w:r>
        <w:rPr>
          <w:rFonts w:ascii="Cambria" w:hAnsi="Cambria"/>
          <w:sz w:val="20"/>
          <w:szCs w:val="20"/>
        </w:rPr>
        <w:t>.</w:t>
      </w:r>
      <w:r w:rsidRPr="007C1554">
        <w:rPr>
          <w:rFonts w:ascii="Cambria" w:hAnsi="Cambria"/>
          <w:sz w:val="20"/>
          <w:szCs w:val="20"/>
        </w:rPr>
        <w:t xml:space="preserve"> President;</w:t>
      </w:r>
      <w:r>
        <w:rPr>
          <w:rFonts w:ascii="Cambria" w:hAnsi="Cambria"/>
          <w:sz w:val="20"/>
          <w:szCs w:val="20"/>
        </w:rPr>
        <w:t xml:space="preserve"> Antonia Urrejola, First Vice President;</w:t>
      </w:r>
      <w:r w:rsidRPr="007C1554">
        <w:rPr>
          <w:rFonts w:ascii="Cambria" w:hAnsi="Cambria"/>
          <w:sz w:val="20"/>
          <w:szCs w:val="20"/>
        </w:rPr>
        <w:t xml:space="preserve"> Flávia </w:t>
      </w:r>
      <w:r>
        <w:rPr>
          <w:rFonts w:ascii="Cambria" w:hAnsi="Cambria"/>
          <w:sz w:val="20"/>
          <w:szCs w:val="20"/>
        </w:rPr>
        <w:t>Piovesan, Second Vice President;</w:t>
      </w:r>
      <w:r w:rsidRPr="007C1554">
        <w:rPr>
          <w:rFonts w:ascii="Cambria" w:hAnsi="Cambria"/>
          <w:sz w:val="20"/>
          <w:szCs w:val="20"/>
        </w:rPr>
        <w:t xml:space="preserve"> </w:t>
      </w:r>
      <w:r>
        <w:rPr>
          <w:rFonts w:ascii="Cambria" w:hAnsi="Cambria"/>
          <w:sz w:val="20"/>
          <w:szCs w:val="20"/>
        </w:rPr>
        <w:t xml:space="preserve">Margarette May Macaulay, </w:t>
      </w:r>
      <w:r w:rsidRPr="007C1554">
        <w:rPr>
          <w:rFonts w:ascii="Cambria" w:hAnsi="Cambria"/>
          <w:sz w:val="20"/>
          <w:szCs w:val="20"/>
        </w:rPr>
        <w:t>Esmeralda E. Arosemena de Tro</w:t>
      </w:r>
      <w:r>
        <w:rPr>
          <w:rFonts w:ascii="Cambria" w:hAnsi="Cambria"/>
          <w:sz w:val="20"/>
          <w:szCs w:val="20"/>
        </w:rPr>
        <w:t>itiño, Julissa Mantilla Falcón and</w:t>
      </w:r>
      <w:r w:rsidRPr="007C1554">
        <w:rPr>
          <w:rFonts w:ascii="Cambria" w:hAnsi="Cambria"/>
          <w:sz w:val="20"/>
          <w:szCs w:val="20"/>
        </w:rPr>
        <w:t xml:space="preserve"> Edgar Stuardo Ralon Orellana,</w:t>
      </w:r>
      <w:r>
        <w:rPr>
          <w:rFonts w:ascii="Cambria" w:hAnsi="Cambria"/>
          <w:sz w:val="20"/>
          <w:szCs w:val="20"/>
        </w:rPr>
        <w:t xml:space="preserve"> </w:t>
      </w:r>
      <w:r w:rsidRPr="007C1554">
        <w:rPr>
          <w:rFonts w:ascii="Cambria" w:hAnsi="Cambria"/>
          <w:sz w:val="20"/>
          <w:szCs w:val="20"/>
        </w:rPr>
        <w:t>Members of the Commission.</w:t>
      </w:r>
    </w:p>
    <w:p w:rsidR="00A71449" w:rsidRDefault="00A71449" w:rsidP="00A064F2">
      <w:pPr>
        <w:suppressAutoHyphens/>
        <w:ind w:firstLine="720"/>
        <w:jc w:val="both"/>
        <w:rPr>
          <w:rFonts w:ascii="Cambria" w:hAnsi="Cambria"/>
          <w:sz w:val="20"/>
          <w:szCs w:val="20"/>
        </w:rPr>
      </w:pPr>
    </w:p>
    <w:sectPr w:rsidR="00A71449" w:rsidSect="006311DA">
      <w:footerReference w:type="first" r:id="rId1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D86" w:rsidRDefault="00EC5D86" w:rsidP="00036A8A">
      <w:r>
        <w:separator/>
      </w:r>
    </w:p>
  </w:endnote>
  <w:endnote w:type="continuationSeparator" w:id="0">
    <w:p w:rsidR="00EC5D86" w:rsidRDefault="00EC5D8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3DA" w:rsidRDefault="008803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8803DA">
          <w:rPr>
            <w:noProof/>
            <w:sz w:val="16"/>
          </w:rPr>
          <w:t>3</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D86" w:rsidRPr="00036A8A" w:rsidRDefault="00EC5D8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EC5D86" w:rsidRPr="00036A8A" w:rsidRDefault="00EC5D86" w:rsidP="00036A8A">
      <w:pPr>
        <w:rPr>
          <w:rFonts w:asciiTheme="majorHAnsi" w:hAnsiTheme="majorHAnsi"/>
          <w:sz w:val="16"/>
          <w:szCs w:val="16"/>
        </w:rPr>
      </w:pPr>
      <w:r w:rsidRPr="00036A8A">
        <w:rPr>
          <w:rFonts w:asciiTheme="majorHAnsi" w:hAnsiTheme="majorHAnsi"/>
          <w:sz w:val="16"/>
          <w:szCs w:val="16"/>
        </w:rPr>
        <w:separator/>
      </w:r>
    </w:p>
    <w:p w:rsidR="00EC5D86" w:rsidRPr="00036A8A" w:rsidRDefault="00EC5D8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EC5D86" w:rsidRPr="0093441A" w:rsidRDefault="00EC5D86"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520015" w:rsidRPr="00520015" w:rsidRDefault="00520015" w:rsidP="00520015">
      <w:pPr>
        <w:pStyle w:val="FootnoteText"/>
        <w:ind w:firstLine="720"/>
        <w:jc w:val="both"/>
        <w:rPr>
          <w:rFonts w:asciiTheme="majorHAnsi" w:hAnsiTheme="majorHAnsi"/>
          <w:sz w:val="16"/>
          <w:szCs w:val="16"/>
        </w:rPr>
      </w:pPr>
      <w:r w:rsidRPr="00520015">
        <w:rPr>
          <w:rStyle w:val="FootnoteReference"/>
          <w:rFonts w:asciiTheme="majorHAnsi" w:hAnsiTheme="majorHAnsi"/>
          <w:sz w:val="16"/>
          <w:szCs w:val="16"/>
        </w:rPr>
        <w:footnoteRef/>
      </w:r>
      <w:r w:rsidRPr="00520015">
        <w:rPr>
          <w:rFonts w:asciiTheme="majorHAnsi" w:hAnsiTheme="majorHAnsi"/>
          <w:sz w:val="16"/>
          <w:szCs w:val="16"/>
        </w:rPr>
        <w:t xml:space="preserve"> Numbering outside of the original text of the friendly settlement agreement. </w:t>
      </w:r>
    </w:p>
  </w:footnote>
  <w:footnote w:id="3">
    <w:p w:rsidR="0076685D" w:rsidRDefault="0076685D" w:rsidP="0076685D">
      <w:pPr>
        <w:pStyle w:val="FootnoteText"/>
        <w:ind w:firstLine="720"/>
      </w:pPr>
      <w:r>
        <w:rPr>
          <w:rStyle w:val="FootnoteReference"/>
        </w:rPr>
        <w:footnoteRef/>
      </w:r>
      <w:r>
        <w:t xml:space="preserve"> </w:t>
      </w:r>
      <w:r w:rsidRPr="00B95CF0">
        <w:rPr>
          <w:rFonts w:asciiTheme="majorHAnsi" w:hAnsiTheme="majorHAnsi"/>
          <w:sz w:val="16"/>
          <w:szCs w:val="16"/>
        </w:rPr>
        <w:t>Vienna Convention on the Law of Treaties, U.N. Doc A / CONF.39 / 27 (1969), Article 26: "</w:t>
      </w:r>
      <w:proofErr w:type="spellStart"/>
      <w:r w:rsidRPr="00B95CF0">
        <w:rPr>
          <w:rFonts w:asciiTheme="majorHAnsi" w:hAnsiTheme="majorHAnsi"/>
          <w:sz w:val="16"/>
          <w:szCs w:val="16"/>
        </w:rPr>
        <w:t>Pacta</w:t>
      </w:r>
      <w:proofErr w:type="spellEnd"/>
      <w:r w:rsidRPr="00B95CF0">
        <w:rPr>
          <w:rFonts w:asciiTheme="majorHAnsi" w:hAnsiTheme="majorHAnsi"/>
          <w:sz w:val="16"/>
          <w:szCs w:val="16"/>
        </w:rPr>
        <w:t xml:space="preserve"> </w:t>
      </w:r>
      <w:proofErr w:type="spellStart"/>
      <w:r w:rsidRPr="00B95CF0">
        <w:rPr>
          <w:rFonts w:asciiTheme="majorHAnsi" w:hAnsiTheme="majorHAnsi"/>
          <w:sz w:val="16"/>
          <w:szCs w:val="16"/>
        </w:rPr>
        <w:t>sunt</w:t>
      </w:r>
      <w:proofErr w:type="spellEnd"/>
      <w:r w:rsidRPr="00B95CF0">
        <w:rPr>
          <w:rFonts w:asciiTheme="majorHAnsi" w:hAnsiTheme="majorHAnsi"/>
          <w:sz w:val="16"/>
          <w:szCs w:val="16"/>
        </w:rPr>
        <w:t xml:space="preserve"> </w:t>
      </w:r>
      <w:proofErr w:type="spellStart"/>
      <w:r w:rsidRPr="00B95CF0">
        <w:rPr>
          <w:rFonts w:asciiTheme="majorHAnsi" w:hAnsiTheme="majorHAnsi"/>
          <w:sz w:val="16"/>
          <w:szCs w:val="16"/>
        </w:rPr>
        <w:t>servanda</w:t>
      </w:r>
      <w:proofErr w:type="spellEnd"/>
      <w:r w:rsidRPr="00B95CF0">
        <w:rPr>
          <w:rFonts w:asciiTheme="majorHAnsi" w:hAnsiTheme="majorHAnsi"/>
          <w:sz w:val="16"/>
          <w:szCs w:val="16"/>
        </w:rPr>
        <w:t xml:space="preserve">". </w:t>
      </w:r>
      <w:r w:rsidRPr="00B95CF0">
        <w:rPr>
          <w:rFonts w:asciiTheme="majorHAnsi" w:hAnsiTheme="majorHAnsi"/>
          <w:i/>
          <w:sz w:val="16"/>
          <w:szCs w:val="16"/>
        </w:rPr>
        <w:t>Any treaty in force is binding on the parties and must be performed by them in good faith.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EC5D86"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3DA" w:rsidRDefault="008803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6996587"/>
    <w:multiLevelType w:val="hybridMultilevel"/>
    <w:tmpl w:val="FE640F7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73A6C1A"/>
    <w:multiLevelType w:val="hybridMultilevel"/>
    <w:tmpl w:val="CDA0F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AB26412"/>
    <w:multiLevelType w:val="hybridMultilevel"/>
    <w:tmpl w:val="9E28F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B483BF6"/>
    <w:multiLevelType w:val="hybridMultilevel"/>
    <w:tmpl w:val="4184C69E"/>
    <w:lvl w:ilvl="0" w:tplc="A3462E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5"/>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3"/>
  </w:num>
  <w:num w:numId="65">
    <w:abstractNumId w:val="14"/>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61"/>
  </w:num>
  <w:num w:numId="91">
    <w:abstractNumId w:val="62"/>
  </w:num>
  <w:num w:numId="92">
    <w:abstractNumId w:val="63"/>
  </w:num>
  <w:num w:numId="93">
    <w:abstractNumId w:val="64"/>
  </w:num>
  <w:num w:numId="94">
    <w:abstractNumId w:val="21"/>
  </w:num>
  <w:num w:numId="95">
    <w:abstractNumId w:val="43"/>
  </w:num>
  <w:num w:numId="96">
    <w:abstractNumId w:val="53"/>
  </w:num>
  <w:num w:numId="97">
    <w:abstractNumId w:val="51"/>
  </w:num>
  <w:num w:numId="98">
    <w:abstractNumId w:val="46"/>
  </w:num>
  <w:num w:numId="99">
    <w:abstractNumId w:val="38"/>
  </w:num>
  <w:num w:numId="100">
    <w:abstractNumId w:val="3"/>
  </w:num>
  <w:num w:numId="101">
    <w:abstractNumId w:val="26"/>
  </w:num>
  <w:num w:numId="102">
    <w:abstractNumId w:val="48"/>
  </w:num>
  <w:num w:numId="103">
    <w:abstractNumId w:val="5"/>
  </w:num>
  <w:num w:numId="104">
    <w:abstractNumId w:val="15"/>
  </w:num>
  <w:num w:numId="105">
    <w:abstractNumId w:val="60"/>
  </w:num>
  <w:num w:numId="106">
    <w:abstractNumId w:val="27"/>
  </w:num>
  <w:num w:numId="107">
    <w:abstractNumId w:val="5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22C87"/>
    <w:rsid w:val="0013104F"/>
    <w:rsid w:val="00137050"/>
    <w:rsid w:val="00137EBA"/>
    <w:rsid w:val="00145EDC"/>
    <w:rsid w:val="001511A3"/>
    <w:rsid w:val="00167A34"/>
    <w:rsid w:val="0018037F"/>
    <w:rsid w:val="001A5F27"/>
    <w:rsid w:val="001A7870"/>
    <w:rsid w:val="001C1B41"/>
    <w:rsid w:val="00201367"/>
    <w:rsid w:val="00210E0E"/>
    <w:rsid w:val="00247403"/>
    <w:rsid w:val="00247542"/>
    <w:rsid w:val="00251E01"/>
    <w:rsid w:val="00257893"/>
    <w:rsid w:val="00266092"/>
    <w:rsid w:val="00266B61"/>
    <w:rsid w:val="0026712A"/>
    <w:rsid w:val="002704DB"/>
    <w:rsid w:val="002C1641"/>
    <w:rsid w:val="002D7EA2"/>
    <w:rsid w:val="002E15DF"/>
    <w:rsid w:val="002E187C"/>
    <w:rsid w:val="002E55DD"/>
    <w:rsid w:val="002E6E57"/>
    <w:rsid w:val="00301075"/>
    <w:rsid w:val="00302733"/>
    <w:rsid w:val="00311A4F"/>
    <w:rsid w:val="00314078"/>
    <w:rsid w:val="00322450"/>
    <w:rsid w:val="003246B5"/>
    <w:rsid w:val="0033169F"/>
    <w:rsid w:val="003414AC"/>
    <w:rsid w:val="00356185"/>
    <w:rsid w:val="00360380"/>
    <w:rsid w:val="003815A8"/>
    <w:rsid w:val="00386CF0"/>
    <w:rsid w:val="003C32BC"/>
    <w:rsid w:val="003F1BBF"/>
    <w:rsid w:val="004165C2"/>
    <w:rsid w:val="00450A4A"/>
    <w:rsid w:val="0046274D"/>
    <w:rsid w:val="004666FB"/>
    <w:rsid w:val="00467B7E"/>
    <w:rsid w:val="0049419D"/>
    <w:rsid w:val="004B2762"/>
    <w:rsid w:val="004B7EB6"/>
    <w:rsid w:val="004C4B62"/>
    <w:rsid w:val="004D6025"/>
    <w:rsid w:val="004D72BC"/>
    <w:rsid w:val="004F037A"/>
    <w:rsid w:val="00501399"/>
    <w:rsid w:val="00507BC4"/>
    <w:rsid w:val="005128E4"/>
    <w:rsid w:val="00520015"/>
    <w:rsid w:val="00525560"/>
    <w:rsid w:val="005357A6"/>
    <w:rsid w:val="00544C49"/>
    <w:rsid w:val="00556E9D"/>
    <w:rsid w:val="0057402A"/>
    <w:rsid w:val="005771D0"/>
    <w:rsid w:val="00585571"/>
    <w:rsid w:val="0059191A"/>
    <w:rsid w:val="005921FF"/>
    <w:rsid w:val="005A6D0E"/>
    <w:rsid w:val="005B222D"/>
    <w:rsid w:val="005B52B0"/>
    <w:rsid w:val="005B6806"/>
    <w:rsid w:val="005C00F9"/>
    <w:rsid w:val="005C4225"/>
    <w:rsid w:val="005E5473"/>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6685D"/>
    <w:rsid w:val="007A2F70"/>
    <w:rsid w:val="007C3334"/>
    <w:rsid w:val="007C52BB"/>
    <w:rsid w:val="007D2B98"/>
    <w:rsid w:val="00803F1C"/>
    <w:rsid w:val="0080600E"/>
    <w:rsid w:val="00817612"/>
    <w:rsid w:val="00837C45"/>
    <w:rsid w:val="00853419"/>
    <w:rsid w:val="008803DA"/>
    <w:rsid w:val="00897E12"/>
    <w:rsid w:val="008D43BA"/>
    <w:rsid w:val="008E3759"/>
    <w:rsid w:val="009041DC"/>
    <w:rsid w:val="009104B4"/>
    <w:rsid w:val="00925FCD"/>
    <w:rsid w:val="0093441A"/>
    <w:rsid w:val="00954BF7"/>
    <w:rsid w:val="0096706E"/>
    <w:rsid w:val="00981FBA"/>
    <w:rsid w:val="0099175E"/>
    <w:rsid w:val="009B381B"/>
    <w:rsid w:val="009D7611"/>
    <w:rsid w:val="009D770B"/>
    <w:rsid w:val="009E53DE"/>
    <w:rsid w:val="00A064F2"/>
    <w:rsid w:val="00A43458"/>
    <w:rsid w:val="00A463F6"/>
    <w:rsid w:val="00A528D1"/>
    <w:rsid w:val="00A66BE5"/>
    <w:rsid w:val="00A71449"/>
    <w:rsid w:val="00A82F82"/>
    <w:rsid w:val="00AD37C1"/>
    <w:rsid w:val="00AE66EC"/>
    <w:rsid w:val="00AE6F91"/>
    <w:rsid w:val="00AF5571"/>
    <w:rsid w:val="00B167E9"/>
    <w:rsid w:val="00B314DB"/>
    <w:rsid w:val="00B31EBE"/>
    <w:rsid w:val="00B3718B"/>
    <w:rsid w:val="00B4632A"/>
    <w:rsid w:val="00BA276C"/>
    <w:rsid w:val="00BB306F"/>
    <w:rsid w:val="00BD232B"/>
    <w:rsid w:val="00BD4B89"/>
    <w:rsid w:val="00C21762"/>
    <w:rsid w:val="00C24543"/>
    <w:rsid w:val="00C256A2"/>
    <w:rsid w:val="00C3492D"/>
    <w:rsid w:val="00C55560"/>
    <w:rsid w:val="00C66B72"/>
    <w:rsid w:val="00C9567A"/>
    <w:rsid w:val="00CB2660"/>
    <w:rsid w:val="00CB3BD8"/>
    <w:rsid w:val="00CC5E90"/>
    <w:rsid w:val="00CD046C"/>
    <w:rsid w:val="00CE5199"/>
    <w:rsid w:val="00CE66D5"/>
    <w:rsid w:val="00D21283"/>
    <w:rsid w:val="00D34786"/>
    <w:rsid w:val="00D40A1E"/>
    <w:rsid w:val="00D712D3"/>
    <w:rsid w:val="00D71422"/>
    <w:rsid w:val="00D7145E"/>
    <w:rsid w:val="00D7558D"/>
    <w:rsid w:val="00D81D92"/>
    <w:rsid w:val="00D93446"/>
    <w:rsid w:val="00DA7B5F"/>
    <w:rsid w:val="00E43157"/>
    <w:rsid w:val="00E533FF"/>
    <w:rsid w:val="00E709B3"/>
    <w:rsid w:val="00E8789F"/>
    <w:rsid w:val="00E97B71"/>
    <w:rsid w:val="00EB454D"/>
    <w:rsid w:val="00EC5D86"/>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C6CCA-0AF6-4ED3-B51E-94BA0E3DF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2903</Words>
  <Characters>15419</Characters>
  <Application>Microsoft Office Word</Application>
  <DocSecurity>0</DocSecurity>
  <Lines>342</Lines>
  <Paragraphs>80</Paragraphs>
  <ScaleCrop>false</ScaleCrop>
  <Company/>
  <LinksUpToDate>false</LinksUpToDate>
  <CharactersWithSpaces>18242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333/20</dc:title>
  <dc:creator/>
  <cp:lastModifiedBy/>
  <cp:revision>1</cp:revision>
  <dcterms:created xsi:type="dcterms:W3CDTF">2020-12-08T21:15:00Z</dcterms:created>
  <dcterms:modified xsi:type="dcterms:W3CDTF">2020-12-08T21:15:00Z</dcterms:modified>
</cp:coreProperties>
</file>