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C74163" w14:textId="0EA935CE" w:rsidR="00040C3A" w:rsidRPr="00E74040" w:rsidRDefault="00981E2C" w:rsidP="00E74040">
      <w:pPr>
        <w:jc w:val="both"/>
        <w:rPr>
          <w:rFonts w:asciiTheme="majorHAnsi" w:hAnsiTheme="majorHAnsi" w:cs="Univers"/>
          <w:b/>
          <w:bCs/>
          <w:sz w:val="20"/>
          <w:szCs w:val="20"/>
          <w:lang w:val="es-ES_tradnl"/>
        </w:rPr>
      </w:pPr>
      <w:r w:rsidRPr="00E74040">
        <w:rPr>
          <w:rFonts w:asciiTheme="majorHAnsi" w:hAnsiTheme="majorHAnsi"/>
          <w:noProof/>
          <w:sz w:val="20"/>
          <w:szCs w:val="20"/>
        </w:rPr>
        <mc:AlternateContent>
          <mc:Choice Requires="wps">
            <w:drawing>
              <wp:anchor distT="0" distB="0" distL="114300" distR="114300" simplePos="0" relativeHeight="251685888" behindDoc="1" locked="0" layoutInCell="1" allowOverlap="1" wp14:anchorId="6A99870A" wp14:editId="3965BA4F">
                <wp:simplePos x="0" y="0"/>
                <wp:positionH relativeFrom="column">
                  <wp:posOffset>-418011</wp:posOffset>
                </wp:positionH>
                <wp:positionV relativeFrom="paragraph">
                  <wp:posOffset>-437606</wp:posOffset>
                </wp:positionV>
                <wp:extent cx="1409700" cy="8977630"/>
                <wp:effectExtent l="0" t="0" r="12700" b="0"/>
                <wp:wrapNone/>
                <wp:docPr id="19" name="Rectangle 19"/>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D24FD4E" id="Rectangle 19" o:spid="_x0000_s1026" style="position:absolute;margin-left:-32.9pt;margin-top:-34.45pt;width:111pt;height:70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" fillcolor="#67ae3c" stroked="f" strokeweight="2pt"/>
            </w:pict>
          </mc:Fallback>
        </mc:AlternateContent>
      </w:r>
      <w:r w:rsidRPr="00E74040">
        <w:rPr>
          <w:rFonts w:asciiTheme="majorHAnsi" w:hAnsiTheme="majorHAnsi"/>
          <w:noProof/>
          <w:sz w:val="20"/>
          <w:szCs w:val="20"/>
        </w:rPr>
        <w:drawing>
          <wp:anchor distT="0" distB="0" distL="114300" distR="114300" simplePos="0" relativeHeight="251683840" behindDoc="0" locked="0" layoutInCell="1" allowOverlap="1" wp14:anchorId="182F8338" wp14:editId="64D11D7E">
            <wp:simplePos x="0" y="0"/>
            <wp:positionH relativeFrom="column">
              <wp:posOffset>1384663</wp:posOffset>
            </wp:positionH>
            <wp:positionV relativeFrom="paragraph">
              <wp:posOffset>-346165</wp:posOffset>
            </wp:positionV>
            <wp:extent cx="2522763" cy="485775"/>
            <wp:effectExtent l="0" t="0" r="5080" b="0"/>
            <wp:wrapNone/>
            <wp:docPr id="18" name="Picture 18"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763"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46023" w14:textId="77777777" w:rsidR="00040C3A" w:rsidRPr="00E74040" w:rsidRDefault="00040C3A" w:rsidP="00E74040">
      <w:pPr>
        <w:tabs>
          <w:tab w:val="center" w:pos="5400"/>
        </w:tabs>
        <w:suppressAutoHyphens/>
        <w:jc w:val="both"/>
        <w:rPr>
          <w:rFonts w:asciiTheme="majorHAnsi" w:hAnsiTheme="majorHAnsi"/>
          <w:sz w:val="20"/>
          <w:szCs w:val="20"/>
          <w:lang w:val="es-ES"/>
        </w:rPr>
      </w:pPr>
    </w:p>
    <w:p w14:paraId="3B88EB24" w14:textId="77777777" w:rsidR="00040C3A" w:rsidRPr="00E74040" w:rsidRDefault="00040C3A" w:rsidP="00E74040">
      <w:pPr>
        <w:tabs>
          <w:tab w:val="center" w:pos="5400"/>
        </w:tabs>
        <w:suppressAutoHyphens/>
        <w:jc w:val="both"/>
        <w:rPr>
          <w:rFonts w:asciiTheme="majorHAnsi" w:hAnsiTheme="majorHAnsi"/>
          <w:sz w:val="20"/>
          <w:szCs w:val="20"/>
          <w:lang w:val="es-ES"/>
        </w:rPr>
      </w:pPr>
    </w:p>
    <w:p w14:paraId="0EB1A869" w14:textId="77777777" w:rsidR="005128E4" w:rsidRPr="00E74040" w:rsidRDefault="005128E4" w:rsidP="00E74040">
      <w:pPr>
        <w:tabs>
          <w:tab w:val="center" w:pos="5400"/>
        </w:tabs>
        <w:suppressAutoHyphens/>
        <w:rPr>
          <w:rFonts w:asciiTheme="majorHAnsi" w:hAnsiTheme="majorHAnsi"/>
          <w:sz w:val="20"/>
          <w:szCs w:val="20"/>
          <w:lang w:val="es-ES_tradnl"/>
        </w:rPr>
      </w:pPr>
    </w:p>
    <w:p w14:paraId="50967FF0" w14:textId="77777777" w:rsidR="005128E4" w:rsidRPr="00E74040" w:rsidRDefault="005128E4" w:rsidP="00E74040">
      <w:pPr>
        <w:tabs>
          <w:tab w:val="center" w:pos="5400"/>
        </w:tabs>
        <w:suppressAutoHyphens/>
        <w:rPr>
          <w:rFonts w:asciiTheme="majorHAnsi" w:hAnsiTheme="majorHAnsi"/>
          <w:sz w:val="20"/>
          <w:szCs w:val="20"/>
          <w:lang w:val="es-ES_tradnl"/>
        </w:rPr>
      </w:pPr>
    </w:p>
    <w:p w14:paraId="38B6F214" w14:textId="77777777" w:rsidR="005128E4" w:rsidRPr="00E74040" w:rsidRDefault="005128E4" w:rsidP="00E74040">
      <w:pPr>
        <w:tabs>
          <w:tab w:val="center" w:pos="5400"/>
        </w:tabs>
        <w:suppressAutoHyphens/>
        <w:rPr>
          <w:rFonts w:asciiTheme="majorHAnsi" w:hAnsiTheme="majorHAnsi"/>
          <w:sz w:val="20"/>
          <w:szCs w:val="20"/>
          <w:lang w:val="es-ES_tradnl"/>
        </w:rPr>
      </w:pPr>
    </w:p>
    <w:p w14:paraId="5D71C593"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70B59036"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006A5278" w14:textId="77777777" w:rsidR="005B52B0" w:rsidRPr="00E74040" w:rsidRDefault="005B52B0" w:rsidP="00E74040">
      <w:pPr>
        <w:tabs>
          <w:tab w:val="center" w:pos="5400"/>
        </w:tabs>
        <w:suppressAutoHyphens/>
        <w:jc w:val="center"/>
        <w:rPr>
          <w:rFonts w:asciiTheme="majorHAnsi" w:hAnsiTheme="majorHAnsi"/>
          <w:sz w:val="20"/>
          <w:szCs w:val="20"/>
          <w:lang w:val="es-ES_tradnl"/>
        </w:rPr>
      </w:pPr>
    </w:p>
    <w:p w14:paraId="09EA79F9" w14:textId="77777777" w:rsidR="005B52B0" w:rsidRPr="00E74040" w:rsidRDefault="005B52B0" w:rsidP="00E74040">
      <w:pPr>
        <w:tabs>
          <w:tab w:val="center" w:pos="5400"/>
        </w:tabs>
        <w:suppressAutoHyphens/>
        <w:jc w:val="center"/>
        <w:rPr>
          <w:rFonts w:asciiTheme="majorHAnsi" w:hAnsiTheme="majorHAnsi"/>
          <w:sz w:val="20"/>
          <w:szCs w:val="20"/>
          <w:lang w:val="es-ES_tradnl"/>
        </w:rPr>
      </w:pPr>
    </w:p>
    <w:p w14:paraId="0355F7AA" w14:textId="77777777" w:rsidR="005B52B0" w:rsidRPr="00E74040" w:rsidRDefault="005B52B0" w:rsidP="00E74040">
      <w:pPr>
        <w:tabs>
          <w:tab w:val="center" w:pos="5400"/>
        </w:tabs>
        <w:suppressAutoHyphens/>
        <w:jc w:val="center"/>
        <w:rPr>
          <w:rFonts w:asciiTheme="majorHAnsi" w:hAnsiTheme="majorHAnsi"/>
          <w:sz w:val="20"/>
          <w:szCs w:val="20"/>
          <w:lang w:val="es-ES_tradnl"/>
        </w:rPr>
      </w:pPr>
    </w:p>
    <w:p w14:paraId="140AE833"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017AA78A"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5979FB09" w14:textId="77777777" w:rsidR="00040C3A" w:rsidRPr="00E74040" w:rsidRDefault="003D3BC2" w:rsidP="00E74040">
      <w:pPr>
        <w:tabs>
          <w:tab w:val="center" w:pos="5400"/>
        </w:tabs>
        <w:suppressAutoHyphens/>
        <w:jc w:val="center"/>
        <w:rPr>
          <w:rFonts w:asciiTheme="majorHAnsi" w:hAnsiTheme="majorHAnsi"/>
          <w:sz w:val="20"/>
          <w:szCs w:val="20"/>
          <w:lang w:val="es-ES_tradnl"/>
        </w:rPr>
      </w:pPr>
      <w:r w:rsidRPr="00E74040">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011F351" wp14:editId="1BB02D7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FDF48" w14:textId="3191F44B" w:rsidR="00263A40" w:rsidRPr="006C4116" w:rsidRDefault="00CB2312" w:rsidP="00997BC5">
                            <w:pPr>
                              <w:spacing w:line="276" w:lineRule="auto"/>
                              <w:rPr>
                                <w:rFonts w:asciiTheme="majorHAnsi" w:hAnsiTheme="majorHAnsi" w:cs="Arial"/>
                                <w:b/>
                                <w:bCs/>
                                <w:color w:val="0D0D0D" w:themeColor="text1" w:themeTint="F2"/>
                                <w:sz w:val="36"/>
                                <w:szCs w:val="22"/>
                              </w:rPr>
                            </w:pPr>
                            <w:r w:rsidRPr="006C4116">
                              <w:rPr>
                                <w:rFonts w:asciiTheme="majorHAnsi" w:hAnsiTheme="majorHAnsi" w:cs="Arial"/>
                                <w:b/>
                                <w:bCs/>
                                <w:color w:val="0D0D0D" w:themeColor="text1" w:themeTint="F2"/>
                                <w:sz w:val="36"/>
                                <w:szCs w:val="22"/>
                              </w:rPr>
                              <w:t>REPORT</w:t>
                            </w:r>
                            <w:r w:rsidR="00263A40" w:rsidRPr="006C4116">
                              <w:rPr>
                                <w:rFonts w:asciiTheme="majorHAnsi" w:hAnsiTheme="majorHAnsi" w:cs="Arial"/>
                                <w:b/>
                                <w:bCs/>
                                <w:color w:val="0D0D0D" w:themeColor="text1" w:themeTint="F2"/>
                                <w:sz w:val="36"/>
                                <w:szCs w:val="22"/>
                              </w:rPr>
                              <w:t xml:space="preserve"> </w:t>
                            </w:r>
                            <w:r w:rsidR="00263A40" w:rsidRPr="006C4116">
                              <w:rPr>
                                <w:rFonts w:asciiTheme="majorHAnsi" w:hAnsiTheme="majorHAnsi" w:cs="Arial"/>
                                <w:b/>
                                <w:bCs/>
                                <w:color w:val="0D0D0D" w:themeColor="text1" w:themeTint="F2"/>
                                <w:sz w:val="36"/>
                                <w:szCs w:val="40"/>
                              </w:rPr>
                              <w:t>No.</w:t>
                            </w:r>
                            <w:r w:rsidR="00030D29">
                              <w:rPr>
                                <w:rFonts w:asciiTheme="majorHAnsi" w:hAnsiTheme="majorHAnsi" w:cs="Arial"/>
                                <w:b/>
                                <w:bCs/>
                                <w:color w:val="0D0D0D" w:themeColor="text1" w:themeTint="F2"/>
                                <w:sz w:val="36"/>
                                <w:szCs w:val="22"/>
                              </w:rPr>
                              <w:t xml:space="preserve"> 86</w:t>
                            </w:r>
                            <w:r w:rsidR="00263A40" w:rsidRPr="006C4116">
                              <w:rPr>
                                <w:rFonts w:asciiTheme="majorHAnsi" w:hAnsiTheme="majorHAnsi" w:cs="Arial"/>
                                <w:b/>
                                <w:bCs/>
                                <w:color w:val="0D0D0D" w:themeColor="text1" w:themeTint="F2"/>
                                <w:sz w:val="36"/>
                                <w:szCs w:val="22"/>
                              </w:rPr>
                              <w:t>/20</w:t>
                            </w:r>
                          </w:p>
                          <w:p w14:paraId="0E55D00F" w14:textId="05A1AD24" w:rsidR="00263A40" w:rsidRPr="00CB2312" w:rsidRDefault="00263A40" w:rsidP="00997BC5">
                            <w:pPr>
                              <w:spacing w:line="276" w:lineRule="auto"/>
                              <w:rPr>
                                <w:rFonts w:asciiTheme="majorHAnsi" w:hAnsiTheme="majorHAnsi" w:cs="Arial"/>
                                <w:b/>
                                <w:color w:val="0D0D0D" w:themeColor="text1" w:themeTint="F2"/>
                                <w:sz w:val="36"/>
                                <w:szCs w:val="22"/>
                              </w:rPr>
                            </w:pPr>
                            <w:r w:rsidRPr="00CB2312">
                              <w:rPr>
                                <w:rFonts w:asciiTheme="majorHAnsi" w:hAnsiTheme="majorHAnsi" w:cs="Arial"/>
                                <w:b/>
                                <w:color w:val="0D0D0D" w:themeColor="text1" w:themeTint="F2"/>
                                <w:sz w:val="36"/>
                                <w:szCs w:val="22"/>
                              </w:rPr>
                              <w:t>CAS</w:t>
                            </w:r>
                            <w:r w:rsidR="00CB2312" w:rsidRPr="00CB2312">
                              <w:rPr>
                                <w:rFonts w:asciiTheme="majorHAnsi" w:hAnsiTheme="majorHAnsi" w:cs="Arial"/>
                                <w:b/>
                                <w:color w:val="0D0D0D" w:themeColor="text1" w:themeTint="F2"/>
                                <w:sz w:val="36"/>
                                <w:szCs w:val="22"/>
                              </w:rPr>
                              <w:t>E</w:t>
                            </w:r>
                            <w:r w:rsidRPr="00CB2312">
                              <w:rPr>
                                <w:rFonts w:asciiTheme="majorHAnsi" w:hAnsiTheme="majorHAnsi" w:cs="Arial"/>
                                <w:b/>
                                <w:color w:val="0D0D0D" w:themeColor="text1" w:themeTint="F2"/>
                                <w:sz w:val="36"/>
                                <w:szCs w:val="22"/>
                              </w:rPr>
                              <w:t xml:space="preserve"> 12.732</w:t>
                            </w:r>
                          </w:p>
                          <w:p w14:paraId="0D1B8F84" w14:textId="0921FC66" w:rsidR="00263A40" w:rsidRDefault="00CB2312" w:rsidP="00997BC5">
                            <w:pPr>
                              <w:spacing w:line="276" w:lineRule="auto"/>
                              <w:rPr>
                                <w:rFonts w:asciiTheme="majorHAnsi" w:hAnsiTheme="majorHAnsi" w:cs="Arial"/>
                                <w:color w:val="0D0D0D" w:themeColor="text1" w:themeTint="F2"/>
                                <w:szCs w:val="22"/>
                              </w:rPr>
                            </w:pPr>
                            <w:bookmarkStart w:id="1" w:name="_ftnref1"/>
                            <w:r w:rsidRPr="00CB2312">
                              <w:rPr>
                                <w:rFonts w:asciiTheme="majorHAnsi" w:hAnsiTheme="majorHAnsi" w:cs="Arial"/>
                                <w:color w:val="0D0D0D" w:themeColor="text1" w:themeTint="F2"/>
                                <w:szCs w:val="22"/>
                              </w:rPr>
                              <w:t>FRIENDLY SETT</w:t>
                            </w:r>
                            <w:r>
                              <w:rPr>
                                <w:rFonts w:asciiTheme="majorHAnsi" w:hAnsiTheme="majorHAnsi" w:cs="Arial"/>
                                <w:color w:val="0D0D0D" w:themeColor="text1" w:themeTint="F2"/>
                                <w:szCs w:val="22"/>
                              </w:rPr>
                              <w:t>LEMENT</w:t>
                            </w:r>
                          </w:p>
                          <w:p w14:paraId="77DC9591" w14:textId="77777777" w:rsidR="00E74040" w:rsidRPr="00CB2312" w:rsidRDefault="00E74040" w:rsidP="00997BC5">
                            <w:pPr>
                              <w:spacing w:line="276" w:lineRule="auto"/>
                              <w:rPr>
                                <w:rFonts w:asciiTheme="majorHAnsi" w:hAnsiTheme="majorHAnsi" w:cs="Arial"/>
                                <w:color w:val="0D0D0D" w:themeColor="text1" w:themeTint="F2"/>
                                <w:szCs w:val="22"/>
                              </w:rPr>
                            </w:pPr>
                          </w:p>
                          <w:p w14:paraId="755D7A0A" w14:textId="77777777" w:rsidR="00263A40" w:rsidRPr="00030D29" w:rsidRDefault="00263A40" w:rsidP="00997BC5">
                            <w:pPr>
                              <w:spacing w:line="276" w:lineRule="auto"/>
                              <w:rPr>
                                <w:rFonts w:asciiTheme="majorHAnsi" w:hAnsiTheme="majorHAnsi" w:cs="Arial"/>
                                <w:color w:val="0D0D0D" w:themeColor="text1" w:themeTint="F2"/>
                                <w:szCs w:val="22"/>
                              </w:rPr>
                            </w:pPr>
                            <w:r w:rsidRPr="00CB2312">
                              <w:rPr>
                                <w:rFonts w:asciiTheme="majorHAnsi" w:hAnsiTheme="majorHAnsi" w:cs="Arial"/>
                                <w:color w:val="0D0D0D" w:themeColor="text1" w:themeTint="F2"/>
                                <w:szCs w:val="22"/>
                              </w:rPr>
                              <w:t>RICHARD CONRAD SOLÓ</w:t>
                            </w:r>
                            <w:r w:rsidRPr="00030D29">
                              <w:rPr>
                                <w:rFonts w:asciiTheme="majorHAnsi" w:hAnsiTheme="majorHAnsi" w:cs="Arial"/>
                                <w:color w:val="0D0D0D" w:themeColor="text1" w:themeTint="F2"/>
                                <w:szCs w:val="22"/>
                              </w:rPr>
                              <w:t>RZANO CONTRERAS</w:t>
                            </w:r>
                          </w:p>
                          <w:bookmarkEnd w:id="1"/>
                          <w:p w14:paraId="1E1FCF97" w14:textId="77777777" w:rsidR="00263A40" w:rsidRPr="004747C9" w:rsidRDefault="00263A40" w:rsidP="00997BC5">
                            <w:pPr>
                              <w:spacing w:line="276" w:lineRule="auto"/>
                              <w:rPr>
                                <w:rFonts w:asciiTheme="majorHAnsi" w:hAnsiTheme="majorHAnsi" w:cs="Arial"/>
                                <w:color w:val="0D0D0D" w:themeColor="text1" w:themeTint="F2"/>
                                <w:szCs w:val="22"/>
                                <w:lang w:val="es-CO"/>
                              </w:rPr>
                            </w:pPr>
                            <w:r w:rsidRPr="004747C9">
                              <w:rPr>
                                <w:rFonts w:asciiTheme="majorHAnsi" w:hAnsiTheme="majorHAnsi" w:cs="Arial"/>
                                <w:color w:val="0D0D0D" w:themeColor="text1" w:themeTint="F2"/>
                                <w:szCs w:val="22"/>
                                <w:lang w:val="es-CO"/>
                              </w:rPr>
                              <w:t xml:space="preserve">GUATEMALA </w:t>
                            </w:r>
                          </w:p>
                          <w:p w14:paraId="456B945E" w14:textId="77777777" w:rsidR="00263A40" w:rsidRPr="004747C9" w:rsidRDefault="00263A40" w:rsidP="007A5817">
                            <w:pPr>
                              <w:rPr>
                                <w:color w:val="0D0D0D" w:themeColor="text1" w:themeTint="F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11F351" id="_x0000_t202" coordsize="21600,21600" o:spt="202" path="m,l,21600r21600,l21600,xe">
                <v:stroke joinstyle="miter"/>
                <v:path gradientshapeok="t" o:connecttype="rect"/>
              </v:shapetype>
              <v:shape id="Text Box 5" o:spid="_x0000_s1026"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" filled="f" stroked="f" strokeweight=".5pt">
                <v:textbox>
                  <w:txbxContent>
                    <w:p w14:paraId="75EFDF48" w14:textId="3191F44B" w:rsidR="00263A40" w:rsidRPr="006C4116" w:rsidRDefault="00CB2312" w:rsidP="00997BC5">
                      <w:pPr>
                        <w:spacing w:line="276" w:lineRule="auto"/>
                        <w:rPr>
                          <w:rFonts w:asciiTheme="majorHAnsi" w:hAnsiTheme="majorHAnsi" w:cs="Arial"/>
                          <w:b/>
                          <w:bCs/>
                          <w:color w:val="0D0D0D" w:themeColor="text1" w:themeTint="F2"/>
                          <w:sz w:val="36"/>
                          <w:szCs w:val="22"/>
                        </w:rPr>
                      </w:pPr>
                      <w:r w:rsidRPr="006C4116">
                        <w:rPr>
                          <w:rFonts w:asciiTheme="majorHAnsi" w:hAnsiTheme="majorHAnsi" w:cs="Arial"/>
                          <w:b/>
                          <w:bCs/>
                          <w:color w:val="0D0D0D" w:themeColor="text1" w:themeTint="F2"/>
                          <w:sz w:val="36"/>
                          <w:szCs w:val="22"/>
                        </w:rPr>
                        <w:t>REPORT</w:t>
                      </w:r>
                      <w:r w:rsidR="00263A40" w:rsidRPr="006C4116">
                        <w:rPr>
                          <w:rFonts w:asciiTheme="majorHAnsi" w:hAnsiTheme="majorHAnsi" w:cs="Arial"/>
                          <w:b/>
                          <w:bCs/>
                          <w:color w:val="0D0D0D" w:themeColor="text1" w:themeTint="F2"/>
                          <w:sz w:val="36"/>
                          <w:szCs w:val="22"/>
                        </w:rPr>
                        <w:t xml:space="preserve"> </w:t>
                      </w:r>
                      <w:r w:rsidR="00263A40" w:rsidRPr="006C4116">
                        <w:rPr>
                          <w:rFonts w:asciiTheme="majorHAnsi" w:hAnsiTheme="majorHAnsi" w:cs="Arial"/>
                          <w:b/>
                          <w:bCs/>
                          <w:color w:val="0D0D0D" w:themeColor="text1" w:themeTint="F2"/>
                          <w:sz w:val="36"/>
                          <w:szCs w:val="40"/>
                        </w:rPr>
                        <w:t>No.</w:t>
                      </w:r>
                      <w:r w:rsidR="00030D29">
                        <w:rPr>
                          <w:rFonts w:asciiTheme="majorHAnsi" w:hAnsiTheme="majorHAnsi" w:cs="Arial"/>
                          <w:b/>
                          <w:bCs/>
                          <w:color w:val="0D0D0D" w:themeColor="text1" w:themeTint="F2"/>
                          <w:sz w:val="36"/>
                          <w:szCs w:val="22"/>
                        </w:rPr>
                        <w:t xml:space="preserve"> 86</w:t>
                      </w:r>
                      <w:r w:rsidR="00263A40" w:rsidRPr="006C4116">
                        <w:rPr>
                          <w:rFonts w:asciiTheme="majorHAnsi" w:hAnsiTheme="majorHAnsi" w:cs="Arial"/>
                          <w:b/>
                          <w:bCs/>
                          <w:color w:val="0D0D0D" w:themeColor="text1" w:themeTint="F2"/>
                          <w:sz w:val="36"/>
                          <w:szCs w:val="22"/>
                        </w:rPr>
                        <w:t>/20</w:t>
                      </w:r>
                    </w:p>
                    <w:p w14:paraId="0E55D00F" w14:textId="05A1AD24" w:rsidR="00263A40" w:rsidRPr="00CB2312" w:rsidRDefault="00263A40" w:rsidP="00997BC5">
                      <w:pPr>
                        <w:spacing w:line="276" w:lineRule="auto"/>
                        <w:rPr>
                          <w:rFonts w:asciiTheme="majorHAnsi" w:hAnsiTheme="majorHAnsi" w:cs="Arial"/>
                          <w:b/>
                          <w:color w:val="0D0D0D" w:themeColor="text1" w:themeTint="F2"/>
                          <w:sz w:val="36"/>
                          <w:szCs w:val="22"/>
                        </w:rPr>
                      </w:pPr>
                      <w:r w:rsidRPr="00CB2312">
                        <w:rPr>
                          <w:rFonts w:asciiTheme="majorHAnsi" w:hAnsiTheme="majorHAnsi" w:cs="Arial"/>
                          <w:b/>
                          <w:color w:val="0D0D0D" w:themeColor="text1" w:themeTint="F2"/>
                          <w:sz w:val="36"/>
                          <w:szCs w:val="22"/>
                        </w:rPr>
                        <w:t>CAS</w:t>
                      </w:r>
                      <w:r w:rsidR="00CB2312" w:rsidRPr="00CB2312">
                        <w:rPr>
                          <w:rFonts w:asciiTheme="majorHAnsi" w:hAnsiTheme="majorHAnsi" w:cs="Arial"/>
                          <w:b/>
                          <w:color w:val="0D0D0D" w:themeColor="text1" w:themeTint="F2"/>
                          <w:sz w:val="36"/>
                          <w:szCs w:val="22"/>
                        </w:rPr>
                        <w:t>E</w:t>
                      </w:r>
                      <w:r w:rsidRPr="00CB2312">
                        <w:rPr>
                          <w:rFonts w:asciiTheme="majorHAnsi" w:hAnsiTheme="majorHAnsi" w:cs="Arial"/>
                          <w:b/>
                          <w:color w:val="0D0D0D" w:themeColor="text1" w:themeTint="F2"/>
                          <w:sz w:val="36"/>
                          <w:szCs w:val="22"/>
                        </w:rPr>
                        <w:t xml:space="preserve"> 12.732</w:t>
                      </w:r>
                    </w:p>
                    <w:p w14:paraId="0D1B8F84" w14:textId="0921FC66" w:rsidR="00263A40" w:rsidRDefault="00CB2312" w:rsidP="00997BC5">
                      <w:pPr>
                        <w:spacing w:line="276" w:lineRule="auto"/>
                        <w:rPr>
                          <w:rFonts w:asciiTheme="majorHAnsi" w:hAnsiTheme="majorHAnsi" w:cs="Arial"/>
                          <w:color w:val="0D0D0D" w:themeColor="text1" w:themeTint="F2"/>
                          <w:szCs w:val="22"/>
                        </w:rPr>
                      </w:pPr>
                      <w:bookmarkStart w:id="1" w:name="_ftnref1"/>
                      <w:r w:rsidRPr="00CB2312">
                        <w:rPr>
                          <w:rFonts w:asciiTheme="majorHAnsi" w:hAnsiTheme="majorHAnsi" w:cs="Arial"/>
                          <w:color w:val="0D0D0D" w:themeColor="text1" w:themeTint="F2"/>
                          <w:szCs w:val="22"/>
                        </w:rPr>
                        <w:t>FRIENDLY SETT</w:t>
                      </w:r>
                      <w:r>
                        <w:rPr>
                          <w:rFonts w:asciiTheme="majorHAnsi" w:hAnsiTheme="majorHAnsi" w:cs="Arial"/>
                          <w:color w:val="0D0D0D" w:themeColor="text1" w:themeTint="F2"/>
                          <w:szCs w:val="22"/>
                        </w:rPr>
                        <w:t>LEMENT</w:t>
                      </w:r>
                    </w:p>
                    <w:p w14:paraId="77DC9591" w14:textId="77777777" w:rsidR="00E74040" w:rsidRPr="00CB2312" w:rsidRDefault="00E74040" w:rsidP="00997BC5">
                      <w:pPr>
                        <w:spacing w:line="276" w:lineRule="auto"/>
                        <w:rPr>
                          <w:rFonts w:asciiTheme="majorHAnsi" w:hAnsiTheme="majorHAnsi" w:cs="Arial"/>
                          <w:color w:val="0D0D0D" w:themeColor="text1" w:themeTint="F2"/>
                          <w:szCs w:val="22"/>
                        </w:rPr>
                      </w:pPr>
                    </w:p>
                    <w:p w14:paraId="755D7A0A" w14:textId="77777777" w:rsidR="00263A40" w:rsidRPr="00030D29" w:rsidRDefault="00263A40" w:rsidP="00997BC5">
                      <w:pPr>
                        <w:spacing w:line="276" w:lineRule="auto"/>
                        <w:rPr>
                          <w:rFonts w:asciiTheme="majorHAnsi" w:hAnsiTheme="majorHAnsi" w:cs="Arial"/>
                          <w:color w:val="0D0D0D" w:themeColor="text1" w:themeTint="F2"/>
                          <w:szCs w:val="22"/>
                        </w:rPr>
                      </w:pPr>
                      <w:r w:rsidRPr="00CB2312">
                        <w:rPr>
                          <w:rFonts w:asciiTheme="majorHAnsi" w:hAnsiTheme="majorHAnsi" w:cs="Arial"/>
                          <w:color w:val="0D0D0D" w:themeColor="text1" w:themeTint="F2"/>
                          <w:szCs w:val="22"/>
                        </w:rPr>
                        <w:t>RICHARD CONRAD SOLÓ</w:t>
                      </w:r>
                      <w:r w:rsidRPr="00030D29">
                        <w:rPr>
                          <w:rFonts w:asciiTheme="majorHAnsi" w:hAnsiTheme="majorHAnsi" w:cs="Arial"/>
                          <w:color w:val="0D0D0D" w:themeColor="text1" w:themeTint="F2"/>
                          <w:szCs w:val="22"/>
                        </w:rPr>
                        <w:t>RZANO CONTRERAS</w:t>
                      </w:r>
                    </w:p>
                    <w:bookmarkEnd w:id="1"/>
                    <w:p w14:paraId="1E1FCF97" w14:textId="77777777" w:rsidR="00263A40" w:rsidRPr="004747C9" w:rsidRDefault="00263A40" w:rsidP="00997BC5">
                      <w:pPr>
                        <w:spacing w:line="276" w:lineRule="auto"/>
                        <w:rPr>
                          <w:rFonts w:asciiTheme="majorHAnsi" w:hAnsiTheme="majorHAnsi" w:cs="Arial"/>
                          <w:color w:val="0D0D0D" w:themeColor="text1" w:themeTint="F2"/>
                          <w:szCs w:val="22"/>
                          <w:lang w:val="es-CO"/>
                        </w:rPr>
                      </w:pPr>
                      <w:r w:rsidRPr="004747C9">
                        <w:rPr>
                          <w:rFonts w:asciiTheme="majorHAnsi" w:hAnsiTheme="majorHAnsi" w:cs="Arial"/>
                          <w:color w:val="0D0D0D" w:themeColor="text1" w:themeTint="F2"/>
                          <w:szCs w:val="22"/>
                          <w:lang w:val="es-CO"/>
                        </w:rPr>
                        <w:t xml:space="preserve">GUATEMALA </w:t>
                      </w:r>
                    </w:p>
                    <w:p w14:paraId="456B945E" w14:textId="77777777" w:rsidR="00263A40" w:rsidRPr="004747C9" w:rsidRDefault="00263A40" w:rsidP="007A5817">
                      <w:pPr>
                        <w:rPr>
                          <w:color w:val="0D0D0D" w:themeColor="text1" w:themeTint="F2"/>
                          <w:lang w:val="es-CO"/>
                        </w:rPr>
                      </w:pPr>
                    </w:p>
                  </w:txbxContent>
                </v:textbox>
              </v:shape>
            </w:pict>
          </mc:Fallback>
        </mc:AlternateContent>
      </w:r>
      <w:r w:rsidR="004E2649" w:rsidRPr="00E74040">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0CDDDB0" wp14:editId="04BE9B8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28896" w14:textId="1A78670C" w:rsidR="00263A40" w:rsidRPr="001C5513" w:rsidRDefault="00263A40" w:rsidP="007A5817">
                            <w:pPr>
                              <w:spacing w:line="276" w:lineRule="auto"/>
                              <w:jc w:val="right"/>
                              <w:rPr>
                                <w:rFonts w:asciiTheme="minorHAnsi" w:hAnsiTheme="minorHAnsi"/>
                                <w:color w:val="FFFFFF" w:themeColor="background1"/>
                                <w:sz w:val="22"/>
                                <w:lang w:val="pt-PT"/>
                              </w:rPr>
                            </w:pPr>
                            <w:r w:rsidRPr="001C5513">
                              <w:rPr>
                                <w:rFonts w:asciiTheme="minorHAnsi" w:hAnsiTheme="minorHAnsi"/>
                                <w:color w:val="FFFFFF" w:themeColor="background1"/>
                                <w:sz w:val="22"/>
                                <w:lang w:val="pt-PT"/>
                              </w:rPr>
                              <w:t>OEA/Ser.L/V/II.</w:t>
                            </w:r>
                          </w:p>
                          <w:p w14:paraId="77EECB8A" w14:textId="04F1B3F3" w:rsidR="00263A40" w:rsidRPr="001C5513" w:rsidRDefault="00030D29" w:rsidP="007A5817">
                            <w:pPr>
                              <w:spacing w:line="276" w:lineRule="auto"/>
                              <w:jc w:val="right"/>
                              <w:rPr>
                                <w:rFonts w:asciiTheme="minorHAnsi" w:hAnsiTheme="minorHAnsi"/>
                                <w:color w:val="FFFFFF" w:themeColor="background1"/>
                                <w:sz w:val="22"/>
                                <w:lang w:val="pt-PT"/>
                              </w:rPr>
                            </w:pPr>
                            <w:r w:rsidRPr="001C5513">
                              <w:rPr>
                                <w:rFonts w:asciiTheme="minorHAnsi" w:hAnsiTheme="minorHAnsi"/>
                                <w:color w:val="FFFFFF" w:themeColor="background1"/>
                                <w:sz w:val="22"/>
                                <w:lang w:val="pt-PT"/>
                              </w:rPr>
                              <w:t>Doc. 96</w:t>
                            </w:r>
                          </w:p>
                          <w:p w14:paraId="1F03604D" w14:textId="4653128C" w:rsidR="00263A40" w:rsidRPr="006C4116" w:rsidRDefault="00DC156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 June </w:t>
                            </w:r>
                            <w:r w:rsidR="00263A40" w:rsidRPr="006C4116">
                              <w:rPr>
                                <w:rFonts w:asciiTheme="minorHAnsi" w:hAnsiTheme="minorHAnsi"/>
                                <w:color w:val="FFFFFF" w:themeColor="background1"/>
                                <w:sz w:val="22"/>
                              </w:rPr>
                              <w:t>2020</w:t>
                            </w:r>
                          </w:p>
                          <w:p w14:paraId="5F92247D" w14:textId="694A9C74" w:rsidR="00263A40" w:rsidRPr="006C4116" w:rsidRDefault="00263A40" w:rsidP="007A5817">
                            <w:pPr>
                              <w:spacing w:line="276" w:lineRule="auto"/>
                              <w:jc w:val="right"/>
                              <w:rPr>
                                <w:rFonts w:asciiTheme="minorHAnsi" w:hAnsiTheme="minorHAnsi"/>
                                <w:color w:val="FFFFFF" w:themeColor="background1"/>
                                <w:sz w:val="22"/>
                              </w:rPr>
                            </w:pPr>
                            <w:r w:rsidRPr="006C4116">
                              <w:rPr>
                                <w:rFonts w:asciiTheme="minorHAnsi" w:hAnsiTheme="minorHAnsi"/>
                                <w:color w:val="FFFFFF" w:themeColor="background1"/>
                                <w:sz w:val="22"/>
                              </w:rPr>
                              <w:t xml:space="preserve">Original: </w:t>
                            </w:r>
                            <w:r w:rsidR="00981E2C" w:rsidRPr="006C411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DDB0" id="_x0000_t202" coordsize="21600,21600" o:spt="202" path="m,l,21600r21600,l21600,xe">
                <v:stroke joinstyle="miter"/>
                <v:path gradientshapeok="t" o:connecttype="rect"/>
              </v:shapetype>
              <v:shape id="Text Box 8" o:spid="_x0000_s1027"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" filled="f" stroked="f" strokeweight=".5pt">
                <v:textbox>
                  <w:txbxContent>
                    <w:p w14:paraId="4F728896" w14:textId="1A78670C" w:rsidR="00263A40" w:rsidRPr="001C5513" w:rsidRDefault="00263A40" w:rsidP="007A5817">
                      <w:pPr>
                        <w:spacing w:line="276" w:lineRule="auto"/>
                        <w:jc w:val="right"/>
                        <w:rPr>
                          <w:rFonts w:asciiTheme="minorHAnsi" w:hAnsiTheme="minorHAnsi"/>
                          <w:color w:val="FFFFFF" w:themeColor="background1"/>
                          <w:sz w:val="22"/>
                          <w:lang w:val="pt-PT"/>
                        </w:rPr>
                      </w:pPr>
                      <w:r w:rsidRPr="001C5513">
                        <w:rPr>
                          <w:rFonts w:asciiTheme="minorHAnsi" w:hAnsiTheme="minorHAnsi"/>
                          <w:color w:val="FFFFFF" w:themeColor="background1"/>
                          <w:sz w:val="22"/>
                          <w:lang w:val="pt-PT"/>
                        </w:rPr>
                        <w:t>OEA/Ser.L/V/II.</w:t>
                      </w:r>
                    </w:p>
                    <w:p w14:paraId="77EECB8A" w14:textId="04F1B3F3" w:rsidR="00263A40" w:rsidRPr="001C5513" w:rsidRDefault="00030D29" w:rsidP="007A5817">
                      <w:pPr>
                        <w:spacing w:line="276" w:lineRule="auto"/>
                        <w:jc w:val="right"/>
                        <w:rPr>
                          <w:rFonts w:asciiTheme="minorHAnsi" w:hAnsiTheme="minorHAnsi"/>
                          <w:color w:val="FFFFFF" w:themeColor="background1"/>
                          <w:sz w:val="22"/>
                          <w:lang w:val="pt-PT"/>
                        </w:rPr>
                      </w:pPr>
                      <w:r w:rsidRPr="001C5513">
                        <w:rPr>
                          <w:rFonts w:asciiTheme="minorHAnsi" w:hAnsiTheme="minorHAnsi"/>
                          <w:color w:val="FFFFFF" w:themeColor="background1"/>
                          <w:sz w:val="22"/>
                          <w:lang w:val="pt-PT"/>
                        </w:rPr>
                        <w:t>Doc. 96</w:t>
                      </w:r>
                    </w:p>
                    <w:p w14:paraId="1F03604D" w14:textId="4653128C" w:rsidR="00263A40" w:rsidRPr="006C4116" w:rsidRDefault="00DC156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 June </w:t>
                      </w:r>
                      <w:r w:rsidR="00263A40" w:rsidRPr="006C4116">
                        <w:rPr>
                          <w:rFonts w:asciiTheme="minorHAnsi" w:hAnsiTheme="minorHAnsi"/>
                          <w:color w:val="FFFFFF" w:themeColor="background1"/>
                          <w:sz w:val="22"/>
                        </w:rPr>
                        <w:t>2020</w:t>
                      </w:r>
                    </w:p>
                    <w:p w14:paraId="5F92247D" w14:textId="694A9C74" w:rsidR="00263A40" w:rsidRPr="006C4116" w:rsidRDefault="00263A40" w:rsidP="007A5817">
                      <w:pPr>
                        <w:spacing w:line="276" w:lineRule="auto"/>
                        <w:jc w:val="right"/>
                        <w:rPr>
                          <w:rFonts w:asciiTheme="minorHAnsi" w:hAnsiTheme="minorHAnsi"/>
                          <w:color w:val="FFFFFF" w:themeColor="background1"/>
                          <w:sz w:val="22"/>
                        </w:rPr>
                      </w:pPr>
                      <w:r w:rsidRPr="006C4116">
                        <w:rPr>
                          <w:rFonts w:asciiTheme="minorHAnsi" w:hAnsiTheme="minorHAnsi"/>
                          <w:color w:val="FFFFFF" w:themeColor="background1"/>
                          <w:sz w:val="22"/>
                        </w:rPr>
                        <w:t xml:space="preserve">Original: </w:t>
                      </w:r>
                      <w:r w:rsidR="00981E2C" w:rsidRPr="006C4116">
                        <w:rPr>
                          <w:rFonts w:asciiTheme="minorHAnsi" w:hAnsiTheme="minorHAnsi"/>
                          <w:color w:val="FFFFFF" w:themeColor="background1"/>
                          <w:sz w:val="22"/>
                        </w:rPr>
                        <w:t>Spanish</w:t>
                      </w:r>
                    </w:p>
                  </w:txbxContent>
                </v:textbox>
              </v:shape>
            </w:pict>
          </mc:Fallback>
        </mc:AlternateContent>
      </w:r>
    </w:p>
    <w:p w14:paraId="37A07CAC"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22DBAB80"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604F1F3F" w14:textId="77777777" w:rsidR="00040C3A" w:rsidRPr="00E74040" w:rsidRDefault="00040C3A" w:rsidP="00E74040">
      <w:pPr>
        <w:tabs>
          <w:tab w:val="center" w:pos="5400"/>
        </w:tabs>
        <w:suppressAutoHyphens/>
        <w:jc w:val="center"/>
        <w:rPr>
          <w:rFonts w:asciiTheme="majorHAnsi" w:hAnsiTheme="majorHAnsi" w:cs="Arial"/>
          <w:sz w:val="20"/>
          <w:szCs w:val="20"/>
          <w:lang w:val="es-ES_tradnl"/>
        </w:rPr>
      </w:pPr>
    </w:p>
    <w:p w14:paraId="566E943E"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6B39FEFD"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2AF82267"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0C4C91E1"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70850AA6" w14:textId="77777777" w:rsidR="005128E4" w:rsidRPr="00E74040" w:rsidRDefault="005128E4" w:rsidP="00E74040">
      <w:pPr>
        <w:tabs>
          <w:tab w:val="center" w:pos="5400"/>
        </w:tabs>
        <w:suppressAutoHyphens/>
        <w:jc w:val="center"/>
        <w:rPr>
          <w:rFonts w:asciiTheme="majorHAnsi" w:hAnsiTheme="majorHAnsi"/>
          <w:sz w:val="20"/>
          <w:szCs w:val="20"/>
          <w:lang w:val="es-ES_tradnl"/>
        </w:rPr>
      </w:pPr>
    </w:p>
    <w:p w14:paraId="3AF67F10"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1D754CED" w14:textId="77777777" w:rsidR="005128E4" w:rsidRPr="00E74040" w:rsidRDefault="005128E4" w:rsidP="00E74040">
      <w:pPr>
        <w:tabs>
          <w:tab w:val="center" w:pos="5400"/>
        </w:tabs>
        <w:suppressAutoHyphens/>
        <w:jc w:val="center"/>
        <w:rPr>
          <w:rFonts w:asciiTheme="majorHAnsi" w:hAnsiTheme="majorHAnsi"/>
          <w:sz w:val="20"/>
          <w:szCs w:val="20"/>
          <w:lang w:val="es-ES_tradnl"/>
        </w:rPr>
      </w:pPr>
    </w:p>
    <w:p w14:paraId="3814D7D8" w14:textId="77777777" w:rsidR="005128E4" w:rsidRPr="00E74040" w:rsidRDefault="005128E4" w:rsidP="00E74040">
      <w:pPr>
        <w:tabs>
          <w:tab w:val="center" w:pos="5400"/>
        </w:tabs>
        <w:suppressAutoHyphens/>
        <w:jc w:val="center"/>
        <w:rPr>
          <w:rFonts w:asciiTheme="majorHAnsi" w:hAnsiTheme="majorHAnsi"/>
          <w:sz w:val="20"/>
          <w:szCs w:val="20"/>
          <w:lang w:val="es-ES_tradnl"/>
        </w:rPr>
      </w:pPr>
    </w:p>
    <w:p w14:paraId="12A958B5" w14:textId="77777777" w:rsidR="005128E4" w:rsidRPr="00E74040" w:rsidRDefault="005128E4" w:rsidP="00E74040">
      <w:pPr>
        <w:tabs>
          <w:tab w:val="center" w:pos="5400"/>
        </w:tabs>
        <w:suppressAutoHyphens/>
        <w:jc w:val="center"/>
        <w:rPr>
          <w:rFonts w:asciiTheme="majorHAnsi" w:hAnsiTheme="majorHAnsi"/>
          <w:sz w:val="20"/>
          <w:szCs w:val="20"/>
          <w:lang w:val="es-ES_tradnl"/>
        </w:rPr>
      </w:pPr>
    </w:p>
    <w:p w14:paraId="05BCC610"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36071108" w14:textId="77777777" w:rsidR="00040C3A" w:rsidRPr="00E74040" w:rsidRDefault="00040C3A" w:rsidP="00E74040">
      <w:pPr>
        <w:tabs>
          <w:tab w:val="center" w:pos="5400"/>
        </w:tabs>
        <w:suppressAutoHyphens/>
        <w:jc w:val="center"/>
        <w:rPr>
          <w:rFonts w:asciiTheme="majorHAnsi" w:hAnsiTheme="majorHAnsi"/>
          <w:sz w:val="20"/>
          <w:szCs w:val="20"/>
          <w:lang w:val="es-ES_tradnl"/>
        </w:rPr>
      </w:pPr>
    </w:p>
    <w:p w14:paraId="482522BE"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53B2ADC3"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08C0EA69"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6BED6614"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0D72065A"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6A6A728D"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10B96C7C"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34837BAF"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332CA99D"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5373B8FC"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198C8A4B"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3FA2248E"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4A613619"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0E65471C" w14:textId="77777777" w:rsidR="00A50FCF" w:rsidRPr="00E74040" w:rsidRDefault="00A50FCF" w:rsidP="00E74040">
      <w:pPr>
        <w:tabs>
          <w:tab w:val="center" w:pos="5400"/>
        </w:tabs>
        <w:suppressAutoHyphens/>
        <w:jc w:val="center"/>
        <w:rPr>
          <w:rFonts w:asciiTheme="majorHAnsi" w:hAnsiTheme="majorHAnsi"/>
          <w:sz w:val="20"/>
          <w:szCs w:val="20"/>
          <w:lang w:val="es-ES_tradnl"/>
        </w:rPr>
      </w:pPr>
    </w:p>
    <w:p w14:paraId="5E65B178" w14:textId="77777777" w:rsidR="00A50FCF" w:rsidRPr="00E74040" w:rsidRDefault="0090270B" w:rsidP="00E74040">
      <w:pPr>
        <w:tabs>
          <w:tab w:val="center" w:pos="5400"/>
        </w:tabs>
        <w:suppressAutoHyphens/>
        <w:jc w:val="center"/>
        <w:rPr>
          <w:rFonts w:asciiTheme="majorHAnsi" w:hAnsiTheme="majorHAnsi"/>
          <w:sz w:val="20"/>
          <w:szCs w:val="20"/>
          <w:lang w:val="es-ES_tradnl"/>
        </w:rPr>
      </w:pPr>
      <w:r w:rsidRPr="00E74040">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F60734A" wp14:editId="5233A60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C49FF" w14:textId="1815E598" w:rsidR="00CB2312" w:rsidRPr="00CB2312" w:rsidRDefault="00CB2312" w:rsidP="00DD3D86">
                            <w:pPr>
                              <w:tabs>
                                <w:tab w:val="center" w:pos="5400"/>
                              </w:tabs>
                              <w:suppressAutoHyphens/>
                              <w:spacing w:before="60"/>
                              <w:rPr>
                                <w:rFonts w:asciiTheme="majorHAnsi" w:hAnsiTheme="majorHAnsi"/>
                                <w:color w:val="0D0D0D" w:themeColor="text1" w:themeTint="F2"/>
                                <w:sz w:val="18"/>
                                <w:szCs w:val="22"/>
                              </w:rPr>
                            </w:pPr>
                            <w:r w:rsidRPr="00CB2312">
                              <w:rPr>
                                <w:rFonts w:asciiTheme="majorHAnsi" w:hAnsiTheme="majorHAnsi"/>
                                <w:color w:val="0D0D0D" w:themeColor="text1" w:themeTint="F2"/>
                                <w:sz w:val="18"/>
                                <w:szCs w:val="22"/>
                              </w:rPr>
                              <w:t xml:space="preserve">Electronically approved by the Commission on </w:t>
                            </w:r>
                            <w:r w:rsidR="00030D29">
                              <w:rPr>
                                <w:rFonts w:asciiTheme="majorHAnsi" w:hAnsiTheme="majorHAnsi"/>
                                <w:color w:val="0D0D0D" w:themeColor="text1" w:themeTint="F2"/>
                                <w:sz w:val="18"/>
                                <w:szCs w:val="22"/>
                              </w:rPr>
                              <w:t>June 1</w:t>
                            </w:r>
                            <w:r w:rsidRPr="00CB2312">
                              <w:rPr>
                                <w:rFonts w:asciiTheme="majorHAnsi" w:hAnsiTheme="majorHAnsi"/>
                                <w:color w:val="0D0D0D" w:themeColor="text1" w:themeTint="F2"/>
                                <w:sz w:val="18"/>
                                <w:szCs w:val="22"/>
                              </w:rPr>
                              <w:t>, 2020</w:t>
                            </w:r>
                            <w:r w:rsidR="00EF5696">
                              <w:rPr>
                                <w:rFonts w:asciiTheme="majorHAnsi" w:hAnsiTheme="majorHAnsi"/>
                                <w:color w:val="0D0D0D" w:themeColor="text1" w:themeTint="F2"/>
                                <w:sz w:val="18"/>
                                <w:szCs w:val="22"/>
                              </w:rPr>
                              <w:t>.</w:t>
                            </w:r>
                          </w:p>
                          <w:p w14:paraId="74F374E3" w14:textId="608A2029" w:rsidR="00263A40" w:rsidRPr="006C4116" w:rsidRDefault="00263A40" w:rsidP="00DD3D86">
                            <w:pPr>
                              <w:tabs>
                                <w:tab w:val="center" w:pos="5400"/>
                              </w:tabs>
                              <w:suppressAutoHyphens/>
                              <w:spacing w:before="60"/>
                              <w:rPr>
                                <w:rFonts w:asciiTheme="majorHAnsi" w:hAnsiTheme="majorHAnsi"/>
                                <w:color w:val="0D0D0D" w:themeColor="text1" w:themeTint="F2"/>
                                <w:sz w:val="18"/>
                                <w:szCs w:val="22"/>
                              </w:rPr>
                            </w:pPr>
                          </w:p>
                          <w:p w14:paraId="3AD819E8" w14:textId="77777777" w:rsidR="00263A40" w:rsidRPr="006C4116" w:rsidRDefault="00263A40" w:rsidP="00247403">
                            <w:pPr>
                              <w:tabs>
                                <w:tab w:val="center" w:pos="5400"/>
                              </w:tabs>
                              <w:suppressAutoHyphens/>
                              <w:spacing w:before="60"/>
                              <w:rPr>
                                <w:rFonts w:asciiTheme="minorHAnsi" w:hAnsiTheme="minorHAnsi" w:cs="Univers"/>
                                <w:color w:val="0D0D0D" w:themeColor="text1" w:themeTint="F2"/>
                                <w:sz w:val="20"/>
                                <w:szCs w:val="20"/>
                              </w:rPr>
                            </w:pPr>
                          </w:p>
                          <w:p w14:paraId="0F66B36C" w14:textId="77777777" w:rsidR="00263A40" w:rsidRPr="006C4116" w:rsidRDefault="00263A4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0734A" id="Text Box 7" o:spid="_x0000_s1028"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NPdwNF9AgAA&#10;aQUAAA4AAAAAAAAAAAAAAAAALgIAAGRycy9lMm9Eb2MueG1sUEsBAi0AFAAGAAgAAAAhADRfRQzf&#10;AAAACQEAAA8AAAAAAAAAAAAAAAAA1wQAAGRycy9kb3ducmV2LnhtbFBLBQYAAAAABAAEAPMAAADj&#10;BQAAAAA=&#10;" filled="f" stroked="f" strokeweight=".5pt">
                <v:textbox>
                  <w:txbxContent>
                    <w:p w14:paraId="26DC49FF" w14:textId="1815E598" w:rsidR="00CB2312" w:rsidRPr="00CB2312" w:rsidRDefault="00CB2312" w:rsidP="00DD3D86">
                      <w:pPr>
                        <w:tabs>
                          <w:tab w:val="center" w:pos="5400"/>
                        </w:tabs>
                        <w:suppressAutoHyphens/>
                        <w:spacing w:before="60"/>
                        <w:rPr>
                          <w:rFonts w:asciiTheme="majorHAnsi" w:hAnsiTheme="majorHAnsi"/>
                          <w:color w:val="0D0D0D" w:themeColor="text1" w:themeTint="F2"/>
                          <w:sz w:val="18"/>
                          <w:szCs w:val="22"/>
                        </w:rPr>
                      </w:pPr>
                      <w:r w:rsidRPr="00CB2312">
                        <w:rPr>
                          <w:rFonts w:asciiTheme="majorHAnsi" w:hAnsiTheme="majorHAnsi"/>
                          <w:color w:val="0D0D0D" w:themeColor="text1" w:themeTint="F2"/>
                          <w:sz w:val="18"/>
                          <w:szCs w:val="22"/>
                        </w:rPr>
                        <w:t xml:space="preserve">Electronically approved by the Commission on </w:t>
                      </w:r>
                      <w:r w:rsidR="00030D29">
                        <w:rPr>
                          <w:rFonts w:asciiTheme="majorHAnsi" w:hAnsiTheme="majorHAnsi"/>
                          <w:color w:val="0D0D0D" w:themeColor="text1" w:themeTint="F2"/>
                          <w:sz w:val="18"/>
                          <w:szCs w:val="22"/>
                        </w:rPr>
                        <w:t>June 1</w:t>
                      </w:r>
                      <w:r w:rsidRPr="00CB2312">
                        <w:rPr>
                          <w:rFonts w:asciiTheme="majorHAnsi" w:hAnsiTheme="majorHAnsi"/>
                          <w:color w:val="0D0D0D" w:themeColor="text1" w:themeTint="F2"/>
                          <w:sz w:val="18"/>
                          <w:szCs w:val="22"/>
                        </w:rPr>
                        <w:t>, 2020</w:t>
                      </w:r>
                      <w:r w:rsidR="00EF5696">
                        <w:rPr>
                          <w:rFonts w:asciiTheme="majorHAnsi" w:hAnsiTheme="majorHAnsi"/>
                          <w:color w:val="0D0D0D" w:themeColor="text1" w:themeTint="F2"/>
                          <w:sz w:val="18"/>
                          <w:szCs w:val="22"/>
                        </w:rPr>
                        <w:t>.</w:t>
                      </w:r>
                    </w:p>
                    <w:p w14:paraId="74F374E3" w14:textId="608A2029" w:rsidR="00263A40" w:rsidRPr="006C4116" w:rsidRDefault="00263A40" w:rsidP="00DD3D86">
                      <w:pPr>
                        <w:tabs>
                          <w:tab w:val="center" w:pos="5400"/>
                        </w:tabs>
                        <w:suppressAutoHyphens/>
                        <w:spacing w:before="60"/>
                        <w:rPr>
                          <w:rFonts w:asciiTheme="majorHAnsi" w:hAnsiTheme="majorHAnsi"/>
                          <w:color w:val="0D0D0D" w:themeColor="text1" w:themeTint="F2"/>
                          <w:sz w:val="18"/>
                          <w:szCs w:val="22"/>
                        </w:rPr>
                      </w:pPr>
                    </w:p>
                    <w:p w14:paraId="3AD819E8" w14:textId="77777777" w:rsidR="00263A40" w:rsidRPr="006C4116" w:rsidRDefault="00263A40" w:rsidP="00247403">
                      <w:pPr>
                        <w:tabs>
                          <w:tab w:val="center" w:pos="5400"/>
                        </w:tabs>
                        <w:suppressAutoHyphens/>
                        <w:spacing w:before="60"/>
                        <w:rPr>
                          <w:rFonts w:asciiTheme="minorHAnsi" w:hAnsiTheme="minorHAnsi" w:cs="Univers"/>
                          <w:color w:val="0D0D0D" w:themeColor="text1" w:themeTint="F2"/>
                          <w:sz w:val="20"/>
                          <w:szCs w:val="20"/>
                        </w:rPr>
                      </w:pPr>
                    </w:p>
                    <w:p w14:paraId="0F66B36C" w14:textId="77777777" w:rsidR="00263A40" w:rsidRPr="006C4116" w:rsidRDefault="00263A4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E56408D" w14:textId="6D7CCC36" w:rsidR="00A50FCF" w:rsidRPr="00E74040" w:rsidRDefault="00A50FCF" w:rsidP="00E74040">
      <w:pPr>
        <w:tabs>
          <w:tab w:val="center" w:pos="5400"/>
        </w:tabs>
        <w:suppressAutoHyphens/>
        <w:jc w:val="center"/>
        <w:rPr>
          <w:rFonts w:asciiTheme="majorHAnsi" w:hAnsiTheme="majorHAnsi"/>
          <w:sz w:val="20"/>
          <w:szCs w:val="20"/>
          <w:lang w:val="es-ES_tradnl"/>
        </w:rPr>
      </w:pPr>
    </w:p>
    <w:p w14:paraId="4DF75A02" w14:textId="300C2E32" w:rsidR="00A50FCF" w:rsidRPr="00E74040" w:rsidRDefault="00A50FCF" w:rsidP="00E74040">
      <w:pPr>
        <w:tabs>
          <w:tab w:val="center" w:pos="5400"/>
        </w:tabs>
        <w:suppressAutoHyphens/>
        <w:jc w:val="center"/>
        <w:rPr>
          <w:rFonts w:asciiTheme="majorHAnsi" w:hAnsiTheme="majorHAnsi"/>
          <w:sz w:val="20"/>
          <w:szCs w:val="20"/>
          <w:lang w:val="es-ES_tradnl"/>
        </w:rPr>
      </w:pPr>
    </w:p>
    <w:p w14:paraId="2544D113" w14:textId="529ADB43" w:rsidR="00A50FCF" w:rsidRPr="00E74040" w:rsidRDefault="00CB2312" w:rsidP="00E74040">
      <w:pPr>
        <w:tabs>
          <w:tab w:val="center" w:pos="5400"/>
        </w:tabs>
        <w:suppressAutoHyphens/>
        <w:jc w:val="center"/>
        <w:rPr>
          <w:rFonts w:asciiTheme="majorHAnsi" w:hAnsiTheme="majorHAnsi"/>
          <w:sz w:val="20"/>
          <w:szCs w:val="20"/>
          <w:lang w:val="es-ES_tradnl"/>
        </w:rPr>
      </w:pPr>
      <w:r w:rsidRPr="00E74040">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275A467" wp14:editId="139AE386">
                <wp:simplePos x="0" y="0"/>
                <wp:positionH relativeFrom="column">
                  <wp:posOffset>1349920</wp:posOffset>
                </wp:positionH>
                <wp:positionV relativeFrom="paragraph">
                  <wp:posOffset>12065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FBAC7" w14:textId="792F27D3" w:rsidR="00263A40" w:rsidRPr="00CB2312" w:rsidRDefault="00263A40" w:rsidP="00113F73">
                            <w:pPr>
                              <w:spacing w:line="276" w:lineRule="auto"/>
                              <w:rPr>
                                <w:rFonts w:asciiTheme="majorHAnsi" w:hAnsiTheme="majorHAnsi"/>
                                <w:color w:val="595959" w:themeColor="text1" w:themeTint="A6"/>
                                <w:sz w:val="18"/>
                                <w:szCs w:val="18"/>
                              </w:rPr>
                            </w:pPr>
                            <w:r w:rsidRPr="00030D29">
                              <w:rPr>
                                <w:rFonts w:asciiTheme="majorHAnsi" w:hAnsiTheme="majorHAnsi"/>
                                <w:b/>
                                <w:color w:val="595959" w:themeColor="text1" w:themeTint="A6"/>
                                <w:sz w:val="18"/>
                                <w:szCs w:val="18"/>
                              </w:rPr>
                              <w:t>Cit</w:t>
                            </w:r>
                            <w:r w:rsidR="00CB2312" w:rsidRPr="00030D29">
                              <w:rPr>
                                <w:rFonts w:asciiTheme="majorHAnsi" w:hAnsiTheme="majorHAnsi"/>
                                <w:b/>
                                <w:color w:val="595959" w:themeColor="text1" w:themeTint="A6"/>
                                <w:sz w:val="18"/>
                                <w:szCs w:val="18"/>
                              </w:rPr>
                              <w:t xml:space="preserve">e </w:t>
                            </w:r>
                            <w:proofErr w:type="gramStart"/>
                            <w:r w:rsidR="00CB2312" w:rsidRPr="00030D29">
                              <w:rPr>
                                <w:rFonts w:asciiTheme="majorHAnsi" w:hAnsiTheme="majorHAnsi"/>
                                <w:b/>
                                <w:color w:val="595959" w:themeColor="text1" w:themeTint="A6"/>
                                <w:sz w:val="18"/>
                                <w:szCs w:val="18"/>
                              </w:rPr>
                              <w:t xml:space="preserve">as </w:t>
                            </w:r>
                            <w:r w:rsidRPr="00030D29">
                              <w:rPr>
                                <w:rFonts w:asciiTheme="majorHAnsi" w:hAnsiTheme="majorHAnsi"/>
                                <w:b/>
                                <w:color w:val="595959" w:themeColor="text1" w:themeTint="A6"/>
                                <w:sz w:val="18"/>
                                <w:szCs w:val="18"/>
                              </w:rPr>
                              <w:t>:</w:t>
                            </w:r>
                            <w:proofErr w:type="gramEnd"/>
                            <w:r w:rsidRPr="00030D29">
                              <w:rPr>
                                <w:rFonts w:asciiTheme="majorHAnsi" w:hAnsiTheme="majorHAnsi"/>
                                <w:color w:val="595959" w:themeColor="text1" w:themeTint="A6"/>
                                <w:sz w:val="18"/>
                                <w:szCs w:val="18"/>
                              </w:rPr>
                              <w:t xml:space="preserve"> </w:t>
                            </w:r>
                            <w:r w:rsidR="00CB2312" w:rsidRPr="00030D29">
                              <w:rPr>
                                <w:rFonts w:asciiTheme="majorHAnsi" w:hAnsiTheme="majorHAnsi"/>
                                <w:color w:val="595959" w:themeColor="text1" w:themeTint="A6"/>
                                <w:sz w:val="18"/>
                                <w:szCs w:val="18"/>
                              </w:rPr>
                              <w:t>IACHR</w:t>
                            </w:r>
                            <w:r w:rsidRPr="00030D29">
                              <w:rPr>
                                <w:rFonts w:asciiTheme="majorHAnsi" w:hAnsiTheme="majorHAnsi"/>
                                <w:color w:val="595959" w:themeColor="text1" w:themeTint="A6"/>
                                <w:sz w:val="18"/>
                                <w:szCs w:val="18"/>
                              </w:rPr>
                              <w:t xml:space="preserve">, </w:t>
                            </w:r>
                            <w:r w:rsidR="00CB2312" w:rsidRPr="00030D29">
                              <w:rPr>
                                <w:rFonts w:asciiTheme="majorHAnsi" w:hAnsiTheme="majorHAnsi"/>
                                <w:color w:val="595959" w:themeColor="text1" w:themeTint="A6"/>
                                <w:sz w:val="18"/>
                                <w:szCs w:val="18"/>
                              </w:rPr>
                              <w:t>Report</w:t>
                            </w:r>
                            <w:r w:rsidRPr="00030D29">
                              <w:rPr>
                                <w:rFonts w:asciiTheme="majorHAnsi" w:hAnsiTheme="majorHAnsi"/>
                                <w:color w:val="595959" w:themeColor="text1" w:themeTint="A6"/>
                                <w:sz w:val="18"/>
                                <w:szCs w:val="18"/>
                              </w:rPr>
                              <w:t xml:space="preserve"> No. </w:t>
                            </w:r>
                            <w:r w:rsidR="00030D29">
                              <w:rPr>
                                <w:rFonts w:asciiTheme="majorHAnsi" w:hAnsiTheme="majorHAnsi"/>
                                <w:color w:val="595959" w:themeColor="text1" w:themeTint="A6"/>
                                <w:sz w:val="18"/>
                                <w:szCs w:val="18"/>
                              </w:rPr>
                              <w:t>86/20</w:t>
                            </w:r>
                            <w:r w:rsidRPr="00CB2312">
                              <w:rPr>
                                <w:rFonts w:asciiTheme="majorHAnsi" w:hAnsiTheme="majorHAnsi"/>
                                <w:color w:val="595959" w:themeColor="text1" w:themeTint="A6"/>
                                <w:sz w:val="18"/>
                                <w:szCs w:val="18"/>
                              </w:rPr>
                              <w:t xml:space="preserve"> Cas</w:t>
                            </w:r>
                            <w:r w:rsidR="00CB2312" w:rsidRPr="00CB2312">
                              <w:rPr>
                                <w:rFonts w:asciiTheme="majorHAnsi" w:hAnsiTheme="majorHAnsi"/>
                                <w:color w:val="595959" w:themeColor="text1" w:themeTint="A6"/>
                                <w:sz w:val="18"/>
                                <w:szCs w:val="18"/>
                              </w:rPr>
                              <w:t>e</w:t>
                            </w:r>
                            <w:r w:rsidRPr="00CB2312">
                              <w:rPr>
                                <w:rFonts w:asciiTheme="majorHAnsi" w:hAnsiTheme="majorHAnsi"/>
                                <w:color w:val="595959" w:themeColor="text1" w:themeTint="A6"/>
                                <w:sz w:val="18"/>
                                <w:szCs w:val="18"/>
                              </w:rPr>
                              <w:t xml:space="preserve"> 12.732. </w:t>
                            </w:r>
                            <w:r w:rsidR="00CB2312" w:rsidRPr="00CB2312">
                              <w:rPr>
                                <w:rFonts w:asciiTheme="majorHAnsi" w:hAnsiTheme="majorHAnsi"/>
                                <w:color w:val="595959" w:themeColor="text1" w:themeTint="A6"/>
                                <w:sz w:val="18"/>
                                <w:szCs w:val="18"/>
                              </w:rPr>
                              <w:t>Friendly Settlement</w:t>
                            </w:r>
                            <w:r w:rsidRPr="00CB2312">
                              <w:rPr>
                                <w:rFonts w:asciiTheme="majorHAnsi" w:hAnsiTheme="majorHAnsi"/>
                                <w:color w:val="595959" w:themeColor="text1" w:themeTint="A6"/>
                                <w:sz w:val="18"/>
                                <w:szCs w:val="18"/>
                              </w:rPr>
                              <w:t xml:space="preserve">. Richard Conrad </w:t>
                            </w:r>
                          </w:p>
                          <w:p w14:paraId="02DD3418" w14:textId="79B8DFA9" w:rsidR="00263A40" w:rsidRPr="00AE4DD5" w:rsidRDefault="00263A40" w:rsidP="00113F73">
                            <w:pPr>
                              <w:spacing w:line="276" w:lineRule="auto"/>
                              <w:rPr>
                                <w:rFonts w:asciiTheme="majorHAnsi" w:hAnsiTheme="majorHAnsi"/>
                                <w:color w:val="595959" w:themeColor="text1" w:themeTint="A6"/>
                                <w:sz w:val="18"/>
                                <w:szCs w:val="18"/>
                                <w:lang w:val="es-AR"/>
                              </w:rPr>
                            </w:pPr>
                            <w:r w:rsidRPr="00030D29">
                              <w:rPr>
                                <w:rFonts w:asciiTheme="majorHAnsi" w:hAnsiTheme="majorHAnsi"/>
                                <w:color w:val="595959" w:themeColor="text1" w:themeTint="A6"/>
                                <w:sz w:val="18"/>
                                <w:szCs w:val="18"/>
                              </w:rPr>
                              <w:t xml:space="preserve">Solórzano Contreras. </w:t>
                            </w:r>
                            <w:r w:rsidRPr="00AE4DD5">
                              <w:rPr>
                                <w:rFonts w:asciiTheme="majorHAnsi" w:hAnsiTheme="majorHAnsi"/>
                                <w:color w:val="595959" w:themeColor="text1" w:themeTint="A6"/>
                                <w:sz w:val="18"/>
                                <w:szCs w:val="18"/>
                                <w:lang w:val="es-AR"/>
                              </w:rPr>
                              <w:t xml:space="preserve">Guatemala. </w:t>
                            </w:r>
                            <w:r w:rsidR="00030D29">
                              <w:rPr>
                                <w:rFonts w:asciiTheme="majorHAnsi" w:hAnsiTheme="majorHAnsi"/>
                                <w:color w:val="595959" w:themeColor="text1" w:themeTint="A6"/>
                                <w:sz w:val="18"/>
                                <w:szCs w:val="18"/>
                                <w:lang w:val="es-AR"/>
                              </w:rPr>
                              <w:t>June 1</w:t>
                            </w:r>
                            <w:r w:rsidR="00CB2312" w:rsidRPr="00AE4DD5">
                              <w:rPr>
                                <w:rFonts w:asciiTheme="majorHAnsi" w:hAnsiTheme="majorHAnsi"/>
                                <w:color w:val="595959" w:themeColor="text1" w:themeTint="A6"/>
                                <w:sz w:val="18"/>
                                <w:szCs w:val="18"/>
                                <w:lang w:val="es-AR"/>
                              </w:rPr>
                              <w:t xml:space="preserve">, </w:t>
                            </w:r>
                            <w:r w:rsidRPr="00AE4DD5">
                              <w:rPr>
                                <w:rFonts w:asciiTheme="majorHAnsi" w:hAnsiTheme="majorHAnsi"/>
                                <w:color w:val="595959" w:themeColor="text1" w:themeTint="A6"/>
                                <w:sz w:val="18"/>
                                <w:szCs w:val="18"/>
                                <w:lang w:val="es-AR"/>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75A467" id="Text Box 10" o:spid="_x0000_s1029" type="#_x0000_t202" style="position:absolute;left:0;text-align:left;margin-left:106.3pt;margin-top:.9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uV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" filled="f" stroked="f" strokeweight=".5pt">
                <v:textbox>
                  <w:txbxContent>
                    <w:p w14:paraId="37EFBAC7" w14:textId="792F27D3" w:rsidR="00263A40" w:rsidRPr="00CB2312" w:rsidRDefault="00263A40" w:rsidP="00113F73">
                      <w:pPr>
                        <w:spacing w:line="276" w:lineRule="auto"/>
                        <w:rPr>
                          <w:rFonts w:asciiTheme="majorHAnsi" w:hAnsiTheme="majorHAnsi"/>
                          <w:color w:val="595959" w:themeColor="text1" w:themeTint="A6"/>
                          <w:sz w:val="18"/>
                          <w:szCs w:val="18"/>
                        </w:rPr>
                      </w:pPr>
                      <w:r w:rsidRPr="00030D29">
                        <w:rPr>
                          <w:rFonts w:asciiTheme="majorHAnsi" w:hAnsiTheme="majorHAnsi"/>
                          <w:b/>
                          <w:color w:val="595959" w:themeColor="text1" w:themeTint="A6"/>
                          <w:sz w:val="18"/>
                          <w:szCs w:val="18"/>
                        </w:rPr>
                        <w:t>Cit</w:t>
                      </w:r>
                      <w:r w:rsidR="00CB2312" w:rsidRPr="00030D29">
                        <w:rPr>
                          <w:rFonts w:asciiTheme="majorHAnsi" w:hAnsiTheme="majorHAnsi"/>
                          <w:b/>
                          <w:color w:val="595959" w:themeColor="text1" w:themeTint="A6"/>
                          <w:sz w:val="18"/>
                          <w:szCs w:val="18"/>
                        </w:rPr>
                        <w:t xml:space="preserve">e </w:t>
                      </w:r>
                      <w:proofErr w:type="gramStart"/>
                      <w:r w:rsidR="00CB2312" w:rsidRPr="00030D29">
                        <w:rPr>
                          <w:rFonts w:asciiTheme="majorHAnsi" w:hAnsiTheme="majorHAnsi"/>
                          <w:b/>
                          <w:color w:val="595959" w:themeColor="text1" w:themeTint="A6"/>
                          <w:sz w:val="18"/>
                          <w:szCs w:val="18"/>
                        </w:rPr>
                        <w:t xml:space="preserve">as </w:t>
                      </w:r>
                      <w:r w:rsidRPr="00030D29">
                        <w:rPr>
                          <w:rFonts w:asciiTheme="majorHAnsi" w:hAnsiTheme="majorHAnsi"/>
                          <w:b/>
                          <w:color w:val="595959" w:themeColor="text1" w:themeTint="A6"/>
                          <w:sz w:val="18"/>
                          <w:szCs w:val="18"/>
                        </w:rPr>
                        <w:t>:</w:t>
                      </w:r>
                      <w:proofErr w:type="gramEnd"/>
                      <w:r w:rsidRPr="00030D29">
                        <w:rPr>
                          <w:rFonts w:asciiTheme="majorHAnsi" w:hAnsiTheme="majorHAnsi"/>
                          <w:color w:val="595959" w:themeColor="text1" w:themeTint="A6"/>
                          <w:sz w:val="18"/>
                          <w:szCs w:val="18"/>
                        </w:rPr>
                        <w:t xml:space="preserve"> </w:t>
                      </w:r>
                      <w:r w:rsidR="00CB2312" w:rsidRPr="00030D29">
                        <w:rPr>
                          <w:rFonts w:asciiTheme="majorHAnsi" w:hAnsiTheme="majorHAnsi"/>
                          <w:color w:val="595959" w:themeColor="text1" w:themeTint="A6"/>
                          <w:sz w:val="18"/>
                          <w:szCs w:val="18"/>
                        </w:rPr>
                        <w:t>IACHR</w:t>
                      </w:r>
                      <w:r w:rsidRPr="00030D29">
                        <w:rPr>
                          <w:rFonts w:asciiTheme="majorHAnsi" w:hAnsiTheme="majorHAnsi"/>
                          <w:color w:val="595959" w:themeColor="text1" w:themeTint="A6"/>
                          <w:sz w:val="18"/>
                          <w:szCs w:val="18"/>
                        </w:rPr>
                        <w:t xml:space="preserve">, </w:t>
                      </w:r>
                      <w:r w:rsidR="00CB2312" w:rsidRPr="00030D29">
                        <w:rPr>
                          <w:rFonts w:asciiTheme="majorHAnsi" w:hAnsiTheme="majorHAnsi"/>
                          <w:color w:val="595959" w:themeColor="text1" w:themeTint="A6"/>
                          <w:sz w:val="18"/>
                          <w:szCs w:val="18"/>
                        </w:rPr>
                        <w:t>Report</w:t>
                      </w:r>
                      <w:r w:rsidRPr="00030D29">
                        <w:rPr>
                          <w:rFonts w:asciiTheme="majorHAnsi" w:hAnsiTheme="majorHAnsi"/>
                          <w:color w:val="595959" w:themeColor="text1" w:themeTint="A6"/>
                          <w:sz w:val="18"/>
                          <w:szCs w:val="18"/>
                        </w:rPr>
                        <w:t xml:space="preserve"> No. </w:t>
                      </w:r>
                      <w:r w:rsidR="00030D29">
                        <w:rPr>
                          <w:rFonts w:asciiTheme="majorHAnsi" w:hAnsiTheme="majorHAnsi"/>
                          <w:color w:val="595959" w:themeColor="text1" w:themeTint="A6"/>
                          <w:sz w:val="18"/>
                          <w:szCs w:val="18"/>
                        </w:rPr>
                        <w:t>86/20</w:t>
                      </w:r>
                      <w:r w:rsidRPr="00CB2312">
                        <w:rPr>
                          <w:rFonts w:asciiTheme="majorHAnsi" w:hAnsiTheme="majorHAnsi"/>
                          <w:color w:val="595959" w:themeColor="text1" w:themeTint="A6"/>
                          <w:sz w:val="18"/>
                          <w:szCs w:val="18"/>
                        </w:rPr>
                        <w:t xml:space="preserve"> Cas</w:t>
                      </w:r>
                      <w:r w:rsidR="00CB2312" w:rsidRPr="00CB2312">
                        <w:rPr>
                          <w:rFonts w:asciiTheme="majorHAnsi" w:hAnsiTheme="majorHAnsi"/>
                          <w:color w:val="595959" w:themeColor="text1" w:themeTint="A6"/>
                          <w:sz w:val="18"/>
                          <w:szCs w:val="18"/>
                        </w:rPr>
                        <w:t>e</w:t>
                      </w:r>
                      <w:r w:rsidRPr="00CB2312">
                        <w:rPr>
                          <w:rFonts w:asciiTheme="majorHAnsi" w:hAnsiTheme="majorHAnsi"/>
                          <w:color w:val="595959" w:themeColor="text1" w:themeTint="A6"/>
                          <w:sz w:val="18"/>
                          <w:szCs w:val="18"/>
                        </w:rPr>
                        <w:t xml:space="preserve"> 12.732. </w:t>
                      </w:r>
                      <w:r w:rsidR="00CB2312" w:rsidRPr="00CB2312">
                        <w:rPr>
                          <w:rFonts w:asciiTheme="majorHAnsi" w:hAnsiTheme="majorHAnsi"/>
                          <w:color w:val="595959" w:themeColor="text1" w:themeTint="A6"/>
                          <w:sz w:val="18"/>
                          <w:szCs w:val="18"/>
                        </w:rPr>
                        <w:t>Friendly Settlement</w:t>
                      </w:r>
                      <w:r w:rsidRPr="00CB2312">
                        <w:rPr>
                          <w:rFonts w:asciiTheme="majorHAnsi" w:hAnsiTheme="majorHAnsi"/>
                          <w:color w:val="595959" w:themeColor="text1" w:themeTint="A6"/>
                          <w:sz w:val="18"/>
                          <w:szCs w:val="18"/>
                        </w:rPr>
                        <w:t xml:space="preserve">. Richard Conrad </w:t>
                      </w:r>
                    </w:p>
                    <w:p w14:paraId="02DD3418" w14:textId="79B8DFA9" w:rsidR="00263A40" w:rsidRPr="00AE4DD5" w:rsidRDefault="00263A40" w:rsidP="00113F73">
                      <w:pPr>
                        <w:spacing w:line="276" w:lineRule="auto"/>
                        <w:rPr>
                          <w:rFonts w:asciiTheme="majorHAnsi" w:hAnsiTheme="majorHAnsi"/>
                          <w:color w:val="595959" w:themeColor="text1" w:themeTint="A6"/>
                          <w:sz w:val="18"/>
                          <w:szCs w:val="18"/>
                          <w:lang w:val="es-AR"/>
                        </w:rPr>
                      </w:pPr>
                      <w:r w:rsidRPr="00030D29">
                        <w:rPr>
                          <w:rFonts w:asciiTheme="majorHAnsi" w:hAnsiTheme="majorHAnsi"/>
                          <w:color w:val="595959" w:themeColor="text1" w:themeTint="A6"/>
                          <w:sz w:val="18"/>
                          <w:szCs w:val="18"/>
                        </w:rPr>
                        <w:t xml:space="preserve">Solórzano Contreras. </w:t>
                      </w:r>
                      <w:r w:rsidRPr="00AE4DD5">
                        <w:rPr>
                          <w:rFonts w:asciiTheme="majorHAnsi" w:hAnsiTheme="majorHAnsi"/>
                          <w:color w:val="595959" w:themeColor="text1" w:themeTint="A6"/>
                          <w:sz w:val="18"/>
                          <w:szCs w:val="18"/>
                          <w:lang w:val="es-AR"/>
                        </w:rPr>
                        <w:t xml:space="preserve">Guatemala. </w:t>
                      </w:r>
                      <w:r w:rsidR="00030D29">
                        <w:rPr>
                          <w:rFonts w:asciiTheme="majorHAnsi" w:hAnsiTheme="majorHAnsi"/>
                          <w:color w:val="595959" w:themeColor="text1" w:themeTint="A6"/>
                          <w:sz w:val="18"/>
                          <w:szCs w:val="18"/>
                          <w:lang w:val="es-AR"/>
                        </w:rPr>
                        <w:t>June 1</w:t>
                      </w:r>
                      <w:r w:rsidR="00CB2312" w:rsidRPr="00AE4DD5">
                        <w:rPr>
                          <w:rFonts w:asciiTheme="majorHAnsi" w:hAnsiTheme="majorHAnsi"/>
                          <w:color w:val="595959" w:themeColor="text1" w:themeTint="A6"/>
                          <w:sz w:val="18"/>
                          <w:szCs w:val="18"/>
                          <w:lang w:val="es-AR"/>
                        </w:rPr>
                        <w:t xml:space="preserve">, </w:t>
                      </w:r>
                      <w:r w:rsidRPr="00AE4DD5">
                        <w:rPr>
                          <w:rFonts w:asciiTheme="majorHAnsi" w:hAnsiTheme="majorHAnsi"/>
                          <w:color w:val="595959" w:themeColor="text1" w:themeTint="A6"/>
                          <w:sz w:val="18"/>
                          <w:szCs w:val="18"/>
                          <w:lang w:val="es-AR"/>
                        </w:rPr>
                        <w:t>2020.</w:t>
                      </w:r>
                    </w:p>
                  </w:txbxContent>
                </v:textbox>
              </v:shape>
            </w:pict>
          </mc:Fallback>
        </mc:AlternateContent>
      </w:r>
    </w:p>
    <w:p w14:paraId="5C159147" w14:textId="4BD41505" w:rsidR="00A50FCF" w:rsidRPr="00E74040" w:rsidRDefault="00A50FCF" w:rsidP="00E74040">
      <w:pPr>
        <w:tabs>
          <w:tab w:val="center" w:pos="5400"/>
        </w:tabs>
        <w:suppressAutoHyphens/>
        <w:jc w:val="center"/>
        <w:rPr>
          <w:rFonts w:asciiTheme="majorHAnsi" w:hAnsiTheme="majorHAnsi"/>
          <w:sz w:val="20"/>
          <w:szCs w:val="20"/>
          <w:lang w:val="es-ES_tradnl"/>
        </w:rPr>
      </w:pPr>
    </w:p>
    <w:p w14:paraId="427346A8" w14:textId="7C332EE4" w:rsidR="00A50FCF" w:rsidRPr="00E74040" w:rsidRDefault="00A50FCF" w:rsidP="00E74040">
      <w:pPr>
        <w:tabs>
          <w:tab w:val="center" w:pos="5400"/>
        </w:tabs>
        <w:suppressAutoHyphens/>
        <w:jc w:val="center"/>
        <w:rPr>
          <w:rFonts w:asciiTheme="majorHAnsi" w:hAnsiTheme="majorHAnsi"/>
          <w:sz w:val="20"/>
          <w:szCs w:val="20"/>
          <w:lang w:val="es-ES_tradnl"/>
        </w:rPr>
      </w:pPr>
    </w:p>
    <w:p w14:paraId="5B6A6A27" w14:textId="0975DD6E" w:rsidR="00A50FCF" w:rsidRPr="00E74040" w:rsidRDefault="00A50FCF" w:rsidP="00E74040">
      <w:pPr>
        <w:tabs>
          <w:tab w:val="center" w:pos="5400"/>
        </w:tabs>
        <w:suppressAutoHyphens/>
        <w:jc w:val="center"/>
        <w:rPr>
          <w:rFonts w:asciiTheme="majorHAnsi" w:hAnsiTheme="majorHAnsi"/>
          <w:sz w:val="20"/>
          <w:szCs w:val="20"/>
          <w:lang w:val="es-ES_tradnl"/>
        </w:rPr>
      </w:pPr>
    </w:p>
    <w:p w14:paraId="1C77532E" w14:textId="0A310EE5" w:rsidR="0090270B" w:rsidRPr="00E74040" w:rsidRDefault="001C5513" w:rsidP="001C5513">
      <w:pPr>
        <w:tabs>
          <w:tab w:val="center" w:pos="5400"/>
        </w:tabs>
        <w:suppressAutoHyphens/>
        <w:rPr>
          <w:rFonts w:asciiTheme="majorHAnsi" w:hAnsiTheme="majorHAnsi"/>
          <w:b/>
          <w:sz w:val="20"/>
          <w:szCs w:val="20"/>
          <w:lang w:val="es-ES_tradnl"/>
        </w:rPr>
      </w:pPr>
      <w:r w:rsidRPr="00E74040">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CA1395C" wp14:editId="142C5845">
                <wp:simplePos x="0" y="0"/>
                <wp:positionH relativeFrom="column">
                  <wp:posOffset>-281305</wp:posOffset>
                </wp:positionH>
                <wp:positionV relativeFrom="paragraph">
                  <wp:posOffset>848360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57350" w14:textId="074B853A" w:rsidR="00263A40" w:rsidRPr="004B7EB6" w:rsidRDefault="00263A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01DDC">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01DDC">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A1395C" id="Text Box 4" o:spid="_x0000_s1030" type="#_x0000_t202" style="position:absolute;margin-left:-22.15pt;margin-top:66.8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qtgA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" filled="f" stroked="f" strokeweight=".5pt">
                <v:textbox>
                  <w:txbxContent>
                    <w:p w14:paraId="0B757350" w14:textId="074B853A" w:rsidR="00263A40" w:rsidRPr="004B7EB6" w:rsidRDefault="00263A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01DDC">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01DDC">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28BECC9A" w14:textId="54B520FF" w:rsidR="0070697F" w:rsidRDefault="0070697F" w:rsidP="00E74040">
      <w:pPr>
        <w:tabs>
          <w:tab w:val="center" w:pos="5400"/>
        </w:tabs>
        <w:suppressAutoHyphens/>
        <w:jc w:val="center"/>
        <w:rPr>
          <w:rFonts w:asciiTheme="majorHAnsi" w:hAnsiTheme="majorHAnsi"/>
          <w:b/>
          <w:sz w:val="20"/>
          <w:szCs w:val="20"/>
          <w:lang w:val="es-ES_tradnl"/>
        </w:rPr>
      </w:pPr>
    </w:p>
    <w:p w14:paraId="43C82AF7" w14:textId="4C1CF73D" w:rsidR="001C5513" w:rsidRDefault="001C5513" w:rsidP="00E74040">
      <w:pPr>
        <w:tabs>
          <w:tab w:val="center" w:pos="5400"/>
        </w:tabs>
        <w:suppressAutoHyphens/>
        <w:jc w:val="center"/>
        <w:rPr>
          <w:rFonts w:asciiTheme="majorHAnsi" w:hAnsiTheme="majorHAnsi"/>
          <w:b/>
          <w:sz w:val="20"/>
          <w:szCs w:val="20"/>
          <w:lang w:val="es-ES_tradnl"/>
        </w:rPr>
      </w:pPr>
    </w:p>
    <w:p w14:paraId="71673680" w14:textId="77CDFB0B" w:rsidR="001C5513" w:rsidRPr="001C5513" w:rsidRDefault="001C5513" w:rsidP="001C5513">
      <w:pPr>
        <w:tabs>
          <w:tab w:val="center" w:pos="2160"/>
        </w:tabs>
        <w:suppressAutoHyphens/>
        <w:rPr>
          <w:rFonts w:asciiTheme="majorHAnsi" w:hAnsiTheme="majorHAnsi"/>
          <w:b/>
          <w:sz w:val="20"/>
          <w:szCs w:val="20"/>
        </w:rPr>
      </w:pPr>
      <w:r>
        <w:rPr>
          <w:rFonts w:asciiTheme="majorHAnsi" w:hAnsiTheme="majorHAnsi"/>
          <w:b/>
          <w:sz w:val="20"/>
          <w:szCs w:val="20"/>
        </w:rPr>
        <w:t xml:space="preserve">                                                 </w:t>
      </w:r>
      <w:r>
        <w:rPr>
          <w:rFonts w:asciiTheme="majorHAnsi" w:hAnsiTheme="majorHAnsi"/>
          <w:b/>
          <w:noProof/>
          <w:sz w:val="20"/>
          <w:szCs w:val="20"/>
        </w:rPr>
        <w:drawing>
          <wp:inline distT="0" distB="0" distL="0" distR="0" wp14:anchorId="2E49E889" wp14:editId="646A98F9">
            <wp:extent cx="1579245" cy="4025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02590"/>
                    </a:xfrm>
                    <a:prstGeom prst="rect">
                      <a:avLst/>
                    </a:prstGeom>
                    <a:noFill/>
                  </pic:spPr>
                </pic:pic>
              </a:graphicData>
            </a:graphic>
          </wp:inline>
        </w:drawing>
      </w:r>
    </w:p>
    <w:p w14:paraId="1AF0210E" w14:textId="77777777" w:rsidR="001C5513" w:rsidRPr="001C5513" w:rsidRDefault="001C5513" w:rsidP="00E74040">
      <w:pPr>
        <w:tabs>
          <w:tab w:val="center" w:pos="5400"/>
        </w:tabs>
        <w:suppressAutoHyphens/>
        <w:jc w:val="center"/>
        <w:rPr>
          <w:rFonts w:asciiTheme="majorHAnsi" w:hAnsiTheme="majorHAnsi"/>
          <w:b/>
          <w:sz w:val="20"/>
          <w:szCs w:val="20"/>
        </w:rPr>
        <w:sectPr w:rsidR="001C5513" w:rsidRPr="001C551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238B18D0" w14:textId="649C7B94" w:rsidR="00E74040" w:rsidRPr="00E74040" w:rsidRDefault="00121A15" w:rsidP="00E74040">
      <w:pPr>
        <w:tabs>
          <w:tab w:val="center" w:pos="5400"/>
        </w:tabs>
        <w:suppressAutoHyphens/>
        <w:jc w:val="center"/>
        <w:rPr>
          <w:rFonts w:asciiTheme="majorHAnsi" w:hAnsiTheme="majorHAnsi"/>
          <w:b/>
          <w:sz w:val="18"/>
          <w:szCs w:val="20"/>
        </w:rPr>
      </w:pPr>
      <w:r w:rsidRPr="00E74040">
        <w:rPr>
          <w:rFonts w:asciiTheme="majorHAnsi" w:hAnsiTheme="majorHAnsi"/>
          <w:b/>
          <w:sz w:val="18"/>
          <w:szCs w:val="20"/>
        </w:rPr>
        <w:lastRenderedPageBreak/>
        <w:t>REPORT</w:t>
      </w:r>
      <w:r w:rsidR="00030D29">
        <w:rPr>
          <w:rFonts w:asciiTheme="majorHAnsi" w:hAnsiTheme="majorHAnsi"/>
          <w:b/>
          <w:sz w:val="18"/>
          <w:szCs w:val="20"/>
        </w:rPr>
        <w:t xml:space="preserve"> No. 86</w:t>
      </w:r>
      <w:r w:rsidR="00931F13" w:rsidRPr="00E74040">
        <w:rPr>
          <w:rFonts w:asciiTheme="majorHAnsi" w:hAnsiTheme="majorHAnsi"/>
          <w:b/>
          <w:sz w:val="18"/>
          <w:szCs w:val="20"/>
        </w:rPr>
        <w:t>/20</w:t>
      </w:r>
    </w:p>
    <w:p w14:paraId="56CB23FD" w14:textId="5E0C93B3" w:rsidR="00722C9F" w:rsidRPr="00E74040" w:rsidRDefault="00722C9F" w:rsidP="00E74040">
      <w:pPr>
        <w:tabs>
          <w:tab w:val="center" w:pos="5400"/>
        </w:tabs>
        <w:suppressAutoHyphens/>
        <w:jc w:val="center"/>
        <w:rPr>
          <w:rFonts w:asciiTheme="majorHAnsi" w:hAnsiTheme="majorHAnsi"/>
          <w:b/>
          <w:sz w:val="18"/>
          <w:szCs w:val="20"/>
        </w:rPr>
      </w:pPr>
      <w:r w:rsidRPr="00E74040">
        <w:rPr>
          <w:rFonts w:asciiTheme="majorHAnsi" w:hAnsiTheme="majorHAnsi"/>
          <w:b/>
          <w:sz w:val="18"/>
          <w:szCs w:val="20"/>
        </w:rPr>
        <w:t>CAS</w:t>
      </w:r>
      <w:r w:rsidR="00121A15" w:rsidRPr="00E74040">
        <w:rPr>
          <w:rFonts w:asciiTheme="majorHAnsi" w:hAnsiTheme="majorHAnsi"/>
          <w:b/>
          <w:sz w:val="18"/>
          <w:szCs w:val="20"/>
        </w:rPr>
        <w:t>E</w:t>
      </w:r>
      <w:r w:rsidRPr="00E74040">
        <w:rPr>
          <w:rFonts w:asciiTheme="majorHAnsi" w:hAnsiTheme="majorHAnsi"/>
          <w:b/>
          <w:sz w:val="18"/>
          <w:szCs w:val="20"/>
        </w:rPr>
        <w:t xml:space="preserve"> </w:t>
      </w:r>
      <w:r w:rsidR="00931F13" w:rsidRPr="00E74040">
        <w:rPr>
          <w:rFonts w:asciiTheme="majorHAnsi" w:hAnsiTheme="majorHAnsi"/>
          <w:b/>
          <w:sz w:val="18"/>
          <w:szCs w:val="20"/>
        </w:rPr>
        <w:t>12.732</w:t>
      </w:r>
    </w:p>
    <w:p w14:paraId="4A308BD5" w14:textId="77777777" w:rsidR="00722C9F" w:rsidRPr="00E74040" w:rsidRDefault="00121A15" w:rsidP="00E74040">
      <w:pPr>
        <w:tabs>
          <w:tab w:val="center" w:pos="5400"/>
        </w:tabs>
        <w:suppressAutoHyphens/>
        <w:jc w:val="center"/>
        <w:rPr>
          <w:rFonts w:asciiTheme="majorHAnsi" w:hAnsiTheme="majorHAnsi"/>
          <w:sz w:val="18"/>
          <w:szCs w:val="20"/>
        </w:rPr>
      </w:pPr>
      <w:r w:rsidRPr="00E74040">
        <w:rPr>
          <w:rFonts w:asciiTheme="majorHAnsi" w:hAnsiTheme="majorHAnsi"/>
          <w:sz w:val="18"/>
          <w:szCs w:val="20"/>
        </w:rPr>
        <w:t>FRIENDLY SETTLEMENT</w:t>
      </w:r>
    </w:p>
    <w:p w14:paraId="43714BF0" w14:textId="77777777" w:rsidR="00722C9F" w:rsidRPr="001C5513" w:rsidRDefault="00931F13" w:rsidP="00E74040">
      <w:pPr>
        <w:tabs>
          <w:tab w:val="center" w:pos="5400"/>
        </w:tabs>
        <w:suppressAutoHyphens/>
        <w:jc w:val="center"/>
        <w:rPr>
          <w:rFonts w:asciiTheme="majorHAnsi" w:hAnsiTheme="majorHAnsi"/>
          <w:sz w:val="18"/>
          <w:szCs w:val="20"/>
        </w:rPr>
      </w:pPr>
      <w:r w:rsidRPr="001C5513">
        <w:rPr>
          <w:rFonts w:asciiTheme="majorHAnsi" w:hAnsiTheme="majorHAnsi"/>
          <w:sz w:val="18"/>
          <w:szCs w:val="20"/>
        </w:rPr>
        <w:t>RICHARD CONRAD SOLÓRZANO CONTRERAS</w:t>
      </w:r>
    </w:p>
    <w:p w14:paraId="6C7AFCB1" w14:textId="5C202A83" w:rsidR="0070697F" w:rsidRPr="001C5513" w:rsidRDefault="00931F13" w:rsidP="00E74040">
      <w:pPr>
        <w:tabs>
          <w:tab w:val="center" w:pos="5400"/>
        </w:tabs>
        <w:suppressAutoHyphens/>
        <w:jc w:val="center"/>
        <w:rPr>
          <w:rFonts w:asciiTheme="majorHAnsi" w:hAnsiTheme="majorHAnsi"/>
          <w:sz w:val="18"/>
          <w:szCs w:val="20"/>
        </w:rPr>
      </w:pPr>
      <w:r w:rsidRPr="001C5513">
        <w:rPr>
          <w:rFonts w:asciiTheme="majorHAnsi" w:hAnsiTheme="majorHAnsi"/>
          <w:sz w:val="18"/>
          <w:szCs w:val="20"/>
        </w:rPr>
        <w:t>GUATEMALA</w:t>
      </w:r>
      <w:r w:rsidR="004747C9">
        <w:rPr>
          <w:rStyle w:val="FootnoteReference"/>
          <w:rFonts w:asciiTheme="majorHAnsi" w:hAnsiTheme="majorHAnsi"/>
          <w:sz w:val="18"/>
          <w:szCs w:val="20"/>
          <w:lang w:val="es-ES_tradnl"/>
        </w:rPr>
        <w:footnoteReference w:id="2"/>
      </w:r>
    </w:p>
    <w:p w14:paraId="453D0F95" w14:textId="3668124A" w:rsidR="00722C9F" w:rsidRDefault="00030D29" w:rsidP="00E74040">
      <w:pPr>
        <w:tabs>
          <w:tab w:val="center" w:pos="5400"/>
        </w:tabs>
        <w:suppressAutoHyphens/>
        <w:jc w:val="center"/>
        <w:rPr>
          <w:rFonts w:asciiTheme="majorHAnsi" w:hAnsiTheme="majorHAnsi"/>
          <w:sz w:val="18"/>
          <w:szCs w:val="20"/>
        </w:rPr>
      </w:pPr>
      <w:r w:rsidRPr="001C5513">
        <w:rPr>
          <w:rFonts w:asciiTheme="majorHAnsi" w:hAnsiTheme="majorHAnsi"/>
          <w:sz w:val="18"/>
          <w:szCs w:val="20"/>
        </w:rPr>
        <w:t>JUNE 1</w:t>
      </w:r>
      <w:r w:rsidR="00121A15" w:rsidRPr="001C5513">
        <w:rPr>
          <w:rFonts w:asciiTheme="majorHAnsi" w:hAnsiTheme="majorHAnsi"/>
          <w:sz w:val="18"/>
          <w:szCs w:val="20"/>
        </w:rPr>
        <w:t>,</w:t>
      </w:r>
      <w:r w:rsidR="00931F13" w:rsidRPr="001C5513">
        <w:rPr>
          <w:rFonts w:asciiTheme="majorHAnsi" w:hAnsiTheme="majorHAnsi"/>
          <w:sz w:val="18"/>
          <w:szCs w:val="20"/>
        </w:rPr>
        <w:t xml:space="preserve"> 2020</w:t>
      </w:r>
    </w:p>
    <w:p w14:paraId="51926CEF" w14:textId="77777777" w:rsidR="001C5513" w:rsidRPr="001C5513" w:rsidRDefault="001C5513" w:rsidP="00E74040">
      <w:pPr>
        <w:tabs>
          <w:tab w:val="center" w:pos="5400"/>
        </w:tabs>
        <w:suppressAutoHyphens/>
        <w:jc w:val="center"/>
        <w:rPr>
          <w:rFonts w:asciiTheme="majorHAnsi" w:hAnsiTheme="majorHAnsi"/>
          <w:sz w:val="18"/>
          <w:szCs w:val="20"/>
        </w:rPr>
      </w:pPr>
    </w:p>
    <w:p w14:paraId="32862837" w14:textId="77777777" w:rsidR="008D768D" w:rsidRPr="001C5513" w:rsidRDefault="008D768D" w:rsidP="00E74040">
      <w:pPr>
        <w:tabs>
          <w:tab w:val="center" w:pos="5400"/>
        </w:tabs>
        <w:suppressAutoHyphens/>
        <w:rPr>
          <w:rFonts w:asciiTheme="majorHAnsi" w:hAnsiTheme="majorHAnsi"/>
          <w:sz w:val="20"/>
          <w:szCs w:val="20"/>
        </w:rPr>
      </w:pPr>
    </w:p>
    <w:p w14:paraId="5FC1819F" w14:textId="77777777" w:rsidR="00121A15" w:rsidRPr="00E74040" w:rsidRDefault="00121A15" w:rsidP="00E740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rPr>
      </w:pPr>
      <w:r w:rsidRPr="00E74040">
        <w:rPr>
          <w:rFonts w:asciiTheme="majorHAnsi" w:hAnsiTheme="majorHAnsi"/>
          <w:b/>
          <w:sz w:val="20"/>
          <w:szCs w:val="20"/>
        </w:rPr>
        <w:t>SUMMARY AND PROCEDURAL ASPECTS RELATED TO THE FRIENDLY SETTLEMENT PROCESS</w:t>
      </w:r>
    </w:p>
    <w:p w14:paraId="1D96A115" w14:textId="77777777" w:rsidR="00931F13" w:rsidRPr="00E74040" w:rsidRDefault="00931F13" w:rsidP="00E74040">
      <w:pPr>
        <w:ind w:firstLine="720"/>
        <w:jc w:val="both"/>
        <w:rPr>
          <w:rFonts w:asciiTheme="majorHAnsi" w:eastAsia="MS Mincho" w:hAnsiTheme="majorHAnsi"/>
          <w:sz w:val="20"/>
          <w:szCs w:val="20"/>
        </w:rPr>
      </w:pPr>
    </w:p>
    <w:p w14:paraId="36AE60D2" w14:textId="5D30FD35" w:rsidR="00121A15" w:rsidRPr="00E74040" w:rsidRDefault="00121A15"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E74040">
        <w:rPr>
          <w:rFonts w:asciiTheme="majorHAnsi" w:eastAsia="Times New Roman" w:hAnsiTheme="majorHAnsi" w:cs="Cambria"/>
          <w:color w:val="000000"/>
          <w:sz w:val="20"/>
          <w:szCs w:val="20"/>
          <w:u w:color="000000"/>
          <w:bdr w:val="none" w:sz="0" w:space="0" w:color="auto" w:frame="1"/>
          <w:lang w:eastAsia="es-ES"/>
        </w:rPr>
        <w:t>On July 14, 2004, the Inter-American Commission on Human Rights (hereinafter, “the Commission” or the “IACHR”) received a petition filed by Mr. Mario Conrado Solórzano Puac (hereinafter, “petitioner” or the “alleged victim”), which alleged the international responsibility of the Republic of Guatemala (hereinafter, “State” or “Guatemalan State” or “Guatemala”), for the violation of the human rights recognized under article 8 (fair trial) and 25 (judicial protection), in relation to article 1 (</w:t>
      </w:r>
      <w:r w:rsidR="0098463D" w:rsidRPr="00E74040">
        <w:rPr>
          <w:rFonts w:asciiTheme="majorHAnsi" w:eastAsia="Times New Roman" w:hAnsiTheme="majorHAnsi" w:cs="Cambria"/>
          <w:color w:val="000000"/>
          <w:sz w:val="20"/>
          <w:szCs w:val="20"/>
          <w:u w:color="000000"/>
          <w:bdr w:val="none" w:sz="0" w:space="0" w:color="auto" w:frame="1"/>
          <w:lang w:eastAsia="es-ES"/>
        </w:rPr>
        <w:t>obligation to respect rights) of the American Convention on Human Rights (hereinafter, “Convention” or “American Convention”), to his detriment and that of his son, Richard Conrado Solórzano Contreras (hereinafter, “alleged victim”), who was then 16 years of age, who passed away due to lack of medical attention in a public hospital and the subsequent lack of investigation of the facts of the case by agents of the State.</w:t>
      </w:r>
    </w:p>
    <w:p w14:paraId="5AC528FC" w14:textId="77777777" w:rsidR="00931F13" w:rsidRPr="00E74040" w:rsidRDefault="00931F13" w:rsidP="00E74040">
      <w:pPr>
        <w:pStyle w:val="Heading2"/>
        <w:keepNext w:val="0"/>
        <w:tabs>
          <w:tab w:val="left" w:pos="90"/>
          <w:tab w:val="left" w:pos="1440"/>
        </w:tabs>
        <w:spacing w:before="0" w:after="0"/>
        <w:ind w:firstLine="720"/>
        <w:jc w:val="both"/>
        <w:rPr>
          <w:rFonts w:asciiTheme="majorHAnsi" w:hAnsiTheme="majorHAnsi"/>
          <w:sz w:val="20"/>
          <w:szCs w:val="20"/>
          <w:lang w:eastAsia="es-ES"/>
        </w:rPr>
      </w:pPr>
    </w:p>
    <w:p w14:paraId="58C23D70" w14:textId="4C28C59D" w:rsidR="0098463D" w:rsidRPr="00E74040" w:rsidRDefault="0098463D" w:rsidP="00E74040">
      <w:pPr>
        <w:pStyle w:val="ListParagraph"/>
        <w:numPr>
          <w:ilvl w:val="0"/>
          <w:numId w:val="55"/>
        </w:numPr>
        <w:tabs>
          <w:tab w:val="left" w:pos="1440"/>
        </w:tabs>
        <w:ind w:left="0" w:firstLine="720"/>
        <w:jc w:val="both"/>
        <w:rPr>
          <w:rFonts w:asciiTheme="majorHAnsi" w:eastAsia="Times New Roman" w:hAnsiTheme="majorHAnsi"/>
          <w:sz w:val="20"/>
          <w:szCs w:val="20"/>
          <w:bdr w:val="none" w:sz="0" w:space="0" w:color="auto" w:frame="1"/>
        </w:rPr>
      </w:pPr>
      <w:r w:rsidRPr="00E74040">
        <w:rPr>
          <w:rFonts w:asciiTheme="majorHAnsi" w:eastAsia="Times New Roman" w:hAnsiTheme="majorHAnsi"/>
          <w:sz w:val="20"/>
          <w:szCs w:val="20"/>
          <w:bdr w:val="none" w:sz="0" w:space="0" w:color="auto" w:frame="1"/>
        </w:rPr>
        <w:t xml:space="preserve">On October 29, 2009, the Commission adopted Admissibility Report N° 103/09, in which it declared the petition to be admissible and </w:t>
      </w:r>
      <w:r w:rsidR="00B01DDC" w:rsidRPr="00E74040">
        <w:rPr>
          <w:rFonts w:asciiTheme="majorHAnsi" w:eastAsia="Times New Roman" w:hAnsiTheme="majorHAnsi"/>
          <w:sz w:val="20"/>
          <w:szCs w:val="20"/>
          <w:bdr w:val="none" w:sz="0" w:space="0" w:color="auto" w:frame="1"/>
        </w:rPr>
        <w:t xml:space="preserve">established </w:t>
      </w:r>
      <w:r w:rsidRPr="00E74040">
        <w:rPr>
          <w:rFonts w:asciiTheme="majorHAnsi" w:eastAsia="Times New Roman" w:hAnsiTheme="majorHAnsi"/>
          <w:sz w:val="20"/>
          <w:szCs w:val="20"/>
          <w:bdr w:val="none" w:sz="0" w:space="0" w:color="auto" w:frame="1"/>
        </w:rPr>
        <w:t xml:space="preserve">its own competence to </w:t>
      </w:r>
      <w:r w:rsidR="00FE5847" w:rsidRPr="00E74040">
        <w:rPr>
          <w:rFonts w:asciiTheme="majorHAnsi" w:eastAsia="Times New Roman" w:hAnsiTheme="majorHAnsi"/>
          <w:sz w:val="20"/>
          <w:szCs w:val="20"/>
          <w:bdr w:val="none" w:sz="0" w:space="0" w:color="auto" w:frame="1"/>
        </w:rPr>
        <w:t>hear the claim filed by the petitioners with regards to the alleged violation of the rights recognized under articles 8 (fair trial) and 25 (judicial protection) of the American Convention.</w:t>
      </w:r>
    </w:p>
    <w:p w14:paraId="2EBBCF20" w14:textId="77777777" w:rsidR="00FE5847" w:rsidRPr="00E74040" w:rsidRDefault="00FE5847" w:rsidP="00E74040">
      <w:pPr>
        <w:pStyle w:val="ListParagraph"/>
        <w:ind w:left="0" w:firstLine="720"/>
        <w:rPr>
          <w:rFonts w:asciiTheme="majorHAnsi" w:eastAsia="Times New Roman" w:hAnsiTheme="majorHAnsi"/>
          <w:sz w:val="20"/>
          <w:szCs w:val="20"/>
          <w:bdr w:val="none" w:sz="0" w:space="0" w:color="auto" w:frame="1"/>
        </w:rPr>
      </w:pPr>
    </w:p>
    <w:p w14:paraId="7605C581" w14:textId="024E8ED3" w:rsidR="00FE5847" w:rsidRPr="00E74040" w:rsidRDefault="00FE5847" w:rsidP="00E74040">
      <w:pPr>
        <w:pStyle w:val="ListParagraph"/>
        <w:numPr>
          <w:ilvl w:val="0"/>
          <w:numId w:val="55"/>
        </w:numPr>
        <w:tabs>
          <w:tab w:val="left" w:pos="1440"/>
        </w:tabs>
        <w:ind w:left="0" w:firstLine="720"/>
        <w:jc w:val="both"/>
        <w:rPr>
          <w:rFonts w:asciiTheme="majorHAnsi" w:eastAsia="Times New Roman" w:hAnsiTheme="majorHAnsi"/>
          <w:sz w:val="20"/>
          <w:szCs w:val="20"/>
          <w:bdr w:val="none" w:sz="0" w:space="0" w:color="auto" w:frame="1"/>
        </w:rPr>
      </w:pPr>
      <w:r w:rsidRPr="00E74040">
        <w:rPr>
          <w:rFonts w:asciiTheme="majorHAnsi" w:eastAsia="Times New Roman" w:hAnsiTheme="majorHAnsi"/>
          <w:sz w:val="20"/>
          <w:szCs w:val="20"/>
          <w:bdr w:val="none" w:sz="0" w:space="0" w:color="auto" w:frame="1"/>
        </w:rPr>
        <w:t xml:space="preserve">On December 17, 2011, the parties </w:t>
      </w:r>
      <w:r w:rsidR="002C4141">
        <w:rPr>
          <w:rFonts w:asciiTheme="majorHAnsi" w:eastAsia="Times New Roman" w:hAnsiTheme="majorHAnsi"/>
          <w:sz w:val="20"/>
          <w:szCs w:val="20"/>
          <w:bdr w:val="none" w:sz="0" w:space="0" w:color="auto" w:frame="1"/>
        </w:rPr>
        <w:t>held</w:t>
      </w:r>
      <w:r w:rsidRPr="00E74040">
        <w:rPr>
          <w:rFonts w:asciiTheme="majorHAnsi" w:eastAsia="Times New Roman" w:hAnsiTheme="majorHAnsi"/>
          <w:sz w:val="20"/>
          <w:szCs w:val="20"/>
          <w:bdr w:val="none" w:sz="0" w:space="0" w:color="auto" w:frame="1"/>
        </w:rPr>
        <w:t xml:space="preserve"> a work meeting facilitated by the Commission in Guatemala, Quetzaltenango Department</w:t>
      </w:r>
      <w:r w:rsidR="008D0389" w:rsidRPr="00E74040">
        <w:rPr>
          <w:rFonts w:asciiTheme="majorHAnsi" w:eastAsia="Times New Roman" w:hAnsiTheme="majorHAnsi"/>
          <w:sz w:val="20"/>
          <w:szCs w:val="20"/>
          <w:bdr w:val="none" w:sz="0" w:space="0" w:color="auto" w:frame="1"/>
        </w:rPr>
        <w:t xml:space="preserve">, in which they adopted a Friendly Settlement Agreement. </w:t>
      </w:r>
    </w:p>
    <w:p w14:paraId="5676DF9F" w14:textId="77777777" w:rsidR="00D60AA9" w:rsidRPr="00E74040" w:rsidRDefault="00D60AA9" w:rsidP="00E740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Times New Roman" w:hAnsiTheme="majorHAnsi"/>
          <w:sz w:val="20"/>
          <w:szCs w:val="20"/>
        </w:rPr>
      </w:pPr>
    </w:p>
    <w:p w14:paraId="296DB70C" w14:textId="77777777" w:rsidR="008D0389" w:rsidRPr="00E74040" w:rsidRDefault="008D0389"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E74040">
        <w:rPr>
          <w:rFonts w:asciiTheme="majorHAnsi" w:eastAsia="Times New Roman" w:hAnsiTheme="majorHAnsi"/>
          <w:sz w:val="20"/>
          <w:szCs w:val="20"/>
        </w:rPr>
        <w:t>On February 4, 2020, the petitioner expressed its consent to the official approval of the friendly settlement agreement.</w:t>
      </w:r>
    </w:p>
    <w:p w14:paraId="71140A7E" w14:textId="77777777" w:rsidR="008D0389" w:rsidRPr="00E74040" w:rsidRDefault="008D0389" w:rsidP="00E74040">
      <w:pPr>
        <w:pStyle w:val="ListParagraph"/>
        <w:ind w:left="0" w:firstLine="720"/>
        <w:rPr>
          <w:rFonts w:asciiTheme="majorHAnsi" w:hAnsiTheme="majorHAnsi"/>
          <w:sz w:val="20"/>
          <w:szCs w:val="20"/>
        </w:rPr>
      </w:pPr>
    </w:p>
    <w:p w14:paraId="28E37A63" w14:textId="77777777" w:rsidR="008D0389" w:rsidRPr="00E74040" w:rsidRDefault="008D0389"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E74040">
        <w:rPr>
          <w:rFonts w:asciiTheme="majorHAnsi" w:hAnsiTheme="majorHAnsi" w:cs="Cambria"/>
          <w:color w:val="000000"/>
          <w:sz w:val="20"/>
          <w:szCs w:val="20"/>
          <w:lang w:eastAsia="es-ES"/>
        </w:rPr>
        <w:t xml:space="preserve">This friendly settlement report, pursuant to Article 49 of the Convention and Article 40(5) of the Commission’s Rules of Procedure, outlines the facts alleged by the petitioners and transcribes the friendly settlement agreement, which was signed on December 17, 2011, by the petitioners and representatives of the Guatemalan State. In addition, the agreement signed by the parties is approved, and it is agreed to publish this report in the Annual Report of the IACHR to the General Assembly of the Organization of American States. </w:t>
      </w:r>
    </w:p>
    <w:p w14:paraId="39DAF01F" w14:textId="77777777" w:rsidR="00931F13" w:rsidRPr="00E74040" w:rsidRDefault="00931F13" w:rsidP="00E74040">
      <w:pPr>
        <w:ind w:firstLine="720"/>
        <w:jc w:val="both"/>
        <w:rPr>
          <w:rFonts w:asciiTheme="majorHAnsi" w:eastAsia="Times New Roman" w:hAnsiTheme="majorHAnsi"/>
          <w:sz w:val="20"/>
          <w:szCs w:val="20"/>
        </w:rPr>
      </w:pPr>
    </w:p>
    <w:p w14:paraId="1F3AAC08" w14:textId="77777777" w:rsidR="00931F13" w:rsidRPr="00E74040" w:rsidRDefault="008D0389" w:rsidP="00E740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E74040">
        <w:rPr>
          <w:rFonts w:asciiTheme="majorHAnsi" w:eastAsia="MS Mincho" w:hAnsiTheme="majorHAnsi"/>
          <w:b/>
          <w:sz w:val="20"/>
          <w:szCs w:val="20"/>
          <w:lang w:val="es-ES"/>
        </w:rPr>
        <w:t>FACTS ALLEGED</w:t>
      </w:r>
    </w:p>
    <w:p w14:paraId="28E66F6C" w14:textId="77777777" w:rsidR="00BA00CC" w:rsidRPr="00E74040" w:rsidRDefault="00BA00CC" w:rsidP="00E7404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sz w:val="20"/>
          <w:szCs w:val="20"/>
          <w:lang w:val="es-ES"/>
        </w:rPr>
      </w:pPr>
    </w:p>
    <w:p w14:paraId="2B4D44C6" w14:textId="3C896206" w:rsidR="008D0389" w:rsidRPr="00E74040" w:rsidRDefault="00186EA7"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E74040">
        <w:rPr>
          <w:rFonts w:asciiTheme="majorHAnsi" w:hAnsiTheme="majorHAnsi"/>
          <w:sz w:val="20"/>
          <w:szCs w:val="20"/>
        </w:rPr>
        <w:t xml:space="preserve">According to the allegations of the petitioner, on March 10, 2003, Richard Conrad Solórzano Contreras, who was then 16 years of age, had been stabbed by an individual on the </w:t>
      </w:r>
      <w:r w:rsidR="00B01DDC" w:rsidRPr="00E74040">
        <w:rPr>
          <w:rFonts w:asciiTheme="majorHAnsi" w:hAnsiTheme="majorHAnsi"/>
          <w:sz w:val="20"/>
          <w:szCs w:val="20"/>
        </w:rPr>
        <w:t>right-hand</w:t>
      </w:r>
      <w:r w:rsidRPr="00E74040">
        <w:rPr>
          <w:rFonts w:asciiTheme="majorHAnsi" w:hAnsiTheme="majorHAnsi"/>
          <w:sz w:val="20"/>
          <w:szCs w:val="20"/>
        </w:rPr>
        <w:t xml:space="preserve"> side of his neck. The facts had allegedly taken place around 8:30 PM, when the young man was three blocks away from his home. Consequently, he was allegedly transported immediately to the National Hospital of Coatepeque, a public institution.</w:t>
      </w:r>
    </w:p>
    <w:p w14:paraId="4E541ECB" w14:textId="77777777" w:rsidR="008D0389" w:rsidRPr="00E74040" w:rsidRDefault="008D0389"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p>
    <w:p w14:paraId="0C2E3ACD" w14:textId="6F657A77" w:rsidR="00BA00CC" w:rsidRPr="002C4141" w:rsidRDefault="00186EA7"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E74040">
        <w:rPr>
          <w:rFonts w:asciiTheme="majorHAnsi" w:eastAsia="Times New Roman" w:hAnsiTheme="majorHAnsi"/>
          <w:sz w:val="20"/>
          <w:szCs w:val="20"/>
          <w:bdr w:val="none" w:sz="0" w:space="0" w:color="auto" w:frame="1"/>
        </w:rPr>
        <w:t>The petitioner pointed out that, in the hospital where his son was admitted, the physician and the nurses who were on-call limited themselves to cleaning the wound, placing an intravenous needle and checking his vital signs, without undertaking a surgery to preserve the life of the alleged victim. In accordance to the description of the petitioner, his son allegedly spent, still with vital signs, approximately thirty minutes in the emergency room until a physician ordered that his oxygen supply be withdrawn. The young Solórzano Contreras allegedly died minutes later while embraced by his brother. The petitioner additionally said that a nurse at the hospital had allegedly mocked his son’s brother by saying that he “better look for a box”.</w:t>
      </w:r>
    </w:p>
    <w:p w14:paraId="649270E9" w14:textId="0C4E68CB" w:rsidR="00186EA7" w:rsidRPr="00E74040" w:rsidRDefault="00186EA7"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E74040">
        <w:rPr>
          <w:rFonts w:asciiTheme="majorHAnsi" w:hAnsiTheme="majorHAnsi"/>
          <w:sz w:val="20"/>
          <w:szCs w:val="20"/>
        </w:rPr>
        <w:lastRenderedPageBreak/>
        <w:t>The petitioner alleged that, on the same day of the facts, March 10, 2003, the suspect for the murder was allegedly admitted to the Coatepeque National Hospital with a series of wounds. Family members, friends, students and neighbors that were in the premises</w:t>
      </w:r>
      <w:r w:rsidR="00446C7B" w:rsidRPr="00E74040">
        <w:rPr>
          <w:rFonts w:asciiTheme="majorHAnsi" w:hAnsiTheme="majorHAnsi"/>
          <w:sz w:val="20"/>
          <w:szCs w:val="20"/>
        </w:rPr>
        <w:t xml:space="preserve"> to accompany the victim supposedly recognized the alleged murderer and denounced him to the Sub-Chief of the National Police and the Assistant Prosecutor of the Office of the Prosecutor, who were present there. According to the petitioner, </w:t>
      </w:r>
      <w:r w:rsidR="00731492" w:rsidRPr="00E74040">
        <w:rPr>
          <w:rFonts w:asciiTheme="majorHAnsi" w:hAnsiTheme="majorHAnsi"/>
          <w:sz w:val="20"/>
          <w:szCs w:val="20"/>
        </w:rPr>
        <w:t>the pre-trial detention and custody of the suspect was allegedly requested, to which the authorities supposedly replied that “everything was under control”. The Assistant Prosecutor allegedly took statements from three witnesses that were in the hospital, who supposedly reiterated that the suspect had been admitted to that same hospital and pointed to the room where he was supposedly located. Despite these alleged warnings to the authorities in relation to the presence of the possible author of the homicide in the hospital, he was allegedly able to flee. In relation to this point, the petitioner states that the agents of the State who were present at the hospital were able to and should have detained the suspect, on the basis of article 257 of the Code of Criminal Procedure, which establishes that “the police must detain anyone who is surprised in the flagrant commission of a crime o</w:t>
      </w:r>
      <w:r w:rsidR="00B01DDC" w:rsidRPr="00E74040">
        <w:rPr>
          <w:rFonts w:asciiTheme="majorHAnsi" w:hAnsiTheme="majorHAnsi"/>
          <w:sz w:val="20"/>
          <w:szCs w:val="20"/>
        </w:rPr>
        <w:t>r</w:t>
      </w:r>
      <w:r w:rsidR="00731492" w:rsidRPr="00E74040">
        <w:rPr>
          <w:rFonts w:asciiTheme="majorHAnsi" w:hAnsiTheme="majorHAnsi"/>
          <w:sz w:val="20"/>
          <w:szCs w:val="20"/>
        </w:rPr>
        <w:t xml:space="preserve"> who is chased down immediately after the commission of a punishable act”.</w:t>
      </w:r>
    </w:p>
    <w:p w14:paraId="61027B73" w14:textId="77777777" w:rsidR="00731492" w:rsidRPr="00E74040" w:rsidRDefault="00731492"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p>
    <w:p w14:paraId="3746DEB1" w14:textId="77777777" w:rsidR="00731492" w:rsidRPr="00E74040" w:rsidRDefault="00731492"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E74040">
        <w:rPr>
          <w:rFonts w:asciiTheme="majorHAnsi" w:hAnsiTheme="majorHAnsi"/>
          <w:sz w:val="20"/>
          <w:szCs w:val="20"/>
        </w:rPr>
        <w:t xml:space="preserve">The petitioner pointed out that there allegedly had been irregularities in the documents pertaining to the admission of the possible author of the crime to the hospital, supposedly including that two different times, two different names and two different addresses had been recorded for the admission of the patient. According to the petitioner, the reason for such inconsistencies was to allegedly hinder or make harder the apprehension of the suspect. </w:t>
      </w:r>
      <w:r w:rsidR="009708C5" w:rsidRPr="00E74040">
        <w:rPr>
          <w:rFonts w:asciiTheme="majorHAnsi" w:hAnsiTheme="majorHAnsi"/>
          <w:sz w:val="20"/>
          <w:szCs w:val="20"/>
        </w:rPr>
        <w:t>Additionally, the petitioner informed that said individual was allegedly last been located in Mexico, apparently with the intent to travel to the United States of America.</w:t>
      </w:r>
    </w:p>
    <w:p w14:paraId="34DA0611" w14:textId="77777777" w:rsidR="00AB1665" w:rsidRPr="00E74040" w:rsidRDefault="00AB1665"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p>
    <w:p w14:paraId="2B2784E2" w14:textId="77777777" w:rsidR="009708C5" w:rsidRPr="00E74040" w:rsidRDefault="009708C5"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E74040">
        <w:rPr>
          <w:rFonts w:asciiTheme="majorHAnsi" w:hAnsiTheme="majorHAnsi"/>
          <w:sz w:val="20"/>
          <w:szCs w:val="20"/>
        </w:rPr>
        <w:t xml:space="preserve">The petitioner alleged that the investigation of the murder of his son, identified under the number 1200-03 in the Court of First Instance for Criminal Matters and Crimes against the Environment of the Municipality of Coatepeque, had supposedly been plagued by irregularities, including frequent changes in the assistant prosecutors in charge of the investigation; the lack of timely inspection of the scene of the crime; the fact that the </w:t>
      </w:r>
      <w:r w:rsidR="005046E1" w:rsidRPr="00E74040">
        <w:rPr>
          <w:rFonts w:asciiTheme="majorHAnsi" w:hAnsiTheme="majorHAnsi"/>
          <w:sz w:val="20"/>
          <w:szCs w:val="20"/>
        </w:rPr>
        <w:t>arrest warrant</w:t>
      </w:r>
      <w:r w:rsidRPr="00E74040">
        <w:rPr>
          <w:rFonts w:asciiTheme="majorHAnsi" w:hAnsiTheme="majorHAnsi"/>
          <w:sz w:val="20"/>
          <w:szCs w:val="20"/>
        </w:rPr>
        <w:t xml:space="preserve"> of the suspect of the murder was supposedly issued on March 19, 2003, but could not be carried out because the alleged murdered had supposedly fled; the existence of procedures with false information, and; the lack of investigation of the government officials whose conduct supposedly facilitated the escape of the alleged murderer and of the alleged negligence in relation to the medical treatment that his son supposedly had received. Additionally, the petitioner pointed out that, in the face of the lack of investigation at the scene of the crime by police personnel, the murder weapon was supposedly found by family members of Richard Conrad and later delivered to the authorities.</w:t>
      </w:r>
    </w:p>
    <w:p w14:paraId="26218940" w14:textId="77777777" w:rsidR="009708C5" w:rsidRPr="00E74040" w:rsidRDefault="009708C5"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p>
    <w:p w14:paraId="6F9B2A19" w14:textId="77777777" w:rsidR="00AB1665" w:rsidRPr="00E74040" w:rsidRDefault="0037573B"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E74040">
        <w:rPr>
          <w:rFonts w:asciiTheme="majorHAnsi" w:hAnsiTheme="majorHAnsi"/>
          <w:sz w:val="20"/>
          <w:szCs w:val="20"/>
        </w:rPr>
        <w:t xml:space="preserve"> </w:t>
      </w:r>
      <w:r w:rsidR="005046E1" w:rsidRPr="00E74040">
        <w:rPr>
          <w:rFonts w:asciiTheme="majorHAnsi" w:hAnsiTheme="majorHAnsi"/>
          <w:sz w:val="20"/>
          <w:szCs w:val="20"/>
        </w:rPr>
        <w:t>The petitioner pointed out that, on January 22, 2004, he allegedly filed a criminal complaint for the crimes of denial of justice and concealment before the Court of First Instance for Criminal Matters and Crimes against the Environment of the Municipality of Coatepeque, against the Office of the Prosecutor and the officer and the Sub-Chief of the National Civil Police, who were allegedly present in the hospital during the night of the events. Said complaint was allegedly admitted, processed and eventually dismissed as the court considered that the agents of the State had acted lawfully.</w:t>
      </w:r>
    </w:p>
    <w:p w14:paraId="2EAAF6B9" w14:textId="77777777" w:rsidR="005046E1" w:rsidRPr="00E74040" w:rsidRDefault="005046E1" w:rsidP="00E74040">
      <w:pPr>
        <w:pStyle w:val="ListParagraph"/>
        <w:ind w:left="0" w:firstLine="720"/>
        <w:rPr>
          <w:rFonts w:asciiTheme="majorHAnsi" w:hAnsiTheme="majorHAnsi"/>
          <w:sz w:val="20"/>
          <w:szCs w:val="20"/>
        </w:rPr>
      </w:pPr>
    </w:p>
    <w:p w14:paraId="6FC7D193" w14:textId="5491A838" w:rsidR="005046E1" w:rsidRDefault="005046E1"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E74040">
        <w:rPr>
          <w:rFonts w:asciiTheme="majorHAnsi" w:hAnsiTheme="majorHAnsi"/>
          <w:sz w:val="20"/>
          <w:szCs w:val="20"/>
        </w:rPr>
        <w:t>According to the petitioner, he allegedly filed another complaint for corruption and concealment before the Corruption Department of the Office of the Prosecutor, at the beginning of 2005, against the government officials mentioned in the preceding paragraph. Said complain</w:t>
      </w:r>
      <w:r w:rsidR="00B01DDC" w:rsidRPr="00E74040">
        <w:rPr>
          <w:rFonts w:asciiTheme="majorHAnsi" w:hAnsiTheme="majorHAnsi"/>
          <w:sz w:val="20"/>
          <w:szCs w:val="20"/>
        </w:rPr>
        <w:t>t</w:t>
      </w:r>
      <w:r w:rsidRPr="00E74040">
        <w:rPr>
          <w:rFonts w:asciiTheme="majorHAnsi" w:hAnsiTheme="majorHAnsi"/>
          <w:sz w:val="20"/>
          <w:szCs w:val="20"/>
        </w:rPr>
        <w:t xml:space="preserve"> was allegedly declared as justified and sent to the General Supervision of the Office of the Prosecutor to continue the procedure, under file number 4-2005. The petitioner provided a report from the General Supervision of the Office of the Prosecutor, dated February 2, 2005, allegedly concluding that the delay in the issuance of the arrest warrant, despite the identity of the alleged perpetrator being supposedly known during the same night of the facts, had allegedly contributed to his escape and therefore supposedly recommending the start of disciplinary proceedings against the agents involved.</w:t>
      </w:r>
      <w:r w:rsidR="0084200F" w:rsidRPr="00E74040">
        <w:rPr>
          <w:rFonts w:asciiTheme="majorHAnsi" w:hAnsiTheme="majorHAnsi"/>
          <w:sz w:val="20"/>
          <w:szCs w:val="20"/>
        </w:rPr>
        <w:t xml:space="preserve"> However, at the date in which the petition was filed, there </w:t>
      </w:r>
      <w:r w:rsidR="004747C9">
        <w:rPr>
          <w:rFonts w:asciiTheme="majorHAnsi" w:hAnsiTheme="majorHAnsi"/>
          <w:sz w:val="20"/>
          <w:szCs w:val="20"/>
        </w:rPr>
        <w:t xml:space="preserve">had not been any </w:t>
      </w:r>
      <w:r w:rsidR="0084200F" w:rsidRPr="00E74040">
        <w:rPr>
          <w:rFonts w:asciiTheme="majorHAnsi" w:hAnsiTheme="majorHAnsi"/>
          <w:sz w:val="20"/>
          <w:szCs w:val="20"/>
        </w:rPr>
        <w:t>criminal or disciplinary sanctions in connection with the facts of the case.</w:t>
      </w:r>
    </w:p>
    <w:p w14:paraId="1411094F" w14:textId="1811DF92" w:rsidR="003369B3" w:rsidRDefault="003369B3" w:rsidP="003369B3">
      <w:pPr>
        <w:pStyle w:val="ListParagraph"/>
        <w:rPr>
          <w:rFonts w:asciiTheme="majorHAnsi" w:hAnsiTheme="majorHAnsi"/>
          <w:sz w:val="20"/>
          <w:szCs w:val="20"/>
        </w:rPr>
      </w:pPr>
    </w:p>
    <w:p w14:paraId="00BA90DA" w14:textId="0FD540CC" w:rsidR="003369B3" w:rsidRDefault="003369B3" w:rsidP="003369B3">
      <w:pPr>
        <w:pStyle w:val="ListParagraph"/>
        <w:rPr>
          <w:rFonts w:asciiTheme="majorHAnsi" w:hAnsiTheme="majorHAnsi"/>
          <w:sz w:val="20"/>
          <w:szCs w:val="20"/>
        </w:rPr>
      </w:pPr>
    </w:p>
    <w:p w14:paraId="03237C00" w14:textId="2F797914" w:rsidR="003369B3" w:rsidRDefault="003369B3" w:rsidP="003369B3">
      <w:pPr>
        <w:pStyle w:val="ListParagraph"/>
        <w:rPr>
          <w:rFonts w:asciiTheme="majorHAnsi" w:hAnsiTheme="majorHAnsi"/>
          <w:sz w:val="20"/>
          <w:szCs w:val="20"/>
        </w:rPr>
      </w:pPr>
    </w:p>
    <w:p w14:paraId="6226B407" w14:textId="77777777" w:rsidR="003369B3" w:rsidRPr="003369B3" w:rsidRDefault="003369B3" w:rsidP="003369B3">
      <w:pPr>
        <w:pStyle w:val="ListParagraph"/>
        <w:rPr>
          <w:rFonts w:asciiTheme="majorHAnsi" w:hAnsiTheme="majorHAnsi"/>
          <w:sz w:val="20"/>
          <w:szCs w:val="20"/>
        </w:rPr>
      </w:pPr>
    </w:p>
    <w:p w14:paraId="5F34F15E" w14:textId="75BE31CC" w:rsidR="00AC6E5E" w:rsidRDefault="0084200F" w:rsidP="00E740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E74040">
        <w:rPr>
          <w:rFonts w:asciiTheme="majorHAnsi" w:eastAsia="MS Mincho" w:hAnsiTheme="majorHAnsi"/>
          <w:b/>
          <w:sz w:val="20"/>
          <w:szCs w:val="20"/>
          <w:lang w:val="es-ES"/>
        </w:rPr>
        <w:lastRenderedPageBreak/>
        <w:t>FRIENDLY SETTLEMENT</w:t>
      </w:r>
    </w:p>
    <w:p w14:paraId="1C8965AF" w14:textId="77777777" w:rsidR="003369B3" w:rsidRPr="00E74040" w:rsidRDefault="003369B3" w:rsidP="003369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lang w:val="es-ES"/>
        </w:rPr>
      </w:pPr>
    </w:p>
    <w:p w14:paraId="18B76A4D" w14:textId="6798F3C5" w:rsidR="00A75114" w:rsidRPr="00E74040" w:rsidRDefault="0084200F"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E74040">
        <w:rPr>
          <w:rFonts w:asciiTheme="majorHAnsi" w:eastAsia="Times New Roman" w:hAnsiTheme="majorHAnsi"/>
          <w:sz w:val="20"/>
          <w:szCs w:val="20"/>
          <w:bdr w:val="none" w:sz="0" w:space="0" w:color="auto"/>
        </w:rPr>
        <w:t>On December 17, 2011, the parties held a working meeting at the Quetzaltenango Department, Guatemala. In the framework of sa</w:t>
      </w:r>
      <w:r w:rsidR="00B01DDC" w:rsidRPr="00E74040">
        <w:rPr>
          <w:rFonts w:asciiTheme="majorHAnsi" w:eastAsia="Times New Roman" w:hAnsiTheme="majorHAnsi"/>
          <w:sz w:val="20"/>
          <w:szCs w:val="20"/>
          <w:bdr w:val="none" w:sz="0" w:space="0" w:color="auto"/>
        </w:rPr>
        <w:t>i</w:t>
      </w:r>
      <w:r w:rsidRPr="00E74040">
        <w:rPr>
          <w:rFonts w:asciiTheme="majorHAnsi" w:eastAsia="Times New Roman" w:hAnsiTheme="majorHAnsi"/>
          <w:sz w:val="20"/>
          <w:szCs w:val="20"/>
          <w:bdr w:val="none" w:sz="0" w:space="0" w:color="auto"/>
        </w:rPr>
        <w:t>d meeting, the parties signed a friendly settlement agreement on the following terms</w:t>
      </w:r>
      <w:r w:rsidR="00AC6E5E" w:rsidRPr="00E74040">
        <w:rPr>
          <w:rFonts w:asciiTheme="majorHAnsi" w:eastAsia="Times New Roman" w:hAnsiTheme="majorHAnsi"/>
          <w:sz w:val="20"/>
          <w:szCs w:val="20"/>
        </w:rPr>
        <w:t>:</w:t>
      </w:r>
    </w:p>
    <w:p w14:paraId="4F75C8D0" w14:textId="77777777" w:rsidR="00A75114" w:rsidRPr="00E74040" w:rsidRDefault="00A75114" w:rsidP="00E74040">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74A5C048" w14:textId="77777777" w:rsidR="00BA00CC" w:rsidRPr="00E74040" w:rsidRDefault="0084200F"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r w:rsidRPr="00E74040">
        <w:rPr>
          <w:rFonts w:asciiTheme="majorHAnsi" w:eastAsia="MS Mincho" w:hAnsiTheme="majorHAnsi"/>
          <w:b/>
          <w:sz w:val="20"/>
          <w:szCs w:val="20"/>
        </w:rPr>
        <w:t>FRIENDLY SETTLEMENT AGREEMENT</w:t>
      </w:r>
      <w:r w:rsidR="009C5C94" w:rsidRPr="00E74040">
        <w:rPr>
          <w:rStyle w:val="FootnoteReference"/>
          <w:rFonts w:asciiTheme="majorHAnsi" w:eastAsia="MS Mincho" w:hAnsiTheme="majorHAnsi"/>
          <w:b/>
          <w:sz w:val="20"/>
          <w:szCs w:val="20"/>
          <w:lang w:val="es-AR"/>
        </w:rPr>
        <w:footnoteReference w:id="3"/>
      </w:r>
    </w:p>
    <w:p w14:paraId="15CE7981" w14:textId="1CCA33B5" w:rsidR="00E3436C" w:rsidRPr="00E74040" w:rsidRDefault="00E3436C"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r w:rsidRPr="00E74040">
        <w:rPr>
          <w:rFonts w:asciiTheme="majorHAnsi" w:eastAsia="MS Mincho" w:hAnsiTheme="majorHAnsi"/>
          <w:b/>
          <w:sz w:val="20"/>
          <w:szCs w:val="20"/>
        </w:rPr>
        <w:t>CAS</w:t>
      </w:r>
      <w:r w:rsidR="0084200F" w:rsidRPr="00E74040">
        <w:rPr>
          <w:rFonts w:asciiTheme="majorHAnsi" w:eastAsia="MS Mincho" w:hAnsiTheme="majorHAnsi"/>
          <w:b/>
          <w:sz w:val="20"/>
          <w:szCs w:val="20"/>
        </w:rPr>
        <w:t>E</w:t>
      </w:r>
      <w:r w:rsidRPr="00E74040">
        <w:rPr>
          <w:rFonts w:asciiTheme="majorHAnsi" w:eastAsia="MS Mincho" w:hAnsiTheme="majorHAnsi"/>
          <w:b/>
          <w:sz w:val="20"/>
          <w:szCs w:val="20"/>
        </w:rPr>
        <w:t xml:space="preserve"> 12.732 RIC</w:t>
      </w:r>
      <w:r w:rsidR="00A75114" w:rsidRPr="00E74040">
        <w:rPr>
          <w:rFonts w:asciiTheme="majorHAnsi" w:eastAsia="MS Mincho" w:hAnsiTheme="majorHAnsi"/>
          <w:b/>
          <w:sz w:val="20"/>
          <w:szCs w:val="20"/>
        </w:rPr>
        <w:t>HARD CONRAD SOLÓRZANO CONTRERAS</w:t>
      </w:r>
    </w:p>
    <w:p w14:paraId="142E6506" w14:textId="77777777" w:rsidR="00E74040" w:rsidRPr="00E74040" w:rsidRDefault="00E74040"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p>
    <w:p w14:paraId="2D17FA58" w14:textId="0BA5AA9C" w:rsidR="00E3436C" w:rsidRPr="00E74040" w:rsidRDefault="0084200F" w:rsidP="00E7404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rPr>
      </w:pPr>
      <w:r w:rsidRPr="00E74040">
        <w:rPr>
          <w:rFonts w:asciiTheme="majorHAnsi" w:eastAsia="MS Mincho" w:hAnsiTheme="majorHAnsi"/>
          <w:b/>
          <w:sz w:val="20"/>
          <w:szCs w:val="20"/>
        </w:rPr>
        <w:t>PERSONS APPEARING</w:t>
      </w:r>
    </w:p>
    <w:p w14:paraId="3652E4E0" w14:textId="77777777" w:rsidR="00E74040" w:rsidRPr="00E74040" w:rsidRDefault="00E74040"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rPr>
          <w:rFonts w:asciiTheme="majorHAnsi" w:eastAsia="MS Mincho" w:hAnsiTheme="majorHAnsi"/>
          <w:b/>
          <w:sz w:val="20"/>
          <w:szCs w:val="20"/>
        </w:rPr>
      </w:pPr>
    </w:p>
    <w:p w14:paraId="0BEBC974" w14:textId="3AEEB4A4" w:rsidR="0084200F" w:rsidRDefault="0084200F"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The State of Guatemala appears, through the Presidential Commission Coordinating the Executive Policy on Human Righ</w:t>
      </w:r>
      <w:r w:rsidR="00B01DDC" w:rsidRPr="00E74040">
        <w:rPr>
          <w:rFonts w:asciiTheme="majorHAnsi" w:eastAsia="MS Mincho" w:hAnsiTheme="majorHAnsi"/>
          <w:sz w:val="20"/>
          <w:szCs w:val="20"/>
        </w:rPr>
        <w:t>t</w:t>
      </w:r>
      <w:r w:rsidRPr="00E74040">
        <w:rPr>
          <w:rFonts w:asciiTheme="majorHAnsi" w:eastAsia="MS Mincho" w:hAnsiTheme="majorHAnsi"/>
          <w:sz w:val="20"/>
          <w:szCs w:val="20"/>
        </w:rPr>
        <w:t xml:space="preserve">s (COPREDEH), represented by its President Dora Ruth del Valle </w:t>
      </w:r>
      <w:proofErr w:type="spellStart"/>
      <w:r w:rsidRPr="00E74040">
        <w:rPr>
          <w:rFonts w:asciiTheme="majorHAnsi" w:eastAsia="MS Mincho" w:hAnsiTheme="majorHAnsi"/>
          <w:sz w:val="20"/>
          <w:szCs w:val="20"/>
        </w:rPr>
        <w:t>Cóbar</w:t>
      </w:r>
      <w:proofErr w:type="spellEnd"/>
      <w:r w:rsidRPr="00E74040">
        <w:rPr>
          <w:rFonts w:asciiTheme="majorHAnsi" w:eastAsia="MS Mincho" w:hAnsiTheme="majorHAnsi"/>
          <w:sz w:val="20"/>
          <w:szCs w:val="20"/>
        </w:rPr>
        <w:t xml:space="preserve">, a position she proves with the Governmental Appointment Agreement Number forty eight (48) dated January 30, 2008, and minutes of the taking of office of the position number seven dash two thousand and eight (7-2008), registered in the official book of records number thirty eight thousand seven hundred and sixty two (38762) of the COPREDEH, authorized by the Comptroller General of Accounts of the Nation; Attorney </w:t>
      </w:r>
      <w:proofErr w:type="spellStart"/>
      <w:r w:rsidRPr="00E74040">
        <w:rPr>
          <w:rFonts w:asciiTheme="majorHAnsi" w:eastAsia="MS Mincho" w:hAnsiTheme="majorHAnsi"/>
          <w:sz w:val="20"/>
          <w:szCs w:val="20"/>
        </w:rPr>
        <w:t>Enma</w:t>
      </w:r>
      <w:proofErr w:type="spellEnd"/>
      <w:r w:rsidRPr="00E74040">
        <w:rPr>
          <w:rFonts w:asciiTheme="majorHAnsi" w:eastAsia="MS Mincho" w:hAnsiTheme="majorHAnsi"/>
          <w:sz w:val="20"/>
          <w:szCs w:val="20"/>
        </w:rPr>
        <w:t xml:space="preserve"> Estela Hernández </w:t>
      </w:r>
      <w:proofErr w:type="spellStart"/>
      <w:r w:rsidRPr="00E74040">
        <w:rPr>
          <w:rFonts w:asciiTheme="majorHAnsi" w:eastAsia="MS Mincho" w:hAnsiTheme="majorHAnsi"/>
          <w:sz w:val="20"/>
          <w:szCs w:val="20"/>
        </w:rPr>
        <w:t>Tuy</w:t>
      </w:r>
      <w:proofErr w:type="spellEnd"/>
      <w:r w:rsidRPr="00E74040">
        <w:rPr>
          <w:rFonts w:asciiTheme="majorHAnsi" w:eastAsia="MS Mincho" w:hAnsiTheme="majorHAnsi"/>
          <w:sz w:val="20"/>
          <w:szCs w:val="20"/>
        </w:rPr>
        <w:t xml:space="preserve"> de </w:t>
      </w:r>
      <w:proofErr w:type="spellStart"/>
      <w:r w:rsidRPr="00E74040">
        <w:rPr>
          <w:rFonts w:asciiTheme="majorHAnsi" w:eastAsia="MS Mincho" w:hAnsiTheme="majorHAnsi"/>
          <w:sz w:val="20"/>
          <w:szCs w:val="20"/>
        </w:rPr>
        <w:t>Iboy</w:t>
      </w:r>
      <w:proofErr w:type="spellEnd"/>
      <w:r w:rsidR="00EE2DDB" w:rsidRPr="00E74040">
        <w:rPr>
          <w:rFonts w:asciiTheme="majorHAnsi" w:eastAsia="MS Mincho" w:hAnsiTheme="majorHAnsi"/>
          <w:sz w:val="20"/>
          <w:szCs w:val="20"/>
        </w:rPr>
        <w:t>, Legal Advisor to the Department for the Follow-up of International Human Rights Cases of said body, acting in the exercise of the Special Mandate with Representation conferred in her favor by the Attorney General of the Nation, to follow-up and carry out the pertinent procedures in the negotiation and subscription process of this agreement, as recorded in Public Deed number one hundred and seventy (170) authorized in Guatemala City on June 1, 2010 by the Notary of Chamber and Government, which it is registered with the number one hundred ninety-seven thousand three hundred twenty-three indent E (197323-E) of the electronic register of Powers of the General Archive of Protocols of the Supreme Court of Justice; and for the petitioner, Mr. Mario Conrado Solórzano Puac, fifty-six years old, married, Guatemalan, nurse, from this domicile, who identifies</w:t>
      </w:r>
      <w:r w:rsidR="007B6E13" w:rsidRPr="00E74040">
        <w:rPr>
          <w:rFonts w:asciiTheme="majorHAnsi" w:eastAsia="MS Mincho" w:hAnsiTheme="majorHAnsi"/>
          <w:sz w:val="20"/>
          <w:szCs w:val="20"/>
        </w:rPr>
        <w:t xml:space="preserve"> himself</w:t>
      </w:r>
      <w:r w:rsidR="00EE2DDB" w:rsidRPr="00E74040">
        <w:rPr>
          <w:rFonts w:asciiTheme="majorHAnsi" w:eastAsia="MS Mincho" w:hAnsiTheme="majorHAnsi"/>
          <w:sz w:val="20"/>
          <w:szCs w:val="20"/>
        </w:rPr>
        <w:t xml:space="preserve"> with a neighborhood identity card number […], </w:t>
      </w:r>
      <w:r w:rsidR="007B6E13" w:rsidRPr="00E74040">
        <w:rPr>
          <w:rFonts w:asciiTheme="majorHAnsi" w:eastAsia="MS Mincho" w:hAnsiTheme="majorHAnsi"/>
          <w:sz w:val="20"/>
          <w:szCs w:val="20"/>
        </w:rPr>
        <w:t xml:space="preserve">issued </w:t>
      </w:r>
      <w:r w:rsidR="00EE2DDB" w:rsidRPr="00E74040">
        <w:rPr>
          <w:rFonts w:asciiTheme="majorHAnsi" w:eastAsia="MS Mincho" w:hAnsiTheme="majorHAnsi"/>
          <w:sz w:val="20"/>
          <w:szCs w:val="20"/>
        </w:rPr>
        <w:t>by the Municipal Mayor from Coatepeque, department of Quetzaltenango.</w:t>
      </w:r>
    </w:p>
    <w:p w14:paraId="7294D131" w14:textId="77777777" w:rsidR="004747C9" w:rsidRPr="00E74040" w:rsidRDefault="004747C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6F9C258E" w14:textId="77777777" w:rsidR="008F5061" w:rsidRPr="00E74040" w:rsidRDefault="007B6E13"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 xml:space="preserve">They appear in the present act for the purposes of adopting the FRIENDLY SETTLEMENT AGREEMENT in the Case 12.732 RICHARD CONRAD SOLÓRZANO CONTRERAS, in accordance with article (40) of the Rules of Procedure of the Inter-American Commission on Human Rights and the rights enshrined in the American Convention on Human Rights. According to the Admissibility Report No. 103/09, dated October 29, 2009, and in accordance with article 37(2) of the Rules of Procedure of the IACHR, petition </w:t>
      </w:r>
      <w:proofErr w:type="gramStart"/>
      <w:r w:rsidRPr="00E74040">
        <w:rPr>
          <w:rFonts w:asciiTheme="majorHAnsi" w:eastAsia="MS Mincho" w:hAnsiTheme="majorHAnsi"/>
          <w:sz w:val="20"/>
          <w:szCs w:val="20"/>
        </w:rPr>
        <w:t>No</w:t>
      </w:r>
      <w:proofErr w:type="gramEnd"/>
      <w:r w:rsidRPr="00E74040">
        <w:rPr>
          <w:rFonts w:asciiTheme="majorHAnsi" w:eastAsia="MS Mincho" w:hAnsiTheme="majorHAnsi"/>
          <w:sz w:val="20"/>
          <w:szCs w:val="20"/>
        </w:rPr>
        <w:t xml:space="preserve">. P 581-03 was admitted and recorded before said high international body with the case number 12.732 </w:t>
      </w:r>
      <w:r w:rsidR="00E17AE1" w:rsidRPr="00E74040">
        <w:rPr>
          <w:rFonts w:asciiTheme="majorHAnsi" w:eastAsia="MS Mincho" w:hAnsiTheme="majorHAnsi"/>
          <w:sz w:val="20"/>
          <w:szCs w:val="20"/>
        </w:rPr>
        <w:t xml:space="preserve">Richard Conrad Solórzano Contreras. </w:t>
      </w:r>
    </w:p>
    <w:p w14:paraId="54599E30" w14:textId="77777777" w:rsidR="008F5061" w:rsidRPr="00E74040" w:rsidRDefault="008F5061"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r w:rsidRPr="00E74040">
        <w:rPr>
          <w:rFonts w:asciiTheme="majorHAnsi" w:eastAsia="MS Mincho" w:hAnsiTheme="majorHAnsi"/>
          <w:b/>
          <w:sz w:val="20"/>
          <w:szCs w:val="20"/>
        </w:rPr>
        <w:t>II</w:t>
      </w:r>
      <w:r w:rsidR="009C5C94" w:rsidRPr="00E74040">
        <w:rPr>
          <w:rFonts w:asciiTheme="majorHAnsi" w:eastAsia="MS Mincho" w:hAnsiTheme="majorHAnsi"/>
          <w:b/>
          <w:sz w:val="20"/>
          <w:szCs w:val="20"/>
        </w:rPr>
        <w:t xml:space="preserve">. </w:t>
      </w:r>
      <w:r w:rsidR="007B6E13" w:rsidRPr="00E74040">
        <w:rPr>
          <w:rFonts w:asciiTheme="majorHAnsi" w:eastAsia="MS Mincho" w:hAnsiTheme="majorHAnsi"/>
          <w:b/>
          <w:sz w:val="20"/>
          <w:szCs w:val="20"/>
        </w:rPr>
        <w:t>BACKGROUND</w:t>
      </w:r>
    </w:p>
    <w:p w14:paraId="0D167CF8" w14:textId="77777777" w:rsidR="000D3C78" w:rsidRPr="00E74040" w:rsidRDefault="000D3C78"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p>
    <w:p w14:paraId="32C4EE4B" w14:textId="0D64AA29" w:rsidR="008F5061" w:rsidRDefault="007B6E13"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 xml:space="preserve">On July 14, 2004, the Inter-American Commission on Human Rights IACHR, received a petition filed by Mr. Mario Conrado Solórzano Puac in which he alleged international responsibility against the State of Guatemala for the lack of due diligence in the investigation, alleged negligence and concealment by agents of the State in the criminal proceedings established over the murder </w:t>
      </w:r>
      <w:r w:rsidR="00AC26B1" w:rsidRPr="00E74040">
        <w:rPr>
          <w:rFonts w:asciiTheme="majorHAnsi" w:eastAsia="MS Mincho" w:hAnsiTheme="majorHAnsi"/>
          <w:sz w:val="20"/>
          <w:szCs w:val="20"/>
        </w:rPr>
        <w:t>of his son Richard Conrad Solórzano Contreras, of 16 years of age, that took place on March 10, 2003, as well as the alleged lack of adequate medical care in the time immediately prior to his death while he was hospitalized.</w:t>
      </w:r>
    </w:p>
    <w:p w14:paraId="7897ADA6" w14:textId="77777777" w:rsidR="004747C9" w:rsidRPr="00E74040" w:rsidRDefault="004747C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47F66F90" w14:textId="3177C9E3" w:rsidR="00AC26B1" w:rsidRDefault="00AC26B1"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The petitioner pointed out that the State did not exercise due diligence in investigating the murder of his son, an act that was carried out by a private person and, in that way, the State denied him of justice and left this crime unpunished.</w:t>
      </w:r>
    </w:p>
    <w:p w14:paraId="5B88D750" w14:textId="77777777" w:rsidR="004747C9" w:rsidRPr="00E74040" w:rsidRDefault="004747C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5422C99E" w14:textId="388B99C3" w:rsidR="00AC26B1" w:rsidRDefault="00AC26B1"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4747C9">
        <w:rPr>
          <w:rFonts w:asciiTheme="majorHAnsi" w:eastAsia="MS Mincho" w:hAnsiTheme="majorHAnsi"/>
          <w:sz w:val="20"/>
          <w:szCs w:val="20"/>
        </w:rPr>
        <w:lastRenderedPageBreak/>
        <w:t>He pointed out that, in the initial phases of the investigation, police and justice authorities did not act, thereby allowing the alleged author to flee.</w:t>
      </w:r>
    </w:p>
    <w:p w14:paraId="5E96AFD8" w14:textId="77777777" w:rsidR="004747C9" w:rsidRPr="00E74040" w:rsidRDefault="004747C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559D983A" w14:textId="734301F0" w:rsidR="00AC26B1" w:rsidRDefault="00AC26B1"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 xml:space="preserve">He also claimed that certain authorities took part in actions aimed at concealing the responsibility and whereabouts of the alleged author. He claimed that the medical personnel that received his wounded son where he died shortly thereafter did not provide him </w:t>
      </w:r>
      <w:r w:rsidR="00B01DDC" w:rsidRPr="00E74040">
        <w:rPr>
          <w:rFonts w:asciiTheme="majorHAnsi" w:eastAsia="MS Mincho" w:hAnsiTheme="majorHAnsi"/>
          <w:sz w:val="20"/>
          <w:szCs w:val="20"/>
        </w:rPr>
        <w:t xml:space="preserve">with </w:t>
      </w:r>
      <w:r w:rsidRPr="00E74040">
        <w:rPr>
          <w:rFonts w:asciiTheme="majorHAnsi" w:eastAsia="MS Mincho" w:hAnsiTheme="majorHAnsi"/>
          <w:sz w:val="20"/>
          <w:szCs w:val="20"/>
        </w:rPr>
        <w:t>the required</w:t>
      </w:r>
      <w:r w:rsidR="00B01DDC" w:rsidRPr="00E74040">
        <w:rPr>
          <w:rFonts w:asciiTheme="majorHAnsi" w:eastAsia="MS Mincho" w:hAnsiTheme="majorHAnsi"/>
          <w:sz w:val="20"/>
          <w:szCs w:val="20"/>
        </w:rPr>
        <w:t xml:space="preserve"> medical attention</w:t>
      </w:r>
      <w:r w:rsidRPr="00E74040">
        <w:rPr>
          <w:rFonts w:asciiTheme="majorHAnsi" w:eastAsia="MS Mincho" w:hAnsiTheme="majorHAnsi"/>
          <w:sz w:val="20"/>
          <w:szCs w:val="20"/>
        </w:rPr>
        <w:t>. In relation to the admissibility requirements, he alleged that domestic jurisdictional remedies had been exhausted.</w:t>
      </w:r>
    </w:p>
    <w:p w14:paraId="6CAE4121" w14:textId="77777777" w:rsidR="004747C9" w:rsidRPr="00E74040" w:rsidRDefault="004747C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19E5BD24" w14:textId="0158A69F" w:rsidR="00F61A31" w:rsidRDefault="00AC26B1"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On November 20, 2009, the IACHR informed the State that, in examining petition 581-03 during its 137° period of sessions, it approved the Admissibility Report No. 103/09 and place itself at the disposal of the parties for the purposes of arriving at a friendly settlement of the matter, in accordance with article 48 (1) (f) of the American Convention on Human Rights.</w:t>
      </w:r>
    </w:p>
    <w:p w14:paraId="40FCDA43" w14:textId="77777777" w:rsidR="004747C9" w:rsidRPr="00E74040" w:rsidRDefault="004747C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1D95E047" w14:textId="67121F88" w:rsidR="00AC26B1" w:rsidRDefault="00AC26B1"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 xml:space="preserve">On December 30, 2009, the IACHR </w:t>
      </w:r>
      <w:r w:rsidR="00557F5E" w:rsidRPr="00E74040">
        <w:rPr>
          <w:rFonts w:asciiTheme="majorHAnsi" w:eastAsia="MS Mincho" w:hAnsiTheme="majorHAnsi"/>
          <w:sz w:val="20"/>
          <w:szCs w:val="20"/>
        </w:rPr>
        <w:t>sent the State information that had been furnished by the petitioner, requesting it to present its timely observations with regards to the possibility of pursuing a friendly settlement.</w:t>
      </w:r>
    </w:p>
    <w:p w14:paraId="3D509CE4" w14:textId="77777777" w:rsidR="004747C9" w:rsidRPr="00E74040" w:rsidRDefault="004747C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19C9C13D" w14:textId="77777777" w:rsidR="0008288D" w:rsidRPr="00E74040" w:rsidRDefault="00557F5E"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In the report from the State dated January 28, 2010, the State informed the IACHR that it had the good will to arrive at a Friendly Settlement with the petitioner, requesting the submission of his proposal through the Inter-American Commission for analysis. By its report dated July 22, 2010, the State reiterated its good will and openness to finding a friendly settlement in the instant case.</w:t>
      </w:r>
    </w:p>
    <w:p w14:paraId="44C45BF9" w14:textId="77777777" w:rsidR="00E74040" w:rsidRPr="00E74040" w:rsidRDefault="00E74040"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p>
    <w:p w14:paraId="6C06F289" w14:textId="500401C2" w:rsidR="006F6DAD" w:rsidRPr="00E74040" w:rsidRDefault="009C5C94"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r w:rsidRPr="00E74040">
        <w:rPr>
          <w:rFonts w:asciiTheme="majorHAnsi" w:eastAsia="MS Mincho" w:hAnsiTheme="majorHAnsi"/>
          <w:b/>
          <w:sz w:val="20"/>
          <w:szCs w:val="20"/>
        </w:rPr>
        <w:t xml:space="preserve">III. </w:t>
      </w:r>
      <w:r w:rsidR="00557F5E" w:rsidRPr="00E74040">
        <w:rPr>
          <w:rFonts w:asciiTheme="majorHAnsi" w:eastAsia="MS Mincho" w:hAnsiTheme="majorHAnsi"/>
          <w:b/>
          <w:sz w:val="20"/>
          <w:szCs w:val="20"/>
        </w:rPr>
        <w:t>LEGAL AND POLITICAL BASIS OF THE STATE OF GUATEMALA WITH REGARDS TO THE PURSUIT OF FRIENDLY SETTLEMENTS</w:t>
      </w:r>
    </w:p>
    <w:p w14:paraId="61936682" w14:textId="77777777" w:rsidR="009C5C94" w:rsidRPr="00E74040" w:rsidRDefault="009C5C94"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p>
    <w:p w14:paraId="6ED06310" w14:textId="115971FC" w:rsidR="00557F5E" w:rsidRPr="00E74040" w:rsidRDefault="00557F5E"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The American Convention on Human Rights establishes in its articles 48, paragraph 1, section f, 49 and 50 the possibility of arriving at a friendly settlement, which must be based on the respect of human rights. For its part, the National Policy on Human Rights in charge of the Presidential Commission Coordinating the Executive Policy on Human Righ</w:t>
      </w:r>
      <w:r w:rsidR="00B01DDC" w:rsidRPr="00E74040">
        <w:rPr>
          <w:rFonts w:asciiTheme="majorHAnsi" w:eastAsia="MS Mincho" w:hAnsiTheme="majorHAnsi"/>
          <w:sz w:val="20"/>
          <w:szCs w:val="20"/>
        </w:rPr>
        <w:t>t</w:t>
      </w:r>
      <w:r w:rsidRPr="00E74040">
        <w:rPr>
          <w:rFonts w:asciiTheme="majorHAnsi" w:eastAsia="MS Mincho" w:hAnsiTheme="majorHAnsi"/>
          <w:sz w:val="20"/>
          <w:szCs w:val="20"/>
        </w:rPr>
        <w:t xml:space="preserve">s (COPREDEH), in force since 2007 and approved by Government Agreement number 552-2007, establishes in its guidelines that “The Government will continue promoting the pursuit of friendly settlements before the Inter-American Commission on Human Rights, </w:t>
      </w:r>
      <w:r w:rsidR="00DF0987" w:rsidRPr="00E74040">
        <w:rPr>
          <w:rFonts w:asciiTheme="majorHAnsi" w:eastAsia="MS Mincho" w:hAnsiTheme="majorHAnsi"/>
          <w:sz w:val="20"/>
          <w:szCs w:val="20"/>
        </w:rPr>
        <w:t>a mechanism that allows combining the efforts of the representatives of the victims, the investigatory bodies of the State and said international instance to drive</w:t>
      </w:r>
      <w:r w:rsidR="001A7243" w:rsidRPr="00E74040">
        <w:rPr>
          <w:rFonts w:asciiTheme="majorHAnsi" w:eastAsia="MS Mincho" w:hAnsiTheme="majorHAnsi"/>
          <w:sz w:val="20"/>
          <w:szCs w:val="20"/>
        </w:rPr>
        <w:t xml:space="preserve"> the resolution of certain particularly serious cases and repair the harm caused by the human rights violation”.</w:t>
      </w:r>
    </w:p>
    <w:p w14:paraId="4BCE608E" w14:textId="77777777" w:rsidR="00E74040" w:rsidRPr="00E74040" w:rsidRDefault="00E74040"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b/>
          <w:sz w:val="20"/>
          <w:szCs w:val="20"/>
        </w:rPr>
      </w:pPr>
    </w:p>
    <w:p w14:paraId="4B7554D9" w14:textId="4EDF84D1" w:rsidR="006F6DAD" w:rsidRPr="00E74040" w:rsidRDefault="001A7243" w:rsidP="00E740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center"/>
        <w:rPr>
          <w:rFonts w:asciiTheme="majorHAnsi" w:eastAsia="MS Mincho" w:hAnsiTheme="majorHAnsi"/>
          <w:b/>
          <w:sz w:val="20"/>
          <w:szCs w:val="20"/>
        </w:rPr>
      </w:pPr>
      <w:r w:rsidRPr="00E74040">
        <w:rPr>
          <w:rFonts w:asciiTheme="majorHAnsi" w:eastAsia="MS Mincho" w:hAnsiTheme="majorHAnsi"/>
          <w:b/>
          <w:sz w:val="20"/>
          <w:szCs w:val="20"/>
        </w:rPr>
        <w:t>COMMITMENTS ASSUMED BY THE STATE OF GUATEMAL</w:t>
      </w:r>
      <w:r w:rsidR="0015257D">
        <w:rPr>
          <w:rFonts w:asciiTheme="majorHAnsi" w:eastAsia="MS Mincho" w:hAnsiTheme="majorHAnsi"/>
          <w:b/>
          <w:sz w:val="20"/>
          <w:szCs w:val="20"/>
        </w:rPr>
        <w:t>A</w:t>
      </w:r>
    </w:p>
    <w:p w14:paraId="6F44E25E" w14:textId="77777777" w:rsidR="001A7243" w:rsidRPr="00E74040" w:rsidRDefault="001A7243"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b/>
          <w:sz w:val="20"/>
          <w:szCs w:val="20"/>
        </w:rPr>
      </w:pPr>
    </w:p>
    <w:p w14:paraId="40AD32AC" w14:textId="5A5AF757" w:rsidR="006F6DAD" w:rsidRPr="00E74040" w:rsidRDefault="001A7243"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MS Mincho" w:hAnsiTheme="majorHAnsi"/>
          <w:sz w:val="20"/>
          <w:szCs w:val="20"/>
        </w:rPr>
      </w:pPr>
      <w:r w:rsidRPr="00E74040">
        <w:rPr>
          <w:rFonts w:asciiTheme="majorHAnsi" w:eastAsia="MS Mincho" w:hAnsiTheme="majorHAnsi"/>
          <w:sz w:val="20"/>
          <w:szCs w:val="20"/>
        </w:rPr>
        <w:t>The State of Guatemala, through this agreement, establishes the following commitments:</w:t>
      </w:r>
    </w:p>
    <w:p w14:paraId="6ECF9873" w14:textId="77777777" w:rsidR="00E74040" w:rsidRPr="00E74040" w:rsidRDefault="00E74040"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MS Mincho" w:hAnsiTheme="majorHAnsi"/>
          <w:sz w:val="20"/>
          <w:szCs w:val="20"/>
        </w:rPr>
      </w:pPr>
    </w:p>
    <w:p w14:paraId="4F7DDA82" w14:textId="55EF0F15" w:rsidR="006F6DAD" w:rsidRPr="00E74040" w:rsidRDefault="001A7243" w:rsidP="00E740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rPr>
      </w:pPr>
      <w:r w:rsidRPr="00E74040">
        <w:rPr>
          <w:rFonts w:asciiTheme="majorHAnsi" w:eastAsia="MS Mincho" w:hAnsiTheme="majorHAnsi"/>
          <w:b/>
          <w:sz w:val="20"/>
          <w:szCs w:val="20"/>
        </w:rPr>
        <w:t>ACKNOWLEDGMENT OF THE FACTS</w:t>
      </w:r>
    </w:p>
    <w:p w14:paraId="2190460A" w14:textId="77777777" w:rsidR="00E74040" w:rsidRPr="00E74040" w:rsidRDefault="00E74040"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rPr>
      </w:pPr>
    </w:p>
    <w:p w14:paraId="2A3487E4" w14:textId="2461CAF7" w:rsidR="001A7243" w:rsidRPr="0015257D" w:rsidRDefault="001A7243" w:rsidP="0015257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ind w:left="720" w:right="720" w:firstLine="0"/>
        <w:jc w:val="both"/>
        <w:rPr>
          <w:rFonts w:asciiTheme="majorHAnsi" w:eastAsia="MS Mincho" w:hAnsiTheme="majorHAnsi"/>
          <w:bCs/>
          <w:sz w:val="20"/>
          <w:szCs w:val="20"/>
        </w:rPr>
      </w:pPr>
      <w:r w:rsidRPr="0015257D">
        <w:rPr>
          <w:rFonts w:asciiTheme="majorHAnsi" w:eastAsia="MS Mincho" w:hAnsiTheme="majorHAnsi"/>
          <w:bCs/>
          <w:sz w:val="20"/>
          <w:szCs w:val="20"/>
        </w:rPr>
        <w:t xml:space="preserve">The State will undertake an act of public acknowledgment of international responsibility and request for forgiveness in the municipality of </w:t>
      </w:r>
      <w:r w:rsidR="0015257D" w:rsidRPr="0015257D">
        <w:rPr>
          <w:rFonts w:asciiTheme="majorHAnsi" w:eastAsia="MS Mincho" w:hAnsiTheme="majorHAnsi"/>
          <w:bCs/>
          <w:sz w:val="20"/>
          <w:szCs w:val="20"/>
        </w:rPr>
        <w:t>Coatepeque</w:t>
      </w:r>
      <w:r w:rsidRPr="0015257D">
        <w:rPr>
          <w:rFonts w:asciiTheme="majorHAnsi" w:eastAsia="MS Mincho" w:hAnsiTheme="majorHAnsi"/>
          <w:bCs/>
          <w:sz w:val="20"/>
          <w:szCs w:val="20"/>
        </w:rPr>
        <w:t xml:space="preserve">, Quetzaltenango Department, the native city of the victim, which shall be directed by the President of the </w:t>
      </w:r>
      <w:r w:rsidRPr="0015257D">
        <w:rPr>
          <w:rFonts w:asciiTheme="majorHAnsi" w:eastAsia="MS Mincho" w:hAnsiTheme="majorHAnsi"/>
          <w:sz w:val="20"/>
          <w:szCs w:val="20"/>
        </w:rPr>
        <w:t>Presidential Commission Coordinating the Executive Policy on Human Righ</w:t>
      </w:r>
      <w:r w:rsidR="00B01DDC" w:rsidRPr="0015257D">
        <w:rPr>
          <w:rFonts w:asciiTheme="majorHAnsi" w:eastAsia="MS Mincho" w:hAnsiTheme="majorHAnsi"/>
          <w:sz w:val="20"/>
          <w:szCs w:val="20"/>
        </w:rPr>
        <w:t>t</w:t>
      </w:r>
      <w:r w:rsidRPr="0015257D">
        <w:rPr>
          <w:rFonts w:asciiTheme="majorHAnsi" w:eastAsia="MS Mincho" w:hAnsiTheme="majorHAnsi"/>
          <w:sz w:val="20"/>
          <w:szCs w:val="20"/>
        </w:rPr>
        <w:t xml:space="preserve">s (COPREDEH). In accordance with the request of the petitioner, a special invitation will be addressed to the Attorney General of the Nation and the Director of the National Civil Police, for them to attend the act of acknowledgment of international responsibility. Similarly, it will undertake </w:t>
      </w:r>
      <w:r w:rsidR="00180A36" w:rsidRPr="0015257D">
        <w:rPr>
          <w:rFonts w:asciiTheme="majorHAnsi" w:eastAsia="MS Mincho" w:hAnsiTheme="majorHAnsi"/>
          <w:bCs/>
          <w:sz w:val="20"/>
          <w:szCs w:val="20"/>
        </w:rPr>
        <w:t>the necessary steps for this public act to take place in the Municipal Theater of Culture of the Municipality of Coatepeque.</w:t>
      </w:r>
    </w:p>
    <w:p w14:paraId="0BB8324E" w14:textId="77777777" w:rsidR="0015257D" w:rsidRPr="0015257D" w:rsidRDefault="0015257D" w:rsidP="0015257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27043849" w14:textId="323F3EC4" w:rsidR="0015257D" w:rsidRDefault="00180A36" w:rsidP="0015257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ind w:left="720" w:right="720" w:firstLine="0"/>
        <w:jc w:val="both"/>
        <w:rPr>
          <w:rFonts w:asciiTheme="majorHAnsi" w:eastAsia="MS Mincho" w:hAnsiTheme="majorHAnsi"/>
          <w:bCs/>
          <w:sz w:val="20"/>
          <w:szCs w:val="20"/>
        </w:rPr>
      </w:pPr>
      <w:r w:rsidRPr="0015257D">
        <w:rPr>
          <w:rFonts w:asciiTheme="majorHAnsi" w:eastAsia="MS Mincho" w:hAnsiTheme="majorHAnsi"/>
          <w:bCs/>
          <w:sz w:val="20"/>
          <w:szCs w:val="20"/>
        </w:rPr>
        <w:lastRenderedPageBreak/>
        <w:t>The State will produce a 7 minutes documentary that summarizes said act to be broadcasted only once in local cable channels.</w:t>
      </w:r>
    </w:p>
    <w:p w14:paraId="3F57B41A" w14:textId="3CE303A3" w:rsidR="0015257D" w:rsidRPr="0015257D" w:rsidRDefault="0015257D" w:rsidP="0015257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187FB306" w14:textId="415F6574" w:rsidR="00180A36" w:rsidRPr="00E74040" w:rsidRDefault="00180A36" w:rsidP="0015257D">
      <w:pPr>
        <w:pBdr>
          <w:top w:val="none" w:sz="0" w:space="0" w:color="auto"/>
          <w:left w:val="none" w:sz="0" w:space="0" w:color="auto"/>
          <w:bottom w:val="none" w:sz="0" w:space="0" w:color="auto"/>
          <w:right w:val="none" w:sz="0" w:space="0" w:color="auto"/>
          <w:between w:val="none" w:sz="0" w:space="0" w:color="auto"/>
          <w:bar w:val="none" w:sz="0" w:color="auto"/>
        </w:pBdr>
        <w:tabs>
          <w:tab w:val="left" w:pos="1530"/>
        </w:tabs>
        <w:ind w:left="720" w:right="720"/>
        <w:jc w:val="both"/>
        <w:rPr>
          <w:rFonts w:asciiTheme="majorHAnsi" w:eastAsia="MS Mincho" w:hAnsiTheme="majorHAnsi"/>
          <w:bCs/>
          <w:sz w:val="20"/>
          <w:szCs w:val="20"/>
        </w:rPr>
      </w:pPr>
      <w:r w:rsidRPr="00E74040">
        <w:rPr>
          <w:rFonts w:asciiTheme="majorHAnsi" w:eastAsia="MS Mincho" w:hAnsiTheme="majorHAnsi"/>
          <w:b/>
          <w:sz w:val="20"/>
          <w:szCs w:val="20"/>
        </w:rPr>
        <w:t xml:space="preserve">c) </w:t>
      </w:r>
      <w:r w:rsidRPr="00E74040">
        <w:rPr>
          <w:rFonts w:asciiTheme="majorHAnsi" w:eastAsia="MS Mincho" w:hAnsiTheme="majorHAnsi"/>
          <w:bCs/>
          <w:sz w:val="20"/>
          <w:szCs w:val="20"/>
        </w:rPr>
        <w:t xml:space="preserve">The State will publish a summary of the facts that gave rise to the instant case in the </w:t>
      </w:r>
      <w:proofErr w:type="spellStart"/>
      <w:r w:rsidRPr="00E74040">
        <w:rPr>
          <w:rFonts w:asciiTheme="majorHAnsi" w:eastAsia="MS Mincho" w:hAnsiTheme="majorHAnsi"/>
          <w:bCs/>
          <w:i/>
          <w:iCs/>
          <w:sz w:val="20"/>
          <w:szCs w:val="20"/>
        </w:rPr>
        <w:t>Diario</w:t>
      </w:r>
      <w:proofErr w:type="spellEnd"/>
      <w:r w:rsidRPr="00E74040">
        <w:rPr>
          <w:rFonts w:asciiTheme="majorHAnsi" w:eastAsia="MS Mincho" w:hAnsiTheme="majorHAnsi"/>
          <w:bCs/>
          <w:i/>
          <w:iCs/>
          <w:sz w:val="20"/>
          <w:szCs w:val="20"/>
        </w:rPr>
        <w:t xml:space="preserve"> de Centro </w:t>
      </w:r>
      <w:proofErr w:type="spellStart"/>
      <w:r w:rsidRPr="00E74040">
        <w:rPr>
          <w:rFonts w:asciiTheme="majorHAnsi" w:eastAsia="MS Mincho" w:hAnsiTheme="majorHAnsi"/>
          <w:bCs/>
          <w:i/>
          <w:iCs/>
          <w:sz w:val="20"/>
          <w:szCs w:val="20"/>
        </w:rPr>
        <w:t>América</w:t>
      </w:r>
      <w:proofErr w:type="spellEnd"/>
      <w:r w:rsidRPr="00E74040">
        <w:rPr>
          <w:rFonts w:asciiTheme="majorHAnsi" w:eastAsia="MS Mincho" w:hAnsiTheme="majorHAnsi"/>
          <w:bCs/>
          <w:i/>
          <w:iCs/>
          <w:sz w:val="20"/>
          <w:szCs w:val="20"/>
        </w:rPr>
        <w:t xml:space="preserve"> </w:t>
      </w:r>
      <w:r w:rsidRPr="00E74040">
        <w:rPr>
          <w:rFonts w:asciiTheme="majorHAnsi" w:eastAsia="MS Mincho" w:hAnsiTheme="majorHAnsi"/>
          <w:bCs/>
          <w:sz w:val="20"/>
          <w:szCs w:val="20"/>
        </w:rPr>
        <w:t xml:space="preserve">and in the </w:t>
      </w:r>
      <w:proofErr w:type="spellStart"/>
      <w:r w:rsidRPr="00E74040">
        <w:rPr>
          <w:rFonts w:asciiTheme="majorHAnsi" w:eastAsia="MS Mincho" w:hAnsiTheme="majorHAnsi"/>
          <w:bCs/>
          <w:i/>
          <w:iCs/>
          <w:sz w:val="20"/>
          <w:szCs w:val="20"/>
        </w:rPr>
        <w:t>Diario</w:t>
      </w:r>
      <w:proofErr w:type="spellEnd"/>
      <w:r w:rsidRPr="00E74040">
        <w:rPr>
          <w:rFonts w:asciiTheme="majorHAnsi" w:eastAsia="MS Mincho" w:hAnsiTheme="majorHAnsi"/>
          <w:bCs/>
          <w:i/>
          <w:iCs/>
          <w:sz w:val="20"/>
          <w:szCs w:val="20"/>
        </w:rPr>
        <w:t xml:space="preserve"> El </w:t>
      </w:r>
      <w:proofErr w:type="spellStart"/>
      <w:r w:rsidRPr="00E74040">
        <w:rPr>
          <w:rFonts w:asciiTheme="majorHAnsi" w:eastAsia="MS Mincho" w:hAnsiTheme="majorHAnsi"/>
          <w:bCs/>
          <w:i/>
          <w:iCs/>
          <w:sz w:val="20"/>
          <w:szCs w:val="20"/>
        </w:rPr>
        <w:t>Quetzalteco</w:t>
      </w:r>
      <w:proofErr w:type="spellEnd"/>
      <w:r w:rsidRPr="00E74040">
        <w:rPr>
          <w:rFonts w:asciiTheme="majorHAnsi" w:eastAsia="MS Mincho" w:hAnsiTheme="majorHAnsi"/>
          <w:bCs/>
          <w:sz w:val="20"/>
          <w:szCs w:val="20"/>
        </w:rPr>
        <w:t>.</w:t>
      </w:r>
    </w:p>
    <w:p w14:paraId="03C3DFA5" w14:textId="77777777" w:rsidR="00E74040" w:rsidRPr="00E74040" w:rsidRDefault="00E74040"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Cs/>
          <w:sz w:val="20"/>
          <w:szCs w:val="20"/>
        </w:rPr>
      </w:pPr>
    </w:p>
    <w:p w14:paraId="76039929" w14:textId="7074851A" w:rsidR="006F6DAD" w:rsidRPr="00E74040" w:rsidRDefault="00180A36" w:rsidP="00E740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rPr>
      </w:pPr>
      <w:r w:rsidRPr="00E74040">
        <w:rPr>
          <w:rFonts w:asciiTheme="majorHAnsi" w:eastAsia="MS Mincho" w:hAnsiTheme="majorHAnsi"/>
          <w:b/>
          <w:sz w:val="20"/>
          <w:szCs w:val="20"/>
        </w:rPr>
        <w:t>JUSTICE</w:t>
      </w:r>
    </w:p>
    <w:p w14:paraId="2BD5DBF8" w14:textId="77777777" w:rsidR="00E74040" w:rsidRPr="00E74040" w:rsidRDefault="00E74040"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rPr>
      </w:pPr>
    </w:p>
    <w:p w14:paraId="0317ABA4" w14:textId="3F7524D9" w:rsidR="00263A40" w:rsidRPr="00E74040" w:rsidRDefault="00263A40"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 xml:space="preserve">The State commits to set up </w:t>
      </w:r>
      <w:r w:rsidR="006C4116" w:rsidRPr="00E74040">
        <w:rPr>
          <w:rFonts w:asciiTheme="majorHAnsi" w:eastAsia="MS Mincho" w:hAnsiTheme="majorHAnsi"/>
          <w:sz w:val="20"/>
          <w:szCs w:val="20"/>
        </w:rPr>
        <w:t xml:space="preserve">a </w:t>
      </w:r>
      <w:r w:rsidRPr="00E74040">
        <w:rPr>
          <w:rFonts w:asciiTheme="majorHAnsi" w:eastAsia="MS Mincho" w:hAnsiTheme="majorHAnsi"/>
          <w:sz w:val="20"/>
          <w:szCs w:val="20"/>
        </w:rPr>
        <w:t xml:space="preserve">Promotion Committee, which will be formed by all </w:t>
      </w:r>
      <w:r w:rsidR="006C4116" w:rsidRPr="00E74040">
        <w:rPr>
          <w:rFonts w:asciiTheme="majorHAnsi" w:eastAsia="MS Mincho" w:hAnsiTheme="majorHAnsi"/>
          <w:sz w:val="20"/>
          <w:szCs w:val="20"/>
        </w:rPr>
        <w:t>bodies</w:t>
      </w:r>
      <w:r w:rsidRPr="00E74040">
        <w:rPr>
          <w:rFonts w:asciiTheme="majorHAnsi" w:eastAsia="MS Mincho" w:hAnsiTheme="majorHAnsi"/>
          <w:sz w:val="20"/>
          <w:szCs w:val="20"/>
        </w:rPr>
        <w:t xml:space="preserve"> of justice involved in the process of investigation resulting from the death of the young student, Ric</w:t>
      </w:r>
      <w:r w:rsidR="007E7602" w:rsidRPr="00E74040">
        <w:rPr>
          <w:rFonts w:asciiTheme="majorHAnsi" w:eastAsia="MS Mincho" w:hAnsiTheme="majorHAnsi"/>
          <w:sz w:val="20"/>
          <w:szCs w:val="20"/>
        </w:rPr>
        <w:t>h</w:t>
      </w:r>
      <w:r w:rsidRPr="00E74040">
        <w:rPr>
          <w:rFonts w:asciiTheme="majorHAnsi" w:eastAsia="MS Mincho" w:hAnsiTheme="majorHAnsi"/>
          <w:sz w:val="20"/>
          <w:szCs w:val="20"/>
        </w:rPr>
        <w:t>ard Conrad Solórzano Contreras, for the purposes of promoting such process and follow-up on administrative procedures against the employees and government officials</w:t>
      </w:r>
      <w:r w:rsidR="007E7602" w:rsidRPr="00E74040">
        <w:rPr>
          <w:rFonts w:asciiTheme="majorHAnsi" w:eastAsia="MS Mincho" w:hAnsiTheme="majorHAnsi"/>
          <w:sz w:val="20"/>
          <w:szCs w:val="20"/>
        </w:rPr>
        <w:t xml:space="preserve"> identified by the petitioner as responsible for the negligence during the first investigatory acts.</w:t>
      </w:r>
    </w:p>
    <w:p w14:paraId="0C13688F" w14:textId="77777777" w:rsidR="00E74040" w:rsidRPr="00E74040" w:rsidRDefault="00E74040"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3E205BDD" w14:textId="3E28A207" w:rsidR="000B23AC" w:rsidRPr="00E74040" w:rsidRDefault="007E7602" w:rsidP="00E740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rPr>
      </w:pPr>
      <w:r w:rsidRPr="00E74040">
        <w:rPr>
          <w:rFonts w:asciiTheme="majorHAnsi" w:eastAsia="MS Mincho" w:hAnsiTheme="majorHAnsi"/>
          <w:b/>
          <w:sz w:val="20"/>
          <w:szCs w:val="20"/>
        </w:rPr>
        <w:t>MEASURES OF DIGNIFICATION</w:t>
      </w:r>
    </w:p>
    <w:p w14:paraId="50EE307E" w14:textId="77777777" w:rsidR="00E74040" w:rsidRPr="00E74040" w:rsidRDefault="00E74040"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rPr>
      </w:pPr>
    </w:p>
    <w:p w14:paraId="7A710A58" w14:textId="14A1F9E9" w:rsidR="007E7602" w:rsidRPr="0015257D" w:rsidRDefault="007E7602" w:rsidP="0015257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ind w:left="720" w:right="720" w:firstLine="0"/>
        <w:jc w:val="both"/>
        <w:rPr>
          <w:rFonts w:asciiTheme="majorHAnsi" w:eastAsia="MS Mincho" w:hAnsiTheme="majorHAnsi"/>
          <w:bCs/>
          <w:sz w:val="20"/>
          <w:szCs w:val="20"/>
        </w:rPr>
      </w:pPr>
      <w:r w:rsidRPr="0015257D">
        <w:rPr>
          <w:rFonts w:asciiTheme="majorHAnsi" w:eastAsia="MS Mincho" w:hAnsiTheme="majorHAnsi"/>
          <w:bCs/>
          <w:sz w:val="20"/>
          <w:szCs w:val="20"/>
        </w:rPr>
        <w:t>The State will request the municipal government of Coatepeque for it to authorize the naming of the Municipal Theater of Culture under the name of Richard Conrad Solórzano Contreras and, if it were not possible, the naming of the 6</w:t>
      </w:r>
      <w:r w:rsidRPr="0015257D">
        <w:rPr>
          <w:rFonts w:asciiTheme="majorHAnsi" w:eastAsia="MS Mincho" w:hAnsiTheme="majorHAnsi"/>
          <w:bCs/>
          <w:sz w:val="20"/>
          <w:szCs w:val="20"/>
          <w:vertAlign w:val="superscript"/>
        </w:rPr>
        <w:t>th</w:t>
      </w:r>
      <w:r w:rsidRPr="0015257D">
        <w:rPr>
          <w:rFonts w:asciiTheme="majorHAnsi" w:eastAsia="MS Mincho" w:hAnsiTheme="majorHAnsi"/>
          <w:bCs/>
          <w:sz w:val="20"/>
          <w:szCs w:val="20"/>
        </w:rPr>
        <w:t xml:space="preserve"> Street, Zone 1, in front of the Central Park of Coatepeque or other location, with the name of the victim. Upon receiving authorization, a </w:t>
      </w:r>
      <w:r w:rsidR="00085FF4" w:rsidRPr="0015257D">
        <w:rPr>
          <w:rFonts w:asciiTheme="majorHAnsi" w:eastAsia="MS Mincho" w:hAnsiTheme="majorHAnsi"/>
          <w:bCs/>
          <w:sz w:val="20"/>
          <w:szCs w:val="20"/>
        </w:rPr>
        <w:t>commemorative</w:t>
      </w:r>
      <w:r w:rsidRPr="0015257D">
        <w:rPr>
          <w:rFonts w:asciiTheme="majorHAnsi" w:eastAsia="MS Mincho" w:hAnsiTheme="majorHAnsi"/>
          <w:bCs/>
          <w:sz w:val="20"/>
          <w:szCs w:val="20"/>
        </w:rPr>
        <w:t xml:space="preserve"> plaque </w:t>
      </w:r>
      <w:r w:rsidR="00085FF4" w:rsidRPr="0015257D">
        <w:rPr>
          <w:rFonts w:asciiTheme="majorHAnsi" w:eastAsia="MS Mincho" w:hAnsiTheme="majorHAnsi"/>
          <w:bCs/>
          <w:sz w:val="20"/>
          <w:szCs w:val="20"/>
        </w:rPr>
        <w:t>shall be placed there.</w:t>
      </w:r>
      <w:r w:rsidR="0015257D" w:rsidRPr="0015257D">
        <w:rPr>
          <w:rFonts w:asciiTheme="majorHAnsi" w:eastAsia="MS Mincho" w:hAnsiTheme="majorHAnsi"/>
          <w:bCs/>
          <w:sz w:val="20"/>
          <w:szCs w:val="20"/>
        </w:rPr>
        <w:t>’</w:t>
      </w:r>
    </w:p>
    <w:p w14:paraId="6DFC1C98" w14:textId="77777777" w:rsidR="0015257D" w:rsidRPr="0015257D" w:rsidRDefault="0015257D" w:rsidP="0015257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rPr>
      </w:pPr>
    </w:p>
    <w:p w14:paraId="5DA6D9BD" w14:textId="1626126B" w:rsidR="00085FF4" w:rsidRPr="00E74040" w:rsidRDefault="001742F6" w:rsidP="0015257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b/>
          <w:sz w:val="20"/>
          <w:szCs w:val="20"/>
        </w:rPr>
        <w:t>b)</w:t>
      </w:r>
      <w:r w:rsidRPr="00E74040">
        <w:rPr>
          <w:rFonts w:asciiTheme="majorHAnsi" w:eastAsia="MS Mincho" w:hAnsiTheme="majorHAnsi"/>
          <w:sz w:val="20"/>
          <w:szCs w:val="20"/>
        </w:rPr>
        <w:t xml:space="preserve"> </w:t>
      </w:r>
      <w:r w:rsidR="00085FF4" w:rsidRPr="00E74040">
        <w:rPr>
          <w:rFonts w:asciiTheme="majorHAnsi" w:eastAsia="MS Mincho" w:hAnsiTheme="majorHAnsi"/>
          <w:sz w:val="20"/>
          <w:szCs w:val="20"/>
        </w:rPr>
        <w:t xml:space="preserve">The State will request the relevant institutions to grant the usufruct over a property of the State for the purposes of </w:t>
      </w:r>
      <w:r w:rsidR="00A90169" w:rsidRPr="00E74040">
        <w:rPr>
          <w:rFonts w:asciiTheme="majorHAnsi" w:eastAsia="MS Mincho" w:hAnsiTheme="majorHAnsi"/>
          <w:sz w:val="20"/>
          <w:szCs w:val="20"/>
        </w:rPr>
        <w:t>the Richard Conrad Solórzano Contreras</w:t>
      </w:r>
      <w:r w:rsidR="00B01DDC" w:rsidRPr="00E74040">
        <w:rPr>
          <w:rFonts w:asciiTheme="majorHAnsi" w:eastAsia="MS Mincho" w:hAnsiTheme="majorHAnsi"/>
          <w:sz w:val="20"/>
          <w:szCs w:val="20"/>
        </w:rPr>
        <w:t xml:space="preserve"> Foundation</w:t>
      </w:r>
      <w:r w:rsidR="00A90169" w:rsidRPr="00E74040">
        <w:rPr>
          <w:rFonts w:asciiTheme="majorHAnsi" w:eastAsia="MS Mincho" w:hAnsiTheme="majorHAnsi"/>
          <w:sz w:val="20"/>
          <w:szCs w:val="20"/>
        </w:rPr>
        <w:t xml:space="preserve"> operating there.</w:t>
      </w:r>
    </w:p>
    <w:p w14:paraId="4D9D45AC" w14:textId="77777777" w:rsidR="00E74040" w:rsidRPr="00E74040" w:rsidRDefault="00E74040"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3395D461" w14:textId="28F084AB" w:rsidR="008B5435" w:rsidRPr="00E74040" w:rsidRDefault="00A90169" w:rsidP="00E740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rPr>
      </w:pPr>
      <w:r w:rsidRPr="00E74040">
        <w:rPr>
          <w:rFonts w:asciiTheme="majorHAnsi" w:eastAsia="MS Mincho" w:hAnsiTheme="majorHAnsi"/>
          <w:b/>
          <w:sz w:val="20"/>
          <w:szCs w:val="20"/>
        </w:rPr>
        <w:t>ECONOMIC REPARATION</w:t>
      </w:r>
    </w:p>
    <w:p w14:paraId="767BC2E1" w14:textId="77777777" w:rsidR="00E74040" w:rsidRPr="00E74040" w:rsidRDefault="00E74040"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rPr>
      </w:pPr>
    </w:p>
    <w:p w14:paraId="7BFE291D" w14:textId="4D3D8D5B" w:rsidR="00A90169" w:rsidRDefault="00A9016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The State acknowledges that, in accepting its international responsibility for the violation of rights enshrined by the American Convention on Human Rights in its articles 8 and 25 on fair trial and judicial protection, respectively, it must provide reparation to the family members of the victim for the material and non-material damages.</w:t>
      </w:r>
    </w:p>
    <w:p w14:paraId="4D64AA35" w14:textId="77777777" w:rsidR="0015257D" w:rsidRPr="00E74040" w:rsidRDefault="0015257D"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4D0A90E3" w14:textId="78E0DDA9" w:rsidR="00362208" w:rsidRPr="00E74040" w:rsidRDefault="00A9016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 xml:space="preserve">The parties to this Friendly Settlement Agreement recognize the mutual will evinced in agreeing to a sum that allows compensation to the family members of Richard Conrad Solórzano Contreras, and thus the State commits to pay to the petitioner and his family composed of: Mario Conrado Solórzano </w:t>
      </w:r>
      <w:proofErr w:type="spellStart"/>
      <w:r w:rsidRPr="00E74040">
        <w:rPr>
          <w:rFonts w:asciiTheme="majorHAnsi" w:eastAsia="MS Mincho" w:hAnsiTheme="majorHAnsi"/>
          <w:sz w:val="20"/>
          <w:szCs w:val="20"/>
        </w:rPr>
        <w:t>Puac</w:t>
      </w:r>
      <w:proofErr w:type="spellEnd"/>
      <w:r w:rsidRPr="00E74040">
        <w:rPr>
          <w:rFonts w:asciiTheme="majorHAnsi" w:eastAsia="MS Mincho" w:hAnsiTheme="majorHAnsi"/>
          <w:sz w:val="20"/>
          <w:szCs w:val="20"/>
        </w:rPr>
        <w:t xml:space="preserve">, Milton Josue, </w:t>
      </w:r>
      <w:proofErr w:type="spellStart"/>
      <w:r w:rsidRPr="00E74040">
        <w:rPr>
          <w:rFonts w:asciiTheme="majorHAnsi" w:eastAsia="MS Mincho" w:hAnsiTheme="majorHAnsi"/>
          <w:sz w:val="20"/>
          <w:szCs w:val="20"/>
        </w:rPr>
        <w:t>Edinson</w:t>
      </w:r>
      <w:proofErr w:type="spellEnd"/>
      <w:r w:rsidRPr="00E74040">
        <w:rPr>
          <w:rFonts w:asciiTheme="majorHAnsi" w:eastAsia="MS Mincho" w:hAnsiTheme="majorHAnsi"/>
          <w:sz w:val="20"/>
          <w:szCs w:val="20"/>
        </w:rPr>
        <w:t xml:space="preserve"> Geovany, Jaquelin Xiomara, Jorge Mario y Abner Alexander, all of Solórzano surname, compensation in the sum of […]</w:t>
      </w:r>
      <w:r w:rsidRPr="00E74040">
        <w:rPr>
          <w:rStyle w:val="FootnoteReference"/>
          <w:rFonts w:asciiTheme="majorHAnsi" w:eastAsia="MS Mincho" w:hAnsiTheme="majorHAnsi"/>
          <w:sz w:val="20"/>
          <w:szCs w:val="20"/>
          <w:lang w:val="es-AR"/>
        </w:rPr>
        <w:footnoteReference w:id="4"/>
      </w:r>
      <w:r w:rsidRPr="00E74040">
        <w:rPr>
          <w:rFonts w:asciiTheme="majorHAnsi" w:eastAsia="MS Mincho" w:hAnsiTheme="majorHAnsi"/>
          <w:sz w:val="20"/>
          <w:szCs w:val="20"/>
        </w:rPr>
        <w:t>, which has been established through</w:t>
      </w:r>
      <w:r w:rsidRPr="00E74040">
        <w:rPr>
          <w:rFonts w:asciiTheme="majorHAnsi" w:hAnsiTheme="majorHAnsi"/>
          <w:sz w:val="20"/>
          <w:szCs w:val="20"/>
        </w:rPr>
        <w:t xml:space="preserve"> </w:t>
      </w:r>
      <w:r w:rsidRPr="00E74040">
        <w:rPr>
          <w:rFonts w:asciiTheme="majorHAnsi" w:eastAsia="MS Mincho" w:hAnsiTheme="majorHAnsi"/>
          <w:sz w:val="20"/>
          <w:szCs w:val="20"/>
        </w:rPr>
        <w:t>actuarial valuation carried out by an independent consultant, in order to establish the payment corresponding to the economic reparation of the respective material and non-material or moral damages. The amount established in this agreement is confidential and shall not be published.</w:t>
      </w:r>
    </w:p>
    <w:p w14:paraId="65A486B7" w14:textId="77777777" w:rsidR="00E74040" w:rsidRPr="00E74040" w:rsidRDefault="00E74040"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74D1B3CC" w14:textId="00AFD016" w:rsidR="00A90169" w:rsidRPr="00E74040" w:rsidRDefault="00A90169" w:rsidP="00E740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center"/>
        <w:rPr>
          <w:rFonts w:asciiTheme="majorHAnsi" w:eastAsia="MS Mincho" w:hAnsiTheme="majorHAnsi"/>
          <w:b/>
          <w:sz w:val="20"/>
          <w:szCs w:val="20"/>
        </w:rPr>
      </w:pPr>
      <w:r w:rsidRPr="00E74040">
        <w:rPr>
          <w:rFonts w:asciiTheme="majorHAnsi" w:eastAsia="MS Mincho" w:hAnsiTheme="majorHAnsi"/>
          <w:b/>
          <w:sz w:val="20"/>
          <w:szCs w:val="20"/>
        </w:rPr>
        <w:t>NOTIFICATION TO THE ILLUSTROUS INTER-AMERICAN COMMISSION ON HUMAN RIGHTS</w:t>
      </w:r>
    </w:p>
    <w:p w14:paraId="5354E371" w14:textId="2A518B6B" w:rsidR="00A90169" w:rsidRPr="00E74040" w:rsidRDefault="00A90169"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b/>
          <w:sz w:val="20"/>
          <w:szCs w:val="20"/>
        </w:rPr>
      </w:pPr>
    </w:p>
    <w:p w14:paraId="59D93DE0" w14:textId="224EE889" w:rsidR="00A90169" w:rsidRDefault="00A9016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In the established terms, the parties to the present Agreement commit to inform the Inter-American Commission on Human Rights, either jointly or separately, the commitments contained in it.</w:t>
      </w:r>
    </w:p>
    <w:p w14:paraId="483B862B" w14:textId="66DE7C21" w:rsidR="003369B3" w:rsidRDefault="003369B3"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004CF0EF" w14:textId="31591EEF" w:rsidR="003369B3" w:rsidRDefault="003369B3"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43048799" w14:textId="6EE22BC0" w:rsidR="003369B3" w:rsidRDefault="003369B3"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75B55BF5" w14:textId="77777777" w:rsidR="003369B3" w:rsidRDefault="003369B3"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173CBBAE" w14:textId="00F57785" w:rsidR="00660EA4" w:rsidRPr="00E74040" w:rsidRDefault="00A90169" w:rsidP="00E740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center"/>
        <w:rPr>
          <w:rFonts w:asciiTheme="majorHAnsi" w:eastAsia="MS Mincho" w:hAnsiTheme="majorHAnsi"/>
          <w:b/>
          <w:sz w:val="20"/>
          <w:szCs w:val="20"/>
          <w:lang w:val="es-AR"/>
        </w:rPr>
      </w:pPr>
      <w:r w:rsidRPr="00E74040">
        <w:rPr>
          <w:rFonts w:asciiTheme="majorHAnsi" w:eastAsia="MS Mincho" w:hAnsiTheme="majorHAnsi"/>
          <w:b/>
          <w:sz w:val="20"/>
          <w:szCs w:val="20"/>
          <w:lang w:val="es-AR"/>
        </w:rPr>
        <w:lastRenderedPageBreak/>
        <w:t>INTERPRETATION</w:t>
      </w:r>
    </w:p>
    <w:p w14:paraId="498AD1A2" w14:textId="77777777" w:rsidR="003369B3" w:rsidRDefault="003369B3"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54F16081" w14:textId="5785F813" w:rsidR="00660EA4" w:rsidRPr="00E74040" w:rsidRDefault="00A9016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The meaning and extent of this Friendly Settlement Agreement shall be interpreted in accordance with articles 29 and 30 of the American Convention on Human Rights, as pertinent and with the principle of good faith. In case of doubt or disagreement between the parties with regards to the content of this Friendly Settlement Agreement, the Inter-American Commission shall decide on its interpretation.</w:t>
      </w:r>
    </w:p>
    <w:p w14:paraId="4B100CC1" w14:textId="47E458F4" w:rsidR="00660EA4" w:rsidRPr="00E74040" w:rsidRDefault="00660EA4" w:rsidP="00E740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center"/>
        <w:rPr>
          <w:rFonts w:asciiTheme="majorHAnsi" w:eastAsia="MS Mincho" w:hAnsiTheme="majorHAnsi"/>
          <w:b/>
          <w:sz w:val="20"/>
          <w:szCs w:val="20"/>
          <w:lang w:val="es-AR"/>
        </w:rPr>
      </w:pPr>
      <w:r w:rsidRPr="00E74040">
        <w:rPr>
          <w:rFonts w:asciiTheme="majorHAnsi" w:eastAsia="MS Mincho" w:hAnsiTheme="majorHAnsi"/>
          <w:b/>
          <w:sz w:val="20"/>
          <w:szCs w:val="20"/>
          <w:lang w:val="es-AR"/>
        </w:rPr>
        <w:t>SUPERVISI</w:t>
      </w:r>
      <w:r w:rsidR="00A90169" w:rsidRPr="00E74040">
        <w:rPr>
          <w:rFonts w:asciiTheme="majorHAnsi" w:eastAsia="MS Mincho" w:hAnsiTheme="majorHAnsi"/>
          <w:b/>
          <w:sz w:val="20"/>
          <w:szCs w:val="20"/>
          <w:lang w:val="es-AR"/>
        </w:rPr>
        <w:t>ON</w:t>
      </w:r>
    </w:p>
    <w:p w14:paraId="41C6246D" w14:textId="77777777" w:rsidR="000D3C78" w:rsidRPr="00E74040" w:rsidRDefault="000D3C78"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b/>
          <w:sz w:val="20"/>
          <w:szCs w:val="20"/>
          <w:lang w:val="es-AR"/>
        </w:rPr>
      </w:pPr>
    </w:p>
    <w:p w14:paraId="7F524E66" w14:textId="06171164" w:rsidR="00A90169" w:rsidRPr="00E74040" w:rsidRDefault="00A90169"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 xml:space="preserve">In accordance with article 48 (1) (f) of the American Convention on Human Rights, the Commission shall supervise the fulfillment of the commitments included in this agreement until </w:t>
      </w:r>
      <w:r w:rsidR="00151E64" w:rsidRPr="00E74040">
        <w:rPr>
          <w:rFonts w:asciiTheme="majorHAnsi" w:eastAsia="MS Mincho" w:hAnsiTheme="majorHAnsi"/>
          <w:sz w:val="20"/>
          <w:szCs w:val="20"/>
        </w:rPr>
        <w:t>their definitive performance.</w:t>
      </w:r>
    </w:p>
    <w:p w14:paraId="1195FFD9" w14:textId="64A9A139" w:rsidR="00660EA4" w:rsidRPr="00E74040" w:rsidRDefault="00151E64" w:rsidP="00E740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center"/>
        <w:rPr>
          <w:rFonts w:asciiTheme="majorHAnsi" w:eastAsia="MS Mincho" w:hAnsiTheme="majorHAnsi"/>
          <w:b/>
          <w:sz w:val="20"/>
          <w:szCs w:val="20"/>
          <w:lang w:val="es-AR"/>
        </w:rPr>
      </w:pPr>
      <w:r w:rsidRPr="00E74040">
        <w:rPr>
          <w:rFonts w:asciiTheme="majorHAnsi" w:eastAsia="MS Mincho" w:hAnsiTheme="majorHAnsi"/>
          <w:b/>
          <w:sz w:val="20"/>
          <w:szCs w:val="20"/>
          <w:lang w:val="es-AR"/>
        </w:rPr>
        <w:t>LEGAL BASIS</w:t>
      </w:r>
    </w:p>
    <w:p w14:paraId="4284DC0F" w14:textId="77777777" w:rsidR="000D3C78" w:rsidRPr="00E74040" w:rsidRDefault="000D3C78"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b/>
          <w:sz w:val="20"/>
          <w:szCs w:val="20"/>
          <w:lang w:val="es-AR"/>
        </w:rPr>
      </w:pPr>
    </w:p>
    <w:p w14:paraId="7DFAF613" w14:textId="596E4DC0" w:rsidR="00660EA4" w:rsidRPr="00E74040" w:rsidRDefault="00151E64"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 xml:space="preserve">This Friendly Settlement Agreement is entered into on the basis of the human rights recognized in articles 8 and 25 of the American Convention on Human Rights, the American Declaration on the Rights and Duties of Man and the Political Constitution of the </w:t>
      </w:r>
      <w:r w:rsidR="0015257D" w:rsidRPr="00E74040">
        <w:rPr>
          <w:rFonts w:asciiTheme="majorHAnsi" w:eastAsia="MS Mincho" w:hAnsiTheme="majorHAnsi"/>
          <w:sz w:val="20"/>
          <w:szCs w:val="20"/>
        </w:rPr>
        <w:t>Republic</w:t>
      </w:r>
      <w:r w:rsidRPr="00E74040">
        <w:rPr>
          <w:rFonts w:asciiTheme="majorHAnsi" w:eastAsia="MS Mincho" w:hAnsiTheme="majorHAnsi"/>
          <w:sz w:val="20"/>
          <w:szCs w:val="20"/>
        </w:rPr>
        <w:t xml:space="preserve"> of Guatemala.</w:t>
      </w:r>
    </w:p>
    <w:p w14:paraId="1FBF33CF" w14:textId="3384A898" w:rsidR="00660EA4" w:rsidRPr="00E74040" w:rsidRDefault="00151E64" w:rsidP="00E740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center"/>
        <w:rPr>
          <w:rFonts w:asciiTheme="majorHAnsi" w:eastAsia="MS Mincho" w:hAnsiTheme="majorHAnsi"/>
          <w:b/>
          <w:sz w:val="20"/>
          <w:szCs w:val="20"/>
          <w:lang w:val="es-AR"/>
        </w:rPr>
      </w:pPr>
      <w:r w:rsidRPr="00E74040">
        <w:rPr>
          <w:rFonts w:asciiTheme="majorHAnsi" w:eastAsia="MS Mincho" w:hAnsiTheme="majorHAnsi"/>
          <w:b/>
          <w:sz w:val="20"/>
          <w:szCs w:val="20"/>
          <w:lang w:val="es-AR"/>
        </w:rPr>
        <w:t>APPROVAL</w:t>
      </w:r>
    </w:p>
    <w:p w14:paraId="05335E40" w14:textId="77777777" w:rsidR="000D3C78" w:rsidRPr="00E74040" w:rsidRDefault="000D3C78"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b/>
          <w:sz w:val="20"/>
          <w:szCs w:val="20"/>
          <w:lang w:val="es-AR"/>
        </w:rPr>
      </w:pPr>
    </w:p>
    <w:p w14:paraId="1EB36CC2" w14:textId="12247E33" w:rsidR="00A75114" w:rsidRPr="00E74040" w:rsidRDefault="00151E64"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For his part, Mr. Mario Conrado Solórzano Puac, expresses that h</w:t>
      </w:r>
      <w:r w:rsidR="00B01DDC" w:rsidRPr="00E74040">
        <w:rPr>
          <w:rFonts w:asciiTheme="majorHAnsi" w:eastAsia="MS Mincho" w:hAnsiTheme="majorHAnsi"/>
          <w:sz w:val="20"/>
          <w:szCs w:val="20"/>
        </w:rPr>
        <w:t>e</w:t>
      </w:r>
      <w:r w:rsidRPr="00E74040">
        <w:rPr>
          <w:rFonts w:asciiTheme="majorHAnsi" w:eastAsia="MS Mincho" w:hAnsiTheme="majorHAnsi"/>
          <w:sz w:val="20"/>
          <w:szCs w:val="20"/>
        </w:rPr>
        <w:t xml:space="preserve"> accepts the commitments undertaken by the State of Guatemala in this Agreement, which are in accordance with his requests, accepting the economic reparation and the moral reparations included in this instrument and committing to grant to the State of Guatemala, upon compliance with each of them, the fullest and total settlement and not to sue in the future for any economic benefit arising from the same case. The reparations agreed to before the Inter-American Commission on Human Rights shall be the only ones that can be enforced against the State. Exception is made of the actions currently being heard by the courts of justice of the country, which have the objective of having the jurisdictional bodies fulfill their constitutional duty and administer justice.</w:t>
      </w:r>
    </w:p>
    <w:p w14:paraId="64600818" w14:textId="057F4FAC" w:rsidR="00A75114" w:rsidRPr="00E74040" w:rsidRDefault="00151E64" w:rsidP="00E740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center"/>
        <w:rPr>
          <w:rFonts w:asciiTheme="majorHAnsi" w:eastAsia="MS Mincho" w:hAnsiTheme="majorHAnsi"/>
          <w:b/>
          <w:sz w:val="20"/>
          <w:szCs w:val="20"/>
          <w:lang w:val="es-AR"/>
        </w:rPr>
      </w:pPr>
      <w:r w:rsidRPr="00E74040">
        <w:rPr>
          <w:rFonts w:asciiTheme="majorHAnsi" w:eastAsia="MS Mincho" w:hAnsiTheme="majorHAnsi"/>
          <w:b/>
          <w:sz w:val="20"/>
          <w:szCs w:val="20"/>
          <w:lang w:val="es-AR"/>
        </w:rPr>
        <w:t>GENERAL APPROVAL</w:t>
      </w:r>
    </w:p>
    <w:p w14:paraId="532374B5" w14:textId="77777777" w:rsidR="000D3C78" w:rsidRPr="00E74040" w:rsidRDefault="000D3C78"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b/>
          <w:sz w:val="20"/>
          <w:szCs w:val="20"/>
          <w:lang w:val="es-AR"/>
        </w:rPr>
      </w:pPr>
    </w:p>
    <w:p w14:paraId="5547EF7C" w14:textId="1DFC4EFF" w:rsidR="00151E64" w:rsidRDefault="00151E64"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The parties express their absolute conformity and consent to the full content of this Friendly Settlement Agreement.</w:t>
      </w:r>
    </w:p>
    <w:p w14:paraId="736F3E3D" w14:textId="77777777" w:rsidR="0015257D" w:rsidRPr="00E74040" w:rsidRDefault="0015257D"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5B3305BD" w14:textId="4229935E" w:rsidR="00204342" w:rsidRPr="00E74040" w:rsidRDefault="00151E64"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E74040">
        <w:rPr>
          <w:rFonts w:asciiTheme="majorHAnsi" w:eastAsia="MS Mincho" w:hAnsiTheme="majorHAnsi"/>
          <w:sz w:val="20"/>
          <w:szCs w:val="20"/>
        </w:rPr>
        <w:t>Done in two copies, in the municipality of Coatepeque of the Quetzaltenango Department, on December 17, 2011.</w:t>
      </w:r>
    </w:p>
    <w:p w14:paraId="14F40B57" w14:textId="77777777" w:rsidR="0015257D" w:rsidRPr="00E74040" w:rsidRDefault="0015257D" w:rsidP="00E7404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4F70061E" w14:textId="457273CF" w:rsidR="00B333BF" w:rsidRPr="00E74040" w:rsidRDefault="00151E64" w:rsidP="00E74040">
      <w:pPr>
        <w:pStyle w:val="ListParagraph"/>
        <w:numPr>
          <w:ilvl w:val="0"/>
          <w:numId w:val="56"/>
        </w:numPr>
        <w:ind w:left="0" w:firstLine="720"/>
        <w:jc w:val="both"/>
        <w:rPr>
          <w:rFonts w:asciiTheme="majorHAnsi" w:eastAsia="MS Mincho" w:hAnsiTheme="majorHAnsi"/>
          <w:b/>
          <w:sz w:val="20"/>
          <w:szCs w:val="20"/>
        </w:rPr>
      </w:pPr>
      <w:r w:rsidRPr="00E74040">
        <w:rPr>
          <w:rFonts w:asciiTheme="majorHAnsi" w:eastAsia="MS Mincho" w:hAnsiTheme="majorHAnsi"/>
          <w:b/>
          <w:sz w:val="20"/>
          <w:szCs w:val="20"/>
        </w:rPr>
        <w:t>DETERMINATION OF COMPATIBILITY AND COMPLIANCE</w:t>
      </w:r>
    </w:p>
    <w:p w14:paraId="17A77A4D" w14:textId="77777777" w:rsidR="00B333BF" w:rsidRPr="00E74040" w:rsidRDefault="00B333BF" w:rsidP="00E74040">
      <w:pPr>
        <w:tabs>
          <w:tab w:val="num" w:pos="1440"/>
        </w:tabs>
        <w:ind w:firstLine="720"/>
        <w:jc w:val="both"/>
        <w:rPr>
          <w:rFonts w:asciiTheme="majorHAnsi" w:eastAsia="MS Mincho" w:hAnsiTheme="majorHAnsi"/>
          <w:b/>
          <w:sz w:val="20"/>
          <w:szCs w:val="20"/>
        </w:rPr>
      </w:pPr>
    </w:p>
    <w:p w14:paraId="5B93CDFB" w14:textId="5ABEC05B" w:rsidR="003D1E86" w:rsidRPr="00E74040" w:rsidRDefault="003D1E86"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E74040">
        <w:rPr>
          <w:rFonts w:asciiTheme="majorHAnsi" w:eastAsia="MS Mincho" w:hAnsiTheme="majorHAnsi"/>
          <w:sz w:val="20"/>
          <w:szCs w:val="20"/>
        </w:rPr>
        <w:t xml:space="preserve">The IACHR reiterates that, in accordance with articles 48.1.f and 49 of the American Convention, this procedure has the objective of “reaching a friendly settlement of the matter on the basis of </w:t>
      </w:r>
      <w:r w:rsidR="00B01DDC" w:rsidRPr="00E74040">
        <w:rPr>
          <w:rFonts w:asciiTheme="majorHAnsi" w:eastAsia="MS Mincho" w:hAnsiTheme="majorHAnsi"/>
          <w:sz w:val="20"/>
          <w:szCs w:val="20"/>
        </w:rPr>
        <w:t xml:space="preserve">the </w:t>
      </w:r>
      <w:r w:rsidRPr="00E74040">
        <w:rPr>
          <w:rFonts w:asciiTheme="majorHAnsi" w:eastAsia="MS Mincho" w:hAnsiTheme="majorHAnsi"/>
          <w:sz w:val="20"/>
          <w:szCs w:val="20"/>
        </w:rPr>
        <w:t xml:space="preserve">respect for the human rights recognized in this Convention”. The consent </w:t>
      </w:r>
      <w:r w:rsidR="002F4B60" w:rsidRPr="00E74040">
        <w:rPr>
          <w:rFonts w:asciiTheme="majorHAnsi" w:eastAsia="MS Mincho" w:hAnsiTheme="majorHAnsi"/>
          <w:sz w:val="20"/>
          <w:szCs w:val="20"/>
        </w:rPr>
        <w:t xml:space="preserve">to undertaking this procedure expresses the good will of the State to fulfill the purposes and objectives of the Convention and in light of the </w:t>
      </w:r>
      <w:r w:rsidR="002F4B60" w:rsidRPr="00E74040">
        <w:rPr>
          <w:rFonts w:asciiTheme="majorHAnsi" w:eastAsia="MS Mincho" w:hAnsiTheme="majorHAnsi"/>
          <w:i/>
          <w:iCs/>
          <w:sz w:val="20"/>
          <w:szCs w:val="20"/>
        </w:rPr>
        <w:t>pact sunt servanda</w:t>
      </w:r>
      <w:r w:rsidR="002F4B60" w:rsidRPr="00E74040">
        <w:rPr>
          <w:rFonts w:asciiTheme="majorHAnsi" w:eastAsia="MS Mincho" w:hAnsiTheme="majorHAnsi"/>
          <w:sz w:val="20"/>
          <w:szCs w:val="20"/>
        </w:rPr>
        <w:t xml:space="preserve"> principle,</w:t>
      </w:r>
      <w:r w:rsidR="0009775A" w:rsidRPr="00E74040">
        <w:rPr>
          <w:rFonts w:asciiTheme="majorHAnsi" w:eastAsia="MS Mincho" w:hAnsiTheme="majorHAnsi"/>
          <w:sz w:val="20"/>
          <w:szCs w:val="20"/>
        </w:rPr>
        <w:t xml:space="preserve"> by which States must perform in good faith the obligations undertaken in treaties.</w:t>
      </w:r>
      <w:r w:rsidR="0009775A" w:rsidRPr="00E74040">
        <w:rPr>
          <w:rFonts w:asciiTheme="majorHAnsi" w:hAnsiTheme="majorHAnsi"/>
          <w:sz w:val="20"/>
          <w:szCs w:val="20"/>
          <w:bdr w:val="none" w:sz="0" w:space="0" w:color="auto" w:frame="1"/>
          <w:vertAlign w:val="superscript"/>
          <w:lang w:val="es-AR"/>
        </w:rPr>
        <w:footnoteReference w:id="5"/>
      </w:r>
      <w:r w:rsidR="0009775A" w:rsidRPr="00E74040">
        <w:rPr>
          <w:rFonts w:asciiTheme="majorHAnsi" w:eastAsia="MS Mincho" w:hAnsiTheme="majorHAnsi"/>
          <w:sz w:val="20"/>
          <w:szCs w:val="20"/>
        </w:rPr>
        <w:t xml:space="preserve"> It also wishes to reiterate that the friendly settlement procedure established in the Convention allows for termination of individual cases in a non-contentious manner and has proven, in cases related to numerous countries, to offer an im</w:t>
      </w:r>
      <w:r w:rsidR="0015257D">
        <w:rPr>
          <w:rFonts w:asciiTheme="majorHAnsi" w:eastAsia="MS Mincho" w:hAnsiTheme="majorHAnsi"/>
          <w:sz w:val="20"/>
          <w:szCs w:val="20"/>
        </w:rPr>
        <w:t xml:space="preserve">portant vehicle for resolution </w:t>
      </w:r>
      <w:r w:rsidR="0009775A" w:rsidRPr="00E74040">
        <w:rPr>
          <w:rFonts w:asciiTheme="majorHAnsi" w:eastAsia="MS Mincho" w:hAnsiTheme="majorHAnsi"/>
          <w:sz w:val="20"/>
          <w:szCs w:val="20"/>
        </w:rPr>
        <w:t>that may be utilized by both parties.</w:t>
      </w:r>
    </w:p>
    <w:p w14:paraId="4D31366B" w14:textId="77777777" w:rsidR="00B333BF" w:rsidRPr="00E74040" w:rsidRDefault="00B333BF" w:rsidP="00E74040">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rPr>
      </w:pPr>
    </w:p>
    <w:p w14:paraId="12C1A86A" w14:textId="5B860621" w:rsidR="0009775A" w:rsidRPr="0015257D" w:rsidRDefault="0009775A"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E74040">
        <w:rPr>
          <w:rFonts w:asciiTheme="majorHAnsi" w:eastAsia="MS Mincho" w:hAnsiTheme="majorHAnsi"/>
          <w:color w:val="000000"/>
          <w:sz w:val="20"/>
          <w:szCs w:val="20"/>
        </w:rPr>
        <w:t xml:space="preserve">The Inter-American Commission has followed closely the development of the friendly settlement at which </w:t>
      </w:r>
      <w:r w:rsidR="00B5009B" w:rsidRPr="00E74040">
        <w:rPr>
          <w:rFonts w:asciiTheme="majorHAnsi" w:eastAsia="MS Mincho" w:hAnsiTheme="majorHAnsi"/>
          <w:color w:val="000000"/>
          <w:sz w:val="20"/>
          <w:szCs w:val="20"/>
        </w:rPr>
        <w:t xml:space="preserve">the parties arrived in this case and values highly the efforts deployed by both parties during </w:t>
      </w:r>
      <w:r w:rsidR="00B5009B" w:rsidRPr="00E74040">
        <w:rPr>
          <w:rFonts w:asciiTheme="majorHAnsi" w:eastAsia="MS Mincho" w:hAnsiTheme="majorHAnsi"/>
          <w:color w:val="000000"/>
          <w:sz w:val="20"/>
          <w:szCs w:val="20"/>
        </w:rPr>
        <w:lastRenderedPageBreak/>
        <w:t xml:space="preserve">the negotiation of the agreement to conclude this friendly settlement that is compatible with the object and purpose of </w:t>
      </w:r>
      <w:r w:rsidR="00B5009B" w:rsidRPr="0015257D">
        <w:rPr>
          <w:rFonts w:asciiTheme="majorHAnsi" w:eastAsia="MS Mincho" w:hAnsiTheme="majorHAnsi"/>
          <w:color w:val="000000"/>
          <w:sz w:val="20"/>
          <w:szCs w:val="20"/>
        </w:rPr>
        <w:t>the Convention.</w:t>
      </w:r>
    </w:p>
    <w:p w14:paraId="7923B2BE" w14:textId="77777777" w:rsidR="006C0FF0" w:rsidRPr="0015257D" w:rsidRDefault="006C0FF0" w:rsidP="00E74040">
      <w:pPr>
        <w:ind w:firstLine="720"/>
        <w:rPr>
          <w:rFonts w:asciiTheme="majorHAnsi" w:eastAsia="MS Mincho" w:hAnsiTheme="majorHAnsi"/>
          <w:sz w:val="20"/>
          <w:szCs w:val="20"/>
        </w:rPr>
      </w:pPr>
    </w:p>
    <w:p w14:paraId="0805F194" w14:textId="7922C394" w:rsidR="00B5009B" w:rsidRPr="0015257D" w:rsidRDefault="00B5009B"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15257D">
        <w:rPr>
          <w:rFonts w:asciiTheme="majorHAnsi" w:eastAsia="MS Mincho" w:hAnsiTheme="majorHAnsi"/>
          <w:color w:val="000000"/>
          <w:sz w:val="20"/>
          <w:szCs w:val="20"/>
        </w:rPr>
        <w:t xml:space="preserve">In light of the information submitted by the parties until this moment and </w:t>
      </w:r>
      <w:r w:rsidR="0015257D" w:rsidRPr="0015257D">
        <w:rPr>
          <w:rFonts w:asciiTheme="majorHAnsi" w:eastAsia="MS Mincho" w:hAnsiTheme="majorHAnsi"/>
          <w:color w:val="000000"/>
          <w:sz w:val="20"/>
          <w:szCs w:val="20"/>
        </w:rPr>
        <w:t>given</w:t>
      </w:r>
      <w:r w:rsidRPr="0015257D">
        <w:rPr>
          <w:rFonts w:asciiTheme="majorHAnsi" w:eastAsia="MS Mincho" w:hAnsiTheme="majorHAnsi"/>
          <w:color w:val="000000"/>
          <w:sz w:val="20"/>
          <w:szCs w:val="20"/>
        </w:rPr>
        <w:t xml:space="preserve"> the time that has elapsed </w:t>
      </w:r>
      <w:r w:rsidR="0015257D">
        <w:rPr>
          <w:rFonts w:asciiTheme="majorHAnsi" w:eastAsia="MS Mincho" w:hAnsiTheme="majorHAnsi"/>
          <w:color w:val="000000"/>
          <w:sz w:val="20"/>
          <w:szCs w:val="20"/>
        </w:rPr>
        <w:t xml:space="preserve">during </w:t>
      </w:r>
      <w:r w:rsidRPr="0015257D">
        <w:rPr>
          <w:rFonts w:asciiTheme="majorHAnsi" w:eastAsia="MS Mincho" w:hAnsiTheme="majorHAnsi"/>
          <w:color w:val="000000"/>
          <w:sz w:val="20"/>
          <w:szCs w:val="20"/>
        </w:rPr>
        <w:t>the process of negotiation, the Commission must value the fulfillment of the commitments contained in said friendly settlement agreement.</w:t>
      </w:r>
    </w:p>
    <w:p w14:paraId="65680702" w14:textId="30301C0F" w:rsidR="00B333BF" w:rsidRPr="00E74040" w:rsidRDefault="00B333BF" w:rsidP="00E740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14:paraId="698B72C5" w14:textId="4FE0BCE6" w:rsidR="00B5009B" w:rsidRPr="00E74040" w:rsidRDefault="00B5009B"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E74040">
        <w:rPr>
          <w:rFonts w:asciiTheme="majorHAnsi" w:eastAsia="MS Mincho" w:hAnsiTheme="majorHAnsi"/>
          <w:color w:val="000000"/>
          <w:sz w:val="20"/>
          <w:szCs w:val="20"/>
        </w:rPr>
        <w:t xml:space="preserve">With regards to section IV.1 dealing with the public act of acknowledgment of responsibility, as informed by the parties, on December 17, 2011, a public act of acknowledgment of responsibility and request for forgiveness was held at the Municipal Theater of Culture of the municipality of Coatepeque, the native city of the victim. The act was presided over by the President of COPREDEH and was attended by the Director of the National Civil Police. In that regard, in a communication dated March 11, 2012, the petitioner confirmed that the act was held and that the summary of the request for forgiveness was broadcasted in local cable channels. Additionally, the Commission was able to verify the publication of a press </w:t>
      </w:r>
      <w:r w:rsidR="0015257D" w:rsidRPr="00E74040">
        <w:rPr>
          <w:rFonts w:asciiTheme="majorHAnsi" w:eastAsia="MS Mincho" w:hAnsiTheme="majorHAnsi"/>
          <w:color w:val="000000"/>
          <w:sz w:val="20"/>
          <w:szCs w:val="20"/>
        </w:rPr>
        <w:t>article, which</w:t>
      </w:r>
      <w:r w:rsidR="00C53A3F" w:rsidRPr="00E74040">
        <w:rPr>
          <w:rFonts w:asciiTheme="majorHAnsi" w:eastAsia="MS Mincho" w:hAnsiTheme="majorHAnsi"/>
          <w:color w:val="000000"/>
          <w:sz w:val="20"/>
          <w:szCs w:val="20"/>
        </w:rPr>
        <w:t xml:space="preserve"> </w:t>
      </w:r>
      <w:r w:rsidR="0015257D">
        <w:rPr>
          <w:rFonts w:asciiTheme="majorHAnsi" w:eastAsia="MS Mincho" w:hAnsiTheme="majorHAnsi"/>
          <w:color w:val="000000"/>
          <w:sz w:val="20"/>
          <w:szCs w:val="20"/>
        </w:rPr>
        <w:t xml:space="preserve">was </w:t>
      </w:r>
      <w:r w:rsidR="00C53A3F" w:rsidRPr="00E74040">
        <w:rPr>
          <w:rFonts w:asciiTheme="majorHAnsi" w:eastAsia="MS Mincho" w:hAnsiTheme="majorHAnsi"/>
          <w:color w:val="000000"/>
          <w:sz w:val="20"/>
          <w:szCs w:val="20"/>
        </w:rPr>
        <w:t xml:space="preserve">publicly distributed in the newspaper </w:t>
      </w:r>
      <w:r w:rsidR="00C53A3F" w:rsidRPr="00E74040">
        <w:rPr>
          <w:rFonts w:asciiTheme="majorHAnsi" w:eastAsia="MS Mincho" w:hAnsiTheme="majorHAnsi"/>
          <w:i/>
          <w:iCs/>
          <w:color w:val="000000"/>
          <w:sz w:val="20"/>
          <w:szCs w:val="20"/>
        </w:rPr>
        <w:t xml:space="preserve">El </w:t>
      </w:r>
      <w:proofErr w:type="spellStart"/>
      <w:r w:rsidR="00C53A3F" w:rsidRPr="00E74040">
        <w:rPr>
          <w:rFonts w:asciiTheme="majorHAnsi" w:eastAsia="MS Mincho" w:hAnsiTheme="majorHAnsi"/>
          <w:i/>
          <w:iCs/>
          <w:color w:val="000000"/>
          <w:sz w:val="20"/>
          <w:szCs w:val="20"/>
        </w:rPr>
        <w:t>Quetzalteco</w:t>
      </w:r>
      <w:proofErr w:type="spellEnd"/>
      <w:r w:rsidR="00C53A3F" w:rsidRPr="00E74040">
        <w:rPr>
          <w:rFonts w:asciiTheme="majorHAnsi" w:eastAsia="MS Mincho" w:hAnsiTheme="majorHAnsi"/>
          <w:color w:val="000000"/>
          <w:sz w:val="20"/>
          <w:szCs w:val="20"/>
        </w:rPr>
        <w:t>.</w:t>
      </w:r>
      <w:r w:rsidR="00C53A3F" w:rsidRPr="00E74040">
        <w:rPr>
          <w:rStyle w:val="FootnoteReference"/>
          <w:rFonts w:asciiTheme="majorHAnsi" w:eastAsia="MS Mincho" w:hAnsiTheme="majorHAnsi"/>
          <w:color w:val="000000"/>
          <w:sz w:val="20"/>
          <w:szCs w:val="20"/>
          <w:lang w:val="es-ES"/>
        </w:rPr>
        <w:footnoteReference w:id="6"/>
      </w:r>
      <w:r w:rsidR="00C53A3F" w:rsidRPr="00E74040">
        <w:rPr>
          <w:rFonts w:asciiTheme="majorHAnsi" w:eastAsia="MS Mincho" w:hAnsiTheme="majorHAnsi"/>
          <w:color w:val="000000"/>
          <w:sz w:val="20"/>
          <w:szCs w:val="20"/>
        </w:rPr>
        <w:t xml:space="preserve"> The Commission considers, taking into account the information provided by the parties, </w:t>
      </w:r>
      <w:r w:rsidR="00BC2C84">
        <w:rPr>
          <w:rFonts w:asciiTheme="majorHAnsi" w:eastAsia="MS Mincho" w:hAnsiTheme="majorHAnsi"/>
          <w:color w:val="000000"/>
          <w:sz w:val="20"/>
          <w:szCs w:val="20"/>
        </w:rPr>
        <w:t xml:space="preserve">letters </w:t>
      </w:r>
      <w:r w:rsidR="00C53A3F" w:rsidRPr="00E74040">
        <w:rPr>
          <w:rFonts w:asciiTheme="majorHAnsi" w:eastAsia="MS Mincho" w:hAnsiTheme="majorHAnsi"/>
          <w:color w:val="000000"/>
          <w:sz w:val="20"/>
          <w:szCs w:val="20"/>
        </w:rPr>
        <w:t xml:space="preserve">a), b) and c) of </w:t>
      </w:r>
      <w:r w:rsidR="00BC2C84">
        <w:rPr>
          <w:rFonts w:asciiTheme="majorHAnsi" w:eastAsia="MS Mincho" w:hAnsiTheme="majorHAnsi"/>
          <w:color w:val="000000"/>
          <w:sz w:val="20"/>
          <w:szCs w:val="20"/>
        </w:rPr>
        <w:t>clause</w:t>
      </w:r>
      <w:r w:rsidR="00C53A3F" w:rsidRPr="00E74040">
        <w:rPr>
          <w:rFonts w:asciiTheme="majorHAnsi" w:eastAsia="MS Mincho" w:hAnsiTheme="majorHAnsi"/>
          <w:color w:val="000000"/>
          <w:sz w:val="20"/>
          <w:szCs w:val="20"/>
        </w:rPr>
        <w:t xml:space="preserve"> IV.1 of the agreement have been entirely fulfilled and so declares.</w:t>
      </w:r>
    </w:p>
    <w:p w14:paraId="0820B0F2" w14:textId="514B4301" w:rsidR="000414AD" w:rsidRPr="00E74040" w:rsidRDefault="000414AD" w:rsidP="00E740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14:paraId="3E117AED" w14:textId="284A0BDE" w:rsidR="00C53A3F" w:rsidRPr="00E74040" w:rsidRDefault="00C53A3F"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E74040">
        <w:rPr>
          <w:rFonts w:asciiTheme="majorHAnsi" w:eastAsia="MS Mincho" w:hAnsiTheme="majorHAnsi"/>
          <w:color w:val="000000"/>
          <w:sz w:val="20"/>
          <w:szCs w:val="20"/>
        </w:rPr>
        <w:t xml:space="preserve">With regards to section IV.2, concerning the establishment of a Promotion Committee composed of the justice bodies and to promote the investigation over the death of the victim and follow up on the administrative procedures against employees and government officials deemed responsible of negligent behavior during the first stages of the investigation, the State informed that on August 27, 2012, said Committee was established. </w:t>
      </w:r>
      <w:r w:rsidR="00BC2C84">
        <w:rPr>
          <w:rFonts w:asciiTheme="majorHAnsi" w:eastAsia="MS Mincho" w:hAnsiTheme="majorHAnsi"/>
          <w:color w:val="000000"/>
          <w:sz w:val="20"/>
          <w:szCs w:val="20"/>
        </w:rPr>
        <w:t>Regarding</w:t>
      </w:r>
      <w:r w:rsidRPr="00E74040">
        <w:rPr>
          <w:rFonts w:asciiTheme="majorHAnsi" w:eastAsia="MS Mincho" w:hAnsiTheme="majorHAnsi"/>
          <w:color w:val="000000"/>
          <w:sz w:val="20"/>
          <w:szCs w:val="20"/>
        </w:rPr>
        <w:t xml:space="preserve"> the request to update and carry out the arrest warrant over the suspect of the homicide of young Solórzano Contreras, the petitioner reported that it had received information that he had died in Mexican territory. This information was later confirmed by the State of </w:t>
      </w:r>
      <w:r w:rsidR="00BC2C84" w:rsidRPr="00E74040">
        <w:rPr>
          <w:rFonts w:asciiTheme="majorHAnsi" w:eastAsia="MS Mincho" w:hAnsiTheme="majorHAnsi"/>
          <w:color w:val="000000"/>
          <w:sz w:val="20"/>
          <w:szCs w:val="20"/>
        </w:rPr>
        <w:t>Guatemala, which</w:t>
      </w:r>
      <w:r w:rsidRPr="00E74040">
        <w:rPr>
          <w:rFonts w:asciiTheme="majorHAnsi" w:eastAsia="MS Mincho" w:hAnsiTheme="majorHAnsi"/>
          <w:color w:val="000000"/>
          <w:sz w:val="20"/>
          <w:szCs w:val="20"/>
        </w:rPr>
        <w:t xml:space="preserve">, on October 28, 2015, informed that, while it had been possible to confirm that the suspect lived in Mexico under a pseudonym, he had apparently passed away on May 16, 2010. In that regard, the petitioner indicated that, while the case against the suspect had become moot as a result of his death, </w:t>
      </w:r>
      <w:r w:rsidR="00E07A91" w:rsidRPr="00E74040">
        <w:rPr>
          <w:rFonts w:asciiTheme="majorHAnsi" w:eastAsia="MS Mincho" w:hAnsiTheme="majorHAnsi"/>
          <w:color w:val="000000"/>
          <w:sz w:val="20"/>
          <w:szCs w:val="20"/>
        </w:rPr>
        <w:t>the investigatory measure related to the administrative and judicial procedures against the state employees pointed out as responsible for the negligence that derived in the lack of justice in the present case ha</w:t>
      </w:r>
      <w:r w:rsidR="00BC2C84">
        <w:rPr>
          <w:rFonts w:asciiTheme="majorHAnsi" w:eastAsia="MS Mincho" w:hAnsiTheme="majorHAnsi"/>
          <w:color w:val="000000"/>
          <w:sz w:val="20"/>
          <w:szCs w:val="20"/>
        </w:rPr>
        <w:t>d</w:t>
      </w:r>
      <w:r w:rsidR="00E07A91" w:rsidRPr="00E74040">
        <w:rPr>
          <w:rFonts w:asciiTheme="majorHAnsi" w:eastAsia="MS Mincho" w:hAnsiTheme="majorHAnsi"/>
          <w:color w:val="000000"/>
          <w:sz w:val="20"/>
          <w:szCs w:val="20"/>
        </w:rPr>
        <w:t xml:space="preserve"> not yet been complied with.</w:t>
      </w:r>
    </w:p>
    <w:p w14:paraId="1432589D" w14:textId="77777777" w:rsidR="00204342" w:rsidRPr="00E74040" w:rsidRDefault="00204342" w:rsidP="00E740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14:paraId="73394706" w14:textId="65D3A90C" w:rsidR="00E07A91" w:rsidRPr="00E74040" w:rsidRDefault="007332F8"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E74040">
        <w:rPr>
          <w:rFonts w:asciiTheme="majorHAnsi" w:eastAsia="MS Mincho" w:hAnsiTheme="majorHAnsi"/>
          <w:color w:val="000000"/>
          <w:sz w:val="20"/>
          <w:szCs w:val="20"/>
        </w:rPr>
        <w:t xml:space="preserve">In this regard, the Commission observes that, while the investigatory measure </w:t>
      </w:r>
      <w:r w:rsidR="00BC2C84">
        <w:rPr>
          <w:rFonts w:asciiTheme="majorHAnsi" w:eastAsia="MS Mincho" w:hAnsiTheme="majorHAnsi"/>
          <w:color w:val="000000"/>
          <w:sz w:val="20"/>
          <w:szCs w:val="20"/>
        </w:rPr>
        <w:t xml:space="preserve">concerning </w:t>
      </w:r>
      <w:r w:rsidRPr="00E74040">
        <w:rPr>
          <w:rFonts w:asciiTheme="majorHAnsi" w:eastAsia="MS Mincho" w:hAnsiTheme="majorHAnsi"/>
          <w:color w:val="000000"/>
          <w:sz w:val="20"/>
          <w:szCs w:val="20"/>
        </w:rPr>
        <w:t>the individual allegedly responsible for the murder has become moot because of his death, it still does not possess enough information concerning the measures undertaken by the State of Guatemala to disciplinary punish those government officials involved in the failures of the investigation that allowed the alleged suspect to flee and the case to be unpunished. In light of this, the Commission considers that this aspect of the Friendly Settlement Agreement has not yet been complied w</w:t>
      </w:r>
      <w:r w:rsidR="00BC2C84">
        <w:rPr>
          <w:rFonts w:asciiTheme="majorHAnsi" w:eastAsia="MS Mincho" w:hAnsiTheme="majorHAnsi"/>
          <w:color w:val="000000"/>
          <w:sz w:val="20"/>
          <w:szCs w:val="20"/>
        </w:rPr>
        <w:t>ith and so it hereby declares it pending for compliance</w:t>
      </w:r>
      <w:r w:rsidRPr="00E74040">
        <w:rPr>
          <w:rFonts w:asciiTheme="majorHAnsi" w:eastAsia="MS Mincho" w:hAnsiTheme="majorHAnsi"/>
          <w:color w:val="000000"/>
          <w:sz w:val="20"/>
          <w:szCs w:val="20"/>
        </w:rPr>
        <w:t>. The Commission will await detailed information on the part of the State about the actions undertaken to investigate and apply disciplinary punishment to the government officials that may have been involved in the criminal investigation and that allowed the facts to go unpunished.</w:t>
      </w:r>
    </w:p>
    <w:p w14:paraId="0A38D12A" w14:textId="127426EB" w:rsidR="006574F0" w:rsidRPr="00E74040" w:rsidRDefault="006574F0" w:rsidP="00E740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14:paraId="2DDF2209" w14:textId="1EEC38E0" w:rsidR="007332F8" w:rsidRPr="00E74040" w:rsidRDefault="00BC2C84"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E74040">
        <w:rPr>
          <w:rFonts w:asciiTheme="majorHAnsi" w:eastAsia="MS Mincho" w:hAnsiTheme="majorHAnsi"/>
          <w:color w:val="000000"/>
          <w:sz w:val="20"/>
          <w:szCs w:val="20"/>
        </w:rPr>
        <w:t>Concerning</w:t>
      </w:r>
      <w:r w:rsidR="007332F8" w:rsidRPr="00E74040">
        <w:rPr>
          <w:rFonts w:asciiTheme="majorHAnsi" w:eastAsia="MS Mincho" w:hAnsiTheme="majorHAnsi"/>
          <w:color w:val="000000"/>
          <w:sz w:val="20"/>
          <w:szCs w:val="20"/>
        </w:rPr>
        <w:t xml:space="preserve"> section IV.3, </w:t>
      </w:r>
      <w:r>
        <w:rPr>
          <w:rFonts w:asciiTheme="majorHAnsi" w:eastAsia="MS Mincho" w:hAnsiTheme="majorHAnsi"/>
          <w:color w:val="000000"/>
          <w:sz w:val="20"/>
          <w:szCs w:val="20"/>
        </w:rPr>
        <w:t>regarding the</w:t>
      </w:r>
      <w:r w:rsidR="007332F8" w:rsidRPr="00E74040">
        <w:rPr>
          <w:rFonts w:asciiTheme="majorHAnsi" w:eastAsia="MS Mincho" w:hAnsiTheme="majorHAnsi"/>
          <w:color w:val="000000"/>
          <w:sz w:val="20"/>
          <w:szCs w:val="20"/>
        </w:rPr>
        <w:t xml:space="preserve"> dignification measures, the petitioners informed that on June 26, 2014, in a public act, a commemorative plaque was installed making the official name change of “10</w:t>
      </w:r>
      <w:r w:rsidR="007332F8" w:rsidRPr="00E74040">
        <w:rPr>
          <w:rFonts w:asciiTheme="majorHAnsi" w:eastAsia="MS Mincho" w:hAnsiTheme="majorHAnsi"/>
          <w:color w:val="000000"/>
          <w:sz w:val="20"/>
          <w:szCs w:val="20"/>
          <w:vertAlign w:val="superscript"/>
        </w:rPr>
        <w:t xml:space="preserve">a </w:t>
      </w:r>
      <w:r w:rsidR="007332F8" w:rsidRPr="00E74040">
        <w:rPr>
          <w:rFonts w:asciiTheme="majorHAnsi" w:eastAsia="MS Mincho" w:hAnsiTheme="majorHAnsi"/>
          <w:color w:val="000000"/>
          <w:sz w:val="20"/>
          <w:szCs w:val="20"/>
        </w:rPr>
        <w:t xml:space="preserve">Avenida zona 2 barrio El </w:t>
      </w:r>
      <w:proofErr w:type="spellStart"/>
      <w:r w:rsidR="007332F8" w:rsidRPr="00E74040">
        <w:rPr>
          <w:rFonts w:asciiTheme="majorHAnsi" w:eastAsia="MS Mincho" w:hAnsiTheme="majorHAnsi"/>
          <w:color w:val="000000"/>
          <w:sz w:val="20"/>
          <w:szCs w:val="20"/>
        </w:rPr>
        <w:t>Jardín</w:t>
      </w:r>
      <w:proofErr w:type="spellEnd"/>
      <w:r w:rsidR="007332F8" w:rsidRPr="00E74040">
        <w:rPr>
          <w:rFonts w:asciiTheme="majorHAnsi" w:eastAsia="MS Mincho" w:hAnsiTheme="majorHAnsi"/>
          <w:color w:val="000000"/>
          <w:sz w:val="20"/>
          <w:szCs w:val="20"/>
        </w:rPr>
        <w:t>” to “</w:t>
      </w:r>
      <w:proofErr w:type="spellStart"/>
      <w:r w:rsidR="007332F8" w:rsidRPr="00E74040">
        <w:rPr>
          <w:rFonts w:asciiTheme="majorHAnsi" w:eastAsia="MS Mincho" w:hAnsiTheme="majorHAnsi"/>
          <w:color w:val="000000"/>
          <w:sz w:val="20"/>
          <w:szCs w:val="20"/>
        </w:rPr>
        <w:t>Estudiante</w:t>
      </w:r>
      <w:proofErr w:type="spellEnd"/>
      <w:r w:rsidR="007332F8" w:rsidRPr="00E74040">
        <w:rPr>
          <w:rFonts w:asciiTheme="majorHAnsi" w:eastAsia="MS Mincho" w:hAnsiTheme="majorHAnsi"/>
          <w:color w:val="000000"/>
          <w:sz w:val="20"/>
          <w:szCs w:val="20"/>
        </w:rPr>
        <w:t xml:space="preserve"> Richard Solórzano”, thereby fulfilling </w:t>
      </w:r>
      <w:r>
        <w:rPr>
          <w:rFonts w:asciiTheme="majorHAnsi" w:eastAsia="MS Mincho" w:hAnsiTheme="majorHAnsi"/>
          <w:color w:val="000000"/>
          <w:sz w:val="20"/>
          <w:szCs w:val="20"/>
        </w:rPr>
        <w:t>letter</w:t>
      </w:r>
      <w:r w:rsidR="007332F8" w:rsidRPr="00E74040">
        <w:rPr>
          <w:rFonts w:asciiTheme="majorHAnsi" w:eastAsia="MS Mincho" w:hAnsiTheme="majorHAnsi"/>
          <w:color w:val="000000"/>
          <w:sz w:val="20"/>
          <w:szCs w:val="20"/>
        </w:rPr>
        <w:t xml:space="preserve"> a) of </w:t>
      </w:r>
      <w:r>
        <w:rPr>
          <w:rFonts w:asciiTheme="majorHAnsi" w:eastAsia="MS Mincho" w:hAnsiTheme="majorHAnsi"/>
          <w:color w:val="000000"/>
          <w:sz w:val="20"/>
          <w:szCs w:val="20"/>
        </w:rPr>
        <w:t>clause IV.3</w:t>
      </w:r>
      <w:r w:rsidR="007332F8" w:rsidRPr="00E74040">
        <w:rPr>
          <w:rFonts w:asciiTheme="majorHAnsi" w:eastAsia="MS Mincho" w:hAnsiTheme="majorHAnsi"/>
          <w:color w:val="000000"/>
          <w:sz w:val="20"/>
          <w:szCs w:val="20"/>
        </w:rPr>
        <w:t xml:space="preserve">. In addition, in relation to the </w:t>
      </w:r>
      <w:r w:rsidR="00DB5F63" w:rsidRPr="00E74040">
        <w:rPr>
          <w:rFonts w:asciiTheme="majorHAnsi" w:eastAsia="MS Mincho" w:hAnsiTheme="majorHAnsi"/>
          <w:color w:val="000000"/>
          <w:sz w:val="20"/>
          <w:szCs w:val="20"/>
        </w:rPr>
        <w:t xml:space="preserve">granting in usufruct of state property for the functioning of the Richard Conrad Solórzano Contreras Foundation, the petitioner informed that on December 2, 2013, through an Ordinary Deed of the Municipal Council subsection II, a 25-year usufruct of a commercial premises located in the terminal market of the city of Coatepeque was approved, to install the offices of the petitioners' organization. However, the petitioners indicated that said property was not formally delivered in writing by State authorities and that </w:t>
      </w:r>
      <w:r w:rsidRPr="00E74040">
        <w:rPr>
          <w:rFonts w:asciiTheme="majorHAnsi" w:eastAsia="MS Mincho" w:hAnsiTheme="majorHAnsi"/>
          <w:color w:val="000000"/>
          <w:sz w:val="20"/>
          <w:szCs w:val="20"/>
        </w:rPr>
        <w:t>it</w:t>
      </w:r>
      <w:r w:rsidR="00DB5F63" w:rsidRPr="00E74040">
        <w:rPr>
          <w:rFonts w:asciiTheme="majorHAnsi" w:eastAsia="MS Mincho" w:hAnsiTheme="majorHAnsi"/>
          <w:color w:val="000000"/>
          <w:sz w:val="20"/>
          <w:szCs w:val="20"/>
        </w:rPr>
        <w:t xml:space="preserve"> does not have sufficient space, furniture and security measures required </w:t>
      </w:r>
      <w:r w:rsidRPr="00E74040">
        <w:rPr>
          <w:rFonts w:asciiTheme="majorHAnsi" w:eastAsia="MS Mincho" w:hAnsiTheme="majorHAnsi"/>
          <w:color w:val="000000"/>
          <w:sz w:val="20"/>
          <w:szCs w:val="20"/>
        </w:rPr>
        <w:t>for</w:t>
      </w:r>
      <w:r w:rsidR="00DB5F63" w:rsidRPr="00E74040">
        <w:rPr>
          <w:rFonts w:asciiTheme="majorHAnsi" w:eastAsia="MS Mincho" w:hAnsiTheme="majorHAnsi"/>
          <w:color w:val="000000"/>
          <w:sz w:val="20"/>
          <w:szCs w:val="20"/>
        </w:rPr>
        <w:t xml:space="preserve"> the organization's effective functioning in said property. Taking into account the information elements provided </w:t>
      </w:r>
      <w:r w:rsidR="00DB5F63" w:rsidRPr="00E74040">
        <w:rPr>
          <w:rFonts w:asciiTheme="majorHAnsi" w:eastAsia="MS Mincho" w:hAnsiTheme="majorHAnsi"/>
          <w:color w:val="000000"/>
          <w:sz w:val="20"/>
          <w:szCs w:val="20"/>
        </w:rPr>
        <w:lastRenderedPageBreak/>
        <w:t>by the parties, the Commission considers that this point of the Friendly Settlement Agreement is partially fulfilled and so declares</w:t>
      </w:r>
      <w:r>
        <w:rPr>
          <w:rFonts w:asciiTheme="majorHAnsi" w:eastAsia="MS Mincho" w:hAnsiTheme="majorHAnsi"/>
          <w:color w:val="000000"/>
          <w:sz w:val="20"/>
          <w:szCs w:val="20"/>
        </w:rPr>
        <w:t xml:space="preserve"> it declares it. </w:t>
      </w:r>
    </w:p>
    <w:p w14:paraId="2CBA654E" w14:textId="4C1FDB69" w:rsidR="00D37A1B" w:rsidRPr="00E74040" w:rsidRDefault="00D37A1B" w:rsidP="00E740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14:paraId="1722B583" w14:textId="750FBD0A" w:rsidR="00DB5F63" w:rsidRPr="00E74040" w:rsidRDefault="00DB5F63" w:rsidP="00E740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E74040">
        <w:rPr>
          <w:rFonts w:asciiTheme="majorHAnsi" w:eastAsia="MS Mincho" w:hAnsiTheme="majorHAnsi"/>
          <w:sz w:val="20"/>
          <w:szCs w:val="20"/>
        </w:rPr>
        <w:t>With regards to section IV.4, concerning economic reparation, on March 11, 2012, the petitioner informed that it received the total sum in three disbursements dated April 28 and December 28, 2011, and February 28, 2012. In that regard, having both parties confirmed the fulfillment of the measure, the Commission considers that the State has complied with the commitment established in this point of the agreement and thus considers it entirely fulfilled.</w:t>
      </w:r>
    </w:p>
    <w:p w14:paraId="298A0B61" w14:textId="77777777" w:rsidR="008103B8" w:rsidRPr="00E74040" w:rsidRDefault="008103B8" w:rsidP="00E74040">
      <w:pPr>
        <w:ind w:firstLine="720"/>
        <w:rPr>
          <w:rFonts w:asciiTheme="majorHAnsi" w:eastAsia="MS Mincho" w:hAnsiTheme="majorHAnsi"/>
          <w:sz w:val="20"/>
          <w:szCs w:val="20"/>
        </w:rPr>
      </w:pPr>
    </w:p>
    <w:p w14:paraId="6A884F81" w14:textId="5E736B0F" w:rsidR="00DB5F63" w:rsidRPr="00E74040" w:rsidRDefault="00DB5F63"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E74040">
        <w:rPr>
          <w:rFonts w:asciiTheme="majorHAnsi" w:eastAsia="MS Mincho" w:hAnsiTheme="majorHAnsi"/>
          <w:sz w:val="20"/>
          <w:szCs w:val="20"/>
        </w:rPr>
        <w:t xml:space="preserve">In light of the foregoing considerations, the Commission considers that </w:t>
      </w:r>
      <w:r w:rsidR="00BC2C84">
        <w:rPr>
          <w:rFonts w:asciiTheme="majorHAnsi" w:eastAsia="MS Mincho" w:hAnsiTheme="majorHAnsi"/>
          <w:sz w:val="20"/>
          <w:szCs w:val="20"/>
        </w:rPr>
        <w:t>letters</w:t>
      </w:r>
      <w:r w:rsidRPr="00E74040">
        <w:rPr>
          <w:rFonts w:asciiTheme="majorHAnsi" w:eastAsia="MS Mincho" w:hAnsiTheme="majorHAnsi"/>
          <w:sz w:val="20"/>
          <w:szCs w:val="20"/>
        </w:rPr>
        <w:t xml:space="preserve"> a, b and c of </w:t>
      </w:r>
      <w:r w:rsidR="00BC2C84">
        <w:rPr>
          <w:rFonts w:asciiTheme="majorHAnsi" w:eastAsia="MS Mincho" w:hAnsiTheme="majorHAnsi"/>
          <w:sz w:val="20"/>
          <w:szCs w:val="20"/>
        </w:rPr>
        <w:t>clauses</w:t>
      </w:r>
      <w:r w:rsidRPr="00E74040">
        <w:rPr>
          <w:rFonts w:asciiTheme="majorHAnsi" w:eastAsia="MS Mincho" w:hAnsiTheme="majorHAnsi"/>
          <w:sz w:val="20"/>
          <w:szCs w:val="20"/>
        </w:rPr>
        <w:t xml:space="preserve"> IV.1 (public act of acknowledgment and dissemination</w:t>
      </w:r>
      <w:r w:rsidR="00AE4DD5" w:rsidRPr="00E74040">
        <w:rPr>
          <w:rFonts w:asciiTheme="majorHAnsi" w:eastAsia="MS Mincho" w:hAnsiTheme="majorHAnsi"/>
          <w:sz w:val="20"/>
          <w:szCs w:val="20"/>
        </w:rPr>
        <w:t>), IV.3 a</w:t>
      </w:r>
      <w:r w:rsidRPr="00E74040">
        <w:rPr>
          <w:rFonts w:asciiTheme="majorHAnsi" w:eastAsia="MS Mincho" w:hAnsiTheme="majorHAnsi"/>
          <w:sz w:val="20"/>
          <w:szCs w:val="20"/>
        </w:rPr>
        <w:t xml:space="preserve"> (naming of a street in memory of the victim) and IV</w:t>
      </w:r>
      <w:r w:rsidR="00C47ABB" w:rsidRPr="00E74040">
        <w:rPr>
          <w:rFonts w:asciiTheme="majorHAnsi" w:eastAsia="MS Mincho" w:hAnsiTheme="majorHAnsi"/>
          <w:sz w:val="20"/>
          <w:szCs w:val="20"/>
        </w:rPr>
        <w:t>.</w:t>
      </w:r>
      <w:r w:rsidRPr="00E74040">
        <w:rPr>
          <w:rFonts w:asciiTheme="majorHAnsi" w:eastAsia="MS Mincho" w:hAnsiTheme="majorHAnsi"/>
          <w:sz w:val="20"/>
          <w:szCs w:val="20"/>
        </w:rPr>
        <w:t>4 (economic reparation) are totally fulfilled and so declares</w:t>
      </w:r>
      <w:r w:rsidR="00BC2C84">
        <w:rPr>
          <w:rFonts w:asciiTheme="majorHAnsi" w:eastAsia="MS Mincho" w:hAnsiTheme="majorHAnsi"/>
          <w:sz w:val="20"/>
          <w:szCs w:val="20"/>
        </w:rPr>
        <w:t xml:space="preserve"> it declares it</w:t>
      </w:r>
      <w:r w:rsidRPr="00E74040">
        <w:rPr>
          <w:rFonts w:asciiTheme="majorHAnsi" w:eastAsia="MS Mincho" w:hAnsiTheme="majorHAnsi"/>
          <w:sz w:val="20"/>
          <w:szCs w:val="20"/>
        </w:rPr>
        <w:t>. At the same time, the Commissio</w:t>
      </w:r>
      <w:r w:rsidR="00AE4DD5" w:rsidRPr="00E74040">
        <w:rPr>
          <w:rFonts w:asciiTheme="majorHAnsi" w:eastAsia="MS Mincho" w:hAnsiTheme="majorHAnsi"/>
          <w:sz w:val="20"/>
          <w:szCs w:val="20"/>
        </w:rPr>
        <w:t xml:space="preserve">n considers that </w:t>
      </w:r>
      <w:r w:rsidR="00BC2C84">
        <w:rPr>
          <w:rFonts w:asciiTheme="majorHAnsi" w:eastAsia="MS Mincho" w:hAnsiTheme="majorHAnsi"/>
          <w:sz w:val="20"/>
          <w:szCs w:val="20"/>
        </w:rPr>
        <w:t>clause</w:t>
      </w:r>
      <w:r w:rsidR="00AE4DD5" w:rsidRPr="00E74040">
        <w:rPr>
          <w:rFonts w:asciiTheme="majorHAnsi" w:eastAsia="MS Mincho" w:hAnsiTheme="majorHAnsi"/>
          <w:sz w:val="20"/>
          <w:szCs w:val="20"/>
        </w:rPr>
        <w:t xml:space="preserve"> IV.3 b</w:t>
      </w:r>
      <w:r w:rsidRPr="00E74040">
        <w:rPr>
          <w:rFonts w:asciiTheme="majorHAnsi" w:eastAsia="MS Mincho" w:hAnsiTheme="majorHAnsi"/>
          <w:sz w:val="20"/>
          <w:szCs w:val="20"/>
        </w:rPr>
        <w:t xml:space="preserve"> (concession of usufruct over property) is partially fulfilled and so </w:t>
      </w:r>
      <w:r w:rsidR="00BC2C84">
        <w:rPr>
          <w:rFonts w:asciiTheme="majorHAnsi" w:eastAsia="MS Mincho" w:hAnsiTheme="majorHAnsi"/>
          <w:sz w:val="20"/>
          <w:szCs w:val="20"/>
        </w:rPr>
        <w:t xml:space="preserve">it </w:t>
      </w:r>
      <w:r w:rsidRPr="00E74040">
        <w:rPr>
          <w:rFonts w:asciiTheme="majorHAnsi" w:eastAsia="MS Mincho" w:hAnsiTheme="majorHAnsi"/>
          <w:sz w:val="20"/>
          <w:szCs w:val="20"/>
        </w:rPr>
        <w:t>declares</w:t>
      </w:r>
      <w:r w:rsidR="00BC2C84">
        <w:rPr>
          <w:rFonts w:asciiTheme="majorHAnsi" w:eastAsia="MS Mincho" w:hAnsiTheme="majorHAnsi"/>
          <w:sz w:val="20"/>
          <w:szCs w:val="20"/>
        </w:rPr>
        <w:t xml:space="preserve"> it</w:t>
      </w:r>
      <w:r w:rsidRPr="00E74040">
        <w:rPr>
          <w:rFonts w:asciiTheme="majorHAnsi" w:eastAsia="MS Mincho" w:hAnsiTheme="majorHAnsi"/>
          <w:sz w:val="20"/>
          <w:szCs w:val="20"/>
        </w:rPr>
        <w:t xml:space="preserve">. Finally, it declares that </w:t>
      </w:r>
      <w:r w:rsidR="00BC2C84">
        <w:rPr>
          <w:rFonts w:asciiTheme="majorHAnsi" w:eastAsia="MS Mincho" w:hAnsiTheme="majorHAnsi"/>
          <w:sz w:val="20"/>
          <w:szCs w:val="20"/>
        </w:rPr>
        <w:t>clause</w:t>
      </w:r>
      <w:r w:rsidRPr="00E74040">
        <w:rPr>
          <w:rFonts w:asciiTheme="majorHAnsi" w:eastAsia="MS Mincho" w:hAnsiTheme="majorHAnsi"/>
          <w:sz w:val="20"/>
          <w:szCs w:val="20"/>
        </w:rPr>
        <w:t xml:space="preserve"> IV.2 (justice measures) </w:t>
      </w:r>
      <w:r w:rsidR="00BC2C84">
        <w:rPr>
          <w:rFonts w:asciiTheme="majorHAnsi" w:eastAsia="MS Mincho" w:hAnsiTheme="majorHAnsi"/>
          <w:sz w:val="20"/>
          <w:szCs w:val="20"/>
        </w:rPr>
        <w:t>remains pending for compliance and so it declares it</w:t>
      </w:r>
      <w:r w:rsidR="00C47ABB" w:rsidRPr="00E74040">
        <w:rPr>
          <w:rFonts w:asciiTheme="majorHAnsi" w:eastAsia="MS Mincho" w:hAnsiTheme="majorHAnsi"/>
          <w:sz w:val="20"/>
          <w:szCs w:val="20"/>
        </w:rPr>
        <w:t>.</w:t>
      </w:r>
    </w:p>
    <w:p w14:paraId="404215EE" w14:textId="77777777" w:rsidR="008D768D" w:rsidRPr="00E74040" w:rsidRDefault="008D768D" w:rsidP="00E74040">
      <w:pPr>
        <w:tabs>
          <w:tab w:val="center" w:pos="5400"/>
        </w:tabs>
        <w:suppressAutoHyphens/>
        <w:ind w:firstLine="720"/>
        <w:rPr>
          <w:rFonts w:asciiTheme="majorHAnsi" w:hAnsiTheme="majorHAnsi"/>
          <w:sz w:val="20"/>
          <w:szCs w:val="20"/>
        </w:rPr>
      </w:pPr>
    </w:p>
    <w:p w14:paraId="186324C2" w14:textId="36C17BC7" w:rsidR="00C70EB2" w:rsidRPr="00E74040" w:rsidRDefault="00C47ABB" w:rsidP="00E740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E74040">
        <w:rPr>
          <w:rFonts w:asciiTheme="majorHAnsi" w:eastAsia="MS Mincho" w:hAnsiTheme="majorHAnsi"/>
          <w:sz w:val="20"/>
          <w:szCs w:val="20"/>
        </w:rPr>
        <w:t>Finally, the IACHR considers that the rest of the content of the friendly settlement agreement is declaratory in nature, and it will therefore continue to supervise the implementation of the aforementioned sections that have not yet been entirely fulfilled.</w:t>
      </w:r>
    </w:p>
    <w:p w14:paraId="2E85EAAA" w14:textId="77777777" w:rsidR="00D37A1B" w:rsidRPr="00E74040" w:rsidRDefault="00D37A1B" w:rsidP="00E7404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p>
    <w:p w14:paraId="62883A79" w14:textId="0197D538" w:rsidR="00D37A1B" w:rsidRPr="00E74040" w:rsidRDefault="00D37A1B" w:rsidP="00E74040">
      <w:pPr>
        <w:pStyle w:val="ListParagraph"/>
        <w:numPr>
          <w:ilvl w:val="0"/>
          <w:numId w:val="56"/>
        </w:numPr>
        <w:ind w:left="0" w:firstLine="720"/>
        <w:rPr>
          <w:rFonts w:asciiTheme="majorHAnsi" w:eastAsia="MS Mincho" w:hAnsiTheme="majorHAnsi"/>
          <w:b/>
          <w:sz w:val="20"/>
          <w:szCs w:val="20"/>
          <w:lang w:val="es-ES"/>
        </w:rPr>
      </w:pPr>
      <w:r w:rsidRPr="00E74040">
        <w:rPr>
          <w:rFonts w:asciiTheme="majorHAnsi" w:eastAsia="MS Mincho" w:hAnsiTheme="majorHAnsi"/>
          <w:b/>
          <w:sz w:val="20"/>
          <w:szCs w:val="20"/>
          <w:lang w:val="es-ES"/>
        </w:rPr>
        <w:t>CONCLUSION</w:t>
      </w:r>
    </w:p>
    <w:p w14:paraId="1F380F12" w14:textId="77777777" w:rsidR="00D37A1B" w:rsidRPr="00E74040" w:rsidRDefault="00D37A1B" w:rsidP="00E74040">
      <w:pPr>
        <w:pStyle w:val="ListParagraph"/>
        <w:tabs>
          <w:tab w:val="left" w:pos="1440"/>
        </w:tabs>
        <w:ind w:left="0" w:firstLine="720"/>
        <w:jc w:val="both"/>
        <w:rPr>
          <w:rFonts w:asciiTheme="majorHAnsi" w:eastAsia="MS Mincho" w:hAnsiTheme="majorHAnsi"/>
          <w:sz w:val="20"/>
          <w:szCs w:val="20"/>
          <w:lang w:val="es-ES"/>
        </w:rPr>
      </w:pPr>
    </w:p>
    <w:p w14:paraId="2E444840" w14:textId="3C0D6636" w:rsidR="00C47ABB" w:rsidRPr="00E74040" w:rsidRDefault="00D37A1B" w:rsidP="00E74040">
      <w:pPr>
        <w:tabs>
          <w:tab w:val="left" w:pos="1440"/>
        </w:tabs>
        <w:ind w:firstLine="720"/>
        <w:jc w:val="both"/>
        <w:rPr>
          <w:rFonts w:asciiTheme="majorHAnsi" w:eastAsia="MS Mincho" w:hAnsiTheme="majorHAnsi" w:cs="Cambria"/>
          <w:color w:val="000000"/>
          <w:sz w:val="20"/>
          <w:szCs w:val="20"/>
          <w:u w:color="000000"/>
          <w:lang w:eastAsia="es-ES"/>
        </w:rPr>
      </w:pPr>
      <w:r w:rsidRPr="00E74040">
        <w:rPr>
          <w:rFonts w:asciiTheme="majorHAnsi" w:eastAsia="MS Mincho" w:hAnsiTheme="majorHAnsi" w:cs="Cambria"/>
          <w:color w:val="000000"/>
          <w:sz w:val="20"/>
          <w:szCs w:val="20"/>
          <w:u w:color="000000"/>
          <w:lang w:eastAsia="es-ES"/>
        </w:rPr>
        <w:t xml:space="preserve">1. </w:t>
      </w:r>
      <w:r w:rsidRPr="00E74040">
        <w:rPr>
          <w:rFonts w:asciiTheme="majorHAnsi" w:eastAsia="MS Mincho" w:hAnsiTheme="majorHAnsi" w:cs="Cambria"/>
          <w:color w:val="000000"/>
          <w:sz w:val="20"/>
          <w:szCs w:val="20"/>
          <w:u w:color="000000"/>
          <w:lang w:eastAsia="es-ES"/>
        </w:rPr>
        <w:tab/>
      </w:r>
      <w:r w:rsidR="00C47ABB" w:rsidRPr="00E74040">
        <w:rPr>
          <w:rFonts w:asciiTheme="majorHAnsi" w:eastAsia="MS Mincho" w:hAnsiTheme="majorHAnsi" w:cs="Cambria"/>
          <w:color w:val="000000"/>
          <w:sz w:val="20"/>
          <w:szCs w:val="20"/>
          <w:u w:color="000000"/>
          <w:lang w:eastAsia="es-ES"/>
        </w:rPr>
        <w:t>Based on the foregoing considerations and in accordance with the procedure set forth in Articles 48(1</w:t>
      </w:r>
      <w:proofErr w:type="gramStart"/>
      <w:r w:rsidR="00C47ABB" w:rsidRPr="00E74040">
        <w:rPr>
          <w:rFonts w:asciiTheme="majorHAnsi" w:eastAsia="MS Mincho" w:hAnsiTheme="majorHAnsi" w:cs="Cambria"/>
          <w:color w:val="000000"/>
          <w:sz w:val="20"/>
          <w:szCs w:val="20"/>
          <w:u w:color="000000"/>
          <w:lang w:eastAsia="es-ES"/>
        </w:rPr>
        <w:t>)(</w:t>
      </w:r>
      <w:proofErr w:type="gramEnd"/>
      <w:r w:rsidR="00C47ABB" w:rsidRPr="00E74040">
        <w:rPr>
          <w:rFonts w:asciiTheme="majorHAnsi" w:eastAsia="MS Mincho" w:hAnsiTheme="majorHAnsi" w:cs="Cambria"/>
          <w:color w:val="000000"/>
          <w:sz w:val="20"/>
          <w:szCs w:val="20"/>
          <w:u w:color="000000"/>
          <w:lang w:eastAsia="es-ES"/>
        </w:rPr>
        <w:t xml:space="preserve">f) and 49 of the American Convention, the Commission would like to reiterate its profound gratitude for the efforts made by the parties and its satisfaction that this case produced a friendly settlement agreement grounded in respect for human rights and compatible with the object and purpose of the American Convention. </w:t>
      </w:r>
    </w:p>
    <w:p w14:paraId="0C9483D0" w14:textId="77777777" w:rsidR="00C47ABB" w:rsidRPr="00E74040" w:rsidRDefault="00C47ABB" w:rsidP="00E74040">
      <w:pPr>
        <w:tabs>
          <w:tab w:val="left" w:pos="1440"/>
        </w:tabs>
        <w:ind w:firstLine="720"/>
        <w:jc w:val="both"/>
        <w:rPr>
          <w:rFonts w:asciiTheme="majorHAnsi" w:eastAsia="MS Mincho" w:hAnsiTheme="majorHAnsi" w:cs="Cambria"/>
          <w:color w:val="000000"/>
          <w:sz w:val="20"/>
          <w:szCs w:val="20"/>
          <w:u w:color="000000"/>
          <w:lang w:eastAsia="es-ES"/>
        </w:rPr>
      </w:pPr>
    </w:p>
    <w:p w14:paraId="38917DC2" w14:textId="77777777" w:rsidR="00C47ABB" w:rsidRPr="00E74040" w:rsidRDefault="00C47ABB" w:rsidP="00E74040">
      <w:pPr>
        <w:tabs>
          <w:tab w:val="left" w:pos="1440"/>
        </w:tabs>
        <w:ind w:firstLine="720"/>
        <w:jc w:val="both"/>
        <w:rPr>
          <w:rFonts w:asciiTheme="majorHAnsi" w:eastAsia="MS Mincho" w:hAnsiTheme="majorHAnsi" w:cs="Cambria"/>
          <w:color w:val="000000"/>
          <w:sz w:val="20"/>
          <w:szCs w:val="20"/>
          <w:u w:color="000000"/>
          <w:lang w:eastAsia="es-ES"/>
        </w:rPr>
      </w:pPr>
      <w:r w:rsidRPr="00E74040">
        <w:rPr>
          <w:rFonts w:asciiTheme="majorHAnsi" w:eastAsia="MS Mincho" w:hAnsiTheme="majorHAnsi" w:cs="Cambria"/>
          <w:color w:val="000000"/>
          <w:sz w:val="20"/>
          <w:szCs w:val="20"/>
          <w:u w:color="000000"/>
          <w:lang w:eastAsia="es-ES"/>
        </w:rPr>
        <w:t xml:space="preserve">2. </w:t>
      </w:r>
      <w:proofErr w:type="gramStart"/>
      <w:r w:rsidRPr="00E74040">
        <w:rPr>
          <w:rFonts w:asciiTheme="majorHAnsi" w:eastAsia="MS Mincho" w:hAnsiTheme="majorHAnsi" w:cs="Cambria"/>
          <w:color w:val="000000"/>
          <w:sz w:val="20"/>
          <w:szCs w:val="20"/>
          <w:u w:color="000000"/>
          <w:lang w:eastAsia="es-ES"/>
        </w:rPr>
        <w:t>Based</w:t>
      </w:r>
      <w:proofErr w:type="gramEnd"/>
      <w:r w:rsidRPr="00E74040">
        <w:rPr>
          <w:rFonts w:asciiTheme="majorHAnsi" w:eastAsia="MS Mincho" w:hAnsiTheme="majorHAnsi" w:cs="Cambria"/>
          <w:color w:val="000000"/>
          <w:sz w:val="20"/>
          <w:szCs w:val="20"/>
          <w:u w:color="000000"/>
          <w:lang w:eastAsia="es-ES"/>
        </w:rPr>
        <w:t xml:space="preserve"> on the considerations and conclusions set forth in this report, </w:t>
      </w:r>
    </w:p>
    <w:p w14:paraId="5AD2F384" w14:textId="77777777" w:rsidR="00D37A1B" w:rsidRPr="00E74040" w:rsidRDefault="00D37A1B" w:rsidP="00E74040">
      <w:pPr>
        <w:ind w:firstLine="720"/>
        <w:jc w:val="both"/>
        <w:rPr>
          <w:rFonts w:asciiTheme="majorHAnsi" w:eastAsia="MS Mincho" w:hAnsiTheme="majorHAnsi"/>
          <w:sz w:val="20"/>
          <w:szCs w:val="20"/>
        </w:rPr>
      </w:pPr>
    </w:p>
    <w:p w14:paraId="69D4FC45" w14:textId="2345392F" w:rsidR="00D37A1B" w:rsidRPr="00156E5D" w:rsidRDefault="00C47ABB" w:rsidP="00EF5696">
      <w:pPr>
        <w:tabs>
          <w:tab w:val="left" w:pos="1440"/>
        </w:tabs>
        <w:jc w:val="center"/>
        <w:rPr>
          <w:rFonts w:asciiTheme="majorHAnsi" w:eastAsia="MS Mincho" w:hAnsiTheme="majorHAnsi"/>
          <w:b/>
          <w:bCs/>
          <w:sz w:val="20"/>
          <w:szCs w:val="20"/>
        </w:rPr>
      </w:pPr>
      <w:r w:rsidRPr="00156E5D">
        <w:rPr>
          <w:rFonts w:asciiTheme="majorHAnsi" w:eastAsia="MS Mincho" w:hAnsiTheme="majorHAnsi"/>
          <w:b/>
          <w:bCs/>
          <w:sz w:val="20"/>
          <w:szCs w:val="20"/>
        </w:rPr>
        <w:t>THE INTER-AMERICAN COMMISSION ON HUMAN RIGHTS</w:t>
      </w:r>
    </w:p>
    <w:p w14:paraId="2ADEE3CB" w14:textId="77777777" w:rsidR="00D37A1B" w:rsidRPr="00156E5D" w:rsidRDefault="00D37A1B" w:rsidP="00E74040">
      <w:pPr>
        <w:tabs>
          <w:tab w:val="left" w:pos="1440"/>
        </w:tabs>
        <w:ind w:firstLine="720"/>
        <w:jc w:val="both"/>
        <w:rPr>
          <w:rFonts w:asciiTheme="majorHAnsi" w:eastAsia="MS Mincho" w:hAnsiTheme="majorHAnsi"/>
          <w:b/>
          <w:bCs/>
          <w:sz w:val="20"/>
          <w:szCs w:val="20"/>
        </w:rPr>
      </w:pPr>
    </w:p>
    <w:p w14:paraId="43D5BED5" w14:textId="31AF72E0" w:rsidR="00D37A1B" w:rsidRPr="00156E5D" w:rsidRDefault="00D37A1B" w:rsidP="00EF5696">
      <w:pPr>
        <w:jc w:val="both"/>
        <w:rPr>
          <w:rFonts w:asciiTheme="majorHAnsi" w:eastAsia="MS Mincho" w:hAnsiTheme="majorHAnsi"/>
          <w:sz w:val="20"/>
          <w:szCs w:val="20"/>
        </w:rPr>
      </w:pPr>
      <w:r w:rsidRPr="00156E5D">
        <w:rPr>
          <w:rFonts w:asciiTheme="majorHAnsi" w:eastAsia="MS Mincho" w:hAnsiTheme="majorHAnsi"/>
          <w:b/>
          <w:bCs/>
          <w:sz w:val="20"/>
          <w:szCs w:val="20"/>
        </w:rPr>
        <w:t>DECIDE</w:t>
      </w:r>
      <w:r w:rsidR="00C47ABB" w:rsidRPr="00156E5D">
        <w:rPr>
          <w:rFonts w:asciiTheme="majorHAnsi" w:eastAsia="MS Mincho" w:hAnsiTheme="majorHAnsi"/>
          <w:b/>
          <w:bCs/>
          <w:sz w:val="20"/>
          <w:szCs w:val="20"/>
        </w:rPr>
        <w:t>S</w:t>
      </w:r>
      <w:r w:rsidRPr="00156E5D">
        <w:rPr>
          <w:rFonts w:asciiTheme="majorHAnsi" w:eastAsia="MS Mincho" w:hAnsiTheme="majorHAnsi"/>
          <w:b/>
          <w:bCs/>
          <w:sz w:val="20"/>
          <w:szCs w:val="20"/>
        </w:rPr>
        <w:t>:</w:t>
      </w:r>
    </w:p>
    <w:p w14:paraId="7A06D448" w14:textId="77777777" w:rsidR="00D37A1B" w:rsidRPr="00156E5D" w:rsidRDefault="00D37A1B" w:rsidP="00E74040">
      <w:pPr>
        <w:tabs>
          <w:tab w:val="left" w:pos="1260"/>
        </w:tabs>
        <w:ind w:firstLine="720"/>
        <w:jc w:val="both"/>
        <w:rPr>
          <w:rFonts w:asciiTheme="majorHAnsi" w:eastAsia="MS Mincho" w:hAnsiTheme="majorHAnsi"/>
          <w:sz w:val="20"/>
          <w:szCs w:val="20"/>
        </w:rPr>
      </w:pPr>
    </w:p>
    <w:p w14:paraId="779EA690" w14:textId="478D933A" w:rsidR="00C47ABB" w:rsidRPr="00156E5D" w:rsidRDefault="00C47ABB" w:rsidP="00E7404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sidRPr="00156E5D">
        <w:rPr>
          <w:rFonts w:asciiTheme="majorHAnsi" w:eastAsia="MS Mincho" w:hAnsiTheme="majorHAnsi"/>
          <w:sz w:val="20"/>
          <w:szCs w:val="20"/>
        </w:rPr>
        <w:t>To approve the terms of the agreements signed by the parties on December 17, 2011.</w:t>
      </w:r>
    </w:p>
    <w:p w14:paraId="7F4280AF" w14:textId="77777777" w:rsidR="00D37A1B" w:rsidRPr="00156E5D" w:rsidRDefault="00D37A1B" w:rsidP="00E74040">
      <w:pPr>
        <w:pStyle w:val="ListParagraph"/>
        <w:ind w:left="0" w:firstLine="720"/>
        <w:rPr>
          <w:rFonts w:asciiTheme="majorHAnsi" w:eastAsia="MS Mincho" w:hAnsiTheme="majorHAnsi"/>
          <w:sz w:val="20"/>
          <w:szCs w:val="20"/>
        </w:rPr>
      </w:pPr>
    </w:p>
    <w:p w14:paraId="03E69810" w14:textId="047320FC" w:rsidR="00C47ABB" w:rsidRPr="00156E5D" w:rsidRDefault="00C47ABB" w:rsidP="00E7404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156E5D">
        <w:rPr>
          <w:rFonts w:asciiTheme="majorHAnsi" w:eastAsia="MS Mincho" w:hAnsiTheme="majorHAnsi"/>
          <w:sz w:val="20"/>
          <w:szCs w:val="20"/>
        </w:rPr>
        <w:t xml:space="preserve">To find that there has been full compliance with </w:t>
      </w:r>
      <w:r w:rsidR="00156E5D" w:rsidRPr="00156E5D">
        <w:rPr>
          <w:rFonts w:asciiTheme="majorHAnsi" w:eastAsia="MS Mincho" w:hAnsiTheme="majorHAnsi"/>
          <w:sz w:val="20"/>
          <w:szCs w:val="20"/>
        </w:rPr>
        <w:t>letters</w:t>
      </w:r>
      <w:r w:rsidRPr="00156E5D">
        <w:rPr>
          <w:rFonts w:asciiTheme="majorHAnsi" w:eastAsia="MS Mincho" w:hAnsiTheme="majorHAnsi"/>
          <w:sz w:val="20"/>
          <w:szCs w:val="20"/>
        </w:rPr>
        <w:t xml:space="preserve"> a), b) and c) of </w:t>
      </w:r>
      <w:r w:rsidR="00156E5D" w:rsidRPr="00156E5D">
        <w:rPr>
          <w:rFonts w:asciiTheme="majorHAnsi" w:eastAsia="MS Mincho" w:hAnsiTheme="majorHAnsi"/>
          <w:sz w:val="20"/>
          <w:szCs w:val="20"/>
        </w:rPr>
        <w:t>clause</w:t>
      </w:r>
      <w:r w:rsidRPr="00156E5D">
        <w:rPr>
          <w:rFonts w:asciiTheme="majorHAnsi" w:eastAsia="MS Mincho" w:hAnsiTheme="majorHAnsi"/>
          <w:sz w:val="20"/>
          <w:szCs w:val="20"/>
        </w:rPr>
        <w:t xml:space="preserve"> IV.1 (public act of acknowledgment and dissemination</w:t>
      </w:r>
      <w:r w:rsidR="00AE4DD5" w:rsidRPr="00156E5D">
        <w:rPr>
          <w:rFonts w:asciiTheme="majorHAnsi" w:eastAsia="MS Mincho" w:hAnsiTheme="majorHAnsi"/>
          <w:sz w:val="20"/>
          <w:szCs w:val="20"/>
        </w:rPr>
        <w:t>), IV.3 a</w:t>
      </w:r>
      <w:r w:rsidRPr="00156E5D">
        <w:rPr>
          <w:rFonts w:asciiTheme="majorHAnsi" w:eastAsia="MS Mincho" w:hAnsiTheme="majorHAnsi"/>
          <w:sz w:val="20"/>
          <w:szCs w:val="20"/>
        </w:rPr>
        <w:t xml:space="preserve"> (naming of a street in memory of the victim) and IV.4 (economic reparation)</w:t>
      </w:r>
      <w:r w:rsidR="00981E2C" w:rsidRPr="00156E5D">
        <w:rPr>
          <w:rFonts w:asciiTheme="majorHAnsi" w:eastAsia="MS Mincho" w:hAnsiTheme="majorHAnsi"/>
          <w:sz w:val="20"/>
          <w:szCs w:val="20"/>
        </w:rPr>
        <w:t xml:space="preserve"> of the Friendly Settlement Agreement, in accordance with the assessment included in this report.</w:t>
      </w:r>
    </w:p>
    <w:p w14:paraId="4EF2D4E7" w14:textId="77777777" w:rsidR="00D37A1B" w:rsidRPr="00156E5D" w:rsidRDefault="00D37A1B" w:rsidP="00E74040">
      <w:pPr>
        <w:ind w:firstLine="720"/>
        <w:rPr>
          <w:rFonts w:asciiTheme="majorHAnsi" w:eastAsia="MS Mincho" w:hAnsiTheme="majorHAnsi"/>
          <w:sz w:val="20"/>
          <w:szCs w:val="20"/>
        </w:rPr>
      </w:pPr>
    </w:p>
    <w:p w14:paraId="6C2C7870" w14:textId="3DE19BD9" w:rsidR="00981E2C" w:rsidRPr="00156E5D" w:rsidRDefault="00981E2C" w:rsidP="00E7404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156E5D">
        <w:rPr>
          <w:rFonts w:asciiTheme="majorHAnsi" w:eastAsia="MS Mincho" w:hAnsiTheme="majorHAnsi"/>
          <w:sz w:val="20"/>
          <w:szCs w:val="20"/>
        </w:rPr>
        <w:t>To find that there has been partial</w:t>
      </w:r>
      <w:r w:rsidR="00AE4DD5" w:rsidRPr="00156E5D">
        <w:rPr>
          <w:rFonts w:asciiTheme="majorHAnsi" w:eastAsia="MS Mincho" w:hAnsiTheme="majorHAnsi"/>
          <w:sz w:val="20"/>
          <w:szCs w:val="20"/>
        </w:rPr>
        <w:t xml:space="preserve"> compliance with </w:t>
      </w:r>
      <w:r w:rsidR="00156E5D" w:rsidRPr="00156E5D">
        <w:rPr>
          <w:rFonts w:asciiTheme="majorHAnsi" w:eastAsia="MS Mincho" w:hAnsiTheme="majorHAnsi"/>
          <w:sz w:val="20"/>
          <w:szCs w:val="20"/>
        </w:rPr>
        <w:t>clause</w:t>
      </w:r>
      <w:r w:rsidR="00AE4DD5" w:rsidRPr="00156E5D">
        <w:rPr>
          <w:rFonts w:asciiTheme="majorHAnsi" w:eastAsia="MS Mincho" w:hAnsiTheme="majorHAnsi"/>
          <w:sz w:val="20"/>
          <w:szCs w:val="20"/>
        </w:rPr>
        <w:t xml:space="preserve"> IV.3 b</w:t>
      </w:r>
      <w:r w:rsidRPr="00156E5D">
        <w:rPr>
          <w:rFonts w:asciiTheme="majorHAnsi" w:eastAsia="MS Mincho" w:hAnsiTheme="majorHAnsi"/>
          <w:sz w:val="20"/>
          <w:szCs w:val="20"/>
        </w:rPr>
        <w:t xml:space="preserve"> (concession of usufruct over property) of the Friendly Settlement Agreement, in accordance with the assessment included in this report.</w:t>
      </w:r>
    </w:p>
    <w:p w14:paraId="74B4C4DD" w14:textId="77777777" w:rsidR="00123475" w:rsidRPr="00156E5D" w:rsidRDefault="00123475" w:rsidP="00E74040">
      <w:pPr>
        <w:pStyle w:val="ListParagraph"/>
        <w:ind w:left="0" w:firstLine="720"/>
        <w:rPr>
          <w:rFonts w:asciiTheme="majorHAnsi" w:eastAsia="MS Mincho" w:hAnsiTheme="majorHAnsi"/>
          <w:sz w:val="20"/>
          <w:szCs w:val="20"/>
        </w:rPr>
      </w:pPr>
    </w:p>
    <w:p w14:paraId="34FC611B" w14:textId="2A8CF0B2" w:rsidR="00981E2C" w:rsidRPr="00156E5D" w:rsidRDefault="00981E2C" w:rsidP="00E7404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156E5D">
        <w:rPr>
          <w:rFonts w:asciiTheme="majorHAnsi" w:eastAsia="MS Mincho" w:hAnsiTheme="majorHAnsi"/>
          <w:sz w:val="20"/>
          <w:szCs w:val="20"/>
        </w:rPr>
        <w:t xml:space="preserve">To find that compliance with </w:t>
      </w:r>
      <w:r w:rsidR="00156E5D" w:rsidRPr="00156E5D">
        <w:rPr>
          <w:rFonts w:asciiTheme="majorHAnsi" w:eastAsia="MS Mincho" w:hAnsiTheme="majorHAnsi"/>
          <w:sz w:val="20"/>
          <w:szCs w:val="20"/>
        </w:rPr>
        <w:t>clause</w:t>
      </w:r>
      <w:r w:rsidRPr="00156E5D">
        <w:rPr>
          <w:rFonts w:asciiTheme="majorHAnsi" w:eastAsia="MS Mincho" w:hAnsiTheme="majorHAnsi"/>
          <w:sz w:val="20"/>
          <w:szCs w:val="20"/>
        </w:rPr>
        <w:t xml:space="preserve"> IV.2 (justice measures) of the friendly settlement agreement, in accordance with the assessment included in this report.</w:t>
      </w:r>
    </w:p>
    <w:p w14:paraId="71F18500" w14:textId="77777777" w:rsidR="00981E2C" w:rsidRPr="00156E5D" w:rsidRDefault="00981E2C" w:rsidP="00E7404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Theme="majorHAnsi" w:eastAsia="MS Mincho" w:hAnsiTheme="majorHAnsi"/>
          <w:sz w:val="20"/>
          <w:szCs w:val="20"/>
        </w:rPr>
      </w:pPr>
    </w:p>
    <w:p w14:paraId="5D582CF2" w14:textId="4279C3CE" w:rsidR="00981E2C" w:rsidRPr="00156E5D" w:rsidRDefault="00981E2C" w:rsidP="00E7404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156E5D">
        <w:rPr>
          <w:rFonts w:asciiTheme="majorHAnsi" w:eastAsia="MS Mincho" w:hAnsiTheme="majorHAnsi"/>
          <w:sz w:val="20"/>
          <w:szCs w:val="20"/>
        </w:rPr>
        <w:t xml:space="preserve">To continue the supervision of </w:t>
      </w:r>
      <w:r w:rsidR="00156E5D" w:rsidRPr="00156E5D">
        <w:rPr>
          <w:rFonts w:asciiTheme="majorHAnsi" w:eastAsia="MS Mincho" w:hAnsiTheme="majorHAnsi"/>
          <w:sz w:val="20"/>
          <w:szCs w:val="20"/>
        </w:rPr>
        <w:t>clauses</w:t>
      </w:r>
      <w:r w:rsidR="00AE4DD5" w:rsidRPr="00156E5D">
        <w:rPr>
          <w:rFonts w:asciiTheme="majorHAnsi" w:eastAsia="MS Mincho" w:hAnsiTheme="majorHAnsi"/>
          <w:sz w:val="20"/>
          <w:szCs w:val="20"/>
        </w:rPr>
        <w:t xml:space="preserve"> IV.2 and IV.3 b</w:t>
      </w:r>
      <w:r w:rsidRPr="00156E5D">
        <w:rPr>
          <w:rFonts w:asciiTheme="majorHAnsi" w:eastAsia="MS Mincho" w:hAnsiTheme="majorHAnsi"/>
          <w:sz w:val="20"/>
          <w:szCs w:val="20"/>
        </w:rPr>
        <w:t xml:space="preserve"> of the friendly settlement agreement, concerning justice measures and the concession of usufruct over property, until they have been fully complied with, in accordance with the assessment included in this report. To that end, to remind the parties of their commitment to periodically inform the Commission about their fulfillment.</w:t>
      </w:r>
    </w:p>
    <w:p w14:paraId="7359316C" w14:textId="3043F75A" w:rsidR="00D37A1B" w:rsidRPr="00156E5D" w:rsidRDefault="00D37A1B" w:rsidP="00156E5D">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jc w:val="both"/>
        <w:rPr>
          <w:rFonts w:asciiTheme="majorHAnsi" w:eastAsia="MS Mincho" w:hAnsiTheme="majorHAnsi"/>
          <w:sz w:val="20"/>
          <w:szCs w:val="20"/>
        </w:rPr>
      </w:pPr>
    </w:p>
    <w:p w14:paraId="3FC9E91B" w14:textId="21A07795" w:rsidR="00D37A1B" w:rsidRPr="00156E5D" w:rsidRDefault="00981E2C" w:rsidP="00156E5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156E5D">
        <w:rPr>
          <w:rFonts w:asciiTheme="majorHAnsi" w:eastAsia="MS Mincho" w:hAnsiTheme="majorHAnsi"/>
          <w:sz w:val="20"/>
          <w:szCs w:val="20"/>
        </w:rPr>
        <w:t>To publish this report and include it in its Annual Report to the General Assembly of the OAS.</w:t>
      </w:r>
    </w:p>
    <w:p w14:paraId="400087CD" w14:textId="77777777" w:rsidR="00D37A1B" w:rsidRPr="00156E5D" w:rsidRDefault="00D37A1B" w:rsidP="00E74040">
      <w:pPr>
        <w:pStyle w:val="ListParagraph"/>
        <w:ind w:left="0" w:firstLine="720"/>
        <w:jc w:val="both"/>
        <w:rPr>
          <w:rFonts w:asciiTheme="majorHAnsi" w:eastAsia="MS Mincho" w:hAnsiTheme="majorHAnsi"/>
          <w:sz w:val="20"/>
          <w:szCs w:val="20"/>
        </w:rPr>
      </w:pPr>
    </w:p>
    <w:p w14:paraId="53C215BF" w14:textId="08F31E64" w:rsidR="00030D29" w:rsidRDefault="00030D29" w:rsidP="00E811BD">
      <w:pPr>
        <w:tabs>
          <w:tab w:val="center" w:pos="4680"/>
          <w:tab w:val="left" w:pos="6511"/>
        </w:tabs>
        <w:ind w:firstLine="720"/>
        <w:jc w:val="both"/>
        <w:rPr>
          <w:rFonts w:asciiTheme="majorHAnsi" w:hAnsiTheme="majorHAnsi"/>
          <w:spacing w:val="-2"/>
          <w:sz w:val="20"/>
          <w:szCs w:val="20"/>
        </w:rPr>
      </w:pPr>
      <w:r w:rsidRPr="00030D29">
        <w:rPr>
          <w:rFonts w:asciiTheme="majorHAnsi" w:hAnsiTheme="majorHAnsi"/>
          <w:spacing w:val="-2"/>
          <w:sz w:val="20"/>
          <w:szCs w:val="20"/>
        </w:rPr>
        <w:t>Approved by the Inter-American Commission on Human Rights on the 1</w:t>
      </w:r>
      <w:r w:rsidRPr="00030D29">
        <w:rPr>
          <w:rFonts w:asciiTheme="majorHAnsi" w:hAnsiTheme="majorHAnsi"/>
          <w:spacing w:val="-2"/>
          <w:sz w:val="20"/>
          <w:szCs w:val="20"/>
          <w:vertAlign w:val="superscript"/>
        </w:rPr>
        <w:t>st</w:t>
      </w:r>
      <w:r w:rsidRPr="00030D29">
        <w:rPr>
          <w:rFonts w:asciiTheme="majorHAnsi" w:hAnsiTheme="majorHAnsi"/>
          <w:spacing w:val="-2"/>
          <w:sz w:val="20"/>
          <w:szCs w:val="20"/>
        </w:rPr>
        <w:t xml:space="preserve"> day of June 2020. (Signed): Joel Hernández García, President; Antonia Urrejola, First Vice President; </w:t>
      </w:r>
      <w:proofErr w:type="spellStart"/>
      <w:r w:rsidRPr="00030D29">
        <w:rPr>
          <w:rFonts w:asciiTheme="majorHAnsi" w:hAnsiTheme="majorHAnsi"/>
          <w:spacing w:val="-2"/>
          <w:sz w:val="20"/>
          <w:szCs w:val="20"/>
        </w:rPr>
        <w:t>Flávia</w:t>
      </w:r>
      <w:proofErr w:type="spellEnd"/>
      <w:r w:rsidRPr="00030D29">
        <w:rPr>
          <w:rFonts w:asciiTheme="majorHAnsi" w:hAnsiTheme="majorHAnsi"/>
          <w:spacing w:val="-2"/>
          <w:sz w:val="20"/>
          <w:szCs w:val="20"/>
        </w:rPr>
        <w:t xml:space="preserve"> </w:t>
      </w:r>
      <w:proofErr w:type="spellStart"/>
      <w:r w:rsidRPr="00030D29">
        <w:rPr>
          <w:rFonts w:asciiTheme="majorHAnsi" w:hAnsiTheme="majorHAnsi"/>
          <w:spacing w:val="-2"/>
          <w:sz w:val="20"/>
          <w:szCs w:val="20"/>
        </w:rPr>
        <w:t>Piovesan</w:t>
      </w:r>
      <w:proofErr w:type="spellEnd"/>
      <w:r w:rsidRPr="00030D29">
        <w:rPr>
          <w:rFonts w:asciiTheme="majorHAnsi" w:hAnsiTheme="majorHAnsi"/>
          <w:spacing w:val="-2"/>
          <w:sz w:val="20"/>
          <w:szCs w:val="20"/>
        </w:rPr>
        <w:t>, Second Vice President;</w:t>
      </w:r>
      <w:r>
        <w:rPr>
          <w:rFonts w:asciiTheme="majorHAnsi" w:hAnsiTheme="majorHAnsi"/>
          <w:spacing w:val="-2"/>
          <w:sz w:val="20"/>
          <w:szCs w:val="20"/>
        </w:rPr>
        <w:t xml:space="preserve"> </w:t>
      </w:r>
      <w:r w:rsidR="00621F41">
        <w:rPr>
          <w:rFonts w:asciiTheme="majorHAnsi" w:hAnsiTheme="majorHAnsi"/>
          <w:spacing w:val="-2"/>
          <w:sz w:val="20"/>
          <w:szCs w:val="20"/>
        </w:rPr>
        <w:lastRenderedPageBreak/>
        <w:t>Margarette May Macaulay;</w:t>
      </w:r>
      <w:r>
        <w:rPr>
          <w:rFonts w:asciiTheme="majorHAnsi" w:hAnsiTheme="majorHAnsi"/>
          <w:spacing w:val="-2"/>
          <w:sz w:val="20"/>
          <w:szCs w:val="20"/>
        </w:rPr>
        <w:t xml:space="preserve"> </w:t>
      </w:r>
      <w:r w:rsidRPr="00030D29">
        <w:rPr>
          <w:rFonts w:asciiTheme="majorHAnsi" w:hAnsiTheme="majorHAnsi"/>
          <w:spacing w:val="-2"/>
          <w:sz w:val="20"/>
          <w:szCs w:val="20"/>
        </w:rPr>
        <w:t xml:space="preserve">Esmeralda </w:t>
      </w:r>
      <w:r>
        <w:rPr>
          <w:rFonts w:asciiTheme="majorHAnsi" w:hAnsiTheme="majorHAnsi"/>
          <w:spacing w:val="-2"/>
          <w:sz w:val="20"/>
          <w:szCs w:val="20"/>
        </w:rPr>
        <w:t xml:space="preserve">E. Arosemena Bernal de Troitiño and </w:t>
      </w:r>
      <w:r w:rsidR="00E811BD" w:rsidRPr="00E811BD">
        <w:rPr>
          <w:rFonts w:asciiTheme="majorHAnsi" w:hAnsiTheme="majorHAnsi"/>
          <w:spacing w:val="-2"/>
          <w:sz w:val="20"/>
          <w:szCs w:val="20"/>
        </w:rPr>
        <w:t>Julissa Mantilla Falcón</w:t>
      </w:r>
      <w:r w:rsidR="00E811BD">
        <w:rPr>
          <w:rFonts w:asciiTheme="majorHAnsi" w:hAnsiTheme="majorHAnsi"/>
          <w:spacing w:val="-2"/>
          <w:sz w:val="20"/>
          <w:szCs w:val="20"/>
        </w:rPr>
        <w:t>.</w:t>
      </w:r>
      <w:r w:rsidRPr="00030D29">
        <w:rPr>
          <w:rFonts w:asciiTheme="majorHAnsi" w:hAnsiTheme="majorHAnsi"/>
          <w:spacing w:val="-2"/>
          <w:sz w:val="20"/>
          <w:szCs w:val="20"/>
        </w:rPr>
        <w:t xml:space="preserve"> Members of the Commission.</w:t>
      </w:r>
    </w:p>
    <w:p w14:paraId="2DA45C7F" w14:textId="5A91F4E8" w:rsidR="00030D29" w:rsidRDefault="00030D29" w:rsidP="00030D29">
      <w:pPr>
        <w:tabs>
          <w:tab w:val="center" w:pos="4680"/>
          <w:tab w:val="left" w:pos="6511"/>
        </w:tabs>
        <w:ind w:firstLine="720"/>
        <w:jc w:val="both"/>
        <w:rPr>
          <w:rFonts w:asciiTheme="majorHAnsi" w:hAnsiTheme="majorHAnsi"/>
          <w:spacing w:val="-2"/>
          <w:sz w:val="20"/>
          <w:szCs w:val="20"/>
        </w:rPr>
      </w:pPr>
    </w:p>
    <w:p w14:paraId="2C6D4305" w14:textId="41B0896A" w:rsidR="00E811BD" w:rsidRDefault="00E811BD" w:rsidP="00030D29">
      <w:pPr>
        <w:tabs>
          <w:tab w:val="center" w:pos="4680"/>
          <w:tab w:val="left" w:pos="6511"/>
        </w:tabs>
        <w:ind w:firstLine="720"/>
        <w:jc w:val="both"/>
        <w:rPr>
          <w:rFonts w:asciiTheme="majorHAnsi" w:hAnsiTheme="majorHAnsi"/>
          <w:spacing w:val="-2"/>
          <w:sz w:val="20"/>
          <w:szCs w:val="20"/>
        </w:rPr>
      </w:pPr>
    </w:p>
    <w:sectPr w:rsidR="00E811B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5B494" w14:textId="77777777" w:rsidR="00FC4215" w:rsidRDefault="00FC4215">
      <w:r>
        <w:separator/>
      </w:r>
    </w:p>
  </w:endnote>
  <w:endnote w:type="continuationSeparator" w:id="0">
    <w:p w14:paraId="4470C8BA" w14:textId="77777777" w:rsidR="00FC4215" w:rsidRDefault="00FC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FBEA1" w14:textId="77777777" w:rsidR="001555FB" w:rsidRDefault="00155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6D6EC089" w14:textId="6F3F4591" w:rsidR="00263A40" w:rsidRPr="00934A2C" w:rsidRDefault="00263A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555FB">
          <w:rPr>
            <w:noProof/>
            <w:sz w:val="16"/>
            <w:szCs w:val="22"/>
          </w:rPr>
          <w:t>3</w:t>
        </w:r>
        <w:r w:rsidRPr="00934A2C">
          <w:rPr>
            <w:noProof/>
            <w:sz w:val="16"/>
            <w:szCs w:val="22"/>
          </w:rPr>
          <w:fldChar w:fldCharType="end"/>
        </w:r>
      </w:p>
    </w:sdtContent>
  </w:sdt>
  <w:p w14:paraId="4CDD3F0E" w14:textId="77777777" w:rsidR="00263A40" w:rsidRDefault="00263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AB63" w14:textId="77777777" w:rsidR="00263A40" w:rsidRPr="00934A2C" w:rsidRDefault="00263A40">
    <w:pPr>
      <w:pStyle w:val="Footer"/>
      <w:jc w:val="center"/>
      <w:rPr>
        <w:sz w:val="16"/>
        <w:szCs w:val="22"/>
      </w:rPr>
    </w:pPr>
  </w:p>
  <w:p w14:paraId="2C7BE356" w14:textId="77777777" w:rsidR="00263A40" w:rsidRDefault="00263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3A5A5" w14:textId="77777777" w:rsidR="00FC4215" w:rsidRPr="000F35ED" w:rsidRDefault="00FC421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7EE7C4" w14:textId="77777777" w:rsidR="00FC4215" w:rsidRPr="000F35ED" w:rsidRDefault="00FC4215" w:rsidP="000F35ED">
      <w:pPr>
        <w:rPr>
          <w:rFonts w:asciiTheme="majorHAnsi" w:hAnsiTheme="majorHAnsi"/>
          <w:sz w:val="16"/>
          <w:szCs w:val="16"/>
        </w:rPr>
      </w:pPr>
      <w:r w:rsidRPr="000F35ED">
        <w:rPr>
          <w:rFonts w:asciiTheme="majorHAnsi" w:hAnsiTheme="majorHAnsi"/>
          <w:sz w:val="16"/>
          <w:szCs w:val="16"/>
        </w:rPr>
        <w:separator/>
      </w:r>
    </w:p>
    <w:p w14:paraId="2C8E43E3" w14:textId="77777777" w:rsidR="00FC4215" w:rsidRPr="000F35ED" w:rsidRDefault="00FC421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025C40A" w14:textId="77777777" w:rsidR="00FC4215" w:rsidRPr="000F35ED" w:rsidRDefault="00FC421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0BCA8A" w14:textId="58ED0AB1" w:rsidR="004747C9" w:rsidRPr="004747C9" w:rsidRDefault="004747C9" w:rsidP="004747C9">
      <w:pPr>
        <w:pStyle w:val="FootnoteText"/>
        <w:ind w:firstLine="720"/>
        <w:rPr>
          <w:rFonts w:asciiTheme="majorHAnsi" w:hAnsiTheme="majorHAnsi"/>
          <w:sz w:val="16"/>
          <w:szCs w:val="16"/>
        </w:rPr>
      </w:pPr>
      <w:r w:rsidRPr="004747C9">
        <w:rPr>
          <w:rStyle w:val="FootnoteReference"/>
          <w:rFonts w:asciiTheme="majorHAnsi" w:hAnsiTheme="majorHAnsi"/>
          <w:sz w:val="16"/>
          <w:szCs w:val="16"/>
        </w:rPr>
        <w:footnoteRef/>
      </w:r>
      <w:r w:rsidRPr="004747C9">
        <w:rPr>
          <w:rFonts w:asciiTheme="majorHAnsi" w:hAnsiTheme="majorHAnsi"/>
          <w:sz w:val="16"/>
          <w:szCs w:val="16"/>
        </w:rPr>
        <w:t xml:space="preserve"> Commissioner </w:t>
      </w:r>
      <w:r w:rsidRPr="004747C9">
        <w:rPr>
          <w:rFonts w:asciiTheme="majorHAnsi" w:eastAsia="Cambria" w:hAnsiTheme="majorHAnsi"/>
          <w:sz w:val="16"/>
          <w:szCs w:val="16"/>
        </w:rPr>
        <w:t>Stuardo Ralón Orellana</w:t>
      </w:r>
      <w:r w:rsidRPr="004747C9">
        <w:rPr>
          <w:rFonts w:asciiTheme="majorHAnsi" w:hAnsiTheme="majorHAnsi"/>
          <w:sz w:val="16"/>
          <w:szCs w:val="16"/>
        </w:rPr>
        <w:t xml:space="preserve">, a national of </w:t>
      </w:r>
      <w:r>
        <w:rPr>
          <w:rFonts w:asciiTheme="majorHAnsi" w:hAnsiTheme="majorHAnsi"/>
          <w:sz w:val="16"/>
          <w:szCs w:val="16"/>
        </w:rPr>
        <w:t>Guatemala</w:t>
      </w:r>
      <w:r w:rsidRPr="004747C9">
        <w:rPr>
          <w:rFonts w:asciiTheme="majorHAnsi" w:hAnsiTheme="majorHAnsi"/>
          <w:sz w:val="16"/>
          <w:szCs w:val="16"/>
        </w:rPr>
        <w:t>, did not participate in the consideration of the vote on this case of compliance with article 17 (2) (a) of the IACHR.</w:t>
      </w:r>
    </w:p>
  </w:footnote>
  <w:footnote w:id="3">
    <w:p w14:paraId="70B0CB3B" w14:textId="7067A288" w:rsidR="00263A40" w:rsidRPr="004747C9" w:rsidRDefault="00263A40" w:rsidP="004747C9">
      <w:pPr>
        <w:pStyle w:val="FootnoteText"/>
        <w:ind w:firstLine="720"/>
        <w:rPr>
          <w:rFonts w:asciiTheme="majorHAnsi" w:hAnsiTheme="majorHAnsi"/>
          <w:sz w:val="16"/>
          <w:szCs w:val="16"/>
        </w:rPr>
      </w:pPr>
      <w:r w:rsidRPr="004747C9">
        <w:rPr>
          <w:rStyle w:val="FootnoteReference"/>
          <w:rFonts w:asciiTheme="majorHAnsi" w:hAnsiTheme="majorHAnsi"/>
          <w:sz w:val="16"/>
          <w:szCs w:val="16"/>
        </w:rPr>
        <w:footnoteRef/>
      </w:r>
      <w:r w:rsidRPr="004747C9">
        <w:rPr>
          <w:rFonts w:asciiTheme="majorHAnsi" w:hAnsiTheme="majorHAnsi"/>
          <w:sz w:val="16"/>
          <w:szCs w:val="16"/>
        </w:rPr>
        <w:t xml:space="preserve"> </w:t>
      </w:r>
      <w:r w:rsidR="006C4116" w:rsidRPr="004747C9">
        <w:rPr>
          <w:rFonts w:asciiTheme="majorHAnsi" w:hAnsiTheme="majorHAnsi"/>
          <w:sz w:val="16"/>
          <w:szCs w:val="16"/>
        </w:rPr>
        <w:t>Numbering independent of the original text of the Friendly Settlement Agreement</w:t>
      </w:r>
    </w:p>
  </w:footnote>
  <w:footnote w:id="4">
    <w:p w14:paraId="0C24271D" w14:textId="01AB4A36" w:rsidR="006C4116" w:rsidRPr="004747C9" w:rsidRDefault="00A90169" w:rsidP="004747C9">
      <w:pPr>
        <w:pStyle w:val="FootnoteText"/>
        <w:ind w:firstLine="720"/>
        <w:rPr>
          <w:rFonts w:asciiTheme="majorHAnsi" w:hAnsiTheme="majorHAnsi"/>
          <w:sz w:val="16"/>
          <w:szCs w:val="16"/>
        </w:rPr>
      </w:pPr>
      <w:r w:rsidRPr="004747C9">
        <w:rPr>
          <w:rStyle w:val="FootnoteReference"/>
          <w:rFonts w:asciiTheme="majorHAnsi" w:hAnsiTheme="majorHAnsi"/>
          <w:sz w:val="16"/>
          <w:szCs w:val="16"/>
        </w:rPr>
        <w:footnoteRef/>
      </w:r>
      <w:r w:rsidRPr="004747C9">
        <w:rPr>
          <w:rFonts w:asciiTheme="majorHAnsi" w:hAnsiTheme="majorHAnsi"/>
          <w:sz w:val="16"/>
          <w:szCs w:val="16"/>
        </w:rPr>
        <w:t xml:space="preserve"> </w:t>
      </w:r>
      <w:r w:rsidR="006C4116" w:rsidRPr="004747C9">
        <w:rPr>
          <w:rFonts w:asciiTheme="majorHAnsi" w:hAnsiTheme="majorHAnsi"/>
          <w:sz w:val="16"/>
          <w:szCs w:val="16"/>
        </w:rPr>
        <w:t>At the request of the parties, the amount agreed to as economic reparation is kept in reserved and confidential character.</w:t>
      </w:r>
    </w:p>
    <w:p w14:paraId="58438605" w14:textId="6F3AE62C" w:rsidR="00A90169" w:rsidRPr="004747C9" w:rsidRDefault="00A90169" w:rsidP="004747C9">
      <w:pPr>
        <w:pStyle w:val="FootnoteText"/>
        <w:ind w:firstLine="720"/>
        <w:rPr>
          <w:rFonts w:asciiTheme="majorHAnsi" w:hAnsiTheme="majorHAnsi"/>
          <w:sz w:val="16"/>
          <w:szCs w:val="16"/>
        </w:rPr>
      </w:pPr>
    </w:p>
  </w:footnote>
  <w:footnote w:id="5">
    <w:p w14:paraId="3CA8F550" w14:textId="50DBAE13" w:rsidR="0009775A" w:rsidRPr="004747C9" w:rsidRDefault="0009775A" w:rsidP="004747C9">
      <w:pPr>
        <w:pStyle w:val="FootnoteText"/>
        <w:ind w:firstLine="720"/>
        <w:jc w:val="both"/>
        <w:rPr>
          <w:rFonts w:asciiTheme="majorHAnsi" w:hAnsiTheme="majorHAnsi"/>
          <w:i/>
          <w:sz w:val="16"/>
          <w:szCs w:val="16"/>
        </w:rPr>
      </w:pPr>
      <w:r w:rsidRPr="004747C9">
        <w:rPr>
          <w:rStyle w:val="FootnoteReference"/>
          <w:rFonts w:asciiTheme="majorHAnsi" w:hAnsiTheme="majorHAnsi"/>
          <w:sz w:val="16"/>
          <w:szCs w:val="16"/>
        </w:rPr>
        <w:footnoteRef/>
      </w:r>
      <w:r w:rsidRPr="004747C9">
        <w:rPr>
          <w:rFonts w:asciiTheme="majorHAnsi" w:hAnsiTheme="majorHAnsi"/>
          <w:sz w:val="16"/>
          <w:szCs w:val="16"/>
        </w:rPr>
        <w:t xml:space="preserve"> </w:t>
      </w:r>
      <w:r w:rsidR="006C4116" w:rsidRPr="004747C9">
        <w:rPr>
          <w:rFonts w:asciiTheme="majorHAnsi" w:hAnsiTheme="majorHAnsi"/>
          <w:sz w:val="16"/>
          <w:szCs w:val="16"/>
        </w:rPr>
        <w:t xml:space="preserve">Vienna Convention on the Law of Treaties, </w:t>
      </w:r>
      <w:r w:rsidRPr="004747C9">
        <w:rPr>
          <w:rFonts w:asciiTheme="majorHAnsi" w:hAnsiTheme="majorHAnsi"/>
          <w:sz w:val="16"/>
          <w:szCs w:val="16"/>
        </w:rPr>
        <w:t>U.N. Doc A/CONF.39/27 (1969), Art</w:t>
      </w:r>
      <w:r w:rsidR="006C4116" w:rsidRPr="004747C9">
        <w:rPr>
          <w:rFonts w:asciiTheme="majorHAnsi" w:hAnsiTheme="majorHAnsi"/>
          <w:sz w:val="16"/>
          <w:szCs w:val="16"/>
        </w:rPr>
        <w:t>i</w:t>
      </w:r>
      <w:r w:rsidRPr="004747C9">
        <w:rPr>
          <w:rFonts w:asciiTheme="majorHAnsi" w:hAnsiTheme="majorHAnsi"/>
          <w:sz w:val="16"/>
          <w:szCs w:val="16"/>
        </w:rPr>
        <w:t>c</w:t>
      </w:r>
      <w:r w:rsidR="006C4116" w:rsidRPr="004747C9">
        <w:rPr>
          <w:rFonts w:asciiTheme="majorHAnsi" w:hAnsiTheme="majorHAnsi"/>
          <w:sz w:val="16"/>
          <w:szCs w:val="16"/>
        </w:rPr>
        <w:t>le</w:t>
      </w:r>
      <w:r w:rsidRPr="004747C9">
        <w:rPr>
          <w:rFonts w:asciiTheme="majorHAnsi" w:hAnsiTheme="majorHAnsi"/>
          <w:sz w:val="16"/>
          <w:szCs w:val="16"/>
        </w:rPr>
        <w:t xml:space="preserve"> 26: </w:t>
      </w:r>
      <w:r w:rsidRPr="004747C9">
        <w:rPr>
          <w:rFonts w:asciiTheme="majorHAnsi" w:hAnsiTheme="majorHAnsi"/>
          <w:b/>
          <w:bCs/>
          <w:sz w:val="16"/>
          <w:szCs w:val="16"/>
        </w:rPr>
        <w:t>"Pacta sunt servanda".</w:t>
      </w:r>
      <w:r w:rsidRPr="004747C9">
        <w:rPr>
          <w:rFonts w:asciiTheme="majorHAnsi" w:hAnsiTheme="majorHAnsi"/>
          <w:sz w:val="16"/>
          <w:szCs w:val="16"/>
        </w:rPr>
        <w:t xml:space="preserve"> </w:t>
      </w:r>
      <w:r w:rsidR="006C4116" w:rsidRPr="004747C9">
        <w:rPr>
          <w:rFonts w:asciiTheme="majorHAnsi" w:hAnsiTheme="majorHAnsi"/>
          <w:i/>
          <w:sz w:val="16"/>
          <w:szCs w:val="16"/>
        </w:rPr>
        <w:t>Every treaty in force is binding upon the parties to it and must be performed by them in good faith.</w:t>
      </w:r>
    </w:p>
  </w:footnote>
  <w:footnote w:id="6">
    <w:p w14:paraId="2602A83F" w14:textId="1657D0DA" w:rsidR="00C53A3F" w:rsidRPr="004747C9" w:rsidRDefault="00C53A3F" w:rsidP="004747C9">
      <w:pPr>
        <w:pStyle w:val="FootnoteText"/>
        <w:ind w:firstLine="720"/>
        <w:rPr>
          <w:rFonts w:asciiTheme="majorHAnsi" w:hAnsiTheme="majorHAnsi"/>
          <w:sz w:val="16"/>
          <w:szCs w:val="16"/>
          <w:lang w:val="es-AR"/>
        </w:rPr>
      </w:pPr>
      <w:r w:rsidRPr="004747C9">
        <w:rPr>
          <w:rStyle w:val="FootnoteReference"/>
          <w:rFonts w:asciiTheme="majorHAnsi" w:hAnsiTheme="majorHAnsi"/>
          <w:sz w:val="16"/>
          <w:szCs w:val="16"/>
        </w:rPr>
        <w:footnoteRef/>
      </w:r>
      <w:r w:rsidRPr="004747C9">
        <w:rPr>
          <w:rFonts w:asciiTheme="majorHAnsi" w:hAnsiTheme="majorHAnsi"/>
          <w:sz w:val="16"/>
          <w:szCs w:val="16"/>
          <w:lang w:val="es-AR"/>
        </w:rPr>
        <w:t xml:space="preserve"> </w:t>
      </w:r>
      <w:r w:rsidR="006C4116" w:rsidRPr="004747C9">
        <w:rPr>
          <w:rFonts w:asciiTheme="majorHAnsi" w:hAnsiTheme="majorHAnsi"/>
          <w:sz w:val="16"/>
          <w:szCs w:val="16"/>
          <w:lang w:val="es-CO"/>
        </w:rPr>
        <w:t xml:space="preserve">In </w:t>
      </w:r>
      <w:proofErr w:type="spellStart"/>
      <w:r w:rsidR="006C4116" w:rsidRPr="004747C9">
        <w:rPr>
          <w:rFonts w:asciiTheme="majorHAnsi" w:hAnsiTheme="majorHAnsi"/>
          <w:sz w:val="16"/>
          <w:szCs w:val="16"/>
          <w:lang w:val="es-CO"/>
        </w:rPr>
        <w:t>that</w:t>
      </w:r>
      <w:proofErr w:type="spellEnd"/>
      <w:r w:rsidR="006C4116" w:rsidRPr="004747C9">
        <w:rPr>
          <w:rFonts w:asciiTheme="majorHAnsi" w:hAnsiTheme="majorHAnsi"/>
          <w:sz w:val="16"/>
          <w:szCs w:val="16"/>
          <w:lang w:val="es-CO"/>
        </w:rPr>
        <w:t xml:space="preserve"> </w:t>
      </w:r>
      <w:proofErr w:type="spellStart"/>
      <w:r w:rsidR="006C4116" w:rsidRPr="004747C9">
        <w:rPr>
          <w:rFonts w:asciiTheme="majorHAnsi" w:hAnsiTheme="majorHAnsi"/>
          <w:sz w:val="16"/>
          <w:szCs w:val="16"/>
          <w:lang w:val="es-CO"/>
        </w:rPr>
        <w:t>regard</w:t>
      </w:r>
      <w:proofErr w:type="spellEnd"/>
      <w:r w:rsidR="006C4116" w:rsidRPr="004747C9">
        <w:rPr>
          <w:rFonts w:asciiTheme="majorHAnsi" w:hAnsiTheme="majorHAnsi"/>
          <w:sz w:val="16"/>
          <w:szCs w:val="16"/>
          <w:lang w:val="es-CO"/>
        </w:rPr>
        <w:t xml:space="preserve"> </w:t>
      </w:r>
      <w:proofErr w:type="spellStart"/>
      <w:r w:rsidR="006C4116" w:rsidRPr="004747C9">
        <w:rPr>
          <w:rFonts w:asciiTheme="majorHAnsi" w:hAnsiTheme="majorHAnsi"/>
          <w:sz w:val="16"/>
          <w:szCs w:val="16"/>
          <w:lang w:val="es-CO"/>
        </w:rPr>
        <w:t>see</w:t>
      </w:r>
      <w:proofErr w:type="spellEnd"/>
      <w:r w:rsidR="006C4116" w:rsidRPr="004747C9">
        <w:rPr>
          <w:rFonts w:asciiTheme="majorHAnsi" w:hAnsiTheme="majorHAnsi"/>
          <w:sz w:val="16"/>
          <w:szCs w:val="16"/>
          <w:lang w:val="es-CO"/>
        </w:rPr>
        <w:t xml:space="preserve">, </w:t>
      </w:r>
      <w:r w:rsidRPr="004747C9">
        <w:rPr>
          <w:rFonts w:asciiTheme="majorHAnsi" w:hAnsiTheme="majorHAnsi"/>
          <w:sz w:val="16"/>
          <w:szCs w:val="16"/>
          <w:lang w:val="es-CO"/>
        </w:rPr>
        <w:t xml:space="preserve">Prensa Libre,  “Estado pide perdón por negligencia médica en muerte de joven”, </w:t>
      </w:r>
      <w:proofErr w:type="spellStart"/>
      <w:r w:rsidR="006C4116" w:rsidRPr="004747C9">
        <w:rPr>
          <w:rFonts w:asciiTheme="majorHAnsi" w:hAnsiTheme="majorHAnsi"/>
          <w:sz w:val="16"/>
          <w:szCs w:val="16"/>
          <w:lang w:val="es-CO"/>
        </w:rPr>
        <w:t>December</w:t>
      </w:r>
      <w:proofErr w:type="spellEnd"/>
      <w:r w:rsidR="006C4116" w:rsidRPr="004747C9">
        <w:rPr>
          <w:rFonts w:asciiTheme="majorHAnsi" w:hAnsiTheme="majorHAnsi"/>
          <w:sz w:val="16"/>
          <w:szCs w:val="16"/>
          <w:lang w:val="es-CO"/>
        </w:rPr>
        <w:t xml:space="preserve"> 17,</w:t>
      </w:r>
      <w:r w:rsidRPr="004747C9">
        <w:rPr>
          <w:rFonts w:asciiTheme="majorHAnsi" w:hAnsiTheme="majorHAnsi"/>
          <w:sz w:val="16"/>
          <w:szCs w:val="16"/>
          <w:lang w:val="es-CO"/>
        </w:rPr>
        <w:t xml:space="preserve"> 2011, </w:t>
      </w:r>
      <w:proofErr w:type="spellStart"/>
      <w:r w:rsidR="006C4116" w:rsidRPr="004747C9">
        <w:rPr>
          <w:rFonts w:asciiTheme="majorHAnsi" w:hAnsiTheme="majorHAnsi"/>
          <w:sz w:val="16"/>
          <w:szCs w:val="16"/>
          <w:lang w:val="es-CO"/>
        </w:rPr>
        <w:t>available</w:t>
      </w:r>
      <w:proofErr w:type="spellEnd"/>
      <w:r w:rsidR="006C4116" w:rsidRPr="004747C9">
        <w:rPr>
          <w:rFonts w:asciiTheme="majorHAnsi" w:hAnsiTheme="majorHAnsi"/>
          <w:sz w:val="16"/>
          <w:szCs w:val="16"/>
          <w:lang w:val="es-CO"/>
        </w:rPr>
        <w:t xml:space="preserve"> at</w:t>
      </w:r>
      <w:r w:rsidRPr="004747C9">
        <w:rPr>
          <w:rFonts w:asciiTheme="majorHAnsi" w:hAnsiTheme="majorHAnsi"/>
          <w:sz w:val="16"/>
          <w:szCs w:val="16"/>
          <w:lang w:val="es-CO"/>
        </w:rPr>
        <w:t xml:space="preserve">: </w:t>
      </w:r>
      <w:hyperlink r:id="rId1" w:history="1">
        <w:r w:rsidRPr="004747C9">
          <w:rPr>
            <w:rStyle w:val="Hyperlink"/>
            <w:rFonts w:asciiTheme="majorHAnsi" w:hAnsiTheme="majorHAnsi"/>
            <w:sz w:val="16"/>
            <w:szCs w:val="16"/>
            <w:lang w:val="es-CO"/>
          </w:rPr>
          <w:t>https://www.prensalibre.com/ciudades/quetzaltenango/perdon-negligencia-medica-muerte-joven-0-610739077/</w:t>
        </w:r>
      </w:hyperlink>
      <w:r w:rsidRPr="004747C9">
        <w:rPr>
          <w:rFonts w:asciiTheme="majorHAnsi" w:hAnsiTheme="majorHAnsi"/>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A29EF" w14:textId="77777777" w:rsidR="00263A40" w:rsidRDefault="00263A40"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E57B4AE" w14:textId="77777777" w:rsidR="00263A40" w:rsidRDefault="00263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1136" w14:textId="766BD560" w:rsidR="00263A40" w:rsidRDefault="00CB2312" w:rsidP="00A50FCF">
    <w:pPr>
      <w:pStyle w:val="Header"/>
      <w:tabs>
        <w:tab w:val="clear" w:pos="4320"/>
        <w:tab w:val="clear" w:pos="8640"/>
      </w:tabs>
      <w:jc w:val="center"/>
      <w:rPr>
        <w:sz w:val="22"/>
        <w:szCs w:val="22"/>
      </w:rPr>
    </w:pPr>
    <w:r>
      <w:rPr>
        <w:noProof/>
        <w:sz w:val="22"/>
        <w:szCs w:val="22"/>
      </w:rPr>
      <w:drawing>
        <wp:inline distT="0" distB="0" distL="0" distR="0" wp14:anchorId="21E5B28C" wp14:editId="03FF634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2C707FB" w14:textId="77777777" w:rsidR="00263A40" w:rsidRPr="00EC7D62" w:rsidRDefault="00FC4215" w:rsidP="00A50FCF">
    <w:pPr>
      <w:pStyle w:val="Header"/>
      <w:tabs>
        <w:tab w:val="clear" w:pos="4320"/>
        <w:tab w:val="clear" w:pos="8640"/>
      </w:tabs>
      <w:jc w:val="center"/>
      <w:rPr>
        <w:sz w:val="22"/>
        <w:szCs w:val="22"/>
      </w:rPr>
    </w:pPr>
    <w:r>
      <w:rPr>
        <w:noProof/>
        <w:sz w:val="22"/>
        <w:szCs w:val="22"/>
        <w:bdr w:val="nil"/>
      </w:rPr>
      <w:pict w14:anchorId="53514E1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C5997" w14:textId="77777777" w:rsidR="001555FB" w:rsidRDefault="00155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FC1BF2"/>
    <w:multiLevelType w:val="hybridMultilevel"/>
    <w:tmpl w:val="AA22778A"/>
    <w:lvl w:ilvl="0" w:tplc="93D6E04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217992"/>
    <w:multiLevelType w:val="hybridMultilevel"/>
    <w:tmpl w:val="12DA7578"/>
    <w:lvl w:ilvl="0" w:tplc="17381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B35A41"/>
    <w:multiLevelType w:val="hybridMultilevel"/>
    <w:tmpl w:val="C336601C"/>
    <w:lvl w:ilvl="0" w:tplc="D59E96D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D8E1F0C"/>
    <w:multiLevelType w:val="hybridMultilevel"/>
    <w:tmpl w:val="A784DD52"/>
    <w:lvl w:ilvl="0" w:tplc="F0BE41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1"/>
  </w:num>
  <w:num w:numId="5">
    <w:abstractNumId w:val="46"/>
  </w:num>
  <w:num w:numId="6">
    <w:abstractNumId w:val="26"/>
  </w:num>
  <w:num w:numId="7">
    <w:abstractNumId w:val="5"/>
  </w:num>
  <w:num w:numId="8">
    <w:abstractNumId w:val="17"/>
  </w:num>
  <w:num w:numId="9">
    <w:abstractNumId w:val="41"/>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9"/>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0"/>
  </w:num>
  <w:num w:numId="53">
    <w:abstractNumId w:val="50"/>
  </w:num>
  <w:num w:numId="54">
    <w:abstractNumId w:val="44"/>
  </w:num>
  <w:num w:numId="55">
    <w:abstractNumId w:val="51"/>
  </w:num>
  <w:num w:numId="56">
    <w:abstractNumId w:val="53"/>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48"/>
  </w:num>
  <w:num w:numId="60">
    <w:abstractNumId w:val="37"/>
  </w:num>
  <w:num w:numId="61">
    <w:abstractNumId w:val="42"/>
  </w:num>
  <w:num w:numId="62">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7E1A"/>
    <w:rsid w:val="00030D29"/>
    <w:rsid w:val="000341E1"/>
    <w:rsid w:val="00040C3A"/>
    <w:rsid w:val="000414AD"/>
    <w:rsid w:val="000716C5"/>
    <w:rsid w:val="00073681"/>
    <w:rsid w:val="00075E23"/>
    <w:rsid w:val="0008288D"/>
    <w:rsid w:val="00085FF4"/>
    <w:rsid w:val="0009344A"/>
    <w:rsid w:val="0009775A"/>
    <w:rsid w:val="000A392E"/>
    <w:rsid w:val="000A575F"/>
    <w:rsid w:val="000B23AC"/>
    <w:rsid w:val="000D10DB"/>
    <w:rsid w:val="000D3C78"/>
    <w:rsid w:val="000E5EB5"/>
    <w:rsid w:val="000E7111"/>
    <w:rsid w:val="000F1C4B"/>
    <w:rsid w:val="000F35ED"/>
    <w:rsid w:val="00107131"/>
    <w:rsid w:val="0010736F"/>
    <w:rsid w:val="00113F73"/>
    <w:rsid w:val="00121A15"/>
    <w:rsid w:val="00121CC2"/>
    <w:rsid w:val="00123475"/>
    <w:rsid w:val="00133EE5"/>
    <w:rsid w:val="00151E64"/>
    <w:rsid w:val="0015257D"/>
    <w:rsid w:val="001555FB"/>
    <w:rsid w:val="00156E5D"/>
    <w:rsid w:val="00167A34"/>
    <w:rsid w:val="001742F6"/>
    <w:rsid w:val="00176385"/>
    <w:rsid w:val="00180A36"/>
    <w:rsid w:val="00186EA7"/>
    <w:rsid w:val="001931A3"/>
    <w:rsid w:val="001A1251"/>
    <w:rsid w:val="001A293F"/>
    <w:rsid w:val="001A7243"/>
    <w:rsid w:val="001A7870"/>
    <w:rsid w:val="001C1B41"/>
    <w:rsid w:val="001C5513"/>
    <w:rsid w:val="001D12CA"/>
    <w:rsid w:val="001D65EF"/>
    <w:rsid w:val="00204342"/>
    <w:rsid w:val="002250A3"/>
    <w:rsid w:val="00235217"/>
    <w:rsid w:val="00246D1F"/>
    <w:rsid w:val="00247403"/>
    <w:rsid w:val="00247542"/>
    <w:rsid w:val="00255338"/>
    <w:rsid w:val="00263A40"/>
    <w:rsid w:val="00266B61"/>
    <w:rsid w:val="0026712A"/>
    <w:rsid w:val="002704DB"/>
    <w:rsid w:val="002A0AAE"/>
    <w:rsid w:val="002A5820"/>
    <w:rsid w:val="002C4141"/>
    <w:rsid w:val="002D2A39"/>
    <w:rsid w:val="002D2B26"/>
    <w:rsid w:val="002D7EA2"/>
    <w:rsid w:val="002E187C"/>
    <w:rsid w:val="002F4B60"/>
    <w:rsid w:val="00302733"/>
    <w:rsid w:val="00314078"/>
    <w:rsid w:val="0031535D"/>
    <w:rsid w:val="0033169F"/>
    <w:rsid w:val="003369B3"/>
    <w:rsid w:val="0034364D"/>
    <w:rsid w:val="00346C95"/>
    <w:rsid w:val="00356185"/>
    <w:rsid w:val="00360380"/>
    <w:rsid w:val="00362208"/>
    <w:rsid w:val="00364C7A"/>
    <w:rsid w:val="0037519E"/>
    <w:rsid w:val="0037573B"/>
    <w:rsid w:val="00386CF0"/>
    <w:rsid w:val="00396EA9"/>
    <w:rsid w:val="003C676B"/>
    <w:rsid w:val="003D1E86"/>
    <w:rsid w:val="003D3BC2"/>
    <w:rsid w:val="003E6CA1"/>
    <w:rsid w:val="00402281"/>
    <w:rsid w:val="00407C98"/>
    <w:rsid w:val="00416593"/>
    <w:rsid w:val="004165C2"/>
    <w:rsid w:val="00441ECB"/>
    <w:rsid w:val="00446C7B"/>
    <w:rsid w:val="00467B7E"/>
    <w:rsid w:val="004747C9"/>
    <w:rsid w:val="00477592"/>
    <w:rsid w:val="00486F1C"/>
    <w:rsid w:val="0049419D"/>
    <w:rsid w:val="004B4A5C"/>
    <w:rsid w:val="004C20D2"/>
    <w:rsid w:val="004C4B62"/>
    <w:rsid w:val="004C54C9"/>
    <w:rsid w:val="004D6025"/>
    <w:rsid w:val="004E2649"/>
    <w:rsid w:val="004F74A8"/>
    <w:rsid w:val="00501399"/>
    <w:rsid w:val="005046E1"/>
    <w:rsid w:val="0050633D"/>
    <w:rsid w:val="00507BC4"/>
    <w:rsid w:val="005128E4"/>
    <w:rsid w:val="005133DB"/>
    <w:rsid w:val="0052499E"/>
    <w:rsid w:val="00525560"/>
    <w:rsid w:val="00540463"/>
    <w:rsid w:val="00544C49"/>
    <w:rsid w:val="005516A1"/>
    <w:rsid w:val="00557F5E"/>
    <w:rsid w:val="0057402A"/>
    <w:rsid w:val="005771D0"/>
    <w:rsid w:val="005802E9"/>
    <w:rsid w:val="0059191A"/>
    <w:rsid w:val="005921FF"/>
    <w:rsid w:val="005A6D0E"/>
    <w:rsid w:val="005B52B0"/>
    <w:rsid w:val="005B6806"/>
    <w:rsid w:val="005C4225"/>
    <w:rsid w:val="005D1045"/>
    <w:rsid w:val="005D34F8"/>
    <w:rsid w:val="005E311A"/>
    <w:rsid w:val="005F0DAD"/>
    <w:rsid w:val="005F0F33"/>
    <w:rsid w:val="00600DEB"/>
    <w:rsid w:val="00621F41"/>
    <w:rsid w:val="00627C9F"/>
    <w:rsid w:val="006311E9"/>
    <w:rsid w:val="00632354"/>
    <w:rsid w:val="00642810"/>
    <w:rsid w:val="00652333"/>
    <w:rsid w:val="006574F0"/>
    <w:rsid w:val="00660EA4"/>
    <w:rsid w:val="00663ECD"/>
    <w:rsid w:val="00667AE7"/>
    <w:rsid w:val="0068009E"/>
    <w:rsid w:val="00692219"/>
    <w:rsid w:val="006A17D2"/>
    <w:rsid w:val="006A73E6"/>
    <w:rsid w:val="006B2D5C"/>
    <w:rsid w:val="006B5056"/>
    <w:rsid w:val="006C0FF0"/>
    <w:rsid w:val="006C4116"/>
    <w:rsid w:val="006C4EB1"/>
    <w:rsid w:val="006E0166"/>
    <w:rsid w:val="006E7B34"/>
    <w:rsid w:val="006F6DAD"/>
    <w:rsid w:val="0070697F"/>
    <w:rsid w:val="007072CF"/>
    <w:rsid w:val="0072199C"/>
    <w:rsid w:val="00722C9F"/>
    <w:rsid w:val="007253B8"/>
    <w:rsid w:val="00731492"/>
    <w:rsid w:val="007332F8"/>
    <w:rsid w:val="0073741F"/>
    <w:rsid w:val="007527F6"/>
    <w:rsid w:val="007575E5"/>
    <w:rsid w:val="0076643F"/>
    <w:rsid w:val="00777F63"/>
    <w:rsid w:val="007A5817"/>
    <w:rsid w:val="007B60E9"/>
    <w:rsid w:val="007B6CC3"/>
    <w:rsid w:val="007B6E13"/>
    <w:rsid w:val="007C3334"/>
    <w:rsid w:val="007D2B98"/>
    <w:rsid w:val="007E21BC"/>
    <w:rsid w:val="007E7602"/>
    <w:rsid w:val="00803F1C"/>
    <w:rsid w:val="0080600E"/>
    <w:rsid w:val="008103B8"/>
    <w:rsid w:val="00817612"/>
    <w:rsid w:val="008338A4"/>
    <w:rsid w:val="00837C45"/>
    <w:rsid w:val="0084200F"/>
    <w:rsid w:val="00844730"/>
    <w:rsid w:val="008457C2"/>
    <w:rsid w:val="00857A82"/>
    <w:rsid w:val="0086760C"/>
    <w:rsid w:val="0087268F"/>
    <w:rsid w:val="00873836"/>
    <w:rsid w:val="008807B8"/>
    <w:rsid w:val="00885737"/>
    <w:rsid w:val="00890650"/>
    <w:rsid w:val="00897E12"/>
    <w:rsid w:val="008A06BA"/>
    <w:rsid w:val="008A7E0F"/>
    <w:rsid w:val="008B12F5"/>
    <w:rsid w:val="008B5435"/>
    <w:rsid w:val="008C05DB"/>
    <w:rsid w:val="008D0389"/>
    <w:rsid w:val="008D768D"/>
    <w:rsid w:val="008E3759"/>
    <w:rsid w:val="008F1912"/>
    <w:rsid w:val="008F5061"/>
    <w:rsid w:val="0090270B"/>
    <w:rsid w:val="00903984"/>
    <w:rsid w:val="009041DC"/>
    <w:rsid w:val="00904BDB"/>
    <w:rsid w:val="00917B5A"/>
    <w:rsid w:val="00920A58"/>
    <w:rsid w:val="00920A8C"/>
    <w:rsid w:val="00931F13"/>
    <w:rsid w:val="00934A2C"/>
    <w:rsid w:val="0095721D"/>
    <w:rsid w:val="0096706E"/>
    <w:rsid w:val="009708C5"/>
    <w:rsid w:val="00975C4E"/>
    <w:rsid w:val="00981E2C"/>
    <w:rsid w:val="00981FBA"/>
    <w:rsid w:val="0098463D"/>
    <w:rsid w:val="00984BD6"/>
    <w:rsid w:val="00997BC5"/>
    <w:rsid w:val="009A2941"/>
    <w:rsid w:val="009A29BF"/>
    <w:rsid w:val="009A4F41"/>
    <w:rsid w:val="009B381B"/>
    <w:rsid w:val="009B3CD3"/>
    <w:rsid w:val="009C5C94"/>
    <w:rsid w:val="009D1753"/>
    <w:rsid w:val="009D7611"/>
    <w:rsid w:val="009E0B61"/>
    <w:rsid w:val="009E53DE"/>
    <w:rsid w:val="00A1194E"/>
    <w:rsid w:val="00A15E9B"/>
    <w:rsid w:val="00A328B3"/>
    <w:rsid w:val="00A424CA"/>
    <w:rsid w:val="00A50FCF"/>
    <w:rsid w:val="00A528D1"/>
    <w:rsid w:val="00A610CD"/>
    <w:rsid w:val="00A623C6"/>
    <w:rsid w:val="00A75114"/>
    <w:rsid w:val="00A87204"/>
    <w:rsid w:val="00A90169"/>
    <w:rsid w:val="00AA09A2"/>
    <w:rsid w:val="00AA7996"/>
    <w:rsid w:val="00AB1665"/>
    <w:rsid w:val="00AC19CB"/>
    <w:rsid w:val="00AC26B1"/>
    <w:rsid w:val="00AC6E5E"/>
    <w:rsid w:val="00AC72C2"/>
    <w:rsid w:val="00AE4DD5"/>
    <w:rsid w:val="00AE4E6C"/>
    <w:rsid w:val="00AE5488"/>
    <w:rsid w:val="00AE6F91"/>
    <w:rsid w:val="00AF5571"/>
    <w:rsid w:val="00B01DDC"/>
    <w:rsid w:val="00B07341"/>
    <w:rsid w:val="00B15823"/>
    <w:rsid w:val="00B15B50"/>
    <w:rsid w:val="00B25AFE"/>
    <w:rsid w:val="00B30539"/>
    <w:rsid w:val="00B314DB"/>
    <w:rsid w:val="00B333BF"/>
    <w:rsid w:val="00B361F2"/>
    <w:rsid w:val="00B3718B"/>
    <w:rsid w:val="00B42533"/>
    <w:rsid w:val="00B42BAB"/>
    <w:rsid w:val="00B4632A"/>
    <w:rsid w:val="00B5009B"/>
    <w:rsid w:val="00B530F1"/>
    <w:rsid w:val="00B8165A"/>
    <w:rsid w:val="00BA00CC"/>
    <w:rsid w:val="00BA0946"/>
    <w:rsid w:val="00BA276C"/>
    <w:rsid w:val="00BB2E19"/>
    <w:rsid w:val="00BB306F"/>
    <w:rsid w:val="00BC2C84"/>
    <w:rsid w:val="00BC44BE"/>
    <w:rsid w:val="00BD0E39"/>
    <w:rsid w:val="00BD4B89"/>
    <w:rsid w:val="00BF6FD8"/>
    <w:rsid w:val="00BF7900"/>
    <w:rsid w:val="00C01502"/>
    <w:rsid w:val="00C03680"/>
    <w:rsid w:val="00C054DF"/>
    <w:rsid w:val="00C21762"/>
    <w:rsid w:val="00C22E0B"/>
    <w:rsid w:val="00C24543"/>
    <w:rsid w:val="00C256A2"/>
    <w:rsid w:val="00C47ABB"/>
    <w:rsid w:val="00C51515"/>
    <w:rsid w:val="00C53A3F"/>
    <w:rsid w:val="00C5660B"/>
    <w:rsid w:val="00C66B72"/>
    <w:rsid w:val="00C70EB2"/>
    <w:rsid w:val="00C75819"/>
    <w:rsid w:val="00C94D58"/>
    <w:rsid w:val="00C9567A"/>
    <w:rsid w:val="00CB212D"/>
    <w:rsid w:val="00CB2312"/>
    <w:rsid w:val="00CB2660"/>
    <w:rsid w:val="00CC5E90"/>
    <w:rsid w:val="00CD046C"/>
    <w:rsid w:val="00CE076C"/>
    <w:rsid w:val="00CE5199"/>
    <w:rsid w:val="00CE66D5"/>
    <w:rsid w:val="00CF637A"/>
    <w:rsid w:val="00CF6F28"/>
    <w:rsid w:val="00D059DE"/>
    <w:rsid w:val="00D13FCE"/>
    <w:rsid w:val="00D306D1"/>
    <w:rsid w:val="00D34786"/>
    <w:rsid w:val="00D37A1B"/>
    <w:rsid w:val="00D37BFC"/>
    <w:rsid w:val="00D47A8E"/>
    <w:rsid w:val="00D52D14"/>
    <w:rsid w:val="00D53604"/>
    <w:rsid w:val="00D54467"/>
    <w:rsid w:val="00D60AA9"/>
    <w:rsid w:val="00D67FA8"/>
    <w:rsid w:val="00D702DC"/>
    <w:rsid w:val="00D712D3"/>
    <w:rsid w:val="00D71422"/>
    <w:rsid w:val="00D72DC6"/>
    <w:rsid w:val="00D7558D"/>
    <w:rsid w:val="00D81D92"/>
    <w:rsid w:val="00D8414F"/>
    <w:rsid w:val="00DA30ED"/>
    <w:rsid w:val="00DA7B5F"/>
    <w:rsid w:val="00DB5F63"/>
    <w:rsid w:val="00DC11E7"/>
    <w:rsid w:val="00DC156C"/>
    <w:rsid w:val="00DC7023"/>
    <w:rsid w:val="00DC769A"/>
    <w:rsid w:val="00DD3D86"/>
    <w:rsid w:val="00DF0987"/>
    <w:rsid w:val="00DF1EC4"/>
    <w:rsid w:val="00DF7EF7"/>
    <w:rsid w:val="00E0340B"/>
    <w:rsid w:val="00E04A90"/>
    <w:rsid w:val="00E07A91"/>
    <w:rsid w:val="00E17AE1"/>
    <w:rsid w:val="00E219C7"/>
    <w:rsid w:val="00E3436C"/>
    <w:rsid w:val="00E43101"/>
    <w:rsid w:val="00E43157"/>
    <w:rsid w:val="00E461CE"/>
    <w:rsid w:val="00E720CA"/>
    <w:rsid w:val="00E74040"/>
    <w:rsid w:val="00E804EE"/>
    <w:rsid w:val="00E811BD"/>
    <w:rsid w:val="00E84EB5"/>
    <w:rsid w:val="00E85662"/>
    <w:rsid w:val="00E8789F"/>
    <w:rsid w:val="00E97B71"/>
    <w:rsid w:val="00EA3D34"/>
    <w:rsid w:val="00EB454D"/>
    <w:rsid w:val="00ED76BE"/>
    <w:rsid w:val="00EE2DDB"/>
    <w:rsid w:val="00EF5696"/>
    <w:rsid w:val="00EF619B"/>
    <w:rsid w:val="00F00B55"/>
    <w:rsid w:val="00F02AD1"/>
    <w:rsid w:val="00F07CE9"/>
    <w:rsid w:val="00F253CC"/>
    <w:rsid w:val="00F37106"/>
    <w:rsid w:val="00F519CF"/>
    <w:rsid w:val="00F56BA5"/>
    <w:rsid w:val="00F60E22"/>
    <w:rsid w:val="00F61A31"/>
    <w:rsid w:val="00F81395"/>
    <w:rsid w:val="00F87B80"/>
    <w:rsid w:val="00F917D1"/>
    <w:rsid w:val="00F9653B"/>
    <w:rsid w:val="00FA1808"/>
    <w:rsid w:val="00FA1AB6"/>
    <w:rsid w:val="00FB62CF"/>
    <w:rsid w:val="00FC4215"/>
    <w:rsid w:val="00FD3C3B"/>
    <w:rsid w:val="00FE584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3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06999">
      <w:bodyDiv w:val="1"/>
      <w:marLeft w:val="0"/>
      <w:marRight w:val="0"/>
      <w:marTop w:val="0"/>
      <w:marBottom w:val="0"/>
      <w:divBdr>
        <w:top w:val="none" w:sz="0" w:space="0" w:color="auto"/>
        <w:left w:val="none" w:sz="0" w:space="0" w:color="auto"/>
        <w:bottom w:val="none" w:sz="0" w:space="0" w:color="auto"/>
        <w:right w:val="none" w:sz="0" w:space="0" w:color="auto"/>
      </w:divBdr>
    </w:div>
    <w:div w:id="936254715">
      <w:bodyDiv w:val="1"/>
      <w:marLeft w:val="0"/>
      <w:marRight w:val="0"/>
      <w:marTop w:val="0"/>
      <w:marBottom w:val="0"/>
      <w:divBdr>
        <w:top w:val="none" w:sz="0" w:space="0" w:color="auto"/>
        <w:left w:val="none" w:sz="0" w:space="0" w:color="auto"/>
        <w:bottom w:val="none" w:sz="0" w:space="0" w:color="auto"/>
        <w:right w:val="none" w:sz="0" w:space="0" w:color="auto"/>
      </w:divBdr>
    </w:div>
    <w:div w:id="117199220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04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prensalibre.com/ciudades/quetzaltenango/perdon-negligencia-medica-muerte-joven-0-61073907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A69B-E9A1-4C2F-950C-C3371D74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4574</Words>
  <Characters>24888</Characters>
  <Application>Microsoft Office Word</Application>
  <DocSecurity>0</DocSecurity>
  <Lines>541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86/20</dc:title>
  <dc:creator/>
  <cp:lastModifiedBy/>
  <cp:revision>1</cp:revision>
  <dcterms:created xsi:type="dcterms:W3CDTF">2020-06-11T17:54:00Z</dcterms:created>
  <dcterms:modified xsi:type="dcterms:W3CDTF">2020-06-11T17:54:00Z</dcterms:modified>
</cp:coreProperties>
</file>