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99F7F" w14:textId="77777777" w:rsidR="00040C3A" w:rsidRPr="00A53B9D" w:rsidRDefault="00D306D1" w:rsidP="00627C9F">
      <w:pPr>
        <w:jc w:val="both"/>
        <w:rPr>
          <w:rFonts w:asciiTheme="majorHAnsi" w:hAnsiTheme="majorHAnsi" w:cs="Univers"/>
          <w:b/>
          <w:bCs/>
          <w:sz w:val="20"/>
          <w:szCs w:val="20"/>
        </w:rPr>
      </w:pPr>
      <w:r>
        <w:rPr>
          <w:rFonts w:asciiTheme="majorHAnsi" w:hAnsiTheme="majorHAnsi"/>
          <w:noProof/>
          <w:sz w:val="20"/>
          <w:szCs w:val="20"/>
          <w:lang w:bidi="ar-SA"/>
        </w:rPr>
        <mc:AlternateContent>
          <mc:Choice Requires="wps">
            <w:drawing>
              <wp:anchor distT="0" distB="0" distL="114300" distR="114300" simplePos="0" relativeHeight="251661311" behindDoc="0" locked="0" layoutInCell="1" allowOverlap="1" wp14:anchorId="44688DF6" wp14:editId="0334E92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3D106A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Pr>
          <w:rFonts w:asciiTheme="majorHAnsi" w:hAnsiTheme="majorHAnsi"/>
          <w:noProof/>
          <w:sz w:val="20"/>
          <w:szCs w:val="20"/>
          <w:lang w:bidi="ar-SA"/>
        </w:rPr>
        <mc:AlternateContent>
          <mc:Choice Requires="wps">
            <w:drawing>
              <wp:anchor distT="0" distB="0" distL="114300" distR="114300" simplePos="0" relativeHeight="251673600" behindDoc="0" locked="0" layoutInCell="1" allowOverlap="1" wp14:anchorId="76727371" wp14:editId="1FC3A01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037B6A" w14:textId="7021349B" w:rsidR="00867D4C" w:rsidRDefault="006C0C71" w:rsidP="00AE5488">
                            <w:r>
                              <w:rPr>
                                <w:noProof/>
                                <w:lang w:bidi="ar-SA"/>
                              </w:rPr>
                              <w:drawing>
                                <wp:inline distT="0" distB="0" distL="0" distR="0" wp14:anchorId="44EC1FDC" wp14:editId="318F1703">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2737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3037B6A" w14:textId="7021349B" w:rsidR="00867D4C" w:rsidRDefault="006C0C71" w:rsidP="00AE5488">
                      <w:r>
                        <w:rPr>
                          <w:noProof/>
                          <w:lang w:bidi="ar-SA"/>
                        </w:rPr>
                        <w:drawing>
                          <wp:inline distT="0" distB="0" distL="0" distR="0" wp14:anchorId="44EC1FDC" wp14:editId="318F1703">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r>
        <w:rPr>
          <w:rFonts w:asciiTheme="majorHAnsi" w:hAnsiTheme="majorHAnsi"/>
          <w:b/>
          <w:sz w:val="20"/>
        </w:rPr>
        <w:t xml:space="preserve"> </w:t>
      </w:r>
    </w:p>
    <w:p w14:paraId="144870D4" w14:textId="77777777" w:rsidR="00040C3A" w:rsidRPr="00A53B9D" w:rsidRDefault="00040C3A" w:rsidP="00040C3A">
      <w:pPr>
        <w:tabs>
          <w:tab w:val="center" w:pos="5400"/>
        </w:tabs>
        <w:suppressAutoHyphens/>
        <w:jc w:val="both"/>
        <w:rPr>
          <w:rFonts w:asciiTheme="majorHAnsi" w:hAnsiTheme="majorHAnsi"/>
          <w:sz w:val="20"/>
          <w:szCs w:val="20"/>
        </w:rPr>
      </w:pPr>
    </w:p>
    <w:p w14:paraId="3A1D3681" w14:textId="77777777" w:rsidR="00040C3A" w:rsidRPr="00A53B9D" w:rsidRDefault="00040C3A" w:rsidP="00040C3A">
      <w:pPr>
        <w:tabs>
          <w:tab w:val="center" w:pos="5400"/>
        </w:tabs>
        <w:suppressAutoHyphens/>
        <w:jc w:val="both"/>
        <w:rPr>
          <w:rFonts w:asciiTheme="majorHAnsi" w:hAnsiTheme="majorHAnsi"/>
          <w:sz w:val="20"/>
          <w:szCs w:val="20"/>
        </w:rPr>
      </w:pPr>
    </w:p>
    <w:p w14:paraId="0DC0C344" w14:textId="77777777" w:rsidR="005128E4" w:rsidRPr="00A53B9D" w:rsidRDefault="005128E4" w:rsidP="00040C3A">
      <w:pPr>
        <w:tabs>
          <w:tab w:val="center" w:pos="5400"/>
        </w:tabs>
        <w:suppressAutoHyphens/>
        <w:rPr>
          <w:rFonts w:asciiTheme="majorHAnsi" w:hAnsiTheme="majorHAnsi"/>
          <w:sz w:val="20"/>
          <w:szCs w:val="20"/>
        </w:rPr>
      </w:pPr>
    </w:p>
    <w:p w14:paraId="370FB75C" w14:textId="77777777" w:rsidR="005128E4" w:rsidRPr="00A53B9D" w:rsidRDefault="005128E4" w:rsidP="00040C3A">
      <w:pPr>
        <w:tabs>
          <w:tab w:val="center" w:pos="5400"/>
        </w:tabs>
        <w:suppressAutoHyphens/>
        <w:rPr>
          <w:rFonts w:asciiTheme="majorHAnsi" w:hAnsiTheme="majorHAnsi"/>
          <w:sz w:val="20"/>
          <w:szCs w:val="20"/>
        </w:rPr>
      </w:pPr>
    </w:p>
    <w:p w14:paraId="70FA0BFA" w14:textId="77777777" w:rsidR="005128E4" w:rsidRPr="00A53B9D" w:rsidRDefault="005128E4" w:rsidP="00040C3A">
      <w:pPr>
        <w:tabs>
          <w:tab w:val="center" w:pos="5400"/>
        </w:tabs>
        <w:suppressAutoHyphens/>
        <w:rPr>
          <w:rFonts w:asciiTheme="majorHAnsi" w:hAnsiTheme="majorHAnsi"/>
          <w:sz w:val="20"/>
          <w:szCs w:val="20"/>
        </w:rPr>
      </w:pPr>
    </w:p>
    <w:p w14:paraId="43AA6191" w14:textId="77777777" w:rsidR="00040C3A" w:rsidRPr="00A53B9D" w:rsidRDefault="00040C3A" w:rsidP="005128E4">
      <w:pPr>
        <w:tabs>
          <w:tab w:val="center" w:pos="5400"/>
        </w:tabs>
        <w:suppressAutoHyphens/>
        <w:jc w:val="center"/>
        <w:rPr>
          <w:rFonts w:asciiTheme="majorHAnsi" w:hAnsiTheme="majorHAnsi"/>
          <w:sz w:val="20"/>
          <w:szCs w:val="20"/>
        </w:rPr>
      </w:pPr>
    </w:p>
    <w:p w14:paraId="7A6DD94E" w14:textId="77777777" w:rsidR="00040C3A" w:rsidRPr="00A53B9D" w:rsidRDefault="00040C3A" w:rsidP="005128E4">
      <w:pPr>
        <w:tabs>
          <w:tab w:val="center" w:pos="5400"/>
        </w:tabs>
        <w:suppressAutoHyphens/>
        <w:jc w:val="center"/>
        <w:rPr>
          <w:rFonts w:asciiTheme="majorHAnsi" w:hAnsiTheme="majorHAnsi"/>
          <w:sz w:val="20"/>
          <w:szCs w:val="20"/>
        </w:rPr>
      </w:pPr>
    </w:p>
    <w:p w14:paraId="6336792C" w14:textId="77777777" w:rsidR="005B52B0" w:rsidRPr="00A53B9D" w:rsidRDefault="005B52B0" w:rsidP="005128E4">
      <w:pPr>
        <w:tabs>
          <w:tab w:val="center" w:pos="5400"/>
        </w:tabs>
        <w:suppressAutoHyphens/>
        <w:jc w:val="center"/>
        <w:rPr>
          <w:rFonts w:asciiTheme="majorHAnsi" w:hAnsiTheme="majorHAnsi"/>
          <w:sz w:val="20"/>
          <w:szCs w:val="20"/>
        </w:rPr>
      </w:pPr>
    </w:p>
    <w:p w14:paraId="3BD3864B" w14:textId="77777777" w:rsidR="005B52B0" w:rsidRPr="00A53B9D" w:rsidRDefault="005B52B0" w:rsidP="005128E4">
      <w:pPr>
        <w:tabs>
          <w:tab w:val="center" w:pos="5400"/>
        </w:tabs>
        <w:suppressAutoHyphens/>
        <w:jc w:val="center"/>
        <w:rPr>
          <w:rFonts w:asciiTheme="majorHAnsi" w:hAnsiTheme="majorHAnsi"/>
          <w:sz w:val="20"/>
          <w:szCs w:val="20"/>
        </w:rPr>
      </w:pPr>
    </w:p>
    <w:p w14:paraId="3CD3C802" w14:textId="77777777" w:rsidR="005B52B0" w:rsidRPr="00A53B9D" w:rsidRDefault="005B52B0" w:rsidP="005128E4">
      <w:pPr>
        <w:tabs>
          <w:tab w:val="center" w:pos="5400"/>
        </w:tabs>
        <w:suppressAutoHyphens/>
        <w:jc w:val="center"/>
        <w:rPr>
          <w:rFonts w:asciiTheme="majorHAnsi" w:hAnsiTheme="majorHAnsi"/>
          <w:sz w:val="20"/>
          <w:szCs w:val="20"/>
        </w:rPr>
      </w:pPr>
    </w:p>
    <w:p w14:paraId="23ACC99F" w14:textId="77777777" w:rsidR="00040C3A" w:rsidRPr="00A53B9D" w:rsidRDefault="00040C3A" w:rsidP="00040C3A">
      <w:pPr>
        <w:tabs>
          <w:tab w:val="center" w:pos="5400"/>
        </w:tabs>
        <w:suppressAutoHyphens/>
        <w:jc w:val="center"/>
        <w:rPr>
          <w:rFonts w:asciiTheme="majorHAnsi" w:hAnsiTheme="majorHAnsi"/>
          <w:sz w:val="20"/>
          <w:szCs w:val="20"/>
        </w:rPr>
      </w:pPr>
    </w:p>
    <w:p w14:paraId="36BFAAE2" w14:textId="77777777" w:rsidR="00040C3A" w:rsidRPr="00A53B9D" w:rsidRDefault="00040C3A" w:rsidP="00040C3A">
      <w:pPr>
        <w:tabs>
          <w:tab w:val="center" w:pos="5400"/>
        </w:tabs>
        <w:suppressAutoHyphens/>
        <w:jc w:val="center"/>
        <w:rPr>
          <w:rFonts w:asciiTheme="majorHAnsi" w:hAnsiTheme="majorHAnsi"/>
          <w:sz w:val="20"/>
          <w:szCs w:val="20"/>
        </w:rPr>
      </w:pPr>
    </w:p>
    <w:p w14:paraId="720B7CEF" w14:textId="77777777" w:rsidR="00040C3A" w:rsidRPr="00A53B9D" w:rsidRDefault="003D3BC2" w:rsidP="00040C3A">
      <w:pPr>
        <w:tabs>
          <w:tab w:val="center" w:pos="5400"/>
        </w:tabs>
        <w:suppressAutoHyphens/>
        <w:jc w:val="center"/>
        <w:rPr>
          <w:rFonts w:asciiTheme="majorHAnsi" w:hAnsiTheme="majorHAnsi"/>
          <w:sz w:val="20"/>
          <w:szCs w:val="20"/>
        </w:rPr>
      </w:pPr>
      <w:r>
        <w:rPr>
          <w:rFonts w:asciiTheme="majorHAnsi" w:hAnsiTheme="majorHAnsi"/>
          <w:noProof/>
          <w:sz w:val="20"/>
          <w:szCs w:val="20"/>
          <w:lang w:bidi="ar-SA"/>
        </w:rPr>
        <mc:AlternateContent>
          <mc:Choice Requires="wps">
            <w:drawing>
              <wp:anchor distT="0" distB="0" distL="114300" distR="114300" simplePos="0" relativeHeight="251669504" behindDoc="0" locked="0" layoutInCell="1" allowOverlap="1" wp14:anchorId="2EE0D3A4" wp14:editId="0224132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D9E57" w14:textId="20BD8E29" w:rsidR="00867D4C" w:rsidRPr="004E2649" w:rsidRDefault="006C0C71"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REPORT No. 142</w:t>
                            </w:r>
                            <w:r w:rsidR="00867D4C">
                              <w:rPr>
                                <w:rFonts w:asciiTheme="majorHAnsi" w:hAnsiTheme="majorHAnsi"/>
                                <w:b/>
                                <w:color w:val="0D0D0D" w:themeColor="text1" w:themeTint="F2"/>
                                <w:sz w:val="36"/>
                              </w:rPr>
                              <w:t>/20</w:t>
                            </w:r>
                          </w:p>
                          <w:p w14:paraId="0E70416E" w14:textId="77777777" w:rsidR="00867D4C" w:rsidRDefault="00867D4C"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537-10 </w:t>
                            </w:r>
                          </w:p>
                          <w:p w14:paraId="038AD9EE" w14:textId="77777777" w:rsidR="00867D4C" w:rsidRPr="0010736F" w:rsidRDefault="00867D4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00D71F16" w14:textId="77777777" w:rsidR="00867D4C" w:rsidRPr="0010736F" w:rsidRDefault="00867D4C" w:rsidP="00997BC5">
                            <w:pPr>
                              <w:spacing w:line="276" w:lineRule="auto"/>
                              <w:rPr>
                                <w:rFonts w:asciiTheme="majorHAnsi" w:hAnsiTheme="majorHAnsi" w:cs="Arial"/>
                                <w:color w:val="0D0D0D" w:themeColor="text1" w:themeTint="F2"/>
                                <w:szCs w:val="22"/>
                              </w:rPr>
                            </w:pPr>
                            <w:bookmarkStart w:id="0" w:name="_ftnref1"/>
                          </w:p>
                          <w:p w14:paraId="57D03521" w14:textId="73E7F42C" w:rsidR="00867D4C" w:rsidRPr="0010736F" w:rsidRDefault="00867D4C" w:rsidP="00997BC5">
                            <w:pPr>
                              <w:spacing w:line="276" w:lineRule="auto"/>
                              <w:rPr>
                                <w:rFonts w:asciiTheme="majorHAnsi" w:hAnsiTheme="majorHAnsi" w:cs="Arial"/>
                                <w:color w:val="0D0D0D" w:themeColor="text1" w:themeTint="F2"/>
                                <w:szCs w:val="22"/>
                              </w:rPr>
                            </w:pPr>
                            <w:r w:rsidRPr="00E43D3C">
                              <w:rPr>
                                <w:rFonts w:asciiTheme="majorHAnsi" w:hAnsiTheme="majorHAnsi"/>
                                <w:color w:val="0D0D0D" w:themeColor="text1" w:themeTint="F2"/>
                                <w:lang w:val="es-CO"/>
                              </w:rPr>
                              <w:t xml:space="preserve">TERESA ORTEGA LA ROSA </w:t>
                            </w:r>
                            <w:r w:rsidR="00B36A25" w:rsidRPr="00E43D3C">
                              <w:rPr>
                                <w:rFonts w:asciiTheme="majorHAnsi" w:hAnsiTheme="majorHAnsi"/>
                                <w:color w:val="0D0D0D" w:themeColor="text1" w:themeTint="F2"/>
                                <w:lang w:val="es-CO"/>
                              </w:rPr>
                              <w:t>VDA.</w:t>
                            </w:r>
                            <w:r w:rsidRPr="00E43D3C">
                              <w:rPr>
                                <w:rFonts w:asciiTheme="majorHAnsi" w:hAnsiTheme="majorHAnsi"/>
                                <w:color w:val="0D0D0D" w:themeColor="text1" w:themeTint="F2"/>
                                <w:lang w:val="es-CO"/>
                              </w:rPr>
                              <w:t xml:space="preserve"> </w:t>
                            </w:r>
                            <w:r>
                              <w:rPr>
                                <w:rFonts w:asciiTheme="majorHAnsi" w:hAnsiTheme="majorHAnsi"/>
                                <w:color w:val="0D0D0D" w:themeColor="text1" w:themeTint="F2"/>
                              </w:rPr>
                              <w:t>DE MORÁN</w:t>
                            </w:r>
                          </w:p>
                          <w:bookmarkEnd w:id="0"/>
                          <w:p w14:paraId="69931E49" w14:textId="77777777" w:rsidR="00867D4C" w:rsidRPr="003D16F1" w:rsidRDefault="00867D4C" w:rsidP="003D16F1">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0D3A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DBD9E57" w14:textId="20BD8E29" w:rsidR="00867D4C" w:rsidRPr="004E2649" w:rsidRDefault="006C0C71"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REPORT No. 142</w:t>
                      </w:r>
                      <w:r w:rsidR="00867D4C">
                        <w:rPr>
                          <w:rFonts w:asciiTheme="majorHAnsi" w:hAnsiTheme="majorHAnsi"/>
                          <w:b/>
                          <w:color w:val="0D0D0D" w:themeColor="text1" w:themeTint="F2"/>
                          <w:sz w:val="36"/>
                        </w:rPr>
                        <w:t>/20</w:t>
                      </w:r>
                    </w:p>
                    <w:p w14:paraId="0E70416E" w14:textId="77777777" w:rsidR="00867D4C" w:rsidRDefault="00867D4C"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537-10 </w:t>
                      </w:r>
                    </w:p>
                    <w:p w14:paraId="038AD9EE" w14:textId="77777777" w:rsidR="00867D4C" w:rsidRPr="0010736F" w:rsidRDefault="00867D4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00D71F16" w14:textId="77777777" w:rsidR="00867D4C" w:rsidRPr="0010736F" w:rsidRDefault="00867D4C" w:rsidP="00997BC5">
                      <w:pPr>
                        <w:spacing w:line="276" w:lineRule="auto"/>
                        <w:rPr>
                          <w:rFonts w:asciiTheme="majorHAnsi" w:hAnsiTheme="majorHAnsi" w:cs="Arial"/>
                          <w:color w:val="0D0D0D" w:themeColor="text1" w:themeTint="F2"/>
                          <w:szCs w:val="22"/>
                        </w:rPr>
                      </w:pPr>
                      <w:bookmarkStart w:id="1" w:name="_ftnref1"/>
                    </w:p>
                    <w:p w14:paraId="57D03521" w14:textId="73E7F42C" w:rsidR="00867D4C" w:rsidRPr="0010736F" w:rsidRDefault="00867D4C" w:rsidP="00997BC5">
                      <w:pPr>
                        <w:spacing w:line="276" w:lineRule="auto"/>
                        <w:rPr>
                          <w:rFonts w:asciiTheme="majorHAnsi" w:hAnsiTheme="majorHAnsi" w:cs="Arial"/>
                          <w:color w:val="0D0D0D" w:themeColor="text1" w:themeTint="F2"/>
                          <w:szCs w:val="22"/>
                        </w:rPr>
                      </w:pPr>
                      <w:r w:rsidRPr="00E43D3C">
                        <w:rPr>
                          <w:rFonts w:asciiTheme="majorHAnsi" w:hAnsiTheme="majorHAnsi"/>
                          <w:color w:val="0D0D0D" w:themeColor="text1" w:themeTint="F2"/>
                          <w:lang w:val="es-CO"/>
                        </w:rPr>
                        <w:t xml:space="preserve">TERESA ORTEGA LA ROSA </w:t>
                      </w:r>
                      <w:r w:rsidR="00B36A25" w:rsidRPr="00E43D3C">
                        <w:rPr>
                          <w:rFonts w:asciiTheme="majorHAnsi" w:hAnsiTheme="majorHAnsi"/>
                          <w:color w:val="0D0D0D" w:themeColor="text1" w:themeTint="F2"/>
                          <w:lang w:val="es-CO"/>
                        </w:rPr>
                        <w:t>VDA.</w:t>
                      </w:r>
                      <w:r w:rsidRPr="00E43D3C">
                        <w:rPr>
                          <w:rFonts w:asciiTheme="majorHAnsi" w:hAnsiTheme="majorHAnsi"/>
                          <w:color w:val="0D0D0D" w:themeColor="text1" w:themeTint="F2"/>
                          <w:lang w:val="es-CO"/>
                        </w:rPr>
                        <w:t xml:space="preserve"> </w:t>
                      </w:r>
                      <w:r>
                        <w:rPr>
                          <w:rFonts w:asciiTheme="majorHAnsi" w:hAnsiTheme="majorHAnsi"/>
                          <w:color w:val="0D0D0D" w:themeColor="text1" w:themeTint="F2"/>
                        </w:rPr>
                        <w:t>DE MORÁN</w:t>
                      </w:r>
                    </w:p>
                    <w:bookmarkEnd w:id="1"/>
                    <w:p w14:paraId="69931E49" w14:textId="77777777" w:rsidR="00867D4C" w:rsidRPr="003D16F1" w:rsidRDefault="00867D4C" w:rsidP="003D16F1">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PERU</w:t>
                      </w:r>
                    </w:p>
                  </w:txbxContent>
                </v:textbox>
              </v:shape>
            </w:pict>
          </mc:Fallback>
        </mc:AlternateContent>
      </w:r>
      <w:r>
        <w:rPr>
          <w:rFonts w:asciiTheme="majorHAnsi" w:hAnsiTheme="majorHAnsi"/>
          <w:noProof/>
          <w:sz w:val="20"/>
          <w:szCs w:val="20"/>
          <w:lang w:bidi="ar-SA"/>
        </w:rPr>
        <mc:AlternateContent>
          <mc:Choice Requires="wps">
            <w:drawing>
              <wp:anchor distT="0" distB="0" distL="114300" distR="114300" simplePos="0" relativeHeight="251671552" behindDoc="0" locked="0" layoutInCell="1" allowOverlap="1" wp14:anchorId="3CFF40BE" wp14:editId="27638BC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C5010" w14:textId="1542A12F" w:rsidR="00867D4C" w:rsidRPr="00E07A43" w:rsidRDefault="00867D4C" w:rsidP="007A5817">
                            <w:pPr>
                              <w:spacing w:line="276" w:lineRule="auto"/>
                              <w:jc w:val="right"/>
                              <w:rPr>
                                <w:rFonts w:asciiTheme="minorHAnsi" w:hAnsiTheme="minorHAnsi"/>
                                <w:color w:val="FFFFFF" w:themeColor="background1"/>
                                <w:sz w:val="22"/>
                                <w:lang w:val="es-US"/>
                              </w:rPr>
                            </w:pPr>
                            <w:r w:rsidRPr="00E07A43">
                              <w:rPr>
                                <w:rFonts w:asciiTheme="minorHAnsi" w:hAnsiTheme="minorHAnsi"/>
                                <w:color w:val="FFFFFF" w:themeColor="background1"/>
                                <w:sz w:val="22"/>
                                <w:lang w:val="es-US"/>
                              </w:rPr>
                              <w:t>OEA/Ser.L/V/II.</w:t>
                            </w:r>
                          </w:p>
                          <w:p w14:paraId="33586442" w14:textId="700B74E0" w:rsidR="00867D4C" w:rsidRPr="006C0C71" w:rsidRDefault="00867D4C" w:rsidP="007A5817">
                            <w:pPr>
                              <w:spacing w:line="276" w:lineRule="auto"/>
                              <w:jc w:val="right"/>
                              <w:rPr>
                                <w:rFonts w:asciiTheme="minorHAnsi" w:hAnsiTheme="minorHAnsi"/>
                                <w:color w:val="FFFFFF" w:themeColor="background1"/>
                                <w:sz w:val="22"/>
                              </w:rPr>
                            </w:pPr>
                            <w:r w:rsidRPr="006C0C71">
                              <w:rPr>
                                <w:rFonts w:asciiTheme="minorHAnsi" w:hAnsiTheme="minorHAnsi"/>
                                <w:color w:val="FFFFFF" w:themeColor="background1"/>
                                <w:sz w:val="22"/>
                              </w:rPr>
                              <w:t xml:space="preserve">Doc. </w:t>
                            </w:r>
                            <w:r w:rsidR="006C0C71" w:rsidRPr="006C0C71">
                              <w:rPr>
                                <w:rFonts w:asciiTheme="minorHAnsi" w:hAnsiTheme="minorHAnsi"/>
                                <w:color w:val="FFFFFF" w:themeColor="background1"/>
                                <w:sz w:val="22"/>
                              </w:rPr>
                              <w:t>1</w:t>
                            </w:r>
                            <w:r w:rsidR="006C0C71">
                              <w:rPr>
                                <w:rFonts w:asciiTheme="minorHAnsi" w:hAnsiTheme="minorHAnsi"/>
                                <w:color w:val="FFFFFF" w:themeColor="background1"/>
                                <w:sz w:val="22"/>
                              </w:rPr>
                              <w:t>52</w:t>
                            </w:r>
                          </w:p>
                          <w:p w14:paraId="610B07C6" w14:textId="2B68CFC4" w:rsidR="00867D4C" w:rsidRPr="006C0C71" w:rsidRDefault="006C0C7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8 May</w:t>
                            </w:r>
                            <w:r w:rsidR="00867D4C" w:rsidRPr="006C0C71">
                              <w:rPr>
                                <w:rFonts w:asciiTheme="minorHAnsi" w:hAnsiTheme="minorHAnsi"/>
                                <w:color w:val="FFFFFF" w:themeColor="background1"/>
                                <w:sz w:val="22"/>
                              </w:rPr>
                              <w:t xml:space="preserve"> 2020</w:t>
                            </w:r>
                          </w:p>
                          <w:p w14:paraId="7F3621EC" w14:textId="77777777" w:rsidR="00867D4C" w:rsidRPr="00C25ADB" w:rsidRDefault="00867D4C" w:rsidP="007A5817">
                            <w:pPr>
                              <w:spacing w:line="276" w:lineRule="auto"/>
                              <w:jc w:val="right"/>
                              <w:rPr>
                                <w:rFonts w:asciiTheme="minorHAnsi" w:hAnsiTheme="minorHAnsi"/>
                                <w:color w:val="FFFFFF" w:themeColor="background1"/>
                                <w:sz w:val="22"/>
                              </w:rPr>
                            </w:pPr>
                            <w:r w:rsidRPr="006C0C71">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F40B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0BC5010" w14:textId="1542A12F" w:rsidR="00867D4C" w:rsidRPr="00E07A43" w:rsidRDefault="00867D4C" w:rsidP="007A5817">
                      <w:pPr>
                        <w:spacing w:line="276" w:lineRule="auto"/>
                        <w:jc w:val="right"/>
                        <w:rPr>
                          <w:rFonts w:asciiTheme="minorHAnsi" w:hAnsiTheme="minorHAnsi"/>
                          <w:color w:val="FFFFFF" w:themeColor="background1"/>
                          <w:sz w:val="22"/>
                          <w:lang w:val="es-US"/>
                        </w:rPr>
                      </w:pPr>
                      <w:r w:rsidRPr="00E07A43">
                        <w:rPr>
                          <w:rFonts w:asciiTheme="minorHAnsi" w:hAnsiTheme="minorHAnsi"/>
                          <w:color w:val="FFFFFF" w:themeColor="background1"/>
                          <w:sz w:val="22"/>
                          <w:lang w:val="es-US"/>
                        </w:rPr>
                        <w:t>OEA/Ser.L/V/II.</w:t>
                      </w:r>
                    </w:p>
                    <w:p w14:paraId="33586442" w14:textId="700B74E0" w:rsidR="00867D4C" w:rsidRPr="006C0C71" w:rsidRDefault="00867D4C" w:rsidP="007A5817">
                      <w:pPr>
                        <w:spacing w:line="276" w:lineRule="auto"/>
                        <w:jc w:val="right"/>
                        <w:rPr>
                          <w:rFonts w:asciiTheme="minorHAnsi" w:hAnsiTheme="minorHAnsi"/>
                          <w:color w:val="FFFFFF" w:themeColor="background1"/>
                          <w:sz w:val="22"/>
                        </w:rPr>
                      </w:pPr>
                      <w:r w:rsidRPr="006C0C71">
                        <w:rPr>
                          <w:rFonts w:asciiTheme="minorHAnsi" w:hAnsiTheme="minorHAnsi"/>
                          <w:color w:val="FFFFFF" w:themeColor="background1"/>
                          <w:sz w:val="22"/>
                        </w:rPr>
                        <w:t xml:space="preserve">Doc. </w:t>
                      </w:r>
                      <w:r w:rsidR="006C0C71" w:rsidRPr="006C0C71">
                        <w:rPr>
                          <w:rFonts w:asciiTheme="minorHAnsi" w:hAnsiTheme="minorHAnsi"/>
                          <w:color w:val="FFFFFF" w:themeColor="background1"/>
                          <w:sz w:val="22"/>
                        </w:rPr>
                        <w:t>1</w:t>
                      </w:r>
                      <w:r w:rsidR="006C0C71">
                        <w:rPr>
                          <w:rFonts w:asciiTheme="minorHAnsi" w:hAnsiTheme="minorHAnsi"/>
                          <w:color w:val="FFFFFF" w:themeColor="background1"/>
                          <w:sz w:val="22"/>
                        </w:rPr>
                        <w:t>52</w:t>
                      </w:r>
                    </w:p>
                    <w:p w14:paraId="610B07C6" w14:textId="2B68CFC4" w:rsidR="00867D4C" w:rsidRPr="006C0C71" w:rsidRDefault="006C0C7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8 May</w:t>
                      </w:r>
                      <w:r w:rsidR="00867D4C" w:rsidRPr="006C0C71">
                        <w:rPr>
                          <w:rFonts w:asciiTheme="minorHAnsi" w:hAnsiTheme="minorHAnsi"/>
                          <w:color w:val="FFFFFF" w:themeColor="background1"/>
                          <w:sz w:val="22"/>
                        </w:rPr>
                        <w:t xml:space="preserve"> 2020</w:t>
                      </w:r>
                    </w:p>
                    <w:p w14:paraId="7F3621EC" w14:textId="77777777" w:rsidR="00867D4C" w:rsidRPr="00C25ADB" w:rsidRDefault="00867D4C" w:rsidP="007A5817">
                      <w:pPr>
                        <w:spacing w:line="276" w:lineRule="auto"/>
                        <w:jc w:val="right"/>
                        <w:rPr>
                          <w:rFonts w:asciiTheme="minorHAnsi" w:hAnsiTheme="minorHAnsi"/>
                          <w:color w:val="FFFFFF" w:themeColor="background1"/>
                          <w:sz w:val="22"/>
                        </w:rPr>
                      </w:pPr>
                      <w:r w:rsidRPr="006C0C71">
                        <w:rPr>
                          <w:rFonts w:asciiTheme="minorHAnsi" w:hAnsiTheme="minorHAnsi"/>
                          <w:color w:val="FFFFFF" w:themeColor="background1"/>
                          <w:sz w:val="22"/>
                        </w:rPr>
                        <w:t>Original: Spanish</w:t>
                      </w:r>
                    </w:p>
                  </w:txbxContent>
                </v:textbox>
              </v:shape>
            </w:pict>
          </mc:Fallback>
        </mc:AlternateContent>
      </w:r>
    </w:p>
    <w:p w14:paraId="3DC4DF0D" w14:textId="77777777" w:rsidR="00040C3A" w:rsidRPr="00A53B9D" w:rsidRDefault="00040C3A" w:rsidP="00040C3A">
      <w:pPr>
        <w:tabs>
          <w:tab w:val="center" w:pos="5400"/>
        </w:tabs>
        <w:suppressAutoHyphens/>
        <w:jc w:val="center"/>
        <w:rPr>
          <w:rFonts w:asciiTheme="majorHAnsi" w:hAnsiTheme="majorHAnsi"/>
          <w:sz w:val="20"/>
          <w:szCs w:val="20"/>
        </w:rPr>
      </w:pPr>
    </w:p>
    <w:p w14:paraId="44ADC3DF" w14:textId="77777777" w:rsidR="00040C3A" w:rsidRPr="00A53B9D" w:rsidRDefault="00040C3A" w:rsidP="00040C3A">
      <w:pPr>
        <w:tabs>
          <w:tab w:val="center" w:pos="5400"/>
        </w:tabs>
        <w:suppressAutoHyphens/>
        <w:jc w:val="center"/>
        <w:rPr>
          <w:rFonts w:asciiTheme="majorHAnsi" w:hAnsiTheme="majorHAnsi"/>
          <w:sz w:val="20"/>
          <w:szCs w:val="20"/>
        </w:rPr>
      </w:pPr>
    </w:p>
    <w:p w14:paraId="59402D28" w14:textId="77777777" w:rsidR="00040C3A" w:rsidRPr="00A53B9D" w:rsidRDefault="00040C3A" w:rsidP="00040C3A">
      <w:pPr>
        <w:tabs>
          <w:tab w:val="center" w:pos="5400"/>
        </w:tabs>
        <w:suppressAutoHyphens/>
        <w:jc w:val="center"/>
        <w:rPr>
          <w:rFonts w:asciiTheme="majorHAnsi" w:hAnsiTheme="majorHAnsi" w:cs="Arial"/>
          <w:sz w:val="20"/>
          <w:szCs w:val="20"/>
        </w:rPr>
      </w:pPr>
    </w:p>
    <w:p w14:paraId="0E114DFF" w14:textId="77777777" w:rsidR="00040C3A" w:rsidRPr="00A53B9D" w:rsidRDefault="00040C3A" w:rsidP="00040C3A">
      <w:pPr>
        <w:tabs>
          <w:tab w:val="center" w:pos="5400"/>
        </w:tabs>
        <w:suppressAutoHyphens/>
        <w:jc w:val="center"/>
        <w:rPr>
          <w:rFonts w:asciiTheme="majorHAnsi" w:hAnsiTheme="majorHAnsi"/>
          <w:sz w:val="20"/>
          <w:szCs w:val="20"/>
        </w:rPr>
      </w:pPr>
    </w:p>
    <w:p w14:paraId="48E9E9C8" w14:textId="77777777" w:rsidR="00040C3A" w:rsidRPr="00A53B9D" w:rsidRDefault="00040C3A" w:rsidP="00040C3A">
      <w:pPr>
        <w:tabs>
          <w:tab w:val="center" w:pos="5400"/>
        </w:tabs>
        <w:suppressAutoHyphens/>
        <w:jc w:val="center"/>
        <w:rPr>
          <w:rFonts w:asciiTheme="majorHAnsi" w:hAnsiTheme="majorHAnsi"/>
          <w:sz w:val="20"/>
          <w:szCs w:val="20"/>
        </w:rPr>
      </w:pPr>
    </w:p>
    <w:p w14:paraId="50BA75B2" w14:textId="77777777" w:rsidR="00040C3A" w:rsidRPr="00A53B9D" w:rsidRDefault="00040C3A" w:rsidP="00040C3A">
      <w:pPr>
        <w:tabs>
          <w:tab w:val="center" w:pos="5400"/>
        </w:tabs>
        <w:suppressAutoHyphens/>
        <w:jc w:val="center"/>
        <w:rPr>
          <w:rFonts w:asciiTheme="majorHAnsi" w:hAnsiTheme="majorHAnsi"/>
          <w:sz w:val="20"/>
          <w:szCs w:val="20"/>
        </w:rPr>
      </w:pPr>
    </w:p>
    <w:p w14:paraId="1C4217EA" w14:textId="77777777" w:rsidR="00040C3A" w:rsidRPr="00A53B9D" w:rsidRDefault="00040C3A" w:rsidP="00040C3A">
      <w:pPr>
        <w:tabs>
          <w:tab w:val="center" w:pos="5400"/>
        </w:tabs>
        <w:suppressAutoHyphens/>
        <w:jc w:val="center"/>
        <w:rPr>
          <w:rFonts w:asciiTheme="majorHAnsi" w:hAnsiTheme="majorHAnsi"/>
          <w:sz w:val="20"/>
          <w:szCs w:val="20"/>
        </w:rPr>
      </w:pPr>
    </w:p>
    <w:p w14:paraId="2E9C3537" w14:textId="77777777" w:rsidR="005128E4" w:rsidRPr="00A53B9D" w:rsidRDefault="005128E4" w:rsidP="00040C3A">
      <w:pPr>
        <w:tabs>
          <w:tab w:val="center" w:pos="5400"/>
        </w:tabs>
        <w:suppressAutoHyphens/>
        <w:jc w:val="center"/>
        <w:rPr>
          <w:rFonts w:asciiTheme="majorHAnsi" w:hAnsiTheme="majorHAnsi"/>
          <w:sz w:val="20"/>
          <w:szCs w:val="20"/>
        </w:rPr>
      </w:pPr>
    </w:p>
    <w:p w14:paraId="39B24437" w14:textId="77777777" w:rsidR="00040C3A" w:rsidRPr="00A53B9D" w:rsidRDefault="00040C3A" w:rsidP="00040C3A">
      <w:pPr>
        <w:tabs>
          <w:tab w:val="center" w:pos="5400"/>
        </w:tabs>
        <w:suppressAutoHyphens/>
        <w:jc w:val="center"/>
        <w:rPr>
          <w:rFonts w:asciiTheme="majorHAnsi" w:hAnsiTheme="majorHAnsi"/>
          <w:sz w:val="20"/>
          <w:szCs w:val="20"/>
        </w:rPr>
      </w:pPr>
    </w:p>
    <w:p w14:paraId="06EFC588" w14:textId="77777777" w:rsidR="005128E4" w:rsidRPr="00A53B9D" w:rsidRDefault="005128E4" w:rsidP="00040C3A">
      <w:pPr>
        <w:tabs>
          <w:tab w:val="center" w:pos="5400"/>
        </w:tabs>
        <w:suppressAutoHyphens/>
        <w:jc w:val="center"/>
        <w:rPr>
          <w:rFonts w:asciiTheme="majorHAnsi" w:hAnsiTheme="majorHAnsi"/>
          <w:sz w:val="20"/>
          <w:szCs w:val="20"/>
        </w:rPr>
      </w:pPr>
    </w:p>
    <w:p w14:paraId="377993D3" w14:textId="77777777" w:rsidR="005128E4" w:rsidRPr="00A53B9D" w:rsidRDefault="005128E4" w:rsidP="00040C3A">
      <w:pPr>
        <w:tabs>
          <w:tab w:val="center" w:pos="5400"/>
        </w:tabs>
        <w:suppressAutoHyphens/>
        <w:jc w:val="center"/>
        <w:rPr>
          <w:rFonts w:asciiTheme="majorHAnsi" w:hAnsiTheme="majorHAnsi"/>
          <w:sz w:val="20"/>
          <w:szCs w:val="20"/>
        </w:rPr>
      </w:pPr>
    </w:p>
    <w:p w14:paraId="4E28DFF1" w14:textId="77777777" w:rsidR="005128E4" w:rsidRPr="00A53B9D" w:rsidRDefault="005128E4" w:rsidP="00040C3A">
      <w:pPr>
        <w:tabs>
          <w:tab w:val="center" w:pos="5400"/>
        </w:tabs>
        <w:suppressAutoHyphens/>
        <w:jc w:val="center"/>
        <w:rPr>
          <w:rFonts w:asciiTheme="majorHAnsi" w:hAnsiTheme="majorHAnsi"/>
          <w:sz w:val="20"/>
          <w:szCs w:val="20"/>
        </w:rPr>
      </w:pPr>
    </w:p>
    <w:p w14:paraId="1123F5AC" w14:textId="77777777" w:rsidR="00040C3A" w:rsidRPr="00A53B9D" w:rsidRDefault="00040C3A" w:rsidP="00040C3A">
      <w:pPr>
        <w:tabs>
          <w:tab w:val="center" w:pos="5400"/>
        </w:tabs>
        <w:suppressAutoHyphens/>
        <w:jc w:val="center"/>
        <w:rPr>
          <w:rFonts w:asciiTheme="majorHAnsi" w:hAnsiTheme="majorHAnsi"/>
          <w:sz w:val="20"/>
          <w:szCs w:val="20"/>
        </w:rPr>
      </w:pPr>
    </w:p>
    <w:p w14:paraId="2B948826" w14:textId="77777777" w:rsidR="00040C3A" w:rsidRPr="00A53B9D" w:rsidRDefault="00040C3A" w:rsidP="00040C3A">
      <w:pPr>
        <w:tabs>
          <w:tab w:val="center" w:pos="5400"/>
        </w:tabs>
        <w:suppressAutoHyphens/>
        <w:jc w:val="center"/>
        <w:rPr>
          <w:rFonts w:asciiTheme="majorHAnsi" w:hAnsiTheme="majorHAnsi"/>
          <w:sz w:val="20"/>
          <w:szCs w:val="20"/>
        </w:rPr>
      </w:pPr>
    </w:p>
    <w:p w14:paraId="7C37EA46" w14:textId="77777777" w:rsidR="00A50FCF" w:rsidRPr="00A53B9D" w:rsidRDefault="00A50FCF" w:rsidP="00040C3A">
      <w:pPr>
        <w:tabs>
          <w:tab w:val="center" w:pos="5400"/>
        </w:tabs>
        <w:suppressAutoHyphens/>
        <w:jc w:val="center"/>
        <w:rPr>
          <w:rFonts w:asciiTheme="majorHAnsi" w:hAnsiTheme="majorHAnsi"/>
          <w:sz w:val="20"/>
          <w:szCs w:val="20"/>
        </w:rPr>
      </w:pPr>
    </w:p>
    <w:p w14:paraId="082382C8" w14:textId="77777777" w:rsidR="00A50FCF" w:rsidRPr="00A53B9D" w:rsidRDefault="00A50FCF" w:rsidP="00040C3A">
      <w:pPr>
        <w:tabs>
          <w:tab w:val="center" w:pos="5400"/>
        </w:tabs>
        <w:suppressAutoHyphens/>
        <w:jc w:val="center"/>
        <w:rPr>
          <w:rFonts w:asciiTheme="majorHAnsi" w:hAnsiTheme="majorHAnsi"/>
          <w:sz w:val="20"/>
          <w:szCs w:val="20"/>
        </w:rPr>
      </w:pPr>
    </w:p>
    <w:p w14:paraId="555CF62A" w14:textId="77777777" w:rsidR="00A50FCF" w:rsidRPr="00A53B9D" w:rsidRDefault="00A50FCF" w:rsidP="00040C3A">
      <w:pPr>
        <w:tabs>
          <w:tab w:val="center" w:pos="5400"/>
        </w:tabs>
        <w:suppressAutoHyphens/>
        <w:jc w:val="center"/>
        <w:rPr>
          <w:rFonts w:asciiTheme="majorHAnsi" w:hAnsiTheme="majorHAnsi"/>
          <w:sz w:val="20"/>
          <w:szCs w:val="20"/>
        </w:rPr>
      </w:pPr>
    </w:p>
    <w:p w14:paraId="6A5C9C58" w14:textId="77777777" w:rsidR="00A50FCF" w:rsidRPr="00A53B9D" w:rsidRDefault="00A50FCF" w:rsidP="00040C3A">
      <w:pPr>
        <w:tabs>
          <w:tab w:val="center" w:pos="5400"/>
        </w:tabs>
        <w:suppressAutoHyphens/>
        <w:jc w:val="center"/>
        <w:rPr>
          <w:rFonts w:asciiTheme="majorHAnsi" w:hAnsiTheme="majorHAnsi"/>
          <w:sz w:val="20"/>
          <w:szCs w:val="20"/>
        </w:rPr>
      </w:pPr>
    </w:p>
    <w:p w14:paraId="7DE6DC2B" w14:textId="77777777" w:rsidR="00A50FCF" w:rsidRPr="00A53B9D" w:rsidRDefault="00A50FCF" w:rsidP="00040C3A">
      <w:pPr>
        <w:tabs>
          <w:tab w:val="center" w:pos="5400"/>
        </w:tabs>
        <w:suppressAutoHyphens/>
        <w:jc w:val="center"/>
        <w:rPr>
          <w:rFonts w:asciiTheme="majorHAnsi" w:hAnsiTheme="majorHAnsi"/>
          <w:sz w:val="20"/>
          <w:szCs w:val="20"/>
        </w:rPr>
      </w:pPr>
    </w:p>
    <w:p w14:paraId="1C9955A9" w14:textId="77777777" w:rsidR="00A50FCF" w:rsidRPr="00A53B9D" w:rsidRDefault="00A50FCF" w:rsidP="00040C3A">
      <w:pPr>
        <w:tabs>
          <w:tab w:val="center" w:pos="5400"/>
        </w:tabs>
        <w:suppressAutoHyphens/>
        <w:jc w:val="center"/>
        <w:rPr>
          <w:rFonts w:asciiTheme="majorHAnsi" w:hAnsiTheme="majorHAnsi"/>
          <w:sz w:val="20"/>
          <w:szCs w:val="20"/>
        </w:rPr>
      </w:pPr>
    </w:p>
    <w:p w14:paraId="4177E792" w14:textId="77777777" w:rsidR="00A50FCF" w:rsidRPr="00A53B9D" w:rsidRDefault="00FA4816" w:rsidP="00FA4816">
      <w:pPr>
        <w:tabs>
          <w:tab w:val="left" w:pos="3990"/>
          <w:tab w:val="center" w:pos="5400"/>
        </w:tabs>
        <w:suppressAutoHyphens/>
        <w:rPr>
          <w:rFonts w:asciiTheme="majorHAnsi" w:hAnsiTheme="majorHAnsi"/>
          <w:sz w:val="20"/>
          <w:szCs w:val="20"/>
        </w:rPr>
      </w:pPr>
      <w:r>
        <w:tab/>
      </w:r>
    </w:p>
    <w:p w14:paraId="2FFBA834" w14:textId="77777777" w:rsidR="00A50FCF" w:rsidRPr="00A53B9D" w:rsidRDefault="00A50FCF" w:rsidP="00040C3A">
      <w:pPr>
        <w:tabs>
          <w:tab w:val="center" w:pos="5400"/>
        </w:tabs>
        <w:suppressAutoHyphens/>
        <w:jc w:val="center"/>
        <w:rPr>
          <w:rFonts w:asciiTheme="majorHAnsi" w:hAnsiTheme="majorHAnsi"/>
          <w:sz w:val="20"/>
          <w:szCs w:val="20"/>
        </w:rPr>
      </w:pPr>
    </w:p>
    <w:p w14:paraId="64709666" w14:textId="77777777" w:rsidR="00A50FCF" w:rsidRPr="00A53B9D" w:rsidRDefault="00A50FCF" w:rsidP="00040C3A">
      <w:pPr>
        <w:tabs>
          <w:tab w:val="center" w:pos="5400"/>
        </w:tabs>
        <w:suppressAutoHyphens/>
        <w:jc w:val="center"/>
        <w:rPr>
          <w:rFonts w:asciiTheme="majorHAnsi" w:hAnsiTheme="majorHAnsi"/>
          <w:sz w:val="20"/>
          <w:szCs w:val="20"/>
        </w:rPr>
      </w:pPr>
    </w:p>
    <w:p w14:paraId="4E46BA25" w14:textId="77777777" w:rsidR="00A50FCF" w:rsidRPr="00A53B9D" w:rsidRDefault="00A50FCF" w:rsidP="00040C3A">
      <w:pPr>
        <w:tabs>
          <w:tab w:val="center" w:pos="5400"/>
        </w:tabs>
        <w:suppressAutoHyphens/>
        <w:jc w:val="center"/>
        <w:rPr>
          <w:rFonts w:asciiTheme="majorHAnsi" w:hAnsiTheme="majorHAnsi"/>
          <w:sz w:val="20"/>
          <w:szCs w:val="20"/>
        </w:rPr>
      </w:pPr>
    </w:p>
    <w:p w14:paraId="0A5FF749" w14:textId="77777777" w:rsidR="00A50FCF" w:rsidRPr="00A53B9D" w:rsidRDefault="00A50FCF" w:rsidP="00040C3A">
      <w:pPr>
        <w:tabs>
          <w:tab w:val="center" w:pos="5400"/>
        </w:tabs>
        <w:suppressAutoHyphens/>
        <w:jc w:val="center"/>
        <w:rPr>
          <w:rFonts w:asciiTheme="majorHAnsi" w:hAnsiTheme="majorHAnsi"/>
          <w:sz w:val="20"/>
          <w:szCs w:val="20"/>
        </w:rPr>
      </w:pPr>
    </w:p>
    <w:p w14:paraId="1E9E56D5" w14:textId="77777777" w:rsidR="00A50FCF" w:rsidRPr="00A53B9D" w:rsidRDefault="00A50FCF" w:rsidP="00040C3A">
      <w:pPr>
        <w:tabs>
          <w:tab w:val="center" w:pos="5400"/>
        </w:tabs>
        <w:suppressAutoHyphens/>
        <w:jc w:val="center"/>
        <w:rPr>
          <w:rFonts w:asciiTheme="majorHAnsi" w:hAnsiTheme="majorHAnsi"/>
          <w:sz w:val="20"/>
          <w:szCs w:val="20"/>
        </w:rPr>
      </w:pPr>
    </w:p>
    <w:p w14:paraId="3B75DC68" w14:textId="77777777" w:rsidR="00A50FCF" w:rsidRPr="00A53B9D" w:rsidRDefault="00A50FCF" w:rsidP="00040C3A">
      <w:pPr>
        <w:tabs>
          <w:tab w:val="center" w:pos="5400"/>
        </w:tabs>
        <w:suppressAutoHyphens/>
        <w:jc w:val="center"/>
        <w:rPr>
          <w:rFonts w:asciiTheme="majorHAnsi" w:hAnsiTheme="majorHAnsi"/>
          <w:sz w:val="20"/>
          <w:szCs w:val="20"/>
        </w:rPr>
      </w:pPr>
    </w:p>
    <w:p w14:paraId="33955002" w14:textId="77777777" w:rsidR="00A50FCF" w:rsidRPr="00A53B9D" w:rsidRDefault="00A50FCF" w:rsidP="00040C3A">
      <w:pPr>
        <w:tabs>
          <w:tab w:val="center" w:pos="5400"/>
        </w:tabs>
        <w:suppressAutoHyphens/>
        <w:jc w:val="center"/>
        <w:rPr>
          <w:rFonts w:asciiTheme="majorHAnsi" w:hAnsiTheme="majorHAnsi"/>
          <w:sz w:val="20"/>
          <w:szCs w:val="20"/>
        </w:rPr>
      </w:pPr>
    </w:p>
    <w:p w14:paraId="022B287C" w14:textId="77777777" w:rsidR="00A50FCF" w:rsidRPr="00A53B9D" w:rsidRDefault="0090270B" w:rsidP="00040C3A">
      <w:pPr>
        <w:tabs>
          <w:tab w:val="center" w:pos="5400"/>
        </w:tabs>
        <w:suppressAutoHyphens/>
        <w:jc w:val="center"/>
        <w:rPr>
          <w:rFonts w:asciiTheme="majorHAnsi" w:hAnsiTheme="majorHAnsi"/>
          <w:sz w:val="20"/>
          <w:szCs w:val="20"/>
        </w:rPr>
      </w:pPr>
      <w:r>
        <w:rPr>
          <w:rFonts w:asciiTheme="majorHAnsi" w:hAnsiTheme="majorHAnsi"/>
          <w:noProof/>
          <w:sz w:val="20"/>
          <w:szCs w:val="20"/>
          <w:lang w:bidi="ar-SA"/>
        </w:rPr>
        <mc:AlternateContent>
          <mc:Choice Requires="wps">
            <w:drawing>
              <wp:anchor distT="0" distB="0" distL="114300" distR="114300" simplePos="0" relativeHeight="251670528" behindDoc="0" locked="0" layoutInCell="1" allowOverlap="1" wp14:anchorId="30F4FD3F" wp14:editId="41A4321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B15C1" w14:textId="735E75D8" w:rsidR="00867D4C" w:rsidRPr="00890650" w:rsidRDefault="00867D4C"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w:t>
                            </w:r>
                            <w:r w:rsidR="006C0C71">
                              <w:rPr>
                                <w:rFonts w:asciiTheme="majorHAnsi" w:hAnsiTheme="majorHAnsi"/>
                                <w:color w:val="0D0D0D" w:themeColor="text1" w:themeTint="F2"/>
                                <w:sz w:val="18"/>
                              </w:rPr>
                              <w:t xml:space="preserve"> electronically</w:t>
                            </w:r>
                            <w:r>
                              <w:rPr>
                                <w:rFonts w:asciiTheme="majorHAnsi" w:hAnsiTheme="majorHAnsi"/>
                                <w:color w:val="0D0D0D" w:themeColor="text1" w:themeTint="F2"/>
                                <w:sz w:val="18"/>
                              </w:rPr>
                              <w:t xml:space="preserve"> by the Commission on</w:t>
                            </w:r>
                            <w:r w:rsidR="006C0C71">
                              <w:rPr>
                                <w:rFonts w:asciiTheme="majorHAnsi" w:hAnsiTheme="majorHAnsi"/>
                                <w:color w:val="0D0D0D" w:themeColor="text1" w:themeTint="F2"/>
                                <w:sz w:val="18"/>
                              </w:rPr>
                              <w:t xml:space="preserve"> May 8, 2020</w:t>
                            </w:r>
                          </w:p>
                          <w:p w14:paraId="0B7E53ED" w14:textId="77777777" w:rsidR="00867D4C" w:rsidRPr="007A5817" w:rsidRDefault="00867D4C" w:rsidP="00247403">
                            <w:pPr>
                              <w:tabs>
                                <w:tab w:val="center" w:pos="5400"/>
                              </w:tabs>
                              <w:suppressAutoHyphens/>
                              <w:spacing w:before="60"/>
                              <w:rPr>
                                <w:rFonts w:asciiTheme="minorHAnsi" w:hAnsiTheme="minorHAnsi" w:cs="Univers"/>
                                <w:color w:val="0D0D0D" w:themeColor="text1" w:themeTint="F2"/>
                                <w:sz w:val="20"/>
                                <w:szCs w:val="20"/>
                              </w:rPr>
                            </w:pPr>
                          </w:p>
                          <w:p w14:paraId="0866512A" w14:textId="77777777" w:rsidR="00867D4C" w:rsidRPr="00167A34" w:rsidRDefault="00867D4C"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4FD3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0FB15C1" w14:textId="735E75D8" w:rsidR="00867D4C" w:rsidRPr="00890650" w:rsidRDefault="00867D4C"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w:t>
                      </w:r>
                      <w:r w:rsidR="006C0C71">
                        <w:rPr>
                          <w:rFonts w:asciiTheme="majorHAnsi" w:hAnsiTheme="majorHAnsi"/>
                          <w:color w:val="0D0D0D" w:themeColor="text1" w:themeTint="F2"/>
                          <w:sz w:val="18"/>
                        </w:rPr>
                        <w:t xml:space="preserve"> electronically</w:t>
                      </w:r>
                      <w:r>
                        <w:rPr>
                          <w:rFonts w:asciiTheme="majorHAnsi" w:hAnsiTheme="majorHAnsi"/>
                          <w:color w:val="0D0D0D" w:themeColor="text1" w:themeTint="F2"/>
                          <w:sz w:val="18"/>
                        </w:rPr>
                        <w:t xml:space="preserve"> by the Commission on</w:t>
                      </w:r>
                      <w:r w:rsidR="006C0C71">
                        <w:rPr>
                          <w:rFonts w:asciiTheme="majorHAnsi" w:hAnsiTheme="majorHAnsi"/>
                          <w:color w:val="0D0D0D" w:themeColor="text1" w:themeTint="F2"/>
                          <w:sz w:val="18"/>
                        </w:rPr>
                        <w:t xml:space="preserve"> May 8, 2020</w:t>
                      </w:r>
                    </w:p>
                    <w:p w14:paraId="0B7E53ED" w14:textId="77777777" w:rsidR="00867D4C" w:rsidRPr="007A5817" w:rsidRDefault="00867D4C" w:rsidP="00247403">
                      <w:pPr>
                        <w:tabs>
                          <w:tab w:val="center" w:pos="5400"/>
                        </w:tabs>
                        <w:suppressAutoHyphens/>
                        <w:spacing w:before="60"/>
                        <w:rPr>
                          <w:rFonts w:asciiTheme="minorHAnsi" w:hAnsiTheme="minorHAnsi" w:cs="Univers"/>
                          <w:color w:val="0D0D0D" w:themeColor="text1" w:themeTint="F2"/>
                          <w:sz w:val="20"/>
                          <w:szCs w:val="20"/>
                        </w:rPr>
                      </w:pPr>
                    </w:p>
                    <w:p w14:paraId="0866512A" w14:textId="77777777" w:rsidR="00867D4C" w:rsidRPr="00167A34" w:rsidRDefault="00867D4C"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CBCC2A9" w14:textId="77777777" w:rsidR="00A50FCF" w:rsidRPr="00A53B9D" w:rsidRDefault="00A50FCF" w:rsidP="00040C3A">
      <w:pPr>
        <w:tabs>
          <w:tab w:val="center" w:pos="5400"/>
        </w:tabs>
        <w:suppressAutoHyphens/>
        <w:jc w:val="center"/>
        <w:rPr>
          <w:rFonts w:asciiTheme="majorHAnsi" w:hAnsiTheme="majorHAnsi"/>
          <w:sz w:val="20"/>
          <w:szCs w:val="20"/>
        </w:rPr>
      </w:pPr>
    </w:p>
    <w:p w14:paraId="0084AE49" w14:textId="77777777" w:rsidR="00A50FCF" w:rsidRPr="00A53B9D" w:rsidRDefault="00A50FCF" w:rsidP="00040C3A">
      <w:pPr>
        <w:tabs>
          <w:tab w:val="center" w:pos="5400"/>
        </w:tabs>
        <w:suppressAutoHyphens/>
        <w:jc w:val="center"/>
        <w:rPr>
          <w:rFonts w:asciiTheme="majorHAnsi" w:hAnsiTheme="majorHAnsi"/>
          <w:sz w:val="20"/>
          <w:szCs w:val="20"/>
        </w:rPr>
      </w:pPr>
    </w:p>
    <w:p w14:paraId="7D1EC550" w14:textId="77777777" w:rsidR="00A50FCF" w:rsidRPr="00A53B9D" w:rsidRDefault="00A50FCF" w:rsidP="00040C3A">
      <w:pPr>
        <w:tabs>
          <w:tab w:val="center" w:pos="5400"/>
        </w:tabs>
        <w:suppressAutoHyphens/>
        <w:jc w:val="center"/>
        <w:rPr>
          <w:rFonts w:asciiTheme="majorHAnsi" w:hAnsiTheme="majorHAnsi"/>
          <w:sz w:val="20"/>
          <w:szCs w:val="20"/>
        </w:rPr>
      </w:pPr>
    </w:p>
    <w:p w14:paraId="20848102" w14:textId="77777777" w:rsidR="00A50FCF" w:rsidRPr="00A53B9D" w:rsidRDefault="00A50FCF" w:rsidP="00040C3A">
      <w:pPr>
        <w:tabs>
          <w:tab w:val="center" w:pos="5400"/>
        </w:tabs>
        <w:suppressAutoHyphens/>
        <w:jc w:val="center"/>
        <w:rPr>
          <w:rFonts w:asciiTheme="majorHAnsi" w:hAnsiTheme="majorHAnsi"/>
          <w:sz w:val="20"/>
          <w:szCs w:val="20"/>
        </w:rPr>
      </w:pPr>
    </w:p>
    <w:p w14:paraId="1655DACF" w14:textId="77777777" w:rsidR="00A50FCF" w:rsidRPr="00A53B9D" w:rsidRDefault="0090270B" w:rsidP="00040C3A">
      <w:pPr>
        <w:tabs>
          <w:tab w:val="center" w:pos="5400"/>
        </w:tabs>
        <w:suppressAutoHyphens/>
        <w:jc w:val="center"/>
        <w:rPr>
          <w:rFonts w:asciiTheme="majorHAnsi" w:hAnsiTheme="majorHAnsi"/>
          <w:sz w:val="20"/>
          <w:szCs w:val="20"/>
        </w:rPr>
      </w:pPr>
      <w:r>
        <w:rPr>
          <w:rFonts w:asciiTheme="majorHAnsi" w:hAnsiTheme="majorHAnsi"/>
          <w:noProof/>
          <w:sz w:val="20"/>
          <w:szCs w:val="20"/>
          <w:lang w:bidi="ar-SA"/>
        </w:rPr>
        <mc:AlternateContent>
          <mc:Choice Requires="wps">
            <w:drawing>
              <wp:anchor distT="0" distB="0" distL="114300" distR="114300" simplePos="0" relativeHeight="251678720" behindDoc="0" locked="0" layoutInCell="1" allowOverlap="1" wp14:anchorId="5321FB16" wp14:editId="59AA625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84ADD" w14:textId="5C282222" w:rsidR="00867D4C" w:rsidRPr="007B05C4" w:rsidRDefault="00867D4C"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6C0C71">
                              <w:rPr>
                                <w:rFonts w:asciiTheme="majorHAnsi" w:hAnsiTheme="majorHAnsi"/>
                                <w:color w:val="595959" w:themeColor="text1" w:themeTint="A6"/>
                                <w:sz w:val="18"/>
                              </w:rPr>
                              <w:t>142/</w:t>
                            </w:r>
                            <w:r w:rsidRPr="004555B7">
                              <w:rPr>
                                <w:rFonts w:asciiTheme="majorHAnsi" w:hAnsiTheme="majorHAnsi"/>
                                <w:color w:val="595959" w:themeColor="text1" w:themeTint="A6"/>
                                <w:sz w:val="18"/>
                              </w:rPr>
                              <w:t>2020</w:t>
                            </w:r>
                            <w:r w:rsidR="00B36A25" w:rsidRPr="004555B7">
                              <w:rPr>
                                <w:rFonts w:asciiTheme="majorHAnsi" w:hAnsiTheme="majorHAnsi"/>
                                <w:color w:val="595959" w:themeColor="text1" w:themeTint="A6"/>
                                <w:sz w:val="18"/>
                              </w:rPr>
                              <w:t>.</w:t>
                            </w:r>
                            <w:r w:rsidRPr="004555B7">
                              <w:rPr>
                                <w:rFonts w:asciiTheme="majorHAnsi" w:hAnsiTheme="majorHAnsi"/>
                                <w:color w:val="595959" w:themeColor="text1" w:themeTint="A6"/>
                                <w:sz w:val="18"/>
                              </w:rPr>
                              <w:t xml:space="preserve"> </w:t>
                            </w:r>
                            <w:proofErr w:type="spellStart"/>
                            <w:r w:rsidRPr="00E43D3C">
                              <w:rPr>
                                <w:rFonts w:asciiTheme="majorHAnsi" w:hAnsiTheme="majorHAnsi"/>
                                <w:color w:val="595959" w:themeColor="text1" w:themeTint="A6"/>
                                <w:sz w:val="18"/>
                                <w:lang w:val="es-CO"/>
                              </w:rPr>
                              <w:t>Petition</w:t>
                            </w:r>
                            <w:proofErr w:type="spellEnd"/>
                            <w:r w:rsidRPr="00E43D3C">
                              <w:rPr>
                                <w:rFonts w:asciiTheme="majorHAnsi" w:hAnsiTheme="majorHAnsi"/>
                                <w:color w:val="595959" w:themeColor="text1" w:themeTint="A6"/>
                                <w:sz w:val="18"/>
                                <w:lang w:val="es-CO"/>
                              </w:rPr>
                              <w:t xml:space="preserve"> 537-10 </w:t>
                            </w:r>
                            <w:proofErr w:type="spellStart"/>
                            <w:r w:rsidRPr="00E43D3C">
                              <w:rPr>
                                <w:rFonts w:asciiTheme="majorHAnsi" w:hAnsiTheme="majorHAnsi"/>
                                <w:color w:val="595959" w:themeColor="text1" w:themeTint="A6"/>
                                <w:sz w:val="18"/>
                                <w:lang w:val="es-CO"/>
                              </w:rPr>
                              <w:t>Admissibility</w:t>
                            </w:r>
                            <w:proofErr w:type="spellEnd"/>
                            <w:r w:rsidRPr="00E43D3C">
                              <w:rPr>
                                <w:rFonts w:asciiTheme="majorHAnsi" w:hAnsiTheme="majorHAnsi"/>
                                <w:color w:val="595959" w:themeColor="text1" w:themeTint="A6"/>
                                <w:sz w:val="18"/>
                                <w:lang w:val="es-CO"/>
                              </w:rPr>
                              <w:t xml:space="preserve">. Teresa Ortega La Rosa </w:t>
                            </w:r>
                            <w:r w:rsidR="00B36A25" w:rsidRPr="00E43D3C">
                              <w:rPr>
                                <w:rFonts w:asciiTheme="majorHAnsi" w:hAnsiTheme="majorHAnsi"/>
                                <w:color w:val="595959" w:themeColor="text1" w:themeTint="A6"/>
                                <w:sz w:val="18"/>
                                <w:lang w:val="es-CO"/>
                              </w:rPr>
                              <w:t>Vda.</w:t>
                            </w:r>
                            <w:r w:rsidRPr="00E43D3C">
                              <w:rPr>
                                <w:rFonts w:asciiTheme="majorHAnsi" w:hAnsiTheme="majorHAnsi"/>
                                <w:color w:val="595959" w:themeColor="text1" w:themeTint="A6"/>
                                <w:sz w:val="18"/>
                                <w:lang w:val="es-CO"/>
                              </w:rPr>
                              <w:t xml:space="preserve"> de Morán. </w:t>
                            </w:r>
                            <w:r>
                              <w:rPr>
                                <w:rFonts w:asciiTheme="majorHAnsi" w:hAnsiTheme="majorHAnsi"/>
                                <w:color w:val="595959" w:themeColor="text1" w:themeTint="A6"/>
                                <w:sz w:val="18"/>
                              </w:rPr>
                              <w:t>Peru</w:t>
                            </w:r>
                            <w:r w:rsidR="006C0C71">
                              <w:rPr>
                                <w:rFonts w:asciiTheme="majorHAnsi" w:hAnsiTheme="majorHAnsi"/>
                                <w:color w:val="595959" w:themeColor="text1" w:themeTint="A6"/>
                                <w:sz w:val="18"/>
                              </w:rPr>
                              <w:t>. May 8, 2020</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1FB1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5784ADD" w14:textId="5C282222" w:rsidR="00867D4C" w:rsidRPr="007B05C4" w:rsidRDefault="00867D4C"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6C0C71">
                        <w:rPr>
                          <w:rFonts w:asciiTheme="majorHAnsi" w:hAnsiTheme="majorHAnsi"/>
                          <w:color w:val="595959" w:themeColor="text1" w:themeTint="A6"/>
                          <w:sz w:val="18"/>
                        </w:rPr>
                        <w:t>142/</w:t>
                      </w:r>
                      <w:r w:rsidRPr="004555B7">
                        <w:rPr>
                          <w:rFonts w:asciiTheme="majorHAnsi" w:hAnsiTheme="majorHAnsi"/>
                          <w:color w:val="595959" w:themeColor="text1" w:themeTint="A6"/>
                          <w:sz w:val="18"/>
                        </w:rPr>
                        <w:t>2020</w:t>
                      </w:r>
                      <w:r w:rsidR="00B36A25" w:rsidRPr="004555B7">
                        <w:rPr>
                          <w:rFonts w:asciiTheme="majorHAnsi" w:hAnsiTheme="majorHAnsi"/>
                          <w:color w:val="595959" w:themeColor="text1" w:themeTint="A6"/>
                          <w:sz w:val="18"/>
                        </w:rPr>
                        <w:t>.</w:t>
                      </w:r>
                      <w:r w:rsidRPr="004555B7">
                        <w:rPr>
                          <w:rFonts w:asciiTheme="majorHAnsi" w:hAnsiTheme="majorHAnsi"/>
                          <w:color w:val="595959" w:themeColor="text1" w:themeTint="A6"/>
                          <w:sz w:val="18"/>
                        </w:rPr>
                        <w:t xml:space="preserve"> </w:t>
                      </w:r>
                      <w:proofErr w:type="spellStart"/>
                      <w:r w:rsidRPr="00E43D3C">
                        <w:rPr>
                          <w:rFonts w:asciiTheme="majorHAnsi" w:hAnsiTheme="majorHAnsi"/>
                          <w:color w:val="595959" w:themeColor="text1" w:themeTint="A6"/>
                          <w:sz w:val="18"/>
                          <w:lang w:val="es-CO"/>
                        </w:rPr>
                        <w:t>Petition</w:t>
                      </w:r>
                      <w:proofErr w:type="spellEnd"/>
                      <w:r w:rsidRPr="00E43D3C">
                        <w:rPr>
                          <w:rFonts w:asciiTheme="majorHAnsi" w:hAnsiTheme="majorHAnsi"/>
                          <w:color w:val="595959" w:themeColor="text1" w:themeTint="A6"/>
                          <w:sz w:val="18"/>
                          <w:lang w:val="es-CO"/>
                        </w:rPr>
                        <w:t xml:space="preserve"> 537-10 </w:t>
                      </w:r>
                      <w:proofErr w:type="spellStart"/>
                      <w:r w:rsidRPr="00E43D3C">
                        <w:rPr>
                          <w:rFonts w:asciiTheme="majorHAnsi" w:hAnsiTheme="majorHAnsi"/>
                          <w:color w:val="595959" w:themeColor="text1" w:themeTint="A6"/>
                          <w:sz w:val="18"/>
                          <w:lang w:val="es-CO"/>
                        </w:rPr>
                        <w:t>Admissibility</w:t>
                      </w:r>
                      <w:proofErr w:type="spellEnd"/>
                      <w:r w:rsidRPr="00E43D3C">
                        <w:rPr>
                          <w:rFonts w:asciiTheme="majorHAnsi" w:hAnsiTheme="majorHAnsi"/>
                          <w:color w:val="595959" w:themeColor="text1" w:themeTint="A6"/>
                          <w:sz w:val="18"/>
                          <w:lang w:val="es-CO"/>
                        </w:rPr>
                        <w:t xml:space="preserve">. Teresa Ortega La Rosa </w:t>
                      </w:r>
                      <w:r w:rsidR="00B36A25" w:rsidRPr="00E43D3C">
                        <w:rPr>
                          <w:rFonts w:asciiTheme="majorHAnsi" w:hAnsiTheme="majorHAnsi"/>
                          <w:color w:val="595959" w:themeColor="text1" w:themeTint="A6"/>
                          <w:sz w:val="18"/>
                          <w:lang w:val="es-CO"/>
                        </w:rPr>
                        <w:t>Vda.</w:t>
                      </w:r>
                      <w:r w:rsidRPr="00E43D3C">
                        <w:rPr>
                          <w:rFonts w:asciiTheme="majorHAnsi" w:hAnsiTheme="majorHAnsi"/>
                          <w:color w:val="595959" w:themeColor="text1" w:themeTint="A6"/>
                          <w:sz w:val="18"/>
                          <w:lang w:val="es-CO"/>
                        </w:rPr>
                        <w:t xml:space="preserve"> de Morán. </w:t>
                      </w:r>
                      <w:r>
                        <w:rPr>
                          <w:rFonts w:asciiTheme="majorHAnsi" w:hAnsiTheme="majorHAnsi"/>
                          <w:color w:val="595959" w:themeColor="text1" w:themeTint="A6"/>
                          <w:sz w:val="18"/>
                        </w:rPr>
                        <w:t>Peru</w:t>
                      </w:r>
                      <w:r w:rsidR="006C0C71">
                        <w:rPr>
                          <w:rFonts w:asciiTheme="majorHAnsi" w:hAnsiTheme="majorHAnsi"/>
                          <w:color w:val="595959" w:themeColor="text1" w:themeTint="A6"/>
                          <w:sz w:val="18"/>
                        </w:rPr>
                        <w:t>. May 8, 2020</w:t>
                      </w:r>
                      <w:r>
                        <w:rPr>
                          <w:rFonts w:asciiTheme="majorHAnsi" w:hAnsiTheme="majorHAnsi"/>
                          <w:color w:val="595959" w:themeColor="text1" w:themeTint="A6"/>
                          <w:sz w:val="18"/>
                        </w:rPr>
                        <w:t>.</w:t>
                      </w:r>
                    </w:p>
                  </w:txbxContent>
                </v:textbox>
              </v:shape>
            </w:pict>
          </mc:Fallback>
        </mc:AlternateContent>
      </w:r>
    </w:p>
    <w:p w14:paraId="76B7E9B3" w14:textId="77777777" w:rsidR="00A50FCF" w:rsidRPr="00A53B9D" w:rsidRDefault="00A50FCF" w:rsidP="00040C3A">
      <w:pPr>
        <w:tabs>
          <w:tab w:val="center" w:pos="5400"/>
        </w:tabs>
        <w:suppressAutoHyphens/>
        <w:jc w:val="center"/>
        <w:rPr>
          <w:rFonts w:asciiTheme="majorHAnsi" w:hAnsiTheme="majorHAnsi"/>
          <w:sz w:val="20"/>
          <w:szCs w:val="20"/>
        </w:rPr>
      </w:pPr>
    </w:p>
    <w:p w14:paraId="088D6234" w14:textId="77777777" w:rsidR="0090270B" w:rsidRPr="00A53B9D" w:rsidRDefault="00D306D1" w:rsidP="005516A1">
      <w:pPr>
        <w:tabs>
          <w:tab w:val="center" w:pos="5400"/>
        </w:tabs>
        <w:suppressAutoHyphens/>
        <w:jc w:val="center"/>
        <w:rPr>
          <w:rFonts w:asciiTheme="majorHAnsi" w:hAnsiTheme="majorHAnsi"/>
          <w:b/>
          <w:sz w:val="20"/>
          <w:szCs w:val="20"/>
        </w:rPr>
      </w:pPr>
      <w:r>
        <w:rPr>
          <w:rFonts w:asciiTheme="majorHAnsi" w:hAnsiTheme="majorHAnsi"/>
          <w:noProof/>
          <w:sz w:val="20"/>
          <w:szCs w:val="20"/>
          <w:lang w:bidi="ar-SA"/>
        </w:rPr>
        <mc:AlternateContent>
          <mc:Choice Requires="wps">
            <w:drawing>
              <wp:anchor distT="0" distB="0" distL="114300" distR="114300" simplePos="0" relativeHeight="251680768" behindDoc="0" locked="0" layoutInCell="1" allowOverlap="1" wp14:anchorId="788AA9C5" wp14:editId="7A9FDD6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E12A8" w14:textId="59B4A1CC" w:rsidR="00867D4C" w:rsidRPr="00D72DC6" w:rsidRDefault="006C0C71" w:rsidP="00F02AD1">
                            <w:pPr>
                              <w:rPr>
                                <w:color w:val="FFFFFF" w:themeColor="background1"/>
                                <w14:textFill>
                                  <w14:noFill/>
                                </w14:textFill>
                              </w:rPr>
                            </w:pPr>
                            <w:r>
                              <w:rPr>
                                <w:noProof/>
                                <w:lang w:bidi="ar-SA"/>
                              </w:rPr>
                              <w:drawing>
                                <wp:inline distT="0" distB="0" distL="0" distR="0" wp14:anchorId="01AFEBA6" wp14:editId="54EFFF4B">
                                  <wp:extent cx="1519555" cy="387985"/>
                                  <wp:effectExtent l="0" t="0" r="444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AA9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D5E12A8" w14:textId="59B4A1CC" w:rsidR="00867D4C" w:rsidRPr="00D72DC6" w:rsidRDefault="006C0C71" w:rsidP="00F02AD1">
                      <w:pPr>
                        <w:rPr>
                          <w:color w:val="FFFFFF" w:themeColor="background1"/>
                          <w14:textFill>
                            <w14:noFill/>
                          </w14:textFill>
                        </w:rPr>
                      </w:pPr>
                      <w:r>
                        <w:rPr>
                          <w:noProof/>
                          <w:lang w:bidi="ar-SA"/>
                        </w:rPr>
                        <w:drawing>
                          <wp:inline distT="0" distB="0" distL="0" distR="0" wp14:anchorId="01AFEBA6" wp14:editId="54EFFF4B">
                            <wp:extent cx="1519555" cy="387985"/>
                            <wp:effectExtent l="0" t="0" r="444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Pr>
          <w:rFonts w:asciiTheme="majorHAnsi" w:hAnsiTheme="majorHAnsi"/>
          <w:noProof/>
          <w:sz w:val="20"/>
          <w:szCs w:val="20"/>
          <w:lang w:bidi="ar-SA"/>
        </w:rPr>
        <mc:AlternateContent>
          <mc:Choice Requires="wps">
            <w:drawing>
              <wp:anchor distT="0" distB="0" distL="114300" distR="114300" simplePos="0" relativeHeight="251682816" behindDoc="0" locked="0" layoutInCell="1" allowOverlap="1" wp14:anchorId="61FEB055" wp14:editId="02BF91F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66FF4" w14:textId="70D2FFAA" w:rsidR="00867D4C" w:rsidRPr="004B7EB6" w:rsidRDefault="00867D4C" w:rsidP="00D306D1">
                            <w:pPr>
                              <w:jc w:val="center"/>
                              <w:rPr>
                                <w:rFonts w:asciiTheme="minorHAnsi" w:hAnsiTheme="minorHAnsi"/>
                                <w:b/>
                                <w:color w:val="FFFFFF" w:themeColor="background1"/>
                              </w:rPr>
                            </w:pPr>
                            <w:r>
                              <w:rPr>
                                <w:rFonts w:asciiTheme="minorHAnsi" w:hAnsiTheme="minorHAnsi"/>
                                <w:b/>
                                <w:color w:val="FFFFFF" w:themeColor="background1"/>
                              </w:rPr>
                              <w:t>www.</w:t>
                            </w:r>
                            <w:r w:rsidR="006C0C71">
                              <w:rPr>
                                <w:rFonts w:asciiTheme="minorHAnsi" w:hAnsiTheme="minorHAnsi"/>
                                <w:b/>
                                <w:color w:val="FFFFFF" w:themeColor="background1"/>
                              </w:rPr>
                              <w:t>iachr</w:t>
                            </w:r>
                            <w:r>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EB05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1866FF4" w14:textId="70D2FFAA" w:rsidR="00867D4C" w:rsidRPr="004B7EB6" w:rsidRDefault="00867D4C" w:rsidP="00D306D1">
                      <w:pPr>
                        <w:jc w:val="center"/>
                        <w:rPr>
                          <w:rFonts w:asciiTheme="minorHAnsi" w:hAnsiTheme="minorHAnsi"/>
                          <w:b/>
                          <w:color w:val="FFFFFF" w:themeColor="background1"/>
                        </w:rPr>
                      </w:pPr>
                      <w:r>
                        <w:rPr>
                          <w:rFonts w:asciiTheme="minorHAnsi" w:hAnsiTheme="minorHAnsi"/>
                          <w:b/>
                          <w:color w:val="FFFFFF" w:themeColor="background1"/>
                        </w:rPr>
                        <w:t>www.</w:t>
                      </w:r>
                      <w:r w:rsidR="006C0C71">
                        <w:rPr>
                          <w:rFonts w:asciiTheme="minorHAnsi" w:hAnsiTheme="minorHAnsi"/>
                          <w:b/>
                          <w:color w:val="FFFFFF" w:themeColor="background1"/>
                        </w:rPr>
                        <w:t>iachr</w:t>
                      </w:r>
                      <w:r>
                        <w:rPr>
                          <w:rFonts w:asciiTheme="minorHAnsi" w:hAnsiTheme="minorHAnsi"/>
                          <w:b/>
                          <w:color w:val="FFFFFF" w:themeColor="background1"/>
                        </w:rPr>
                        <w:t>.org</w:t>
                      </w:r>
                    </w:p>
                  </w:txbxContent>
                </v:textbox>
              </v:shape>
            </w:pict>
          </mc:Fallback>
        </mc:AlternateContent>
      </w:r>
    </w:p>
    <w:p w14:paraId="32FD2734" w14:textId="2EB67496" w:rsidR="0070697F" w:rsidRDefault="004A6A54" w:rsidP="005516A1">
      <w:pPr>
        <w:tabs>
          <w:tab w:val="center" w:pos="5400"/>
        </w:tabs>
        <w:suppressAutoHyphens/>
        <w:jc w:val="center"/>
      </w:pPr>
      <w:r>
        <w:tab/>
      </w:r>
    </w:p>
    <w:p w14:paraId="28A35F02" w14:textId="36145966" w:rsidR="006C0C71" w:rsidRDefault="006C0C71" w:rsidP="005516A1">
      <w:pPr>
        <w:tabs>
          <w:tab w:val="center" w:pos="5400"/>
        </w:tabs>
        <w:suppressAutoHyphens/>
        <w:jc w:val="center"/>
      </w:pPr>
    </w:p>
    <w:p w14:paraId="45B67EA3" w14:textId="30B8862D" w:rsidR="006C0C71" w:rsidRDefault="006C0C71" w:rsidP="005516A1">
      <w:pPr>
        <w:tabs>
          <w:tab w:val="center" w:pos="5400"/>
        </w:tabs>
        <w:suppressAutoHyphens/>
        <w:jc w:val="center"/>
      </w:pPr>
    </w:p>
    <w:p w14:paraId="320042D1" w14:textId="27D7E79C" w:rsidR="006C0C71" w:rsidRDefault="006C0C71" w:rsidP="005516A1">
      <w:pPr>
        <w:tabs>
          <w:tab w:val="center" w:pos="5400"/>
        </w:tabs>
        <w:suppressAutoHyphens/>
        <w:jc w:val="center"/>
      </w:pPr>
    </w:p>
    <w:p w14:paraId="20DD1999" w14:textId="77777777" w:rsidR="006C0C71" w:rsidRPr="00A53B9D" w:rsidRDefault="006C0C71" w:rsidP="005516A1">
      <w:pPr>
        <w:tabs>
          <w:tab w:val="center" w:pos="5400"/>
        </w:tabs>
        <w:suppressAutoHyphens/>
        <w:jc w:val="center"/>
        <w:rPr>
          <w:rFonts w:asciiTheme="majorHAnsi" w:hAnsiTheme="majorHAnsi"/>
          <w:b/>
          <w:sz w:val="20"/>
          <w:szCs w:val="20"/>
        </w:rPr>
        <w:sectPr w:rsidR="006C0C71" w:rsidRPr="00A53B9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p>
    <w:p w14:paraId="34D5C637" w14:textId="4D681426" w:rsidR="003239B8" w:rsidRPr="006C0C71" w:rsidRDefault="003239B8" w:rsidP="004A6A54">
      <w:pPr>
        <w:spacing w:after="240"/>
        <w:ind w:firstLine="720"/>
        <w:jc w:val="both"/>
        <w:rPr>
          <w:rFonts w:asciiTheme="majorHAnsi" w:hAnsiTheme="majorHAnsi"/>
          <w:b/>
          <w:bCs/>
          <w:sz w:val="20"/>
          <w:szCs w:val="20"/>
        </w:rPr>
      </w:pPr>
      <w:r w:rsidRPr="006C0C71">
        <w:rPr>
          <w:rFonts w:asciiTheme="majorHAnsi" w:hAnsiTheme="majorHAnsi"/>
          <w:b/>
          <w:sz w:val="20"/>
          <w:szCs w:val="20"/>
        </w:rPr>
        <w:lastRenderedPageBreak/>
        <w:t xml:space="preserve">I. </w:t>
      </w:r>
      <w:r w:rsidR="006C0C71" w:rsidRPr="006C0C71">
        <w:rPr>
          <w:rFonts w:asciiTheme="majorHAnsi" w:hAnsiTheme="majorHAnsi"/>
          <w:b/>
          <w:sz w:val="20"/>
          <w:szCs w:val="20"/>
        </w:rPr>
        <w:tab/>
      </w:r>
      <w:r w:rsidRPr="006C0C71">
        <w:rPr>
          <w:rFonts w:asciiTheme="majorHAnsi" w:hAnsiTheme="majorHAnsi"/>
          <w:b/>
          <w:sz w:val="20"/>
          <w:szCs w:val="20"/>
        </w:rPr>
        <w:t>INFORMATION ABOUT THE PETITION</w:t>
      </w:r>
      <w:bookmarkStart w:id="2" w:name="_GoBack"/>
      <w:bookmarkEnd w:id="2"/>
      <w:r w:rsidRPr="006C0C71">
        <w:rPr>
          <w:rFonts w:asciiTheme="majorHAnsi" w:hAnsiTheme="majorHAnsi"/>
          <w:b/>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B3F51" w14:paraId="40E99880" w14:textId="77777777" w:rsidTr="006C0C71">
        <w:tc>
          <w:tcPr>
            <w:tcW w:w="3600" w:type="dxa"/>
            <w:tcBorders>
              <w:top w:val="single" w:sz="4" w:space="0" w:color="auto"/>
              <w:bottom w:val="single" w:sz="6" w:space="0" w:color="auto"/>
            </w:tcBorders>
            <w:shd w:val="clear" w:color="auto" w:fill="67AE3C"/>
            <w:vAlign w:val="center"/>
          </w:tcPr>
          <w:p w14:paraId="0821FB09" w14:textId="77777777" w:rsidR="003239B8" w:rsidRPr="00A53B9D" w:rsidRDefault="003239B8" w:rsidP="00867D4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Petitioner:</w:t>
            </w:r>
          </w:p>
        </w:tc>
        <w:tc>
          <w:tcPr>
            <w:tcW w:w="5760" w:type="dxa"/>
            <w:vAlign w:val="center"/>
          </w:tcPr>
          <w:p w14:paraId="1AA82D96" w14:textId="428A7DE6" w:rsidR="003239B8" w:rsidRPr="00B36A25" w:rsidRDefault="00B17CB8" w:rsidP="00867D4C">
            <w:pPr>
              <w:jc w:val="both"/>
              <w:rPr>
                <w:rFonts w:asciiTheme="majorHAnsi" w:hAnsiTheme="majorHAnsi"/>
                <w:bCs/>
                <w:sz w:val="20"/>
                <w:szCs w:val="20"/>
                <w:lang w:val="es-CO"/>
              </w:rPr>
            </w:pPr>
            <w:r w:rsidRPr="00B36A25">
              <w:rPr>
                <w:rFonts w:asciiTheme="majorHAnsi" w:hAnsiTheme="majorHAnsi"/>
                <w:sz w:val="20"/>
                <w:lang w:val="es-CO"/>
              </w:rPr>
              <w:t xml:space="preserve">Teresa Ortega La Rosa </w:t>
            </w:r>
            <w:r w:rsidR="00B36A25">
              <w:rPr>
                <w:rFonts w:asciiTheme="majorHAnsi" w:hAnsiTheme="majorHAnsi"/>
                <w:sz w:val="20"/>
                <w:lang w:val="es-CO"/>
              </w:rPr>
              <w:t>Vda.</w:t>
            </w:r>
            <w:r w:rsidRPr="00B36A25">
              <w:rPr>
                <w:rFonts w:asciiTheme="majorHAnsi" w:hAnsiTheme="majorHAnsi"/>
                <w:sz w:val="20"/>
                <w:lang w:val="es-CO"/>
              </w:rPr>
              <w:t xml:space="preserve"> de Morán.</w:t>
            </w:r>
          </w:p>
        </w:tc>
      </w:tr>
      <w:tr w:rsidR="003239B8" w:rsidRPr="00CB3F51" w14:paraId="6E57EDE4" w14:textId="77777777" w:rsidTr="006C0C71">
        <w:tc>
          <w:tcPr>
            <w:tcW w:w="3600" w:type="dxa"/>
            <w:tcBorders>
              <w:top w:val="single" w:sz="6" w:space="0" w:color="auto"/>
              <w:bottom w:val="single" w:sz="6" w:space="0" w:color="auto"/>
            </w:tcBorders>
            <w:shd w:val="clear" w:color="auto" w:fill="67AE3C"/>
            <w:vAlign w:val="center"/>
          </w:tcPr>
          <w:p w14:paraId="5C8C4B80" w14:textId="77777777" w:rsidR="003239B8" w:rsidRPr="00A53B9D" w:rsidRDefault="00EE4813" w:rsidP="00867D4C">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Choose one"/>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9C5182">
                  <w:rPr>
                    <w:rFonts w:asciiTheme="majorHAnsi" w:hAnsiTheme="majorHAnsi"/>
                    <w:b/>
                    <w:color w:val="FFFFFF" w:themeColor="background1"/>
                    <w:sz w:val="20"/>
                  </w:rPr>
                  <w:t>Alleged victim:</w:t>
                </w:r>
              </w:sdtContent>
            </w:sdt>
            <w:r w:rsidR="009C5182">
              <w:rPr>
                <w:rFonts w:asciiTheme="majorHAnsi" w:hAnsiTheme="majorHAnsi"/>
                <w:b/>
                <w:color w:val="FFFFFF" w:themeColor="background1"/>
                <w:sz w:val="20"/>
              </w:rPr>
              <w:t>:</w:t>
            </w:r>
          </w:p>
        </w:tc>
        <w:tc>
          <w:tcPr>
            <w:tcW w:w="5760" w:type="dxa"/>
            <w:vAlign w:val="center"/>
          </w:tcPr>
          <w:p w14:paraId="0D396803" w14:textId="369EB874" w:rsidR="003239B8" w:rsidRPr="00B36A25" w:rsidRDefault="00B17CB8" w:rsidP="00867D4C">
            <w:pPr>
              <w:jc w:val="both"/>
              <w:rPr>
                <w:rFonts w:asciiTheme="majorHAnsi" w:hAnsiTheme="majorHAnsi"/>
                <w:bCs/>
                <w:sz w:val="20"/>
                <w:szCs w:val="20"/>
                <w:lang w:val="es-CO"/>
              </w:rPr>
            </w:pPr>
            <w:r w:rsidRPr="00B36A25">
              <w:rPr>
                <w:rFonts w:asciiTheme="majorHAnsi" w:hAnsiTheme="majorHAnsi"/>
                <w:sz w:val="20"/>
                <w:lang w:val="es-CO"/>
              </w:rPr>
              <w:t xml:space="preserve">Teresa Ortega La Rosa </w:t>
            </w:r>
            <w:r w:rsidR="00B36A25">
              <w:rPr>
                <w:rFonts w:asciiTheme="majorHAnsi" w:hAnsiTheme="majorHAnsi"/>
                <w:sz w:val="20"/>
                <w:lang w:val="es-CO"/>
              </w:rPr>
              <w:t>Vda.</w:t>
            </w:r>
            <w:r w:rsidRPr="00B36A25">
              <w:rPr>
                <w:rFonts w:asciiTheme="majorHAnsi" w:hAnsiTheme="majorHAnsi"/>
                <w:sz w:val="20"/>
                <w:lang w:val="es-CO"/>
              </w:rPr>
              <w:t xml:space="preserve"> de Morán</w:t>
            </w:r>
          </w:p>
        </w:tc>
      </w:tr>
      <w:tr w:rsidR="003239B8" w:rsidRPr="00A53B9D" w14:paraId="001D3A7B" w14:textId="77777777" w:rsidTr="006C0C71">
        <w:tc>
          <w:tcPr>
            <w:tcW w:w="3600" w:type="dxa"/>
            <w:tcBorders>
              <w:top w:val="single" w:sz="6" w:space="0" w:color="auto"/>
              <w:bottom w:val="single" w:sz="6" w:space="0" w:color="auto"/>
            </w:tcBorders>
            <w:shd w:val="clear" w:color="auto" w:fill="67AE3C"/>
            <w:vAlign w:val="center"/>
          </w:tcPr>
          <w:p w14:paraId="3E4E2383" w14:textId="77777777" w:rsidR="003239B8" w:rsidRPr="00A53B9D" w:rsidRDefault="003239B8" w:rsidP="00867D4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Respondent State:</w:t>
            </w:r>
          </w:p>
        </w:tc>
        <w:tc>
          <w:tcPr>
            <w:tcW w:w="5760" w:type="dxa"/>
            <w:vAlign w:val="center"/>
          </w:tcPr>
          <w:p w14:paraId="56B530C8" w14:textId="77777777" w:rsidR="003239B8" w:rsidRPr="00A53B9D" w:rsidRDefault="00AF263A" w:rsidP="00867D4C">
            <w:pPr>
              <w:jc w:val="both"/>
              <w:rPr>
                <w:rFonts w:asciiTheme="majorHAnsi" w:hAnsiTheme="majorHAnsi"/>
                <w:bCs/>
                <w:sz w:val="20"/>
                <w:szCs w:val="20"/>
              </w:rPr>
            </w:pPr>
            <w:r>
              <w:rPr>
                <w:rFonts w:asciiTheme="majorHAnsi" w:hAnsiTheme="majorHAnsi"/>
                <w:sz w:val="20"/>
              </w:rPr>
              <w:t>Peru</w:t>
            </w:r>
            <w:r>
              <w:rPr>
                <w:rStyle w:val="FootnoteReference"/>
                <w:rFonts w:asciiTheme="majorHAnsi" w:hAnsiTheme="majorHAnsi"/>
                <w:sz w:val="20"/>
              </w:rPr>
              <w:footnoteReference w:id="2"/>
            </w:r>
          </w:p>
        </w:tc>
      </w:tr>
      <w:tr w:rsidR="00223A29" w:rsidRPr="00AE4E4A" w14:paraId="147A48C6" w14:textId="77777777" w:rsidTr="006C0C71">
        <w:tc>
          <w:tcPr>
            <w:tcW w:w="3600" w:type="dxa"/>
            <w:tcBorders>
              <w:top w:val="single" w:sz="6" w:space="0" w:color="auto"/>
              <w:bottom w:val="single" w:sz="6" w:space="0" w:color="auto"/>
            </w:tcBorders>
            <w:shd w:val="clear" w:color="auto" w:fill="67AE3C"/>
            <w:vAlign w:val="center"/>
          </w:tcPr>
          <w:p w14:paraId="7C5941A5" w14:textId="77777777" w:rsidR="00223A29" w:rsidRPr="00A53B9D" w:rsidRDefault="001B3A00" w:rsidP="00E4118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Rights invoked:</w:t>
            </w:r>
          </w:p>
        </w:tc>
        <w:tc>
          <w:tcPr>
            <w:tcW w:w="5760" w:type="dxa"/>
            <w:vAlign w:val="center"/>
          </w:tcPr>
          <w:p w14:paraId="0738434B" w14:textId="50E9CF18" w:rsidR="00223A29" w:rsidRPr="006C0C71" w:rsidRDefault="002365FA" w:rsidP="00867D4C">
            <w:pPr>
              <w:jc w:val="both"/>
              <w:rPr>
                <w:rFonts w:asciiTheme="majorHAnsi" w:hAnsiTheme="majorHAnsi"/>
                <w:bCs/>
                <w:sz w:val="19"/>
                <w:szCs w:val="19"/>
              </w:rPr>
            </w:pPr>
            <w:r w:rsidRPr="006C0C71">
              <w:rPr>
                <w:rFonts w:asciiTheme="majorHAnsi" w:hAnsiTheme="majorHAnsi"/>
                <w:sz w:val="19"/>
                <w:szCs w:val="19"/>
              </w:rPr>
              <w:t>Articles 8 (</w:t>
            </w:r>
            <w:r w:rsidR="00B36A25" w:rsidRPr="006C0C71">
              <w:rPr>
                <w:rFonts w:asciiTheme="majorHAnsi" w:hAnsiTheme="majorHAnsi"/>
                <w:sz w:val="19"/>
                <w:szCs w:val="19"/>
              </w:rPr>
              <w:t>fair trial</w:t>
            </w:r>
            <w:r w:rsidRPr="006C0C71">
              <w:rPr>
                <w:rFonts w:asciiTheme="majorHAnsi" w:hAnsiTheme="majorHAnsi"/>
                <w:sz w:val="19"/>
                <w:szCs w:val="19"/>
              </w:rPr>
              <w:t>), 21 (property), 24 (equal protection) and 25 (judicial protection) of the American Convention on Human Rights</w:t>
            </w:r>
            <w:r w:rsidRPr="006C0C71">
              <w:rPr>
                <w:rStyle w:val="FootnoteReference"/>
                <w:rFonts w:asciiTheme="majorHAnsi" w:hAnsiTheme="majorHAnsi"/>
                <w:sz w:val="19"/>
                <w:szCs w:val="19"/>
              </w:rPr>
              <w:footnoteReference w:id="3"/>
            </w:r>
            <w:r w:rsidRPr="006C0C71">
              <w:rPr>
                <w:rFonts w:asciiTheme="majorHAnsi" w:hAnsiTheme="majorHAnsi"/>
                <w:sz w:val="19"/>
                <w:szCs w:val="19"/>
              </w:rPr>
              <w:t>; Articles 9 (right to social security) and 17 (protection of the elderly) of the Additional Protocol to the American Convention on Human Rights in the Area of Economic, Social and Cultural Rights (Protocol of San Salvador)</w:t>
            </w:r>
            <w:r w:rsidRPr="006C0C71">
              <w:rPr>
                <w:rStyle w:val="FootnoteReference"/>
                <w:rFonts w:asciiTheme="majorHAnsi" w:hAnsiTheme="majorHAnsi"/>
                <w:sz w:val="19"/>
                <w:szCs w:val="19"/>
              </w:rPr>
              <w:footnoteReference w:id="4"/>
            </w:r>
            <w:r w:rsidRPr="006C0C71">
              <w:rPr>
                <w:rFonts w:asciiTheme="majorHAnsi" w:hAnsiTheme="majorHAnsi"/>
                <w:sz w:val="19"/>
                <w:szCs w:val="19"/>
              </w:rPr>
              <w:t>; and Article XVI of the American Declaration of the Rights and Duties of Man.</w:t>
            </w:r>
            <w:r w:rsidRPr="006C0C71">
              <w:rPr>
                <w:rStyle w:val="FootnoteReference"/>
                <w:rFonts w:asciiTheme="majorHAnsi" w:hAnsiTheme="majorHAnsi"/>
                <w:sz w:val="19"/>
                <w:szCs w:val="19"/>
              </w:rPr>
              <w:footnoteReference w:id="5"/>
            </w:r>
          </w:p>
        </w:tc>
      </w:tr>
    </w:tbl>
    <w:p w14:paraId="32469412" w14:textId="77777777" w:rsidR="003239B8" w:rsidRPr="00A53B9D"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II.</w:t>
      </w:r>
      <w:r>
        <w:tab/>
      </w:r>
      <w:r>
        <w:rPr>
          <w:rFonts w:asciiTheme="majorHAnsi" w:hAnsiTheme="majorHAnsi"/>
          <w:b/>
          <w:sz w:val="20"/>
        </w:rPr>
        <w:t>PROCEEDINGS BEFORE THE IACHR</w:t>
      </w:r>
      <w:r>
        <w:rPr>
          <w:rStyle w:val="FootnoteReference"/>
          <w:rFonts w:asciiTheme="majorHAnsi" w:hAnsiTheme="majorHAnsi"/>
          <w:b/>
          <w:sz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53B9D" w14:paraId="137012E7" w14:textId="77777777" w:rsidTr="006C0C71">
        <w:tc>
          <w:tcPr>
            <w:tcW w:w="3600" w:type="dxa"/>
            <w:tcBorders>
              <w:top w:val="single" w:sz="6" w:space="0" w:color="auto"/>
              <w:bottom w:val="single" w:sz="6" w:space="0" w:color="auto"/>
            </w:tcBorders>
            <w:shd w:val="clear" w:color="auto" w:fill="67AE3C"/>
            <w:vAlign w:val="center"/>
          </w:tcPr>
          <w:p w14:paraId="58AB3C99" w14:textId="77777777" w:rsidR="004C2312" w:rsidRPr="00A53B9D" w:rsidRDefault="004A6A54" w:rsidP="004A6A54">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Filing of the petition:</w:t>
            </w:r>
          </w:p>
        </w:tc>
        <w:tc>
          <w:tcPr>
            <w:tcW w:w="5760" w:type="dxa"/>
            <w:vAlign w:val="center"/>
          </w:tcPr>
          <w:p w14:paraId="3C408D0D" w14:textId="77777777" w:rsidR="004C2312" w:rsidRPr="00A53B9D" w:rsidRDefault="005C75AC" w:rsidP="00867D4C">
            <w:pPr>
              <w:jc w:val="both"/>
              <w:rPr>
                <w:rFonts w:asciiTheme="majorHAnsi" w:hAnsiTheme="majorHAnsi"/>
                <w:bCs/>
                <w:sz w:val="20"/>
                <w:szCs w:val="20"/>
              </w:rPr>
            </w:pPr>
            <w:r>
              <w:rPr>
                <w:rFonts w:asciiTheme="majorHAnsi" w:hAnsiTheme="majorHAnsi"/>
                <w:sz w:val="20"/>
              </w:rPr>
              <w:t>April 15, 2010</w:t>
            </w:r>
          </w:p>
        </w:tc>
      </w:tr>
      <w:tr w:rsidR="004C2312" w:rsidRPr="00A53B9D" w14:paraId="5C759B81" w14:textId="77777777" w:rsidTr="006C0C71">
        <w:tc>
          <w:tcPr>
            <w:tcW w:w="3600" w:type="dxa"/>
            <w:tcBorders>
              <w:top w:val="single" w:sz="6" w:space="0" w:color="auto"/>
              <w:bottom w:val="single" w:sz="6" w:space="0" w:color="auto"/>
            </w:tcBorders>
            <w:shd w:val="clear" w:color="auto" w:fill="67AE3C"/>
            <w:vAlign w:val="center"/>
          </w:tcPr>
          <w:p w14:paraId="4D91DFF7" w14:textId="77777777" w:rsidR="004C2312" w:rsidRPr="00A53B9D" w:rsidRDefault="004A6A54" w:rsidP="004A6A54">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Notification of the petition to the State:</w:t>
            </w:r>
          </w:p>
        </w:tc>
        <w:tc>
          <w:tcPr>
            <w:tcW w:w="5760" w:type="dxa"/>
            <w:vAlign w:val="center"/>
          </w:tcPr>
          <w:p w14:paraId="7049DB79" w14:textId="77777777" w:rsidR="004C2312" w:rsidRPr="00A53B9D" w:rsidRDefault="005C75AC" w:rsidP="00867D4C">
            <w:pPr>
              <w:jc w:val="both"/>
              <w:rPr>
                <w:rFonts w:asciiTheme="majorHAnsi" w:hAnsiTheme="majorHAnsi"/>
                <w:bCs/>
                <w:sz w:val="20"/>
                <w:szCs w:val="20"/>
              </w:rPr>
            </w:pPr>
            <w:r>
              <w:rPr>
                <w:rFonts w:asciiTheme="majorHAnsi" w:hAnsiTheme="majorHAnsi"/>
                <w:sz w:val="20"/>
              </w:rPr>
              <w:t>June 22, 2016</w:t>
            </w:r>
          </w:p>
        </w:tc>
      </w:tr>
      <w:tr w:rsidR="004C2312" w:rsidRPr="00A53B9D" w14:paraId="2B130296" w14:textId="77777777" w:rsidTr="006C0C71">
        <w:tc>
          <w:tcPr>
            <w:tcW w:w="3600" w:type="dxa"/>
            <w:tcBorders>
              <w:top w:val="single" w:sz="6" w:space="0" w:color="auto"/>
              <w:bottom w:val="single" w:sz="6" w:space="0" w:color="auto"/>
            </w:tcBorders>
            <w:shd w:val="clear" w:color="auto" w:fill="67AE3C"/>
            <w:vAlign w:val="center"/>
          </w:tcPr>
          <w:p w14:paraId="26DB8918" w14:textId="77777777" w:rsidR="004C2312" w:rsidRPr="00A53B9D" w:rsidRDefault="004A6A54" w:rsidP="004A6A54">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State's first response:</w:t>
            </w:r>
          </w:p>
        </w:tc>
        <w:tc>
          <w:tcPr>
            <w:tcW w:w="5760" w:type="dxa"/>
            <w:vAlign w:val="center"/>
          </w:tcPr>
          <w:p w14:paraId="4F272068" w14:textId="77777777" w:rsidR="004C2312" w:rsidRPr="00A53B9D" w:rsidRDefault="00635398" w:rsidP="00867D4C">
            <w:pPr>
              <w:jc w:val="both"/>
              <w:rPr>
                <w:rFonts w:asciiTheme="majorHAnsi" w:hAnsiTheme="majorHAnsi"/>
                <w:bCs/>
                <w:sz w:val="20"/>
                <w:szCs w:val="20"/>
              </w:rPr>
            </w:pPr>
            <w:r>
              <w:rPr>
                <w:rFonts w:asciiTheme="majorHAnsi" w:hAnsiTheme="majorHAnsi"/>
                <w:sz w:val="20"/>
              </w:rPr>
              <w:t>September 23, 2016</w:t>
            </w:r>
          </w:p>
        </w:tc>
      </w:tr>
      <w:tr w:rsidR="001E49E7" w:rsidRPr="00A53B9D" w14:paraId="27EF3E6D" w14:textId="77777777" w:rsidTr="006C0C71">
        <w:tc>
          <w:tcPr>
            <w:tcW w:w="3600" w:type="dxa"/>
            <w:tcBorders>
              <w:top w:val="single" w:sz="6" w:space="0" w:color="auto"/>
              <w:bottom w:val="single" w:sz="6" w:space="0" w:color="auto"/>
            </w:tcBorders>
            <w:shd w:val="clear" w:color="auto" w:fill="67AE3C"/>
            <w:vAlign w:val="center"/>
          </w:tcPr>
          <w:p w14:paraId="1356EEF0" w14:textId="77777777" w:rsidR="001E49E7" w:rsidRPr="00A53B9D" w:rsidRDefault="004A6A54" w:rsidP="00DD4AD2">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Notification of the possible archiving of the petition:</w:t>
            </w:r>
          </w:p>
        </w:tc>
        <w:tc>
          <w:tcPr>
            <w:tcW w:w="5760" w:type="dxa"/>
            <w:vAlign w:val="center"/>
          </w:tcPr>
          <w:p w14:paraId="09193ABE" w14:textId="77777777" w:rsidR="001E49E7" w:rsidRPr="00A53B9D" w:rsidRDefault="00635398" w:rsidP="00867D4C">
            <w:pPr>
              <w:jc w:val="both"/>
              <w:rPr>
                <w:rFonts w:asciiTheme="majorHAnsi" w:hAnsiTheme="majorHAnsi"/>
                <w:bCs/>
                <w:sz w:val="20"/>
                <w:szCs w:val="20"/>
              </w:rPr>
            </w:pPr>
            <w:r>
              <w:rPr>
                <w:rFonts w:asciiTheme="majorHAnsi" w:hAnsiTheme="majorHAnsi"/>
                <w:sz w:val="20"/>
              </w:rPr>
              <w:t>November 12, 2018</w:t>
            </w:r>
          </w:p>
        </w:tc>
      </w:tr>
      <w:tr w:rsidR="001E49E7" w:rsidRPr="00A53B9D" w14:paraId="06E123E7" w14:textId="77777777" w:rsidTr="006C0C71">
        <w:tc>
          <w:tcPr>
            <w:tcW w:w="3600" w:type="dxa"/>
            <w:tcBorders>
              <w:top w:val="single" w:sz="6" w:space="0" w:color="auto"/>
              <w:bottom w:val="single" w:sz="6" w:space="0" w:color="auto"/>
            </w:tcBorders>
            <w:shd w:val="clear" w:color="auto" w:fill="67AE3C"/>
            <w:vAlign w:val="center"/>
          </w:tcPr>
          <w:p w14:paraId="203AA64E" w14:textId="77777777" w:rsidR="001E49E7" w:rsidRPr="00A53B9D" w:rsidRDefault="004A6A54" w:rsidP="004A6A54">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Petitioner’s response to the notification regarding the possible archiving of the petition:</w:t>
            </w:r>
          </w:p>
        </w:tc>
        <w:tc>
          <w:tcPr>
            <w:tcW w:w="5760" w:type="dxa"/>
            <w:vAlign w:val="center"/>
          </w:tcPr>
          <w:p w14:paraId="050AB57D" w14:textId="77777777" w:rsidR="001E49E7" w:rsidRPr="00A53B9D" w:rsidRDefault="00635398" w:rsidP="00867D4C">
            <w:pPr>
              <w:jc w:val="both"/>
              <w:rPr>
                <w:rFonts w:asciiTheme="majorHAnsi" w:hAnsiTheme="majorHAnsi"/>
                <w:bCs/>
                <w:sz w:val="20"/>
                <w:szCs w:val="20"/>
              </w:rPr>
            </w:pPr>
            <w:r>
              <w:rPr>
                <w:rFonts w:asciiTheme="majorHAnsi" w:hAnsiTheme="majorHAnsi"/>
                <w:sz w:val="20"/>
              </w:rPr>
              <w:t>February 1, 2019</w:t>
            </w:r>
          </w:p>
        </w:tc>
      </w:tr>
    </w:tbl>
    <w:p w14:paraId="062AFDD5" w14:textId="77777777" w:rsidR="003239B8" w:rsidRPr="00A53B9D"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III. </w:t>
      </w:r>
      <w:r>
        <w:tab/>
      </w:r>
      <w:r>
        <w:rPr>
          <w:rFonts w:asciiTheme="majorHAnsi" w:hAnsiTheme="majorHAnsi"/>
          <w:b/>
          <w:sz w:val="20"/>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53B9D" w14:paraId="69CA20FB" w14:textId="77777777" w:rsidTr="006C0C71">
        <w:trPr>
          <w:cantSplit/>
        </w:trPr>
        <w:tc>
          <w:tcPr>
            <w:tcW w:w="3600" w:type="dxa"/>
            <w:tcBorders>
              <w:top w:val="single" w:sz="4" w:space="0" w:color="auto"/>
              <w:bottom w:val="single" w:sz="6" w:space="0" w:color="auto"/>
            </w:tcBorders>
            <w:shd w:val="clear" w:color="auto" w:fill="67AE3C"/>
            <w:vAlign w:val="center"/>
          </w:tcPr>
          <w:p w14:paraId="3A588E99" w14:textId="77777777" w:rsidR="003239B8" w:rsidRPr="00A53B9D" w:rsidRDefault="003239B8" w:rsidP="00867D4C">
            <w:pPr>
              <w:jc w:val="center"/>
              <w:rPr>
                <w:rFonts w:asciiTheme="majorHAnsi" w:hAnsiTheme="majorHAnsi"/>
                <w:b/>
                <w:bCs/>
                <w:i/>
                <w:color w:val="FFFFFF" w:themeColor="background1"/>
                <w:sz w:val="20"/>
                <w:szCs w:val="20"/>
              </w:rPr>
            </w:pPr>
            <w:r>
              <w:rPr>
                <w:rFonts w:asciiTheme="majorHAnsi" w:hAnsiTheme="majorHAnsi"/>
                <w:b/>
                <w:color w:val="FFFFFF" w:themeColor="background1"/>
                <w:sz w:val="20"/>
              </w:rPr>
              <w:t>Competence</w:t>
            </w:r>
            <w:r>
              <w:rPr>
                <w:rFonts w:asciiTheme="majorHAnsi" w:hAnsiTheme="majorHAnsi"/>
                <w:b/>
                <w:i/>
                <w:color w:val="FFFFFF" w:themeColor="background1"/>
                <w:sz w:val="20"/>
              </w:rPr>
              <w:t xml:space="preserve"> Ratione personae:</w:t>
            </w:r>
          </w:p>
        </w:tc>
        <w:tc>
          <w:tcPr>
            <w:tcW w:w="5760" w:type="dxa"/>
            <w:vAlign w:val="center"/>
          </w:tcPr>
          <w:p w14:paraId="72636297" w14:textId="77777777" w:rsidR="003239B8" w:rsidRPr="00A53B9D" w:rsidRDefault="005C75AC" w:rsidP="00867D4C">
            <w:pPr>
              <w:rPr>
                <w:rFonts w:asciiTheme="majorHAnsi" w:hAnsiTheme="majorHAnsi"/>
                <w:bCs/>
                <w:sz w:val="20"/>
                <w:szCs w:val="20"/>
              </w:rPr>
            </w:pPr>
            <w:r>
              <w:rPr>
                <w:rFonts w:asciiTheme="majorHAnsi" w:hAnsiTheme="majorHAnsi"/>
                <w:sz w:val="20"/>
              </w:rPr>
              <w:t>Yes</w:t>
            </w:r>
          </w:p>
        </w:tc>
      </w:tr>
      <w:tr w:rsidR="003239B8" w:rsidRPr="00A53B9D" w14:paraId="392A7E39" w14:textId="77777777" w:rsidTr="006C0C71">
        <w:trPr>
          <w:cantSplit/>
        </w:trPr>
        <w:tc>
          <w:tcPr>
            <w:tcW w:w="3600" w:type="dxa"/>
            <w:tcBorders>
              <w:top w:val="single" w:sz="6" w:space="0" w:color="auto"/>
              <w:bottom w:val="single" w:sz="6" w:space="0" w:color="auto"/>
            </w:tcBorders>
            <w:shd w:val="clear" w:color="auto" w:fill="67AE3C"/>
            <w:vAlign w:val="center"/>
          </w:tcPr>
          <w:p w14:paraId="0A602D34" w14:textId="77777777" w:rsidR="003239B8" w:rsidRPr="00A53B9D" w:rsidRDefault="003239B8" w:rsidP="00867D4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Competence</w:t>
            </w:r>
            <w:r>
              <w:rPr>
                <w:rFonts w:asciiTheme="majorHAnsi" w:hAnsiTheme="majorHAnsi"/>
                <w:b/>
                <w:i/>
                <w:color w:val="FFFFFF" w:themeColor="background1"/>
                <w:sz w:val="20"/>
              </w:rPr>
              <w:t xml:space="preserve"> Ratione loci:</w:t>
            </w:r>
          </w:p>
        </w:tc>
        <w:tc>
          <w:tcPr>
            <w:tcW w:w="5760" w:type="dxa"/>
            <w:vAlign w:val="center"/>
          </w:tcPr>
          <w:p w14:paraId="26B2EC93" w14:textId="77777777" w:rsidR="003239B8" w:rsidRPr="00A53B9D" w:rsidRDefault="005C75AC" w:rsidP="00867D4C">
            <w:pPr>
              <w:rPr>
                <w:rFonts w:asciiTheme="majorHAnsi" w:hAnsiTheme="majorHAnsi"/>
                <w:bCs/>
                <w:sz w:val="20"/>
                <w:szCs w:val="20"/>
              </w:rPr>
            </w:pPr>
            <w:r>
              <w:rPr>
                <w:rFonts w:asciiTheme="majorHAnsi" w:hAnsiTheme="majorHAnsi"/>
                <w:sz w:val="20"/>
              </w:rPr>
              <w:t>Yes</w:t>
            </w:r>
          </w:p>
        </w:tc>
      </w:tr>
      <w:tr w:rsidR="003239B8" w:rsidRPr="00A53B9D" w14:paraId="6B8B09DD" w14:textId="77777777" w:rsidTr="006C0C71">
        <w:trPr>
          <w:cantSplit/>
        </w:trPr>
        <w:tc>
          <w:tcPr>
            <w:tcW w:w="3600" w:type="dxa"/>
            <w:tcBorders>
              <w:top w:val="single" w:sz="6" w:space="0" w:color="auto"/>
              <w:bottom w:val="single" w:sz="6" w:space="0" w:color="auto"/>
            </w:tcBorders>
            <w:shd w:val="clear" w:color="auto" w:fill="67AE3C"/>
            <w:vAlign w:val="center"/>
          </w:tcPr>
          <w:p w14:paraId="2E391ABD" w14:textId="77777777" w:rsidR="003239B8" w:rsidRPr="00A53B9D" w:rsidRDefault="003239B8" w:rsidP="00867D4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Competence</w:t>
            </w:r>
            <w:r>
              <w:rPr>
                <w:rFonts w:asciiTheme="majorHAnsi" w:hAnsiTheme="majorHAnsi"/>
                <w:b/>
                <w:i/>
                <w:color w:val="FFFFFF" w:themeColor="background1"/>
                <w:sz w:val="20"/>
              </w:rPr>
              <w:t xml:space="preserve"> Ratione temporis:</w:t>
            </w:r>
          </w:p>
        </w:tc>
        <w:tc>
          <w:tcPr>
            <w:tcW w:w="5760" w:type="dxa"/>
            <w:vAlign w:val="center"/>
          </w:tcPr>
          <w:p w14:paraId="5FC389D1" w14:textId="77777777" w:rsidR="003239B8" w:rsidRPr="00A53B9D" w:rsidRDefault="005C75AC" w:rsidP="00867D4C">
            <w:pPr>
              <w:rPr>
                <w:rFonts w:asciiTheme="majorHAnsi" w:hAnsiTheme="majorHAnsi"/>
                <w:bCs/>
                <w:sz w:val="20"/>
                <w:szCs w:val="20"/>
              </w:rPr>
            </w:pPr>
            <w:r>
              <w:rPr>
                <w:rFonts w:asciiTheme="majorHAnsi" w:hAnsiTheme="majorHAnsi"/>
                <w:sz w:val="20"/>
              </w:rPr>
              <w:t>Yes</w:t>
            </w:r>
          </w:p>
        </w:tc>
      </w:tr>
      <w:tr w:rsidR="003239B8" w:rsidRPr="00AE4E4A" w14:paraId="6E68E339" w14:textId="77777777" w:rsidTr="006C0C71">
        <w:trPr>
          <w:cantSplit/>
        </w:trPr>
        <w:tc>
          <w:tcPr>
            <w:tcW w:w="3600" w:type="dxa"/>
            <w:tcBorders>
              <w:top w:val="single" w:sz="6" w:space="0" w:color="auto"/>
              <w:bottom w:val="single" w:sz="6" w:space="0" w:color="auto"/>
            </w:tcBorders>
            <w:shd w:val="clear" w:color="auto" w:fill="67AE3C"/>
            <w:vAlign w:val="center"/>
          </w:tcPr>
          <w:p w14:paraId="5006558D" w14:textId="77777777" w:rsidR="003239B8" w:rsidRPr="00A53B9D" w:rsidRDefault="003239B8" w:rsidP="00867D4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Competence</w:t>
            </w:r>
            <w:r>
              <w:rPr>
                <w:rFonts w:asciiTheme="majorHAnsi" w:hAnsiTheme="majorHAnsi"/>
                <w:b/>
                <w:i/>
                <w:color w:val="FFFFFF" w:themeColor="background1"/>
                <w:sz w:val="20"/>
              </w:rPr>
              <w:t xml:space="preserve"> Ratione materiae:</w:t>
            </w:r>
          </w:p>
        </w:tc>
        <w:tc>
          <w:tcPr>
            <w:tcW w:w="5760" w:type="dxa"/>
            <w:vAlign w:val="center"/>
          </w:tcPr>
          <w:p w14:paraId="1E0CDC37" w14:textId="77777777" w:rsidR="003239B8" w:rsidRPr="006C0C71" w:rsidRDefault="005C75AC" w:rsidP="00867D4C">
            <w:pPr>
              <w:jc w:val="both"/>
              <w:rPr>
                <w:rFonts w:asciiTheme="majorHAnsi" w:hAnsiTheme="majorHAnsi"/>
                <w:bCs/>
                <w:sz w:val="19"/>
                <w:szCs w:val="19"/>
              </w:rPr>
            </w:pPr>
            <w:r w:rsidRPr="006C0C71">
              <w:rPr>
                <w:rFonts w:asciiTheme="majorHAnsi" w:hAnsiTheme="majorHAnsi"/>
                <w:sz w:val="19"/>
                <w:szCs w:val="19"/>
              </w:rPr>
              <w:t>Yes, American Declaration (instrument of ratification of the OAS Charter deposited on February 12, 1954), and American Convention (instrument of ratification deposited on July 28, 1978).</w:t>
            </w:r>
          </w:p>
        </w:tc>
      </w:tr>
    </w:tbl>
    <w:p w14:paraId="48E1F938" w14:textId="77777777" w:rsidR="003239B8" w:rsidRPr="00A53B9D"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IV. </w:t>
      </w:r>
      <w:r>
        <w:tab/>
      </w:r>
      <w:r>
        <w:rPr>
          <w:rFonts w:asciiTheme="majorHAnsi" w:hAnsiTheme="majorHAnsi"/>
          <w:b/>
          <w:sz w:val="20"/>
        </w:rPr>
        <w:t xml:space="preserve">DUPLICATION OF PROCEDURES AND INTERNATIONAL </w:t>
      </w:r>
      <w:r>
        <w:rPr>
          <w:rFonts w:asciiTheme="majorHAnsi" w:hAnsiTheme="majorHAnsi"/>
          <w:b/>
          <w:i/>
          <w:sz w:val="20"/>
        </w:rPr>
        <w:t>RES JUDICATA</w:t>
      </w:r>
      <w:r>
        <w:rPr>
          <w:rFonts w:asciiTheme="majorHAnsi" w:hAnsiTheme="majorHAnsi"/>
          <w:b/>
          <w:sz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A53B9D" w14:paraId="42D25F85" w14:textId="77777777" w:rsidTr="006C0C71">
        <w:trPr>
          <w:cantSplit/>
        </w:trPr>
        <w:tc>
          <w:tcPr>
            <w:tcW w:w="3600" w:type="dxa"/>
            <w:tcBorders>
              <w:top w:val="single" w:sz="4" w:space="0" w:color="auto"/>
              <w:bottom w:val="single" w:sz="6" w:space="0" w:color="auto"/>
            </w:tcBorders>
            <w:shd w:val="clear" w:color="auto" w:fill="67AE3C"/>
            <w:vAlign w:val="center"/>
          </w:tcPr>
          <w:p w14:paraId="2022A865" w14:textId="77777777" w:rsidR="00EE00E9" w:rsidRPr="00A53B9D" w:rsidRDefault="00EE00E9" w:rsidP="00867D4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Duplication of procedures and international res judicata:</w:t>
            </w:r>
          </w:p>
        </w:tc>
        <w:tc>
          <w:tcPr>
            <w:tcW w:w="5760" w:type="dxa"/>
            <w:vAlign w:val="center"/>
          </w:tcPr>
          <w:p w14:paraId="6CA2F65E" w14:textId="77777777" w:rsidR="00EE00E9" w:rsidRPr="00A53B9D" w:rsidRDefault="005C75AC" w:rsidP="00867D4C">
            <w:pPr>
              <w:jc w:val="both"/>
              <w:rPr>
                <w:rFonts w:asciiTheme="majorHAnsi" w:hAnsiTheme="majorHAnsi"/>
                <w:bCs/>
                <w:sz w:val="20"/>
                <w:szCs w:val="20"/>
              </w:rPr>
            </w:pPr>
            <w:r>
              <w:rPr>
                <w:rFonts w:asciiTheme="majorHAnsi" w:hAnsiTheme="majorHAnsi"/>
                <w:sz w:val="20"/>
              </w:rPr>
              <w:t>No</w:t>
            </w:r>
          </w:p>
        </w:tc>
      </w:tr>
      <w:tr w:rsidR="003239B8" w:rsidRPr="00AE4E4A" w14:paraId="06C522E2" w14:textId="77777777" w:rsidTr="006C0C71">
        <w:trPr>
          <w:cantSplit/>
        </w:trPr>
        <w:tc>
          <w:tcPr>
            <w:tcW w:w="3600" w:type="dxa"/>
            <w:tcBorders>
              <w:top w:val="single" w:sz="4" w:space="0" w:color="auto"/>
              <w:bottom w:val="single" w:sz="6" w:space="0" w:color="auto"/>
            </w:tcBorders>
            <w:shd w:val="clear" w:color="auto" w:fill="67AE3C"/>
            <w:vAlign w:val="center"/>
          </w:tcPr>
          <w:p w14:paraId="1BA75666" w14:textId="77777777" w:rsidR="003239B8" w:rsidRPr="00A53B9D" w:rsidRDefault="003239B8" w:rsidP="00867D4C">
            <w:pPr>
              <w:jc w:val="center"/>
              <w:rPr>
                <w:rFonts w:asciiTheme="majorHAnsi" w:hAnsiTheme="majorHAnsi"/>
                <w:b/>
                <w:bCs/>
                <w:i/>
                <w:color w:val="FFFFFF" w:themeColor="background1"/>
                <w:sz w:val="20"/>
                <w:szCs w:val="20"/>
              </w:rPr>
            </w:pPr>
            <w:r>
              <w:rPr>
                <w:rFonts w:asciiTheme="majorHAnsi" w:hAnsiTheme="majorHAnsi"/>
                <w:b/>
                <w:color w:val="FFFFFF" w:themeColor="background1"/>
                <w:sz w:val="20"/>
              </w:rPr>
              <w:t>Rights declared admissible:</w:t>
            </w:r>
          </w:p>
        </w:tc>
        <w:tc>
          <w:tcPr>
            <w:tcW w:w="5760" w:type="dxa"/>
            <w:vAlign w:val="center"/>
          </w:tcPr>
          <w:p w14:paraId="7DAA3BCD" w14:textId="7DAD3705" w:rsidR="003239B8" w:rsidRPr="006C0C71" w:rsidRDefault="002365FA" w:rsidP="00867D4C">
            <w:pPr>
              <w:jc w:val="both"/>
              <w:rPr>
                <w:rFonts w:asciiTheme="majorHAnsi" w:hAnsiTheme="majorHAnsi"/>
                <w:bCs/>
                <w:sz w:val="19"/>
                <w:szCs w:val="19"/>
              </w:rPr>
            </w:pPr>
            <w:r w:rsidRPr="006C0C71">
              <w:rPr>
                <w:rFonts w:asciiTheme="majorHAnsi" w:hAnsiTheme="majorHAnsi"/>
                <w:sz w:val="19"/>
                <w:szCs w:val="19"/>
              </w:rPr>
              <w:t>Articles 8 (</w:t>
            </w:r>
            <w:r w:rsidR="00B36A25" w:rsidRPr="006C0C71">
              <w:rPr>
                <w:rFonts w:asciiTheme="majorHAnsi" w:hAnsiTheme="majorHAnsi"/>
                <w:sz w:val="19"/>
                <w:szCs w:val="19"/>
              </w:rPr>
              <w:t>fair trial</w:t>
            </w:r>
            <w:r w:rsidRPr="006C0C71">
              <w:rPr>
                <w:rFonts w:asciiTheme="majorHAnsi" w:hAnsiTheme="majorHAnsi"/>
                <w:sz w:val="19"/>
                <w:szCs w:val="19"/>
              </w:rPr>
              <w:t xml:space="preserve">), 21 (private property), </w:t>
            </w:r>
            <w:r w:rsidR="00E43D3C" w:rsidRPr="006C0C71">
              <w:rPr>
                <w:rFonts w:asciiTheme="majorHAnsi" w:hAnsiTheme="majorHAnsi"/>
                <w:sz w:val="19"/>
                <w:szCs w:val="19"/>
              </w:rPr>
              <w:t>24 (equal protection),</w:t>
            </w:r>
            <w:r w:rsidRPr="006C0C71">
              <w:rPr>
                <w:rFonts w:asciiTheme="majorHAnsi" w:hAnsiTheme="majorHAnsi"/>
                <w:sz w:val="19"/>
                <w:szCs w:val="19"/>
              </w:rPr>
              <w:t xml:space="preserve"> 25 (judicial protection), and 26 (economic, social, and cultural rights) of the American Convention, in </w:t>
            </w:r>
            <w:r w:rsidR="00B36A25" w:rsidRPr="006C0C71">
              <w:rPr>
                <w:rFonts w:asciiTheme="majorHAnsi" w:hAnsiTheme="majorHAnsi"/>
                <w:sz w:val="19"/>
                <w:szCs w:val="19"/>
              </w:rPr>
              <w:t xml:space="preserve">relation </w:t>
            </w:r>
            <w:r w:rsidRPr="006C0C71">
              <w:rPr>
                <w:rFonts w:asciiTheme="majorHAnsi" w:hAnsiTheme="majorHAnsi"/>
                <w:sz w:val="19"/>
                <w:szCs w:val="19"/>
              </w:rPr>
              <w:t>with Article 1.1 (obligation to respect rights)</w:t>
            </w:r>
            <w:r w:rsidR="00B36A25" w:rsidRPr="006C0C71">
              <w:rPr>
                <w:rFonts w:asciiTheme="majorHAnsi" w:hAnsiTheme="majorHAnsi"/>
                <w:sz w:val="19"/>
                <w:szCs w:val="19"/>
              </w:rPr>
              <w:t xml:space="preserve"> thereof</w:t>
            </w:r>
            <w:r w:rsidRPr="006C0C71">
              <w:rPr>
                <w:rFonts w:asciiTheme="majorHAnsi" w:hAnsiTheme="majorHAnsi"/>
                <w:sz w:val="19"/>
                <w:szCs w:val="19"/>
              </w:rPr>
              <w:t>; and Article XVI (social security) of the American Declaration</w:t>
            </w:r>
          </w:p>
        </w:tc>
      </w:tr>
      <w:tr w:rsidR="003239B8" w:rsidRPr="00AE4E4A" w14:paraId="69CF86E4" w14:textId="77777777" w:rsidTr="006C0C71">
        <w:trPr>
          <w:cantSplit/>
        </w:trPr>
        <w:tc>
          <w:tcPr>
            <w:tcW w:w="3600" w:type="dxa"/>
            <w:tcBorders>
              <w:top w:val="single" w:sz="6" w:space="0" w:color="auto"/>
              <w:bottom w:val="single" w:sz="6" w:space="0" w:color="auto"/>
            </w:tcBorders>
            <w:shd w:val="clear" w:color="auto" w:fill="67AE3C"/>
            <w:vAlign w:val="center"/>
          </w:tcPr>
          <w:p w14:paraId="53D7F1DF" w14:textId="77777777" w:rsidR="003239B8" w:rsidRPr="00A53B9D" w:rsidRDefault="003239B8" w:rsidP="00867D4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Exhaustion of domestic remedies or applicability of an exception to the rule:</w:t>
            </w:r>
          </w:p>
        </w:tc>
        <w:tc>
          <w:tcPr>
            <w:tcW w:w="5760" w:type="dxa"/>
            <w:vAlign w:val="center"/>
          </w:tcPr>
          <w:p w14:paraId="1E66D394" w14:textId="77777777" w:rsidR="003239B8" w:rsidRPr="00A53B9D" w:rsidRDefault="001A6CFA" w:rsidP="00867D4C">
            <w:pPr>
              <w:rPr>
                <w:rFonts w:asciiTheme="majorHAnsi" w:hAnsiTheme="majorHAnsi"/>
                <w:bCs/>
                <w:sz w:val="20"/>
                <w:szCs w:val="20"/>
              </w:rPr>
            </w:pPr>
            <w:r>
              <w:rPr>
                <w:rFonts w:asciiTheme="majorHAnsi" w:hAnsiTheme="majorHAnsi"/>
                <w:sz w:val="20"/>
              </w:rPr>
              <w:t>Yes, on November 27, 2009</w:t>
            </w:r>
          </w:p>
        </w:tc>
      </w:tr>
      <w:tr w:rsidR="003239B8" w:rsidRPr="00A53B9D" w14:paraId="0167B12A" w14:textId="77777777" w:rsidTr="006C0C71">
        <w:trPr>
          <w:cantSplit/>
        </w:trPr>
        <w:tc>
          <w:tcPr>
            <w:tcW w:w="3600" w:type="dxa"/>
            <w:tcBorders>
              <w:top w:val="single" w:sz="6" w:space="0" w:color="auto"/>
              <w:bottom w:val="single" w:sz="6" w:space="0" w:color="auto"/>
            </w:tcBorders>
            <w:shd w:val="clear" w:color="auto" w:fill="67AE3C"/>
            <w:vAlign w:val="center"/>
          </w:tcPr>
          <w:p w14:paraId="5976C686" w14:textId="77777777" w:rsidR="003239B8" w:rsidRPr="00A53B9D" w:rsidRDefault="003239B8" w:rsidP="00867D4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Timeliness of the petition:</w:t>
            </w:r>
          </w:p>
        </w:tc>
        <w:tc>
          <w:tcPr>
            <w:tcW w:w="5760" w:type="dxa"/>
            <w:vAlign w:val="center"/>
          </w:tcPr>
          <w:p w14:paraId="3CAAD986" w14:textId="77777777" w:rsidR="003239B8" w:rsidRPr="00A53B9D" w:rsidRDefault="001A6CFA" w:rsidP="00867D4C">
            <w:pPr>
              <w:rPr>
                <w:rFonts w:asciiTheme="majorHAnsi" w:hAnsiTheme="majorHAnsi"/>
                <w:bCs/>
                <w:sz w:val="20"/>
                <w:szCs w:val="20"/>
              </w:rPr>
            </w:pPr>
            <w:r>
              <w:rPr>
                <w:rFonts w:asciiTheme="majorHAnsi" w:hAnsiTheme="majorHAnsi"/>
                <w:sz w:val="20"/>
              </w:rPr>
              <w:t>Yes</w:t>
            </w:r>
          </w:p>
        </w:tc>
      </w:tr>
    </w:tbl>
    <w:p w14:paraId="020456AD" w14:textId="5526C584" w:rsidR="003239B8" w:rsidRPr="00A53B9D" w:rsidRDefault="00223A29" w:rsidP="003B6CD2">
      <w:pPr>
        <w:spacing w:before="240" w:after="240"/>
        <w:ind w:firstLine="720"/>
        <w:jc w:val="both"/>
        <w:rPr>
          <w:rFonts w:asciiTheme="majorHAnsi" w:hAnsiTheme="majorHAnsi"/>
          <w:b/>
          <w:sz w:val="20"/>
          <w:szCs w:val="20"/>
        </w:rPr>
      </w:pPr>
      <w:r>
        <w:rPr>
          <w:rFonts w:asciiTheme="majorHAnsi" w:hAnsiTheme="majorHAnsi"/>
          <w:b/>
          <w:sz w:val="20"/>
        </w:rPr>
        <w:lastRenderedPageBreak/>
        <w:t xml:space="preserve">V. </w:t>
      </w:r>
      <w:r>
        <w:tab/>
      </w:r>
      <w:r>
        <w:rPr>
          <w:rFonts w:asciiTheme="majorHAnsi" w:hAnsiTheme="majorHAnsi"/>
          <w:b/>
          <w:sz w:val="20"/>
        </w:rPr>
        <w:t xml:space="preserve">ALLEGED </w:t>
      </w:r>
      <w:r w:rsidR="00B36A25">
        <w:rPr>
          <w:rFonts w:asciiTheme="majorHAnsi" w:hAnsiTheme="majorHAnsi"/>
          <w:b/>
          <w:sz w:val="20"/>
        </w:rPr>
        <w:t>FACTS</w:t>
      </w:r>
    </w:p>
    <w:p w14:paraId="7B7DEA16" w14:textId="6DF40095" w:rsidR="005C75AC"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 xml:space="preserve">1. </w:t>
      </w:r>
      <w:r>
        <w:tab/>
      </w:r>
      <w:r>
        <w:rPr>
          <w:rFonts w:asciiTheme="majorHAnsi" w:hAnsiTheme="majorHAnsi"/>
          <w:sz w:val="20"/>
        </w:rPr>
        <w:t xml:space="preserve">The petitioner requests that the Peruvian State be declared internationally responsible for the violation of her rights to social security, private property, equality before the law, </w:t>
      </w:r>
      <w:r w:rsidR="00177FB4">
        <w:rPr>
          <w:rFonts w:asciiTheme="majorHAnsi" w:hAnsiTheme="majorHAnsi"/>
          <w:sz w:val="20"/>
        </w:rPr>
        <w:t>fair trial</w:t>
      </w:r>
      <w:r>
        <w:rPr>
          <w:rFonts w:asciiTheme="majorHAnsi" w:hAnsiTheme="majorHAnsi"/>
          <w:sz w:val="20"/>
        </w:rPr>
        <w:t xml:space="preserve">, and judicial protection, because of the administrative authorities' failure to pay her full monthly pension allowance; and due to the judicial rulings handed down in subsequent proceedings she initiated before the Peruvian courts, which, she maintains, failed to protect her rights.  Mrs. Ortega La Rosa is an </w:t>
      </w:r>
      <w:r w:rsidR="00177FB4">
        <w:rPr>
          <w:rFonts w:asciiTheme="majorHAnsi" w:hAnsiTheme="majorHAnsi"/>
          <w:sz w:val="20"/>
        </w:rPr>
        <w:t>elderly person</w:t>
      </w:r>
      <w:r>
        <w:rPr>
          <w:rFonts w:asciiTheme="majorHAnsi" w:hAnsiTheme="majorHAnsi"/>
          <w:sz w:val="20"/>
        </w:rPr>
        <w:t>, aged 8</w:t>
      </w:r>
      <w:r w:rsidR="00177FB4">
        <w:rPr>
          <w:rFonts w:asciiTheme="majorHAnsi" w:hAnsiTheme="majorHAnsi"/>
          <w:sz w:val="20"/>
        </w:rPr>
        <w:t>7</w:t>
      </w:r>
      <w:r>
        <w:rPr>
          <w:rFonts w:asciiTheme="majorHAnsi" w:hAnsiTheme="majorHAnsi"/>
          <w:sz w:val="20"/>
        </w:rPr>
        <w:t xml:space="preserve"> at the time of the present report, and she invokes in her petition the provision contained in Article 17 of the Protocol of San Salvador regarding the right to special protection in old age. </w:t>
      </w:r>
    </w:p>
    <w:p w14:paraId="288A3F05" w14:textId="31F7A845" w:rsidR="00036029"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 xml:space="preserve">2. </w:t>
      </w:r>
      <w:r>
        <w:tab/>
      </w:r>
      <w:r>
        <w:rPr>
          <w:rFonts w:asciiTheme="majorHAnsi" w:hAnsiTheme="majorHAnsi"/>
          <w:sz w:val="20"/>
        </w:rPr>
        <w:t>Mrs. Ortega describes how the Office of the General Manager of the Peruvian Judiciary acknowledged</w:t>
      </w:r>
      <w:r w:rsidR="00367C73">
        <w:rPr>
          <w:rFonts w:asciiTheme="majorHAnsi" w:hAnsiTheme="majorHAnsi"/>
          <w:sz w:val="20"/>
        </w:rPr>
        <w:t>,</w:t>
      </w:r>
      <w:r>
        <w:rPr>
          <w:rFonts w:asciiTheme="majorHAnsi" w:hAnsiTheme="majorHAnsi"/>
          <w:sz w:val="20"/>
        </w:rPr>
        <w:t xml:space="preserve"> in a resolution issued by the Judicial Human Resources and Payroll Manager on November 13, 2003</w:t>
      </w:r>
      <w:r w:rsidR="00367C73">
        <w:rPr>
          <w:rFonts w:asciiTheme="majorHAnsi" w:hAnsiTheme="majorHAnsi"/>
          <w:sz w:val="20"/>
        </w:rPr>
        <w:t>,</w:t>
      </w:r>
      <w:r>
        <w:rPr>
          <w:rFonts w:asciiTheme="majorHAnsi" w:hAnsiTheme="majorHAnsi"/>
          <w:sz w:val="20"/>
        </w:rPr>
        <w:t xml:space="preserve"> her entitlement to a widow's pension as the surviving spouse of a retired judge and established</w:t>
      </w:r>
      <w:r w:rsidR="00177FB4">
        <w:rPr>
          <w:rFonts w:asciiTheme="majorHAnsi" w:hAnsiTheme="majorHAnsi"/>
          <w:sz w:val="20"/>
        </w:rPr>
        <w:t xml:space="preserve"> therein</w:t>
      </w:r>
      <w:r>
        <w:rPr>
          <w:rFonts w:asciiTheme="majorHAnsi" w:hAnsiTheme="majorHAnsi"/>
          <w:sz w:val="20"/>
        </w:rPr>
        <w:t xml:space="preserve"> her monthly allowance. However, that same administrative </w:t>
      </w:r>
      <w:r w:rsidR="00177FB4">
        <w:rPr>
          <w:rFonts w:asciiTheme="majorHAnsi" w:hAnsiTheme="majorHAnsi"/>
          <w:sz w:val="20"/>
        </w:rPr>
        <w:t>decision</w:t>
      </w:r>
      <w:r>
        <w:rPr>
          <w:rFonts w:asciiTheme="majorHAnsi" w:hAnsiTheme="majorHAnsi"/>
          <w:sz w:val="20"/>
        </w:rPr>
        <w:t xml:space="preserve"> authorized the deposit of only </w:t>
      </w:r>
      <w:r w:rsidR="00177FB4">
        <w:rPr>
          <w:rFonts w:asciiTheme="majorHAnsi" w:hAnsiTheme="majorHAnsi"/>
          <w:sz w:val="20"/>
        </w:rPr>
        <w:t xml:space="preserve">one </w:t>
      </w:r>
      <w:r>
        <w:rPr>
          <w:rFonts w:asciiTheme="majorHAnsi" w:hAnsiTheme="majorHAnsi"/>
          <w:sz w:val="20"/>
        </w:rPr>
        <w:t xml:space="preserve">half </w:t>
      </w:r>
      <w:r w:rsidR="00177FB4">
        <w:rPr>
          <w:rFonts w:asciiTheme="majorHAnsi" w:hAnsiTheme="majorHAnsi"/>
          <w:sz w:val="20"/>
        </w:rPr>
        <w:t xml:space="preserve">of </w:t>
      </w:r>
      <w:r>
        <w:rPr>
          <w:rFonts w:asciiTheme="majorHAnsi" w:hAnsiTheme="majorHAnsi"/>
          <w:sz w:val="20"/>
        </w:rPr>
        <w:t>that amount in Mrs. Ortega's bank account and ordered that the</w:t>
      </w:r>
      <w:r w:rsidR="00177FB4">
        <w:rPr>
          <w:rFonts w:asciiTheme="majorHAnsi" w:hAnsiTheme="majorHAnsi"/>
          <w:sz w:val="20"/>
        </w:rPr>
        <w:t xml:space="preserve"> outstanding</w:t>
      </w:r>
      <w:r>
        <w:rPr>
          <w:rFonts w:asciiTheme="majorHAnsi" w:hAnsiTheme="majorHAnsi"/>
          <w:sz w:val="20"/>
        </w:rPr>
        <w:t xml:space="preserve"> balance would be paid once the Ministry of Economy and Finance authorized allocation of the corresponding budgetary resources to the Judiciary. </w:t>
      </w:r>
    </w:p>
    <w:p w14:paraId="5AA0790F" w14:textId="271DB1BC" w:rsidR="00036029"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 xml:space="preserve">3. </w:t>
      </w:r>
      <w:r>
        <w:tab/>
      </w:r>
      <w:r>
        <w:rPr>
          <w:rFonts w:asciiTheme="majorHAnsi" w:hAnsiTheme="majorHAnsi"/>
          <w:sz w:val="20"/>
        </w:rPr>
        <w:t>Mrs. Ortega points out that for the next three years</w:t>
      </w:r>
      <w:r w:rsidR="00177FB4">
        <w:rPr>
          <w:rFonts w:asciiTheme="majorHAnsi" w:hAnsiTheme="majorHAnsi"/>
          <w:sz w:val="20"/>
        </w:rPr>
        <w:t>,</w:t>
      </w:r>
      <w:r>
        <w:rPr>
          <w:rFonts w:asciiTheme="majorHAnsi" w:hAnsiTheme="majorHAnsi"/>
          <w:sz w:val="20"/>
        </w:rPr>
        <w:t xml:space="preserve"> each month she received </w:t>
      </w:r>
      <w:r w:rsidR="00177FB4">
        <w:rPr>
          <w:rFonts w:asciiTheme="majorHAnsi" w:hAnsiTheme="majorHAnsi"/>
          <w:sz w:val="20"/>
        </w:rPr>
        <w:t>one</w:t>
      </w:r>
      <w:r>
        <w:rPr>
          <w:rFonts w:asciiTheme="majorHAnsi" w:hAnsiTheme="majorHAnsi"/>
          <w:sz w:val="20"/>
        </w:rPr>
        <w:t xml:space="preserve"> half the amount of her monthly allowance</w:t>
      </w:r>
      <w:r w:rsidR="00177FB4">
        <w:rPr>
          <w:rFonts w:asciiTheme="majorHAnsi" w:hAnsiTheme="majorHAnsi"/>
          <w:sz w:val="20"/>
        </w:rPr>
        <w:t>.</w:t>
      </w:r>
      <w:r>
        <w:rPr>
          <w:rFonts w:asciiTheme="majorHAnsi" w:hAnsiTheme="majorHAnsi"/>
          <w:sz w:val="20"/>
        </w:rPr>
        <w:t xml:space="preserve"> On December 11, 2006, she initiated a </w:t>
      </w:r>
      <w:r w:rsidR="00177FB4">
        <w:rPr>
          <w:rFonts w:asciiTheme="majorHAnsi" w:hAnsiTheme="majorHAnsi"/>
          <w:sz w:val="20"/>
        </w:rPr>
        <w:t xml:space="preserve">judicial </w:t>
      </w:r>
      <w:r>
        <w:rPr>
          <w:rFonts w:asciiTheme="majorHAnsi" w:hAnsiTheme="majorHAnsi"/>
          <w:sz w:val="20"/>
        </w:rPr>
        <w:t xml:space="preserve">Compliance Proceeding </w:t>
      </w:r>
      <w:r w:rsidR="00177FB4">
        <w:rPr>
          <w:rFonts w:asciiTheme="majorHAnsi" w:hAnsiTheme="majorHAnsi"/>
          <w:sz w:val="20"/>
        </w:rPr>
        <w:t xml:space="preserve">seeking </w:t>
      </w:r>
      <w:r>
        <w:rPr>
          <w:rFonts w:asciiTheme="majorHAnsi" w:hAnsiTheme="majorHAnsi"/>
          <w:sz w:val="20"/>
        </w:rPr>
        <w:t>an order to implement the administrative acknowledgment of her entitlement to the pension and to pay her in full, both in respect of the money owed to her and</w:t>
      </w:r>
      <w:r w:rsidR="00177FB4">
        <w:rPr>
          <w:rFonts w:asciiTheme="majorHAnsi" w:hAnsiTheme="majorHAnsi"/>
          <w:sz w:val="20"/>
        </w:rPr>
        <w:t xml:space="preserve"> of all</w:t>
      </w:r>
      <w:r>
        <w:rPr>
          <w:rFonts w:asciiTheme="majorHAnsi" w:hAnsiTheme="majorHAnsi"/>
          <w:sz w:val="20"/>
        </w:rPr>
        <w:t xml:space="preserve"> future monthly payments. In a judgment handed down on June 26, 2007, the Fourth Civil Court </w:t>
      </w:r>
      <w:r w:rsidR="00177FB4">
        <w:rPr>
          <w:rFonts w:asciiTheme="majorHAnsi" w:hAnsiTheme="majorHAnsi"/>
          <w:sz w:val="20"/>
        </w:rPr>
        <w:t>of</w:t>
      </w:r>
      <w:r>
        <w:rPr>
          <w:rFonts w:asciiTheme="majorHAnsi" w:hAnsiTheme="majorHAnsi"/>
          <w:sz w:val="20"/>
        </w:rPr>
        <w:t xml:space="preserve"> Lima declared her claim well-founded and granted Mrs. Ortega's requests. Nevertheless, that decision was appealed and the Fifth Civil </w:t>
      </w:r>
      <w:r w:rsidR="00177FB4">
        <w:rPr>
          <w:rFonts w:asciiTheme="majorHAnsi" w:hAnsiTheme="majorHAnsi"/>
          <w:sz w:val="20"/>
        </w:rPr>
        <w:t>Chamber</w:t>
      </w:r>
      <w:r>
        <w:rPr>
          <w:rFonts w:asciiTheme="majorHAnsi" w:hAnsiTheme="majorHAnsi"/>
          <w:sz w:val="20"/>
        </w:rPr>
        <w:t xml:space="preserve"> of the Higher Court of Justice of Lima revoked it in </w:t>
      </w:r>
      <w:r w:rsidR="00177FB4">
        <w:rPr>
          <w:rFonts w:asciiTheme="majorHAnsi" w:hAnsiTheme="majorHAnsi"/>
          <w:sz w:val="20"/>
        </w:rPr>
        <w:t>a</w:t>
      </w:r>
      <w:r>
        <w:rPr>
          <w:rFonts w:asciiTheme="majorHAnsi" w:hAnsiTheme="majorHAnsi"/>
          <w:sz w:val="20"/>
        </w:rPr>
        <w:t xml:space="preserve"> ruling of April 8, 2008, declaring the demand inadmissible, as it considered that the administrative act acknowledging the right to a pensi</w:t>
      </w:r>
      <w:r w:rsidR="00367C73">
        <w:rPr>
          <w:rFonts w:asciiTheme="majorHAnsi" w:hAnsiTheme="majorHAnsi"/>
          <w:sz w:val="20"/>
        </w:rPr>
        <w:t xml:space="preserve">on lacked "sufficient </w:t>
      </w:r>
      <w:r w:rsidR="00177FB4">
        <w:rPr>
          <w:rFonts w:asciiTheme="majorHAnsi" w:hAnsiTheme="majorHAnsi"/>
          <w:sz w:val="20"/>
        </w:rPr>
        <w:t>force</w:t>
      </w:r>
      <w:r>
        <w:rPr>
          <w:rFonts w:asciiTheme="majorHAnsi" w:hAnsiTheme="majorHAnsi"/>
          <w:sz w:val="20"/>
        </w:rPr>
        <w:t>" to justify</w:t>
      </w:r>
      <w:r w:rsidR="00177FB4">
        <w:rPr>
          <w:rFonts w:asciiTheme="majorHAnsi" w:hAnsiTheme="majorHAnsi"/>
          <w:sz w:val="20"/>
        </w:rPr>
        <w:t xml:space="preserve"> the issuance of</w:t>
      </w:r>
      <w:r>
        <w:rPr>
          <w:rFonts w:asciiTheme="majorHAnsi" w:hAnsiTheme="majorHAnsi"/>
          <w:sz w:val="20"/>
        </w:rPr>
        <w:t xml:space="preserve"> a</w:t>
      </w:r>
      <w:r w:rsidR="00177FB4">
        <w:rPr>
          <w:rFonts w:asciiTheme="majorHAnsi" w:hAnsiTheme="majorHAnsi"/>
          <w:sz w:val="20"/>
        </w:rPr>
        <w:t xml:space="preserve"> </w:t>
      </w:r>
      <w:r>
        <w:rPr>
          <w:rFonts w:asciiTheme="majorHAnsi" w:hAnsiTheme="majorHAnsi"/>
          <w:sz w:val="20"/>
        </w:rPr>
        <w:t>pay</w:t>
      </w:r>
      <w:r w:rsidR="00177FB4">
        <w:rPr>
          <w:rFonts w:asciiTheme="majorHAnsi" w:hAnsiTheme="majorHAnsi"/>
          <w:sz w:val="20"/>
        </w:rPr>
        <w:t>ment mandate</w:t>
      </w:r>
      <w:r>
        <w:rPr>
          <w:rFonts w:asciiTheme="majorHAnsi" w:hAnsiTheme="majorHAnsi"/>
          <w:sz w:val="20"/>
        </w:rPr>
        <w:t xml:space="preserve">. Mrs. Ortega argues that that ruling did not state its grounds for inadmissibility and instead proceeded to question the legal validity of the administrative </w:t>
      </w:r>
      <w:r w:rsidR="00B229BD">
        <w:rPr>
          <w:rFonts w:asciiTheme="majorHAnsi" w:hAnsiTheme="majorHAnsi"/>
          <w:sz w:val="20"/>
        </w:rPr>
        <w:t>decision that</w:t>
      </w:r>
      <w:r>
        <w:rPr>
          <w:rFonts w:asciiTheme="majorHAnsi" w:hAnsiTheme="majorHAnsi"/>
          <w:sz w:val="20"/>
        </w:rPr>
        <w:t xml:space="preserve"> acknowledg</w:t>
      </w:r>
      <w:r w:rsidR="00B229BD">
        <w:rPr>
          <w:rFonts w:asciiTheme="majorHAnsi" w:hAnsiTheme="majorHAnsi"/>
          <w:sz w:val="20"/>
        </w:rPr>
        <w:t>ed</w:t>
      </w:r>
      <w:r>
        <w:rPr>
          <w:rFonts w:asciiTheme="majorHAnsi" w:hAnsiTheme="majorHAnsi"/>
          <w:sz w:val="20"/>
        </w:rPr>
        <w:t xml:space="preserve"> her entitlement to a pension, which </w:t>
      </w:r>
      <w:r w:rsidR="00B229BD">
        <w:rPr>
          <w:rFonts w:asciiTheme="majorHAnsi" w:hAnsiTheme="majorHAnsi"/>
          <w:sz w:val="20"/>
        </w:rPr>
        <w:t xml:space="preserve">exceeded </w:t>
      </w:r>
      <w:r>
        <w:rPr>
          <w:rFonts w:asciiTheme="majorHAnsi" w:hAnsiTheme="majorHAnsi"/>
          <w:sz w:val="20"/>
        </w:rPr>
        <w:t xml:space="preserve">the </w:t>
      </w:r>
      <w:r w:rsidR="00B229BD">
        <w:rPr>
          <w:rFonts w:asciiTheme="majorHAnsi" w:hAnsiTheme="majorHAnsi"/>
          <w:sz w:val="20"/>
        </w:rPr>
        <w:t xml:space="preserve">legal </w:t>
      </w:r>
      <w:r>
        <w:rPr>
          <w:rFonts w:asciiTheme="majorHAnsi" w:hAnsiTheme="majorHAnsi"/>
          <w:sz w:val="20"/>
        </w:rPr>
        <w:t xml:space="preserve">scope of a </w:t>
      </w:r>
      <w:r w:rsidR="00B229BD">
        <w:rPr>
          <w:rFonts w:asciiTheme="majorHAnsi" w:hAnsiTheme="majorHAnsi"/>
          <w:sz w:val="20"/>
        </w:rPr>
        <w:t xml:space="preserve">judicial </w:t>
      </w:r>
      <w:r>
        <w:rPr>
          <w:rFonts w:asciiTheme="majorHAnsi" w:hAnsiTheme="majorHAnsi"/>
          <w:sz w:val="20"/>
        </w:rPr>
        <w:t xml:space="preserve">compliance proceeding, particularly since not even the entity sued in her appeal had questioned the </w:t>
      </w:r>
      <w:r w:rsidR="00B229BD">
        <w:rPr>
          <w:rFonts w:asciiTheme="majorHAnsi" w:hAnsiTheme="majorHAnsi"/>
          <w:sz w:val="20"/>
        </w:rPr>
        <w:t xml:space="preserve">validity of the </w:t>
      </w:r>
      <w:r>
        <w:rPr>
          <w:rFonts w:asciiTheme="majorHAnsi" w:hAnsiTheme="majorHAnsi"/>
          <w:sz w:val="20"/>
        </w:rPr>
        <w:t xml:space="preserve">act. Accordingly, the petitioner argues that the </w:t>
      </w:r>
      <w:r w:rsidR="00B229BD">
        <w:rPr>
          <w:rFonts w:asciiTheme="majorHAnsi" w:hAnsiTheme="majorHAnsi"/>
          <w:sz w:val="20"/>
        </w:rPr>
        <w:t xml:space="preserve">appeals </w:t>
      </w:r>
      <w:r>
        <w:rPr>
          <w:rFonts w:asciiTheme="majorHAnsi" w:hAnsiTheme="majorHAnsi"/>
          <w:sz w:val="20"/>
        </w:rPr>
        <w:t xml:space="preserve">court violated her right to defense when it </w:t>
      </w:r>
      <w:r w:rsidR="00B229BD">
        <w:rPr>
          <w:rFonts w:asciiTheme="majorHAnsi" w:hAnsiTheme="majorHAnsi"/>
          <w:sz w:val="20"/>
        </w:rPr>
        <w:t xml:space="preserve">issued a </w:t>
      </w:r>
      <w:r>
        <w:rPr>
          <w:rFonts w:asciiTheme="majorHAnsi" w:hAnsiTheme="majorHAnsi"/>
          <w:sz w:val="20"/>
        </w:rPr>
        <w:t>pronounce</w:t>
      </w:r>
      <w:r w:rsidR="00B229BD">
        <w:rPr>
          <w:rFonts w:asciiTheme="majorHAnsi" w:hAnsiTheme="majorHAnsi"/>
          <w:sz w:val="20"/>
        </w:rPr>
        <w:t>ment</w:t>
      </w:r>
      <w:r>
        <w:rPr>
          <w:rFonts w:asciiTheme="majorHAnsi" w:hAnsiTheme="majorHAnsi"/>
          <w:sz w:val="20"/>
        </w:rPr>
        <w:t xml:space="preserve"> on a matter legally outside </w:t>
      </w:r>
      <w:r w:rsidR="00B229BD">
        <w:rPr>
          <w:rFonts w:asciiTheme="majorHAnsi" w:hAnsiTheme="majorHAnsi"/>
          <w:sz w:val="20"/>
        </w:rPr>
        <w:t xml:space="preserve">of </w:t>
      </w:r>
      <w:r>
        <w:rPr>
          <w:rFonts w:asciiTheme="majorHAnsi" w:hAnsiTheme="majorHAnsi"/>
          <w:sz w:val="20"/>
        </w:rPr>
        <w:t>the scope of the compliance proceeding</w:t>
      </w:r>
      <w:r w:rsidR="00B229BD">
        <w:rPr>
          <w:rFonts w:asciiTheme="majorHAnsi" w:hAnsiTheme="majorHAnsi"/>
          <w:sz w:val="20"/>
        </w:rPr>
        <w:t>s</w:t>
      </w:r>
      <w:r>
        <w:rPr>
          <w:rFonts w:asciiTheme="majorHAnsi" w:hAnsiTheme="majorHAnsi"/>
          <w:sz w:val="20"/>
        </w:rPr>
        <w:t xml:space="preserve">, in respect of which she was unable to exercise her </w:t>
      </w:r>
      <w:r w:rsidR="00B229BD">
        <w:rPr>
          <w:rFonts w:asciiTheme="majorHAnsi" w:hAnsiTheme="majorHAnsi"/>
          <w:sz w:val="20"/>
        </w:rPr>
        <w:t>fair trial</w:t>
      </w:r>
      <w:r>
        <w:rPr>
          <w:rFonts w:asciiTheme="majorHAnsi" w:hAnsiTheme="majorHAnsi"/>
          <w:sz w:val="20"/>
        </w:rPr>
        <w:t xml:space="preserve"> guarantees. </w:t>
      </w:r>
    </w:p>
    <w:p w14:paraId="595110E9" w14:textId="77C91483" w:rsidR="004456DF"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 xml:space="preserve">4. </w:t>
      </w:r>
      <w:r>
        <w:tab/>
      </w:r>
      <w:r>
        <w:rPr>
          <w:rFonts w:asciiTheme="majorHAnsi" w:hAnsiTheme="majorHAnsi"/>
          <w:sz w:val="20"/>
        </w:rPr>
        <w:t xml:space="preserve">The petitioner filed </w:t>
      </w:r>
      <w:r w:rsidR="00B229BD">
        <w:rPr>
          <w:rFonts w:asciiTheme="majorHAnsi" w:hAnsiTheme="majorHAnsi"/>
          <w:sz w:val="20"/>
        </w:rPr>
        <w:t>a constitutional</w:t>
      </w:r>
      <w:r>
        <w:rPr>
          <w:rFonts w:asciiTheme="majorHAnsi" w:hAnsiTheme="majorHAnsi"/>
          <w:sz w:val="20"/>
        </w:rPr>
        <w:t xml:space="preserve"> </w:t>
      </w:r>
      <w:r w:rsidR="00B229BD">
        <w:rPr>
          <w:rFonts w:asciiTheme="majorHAnsi" w:hAnsiTheme="majorHAnsi"/>
          <w:sz w:val="20"/>
        </w:rPr>
        <w:t>request for remedy</w:t>
      </w:r>
      <w:r>
        <w:rPr>
          <w:rFonts w:asciiTheme="majorHAnsi" w:hAnsiTheme="majorHAnsi"/>
          <w:sz w:val="20"/>
        </w:rPr>
        <w:t xml:space="preserve"> against that ruling, on July 30, 2008, which was turned down by the Constitutional Court on October 19, 2009, using arguments similar to those adduced by the Higher Court of Justice of Lima. The petitioner was notified of that decision on November 27, 2009. In Mrs. Ortega's </w:t>
      </w:r>
      <w:r w:rsidR="00B229BD">
        <w:rPr>
          <w:rFonts w:asciiTheme="majorHAnsi" w:hAnsiTheme="majorHAnsi"/>
          <w:sz w:val="20"/>
        </w:rPr>
        <w:t>view</w:t>
      </w:r>
      <w:r>
        <w:rPr>
          <w:rFonts w:asciiTheme="majorHAnsi" w:hAnsiTheme="majorHAnsi"/>
          <w:sz w:val="20"/>
        </w:rPr>
        <w:t xml:space="preserve">, the Constitutional Court did not </w:t>
      </w:r>
      <w:r w:rsidR="00B229BD">
        <w:rPr>
          <w:rFonts w:asciiTheme="majorHAnsi" w:hAnsiTheme="majorHAnsi"/>
          <w:sz w:val="20"/>
        </w:rPr>
        <w:t xml:space="preserve">issue a pronouncement on </w:t>
      </w:r>
      <w:r>
        <w:rPr>
          <w:rFonts w:asciiTheme="majorHAnsi" w:hAnsiTheme="majorHAnsi"/>
          <w:sz w:val="20"/>
        </w:rPr>
        <w:t>any of the arguments or claims she submitted in her constitutional complaint.</w:t>
      </w:r>
    </w:p>
    <w:p w14:paraId="16029A08" w14:textId="717FD442" w:rsidR="00A11E44"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 xml:space="preserve">5. </w:t>
      </w:r>
      <w:r>
        <w:tab/>
      </w:r>
      <w:r>
        <w:rPr>
          <w:rFonts w:asciiTheme="majorHAnsi" w:hAnsiTheme="majorHAnsi"/>
          <w:sz w:val="20"/>
        </w:rPr>
        <w:t xml:space="preserve">In addition, Mrs. Ortega points out that the Judiciary and the Constitutional Court have handed down different rulings in several cases of persons in the same situation as hers, acceding to demands for full payment of monthly pension allowances in such cases as the following: 2337-2006-PC/TC, 6552-2006-PC/TC, 0142-2003-AC/TC, 02576-2008-PC/TC, and 5125-2008-PC/TC, of </w:t>
      </w:r>
      <w:r w:rsidR="00E67178">
        <w:rPr>
          <w:rFonts w:asciiTheme="majorHAnsi" w:hAnsiTheme="majorHAnsi"/>
          <w:sz w:val="20"/>
        </w:rPr>
        <w:t>the</w:t>
      </w:r>
      <w:r>
        <w:rPr>
          <w:rFonts w:asciiTheme="majorHAnsi" w:hAnsiTheme="majorHAnsi"/>
          <w:sz w:val="20"/>
        </w:rPr>
        <w:t xml:space="preserve"> Constitutional Court, or in judgments handed down by the Eighth Civil Division of the Higher Court of Lima </w:t>
      </w:r>
      <w:r w:rsidR="00367C73">
        <w:rPr>
          <w:rFonts w:asciiTheme="majorHAnsi" w:hAnsiTheme="majorHAnsi"/>
          <w:sz w:val="20"/>
        </w:rPr>
        <w:t>i</w:t>
      </w:r>
      <w:r>
        <w:rPr>
          <w:rFonts w:asciiTheme="majorHAnsi" w:hAnsiTheme="majorHAnsi"/>
          <w:sz w:val="20"/>
        </w:rPr>
        <w:t xml:space="preserve">n Case File No.  340-2006, or by the Fourth Civil Division of the Higher Court in Case File No. 3029-2006, some of which she cites </w:t>
      </w:r>
      <w:r w:rsidR="00E67178">
        <w:rPr>
          <w:rFonts w:asciiTheme="majorHAnsi" w:hAnsiTheme="majorHAnsi"/>
          <w:sz w:val="20"/>
        </w:rPr>
        <w:t>in</w:t>
      </w:r>
      <w:r>
        <w:rPr>
          <w:rFonts w:asciiTheme="majorHAnsi" w:hAnsiTheme="majorHAnsi"/>
          <w:sz w:val="20"/>
        </w:rPr>
        <w:t xml:space="preserve"> her petition. The allegedly different treatment </w:t>
      </w:r>
      <w:r w:rsidR="00B229BD">
        <w:rPr>
          <w:rFonts w:asciiTheme="majorHAnsi" w:hAnsiTheme="majorHAnsi"/>
          <w:sz w:val="20"/>
        </w:rPr>
        <w:t xml:space="preserve">granted </w:t>
      </w:r>
      <w:r>
        <w:rPr>
          <w:rFonts w:asciiTheme="majorHAnsi" w:hAnsiTheme="majorHAnsi"/>
          <w:sz w:val="20"/>
        </w:rPr>
        <w:t xml:space="preserve">her </w:t>
      </w:r>
      <w:r w:rsidR="00B229BD">
        <w:rPr>
          <w:rFonts w:asciiTheme="majorHAnsi" w:hAnsiTheme="majorHAnsi"/>
          <w:sz w:val="20"/>
        </w:rPr>
        <w:t xml:space="preserve">by the courts </w:t>
      </w:r>
      <w:r>
        <w:rPr>
          <w:rFonts w:asciiTheme="majorHAnsi" w:hAnsiTheme="majorHAnsi"/>
          <w:sz w:val="20"/>
        </w:rPr>
        <w:t xml:space="preserve">constitutes, in the petitioner's opinion, a violation of her right to equality before the law. </w:t>
      </w:r>
    </w:p>
    <w:p w14:paraId="7CDBE125" w14:textId="77777777" w:rsidR="00F526D3"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 xml:space="preserve">6. </w:t>
      </w:r>
      <w:r>
        <w:tab/>
      </w:r>
      <w:r>
        <w:rPr>
          <w:rFonts w:asciiTheme="majorHAnsi" w:hAnsiTheme="majorHAnsi"/>
          <w:sz w:val="20"/>
        </w:rPr>
        <w:t>The State, for its part, begins by asserting that the IACHR is not competent to he</w:t>
      </w:r>
      <w:r w:rsidR="00367C73">
        <w:rPr>
          <w:rFonts w:asciiTheme="majorHAnsi" w:hAnsiTheme="majorHAnsi"/>
          <w:sz w:val="20"/>
        </w:rPr>
        <w:t>a</w:t>
      </w:r>
      <w:r>
        <w:rPr>
          <w:rFonts w:asciiTheme="majorHAnsi" w:hAnsiTheme="majorHAnsi"/>
          <w:sz w:val="20"/>
        </w:rPr>
        <w:t xml:space="preserve">r claims invoking the right to social security protected under Article XVI of the American Declaration and in Article 9 of the Protocol of San Salvador. In the same vein, it asserts that the IACHR is not competent to hear petitions referring to alleged violation of the right to work, health, or protection of elderly persons, since the </w:t>
      </w:r>
      <w:r w:rsidR="00E67178">
        <w:rPr>
          <w:rFonts w:asciiTheme="majorHAnsi" w:hAnsiTheme="majorHAnsi"/>
          <w:sz w:val="20"/>
        </w:rPr>
        <w:t>Protocol</w:t>
      </w:r>
      <w:r w:rsidR="00367C73">
        <w:rPr>
          <w:rFonts w:asciiTheme="majorHAnsi" w:hAnsiTheme="majorHAnsi"/>
          <w:sz w:val="20"/>
        </w:rPr>
        <w:t xml:space="preserve"> </w:t>
      </w:r>
      <w:r>
        <w:rPr>
          <w:rFonts w:asciiTheme="majorHAnsi" w:hAnsiTheme="majorHAnsi"/>
          <w:sz w:val="20"/>
        </w:rPr>
        <w:t>of San Salvador only grants it competence to take cognizance of claims based on rights protected by its Article</w:t>
      </w:r>
      <w:r w:rsidR="00367C73">
        <w:rPr>
          <w:rFonts w:asciiTheme="majorHAnsi" w:hAnsiTheme="majorHAnsi"/>
          <w:sz w:val="20"/>
        </w:rPr>
        <w:t xml:space="preserve">s </w:t>
      </w:r>
      <w:r>
        <w:rPr>
          <w:rFonts w:asciiTheme="majorHAnsi" w:hAnsiTheme="majorHAnsi"/>
          <w:sz w:val="20"/>
        </w:rPr>
        <w:t xml:space="preserve"> 8 (trade union rights) and 13 (education). </w:t>
      </w:r>
    </w:p>
    <w:p w14:paraId="1A594A25" w14:textId="63D4923F" w:rsidR="00501396"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lastRenderedPageBreak/>
        <w:t xml:space="preserve">7. </w:t>
      </w:r>
      <w:r>
        <w:tab/>
      </w:r>
      <w:r>
        <w:rPr>
          <w:rFonts w:asciiTheme="majorHAnsi" w:hAnsiTheme="majorHAnsi"/>
          <w:sz w:val="20"/>
        </w:rPr>
        <w:t>Peru then affirms that the petition must be declared inadmissible due to failure to exhaust domestic remedies, inasmuch as the judicial appeals filed by Mr. Ortega merely sought to protect her right to social security, and not the other rights that she invokes in her petition, such as the right to property, to equality before the law, judicial guarantees, and judicial protection, The State further argues in respect of payment of interest on amounts owed that "</w:t>
      </w:r>
      <w:r>
        <w:rPr>
          <w:rFonts w:asciiTheme="majorHAnsi" w:hAnsiTheme="majorHAnsi"/>
          <w:i/>
          <w:sz w:val="20"/>
        </w:rPr>
        <w:t>as can be seen in the Case File Report in the Judiciary's System for Consulting Judicial Files (...), the case is still being processed so that, with regard to the aforementioned claim, available domestic remedies have not yet been exhausted</w:t>
      </w:r>
      <w:r>
        <w:rPr>
          <w:rFonts w:asciiTheme="majorHAnsi" w:hAnsiTheme="majorHAnsi"/>
          <w:sz w:val="20"/>
        </w:rPr>
        <w:t xml:space="preserve">." The State also asserts that the claim for damages in Mrs. Ortega's petition, based on alleged violation of her human rights, should have been channeled initially through civil </w:t>
      </w:r>
      <w:r w:rsidR="00C67CF3">
        <w:rPr>
          <w:rFonts w:asciiTheme="majorHAnsi" w:hAnsiTheme="majorHAnsi"/>
          <w:sz w:val="20"/>
        </w:rPr>
        <w:t xml:space="preserve">declaratory </w:t>
      </w:r>
      <w:r>
        <w:rPr>
          <w:rFonts w:asciiTheme="majorHAnsi" w:hAnsiTheme="majorHAnsi"/>
          <w:sz w:val="20"/>
        </w:rPr>
        <w:t>proceeding</w:t>
      </w:r>
      <w:r w:rsidR="00C67CF3">
        <w:rPr>
          <w:rFonts w:asciiTheme="majorHAnsi" w:hAnsiTheme="majorHAnsi"/>
          <w:sz w:val="20"/>
        </w:rPr>
        <w:t>s</w:t>
      </w:r>
      <w:r>
        <w:rPr>
          <w:rFonts w:asciiTheme="majorHAnsi" w:hAnsiTheme="majorHAnsi"/>
          <w:sz w:val="20"/>
        </w:rPr>
        <w:t xml:space="preserve"> via the domestic Judiciary. </w:t>
      </w:r>
    </w:p>
    <w:p w14:paraId="6E7E3119" w14:textId="4CFBFBB7" w:rsidR="009D6B04"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 xml:space="preserve">8. </w:t>
      </w:r>
      <w:r>
        <w:tab/>
      </w:r>
      <w:r>
        <w:rPr>
          <w:rFonts w:asciiTheme="majorHAnsi" w:hAnsiTheme="majorHAnsi"/>
          <w:sz w:val="20"/>
        </w:rPr>
        <w:t>The State also argues that the petition does not describe facts constituting violations of the American Convention</w:t>
      </w:r>
      <w:r w:rsidR="00C67CF3">
        <w:rPr>
          <w:rFonts w:asciiTheme="majorHAnsi" w:hAnsiTheme="majorHAnsi"/>
          <w:sz w:val="20"/>
        </w:rPr>
        <w:t>,</w:t>
      </w:r>
      <w:r>
        <w:rPr>
          <w:rFonts w:asciiTheme="majorHAnsi" w:hAnsiTheme="majorHAnsi"/>
          <w:sz w:val="20"/>
        </w:rPr>
        <w:t xml:space="preserve"> for which </w:t>
      </w:r>
      <w:r w:rsidR="00C67CF3">
        <w:rPr>
          <w:rFonts w:asciiTheme="majorHAnsi" w:hAnsiTheme="majorHAnsi"/>
          <w:sz w:val="20"/>
        </w:rPr>
        <w:t xml:space="preserve">reason it </w:t>
      </w:r>
      <w:r>
        <w:rPr>
          <w:rFonts w:asciiTheme="majorHAnsi" w:hAnsiTheme="majorHAnsi"/>
          <w:sz w:val="20"/>
        </w:rPr>
        <w:t xml:space="preserve">requests application of Article 47.b of that treaty. It maintains that the </w:t>
      </w:r>
      <w:r w:rsidR="00C67CF3">
        <w:rPr>
          <w:rFonts w:asciiTheme="majorHAnsi" w:hAnsiTheme="majorHAnsi"/>
          <w:sz w:val="20"/>
        </w:rPr>
        <w:t xml:space="preserve">judicial </w:t>
      </w:r>
      <w:r>
        <w:rPr>
          <w:rFonts w:asciiTheme="majorHAnsi" w:hAnsiTheme="majorHAnsi"/>
          <w:sz w:val="20"/>
        </w:rPr>
        <w:t xml:space="preserve">compliance proceeding initiated by Mrs. Ortega </w:t>
      </w:r>
      <w:r w:rsidR="00C67CF3">
        <w:rPr>
          <w:rFonts w:asciiTheme="majorHAnsi" w:hAnsiTheme="majorHAnsi"/>
          <w:sz w:val="20"/>
        </w:rPr>
        <w:t xml:space="preserve">respected the fair trial </w:t>
      </w:r>
      <w:r>
        <w:rPr>
          <w:rFonts w:asciiTheme="majorHAnsi" w:hAnsiTheme="majorHAnsi"/>
          <w:sz w:val="20"/>
        </w:rPr>
        <w:t xml:space="preserve">guarantees and the right to equal treatment, and that both the ruling of the Higher Court of Lima and that of the Constitutional Court were correct applications of Peruvian law and constitutional jurisprudence. </w:t>
      </w:r>
    </w:p>
    <w:p w14:paraId="7A2E8D1B" w14:textId="4819EB6A" w:rsidR="00DB22A3" w:rsidRPr="00A53B9D" w:rsidRDefault="001A6CFA"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 xml:space="preserve">9. </w:t>
      </w:r>
      <w:r>
        <w:tab/>
      </w:r>
      <w:r>
        <w:rPr>
          <w:rFonts w:asciiTheme="majorHAnsi" w:hAnsiTheme="majorHAnsi"/>
          <w:sz w:val="20"/>
        </w:rPr>
        <w:t>Finally, the State ar</w:t>
      </w:r>
      <w:r w:rsidR="00367C73">
        <w:rPr>
          <w:rFonts w:asciiTheme="majorHAnsi" w:hAnsiTheme="majorHAnsi"/>
          <w:sz w:val="20"/>
        </w:rPr>
        <w:t>gues that Mrs. Ortega's financial</w:t>
      </w:r>
      <w:r>
        <w:rPr>
          <w:rFonts w:asciiTheme="majorHAnsi" w:hAnsiTheme="majorHAnsi"/>
          <w:sz w:val="20"/>
        </w:rPr>
        <w:t xml:space="preserve"> clams have been met, given that, </w:t>
      </w:r>
      <w:r w:rsidR="00C67CF3">
        <w:rPr>
          <w:rFonts w:asciiTheme="majorHAnsi" w:hAnsiTheme="majorHAnsi"/>
          <w:sz w:val="20"/>
        </w:rPr>
        <w:t xml:space="preserve">in compliance with </w:t>
      </w:r>
      <w:r>
        <w:rPr>
          <w:rFonts w:asciiTheme="majorHAnsi" w:hAnsiTheme="majorHAnsi"/>
          <w:sz w:val="20"/>
        </w:rPr>
        <w:t>a judicial ruling handed down after her petition was lodged</w:t>
      </w:r>
      <w:r w:rsidR="00C67CF3">
        <w:rPr>
          <w:rFonts w:asciiTheme="majorHAnsi" w:hAnsiTheme="majorHAnsi"/>
          <w:sz w:val="20"/>
        </w:rPr>
        <w:t xml:space="preserve"> with the IACHR</w:t>
      </w:r>
      <w:r>
        <w:rPr>
          <w:rFonts w:asciiTheme="majorHAnsi" w:hAnsiTheme="majorHAnsi"/>
          <w:sz w:val="20"/>
        </w:rPr>
        <w:t>, the Executive Branch has actually been paying</w:t>
      </w:r>
      <w:r w:rsidR="00C67CF3">
        <w:rPr>
          <w:rFonts w:asciiTheme="majorHAnsi" w:hAnsiTheme="majorHAnsi"/>
          <w:sz w:val="20"/>
        </w:rPr>
        <w:t xml:space="preserve"> her</w:t>
      </w:r>
      <w:r>
        <w:rPr>
          <w:rFonts w:asciiTheme="majorHAnsi" w:hAnsiTheme="majorHAnsi"/>
          <w:sz w:val="20"/>
        </w:rPr>
        <w:t xml:space="preserve"> the pension allowances owed to her. It explains that, following completion of the judicial compliance proceeding described in the petition, Mrs. Ortega filed a</w:t>
      </w:r>
      <w:r w:rsidR="00C67CF3">
        <w:rPr>
          <w:rFonts w:asciiTheme="majorHAnsi" w:hAnsiTheme="majorHAnsi"/>
          <w:sz w:val="20"/>
        </w:rPr>
        <w:t xml:space="preserve"> judicial</w:t>
      </w:r>
      <w:r>
        <w:rPr>
          <w:rFonts w:asciiTheme="majorHAnsi" w:hAnsiTheme="majorHAnsi"/>
          <w:sz w:val="20"/>
        </w:rPr>
        <w:t xml:space="preserve"> action under administrative law, in which the Transitional Labor Law Division of the Higher Court of Justice in Lima declared the petitioner's pension allowance claim to be well-founded. That ruling was confirmed by the Second Transitional Constitutional and Social Law Division of the Supreme Court of Justice on June 9, 2015. Consequently, the Human Resources and Welfare Manager of the Office of the General Manager of the Judiciary reported that, as of August 9, 2016, the pension money owed to the petitioner was being paid in monthly installments. In light of those payments, the State argues that "</w:t>
      </w:r>
      <w:r>
        <w:rPr>
          <w:rFonts w:asciiTheme="majorHAnsi" w:hAnsiTheme="majorHAnsi"/>
          <w:i/>
          <w:sz w:val="20"/>
        </w:rPr>
        <w:t>it is obvious that currently there is no impairment of the petitioner's human rights, so that the petition should be declared inadmissible.</w:t>
      </w:r>
      <w:r>
        <w:rPr>
          <w:rFonts w:asciiTheme="majorHAnsi" w:hAnsiTheme="majorHAnsi"/>
          <w:sz w:val="20"/>
        </w:rPr>
        <w:t>" It also argues that the culmination of the judicial proceeding under administrative law indicates that Mrs. Ortega's right to judicial protection has been fully guaranteed.</w:t>
      </w:r>
    </w:p>
    <w:p w14:paraId="66E83CEB" w14:textId="77777777" w:rsidR="003239B8" w:rsidRPr="00A53B9D" w:rsidRDefault="003239B8" w:rsidP="003239B8">
      <w:pPr>
        <w:spacing w:before="240" w:after="240"/>
        <w:ind w:firstLine="720"/>
        <w:jc w:val="both"/>
        <w:rPr>
          <w:rFonts w:asciiTheme="majorHAnsi" w:hAnsiTheme="majorHAnsi"/>
          <w:sz w:val="20"/>
          <w:szCs w:val="20"/>
        </w:rPr>
      </w:pPr>
      <w:r>
        <w:rPr>
          <w:rFonts w:asciiTheme="majorHAnsi" w:hAnsiTheme="majorHAnsi"/>
          <w:b/>
          <w:color w:val="000000"/>
          <w:sz w:val="20"/>
          <w:u w:color="000000"/>
        </w:rPr>
        <w:t>VI.</w:t>
      </w:r>
      <w:r>
        <w:tab/>
      </w:r>
      <w:r>
        <w:rPr>
          <w:rFonts w:asciiTheme="majorHAnsi" w:hAnsiTheme="majorHAnsi"/>
          <w:b/>
          <w:sz w:val="20"/>
        </w:rPr>
        <w:t>ANALYSIS OF EXHAUSTION OF DOMESTIC REMEDIES AND TIMELINESS OF THE PETITION</w:t>
      </w:r>
      <w:r>
        <w:rPr>
          <w:rFonts w:asciiTheme="majorHAnsi" w:hAnsiTheme="majorHAnsi"/>
          <w:b/>
          <w:color w:val="000000"/>
          <w:sz w:val="20"/>
          <w:u w:color="000000"/>
        </w:rPr>
        <w:t xml:space="preserve"> </w:t>
      </w:r>
    </w:p>
    <w:p w14:paraId="7675E3CD" w14:textId="12CF8D13" w:rsidR="00AD2C8B" w:rsidRPr="00A53B9D" w:rsidRDefault="001A6CFA" w:rsidP="00E93D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 xml:space="preserve">10. </w:t>
      </w:r>
      <w:r>
        <w:tab/>
      </w:r>
      <w:r>
        <w:rPr>
          <w:rFonts w:asciiTheme="majorHAnsi" w:hAnsiTheme="majorHAnsi"/>
          <w:sz w:val="20"/>
        </w:rPr>
        <w:t xml:space="preserve">The Commission observes, first, that the petitioner's claim, both domestically and in her petition to the IACHR, basically </w:t>
      </w:r>
      <w:r w:rsidR="00C67CF3">
        <w:rPr>
          <w:rFonts w:asciiTheme="majorHAnsi" w:hAnsiTheme="majorHAnsi"/>
          <w:sz w:val="20"/>
        </w:rPr>
        <w:t xml:space="preserve">refers to </w:t>
      </w:r>
      <w:r>
        <w:rPr>
          <w:rFonts w:asciiTheme="majorHAnsi" w:hAnsiTheme="majorHAnsi"/>
          <w:sz w:val="20"/>
        </w:rPr>
        <w:t>an alleged failure to pay the full amount of her widow's pension. That, in her view, is directly linked to a series of administrative and judicial proceedings involving domestic authorities that allegedly violated her human rights.</w:t>
      </w:r>
    </w:p>
    <w:p w14:paraId="23B126E9" w14:textId="78537D38" w:rsidR="00C37CBB" w:rsidRPr="00A53B9D" w:rsidRDefault="00AD2C8B" w:rsidP="005762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11.</w:t>
      </w:r>
      <w:r>
        <w:tab/>
      </w:r>
      <w:r w:rsidR="00C67CF3">
        <w:rPr>
          <w:rFonts w:asciiTheme="majorHAnsi" w:hAnsiTheme="majorHAnsi"/>
          <w:sz w:val="20"/>
        </w:rPr>
        <w:t>In this sense</w:t>
      </w:r>
      <w:r>
        <w:rPr>
          <w:rFonts w:asciiTheme="majorHAnsi" w:hAnsiTheme="majorHAnsi"/>
          <w:sz w:val="20"/>
        </w:rPr>
        <w:t xml:space="preserve">, it is clearly established in the petition that Mrs. Ortega initiated </w:t>
      </w:r>
      <w:r w:rsidR="00C67CF3">
        <w:rPr>
          <w:rFonts w:asciiTheme="majorHAnsi" w:hAnsiTheme="majorHAnsi"/>
          <w:sz w:val="20"/>
        </w:rPr>
        <w:t>judicial</w:t>
      </w:r>
      <w:r>
        <w:rPr>
          <w:rFonts w:asciiTheme="majorHAnsi" w:hAnsiTheme="majorHAnsi"/>
          <w:sz w:val="20"/>
        </w:rPr>
        <w:t xml:space="preserve"> Compliance Proceeding</w:t>
      </w:r>
      <w:r w:rsidR="00C67CF3">
        <w:rPr>
          <w:rFonts w:asciiTheme="majorHAnsi" w:hAnsiTheme="majorHAnsi"/>
          <w:sz w:val="20"/>
        </w:rPr>
        <w:t>s</w:t>
      </w:r>
      <w:r>
        <w:rPr>
          <w:rFonts w:asciiTheme="majorHAnsi" w:hAnsiTheme="majorHAnsi"/>
          <w:sz w:val="20"/>
        </w:rPr>
        <w:t xml:space="preserve"> for failure to make full payment of the pension allowance recognized</w:t>
      </w:r>
      <w:r w:rsidR="00C67CF3">
        <w:rPr>
          <w:rFonts w:asciiTheme="majorHAnsi" w:hAnsiTheme="majorHAnsi"/>
          <w:sz w:val="20"/>
        </w:rPr>
        <w:t xml:space="preserve"> her</w:t>
      </w:r>
      <w:r>
        <w:rPr>
          <w:rFonts w:asciiTheme="majorHAnsi" w:hAnsiTheme="majorHAnsi"/>
          <w:sz w:val="20"/>
        </w:rPr>
        <w:t xml:space="preserve"> by the Office of the General Manager of the Judiciary, that resulted in a first instance ruling in her favor on June 26, 2007, followed by a decision adverse to the petitioner's interests handed down by the Higher Court of Justice of Lima on April 8, 2008, and finally, in a constitutional </w:t>
      </w:r>
      <w:r w:rsidR="00C67CF3">
        <w:rPr>
          <w:rFonts w:asciiTheme="majorHAnsi" w:hAnsiTheme="majorHAnsi"/>
          <w:sz w:val="20"/>
        </w:rPr>
        <w:t>protection claim</w:t>
      </w:r>
      <w:r>
        <w:rPr>
          <w:rFonts w:asciiTheme="majorHAnsi" w:hAnsiTheme="majorHAnsi"/>
          <w:sz w:val="20"/>
        </w:rPr>
        <w:t>,</w:t>
      </w:r>
      <w:r w:rsidR="00C67CF3">
        <w:rPr>
          <w:rFonts w:asciiTheme="majorHAnsi" w:hAnsiTheme="majorHAnsi"/>
          <w:sz w:val="20"/>
        </w:rPr>
        <w:t xml:space="preserve"> resulting in</w:t>
      </w:r>
      <w:r>
        <w:rPr>
          <w:rFonts w:asciiTheme="majorHAnsi" w:hAnsiTheme="majorHAnsi"/>
          <w:sz w:val="20"/>
        </w:rPr>
        <w:t xml:space="preserve"> a final judgment handed down by the Constitutional Court on October 19, 2009. Mrs. Ortega was notified of that judgment, which officially exhausted domestic remedies via constitutional proceedings, </w:t>
      </w:r>
      <w:r w:rsidR="00367C73">
        <w:rPr>
          <w:rFonts w:asciiTheme="majorHAnsi" w:hAnsiTheme="majorHAnsi"/>
          <w:sz w:val="20"/>
        </w:rPr>
        <w:t xml:space="preserve">on </w:t>
      </w:r>
      <w:r>
        <w:rPr>
          <w:rFonts w:asciiTheme="majorHAnsi" w:hAnsiTheme="majorHAnsi"/>
          <w:sz w:val="20"/>
        </w:rPr>
        <w:t>October 27, 2009. For its part, the present petition was received by the IACHR on April 15, 2010. It is worth recalling, in this regard, that in previous cases involving Peru, the IACHR has considered that actions brought for protection of a constitutional right are an ideal channel for filing pension-related claims.</w:t>
      </w:r>
      <w:r>
        <w:rPr>
          <w:rStyle w:val="FootnoteReference"/>
          <w:rFonts w:asciiTheme="majorHAnsi" w:hAnsiTheme="majorHAnsi"/>
          <w:sz w:val="20"/>
        </w:rPr>
        <w:footnoteReference w:id="7"/>
      </w:r>
      <w:r>
        <w:rPr>
          <w:rFonts w:asciiTheme="majorHAnsi" w:hAnsiTheme="majorHAnsi"/>
          <w:sz w:val="20"/>
        </w:rPr>
        <w:t xml:space="preserve"> The State has not contested the exhaustion of this procedural channel. On the contrary, as the State reported in detail, Mrs. Ortega, in addition, also exhausted administrative law proceedings, which ended in a final judgment on June 9, 2015 protecting her rights and ordering the State to pay her what she was owed.</w:t>
      </w:r>
    </w:p>
    <w:p w14:paraId="5E2E80CD" w14:textId="44F5C757" w:rsidR="005A5E11" w:rsidRPr="00A53B9D" w:rsidRDefault="005A5E11" w:rsidP="00060F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lastRenderedPageBreak/>
        <w:t>12.</w:t>
      </w:r>
      <w:r>
        <w:tab/>
      </w:r>
      <w:r>
        <w:rPr>
          <w:rFonts w:asciiTheme="majorHAnsi" w:hAnsiTheme="majorHAnsi"/>
          <w:sz w:val="20"/>
        </w:rPr>
        <w:t xml:space="preserve">As regards the State's argument that the petitioner failed to comply with the exhaustion of domestic remedies requirement in connection with alleged violations to the rights to property, equality, judicial protection, and </w:t>
      </w:r>
      <w:r w:rsidR="00C67CF3">
        <w:rPr>
          <w:rFonts w:asciiTheme="majorHAnsi" w:hAnsiTheme="majorHAnsi"/>
          <w:sz w:val="20"/>
        </w:rPr>
        <w:t xml:space="preserve">fair trial </w:t>
      </w:r>
      <w:r>
        <w:rPr>
          <w:rFonts w:asciiTheme="majorHAnsi" w:hAnsiTheme="majorHAnsi"/>
          <w:sz w:val="20"/>
        </w:rPr>
        <w:t xml:space="preserve">guarantees invoked in her complaint, and only did so in relation to her right to social security, the Commission notes that said claims are part and parcel of the principal claim referred to </w:t>
      </w:r>
      <w:r w:rsidR="00C67CF3">
        <w:rPr>
          <w:rFonts w:asciiTheme="majorHAnsi" w:hAnsiTheme="majorHAnsi"/>
          <w:sz w:val="20"/>
        </w:rPr>
        <w:t>above</w:t>
      </w:r>
      <w:r>
        <w:rPr>
          <w:rFonts w:asciiTheme="majorHAnsi" w:hAnsiTheme="majorHAnsi"/>
          <w:sz w:val="20"/>
        </w:rPr>
        <w:t xml:space="preserve">. Therefore, in the Commission's view, they do not require exhaustion of </w:t>
      </w:r>
      <w:r w:rsidR="00395DD5">
        <w:rPr>
          <w:rFonts w:asciiTheme="majorHAnsi" w:hAnsiTheme="majorHAnsi"/>
          <w:sz w:val="20"/>
        </w:rPr>
        <w:t xml:space="preserve">any </w:t>
      </w:r>
      <w:r>
        <w:rPr>
          <w:rFonts w:asciiTheme="majorHAnsi" w:hAnsiTheme="majorHAnsi"/>
          <w:sz w:val="20"/>
        </w:rPr>
        <w:t xml:space="preserve">remedies </w:t>
      </w:r>
      <w:r w:rsidR="00395DD5">
        <w:rPr>
          <w:rFonts w:asciiTheme="majorHAnsi" w:hAnsiTheme="majorHAnsi"/>
          <w:sz w:val="20"/>
        </w:rPr>
        <w:t xml:space="preserve">in addition </w:t>
      </w:r>
      <w:r>
        <w:rPr>
          <w:rFonts w:asciiTheme="majorHAnsi" w:hAnsiTheme="majorHAnsi"/>
          <w:sz w:val="20"/>
        </w:rPr>
        <w:t>to those already referred to. It is also worth recalling in this regard that the Commission has established that "</w:t>
      </w:r>
      <w:r>
        <w:rPr>
          <w:rFonts w:asciiTheme="majorHAnsi" w:hAnsiTheme="majorHAnsi"/>
          <w:i/>
          <w:sz w:val="20"/>
        </w:rPr>
        <w:t>the rule requiring exhaustion of domestic remedies does not mean that alleged victims necessarily have to exhaust all remedies available. Therefore, if the alleged victim raised the issue by any of the valid and appropriate alternative means under the domestic system of laws and the State had the opportunity to remedy the matter within its jurisdiction, then the purpose of the international rule has been met."</w:t>
      </w:r>
      <w:r>
        <w:rPr>
          <w:rStyle w:val="FootnoteReference"/>
          <w:rFonts w:asciiTheme="majorHAnsi" w:hAnsiTheme="majorHAnsi"/>
          <w:sz w:val="20"/>
        </w:rPr>
        <w:footnoteReference w:id="8"/>
      </w:r>
      <w:r>
        <w:rPr>
          <w:rFonts w:asciiTheme="majorHAnsi" w:hAnsiTheme="majorHAnsi"/>
          <w:sz w:val="20"/>
        </w:rPr>
        <w:t xml:space="preserve"> </w:t>
      </w:r>
    </w:p>
    <w:p w14:paraId="39100F3E" w14:textId="6490D15D" w:rsidR="00060FC3" w:rsidRPr="00A53B9D" w:rsidRDefault="00060FC3" w:rsidP="00060F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13.</w:t>
      </w:r>
      <w:r>
        <w:tab/>
      </w:r>
      <w:r>
        <w:rPr>
          <w:rFonts w:asciiTheme="majorHAnsi" w:hAnsiTheme="majorHAnsi"/>
          <w:sz w:val="20"/>
        </w:rPr>
        <w:t xml:space="preserve">As for the State' argument that Mrs. Ortega did not exhaust available domestic remedies for applying for </w:t>
      </w:r>
      <w:r w:rsidR="00395DD5">
        <w:rPr>
          <w:rFonts w:asciiTheme="majorHAnsi" w:hAnsiTheme="majorHAnsi"/>
          <w:sz w:val="20"/>
        </w:rPr>
        <w:t xml:space="preserve">monetary </w:t>
      </w:r>
      <w:r>
        <w:rPr>
          <w:rFonts w:asciiTheme="majorHAnsi" w:hAnsiTheme="majorHAnsi"/>
          <w:sz w:val="20"/>
        </w:rPr>
        <w:t xml:space="preserve">compensation </w:t>
      </w:r>
      <w:r w:rsidR="00395DD5">
        <w:rPr>
          <w:rFonts w:asciiTheme="majorHAnsi" w:hAnsiTheme="majorHAnsi"/>
          <w:sz w:val="20"/>
        </w:rPr>
        <w:t xml:space="preserve">of the </w:t>
      </w:r>
      <w:r>
        <w:rPr>
          <w:rFonts w:asciiTheme="majorHAnsi" w:hAnsiTheme="majorHAnsi"/>
          <w:sz w:val="20"/>
        </w:rPr>
        <w:t xml:space="preserve">damages she allegedly endured as a result of the administrative and judicial decisions regarding her pension, the IACHR </w:t>
      </w:r>
      <w:r w:rsidR="00395DD5">
        <w:rPr>
          <w:rFonts w:asciiTheme="majorHAnsi" w:hAnsiTheme="majorHAnsi"/>
          <w:sz w:val="20"/>
        </w:rPr>
        <w:t xml:space="preserve">recalls </w:t>
      </w:r>
      <w:r>
        <w:rPr>
          <w:rFonts w:asciiTheme="majorHAnsi" w:hAnsiTheme="majorHAnsi"/>
          <w:sz w:val="20"/>
        </w:rPr>
        <w:t xml:space="preserve">that </w:t>
      </w:r>
      <w:r w:rsidR="00395DD5">
        <w:rPr>
          <w:rFonts w:asciiTheme="majorHAnsi" w:hAnsiTheme="majorHAnsi"/>
          <w:sz w:val="20"/>
        </w:rPr>
        <w:t xml:space="preserve">monetary </w:t>
      </w:r>
      <w:r>
        <w:rPr>
          <w:rFonts w:asciiTheme="majorHAnsi" w:hAnsiTheme="majorHAnsi"/>
          <w:sz w:val="20"/>
        </w:rPr>
        <w:t xml:space="preserve">compensation is one of the reparation measures that the organs of the Inter-American system may </w:t>
      </w:r>
      <w:r w:rsidR="00395DD5">
        <w:rPr>
          <w:rFonts w:asciiTheme="majorHAnsi" w:hAnsiTheme="majorHAnsi"/>
          <w:sz w:val="20"/>
        </w:rPr>
        <w:t xml:space="preserve">order </w:t>
      </w:r>
      <w:r>
        <w:rPr>
          <w:rFonts w:asciiTheme="majorHAnsi" w:hAnsiTheme="majorHAnsi"/>
          <w:sz w:val="20"/>
        </w:rPr>
        <w:t xml:space="preserve">in specific cases, and that the right to reparation arises </w:t>
      </w:r>
      <w:r w:rsidRPr="00395DD5">
        <w:rPr>
          <w:rFonts w:asciiTheme="majorHAnsi" w:hAnsiTheme="majorHAnsi"/>
          <w:i/>
          <w:iCs/>
          <w:sz w:val="20"/>
        </w:rPr>
        <w:t>ipso jure</w:t>
      </w:r>
      <w:r>
        <w:rPr>
          <w:rFonts w:asciiTheme="majorHAnsi" w:hAnsiTheme="majorHAnsi"/>
          <w:sz w:val="20"/>
        </w:rPr>
        <w:t xml:space="preserve"> </w:t>
      </w:r>
      <w:r w:rsidR="00395DD5">
        <w:rPr>
          <w:rFonts w:asciiTheme="majorHAnsi" w:hAnsiTheme="majorHAnsi"/>
          <w:sz w:val="20"/>
        </w:rPr>
        <w:t xml:space="preserve">for </w:t>
      </w:r>
      <w:r>
        <w:rPr>
          <w:rFonts w:asciiTheme="majorHAnsi" w:hAnsiTheme="majorHAnsi"/>
          <w:sz w:val="20"/>
        </w:rPr>
        <w:t>victims of human rights violations when the State has been declare</w:t>
      </w:r>
      <w:r w:rsidR="00367C73">
        <w:rPr>
          <w:rFonts w:asciiTheme="majorHAnsi" w:hAnsiTheme="majorHAnsi"/>
          <w:sz w:val="20"/>
        </w:rPr>
        <w:t>d</w:t>
      </w:r>
      <w:r>
        <w:rPr>
          <w:rFonts w:asciiTheme="majorHAnsi" w:hAnsiTheme="majorHAnsi"/>
          <w:sz w:val="20"/>
        </w:rPr>
        <w:t xml:space="preserve"> internationally responsible for violating its obligations in that regard.</w:t>
      </w:r>
      <w:r>
        <w:rPr>
          <w:rStyle w:val="FootnoteReference"/>
          <w:rFonts w:asciiTheme="majorHAnsi" w:hAnsiTheme="majorHAnsi"/>
          <w:sz w:val="20"/>
        </w:rPr>
        <w:footnoteReference w:id="9"/>
      </w:r>
      <w:r>
        <w:rPr>
          <w:rFonts w:asciiTheme="majorHAnsi" w:hAnsiTheme="majorHAnsi"/>
          <w:sz w:val="20"/>
        </w:rPr>
        <w:t xml:space="preserve"> Legally speaking, it is therefore incorrect to assert, as the Peruvian State does in its reply, that it is necessary to exhaust a domestic judicial channel for </w:t>
      </w:r>
      <w:r w:rsidR="00395DD5">
        <w:rPr>
          <w:rFonts w:asciiTheme="majorHAnsi" w:hAnsiTheme="majorHAnsi"/>
          <w:sz w:val="20"/>
        </w:rPr>
        <w:t xml:space="preserve">monetary </w:t>
      </w:r>
      <w:r>
        <w:rPr>
          <w:rFonts w:asciiTheme="majorHAnsi" w:hAnsiTheme="majorHAnsi"/>
          <w:sz w:val="20"/>
        </w:rPr>
        <w:t>reparation of damages before being able to request and order financial reparation at the inter-American level.</w:t>
      </w:r>
    </w:p>
    <w:p w14:paraId="38257E0A" w14:textId="0B6907B5" w:rsidR="005271C1" w:rsidRPr="00A53B9D" w:rsidRDefault="005271C1" w:rsidP="00060F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14.</w:t>
      </w:r>
      <w:r>
        <w:tab/>
      </w:r>
      <w:r>
        <w:rPr>
          <w:rFonts w:asciiTheme="majorHAnsi" w:hAnsiTheme="majorHAnsi"/>
          <w:sz w:val="20"/>
        </w:rPr>
        <w:t xml:space="preserve">In light of the above considerations, the Inter-American Commission concludes that the present petition meets the requirement </w:t>
      </w:r>
      <w:r w:rsidR="00395DD5">
        <w:rPr>
          <w:rFonts w:asciiTheme="majorHAnsi" w:hAnsiTheme="majorHAnsi"/>
          <w:sz w:val="20"/>
        </w:rPr>
        <w:t xml:space="preserve">of </w:t>
      </w:r>
      <w:r>
        <w:rPr>
          <w:rFonts w:asciiTheme="majorHAnsi" w:hAnsiTheme="majorHAnsi"/>
          <w:sz w:val="20"/>
        </w:rPr>
        <w:t>exhaust</w:t>
      </w:r>
      <w:r w:rsidR="00395DD5">
        <w:rPr>
          <w:rFonts w:asciiTheme="majorHAnsi" w:hAnsiTheme="majorHAnsi"/>
          <w:sz w:val="20"/>
        </w:rPr>
        <w:t>ion of</w:t>
      </w:r>
      <w:r>
        <w:rPr>
          <w:rFonts w:asciiTheme="majorHAnsi" w:hAnsiTheme="majorHAnsi"/>
          <w:sz w:val="20"/>
        </w:rPr>
        <w:t xml:space="preserve"> domestic remedies</w:t>
      </w:r>
      <w:r w:rsidR="00395DD5">
        <w:rPr>
          <w:rFonts w:asciiTheme="majorHAnsi" w:hAnsiTheme="majorHAnsi"/>
          <w:sz w:val="20"/>
        </w:rPr>
        <w:t>,</w:t>
      </w:r>
      <w:r>
        <w:rPr>
          <w:rFonts w:asciiTheme="majorHAnsi" w:hAnsiTheme="majorHAnsi"/>
          <w:sz w:val="20"/>
        </w:rPr>
        <w:t xml:space="preserve"> </w:t>
      </w:r>
      <w:r w:rsidR="00395DD5">
        <w:rPr>
          <w:rFonts w:asciiTheme="majorHAnsi" w:hAnsiTheme="majorHAnsi"/>
          <w:sz w:val="20"/>
        </w:rPr>
        <w:t xml:space="preserve">as well as </w:t>
      </w:r>
      <w:r>
        <w:rPr>
          <w:rFonts w:asciiTheme="majorHAnsi" w:hAnsiTheme="majorHAnsi"/>
          <w:sz w:val="20"/>
        </w:rPr>
        <w:t xml:space="preserve">the deadline for lodging the petition established, respectively, in Articles 46.1.a and 46.1.b of the American Convention. </w:t>
      </w:r>
    </w:p>
    <w:p w14:paraId="1161082C" w14:textId="77777777" w:rsidR="003239B8" w:rsidRPr="00A53B9D" w:rsidRDefault="003239B8" w:rsidP="003239B8">
      <w:pPr>
        <w:pStyle w:val="ListParagraph"/>
        <w:spacing w:before="240" w:after="240"/>
        <w:jc w:val="both"/>
        <w:rPr>
          <w:rFonts w:asciiTheme="majorHAnsi" w:hAnsiTheme="majorHAnsi"/>
          <w:b/>
          <w:sz w:val="20"/>
          <w:szCs w:val="20"/>
        </w:rPr>
      </w:pPr>
      <w:r>
        <w:rPr>
          <w:rFonts w:asciiTheme="majorHAnsi" w:hAnsiTheme="majorHAnsi"/>
          <w:b/>
          <w:sz w:val="20"/>
        </w:rPr>
        <w:t>VII.</w:t>
      </w:r>
      <w:r>
        <w:tab/>
      </w:r>
      <w:r>
        <w:rPr>
          <w:rFonts w:asciiTheme="majorHAnsi" w:hAnsiTheme="majorHAnsi"/>
          <w:b/>
          <w:sz w:val="20"/>
        </w:rPr>
        <w:t>ANALYSIS OF COLORABLE CLAIM</w:t>
      </w:r>
    </w:p>
    <w:p w14:paraId="52833ED9" w14:textId="1948B98A" w:rsidR="00D23525" w:rsidRPr="00A53B9D" w:rsidRDefault="008E5767" w:rsidP="00D235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 xml:space="preserve">15. </w:t>
      </w:r>
      <w:r>
        <w:tab/>
      </w:r>
      <w:r>
        <w:rPr>
          <w:rFonts w:asciiTheme="majorHAnsi" w:hAnsiTheme="majorHAnsi"/>
          <w:sz w:val="20"/>
        </w:rPr>
        <w:t xml:space="preserve">First, the State takes note of the State's argument regarding an alleged lack of material competence to hear the allegations based on Article XVI of the American Convention, which upholds the human right to social security. Here, the Commission reiterates that once the American Convention enters into force with respect to a State, it is that instrument, and not the Declaration, </w:t>
      </w:r>
      <w:r w:rsidR="00395DD5">
        <w:rPr>
          <w:rFonts w:asciiTheme="majorHAnsi" w:hAnsiTheme="majorHAnsi"/>
          <w:sz w:val="20"/>
        </w:rPr>
        <w:t xml:space="preserve">which </w:t>
      </w:r>
      <w:r>
        <w:rPr>
          <w:rFonts w:asciiTheme="majorHAnsi" w:hAnsiTheme="majorHAnsi"/>
          <w:sz w:val="20"/>
        </w:rPr>
        <w:t xml:space="preserve">becomes the specific source of law to be applied by the Inter-American Commission, provided that the petition alleges violations of rights </w:t>
      </w:r>
      <w:r w:rsidR="00395DD5">
        <w:rPr>
          <w:rFonts w:asciiTheme="majorHAnsi" w:hAnsiTheme="majorHAnsi"/>
          <w:sz w:val="20"/>
        </w:rPr>
        <w:t xml:space="preserve">which are essentially identical in </w:t>
      </w:r>
      <w:r>
        <w:rPr>
          <w:rFonts w:asciiTheme="majorHAnsi" w:hAnsiTheme="majorHAnsi"/>
          <w:sz w:val="20"/>
        </w:rPr>
        <w:t>both instruments,</w:t>
      </w:r>
      <w:r>
        <w:rPr>
          <w:rStyle w:val="FootnoteReference"/>
          <w:rFonts w:asciiTheme="majorHAnsi" w:hAnsiTheme="majorHAnsi"/>
          <w:sz w:val="20"/>
        </w:rPr>
        <w:footnoteReference w:id="10"/>
      </w:r>
      <w:r>
        <w:rPr>
          <w:rFonts w:asciiTheme="majorHAnsi" w:hAnsiTheme="majorHAnsi"/>
          <w:sz w:val="20"/>
        </w:rPr>
        <w:t xml:space="preserve"> which is not the case of the right to social security embodied in the American Declaration, for which there is no matching provision in the Convention.</w:t>
      </w:r>
      <w:r>
        <w:rPr>
          <w:rStyle w:val="FootnoteReference"/>
          <w:rFonts w:asciiTheme="majorHAnsi" w:hAnsiTheme="majorHAnsi"/>
          <w:sz w:val="20"/>
        </w:rPr>
        <w:footnoteReference w:id="11"/>
      </w:r>
      <w:r>
        <w:rPr>
          <w:rFonts w:asciiTheme="majorHAnsi" w:hAnsiTheme="majorHAnsi"/>
          <w:sz w:val="20"/>
        </w:rPr>
        <w:t xml:space="preserve"> Therefore, at the merits stage, the Commission will analyze the possible application of Article XVI of the American Declaration to the matter under review.</w:t>
      </w:r>
    </w:p>
    <w:p w14:paraId="100EF3E2" w14:textId="2E27E1C0" w:rsidR="00D23525" w:rsidRPr="00A53B9D" w:rsidRDefault="00F71FEB" w:rsidP="001A6C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t>16.</w:t>
      </w:r>
      <w:r>
        <w:tab/>
      </w:r>
      <w:r>
        <w:rPr>
          <w:rFonts w:asciiTheme="majorHAnsi" w:hAnsiTheme="majorHAnsi"/>
          <w:sz w:val="20"/>
        </w:rPr>
        <w:t xml:space="preserve">In light of the foregoing considerations and after examining the </w:t>
      </w:r>
      <w:r w:rsidR="00395DD5">
        <w:rPr>
          <w:rFonts w:asciiTheme="majorHAnsi" w:hAnsiTheme="majorHAnsi"/>
          <w:sz w:val="20"/>
        </w:rPr>
        <w:t xml:space="preserve">legal and factual elements </w:t>
      </w:r>
      <w:r>
        <w:rPr>
          <w:rFonts w:asciiTheme="majorHAnsi" w:hAnsiTheme="majorHAnsi"/>
          <w:sz w:val="20"/>
        </w:rPr>
        <w:t xml:space="preserve">presented by the parties, </w:t>
      </w:r>
      <w:r w:rsidR="00E43D3C">
        <w:rPr>
          <w:rFonts w:asciiTheme="majorHAnsi" w:hAnsiTheme="majorHAnsi"/>
          <w:sz w:val="20"/>
        </w:rPr>
        <w:t xml:space="preserve">particularly the fact that the petitioner is an elderly person whose rights must be protected through positive measures by the State, </w:t>
      </w:r>
      <w:r>
        <w:rPr>
          <w:rFonts w:asciiTheme="majorHAnsi" w:hAnsiTheme="majorHAnsi"/>
          <w:sz w:val="20"/>
        </w:rPr>
        <w:t xml:space="preserve">the Commission concludes that the petitioner's allegations are not manifestly groundless and </w:t>
      </w:r>
      <w:r w:rsidR="00395DD5">
        <w:rPr>
          <w:rFonts w:asciiTheme="majorHAnsi" w:hAnsiTheme="majorHAnsi"/>
          <w:sz w:val="20"/>
        </w:rPr>
        <w:t xml:space="preserve">warrant a </w:t>
      </w:r>
      <w:r>
        <w:rPr>
          <w:rFonts w:asciiTheme="majorHAnsi" w:hAnsiTheme="majorHAnsi"/>
          <w:sz w:val="20"/>
        </w:rPr>
        <w:t xml:space="preserve">study </w:t>
      </w:r>
      <w:r w:rsidR="00395DD5">
        <w:rPr>
          <w:rFonts w:asciiTheme="majorHAnsi" w:hAnsiTheme="majorHAnsi"/>
          <w:sz w:val="20"/>
        </w:rPr>
        <w:t xml:space="preserve">on the merits </w:t>
      </w:r>
      <w:r>
        <w:rPr>
          <w:rFonts w:asciiTheme="majorHAnsi" w:hAnsiTheme="majorHAnsi"/>
          <w:sz w:val="20"/>
        </w:rPr>
        <w:t>because, if corroborated, the alleged facts could constitute violations of Articles 8 (</w:t>
      </w:r>
      <w:r w:rsidR="00395DD5">
        <w:rPr>
          <w:rFonts w:asciiTheme="majorHAnsi" w:hAnsiTheme="majorHAnsi"/>
          <w:sz w:val="20"/>
        </w:rPr>
        <w:t>fair trial</w:t>
      </w:r>
      <w:r>
        <w:rPr>
          <w:rFonts w:asciiTheme="majorHAnsi" w:hAnsiTheme="majorHAnsi"/>
          <w:sz w:val="20"/>
        </w:rPr>
        <w:t xml:space="preserve">), 21 (property), </w:t>
      </w:r>
      <w:r w:rsidR="00E43D3C">
        <w:rPr>
          <w:rFonts w:asciiTheme="majorHAnsi" w:hAnsiTheme="majorHAnsi"/>
          <w:sz w:val="20"/>
        </w:rPr>
        <w:t xml:space="preserve">24 (equal protection), </w:t>
      </w:r>
      <w:r>
        <w:rPr>
          <w:rFonts w:asciiTheme="majorHAnsi" w:hAnsiTheme="majorHAnsi"/>
          <w:sz w:val="20"/>
        </w:rPr>
        <w:t>25 (judicial protection), and 26 (economic, social, and cultural rights) of the American Convention on Human Righ</w:t>
      </w:r>
      <w:r w:rsidR="007F525B">
        <w:rPr>
          <w:rFonts w:asciiTheme="majorHAnsi" w:hAnsiTheme="majorHAnsi"/>
          <w:sz w:val="20"/>
        </w:rPr>
        <w:t>ts, in conjunction with Article</w:t>
      </w:r>
      <w:r>
        <w:rPr>
          <w:rFonts w:asciiTheme="majorHAnsi" w:hAnsiTheme="majorHAnsi"/>
          <w:sz w:val="20"/>
        </w:rPr>
        <w:t xml:space="preserve"> 1.1 thereof (obligation to respect rights); and of Article XVI (social security) of the American Declaration.</w:t>
      </w:r>
    </w:p>
    <w:p w14:paraId="7065AC1E" w14:textId="64925BA9" w:rsidR="00717D54" w:rsidRPr="00E43D3C" w:rsidRDefault="00717D54" w:rsidP="00E43D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rPr>
        <w:lastRenderedPageBreak/>
        <w:t xml:space="preserve">17. </w:t>
      </w:r>
      <w:r>
        <w:tab/>
      </w:r>
      <w:r>
        <w:rPr>
          <w:rFonts w:asciiTheme="majorHAnsi" w:hAnsiTheme="majorHAnsi"/>
          <w:sz w:val="20"/>
        </w:rPr>
        <w:t xml:space="preserve">With regard to the alleged violations of Articles 9 (right to social security)  and 17 (protection of the elderly) of the Protocol of San Salvador, the Commission acknowledges that the competence envisaged in Article 19(6) of that treaty for the IACHR to </w:t>
      </w:r>
      <w:r w:rsidR="00395DD5">
        <w:rPr>
          <w:rFonts w:asciiTheme="majorHAnsi" w:hAnsiTheme="majorHAnsi"/>
          <w:sz w:val="20"/>
        </w:rPr>
        <w:t xml:space="preserve">decide </w:t>
      </w:r>
      <w:r>
        <w:rPr>
          <w:rFonts w:asciiTheme="majorHAnsi" w:hAnsiTheme="majorHAnsi"/>
          <w:sz w:val="20"/>
        </w:rPr>
        <w:t xml:space="preserve">on an individual case is limited to Articles 8 and 13. </w:t>
      </w:r>
      <w:r w:rsidR="00395DD5">
        <w:rPr>
          <w:rFonts w:asciiTheme="majorHAnsi" w:hAnsiTheme="majorHAnsi"/>
          <w:sz w:val="20"/>
        </w:rPr>
        <w:t xml:space="preserve">Regarding </w:t>
      </w:r>
      <w:r>
        <w:rPr>
          <w:rFonts w:asciiTheme="majorHAnsi" w:hAnsiTheme="majorHAnsi"/>
          <w:sz w:val="20"/>
        </w:rPr>
        <w:t>the other provisions, pursuant to Article 29 of the American Convention, the Commission may take them into account in its interpretation and enforcement of the American Convention and other applicable instruments.</w:t>
      </w:r>
      <w:r>
        <w:rPr>
          <w:rStyle w:val="FootnoteReference"/>
          <w:rFonts w:asciiTheme="majorHAnsi" w:hAnsiTheme="majorHAnsi"/>
          <w:sz w:val="20"/>
        </w:rPr>
        <w:footnoteReference w:id="12"/>
      </w:r>
      <w:r>
        <w:rPr>
          <w:rFonts w:asciiTheme="majorHAnsi" w:hAnsiTheme="majorHAnsi"/>
          <w:sz w:val="20"/>
        </w:rPr>
        <w:t xml:space="preserve"> </w:t>
      </w:r>
    </w:p>
    <w:p w14:paraId="0788FB08" w14:textId="10E2001D" w:rsidR="002D6B65" w:rsidRPr="00A53B9D" w:rsidRDefault="00EC72AB" w:rsidP="001A6CFA">
      <w:pPr>
        <w:ind w:firstLine="720"/>
        <w:jc w:val="both"/>
        <w:rPr>
          <w:rFonts w:asciiTheme="majorHAnsi" w:hAnsiTheme="majorHAnsi"/>
          <w:sz w:val="20"/>
          <w:szCs w:val="20"/>
        </w:rPr>
      </w:pPr>
      <w:r>
        <w:rPr>
          <w:rFonts w:asciiTheme="majorHAnsi" w:hAnsiTheme="majorHAnsi"/>
          <w:sz w:val="20"/>
        </w:rPr>
        <w:t>1</w:t>
      </w:r>
      <w:r w:rsidR="00E43D3C">
        <w:rPr>
          <w:rFonts w:asciiTheme="majorHAnsi" w:hAnsiTheme="majorHAnsi"/>
          <w:sz w:val="20"/>
        </w:rPr>
        <w:t>8</w:t>
      </w:r>
      <w:r>
        <w:rPr>
          <w:rFonts w:asciiTheme="majorHAnsi" w:hAnsiTheme="majorHAnsi"/>
          <w:sz w:val="20"/>
        </w:rPr>
        <w:t>.</w:t>
      </w:r>
      <w:r>
        <w:tab/>
      </w:r>
      <w:r>
        <w:rPr>
          <w:rFonts w:asciiTheme="majorHAnsi" w:hAnsiTheme="majorHAnsi"/>
          <w:sz w:val="20"/>
        </w:rPr>
        <w:t>As regards the State's argument that the petition is not currently relevant because certain payments have been made to the petitioner, in compliance with the ruling</w:t>
      </w:r>
      <w:r w:rsidR="00E67178">
        <w:rPr>
          <w:rFonts w:asciiTheme="majorHAnsi" w:hAnsiTheme="majorHAnsi"/>
          <w:sz w:val="20"/>
        </w:rPr>
        <w:t xml:space="preserve"> in</w:t>
      </w:r>
      <w:r w:rsidR="007F525B">
        <w:rPr>
          <w:rFonts w:asciiTheme="majorHAnsi" w:hAnsiTheme="majorHAnsi"/>
          <w:sz w:val="20"/>
        </w:rPr>
        <w:t xml:space="preserve"> </w:t>
      </w:r>
      <w:r w:rsidR="00E67178">
        <w:rPr>
          <w:rFonts w:asciiTheme="majorHAnsi" w:hAnsiTheme="majorHAnsi"/>
          <w:sz w:val="20"/>
        </w:rPr>
        <w:t>administrative</w:t>
      </w:r>
      <w:r>
        <w:rPr>
          <w:rFonts w:asciiTheme="majorHAnsi" w:hAnsiTheme="majorHAnsi"/>
          <w:sz w:val="20"/>
        </w:rPr>
        <w:t xml:space="preserve"> law proceedings that protected her rights, the IACHR takes note of that fact, which it will indeed take into account as part of the factual context of the petition at the review of the merits stage in this report.</w:t>
      </w:r>
      <w:r>
        <w:rPr>
          <w:rStyle w:val="FootnoteReference"/>
          <w:rFonts w:ascii="Cambria" w:hAnsi="Cambria"/>
          <w:sz w:val="20"/>
        </w:rPr>
        <w:footnoteReference w:id="13"/>
      </w:r>
      <w:r>
        <w:rPr>
          <w:rFonts w:asciiTheme="majorHAnsi" w:hAnsiTheme="majorHAnsi"/>
          <w:sz w:val="20"/>
        </w:rPr>
        <w:t xml:space="preserve"> </w:t>
      </w:r>
    </w:p>
    <w:p w14:paraId="2D130666" w14:textId="77777777" w:rsidR="003239B8" w:rsidRPr="00A53B9D" w:rsidRDefault="003239B8" w:rsidP="003239B8">
      <w:pPr>
        <w:pStyle w:val="ListParagraph"/>
        <w:spacing w:before="240" w:after="240"/>
        <w:jc w:val="both"/>
        <w:rPr>
          <w:rFonts w:asciiTheme="majorHAnsi" w:hAnsiTheme="majorHAnsi"/>
          <w:b/>
          <w:bCs/>
          <w:sz w:val="20"/>
          <w:szCs w:val="20"/>
        </w:rPr>
      </w:pPr>
      <w:r>
        <w:rPr>
          <w:rFonts w:asciiTheme="majorHAnsi" w:hAnsiTheme="majorHAnsi"/>
          <w:b/>
          <w:sz w:val="20"/>
        </w:rPr>
        <w:t xml:space="preserve">VIII. </w:t>
      </w:r>
      <w:r>
        <w:tab/>
      </w:r>
      <w:r>
        <w:rPr>
          <w:rFonts w:asciiTheme="majorHAnsi" w:hAnsiTheme="majorHAnsi"/>
          <w:b/>
          <w:sz w:val="20"/>
        </w:rPr>
        <w:t>DECISION</w:t>
      </w:r>
    </w:p>
    <w:p w14:paraId="4DE93C23" w14:textId="5648BE9B" w:rsidR="000419AD" w:rsidRPr="00A53B9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To find the instant petition admissible in relation to Article XVI of the American Declaration and to Articles 8, </w:t>
      </w:r>
      <w:r w:rsidR="00E67178">
        <w:rPr>
          <w:rFonts w:asciiTheme="majorHAnsi" w:hAnsiTheme="majorHAnsi"/>
          <w:sz w:val="20"/>
        </w:rPr>
        <w:t xml:space="preserve">21, </w:t>
      </w:r>
      <w:r w:rsidR="00E43D3C">
        <w:rPr>
          <w:rFonts w:asciiTheme="majorHAnsi" w:hAnsiTheme="majorHAnsi"/>
          <w:sz w:val="20"/>
        </w:rPr>
        <w:t xml:space="preserve">24, </w:t>
      </w:r>
      <w:r w:rsidR="00E67178">
        <w:rPr>
          <w:rFonts w:asciiTheme="majorHAnsi" w:hAnsiTheme="majorHAnsi"/>
          <w:sz w:val="20"/>
        </w:rPr>
        <w:t>25</w:t>
      </w:r>
      <w:r>
        <w:rPr>
          <w:rFonts w:asciiTheme="majorHAnsi" w:hAnsiTheme="majorHAnsi"/>
          <w:sz w:val="20"/>
        </w:rPr>
        <w:t>, and 26 of the American Convention, in conjunction with Article 1.1. thereof; and</w:t>
      </w:r>
    </w:p>
    <w:p w14:paraId="07B4F6B1" w14:textId="34FE5DEC" w:rsidR="00722C9F" w:rsidRPr="006C0C71"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To notify the parties of this decision; to continue with the analysis on the merits; and to publish this decision and include it in its Annual Report to the General Assembly of the Organization of American States.</w:t>
      </w:r>
    </w:p>
    <w:p w14:paraId="01199616" w14:textId="793506A9" w:rsidR="006C0C71" w:rsidRDefault="006C0C71" w:rsidP="006C0C71">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8</w:t>
      </w:r>
      <w:r w:rsidRPr="006C0C71">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Pr>
          <w:rFonts w:asciiTheme="majorHAnsi" w:hAnsiTheme="majorHAnsi" w:cs="Arial"/>
          <w:noProof/>
          <w:spacing w:val="-2"/>
          <w:sz w:val="20"/>
          <w:szCs w:val="20"/>
        </w:rPr>
        <w:t>and</w:t>
      </w:r>
      <w:r w:rsidRPr="00DD57A5">
        <w:rPr>
          <w:rFonts w:asciiTheme="majorHAnsi" w:hAnsiTheme="majorHAnsi" w:cs="Arial"/>
          <w:noProof/>
          <w:spacing w:val="-2"/>
          <w:sz w:val="20"/>
          <w:szCs w:val="20"/>
        </w:rPr>
        <w:t xml:space="preserve"> Esmeralda E. Arosemena Bernal de Troitiño,</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14:paraId="1D65F902" w14:textId="77777777" w:rsidR="006C0C71" w:rsidRPr="00A53B9D" w:rsidRDefault="006C0C71" w:rsidP="006C0C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6C0C71" w:rsidRPr="00A53B9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A0D5D" w14:textId="77777777" w:rsidR="00EE4813" w:rsidRDefault="00EE4813">
      <w:r>
        <w:separator/>
      </w:r>
    </w:p>
  </w:endnote>
  <w:endnote w:type="continuationSeparator" w:id="0">
    <w:p w14:paraId="62E2852A" w14:textId="77777777" w:rsidR="00EE4813" w:rsidRDefault="00EE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6CDD5D6" w14:textId="2DFAE897" w:rsidR="00867D4C" w:rsidRPr="00934A2C" w:rsidRDefault="00867D4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B3F51">
          <w:rPr>
            <w:noProof/>
            <w:sz w:val="16"/>
            <w:szCs w:val="22"/>
          </w:rPr>
          <w:t>1</w:t>
        </w:r>
        <w:r w:rsidRPr="00934A2C">
          <w:rPr>
            <w:noProof/>
            <w:sz w:val="16"/>
            <w:szCs w:val="22"/>
          </w:rPr>
          <w:fldChar w:fldCharType="end"/>
        </w:r>
      </w:p>
    </w:sdtContent>
  </w:sdt>
  <w:p w14:paraId="11914B63" w14:textId="77777777" w:rsidR="00867D4C" w:rsidRDefault="00867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8109D" w14:textId="77777777" w:rsidR="00867D4C" w:rsidRPr="00934A2C" w:rsidRDefault="00867D4C">
    <w:pPr>
      <w:pStyle w:val="Footer"/>
      <w:jc w:val="center"/>
      <w:rPr>
        <w:sz w:val="16"/>
        <w:szCs w:val="22"/>
      </w:rPr>
    </w:pPr>
  </w:p>
  <w:p w14:paraId="17E21F45" w14:textId="77777777" w:rsidR="00867D4C" w:rsidRDefault="00867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B1FE5" w14:textId="77777777" w:rsidR="00EE4813" w:rsidRPr="000F35ED" w:rsidRDefault="00EE481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86D546" w14:textId="77777777" w:rsidR="00EE4813" w:rsidRPr="000F35ED" w:rsidRDefault="00EE4813" w:rsidP="000F35ED">
      <w:pPr>
        <w:rPr>
          <w:rFonts w:asciiTheme="majorHAnsi" w:hAnsiTheme="majorHAnsi"/>
          <w:sz w:val="16"/>
          <w:szCs w:val="16"/>
        </w:rPr>
      </w:pPr>
      <w:r w:rsidRPr="000F35ED">
        <w:rPr>
          <w:rFonts w:asciiTheme="majorHAnsi" w:hAnsiTheme="majorHAnsi"/>
          <w:sz w:val="16"/>
          <w:szCs w:val="16"/>
        </w:rPr>
        <w:separator/>
      </w:r>
    </w:p>
    <w:p w14:paraId="2FB0CEAC" w14:textId="77777777" w:rsidR="00EE4813" w:rsidRPr="000F35ED" w:rsidRDefault="00EE4813" w:rsidP="000F35ED">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w:t>
      </w:r>
      <w:r w:rsidRPr="000F35ED">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6058D95B" w14:textId="77777777" w:rsidR="00EE4813" w:rsidRPr="000F35ED" w:rsidRDefault="00EE4813" w:rsidP="000F35ED">
      <w:pPr>
        <w:jc w:val="right"/>
        <w:rPr>
          <w:rFonts w:asciiTheme="majorHAnsi" w:hAnsiTheme="majorHAnsi"/>
          <w:sz w:val="16"/>
          <w:szCs w:val="16"/>
          <w:lang w:val="es-ES"/>
        </w:rPr>
      </w:pPr>
      <w:r>
        <w:rPr>
          <w:rFonts w:asciiTheme="majorHAnsi" w:hAnsiTheme="majorHAnsi"/>
          <w:sz w:val="16"/>
          <w:szCs w:val="16"/>
          <w:lang w:val="es-ES"/>
        </w:rPr>
        <w:t>[</w:t>
      </w:r>
      <w:proofErr w:type="spellStart"/>
      <w:r>
        <w:rPr>
          <w:rFonts w:asciiTheme="majorHAnsi" w:hAnsiTheme="majorHAnsi"/>
          <w:sz w:val="16"/>
          <w:szCs w:val="16"/>
          <w:lang w:val="es-ES"/>
        </w:rPr>
        <w:t>cont</w:t>
      </w:r>
      <w:proofErr w:type="spell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0F369D3" w14:textId="77777777" w:rsidR="00867D4C" w:rsidRPr="00B36A25" w:rsidRDefault="00867D4C" w:rsidP="00D30E43">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Pursuant to Article 17(2</w:t>
      </w:r>
      <w:proofErr w:type="gramStart"/>
      <w:r>
        <w:rPr>
          <w:rFonts w:asciiTheme="majorHAnsi" w:hAnsiTheme="majorHAnsi"/>
          <w:sz w:val="16"/>
        </w:rPr>
        <w:t>)(</w:t>
      </w:r>
      <w:proofErr w:type="gramEnd"/>
      <w:r>
        <w:rPr>
          <w:rFonts w:asciiTheme="majorHAnsi" w:hAnsiTheme="majorHAnsi"/>
          <w:sz w:val="16"/>
        </w:rPr>
        <w:t xml:space="preserve">a) of the Commission’s Rules of </w:t>
      </w:r>
      <w:r w:rsidR="00E67178">
        <w:rPr>
          <w:rFonts w:asciiTheme="majorHAnsi" w:hAnsiTheme="majorHAnsi"/>
          <w:sz w:val="16"/>
        </w:rPr>
        <w:t>Procedure, Commissioner</w:t>
      </w:r>
      <w:r>
        <w:rPr>
          <w:rFonts w:asciiTheme="majorHAnsi" w:hAnsiTheme="majorHAnsi"/>
          <w:sz w:val="16"/>
        </w:rPr>
        <w:t xml:space="preserve"> Julissa Mantilla Falcón, a Peruvian national, did not participate in the discussion or decision in this matter.</w:t>
      </w:r>
    </w:p>
  </w:footnote>
  <w:footnote w:id="3">
    <w:p w14:paraId="052F92DB" w14:textId="77777777" w:rsidR="00867D4C" w:rsidRPr="00B36A25" w:rsidRDefault="00867D4C" w:rsidP="00D30E43">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Hereinafter “American Convention” or “Convention.”</w:t>
      </w:r>
    </w:p>
  </w:footnote>
  <w:footnote w:id="4">
    <w:p w14:paraId="0D218ED0" w14:textId="77777777" w:rsidR="00867D4C" w:rsidRPr="00B36A25" w:rsidRDefault="00867D4C" w:rsidP="00D30E43">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Hereinafter “Protocol of San Salvador.”</w:t>
      </w:r>
    </w:p>
  </w:footnote>
  <w:footnote w:id="5">
    <w:p w14:paraId="5B707E54" w14:textId="77777777" w:rsidR="002365FA" w:rsidRPr="00B36A25" w:rsidRDefault="002365FA" w:rsidP="00D30E43">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Hereinafter "the American Declaration" or "the Declaration".</w:t>
      </w:r>
    </w:p>
  </w:footnote>
  <w:footnote w:id="6">
    <w:p w14:paraId="05AB4246" w14:textId="77777777" w:rsidR="00867D4C" w:rsidRPr="00B36A25" w:rsidRDefault="00867D4C" w:rsidP="00D30E43">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observations submitted by each party were duly transmitted to the opposing party.</w:t>
      </w:r>
    </w:p>
  </w:footnote>
  <w:footnote w:id="7">
    <w:p w14:paraId="161A1E2C" w14:textId="77777777" w:rsidR="00A53B9D" w:rsidRPr="00B36A25" w:rsidRDefault="00A53B9D" w:rsidP="00D30E43">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55/18, Petition 354-08, </w:t>
      </w:r>
      <w:r w:rsidR="00E67178">
        <w:rPr>
          <w:rFonts w:asciiTheme="majorHAnsi" w:hAnsiTheme="majorHAnsi"/>
          <w:sz w:val="16"/>
        </w:rPr>
        <w:t>Admissibility, Carlos</w:t>
      </w:r>
      <w:r>
        <w:rPr>
          <w:rFonts w:asciiTheme="majorHAnsi" w:hAnsiTheme="majorHAnsi"/>
          <w:sz w:val="16"/>
        </w:rPr>
        <w:t xml:space="preserve"> Alberto </w:t>
      </w:r>
      <w:proofErr w:type="spellStart"/>
      <w:r>
        <w:rPr>
          <w:rFonts w:asciiTheme="majorHAnsi" w:hAnsiTheme="majorHAnsi"/>
          <w:sz w:val="16"/>
        </w:rPr>
        <w:t>Moyano</w:t>
      </w:r>
      <w:proofErr w:type="spellEnd"/>
      <w:r>
        <w:rPr>
          <w:rFonts w:asciiTheme="majorHAnsi" w:hAnsiTheme="majorHAnsi"/>
          <w:sz w:val="16"/>
        </w:rPr>
        <w:t xml:space="preserve"> Dietrich, Peru, May 5, 2018, par. 10.</w:t>
      </w:r>
    </w:p>
  </w:footnote>
  <w:footnote w:id="8">
    <w:p w14:paraId="03042DF1" w14:textId="77777777" w:rsidR="00060FC3" w:rsidRPr="00CB3F51" w:rsidRDefault="00060FC3" w:rsidP="00D30E43">
      <w:pPr>
        <w:pStyle w:val="FootnoteText"/>
        <w:ind w:firstLine="720"/>
        <w:jc w:val="both"/>
        <w:rPr>
          <w:rFonts w:asciiTheme="majorHAnsi" w:hAnsiTheme="majorHAnsi" w:cstheme="minorHAnsi"/>
          <w:sz w:val="16"/>
          <w:szCs w:val="16"/>
          <w:lang w:val="es-US"/>
        </w:rPr>
      </w:pPr>
      <w:r>
        <w:rPr>
          <w:rStyle w:val="FootnoteReference"/>
          <w:rFonts w:asciiTheme="majorHAnsi" w:hAnsiTheme="majorHAnsi" w:cstheme="minorHAnsi"/>
          <w:sz w:val="16"/>
        </w:rPr>
        <w:footnoteRef/>
      </w:r>
      <w:r w:rsidRPr="00E07A43">
        <w:rPr>
          <w:rFonts w:asciiTheme="majorHAnsi" w:hAnsiTheme="majorHAnsi" w:cstheme="minorHAnsi"/>
          <w:sz w:val="16"/>
          <w:lang w:val="es-US"/>
        </w:rPr>
        <w:t xml:space="preserve"> IACHR Report No. 16/18. Admissibility. Victoria Piedad Palacios Tejada de Saavedra, Peru</w:t>
      </w:r>
      <w:r w:rsidRPr="00E07A43">
        <w:rPr>
          <w:rFonts w:asciiTheme="majorHAnsi" w:hAnsiTheme="majorHAnsi" w:cstheme="minorHAnsi"/>
          <w:i/>
          <w:sz w:val="16"/>
          <w:lang w:val="es-US"/>
        </w:rPr>
        <w:t>.</w:t>
      </w:r>
      <w:r w:rsidRPr="00E07A43">
        <w:rPr>
          <w:rFonts w:asciiTheme="majorHAnsi" w:hAnsiTheme="majorHAnsi" w:cstheme="minorHAnsi"/>
          <w:sz w:val="16"/>
          <w:lang w:val="es-US"/>
        </w:rPr>
        <w:t xml:space="preserve"> </w:t>
      </w:r>
      <w:proofErr w:type="spellStart"/>
      <w:r w:rsidRPr="00CB3F51">
        <w:rPr>
          <w:rFonts w:asciiTheme="majorHAnsi" w:hAnsiTheme="majorHAnsi" w:cstheme="minorHAnsi"/>
          <w:sz w:val="16"/>
          <w:lang w:val="es-US"/>
        </w:rPr>
        <w:t>February</w:t>
      </w:r>
      <w:proofErr w:type="spellEnd"/>
      <w:r w:rsidRPr="00CB3F51">
        <w:rPr>
          <w:rFonts w:asciiTheme="majorHAnsi" w:hAnsiTheme="majorHAnsi" w:cstheme="minorHAnsi"/>
          <w:sz w:val="16"/>
          <w:lang w:val="es-US"/>
        </w:rPr>
        <w:t xml:space="preserve"> 24, 2018, par. 12.</w:t>
      </w:r>
    </w:p>
  </w:footnote>
  <w:footnote w:id="9">
    <w:p w14:paraId="5263339E" w14:textId="77777777" w:rsidR="00D30E43" w:rsidRPr="00B36A25" w:rsidRDefault="00D30E43" w:rsidP="00D30E43">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sidRPr="00CB3F51">
        <w:rPr>
          <w:rFonts w:asciiTheme="majorHAnsi" w:hAnsiTheme="majorHAnsi"/>
          <w:sz w:val="16"/>
          <w:lang w:val="es-US"/>
        </w:rPr>
        <w:t xml:space="preserve"> IACHR. </w:t>
      </w:r>
      <w:proofErr w:type="spellStart"/>
      <w:r w:rsidRPr="00CB3F51">
        <w:rPr>
          <w:rFonts w:asciiTheme="majorHAnsi" w:hAnsiTheme="majorHAnsi"/>
          <w:sz w:val="16"/>
          <w:lang w:val="es-US"/>
        </w:rPr>
        <w:t>Report</w:t>
      </w:r>
      <w:proofErr w:type="spellEnd"/>
      <w:r w:rsidRPr="00CB3F51">
        <w:rPr>
          <w:rFonts w:asciiTheme="majorHAnsi" w:hAnsiTheme="majorHAnsi"/>
          <w:sz w:val="16"/>
          <w:lang w:val="es-US"/>
        </w:rPr>
        <w:t xml:space="preserve"> No. 124/06. Case 11.500 (</w:t>
      </w:r>
      <w:proofErr w:type="spellStart"/>
      <w:r w:rsidRPr="00CB3F51">
        <w:rPr>
          <w:rFonts w:asciiTheme="majorHAnsi" w:hAnsiTheme="majorHAnsi"/>
          <w:sz w:val="16"/>
          <w:lang w:val="es-US"/>
        </w:rPr>
        <w:t>Merits</w:t>
      </w:r>
      <w:proofErr w:type="spellEnd"/>
      <w:r w:rsidRPr="00CB3F51">
        <w:rPr>
          <w:rFonts w:asciiTheme="majorHAnsi" w:hAnsiTheme="majorHAnsi"/>
          <w:sz w:val="16"/>
          <w:lang w:val="es-US"/>
        </w:rPr>
        <w:t xml:space="preserve">). </w:t>
      </w:r>
      <w:r w:rsidRPr="004555B7">
        <w:rPr>
          <w:rFonts w:asciiTheme="majorHAnsi" w:hAnsiTheme="majorHAnsi"/>
          <w:sz w:val="16"/>
          <w:lang w:val="es-US"/>
        </w:rPr>
        <w:t xml:space="preserve">Tomás Eduardo Cirio (Uruguay). </w:t>
      </w:r>
      <w:proofErr w:type="spellStart"/>
      <w:r w:rsidRPr="004555B7">
        <w:rPr>
          <w:rFonts w:asciiTheme="majorHAnsi" w:hAnsiTheme="majorHAnsi"/>
          <w:sz w:val="16"/>
          <w:lang w:val="es-US"/>
        </w:rPr>
        <w:t>October</w:t>
      </w:r>
      <w:proofErr w:type="spellEnd"/>
      <w:r w:rsidRPr="004555B7">
        <w:rPr>
          <w:rFonts w:asciiTheme="majorHAnsi" w:hAnsiTheme="majorHAnsi"/>
          <w:sz w:val="16"/>
          <w:lang w:val="es-US"/>
        </w:rPr>
        <w:t xml:space="preserve"> 27, 2006, par. 129; and I/A </w:t>
      </w:r>
      <w:proofErr w:type="spellStart"/>
      <w:r w:rsidRPr="004555B7">
        <w:rPr>
          <w:rFonts w:asciiTheme="majorHAnsi" w:hAnsiTheme="majorHAnsi"/>
          <w:sz w:val="16"/>
          <w:lang w:val="es-US"/>
        </w:rPr>
        <w:t>Court</w:t>
      </w:r>
      <w:proofErr w:type="spellEnd"/>
      <w:r w:rsidRPr="004555B7">
        <w:rPr>
          <w:rFonts w:asciiTheme="majorHAnsi" w:hAnsiTheme="majorHAnsi"/>
          <w:sz w:val="16"/>
          <w:lang w:val="es-US"/>
        </w:rPr>
        <w:t xml:space="preserve"> H.R., </w:t>
      </w:r>
      <w:r w:rsidRPr="004555B7">
        <w:rPr>
          <w:rFonts w:asciiTheme="majorHAnsi" w:hAnsiTheme="majorHAnsi" w:cstheme="minorHAnsi"/>
          <w:i/>
          <w:sz w:val="16"/>
          <w:lang w:val="es-US"/>
        </w:rPr>
        <w:t xml:space="preserve">Velásquez Rodríguez Case v. </w:t>
      </w:r>
      <w:r w:rsidRPr="004555B7">
        <w:rPr>
          <w:rFonts w:asciiTheme="majorHAnsi" w:hAnsiTheme="majorHAnsi"/>
          <w:sz w:val="16"/>
          <w:lang w:val="es-US"/>
        </w:rPr>
        <w:t xml:space="preserve">Honduras. </w:t>
      </w:r>
      <w:r>
        <w:rPr>
          <w:rFonts w:asciiTheme="majorHAnsi" w:hAnsiTheme="majorHAnsi"/>
          <w:sz w:val="16"/>
        </w:rPr>
        <w:t>Series C No. 7, par. 25.</w:t>
      </w:r>
    </w:p>
  </w:footnote>
  <w:footnote w:id="10">
    <w:p w14:paraId="42C00FAA" w14:textId="77777777" w:rsidR="00D23525" w:rsidRPr="00B36A25" w:rsidRDefault="00D23525" w:rsidP="00D23525">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15/15, Petition 374-05, Admissibility, </w:t>
      </w:r>
      <w:r>
        <w:rPr>
          <w:rFonts w:asciiTheme="majorHAnsi" w:hAnsiTheme="majorHAnsi"/>
          <w:b/>
          <w:sz w:val="16"/>
        </w:rPr>
        <w:t>M</w:t>
      </w:r>
      <w:r>
        <w:rPr>
          <w:rFonts w:asciiTheme="majorHAnsi" w:hAnsiTheme="majorHAnsi"/>
          <w:sz w:val="16"/>
        </w:rPr>
        <w:t>embers of the Trade Union of Workers of the National Federation of Coffee Growers of Colombia, Colombia, March 24, 2015, par. 32.</w:t>
      </w:r>
    </w:p>
  </w:footnote>
  <w:footnote w:id="11">
    <w:p w14:paraId="5D25C060" w14:textId="77777777" w:rsidR="00D23525" w:rsidRPr="004555B7" w:rsidRDefault="00D23525" w:rsidP="00D23525">
      <w:pPr>
        <w:pStyle w:val="FootnoteText"/>
        <w:ind w:firstLine="720"/>
        <w:jc w:val="both"/>
        <w:rPr>
          <w:rFonts w:asciiTheme="majorHAnsi" w:hAnsiTheme="majorHAnsi"/>
          <w:sz w:val="16"/>
          <w:szCs w:val="16"/>
          <w:lang w:val="es-US"/>
        </w:rPr>
      </w:pPr>
      <w:r>
        <w:rPr>
          <w:rStyle w:val="FootnoteReference"/>
          <w:rFonts w:asciiTheme="majorHAnsi" w:hAnsiTheme="majorHAnsi"/>
          <w:sz w:val="16"/>
        </w:rPr>
        <w:footnoteRef/>
      </w:r>
      <w:r>
        <w:rPr>
          <w:rFonts w:asciiTheme="majorHAnsi" w:hAnsiTheme="majorHAnsi"/>
          <w:sz w:val="16"/>
        </w:rPr>
        <w:t xml:space="preserve"> IACHR, Report No. 79-16, Petition 1077-98 and others. </w:t>
      </w:r>
      <w:proofErr w:type="spellStart"/>
      <w:r w:rsidRPr="004555B7">
        <w:rPr>
          <w:rFonts w:asciiTheme="majorHAnsi" w:hAnsiTheme="majorHAnsi"/>
          <w:sz w:val="16"/>
          <w:lang w:val="es-US"/>
        </w:rPr>
        <w:t>Admissibility</w:t>
      </w:r>
      <w:proofErr w:type="spellEnd"/>
      <w:r w:rsidRPr="004555B7">
        <w:rPr>
          <w:rFonts w:asciiTheme="majorHAnsi" w:hAnsiTheme="majorHAnsi"/>
          <w:sz w:val="16"/>
          <w:lang w:val="es-US"/>
        </w:rPr>
        <w:t xml:space="preserve">,  Emiliano Romero </w:t>
      </w:r>
      <w:proofErr w:type="spellStart"/>
      <w:r w:rsidRPr="004555B7">
        <w:rPr>
          <w:rFonts w:asciiTheme="majorHAnsi" w:hAnsiTheme="majorHAnsi"/>
          <w:sz w:val="16"/>
          <w:lang w:val="es-US"/>
        </w:rPr>
        <w:t>Bendezú</w:t>
      </w:r>
      <w:proofErr w:type="spellEnd"/>
      <w:r w:rsidRPr="004555B7">
        <w:rPr>
          <w:rFonts w:asciiTheme="majorHAnsi" w:hAnsiTheme="majorHAnsi"/>
          <w:sz w:val="16"/>
          <w:lang w:val="es-US"/>
        </w:rPr>
        <w:t xml:space="preserve"> et al., </w:t>
      </w:r>
      <w:proofErr w:type="spellStart"/>
      <w:r w:rsidRPr="004555B7">
        <w:rPr>
          <w:rFonts w:asciiTheme="majorHAnsi" w:hAnsiTheme="majorHAnsi"/>
          <w:sz w:val="16"/>
          <w:lang w:val="es-US"/>
        </w:rPr>
        <w:t>Peru</w:t>
      </w:r>
      <w:proofErr w:type="spellEnd"/>
      <w:r w:rsidRPr="004555B7">
        <w:rPr>
          <w:rFonts w:asciiTheme="majorHAnsi" w:hAnsiTheme="majorHAnsi"/>
          <w:sz w:val="16"/>
          <w:lang w:val="es-US"/>
        </w:rPr>
        <w:t xml:space="preserve">, </w:t>
      </w:r>
      <w:proofErr w:type="spellStart"/>
      <w:r w:rsidRPr="004555B7">
        <w:rPr>
          <w:rFonts w:asciiTheme="majorHAnsi" w:hAnsiTheme="majorHAnsi"/>
          <w:sz w:val="16"/>
          <w:lang w:val="es-US"/>
        </w:rPr>
        <w:t>December</w:t>
      </w:r>
      <w:proofErr w:type="spellEnd"/>
      <w:r w:rsidRPr="004555B7">
        <w:rPr>
          <w:rFonts w:asciiTheme="majorHAnsi" w:hAnsiTheme="majorHAnsi"/>
          <w:sz w:val="16"/>
          <w:lang w:val="es-US"/>
        </w:rPr>
        <w:t xml:space="preserve"> 30, 2016, par. 29. </w:t>
      </w:r>
    </w:p>
  </w:footnote>
  <w:footnote w:id="12">
    <w:p w14:paraId="0C5217FE" w14:textId="77777777" w:rsidR="00867D4C" w:rsidRPr="00B36A25" w:rsidRDefault="00867D4C" w:rsidP="009C6E2C">
      <w:pPr>
        <w:pStyle w:val="FootnoteText"/>
        <w:ind w:firstLine="720"/>
        <w:jc w:val="both"/>
        <w:rPr>
          <w:rFonts w:asciiTheme="majorHAnsi" w:hAnsiTheme="majorHAnsi" w:cstheme="minorHAnsi"/>
          <w:sz w:val="16"/>
          <w:szCs w:val="16"/>
        </w:rPr>
      </w:pPr>
      <w:r>
        <w:rPr>
          <w:rStyle w:val="FootnoteReference"/>
          <w:rFonts w:asciiTheme="majorHAnsi" w:hAnsiTheme="majorHAnsi" w:cstheme="minorHAnsi"/>
          <w:sz w:val="16"/>
        </w:rPr>
        <w:footnoteRef/>
      </w:r>
      <w:r>
        <w:rPr>
          <w:rFonts w:asciiTheme="majorHAnsi" w:hAnsiTheme="majorHAnsi" w:cstheme="minorHAnsi"/>
          <w:sz w:val="16"/>
        </w:rPr>
        <w:t xml:space="preserve"> IACHR Report No. 76/19. Admissibility. Hugo Eduardo </w:t>
      </w:r>
      <w:proofErr w:type="spellStart"/>
      <w:r>
        <w:rPr>
          <w:rFonts w:asciiTheme="majorHAnsi" w:hAnsiTheme="majorHAnsi" w:cstheme="minorHAnsi"/>
          <w:sz w:val="16"/>
        </w:rPr>
        <w:t>Ibarbuden</w:t>
      </w:r>
      <w:proofErr w:type="spellEnd"/>
      <w:r>
        <w:rPr>
          <w:rFonts w:asciiTheme="majorHAnsi" w:hAnsiTheme="majorHAnsi" w:cstheme="minorHAnsi"/>
          <w:sz w:val="16"/>
        </w:rPr>
        <w:t>. Argentina. May 21, 2019, par. 12.</w:t>
      </w:r>
    </w:p>
  </w:footnote>
  <w:footnote w:id="13">
    <w:p w14:paraId="756EA3C2" w14:textId="77777777" w:rsidR="00882FD7" w:rsidRPr="00E43D3C" w:rsidRDefault="00882FD7" w:rsidP="00882FD7">
      <w:pPr>
        <w:pStyle w:val="FootnoteText"/>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In this regard, see, for instance, IACHR, Report No. 55/08, </w:t>
      </w:r>
      <w:proofErr w:type="gramStart"/>
      <w:r>
        <w:rPr>
          <w:rFonts w:ascii="Cambria" w:hAnsi="Cambria"/>
          <w:sz w:val="16"/>
        </w:rPr>
        <w:t>Petition</w:t>
      </w:r>
      <w:proofErr w:type="gramEnd"/>
      <w:r>
        <w:rPr>
          <w:rFonts w:ascii="Cambria" w:hAnsi="Cambria"/>
          <w:sz w:val="16"/>
        </w:rPr>
        <w:t xml:space="preserve"> 532-98. Admissibility. Workers </w:t>
      </w:r>
      <w:proofErr w:type="gramStart"/>
      <w:r>
        <w:rPr>
          <w:rFonts w:ascii="Cambria" w:hAnsi="Cambria"/>
          <w:sz w:val="16"/>
        </w:rPr>
        <w:t xml:space="preserve">of  </w:t>
      </w:r>
      <w:proofErr w:type="spellStart"/>
      <w:r>
        <w:rPr>
          <w:rFonts w:ascii="Cambria" w:hAnsi="Cambria"/>
          <w:sz w:val="16"/>
        </w:rPr>
        <w:t>Empresa</w:t>
      </w:r>
      <w:proofErr w:type="spellEnd"/>
      <w:proofErr w:type="gramEnd"/>
      <w:r>
        <w:rPr>
          <w:rFonts w:ascii="Cambria" w:hAnsi="Cambria"/>
          <w:sz w:val="16"/>
        </w:rPr>
        <w:t xml:space="preserve"> Nacional de </w:t>
      </w:r>
      <w:proofErr w:type="spellStart"/>
      <w:r>
        <w:rPr>
          <w:rFonts w:ascii="Cambria" w:hAnsi="Cambria"/>
          <w:sz w:val="16"/>
        </w:rPr>
        <w:t>Puertos</w:t>
      </w:r>
      <w:proofErr w:type="spellEnd"/>
      <w:r>
        <w:rPr>
          <w:rFonts w:ascii="Cambria" w:hAnsi="Cambria"/>
          <w:sz w:val="16"/>
        </w:rPr>
        <w:t xml:space="preserve"> S.A. (ENAPU). Peru</w:t>
      </w:r>
      <w:r>
        <w:rPr>
          <w:rFonts w:ascii="Cambria" w:hAnsi="Cambria"/>
          <w:i/>
          <w:sz w:val="16"/>
        </w:rPr>
        <w:t>.</w:t>
      </w:r>
      <w:r>
        <w:rPr>
          <w:rFonts w:ascii="Cambria" w:hAnsi="Cambria"/>
          <w:sz w:val="16"/>
        </w:rPr>
        <w:t xml:space="preserve">  July 24, 2008, par.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51BF8" w14:textId="77777777" w:rsidR="00867D4C" w:rsidRDefault="00867D4C" w:rsidP="00867D4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9AEB0D8" w14:textId="77777777" w:rsidR="00867D4C" w:rsidRDefault="00867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28294" w14:textId="77777777" w:rsidR="00CB3F51" w:rsidRDefault="00CB3F51" w:rsidP="00CB3F51">
    <w:pPr>
      <w:pStyle w:val="Header"/>
      <w:tabs>
        <w:tab w:val="clear" w:pos="4320"/>
        <w:tab w:val="clear" w:pos="8640"/>
      </w:tabs>
      <w:jc w:val="center"/>
      <w:rPr>
        <w:sz w:val="22"/>
        <w:szCs w:val="22"/>
      </w:rPr>
    </w:pPr>
    <w:r>
      <w:rPr>
        <w:noProof/>
        <w:sz w:val="22"/>
        <w:szCs w:val="22"/>
      </w:rPr>
      <w:drawing>
        <wp:inline distT="0" distB="0" distL="0" distR="0" wp14:anchorId="59F83B4F" wp14:editId="230833D9">
          <wp:extent cx="2190750" cy="123825"/>
          <wp:effectExtent l="0" t="0" r="0" b="0"/>
          <wp:docPr id="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23825"/>
                  </a:xfrm>
                  <a:prstGeom prst="rect">
                    <a:avLst/>
                  </a:prstGeom>
                  <a:noFill/>
                  <a:ln>
                    <a:noFill/>
                  </a:ln>
                </pic:spPr>
              </pic:pic>
            </a:graphicData>
          </a:graphic>
        </wp:inline>
      </w:drawing>
    </w:r>
  </w:p>
  <w:p w14:paraId="6DBC8602" w14:textId="77777777" w:rsidR="00867D4C" w:rsidRPr="00EC7D62" w:rsidRDefault="00EE4813" w:rsidP="00A50FCF">
    <w:pPr>
      <w:pStyle w:val="Header"/>
      <w:tabs>
        <w:tab w:val="clear" w:pos="4320"/>
        <w:tab w:val="clear" w:pos="8640"/>
      </w:tabs>
      <w:jc w:val="center"/>
      <w:rPr>
        <w:sz w:val="22"/>
        <w:szCs w:val="22"/>
      </w:rPr>
    </w:pPr>
    <w:r>
      <w:rPr>
        <w:noProof/>
        <w:sz w:val="22"/>
        <w:szCs w:val="22"/>
        <w:bdr w:val="nil"/>
      </w:rPr>
      <w:pict w14:anchorId="3808495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5834A4C"/>
    <w:multiLevelType w:val="hybridMultilevel"/>
    <w:tmpl w:val="EE9EBA92"/>
    <w:styleLink w:val="EstiloImportado20"/>
    <w:lvl w:ilvl="0" w:tplc="F49228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AE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E5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8A4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7E1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6C8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03A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19"/>
  </w:num>
  <w:num w:numId="5">
    <w:abstractNumId w:val="48"/>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4"/>
  </w:num>
  <w:num w:numId="38">
    <w:abstractNumId w:val="35"/>
  </w:num>
  <w:num w:numId="39">
    <w:abstractNumId w:val="39"/>
  </w:num>
  <w:num w:numId="40">
    <w:abstractNumId w:val="40"/>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8"/>
  </w:num>
  <w:num w:numId="52">
    <w:abstractNumId w:val="41"/>
  </w:num>
  <w:num w:numId="53">
    <w:abstractNumId w:val="51"/>
  </w:num>
  <w:num w:numId="54">
    <w:abstractNumId w:val="46"/>
  </w:num>
  <w:num w:numId="55">
    <w:abstractNumId w:val="44"/>
  </w:num>
  <w:num w:numId="56">
    <w:abstractNumId w:val="25"/>
  </w:num>
  <w:num w:numId="57">
    <w:abstractNumId w:val="23"/>
  </w:num>
  <w:num w:numId="58">
    <w:abstractNumId w:val="36"/>
  </w:num>
  <w:num w:numId="59">
    <w:abstractNumId w:val="43"/>
  </w:num>
  <w:num w:numId="60">
    <w:abstractNumId w:val="33"/>
  </w:num>
  <w:num w:numId="61">
    <w:abstractNumId w:val="33"/>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4886"/>
    <w:rsid w:val="0001788C"/>
    <w:rsid w:val="00022E02"/>
    <w:rsid w:val="00025731"/>
    <w:rsid w:val="000304DE"/>
    <w:rsid w:val="000337EF"/>
    <w:rsid w:val="00036029"/>
    <w:rsid w:val="00040C3A"/>
    <w:rsid w:val="000419AD"/>
    <w:rsid w:val="000433C9"/>
    <w:rsid w:val="00060FC3"/>
    <w:rsid w:val="00071174"/>
    <w:rsid w:val="000716C5"/>
    <w:rsid w:val="00075E23"/>
    <w:rsid w:val="00081BE3"/>
    <w:rsid w:val="0009344A"/>
    <w:rsid w:val="000A392E"/>
    <w:rsid w:val="000A575F"/>
    <w:rsid w:val="000B22F3"/>
    <w:rsid w:val="000D05CB"/>
    <w:rsid w:val="000D10DB"/>
    <w:rsid w:val="000E5EB5"/>
    <w:rsid w:val="000F35ED"/>
    <w:rsid w:val="00103E63"/>
    <w:rsid w:val="00107131"/>
    <w:rsid w:val="0010736F"/>
    <w:rsid w:val="00113F73"/>
    <w:rsid w:val="00121CC2"/>
    <w:rsid w:val="00131425"/>
    <w:rsid w:val="00133EE5"/>
    <w:rsid w:val="00167A34"/>
    <w:rsid w:val="00177FB4"/>
    <w:rsid w:val="001A520D"/>
    <w:rsid w:val="001A6CFA"/>
    <w:rsid w:val="001A7870"/>
    <w:rsid w:val="001B3A00"/>
    <w:rsid w:val="001C1B41"/>
    <w:rsid w:val="001D65EF"/>
    <w:rsid w:val="001E49E7"/>
    <w:rsid w:val="001F7201"/>
    <w:rsid w:val="001F7560"/>
    <w:rsid w:val="00223A29"/>
    <w:rsid w:val="002250A3"/>
    <w:rsid w:val="00235217"/>
    <w:rsid w:val="002353B2"/>
    <w:rsid w:val="002365FA"/>
    <w:rsid w:val="00241345"/>
    <w:rsid w:val="00246D1F"/>
    <w:rsid w:val="00247403"/>
    <w:rsid w:val="00247542"/>
    <w:rsid w:val="00266B61"/>
    <w:rsid w:val="0026712A"/>
    <w:rsid w:val="002704DB"/>
    <w:rsid w:val="002915FB"/>
    <w:rsid w:val="0029456C"/>
    <w:rsid w:val="002A0AAE"/>
    <w:rsid w:val="002A5820"/>
    <w:rsid w:val="002D2B26"/>
    <w:rsid w:val="002D6B65"/>
    <w:rsid w:val="002D7EA2"/>
    <w:rsid w:val="002E187C"/>
    <w:rsid w:val="00302733"/>
    <w:rsid w:val="00305835"/>
    <w:rsid w:val="00306F33"/>
    <w:rsid w:val="00314078"/>
    <w:rsid w:val="0031535D"/>
    <w:rsid w:val="003239B8"/>
    <w:rsid w:val="0033169F"/>
    <w:rsid w:val="00344977"/>
    <w:rsid w:val="00346C95"/>
    <w:rsid w:val="003535E3"/>
    <w:rsid w:val="00356185"/>
    <w:rsid w:val="00360380"/>
    <w:rsid w:val="0036143A"/>
    <w:rsid w:val="00367C39"/>
    <w:rsid w:val="00367C73"/>
    <w:rsid w:val="0037519E"/>
    <w:rsid w:val="00386CF0"/>
    <w:rsid w:val="00395DD5"/>
    <w:rsid w:val="003B6CD2"/>
    <w:rsid w:val="003B70FB"/>
    <w:rsid w:val="003B718C"/>
    <w:rsid w:val="003C676B"/>
    <w:rsid w:val="003D16F1"/>
    <w:rsid w:val="003D3BC2"/>
    <w:rsid w:val="003E6CA1"/>
    <w:rsid w:val="003F5154"/>
    <w:rsid w:val="00405F9C"/>
    <w:rsid w:val="004065A8"/>
    <w:rsid w:val="004165C2"/>
    <w:rsid w:val="00441ECB"/>
    <w:rsid w:val="00445193"/>
    <w:rsid w:val="004456DF"/>
    <w:rsid w:val="004555B7"/>
    <w:rsid w:val="00456CB7"/>
    <w:rsid w:val="00462C1B"/>
    <w:rsid w:val="00462E1E"/>
    <w:rsid w:val="00467B7E"/>
    <w:rsid w:val="00473BB4"/>
    <w:rsid w:val="0047418D"/>
    <w:rsid w:val="00477592"/>
    <w:rsid w:val="00486F1C"/>
    <w:rsid w:val="0049419D"/>
    <w:rsid w:val="004A6A54"/>
    <w:rsid w:val="004B03CA"/>
    <w:rsid w:val="004B421C"/>
    <w:rsid w:val="004C20D2"/>
    <w:rsid w:val="004C2312"/>
    <w:rsid w:val="004C4B62"/>
    <w:rsid w:val="004C54C9"/>
    <w:rsid w:val="004D4ABA"/>
    <w:rsid w:val="004D6025"/>
    <w:rsid w:val="004E2649"/>
    <w:rsid w:val="004E463C"/>
    <w:rsid w:val="004F60F3"/>
    <w:rsid w:val="004F626F"/>
    <w:rsid w:val="00501396"/>
    <w:rsid w:val="00501399"/>
    <w:rsid w:val="005047ED"/>
    <w:rsid w:val="00505C39"/>
    <w:rsid w:val="0050633D"/>
    <w:rsid w:val="00507BC4"/>
    <w:rsid w:val="005128E4"/>
    <w:rsid w:val="005133DB"/>
    <w:rsid w:val="00514504"/>
    <w:rsid w:val="00521E1F"/>
    <w:rsid w:val="00525560"/>
    <w:rsid w:val="005271C1"/>
    <w:rsid w:val="00544C49"/>
    <w:rsid w:val="005516A1"/>
    <w:rsid w:val="005559EF"/>
    <w:rsid w:val="00563557"/>
    <w:rsid w:val="00564D63"/>
    <w:rsid w:val="005676B5"/>
    <w:rsid w:val="00573BFD"/>
    <w:rsid w:val="0057402A"/>
    <w:rsid w:val="005762F0"/>
    <w:rsid w:val="005771D0"/>
    <w:rsid w:val="00577717"/>
    <w:rsid w:val="00591302"/>
    <w:rsid w:val="0059191A"/>
    <w:rsid w:val="005921FF"/>
    <w:rsid w:val="005A24ED"/>
    <w:rsid w:val="005A5E11"/>
    <w:rsid w:val="005A6D0E"/>
    <w:rsid w:val="005B52B0"/>
    <w:rsid w:val="005B6806"/>
    <w:rsid w:val="005C4225"/>
    <w:rsid w:val="005C75AC"/>
    <w:rsid w:val="005F0DAD"/>
    <w:rsid w:val="005F0F33"/>
    <w:rsid w:val="00600DEB"/>
    <w:rsid w:val="006141DC"/>
    <w:rsid w:val="00627C9F"/>
    <w:rsid w:val="006311E9"/>
    <w:rsid w:val="00632354"/>
    <w:rsid w:val="00635398"/>
    <w:rsid w:val="00635421"/>
    <w:rsid w:val="00642810"/>
    <w:rsid w:val="006448C4"/>
    <w:rsid w:val="00652333"/>
    <w:rsid w:val="006548E8"/>
    <w:rsid w:val="00675411"/>
    <w:rsid w:val="0068009E"/>
    <w:rsid w:val="00692219"/>
    <w:rsid w:val="006A17D2"/>
    <w:rsid w:val="006A73E6"/>
    <w:rsid w:val="006B2D5C"/>
    <w:rsid w:val="006C0C71"/>
    <w:rsid w:val="006C0ECF"/>
    <w:rsid w:val="006C4EB1"/>
    <w:rsid w:val="006C6212"/>
    <w:rsid w:val="006E0166"/>
    <w:rsid w:val="006E2FFB"/>
    <w:rsid w:val="006E7B34"/>
    <w:rsid w:val="0070697F"/>
    <w:rsid w:val="007103C4"/>
    <w:rsid w:val="00717D54"/>
    <w:rsid w:val="0072199C"/>
    <w:rsid w:val="0072258D"/>
    <w:rsid w:val="00722C9F"/>
    <w:rsid w:val="007253B8"/>
    <w:rsid w:val="00726C77"/>
    <w:rsid w:val="00727571"/>
    <w:rsid w:val="00732969"/>
    <w:rsid w:val="0073741F"/>
    <w:rsid w:val="0075767B"/>
    <w:rsid w:val="0076643F"/>
    <w:rsid w:val="00777F63"/>
    <w:rsid w:val="007978DA"/>
    <w:rsid w:val="007A5817"/>
    <w:rsid w:val="007B05C4"/>
    <w:rsid w:val="007B29D3"/>
    <w:rsid w:val="007B60E9"/>
    <w:rsid w:val="007B6CC3"/>
    <w:rsid w:val="007B76D3"/>
    <w:rsid w:val="007C3334"/>
    <w:rsid w:val="007D26D5"/>
    <w:rsid w:val="007D2B98"/>
    <w:rsid w:val="007E21BC"/>
    <w:rsid w:val="007E7C82"/>
    <w:rsid w:val="007F2AA1"/>
    <w:rsid w:val="007F525B"/>
    <w:rsid w:val="007F588D"/>
    <w:rsid w:val="00803F1C"/>
    <w:rsid w:val="0080600E"/>
    <w:rsid w:val="00814688"/>
    <w:rsid w:val="00817612"/>
    <w:rsid w:val="00821D6C"/>
    <w:rsid w:val="008338A4"/>
    <w:rsid w:val="00834D49"/>
    <w:rsid w:val="00837C45"/>
    <w:rsid w:val="00840A14"/>
    <w:rsid w:val="00844730"/>
    <w:rsid w:val="008457C2"/>
    <w:rsid w:val="00857A82"/>
    <w:rsid w:val="008678C2"/>
    <w:rsid w:val="00867D4C"/>
    <w:rsid w:val="00873836"/>
    <w:rsid w:val="00882FD7"/>
    <w:rsid w:val="00885737"/>
    <w:rsid w:val="00890650"/>
    <w:rsid w:val="008944DC"/>
    <w:rsid w:val="00897E12"/>
    <w:rsid w:val="008A7E0F"/>
    <w:rsid w:val="008B12F5"/>
    <w:rsid w:val="008C0C47"/>
    <w:rsid w:val="008C5E2D"/>
    <w:rsid w:val="008D768D"/>
    <w:rsid w:val="008E3759"/>
    <w:rsid w:val="008E3BFE"/>
    <w:rsid w:val="008E5767"/>
    <w:rsid w:val="008E5F27"/>
    <w:rsid w:val="008E73B0"/>
    <w:rsid w:val="008F1912"/>
    <w:rsid w:val="0090270B"/>
    <w:rsid w:val="009041DC"/>
    <w:rsid w:val="00910D93"/>
    <w:rsid w:val="00917B5A"/>
    <w:rsid w:val="00920A58"/>
    <w:rsid w:val="00920A8C"/>
    <w:rsid w:val="00934A2C"/>
    <w:rsid w:val="0096706E"/>
    <w:rsid w:val="00974491"/>
    <w:rsid w:val="00975C4E"/>
    <w:rsid w:val="009806A3"/>
    <w:rsid w:val="00981FBA"/>
    <w:rsid w:val="00997BC5"/>
    <w:rsid w:val="009A4F41"/>
    <w:rsid w:val="009B381B"/>
    <w:rsid w:val="009C4C96"/>
    <w:rsid w:val="009C5182"/>
    <w:rsid w:val="009C6E2C"/>
    <w:rsid w:val="009D06D6"/>
    <w:rsid w:val="009D1753"/>
    <w:rsid w:val="009D6B04"/>
    <w:rsid w:val="009D7611"/>
    <w:rsid w:val="009E0B61"/>
    <w:rsid w:val="009E53DE"/>
    <w:rsid w:val="009E5573"/>
    <w:rsid w:val="009F1629"/>
    <w:rsid w:val="00A04BAD"/>
    <w:rsid w:val="00A11212"/>
    <w:rsid w:val="00A11E24"/>
    <w:rsid w:val="00A11E44"/>
    <w:rsid w:val="00A30100"/>
    <w:rsid w:val="00A328B3"/>
    <w:rsid w:val="00A46470"/>
    <w:rsid w:val="00A50FCF"/>
    <w:rsid w:val="00A528D1"/>
    <w:rsid w:val="00A53B9D"/>
    <w:rsid w:val="00A610CD"/>
    <w:rsid w:val="00A758AA"/>
    <w:rsid w:val="00A85575"/>
    <w:rsid w:val="00A8735A"/>
    <w:rsid w:val="00A873DB"/>
    <w:rsid w:val="00AA09A2"/>
    <w:rsid w:val="00AA7996"/>
    <w:rsid w:val="00AC19CB"/>
    <w:rsid w:val="00AD2C8B"/>
    <w:rsid w:val="00AE4E4A"/>
    <w:rsid w:val="00AE5488"/>
    <w:rsid w:val="00AE6F91"/>
    <w:rsid w:val="00AF263A"/>
    <w:rsid w:val="00AF5571"/>
    <w:rsid w:val="00AF5D88"/>
    <w:rsid w:val="00B07341"/>
    <w:rsid w:val="00B17CB8"/>
    <w:rsid w:val="00B229BD"/>
    <w:rsid w:val="00B30539"/>
    <w:rsid w:val="00B314DB"/>
    <w:rsid w:val="00B361F2"/>
    <w:rsid w:val="00B36A25"/>
    <w:rsid w:val="00B3718B"/>
    <w:rsid w:val="00B3745F"/>
    <w:rsid w:val="00B4632A"/>
    <w:rsid w:val="00B52BEE"/>
    <w:rsid w:val="00B530F1"/>
    <w:rsid w:val="00B93D7F"/>
    <w:rsid w:val="00BA276C"/>
    <w:rsid w:val="00BB019D"/>
    <w:rsid w:val="00BB306F"/>
    <w:rsid w:val="00BC1314"/>
    <w:rsid w:val="00BD0FF5"/>
    <w:rsid w:val="00BD4B89"/>
    <w:rsid w:val="00BD5922"/>
    <w:rsid w:val="00BF02CB"/>
    <w:rsid w:val="00BF6FD8"/>
    <w:rsid w:val="00C03680"/>
    <w:rsid w:val="00C054DF"/>
    <w:rsid w:val="00C15C9E"/>
    <w:rsid w:val="00C16EAB"/>
    <w:rsid w:val="00C21762"/>
    <w:rsid w:val="00C21FEF"/>
    <w:rsid w:val="00C23BA4"/>
    <w:rsid w:val="00C24543"/>
    <w:rsid w:val="00C256A2"/>
    <w:rsid w:val="00C25ADB"/>
    <w:rsid w:val="00C37CBB"/>
    <w:rsid w:val="00C51515"/>
    <w:rsid w:val="00C5623B"/>
    <w:rsid w:val="00C5660B"/>
    <w:rsid w:val="00C66B72"/>
    <w:rsid w:val="00C67CF3"/>
    <w:rsid w:val="00C87AC4"/>
    <w:rsid w:val="00C9567A"/>
    <w:rsid w:val="00CB212D"/>
    <w:rsid w:val="00CB2660"/>
    <w:rsid w:val="00CB3F51"/>
    <w:rsid w:val="00CC13A3"/>
    <w:rsid w:val="00CC5E90"/>
    <w:rsid w:val="00CD046C"/>
    <w:rsid w:val="00CE076C"/>
    <w:rsid w:val="00CE4D7F"/>
    <w:rsid w:val="00CE5199"/>
    <w:rsid w:val="00CE66D5"/>
    <w:rsid w:val="00CE7BC7"/>
    <w:rsid w:val="00CF1583"/>
    <w:rsid w:val="00CF637A"/>
    <w:rsid w:val="00D03F88"/>
    <w:rsid w:val="00D059DE"/>
    <w:rsid w:val="00D05ABD"/>
    <w:rsid w:val="00D13FCE"/>
    <w:rsid w:val="00D23525"/>
    <w:rsid w:val="00D306D1"/>
    <w:rsid w:val="00D30800"/>
    <w:rsid w:val="00D30E43"/>
    <w:rsid w:val="00D34786"/>
    <w:rsid w:val="00D37BFC"/>
    <w:rsid w:val="00D401A7"/>
    <w:rsid w:val="00D47A8E"/>
    <w:rsid w:val="00D52D14"/>
    <w:rsid w:val="00D712D3"/>
    <w:rsid w:val="00D71422"/>
    <w:rsid w:val="00D72DC6"/>
    <w:rsid w:val="00D7558D"/>
    <w:rsid w:val="00D81D92"/>
    <w:rsid w:val="00D876F9"/>
    <w:rsid w:val="00DA77AD"/>
    <w:rsid w:val="00DA7B5F"/>
    <w:rsid w:val="00DB22A3"/>
    <w:rsid w:val="00DC11E7"/>
    <w:rsid w:val="00DC24E3"/>
    <w:rsid w:val="00DC509C"/>
    <w:rsid w:val="00DC7023"/>
    <w:rsid w:val="00DC769A"/>
    <w:rsid w:val="00DD3D86"/>
    <w:rsid w:val="00DD4AD2"/>
    <w:rsid w:val="00DE2862"/>
    <w:rsid w:val="00DE40D2"/>
    <w:rsid w:val="00DF1EC4"/>
    <w:rsid w:val="00E0340B"/>
    <w:rsid w:val="00E04A90"/>
    <w:rsid w:val="00E0551F"/>
    <w:rsid w:val="00E07A43"/>
    <w:rsid w:val="00E219C7"/>
    <w:rsid w:val="00E4118C"/>
    <w:rsid w:val="00E43157"/>
    <w:rsid w:val="00E43D3C"/>
    <w:rsid w:val="00E461CE"/>
    <w:rsid w:val="00E573E4"/>
    <w:rsid w:val="00E64C3D"/>
    <w:rsid w:val="00E67178"/>
    <w:rsid w:val="00E720CA"/>
    <w:rsid w:val="00E73B43"/>
    <w:rsid w:val="00E76794"/>
    <w:rsid w:val="00E84EB5"/>
    <w:rsid w:val="00E85662"/>
    <w:rsid w:val="00E8789F"/>
    <w:rsid w:val="00E93D0A"/>
    <w:rsid w:val="00E97B71"/>
    <w:rsid w:val="00EA3D34"/>
    <w:rsid w:val="00EB42CE"/>
    <w:rsid w:val="00EB454D"/>
    <w:rsid w:val="00EB4AB3"/>
    <w:rsid w:val="00EC72AB"/>
    <w:rsid w:val="00ED549D"/>
    <w:rsid w:val="00ED5E10"/>
    <w:rsid w:val="00ED76BE"/>
    <w:rsid w:val="00EE00E9"/>
    <w:rsid w:val="00EE4813"/>
    <w:rsid w:val="00EF1AAA"/>
    <w:rsid w:val="00EF619B"/>
    <w:rsid w:val="00F00B55"/>
    <w:rsid w:val="00F02AD1"/>
    <w:rsid w:val="00F253CC"/>
    <w:rsid w:val="00F37106"/>
    <w:rsid w:val="00F44E25"/>
    <w:rsid w:val="00F519CF"/>
    <w:rsid w:val="00F526D3"/>
    <w:rsid w:val="00F56BA5"/>
    <w:rsid w:val="00F60E22"/>
    <w:rsid w:val="00F71FEB"/>
    <w:rsid w:val="00F81395"/>
    <w:rsid w:val="00F81BB8"/>
    <w:rsid w:val="00F90C64"/>
    <w:rsid w:val="00F917D1"/>
    <w:rsid w:val="00F9653B"/>
    <w:rsid w:val="00FA4816"/>
    <w:rsid w:val="00FA75FB"/>
    <w:rsid w:val="00FB103A"/>
    <w:rsid w:val="00FB62CF"/>
    <w:rsid w:val="00FD1E31"/>
    <w:rsid w:val="00FD3C3B"/>
    <w:rsid w:val="00FE07DD"/>
    <w:rsid w:val="00FE2FFF"/>
    <w:rsid w:val="00FE6B45"/>
    <w:rsid w:val="00FF087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2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EC72A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EC72AB"/>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0"/>
    <w:pPr>
      <w:numPr>
        <w:numId w:val="13"/>
      </w:numPr>
    </w:pPr>
  </w:style>
  <w:style w:type="numbering" w:customStyle="1" w:styleId="Estiloimportado20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0">
    <w:name w:val="Estilo Importado 20"/>
    <w:rsid w:val="00CF1583"/>
    <w:pPr>
      <w:numPr>
        <w:numId w:val="59"/>
      </w:numPr>
    </w:pPr>
  </w:style>
  <w:style w:type="paragraph" w:customStyle="1" w:styleId="Char2">
    <w:name w:val="Char2"/>
    <w:basedOn w:val="Normal"/>
    <w:link w:val="FootnoteReference"/>
    <w:uiPriority w:val="99"/>
    <w:rsid w:val="00CF158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character" w:customStyle="1" w:styleId="Heading5Char">
    <w:name w:val="Heading 5 Char"/>
    <w:basedOn w:val="DefaultParagraphFont"/>
    <w:link w:val="Heading5"/>
    <w:uiPriority w:val="9"/>
    <w:rsid w:val="00EC72AB"/>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EC72AB"/>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42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5773436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5C6D"/>
    <w:rsid w:val="00123038"/>
    <w:rsid w:val="00130AF6"/>
    <w:rsid w:val="00200821"/>
    <w:rsid w:val="0025245B"/>
    <w:rsid w:val="002A3923"/>
    <w:rsid w:val="00315DE1"/>
    <w:rsid w:val="00364DD2"/>
    <w:rsid w:val="00394049"/>
    <w:rsid w:val="003B0C71"/>
    <w:rsid w:val="003F2FF8"/>
    <w:rsid w:val="00415699"/>
    <w:rsid w:val="004B5BBB"/>
    <w:rsid w:val="004F2DF8"/>
    <w:rsid w:val="00517E2A"/>
    <w:rsid w:val="005A1ED6"/>
    <w:rsid w:val="00680DAE"/>
    <w:rsid w:val="006A2528"/>
    <w:rsid w:val="006F24A1"/>
    <w:rsid w:val="007525A6"/>
    <w:rsid w:val="00792636"/>
    <w:rsid w:val="009A261B"/>
    <w:rsid w:val="00A95C23"/>
    <w:rsid w:val="00AA2E17"/>
    <w:rsid w:val="00AC15A4"/>
    <w:rsid w:val="00B0336C"/>
    <w:rsid w:val="00B13C19"/>
    <w:rsid w:val="00BC2466"/>
    <w:rsid w:val="00C94F75"/>
    <w:rsid w:val="00D241E9"/>
    <w:rsid w:val="00D538B5"/>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2694</Words>
  <Characters>14307</Characters>
  <Application>Microsoft Office Word</Application>
  <DocSecurity>0</DocSecurity>
  <Lines>275</Lines>
  <Paragraphs>82</Paragraphs>
  <ScaleCrop>false</ScaleCrop>
  <HeadingPairs>
    <vt:vector size="2" baseType="variant">
      <vt:variant>
        <vt:lpstr>Title</vt:lpstr>
      </vt:variant>
      <vt:variant>
        <vt:i4>1</vt:i4>
      </vt:variant>
    </vt:vector>
  </HeadingPairs>
  <TitlesOfParts>
    <vt:vector size="1" baseType="lpstr">
      <vt:lpstr>Report No. 142/20</vt:lpstr>
    </vt:vector>
  </TitlesOfParts>
  <Company/>
  <LinksUpToDate>false</LinksUpToDate>
  <CharactersWithSpaces>16919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142/20</dc:title>
  <dc:creator/>
  <cp:lastModifiedBy/>
  <cp:revision>1</cp:revision>
  <dcterms:created xsi:type="dcterms:W3CDTF">2020-07-13T18:27:00Z</dcterms:created>
  <dcterms:modified xsi:type="dcterms:W3CDTF">2020-07-13T18:42:00Z</dcterms:modified>
</cp:coreProperties>
</file>