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DDFFD" w14:textId="4A8BA2FD" w:rsidR="00040C3A" w:rsidRPr="00F97A6B" w:rsidRDefault="00D306D1" w:rsidP="00627C9F">
      <w:pPr>
        <w:jc w:val="both"/>
        <w:rPr>
          <w:rFonts w:asciiTheme="majorHAnsi" w:hAnsiTheme="majorHAnsi" w:cs="Univers"/>
          <w:b/>
          <w:bCs/>
          <w:sz w:val="22"/>
          <w:szCs w:val="22"/>
        </w:rPr>
      </w:pPr>
      <w:r w:rsidRPr="00F97A6B">
        <w:rPr>
          <w:rFonts w:asciiTheme="majorHAnsi" w:hAnsiTheme="majorHAnsi"/>
          <w:noProof/>
          <w:color w:val="16B621"/>
          <w:sz w:val="22"/>
          <w:szCs w:val="22"/>
        </w:rPr>
        <mc:AlternateContent>
          <mc:Choice Requires="wps">
            <w:drawing>
              <wp:anchor distT="0" distB="0" distL="114300" distR="114300" simplePos="0" relativeHeight="251661311" behindDoc="0" locked="0" layoutInCell="1" allowOverlap="1" wp14:anchorId="6286652B" wp14:editId="040271C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73BF4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B40401"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" fillcolor="#73bf43" stroked="f" strokeweight="2pt"/>
            </w:pict>
          </mc:Fallback>
        </mc:AlternateContent>
      </w:r>
      <w:r w:rsidR="003E6CA1" w:rsidRPr="00F97A6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3EE2DAD2" wp14:editId="1226961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612760" w14:textId="22DF7FCB" w:rsidR="00CB2660" w:rsidRDefault="009F4973" w:rsidP="00AE5488">
                            <w:r>
                              <w:rPr>
                                <w:noProof/>
                              </w:rPr>
                              <w:drawing>
                                <wp:inline distT="0" distB="0" distL="0" distR="0" wp14:anchorId="73366642" wp14:editId="0873C7E5">
                                  <wp:extent cx="3409315" cy="804545"/>
                                  <wp:effectExtent l="0" t="0" r="635"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a:stretch>
                                            <a:fillRect/>
                                          </a:stretch>
                                        </pic:blipFill>
                                        <pic:spPr>
                                          <a:xfrm>
                                            <a:off x="0" y="0"/>
                                            <a:ext cx="3409315" cy="804545"/>
                                          </a:xfrm>
                                          <a:prstGeom prst="rect">
                                            <a:avLst/>
                                          </a:prstGeom>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E2DAD2"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6C612760" w14:textId="22DF7FCB" w:rsidR="00CB2660" w:rsidRDefault="009F4973" w:rsidP="00AE5488">
                      <w:r>
                        <w:rPr>
                          <w:noProof/>
                        </w:rPr>
                        <w:drawing>
                          <wp:inline distT="0" distB="0" distL="0" distR="0" wp14:anchorId="73366642" wp14:editId="0873C7E5">
                            <wp:extent cx="3409315" cy="804545"/>
                            <wp:effectExtent l="0" t="0" r="635"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3409315" cy="804545"/>
                                    </a:xfrm>
                                    <a:prstGeom prst="rect">
                                      <a:avLst/>
                                    </a:prstGeom>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F97A6B" w:rsidRPr="00F97A6B">
        <w:rPr>
          <w:rFonts w:asciiTheme="majorHAnsi" w:hAnsiTheme="majorHAnsi" w:cs="Univers"/>
          <w:b/>
          <w:bCs/>
          <w:sz w:val="22"/>
          <w:szCs w:val="22"/>
        </w:rPr>
        <w:t>a</w:t>
      </w:r>
    </w:p>
    <w:p w14:paraId="5AB6D403" w14:textId="77777777" w:rsidR="00040C3A" w:rsidRPr="00F97A6B" w:rsidRDefault="00040C3A" w:rsidP="00040C3A">
      <w:pPr>
        <w:tabs>
          <w:tab w:val="center" w:pos="5400"/>
        </w:tabs>
        <w:suppressAutoHyphens/>
        <w:jc w:val="both"/>
        <w:rPr>
          <w:rFonts w:asciiTheme="majorHAnsi" w:hAnsiTheme="majorHAnsi"/>
          <w:sz w:val="22"/>
          <w:szCs w:val="22"/>
        </w:rPr>
      </w:pPr>
    </w:p>
    <w:p w14:paraId="32F04E88" w14:textId="77777777" w:rsidR="00040C3A" w:rsidRPr="00F97A6B" w:rsidRDefault="00040C3A" w:rsidP="00040C3A">
      <w:pPr>
        <w:tabs>
          <w:tab w:val="center" w:pos="5400"/>
        </w:tabs>
        <w:suppressAutoHyphens/>
        <w:jc w:val="both"/>
        <w:rPr>
          <w:rFonts w:asciiTheme="majorHAnsi" w:hAnsiTheme="majorHAnsi"/>
          <w:sz w:val="22"/>
          <w:szCs w:val="22"/>
        </w:rPr>
      </w:pPr>
    </w:p>
    <w:p w14:paraId="48019045" w14:textId="77777777" w:rsidR="005128E4" w:rsidRPr="00F97A6B" w:rsidRDefault="005128E4" w:rsidP="00040C3A">
      <w:pPr>
        <w:tabs>
          <w:tab w:val="center" w:pos="5400"/>
        </w:tabs>
        <w:suppressAutoHyphens/>
        <w:rPr>
          <w:rFonts w:asciiTheme="majorHAnsi" w:hAnsiTheme="majorHAnsi"/>
          <w:sz w:val="22"/>
          <w:szCs w:val="22"/>
        </w:rPr>
      </w:pPr>
    </w:p>
    <w:p w14:paraId="7F08913C" w14:textId="77777777" w:rsidR="005128E4" w:rsidRPr="00F97A6B" w:rsidRDefault="005128E4" w:rsidP="00040C3A">
      <w:pPr>
        <w:tabs>
          <w:tab w:val="center" w:pos="5400"/>
        </w:tabs>
        <w:suppressAutoHyphens/>
        <w:rPr>
          <w:rFonts w:asciiTheme="majorHAnsi" w:hAnsiTheme="majorHAnsi"/>
          <w:sz w:val="22"/>
          <w:szCs w:val="22"/>
        </w:rPr>
      </w:pPr>
    </w:p>
    <w:p w14:paraId="06B8B9C4" w14:textId="77777777" w:rsidR="005128E4" w:rsidRPr="00F97A6B" w:rsidRDefault="005128E4" w:rsidP="00040C3A">
      <w:pPr>
        <w:tabs>
          <w:tab w:val="center" w:pos="5400"/>
        </w:tabs>
        <w:suppressAutoHyphens/>
        <w:rPr>
          <w:rFonts w:asciiTheme="majorHAnsi" w:hAnsiTheme="majorHAnsi"/>
          <w:sz w:val="22"/>
          <w:szCs w:val="22"/>
        </w:rPr>
      </w:pPr>
    </w:p>
    <w:p w14:paraId="77BB3731" w14:textId="77777777" w:rsidR="00040C3A" w:rsidRPr="00F97A6B" w:rsidRDefault="00040C3A" w:rsidP="005128E4">
      <w:pPr>
        <w:tabs>
          <w:tab w:val="center" w:pos="5400"/>
        </w:tabs>
        <w:suppressAutoHyphens/>
        <w:jc w:val="center"/>
        <w:rPr>
          <w:rFonts w:asciiTheme="majorHAnsi" w:hAnsiTheme="majorHAnsi"/>
          <w:sz w:val="22"/>
          <w:szCs w:val="22"/>
        </w:rPr>
      </w:pPr>
    </w:p>
    <w:p w14:paraId="64414C55" w14:textId="77777777" w:rsidR="00040C3A" w:rsidRPr="00F97A6B" w:rsidRDefault="00040C3A" w:rsidP="005128E4">
      <w:pPr>
        <w:tabs>
          <w:tab w:val="center" w:pos="5400"/>
        </w:tabs>
        <w:suppressAutoHyphens/>
        <w:jc w:val="center"/>
        <w:rPr>
          <w:rFonts w:asciiTheme="majorHAnsi" w:hAnsiTheme="majorHAnsi"/>
          <w:sz w:val="22"/>
          <w:szCs w:val="22"/>
        </w:rPr>
      </w:pPr>
    </w:p>
    <w:p w14:paraId="381A4AB2" w14:textId="77777777" w:rsidR="005B52B0" w:rsidRPr="00F97A6B" w:rsidRDefault="005B52B0" w:rsidP="005128E4">
      <w:pPr>
        <w:tabs>
          <w:tab w:val="center" w:pos="5400"/>
        </w:tabs>
        <w:suppressAutoHyphens/>
        <w:jc w:val="center"/>
        <w:rPr>
          <w:rFonts w:asciiTheme="majorHAnsi" w:hAnsiTheme="majorHAnsi"/>
          <w:sz w:val="22"/>
          <w:szCs w:val="22"/>
        </w:rPr>
      </w:pPr>
    </w:p>
    <w:p w14:paraId="63B06521" w14:textId="77777777" w:rsidR="005B52B0" w:rsidRPr="00F97A6B" w:rsidRDefault="005B52B0" w:rsidP="005128E4">
      <w:pPr>
        <w:tabs>
          <w:tab w:val="center" w:pos="5400"/>
        </w:tabs>
        <w:suppressAutoHyphens/>
        <w:jc w:val="center"/>
        <w:rPr>
          <w:rFonts w:asciiTheme="majorHAnsi" w:hAnsiTheme="majorHAnsi"/>
          <w:sz w:val="22"/>
          <w:szCs w:val="22"/>
        </w:rPr>
      </w:pPr>
    </w:p>
    <w:p w14:paraId="0124945C" w14:textId="77777777" w:rsidR="005B52B0" w:rsidRPr="00F97A6B" w:rsidRDefault="005B52B0" w:rsidP="005128E4">
      <w:pPr>
        <w:tabs>
          <w:tab w:val="center" w:pos="5400"/>
        </w:tabs>
        <w:suppressAutoHyphens/>
        <w:jc w:val="center"/>
        <w:rPr>
          <w:rFonts w:asciiTheme="majorHAnsi" w:hAnsiTheme="majorHAnsi"/>
          <w:sz w:val="22"/>
          <w:szCs w:val="22"/>
        </w:rPr>
      </w:pPr>
    </w:p>
    <w:p w14:paraId="735C3A14" w14:textId="77777777" w:rsidR="00040C3A" w:rsidRPr="00F97A6B" w:rsidRDefault="00040C3A" w:rsidP="00040C3A">
      <w:pPr>
        <w:tabs>
          <w:tab w:val="center" w:pos="5400"/>
        </w:tabs>
        <w:suppressAutoHyphens/>
        <w:jc w:val="center"/>
        <w:rPr>
          <w:rFonts w:asciiTheme="majorHAnsi" w:hAnsiTheme="majorHAnsi"/>
          <w:sz w:val="22"/>
          <w:szCs w:val="22"/>
        </w:rPr>
      </w:pPr>
    </w:p>
    <w:p w14:paraId="342CF4FF" w14:textId="77777777" w:rsidR="00040C3A" w:rsidRPr="00F97A6B" w:rsidRDefault="00040C3A" w:rsidP="00040C3A">
      <w:pPr>
        <w:tabs>
          <w:tab w:val="center" w:pos="5400"/>
        </w:tabs>
        <w:suppressAutoHyphens/>
        <w:jc w:val="center"/>
        <w:rPr>
          <w:rFonts w:asciiTheme="majorHAnsi" w:hAnsiTheme="majorHAnsi"/>
          <w:sz w:val="22"/>
          <w:szCs w:val="22"/>
        </w:rPr>
      </w:pPr>
    </w:p>
    <w:p w14:paraId="3BBFB706" w14:textId="77777777" w:rsidR="00040C3A" w:rsidRPr="00F97A6B" w:rsidRDefault="003D3BC2" w:rsidP="00040C3A">
      <w:pPr>
        <w:tabs>
          <w:tab w:val="center" w:pos="5400"/>
        </w:tabs>
        <w:suppressAutoHyphens/>
        <w:jc w:val="center"/>
        <w:rPr>
          <w:rFonts w:asciiTheme="majorHAnsi" w:hAnsiTheme="majorHAnsi"/>
          <w:sz w:val="22"/>
          <w:szCs w:val="22"/>
        </w:rPr>
      </w:pPr>
      <w:r w:rsidRPr="00F97A6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10F645B0" wp14:editId="52DC2696">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6E4AF2" w14:textId="0159E893" w:rsidR="00791F29" w:rsidRPr="00F97A6B" w:rsidRDefault="00791F29" w:rsidP="00791F29">
                            <w:pPr>
                              <w:spacing w:line="276" w:lineRule="auto"/>
                              <w:rPr>
                                <w:rFonts w:asciiTheme="majorHAnsi" w:hAnsiTheme="majorHAnsi" w:cs="Arial"/>
                                <w:b/>
                                <w:bCs/>
                                <w:color w:val="0D0D0D" w:themeColor="text1" w:themeTint="F2"/>
                                <w:sz w:val="36"/>
                                <w:szCs w:val="22"/>
                              </w:rPr>
                            </w:pPr>
                            <w:r w:rsidRPr="00F97A6B">
                              <w:rPr>
                                <w:rFonts w:asciiTheme="majorHAnsi" w:hAnsiTheme="majorHAnsi" w:cs="Arial"/>
                                <w:b/>
                                <w:bCs/>
                                <w:color w:val="0D0D0D" w:themeColor="text1" w:themeTint="F2"/>
                                <w:sz w:val="36"/>
                                <w:szCs w:val="22"/>
                              </w:rPr>
                              <w:t xml:space="preserve">REPORT No. </w:t>
                            </w:r>
                            <w:r w:rsidR="00C57B6A">
                              <w:rPr>
                                <w:rFonts w:asciiTheme="majorHAnsi" w:hAnsiTheme="majorHAnsi" w:cs="Arial"/>
                                <w:b/>
                                <w:bCs/>
                                <w:color w:val="0D0D0D" w:themeColor="text1" w:themeTint="F2"/>
                                <w:sz w:val="36"/>
                                <w:szCs w:val="22"/>
                              </w:rPr>
                              <w:t>3</w:t>
                            </w:r>
                            <w:r w:rsidR="009607CA">
                              <w:rPr>
                                <w:rFonts w:asciiTheme="majorHAnsi" w:hAnsiTheme="majorHAnsi" w:cs="Arial"/>
                                <w:b/>
                                <w:bCs/>
                                <w:color w:val="0D0D0D" w:themeColor="text1" w:themeTint="F2"/>
                                <w:sz w:val="36"/>
                                <w:szCs w:val="22"/>
                              </w:rPr>
                              <w:t>82</w:t>
                            </w:r>
                            <w:r w:rsidRPr="00F97A6B">
                              <w:rPr>
                                <w:rFonts w:asciiTheme="majorHAnsi" w:hAnsiTheme="majorHAnsi" w:cs="Arial"/>
                                <w:b/>
                                <w:bCs/>
                                <w:color w:val="0D0D0D" w:themeColor="text1" w:themeTint="F2"/>
                                <w:sz w:val="36"/>
                                <w:szCs w:val="22"/>
                              </w:rPr>
                              <w:t>/20</w:t>
                            </w:r>
                          </w:p>
                          <w:p w14:paraId="753E0BF7" w14:textId="77777777" w:rsidR="00791F29" w:rsidRPr="00F97A6B" w:rsidRDefault="00791F29" w:rsidP="00791F29">
                            <w:pPr>
                              <w:spacing w:line="276" w:lineRule="auto"/>
                              <w:rPr>
                                <w:rFonts w:asciiTheme="majorHAnsi" w:hAnsiTheme="majorHAnsi" w:cs="Arial"/>
                                <w:b/>
                                <w:bCs/>
                                <w:color w:val="0D0D0D" w:themeColor="text1" w:themeTint="F2"/>
                                <w:sz w:val="36"/>
                                <w:szCs w:val="22"/>
                              </w:rPr>
                            </w:pPr>
                            <w:r w:rsidRPr="00F97A6B">
                              <w:rPr>
                                <w:rFonts w:asciiTheme="majorHAnsi" w:hAnsiTheme="majorHAnsi" w:cs="Arial"/>
                                <w:b/>
                                <w:bCs/>
                                <w:color w:val="0D0D0D" w:themeColor="text1" w:themeTint="F2"/>
                                <w:sz w:val="36"/>
                                <w:szCs w:val="22"/>
                              </w:rPr>
                              <w:t>PETITION 1323-09</w:t>
                            </w:r>
                          </w:p>
                          <w:p w14:paraId="685DEBDA" w14:textId="77777777" w:rsidR="008F1912" w:rsidRPr="00F97A6B" w:rsidRDefault="00791F29" w:rsidP="00997BC5">
                            <w:pPr>
                              <w:spacing w:line="276" w:lineRule="auto"/>
                              <w:rPr>
                                <w:rFonts w:asciiTheme="majorHAnsi" w:hAnsiTheme="majorHAnsi" w:cs="Arial"/>
                                <w:color w:val="0D0D0D" w:themeColor="text1" w:themeTint="F2"/>
                                <w:szCs w:val="22"/>
                              </w:rPr>
                            </w:pPr>
                            <w:bookmarkStart w:id="0" w:name="_ftnref1"/>
                            <w:r w:rsidRPr="00F97A6B">
                              <w:rPr>
                                <w:rFonts w:asciiTheme="majorHAnsi" w:hAnsiTheme="majorHAnsi" w:cs="Arial"/>
                                <w:color w:val="0D0D0D" w:themeColor="text1" w:themeTint="F2"/>
                                <w:szCs w:val="22"/>
                              </w:rPr>
                              <w:t>INADMISSIBILITY REPORT</w:t>
                            </w:r>
                          </w:p>
                          <w:p w14:paraId="762E0466" w14:textId="77777777" w:rsidR="00791F29" w:rsidRPr="00F97A6B" w:rsidRDefault="00791F29" w:rsidP="00997BC5">
                            <w:pPr>
                              <w:spacing w:line="276" w:lineRule="auto"/>
                              <w:rPr>
                                <w:rFonts w:asciiTheme="majorHAnsi" w:hAnsiTheme="majorHAnsi" w:cs="Arial"/>
                                <w:color w:val="0D0D0D" w:themeColor="text1" w:themeTint="F2"/>
                                <w:szCs w:val="22"/>
                              </w:rPr>
                            </w:pPr>
                          </w:p>
                          <w:bookmarkEnd w:id="0"/>
                          <w:p w14:paraId="5E6BC712" w14:textId="77777777" w:rsidR="00791F29" w:rsidRPr="00F97A6B" w:rsidRDefault="00791F29" w:rsidP="00791F29">
                            <w:pPr>
                              <w:rPr>
                                <w:rFonts w:asciiTheme="majorHAnsi" w:hAnsiTheme="majorHAnsi" w:cs="Arial"/>
                                <w:color w:val="0D0D0D" w:themeColor="text1" w:themeTint="F2"/>
                                <w:szCs w:val="22"/>
                              </w:rPr>
                            </w:pPr>
                            <w:r w:rsidRPr="00F97A6B">
                              <w:rPr>
                                <w:rFonts w:asciiTheme="majorHAnsi" w:hAnsiTheme="majorHAnsi" w:cs="Arial"/>
                                <w:color w:val="0D0D0D" w:themeColor="text1" w:themeTint="F2"/>
                                <w:szCs w:val="22"/>
                              </w:rPr>
                              <w:t>WORKERS OF THE PANAMA CANAL AUTHORITY</w:t>
                            </w:r>
                          </w:p>
                          <w:p w14:paraId="67C0EDDB" w14:textId="77777777" w:rsidR="005B52B0" w:rsidRPr="00AE5488" w:rsidRDefault="00791F29" w:rsidP="00791F29">
                            <w:pPr>
                              <w:rPr>
                                <w:color w:val="0D0D0D" w:themeColor="text1" w:themeTint="F2"/>
                                <w:lang w:val="es-ES_tradnl"/>
                              </w:rPr>
                            </w:pPr>
                            <w:r w:rsidRPr="00791F29">
                              <w:rPr>
                                <w:rFonts w:asciiTheme="majorHAnsi" w:hAnsiTheme="majorHAnsi" w:cs="Arial"/>
                                <w:color w:val="0D0D0D" w:themeColor="text1" w:themeTint="F2"/>
                                <w:szCs w:val="22"/>
                                <w:lang w:val="es-ES_tradnl"/>
                              </w:rPr>
                              <w:t>PANAMA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645B0"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6F6E4AF2" w14:textId="0159E893" w:rsidR="00791F29" w:rsidRPr="00F97A6B" w:rsidRDefault="00791F29" w:rsidP="00791F29">
                      <w:pPr>
                        <w:spacing w:line="276" w:lineRule="auto"/>
                        <w:rPr>
                          <w:rFonts w:asciiTheme="majorHAnsi" w:hAnsiTheme="majorHAnsi" w:cs="Arial"/>
                          <w:b/>
                          <w:bCs/>
                          <w:color w:val="0D0D0D" w:themeColor="text1" w:themeTint="F2"/>
                          <w:sz w:val="36"/>
                          <w:szCs w:val="22"/>
                        </w:rPr>
                      </w:pPr>
                      <w:r w:rsidRPr="00F97A6B">
                        <w:rPr>
                          <w:rFonts w:asciiTheme="majorHAnsi" w:hAnsiTheme="majorHAnsi" w:cs="Arial"/>
                          <w:b/>
                          <w:bCs/>
                          <w:color w:val="0D0D0D" w:themeColor="text1" w:themeTint="F2"/>
                          <w:sz w:val="36"/>
                          <w:szCs w:val="22"/>
                        </w:rPr>
                        <w:t xml:space="preserve">REPORT No. </w:t>
                      </w:r>
                      <w:r w:rsidR="00C57B6A">
                        <w:rPr>
                          <w:rFonts w:asciiTheme="majorHAnsi" w:hAnsiTheme="majorHAnsi" w:cs="Arial"/>
                          <w:b/>
                          <w:bCs/>
                          <w:color w:val="0D0D0D" w:themeColor="text1" w:themeTint="F2"/>
                          <w:sz w:val="36"/>
                          <w:szCs w:val="22"/>
                        </w:rPr>
                        <w:t>3</w:t>
                      </w:r>
                      <w:r w:rsidR="009607CA">
                        <w:rPr>
                          <w:rFonts w:asciiTheme="majorHAnsi" w:hAnsiTheme="majorHAnsi" w:cs="Arial"/>
                          <w:b/>
                          <w:bCs/>
                          <w:color w:val="0D0D0D" w:themeColor="text1" w:themeTint="F2"/>
                          <w:sz w:val="36"/>
                          <w:szCs w:val="22"/>
                        </w:rPr>
                        <w:t>82</w:t>
                      </w:r>
                      <w:r w:rsidRPr="00F97A6B">
                        <w:rPr>
                          <w:rFonts w:asciiTheme="majorHAnsi" w:hAnsiTheme="majorHAnsi" w:cs="Arial"/>
                          <w:b/>
                          <w:bCs/>
                          <w:color w:val="0D0D0D" w:themeColor="text1" w:themeTint="F2"/>
                          <w:sz w:val="36"/>
                          <w:szCs w:val="22"/>
                        </w:rPr>
                        <w:t>/20</w:t>
                      </w:r>
                    </w:p>
                    <w:p w14:paraId="753E0BF7" w14:textId="77777777" w:rsidR="00791F29" w:rsidRPr="00F97A6B" w:rsidRDefault="00791F29" w:rsidP="00791F29">
                      <w:pPr>
                        <w:spacing w:line="276" w:lineRule="auto"/>
                        <w:rPr>
                          <w:rFonts w:asciiTheme="majorHAnsi" w:hAnsiTheme="majorHAnsi" w:cs="Arial"/>
                          <w:b/>
                          <w:bCs/>
                          <w:color w:val="0D0D0D" w:themeColor="text1" w:themeTint="F2"/>
                          <w:sz w:val="36"/>
                          <w:szCs w:val="22"/>
                        </w:rPr>
                      </w:pPr>
                      <w:r w:rsidRPr="00F97A6B">
                        <w:rPr>
                          <w:rFonts w:asciiTheme="majorHAnsi" w:hAnsiTheme="majorHAnsi" w:cs="Arial"/>
                          <w:b/>
                          <w:bCs/>
                          <w:color w:val="0D0D0D" w:themeColor="text1" w:themeTint="F2"/>
                          <w:sz w:val="36"/>
                          <w:szCs w:val="22"/>
                        </w:rPr>
                        <w:t>PETITION 1323-09</w:t>
                      </w:r>
                    </w:p>
                    <w:p w14:paraId="685DEBDA" w14:textId="77777777" w:rsidR="008F1912" w:rsidRPr="00F97A6B" w:rsidRDefault="00791F29" w:rsidP="00997BC5">
                      <w:pPr>
                        <w:spacing w:line="276" w:lineRule="auto"/>
                        <w:rPr>
                          <w:rFonts w:asciiTheme="majorHAnsi" w:hAnsiTheme="majorHAnsi" w:cs="Arial"/>
                          <w:color w:val="0D0D0D" w:themeColor="text1" w:themeTint="F2"/>
                          <w:szCs w:val="22"/>
                        </w:rPr>
                      </w:pPr>
                      <w:bookmarkStart w:id="1" w:name="_ftnref1"/>
                      <w:r w:rsidRPr="00F97A6B">
                        <w:rPr>
                          <w:rFonts w:asciiTheme="majorHAnsi" w:hAnsiTheme="majorHAnsi" w:cs="Arial"/>
                          <w:color w:val="0D0D0D" w:themeColor="text1" w:themeTint="F2"/>
                          <w:szCs w:val="22"/>
                        </w:rPr>
                        <w:t>INADMISSIBILITY REPORT</w:t>
                      </w:r>
                    </w:p>
                    <w:p w14:paraId="762E0466" w14:textId="77777777" w:rsidR="00791F29" w:rsidRPr="00F97A6B" w:rsidRDefault="00791F29" w:rsidP="00997BC5">
                      <w:pPr>
                        <w:spacing w:line="276" w:lineRule="auto"/>
                        <w:rPr>
                          <w:rFonts w:asciiTheme="majorHAnsi" w:hAnsiTheme="majorHAnsi" w:cs="Arial"/>
                          <w:color w:val="0D0D0D" w:themeColor="text1" w:themeTint="F2"/>
                          <w:szCs w:val="22"/>
                        </w:rPr>
                      </w:pPr>
                    </w:p>
                    <w:bookmarkEnd w:id="1"/>
                    <w:p w14:paraId="5E6BC712" w14:textId="77777777" w:rsidR="00791F29" w:rsidRPr="00F97A6B" w:rsidRDefault="00791F29" w:rsidP="00791F29">
                      <w:pPr>
                        <w:rPr>
                          <w:rFonts w:asciiTheme="majorHAnsi" w:hAnsiTheme="majorHAnsi" w:cs="Arial"/>
                          <w:color w:val="0D0D0D" w:themeColor="text1" w:themeTint="F2"/>
                          <w:szCs w:val="22"/>
                        </w:rPr>
                      </w:pPr>
                      <w:r w:rsidRPr="00F97A6B">
                        <w:rPr>
                          <w:rFonts w:asciiTheme="majorHAnsi" w:hAnsiTheme="majorHAnsi" w:cs="Arial"/>
                          <w:color w:val="0D0D0D" w:themeColor="text1" w:themeTint="F2"/>
                          <w:szCs w:val="22"/>
                        </w:rPr>
                        <w:t>WORKERS OF THE PANAMA CANAL AUTHORITY</w:t>
                      </w:r>
                    </w:p>
                    <w:p w14:paraId="67C0EDDB" w14:textId="77777777" w:rsidR="005B52B0" w:rsidRPr="00AE5488" w:rsidRDefault="00791F29" w:rsidP="00791F29">
                      <w:pPr>
                        <w:rPr>
                          <w:color w:val="0D0D0D" w:themeColor="text1" w:themeTint="F2"/>
                          <w:lang w:val="es-ES_tradnl"/>
                        </w:rPr>
                      </w:pPr>
                      <w:r w:rsidRPr="00791F29">
                        <w:rPr>
                          <w:rFonts w:asciiTheme="majorHAnsi" w:hAnsiTheme="majorHAnsi" w:cs="Arial"/>
                          <w:color w:val="0D0D0D" w:themeColor="text1" w:themeTint="F2"/>
                          <w:szCs w:val="22"/>
                          <w:lang w:val="es-ES_tradnl"/>
                        </w:rPr>
                        <w:t>PANAMA</w:t>
                      </w:r>
                    </w:p>
                  </w:txbxContent>
                </v:textbox>
              </v:shape>
            </w:pict>
          </mc:Fallback>
        </mc:AlternateContent>
      </w:r>
      <w:r w:rsidR="004E2649" w:rsidRPr="00F97A6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2C1246D" wp14:editId="269F64EE">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235C3B" w14:textId="0B10F044" w:rsidR="00627C9F" w:rsidRPr="009F4973" w:rsidRDefault="00834D49" w:rsidP="007A5817">
                            <w:pPr>
                              <w:spacing w:line="276" w:lineRule="auto"/>
                              <w:jc w:val="right"/>
                              <w:rPr>
                                <w:rFonts w:asciiTheme="minorHAnsi" w:hAnsiTheme="minorHAnsi"/>
                                <w:color w:val="FFFFFF" w:themeColor="background1"/>
                                <w:sz w:val="22"/>
                                <w:lang w:val="es-US"/>
                              </w:rPr>
                            </w:pPr>
                            <w:r w:rsidRPr="009F4973">
                              <w:rPr>
                                <w:rFonts w:asciiTheme="minorHAnsi" w:hAnsiTheme="minorHAnsi"/>
                                <w:color w:val="FFFFFF" w:themeColor="background1"/>
                                <w:sz w:val="22"/>
                                <w:lang w:val="es-US"/>
                              </w:rPr>
                              <w:t>OEA/</w:t>
                            </w:r>
                            <w:proofErr w:type="spellStart"/>
                            <w:r w:rsidRPr="009F4973">
                              <w:rPr>
                                <w:rFonts w:asciiTheme="minorHAnsi" w:hAnsiTheme="minorHAnsi"/>
                                <w:color w:val="FFFFFF" w:themeColor="background1"/>
                                <w:sz w:val="22"/>
                                <w:lang w:val="es-US"/>
                              </w:rPr>
                              <w:t>Ser.L</w:t>
                            </w:r>
                            <w:proofErr w:type="spellEnd"/>
                            <w:r w:rsidRPr="009F4973">
                              <w:rPr>
                                <w:rFonts w:asciiTheme="minorHAnsi" w:hAnsiTheme="minorHAnsi"/>
                                <w:color w:val="FFFFFF" w:themeColor="background1"/>
                                <w:sz w:val="22"/>
                                <w:lang w:val="es-US"/>
                              </w:rPr>
                              <w:t>/V/II</w:t>
                            </w:r>
                          </w:p>
                          <w:p w14:paraId="73963566" w14:textId="7FDAFF02" w:rsidR="00627C9F" w:rsidRPr="009F4973" w:rsidRDefault="00627C9F" w:rsidP="007A5817">
                            <w:pPr>
                              <w:spacing w:line="276" w:lineRule="auto"/>
                              <w:jc w:val="right"/>
                              <w:rPr>
                                <w:rFonts w:asciiTheme="minorHAnsi" w:hAnsiTheme="minorHAnsi"/>
                                <w:color w:val="FFFFFF" w:themeColor="background1"/>
                                <w:sz w:val="22"/>
                                <w:lang w:val="es-US"/>
                              </w:rPr>
                            </w:pPr>
                            <w:r w:rsidRPr="009F4973">
                              <w:rPr>
                                <w:rFonts w:asciiTheme="minorHAnsi" w:hAnsiTheme="minorHAnsi"/>
                                <w:color w:val="FFFFFF" w:themeColor="background1"/>
                                <w:sz w:val="22"/>
                                <w:lang w:val="es-US"/>
                              </w:rPr>
                              <w:t xml:space="preserve">Doc. </w:t>
                            </w:r>
                            <w:r w:rsidR="00C57B6A" w:rsidRPr="009F4973">
                              <w:rPr>
                                <w:rFonts w:asciiTheme="minorHAnsi" w:hAnsiTheme="minorHAnsi"/>
                                <w:color w:val="FFFFFF" w:themeColor="background1"/>
                                <w:sz w:val="22"/>
                                <w:lang w:val="es-US"/>
                              </w:rPr>
                              <w:t>399</w:t>
                            </w:r>
                          </w:p>
                          <w:p w14:paraId="648B6E88" w14:textId="2F679BFF" w:rsidR="00627C9F" w:rsidRPr="009607CA" w:rsidRDefault="00C57B6A" w:rsidP="007A5817">
                            <w:pPr>
                              <w:spacing w:line="276" w:lineRule="auto"/>
                              <w:jc w:val="right"/>
                              <w:rPr>
                                <w:rFonts w:asciiTheme="minorHAnsi" w:hAnsiTheme="minorHAnsi"/>
                                <w:color w:val="FFFFFF" w:themeColor="background1"/>
                                <w:sz w:val="22"/>
                              </w:rPr>
                            </w:pPr>
                            <w:r w:rsidRPr="009607CA">
                              <w:rPr>
                                <w:rFonts w:asciiTheme="minorHAnsi" w:hAnsiTheme="minorHAnsi"/>
                                <w:color w:val="FFFFFF" w:themeColor="background1"/>
                                <w:sz w:val="22"/>
                              </w:rPr>
                              <w:t>12 December</w:t>
                            </w:r>
                            <w:r w:rsidR="007B05C4" w:rsidRPr="009607CA">
                              <w:rPr>
                                <w:rFonts w:asciiTheme="minorHAnsi" w:hAnsiTheme="minorHAnsi"/>
                                <w:color w:val="FFFFFF" w:themeColor="background1"/>
                                <w:sz w:val="22"/>
                              </w:rPr>
                              <w:t xml:space="preserve"> </w:t>
                            </w:r>
                            <w:r w:rsidR="0058191A" w:rsidRPr="009607CA">
                              <w:rPr>
                                <w:rFonts w:asciiTheme="minorHAnsi" w:hAnsiTheme="minorHAnsi"/>
                                <w:color w:val="FFFFFF" w:themeColor="background1"/>
                                <w:sz w:val="22"/>
                              </w:rPr>
                              <w:t>2020</w:t>
                            </w:r>
                          </w:p>
                          <w:p w14:paraId="541C4793" w14:textId="28C98471" w:rsidR="00627C9F" w:rsidRPr="00556222" w:rsidRDefault="00E0340B" w:rsidP="007A5817">
                            <w:pPr>
                              <w:spacing w:line="276" w:lineRule="auto"/>
                              <w:jc w:val="right"/>
                              <w:rPr>
                                <w:rFonts w:asciiTheme="minorHAnsi" w:hAnsiTheme="minorHAnsi"/>
                                <w:color w:val="FFFFFF" w:themeColor="background1"/>
                                <w:sz w:val="22"/>
                                <w:lang w:val="es-419"/>
                              </w:rPr>
                            </w:pPr>
                            <w:r w:rsidRPr="00556222">
                              <w:rPr>
                                <w:rFonts w:asciiTheme="minorHAnsi" w:hAnsiTheme="minorHAnsi"/>
                                <w:color w:val="FFFFFF" w:themeColor="background1"/>
                                <w:sz w:val="22"/>
                                <w:lang w:val="es-419"/>
                              </w:rPr>
                              <w:t xml:space="preserve">Original: </w:t>
                            </w:r>
                            <w:proofErr w:type="spellStart"/>
                            <w:r w:rsidR="00445CBE">
                              <w:rPr>
                                <w:rFonts w:asciiTheme="minorHAnsi" w:hAnsiTheme="minorHAnsi"/>
                                <w:color w:val="FFFFFF" w:themeColor="background1"/>
                                <w:sz w:val="22"/>
                                <w:lang w:val="es-419"/>
                              </w:rPr>
                              <w:t>Spanish</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C1246D"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7C235C3B" w14:textId="0B10F044" w:rsidR="00627C9F" w:rsidRPr="009F4973" w:rsidRDefault="00834D49" w:rsidP="007A5817">
                      <w:pPr>
                        <w:spacing w:line="276" w:lineRule="auto"/>
                        <w:jc w:val="right"/>
                        <w:rPr>
                          <w:rFonts w:asciiTheme="minorHAnsi" w:hAnsiTheme="minorHAnsi"/>
                          <w:color w:val="FFFFFF" w:themeColor="background1"/>
                          <w:sz w:val="22"/>
                          <w:lang w:val="es-US"/>
                        </w:rPr>
                      </w:pPr>
                      <w:r w:rsidRPr="009F4973">
                        <w:rPr>
                          <w:rFonts w:asciiTheme="minorHAnsi" w:hAnsiTheme="minorHAnsi"/>
                          <w:color w:val="FFFFFF" w:themeColor="background1"/>
                          <w:sz w:val="22"/>
                          <w:lang w:val="es-US"/>
                        </w:rPr>
                        <w:t>OEA/</w:t>
                      </w:r>
                      <w:proofErr w:type="spellStart"/>
                      <w:r w:rsidRPr="009F4973">
                        <w:rPr>
                          <w:rFonts w:asciiTheme="minorHAnsi" w:hAnsiTheme="minorHAnsi"/>
                          <w:color w:val="FFFFFF" w:themeColor="background1"/>
                          <w:sz w:val="22"/>
                          <w:lang w:val="es-US"/>
                        </w:rPr>
                        <w:t>Ser.L</w:t>
                      </w:r>
                      <w:proofErr w:type="spellEnd"/>
                      <w:r w:rsidRPr="009F4973">
                        <w:rPr>
                          <w:rFonts w:asciiTheme="minorHAnsi" w:hAnsiTheme="minorHAnsi"/>
                          <w:color w:val="FFFFFF" w:themeColor="background1"/>
                          <w:sz w:val="22"/>
                          <w:lang w:val="es-US"/>
                        </w:rPr>
                        <w:t>/V/II</w:t>
                      </w:r>
                    </w:p>
                    <w:p w14:paraId="73963566" w14:textId="7FDAFF02" w:rsidR="00627C9F" w:rsidRPr="009F4973" w:rsidRDefault="00627C9F" w:rsidP="007A5817">
                      <w:pPr>
                        <w:spacing w:line="276" w:lineRule="auto"/>
                        <w:jc w:val="right"/>
                        <w:rPr>
                          <w:rFonts w:asciiTheme="minorHAnsi" w:hAnsiTheme="minorHAnsi"/>
                          <w:color w:val="FFFFFF" w:themeColor="background1"/>
                          <w:sz w:val="22"/>
                          <w:lang w:val="es-US"/>
                        </w:rPr>
                      </w:pPr>
                      <w:r w:rsidRPr="009F4973">
                        <w:rPr>
                          <w:rFonts w:asciiTheme="minorHAnsi" w:hAnsiTheme="minorHAnsi"/>
                          <w:color w:val="FFFFFF" w:themeColor="background1"/>
                          <w:sz w:val="22"/>
                          <w:lang w:val="es-US"/>
                        </w:rPr>
                        <w:t xml:space="preserve">Doc. </w:t>
                      </w:r>
                      <w:r w:rsidR="00C57B6A" w:rsidRPr="009F4973">
                        <w:rPr>
                          <w:rFonts w:asciiTheme="minorHAnsi" w:hAnsiTheme="minorHAnsi"/>
                          <w:color w:val="FFFFFF" w:themeColor="background1"/>
                          <w:sz w:val="22"/>
                          <w:lang w:val="es-US"/>
                        </w:rPr>
                        <w:t>399</w:t>
                      </w:r>
                    </w:p>
                    <w:p w14:paraId="648B6E88" w14:textId="2F679BFF" w:rsidR="00627C9F" w:rsidRPr="009607CA" w:rsidRDefault="00C57B6A" w:rsidP="007A5817">
                      <w:pPr>
                        <w:spacing w:line="276" w:lineRule="auto"/>
                        <w:jc w:val="right"/>
                        <w:rPr>
                          <w:rFonts w:asciiTheme="minorHAnsi" w:hAnsiTheme="minorHAnsi"/>
                          <w:color w:val="FFFFFF" w:themeColor="background1"/>
                          <w:sz w:val="22"/>
                        </w:rPr>
                      </w:pPr>
                      <w:r w:rsidRPr="009607CA">
                        <w:rPr>
                          <w:rFonts w:asciiTheme="minorHAnsi" w:hAnsiTheme="minorHAnsi"/>
                          <w:color w:val="FFFFFF" w:themeColor="background1"/>
                          <w:sz w:val="22"/>
                        </w:rPr>
                        <w:t>12 December</w:t>
                      </w:r>
                      <w:r w:rsidR="007B05C4" w:rsidRPr="009607CA">
                        <w:rPr>
                          <w:rFonts w:asciiTheme="minorHAnsi" w:hAnsiTheme="minorHAnsi"/>
                          <w:color w:val="FFFFFF" w:themeColor="background1"/>
                          <w:sz w:val="22"/>
                        </w:rPr>
                        <w:t xml:space="preserve"> </w:t>
                      </w:r>
                      <w:r w:rsidR="0058191A" w:rsidRPr="009607CA">
                        <w:rPr>
                          <w:rFonts w:asciiTheme="minorHAnsi" w:hAnsiTheme="minorHAnsi"/>
                          <w:color w:val="FFFFFF" w:themeColor="background1"/>
                          <w:sz w:val="22"/>
                        </w:rPr>
                        <w:t>2020</w:t>
                      </w:r>
                    </w:p>
                    <w:p w14:paraId="541C4793" w14:textId="28C98471" w:rsidR="00627C9F" w:rsidRPr="00556222" w:rsidRDefault="00E0340B" w:rsidP="007A5817">
                      <w:pPr>
                        <w:spacing w:line="276" w:lineRule="auto"/>
                        <w:jc w:val="right"/>
                        <w:rPr>
                          <w:rFonts w:asciiTheme="minorHAnsi" w:hAnsiTheme="minorHAnsi"/>
                          <w:color w:val="FFFFFF" w:themeColor="background1"/>
                          <w:sz w:val="22"/>
                          <w:lang w:val="es-419"/>
                        </w:rPr>
                      </w:pPr>
                      <w:r w:rsidRPr="00556222">
                        <w:rPr>
                          <w:rFonts w:asciiTheme="minorHAnsi" w:hAnsiTheme="minorHAnsi"/>
                          <w:color w:val="FFFFFF" w:themeColor="background1"/>
                          <w:sz w:val="22"/>
                          <w:lang w:val="es-419"/>
                        </w:rPr>
                        <w:t xml:space="preserve">Original: </w:t>
                      </w:r>
                      <w:proofErr w:type="spellStart"/>
                      <w:r w:rsidR="00445CBE">
                        <w:rPr>
                          <w:rFonts w:asciiTheme="minorHAnsi" w:hAnsiTheme="minorHAnsi"/>
                          <w:color w:val="FFFFFF" w:themeColor="background1"/>
                          <w:sz w:val="22"/>
                          <w:lang w:val="es-419"/>
                        </w:rPr>
                        <w:t>Spanish</w:t>
                      </w:r>
                      <w:proofErr w:type="spellEnd"/>
                    </w:p>
                  </w:txbxContent>
                </v:textbox>
              </v:shape>
            </w:pict>
          </mc:Fallback>
        </mc:AlternateContent>
      </w:r>
    </w:p>
    <w:p w14:paraId="44DD3998" w14:textId="77777777" w:rsidR="00040C3A" w:rsidRPr="00F97A6B" w:rsidRDefault="00040C3A" w:rsidP="00040C3A">
      <w:pPr>
        <w:tabs>
          <w:tab w:val="center" w:pos="5400"/>
        </w:tabs>
        <w:suppressAutoHyphens/>
        <w:jc w:val="center"/>
        <w:rPr>
          <w:rFonts w:asciiTheme="majorHAnsi" w:hAnsiTheme="majorHAnsi"/>
          <w:sz w:val="22"/>
          <w:szCs w:val="22"/>
        </w:rPr>
      </w:pPr>
    </w:p>
    <w:p w14:paraId="75F762F1" w14:textId="77777777" w:rsidR="00040C3A" w:rsidRPr="00F97A6B" w:rsidRDefault="00040C3A" w:rsidP="00040C3A">
      <w:pPr>
        <w:tabs>
          <w:tab w:val="center" w:pos="5400"/>
        </w:tabs>
        <w:suppressAutoHyphens/>
        <w:jc w:val="center"/>
        <w:rPr>
          <w:rFonts w:asciiTheme="majorHAnsi" w:hAnsiTheme="majorHAnsi"/>
          <w:sz w:val="22"/>
          <w:szCs w:val="22"/>
        </w:rPr>
      </w:pPr>
    </w:p>
    <w:p w14:paraId="2E9BB8E1" w14:textId="77777777" w:rsidR="00040C3A" w:rsidRPr="00F97A6B" w:rsidRDefault="00040C3A" w:rsidP="00040C3A">
      <w:pPr>
        <w:tabs>
          <w:tab w:val="center" w:pos="5400"/>
        </w:tabs>
        <w:suppressAutoHyphens/>
        <w:jc w:val="center"/>
        <w:rPr>
          <w:rFonts w:asciiTheme="majorHAnsi" w:hAnsiTheme="majorHAnsi" w:cs="Arial"/>
          <w:sz w:val="22"/>
          <w:szCs w:val="22"/>
        </w:rPr>
      </w:pPr>
    </w:p>
    <w:p w14:paraId="271056FF" w14:textId="77777777" w:rsidR="00040C3A" w:rsidRPr="00F97A6B" w:rsidRDefault="00040C3A" w:rsidP="00040C3A">
      <w:pPr>
        <w:tabs>
          <w:tab w:val="center" w:pos="5400"/>
        </w:tabs>
        <w:suppressAutoHyphens/>
        <w:jc w:val="center"/>
        <w:rPr>
          <w:rFonts w:asciiTheme="majorHAnsi" w:hAnsiTheme="majorHAnsi"/>
          <w:sz w:val="22"/>
          <w:szCs w:val="22"/>
        </w:rPr>
      </w:pPr>
    </w:p>
    <w:p w14:paraId="38E64483" w14:textId="77777777" w:rsidR="00040C3A" w:rsidRPr="00F97A6B" w:rsidRDefault="00040C3A" w:rsidP="00040C3A">
      <w:pPr>
        <w:tabs>
          <w:tab w:val="center" w:pos="5400"/>
        </w:tabs>
        <w:suppressAutoHyphens/>
        <w:jc w:val="center"/>
        <w:rPr>
          <w:rFonts w:asciiTheme="majorHAnsi" w:hAnsiTheme="majorHAnsi"/>
          <w:sz w:val="22"/>
          <w:szCs w:val="22"/>
        </w:rPr>
      </w:pPr>
    </w:p>
    <w:p w14:paraId="74DF2131" w14:textId="77777777" w:rsidR="00040C3A" w:rsidRPr="00F97A6B" w:rsidRDefault="00040C3A" w:rsidP="00040C3A">
      <w:pPr>
        <w:tabs>
          <w:tab w:val="center" w:pos="5400"/>
        </w:tabs>
        <w:suppressAutoHyphens/>
        <w:jc w:val="center"/>
        <w:rPr>
          <w:rFonts w:asciiTheme="majorHAnsi" w:hAnsiTheme="majorHAnsi"/>
          <w:sz w:val="22"/>
          <w:szCs w:val="22"/>
        </w:rPr>
      </w:pPr>
    </w:p>
    <w:p w14:paraId="2F093935" w14:textId="77777777" w:rsidR="00040C3A" w:rsidRPr="00F97A6B" w:rsidRDefault="00040C3A" w:rsidP="00040C3A">
      <w:pPr>
        <w:tabs>
          <w:tab w:val="center" w:pos="5400"/>
        </w:tabs>
        <w:suppressAutoHyphens/>
        <w:jc w:val="center"/>
        <w:rPr>
          <w:rFonts w:asciiTheme="majorHAnsi" w:hAnsiTheme="majorHAnsi"/>
          <w:sz w:val="22"/>
          <w:szCs w:val="22"/>
        </w:rPr>
      </w:pPr>
    </w:p>
    <w:p w14:paraId="0FE46905" w14:textId="77777777" w:rsidR="005128E4" w:rsidRPr="00F97A6B" w:rsidRDefault="005128E4" w:rsidP="00040C3A">
      <w:pPr>
        <w:tabs>
          <w:tab w:val="center" w:pos="5400"/>
        </w:tabs>
        <w:suppressAutoHyphens/>
        <w:jc w:val="center"/>
        <w:rPr>
          <w:rFonts w:asciiTheme="majorHAnsi" w:hAnsiTheme="majorHAnsi"/>
          <w:sz w:val="22"/>
          <w:szCs w:val="22"/>
        </w:rPr>
      </w:pPr>
    </w:p>
    <w:p w14:paraId="489D9239" w14:textId="77777777" w:rsidR="00040C3A" w:rsidRPr="00F97A6B" w:rsidRDefault="00040C3A" w:rsidP="00040C3A">
      <w:pPr>
        <w:tabs>
          <w:tab w:val="center" w:pos="5400"/>
        </w:tabs>
        <w:suppressAutoHyphens/>
        <w:jc w:val="center"/>
        <w:rPr>
          <w:rFonts w:asciiTheme="majorHAnsi" w:hAnsiTheme="majorHAnsi"/>
          <w:sz w:val="22"/>
          <w:szCs w:val="22"/>
        </w:rPr>
      </w:pPr>
    </w:p>
    <w:p w14:paraId="5FFF7164" w14:textId="77777777" w:rsidR="005128E4" w:rsidRPr="00F97A6B" w:rsidRDefault="005128E4" w:rsidP="00040C3A">
      <w:pPr>
        <w:tabs>
          <w:tab w:val="center" w:pos="5400"/>
        </w:tabs>
        <w:suppressAutoHyphens/>
        <w:jc w:val="center"/>
        <w:rPr>
          <w:rFonts w:asciiTheme="majorHAnsi" w:hAnsiTheme="majorHAnsi"/>
          <w:sz w:val="22"/>
          <w:szCs w:val="22"/>
        </w:rPr>
      </w:pPr>
    </w:p>
    <w:p w14:paraId="65ADFD9D" w14:textId="77777777" w:rsidR="005128E4" w:rsidRPr="00F97A6B" w:rsidRDefault="005128E4" w:rsidP="00040C3A">
      <w:pPr>
        <w:tabs>
          <w:tab w:val="center" w:pos="5400"/>
        </w:tabs>
        <w:suppressAutoHyphens/>
        <w:jc w:val="center"/>
        <w:rPr>
          <w:rFonts w:asciiTheme="majorHAnsi" w:hAnsiTheme="majorHAnsi"/>
          <w:sz w:val="22"/>
          <w:szCs w:val="22"/>
        </w:rPr>
      </w:pPr>
    </w:p>
    <w:p w14:paraId="5EE76CA4" w14:textId="77777777" w:rsidR="005128E4" w:rsidRPr="00F97A6B" w:rsidRDefault="005128E4" w:rsidP="00040C3A">
      <w:pPr>
        <w:tabs>
          <w:tab w:val="center" w:pos="5400"/>
        </w:tabs>
        <w:suppressAutoHyphens/>
        <w:jc w:val="center"/>
        <w:rPr>
          <w:rFonts w:asciiTheme="majorHAnsi" w:hAnsiTheme="majorHAnsi"/>
          <w:sz w:val="22"/>
          <w:szCs w:val="22"/>
        </w:rPr>
      </w:pPr>
    </w:p>
    <w:p w14:paraId="6F3FAC09" w14:textId="77777777" w:rsidR="00040C3A" w:rsidRPr="00F97A6B" w:rsidRDefault="00040C3A" w:rsidP="00040C3A">
      <w:pPr>
        <w:tabs>
          <w:tab w:val="center" w:pos="5400"/>
        </w:tabs>
        <w:suppressAutoHyphens/>
        <w:jc w:val="center"/>
        <w:rPr>
          <w:rFonts w:asciiTheme="majorHAnsi" w:hAnsiTheme="majorHAnsi"/>
          <w:sz w:val="22"/>
          <w:szCs w:val="22"/>
        </w:rPr>
      </w:pPr>
    </w:p>
    <w:p w14:paraId="78B7DB03" w14:textId="77777777" w:rsidR="00040C3A" w:rsidRPr="00F97A6B" w:rsidRDefault="00040C3A" w:rsidP="00040C3A">
      <w:pPr>
        <w:tabs>
          <w:tab w:val="center" w:pos="5400"/>
        </w:tabs>
        <w:suppressAutoHyphens/>
        <w:jc w:val="center"/>
        <w:rPr>
          <w:rFonts w:asciiTheme="majorHAnsi" w:hAnsiTheme="majorHAnsi"/>
          <w:sz w:val="22"/>
          <w:szCs w:val="22"/>
        </w:rPr>
      </w:pPr>
    </w:p>
    <w:p w14:paraId="405A0B22" w14:textId="77777777" w:rsidR="00A50FCF" w:rsidRPr="00F97A6B" w:rsidRDefault="00A50FCF" w:rsidP="00040C3A">
      <w:pPr>
        <w:tabs>
          <w:tab w:val="center" w:pos="5400"/>
        </w:tabs>
        <w:suppressAutoHyphens/>
        <w:jc w:val="center"/>
        <w:rPr>
          <w:rFonts w:asciiTheme="majorHAnsi" w:hAnsiTheme="majorHAnsi"/>
          <w:sz w:val="18"/>
          <w:szCs w:val="22"/>
        </w:rPr>
      </w:pPr>
    </w:p>
    <w:p w14:paraId="5969F9BB" w14:textId="77777777" w:rsidR="00A50FCF" w:rsidRPr="00F97A6B" w:rsidRDefault="00A50FCF" w:rsidP="00040C3A">
      <w:pPr>
        <w:tabs>
          <w:tab w:val="center" w:pos="5400"/>
        </w:tabs>
        <w:suppressAutoHyphens/>
        <w:jc w:val="center"/>
        <w:rPr>
          <w:rFonts w:asciiTheme="majorHAnsi" w:hAnsiTheme="majorHAnsi"/>
          <w:sz w:val="18"/>
          <w:szCs w:val="22"/>
        </w:rPr>
      </w:pPr>
    </w:p>
    <w:p w14:paraId="519E67BB" w14:textId="77777777" w:rsidR="00A50FCF" w:rsidRPr="00F97A6B" w:rsidRDefault="00A50FCF" w:rsidP="00040C3A">
      <w:pPr>
        <w:tabs>
          <w:tab w:val="center" w:pos="5400"/>
        </w:tabs>
        <w:suppressAutoHyphens/>
        <w:jc w:val="center"/>
        <w:rPr>
          <w:rFonts w:asciiTheme="majorHAnsi" w:hAnsiTheme="majorHAnsi"/>
          <w:sz w:val="18"/>
          <w:szCs w:val="22"/>
        </w:rPr>
      </w:pPr>
    </w:p>
    <w:p w14:paraId="44FE40E2" w14:textId="77777777" w:rsidR="00A50FCF" w:rsidRPr="00F97A6B" w:rsidRDefault="00A50FCF" w:rsidP="00040C3A">
      <w:pPr>
        <w:tabs>
          <w:tab w:val="center" w:pos="5400"/>
        </w:tabs>
        <w:suppressAutoHyphens/>
        <w:jc w:val="center"/>
        <w:rPr>
          <w:rFonts w:asciiTheme="majorHAnsi" w:hAnsiTheme="majorHAnsi"/>
          <w:sz w:val="18"/>
          <w:szCs w:val="22"/>
        </w:rPr>
      </w:pPr>
    </w:p>
    <w:p w14:paraId="690BF0AC" w14:textId="77777777" w:rsidR="00A50FCF" w:rsidRPr="00F97A6B" w:rsidRDefault="00A50FCF" w:rsidP="00040C3A">
      <w:pPr>
        <w:tabs>
          <w:tab w:val="center" w:pos="5400"/>
        </w:tabs>
        <w:suppressAutoHyphens/>
        <w:jc w:val="center"/>
        <w:rPr>
          <w:rFonts w:asciiTheme="majorHAnsi" w:hAnsiTheme="majorHAnsi"/>
          <w:sz w:val="18"/>
          <w:szCs w:val="22"/>
        </w:rPr>
      </w:pPr>
    </w:p>
    <w:p w14:paraId="0A1CD6C5" w14:textId="77777777" w:rsidR="00A50FCF" w:rsidRPr="00F97A6B" w:rsidRDefault="00A50FCF" w:rsidP="00040C3A">
      <w:pPr>
        <w:tabs>
          <w:tab w:val="center" w:pos="5400"/>
        </w:tabs>
        <w:suppressAutoHyphens/>
        <w:jc w:val="center"/>
        <w:rPr>
          <w:rFonts w:asciiTheme="majorHAnsi" w:hAnsiTheme="majorHAnsi"/>
          <w:sz w:val="18"/>
          <w:szCs w:val="22"/>
        </w:rPr>
      </w:pPr>
    </w:p>
    <w:p w14:paraId="0F6806B5" w14:textId="77777777" w:rsidR="00A50FCF" w:rsidRPr="00F97A6B" w:rsidRDefault="00A50FCF" w:rsidP="00040C3A">
      <w:pPr>
        <w:tabs>
          <w:tab w:val="center" w:pos="5400"/>
        </w:tabs>
        <w:suppressAutoHyphens/>
        <w:jc w:val="center"/>
        <w:rPr>
          <w:rFonts w:asciiTheme="majorHAnsi" w:hAnsiTheme="majorHAnsi"/>
          <w:sz w:val="18"/>
          <w:szCs w:val="22"/>
        </w:rPr>
      </w:pPr>
    </w:p>
    <w:p w14:paraId="24D5F7A4" w14:textId="77777777" w:rsidR="00A50FCF" w:rsidRPr="00F97A6B" w:rsidRDefault="00A50FCF" w:rsidP="00040C3A">
      <w:pPr>
        <w:tabs>
          <w:tab w:val="center" w:pos="5400"/>
        </w:tabs>
        <w:suppressAutoHyphens/>
        <w:jc w:val="center"/>
        <w:rPr>
          <w:rFonts w:asciiTheme="majorHAnsi" w:hAnsiTheme="majorHAnsi"/>
          <w:sz w:val="18"/>
          <w:szCs w:val="22"/>
        </w:rPr>
      </w:pPr>
    </w:p>
    <w:p w14:paraId="3F8A16A9" w14:textId="77777777" w:rsidR="00A50FCF" w:rsidRPr="00F97A6B" w:rsidRDefault="00A50FCF" w:rsidP="00040C3A">
      <w:pPr>
        <w:tabs>
          <w:tab w:val="center" w:pos="5400"/>
        </w:tabs>
        <w:suppressAutoHyphens/>
        <w:jc w:val="center"/>
        <w:rPr>
          <w:rFonts w:asciiTheme="majorHAnsi" w:hAnsiTheme="majorHAnsi"/>
          <w:sz w:val="18"/>
          <w:szCs w:val="22"/>
        </w:rPr>
      </w:pPr>
    </w:p>
    <w:p w14:paraId="2F942132" w14:textId="77777777" w:rsidR="00A50FCF" w:rsidRPr="00F97A6B" w:rsidRDefault="00A50FCF" w:rsidP="00040C3A">
      <w:pPr>
        <w:tabs>
          <w:tab w:val="center" w:pos="5400"/>
        </w:tabs>
        <w:suppressAutoHyphens/>
        <w:jc w:val="center"/>
        <w:rPr>
          <w:rFonts w:asciiTheme="majorHAnsi" w:hAnsiTheme="majorHAnsi"/>
          <w:sz w:val="18"/>
          <w:szCs w:val="22"/>
        </w:rPr>
      </w:pPr>
    </w:p>
    <w:p w14:paraId="60CA3FCC" w14:textId="77777777" w:rsidR="00A50FCF" w:rsidRPr="00F97A6B" w:rsidRDefault="00A50FCF" w:rsidP="00040C3A">
      <w:pPr>
        <w:tabs>
          <w:tab w:val="center" w:pos="5400"/>
        </w:tabs>
        <w:suppressAutoHyphens/>
        <w:jc w:val="center"/>
        <w:rPr>
          <w:rFonts w:asciiTheme="majorHAnsi" w:hAnsiTheme="majorHAnsi"/>
          <w:sz w:val="18"/>
          <w:szCs w:val="22"/>
        </w:rPr>
      </w:pPr>
    </w:p>
    <w:p w14:paraId="49FE5DA2" w14:textId="77777777" w:rsidR="00A50FCF" w:rsidRPr="00F97A6B" w:rsidRDefault="00A50FCF" w:rsidP="00040C3A">
      <w:pPr>
        <w:tabs>
          <w:tab w:val="center" w:pos="5400"/>
        </w:tabs>
        <w:suppressAutoHyphens/>
        <w:jc w:val="center"/>
        <w:rPr>
          <w:rFonts w:asciiTheme="majorHAnsi" w:hAnsiTheme="majorHAnsi"/>
          <w:sz w:val="18"/>
          <w:szCs w:val="22"/>
        </w:rPr>
      </w:pPr>
    </w:p>
    <w:p w14:paraId="3E5AF89A" w14:textId="77777777" w:rsidR="00A50FCF" w:rsidRPr="00F97A6B" w:rsidRDefault="00A50FCF" w:rsidP="00040C3A">
      <w:pPr>
        <w:tabs>
          <w:tab w:val="center" w:pos="5400"/>
        </w:tabs>
        <w:suppressAutoHyphens/>
        <w:jc w:val="center"/>
        <w:rPr>
          <w:rFonts w:asciiTheme="majorHAnsi" w:hAnsiTheme="majorHAnsi"/>
          <w:sz w:val="18"/>
          <w:szCs w:val="22"/>
        </w:rPr>
      </w:pPr>
    </w:p>
    <w:p w14:paraId="4300033D" w14:textId="77777777" w:rsidR="00A50FCF" w:rsidRPr="00F97A6B" w:rsidRDefault="00A50FCF" w:rsidP="00040C3A">
      <w:pPr>
        <w:tabs>
          <w:tab w:val="center" w:pos="5400"/>
        </w:tabs>
        <w:suppressAutoHyphens/>
        <w:jc w:val="center"/>
        <w:rPr>
          <w:rFonts w:asciiTheme="majorHAnsi" w:hAnsiTheme="majorHAnsi"/>
          <w:sz w:val="18"/>
          <w:szCs w:val="22"/>
        </w:rPr>
      </w:pPr>
    </w:p>
    <w:p w14:paraId="72890616" w14:textId="77777777" w:rsidR="00A50FCF" w:rsidRPr="00F97A6B" w:rsidRDefault="0090270B" w:rsidP="00040C3A">
      <w:pPr>
        <w:tabs>
          <w:tab w:val="center" w:pos="5400"/>
        </w:tabs>
        <w:suppressAutoHyphens/>
        <w:jc w:val="center"/>
        <w:rPr>
          <w:rFonts w:asciiTheme="majorHAnsi" w:hAnsiTheme="majorHAnsi"/>
          <w:sz w:val="18"/>
          <w:szCs w:val="22"/>
        </w:rPr>
      </w:pPr>
      <w:r w:rsidRPr="00F97A6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BEFD78D" wp14:editId="4B2D14F0">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C39019" w14:textId="669DDF9B" w:rsidR="00DD3D86" w:rsidRPr="00F97A6B" w:rsidRDefault="00791F29" w:rsidP="00791F29">
                            <w:pPr>
                              <w:tabs>
                                <w:tab w:val="center" w:pos="5400"/>
                              </w:tabs>
                              <w:suppressAutoHyphens/>
                              <w:spacing w:before="60"/>
                              <w:rPr>
                                <w:rFonts w:asciiTheme="minorHAnsi" w:hAnsiTheme="minorHAnsi" w:cs="Univers"/>
                                <w:color w:val="0D0D0D" w:themeColor="text1" w:themeTint="F2"/>
                                <w:sz w:val="20"/>
                                <w:szCs w:val="20"/>
                              </w:rPr>
                            </w:pPr>
                            <w:r w:rsidRPr="00F97A6B">
                              <w:rPr>
                                <w:rFonts w:asciiTheme="majorHAnsi" w:hAnsiTheme="majorHAnsi"/>
                                <w:color w:val="0D0D0D" w:themeColor="text1" w:themeTint="F2"/>
                                <w:sz w:val="18"/>
                                <w:szCs w:val="20"/>
                              </w:rPr>
                              <w:t xml:space="preserve">Approved </w:t>
                            </w:r>
                            <w:r w:rsidR="00C57B6A">
                              <w:rPr>
                                <w:rFonts w:asciiTheme="majorHAnsi" w:hAnsiTheme="majorHAnsi"/>
                                <w:color w:val="0D0D0D" w:themeColor="text1" w:themeTint="F2"/>
                                <w:sz w:val="18"/>
                                <w:szCs w:val="20"/>
                              </w:rPr>
                              <w:t>e</w:t>
                            </w:r>
                            <w:r w:rsidRPr="00F97A6B">
                              <w:rPr>
                                <w:rFonts w:asciiTheme="majorHAnsi" w:hAnsiTheme="majorHAnsi"/>
                                <w:color w:val="0D0D0D" w:themeColor="text1" w:themeTint="F2"/>
                                <w:sz w:val="18"/>
                                <w:szCs w:val="20"/>
                              </w:rPr>
                              <w:t xml:space="preserve">lectronically by the Commission on </w:t>
                            </w:r>
                            <w:r w:rsidR="00C57B6A">
                              <w:rPr>
                                <w:rFonts w:asciiTheme="majorHAnsi" w:hAnsiTheme="majorHAnsi"/>
                                <w:color w:val="0D0D0D" w:themeColor="text1" w:themeTint="F2"/>
                                <w:sz w:val="18"/>
                                <w:szCs w:val="20"/>
                              </w:rPr>
                              <w:t>December 12</w:t>
                            </w:r>
                            <w:r w:rsidRPr="00F97A6B">
                              <w:rPr>
                                <w:rFonts w:asciiTheme="majorHAnsi" w:hAnsiTheme="majorHAnsi"/>
                                <w:color w:val="0D0D0D" w:themeColor="text1" w:themeTint="F2"/>
                                <w:sz w:val="18"/>
                                <w:szCs w:val="20"/>
                              </w:rPr>
                              <w:t>, 2020</w:t>
                            </w:r>
                            <w:r w:rsidR="00C57B6A">
                              <w:rPr>
                                <w:rFonts w:asciiTheme="majorHAnsi" w:hAnsiTheme="majorHAnsi"/>
                                <w:color w:val="0D0D0D" w:themeColor="text1" w:themeTint="F2"/>
                                <w:sz w:val="18"/>
                                <w:szCs w:val="20"/>
                              </w:rPr>
                              <w:t>.</w:t>
                            </w:r>
                          </w:p>
                          <w:p w14:paraId="2E7BB273" w14:textId="77777777" w:rsidR="005B52B0" w:rsidRPr="00F97A6B"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FD78D"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09C39019" w14:textId="669DDF9B" w:rsidR="00DD3D86" w:rsidRPr="00F97A6B" w:rsidRDefault="00791F29" w:rsidP="00791F29">
                      <w:pPr>
                        <w:tabs>
                          <w:tab w:val="center" w:pos="5400"/>
                        </w:tabs>
                        <w:suppressAutoHyphens/>
                        <w:spacing w:before="60"/>
                        <w:rPr>
                          <w:rFonts w:asciiTheme="minorHAnsi" w:hAnsiTheme="minorHAnsi" w:cs="Univers"/>
                          <w:color w:val="0D0D0D" w:themeColor="text1" w:themeTint="F2"/>
                          <w:sz w:val="20"/>
                          <w:szCs w:val="20"/>
                        </w:rPr>
                      </w:pPr>
                      <w:r w:rsidRPr="00F97A6B">
                        <w:rPr>
                          <w:rFonts w:asciiTheme="majorHAnsi" w:hAnsiTheme="majorHAnsi"/>
                          <w:color w:val="0D0D0D" w:themeColor="text1" w:themeTint="F2"/>
                          <w:sz w:val="18"/>
                          <w:szCs w:val="20"/>
                        </w:rPr>
                        <w:t xml:space="preserve">Approved </w:t>
                      </w:r>
                      <w:r w:rsidR="00C57B6A">
                        <w:rPr>
                          <w:rFonts w:asciiTheme="majorHAnsi" w:hAnsiTheme="majorHAnsi"/>
                          <w:color w:val="0D0D0D" w:themeColor="text1" w:themeTint="F2"/>
                          <w:sz w:val="18"/>
                          <w:szCs w:val="20"/>
                        </w:rPr>
                        <w:t>e</w:t>
                      </w:r>
                      <w:r w:rsidRPr="00F97A6B">
                        <w:rPr>
                          <w:rFonts w:asciiTheme="majorHAnsi" w:hAnsiTheme="majorHAnsi"/>
                          <w:color w:val="0D0D0D" w:themeColor="text1" w:themeTint="F2"/>
                          <w:sz w:val="18"/>
                          <w:szCs w:val="20"/>
                        </w:rPr>
                        <w:t xml:space="preserve">lectronically by the Commission on </w:t>
                      </w:r>
                      <w:r w:rsidR="00C57B6A">
                        <w:rPr>
                          <w:rFonts w:asciiTheme="majorHAnsi" w:hAnsiTheme="majorHAnsi"/>
                          <w:color w:val="0D0D0D" w:themeColor="text1" w:themeTint="F2"/>
                          <w:sz w:val="18"/>
                          <w:szCs w:val="20"/>
                        </w:rPr>
                        <w:t>December 12</w:t>
                      </w:r>
                      <w:r w:rsidRPr="00F97A6B">
                        <w:rPr>
                          <w:rFonts w:asciiTheme="majorHAnsi" w:hAnsiTheme="majorHAnsi"/>
                          <w:color w:val="0D0D0D" w:themeColor="text1" w:themeTint="F2"/>
                          <w:sz w:val="18"/>
                          <w:szCs w:val="20"/>
                        </w:rPr>
                        <w:t>, 2020</w:t>
                      </w:r>
                      <w:r w:rsidR="00C57B6A">
                        <w:rPr>
                          <w:rFonts w:asciiTheme="majorHAnsi" w:hAnsiTheme="majorHAnsi"/>
                          <w:color w:val="0D0D0D" w:themeColor="text1" w:themeTint="F2"/>
                          <w:sz w:val="18"/>
                          <w:szCs w:val="20"/>
                        </w:rPr>
                        <w:t>.</w:t>
                      </w:r>
                    </w:p>
                    <w:p w14:paraId="2E7BB273" w14:textId="77777777" w:rsidR="005B52B0" w:rsidRPr="00F97A6B"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0DBB6C69" w14:textId="77777777" w:rsidR="00A50FCF" w:rsidRPr="00F97A6B" w:rsidRDefault="00A50FCF" w:rsidP="00040C3A">
      <w:pPr>
        <w:tabs>
          <w:tab w:val="center" w:pos="5400"/>
        </w:tabs>
        <w:suppressAutoHyphens/>
        <w:jc w:val="center"/>
        <w:rPr>
          <w:rFonts w:asciiTheme="majorHAnsi" w:hAnsiTheme="majorHAnsi"/>
          <w:sz w:val="18"/>
          <w:szCs w:val="22"/>
        </w:rPr>
      </w:pPr>
    </w:p>
    <w:p w14:paraId="6A3AB9B4" w14:textId="77777777" w:rsidR="00A50FCF" w:rsidRPr="00F97A6B" w:rsidRDefault="00A50FCF" w:rsidP="00040C3A">
      <w:pPr>
        <w:tabs>
          <w:tab w:val="center" w:pos="5400"/>
        </w:tabs>
        <w:suppressAutoHyphens/>
        <w:jc w:val="center"/>
        <w:rPr>
          <w:rFonts w:asciiTheme="majorHAnsi" w:hAnsiTheme="majorHAnsi"/>
          <w:sz w:val="18"/>
          <w:szCs w:val="22"/>
        </w:rPr>
      </w:pPr>
    </w:p>
    <w:p w14:paraId="69F32C1E" w14:textId="77777777" w:rsidR="00A50FCF" w:rsidRPr="00F97A6B" w:rsidRDefault="00A50FCF" w:rsidP="00040C3A">
      <w:pPr>
        <w:tabs>
          <w:tab w:val="center" w:pos="5400"/>
        </w:tabs>
        <w:suppressAutoHyphens/>
        <w:jc w:val="center"/>
        <w:rPr>
          <w:rFonts w:asciiTheme="majorHAnsi" w:hAnsiTheme="majorHAnsi"/>
          <w:sz w:val="18"/>
          <w:szCs w:val="22"/>
        </w:rPr>
      </w:pPr>
    </w:p>
    <w:p w14:paraId="30F07329" w14:textId="77777777" w:rsidR="00A50FCF" w:rsidRPr="00F97A6B" w:rsidRDefault="00A50FCF" w:rsidP="00040C3A">
      <w:pPr>
        <w:tabs>
          <w:tab w:val="center" w:pos="5400"/>
        </w:tabs>
        <w:suppressAutoHyphens/>
        <w:jc w:val="center"/>
        <w:rPr>
          <w:rFonts w:asciiTheme="majorHAnsi" w:hAnsiTheme="majorHAnsi"/>
          <w:sz w:val="18"/>
          <w:szCs w:val="22"/>
        </w:rPr>
      </w:pPr>
    </w:p>
    <w:p w14:paraId="137EB3D4" w14:textId="77777777" w:rsidR="00A50FCF" w:rsidRPr="00F97A6B" w:rsidRDefault="0090270B" w:rsidP="00040C3A">
      <w:pPr>
        <w:tabs>
          <w:tab w:val="center" w:pos="5400"/>
        </w:tabs>
        <w:suppressAutoHyphens/>
        <w:jc w:val="center"/>
        <w:rPr>
          <w:rFonts w:asciiTheme="majorHAnsi" w:hAnsiTheme="majorHAnsi"/>
          <w:sz w:val="18"/>
          <w:szCs w:val="22"/>
        </w:rPr>
      </w:pPr>
      <w:r w:rsidRPr="00F97A6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B89176D" wp14:editId="75547B13">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31F3AA" w14:textId="067E77ED" w:rsidR="00113F73" w:rsidRPr="00C57B6A" w:rsidRDefault="00791F29" w:rsidP="00113F73">
                            <w:pPr>
                              <w:spacing w:line="276" w:lineRule="auto"/>
                              <w:rPr>
                                <w:rFonts w:asciiTheme="majorHAnsi" w:hAnsiTheme="majorHAnsi"/>
                                <w:color w:val="595959" w:themeColor="text1" w:themeTint="A6"/>
                                <w:sz w:val="18"/>
                                <w:szCs w:val="18"/>
                              </w:rPr>
                            </w:pPr>
                            <w:r w:rsidRPr="00C57B6A">
                              <w:rPr>
                                <w:rFonts w:asciiTheme="majorHAnsi" w:hAnsiTheme="majorHAnsi"/>
                                <w:b/>
                                <w:color w:val="595959" w:themeColor="text1" w:themeTint="A6"/>
                                <w:sz w:val="18"/>
                                <w:szCs w:val="18"/>
                              </w:rPr>
                              <w:t xml:space="preserve">Cite as: </w:t>
                            </w:r>
                            <w:r w:rsidRPr="00C57B6A">
                              <w:rPr>
                                <w:rFonts w:asciiTheme="majorHAnsi" w:hAnsiTheme="majorHAnsi"/>
                                <w:bCs/>
                                <w:color w:val="595959" w:themeColor="text1" w:themeTint="A6"/>
                                <w:sz w:val="18"/>
                                <w:szCs w:val="18"/>
                              </w:rPr>
                              <w:t xml:space="preserve">IACHR, Report No. </w:t>
                            </w:r>
                            <w:r w:rsidR="00C57B6A" w:rsidRPr="00C57B6A">
                              <w:rPr>
                                <w:rFonts w:asciiTheme="majorHAnsi" w:hAnsiTheme="majorHAnsi"/>
                                <w:bCs/>
                                <w:color w:val="595959" w:themeColor="text1" w:themeTint="A6"/>
                                <w:sz w:val="18"/>
                                <w:szCs w:val="18"/>
                              </w:rPr>
                              <w:t>3</w:t>
                            </w:r>
                            <w:r w:rsidR="009607CA">
                              <w:rPr>
                                <w:rFonts w:asciiTheme="majorHAnsi" w:hAnsiTheme="majorHAnsi"/>
                                <w:bCs/>
                                <w:color w:val="595959" w:themeColor="text1" w:themeTint="A6"/>
                                <w:sz w:val="18"/>
                                <w:szCs w:val="18"/>
                              </w:rPr>
                              <w:t>82</w:t>
                            </w:r>
                            <w:r w:rsidRPr="00C57B6A">
                              <w:rPr>
                                <w:rFonts w:asciiTheme="majorHAnsi" w:hAnsiTheme="majorHAnsi"/>
                                <w:bCs/>
                                <w:color w:val="595959" w:themeColor="text1" w:themeTint="A6"/>
                                <w:sz w:val="18"/>
                                <w:szCs w:val="18"/>
                              </w:rPr>
                              <w:t>/</w:t>
                            </w:r>
                            <w:r w:rsidR="00C57B6A">
                              <w:rPr>
                                <w:rFonts w:asciiTheme="majorHAnsi" w:hAnsiTheme="majorHAnsi"/>
                                <w:bCs/>
                                <w:color w:val="595959" w:themeColor="text1" w:themeTint="A6"/>
                                <w:sz w:val="18"/>
                                <w:szCs w:val="18"/>
                              </w:rPr>
                              <w:t>20</w:t>
                            </w:r>
                            <w:r w:rsidRPr="00C57B6A">
                              <w:rPr>
                                <w:rFonts w:asciiTheme="majorHAnsi" w:hAnsiTheme="majorHAnsi"/>
                                <w:bCs/>
                                <w:color w:val="595959" w:themeColor="text1" w:themeTint="A6"/>
                                <w:sz w:val="18"/>
                                <w:szCs w:val="18"/>
                              </w:rPr>
                              <w:t xml:space="preserve">. </w:t>
                            </w:r>
                            <w:r w:rsidR="00C57B6A">
                              <w:rPr>
                                <w:rFonts w:asciiTheme="majorHAnsi" w:hAnsiTheme="majorHAnsi"/>
                                <w:bCs/>
                                <w:color w:val="595959" w:themeColor="text1" w:themeTint="A6"/>
                                <w:sz w:val="18"/>
                                <w:szCs w:val="18"/>
                              </w:rPr>
                              <w:t>Ina</w:t>
                            </w:r>
                            <w:r w:rsidRPr="00C57B6A">
                              <w:rPr>
                                <w:rFonts w:asciiTheme="majorHAnsi" w:hAnsiTheme="majorHAnsi"/>
                                <w:bCs/>
                                <w:color w:val="595959" w:themeColor="text1" w:themeTint="A6"/>
                                <w:sz w:val="18"/>
                                <w:szCs w:val="18"/>
                              </w:rPr>
                              <w:t xml:space="preserve">dmissibility. Employees of the Panama Canal Authority. Panama. </w:t>
                            </w:r>
                            <w:r w:rsidR="00C57B6A">
                              <w:rPr>
                                <w:rFonts w:asciiTheme="majorHAnsi" w:hAnsiTheme="majorHAnsi"/>
                                <w:bCs/>
                                <w:color w:val="595959" w:themeColor="text1" w:themeTint="A6"/>
                                <w:sz w:val="18"/>
                                <w:szCs w:val="18"/>
                              </w:rPr>
                              <w:t>December 12, 2020</w:t>
                            </w:r>
                            <w:r w:rsidRPr="00C57B6A">
                              <w:rPr>
                                <w:rFonts w:asciiTheme="majorHAnsi" w:hAnsiTheme="majorHAnsi"/>
                                <w:bCs/>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9176D"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A31F3AA" w14:textId="067E77ED" w:rsidR="00113F73" w:rsidRPr="00C57B6A" w:rsidRDefault="00791F29" w:rsidP="00113F73">
                      <w:pPr>
                        <w:spacing w:line="276" w:lineRule="auto"/>
                        <w:rPr>
                          <w:rFonts w:asciiTheme="majorHAnsi" w:hAnsiTheme="majorHAnsi"/>
                          <w:color w:val="595959" w:themeColor="text1" w:themeTint="A6"/>
                          <w:sz w:val="18"/>
                          <w:szCs w:val="18"/>
                        </w:rPr>
                      </w:pPr>
                      <w:r w:rsidRPr="00C57B6A">
                        <w:rPr>
                          <w:rFonts w:asciiTheme="majorHAnsi" w:hAnsiTheme="majorHAnsi"/>
                          <w:b/>
                          <w:color w:val="595959" w:themeColor="text1" w:themeTint="A6"/>
                          <w:sz w:val="18"/>
                          <w:szCs w:val="18"/>
                        </w:rPr>
                        <w:t xml:space="preserve">Cite as: </w:t>
                      </w:r>
                      <w:r w:rsidRPr="00C57B6A">
                        <w:rPr>
                          <w:rFonts w:asciiTheme="majorHAnsi" w:hAnsiTheme="majorHAnsi"/>
                          <w:bCs/>
                          <w:color w:val="595959" w:themeColor="text1" w:themeTint="A6"/>
                          <w:sz w:val="18"/>
                          <w:szCs w:val="18"/>
                        </w:rPr>
                        <w:t xml:space="preserve">IACHR, Report No. </w:t>
                      </w:r>
                      <w:r w:rsidR="00C57B6A" w:rsidRPr="00C57B6A">
                        <w:rPr>
                          <w:rFonts w:asciiTheme="majorHAnsi" w:hAnsiTheme="majorHAnsi"/>
                          <w:bCs/>
                          <w:color w:val="595959" w:themeColor="text1" w:themeTint="A6"/>
                          <w:sz w:val="18"/>
                          <w:szCs w:val="18"/>
                        </w:rPr>
                        <w:t>3</w:t>
                      </w:r>
                      <w:r w:rsidR="009607CA">
                        <w:rPr>
                          <w:rFonts w:asciiTheme="majorHAnsi" w:hAnsiTheme="majorHAnsi"/>
                          <w:bCs/>
                          <w:color w:val="595959" w:themeColor="text1" w:themeTint="A6"/>
                          <w:sz w:val="18"/>
                          <w:szCs w:val="18"/>
                        </w:rPr>
                        <w:t>82</w:t>
                      </w:r>
                      <w:r w:rsidRPr="00C57B6A">
                        <w:rPr>
                          <w:rFonts w:asciiTheme="majorHAnsi" w:hAnsiTheme="majorHAnsi"/>
                          <w:bCs/>
                          <w:color w:val="595959" w:themeColor="text1" w:themeTint="A6"/>
                          <w:sz w:val="18"/>
                          <w:szCs w:val="18"/>
                        </w:rPr>
                        <w:t>/</w:t>
                      </w:r>
                      <w:r w:rsidR="00C57B6A">
                        <w:rPr>
                          <w:rFonts w:asciiTheme="majorHAnsi" w:hAnsiTheme="majorHAnsi"/>
                          <w:bCs/>
                          <w:color w:val="595959" w:themeColor="text1" w:themeTint="A6"/>
                          <w:sz w:val="18"/>
                          <w:szCs w:val="18"/>
                        </w:rPr>
                        <w:t>20</w:t>
                      </w:r>
                      <w:r w:rsidRPr="00C57B6A">
                        <w:rPr>
                          <w:rFonts w:asciiTheme="majorHAnsi" w:hAnsiTheme="majorHAnsi"/>
                          <w:bCs/>
                          <w:color w:val="595959" w:themeColor="text1" w:themeTint="A6"/>
                          <w:sz w:val="18"/>
                          <w:szCs w:val="18"/>
                        </w:rPr>
                        <w:t xml:space="preserve">. </w:t>
                      </w:r>
                      <w:r w:rsidR="00C57B6A">
                        <w:rPr>
                          <w:rFonts w:asciiTheme="majorHAnsi" w:hAnsiTheme="majorHAnsi"/>
                          <w:bCs/>
                          <w:color w:val="595959" w:themeColor="text1" w:themeTint="A6"/>
                          <w:sz w:val="18"/>
                          <w:szCs w:val="18"/>
                        </w:rPr>
                        <w:t>Ina</w:t>
                      </w:r>
                      <w:r w:rsidRPr="00C57B6A">
                        <w:rPr>
                          <w:rFonts w:asciiTheme="majorHAnsi" w:hAnsiTheme="majorHAnsi"/>
                          <w:bCs/>
                          <w:color w:val="595959" w:themeColor="text1" w:themeTint="A6"/>
                          <w:sz w:val="18"/>
                          <w:szCs w:val="18"/>
                        </w:rPr>
                        <w:t xml:space="preserve">dmissibility. Employees of the Panama Canal Authority. Panama. </w:t>
                      </w:r>
                      <w:r w:rsidR="00C57B6A">
                        <w:rPr>
                          <w:rFonts w:asciiTheme="majorHAnsi" w:hAnsiTheme="majorHAnsi"/>
                          <w:bCs/>
                          <w:color w:val="595959" w:themeColor="text1" w:themeTint="A6"/>
                          <w:sz w:val="18"/>
                          <w:szCs w:val="18"/>
                        </w:rPr>
                        <w:t>December 12, 2020</w:t>
                      </w:r>
                      <w:r w:rsidRPr="00C57B6A">
                        <w:rPr>
                          <w:rFonts w:asciiTheme="majorHAnsi" w:hAnsiTheme="majorHAnsi"/>
                          <w:bCs/>
                          <w:color w:val="595959" w:themeColor="text1" w:themeTint="A6"/>
                          <w:sz w:val="18"/>
                          <w:szCs w:val="18"/>
                        </w:rPr>
                        <w:t>.</w:t>
                      </w:r>
                    </w:p>
                  </w:txbxContent>
                </v:textbox>
              </v:shape>
            </w:pict>
          </mc:Fallback>
        </mc:AlternateContent>
      </w:r>
    </w:p>
    <w:p w14:paraId="7EC58DE0" w14:textId="77777777" w:rsidR="00A50FCF" w:rsidRPr="00F97A6B" w:rsidRDefault="00A50FCF" w:rsidP="00040C3A">
      <w:pPr>
        <w:tabs>
          <w:tab w:val="center" w:pos="5400"/>
        </w:tabs>
        <w:suppressAutoHyphens/>
        <w:jc w:val="center"/>
        <w:rPr>
          <w:rFonts w:asciiTheme="majorHAnsi" w:hAnsiTheme="majorHAnsi"/>
          <w:sz w:val="18"/>
          <w:szCs w:val="22"/>
        </w:rPr>
      </w:pPr>
    </w:p>
    <w:p w14:paraId="7BE0BD9D" w14:textId="4367DC39" w:rsidR="0090270B" w:rsidRPr="00F97A6B" w:rsidRDefault="00D306D1" w:rsidP="005516A1">
      <w:pPr>
        <w:tabs>
          <w:tab w:val="center" w:pos="5400"/>
        </w:tabs>
        <w:suppressAutoHyphens/>
        <w:jc w:val="center"/>
        <w:rPr>
          <w:rFonts w:asciiTheme="majorHAnsi" w:hAnsiTheme="majorHAnsi"/>
          <w:b/>
          <w:sz w:val="20"/>
        </w:rPr>
      </w:pPr>
      <w:r w:rsidRPr="00F97A6B">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3321617" wp14:editId="5C3E21F6">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DAD700"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216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6DDAD700"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77D717F5" w14:textId="02784D67" w:rsidR="0070697F" w:rsidRPr="00F97A6B" w:rsidRDefault="00C57B6A" w:rsidP="005516A1">
      <w:pPr>
        <w:tabs>
          <w:tab w:val="center" w:pos="5400"/>
        </w:tabs>
        <w:suppressAutoHyphens/>
        <w:jc w:val="center"/>
        <w:rPr>
          <w:rFonts w:asciiTheme="majorHAnsi" w:hAnsiTheme="majorHAnsi"/>
          <w:b/>
          <w:sz w:val="20"/>
        </w:rPr>
        <w:sectPr w:rsidR="0070697F" w:rsidRPr="00F97A6B"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F97A6B">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450276DF" wp14:editId="49504248">
                <wp:simplePos x="0" y="0"/>
                <wp:positionH relativeFrom="column">
                  <wp:posOffset>1329690</wp:posOffset>
                </wp:positionH>
                <wp:positionV relativeFrom="paragraph">
                  <wp:posOffset>601073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EF0CE1C" w14:textId="64F0FDEE" w:rsidR="00D72DC6" w:rsidRPr="00D72DC6" w:rsidRDefault="00C57B6A" w:rsidP="00F02AD1">
                            <w:pPr>
                              <w:rPr>
                                <w:color w:val="FFFFFF" w:themeColor="background1"/>
                                <w14:textFill>
                                  <w14:noFill/>
                                </w14:textFill>
                              </w:rPr>
                            </w:pPr>
                            <w:r>
                              <w:rPr>
                                <w:noProof/>
                              </w:rPr>
                              <w:drawing>
                                <wp:inline distT="0" distB="0" distL="0" distR="0" wp14:anchorId="0C4A84AE" wp14:editId="113D51D2">
                                  <wp:extent cx="1811955" cy="462643"/>
                                  <wp:effectExtent l="0" t="0" r="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18493" cy="46431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276DF" id="Text Box 9" o:spid="_x0000_s1032" type="#_x0000_t202" style="position:absolute;left:0;text-align:left;margin-left:104.7pt;margin-top:47.3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" fillcolor="white [3201]" stroked="f" strokeweight=".5pt">
                <v:textbox>
                  <w:txbxContent>
                    <w:p w14:paraId="4EF0CE1C" w14:textId="64F0FDEE" w:rsidR="00D72DC6" w:rsidRPr="00D72DC6" w:rsidRDefault="00C57B6A" w:rsidP="00F02AD1">
                      <w:pPr>
                        <w:rPr>
                          <w:color w:val="FFFFFF" w:themeColor="background1"/>
                          <w14:textFill>
                            <w14:noFill/>
                          </w14:textFill>
                        </w:rPr>
                      </w:pPr>
                      <w:r>
                        <w:rPr>
                          <w:noProof/>
                        </w:rPr>
                        <w:drawing>
                          <wp:inline distT="0" distB="0" distL="0" distR="0" wp14:anchorId="0C4A84AE" wp14:editId="113D51D2">
                            <wp:extent cx="1811955" cy="462643"/>
                            <wp:effectExtent l="0" t="0" r="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18493" cy="464312"/>
                                    </a:xfrm>
                                    <a:prstGeom prst="rect">
                                      <a:avLst/>
                                    </a:prstGeom>
                                  </pic:spPr>
                                </pic:pic>
                              </a:graphicData>
                            </a:graphic>
                          </wp:inline>
                        </w:drawing>
                      </w:r>
                    </w:p>
                  </w:txbxContent>
                </v:textbox>
              </v:shape>
            </w:pict>
          </mc:Fallback>
        </mc:AlternateContent>
      </w:r>
      <w:r w:rsidR="004A6A54" w:rsidRPr="00F97A6B">
        <w:rPr>
          <w:rFonts w:asciiTheme="majorHAnsi" w:hAnsiTheme="majorHAnsi"/>
          <w:b/>
          <w:sz w:val="20"/>
        </w:rPr>
        <w:tab/>
      </w:r>
    </w:p>
    <w:p w14:paraId="11BF0FD0" w14:textId="004C71BF" w:rsidR="003239B8" w:rsidRPr="00F97A6B" w:rsidRDefault="003239B8" w:rsidP="007C402A">
      <w:pPr>
        <w:spacing w:after="120"/>
        <w:ind w:firstLine="720"/>
        <w:jc w:val="both"/>
        <w:rPr>
          <w:rFonts w:asciiTheme="majorHAnsi" w:hAnsiTheme="majorHAnsi"/>
          <w:b/>
          <w:bCs/>
          <w:sz w:val="20"/>
          <w:szCs w:val="20"/>
        </w:rPr>
      </w:pPr>
      <w:r w:rsidRPr="00F97A6B">
        <w:rPr>
          <w:rFonts w:asciiTheme="majorHAnsi" w:hAnsiTheme="majorHAnsi"/>
          <w:b/>
          <w:bCs/>
          <w:sz w:val="20"/>
          <w:szCs w:val="20"/>
        </w:rPr>
        <w:lastRenderedPageBreak/>
        <w:t>I.</w:t>
      </w:r>
      <w:r w:rsidRPr="00F97A6B">
        <w:rPr>
          <w:rFonts w:asciiTheme="majorHAnsi" w:hAnsiTheme="majorHAnsi"/>
          <w:b/>
          <w:bCs/>
          <w:sz w:val="20"/>
          <w:szCs w:val="20"/>
        </w:rPr>
        <w:tab/>
      </w:r>
      <w:r w:rsidR="00457903" w:rsidRPr="00F97A6B">
        <w:rPr>
          <w:rFonts w:asciiTheme="majorHAnsi" w:hAnsiTheme="majorHAnsi"/>
          <w:b/>
          <w:bCs/>
          <w:sz w:val="20"/>
          <w:szCs w:val="20"/>
        </w:rPr>
        <w:t>INFORMATION ABOUT THE PETITION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F97A6B" w14:paraId="778D6209" w14:textId="77777777" w:rsidTr="009F4973">
        <w:tc>
          <w:tcPr>
            <w:tcW w:w="2790" w:type="dxa"/>
            <w:tcBorders>
              <w:top w:val="single" w:sz="4" w:space="0" w:color="auto"/>
              <w:bottom w:val="single" w:sz="6" w:space="0" w:color="auto"/>
            </w:tcBorders>
            <w:shd w:val="clear" w:color="auto" w:fill="73BF43"/>
            <w:vAlign w:val="center"/>
          </w:tcPr>
          <w:p w14:paraId="69CE5123" w14:textId="4AFCE804" w:rsidR="003239B8" w:rsidRPr="00F97A6B" w:rsidRDefault="00153F4F" w:rsidP="008D2290">
            <w:pPr>
              <w:jc w:val="center"/>
              <w:rPr>
                <w:rFonts w:ascii="Cambria" w:hAnsi="Cambria"/>
                <w:bCs/>
                <w:color w:val="FFFFFF" w:themeColor="background1"/>
                <w:sz w:val="19"/>
                <w:szCs w:val="19"/>
              </w:rPr>
            </w:pPr>
            <w:r w:rsidRPr="00F97A6B">
              <w:rPr>
                <w:rFonts w:ascii="Cambria" w:hAnsi="Cambria"/>
                <w:bCs/>
                <w:color w:val="FFFFFF" w:themeColor="background1"/>
                <w:sz w:val="19"/>
                <w:szCs w:val="19"/>
              </w:rPr>
              <w:t>Petitioner:</w:t>
            </w:r>
          </w:p>
        </w:tc>
        <w:tc>
          <w:tcPr>
            <w:tcW w:w="6570" w:type="dxa"/>
            <w:vAlign w:val="center"/>
          </w:tcPr>
          <w:p w14:paraId="2B0B9CDC" w14:textId="2D54986F" w:rsidR="003239B8" w:rsidRPr="00F97A6B" w:rsidRDefault="00791F29" w:rsidP="00853A49">
            <w:pPr>
              <w:jc w:val="both"/>
              <w:rPr>
                <w:rFonts w:ascii="Cambria" w:hAnsi="Cambria"/>
                <w:bCs/>
                <w:sz w:val="19"/>
                <w:szCs w:val="19"/>
              </w:rPr>
            </w:pPr>
            <w:r w:rsidRPr="00F97A6B">
              <w:rPr>
                <w:rFonts w:ascii="Cambria" w:hAnsi="Cambria"/>
                <w:sz w:val="19"/>
                <w:szCs w:val="19"/>
              </w:rPr>
              <w:t xml:space="preserve">Panama Area Metal Trades Council </w:t>
            </w:r>
            <w:r w:rsidR="00EB7210" w:rsidRPr="00F97A6B">
              <w:rPr>
                <w:rFonts w:ascii="Cambria" w:hAnsi="Cambria"/>
                <w:bCs/>
                <w:sz w:val="19"/>
                <w:szCs w:val="19"/>
              </w:rPr>
              <w:t>B</w:t>
            </w:r>
            <w:r w:rsidR="00853A49" w:rsidRPr="00F97A6B">
              <w:rPr>
                <w:rStyle w:val="FootnoteReference"/>
                <w:rFonts w:ascii="Cambria" w:hAnsi="Cambria"/>
                <w:bCs/>
                <w:sz w:val="19"/>
                <w:szCs w:val="19"/>
              </w:rPr>
              <w:footnoteReference w:id="2"/>
            </w:r>
          </w:p>
        </w:tc>
      </w:tr>
      <w:tr w:rsidR="003239B8" w:rsidRPr="00F97A6B" w14:paraId="3D9E1D63" w14:textId="77777777" w:rsidTr="009F4973">
        <w:tc>
          <w:tcPr>
            <w:tcW w:w="2790" w:type="dxa"/>
            <w:tcBorders>
              <w:top w:val="single" w:sz="6" w:space="0" w:color="auto"/>
              <w:bottom w:val="single" w:sz="6" w:space="0" w:color="auto"/>
            </w:tcBorders>
            <w:shd w:val="clear" w:color="auto" w:fill="73BF43"/>
            <w:vAlign w:val="center"/>
          </w:tcPr>
          <w:p w14:paraId="05F6E35E" w14:textId="635DBFDC" w:rsidR="003239B8" w:rsidRPr="00F97A6B" w:rsidRDefault="00791F29" w:rsidP="008D2290">
            <w:pPr>
              <w:jc w:val="center"/>
              <w:rPr>
                <w:rFonts w:ascii="Cambria" w:hAnsi="Cambria"/>
                <w:bCs/>
                <w:color w:val="FFFFFF" w:themeColor="background1"/>
                <w:sz w:val="19"/>
                <w:szCs w:val="19"/>
              </w:rPr>
            </w:pPr>
            <w:r w:rsidRPr="00F97A6B">
              <w:rPr>
                <w:rFonts w:ascii="Cambria" w:hAnsi="Cambria"/>
                <w:bCs/>
                <w:color w:val="FFFFFF" w:themeColor="background1"/>
                <w:sz w:val="19"/>
                <w:szCs w:val="19"/>
              </w:rPr>
              <w:t>Alleged victim</w:t>
            </w:r>
            <w:r w:rsidR="00153F4F" w:rsidRPr="00F97A6B">
              <w:rPr>
                <w:rFonts w:ascii="Cambria" w:hAnsi="Cambria"/>
                <w:bCs/>
                <w:color w:val="FFFFFF" w:themeColor="background1"/>
                <w:sz w:val="19"/>
                <w:szCs w:val="19"/>
              </w:rPr>
              <w:t>:</w:t>
            </w:r>
          </w:p>
        </w:tc>
        <w:tc>
          <w:tcPr>
            <w:tcW w:w="6570" w:type="dxa"/>
            <w:vAlign w:val="center"/>
          </w:tcPr>
          <w:p w14:paraId="6B7D366E" w14:textId="1D315960" w:rsidR="003239B8" w:rsidRPr="00F97A6B" w:rsidRDefault="00791F29" w:rsidP="00853A49">
            <w:pPr>
              <w:jc w:val="both"/>
              <w:rPr>
                <w:rFonts w:ascii="Cambria" w:hAnsi="Cambria"/>
                <w:bCs/>
                <w:sz w:val="19"/>
                <w:szCs w:val="19"/>
              </w:rPr>
            </w:pPr>
            <w:r w:rsidRPr="00F97A6B">
              <w:rPr>
                <w:rFonts w:ascii="Cambria" w:hAnsi="Cambria"/>
                <w:bCs/>
                <w:sz w:val="19"/>
                <w:szCs w:val="19"/>
              </w:rPr>
              <w:t>Panama Canal Employees</w:t>
            </w:r>
          </w:p>
        </w:tc>
      </w:tr>
      <w:tr w:rsidR="003239B8" w:rsidRPr="00F97A6B" w14:paraId="01B0DB13" w14:textId="77777777" w:rsidTr="009F4973">
        <w:tc>
          <w:tcPr>
            <w:tcW w:w="2790" w:type="dxa"/>
            <w:tcBorders>
              <w:top w:val="single" w:sz="6" w:space="0" w:color="auto"/>
              <w:bottom w:val="single" w:sz="6" w:space="0" w:color="auto"/>
            </w:tcBorders>
            <w:shd w:val="clear" w:color="auto" w:fill="73BF43"/>
            <w:vAlign w:val="center"/>
          </w:tcPr>
          <w:p w14:paraId="75DA2984" w14:textId="1E965608" w:rsidR="003239B8" w:rsidRPr="00F97A6B" w:rsidRDefault="00153F4F" w:rsidP="008D2290">
            <w:pPr>
              <w:jc w:val="center"/>
              <w:rPr>
                <w:rFonts w:ascii="Cambria" w:hAnsi="Cambria"/>
                <w:bCs/>
                <w:color w:val="FFFFFF" w:themeColor="background1"/>
                <w:sz w:val="19"/>
                <w:szCs w:val="19"/>
              </w:rPr>
            </w:pPr>
            <w:r w:rsidRPr="00F97A6B">
              <w:rPr>
                <w:rFonts w:ascii="Cambria" w:hAnsi="Cambria"/>
                <w:bCs/>
                <w:color w:val="FFFFFF" w:themeColor="background1"/>
                <w:sz w:val="19"/>
                <w:szCs w:val="19"/>
              </w:rPr>
              <w:t>Respondent State:</w:t>
            </w:r>
          </w:p>
        </w:tc>
        <w:tc>
          <w:tcPr>
            <w:tcW w:w="6570" w:type="dxa"/>
            <w:vAlign w:val="center"/>
          </w:tcPr>
          <w:p w14:paraId="4D77A2E4" w14:textId="093E8907" w:rsidR="003239B8" w:rsidRPr="00F97A6B" w:rsidRDefault="00791F29" w:rsidP="00E84772">
            <w:pPr>
              <w:jc w:val="both"/>
              <w:rPr>
                <w:rFonts w:ascii="Cambria" w:hAnsi="Cambria"/>
                <w:bCs/>
                <w:sz w:val="19"/>
                <w:szCs w:val="19"/>
              </w:rPr>
            </w:pPr>
            <w:r w:rsidRPr="00F97A6B">
              <w:rPr>
                <w:rFonts w:ascii="Cambria" w:hAnsi="Cambria"/>
                <w:bCs/>
                <w:sz w:val="19"/>
                <w:szCs w:val="19"/>
              </w:rPr>
              <w:t>Panama</w:t>
            </w:r>
            <w:r w:rsidR="004A6A54" w:rsidRPr="00F97A6B">
              <w:rPr>
                <w:rStyle w:val="FootnoteReference"/>
                <w:rFonts w:ascii="Cambria" w:hAnsi="Cambria"/>
                <w:bCs/>
                <w:sz w:val="19"/>
                <w:szCs w:val="19"/>
              </w:rPr>
              <w:footnoteReference w:id="3"/>
            </w:r>
          </w:p>
        </w:tc>
      </w:tr>
      <w:tr w:rsidR="00223A29" w:rsidRPr="00F97A6B" w14:paraId="79393A35" w14:textId="77777777" w:rsidTr="009F4973">
        <w:tc>
          <w:tcPr>
            <w:tcW w:w="2790" w:type="dxa"/>
            <w:tcBorders>
              <w:top w:val="single" w:sz="6" w:space="0" w:color="auto"/>
              <w:bottom w:val="single" w:sz="6" w:space="0" w:color="auto"/>
            </w:tcBorders>
            <w:shd w:val="clear" w:color="auto" w:fill="73BF43"/>
            <w:vAlign w:val="center"/>
          </w:tcPr>
          <w:p w14:paraId="78D11DFF" w14:textId="086F3518" w:rsidR="00223A29" w:rsidRPr="00F97A6B" w:rsidRDefault="00791F29" w:rsidP="00E4118C">
            <w:pPr>
              <w:jc w:val="center"/>
              <w:rPr>
                <w:rFonts w:ascii="Cambria" w:hAnsi="Cambria"/>
                <w:bCs/>
                <w:color w:val="FFFFFF" w:themeColor="background1"/>
                <w:sz w:val="19"/>
                <w:szCs w:val="19"/>
              </w:rPr>
            </w:pPr>
            <w:r w:rsidRPr="00F97A6B">
              <w:rPr>
                <w:rFonts w:ascii="Cambria" w:hAnsi="Cambria"/>
                <w:bCs/>
                <w:color w:val="FFFFFF" w:themeColor="background1"/>
                <w:sz w:val="19"/>
                <w:szCs w:val="19"/>
              </w:rPr>
              <w:t>Rights invoked</w:t>
            </w:r>
            <w:r w:rsidR="00153F4F" w:rsidRPr="00F97A6B">
              <w:rPr>
                <w:rFonts w:ascii="Cambria" w:hAnsi="Cambria"/>
                <w:bCs/>
                <w:color w:val="FFFFFF" w:themeColor="background1"/>
                <w:sz w:val="19"/>
                <w:szCs w:val="19"/>
              </w:rPr>
              <w:t>:</w:t>
            </w:r>
          </w:p>
        </w:tc>
        <w:tc>
          <w:tcPr>
            <w:tcW w:w="6570" w:type="dxa"/>
            <w:vAlign w:val="center"/>
          </w:tcPr>
          <w:p w14:paraId="0978C564" w14:textId="47B8B9ED" w:rsidR="00223A29" w:rsidRPr="00F97A6B" w:rsidRDefault="00791F29" w:rsidP="00702458">
            <w:pPr>
              <w:jc w:val="both"/>
              <w:rPr>
                <w:rFonts w:ascii="Cambria" w:hAnsi="Cambria"/>
                <w:bCs/>
                <w:sz w:val="19"/>
                <w:szCs w:val="19"/>
              </w:rPr>
            </w:pPr>
            <w:r w:rsidRPr="00F97A6B">
              <w:rPr>
                <w:rFonts w:ascii="Cambria" w:hAnsi="Cambria"/>
                <w:bCs/>
                <w:sz w:val="19"/>
                <w:szCs w:val="19"/>
              </w:rPr>
              <w:t>Article 25 (judicial protection) of the American Convention on Human Rights</w:t>
            </w:r>
            <w:r w:rsidR="001D52F4" w:rsidRPr="00F97A6B">
              <w:rPr>
                <w:rStyle w:val="FootnoteReference"/>
                <w:rFonts w:ascii="Cambria" w:hAnsi="Cambria"/>
                <w:bCs/>
                <w:sz w:val="19"/>
                <w:szCs w:val="19"/>
              </w:rPr>
              <w:footnoteReference w:id="4"/>
            </w:r>
            <w:r w:rsidR="00702458" w:rsidRPr="00F97A6B">
              <w:rPr>
                <w:rFonts w:ascii="Cambria" w:hAnsi="Cambria"/>
                <w:bCs/>
                <w:sz w:val="19"/>
                <w:szCs w:val="19"/>
              </w:rPr>
              <w:t xml:space="preserve">; </w:t>
            </w:r>
            <w:r w:rsidRPr="00F97A6B">
              <w:rPr>
                <w:rFonts w:ascii="Cambria" w:hAnsi="Cambria"/>
                <w:bCs/>
                <w:sz w:val="19"/>
                <w:szCs w:val="19"/>
              </w:rPr>
              <w:t>Article 8.1.b (trade union rights) of the Additional Protocol to the American Convention on Human Rights in the area of Economic, Social and Cultural Rights</w:t>
            </w:r>
            <w:r w:rsidR="00702458" w:rsidRPr="00F97A6B">
              <w:rPr>
                <w:rStyle w:val="FootnoteReference"/>
                <w:rFonts w:ascii="Cambria" w:hAnsi="Cambria"/>
                <w:bCs/>
                <w:sz w:val="19"/>
                <w:szCs w:val="19"/>
              </w:rPr>
              <w:footnoteReference w:id="5"/>
            </w:r>
            <w:r w:rsidR="00702458" w:rsidRPr="00F97A6B">
              <w:rPr>
                <w:rFonts w:ascii="Cambria" w:hAnsi="Cambria"/>
                <w:bCs/>
                <w:sz w:val="19"/>
                <w:szCs w:val="19"/>
              </w:rPr>
              <w:t xml:space="preserve">; </w:t>
            </w:r>
            <w:r w:rsidRPr="00F97A6B">
              <w:rPr>
                <w:rFonts w:ascii="Cambria" w:hAnsi="Cambria"/>
                <w:bCs/>
                <w:sz w:val="19"/>
                <w:szCs w:val="19"/>
              </w:rPr>
              <w:t>Article XVIII of the American Declaration of the Rights and Duties of Man</w:t>
            </w:r>
            <w:r w:rsidR="00702458" w:rsidRPr="00F97A6B">
              <w:rPr>
                <w:rStyle w:val="FootnoteReference"/>
                <w:rFonts w:ascii="Cambria" w:hAnsi="Cambria"/>
                <w:bCs/>
                <w:sz w:val="19"/>
                <w:szCs w:val="19"/>
              </w:rPr>
              <w:footnoteReference w:id="6"/>
            </w:r>
            <w:r w:rsidR="00702458" w:rsidRPr="00F97A6B">
              <w:rPr>
                <w:rFonts w:ascii="Cambria" w:hAnsi="Cambria"/>
                <w:bCs/>
                <w:sz w:val="19"/>
                <w:szCs w:val="19"/>
              </w:rPr>
              <w:t xml:space="preserve">; </w:t>
            </w:r>
            <w:r w:rsidRPr="00F97A6B">
              <w:rPr>
                <w:rFonts w:ascii="Cambria" w:hAnsi="Cambria"/>
                <w:bCs/>
                <w:sz w:val="19"/>
                <w:szCs w:val="19"/>
              </w:rPr>
              <w:t>and other international treaties</w:t>
            </w:r>
            <w:r w:rsidR="00702458" w:rsidRPr="00F97A6B">
              <w:rPr>
                <w:rStyle w:val="FootnoteReference"/>
                <w:rFonts w:ascii="Cambria" w:hAnsi="Cambria"/>
                <w:bCs/>
                <w:sz w:val="19"/>
                <w:szCs w:val="19"/>
              </w:rPr>
              <w:footnoteReference w:id="7"/>
            </w:r>
          </w:p>
        </w:tc>
      </w:tr>
    </w:tbl>
    <w:p w14:paraId="237AFBE4" w14:textId="3F1B7A28" w:rsidR="003239B8" w:rsidRPr="00F97A6B" w:rsidRDefault="003239B8" w:rsidP="007C402A">
      <w:pPr>
        <w:spacing w:before="120" w:after="120"/>
        <w:ind w:firstLine="720"/>
        <w:jc w:val="both"/>
        <w:rPr>
          <w:rFonts w:asciiTheme="majorHAnsi" w:hAnsiTheme="majorHAnsi"/>
          <w:b/>
          <w:bCs/>
          <w:sz w:val="20"/>
          <w:szCs w:val="20"/>
        </w:rPr>
      </w:pPr>
      <w:r w:rsidRPr="00F97A6B">
        <w:rPr>
          <w:rFonts w:asciiTheme="majorHAnsi" w:hAnsiTheme="majorHAnsi"/>
          <w:b/>
          <w:bCs/>
          <w:sz w:val="20"/>
          <w:szCs w:val="20"/>
        </w:rPr>
        <w:t>II.</w:t>
      </w:r>
      <w:r w:rsidRPr="00F97A6B">
        <w:rPr>
          <w:rFonts w:asciiTheme="majorHAnsi" w:hAnsiTheme="majorHAnsi"/>
          <w:b/>
          <w:bCs/>
          <w:sz w:val="20"/>
          <w:szCs w:val="20"/>
        </w:rPr>
        <w:tab/>
      </w:r>
      <w:r w:rsidR="00791F29" w:rsidRPr="00F97A6B">
        <w:rPr>
          <w:rFonts w:asciiTheme="majorHAnsi" w:hAnsiTheme="majorHAnsi"/>
          <w:b/>
          <w:bCs/>
          <w:sz w:val="20"/>
          <w:szCs w:val="20"/>
        </w:rPr>
        <w:t>PROCESSING BEFORE THE IACHR</w:t>
      </w:r>
      <w:r w:rsidR="008E3BFE" w:rsidRPr="00F97A6B">
        <w:rPr>
          <w:rStyle w:val="FootnoteReference"/>
          <w:rFonts w:ascii="Cambria" w:hAnsi="Cambria"/>
          <w:b/>
          <w:sz w:val="20"/>
          <w:szCs w:val="20"/>
        </w:rPr>
        <w:footnoteReference w:id="8"/>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F97A6B" w14:paraId="0727E431" w14:textId="77777777" w:rsidTr="009F4973">
        <w:trPr>
          <w:trHeight w:val="363"/>
        </w:trPr>
        <w:tc>
          <w:tcPr>
            <w:tcW w:w="2790" w:type="dxa"/>
            <w:tcBorders>
              <w:top w:val="single" w:sz="6" w:space="0" w:color="auto"/>
              <w:bottom w:val="single" w:sz="6" w:space="0" w:color="auto"/>
            </w:tcBorders>
            <w:shd w:val="clear" w:color="auto" w:fill="73BF43"/>
            <w:vAlign w:val="center"/>
          </w:tcPr>
          <w:p w14:paraId="401E1E63" w14:textId="5370D7B1" w:rsidR="004C2312" w:rsidRPr="00F97A6B" w:rsidRDefault="0056438C" w:rsidP="004A6A54">
            <w:pPr>
              <w:jc w:val="center"/>
              <w:rPr>
                <w:rFonts w:ascii="Cambria" w:hAnsi="Cambria"/>
                <w:bCs/>
                <w:color w:val="FFFFFF" w:themeColor="background1"/>
                <w:sz w:val="19"/>
                <w:szCs w:val="19"/>
              </w:rPr>
            </w:pPr>
            <w:r w:rsidRPr="00F97A6B">
              <w:rPr>
                <w:rFonts w:ascii="Cambria" w:hAnsi="Cambria"/>
                <w:bCs/>
                <w:color w:val="FFFFFF" w:themeColor="background1"/>
                <w:sz w:val="19"/>
                <w:szCs w:val="19"/>
              </w:rPr>
              <w:t>F</w:t>
            </w:r>
            <w:r w:rsidRPr="00F97A6B">
              <w:rPr>
                <w:rFonts w:ascii="Cambria" w:hAnsi="Cambria"/>
                <w:color w:val="FFFFFF" w:themeColor="background1"/>
                <w:sz w:val="19"/>
                <w:szCs w:val="19"/>
              </w:rPr>
              <w:t>iling of the petition</w:t>
            </w:r>
          </w:p>
        </w:tc>
        <w:tc>
          <w:tcPr>
            <w:tcW w:w="6570" w:type="dxa"/>
            <w:vAlign w:val="center"/>
          </w:tcPr>
          <w:p w14:paraId="5E809D85" w14:textId="77777777" w:rsidR="004C2312" w:rsidRPr="00F97A6B" w:rsidRDefault="00791F29" w:rsidP="002625EA">
            <w:pPr>
              <w:jc w:val="both"/>
              <w:rPr>
                <w:rFonts w:ascii="Cambria" w:hAnsi="Cambria"/>
                <w:bCs/>
                <w:sz w:val="19"/>
                <w:szCs w:val="19"/>
              </w:rPr>
            </w:pPr>
            <w:r w:rsidRPr="00F97A6B">
              <w:rPr>
                <w:rFonts w:ascii="Cambria" w:hAnsi="Cambria"/>
                <w:bCs/>
                <w:sz w:val="19"/>
                <w:szCs w:val="19"/>
              </w:rPr>
              <w:t>October 26, 2009</w:t>
            </w:r>
          </w:p>
        </w:tc>
      </w:tr>
      <w:tr w:rsidR="004C2312" w:rsidRPr="00F97A6B" w14:paraId="1F0B24E3" w14:textId="77777777" w:rsidTr="009F4973">
        <w:tc>
          <w:tcPr>
            <w:tcW w:w="2790" w:type="dxa"/>
            <w:tcBorders>
              <w:top w:val="single" w:sz="6" w:space="0" w:color="auto"/>
              <w:bottom w:val="single" w:sz="6" w:space="0" w:color="auto"/>
            </w:tcBorders>
            <w:shd w:val="clear" w:color="auto" w:fill="73BF43"/>
            <w:vAlign w:val="center"/>
          </w:tcPr>
          <w:p w14:paraId="2069DC5B" w14:textId="26294804" w:rsidR="004C2312" w:rsidRPr="00F97A6B" w:rsidRDefault="00791F29" w:rsidP="000C1C69">
            <w:pPr>
              <w:jc w:val="center"/>
              <w:rPr>
                <w:rFonts w:ascii="Cambria" w:hAnsi="Cambria"/>
                <w:bCs/>
                <w:color w:val="FFFFFF" w:themeColor="background1"/>
                <w:sz w:val="19"/>
                <w:szCs w:val="19"/>
              </w:rPr>
            </w:pPr>
            <w:r w:rsidRPr="00F97A6B">
              <w:rPr>
                <w:rFonts w:ascii="Cambria" w:hAnsi="Cambria"/>
                <w:color w:val="FFFFFF" w:themeColor="background1"/>
                <w:sz w:val="19"/>
                <w:szCs w:val="19"/>
              </w:rPr>
              <w:t>Notification of the petition</w:t>
            </w:r>
            <w:r w:rsidR="0056438C" w:rsidRPr="00F97A6B">
              <w:rPr>
                <w:rFonts w:ascii="Cambria" w:hAnsi="Cambria"/>
                <w:color w:val="FFFFFF" w:themeColor="background1"/>
                <w:sz w:val="19"/>
                <w:szCs w:val="19"/>
              </w:rPr>
              <w:t xml:space="preserve"> </w:t>
            </w:r>
          </w:p>
        </w:tc>
        <w:tc>
          <w:tcPr>
            <w:tcW w:w="6570" w:type="dxa"/>
            <w:vAlign w:val="center"/>
          </w:tcPr>
          <w:p w14:paraId="18375D83" w14:textId="67E9AB30" w:rsidR="004C2312" w:rsidRPr="00F97A6B" w:rsidRDefault="00791F29" w:rsidP="008D2290">
            <w:pPr>
              <w:jc w:val="both"/>
              <w:rPr>
                <w:rFonts w:ascii="Cambria" w:hAnsi="Cambria"/>
                <w:bCs/>
                <w:sz w:val="19"/>
                <w:szCs w:val="19"/>
              </w:rPr>
            </w:pPr>
            <w:r w:rsidRPr="00F97A6B">
              <w:rPr>
                <w:rFonts w:ascii="Cambria" w:hAnsi="Cambria"/>
                <w:bCs/>
                <w:sz w:val="19"/>
                <w:szCs w:val="19"/>
              </w:rPr>
              <w:t>October 2</w:t>
            </w:r>
            <w:r w:rsidR="00BF12BD">
              <w:rPr>
                <w:rFonts w:ascii="Cambria" w:hAnsi="Cambria"/>
                <w:bCs/>
                <w:sz w:val="19"/>
                <w:szCs w:val="19"/>
              </w:rPr>
              <w:t>5</w:t>
            </w:r>
            <w:r w:rsidRPr="00F97A6B">
              <w:rPr>
                <w:rFonts w:ascii="Cambria" w:hAnsi="Cambria"/>
                <w:bCs/>
                <w:sz w:val="19"/>
                <w:szCs w:val="19"/>
              </w:rPr>
              <w:t>, 201</w:t>
            </w:r>
            <w:r w:rsidR="00007FFD">
              <w:rPr>
                <w:rFonts w:ascii="Cambria" w:hAnsi="Cambria"/>
                <w:bCs/>
                <w:sz w:val="19"/>
                <w:szCs w:val="19"/>
              </w:rPr>
              <w:t>6</w:t>
            </w:r>
          </w:p>
        </w:tc>
      </w:tr>
      <w:tr w:rsidR="000A23C0" w:rsidRPr="00F97A6B" w14:paraId="61059C62" w14:textId="77777777" w:rsidTr="009F4973">
        <w:tc>
          <w:tcPr>
            <w:tcW w:w="2790" w:type="dxa"/>
            <w:tcBorders>
              <w:top w:val="single" w:sz="6" w:space="0" w:color="auto"/>
              <w:bottom w:val="single" w:sz="6" w:space="0" w:color="auto"/>
            </w:tcBorders>
            <w:shd w:val="clear" w:color="auto" w:fill="73BF43"/>
            <w:vAlign w:val="center"/>
          </w:tcPr>
          <w:p w14:paraId="0992D815" w14:textId="77777777" w:rsidR="000A23C0" w:rsidRPr="00F97A6B" w:rsidRDefault="00791F29" w:rsidP="00854D46">
            <w:pPr>
              <w:jc w:val="center"/>
              <w:rPr>
                <w:rFonts w:ascii="Cambria" w:hAnsi="Cambria"/>
                <w:bCs/>
                <w:color w:val="FFFFFF" w:themeColor="background1"/>
                <w:sz w:val="19"/>
                <w:szCs w:val="19"/>
              </w:rPr>
            </w:pPr>
            <w:r w:rsidRPr="00F97A6B">
              <w:rPr>
                <w:rFonts w:ascii="Cambria" w:hAnsi="Cambria"/>
                <w:color w:val="FFFFFF" w:themeColor="background1"/>
                <w:sz w:val="19"/>
                <w:szCs w:val="19"/>
              </w:rPr>
              <w:t>State's first response</w:t>
            </w:r>
          </w:p>
        </w:tc>
        <w:tc>
          <w:tcPr>
            <w:tcW w:w="6570" w:type="dxa"/>
            <w:vAlign w:val="center"/>
          </w:tcPr>
          <w:p w14:paraId="61785945" w14:textId="77777777" w:rsidR="000A23C0" w:rsidRPr="00F97A6B" w:rsidRDefault="00791F29" w:rsidP="00854D46">
            <w:pPr>
              <w:jc w:val="both"/>
              <w:rPr>
                <w:rFonts w:ascii="Cambria" w:hAnsi="Cambria"/>
                <w:bCs/>
                <w:sz w:val="19"/>
                <w:szCs w:val="19"/>
              </w:rPr>
            </w:pPr>
            <w:r w:rsidRPr="00F97A6B">
              <w:rPr>
                <w:rFonts w:ascii="Cambria" w:hAnsi="Cambria"/>
                <w:bCs/>
                <w:sz w:val="19"/>
                <w:szCs w:val="19"/>
              </w:rPr>
              <w:t>February 9, 2017</w:t>
            </w:r>
          </w:p>
        </w:tc>
      </w:tr>
      <w:tr w:rsidR="002B21AD" w:rsidRPr="00F97A6B" w14:paraId="278C15F7" w14:textId="77777777" w:rsidTr="009F4973">
        <w:tc>
          <w:tcPr>
            <w:tcW w:w="2790" w:type="dxa"/>
            <w:tcBorders>
              <w:top w:val="single" w:sz="6" w:space="0" w:color="auto"/>
              <w:bottom w:val="single" w:sz="6" w:space="0" w:color="auto"/>
            </w:tcBorders>
            <w:shd w:val="clear" w:color="auto" w:fill="73BF43"/>
            <w:vAlign w:val="center"/>
          </w:tcPr>
          <w:p w14:paraId="2F4D4028" w14:textId="69AA5442" w:rsidR="002B21AD" w:rsidRPr="00F97A6B" w:rsidRDefault="00791F29" w:rsidP="00F06354">
            <w:pPr>
              <w:jc w:val="center"/>
              <w:rPr>
                <w:rFonts w:ascii="Cambria" w:hAnsi="Cambria"/>
                <w:color w:val="FFFFFF" w:themeColor="background1"/>
                <w:sz w:val="19"/>
                <w:szCs w:val="19"/>
              </w:rPr>
            </w:pPr>
            <w:r w:rsidRPr="00F97A6B">
              <w:rPr>
                <w:rFonts w:ascii="Cambria" w:hAnsi="Cambria"/>
                <w:color w:val="FFFFFF" w:themeColor="background1"/>
                <w:sz w:val="19"/>
                <w:szCs w:val="19"/>
              </w:rPr>
              <w:t xml:space="preserve">Additional observations </w:t>
            </w:r>
            <w:r w:rsidR="0056438C" w:rsidRPr="00F97A6B">
              <w:rPr>
                <w:rFonts w:ascii="Cambria" w:hAnsi="Cambria"/>
                <w:color w:val="FFFFFF" w:themeColor="background1"/>
                <w:sz w:val="19"/>
                <w:szCs w:val="19"/>
              </w:rPr>
              <w:t>from the petitioner</w:t>
            </w:r>
          </w:p>
        </w:tc>
        <w:tc>
          <w:tcPr>
            <w:tcW w:w="6570" w:type="dxa"/>
            <w:vAlign w:val="center"/>
          </w:tcPr>
          <w:p w14:paraId="41A30F3B" w14:textId="77777777" w:rsidR="002B21AD" w:rsidRPr="00F97A6B" w:rsidRDefault="00791F29" w:rsidP="00F06354">
            <w:pPr>
              <w:jc w:val="both"/>
              <w:rPr>
                <w:rFonts w:ascii="Cambria" w:hAnsi="Cambria"/>
                <w:bCs/>
                <w:sz w:val="19"/>
                <w:szCs w:val="19"/>
              </w:rPr>
            </w:pPr>
            <w:r w:rsidRPr="00F97A6B">
              <w:rPr>
                <w:rFonts w:ascii="Cambria" w:hAnsi="Cambria"/>
                <w:bCs/>
                <w:sz w:val="19"/>
                <w:szCs w:val="19"/>
              </w:rPr>
              <w:t>July 1, 2020</w:t>
            </w:r>
          </w:p>
        </w:tc>
      </w:tr>
      <w:tr w:rsidR="00F06354" w:rsidRPr="00F97A6B" w14:paraId="5002CA3D" w14:textId="77777777" w:rsidTr="009F4973">
        <w:tc>
          <w:tcPr>
            <w:tcW w:w="2790" w:type="dxa"/>
            <w:tcBorders>
              <w:top w:val="single" w:sz="6" w:space="0" w:color="auto"/>
              <w:bottom w:val="single" w:sz="6" w:space="0" w:color="auto"/>
            </w:tcBorders>
            <w:shd w:val="clear" w:color="auto" w:fill="73BF43"/>
            <w:vAlign w:val="center"/>
          </w:tcPr>
          <w:p w14:paraId="44335BCE" w14:textId="0A2F9C72" w:rsidR="00F06354" w:rsidRPr="00F97A6B" w:rsidRDefault="00791F29" w:rsidP="00F06354">
            <w:pPr>
              <w:jc w:val="center"/>
              <w:rPr>
                <w:rFonts w:ascii="Cambria" w:hAnsi="Cambria"/>
                <w:bCs/>
                <w:color w:val="FFFFFF" w:themeColor="background1"/>
                <w:sz w:val="19"/>
                <w:szCs w:val="19"/>
              </w:rPr>
            </w:pPr>
            <w:r w:rsidRPr="00F97A6B">
              <w:rPr>
                <w:rFonts w:ascii="Cambria" w:hAnsi="Cambria"/>
                <w:color w:val="FFFFFF" w:themeColor="background1"/>
                <w:sz w:val="19"/>
                <w:szCs w:val="19"/>
              </w:rPr>
              <w:t xml:space="preserve">Additional observations </w:t>
            </w:r>
            <w:r w:rsidR="0056438C" w:rsidRPr="00F97A6B">
              <w:rPr>
                <w:rFonts w:ascii="Cambria" w:hAnsi="Cambria"/>
                <w:color w:val="FFFFFF" w:themeColor="background1"/>
                <w:sz w:val="19"/>
                <w:szCs w:val="19"/>
              </w:rPr>
              <w:t>from the</w:t>
            </w:r>
            <w:r w:rsidRPr="00F97A6B">
              <w:rPr>
                <w:rFonts w:ascii="Cambria" w:hAnsi="Cambria"/>
                <w:color w:val="FFFFFF" w:themeColor="background1"/>
                <w:sz w:val="19"/>
                <w:szCs w:val="19"/>
              </w:rPr>
              <w:t xml:space="preserve"> State</w:t>
            </w:r>
          </w:p>
        </w:tc>
        <w:tc>
          <w:tcPr>
            <w:tcW w:w="6570" w:type="dxa"/>
            <w:vAlign w:val="center"/>
          </w:tcPr>
          <w:p w14:paraId="0155B4B9" w14:textId="542DBC6F" w:rsidR="00F06354" w:rsidRPr="00F97A6B" w:rsidRDefault="00791F29" w:rsidP="00F06354">
            <w:pPr>
              <w:jc w:val="both"/>
              <w:rPr>
                <w:rFonts w:ascii="Cambria" w:hAnsi="Cambria"/>
                <w:bCs/>
                <w:sz w:val="19"/>
                <w:szCs w:val="19"/>
              </w:rPr>
            </w:pPr>
            <w:r w:rsidRPr="00F97A6B">
              <w:rPr>
                <w:rFonts w:ascii="Cambria" w:hAnsi="Cambria"/>
                <w:bCs/>
                <w:sz w:val="19"/>
                <w:szCs w:val="19"/>
              </w:rPr>
              <w:t>Dec</w:t>
            </w:r>
            <w:r w:rsidR="00DF56A6" w:rsidRPr="00F97A6B">
              <w:rPr>
                <w:rFonts w:ascii="Cambria" w:hAnsi="Cambria"/>
                <w:bCs/>
                <w:sz w:val="19"/>
                <w:szCs w:val="19"/>
              </w:rPr>
              <w:t>ember</w:t>
            </w:r>
            <w:r w:rsidRPr="00F97A6B">
              <w:rPr>
                <w:rFonts w:ascii="Cambria" w:hAnsi="Cambria"/>
                <w:bCs/>
                <w:sz w:val="19"/>
                <w:szCs w:val="19"/>
              </w:rPr>
              <w:t xml:space="preserve"> 27, 2019</w:t>
            </w:r>
          </w:p>
        </w:tc>
      </w:tr>
    </w:tbl>
    <w:p w14:paraId="1615665F" w14:textId="60C69979" w:rsidR="003239B8" w:rsidRPr="00F97A6B" w:rsidRDefault="002B21AD" w:rsidP="007C402A">
      <w:pPr>
        <w:spacing w:before="120" w:after="120"/>
        <w:ind w:firstLine="720"/>
        <w:jc w:val="both"/>
        <w:rPr>
          <w:rFonts w:ascii="Cambria" w:hAnsi="Cambria"/>
          <w:b/>
          <w:bCs/>
          <w:sz w:val="20"/>
          <w:szCs w:val="20"/>
        </w:rPr>
      </w:pPr>
      <w:r w:rsidRPr="00F97A6B">
        <w:rPr>
          <w:rFonts w:asciiTheme="majorHAnsi" w:hAnsiTheme="majorHAnsi"/>
          <w:b/>
          <w:bCs/>
          <w:sz w:val="20"/>
          <w:szCs w:val="20"/>
        </w:rPr>
        <w:t xml:space="preserve"> </w:t>
      </w:r>
      <w:r w:rsidR="003239B8" w:rsidRPr="00F97A6B">
        <w:rPr>
          <w:rFonts w:asciiTheme="majorHAnsi" w:hAnsiTheme="majorHAnsi"/>
          <w:b/>
          <w:bCs/>
          <w:sz w:val="20"/>
          <w:szCs w:val="20"/>
        </w:rPr>
        <w:t xml:space="preserve">III. </w:t>
      </w:r>
      <w:r w:rsidR="003239B8" w:rsidRPr="00F97A6B">
        <w:rPr>
          <w:rFonts w:asciiTheme="majorHAnsi" w:hAnsiTheme="majorHAnsi"/>
          <w:b/>
          <w:bCs/>
          <w:sz w:val="20"/>
          <w:szCs w:val="20"/>
        </w:rPr>
        <w:tab/>
      </w:r>
      <w:r w:rsidR="00791F29" w:rsidRPr="00F97A6B">
        <w:rPr>
          <w:rFonts w:asciiTheme="majorHAnsi" w:hAnsiTheme="majorHAnsi"/>
          <w:b/>
          <w:bCs/>
          <w:sz w:val="20"/>
          <w:szCs w:val="20"/>
        </w:rPr>
        <w:t>CO</w:t>
      </w:r>
      <w:r w:rsidR="00791F29" w:rsidRPr="00F97A6B">
        <w:rPr>
          <w:rFonts w:ascii="Cambria" w:hAnsi="Cambria"/>
          <w:b/>
          <w:bCs/>
          <w:sz w:val="20"/>
          <w:szCs w:val="20"/>
        </w:rPr>
        <w:t>MP</w:t>
      </w:r>
      <w:r w:rsidR="005244BD" w:rsidRPr="00F97A6B">
        <w:rPr>
          <w:rFonts w:ascii="Cambria" w:hAnsi="Cambria"/>
          <w:b/>
          <w:bCs/>
          <w:sz w:val="20"/>
          <w:szCs w:val="20"/>
        </w:rPr>
        <w:t>ETENCE</w:t>
      </w:r>
      <w:r w:rsidR="00EE00E9" w:rsidRPr="00F97A6B">
        <w:rPr>
          <w:rFonts w:ascii="Cambria" w:hAnsi="Cambria"/>
          <w:b/>
          <w:bCs/>
          <w:sz w:val="20"/>
          <w:szCs w:val="20"/>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037"/>
        <w:gridCol w:w="6205"/>
      </w:tblGrid>
      <w:tr w:rsidR="00F24F69" w:rsidRPr="00F97A6B" w14:paraId="1804061C" w14:textId="77777777" w:rsidTr="009F4973">
        <w:trPr>
          <w:cantSplit/>
        </w:trPr>
        <w:tc>
          <w:tcPr>
            <w:tcW w:w="3037" w:type="dxa"/>
            <w:tcBorders>
              <w:top w:val="single" w:sz="4" w:space="0" w:color="auto"/>
              <w:bottom w:val="single" w:sz="6" w:space="0" w:color="auto"/>
            </w:tcBorders>
            <w:shd w:val="clear" w:color="auto" w:fill="73BF43"/>
            <w:vAlign w:val="center"/>
          </w:tcPr>
          <w:p w14:paraId="4E051225" w14:textId="60FF001E" w:rsidR="00F24F69" w:rsidRPr="00F97A6B" w:rsidRDefault="00F24F69" w:rsidP="00F24F69">
            <w:pPr>
              <w:jc w:val="center"/>
              <w:rPr>
                <w:rFonts w:ascii="Cambria" w:hAnsi="Cambria"/>
                <w:i/>
                <w:color w:val="FFFFFF" w:themeColor="background1"/>
                <w:sz w:val="19"/>
                <w:szCs w:val="19"/>
              </w:rPr>
            </w:pPr>
            <w:r w:rsidRPr="00F97A6B">
              <w:rPr>
                <w:rFonts w:ascii="Cambria" w:hAnsi="Cambria"/>
                <w:color w:val="FFFFFF" w:themeColor="background1"/>
                <w:sz w:val="20"/>
                <w:szCs w:val="20"/>
              </w:rPr>
              <w:t>Competence</w:t>
            </w:r>
            <w:r w:rsidRPr="00F97A6B">
              <w:rPr>
                <w:rFonts w:ascii="Cambria" w:hAnsi="Cambria"/>
                <w:i/>
                <w:color w:val="FFFFFF" w:themeColor="background1"/>
                <w:sz w:val="20"/>
                <w:szCs w:val="20"/>
              </w:rPr>
              <w:t xml:space="preserve"> Ratione personae:</w:t>
            </w:r>
          </w:p>
        </w:tc>
        <w:tc>
          <w:tcPr>
            <w:tcW w:w="6205" w:type="dxa"/>
            <w:vAlign w:val="center"/>
          </w:tcPr>
          <w:p w14:paraId="3395E1CB" w14:textId="77777777" w:rsidR="00F24F69" w:rsidRPr="00F97A6B" w:rsidRDefault="00F24F69" w:rsidP="00F24F69">
            <w:pPr>
              <w:rPr>
                <w:rFonts w:ascii="Cambria" w:hAnsi="Cambria"/>
                <w:bCs/>
                <w:sz w:val="19"/>
                <w:szCs w:val="19"/>
                <w:lang w:eastAsia="zh-CN"/>
              </w:rPr>
            </w:pPr>
            <w:r w:rsidRPr="00F97A6B">
              <w:rPr>
                <w:rFonts w:ascii="Cambria" w:hAnsi="Cambria"/>
                <w:bCs/>
                <w:sz w:val="19"/>
                <w:szCs w:val="19"/>
              </w:rPr>
              <w:t>Yes</w:t>
            </w:r>
          </w:p>
        </w:tc>
      </w:tr>
      <w:tr w:rsidR="00F24F69" w:rsidRPr="00F97A6B" w14:paraId="34EB3210" w14:textId="77777777" w:rsidTr="009F4973">
        <w:trPr>
          <w:cantSplit/>
        </w:trPr>
        <w:tc>
          <w:tcPr>
            <w:tcW w:w="3037" w:type="dxa"/>
            <w:tcBorders>
              <w:top w:val="single" w:sz="6" w:space="0" w:color="auto"/>
              <w:bottom w:val="single" w:sz="6" w:space="0" w:color="auto"/>
            </w:tcBorders>
            <w:shd w:val="clear" w:color="auto" w:fill="73BF43"/>
            <w:vAlign w:val="center"/>
          </w:tcPr>
          <w:p w14:paraId="6D6B2015" w14:textId="65CFA3FD" w:rsidR="00F24F69" w:rsidRPr="00F97A6B" w:rsidRDefault="00F24F69" w:rsidP="00F24F69">
            <w:pPr>
              <w:jc w:val="center"/>
              <w:rPr>
                <w:rFonts w:ascii="Cambria" w:hAnsi="Cambria"/>
                <w:color w:val="FFFFFF" w:themeColor="background1"/>
                <w:sz w:val="19"/>
                <w:szCs w:val="19"/>
              </w:rPr>
            </w:pPr>
            <w:r w:rsidRPr="00F97A6B">
              <w:rPr>
                <w:rFonts w:ascii="Cambria" w:hAnsi="Cambria"/>
                <w:color w:val="FFFFFF" w:themeColor="background1"/>
                <w:sz w:val="20"/>
                <w:szCs w:val="20"/>
              </w:rPr>
              <w:t>Competence</w:t>
            </w:r>
            <w:r w:rsidRPr="00F97A6B">
              <w:rPr>
                <w:rFonts w:ascii="Cambria" w:hAnsi="Cambria"/>
                <w:i/>
                <w:color w:val="FFFFFF" w:themeColor="background1"/>
                <w:sz w:val="20"/>
                <w:szCs w:val="20"/>
              </w:rPr>
              <w:t xml:space="preserve"> Ratione loci</w:t>
            </w:r>
            <w:r w:rsidRPr="00F97A6B">
              <w:rPr>
                <w:rFonts w:ascii="Cambria" w:hAnsi="Cambria"/>
                <w:color w:val="FFFFFF" w:themeColor="background1"/>
                <w:sz w:val="20"/>
                <w:szCs w:val="20"/>
              </w:rPr>
              <w:t>:</w:t>
            </w:r>
          </w:p>
        </w:tc>
        <w:tc>
          <w:tcPr>
            <w:tcW w:w="6205" w:type="dxa"/>
            <w:vAlign w:val="center"/>
          </w:tcPr>
          <w:p w14:paraId="41BAC382" w14:textId="77777777" w:rsidR="00F24F69" w:rsidRPr="00F97A6B" w:rsidRDefault="00F24F69" w:rsidP="00F24F69">
            <w:pPr>
              <w:rPr>
                <w:rFonts w:ascii="Cambria" w:hAnsi="Cambria"/>
                <w:bCs/>
                <w:sz w:val="19"/>
                <w:szCs w:val="19"/>
              </w:rPr>
            </w:pPr>
            <w:r w:rsidRPr="00F97A6B">
              <w:rPr>
                <w:rFonts w:ascii="Cambria" w:hAnsi="Cambria"/>
                <w:bCs/>
                <w:sz w:val="19"/>
                <w:szCs w:val="19"/>
              </w:rPr>
              <w:t>Yes</w:t>
            </w:r>
          </w:p>
        </w:tc>
      </w:tr>
      <w:tr w:rsidR="00F24F69" w:rsidRPr="00F97A6B" w14:paraId="3F0E7027" w14:textId="77777777" w:rsidTr="009F4973">
        <w:trPr>
          <w:cantSplit/>
        </w:trPr>
        <w:tc>
          <w:tcPr>
            <w:tcW w:w="3037" w:type="dxa"/>
            <w:tcBorders>
              <w:top w:val="single" w:sz="6" w:space="0" w:color="auto"/>
              <w:bottom w:val="single" w:sz="6" w:space="0" w:color="auto"/>
            </w:tcBorders>
            <w:shd w:val="clear" w:color="auto" w:fill="73BF43"/>
            <w:vAlign w:val="center"/>
          </w:tcPr>
          <w:p w14:paraId="3DEC4F81" w14:textId="5F475A8E" w:rsidR="00F24F69" w:rsidRPr="00F97A6B" w:rsidRDefault="00F24F69" w:rsidP="00F24F69">
            <w:pPr>
              <w:jc w:val="center"/>
              <w:rPr>
                <w:rFonts w:ascii="Cambria" w:hAnsi="Cambria"/>
                <w:color w:val="FFFFFF" w:themeColor="background1"/>
                <w:sz w:val="19"/>
                <w:szCs w:val="19"/>
              </w:rPr>
            </w:pPr>
            <w:r w:rsidRPr="00F97A6B">
              <w:rPr>
                <w:rFonts w:ascii="Cambria" w:hAnsi="Cambria"/>
                <w:color w:val="FFFFFF" w:themeColor="background1"/>
                <w:sz w:val="20"/>
                <w:szCs w:val="20"/>
              </w:rPr>
              <w:t>Competence</w:t>
            </w:r>
            <w:r w:rsidRPr="00F97A6B">
              <w:rPr>
                <w:rFonts w:ascii="Cambria" w:hAnsi="Cambria"/>
                <w:i/>
                <w:color w:val="FFFFFF" w:themeColor="background1"/>
                <w:sz w:val="20"/>
                <w:szCs w:val="20"/>
              </w:rPr>
              <w:t xml:space="preserve"> Ratione temporis</w:t>
            </w:r>
            <w:r w:rsidRPr="00F97A6B">
              <w:rPr>
                <w:rFonts w:ascii="Cambria" w:hAnsi="Cambria"/>
                <w:color w:val="FFFFFF" w:themeColor="background1"/>
                <w:sz w:val="20"/>
                <w:szCs w:val="20"/>
              </w:rPr>
              <w:t>:</w:t>
            </w:r>
          </w:p>
        </w:tc>
        <w:tc>
          <w:tcPr>
            <w:tcW w:w="6205" w:type="dxa"/>
            <w:vAlign w:val="center"/>
          </w:tcPr>
          <w:p w14:paraId="2DB2CA7A" w14:textId="77777777" w:rsidR="00F24F69" w:rsidRPr="00F97A6B" w:rsidRDefault="00F24F69" w:rsidP="00F24F69">
            <w:pPr>
              <w:rPr>
                <w:rFonts w:ascii="Cambria" w:hAnsi="Cambria"/>
                <w:bCs/>
                <w:sz w:val="19"/>
                <w:szCs w:val="19"/>
              </w:rPr>
            </w:pPr>
            <w:r w:rsidRPr="00F97A6B">
              <w:rPr>
                <w:rFonts w:ascii="Cambria" w:hAnsi="Cambria"/>
                <w:bCs/>
                <w:sz w:val="19"/>
                <w:szCs w:val="19"/>
              </w:rPr>
              <w:t>Yes</w:t>
            </w:r>
          </w:p>
        </w:tc>
      </w:tr>
      <w:tr w:rsidR="00F24F69" w:rsidRPr="00F97A6B" w14:paraId="51E93243" w14:textId="77777777" w:rsidTr="009F4973">
        <w:trPr>
          <w:cantSplit/>
        </w:trPr>
        <w:tc>
          <w:tcPr>
            <w:tcW w:w="3037" w:type="dxa"/>
            <w:tcBorders>
              <w:top w:val="single" w:sz="6" w:space="0" w:color="auto"/>
              <w:bottom w:val="single" w:sz="6" w:space="0" w:color="auto"/>
            </w:tcBorders>
            <w:shd w:val="clear" w:color="auto" w:fill="73BF43"/>
            <w:vAlign w:val="center"/>
          </w:tcPr>
          <w:p w14:paraId="27F16D19" w14:textId="2E07FF70" w:rsidR="00F24F69" w:rsidRPr="00F97A6B" w:rsidRDefault="00F24F69" w:rsidP="00F24F69">
            <w:pPr>
              <w:jc w:val="center"/>
              <w:rPr>
                <w:rFonts w:ascii="Cambria" w:hAnsi="Cambria"/>
                <w:color w:val="FFFFFF" w:themeColor="background1"/>
                <w:sz w:val="19"/>
                <w:szCs w:val="19"/>
              </w:rPr>
            </w:pPr>
            <w:r w:rsidRPr="00F97A6B">
              <w:rPr>
                <w:rFonts w:ascii="Cambria" w:hAnsi="Cambria"/>
                <w:color w:val="FFFFFF" w:themeColor="background1"/>
                <w:sz w:val="20"/>
                <w:szCs w:val="20"/>
              </w:rPr>
              <w:t>Competence</w:t>
            </w:r>
            <w:r w:rsidRPr="00F97A6B">
              <w:rPr>
                <w:rFonts w:ascii="Cambria" w:hAnsi="Cambria"/>
                <w:i/>
                <w:color w:val="FFFFFF" w:themeColor="background1"/>
                <w:sz w:val="20"/>
                <w:szCs w:val="20"/>
              </w:rPr>
              <w:t xml:space="preserve"> Ratione materiae</w:t>
            </w:r>
            <w:r w:rsidRPr="00F97A6B">
              <w:rPr>
                <w:rFonts w:ascii="Cambria" w:hAnsi="Cambria"/>
                <w:color w:val="FFFFFF" w:themeColor="background1"/>
                <w:sz w:val="20"/>
                <w:szCs w:val="20"/>
              </w:rPr>
              <w:t>:</w:t>
            </w:r>
          </w:p>
        </w:tc>
        <w:tc>
          <w:tcPr>
            <w:tcW w:w="6205" w:type="dxa"/>
            <w:vAlign w:val="center"/>
          </w:tcPr>
          <w:p w14:paraId="73F32541" w14:textId="47AFB22D" w:rsidR="00F24F69" w:rsidRPr="00F97A6B" w:rsidRDefault="00F24F69" w:rsidP="00F24F69">
            <w:pPr>
              <w:jc w:val="both"/>
              <w:rPr>
                <w:rFonts w:ascii="Cambria" w:hAnsi="Cambria"/>
                <w:bCs/>
                <w:sz w:val="19"/>
                <w:szCs w:val="19"/>
              </w:rPr>
            </w:pPr>
            <w:r w:rsidRPr="00F97A6B">
              <w:rPr>
                <w:rFonts w:ascii="Cambria" w:hAnsi="Cambria"/>
                <w:bCs/>
                <w:sz w:val="19"/>
                <w:szCs w:val="19"/>
              </w:rPr>
              <w:t>Yes, American Convention of Human Rights (</w:t>
            </w:r>
            <w:r w:rsidRPr="00F97A6B">
              <w:rPr>
                <w:rFonts w:ascii="Cambria" w:hAnsi="Cambria"/>
                <w:bCs/>
                <w:sz w:val="20"/>
                <w:szCs w:val="20"/>
              </w:rPr>
              <w:t xml:space="preserve">deposit of the instrument of ratification made on </w:t>
            </w:r>
            <w:r w:rsidR="00A070F7" w:rsidRPr="00F97A6B">
              <w:rPr>
                <w:rFonts w:ascii="Cambria" w:hAnsi="Cambria"/>
                <w:bCs/>
                <w:sz w:val="20"/>
                <w:szCs w:val="20"/>
              </w:rPr>
              <w:t>June 22</w:t>
            </w:r>
            <w:r w:rsidRPr="00F97A6B">
              <w:rPr>
                <w:rFonts w:ascii="Cambria" w:hAnsi="Cambria"/>
                <w:bCs/>
                <w:sz w:val="20"/>
                <w:szCs w:val="20"/>
              </w:rPr>
              <w:t>, 1978)</w:t>
            </w:r>
          </w:p>
        </w:tc>
      </w:tr>
    </w:tbl>
    <w:p w14:paraId="7A3A13B8" w14:textId="6E8C4537" w:rsidR="003239B8" w:rsidRPr="00F97A6B" w:rsidRDefault="003239B8" w:rsidP="003A4956">
      <w:pPr>
        <w:spacing w:before="240" w:after="240"/>
        <w:ind w:firstLine="720"/>
        <w:jc w:val="both"/>
        <w:rPr>
          <w:rFonts w:asciiTheme="majorHAnsi" w:hAnsiTheme="majorHAnsi"/>
          <w:b/>
          <w:bCs/>
          <w:sz w:val="20"/>
          <w:szCs w:val="20"/>
        </w:rPr>
      </w:pPr>
      <w:r w:rsidRPr="00F97A6B">
        <w:rPr>
          <w:rFonts w:asciiTheme="majorHAnsi" w:hAnsiTheme="majorHAnsi"/>
          <w:b/>
          <w:bCs/>
          <w:sz w:val="20"/>
          <w:szCs w:val="20"/>
        </w:rPr>
        <w:t xml:space="preserve">IV. </w:t>
      </w:r>
      <w:r w:rsidRPr="00F97A6B">
        <w:rPr>
          <w:rFonts w:asciiTheme="majorHAnsi" w:hAnsiTheme="majorHAnsi"/>
          <w:b/>
          <w:bCs/>
          <w:sz w:val="20"/>
          <w:szCs w:val="20"/>
        </w:rPr>
        <w:tab/>
      </w:r>
      <w:r w:rsidR="003A4956" w:rsidRPr="00F97A6B">
        <w:rPr>
          <w:rFonts w:asciiTheme="majorHAnsi" w:hAnsiTheme="majorHAnsi"/>
          <w:b/>
          <w:bCs/>
          <w:sz w:val="20"/>
          <w:szCs w:val="20"/>
        </w:rPr>
        <w:t xml:space="preserve">DUPLICATION OF PROCEDURES AND INTERNATIONAL </w:t>
      </w:r>
      <w:r w:rsidR="003A4956" w:rsidRPr="00F97A6B">
        <w:rPr>
          <w:rFonts w:asciiTheme="majorHAnsi" w:hAnsiTheme="majorHAnsi"/>
          <w:b/>
          <w:bCs/>
          <w:i/>
          <w:sz w:val="20"/>
          <w:szCs w:val="20"/>
        </w:rPr>
        <w:t>RES JUDICATA</w:t>
      </w:r>
      <w:r w:rsidR="003A4956" w:rsidRPr="00F97A6B">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307"/>
        <w:gridCol w:w="5935"/>
      </w:tblGrid>
      <w:tr w:rsidR="00EE00E9" w:rsidRPr="00F97A6B" w14:paraId="605CA180" w14:textId="77777777" w:rsidTr="009F4973">
        <w:trPr>
          <w:cantSplit/>
        </w:trPr>
        <w:tc>
          <w:tcPr>
            <w:tcW w:w="3307" w:type="dxa"/>
            <w:tcBorders>
              <w:top w:val="single" w:sz="4" w:space="0" w:color="auto"/>
              <w:bottom w:val="single" w:sz="6" w:space="0" w:color="auto"/>
            </w:tcBorders>
            <w:shd w:val="clear" w:color="auto" w:fill="73BF43"/>
            <w:vAlign w:val="center"/>
          </w:tcPr>
          <w:p w14:paraId="211382D1" w14:textId="0D5CAA6E" w:rsidR="00EE00E9" w:rsidRPr="00F97A6B" w:rsidRDefault="003A4956" w:rsidP="00954B82">
            <w:pPr>
              <w:jc w:val="center"/>
              <w:rPr>
                <w:rFonts w:ascii="Cambria" w:hAnsi="Cambria"/>
                <w:color w:val="FFFFFF" w:themeColor="background1"/>
                <w:sz w:val="19"/>
                <w:szCs w:val="19"/>
              </w:rPr>
            </w:pPr>
            <w:r w:rsidRPr="00F97A6B">
              <w:rPr>
                <w:rFonts w:ascii="Cambria" w:hAnsi="Cambria"/>
                <w:color w:val="FFFFFF" w:themeColor="background1"/>
                <w:sz w:val="20"/>
                <w:szCs w:val="20"/>
              </w:rPr>
              <w:t xml:space="preserve">Duplication of procedures and International </w:t>
            </w:r>
            <w:r w:rsidRPr="00F97A6B">
              <w:rPr>
                <w:rFonts w:ascii="Cambria" w:hAnsi="Cambria"/>
                <w:i/>
                <w:color w:val="FFFFFF" w:themeColor="background1"/>
                <w:sz w:val="20"/>
                <w:szCs w:val="20"/>
              </w:rPr>
              <w:t>res judicata</w:t>
            </w:r>
            <w:r w:rsidRPr="00F97A6B">
              <w:rPr>
                <w:rFonts w:ascii="Cambria" w:hAnsi="Cambria"/>
                <w:color w:val="FFFFFF" w:themeColor="background1"/>
                <w:sz w:val="20"/>
                <w:szCs w:val="20"/>
              </w:rPr>
              <w:t>:</w:t>
            </w:r>
          </w:p>
        </w:tc>
        <w:tc>
          <w:tcPr>
            <w:tcW w:w="5935" w:type="dxa"/>
            <w:vAlign w:val="center"/>
          </w:tcPr>
          <w:p w14:paraId="048E40E7" w14:textId="77777777" w:rsidR="00EE00E9" w:rsidRPr="00F97A6B" w:rsidRDefault="00791F29" w:rsidP="009A5176">
            <w:pPr>
              <w:jc w:val="both"/>
              <w:rPr>
                <w:rFonts w:ascii="Cambria" w:hAnsi="Cambria"/>
                <w:bCs/>
                <w:sz w:val="19"/>
                <w:szCs w:val="19"/>
              </w:rPr>
            </w:pPr>
            <w:r w:rsidRPr="00F97A6B">
              <w:rPr>
                <w:rFonts w:ascii="Cambria" w:hAnsi="Cambria"/>
                <w:bCs/>
                <w:sz w:val="19"/>
                <w:szCs w:val="19"/>
              </w:rPr>
              <w:t>Yes, in the terms of section VI</w:t>
            </w:r>
          </w:p>
        </w:tc>
      </w:tr>
      <w:tr w:rsidR="003239B8" w:rsidRPr="00F97A6B" w14:paraId="60E9562A" w14:textId="77777777" w:rsidTr="009F4973">
        <w:trPr>
          <w:cantSplit/>
        </w:trPr>
        <w:tc>
          <w:tcPr>
            <w:tcW w:w="3307" w:type="dxa"/>
            <w:tcBorders>
              <w:top w:val="single" w:sz="4" w:space="0" w:color="auto"/>
              <w:bottom w:val="single" w:sz="6" w:space="0" w:color="auto"/>
            </w:tcBorders>
            <w:shd w:val="clear" w:color="auto" w:fill="73BF43"/>
            <w:vAlign w:val="center"/>
          </w:tcPr>
          <w:p w14:paraId="5CACA58F" w14:textId="76B8D099" w:rsidR="003239B8" w:rsidRPr="00F97A6B" w:rsidRDefault="003A4956" w:rsidP="00954B82">
            <w:pPr>
              <w:jc w:val="center"/>
              <w:rPr>
                <w:rFonts w:ascii="Cambria" w:hAnsi="Cambria"/>
                <w:i/>
                <w:color w:val="FFFFFF" w:themeColor="background1"/>
                <w:sz w:val="19"/>
                <w:szCs w:val="19"/>
              </w:rPr>
            </w:pPr>
            <w:r w:rsidRPr="00F97A6B">
              <w:rPr>
                <w:rFonts w:ascii="Cambria" w:hAnsi="Cambria"/>
                <w:color w:val="FFFFFF" w:themeColor="background1"/>
                <w:sz w:val="20"/>
                <w:szCs w:val="20"/>
              </w:rPr>
              <w:t>Rights declared admissible</w:t>
            </w:r>
          </w:p>
        </w:tc>
        <w:tc>
          <w:tcPr>
            <w:tcW w:w="5935" w:type="dxa"/>
            <w:vAlign w:val="center"/>
          </w:tcPr>
          <w:p w14:paraId="665834AA" w14:textId="77777777" w:rsidR="003239B8" w:rsidRPr="00F97A6B" w:rsidRDefault="00791F29" w:rsidP="00D578A8">
            <w:pPr>
              <w:jc w:val="both"/>
              <w:rPr>
                <w:rFonts w:ascii="Cambria" w:hAnsi="Cambria"/>
                <w:bCs/>
                <w:sz w:val="19"/>
                <w:szCs w:val="19"/>
              </w:rPr>
            </w:pPr>
            <w:r w:rsidRPr="00F97A6B">
              <w:rPr>
                <w:rFonts w:ascii="Cambria" w:hAnsi="Cambria"/>
                <w:bCs/>
                <w:sz w:val="19"/>
                <w:szCs w:val="19"/>
              </w:rPr>
              <w:t>None</w:t>
            </w:r>
          </w:p>
        </w:tc>
      </w:tr>
      <w:tr w:rsidR="003239B8" w:rsidRPr="00F97A6B" w14:paraId="2EE5AC65" w14:textId="77777777" w:rsidTr="009F4973">
        <w:trPr>
          <w:cantSplit/>
        </w:trPr>
        <w:tc>
          <w:tcPr>
            <w:tcW w:w="3307" w:type="dxa"/>
            <w:tcBorders>
              <w:top w:val="single" w:sz="6" w:space="0" w:color="auto"/>
              <w:bottom w:val="single" w:sz="6" w:space="0" w:color="auto"/>
            </w:tcBorders>
            <w:shd w:val="clear" w:color="auto" w:fill="73BF43"/>
            <w:vAlign w:val="center"/>
          </w:tcPr>
          <w:p w14:paraId="729B857C" w14:textId="4E12ED5D" w:rsidR="003239B8" w:rsidRPr="00F97A6B" w:rsidRDefault="003A4956" w:rsidP="00D77503">
            <w:pPr>
              <w:jc w:val="center"/>
              <w:rPr>
                <w:rFonts w:ascii="Cambria" w:hAnsi="Cambria"/>
                <w:color w:val="FFFFFF" w:themeColor="background1"/>
                <w:sz w:val="19"/>
                <w:szCs w:val="19"/>
              </w:rPr>
            </w:pPr>
            <w:r w:rsidRPr="00F97A6B">
              <w:rPr>
                <w:rFonts w:ascii="Cambria" w:hAnsi="Cambria"/>
                <w:color w:val="FFFFFF" w:themeColor="background1"/>
                <w:sz w:val="20"/>
                <w:szCs w:val="20"/>
              </w:rPr>
              <w:t>Exhaustion of domestic remedies or applicability of an exception to the rule:</w:t>
            </w:r>
          </w:p>
        </w:tc>
        <w:tc>
          <w:tcPr>
            <w:tcW w:w="5935" w:type="dxa"/>
            <w:vAlign w:val="center"/>
          </w:tcPr>
          <w:p w14:paraId="535CEC64" w14:textId="4B7BA1C2" w:rsidR="003239B8" w:rsidRPr="00F97A6B" w:rsidRDefault="003A4956" w:rsidP="004C6D95">
            <w:pPr>
              <w:rPr>
                <w:rFonts w:ascii="Cambria" w:hAnsi="Cambria"/>
                <w:bCs/>
                <w:sz w:val="19"/>
                <w:szCs w:val="19"/>
              </w:rPr>
            </w:pPr>
            <w:r w:rsidRPr="00F97A6B">
              <w:rPr>
                <w:rFonts w:ascii="Cambria" w:hAnsi="Cambria"/>
                <w:bCs/>
                <w:sz w:val="19"/>
                <w:szCs w:val="19"/>
              </w:rPr>
              <w:t xml:space="preserve">Not applicable. </w:t>
            </w:r>
          </w:p>
        </w:tc>
      </w:tr>
      <w:tr w:rsidR="003239B8" w:rsidRPr="00F97A6B" w14:paraId="1AA15569" w14:textId="77777777" w:rsidTr="00F97A6B">
        <w:trPr>
          <w:cantSplit/>
        </w:trPr>
        <w:tc>
          <w:tcPr>
            <w:tcW w:w="3307" w:type="dxa"/>
            <w:tcBorders>
              <w:top w:val="single" w:sz="6" w:space="0" w:color="auto"/>
              <w:bottom w:val="single" w:sz="6" w:space="0" w:color="auto"/>
            </w:tcBorders>
            <w:shd w:val="clear" w:color="auto" w:fill="139D1D"/>
            <w:vAlign w:val="center"/>
          </w:tcPr>
          <w:p w14:paraId="3C136008" w14:textId="0EDA92E4" w:rsidR="003239B8" w:rsidRPr="00F97A6B" w:rsidRDefault="003A4956" w:rsidP="009F4973">
            <w:pPr>
              <w:shd w:val="clear" w:color="auto" w:fill="73BF43"/>
              <w:jc w:val="center"/>
              <w:rPr>
                <w:rFonts w:ascii="Cambria" w:hAnsi="Cambria"/>
                <w:color w:val="FFFFFF" w:themeColor="background1"/>
                <w:sz w:val="19"/>
                <w:szCs w:val="19"/>
              </w:rPr>
            </w:pPr>
            <w:r w:rsidRPr="00F97A6B">
              <w:rPr>
                <w:rFonts w:ascii="Cambria" w:hAnsi="Cambria"/>
                <w:color w:val="FFFFFF" w:themeColor="background1"/>
                <w:sz w:val="20"/>
                <w:szCs w:val="20"/>
              </w:rPr>
              <w:t>Timeliness of the petition:</w:t>
            </w:r>
          </w:p>
        </w:tc>
        <w:tc>
          <w:tcPr>
            <w:tcW w:w="5935" w:type="dxa"/>
            <w:vAlign w:val="center"/>
          </w:tcPr>
          <w:p w14:paraId="4E57D55E" w14:textId="6D204E20" w:rsidR="003239B8" w:rsidRPr="00F97A6B" w:rsidRDefault="003A4956" w:rsidP="008D2290">
            <w:pPr>
              <w:rPr>
                <w:rFonts w:ascii="Cambria" w:hAnsi="Cambria"/>
                <w:bCs/>
                <w:sz w:val="19"/>
                <w:szCs w:val="19"/>
              </w:rPr>
            </w:pPr>
            <w:r w:rsidRPr="00F97A6B">
              <w:rPr>
                <w:rFonts w:ascii="Cambria" w:hAnsi="Cambria"/>
                <w:bCs/>
                <w:sz w:val="19"/>
                <w:szCs w:val="19"/>
              </w:rPr>
              <w:t>Not applicable.</w:t>
            </w:r>
          </w:p>
        </w:tc>
      </w:tr>
    </w:tbl>
    <w:p w14:paraId="3A5663F4" w14:textId="77777777" w:rsidR="0065630D" w:rsidRPr="00F97A6B" w:rsidRDefault="0065630D" w:rsidP="0065630D">
      <w:pPr>
        <w:ind w:firstLine="720"/>
        <w:jc w:val="both"/>
        <w:rPr>
          <w:rFonts w:asciiTheme="majorHAnsi" w:hAnsiTheme="majorHAnsi"/>
          <w:b/>
          <w:sz w:val="20"/>
          <w:szCs w:val="20"/>
        </w:rPr>
      </w:pPr>
    </w:p>
    <w:p w14:paraId="1F455412" w14:textId="495B48E7" w:rsidR="003239B8" w:rsidRPr="00F97A6B" w:rsidRDefault="00223A29" w:rsidP="0065630D">
      <w:pPr>
        <w:ind w:firstLine="720"/>
        <w:jc w:val="both"/>
        <w:rPr>
          <w:rFonts w:asciiTheme="majorHAnsi" w:hAnsiTheme="majorHAnsi"/>
          <w:b/>
          <w:sz w:val="20"/>
          <w:szCs w:val="20"/>
        </w:rPr>
      </w:pPr>
      <w:r w:rsidRPr="00F97A6B">
        <w:rPr>
          <w:rFonts w:asciiTheme="majorHAnsi" w:hAnsiTheme="majorHAnsi"/>
          <w:b/>
          <w:sz w:val="20"/>
          <w:szCs w:val="20"/>
        </w:rPr>
        <w:t xml:space="preserve">V. </w:t>
      </w:r>
      <w:r w:rsidRPr="00F97A6B">
        <w:rPr>
          <w:rFonts w:asciiTheme="majorHAnsi" w:hAnsiTheme="majorHAnsi"/>
          <w:b/>
          <w:sz w:val="20"/>
          <w:szCs w:val="20"/>
        </w:rPr>
        <w:tab/>
      </w:r>
      <w:r w:rsidR="004F1851" w:rsidRPr="00F97A6B">
        <w:rPr>
          <w:rFonts w:asciiTheme="majorHAnsi" w:hAnsiTheme="majorHAnsi"/>
          <w:b/>
          <w:sz w:val="20"/>
          <w:szCs w:val="20"/>
        </w:rPr>
        <w:t>FACTS</w:t>
      </w:r>
      <w:r w:rsidR="003A4956" w:rsidRPr="00F97A6B">
        <w:rPr>
          <w:rFonts w:asciiTheme="majorHAnsi" w:hAnsiTheme="majorHAnsi"/>
          <w:b/>
          <w:sz w:val="20"/>
          <w:szCs w:val="20"/>
        </w:rPr>
        <w:t xml:space="preserve"> ALLEGED</w:t>
      </w:r>
    </w:p>
    <w:p w14:paraId="41B6F481" w14:textId="77777777" w:rsidR="0065630D" w:rsidRPr="00F97A6B" w:rsidRDefault="0065630D" w:rsidP="0065630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rPr>
      </w:pPr>
    </w:p>
    <w:p w14:paraId="22CEDB05" w14:textId="037A996D" w:rsidR="00DE12F0" w:rsidRPr="00F97A6B" w:rsidRDefault="004F1851" w:rsidP="00981CB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F97A6B">
        <w:rPr>
          <w:rFonts w:ascii="Cambria" w:hAnsi="Cambria"/>
          <w:sz w:val="20"/>
          <w:szCs w:val="20"/>
        </w:rPr>
        <w:t xml:space="preserve">The petition </w:t>
      </w:r>
      <w:r w:rsidR="001F01E9" w:rsidRPr="00F97A6B">
        <w:rPr>
          <w:rFonts w:ascii="Cambria" w:hAnsi="Cambria"/>
          <w:sz w:val="20"/>
          <w:szCs w:val="20"/>
        </w:rPr>
        <w:t>arises from the alleged</w:t>
      </w:r>
      <w:r w:rsidRPr="00F97A6B">
        <w:rPr>
          <w:rFonts w:ascii="Cambria" w:hAnsi="Cambria"/>
          <w:sz w:val="20"/>
          <w:szCs w:val="20"/>
        </w:rPr>
        <w:t xml:space="preserve"> lack of protection </w:t>
      </w:r>
      <w:r w:rsidR="002316E8">
        <w:rPr>
          <w:rFonts w:ascii="Cambria" w:hAnsi="Cambria"/>
          <w:sz w:val="20"/>
          <w:szCs w:val="20"/>
        </w:rPr>
        <w:t xml:space="preserve">of workers of the </w:t>
      </w:r>
      <w:r w:rsidRPr="00F97A6B">
        <w:rPr>
          <w:rFonts w:ascii="Cambria" w:hAnsi="Cambria"/>
          <w:sz w:val="20"/>
          <w:szCs w:val="20"/>
        </w:rPr>
        <w:t xml:space="preserve">Panama Canal Authority as a result of the publication by the Legislative Assembly of Law 19 of June 11, 1997 </w:t>
      </w:r>
      <w:r w:rsidR="002316E8">
        <w:rPr>
          <w:rFonts w:ascii="Cambria" w:hAnsi="Cambria"/>
          <w:sz w:val="20"/>
          <w:szCs w:val="20"/>
        </w:rPr>
        <w:t xml:space="preserve">which </w:t>
      </w:r>
      <w:r w:rsidRPr="00F97A6B">
        <w:rPr>
          <w:rFonts w:ascii="Cambria" w:hAnsi="Cambria"/>
          <w:sz w:val="20"/>
          <w:szCs w:val="20"/>
        </w:rPr>
        <w:t xml:space="preserve">governs the administration of the Panama Canal. In particular, the </w:t>
      </w:r>
      <w:r w:rsidR="00BC7AD7" w:rsidRPr="00F97A6B">
        <w:rPr>
          <w:rFonts w:ascii="Cambria" w:hAnsi="Cambria"/>
          <w:sz w:val="20"/>
          <w:szCs w:val="20"/>
        </w:rPr>
        <w:t>petitioner</w:t>
      </w:r>
      <w:r w:rsidRPr="00F97A6B">
        <w:rPr>
          <w:rFonts w:ascii="Cambria" w:hAnsi="Cambria"/>
          <w:sz w:val="20"/>
          <w:szCs w:val="20"/>
        </w:rPr>
        <w:t xml:space="preserve"> argues that this </w:t>
      </w:r>
      <w:r w:rsidR="00BC7AD7" w:rsidRPr="00F97A6B">
        <w:rPr>
          <w:rFonts w:ascii="Cambria" w:hAnsi="Cambria"/>
          <w:sz w:val="20"/>
          <w:szCs w:val="20"/>
        </w:rPr>
        <w:t>l</w:t>
      </w:r>
      <w:r w:rsidRPr="00F97A6B">
        <w:rPr>
          <w:rFonts w:ascii="Cambria" w:hAnsi="Cambria"/>
          <w:sz w:val="20"/>
          <w:szCs w:val="20"/>
        </w:rPr>
        <w:t>aw is contrary to the Panamanian Constitution and various international treaties insofar as it stipulates a prohibition of the right to strike</w:t>
      </w:r>
      <w:r w:rsidR="002316E8">
        <w:rPr>
          <w:rFonts w:ascii="Cambria" w:hAnsi="Cambria"/>
          <w:sz w:val="20"/>
          <w:szCs w:val="20"/>
        </w:rPr>
        <w:t>;</w:t>
      </w:r>
      <w:r w:rsidRPr="00F97A6B">
        <w:rPr>
          <w:rFonts w:ascii="Cambria" w:hAnsi="Cambria"/>
          <w:sz w:val="20"/>
          <w:szCs w:val="20"/>
        </w:rPr>
        <w:t xml:space="preserve"> and </w:t>
      </w:r>
      <w:r w:rsidR="002316E8">
        <w:rPr>
          <w:rFonts w:ascii="Cambria" w:hAnsi="Cambria"/>
          <w:sz w:val="20"/>
          <w:szCs w:val="20"/>
        </w:rPr>
        <w:t xml:space="preserve">claims </w:t>
      </w:r>
      <w:r w:rsidRPr="00F97A6B">
        <w:rPr>
          <w:rFonts w:ascii="Cambria" w:hAnsi="Cambria"/>
          <w:sz w:val="20"/>
          <w:szCs w:val="20"/>
        </w:rPr>
        <w:t>that judicial protection against the acts of the legislative body has not been guaranteed</w:t>
      </w:r>
      <w:r w:rsidR="00DE291E" w:rsidRPr="00F97A6B">
        <w:rPr>
          <w:rFonts w:ascii="Cambria" w:hAnsi="Cambria"/>
          <w:sz w:val="20"/>
          <w:szCs w:val="20"/>
        </w:rPr>
        <w:t xml:space="preserve">. </w:t>
      </w:r>
    </w:p>
    <w:p w14:paraId="74B526B4" w14:textId="77777777" w:rsidR="0065630D" w:rsidRPr="00F97A6B" w:rsidRDefault="0065630D" w:rsidP="0065630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rPr>
      </w:pPr>
    </w:p>
    <w:p w14:paraId="649ACA10" w14:textId="41BD1C4C" w:rsidR="009068D5" w:rsidRPr="00F97A6B" w:rsidRDefault="004F1851" w:rsidP="00981CB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F97A6B">
        <w:rPr>
          <w:rFonts w:ascii="Cambria" w:hAnsi="Cambria"/>
          <w:sz w:val="20"/>
          <w:szCs w:val="20"/>
        </w:rPr>
        <w:t>The petition</w:t>
      </w:r>
      <w:r w:rsidR="002316E8">
        <w:rPr>
          <w:rFonts w:ascii="Cambria" w:hAnsi="Cambria"/>
          <w:sz w:val="20"/>
          <w:szCs w:val="20"/>
        </w:rPr>
        <w:t>er</w:t>
      </w:r>
      <w:r w:rsidRPr="00F97A6B">
        <w:rPr>
          <w:rFonts w:ascii="Cambria" w:hAnsi="Cambria"/>
          <w:sz w:val="20"/>
          <w:szCs w:val="20"/>
        </w:rPr>
        <w:t xml:space="preserve"> indicates that on December 27, 2001, the National Confederation of Independent Trade Union Unity (hereinafter “CONUSI”) filed a </w:t>
      </w:r>
      <w:r w:rsidR="002316E8">
        <w:rPr>
          <w:rFonts w:ascii="Cambria" w:hAnsi="Cambria"/>
          <w:sz w:val="20"/>
          <w:szCs w:val="20"/>
        </w:rPr>
        <w:t xml:space="preserve">claim </w:t>
      </w:r>
      <w:r w:rsidRPr="00F97A6B">
        <w:rPr>
          <w:rFonts w:ascii="Cambria" w:hAnsi="Cambria"/>
          <w:sz w:val="20"/>
          <w:szCs w:val="20"/>
        </w:rPr>
        <w:t>of unconstitutionality before the Supreme Court of Justice against various articles and expressions of this La</w:t>
      </w:r>
      <w:r w:rsidR="009B7A11" w:rsidRPr="00F97A6B">
        <w:rPr>
          <w:rFonts w:ascii="Cambria" w:hAnsi="Cambria"/>
          <w:sz w:val="20"/>
          <w:szCs w:val="20"/>
        </w:rPr>
        <w:t>w. Within this framework</w:t>
      </w:r>
      <w:r w:rsidRPr="00F97A6B">
        <w:rPr>
          <w:rFonts w:ascii="Cambria" w:hAnsi="Cambria"/>
          <w:sz w:val="20"/>
          <w:szCs w:val="20"/>
        </w:rPr>
        <w:t>, the CONUSI alleged that the aforementioned Law does not develop essential aspects of the special labor regime applicable to the workers or officials of the Panama Canal</w:t>
      </w:r>
      <w:r w:rsidR="002316E8">
        <w:rPr>
          <w:rFonts w:ascii="Cambria" w:hAnsi="Cambria"/>
          <w:sz w:val="20"/>
          <w:szCs w:val="20"/>
        </w:rPr>
        <w:t xml:space="preserve"> by</w:t>
      </w:r>
      <w:r w:rsidRPr="00F97A6B">
        <w:rPr>
          <w:rFonts w:ascii="Cambria" w:hAnsi="Cambria"/>
          <w:sz w:val="20"/>
          <w:szCs w:val="20"/>
        </w:rPr>
        <w:t xml:space="preserve"> referring said task to the Board of Directors of the Panama Canal Authority </w:t>
      </w:r>
      <w:r w:rsidR="002316E8">
        <w:rPr>
          <w:rFonts w:ascii="Cambria" w:hAnsi="Cambria"/>
          <w:sz w:val="20"/>
          <w:szCs w:val="20"/>
        </w:rPr>
        <w:t xml:space="preserve">so that they </w:t>
      </w:r>
      <w:r w:rsidRPr="00F97A6B">
        <w:rPr>
          <w:rFonts w:ascii="Cambria" w:hAnsi="Cambria"/>
          <w:sz w:val="20"/>
          <w:szCs w:val="20"/>
        </w:rPr>
        <w:t xml:space="preserve">be regulated through regulations; </w:t>
      </w:r>
      <w:r w:rsidR="002316E8">
        <w:rPr>
          <w:rFonts w:ascii="Cambria" w:hAnsi="Cambria"/>
          <w:sz w:val="20"/>
          <w:szCs w:val="20"/>
        </w:rPr>
        <w:t xml:space="preserve">it </w:t>
      </w:r>
      <w:r w:rsidRPr="00F97A6B">
        <w:rPr>
          <w:rFonts w:ascii="Cambria" w:hAnsi="Cambria"/>
          <w:sz w:val="20"/>
          <w:szCs w:val="20"/>
        </w:rPr>
        <w:t xml:space="preserve">prevents the application of any other law </w:t>
      </w:r>
      <w:r w:rsidR="002316E8">
        <w:rPr>
          <w:rFonts w:ascii="Cambria" w:hAnsi="Cambria"/>
          <w:sz w:val="20"/>
          <w:szCs w:val="20"/>
        </w:rPr>
        <w:t xml:space="preserve">that establishes </w:t>
      </w:r>
      <w:r w:rsidRPr="00F97A6B">
        <w:rPr>
          <w:rFonts w:ascii="Cambria" w:hAnsi="Cambria"/>
          <w:sz w:val="20"/>
          <w:szCs w:val="20"/>
        </w:rPr>
        <w:t xml:space="preserve">constitutional rights </w:t>
      </w:r>
      <w:r w:rsidR="00E80993" w:rsidRPr="00F97A6B">
        <w:rPr>
          <w:rFonts w:ascii="Cambria" w:hAnsi="Cambria"/>
          <w:sz w:val="20"/>
          <w:szCs w:val="20"/>
        </w:rPr>
        <w:t xml:space="preserve">generally </w:t>
      </w:r>
      <w:r w:rsidRPr="00F97A6B">
        <w:rPr>
          <w:rFonts w:ascii="Cambria" w:hAnsi="Cambria"/>
          <w:sz w:val="20"/>
          <w:szCs w:val="20"/>
        </w:rPr>
        <w:t xml:space="preserve">established </w:t>
      </w:r>
      <w:r w:rsidR="002316E8">
        <w:rPr>
          <w:rFonts w:ascii="Cambria" w:hAnsi="Cambria"/>
          <w:sz w:val="20"/>
          <w:szCs w:val="20"/>
        </w:rPr>
        <w:t>i</w:t>
      </w:r>
      <w:r w:rsidRPr="00F97A6B">
        <w:rPr>
          <w:rFonts w:ascii="Cambria" w:hAnsi="Cambria"/>
          <w:sz w:val="20"/>
          <w:szCs w:val="20"/>
        </w:rPr>
        <w:t xml:space="preserve">n favor of workers </w:t>
      </w:r>
      <w:r w:rsidR="00E80993" w:rsidRPr="00F97A6B">
        <w:rPr>
          <w:rFonts w:ascii="Cambria" w:hAnsi="Cambria"/>
          <w:sz w:val="20"/>
          <w:szCs w:val="20"/>
        </w:rPr>
        <w:t>such as</w:t>
      </w:r>
      <w:r w:rsidRPr="00F97A6B">
        <w:rPr>
          <w:rFonts w:ascii="Cambria" w:hAnsi="Cambria"/>
          <w:sz w:val="20"/>
          <w:szCs w:val="20"/>
        </w:rPr>
        <w:t xml:space="preserve"> salaries, bonuses, jurisdictions or procedures; and it specifically prevents the right to strike. In this regard, the petitioner indicates that CONUSI argued that the legal vacuum generated by Law 19 cannot be filled by other </w:t>
      </w:r>
      <w:r w:rsidR="002316E8">
        <w:rPr>
          <w:rFonts w:ascii="Cambria" w:hAnsi="Cambria"/>
          <w:sz w:val="20"/>
          <w:szCs w:val="20"/>
        </w:rPr>
        <w:t>regulations</w:t>
      </w:r>
      <w:r w:rsidR="00832BF7" w:rsidRPr="00F97A6B">
        <w:rPr>
          <w:rFonts w:ascii="Cambria" w:hAnsi="Cambria"/>
          <w:sz w:val="20"/>
          <w:szCs w:val="20"/>
        </w:rPr>
        <w:t xml:space="preserve">. </w:t>
      </w:r>
    </w:p>
    <w:p w14:paraId="2146BFA0" w14:textId="77777777" w:rsidR="0065630D" w:rsidRPr="00F97A6B" w:rsidRDefault="0065630D" w:rsidP="0065630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3232219C" w14:textId="1735059B" w:rsidR="001D52F4" w:rsidRPr="00F97A6B" w:rsidRDefault="002316E8" w:rsidP="00981CB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Pr>
          <w:rFonts w:ascii="Cambria" w:hAnsi="Cambria"/>
          <w:sz w:val="20"/>
          <w:szCs w:val="20"/>
        </w:rPr>
        <w:t>The petitioner</w:t>
      </w:r>
      <w:r w:rsidR="004F1851" w:rsidRPr="00F97A6B">
        <w:rPr>
          <w:rFonts w:ascii="Cambria" w:hAnsi="Cambria"/>
          <w:sz w:val="20"/>
          <w:szCs w:val="20"/>
        </w:rPr>
        <w:t xml:space="preserve"> states that, during the processing of the claim, the Office of the </w:t>
      </w:r>
      <w:r w:rsidR="00AC6213">
        <w:rPr>
          <w:rFonts w:ascii="Cambria" w:hAnsi="Cambria"/>
          <w:sz w:val="20"/>
          <w:szCs w:val="20"/>
        </w:rPr>
        <w:t xml:space="preserve">Attorney General </w:t>
      </w:r>
      <w:r w:rsidR="004F1851" w:rsidRPr="00F97A6B">
        <w:rPr>
          <w:rFonts w:ascii="Cambria" w:hAnsi="Cambria"/>
          <w:sz w:val="20"/>
          <w:szCs w:val="20"/>
        </w:rPr>
        <w:t xml:space="preserve">presented its opinion suggesting the declaration of unconstitutionality of the articles </w:t>
      </w:r>
      <w:r w:rsidR="00AC6213">
        <w:rPr>
          <w:rFonts w:ascii="Cambria" w:hAnsi="Cambria"/>
          <w:sz w:val="20"/>
          <w:szCs w:val="20"/>
        </w:rPr>
        <w:t xml:space="preserve">with respect to </w:t>
      </w:r>
      <w:r w:rsidR="004F1851" w:rsidRPr="00F97A6B">
        <w:rPr>
          <w:rFonts w:ascii="Cambria" w:hAnsi="Cambria"/>
          <w:sz w:val="20"/>
          <w:szCs w:val="20"/>
        </w:rPr>
        <w:t xml:space="preserve">the prohibition of the right to strike. However, the Constitutional Chamber </w:t>
      </w:r>
      <w:r w:rsidR="00AC6213">
        <w:rPr>
          <w:rFonts w:ascii="Cambria" w:hAnsi="Cambria"/>
          <w:sz w:val="20"/>
          <w:szCs w:val="20"/>
        </w:rPr>
        <w:t xml:space="preserve">of the Supreme Court </w:t>
      </w:r>
      <w:r w:rsidR="004F1851" w:rsidRPr="00F97A6B">
        <w:rPr>
          <w:rFonts w:ascii="Cambria" w:hAnsi="Cambria"/>
          <w:sz w:val="20"/>
          <w:szCs w:val="20"/>
        </w:rPr>
        <w:t xml:space="preserve">issued its ruling on April 27, 2009 declaring the constitutionality of all articles. Specifically, the Supreme Court considered that the right to strike could be subject to limitations within the framework of the public </w:t>
      </w:r>
      <w:r w:rsidR="00AC6213">
        <w:rPr>
          <w:rFonts w:ascii="Cambria" w:hAnsi="Cambria"/>
          <w:sz w:val="20"/>
          <w:szCs w:val="20"/>
        </w:rPr>
        <w:t>service</w:t>
      </w:r>
      <w:r w:rsidR="004F1851" w:rsidRPr="00F97A6B">
        <w:rPr>
          <w:rFonts w:ascii="Cambria" w:hAnsi="Cambria"/>
          <w:sz w:val="20"/>
          <w:szCs w:val="20"/>
        </w:rPr>
        <w:t xml:space="preserve"> and essential services in which the work of the Panama Canal employees would be included as an essential international public service as </w:t>
      </w:r>
      <w:r w:rsidR="00974410" w:rsidRPr="00F97A6B">
        <w:rPr>
          <w:rFonts w:ascii="Cambria" w:hAnsi="Cambria"/>
          <w:sz w:val="20"/>
          <w:szCs w:val="20"/>
        </w:rPr>
        <w:t>a r</w:t>
      </w:r>
      <w:r w:rsidR="004F1851" w:rsidRPr="00F97A6B">
        <w:rPr>
          <w:rFonts w:ascii="Cambria" w:hAnsi="Cambria"/>
          <w:sz w:val="20"/>
          <w:szCs w:val="20"/>
        </w:rPr>
        <w:t>esult of the commitment acquired by the Republic of Panama in the Treaty Concerning the Neutrality of the Permanent and the Torrijos-Carter Treaties. Thus, the Court added that, in view of the prohibition of the right to strike, the legislator provided the workers of this institution with impartial and prompt compensatory guarantees</w:t>
      </w:r>
      <w:r w:rsidR="0014618A" w:rsidRPr="00F97A6B">
        <w:rPr>
          <w:rFonts w:ascii="Cambria" w:hAnsi="Cambria"/>
          <w:sz w:val="20"/>
          <w:szCs w:val="20"/>
        </w:rPr>
        <w:t>.</w:t>
      </w:r>
    </w:p>
    <w:p w14:paraId="48403843" w14:textId="77777777" w:rsidR="00357CD8" w:rsidRPr="00F97A6B" w:rsidRDefault="00357CD8" w:rsidP="00357CD8">
      <w:pPr>
        <w:pStyle w:val="ListParagraph"/>
        <w:rPr>
          <w:sz w:val="20"/>
          <w:szCs w:val="20"/>
        </w:rPr>
      </w:pPr>
    </w:p>
    <w:p w14:paraId="62BB2CF7" w14:textId="6CBD374C" w:rsidR="00DE230A" w:rsidRPr="00F97A6B" w:rsidRDefault="004F1851" w:rsidP="00981CB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F97A6B">
        <w:rPr>
          <w:rFonts w:ascii="Cambria" w:hAnsi="Cambria"/>
          <w:sz w:val="20"/>
          <w:szCs w:val="20"/>
        </w:rPr>
        <w:t xml:space="preserve">With respect to the State's argument regarding the alleged international lis pendens and duplication, the petitioning party maintains that the State has not demonstrated that the present petition meets the requirements established for it to be declared inadmissible. In this regard, it maintains that in relation to the alleged international lis pendens related to complaint 3106 under examination before the Committee on Freedom of Association of the International Labor Organization (hereinafter “the ILO”), the State intends to </w:t>
      </w:r>
      <w:r w:rsidR="00932AD7" w:rsidRPr="00F97A6B">
        <w:rPr>
          <w:rFonts w:ascii="Cambria" w:hAnsi="Cambria"/>
          <w:sz w:val="20"/>
          <w:szCs w:val="20"/>
        </w:rPr>
        <w:t xml:space="preserve">argue </w:t>
      </w:r>
      <w:r w:rsidRPr="00F97A6B">
        <w:rPr>
          <w:rFonts w:ascii="Cambria" w:hAnsi="Cambria"/>
          <w:sz w:val="20"/>
          <w:szCs w:val="20"/>
        </w:rPr>
        <w:t xml:space="preserve">that the complaint presented in 2014 is prior to this petition due to the fact that the latter was notified in 2016 and according to its interpretation of Article 30 of the IACHR Rules of Procedure, that would be the beginning of the petition. </w:t>
      </w:r>
      <w:r w:rsidR="00AC6213">
        <w:rPr>
          <w:rFonts w:ascii="Cambria" w:hAnsi="Cambria"/>
          <w:sz w:val="20"/>
          <w:szCs w:val="20"/>
        </w:rPr>
        <w:t xml:space="preserve">The petitioner </w:t>
      </w:r>
      <w:r w:rsidRPr="00F97A6B">
        <w:rPr>
          <w:rFonts w:ascii="Cambria" w:hAnsi="Cambria"/>
          <w:sz w:val="20"/>
          <w:szCs w:val="20"/>
        </w:rPr>
        <w:t xml:space="preserve">argues, however, that it is a capricious interpretation insofar as the article does not establish starting terms but rather the procedure followed by the Commission and they consider that the petition before the IACHR was presented previously. It also emphasizes that the ILO did not resolve the matter as it was </w:t>
      </w:r>
      <w:r w:rsidR="00AC6213">
        <w:rPr>
          <w:rFonts w:ascii="Cambria" w:hAnsi="Cambria"/>
          <w:sz w:val="20"/>
          <w:szCs w:val="20"/>
        </w:rPr>
        <w:t>dismissed</w:t>
      </w:r>
      <w:r w:rsidRPr="00F97A6B">
        <w:rPr>
          <w:rFonts w:ascii="Cambria" w:hAnsi="Cambria"/>
          <w:sz w:val="20"/>
          <w:szCs w:val="20"/>
        </w:rPr>
        <w:t xml:space="preserve"> due to lack of additional information from the complainant organizations. In particular, regarding the analysis of the identity of the elements, t</w:t>
      </w:r>
      <w:r w:rsidR="00AC6213">
        <w:rPr>
          <w:rFonts w:ascii="Cambria" w:hAnsi="Cambria"/>
          <w:sz w:val="20"/>
          <w:szCs w:val="20"/>
        </w:rPr>
        <w:t>he petitioner</w:t>
      </w:r>
      <w:r w:rsidRPr="00F97A6B">
        <w:rPr>
          <w:rFonts w:ascii="Cambria" w:hAnsi="Cambria"/>
          <w:sz w:val="20"/>
          <w:szCs w:val="20"/>
        </w:rPr>
        <w:t xml:space="preserve"> alleges that the State's analysis is different from the jurisprudence of the IACHR on the reproduction of substances. </w:t>
      </w:r>
      <w:r w:rsidR="00AC6213">
        <w:rPr>
          <w:rFonts w:ascii="Cambria" w:hAnsi="Cambria"/>
          <w:sz w:val="20"/>
          <w:szCs w:val="20"/>
        </w:rPr>
        <w:t>The petitioner</w:t>
      </w:r>
      <w:r w:rsidRPr="00F97A6B">
        <w:rPr>
          <w:rFonts w:ascii="Cambria" w:hAnsi="Cambria"/>
          <w:sz w:val="20"/>
          <w:szCs w:val="20"/>
        </w:rPr>
        <w:t xml:space="preserve"> agrees with the State that the identity of the victims coincides, insofar as they are the workers of the Panama Canal, but emphasizes that the petitioners are different</w:t>
      </w:r>
      <w:r w:rsidR="00D80EA5" w:rsidRPr="00F97A6B">
        <w:rPr>
          <w:rStyle w:val="FootnoteReference"/>
          <w:rFonts w:ascii="Cambria" w:hAnsi="Cambria"/>
          <w:sz w:val="20"/>
          <w:szCs w:val="20"/>
        </w:rPr>
        <w:footnoteReference w:id="9"/>
      </w:r>
      <w:r w:rsidR="00D80EA5" w:rsidRPr="00F97A6B">
        <w:rPr>
          <w:rFonts w:ascii="Cambria" w:hAnsi="Cambria"/>
          <w:sz w:val="20"/>
          <w:szCs w:val="20"/>
        </w:rPr>
        <w:t xml:space="preserve"> </w:t>
      </w:r>
      <w:r w:rsidRPr="00F97A6B">
        <w:rPr>
          <w:rFonts w:ascii="Cambria" w:hAnsi="Cambria"/>
          <w:sz w:val="20"/>
          <w:szCs w:val="20"/>
        </w:rPr>
        <w:t xml:space="preserve">which would break the triple identity. </w:t>
      </w:r>
      <w:r w:rsidR="00AC6213">
        <w:rPr>
          <w:rFonts w:ascii="Cambria" w:hAnsi="Cambria"/>
          <w:sz w:val="20"/>
          <w:szCs w:val="20"/>
        </w:rPr>
        <w:t>The petitioner</w:t>
      </w:r>
      <w:r w:rsidRPr="00F97A6B">
        <w:rPr>
          <w:rFonts w:ascii="Cambria" w:hAnsi="Cambria"/>
          <w:sz w:val="20"/>
          <w:szCs w:val="20"/>
        </w:rPr>
        <w:t xml:space="preserve"> maintains that there is no identity in the object since the facts in the case before the ILO refer to the denial of the right to strike and the application of the fundamental guarantees granted in exchange for the right to strike, while the present petition </w:t>
      </w:r>
      <w:r w:rsidR="00417165" w:rsidRPr="00F97A6B">
        <w:rPr>
          <w:rFonts w:ascii="Cambria" w:hAnsi="Cambria"/>
          <w:sz w:val="20"/>
          <w:szCs w:val="20"/>
        </w:rPr>
        <w:t>does not mention</w:t>
      </w:r>
      <w:r w:rsidRPr="00F97A6B">
        <w:rPr>
          <w:rFonts w:ascii="Cambria" w:hAnsi="Cambria"/>
          <w:sz w:val="20"/>
          <w:szCs w:val="20"/>
        </w:rPr>
        <w:t xml:space="preserve"> or argue the fundamental guarantees. Finally, </w:t>
      </w:r>
      <w:r w:rsidR="00AC6213">
        <w:rPr>
          <w:rFonts w:ascii="Cambria" w:hAnsi="Cambria"/>
          <w:sz w:val="20"/>
          <w:szCs w:val="20"/>
        </w:rPr>
        <w:t>the petitioner</w:t>
      </w:r>
      <w:r w:rsidRPr="00F97A6B">
        <w:rPr>
          <w:rFonts w:ascii="Cambria" w:hAnsi="Cambria"/>
          <w:sz w:val="20"/>
          <w:szCs w:val="20"/>
        </w:rPr>
        <w:t xml:space="preserve"> argues that there is no similarity between the legal bases used, which in the case of the complaint to the ILO refer to ILO Conventions 87 and 98 ratified by Panama</w:t>
      </w:r>
      <w:r w:rsidR="0070754E" w:rsidRPr="00F97A6B">
        <w:rPr>
          <w:rFonts w:ascii="Cambria" w:hAnsi="Cambria"/>
          <w:sz w:val="20"/>
          <w:szCs w:val="20"/>
        </w:rPr>
        <w:t>.</w:t>
      </w:r>
    </w:p>
    <w:p w14:paraId="41B8FCA3" w14:textId="77777777" w:rsidR="00357CD8" w:rsidRPr="00F97A6B" w:rsidRDefault="0070754E" w:rsidP="00DE230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rPr>
      </w:pPr>
      <w:r w:rsidRPr="00F97A6B">
        <w:rPr>
          <w:rFonts w:ascii="Cambria" w:hAnsi="Cambria"/>
          <w:sz w:val="20"/>
          <w:szCs w:val="20"/>
        </w:rPr>
        <w:t xml:space="preserve"> </w:t>
      </w:r>
    </w:p>
    <w:p w14:paraId="70C0CB2F" w14:textId="734856E0" w:rsidR="0070754E" w:rsidRPr="00F97A6B" w:rsidRDefault="004F1851" w:rsidP="00981CB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F97A6B">
        <w:rPr>
          <w:rFonts w:ascii="Cambria" w:hAnsi="Cambria"/>
          <w:sz w:val="20"/>
          <w:szCs w:val="20"/>
        </w:rPr>
        <w:t>Likewise, in view of the alleged duplication of processes in this petition with case 13</w:t>
      </w:r>
      <w:r w:rsidR="00A4210C" w:rsidRPr="00F97A6B">
        <w:rPr>
          <w:rFonts w:ascii="Cambria" w:hAnsi="Cambria"/>
          <w:sz w:val="20"/>
          <w:szCs w:val="20"/>
        </w:rPr>
        <w:t>.</w:t>
      </w:r>
      <w:r w:rsidRPr="00F97A6B">
        <w:rPr>
          <w:rFonts w:ascii="Cambria" w:hAnsi="Cambria"/>
          <w:sz w:val="20"/>
          <w:szCs w:val="20"/>
        </w:rPr>
        <w:t xml:space="preserve">649 </w:t>
      </w:r>
      <w:r w:rsidR="00AC6213">
        <w:rPr>
          <w:rFonts w:ascii="Cambria" w:hAnsi="Cambria"/>
          <w:sz w:val="20"/>
          <w:szCs w:val="20"/>
        </w:rPr>
        <w:t xml:space="preserve">pending </w:t>
      </w:r>
      <w:r w:rsidRPr="00F97A6B">
        <w:rPr>
          <w:rFonts w:ascii="Cambria" w:hAnsi="Cambria"/>
          <w:sz w:val="20"/>
          <w:szCs w:val="20"/>
        </w:rPr>
        <w:t xml:space="preserve">before the IACHR, the </w:t>
      </w:r>
      <w:r w:rsidR="00AC6213">
        <w:rPr>
          <w:rFonts w:ascii="Cambria" w:hAnsi="Cambria"/>
          <w:sz w:val="20"/>
          <w:szCs w:val="20"/>
        </w:rPr>
        <w:t>petitioner</w:t>
      </w:r>
      <w:r w:rsidRPr="00F97A6B">
        <w:rPr>
          <w:rFonts w:ascii="Cambria" w:hAnsi="Cambria"/>
          <w:sz w:val="20"/>
          <w:szCs w:val="20"/>
        </w:rPr>
        <w:t xml:space="preserve"> also argues that, although there is a commonality between the State and the alleged victims, the petitioners are different. In this regard,</w:t>
      </w:r>
      <w:r w:rsidR="00AC6213">
        <w:rPr>
          <w:rFonts w:ascii="Cambria" w:hAnsi="Cambria"/>
          <w:sz w:val="20"/>
          <w:szCs w:val="20"/>
        </w:rPr>
        <w:t xml:space="preserve"> the petitioner</w:t>
      </w:r>
      <w:r w:rsidRPr="00F97A6B">
        <w:rPr>
          <w:rFonts w:ascii="Cambria" w:hAnsi="Cambria"/>
          <w:sz w:val="20"/>
          <w:szCs w:val="20"/>
        </w:rPr>
        <w:t xml:space="preserve"> highlights that in the aforementioned case, the petitioners are the Trade Union Organization of Canaleros Employees and the Union of Captains and Officials of the Panama Canal, which are trade union groups with the right to present petitions before the IACHR without this being grounds for inadmissibility. Regarding the identity of the object, the</w:t>
      </w:r>
      <w:r w:rsidR="00AC6213">
        <w:rPr>
          <w:rFonts w:ascii="Cambria" w:hAnsi="Cambria"/>
          <w:sz w:val="20"/>
          <w:szCs w:val="20"/>
        </w:rPr>
        <w:t xml:space="preserve"> petitioner</w:t>
      </w:r>
      <w:r w:rsidRPr="00F97A6B">
        <w:rPr>
          <w:rFonts w:ascii="Cambria" w:hAnsi="Cambria"/>
          <w:sz w:val="20"/>
          <w:szCs w:val="20"/>
        </w:rPr>
        <w:t xml:space="preserve"> alleges that the</w:t>
      </w:r>
      <w:r w:rsidR="00AC6213">
        <w:rPr>
          <w:rFonts w:ascii="Cambria" w:hAnsi="Cambria"/>
          <w:sz w:val="20"/>
          <w:szCs w:val="20"/>
        </w:rPr>
        <w:t xml:space="preserve"> current</w:t>
      </w:r>
      <w:r w:rsidRPr="00F97A6B">
        <w:rPr>
          <w:rFonts w:ascii="Cambria" w:hAnsi="Cambria"/>
          <w:sz w:val="20"/>
          <w:szCs w:val="20"/>
        </w:rPr>
        <w:t xml:space="preserve"> petition only </w:t>
      </w:r>
      <w:r w:rsidR="00AC6213">
        <w:rPr>
          <w:rFonts w:ascii="Cambria" w:hAnsi="Cambria"/>
          <w:sz w:val="20"/>
          <w:szCs w:val="20"/>
        </w:rPr>
        <w:t>argues</w:t>
      </w:r>
      <w:r w:rsidRPr="00F97A6B">
        <w:rPr>
          <w:rFonts w:ascii="Cambria" w:hAnsi="Cambria"/>
          <w:sz w:val="20"/>
          <w:szCs w:val="20"/>
        </w:rPr>
        <w:t xml:space="preserve"> as a violation the ruling of the Supreme Court of Justice that prohibits the right to strike even when the Public Prosecutor's Office issued an opinion on its unconstitutionality and maintains that the Articles 92, 109.7 and 113.5 of Law 19 of 1997 prevent workers and </w:t>
      </w:r>
      <w:r w:rsidRPr="00F97A6B">
        <w:rPr>
          <w:rFonts w:ascii="Cambria" w:hAnsi="Cambria"/>
          <w:sz w:val="20"/>
          <w:szCs w:val="20"/>
        </w:rPr>
        <w:lastRenderedPageBreak/>
        <w:t>trade union organizations from exercising the right to strike with consequences of dismissal for the former and loss of certification to represent the latter</w:t>
      </w:r>
      <w:r w:rsidR="00AC6213">
        <w:rPr>
          <w:rFonts w:ascii="Cambria" w:hAnsi="Cambria"/>
          <w:sz w:val="20"/>
          <w:szCs w:val="20"/>
        </w:rPr>
        <w:t xml:space="preserve">; </w:t>
      </w:r>
      <w:r w:rsidR="00E53D84" w:rsidRPr="00F97A6B">
        <w:rPr>
          <w:rFonts w:ascii="Cambria" w:hAnsi="Cambria"/>
          <w:sz w:val="20"/>
          <w:szCs w:val="20"/>
        </w:rPr>
        <w:t>while</w:t>
      </w:r>
      <w:r w:rsidRPr="00F97A6B">
        <w:rPr>
          <w:rFonts w:ascii="Cambria" w:hAnsi="Cambria"/>
          <w:sz w:val="20"/>
          <w:szCs w:val="20"/>
        </w:rPr>
        <w:t xml:space="preserve"> case 13.649, according to admissibility report No. 88/18, argues several facts, among them, that: i) Law 19 deprives workers of economic benefits, thereby excluding Canal workers from receiving the bonus payment; ii) the unjustified delay of the Supreme Court of Justice in resolving the claim of unconstitutionality against the aforementioned law; iii) the silence of the same court in relation to the same claim; iv) the State has led to the violation of the Protocol of San Salvador by allowing the Court to confirm the prohibition of the right to strike; and v) the inefficiency of the compensatory guarantees. Finally, </w:t>
      </w:r>
      <w:r w:rsidR="00AC6213">
        <w:rPr>
          <w:rFonts w:ascii="Cambria" w:hAnsi="Cambria"/>
          <w:sz w:val="20"/>
          <w:szCs w:val="20"/>
        </w:rPr>
        <w:t>the petitioner</w:t>
      </w:r>
      <w:r w:rsidRPr="00F97A6B">
        <w:rPr>
          <w:rFonts w:ascii="Cambria" w:hAnsi="Cambria"/>
          <w:sz w:val="20"/>
          <w:szCs w:val="20"/>
        </w:rPr>
        <w:t xml:space="preserve"> clarifies that the legal basis is different insofar as the case in substance links Articles 1, 2, 2, 8, 24, 25, and 26 of the American Convention and Article 8 of the Protocol of San Salvador</w:t>
      </w:r>
      <w:r w:rsidR="00E53D84" w:rsidRPr="00F97A6B">
        <w:rPr>
          <w:rFonts w:ascii="Cambria" w:hAnsi="Cambria"/>
          <w:sz w:val="20"/>
          <w:szCs w:val="20"/>
        </w:rPr>
        <w:t>, meanwh</w:t>
      </w:r>
      <w:r w:rsidRPr="00F97A6B">
        <w:rPr>
          <w:rFonts w:ascii="Cambria" w:hAnsi="Cambria"/>
          <w:sz w:val="20"/>
          <w:szCs w:val="20"/>
        </w:rPr>
        <w:t>ile the legal basis for this petition rests on Article 25 of the Convention, XVIII of the Declaration, 8 of the Protocol of San Salvador, 45.C of the OAS Charter and 27 of the American Charter of Social Guarantees</w:t>
      </w:r>
      <w:r w:rsidR="005F4FB7" w:rsidRPr="00F97A6B">
        <w:rPr>
          <w:rFonts w:ascii="Cambria" w:hAnsi="Cambria"/>
          <w:sz w:val="20"/>
          <w:szCs w:val="20"/>
        </w:rPr>
        <w:t xml:space="preserve">. </w:t>
      </w:r>
    </w:p>
    <w:p w14:paraId="2F3FBF57" w14:textId="77777777" w:rsidR="0065630D" w:rsidRPr="00F97A6B" w:rsidRDefault="0065630D" w:rsidP="0065630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3B9C2A6C" w14:textId="20FB76F6" w:rsidR="00E150C1" w:rsidRPr="00F97A6B" w:rsidRDefault="004F1851" w:rsidP="00981CB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F97A6B">
        <w:rPr>
          <w:rFonts w:ascii="Cambria" w:hAnsi="Cambria"/>
          <w:sz w:val="20"/>
          <w:szCs w:val="20"/>
        </w:rPr>
        <w:t xml:space="preserve">For its part, the State alleges that Law No. 19 and a Constitutional Title called The Panama Canal were approved after extensive discussion with all sectors of the nation as a result of the commitments acquired under the </w:t>
      </w:r>
      <w:r w:rsidR="00C81B76">
        <w:rPr>
          <w:rFonts w:ascii="Cambria" w:hAnsi="Cambria"/>
          <w:sz w:val="20"/>
          <w:szCs w:val="20"/>
        </w:rPr>
        <w:t xml:space="preserve">Panama </w:t>
      </w:r>
      <w:r w:rsidRPr="00F97A6B">
        <w:rPr>
          <w:rFonts w:ascii="Cambria" w:hAnsi="Cambria"/>
          <w:sz w:val="20"/>
          <w:szCs w:val="20"/>
        </w:rPr>
        <w:t>Canal Treaty (hereinafter “Torrijos-Carter Treaty”) and the Treaty concerning the Permanent Neutrality of the Canal (hereinafter “Neutrality Treatment”) as special regulation</w:t>
      </w:r>
      <w:r w:rsidR="00C81B76">
        <w:rPr>
          <w:rFonts w:ascii="Cambria" w:hAnsi="Cambria"/>
          <w:sz w:val="20"/>
          <w:szCs w:val="20"/>
        </w:rPr>
        <w:t>s</w:t>
      </w:r>
      <w:r w:rsidRPr="00F97A6B">
        <w:rPr>
          <w:rFonts w:ascii="Cambria" w:hAnsi="Cambria"/>
          <w:sz w:val="20"/>
          <w:szCs w:val="20"/>
        </w:rPr>
        <w:t xml:space="preserve"> within the legal system to implement a state entity </w:t>
      </w:r>
      <w:r w:rsidR="00C81B76">
        <w:rPr>
          <w:rFonts w:ascii="Cambria" w:hAnsi="Cambria"/>
          <w:sz w:val="20"/>
          <w:szCs w:val="20"/>
        </w:rPr>
        <w:t>to</w:t>
      </w:r>
      <w:r w:rsidRPr="00F97A6B">
        <w:rPr>
          <w:rFonts w:ascii="Cambria" w:hAnsi="Cambria"/>
          <w:sz w:val="20"/>
          <w:szCs w:val="20"/>
        </w:rPr>
        <w:t xml:space="preserve"> take over the Canal. It alleges that the purpose of this Law is </w:t>
      </w:r>
      <w:r w:rsidR="00C81B76">
        <w:rPr>
          <w:rFonts w:ascii="Cambria" w:hAnsi="Cambria"/>
          <w:sz w:val="20"/>
          <w:szCs w:val="20"/>
        </w:rPr>
        <w:t xml:space="preserve">intended </w:t>
      </w:r>
      <w:r w:rsidRPr="00F97A6B">
        <w:rPr>
          <w:rFonts w:ascii="Cambria" w:hAnsi="Cambria"/>
          <w:sz w:val="20"/>
          <w:szCs w:val="20"/>
        </w:rPr>
        <w:t xml:space="preserve">to provide the entity with general </w:t>
      </w:r>
      <w:r w:rsidR="00C81B76">
        <w:rPr>
          <w:rFonts w:ascii="Cambria" w:hAnsi="Cambria"/>
          <w:sz w:val="20"/>
          <w:szCs w:val="20"/>
        </w:rPr>
        <w:t xml:space="preserve">regulations </w:t>
      </w:r>
      <w:r w:rsidRPr="00F97A6B">
        <w:rPr>
          <w:rFonts w:ascii="Cambria" w:hAnsi="Cambria"/>
          <w:sz w:val="20"/>
          <w:szCs w:val="20"/>
        </w:rPr>
        <w:t xml:space="preserve">for its organization, operation and modernization. In this sense, the prohibition of the </w:t>
      </w:r>
      <w:r w:rsidR="00C81B76">
        <w:rPr>
          <w:rFonts w:ascii="Cambria" w:hAnsi="Cambria"/>
          <w:sz w:val="20"/>
          <w:szCs w:val="20"/>
        </w:rPr>
        <w:t xml:space="preserve">right to </w:t>
      </w:r>
      <w:r w:rsidRPr="00F97A6B">
        <w:rPr>
          <w:rFonts w:ascii="Cambria" w:hAnsi="Cambria"/>
          <w:sz w:val="20"/>
          <w:szCs w:val="20"/>
        </w:rPr>
        <w:t xml:space="preserve">strike in the Panama Canal is due to a decision of the people confirmed by the three </w:t>
      </w:r>
      <w:r w:rsidR="00C81B76">
        <w:rPr>
          <w:rFonts w:ascii="Cambria" w:hAnsi="Cambria"/>
          <w:sz w:val="20"/>
          <w:szCs w:val="20"/>
        </w:rPr>
        <w:t xml:space="preserve">branches </w:t>
      </w:r>
      <w:r w:rsidRPr="00F97A6B">
        <w:rPr>
          <w:rFonts w:ascii="Cambria" w:hAnsi="Cambria"/>
          <w:sz w:val="20"/>
          <w:szCs w:val="20"/>
        </w:rPr>
        <w:t xml:space="preserve">of the State and contains compensatory guarantees for Canal workers, among others, the </w:t>
      </w:r>
      <w:r w:rsidR="00C81B76">
        <w:rPr>
          <w:rFonts w:ascii="Cambria" w:hAnsi="Cambria"/>
          <w:sz w:val="20"/>
          <w:szCs w:val="20"/>
        </w:rPr>
        <w:t xml:space="preserve">system of </w:t>
      </w:r>
      <w:r w:rsidRPr="00F97A6B">
        <w:rPr>
          <w:rFonts w:ascii="Cambria" w:hAnsi="Cambria"/>
          <w:sz w:val="20"/>
          <w:szCs w:val="20"/>
        </w:rPr>
        <w:t xml:space="preserve">freedom </w:t>
      </w:r>
      <w:r w:rsidR="00CB0C33" w:rsidRPr="00F97A6B">
        <w:rPr>
          <w:rFonts w:ascii="Cambria" w:hAnsi="Cambria"/>
          <w:sz w:val="20"/>
          <w:szCs w:val="20"/>
        </w:rPr>
        <w:t>of</w:t>
      </w:r>
      <w:r w:rsidRPr="00F97A6B">
        <w:rPr>
          <w:rFonts w:ascii="Cambria" w:hAnsi="Cambria"/>
          <w:sz w:val="20"/>
          <w:szCs w:val="20"/>
        </w:rPr>
        <w:t xml:space="preserve"> information, the rights of trade union organizations to maintain affiliation with international organizations, the right to the procedure for handling complaints and arbitration, collective bargaining procedures and the creation of an independent body to resolve labor disputes such as the Labor Relations Board</w:t>
      </w:r>
      <w:r w:rsidR="0043295F" w:rsidRPr="00F97A6B">
        <w:rPr>
          <w:rFonts w:ascii="Cambria" w:hAnsi="Cambria"/>
          <w:sz w:val="20"/>
          <w:szCs w:val="20"/>
        </w:rPr>
        <w:t>.</w:t>
      </w:r>
    </w:p>
    <w:p w14:paraId="71144573" w14:textId="77777777" w:rsidR="00E269CA" w:rsidRPr="00F97A6B" w:rsidRDefault="00E269CA" w:rsidP="00E269C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rPr>
      </w:pPr>
    </w:p>
    <w:p w14:paraId="31B95346" w14:textId="08797006" w:rsidR="00EE2573" w:rsidRPr="00F97A6B" w:rsidRDefault="00C81B76" w:rsidP="00981CB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Pr>
          <w:rFonts w:ascii="Cambria" w:hAnsi="Cambria"/>
          <w:sz w:val="20"/>
          <w:szCs w:val="20"/>
        </w:rPr>
        <w:t>It a</w:t>
      </w:r>
      <w:r w:rsidR="004F1851" w:rsidRPr="00F97A6B">
        <w:rPr>
          <w:rFonts w:ascii="Cambria" w:hAnsi="Cambria"/>
          <w:sz w:val="20"/>
          <w:szCs w:val="20"/>
        </w:rPr>
        <w:t>rgues that the alleged victims, together with the National Maritime Union and the Panama and Caribbean Canal union</w:t>
      </w:r>
      <w:r>
        <w:rPr>
          <w:rFonts w:ascii="Cambria" w:hAnsi="Cambria"/>
          <w:sz w:val="20"/>
          <w:szCs w:val="20"/>
        </w:rPr>
        <w:t>,</w:t>
      </w:r>
      <w:r w:rsidR="004F1851" w:rsidRPr="00F97A6B">
        <w:rPr>
          <w:rFonts w:ascii="Cambria" w:hAnsi="Cambria"/>
          <w:sz w:val="20"/>
          <w:szCs w:val="20"/>
        </w:rPr>
        <w:t xml:space="preserve"> make up the </w:t>
      </w:r>
      <w:r w:rsidR="00C654B1" w:rsidRPr="00F97A6B">
        <w:rPr>
          <w:rFonts w:ascii="Cambria" w:hAnsi="Cambria"/>
          <w:sz w:val="20"/>
          <w:szCs w:val="20"/>
        </w:rPr>
        <w:t>e</w:t>
      </w:r>
      <w:r w:rsidR="004F1851" w:rsidRPr="00F97A6B">
        <w:rPr>
          <w:rFonts w:ascii="Cambria" w:hAnsi="Cambria"/>
          <w:sz w:val="20"/>
          <w:szCs w:val="20"/>
        </w:rPr>
        <w:t xml:space="preserve">xclusive </w:t>
      </w:r>
      <w:r w:rsidR="00C654B1" w:rsidRPr="00F97A6B">
        <w:rPr>
          <w:rFonts w:ascii="Cambria" w:hAnsi="Cambria"/>
          <w:sz w:val="20"/>
          <w:szCs w:val="20"/>
        </w:rPr>
        <w:t>r</w:t>
      </w:r>
      <w:r w:rsidR="004F1851" w:rsidRPr="00F97A6B">
        <w:rPr>
          <w:rFonts w:ascii="Cambria" w:hAnsi="Cambria"/>
          <w:sz w:val="20"/>
          <w:szCs w:val="20"/>
        </w:rPr>
        <w:t xml:space="preserve">epresentative of the Non-Professional Workers' Negotiating Unit </w:t>
      </w:r>
      <w:r>
        <w:rPr>
          <w:rFonts w:ascii="Cambria" w:hAnsi="Cambria"/>
          <w:sz w:val="20"/>
          <w:szCs w:val="20"/>
        </w:rPr>
        <w:t>which</w:t>
      </w:r>
      <w:r w:rsidR="004F1851" w:rsidRPr="00F97A6B">
        <w:rPr>
          <w:rFonts w:ascii="Cambria" w:hAnsi="Cambria"/>
          <w:sz w:val="20"/>
          <w:szCs w:val="20"/>
        </w:rPr>
        <w:t xml:space="preserve">, according to Law 19, must promote the Canal operation efficiency. The State adds that the petitioning party has not exhausted domestic remedies, </w:t>
      </w:r>
      <w:r>
        <w:rPr>
          <w:rFonts w:ascii="Cambria" w:hAnsi="Cambria"/>
          <w:sz w:val="20"/>
          <w:szCs w:val="20"/>
        </w:rPr>
        <w:t xml:space="preserve">inasmuch as </w:t>
      </w:r>
      <w:r w:rsidR="004F1851" w:rsidRPr="00F97A6B">
        <w:rPr>
          <w:rFonts w:ascii="Cambria" w:hAnsi="Cambria"/>
          <w:sz w:val="20"/>
          <w:szCs w:val="20"/>
        </w:rPr>
        <w:t>the alleged victims in this petition did not participate directly or indirectly in the constitutionality action filed by CONUSI, and in this sense, they have not claimed illegality</w:t>
      </w:r>
      <w:r w:rsidR="00C654B1" w:rsidRPr="00F97A6B">
        <w:rPr>
          <w:rFonts w:ascii="Cambria" w:hAnsi="Cambria"/>
          <w:sz w:val="20"/>
          <w:szCs w:val="20"/>
        </w:rPr>
        <w:t>,</w:t>
      </w:r>
      <w:r w:rsidR="004F1851" w:rsidRPr="00F97A6B">
        <w:rPr>
          <w:rFonts w:ascii="Cambria" w:hAnsi="Cambria"/>
          <w:sz w:val="20"/>
          <w:szCs w:val="20"/>
        </w:rPr>
        <w:t xml:space="preserve"> unconstitutionality or violation of </w:t>
      </w:r>
      <w:r w:rsidR="00C654B1" w:rsidRPr="00F97A6B">
        <w:rPr>
          <w:rFonts w:ascii="Cambria" w:hAnsi="Cambria"/>
          <w:sz w:val="20"/>
          <w:szCs w:val="20"/>
        </w:rPr>
        <w:t xml:space="preserve">their </w:t>
      </w:r>
      <w:r w:rsidR="004F1851" w:rsidRPr="00F97A6B">
        <w:rPr>
          <w:rFonts w:ascii="Cambria" w:hAnsi="Cambria"/>
          <w:sz w:val="20"/>
          <w:szCs w:val="20"/>
        </w:rPr>
        <w:t>rights. It alleges that it is eviden</w:t>
      </w:r>
      <w:r>
        <w:rPr>
          <w:rFonts w:ascii="Cambria" w:hAnsi="Cambria"/>
          <w:sz w:val="20"/>
          <w:szCs w:val="20"/>
        </w:rPr>
        <w:t xml:space="preserve">t </w:t>
      </w:r>
      <w:r w:rsidR="004F1851" w:rsidRPr="00F97A6B">
        <w:rPr>
          <w:rFonts w:ascii="Cambria" w:hAnsi="Cambria"/>
          <w:sz w:val="20"/>
          <w:szCs w:val="20"/>
        </w:rPr>
        <w:t xml:space="preserve">that there was no violation of the right to justice or judicial protection as the petitioners did not </w:t>
      </w:r>
      <w:r>
        <w:rPr>
          <w:rFonts w:ascii="Cambria" w:hAnsi="Cambria"/>
          <w:sz w:val="20"/>
          <w:szCs w:val="20"/>
        </w:rPr>
        <w:t xml:space="preserve">act before </w:t>
      </w:r>
      <w:r w:rsidR="004F1851" w:rsidRPr="00F97A6B">
        <w:rPr>
          <w:rFonts w:ascii="Cambria" w:hAnsi="Cambria"/>
          <w:sz w:val="20"/>
          <w:szCs w:val="20"/>
        </w:rPr>
        <w:t xml:space="preserve">the Supreme Court of Justice to exercise any right related to any judicial action. </w:t>
      </w:r>
      <w:r>
        <w:rPr>
          <w:rFonts w:ascii="Cambria" w:hAnsi="Cambria"/>
          <w:sz w:val="20"/>
          <w:szCs w:val="20"/>
        </w:rPr>
        <w:t xml:space="preserve">It </w:t>
      </w:r>
      <w:r w:rsidR="004F1851" w:rsidRPr="00F97A6B">
        <w:rPr>
          <w:rFonts w:ascii="Cambria" w:hAnsi="Cambria"/>
          <w:sz w:val="20"/>
          <w:szCs w:val="20"/>
        </w:rPr>
        <w:t>describe</w:t>
      </w:r>
      <w:r>
        <w:rPr>
          <w:rFonts w:ascii="Cambria" w:hAnsi="Cambria"/>
          <w:sz w:val="20"/>
          <w:szCs w:val="20"/>
        </w:rPr>
        <w:t>s</w:t>
      </w:r>
      <w:r w:rsidR="004F1851" w:rsidRPr="00F97A6B">
        <w:rPr>
          <w:rFonts w:ascii="Cambria" w:hAnsi="Cambria"/>
          <w:sz w:val="20"/>
          <w:szCs w:val="20"/>
        </w:rPr>
        <w:t xml:space="preserve"> that the lack of judicial action by them should not be interpreted as a violation of the aforementioned rights since they had </w:t>
      </w:r>
      <w:r w:rsidR="00522AF5" w:rsidRPr="00F97A6B">
        <w:rPr>
          <w:rFonts w:ascii="Cambria" w:hAnsi="Cambria"/>
          <w:sz w:val="20"/>
          <w:szCs w:val="20"/>
        </w:rPr>
        <w:t>methods</w:t>
      </w:r>
      <w:r w:rsidR="004F1851" w:rsidRPr="00F97A6B">
        <w:rPr>
          <w:rFonts w:ascii="Cambria" w:hAnsi="Cambria"/>
          <w:sz w:val="20"/>
          <w:szCs w:val="20"/>
        </w:rPr>
        <w:t xml:space="preserve"> to protect their right without any cause or impediment to do so. Additionally, it argues that the right to strike in accordance with the Protocol of San Salvador is subject to limitations and in this </w:t>
      </w:r>
      <w:r w:rsidR="00176313" w:rsidRPr="00F97A6B">
        <w:rPr>
          <w:rFonts w:ascii="Cambria" w:hAnsi="Cambria"/>
          <w:sz w:val="20"/>
          <w:szCs w:val="20"/>
        </w:rPr>
        <w:t>case,</w:t>
      </w:r>
      <w:r w:rsidR="004F1851" w:rsidRPr="00F97A6B">
        <w:rPr>
          <w:rFonts w:ascii="Cambria" w:hAnsi="Cambria"/>
          <w:sz w:val="20"/>
          <w:szCs w:val="20"/>
        </w:rPr>
        <w:t xml:space="preserve"> they are contained in a norm that comes from the constitution itself and international treaties</w:t>
      </w:r>
      <w:r w:rsidR="00481290" w:rsidRPr="00F97A6B">
        <w:rPr>
          <w:rFonts w:ascii="Cambria" w:hAnsi="Cambria"/>
          <w:sz w:val="20"/>
          <w:szCs w:val="20"/>
        </w:rPr>
        <w:t xml:space="preserve">. </w:t>
      </w:r>
    </w:p>
    <w:p w14:paraId="2DBC8012" w14:textId="77777777" w:rsidR="00485FC6" w:rsidRPr="00F97A6B" w:rsidRDefault="00485FC6" w:rsidP="00485FC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rPr>
      </w:pPr>
    </w:p>
    <w:p w14:paraId="3389EBA3" w14:textId="6F19CB80" w:rsidR="004051C3" w:rsidRPr="00F97A6B" w:rsidRDefault="00CF3330" w:rsidP="00981CB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Pr>
          <w:rFonts w:ascii="Cambria" w:hAnsi="Cambria"/>
          <w:sz w:val="20"/>
          <w:szCs w:val="20"/>
        </w:rPr>
        <w:t>T</w:t>
      </w:r>
      <w:r w:rsidR="004F1851" w:rsidRPr="00F97A6B">
        <w:rPr>
          <w:rFonts w:ascii="Cambria" w:hAnsi="Cambria"/>
          <w:sz w:val="20"/>
          <w:szCs w:val="20"/>
        </w:rPr>
        <w:t>he State argues the inadmissibility of the present petition insofar as the matter has already been examined and resolved by an international organization and, in addition, substantially reproduces a previous petition that is currently being examined by the Commission</w:t>
      </w:r>
      <w:r w:rsidR="007F4BE4" w:rsidRPr="00F97A6B">
        <w:rPr>
          <w:rFonts w:ascii="Cambria" w:hAnsi="Cambria"/>
          <w:sz w:val="20"/>
          <w:szCs w:val="20"/>
        </w:rPr>
        <w:t>. In t</w:t>
      </w:r>
      <w:r w:rsidR="004F1851" w:rsidRPr="00F97A6B">
        <w:rPr>
          <w:rFonts w:ascii="Cambria" w:hAnsi="Cambria"/>
          <w:sz w:val="20"/>
          <w:szCs w:val="20"/>
        </w:rPr>
        <w:t xml:space="preserve">his regard, the State maintains that the ILO Committee on Freedom of Association analyzed the complaint regarding the prohibition of strikes in the Panama Canal filed against the State of Panama on August 10 and November 20, 2014 by the Union of Captains and Deck Officers, the Union of Panama Canal Pilots, the Union of Marine Engineers and the Union of the Panama and Caribbean Canal. It alleges that the process before the ILO does not constitute a general examination of the situation of the right to strike in Panama, but consisted in </w:t>
      </w:r>
      <w:r w:rsidR="007E3D77" w:rsidRPr="00F97A6B">
        <w:rPr>
          <w:rFonts w:ascii="Cambria" w:hAnsi="Cambria"/>
          <w:sz w:val="20"/>
          <w:szCs w:val="20"/>
        </w:rPr>
        <w:t xml:space="preserve">the </w:t>
      </w:r>
      <w:r w:rsidR="004F1851" w:rsidRPr="00F97A6B">
        <w:rPr>
          <w:rFonts w:ascii="Cambria" w:hAnsi="Cambria"/>
          <w:sz w:val="20"/>
          <w:szCs w:val="20"/>
        </w:rPr>
        <w:t xml:space="preserve">analysis of the specific situation of the workers of the Panama Canal in relation to the prohibition contained in the </w:t>
      </w:r>
      <w:r w:rsidR="007E3D77" w:rsidRPr="00F97A6B">
        <w:rPr>
          <w:rFonts w:ascii="Cambria" w:hAnsi="Cambria"/>
          <w:sz w:val="20"/>
          <w:szCs w:val="20"/>
        </w:rPr>
        <w:t>o</w:t>
      </w:r>
      <w:r w:rsidR="004F1851" w:rsidRPr="00F97A6B">
        <w:rPr>
          <w:rFonts w:ascii="Cambria" w:hAnsi="Cambria"/>
          <w:sz w:val="20"/>
          <w:szCs w:val="20"/>
        </w:rPr>
        <w:t xml:space="preserve">rganic </w:t>
      </w:r>
      <w:r w:rsidR="007E3D77" w:rsidRPr="00F97A6B">
        <w:rPr>
          <w:rFonts w:ascii="Cambria" w:hAnsi="Cambria"/>
          <w:sz w:val="20"/>
          <w:szCs w:val="20"/>
        </w:rPr>
        <w:t>l</w:t>
      </w:r>
      <w:r w:rsidR="004F1851" w:rsidRPr="00F97A6B">
        <w:rPr>
          <w:rFonts w:ascii="Cambria" w:hAnsi="Cambria"/>
          <w:sz w:val="20"/>
          <w:szCs w:val="20"/>
        </w:rPr>
        <w:t>aw of the Panama Canal Authority. In this sense, it maintains that the present petition before the Commission was transmitted seven years after its presentation, when the ILO was already examining the aforementioned complaint filed by the same complainants. It emphasizes that this delay is of fundamental importance for the purpose of determining non-compliance with Article 46.1.c of the American Convention, since the date of commencement of the individual petitions process is determined by the date of transfer to the State in accordance with the content of Article 30 of the Rules of procedure of the IACHR and therefore the petition constitutes a surviving event that modified compliance with the requirement contemplated in Article 47.d of the American Convention</w:t>
      </w:r>
      <w:r w:rsidR="00A00A1E" w:rsidRPr="00F97A6B">
        <w:rPr>
          <w:rFonts w:ascii="Cambria" w:hAnsi="Cambria"/>
          <w:sz w:val="20"/>
          <w:szCs w:val="20"/>
        </w:rPr>
        <w:t xml:space="preserve">. </w:t>
      </w:r>
    </w:p>
    <w:p w14:paraId="4D218F6D" w14:textId="77777777" w:rsidR="004051C3" w:rsidRPr="00F97A6B" w:rsidRDefault="004051C3" w:rsidP="004051C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rPr>
      </w:pPr>
    </w:p>
    <w:p w14:paraId="1B881FD1" w14:textId="403A8683" w:rsidR="00485FC6" w:rsidRPr="00F97A6B" w:rsidRDefault="004F1851" w:rsidP="00981CB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F97A6B">
        <w:rPr>
          <w:rFonts w:ascii="Cambria" w:hAnsi="Cambria"/>
          <w:sz w:val="20"/>
          <w:szCs w:val="20"/>
        </w:rPr>
        <w:t>It argues that the</w:t>
      </w:r>
      <w:r w:rsidR="00176313">
        <w:rPr>
          <w:rFonts w:ascii="Cambria" w:hAnsi="Cambria"/>
          <w:sz w:val="20"/>
          <w:szCs w:val="20"/>
        </w:rPr>
        <w:t xml:space="preserve">re is a coincidence between the parties of the </w:t>
      </w:r>
      <w:r w:rsidRPr="00F97A6B">
        <w:rPr>
          <w:rFonts w:ascii="Cambria" w:hAnsi="Cambria"/>
          <w:sz w:val="20"/>
          <w:szCs w:val="20"/>
        </w:rPr>
        <w:t xml:space="preserve">present petition and the case examined by the ILO to the extent </w:t>
      </w:r>
      <w:r w:rsidR="000B7626" w:rsidRPr="00F97A6B">
        <w:rPr>
          <w:rFonts w:ascii="Cambria" w:hAnsi="Cambria"/>
          <w:sz w:val="20"/>
          <w:szCs w:val="20"/>
        </w:rPr>
        <w:t>the</w:t>
      </w:r>
      <w:r w:rsidRPr="00F97A6B">
        <w:rPr>
          <w:rFonts w:ascii="Cambria" w:hAnsi="Cambria"/>
          <w:sz w:val="20"/>
          <w:szCs w:val="20"/>
        </w:rPr>
        <w:t xml:space="preserve"> Panamanian State</w:t>
      </w:r>
      <w:r w:rsidR="000B7626" w:rsidRPr="00F97A6B">
        <w:rPr>
          <w:rFonts w:ascii="Cambria" w:hAnsi="Cambria"/>
          <w:sz w:val="20"/>
          <w:szCs w:val="20"/>
        </w:rPr>
        <w:t xml:space="preserve"> is signaled as responsible</w:t>
      </w:r>
      <w:r w:rsidRPr="00F97A6B">
        <w:rPr>
          <w:rFonts w:ascii="Cambria" w:hAnsi="Cambria"/>
          <w:sz w:val="20"/>
          <w:szCs w:val="20"/>
        </w:rPr>
        <w:t>, the workers of the Panama Canal a</w:t>
      </w:r>
      <w:r w:rsidR="000B7626" w:rsidRPr="00F97A6B">
        <w:rPr>
          <w:rFonts w:ascii="Cambria" w:hAnsi="Cambria"/>
          <w:sz w:val="20"/>
          <w:szCs w:val="20"/>
        </w:rPr>
        <w:t xml:space="preserve">re </w:t>
      </w:r>
      <w:r w:rsidRPr="00F97A6B">
        <w:rPr>
          <w:rFonts w:ascii="Cambria" w:hAnsi="Cambria"/>
          <w:sz w:val="20"/>
          <w:szCs w:val="20"/>
        </w:rPr>
        <w:t>the alleged victims, and, in both cases, the petitioners are union workers of the Panama Canal Authority. Likewise, it argues that both procedures claim the interna</w:t>
      </w:r>
      <w:r w:rsidR="00927D84" w:rsidRPr="00F97A6B">
        <w:rPr>
          <w:rFonts w:ascii="Cambria" w:hAnsi="Cambria"/>
          <w:sz w:val="20"/>
          <w:szCs w:val="20"/>
        </w:rPr>
        <w:t>tional</w:t>
      </w:r>
      <w:r w:rsidRPr="00F97A6B">
        <w:rPr>
          <w:rFonts w:ascii="Cambria" w:hAnsi="Cambria"/>
          <w:sz w:val="20"/>
          <w:szCs w:val="20"/>
        </w:rPr>
        <w:t xml:space="preserve"> responsibility of the State because the content of Article 92 of Law 19 indicates the prohibition of strikes in the Canal, with an identity occurring in the object. Finally, it points out that the petition refers to the right to strike, alleging the violation of the Protocol of San Salvador, the OAS Charter and the Charter of Social Guarantees, while the complaint before the ILO indicates the prohibition of strikes for workers of the Canal without ensuring sufficient compensatory guarantees in breach of the principles set forth in Conventions No. 87 on freedom of association and right of association and No. 98 on the right to collective bargaining. It maintains that, although Convention No. 87 does not textually develop the right to strike, the Committee on Freedom of Association has indicated that the right to strike is an inseparable corollary of the right to organize protected by said Convention</w:t>
      </w:r>
      <w:r w:rsidR="00A00A1E" w:rsidRPr="00F97A6B">
        <w:rPr>
          <w:rFonts w:ascii="Cambria" w:hAnsi="Cambria"/>
          <w:sz w:val="20"/>
          <w:szCs w:val="20"/>
        </w:rPr>
        <w:t xml:space="preserve">. </w:t>
      </w:r>
    </w:p>
    <w:p w14:paraId="503958E3" w14:textId="77777777" w:rsidR="006A6686" w:rsidRPr="00F97A6B" w:rsidRDefault="006A6686" w:rsidP="006A6686">
      <w:pPr>
        <w:pStyle w:val="ListParagraph"/>
        <w:rPr>
          <w:sz w:val="20"/>
          <w:szCs w:val="20"/>
        </w:rPr>
      </w:pPr>
    </w:p>
    <w:p w14:paraId="4313CCA3" w14:textId="131ECAD3" w:rsidR="00077815" w:rsidRPr="00F97A6B" w:rsidRDefault="004F1851" w:rsidP="00981CB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F97A6B">
        <w:rPr>
          <w:rFonts w:ascii="Cambria" w:hAnsi="Cambria"/>
          <w:sz w:val="20"/>
          <w:szCs w:val="20"/>
        </w:rPr>
        <w:t xml:space="preserve">Likewise, in relation to the duplication of this petition, the State argues that the Commission issued Report No. 88/18, which determined the admissibility of the petition, which is currently in the </w:t>
      </w:r>
      <w:r w:rsidR="00F43B9C" w:rsidRPr="00F97A6B">
        <w:rPr>
          <w:rFonts w:ascii="Cambria" w:hAnsi="Cambria"/>
          <w:sz w:val="20"/>
          <w:szCs w:val="20"/>
        </w:rPr>
        <w:t>merits stage</w:t>
      </w:r>
      <w:r w:rsidRPr="00F97A6B">
        <w:rPr>
          <w:rFonts w:ascii="Cambria" w:hAnsi="Cambria"/>
          <w:sz w:val="20"/>
          <w:szCs w:val="20"/>
        </w:rPr>
        <w:t xml:space="preserve"> under No. 13,649. It also </w:t>
      </w:r>
      <w:r w:rsidR="00F43B9C" w:rsidRPr="00F97A6B">
        <w:rPr>
          <w:rFonts w:ascii="Cambria" w:hAnsi="Cambria"/>
          <w:sz w:val="20"/>
          <w:szCs w:val="20"/>
        </w:rPr>
        <w:t>points</w:t>
      </w:r>
      <w:r w:rsidRPr="00F97A6B">
        <w:rPr>
          <w:rFonts w:ascii="Cambria" w:hAnsi="Cambria"/>
          <w:sz w:val="20"/>
          <w:szCs w:val="20"/>
        </w:rPr>
        <w:t xml:space="preserve"> out that the admissibility process of the referenced case, the then petition 1077-07, began on November 13, 2007, that is, 9 years before the communication made to the State regarding this petition. In this regard, it identifies that in both petitions there is a coincidence between the parties to the process, the facts and the alleged rights violated. In particular, it states that the Panama Canal workers are presented as alleged victims and, for their part, both cases have Canal workers unions as petitioners that, at the time of the corresponding complaints, were part of the same negotiating unit for non-professional workers of the Panama Canal. It refers that in both processes, the alleged facts refer to the prohibition of the strike in the Panama Canal and the alleged unjustified delay of the Supreme Court of Justice to resolve the unconstitutionality appeal filed against said prohibition. Finally, it highlights that </w:t>
      </w:r>
      <w:r w:rsidR="00574346" w:rsidRPr="00F97A6B">
        <w:rPr>
          <w:rFonts w:ascii="Cambria" w:hAnsi="Cambria"/>
          <w:sz w:val="20"/>
          <w:szCs w:val="20"/>
        </w:rPr>
        <w:t xml:space="preserve">in </w:t>
      </w:r>
      <w:r w:rsidRPr="00F97A6B">
        <w:rPr>
          <w:rFonts w:ascii="Cambria" w:hAnsi="Cambria"/>
          <w:sz w:val="20"/>
          <w:szCs w:val="20"/>
        </w:rPr>
        <w:t>both cases the petitioners indicated that the facts constitute a violation of Article XVIII of the Declaration, Article 25 of the Convention and Article 8 of the Protocol of San Salvador. Regarding the possibility of an accumulation of the present petition and the case, it indicates that the procedural opportunity has precluded insofar as this prerogative would only have been possible in the initial analysis stage of the procedure of both petitions.</w:t>
      </w:r>
    </w:p>
    <w:p w14:paraId="699E70B0" w14:textId="77777777" w:rsidR="00357CD8" w:rsidRPr="00F97A6B" w:rsidRDefault="00357CD8" w:rsidP="00357CD8">
      <w:pPr>
        <w:pStyle w:val="ListParagraph"/>
        <w:rPr>
          <w:sz w:val="20"/>
          <w:szCs w:val="20"/>
        </w:rPr>
      </w:pPr>
    </w:p>
    <w:p w14:paraId="7E560A38" w14:textId="1396DC61" w:rsidR="00357CD8" w:rsidRPr="00F97A6B" w:rsidRDefault="00357CD8" w:rsidP="00357CD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rPr>
      </w:pPr>
      <w:r w:rsidRPr="00F97A6B">
        <w:rPr>
          <w:rFonts w:asciiTheme="majorHAnsi" w:hAnsiTheme="majorHAnsi"/>
          <w:b/>
          <w:bCs/>
          <w:sz w:val="20"/>
          <w:szCs w:val="20"/>
        </w:rPr>
        <w:t xml:space="preserve">VI. </w:t>
      </w:r>
      <w:r w:rsidR="00CF3330">
        <w:rPr>
          <w:rFonts w:asciiTheme="majorHAnsi" w:hAnsiTheme="majorHAnsi"/>
          <w:b/>
          <w:bCs/>
          <w:sz w:val="20"/>
          <w:szCs w:val="20"/>
        </w:rPr>
        <w:tab/>
        <w:t>COMPETENCE</w:t>
      </w:r>
    </w:p>
    <w:p w14:paraId="45D2F0F7" w14:textId="77777777" w:rsidR="00357CD8" w:rsidRPr="00F97A6B" w:rsidRDefault="00357CD8" w:rsidP="00357CD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rPr>
      </w:pPr>
    </w:p>
    <w:p w14:paraId="48731FDA" w14:textId="4BA0D427" w:rsidR="000F3D21" w:rsidRPr="00F97A6B" w:rsidRDefault="004F1851" w:rsidP="00981CB4">
      <w:pPr>
        <w:pStyle w:val="ListParagraph"/>
        <w:numPr>
          <w:ilvl w:val="0"/>
          <w:numId w:val="55"/>
        </w:numPr>
        <w:jc w:val="both"/>
        <w:rPr>
          <w:sz w:val="20"/>
          <w:szCs w:val="20"/>
        </w:rPr>
      </w:pPr>
      <w:r w:rsidRPr="00F97A6B">
        <w:rPr>
          <w:rFonts w:eastAsia="Times New Roman" w:cs="Calibri"/>
          <w:sz w:val="20"/>
          <w:szCs w:val="20"/>
          <w:bdr w:val="none" w:sz="0" w:space="0" w:color="auto"/>
        </w:rPr>
        <w:t>The Commission recalls that</w:t>
      </w:r>
      <w:r w:rsidR="00CF3330">
        <w:rPr>
          <w:rFonts w:eastAsia="Times New Roman" w:cs="Calibri"/>
          <w:sz w:val="20"/>
          <w:szCs w:val="20"/>
          <w:bdr w:val="none" w:sz="0" w:space="0" w:color="auto"/>
        </w:rPr>
        <w:t>,</w:t>
      </w:r>
      <w:r w:rsidRPr="00F97A6B">
        <w:rPr>
          <w:rFonts w:eastAsia="Times New Roman" w:cs="Calibri"/>
          <w:sz w:val="20"/>
          <w:szCs w:val="20"/>
          <w:bdr w:val="none" w:sz="0" w:space="0" w:color="auto"/>
        </w:rPr>
        <w:t xml:space="preserve"> in order for it to be considered that there is duplication </w:t>
      </w:r>
      <w:r w:rsidR="00675141" w:rsidRPr="00F97A6B">
        <w:rPr>
          <w:rFonts w:eastAsia="Times New Roman" w:cs="Calibri"/>
          <w:sz w:val="20"/>
          <w:szCs w:val="20"/>
          <w:bdr w:val="none" w:sz="0" w:space="0" w:color="auto"/>
        </w:rPr>
        <w:t xml:space="preserve">in a case </w:t>
      </w:r>
      <w:r w:rsidRPr="00F97A6B">
        <w:rPr>
          <w:rFonts w:eastAsia="Times New Roman" w:cs="Calibri"/>
          <w:sz w:val="20"/>
          <w:szCs w:val="20"/>
          <w:bdr w:val="none" w:sz="0" w:space="0" w:color="auto"/>
        </w:rPr>
        <w:t>or international res judicata, in addition to the identity of the subjects, object and claim, it is required that the petition be considered, or has been decided, by an international body that has competence to adopt decisions on the specific facts contained in the petition, and measures aimed at the effective resolution of the dispute in question</w:t>
      </w:r>
      <w:r w:rsidR="00DA681E" w:rsidRPr="00F97A6B">
        <w:rPr>
          <w:rFonts w:eastAsia="Times New Roman" w:cs="Calibri"/>
          <w:sz w:val="20"/>
          <w:szCs w:val="20"/>
          <w:bdr w:val="none" w:sz="0" w:space="0" w:color="auto"/>
          <w:vertAlign w:val="superscript"/>
        </w:rPr>
        <w:footnoteReference w:id="10"/>
      </w:r>
      <w:r w:rsidR="00DA681E" w:rsidRPr="00F97A6B">
        <w:rPr>
          <w:rFonts w:eastAsia="Times New Roman" w:cs="Calibri"/>
          <w:sz w:val="20"/>
          <w:szCs w:val="20"/>
          <w:bdr w:val="none" w:sz="0" w:space="0" w:color="auto"/>
        </w:rPr>
        <w:t xml:space="preserve">. </w:t>
      </w:r>
      <w:r w:rsidRPr="00F97A6B">
        <w:rPr>
          <w:sz w:val="20"/>
          <w:szCs w:val="20"/>
        </w:rPr>
        <w:t>In this regard, the Commission notes that the State raises the inadmissibility of this petition since it was examined by the ILO Committee on Freedom of Association. In this regard, the Commission has indicated that it should not be inhibited when the procedure followed before the other organization is limited to examining the general human rights situation in a State, and there is no decision on the specific facts that are the subject of the petition</w:t>
      </w:r>
      <w:r w:rsidR="00675141" w:rsidRPr="00F97A6B">
        <w:rPr>
          <w:sz w:val="20"/>
          <w:szCs w:val="20"/>
        </w:rPr>
        <w:t xml:space="preserve"> </w:t>
      </w:r>
      <w:r w:rsidRPr="00F97A6B">
        <w:rPr>
          <w:sz w:val="20"/>
          <w:szCs w:val="20"/>
        </w:rPr>
        <w:t>submitted to the Commission or that does not lead to an effective settlement of the violation denounced. For the purposes of this case, the Commission observes that the recommendations of this international mechanism do not have a binding legal effect, neither pecuniary-restitutive, nor of a compensatory nature</w:t>
      </w:r>
      <w:r w:rsidR="000F3D21" w:rsidRPr="00F97A6B">
        <w:rPr>
          <w:rStyle w:val="FootnoteReference"/>
          <w:rFonts w:cs="Calibri"/>
          <w:sz w:val="20"/>
          <w:szCs w:val="20"/>
        </w:rPr>
        <w:footnoteReference w:id="11"/>
      </w:r>
      <w:r w:rsidR="000F3D21" w:rsidRPr="00F97A6B">
        <w:rPr>
          <w:sz w:val="20"/>
          <w:szCs w:val="20"/>
        </w:rPr>
        <w:t xml:space="preserve"> </w:t>
      </w:r>
      <w:r w:rsidRPr="00F97A6B">
        <w:rPr>
          <w:sz w:val="20"/>
          <w:szCs w:val="20"/>
        </w:rPr>
        <w:t>and its pronouncements do not refer to the eventual violation of other rights that are beyond the competence of that body, and over which the organs of the Inter-American System do have competence</w:t>
      </w:r>
      <w:r w:rsidR="000F3D21" w:rsidRPr="00F97A6B">
        <w:rPr>
          <w:rStyle w:val="FootnoteReference"/>
          <w:rFonts w:cs="Calibri"/>
          <w:sz w:val="20"/>
          <w:szCs w:val="20"/>
        </w:rPr>
        <w:footnoteReference w:id="12"/>
      </w:r>
      <w:r w:rsidR="000F3D21" w:rsidRPr="00F97A6B">
        <w:rPr>
          <w:rFonts w:cs="Calibri"/>
          <w:sz w:val="20"/>
          <w:szCs w:val="20"/>
        </w:rPr>
        <w:t xml:space="preserve">. </w:t>
      </w:r>
      <w:r w:rsidRPr="00F97A6B">
        <w:rPr>
          <w:rFonts w:cs="Calibri"/>
          <w:sz w:val="20"/>
          <w:szCs w:val="20"/>
        </w:rPr>
        <w:t>Consequently, the Inter-American Commission considers that the litigation before the ILO Committee on Freedom of Association does not prevent the admissibility of this petition.</w:t>
      </w:r>
    </w:p>
    <w:p w14:paraId="0399CC29" w14:textId="77777777" w:rsidR="00DA681E" w:rsidRPr="00F97A6B" w:rsidRDefault="00DA681E" w:rsidP="000F3D21">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jc w:val="both"/>
        <w:rPr>
          <w:rFonts w:ascii="Cambria" w:eastAsia="Times New Roman" w:hAnsi="Cambria" w:cs="Calibri"/>
          <w:color w:val="000000"/>
          <w:sz w:val="20"/>
          <w:szCs w:val="20"/>
          <w:u w:color="000000"/>
          <w:bdr w:val="none" w:sz="0" w:space="0" w:color="auto"/>
          <w:lang w:eastAsia="es-ES"/>
        </w:rPr>
      </w:pPr>
    </w:p>
    <w:p w14:paraId="3E39EBD4" w14:textId="4DD7A674" w:rsidR="00DA681E" w:rsidRPr="00F97A6B" w:rsidRDefault="004F1851" w:rsidP="00981CB4">
      <w:pPr>
        <w:pStyle w:val="ListParagraph"/>
        <w:numPr>
          <w:ilvl w:val="0"/>
          <w:numId w:val="55"/>
        </w:numPr>
        <w:jc w:val="both"/>
        <w:rPr>
          <w:sz w:val="20"/>
          <w:szCs w:val="20"/>
          <w:lang w:eastAsia="es-419"/>
        </w:rPr>
      </w:pPr>
      <w:r w:rsidRPr="00F97A6B">
        <w:rPr>
          <w:rFonts w:cs="Calibri"/>
          <w:sz w:val="20"/>
          <w:szCs w:val="20"/>
        </w:rPr>
        <w:t xml:space="preserve">On the other hand, the Commission also observes that the State alleges the inadmissibility of the present petition insofar as there is a duplication due to lis pendens between it and case 13,649 pending processing before the </w:t>
      </w:r>
      <w:r w:rsidR="00CF3330">
        <w:rPr>
          <w:rFonts w:cs="Calibri"/>
          <w:sz w:val="20"/>
          <w:szCs w:val="20"/>
        </w:rPr>
        <w:t>this</w:t>
      </w:r>
      <w:r w:rsidRPr="00F97A6B">
        <w:rPr>
          <w:rFonts w:cs="Calibri"/>
          <w:sz w:val="20"/>
          <w:szCs w:val="20"/>
        </w:rPr>
        <w:t xml:space="preserve"> Commission. In this regard, the Commission emphasizes that the fact that a communication involves the same person as in a previous petition constitutes only an element of duplication. It is also necessary to examine the nature of the complaints filed and the facts adduced as the basis for them. The presentation of new facts and / or sufficiently different complaints about the same person</w:t>
      </w:r>
      <w:r w:rsidR="000F3D21" w:rsidRPr="00F97A6B">
        <w:rPr>
          <w:rStyle w:val="FootnoteReference"/>
          <w:rFonts w:cs="Calibri"/>
          <w:sz w:val="20"/>
          <w:szCs w:val="20"/>
        </w:rPr>
        <w:footnoteReference w:id="13"/>
      </w:r>
      <w:r w:rsidR="000F3D21" w:rsidRPr="00F97A6B">
        <w:rPr>
          <w:rFonts w:cs="Calibri"/>
          <w:sz w:val="20"/>
          <w:szCs w:val="20"/>
        </w:rPr>
        <w:t>.</w:t>
      </w:r>
      <w:r w:rsidR="000F3D21" w:rsidRPr="00F97A6B">
        <w:rPr>
          <w:sz w:val="20"/>
          <w:szCs w:val="20"/>
          <w:lang w:eastAsia="es-419"/>
        </w:rPr>
        <w:t xml:space="preserve"> </w:t>
      </w:r>
    </w:p>
    <w:p w14:paraId="4F1900ED" w14:textId="77777777" w:rsidR="00846490" w:rsidRPr="00F97A6B" w:rsidRDefault="00846490" w:rsidP="00846490">
      <w:pPr>
        <w:pStyle w:val="ListParagraph"/>
        <w:rPr>
          <w:sz w:val="20"/>
          <w:szCs w:val="20"/>
          <w:lang w:eastAsia="es-419"/>
        </w:rPr>
      </w:pPr>
    </w:p>
    <w:p w14:paraId="0D4566EE" w14:textId="3F193758" w:rsidR="00846490" w:rsidRPr="00F97A6B" w:rsidRDefault="004F1851" w:rsidP="00981CB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eastAsia="es-419"/>
        </w:rPr>
      </w:pPr>
      <w:r w:rsidRPr="00F97A6B">
        <w:rPr>
          <w:rFonts w:ascii="Cambria" w:eastAsia="Times New Roman" w:hAnsi="Cambria" w:cs="Calibri"/>
          <w:color w:val="000000"/>
          <w:sz w:val="20"/>
          <w:szCs w:val="20"/>
          <w:u w:color="000000"/>
          <w:bdr w:val="none" w:sz="0" w:space="0" w:color="auto"/>
          <w:lang w:eastAsia="es-ES"/>
        </w:rPr>
        <w:t>In light of the foregoing, the Commission observes that the petitioning party and the State agree that, in both proceedings, the Panama Canal workers</w:t>
      </w:r>
      <w:r w:rsidR="000B57C1" w:rsidRPr="00F97A6B">
        <w:rPr>
          <w:rFonts w:ascii="Cambria" w:eastAsia="Times New Roman" w:hAnsi="Cambria" w:cs="Calibri"/>
          <w:color w:val="000000"/>
          <w:sz w:val="20"/>
          <w:szCs w:val="20"/>
          <w:u w:color="000000"/>
          <w:bdr w:val="none" w:sz="0" w:space="0" w:color="auto"/>
          <w:lang w:eastAsia="es-ES"/>
        </w:rPr>
        <w:t xml:space="preserve"> appear as alleged victims</w:t>
      </w:r>
      <w:r w:rsidRPr="00F97A6B">
        <w:rPr>
          <w:rFonts w:ascii="Cambria" w:eastAsia="Times New Roman" w:hAnsi="Cambria" w:cs="Calibri"/>
          <w:color w:val="000000"/>
          <w:sz w:val="20"/>
          <w:szCs w:val="20"/>
          <w:u w:color="000000"/>
          <w:bdr w:val="none" w:sz="0" w:space="0" w:color="auto"/>
          <w:lang w:eastAsia="es-ES"/>
        </w:rPr>
        <w:t xml:space="preserve"> and the Panamanian State as the alleged perpetrator. Regarding the duplicity of the facts, the Commission observes that case No. 13,649 was admitted, among others, due to the alleged prohibition of the right to strike and the restriction in the application of any other legal or constitutional provision that includes salaries, bonuses, jurisdictions or procedures in favor of the alleged victims, both established in Law 19 of June 11, 1997, as well as the alleged unjustified judicial delays in the unconstitutionality process that </w:t>
      </w:r>
      <w:r w:rsidR="000B57C1" w:rsidRPr="00F97A6B">
        <w:rPr>
          <w:rFonts w:ascii="Cambria" w:eastAsia="Times New Roman" w:hAnsi="Cambria" w:cs="Calibri"/>
          <w:color w:val="000000"/>
          <w:sz w:val="20"/>
          <w:szCs w:val="20"/>
          <w:u w:color="000000"/>
          <w:bdr w:val="none" w:sz="0" w:space="0" w:color="auto"/>
          <w:lang w:eastAsia="es-ES"/>
        </w:rPr>
        <w:t>examined</w:t>
      </w:r>
      <w:r w:rsidRPr="00F97A6B">
        <w:rPr>
          <w:rFonts w:ascii="Cambria" w:eastAsia="Times New Roman" w:hAnsi="Cambria" w:cs="Calibri"/>
          <w:color w:val="000000"/>
          <w:sz w:val="20"/>
          <w:szCs w:val="20"/>
          <w:u w:color="000000"/>
          <w:bdr w:val="none" w:sz="0" w:space="0" w:color="auto"/>
          <w:lang w:eastAsia="es-ES"/>
        </w:rPr>
        <w:t xml:space="preserve"> the referred regulations; allegations that coincide with the main purpose of this petition. Furthermore, the Commission observes that, in both proceedings, violations are alleged related to Articles 8, 24, 25 and 26 of the American Convention and Article 8 of the Protocol of San Salvador</w:t>
      </w:r>
      <w:r w:rsidR="004C6D95" w:rsidRPr="00F97A6B">
        <w:rPr>
          <w:rFonts w:ascii="Cambria" w:hAnsi="Cambria"/>
          <w:sz w:val="20"/>
          <w:szCs w:val="20"/>
        </w:rPr>
        <w:t xml:space="preserve">. </w:t>
      </w:r>
    </w:p>
    <w:p w14:paraId="3A8A8257" w14:textId="77777777" w:rsidR="004C6D95" w:rsidRPr="00F97A6B" w:rsidRDefault="004C6D95" w:rsidP="004C6D95">
      <w:pPr>
        <w:pStyle w:val="ListParagraph"/>
        <w:rPr>
          <w:sz w:val="20"/>
          <w:szCs w:val="20"/>
          <w:lang w:eastAsia="es-419"/>
        </w:rPr>
      </w:pPr>
    </w:p>
    <w:p w14:paraId="6EB72130" w14:textId="164EBA35" w:rsidR="004C6D95" w:rsidRPr="00F97A6B" w:rsidRDefault="004F1851" w:rsidP="00981CB4">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rPr>
      </w:pPr>
      <w:r w:rsidRPr="00F97A6B">
        <w:rPr>
          <w:color w:val="auto"/>
          <w:sz w:val="20"/>
          <w:szCs w:val="20"/>
        </w:rPr>
        <w:t>Regarding the allegations of violations of Article 8.1.b of the Protocol of San Salvador, the IACHR recalls that the jurisdiction provided in the terms of Article 19.6 of said treaty to establish violations in the context of an individual case is limited to the Articles 8.1.a and 13. Likewise, with respect to the alleged violations of other international treaties, the Commission reiterates that it does not have competence to declare violations of rights enshrined in these instruments, without prejudice to the fact that it may resort to the standards established therein to interpret the norms of the Convention by virtue of article 29 of the Convention. Thus, in order to guarantee compliance with Article 47.d of the Convention and due to the chronological criteria for submitting the petitions, the Commission lacks competence to review these issues raised again in the petition under analysis. In view of the foregoing, the Commission refrains from ruling on the other admissibility requirements due to the fact that there is a duplication between this and case 13,649 pending before the Commission and therefore does not comply with the admissibility requirements in accordance with Article 46.1. c of the American Convention</w:t>
      </w:r>
      <w:r w:rsidR="00C81B76">
        <w:rPr>
          <w:color w:val="auto"/>
          <w:sz w:val="20"/>
          <w:szCs w:val="20"/>
        </w:rPr>
        <w:t>.</w:t>
      </w:r>
    </w:p>
    <w:p w14:paraId="509F88F7" w14:textId="77777777" w:rsidR="0065630D" w:rsidRPr="00F97A6B" w:rsidRDefault="0065630D" w:rsidP="0065630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13565E39" w14:textId="77777777" w:rsidR="003239B8" w:rsidRPr="00F97A6B" w:rsidRDefault="00EC72AB" w:rsidP="0065630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rPr>
      </w:pPr>
      <w:r w:rsidRPr="00F97A6B">
        <w:rPr>
          <w:rFonts w:asciiTheme="majorHAnsi" w:hAnsiTheme="majorHAnsi"/>
          <w:b/>
          <w:bCs/>
          <w:sz w:val="20"/>
          <w:szCs w:val="20"/>
        </w:rPr>
        <w:t>VI</w:t>
      </w:r>
      <w:r w:rsidR="00F04591" w:rsidRPr="00F97A6B">
        <w:rPr>
          <w:rFonts w:asciiTheme="majorHAnsi" w:hAnsiTheme="majorHAnsi"/>
          <w:b/>
          <w:bCs/>
          <w:sz w:val="20"/>
          <w:szCs w:val="20"/>
        </w:rPr>
        <w:t>II</w:t>
      </w:r>
      <w:r w:rsidR="003239B8" w:rsidRPr="00F97A6B">
        <w:rPr>
          <w:rFonts w:asciiTheme="majorHAnsi" w:hAnsiTheme="majorHAnsi"/>
          <w:b/>
          <w:bCs/>
          <w:sz w:val="20"/>
          <w:szCs w:val="20"/>
        </w:rPr>
        <w:t xml:space="preserve">. </w:t>
      </w:r>
      <w:r w:rsidR="003239B8" w:rsidRPr="00F97A6B">
        <w:rPr>
          <w:rFonts w:asciiTheme="majorHAnsi" w:hAnsiTheme="majorHAnsi"/>
          <w:b/>
          <w:bCs/>
          <w:sz w:val="20"/>
          <w:szCs w:val="20"/>
        </w:rPr>
        <w:tab/>
      </w:r>
      <w:r w:rsidR="004F1851" w:rsidRPr="00F97A6B">
        <w:rPr>
          <w:rFonts w:asciiTheme="majorHAnsi" w:hAnsiTheme="majorHAnsi"/>
          <w:b/>
          <w:bCs/>
          <w:sz w:val="20"/>
          <w:szCs w:val="20"/>
        </w:rPr>
        <w:t>DECISION</w:t>
      </w:r>
    </w:p>
    <w:p w14:paraId="73697929" w14:textId="77777777" w:rsidR="0065630D" w:rsidRPr="00F97A6B" w:rsidRDefault="0065630D" w:rsidP="0065630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color w:val="FF0000"/>
          <w:sz w:val="20"/>
          <w:szCs w:val="20"/>
        </w:rPr>
      </w:pPr>
    </w:p>
    <w:p w14:paraId="305A0C89" w14:textId="647AD951" w:rsidR="00C92863" w:rsidRPr="00F97A6B" w:rsidRDefault="004F1851" w:rsidP="00981CB4">
      <w:pPr>
        <w:pStyle w:val="ListParagraph"/>
        <w:numPr>
          <w:ilvl w:val="0"/>
          <w:numId w:val="56"/>
        </w:numPr>
        <w:jc w:val="both"/>
        <w:rPr>
          <w:rFonts w:eastAsia="Arial Unicode MS" w:cs="Times New Roman"/>
          <w:color w:val="auto"/>
          <w:sz w:val="20"/>
          <w:szCs w:val="20"/>
          <w:lang w:eastAsia="en-US"/>
        </w:rPr>
      </w:pPr>
      <w:r w:rsidRPr="00F97A6B">
        <w:rPr>
          <w:rFonts w:eastAsia="Arial Unicode MS" w:cs="Times New Roman"/>
          <w:color w:val="auto"/>
          <w:sz w:val="20"/>
          <w:szCs w:val="20"/>
          <w:lang w:eastAsia="en-US"/>
        </w:rPr>
        <w:t xml:space="preserve">Declare this petition inadmissible; </w:t>
      </w:r>
      <w:r w:rsidR="00182BFB" w:rsidRPr="00F97A6B">
        <w:rPr>
          <w:rFonts w:eastAsia="Arial Unicode MS" w:cs="Times New Roman"/>
          <w:color w:val="auto"/>
          <w:sz w:val="20"/>
          <w:szCs w:val="20"/>
          <w:lang w:eastAsia="en-US"/>
        </w:rPr>
        <w:t>and</w:t>
      </w:r>
    </w:p>
    <w:p w14:paraId="099FBA51" w14:textId="77777777" w:rsidR="0065630D" w:rsidRPr="00F97A6B" w:rsidRDefault="0065630D" w:rsidP="0065630D">
      <w:pPr>
        <w:pStyle w:val="ListParagraph"/>
        <w:jc w:val="both"/>
        <w:rPr>
          <w:rFonts w:eastAsia="Arial Unicode MS" w:cs="Times New Roman"/>
          <w:color w:val="auto"/>
          <w:sz w:val="20"/>
          <w:szCs w:val="20"/>
          <w:lang w:eastAsia="en-US"/>
        </w:rPr>
      </w:pPr>
    </w:p>
    <w:p w14:paraId="4FBB6109" w14:textId="270BB0A7" w:rsidR="003239B8" w:rsidRDefault="004F1851" w:rsidP="00981CB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F97A6B">
        <w:rPr>
          <w:rFonts w:asciiTheme="majorHAnsi" w:hAnsiTheme="majorHAnsi"/>
          <w:sz w:val="20"/>
          <w:szCs w:val="20"/>
        </w:rPr>
        <w:t>Notify the parties of this decision and publish this decision and include it in its Annual Report to the General Assembly of the Organization of American States</w:t>
      </w:r>
      <w:r w:rsidR="004A6A54" w:rsidRPr="00F97A6B">
        <w:rPr>
          <w:rFonts w:asciiTheme="majorHAnsi" w:hAnsiTheme="majorHAnsi"/>
          <w:sz w:val="20"/>
          <w:szCs w:val="20"/>
        </w:rPr>
        <w:t>.</w:t>
      </w:r>
    </w:p>
    <w:p w14:paraId="0684D11C" w14:textId="3056DBDD" w:rsidR="00C57B6A" w:rsidRDefault="00C57B6A" w:rsidP="00C57B6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14:paraId="4493E53F" w14:textId="2E3C038D" w:rsidR="00D826B6" w:rsidRDefault="00D826B6" w:rsidP="00D826B6">
      <w:pPr>
        <w:suppressAutoHyphens/>
        <w:ind w:firstLine="720"/>
        <w:jc w:val="both"/>
        <w:rPr>
          <w:rFonts w:ascii="Cambria" w:hAnsi="Cambria"/>
          <w:spacing w:val="-2"/>
          <w:sz w:val="20"/>
        </w:rPr>
      </w:pPr>
      <w:bookmarkStart w:id="1" w:name="_Hlk69908510"/>
      <w:r w:rsidRPr="006D25D7">
        <w:rPr>
          <w:rFonts w:ascii="Cambria" w:hAnsi="Cambria"/>
          <w:spacing w:val="-2"/>
          <w:sz w:val="20"/>
        </w:rPr>
        <w:t xml:space="preserve">Approved by the Inter-American Commission on Human Rights on </w:t>
      </w:r>
      <w:r w:rsidRPr="00284A0C">
        <w:rPr>
          <w:rFonts w:ascii="Cambria" w:hAnsi="Cambria"/>
          <w:spacing w:val="-2"/>
          <w:sz w:val="20"/>
        </w:rPr>
        <w:t xml:space="preserve">the </w:t>
      </w:r>
      <w:r>
        <w:rPr>
          <w:rFonts w:ascii="Cambria" w:hAnsi="Cambria"/>
          <w:spacing w:val="-2"/>
          <w:sz w:val="20"/>
        </w:rPr>
        <w:t>12</w:t>
      </w:r>
      <w:r w:rsidRPr="00D826B6">
        <w:rPr>
          <w:rFonts w:ascii="Cambria" w:hAnsi="Cambria"/>
          <w:spacing w:val="-2"/>
          <w:sz w:val="20"/>
          <w:vertAlign w:val="superscript"/>
        </w:rPr>
        <w:t>th</w:t>
      </w:r>
      <w:r>
        <w:rPr>
          <w:rFonts w:ascii="Cambria" w:hAnsi="Cambria"/>
          <w:spacing w:val="-2"/>
          <w:sz w:val="20"/>
        </w:rPr>
        <w:t xml:space="preserve"> </w:t>
      </w:r>
      <w:r w:rsidRPr="00284A0C">
        <w:rPr>
          <w:rFonts w:ascii="Cambria" w:hAnsi="Cambria"/>
          <w:spacing w:val="-2"/>
          <w:sz w:val="20"/>
        </w:rPr>
        <w:t xml:space="preserve">day of the month of </w:t>
      </w:r>
      <w:proofErr w:type="gramStart"/>
      <w:r>
        <w:rPr>
          <w:rFonts w:ascii="Cambria" w:hAnsi="Cambria"/>
          <w:spacing w:val="-2"/>
          <w:sz w:val="20"/>
        </w:rPr>
        <w:t>December</w:t>
      </w:r>
      <w:r w:rsidRPr="00284A0C">
        <w:rPr>
          <w:rFonts w:ascii="Cambria" w:hAnsi="Cambria"/>
          <w:spacing w:val="-2"/>
          <w:sz w:val="20"/>
        </w:rPr>
        <w:t>,</w:t>
      </w:r>
      <w:proofErr w:type="gramEnd"/>
      <w:r w:rsidRPr="00284A0C">
        <w:rPr>
          <w:rFonts w:ascii="Cambria" w:hAnsi="Cambria"/>
          <w:spacing w:val="-2"/>
          <w:sz w:val="20"/>
        </w:rPr>
        <w:t xml:space="preserve"> 20</w:t>
      </w:r>
      <w:r>
        <w:rPr>
          <w:rFonts w:ascii="Cambria" w:hAnsi="Cambria"/>
          <w:spacing w:val="-2"/>
          <w:sz w:val="20"/>
        </w:rPr>
        <w:t>20</w:t>
      </w:r>
      <w:r w:rsidRPr="006D25D7">
        <w:rPr>
          <w:rFonts w:ascii="Cambria" w:hAnsi="Cambria"/>
          <w:spacing w:val="-2"/>
          <w:sz w:val="20"/>
        </w:rPr>
        <w:t xml:space="preserve">. </w:t>
      </w:r>
      <w:r>
        <w:rPr>
          <w:rFonts w:ascii="Cambria" w:hAnsi="Cambria"/>
          <w:spacing w:val="-2"/>
          <w:sz w:val="20"/>
        </w:rPr>
        <w:t xml:space="preserve"> (Signed:) </w:t>
      </w:r>
      <w:r>
        <w:rPr>
          <w:rFonts w:asciiTheme="majorHAnsi" w:hAnsiTheme="majorHAnsi" w:cs="Arial"/>
          <w:noProof/>
          <w:spacing w:val="-2"/>
          <w:sz w:val="20"/>
          <w:szCs w:val="20"/>
        </w:rPr>
        <w:t xml:space="preserve">Joel Hernández, </w:t>
      </w:r>
      <w:r w:rsidRPr="006D25D7">
        <w:rPr>
          <w:rFonts w:ascii="Cambria" w:hAnsi="Cambria"/>
          <w:sz w:val="20"/>
        </w:rPr>
        <w:t xml:space="preserve">President; </w:t>
      </w:r>
      <w:r>
        <w:rPr>
          <w:rFonts w:asciiTheme="majorHAnsi" w:hAnsiTheme="majorHAnsi" w:cs="Arial"/>
          <w:noProof/>
          <w:spacing w:val="-2"/>
          <w:sz w:val="20"/>
          <w:szCs w:val="20"/>
        </w:rPr>
        <w:t>Antonia Urrejola</w:t>
      </w:r>
      <w:r w:rsidRPr="006D25D7">
        <w:rPr>
          <w:rFonts w:ascii="Cambria" w:hAnsi="Cambria"/>
          <w:sz w:val="20"/>
        </w:rPr>
        <w:t xml:space="preserve">, First Vice President; </w:t>
      </w:r>
      <w:r>
        <w:rPr>
          <w:rFonts w:asciiTheme="majorHAnsi" w:hAnsiTheme="majorHAnsi" w:cs="Arial"/>
          <w:noProof/>
          <w:spacing w:val="-2"/>
          <w:sz w:val="20"/>
          <w:szCs w:val="20"/>
        </w:rPr>
        <w:t>Flávia Piovesan, Second Vice President, Margarette May Macaulay, Julissa Mantilla Falcón, and Stuardo Ralón Orellana,</w:t>
      </w:r>
      <w:r w:rsidRPr="006D25D7">
        <w:rPr>
          <w:rFonts w:ascii="Cambria" w:hAnsi="Cambria" w:cs="Arial"/>
          <w:noProof/>
          <w:spacing w:val="-2"/>
          <w:sz w:val="20"/>
        </w:rPr>
        <w:t xml:space="preserve"> Commissioners</w:t>
      </w:r>
      <w:r w:rsidRPr="006D25D7">
        <w:rPr>
          <w:rFonts w:ascii="Cambria" w:hAnsi="Cambria"/>
          <w:spacing w:val="-2"/>
          <w:sz w:val="20"/>
        </w:rPr>
        <w:t>.</w:t>
      </w:r>
    </w:p>
    <w:bookmarkEnd w:id="1"/>
    <w:p w14:paraId="0F3D8C13" w14:textId="5D60813C" w:rsidR="00C57B6A" w:rsidRPr="00F97A6B" w:rsidRDefault="00C57B6A" w:rsidP="00D826B6">
      <w:pPr>
        <w:rPr>
          <w:rFonts w:asciiTheme="majorHAnsi" w:hAnsiTheme="majorHAnsi"/>
          <w:sz w:val="20"/>
          <w:szCs w:val="20"/>
        </w:rPr>
      </w:pPr>
    </w:p>
    <w:sectPr w:rsidR="00C57B6A" w:rsidRPr="00F97A6B"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A1DDC" w14:textId="77777777" w:rsidR="00B02A25" w:rsidRDefault="00B02A25">
      <w:r>
        <w:separator/>
      </w:r>
    </w:p>
  </w:endnote>
  <w:endnote w:type="continuationSeparator" w:id="0">
    <w:p w14:paraId="223CEC1B" w14:textId="77777777" w:rsidR="00B02A25" w:rsidRDefault="00B02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38A5660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9F0D02">
          <w:rPr>
            <w:noProof/>
            <w:sz w:val="16"/>
            <w:szCs w:val="22"/>
          </w:rPr>
          <w:t>3</w:t>
        </w:r>
        <w:r w:rsidRPr="00934A2C">
          <w:rPr>
            <w:noProof/>
            <w:sz w:val="16"/>
            <w:szCs w:val="22"/>
          </w:rPr>
          <w:fldChar w:fldCharType="end"/>
        </w:r>
      </w:p>
    </w:sdtContent>
  </w:sdt>
  <w:p w14:paraId="3C4843BB"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5D208" w14:textId="77777777" w:rsidR="0070697F" w:rsidRPr="00934A2C" w:rsidRDefault="0070697F">
    <w:pPr>
      <w:pStyle w:val="Footer"/>
      <w:jc w:val="center"/>
      <w:rPr>
        <w:sz w:val="16"/>
        <w:szCs w:val="22"/>
      </w:rPr>
    </w:pPr>
  </w:p>
  <w:p w14:paraId="63F7583E"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11736" w14:textId="77777777" w:rsidR="00B02A25" w:rsidRPr="000F35ED" w:rsidRDefault="00B02A25">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0BB7A02" w14:textId="77777777" w:rsidR="00B02A25" w:rsidRPr="000F35ED" w:rsidRDefault="00B02A25" w:rsidP="000F35ED">
      <w:pPr>
        <w:rPr>
          <w:rFonts w:asciiTheme="majorHAnsi" w:hAnsiTheme="majorHAnsi"/>
          <w:sz w:val="16"/>
          <w:szCs w:val="16"/>
        </w:rPr>
      </w:pPr>
      <w:r w:rsidRPr="000F35ED">
        <w:rPr>
          <w:rFonts w:asciiTheme="majorHAnsi" w:hAnsiTheme="majorHAnsi"/>
          <w:sz w:val="16"/>
          <w:szCs w:val="16"/>
        </w:rPr>
        <w:separator/>
      </w:r>
    </w:p>
    <w:p w14:paraId="03444B8A" w14:textId="77777777" w:rsidR="00B02A25" w:rsidRPr="000F35ED" w:rsidRDefault="00B02A25"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5CED23BB" w14:textId="77777777" w:rsidR="00B02A25" w:rsidRPr="000F35ED" w:rsidRDefault="00B02A25"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4B8BE89" w14:textId="5C3DD30B" w:rsidR="00853A49" w:rsidRPr="0058191A" w:rsidRDefault="00853A49" w:rsidP="00F97A6B">
      <w:pPr>
        <w:pStyle w:val="FootnoteText"/>
        <w:ind w:firstLine="720"/>
        <w:jc w:val="both"/>
        <w:rPr>
          <w:rFonts w:ascii="Times New Roman" w:hAnsi="Times New Roman" w:cs="Times New Roman"/>
          <w:color w:val="auto"/>
          <w:sz w:val="16"/>
          <w:szCs w:val="16"/>
          <w:rtl/>
          <w:lang w:val="es-ES" w:bidi="he-IL"/>
        </w:rPr>
      </w:pPr>
      <w:r w:rsidRPr="0058191A">
        <w:rPr>
          <w:rStyle w:val="FootnoteReference"/>
          <w:rFonts w:ascii="Cambria" w:hAnsi="Cambria"/>
          <w:color w:val="auto"/>
          <w:sz w:val="16"/>
          <w:szCs w:val="16"/>
        </w:rPr>
        <w:footnoteRef/>
      </w:r>
      <w:r w:rsidRPr="00F97A6B">
        <w:rPr>
          <w:rFonts w:ascii="Cambria" w:hAnsi="Cambria"/>
          <w:color w:val="auto"/>
          <w:sz w:val="16"/>
          <w:szCs w:val="16"/>
        </w:rPr>
        <w:t xml:space="preserve"> </w:t>
      </w:r>
      <w:r w:rsidR="00302040" w:rsidRPr="00F97A6B">
        <w:rPr>
          <w:rFonts w:ascii="Cambria" w:hAnsi="Cambria"/>
          <w:color w:val="auto"/>
          <w:sz w:val="16"/>
          <w:szCs w:val="16"/>
        </w:rPr>
        <w:t>The Committee notes that, according to the petition, this union forms, together with two other unions - the Union of the Panama Canal and the Caribbean and the National Maritime Union, the exclusive representation of the workers' bargaining unit</w:t>
      </w:r>
      <w:r w:rsidR="001428E2" w:rsidRPr="00F97A6B">
        <w:rPr>
          <w:rFonts w:ascii="Cambria" w:hAnsi="Cambria"/>
          <w:color w:val="auto"/>
          <w:sz w:val="16"/>
          <w:szCs w:val="16"/>
        </w:rPr>
        <w:t xml:space="preserve"> of </w:t>
      </w:r>
      <w:r w:rsidR="00302040" w:rsidRPr="00F97A6B">
        <w:rPr>
          <w:rFonts w:ascii="Cambria" w:hAnsi="Cambria"/>
          <w:color w:val="auto"/>
          <w:sz w:val="16"/>
          <w:szCs w:val="16"/>
        </w:rPr>
        <w:t>non-professionals of the Panama Canal Authority.</w:t>
      </w:r>
    </w:p>
  </w:footnote>
  <w:footnote w:id="3">
    <w:p w14:paraId="2E726E81" w14:textId="77777777" w:rsidR="004A6A54" w:rsidRPr="00F97A6B" w:rsidRDefault="004A6A54" w:rsidP="00F97A6B">
      <w:pPr>
        <w:pStyle w:val="FootnoteText"/>
        <w:ind w:firstLine="720"/>
        <w:jc w:val="both"/>
        <w:rPr>
          <w:rFonts w:ascii="Cambria" w:hAnsi="Cambria"/>
          <w:color w:val="auto"/>
          <w:sz w:val="16"/>
          <w:szCs w:val="16"/>
        </w:rPr>
      </w:pPr>
      <w:r w:rsidRPr="0058191A">
        <w:rPr>
          <w:rStyle w:val="FootnoteReference"/>
          <w:rFonts w:ascii="Cambria" w:hAnsi="Cambria"/>
          <w:color w:val="auto"/>
          <w:sz w:val="16"/>
          <w:szCs w:val="16"/>
        </w:rPr>
        <w:footnoteRef/>
      </w:r>
      <w:r w:rsidRPr="00F97A6B">
        <w:rPr>
          <w:rFonts w:ascii="Cambria" w:hAnsi="Cambria"/>
          <w:color w:val="auto"/>
          <w:sz w:val="16"/>
          <w:szCs w:val="16"/>
        </w:rPr>
        <w:t xml:space="preserve"> </w:t>
      </w:r>
      <w:r w:rsidR="00302040" w:rsidRPr="00F97A6B">
        <w:rPr>
          <w:rFonts w:ascii="Cambria" w:hAnsi="Cambria"/>
          <w:color w:val="auto"/>
          <w:sz w:val="16"/>
          <w:szCs w:val="16"/>
        </w:rPr>
        <w:t xml:space="preserve">In accordance with the provisions of Article 17.2.a of the Commission's Regulations, Commissioner Esmeralda </w:t>
      </w:r>
      <w:proofErr w:type="spellStart"/>
      <w:r w:rsidR="00302040" w:rsidRPr="00F97A6B">
        <w:rPr>
          <w:rFonts w:ascii="Cambria" w:hAnsi="Cambria"/>
          <w:color w:val="auto"/>
          <w:sz w:val="16"/>
          <w:szCs w:val="16"/>
        </w:rPr>
        <w:t>Arosemena</w:t>
      </w:r>
      <w:proofErr w:type="spellEnd"/>
      <w:r w:rsidR="00302040" w:rsidRPr="00F97A6B">
        <w:rPr>
          <w:rFonts w:ascii="Cambria" w:hAnsi="Cambria"/>
          <w:color w:val="auto"/>
          <w:sz w:val="16"/>
          <w:szCs w:val="16"/>
        </w:rPr>
        <w:t xml:space="preserve"> de </w:t>
      </w:r>
      <w:proofErr w:type="spellStart"/>
      <w:r w:rsidR="00302040" w:rsidRPr="00F97A6B">
        <w:rPr>
          <w:rFonts w:ascii="Cambria" w:hAnsi="Cambria"/>
          <w:color w:val="auto"/>
          <w:sz w:val="16"/>
          <w:szCs w:val="16"/>
        </w:rPr>
        <w:t>Troitiño</w:t>
      </w:r>
      <w:proofErr w:type="spellEnd"/>
      <w:r w:rsidR="00302040" w:rsidRPr="00F97A6B">
        <w:rPr>
          <w:rFonts w:ascii="Cambria" w:hAnsi="Cambria"/>
          <w:color w:val="auto"/>
          <w:sz w:val="16"/>
          <w:szCs w:val="16"/>
        </w:rPr>
        <w:t>, a Panamanian national, did not participate in the debate or in the decision of this matter.</w:t>
      </w:r>
    </w:p>
  </w:footnote>
  <w:footnote w:id="4">
    <w:p w14:paraId="77061171" w14:textId="77777777" w:rsidR="001D52F4" w:rsidRPr="00F97A6B" w:rsidRDefault="001D52F4" w:rsidP="00F97A6B">
      <w:pPr>
        <w:pStyle w:val="FootnoteText"/>
        <w:ind w:firstLine="720"/>
        <w:jc w:val="both"/>
        <w:rPr>
          <w:rFonts w:ascii="Cambria" w:hAnsi="Cambria"/>
          <w:color w:val="auto"/>
          <w:sz w:val="16"/>
          <w:szCs w:val="16"/>
        </w:rPr>
      </w:pPr>
      <w:r w:rsidRPr="00EB7210">
        <w:rPr>
          <w:rStyle w:val="FootnoteReference"/>
          <w:rFonts w:ascii="Cambria" w:hAnsi="Cambria"/>
          <w:color w:val="auto"/>
          <w:sz w:val="16"/>
          <w:szCs w:val="16"/>
        </w:rPr>
        <w:footnoteRef/>
      </w:r>
      <w:r w:rsidRPr="00F97A6B">
        <w:rPr>
          <w:rFonts w:ascii="Cambria" w:hAnsi="Cambria"/>
          <w:color w:val="auto"/>
          <w:sz w:val="16"/>
          <w:szCs w:val="16"/>
        </w:rPr>
        <w:t xml:space="preserve"> </w:t>
      </w:r>
      <w:r w:rsidR="00302040" w:rsidRPr="00F97A6B">
        <w:rPr>
          <w:rFonts w:ascii="Cambria" w:hAnsi="Cambria"/>
          <w:color w:val="auto"/>
          <w:sz w:val="16"/>
          <w:szCs w:val="16"/>
        </w:rPr>
        <w:t>Hereinafter "the American Convention" or "the Convention."</w:t>
      </w:r>
    </w:p>
  </w:footnote>
  <w:footnote w:id="5">
    <w:p w14:paraId="3ED8204D" w14:textId="77777777" w:rsidR="00702458" w:rsidRPr="00F97A6B" w:rsidRDefault="00702458" w:rsidP="00F97A6B">
      <w:pPr>
        <w:pStyle w:val="FootnoteText"/>
        <w:ind w:firstLine="720"/>
        <w:rPr>
          <w:rFonts w:ascii="Cambria" w:hAnsi="Cambria"/>
          <w:sz w:val="16"/>
        </w:rPr>
      </w:pPr>
      <w:r w:rsidRPr="00702458">
        <w:rPr>
          <w:rStyle w:val="FootnoteReference"/>
          <w:rFonts w:ascii="Cambria" w:hAnsi="Cambria"/>
          <w:sz w:val="16"/>
        </w:rPr>
        <w:footnoteRef/>
      </w:r>
      <w:r w:rsidRPr="00F97A6B">
        <w:rPr>
          <w:rFonts w:ascii="Cambria" w:hAnsi="Cambria"/>
          <w:sz w:val="16"/>
        </w:rPr>
        <w:t xml:space="preserve"> </w:t>
      </w:r>
      <w:r w:rsidR="00302040" w:rsidRPr="00F97A6B">
        <w:rPr>
          <w:rFonts w:ascii="Cambria" w:hAnsi="Cambria"/>
          <w:sz w:val="16"/>
        </w:rPr>
        <w:t>Hereinafter "Protocol of San Salvador".</w:t>
      </w:r>
    </w:p>
  </w:footnote>
  <w:footnote w:id="6">
    <w:p w14:paraId="045BF461" w14:textId="77777777" w:rsidR="00702458" w:rsidRPr="00F97A6B" w:rsidRDefault="00702458" w:rsidP="00F97A6B">
      <w:pPr>
        <w:pStyle w:val="FootnoteText"/>
        <w:ind w:firstLine="720"/>
        <w:rPr>
          <w:rFonts w:ascii="Cambria" w:hAnsi="Cambria"/>
          <w:sz w:val="16"/>
        </w:rPr>
      </w:pPr>
      <w:r w:rsidRPr="00702458">
        <w:rPr>
          <w:rStyle w:val="FootnoteReference"/>
          <w:rFonts w:ascii="Cambria" w:hAnsi="Cambria"/>
          <w:sz w:val="16"/>
        </w:rPr>
        <w:footnoteRef/>
      </w:r>
      <w:r w:rsidRPr="00F97A6B">
        <w:rPr>
          <w:rFonts w:ascii="Cambria" w:hAnsi="Cambria"/>
          <w:sz w:val="16"/>
        </w:rPr>
        <w:t xml:space="preserve"> </w:t>
      </w:r>
      <w:r w:rsidR="00302040" w:rsidRPr="00F97A6B">
        <w:rPr>
          <w:rFonts w:ascii="Cambria" w:hAnsi="Cambria"/>
          <w:sz w:val="16"/>
        </w:rPr>
        <w:t>Hereinafter "Declaration" or "American Declaration".</w:t>
      </w:r>
    </w:p>
  </w:footnote>
  <w:footnote w:id="7">
    <w:p w14:paraId="56BAEEE0" w14:textId="77777777" w:rsidR="00702458" w:rsidRPr="00F97A6B" w:rsidRDefault="00702458" w:rsidP="00F97A6B">
      <w:pPr>
        <w:pStyle w:val="FootnoteText"/>
        <w:ind w:firstLine="720"/>
      </w:pPr>
      <w:r w:rsidRPr="00702458">
        <w:rPr>
          <w:rStyle w:val="FootnoteReference"/>
          <w:rFonts w:ascii="Cambria" w:hAnsi="Cambria"/>
          <w:sz w:val="16"/>
        </w:rPr>
        <w:footnoteRef/>
      </w:r>
      <w:r w:rsidRPr="00F97A6B">
        <w:rPr>
          <w:rFonts w:ascii="Cambria" w:hAnsi="Cambria"/>
          <w:sz w:val="16"/>
        </w:rPr>
        <w:t xml:space="preserve"> </w:t>
      </w:r>
      <w:r w:rsidR="00302040" w:rsidRPr="00F97A6B">
        <w:rPr>
          <w:rFonts w:ascii="Cambria" w:hAnsi="Cambria"/>
          <w:sz w:val="16"/>
        </w:rPr>
        <w:t>Article 45.c of the Charter of the Organization of American States and Article 27 of the Charter of Social Guarantees</w:t>
      </w:r>
      <w:r w:rsidRPr="00F97A6B">
        <w:rPr>
          <w:rFonts w:ascii="Cambria" w:hAnsi="Cambria"/>
          <w:sz w:val="16"/>
        </w:rPr>
        <w:t>.</w:t>
      </w:r>
      <w:r w:rsidRPr="00F97A6B">
        <w:rPr>
          <w:sz w:val="16"/>
        </w:rPr>
        <w:t xml:space="preserve"> </w:t>
      </w:r>
    </w:p>
  </w:footnote>
  <w:footnote w:id="8">
    <w:p w14:paraId="5C6AE5B5" w14:textId="142C2B9B" w:rsidR="008E3BFE" w:rsidRPr="00F97A6B" w:rsidRDefault="008E3BFE" w:rsidP="00F97A6B">
      <w:pPr>
        <w:pStyle w:val="FootnoteText"/>
        <w:ind w:firstLine="720"/>
        <w:jc w:val="both"/>
        <w:rPr>
          <w:rFonts w:ascii="Cambria" w:hAnsi="Cambria"/>
          <w:color w:val="auto"/>
          <w:sz w:val="16"/>
          <w:szCs w:val="16"/>
        </w:rPr>
      </w:pPr>
      <w:r w:rsidRPr="00EB7210">
        <w:rPr>
          <w:rStyle w:val="FootnoteReference"/>
          <w:rFonts w:ascii="Cambria" w:hAnsi="Cambria"/>
          <w:color w:val="auto"/>
          <w:sz w:val="16"/>
          <w:szCs w:val="16"/>
        </w:rPr>
        <w:footnoteRef/>
      </w:r>
      <w:r w:rsidRPr="00F97A6B">
        <w:rPr>
          <w:rFonts w:ascii="Cambria" w:hAnsi="Cambria"/>
          <w:color w:val="auto"/>
          <w:sz w:val="16"/>
          <w:szCs w:val="16"/>
        </w:rPr>
        <w:t xml:space="preserve"> </w:t>
      </w:r>
      <w:r w:rsidR="00302040" w:rsidRPr="00F97A6B">
        <w:rPr>
          <w:rFonts w:ascii="Cambria" w:hAnsi="Cambria"/>
          <w:color w:val="auto"/>
          <w:sz w:val="16"/>
          <w:szCs w:val="16"/>
        </w:rPr>
        <w:t>The observations of each party were duly forwarded to the opposing party.</w:t>
      </w:r>
      <w:r w:rsidR="002316E8">
        <w:rPr>
          <w:rFonts w:ascii="Cambria" w:hAnsi="Cambria"/>
          <w:color w:val="auto"/>
          <w:sz w:val="16"/>
          <w:szCs w:val="16"/>
        </w:rPr>
        <w:t xml:space="preserve"> </w:t>
      </w:r>
    </w:p>
  </w:footnote>
  <w:footnote w:id="9">
    <w:p w14:paraId="0BFB44E5" w14:textId="723BB4F4" w:rsidR="00D80EA5" w:rsidRPr="00F97A6B" w:rsidRDefault="00D80EA5" w:rsidP="00AC6213">
      <w:pPr>
        <w:pStyle w:val="FootnoteText"/>
        <w:ind w:firstLine="720"/>
        <w:jc w:val="both"/>
        <w:rPr>
          <w:rFonts w:ascii="Cambria" w:hAnsi="Cambria"/>
          <w:sz w:val="16"/>
          <w:szCs w:val="16"/>
        </w:rPr>
      </w:pPr>
      <w:r w:rsidRPr="00D80EA5">
        <w:rPr>
          <w:rStyle w:val="FootnoteReference"/>
          <w:rFonts w:ascii="Cambria" w:hAnsi="Cambria"/>
          <w:sz w:val="16"/>
          <w:szCs w:val="16"/>
        </w:rPr>
        <w:footnoteRef/>
      </w:r>
      <w:r w:rsidRPr="00F97A6B">
        <w:rPr>
          <w:rFonts w:ascii="Cambria" w:hAnsi="Cambria"/>
          <w:sz w:val="16"/>
          <w:szCs w:val="16"/>
        </w:rPr>
        <w:t xml:space="preserve"> </w:t>
      </w:r>
      <w:r w:rsidR="00AC6213">
        <w:rPr>
          <w:rFonts w:ascii="Cambria" w:hAnsi="Cambria"/>
          <w:sz w:val="16"/>
          <w:szCs w:val="16"/>
        </w:rPr>
        <w:t>The petitioner</w:t>
      </w:r>
      <w:r w:rsidR="00302040" w:rsidRPr="00F97A6B">
        <w:rPr>
          <w:rFonts w:ascii="Cambria" w:hAnsi="Cambria"/>
          <w:sz w:val="16"/>
          <w:szCs w:val="16"/>
        </w:rPr>
        <w:t xml:space="preserve"> </w:t>
      </w:r>
      <w:r w:rsidR="00AC6213">
        <w:rPr>
          <w:rFonts w:ascii="Cambria" w:hAnsi="Cambria"/>
          <w:sz w:val="16"/>
          <w:szCs w:val="16"/>
        </w:rPr>
        <w:t xml:space="preserve">argues </w:t>
      </w:r>
      <w:r w:rsidR="00302040" w:rsidRPr="00F97A6B">
        <w:rPr>
          <w:rFonts w:ascii="Cambria" w:hAnsi="Cambria"/>
          <w:sz w:val="16"/>
          <w:szCs w:val="16"/>
        </w:rPr>
        <w:t xml:space="preserve">that the complainants in complaint 3106 to the ILO are trade union organizations represented by the International Federation of Transport Workers, in particular the Union of Captains and Deck Officers, the Union of Panama Canal Pilots, the Union of </w:t>
      </w:r>
      <w:r w:rsidR="009F0F6F" w:rsidRPr="00F97A6B">
        <w:rPr>
          <w:rFonts w:ascii="Cambria" w:hAnsi="Cambria"/>
          <w:sz w:val="16"/>
          <w:szCs w:val="16"/>
        </w:rPr>
        <w:t xml:space="preserve">Marine </w:t>
      </w:r>
      <w:r w:rsidR="00302040" w:rsidRPr="00F97A6B">
        <w:rPr>
          <w:rFonts w:ascii="Cambria" w:hAnsi="Cambria"/>
          <w:sz w:val="16"/>
          <w:szCs w:val="16"/>
        </w:rPr>
        <w:t>Engineers and the Union of the Panama Canal and the Caribbean.</w:t>
      </w:r>
    </w:p>
  </w:footnote>
  <w:footnote w:id="10">
    <w:p w14:paraId="418ECD7F" w14:textId="77777777" w:rsidR="00DA681E" w:rsidRPr="00F97A6B" w:rsidRDefault="00DA681E" w:rsidP="00C81B76">
      <w:pPr>
        <w:pStyle w:val="FootnoteText"/>
        <w:pBdr>
          <w:top w:val="none" w:sz="0" w:space="0" w:color="auto"/>
          <w:left w:val="none" w:sz="0" w:space="0" w:color="auto"/>
          <w:bottom w:val="none" w:sz="0" w:space="0" w:color="auto"/>
          <w:right w:val="none" w:sz="0" w:space="0" w:color="auto"/>
        </w:pBdr>
        <w:ind w:firstLine="720"/>
        <w:jc w:val="both"/>
      </w:pPr>
      <w:r>
        <w:rPr>
          <w:rFonts w:ascii="Cambria" w:hAnsi="Cambria"/>
          <w:sz w:val="16"/>
          <w:szCs w:val="16"/>
          <w:vertAlign w:val="superscript"/>
        </w:rPr>
        <w:footnoteRef/>
      </w:r>
      <w:r w:rsidRPr="00F97A6B">
        <w:rPr>
          <w:rFonts w:ascii="Cambria" w:hAnsi="Cambria"/>
          <w:sz w:val="16"/>
          <w:szCs w:val="16"/>
        </w:rPr>
        <w:t xml:space="preserve"> </w:t>
      </w:r>
      <w:r w:rsidR="00302040" w:rsidRPr="00F97A6B">
        <w:rPr>
          <w:rFonts w:ascii="Cambria" w:hAnsi="Cambria"/>
          <w:sz w:val="16"/>
          <w:szCs w:val="16"/>
        </w:rPr>
        <w:t xml:space="preserve">IACHR, Report No. 67/15, Petition 211-07. Admissibility. Jorge </w:t>
      </w:r>
      <w:proofErr w:type="spellStart"/>
      <w:r w:rsidR="00302040" w:rsidRPr="00F97A6B">
        <w:rPr>
          <w:rFonts w:ascii="Cambria" w:hAnsi="Cambria"/>
          <w:sz w:val="16"/>
          <w:szCs w:val="16"/>
        </w:rPr>
        <w:t>Marcial</w:t>
      </w:r>
      <w:proofErr w:type="spellEnd"/>
      <w:r w:rsidR="00302040" w:rsidRPr="00F97A6B">
        <w:rPr>
          <w:rFonts w:ascii="Cambria" w:hAnsi="Cambria"/>
          <w:sz w:val="16"/>
          <w:szCs w:val="16"/>
        </w:rPr>
        <w:t xml:space="preserve"> </w:t>
      </w:r>
      <w:proofErr w:type="spellStart"/>
      <w:r w:rsidR="00302040" w:rsidRPr="00F97A6B">
        <w:rPr>
          <w:rFonts w:ascii="Cambria" w:hAnsi="Cambria"/>
          <w:sz w:val="16"/>
          <w:szCs w:val="16"/>
        </w:rPr>
        <w:t>Tzompaxtle</w:t>
      </w:r>
      <w:proofErr w:type="spellEnd"/>
      <w:r w:rsidR="00302040" w:rsidRPr="00F97A6B">
        <w:rPr>
          <w:rFonts w:ascii="Cambria" w:hAnsi="Cambria"/>
          <w:sz w:val="16"/>
          <w:szCs w:val="16"/>
        </w:rPr>
        <w:t xml:space="preserve"> </w:t>
      </w:r>
      <w:proofErr w:type="spellStart"/>
      <w:r w:rsidR="00302040" w:rsidRPr="00F97A6B">
        <w:rPr>
          <w:rFonts w:ascii="Cambria" w:hAnsi="Cambria"/>
          <w:sz w:val="16"/>
          <w:szCs w:val="16"/>
        </w:rPr>
        <w:t>Tecpile</w:t>
      </w:r>
      <w:proofErr w:type="spellEnd"/>
      <w:r w:rsidR="00302040" w:rsidRPr="00F97A6B">
        <w:rPr>
          <w:rFonts w:ascii="Cambria" w:hAnsi="Cambria"/>
          <w:sz w:val="16"/>
          <w:szCs w:val="16"/>
        </w:rPr>
        <w:t xml:space="preserve"> and others. Mexico. October 27, 2015, para. 3. 4; and IACHR, Report No. 45/14, Petition 325-00. Admissibility. Rufino Jorge Almeida. Argentina. July 18, 2014, para. 51-54; I / A Court HR. Mendoza et al. V. Argentina. Preliminary Objections Merits, Reparations and Costs. Judgment of May 14, 2013. Series C no. 260, paras. 37-40; I / A Court HR, Case of </w:t>
      </w:r>
      <w:proofErr w:type="spellStart"/>
      <w:r w:rsidR="00302040" w:rsidRPr="00F97A6B">
        <w:rPr>
          <w:rFonts w:ascii="Cambria" w:hAnsi="Cambria"/>
          <w:sz w:val="16"/>
          <w:szCs w:val="16"/>
        </w:rPr>
        <w:t>Baena</w:t>
      </w:r>
      <w:proofErr w:type="spellEnd"/>
      <w:r w:rsidR="00302040" w:rsidRPr="00F97A6B">
        <w:rPr>
          <w:rFonts w:ascii="Cambria" w:hAnsi="Cambria"/>
          <w:sz w:val="16"/>
          <w:szCs w:val="16"/>
        </w:rPr>
        <w:t xml:space="preserve"> Ricardo et al. V. Panama. Preliminary Exceptions. Judgment of November 18, 1999. Series C No. 61, para. 53; and I / A Court HR, Durand and Ugarte Case, Preliminary Objections, Judgment of May 28, 1999. Series C No. 50, para. 43.</w:t>
      </w:r>
    </w:p>
  </w:footnote>
  <w:footnote w:id="11">
    <w:p w14:paraId="1E6E65D8" w14:textId="14BA1069" w:rsidR="000F3D21" w:rsidRPr="00F97A6B" w:rsidRDefault="000F3D21" w:rsidP="00C81B76">
      <w:pPr>
        <w:pStyle w:val="FootnoteText"/>
        <w:ind w:firstLine="720"/>
        <w:jc w:val="both"/>
        <w:rPr>
          <w:rFonts w:ascii="Cambria" w:hAnsi="Cambria"/>
          <w:sz w:val="16"/>
          <w:szCs w:val="16"/>
          <w:lang w:eastAsia="en-US"/>
        </w:rPr>
      </w:pPr>
      <w:r>
        <w:rPr>
          <w:rStyle w:val="FootnoteReference"/>
          <w:rFonts w:ascii="Cambria" w:hAnsi="Cambria"/>
          <w:sz w:val="16"/>
          <w:szCs w:val="16"/>
        </w:rPr>
        <w:footnoteRef/>
      </w:r>
      <w:r w:rsidRPr="00F97A6B">
        <w:rPr>
          <w:rFonts w:ascii="Cambria" w:hAnsi="Cambria"/>
          <w:sz w:val="16"/>
          <w:szCs w:val="16"/>
        </w:rPr>
        <w:t xml:space="preserve"> </w:t>
      </w:r>
      <w:r w:rsidR="00302040" w:rsidRPr="00F97A6B">
        <w:rPr>
          <w:rFonts w:ascii="Cambria" w:hAnsi="Cambria"/>
          <w:sz w:val="16"/>
          <w:szCs w:val="16"/>
        </w:rPr>
        <w:t xml:space="preserve">IACHR, Report No. 49/17, Petition 384-08. Admissibility. </w:t>
      </w:r>
      <w:proofErr w:type="spellStart"/>
      <w:r w:rsidR="00302040" w:rsidRPr="00F97A6B">
        <w:rPr>
          <w:rFonts w:ascii="Cambria" w:hAnsi="Cambria"/>
          <w:sz w:val="16"/>
          <w:szCs w:val="16"/>
        </w:rPr>
        <w:t>Ecopetrol</w:t>
      </w:r>
      <w:proofErr w:type="spellEnd"/>
      <w:r w:rsidR="00302040" w:rsidRPr="00F97A6B">
        <w:rPr>
          <w:rFonts w:ascii="Cambria" w:hAnsi="Cambria"/>
          <w:sz w:val="16"/>
          <w:szCs w:val="16"/>
        </w:rPr>
        <w:t xml:space="preserve"> Dismissed Workers. Colombia. May 25, 2017, para. </w:t>
      </w:r>
      <w:r w:rsidR="00C81B76">
        <w:rPr>
          <w:rFonts w:ascii="Cambria" w:hAnsi="Cambria"/>
          <w:sz w:val="16"/>
          <w:szCs w:val="16"/>
        </w:rPr>
        <w:t>15</w:t>
      </w:r>
      <w:r w:rsidR="00302040" w:rsidRPr="00F97A6B">
        <w:rPr>
          <w:rFonts w:ascii="Cambria" w:hAnsi="Cambria"/>
          <w:sz w:val="16"/>
          <w:szCs w:val="16"/>
        </w:rPr>
        <w:t>.</w:t>
      </w:r>
    </w:p>
  </w:footnote>
  <w:footnote w:id="12">
    <w:p w14:paraId="0C45C7BE" w14:textId="57EFD376" w:rsidR="000F3D21" w:rsidRPr="00F97A6B" w:rsidRDefault="000F3D21" w:rsidP="00C81B76">
      <w:pPr>
        <w:pStyle w:val="FootnoteText"/>
        <w:ind w:firstLine="720"/>
        <w:jc w:val="both"/>
        <w:rPr>
          <w:rFonts w:ascii="Cambria" w:hAnsi="Cambria"/>
          <w:sz w:val="16"/>
          <w:szCs w:val="16"/>
        </w:rPr>
      </w:pPr>
      <w:r>
        <w:rPr>
          <w:rStyle w:val="FootnoteReference"/>
          <w:rFonts w:ascii="Cambria" w:hAnsi="Cambria"/>
          <w:sz w:val="16"/>
          <w:szCs w:val="16"/>
        </w:rPr>
        <w:footnoteRef/>
      </w:r>
      <w:r w:rsidRPr="00F97A6B">
        <w:rPr>
          <w:rFonts w:ascii="Cambria" w:hAnsi="Cambria"/>
          <w:sz w:val="16"/>
          <w:szCs w:val="16"/>
        </w:rPr>
        <w:t xml:space="preserve"> </w:t>
      </w:r>
      <w:r w:rsidR="00302040" w:rsidRPr="00F97A6B">
        <w:rPr>
          <w:rFonts w:ascii="Cambria" w:hAnsi="Cambria"/>
          <w:sz w:val="16"/>
          <w:szCs w:val="16"/>
        </w:rPr>
        <w:t xml:space="preserve">IACHR, Report No. 41/16, Petition 142-04. Admissibility. José Tomás Tenorio Morales and others (Union of Higher Education Professionals "Ervin </w:t>
      </w:r>
      <w:proofErr w:type="spellStart"/>
      <w:r w:rsidR="00302040" w:rsidRPr="00F97A6B">
        <w:rPr>
          <w:rFonts w:ascii="Cambria" w:hAnsi="Cambria"/>
          <w:sz w:val="16"/>
          <w:szCs w:val="16"/>
        </w:rPr>
        <w:t>Abarca</w:t>
      </w:r>
      <w:proofErr w:type="spellEnd"/>
      <w:r w:rsidR="00302040" w:rsidRPr="00F97A6B">
        <w:rPr>
          <w:rFonts w:ascii="Cambria" w:hAnsi="Cambria"/>
          <w:sz w:val="16"/>
          <w:szCs w:val="16"/>
        </w:rPr>
        <w:t xml:space="preserve"> Jiménez" of the National University of Engineering). Nicaragua. September 11, 2016, para. 53.</w:t>
      </w:r>
    </w:p>
  </w:footnote>
  <w:footnote w:id="13">
    <w:p w14:paraId="6C0C874F" w14:textId="26904A4F" w:rsidR="000F3D21" w:rsidRDefault="000F3D21" w:rsidP="00CF3330">
      <w:pPr>
        <w:pStyle w:val="FootnoteText"/>
        <w:ind w:firstLine="720"/>
        <w:jc w:val="both"/>
        <w:rPr>
          <w:rFonts w:ascii="Cambria" w:hAnsi="Cambria"/>
          <w:sz w:val="16"/>
          <w:szCs w:val="16"/>
          <w:lang w:val="es-ES" w:eastAsia="en-US"/>
        </w:rPr>
      </w:pPr>
      <w:r>
        <w:rPr>
          <w:rStyle w:val="FootnoteReference"/>
          <w:rFonts w:ascii="Cambria" w:hAnsi="Cambria"/>
          <w:sz w:val="16"/>
          <w:szCs w:val="16"/>
        </w:rPr>
        <w:footnoteRef/>
      </w:r>
      <w:r w:rsidRPr="00F97A6B">
        <w:rPr>
          <w:rFonts w:ascii="Cambria" w:hAnsi="Cambria"/>
          <w:sz w:val="16"/>
          <w:szCs w:val="16"/>
        </w:rPr>
        <w:t xml:space="preserve"> </w:t>
      </w:r>
      <w:r w:rsidR="004F1851" w:rsidRPr="00F97A6B">
        <w:rPr>
          <w:rFonts w:ascii="Cambria" w:hAnsi="Cambria"/>
          <w:sz w:val="16"/>
          <w:szCs w:val="16"/>
        </w:rPr>
        <w:t xml:space="preserve">IACHR, Report No. 96/98, Petition 11.827. Inadmissibility. Peter Blaine. </w:t>
      </w:r>
      <w:r w:rsidR="004F1851" w:rsidRPr="004F1851">
        <w:rPr>
          <w:rFonts w:ascii="Cambria" w:hAnsi="Cambria"/>
          <w:sz w:val="16"/>
          <w:szCs w:val="16"/>
          <w:lang w:val="es-ES"/>
        </w:rPr>
        <w:t xml:space="preserve">Jamaica. </w:t>
      </w:r>
      <w:proofErr w:type="spellStart"/>
      <w:r w:rsidR="004F1851" w:rsidRPr="004F1851">
        <w:rPr>
          <w:rFonts w:ascii="Cambria" w:hAnsi="Cambria"/>
          <w:sz w:val="16"/>
          <w:szCs w:val="16"/>
          <w:lang w:val="es-ES"/>
        </w:rPr>
        <w:t>December</w:t>
      </w:r>
      <w:proofErr w:type="spellEnd"/>
      <w:r w:rsidR="004F1851" w:rsidRPr="004F1851">
        <w:rPr>
          <w:rFonts w:ascii="Cambria" w:hAnsi="Cambria"/>
          <w:sz w:val="16"/>
          <w:szCs w:val="16"/>
          <w:lang w:val="es-ES"/>
        </w:rPr>
        <w:t xml:space="preserve"> 17, 1998, para. 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D32A3"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DEC54C5"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D812F"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3B2A6963" wp14:editId="6519CD02">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DA18C43" w14:textId="77777777" w:rsidR="00040C3A" w:rsidRPr="00EC7D62" w:rsidRDefault="00B02A25" w:rsidP="00A50FCF">
    <w:pPr>
      <w:pStyle w:val="Header"/>
      <w:tabs>
        <w:tab w:val="clear" w:pos="4320"/>
        <w:tab w:val="clear" w:pos="8640"/>
      </w:tabs>
      <w:jc w:val="center"/>
      <w:rPr>
        <w:sz w:val="22"/>
        <w:szCs w:val="22"/>
      </w:rPr>
    </w:pPr>
    <w:r>
      <w:rPr>
        <w:noProof/>
        <w:sz w:val="22"/>
        <w:szCs w:val="22"/>
        <w:bdr w:val="nil"/>
      </w:rPr>
      <w:pict w14:anchorId="29DAC1F6">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8F18214E"/>
    <w:lvl w:ilvl="0" w:tplc="F78E927A">
      <w:start w:val="1"/>
      <w:numFmt w:val="decimal"/>
      <w:lvlText w:val="%1."/>
      <w:lvlJc w:val="left"/>
      <w:pPr>
        <w:tabs>
          <w:tab w:val="num" w:pos="720"/>
        </w:tabs>
        <w:ind w:left="0" w:firstLine="720"/>
      </w:pPr>
      <w:rPr>
        <w:rFonts w:ascii="Cambria" w:hAnsi="Cambria" w:hint="default"/>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15:restartNumberingAfterBreak="0">
    <w:nsid w:val="52543A18"/>
    <w:multiLevelType w:val="multilevel"/>
    <w:tmpl w:val="DE1A21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1"/>
  </w:num>
  <w:num w:numId="4">
    <w:abstractNumId w:val="20"/>
  </w:num>
  <w:num w:numId="5">
    <w:abstractNumId w:val="45"/>
  </w:num>
  <w:num w:numId="6">
    <w:abstractNumId w:val="25"/>
  </w:num>
  <w:num w:numId="7">
    <w:abstractNumId w:val="6"/>
  </w:num>
  <w:num w:numId="8">
    <w:abstractNumId w:val="16"/>
  </w:num>
  <w:num w:numId="9">
    <w:abstractNumId w:val="40"/>
  </w:num>
  <w:num w:numId="10">
    <w:abstractNumId w:val="0"/>
  </w:num>
  <w:num w:numId="11">
    <w:abstractNumId w:val="34"/>
  </w:num>
  <w:num w:numId="12">
    <w:abstractNumId w:val="35"/>
  </w:num>
  <w:num w:numId="13">
    <w:abstractNumId w:val="42"/>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4"/>
  </w:num>
  <w:num w:numId="31">
    <w:abstractNumId w:val="26"/>
  </w:num>
  <w:num w:numId="32">
    <w:abstractNumId w:val="27"/>
  </w:num>
  <w:num w:numId="33">
    <w:abstractNumId w:val="28"/>
  </w:num>
  <w:num w:numId="34">
    <w:abstractNumId w:val="29"/>
  </w:num>
  <w:num w:numId="35">
    <w:abstractNumId w:val="30"/>
  </w:num>
  <w:num w:numId="36">
    <w:abstractNumId w:val="31"/>
  </w:num>
  <w:num w:numId="37">
    <w:abstractNumId w:val="32"/>
  </w:num>
  <w:num w:numId="38">
    <w:abstractNumId w:val="33"/>
  </w:num>
  <w:num w:numId="39">
    <w:abstractNumId w:val="36"/>
  </w:num>
  <w:num w:numId="40">
    <w:abstractNumId w:val="37"/>
  </w:num>
  <w:num w:numId="41">
    <w:abstractNumId w:val="44"/>
  </w:num>
  <w:num w:numId="42">
    <w:abstractNumId w:val="46"/>
  </w:num>
  <w:num w:numId="43">
    <w:abstractNumId w:val="47"/>
  </w:num>
  <w:num w:numId="44">
    <w:abstractNumId w:val="49"/>
  </w:num>
  <w:num w:numId="45">
    <w:abstractNumId w:val="50"/>
  </w:num>
  <w:num w:numId="46">
    <w:abstractNumId w:val="52"/>
  </w:num>
  <w:num w:numId="47">
    <w:abstractNumId w:val="53"/>
  </w:num>
  <w:num w:numId="48">
    <w:abstractNumId w:val="54"/>
  </w:num>
  <w:num w:numId="49">
    <w:abstractNumId w:val="55"/>
  </w:num>
  <w:num w:numId="50">
    <w:abstractNumId w:val="56"/>
  </w:num>
  <w:num w:numId="51">
    <w:abstractNumId w:val="19"/>
  </w:num>
  <w:num w:numId="52">
    <w:abstractNumId w:val="38"/>
  </w:num>
  <w:num w:numId="53">
    <w:abstractNumId w:val="48"/>
  </w:num>
  <w:num w:numId="54">
    <w:abstractNumId w:val="43"/>
  </w:num>
  <w:num w:numId="55">
    <w:abstractNumId w:val="4"/>
  </w:num>
  <w:num w:numId="56">
    <w:abstractNumId w:val="41"/>
  </w:num>
  <w:num w:numId="57">
    <w:abstractNumId w:val="39"/>
  </w:num>
  <w:num w:numId="5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AJiY0MTIwsgx8RCSUcpOLW4ODM/D6TAtBYA4ge8DywAAAA="/>
  </w:docVars>
  <w:rsids>
    <w:rsidRoot w:val="006B2D5C"/>
    <w:rsid w:val="0000036F"/>
    <w:rsid w:val="00000CDA"/>
    <w:rsid w:val="0000576F"/>
    <w:rsid w:val="000065D0"/>
    <w:rsid w:val="00006B74"/>
    <w:rsid w:val="00006E1F"/>
    <w:rsid w:val="000070D7"/>
    <w:rsid w:val="00007FFD"/>
    <w:rsid w:val="000104F5"/>
    <w:rsid w:val="00015701"/>
    <w:rsid w:val="0001788C"/>
    <w:rsid w:val="0002186F"/>
    <w:rsid w:val="000337EF"/>
    <w:rsid w:val="00040C3A"/>
    <w:rsid w:val="000411D0"/>
    <w:rsid w:val="000419AD"/>
    <w:rsid w:val="000446F2"/>
    <w:rsid w:val="00054B08"/>
    <w:rsid w:val="000712B5"/>
    <w:rsid w:val="000716C5"/>
    <w:rsid w:val="00075E23"/>
    <w:rsid w:val="00077815"/>
    <w:rsid w:val="0009006E"/>
    <w:rsid w:val="0009344A"/>
    <w:rsid w:val="000A23C0"/>
    <w:rsid w:val="000A3254"/>
    <w:rsid w:val="000A392E"/>
    <w:rsid w:val="000A575F"/>
    <w:rsid w:val="000B0579"/>
    <w:rsid w:val="000B57C1"/>
    <w:rsid w:val="000B7626"/>
    <w:rsid w:val="000C0B39"/>
    <w:rsid w:val="000C1C69"/>
    <w:rsid w:val="000C4E63"/>
    <w:rsid w:val="000D02F3"/>
    <w:rsid w:val="000D10DB"/>
    <w:rsid w:val="000E2789"/>
    <w:rsid w:val="000E5EB5"/>
    <w:rsid w:val="000F35ED"/>
    <w:rsid w:val="000F3D21"/>
    <w:rsid w:val="00107131"/>
    <w:rsid w:val="0010736F"/>
    <w:rsid w:val="00111A8A"/>
    <w:rsid w:val="00113F73"/>
    <w:rsid w:val="00121CC2"/>
    <w:rsid w:val="00131D8B"/>
    <w:rsid w:val="00133EE5"/>
    <w:rsid w:val="00136E3D"/>
    <w:rsid w:val="001428E2"/>
    <w:rsid w:val="00143EFE"/>
    <w:rsid w:val="0014618A"/>
    <w:rsid w:val="00147039"/>
    <w:rsid w:val="001479C0"/>
    <w:rsid w:val="0015330B"/>
    <w:rsid w:val="00153F4F"/>
    <w:rsid w:val="00167A34"/>
    <w:rsid w:val="00176313"/>
    <w:rsid w:val="00177EEF"/>
    <w:rsid w:val="00182BFB"/>
    <w:rsid w:val="001A7870"/>
    <w:rsid w:val="001B3A00"/>
    <w:rsid w:val="001C1B41"/>
    <w:rsid w:val="001D07FE"/>
    <w:rsid w:val="001D52F4"/>
    <w:rsid w:val="001D65EF"/>
    <w:rsid w:val="001D6CC3"/>
    <w:rsid w:val="001E49E7"/>
    <w:rsid w:val="001F01E9"/>
    <w:rsid w:val="001F0CF0"/>
    <w:rsid w:val="001F112D"/>
    <w:rsid w:val="001F271B"/>
    <w:rsid w:val="001F57B8"/>
    <w:rsid w:val="001F7201"/>
    <w:rsid w:val="00204931"/>
    <w:rsid w:val="002158BD"/>
    <w:rsid w:val="00223A29"/>
    <w:rsid w:val="002250A3"/>
    <w:rsid w:val="002274FD"/>
    <w:rsid w:val="00231294"/>
    <w:rsid w:val="002316E8"/>
    <w:rsid w:val="00235217"/>
    <w:rsid w:val="00246D1F"/>
    <w:rsid w:val="00247403"/>
    <w:rsid w:val="00247542"/>
    <w:rsid w:val="00266B61"/>
    <w:rsid w:val="0026712A"/>
    <w:rsid w:val="002704DB"/>
    <w:rsid w:val="00274539"/>
    <w:rsid w:val="00274A53"/>
    <w:rsid w:val="00277BDA"/>
    <w:rsid w:val="0029575A"/>
    <w:rsid w:val="002A0AAE"/>
    <w:rsid w:val="002A5820"/>
    <w:rsid w:val="002B21AD"/>
    <w:rsid w:val="002C3350"/>
    <w:rsid w:val="002C4C72"/>
    <w:rsid w:val="002D2B26"/>
    <w:rsid w:val="002D7EA2"/>
    <w:rsid w:val="002E187C"/>
    <w:rsid w:val="002E7512"/>
    <w:rsid w:val="00301C04"/>
    <w:rsid w:val="00302040"/>
    <w:rsid w:val="00302733"/>
    <w:rsid w:val="003121D5"/>
    <w:rsid w:val="00314078"/>
    <w:rsid w:val="0031535D"/>
    <w:rsid w:val="003239B8"/>
    <w:rsid w:val="0032648F"/>
    <w:rsid w:val="0033169F"/>
    <w:rsid w:val="0034224A"/>
    <w:rsid w:val="00343438"/>
    <w:rsid w:val="00344977"/>
    <w:rsid w:val="00346C95"/>
    <w:rsid w:val="00347CBB"/>
    <w:rsid w:val="00351155"/>
    <w:rsid w:val="00356185"/>
    <w:rsid w:val="00357CD8"/>
    <w:rsid w:val="00360380"/>
    <w:rsid w:val="00374458"/>
    <w:rsid w:val="0037519E"/>
    <w:rsid w:val="00386C6C"/>
    <w:rsid w:val="00386CF0"/>
    <w:rsid w:val="003A471B"/>
    <w:rsid w:val="003A4956"/>
    <w:rsid w:val="003A6337"/>
    <w:rsid w:val="003B3B8D"/>
    <w:rsid w:val="003B4FF6"/>
    <w:rsid w:val="003B70FB"/>
    <w:rsid w:val="003B73EF"/>
    <w:rsid w:val="003C1ACF"/>
    <w:rsid w:val="003C676B"/>
    <w:rsid w:val="003D0A55"/>
    <w:rsid w:val="003D3BC2"/>
    <w:rsid w:val="003E6CA1"/>
    <w:rsid w:val="003F656A"/>
    <w:rsid w:val="00402247"/>
    <w:rsid w:val="004051C3"/>
    <w:rsid w:val="004065A8"/>
    <w:rsid w:val="004165C2"/>
    <w:rsid w:val="00417165"/>
    <w:rsid w:val="004304AD"/>
    <w:rsid w:val="0043295F"/>
    <w:rsid w:val="00434B93"/>
    <w:rsid w:val="00441ECB"/>
    <w:rsid w:val="00445193"/>
    <w:rsid w:val="00445CBE"/>
    <w:rsid w:val="00447CCF"/>
    <w:rsid w:val="00453E99"/>
    <w:rsid w:val="004565BA"/>
    <w:rsid w:val="00457903"/>
    <w:rsid w:val="00462C1B"/>
    <w:rsid w:val="00467B7E"/>
    <w:rsid w:val="00473BB4"/>
    <w:rsid w:val="00476211"/>
    <w:rsid w:val="00477592"/>
    <w:rsid w:val="00481290"/>
    <w:rsid w:val="00482D33"/>
    <w:rsid w:val="00485FC6"/>
    <w:rsid w:val="00486F1C"/>
    <w:rsid w:val="00493915"/>
    <w:rsid w:val="0049419D"/>
    <w:rsid w:val="004A59CC"/>
    <w:rsid w:val="004A6A54"/>
    <w:rsid w:val="004C20D2"/>
    <w:rsid w:val="004C2312"/>
    <w:rsid w:val="004C4B62"/>
    <w:rsid w:val="004C54C9"/>
    <w:rsid w:val="004C616A"/>
    <w:rsid w:val="004C6D95"/>
    <w:rsid w:val="004D4ABA"/>
    <w:rsid w:val="004D5213"/>
    <w:rsid w:val="004D6025"/>
    <w:rsid w:val="004E19B1"/>
    <w:rsid w:val="004E2649"/>
    <w:rsid w:val="004F17B4"/>
    <w:rsid w:val="004F1851"/>
    <w:rsid w:val="00501399"/>
    <w:rsid w:val="00501652"/>
    <w:rsid w:val="00504AB2"/>
    <w:rsid w:val="0050633D"/>
    <w:rsid w:val="00507BC4"/>
    <w:rsid w:val="005108D8"/>
    <w:rsid w:val="005128E4"/>
    <w:rsid w:val="005133DB"/>
    <w:rsid w:val="00522AF5"/>
    <w:rsid w:val="005244BD"/>
    <w:rsid w:val="00525560"/>
    <w:rsid w:val="005415E6"/>
    <w:rsid w:val="00544216"/>
    <w:rsid w:val="00544C49"/>
    <w:rsid w:val="005516A1"/>
    <w:rsid w:val="00556222"/>
    <w:rsid w:val="00563557"/>
    <w:rsid w:val="0056438C"/>
    <w:rsid w:val="0057402A"/>
    <w:rsid w:val="00574346"/>
    <w:rsid w:val="00574CB7"/>
    <w:rsid w:val="005771D0"/>
    <w:rsid w:val="0058191A"/>
    <w:rsid w:val="0059191A"/>
    <w:rsid w:val="005921FF"/>
    <w:rsid w:val="005A24ED"/>
    <w:rsid w:val="005A6D0E"/>
    <w:rsid w:val="005B1468"/>
    <w:rsid w:val="005B37CC"/>
    <w:rsid w:val="005B52B0"/>
    <w:rsid w:val="005B6806"/>
    <w:rsid w:val="005B6D22"/>
    <w:rsid w:val="005C261A"/>
    <w:rsid w:val="005C4225"/>
    <w:rsid w:val="005C7989"/>
    <w:rsid w:val="005D3A43"/>
    <w:rsid w:val="005E0B65"/>
    <w:rsid w:val="005E11B2"/>
    <w:rsid w:val="005F0DAD"/>
    <w:rsid w:val="005F0F33"/>
    <w:rsid w:val="005F42C3"/>
    <w:rsid w:val="005F4FB7"/>
    <w:rsid w:val="00600DEB"/>
    <w:rsid w:val="006277DE"/>
    <w:rsid w:val="00627C9F"/>
    <w:rsid w:val="006311E9"/>
    <w:rsid w:val="00632354"/>
    <w:rsid w:val="00642810"/>
    <w:rsid w:val="006448A3"/>
    <w:rsid w:val="00647756"/>
    <w:rsid w:val="00650845"/>
    <w:rsid w:val="006509DA"/>
    <w:rsid w:val="00652333"/>
    <w:rsid w:val="0065338D"/>
    <w:rsid w:val="0065630D"/>
    <w:rsid w:val="00665A5F"/>
    <w:rsid w:val="00675141"/>
    <w:rsid w:val="00677B6D"/>
    <w:rsid w:val="0068009E"/>
    <w:rsid w:val="006819E9"/>
    <w:rsid w:val="00686471"/>
    <w:rsid w:val="00691BBE"/>
    <w:rsid w:val="00692219"/>
    <w:rsid w:val="006A17D2"/>
    <w:rsid w:val="006A6686"/>
    <w:rsid w:val="006A73E6"/>
    <w:rsid w:val="006B2D5C"/>
    <w:rsid w:val="006C4EB1"/>
    <w:rsid w:val="006E0166"/>
    <w:rsid w:val="006E7B34"/>
    <w:rsid w:val="00702458"/>
    <w:rsid w:val="0070697F"/>
    <w:rsid w:val="0070754E"/>
    <w:rsid w:val="0072199C"/>
    <w:rsid w:val="00722C9F"/>
    <w:rsid w:val="007253B8"/>
    <w:rsid w:val="0073598C"/>
    <w:rsid w:val="0073741F"/>
    <w:rsid w:val="0074536E"/>
    <w:rsid w:val="00757766"/>
    <w:rsid w:val="007620CF"/>
    <w:rsid w:val="007659E2"/>
    <w:rsid w:val="0076643F"/>
    <w:rsid w:val="00777F63"/>
    <w:rsid w:val="007852B5"/>
    <w:rsid w:val="00791F29"/>
    <w:rsid w:val="007A5817"/>
    <w:rsid w:val="007B05C4"/>
    <w:rsid w:val="007B60E9"/>
    <w:rsid w:val="007B6CC3"/>
    <w:rsid w:val="007C3334"/>
    <w:rsid w:val="007C402A"/>
    <w:rsid w:val="007C4925"/>
    <w:rsid w:val="007D2B98"/>
    <w:rsid w:val="007D3980"/>
    <w:rsid w:val="007D4EF3"/>
    <w:rsid w:val="007D64B7"/>
    <w:rsid w:val="007D7C02"/>
    <w:rsid w:val="007E21BC"/>
    <w:rsid w:val="007E3D77"/>
    <w:rsid w:val="007E58FE"/>
    <w:rsid w:val="007E7C82"/>
    <w:rsid w:val="007F4BE4"/>
    <w:rsid w:val="007F588D"/>
    <w:rsid w:val="007F65CC"/>
    <w:rsid w:val="00802748"/>
    <w:rsid w:val="008031BA"/>
    <w:rsid w:val="00803F1C"/>
    <w:rsid w:val="0080600E"/>
    <w:rsid w:val="00811569"/>
    <w:rsid w:val="00817612"/>
    <w:rsid w:val="00823D62"/>
    <w:rsid w:val="00832BF7"/>
    <w:rsid w:val="008338A4"/>
    <w:rsid w:val="00834D49"/>
    <w:rsid w:val="00837C45"/>
    <w:rsid w:val="008411F0"/>
    <w:rsid w:val="00844730"/>
    <w:rsid w:val="008457C2"/>
    <w:rsid w:val="00846490"/>
    <w:rsid w:val="00853A49"/>
    <w:rsid w:val="00857A82"/>
    <w:rsid w:val="0086440F"/>
    <w:rsid w:val="00871526"/>
    <w:rsid w:val="00873836"/>
    <w:rsid w:val="00882299"/>
    <w:rsid w:val="00885737"/>
    <w:rsid w:val="00890650"/>
    <w:rsid w:val="00897E12"/>
    <w:rsid w:val="008A0F81"/>
    <w:rsid w:val="008A1F28"/>
    <w:rsid w:val="008A7E0F"/>
    <w:rsid w:val="008B12F5"/>
    <w:rsid w:val="008B5932"/>
    <w:rsid w:val="008C5751"/>
    <w:rsid w:val="008C58CB"/>
    <w:rsid w:val="008D768D"/>
    <w:rsid w:val="008E328A"/>
    <w:rsid w:val="008E3759"/>
    <w:rsid w:val="008E3BFE"/>
    <w:rsid w:val="008E7900"/>
    <w:rsid w:val="008F1912"/>
    <w:rsid w:val="0090270B"/>
    <w:rsid w:val="009041DC"/>
    <w:rsid w:val="009068D5"/>
    <w:rsid w:val="00917B5A"/>
    <w:rsid w:val="00920A58"/>
    <w:rsid w:val="00920A8C"/>
    <w:rsid w:val="00923529"/>
    <w:rsid w:val="00927D84"/>
    <w:rsid w:val="00932AD7"/>
    <w:rsid w:val="00934A2C"/>
    <w:rsid w:val="00935F06"/>
    <w:rsid w:val="009371B8"/>
    <w:rsid w:val="00937B3A"/>
    <w:rsid w:val="00937D3B"/>
    <w:rsid w:val="00954B82"/>
    <w:rsid w:val="009607CA"/>
    <w:rsid w:val="00962436"/>
    <w:rsid w:val="00963445"/>
    <w:rsid w:val="0096706E"/>
    <w:rsid w:val="00974410"/>
    <w:rsid w:val="00974491"/>
    <w:rsid w:val="00975C4E"/>
    <w:rsid w:val="00981CB4"/>
    <w:rsid w:val="00981FBA"/>
    <w:rsid w:val="00986FA9"/>
    <w:rsid w:val="00997BC5"/>
    <w:rsid w:val="009A4F41"/>
    <w:rsid w:val="009A5176"/>
    <w:rsid w:val="009A613D"/>
    <w:rsid w:val="009B381B"/>
    <w:rsid w:val="009B7A11"/>
    <w:rsid w:val="009C2FC5"/>
    <w:rsid w:val="009D1753"/>
    <w:rsid w:val="009D6502"/>
    <w:rsid w:val="009D7611"/>
    <w:rsid w:val="009D78A5"/>
    <w:rsid w:val="009D7E5A"/>
    <w:rsid w:val="009E0B61"/>
    <w:rsid w:val="009E2DF4"/>
    <w:rsid w:val="009E53DE"/>
    <w:rsid w:val="009E7C00"/>
    <w:rsid w:val="009F0D02"/>
    <w:rsid w:val="009F0F6F"/>
    <w:rsid w:val="009F4973"/>
    <w:rsid w:val="009F5A3B"/>
    <w:rsid w:val="00A00A1E"/>
    <w:rsid w:val="00A03FE1"/>
    <w:rsid w:val="00A0691C"/>
    <w:rsid w:val="00A070F7"/>
    <w:rsid w:val="00A11E44"/>
    <w:rsid w:val="00A22397"/>
    <w:rsid w:val="00A328B3"/>
    <w:rsid w:val="00A4210C"/>
    <w:rsid w:val="00A50FCF"/>
    <w:rsid w:val="00A528D1"/>
    <w:rsid w:val="00A52B82"/>
    <w:rsid w:val="00A610CD"/>
    <w:rsid w:val="00A625E0"/>
    <w:rsid w:val="00A74947"/>
    <w:rsid w:val="00A758AA"/>
    <w:rsid w:val="00A82457"/>
    <w:rsid w:val="00A84893"/>
    <w:rsid w:val="00A863F6"/>
    <w:rsid w:val="00AA09A2"/>
    <w:rsid w:val="00AA7996"/>
    <w:rsid w:val="00AC19CB"/>
    <w:rsid w:val="00AC6213"/>
    <w:rsid w:val="00AC6EE7"/>
    <w:rsid w:val="00AD1886"/>
    <w:rsid w:val="00AD43C7"/>
    <w:rsid w:val="00AD4E3B"/>
    <w:rsid w:val="00AE5488"/>
    <w:rsid w:val="00AE6F91"/>
    <w:rsid w:val="00AF5571"/>
    <w:rsid w:val="00B02A25"/>
    <w:rsid w:val="00B06B4E"/>
    <w:rsid w:val="00B07341"/>
    <w:rsid w:val="00B202B5"/>
    <w:rsid w:val="00B21DC0"/>
    <w:rsid w:val="00B277CE"/>
    <w:rsid w:val="00B30539"/>
    <w:rsid w:val="00B314DB"/>
    <w:rsid w:val="00B32F5D"/>
    <w:rsid w:val="00B3434E"/>
    <w:rsid w:val="00B361F2"/>
    <w:rsid w:val="00B3718B"/>
    <w:rsid w:val="00B429F4"/>
    <w:rsid w:val="00B4632A"/>
    <w:rsid w:val="00B5067D"/>
    <w:rsid w:val="00B530F1"/>
    <w:rsid w:val="00B736AF"/>
    <w:rsid w:val="00B811E0"/>
    <w:rsid w:val="00B974A1"/>
    <w:rsid w:val="00B97946"/>
    <w:rsid w:val="00BA276C"/>
    <w:rsid w:val="00BA5544"/>
    <w:rsid w:val="00BB306F"/>
    <w:rsid w:val="00BB3FBD"/>
    <w:rsid w:val="00BC258C"/>
    <w:rsid w:val="00BC6CD0"/>
    <w:rsid w:val="00BC7AD7"/>
    <w:rsid w:val="00BD4B89"/>
    <w:rsid w:val="00BD5922"/>
    <w:rsid w:val="00BD76D9"/>
    <w:rsid w:val="00BF02CB"/>
    <w:rsid w:val="00BF12BD"/>
    <w:rsid w:val="00BF514A"/>
    <w:rsid w:val="00BF6FD8"/>
    <w:rsid w:val="00BF775D"/>
    <w:rsid w:val="00C03680"/>
    <w:rsid w:val="00C054DF"/>
    <w:rsid w:val="00C10AFC"/>
    <w:rsid w:val="00C21562"/>
    <w:rsid w:val="00C21762"/>
    <w:rsid w:val="00C21FEF"/>
    <w:rsid w:val="00C23DDF"/>
    <w:rsid w:val="00C24543"/>
    <w:rsid w:val="00C256A2"/>
    <w:rsid w:val="00C35A26"/>
    <w:rsid w:val="00C4038C"/>
    <w:rsid w:val="00C51515"/>
    <w:rsid w:val="00C53910"/>
    <w:rsid w:val="00C5660B"/>
    <w:rsid w:val="00C56854"/>
    <w:rsid w:val="00C5788A"/>
    <w:rsid w:val="00C57B6A"/>
    <w:rsid w:val="00C654B1"/>
    <w:rsid w:val="00C66B72"/>
    <w:rsid w:val="00C81B76"/>
    <w:rsid w:val="00C87AC4"/>
    <w:rsid w:val="00C92863"/>
    <w:rsid w:val="00C93585"/>
    <w:rsid w:val="00C9567A"/>
    <w:rsid w:val="00CA48A3"/>
    <w:rsid w:val="00CB0C33"/>
    <w:rsid w:val="00CB212D"/>
    <w:rsid w:val="00CB2660"/>
    <w:rsid w:val="00CB3F9B"/>
    <w:rsid w:val="00CC5E90"/>
    <w:rsid w:val="00CD046C"/>
    <w:rsid w:val="00CD0AB2"/>
    <w:rsid w:val="00CE076C"/>
    <w:rsid w:val="00CE5199"/>
    <w:rsid w:val="00CE66D5"/>
    <w:rsid w:val="00CF3330"/>
    <w:rsid w:val="00CF637A"/>
    <w:rsid w:val="00D059DE"/>
    <w:rsid w:val="00D05ABD"/>
    <w:rsid w:val="00D13FCE"/>
    <w:rsid w:val="00D306D1"/>
    <w:rsid w:val="00D30800"/>
    <w:rsid w:val="00D323D2"/>
    <w:rsid w:val="00D34786"/>
    <w:rsid w:val="00D37BFC"/>
    <w:rsid w:val="00D42822"/>
    <w:rsid w:val="00D47A8E"/>
    <w:rsid w:val="00D52D14"/>
    <w:rsid w:val="00D55256"/>
    <w:rsid w:val="00D578A8"/>
    <w:rsid w:val="00D712D3"/>
    <w:rsid w:val="00D71422"/>
    <w:rsid w:val="00D72DC6"/>
    <w:rsid w:val="00D73F5E"/>
    <w:rsid w:val="00D7558D"/>
    <w:rsid w:val="00D77503"/>
    <w:rsid w:val="00D80EA5"/>
    <w:rsid w:val="00D81D92"/>
    <w:rsid w:val="00D826B6"/>
    <w:rsid w:val="00D83C4F"/>
    <w:rsid w:val="00D876F9"/>
    <w:rsid w:val="00D877B6"/>
    <w:rsid w:val="00DA681E"/>
    <w:rsid w:val="00DA7B5F"/>
    <w:rsid w:val="00DC11E7"/>
    <w:rsid w:val="00DC7023"/>
    <w:rsid w:val="00DC769A"/>
    <w:rsid w:val="00DD061E"/>
    <w:rsid w:val="00DD3D86"/>
    <w:rsid w:val="00DE12F0"/>
    <w:rsid w:val="00DE230A"/>
    <w:rsid w:val="00DE291E"/>
    <w:rsid w:val="00DF1EC4"/>
    <w:rsid w:val="00DF56A6"/>
    <w:rsid w:val="00E01943"/>
    <w:rsid w:val="00E0340B"/>
    <w:rsid w:val="00E04A90"/>
    <w:rsid w:val="00E0551F"/>
    <w:rsid w:val="00E150C1"/>
    <w:rsid w:val="00E17791"/>
    <w:rsid w:val="00E219C7"/>
    <w:rsid w:val="00E269CA"/>
    <w:rsid w:val="00E26CCA"/>
    <w:rsid w:val="00E325EE"/>
    <w:rsid w:val="00E4118C"/>
    <w:rsid w:val="00E43157"/>
    <w:rsid w:val="00E461CE"/>
    <w:rsid w:val="00E4645A"/>
    <w:rsid w:val="00E5019B"/>
    <w:rsid w:val="00E538CA"/>
    <w:rsid w:val="00E53D84"/>
    <w:rsid w:val="00E57874"/>
    <w:rsid w:val="00E720CA"/>
    <w:rsid w:val="00E760FA"/>
    <w:rsid w:val="00E80993"/>
    <w:rsid w:val="00E84772"/>
    <w:rsid w:val="00E84EB5"/>
    <w:rsid w:val="00E85662"/>
    <w:rsid w:val="00E8789F"/>
    <w:rsid w:val="00E97B71"/>
    <w:rsid w:val="00EA3D34"/>
    <w:rsid w:val="00EA5D26"/>
    <w:rsid w:val="00EB15A3"/>
    <w:rsid w:val="00EB454D"/>
    <w:rsid w:val="00EB5185"/>
    <w:rsid w:val="00EB7210"/>
    <w:rsid w:val="00EC72AB"/>
    <w:rsid w:val="00ED2F03"/>
    <w:rsid w:val="00ED549D"/>
    <w:rsid w:val="00ED6F4A"/>
    <w:rsid w:val="00ED76BE"/>
    <w:rsid w:val="00ED7F05"/>
    <w:rsid w:val="00EE00E9"/>
    <w:rsid w:val="00EE014D"/>
    <w:rsid w:val="00EE2573"/>
    <w:rsid w:val="00EF35AB"/>
    <w:rsid w:val="00EF4C44"/>
    <w:rsid w:val="00EF59EB"/>
    <w:rsid w:val="00EF619B"/>
    <w:rsid w:val="00F00B55"/>
    <w:rsid w:val="00F02AD1"/>
    <w:rsid w:val="00F04591"/>
    <w:rsid w:val="00F06354"/>
    <w:rsid w:val="00F14CED"/>
    <w:rsid w:val="00F24F69"/>
    <w:rsid w:val="00F253CC"/>
    <w:rsid w:val="00F332EF"/>
    <w:rsid w:val="00F37106"/>
    <w:rsid w:val="00F43B9C"/>
    <w:rsid w:val="00F519CF"/>
    <w:rsid w:val="00F56BA5"/>
    <w:rsid w:val="00F60E22"/>
    <w:rsid w:val="00F63B39"/>
    <w:rsid w:val="00F81395"/>
    <w:rsid w:val="00F81887"/>
    <w:rsid w:val="00F81BB8"/>
    <w:rsid w:val="00F917D1"/>
    <w:rsid w:val="00F9342C"/>
    <w:rsid w:val="00F9653B"/>
    <w:rsid w:val="00F97A6B"/>
    <w:rsid w:val="00FA56EA"/>
    <w:rsid w:val="00FB4612"/>
    <w:rsid w:val="00FB62CF"/>
    <w:rsid w:val="00FC0F4A"/>
    <w:rsid w:val="00FC12D6"/>
    <w:rsid w:val="00FC3330"/>
    <w:rsid w:val="00FC5B39"/>
    <w:rsid w:val="00FC7EB2"/>
    <w:rsid w:val="00FD3C3B"/>
    <w:rsid w:val="00FE07DD"/>
    <w:rsid w:val="00FE6B45"/>
    <w:rsid w:val="00FF2823"/>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352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table" w:customStyle="1" w:styleId="TableGrid1">
    <w:name w:val="Table Grid1"/>
    <w:basedOn w:val="TableNormal"/>
    <w:next w:val="TableGrid"/>
    <w:uiPriority w:val="59"/>
    <w:rsid w:val="002B21AD"/>
    <w:pPr>
      <w:pBdr>
        <w:top w:val="none" w:sz="96" w:space="31" w:color="FFFFFF" w:shadow="1" w:frame="1"/>
        <w:left w:val="none" w:sz="96" w:space="31" w:color="FFFFFF" w:shadow="1" w:frame="1"/>
        <w:bottom w:val="none" w:sz="96" w:space="31" w:color="FFFFFF" w:shadow="1" w:frame="1"/>
        <w:right w:val="none" w:sz="96" w:space="31" w:color="FFFFFF" w:shadow="1" w:frame="1"/>
        <w:between w:val="none" w:sz="0" w:space="0" w:color="auto"/>
        <w:bar w:val="none" w:sz="0" w:color="auto"/>
      </w:pBdr>
    </w:pPr>
    <w:rPr>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91F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086420230">
      <w:bodyDiv w:val="1"/>
      <w:marLeft w:val="0"/>
      <w:marRight w:val="0"/>
      <w:marTop w:val="0"/>
      <w:marBottom w:val="0"/>
      <w:divBdr>
        <w:top w:val="none" w:sz="0" w:space="0" w:color="auto"/>
        <w:left w:val="none" w:sz="0" w:space="0" w:color="auto"/>
        <w:bottom w:val="none" w:sz="0" w:space="0" w:color="auto"/>
        <w:right w:val="none" w:sz="0" w:space="0" w:color="auto"/>
      </w:divBdr>
    </w:div>
    <w:div w:id="1330015602">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0.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g"/><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FA81F-FB98-4BA9-BA88-E6332A7B3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3250</Words>
  <Characters>17261</Characters>
  <Application>Microsoft Office Word</Application>
  <DocSecurity>0</DocSecurity>
  <Lines>308</Lines>
  <Paragraphs>70</Paragraphs>
  <ScaleCrop>false</ScaleCrop>
  <Company/>
  <LinksUpToDate>false</LinksUpToDate>
  <CharactersWithSpaces>20441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382/20</dc:title>
  <dc:creator/>
  <cp:lastModifiedBy/>
  <cp:revision>1</cp:revision>
  <dcterms:created xsi:type="dcterms:W3CDTF">2022-04-05T16:36:00Z</dcterms:created>
  <dcterms:modified xsi:type="dcterms:W3CDTF">2022-04-05T16:37:00Z</dcterms:modified>
</cp:coreProperties>
</file>