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874C4" w:rsidRDefault="001C19BA" w:rsidP="001E4D7D">
      <w:pPr>
        <w:jc w:val="both"/>
        <w:rPr>
          <w:rFonts w:asciiTheme="majorHAnsi" w:hAnsiTheme="majorHAnsi" w:cs="Univers"/>
          <w:b/>
          <w:bCs/>
          <w:sz w:val="20"/>
          <w:szCs w:val="20"/>
          <w:lang w:val="es-ES_tradnl"/>
        </w:rPr>
      </w:pPr>
      <w:r w:rsidRPr="00D874C4">
        <w:rPr>
          <w:rFonts w:asciiTheme="majorHAnsi" w:hAnsiTheme="majorHAnsi"/>
          <w:noProof/>
          <w:sz w:val="20"/>
          <w:szCs w:val="20"/>
        </w:rPr>
        <mc:AlternateContent>
          <mc:Choice Requires="wps">
            <w:drawing>
              <wp:anchor distT="0" distB="0" distL="114300" distR="114300" simplePos="0" relativeHeight="251661311"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8563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LbpQIAAJ8FAAAOAAAAZHJzL2Uyb0RvYy54bWysVEtv2zAMvg/YfxB0X+ykadMadYogXYYB&#10;QVu0HXpWZCk2JouapMTJfv0o+dGsK3YY5oNgih8/PkTy+uZQK7IX1lWgczoepZQIzaGo9Dan355X&#10;ny4pcZ7pginQIqdH4ejN/OOH68ZkYgIlqEJYgiTaZY3Jaem9yZLE8VLUzI3ACI1KCbZmHkW7TQrL&#10;GmSvVTJJ04ukAVsYC1w4h7e3rZLOI7+Ugvt7KZ3wROUUY/PxtPHchDOZX7Nsa5kpK96Fwf4hippV&#10;Gp0OVLfMM7Kz1R9UdcUtOJB+xKFOQMqKi5gDZjNO32TzVDIjYi5YHGeGMrn/R8vv9g+WVAW+HSWa&#10;1fhEj1g0prdKkHEoT2Nchqgn82BDgs6sgX93qEh+0wTBdZiDtHXAYnrkEGt9HGotDp5wvBxP06tZ&#10;ik/CUXd5NZtdnMXXSFjWmxvr/BcBNQk/ObUYV6wx26+dDwGwrIfEyEBVxapSKgp2u1kqS/YMH/5i&#10;tvh8tgzJoIk7hSkdwBqCWasONzGzNpmYlj8qEXBKPwqJxcLwJzGS2KZi8MM4F9qPW1XJCtG6P0/x&#10;672Hxg4WMZZIGJgl+h+4O4Ie2ZL03G2UHT6Yitjlg3H6t8Ba48EiegbtB+O60mDfI1CYVee5xfdF&#10;aksTqrSB4oitZKGdMWf4qsJ3WzPnH5jFocK3xkXh7/GQCpqcQvdHSQn253v3AY+9jlpKGhzSnLof&#10;O2YFJeqrxim4Gk+nYaqjMD2fTVCwp5rNqUbv6iVgO2CnY3TxN+C96n+lhfoF98kieEUV0xx955R7&#10;2wtL3y4P3EhcLBYRhpNsmF/rJ8MDeahq6Mvnwwuzpmtej31/B/1As+xND7fYYKlhsfMgq9jgr3Xt&#10;6o1bIDZOt7HCmjmVI+p1r85/AQAA//8DAFBLAwQUAAYACAAAACEALJTF498AAAAMAQAADwAAAGRy&#10;cy9kb3ducmV2LnhtbEyPwU7DMBBE70j8g7VIXKrWocgB0jhVVZVTT3X5ACfZJhHxOoqdNvw92xPc&#10;ZndGs2/z7ex6ccUxdJ40vKwSEEiVrztqNHydP5fvIEK0VNveE2r4wQDb4vEht1ntb3TCq4mN4BIK&#10;mdXQxjhkUoaqRWfDyg9I7F386GzkcWxkPdobl7terpMklc52xBdaO+C+xerbTE4DnnZ7+jgOi+mo&#10;yoNRC2PaQ6f189O824CIOMe/MNzxGR0KZir9RHUQvYZlqhRHWah0DeKeUClvShav6i0FWeTy/xPF&#10;LwAAAP//AwBQSwECLQAUAAYACAAAACEAtoM4kv4AAADhAQAAEwAAAAAAAAAAAAAAAAAAAAAAW0Nv&#10;bnRlbnRfVHlwZXNdLnhtbFBLAQItABQABgAIAAAAIQA4/SH/1gAAAJQBAAALAAAAAAAAAAAAAAAA&#10;AC8BAABfcmVscy8ucmVsc1BLAQItABQABgAIAAAAIQCqfHLbpQIAAJ8FAAAOAAAAAAAAAAAAAAAA&#10;AC4CAABkcnMvZTJvRG9jLnhtbFBLAQItABQABgAIAAAAIQAslMXj3wAAAAwBAAAPAAAAAAAAAAAA&#10;AAAAAP8EAABkcnMvZG93bnJldi54bWxQSwUGAAAAAAQABADzAAAACwYAAAAA&#10;" fillcolor="#67ae3c" stroked="f" strokeweight="2pt">
                <v:path arrowok="t"/>
              </v:rect>
            </w:pict>
          </mc:Fallback>
        </mc:AlternateContent>
      </w:r>
      <w:r w:rsidRPr="00D874C4">
        <w:rPr>
          <w:rFonts w:asciiTheme="majorHAnsi" w:hAnsiTheme="majorHAnsi"/>
          <w:noProof/>
          <w:sz w:val="20"/>
          <w:szCs w:val="20"/>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2F9" w:rsidRDefault="006232F9">
                            <w:r>
                              <w:rPr>
                                <w:noProof/>
                              </w:rPr>
                              <w:drawing>
                                <wp:inline distT="0" distB="0" distL="0" distR="0">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rsidR="006232F9" w:rsidRDefault="006232F9">
                      <w:r>
                        <w:rPr>
                          <w:noProof/>
                        </w:rPr>
                        <w:drawing>
                          <wp:inline distT="0" distB="0" distL="0" distR="0">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D874C4" w:rsidRDefault="00040C3A" w:rsidP="00040C3A">
      <w:pPr>
        <w:tabs>
          <w:tab w:val="center" w:pos="5400"/>
        </w:tabs>
        <w:suppressAutoHyphens/>
        <w:jc w:val="both"/>
        <w:rPr>
          <w:rFonts w:asciiTheme="majorHAnsi" w:hAnsiTheme="majorHAnsi"/>
          <w:sz w:val="20"/>
          <w:szCs w:val="20"/>
          <w:lang w:val="es-ES"/>
        </w:rPr>
      </w:pPr>
    </w:p>
    <w:p w:rsidR="00040C3A" w:rsidRPr="00D874C4" w:rsidRDefault="00040C3A" w:rsidP="00040C3A">
      <w:pPr>
        <w:tabs>
          <w:tab w:val="center" w:pos="5400"/>
        </w:tabs>
        <w:suppressAutoHyphens/>
        <w:jc w:val="both"/>
        <w:rPr>
          <w:rFonts w:asciiTheme="majorHAnsi" w:hAnsiTheme="majorHAnsi"/>
          <w:sz w:val="20"/>
          <w:szCs w:val="20"/>
          <w:lang w:val="es-ES"/>
        </w:rPr>
      </w:pPr>
    </w:p>
    <w:p w:rsidR="005128E4" w:rsidRPr="00D874C4" w:rsidRDefault="005128E4" w:rsidP="00040C3A">
      <w:pPr>
        <w:tabs>
          <w:tab w:val="center" w:pos="5400"/>
        </w:tabs>
        <w:suppressAutoHyphens/>
        <w:rPr>
          <w:rFonts w:asciiTheme="majorHAnsi" w:hAnsiTheme="majorHAnsi"/>
          <w:sz w:val="20"/>
          <w:szCs w:val="20"/>
          <w:lang w:val="es-ES_tradnl"/>
        </w:rPr>
      </w:pPr>
    </w:p>
    <w:p w:rsidR="005128E4" w:rsidRPr="00D874C4" w:rsidRDefault="005128E4" w:rsidP="00040C3A">
      <w:pPr>
        <w:tabs>
          <w:tab w:val="center" w:pos="5400"/>
        </w:tabs>
        <w:suppressAutoHyphens/>
        <w:rPr>
          <w:rFonts w:asciiTheme="majorHAnsi" w:hAnsiTheme="majorHAnsi"/>
          <w:sz w:val="20"/>
          <w:szCs w:val="20"/>
          <w:lang w:val="es-ES_tradnl"/>
        </w:rPr>
      </w:pPr>
    </w:p>
    <w:p w:rsidR="005128E4" w:rsidRPr="00D874C4" w:rsidRDefault="005128E4" w:rsidP="00040C3A">
      <w:pPr>
        <w:tabs>
          <w:tab w:val="center" w:pos="5400"/>
        </w:tabs>
        <w:suppressAutoHyphens/>
        <w:rPr>
          <w:rFonts w:asciiTheme="majorHAnsi" w:hAnsiTheme="majorHAnsi"/>
          <w:sz w:val="20"/>
          <w:szCs w:val="20"/>
          <w:lang w:val="es-ES_tradnl"/>
        </w:rPr>
      </w:pPr>
    </w:p>
    <w:p w:rsidR="00040C3A" w:rsidRPr="00D874C4" w:rsidRDefault="00040C3A" w:rsidP="005128E4">
      <w:pPr>
        <w:tabs>
          <w:tab w:val="center" w:pos="5400"/>
        </w:tabs>
        <w:suppressAutoHyphens/>
        <w:jc w:val="center"/>
        <w:rPr>
          <w:rFonts w:asciiTheme="majorHAnsi" w:hAnsiTheme="majorHAnsi"/>
          <w:sz w:val="20"/>
          <w:szCs w:val="20"/>
          <w:lang w:val="es-ES_tradnl"/>
        </w:rPr>
      </w:pPr>
    </w:p>
    <w:p w:rsidR="00040C3A" w:rsidRPr="00D874C4" w:rsidRDefault="001C19BA" w:rsidP="005128E4">
      <w:pPr>
        <w:tabs>
          <w:tab w:val="center" w:pos="5400"/>
        </w:tabs>
        <w:suppressAutoHyphens/>
        <w:jc w:val="center"/>
        <w:rPr>
          <w:rFonts w:asciiTheme="majorHAnsi" w:hAnsiTheme="majorHAnsi"/>
          <w:sz w:val="20"/>
          <w:szCs w:val="20"/>
          <w:lang w:val="es-ES_tradnl"/>
        </w:rPr>
      </w:pPr>
      <w:r w:rsidRPr="00D874C4">
        <w:rPr>
          <w:rFonts w:asciiTheme="majorHAnsi" w:hAnsiTheme="majorHAnsi"/>
          <w:noProof/>
          <w:sz w:val="20"/>
          <w:szCs w:val="20"/>
        </w:rPr>
        <mc:AlternateContent>
          <mc:Choice Requires="wps">
            <w:drawing>
              <wp:anchor distT="0" distB="0" distL="114300" distR="114300" simplePos="0" relativeHeight="251657216" behindDoc="0" locked="0" layoutInCell="1" allowOverlap="1">
                <wp:simplePos x="0" y="0"/>
                <wp:positionH relativeFrom="column">
                  <wp:posOffset>1160145</wp:posOffset>
                </wp:positionH>
                <wp:positionV relativeFrom="paragraph">
                  <wp:posOffset>88900</wp:posOffset>
                </wp:positionV>
                <wp:extent cx="4333875" cy="3677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367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2F9" w:rsidRDefault="006232F9" w:rsidP="004B7EB6">
                            <w:pPr>
                              <w:spacing w:line="276" w:lineRule="auto"/>
                              <w:rPr>
                                <w:rFonts w:asciiTheme="majorHAnsi" w:hAnsiTheme="majorHAnsi" w:cs="Arial"/>
                                <w:b/>
                                <w:bCs/>
                                <w:color w:val="0D0D0D" w:themeColor="text1" w:themeTint="F2"/>
                                <w:sz w:val="36"/>
                                <w:szCs w:val="40"/>
                              </w:rPr>
                            </w:pPr>
                          </w:p>
                          <w:p w:rsidR="006232F9" w:rsidRDefault="006232F9" w:rsidP="004B7EB6">
                            <w:pPr>
                              <w:spacing w:line="276" w:lineRule="auto"/>
                              <w:rPr>
                                <w:rFonts w:asciiTheme="majorHAnsi" w:hAnsiTheme="majorHAnsi" w:cs="Arial"/>
                                <w:b/>
                                <w:bCs/>
                                <w:color w:val="0D0D0D" w:themeColor="text1" w:themeTint="F2"/>
                                <w:sz w:val="36"/>
                                <w:szCs w:val="40"/>
                              </w:rPr>
                            </w:pPr>
                          </w:p>
                          <w:p w:rsidR="006232F9" w:rsidRDefault="006232F9" w:rsidP="004B7EB6">
                            <w:pPr>
                              <w:spacing w:line="276" w:lineRule="auto"/>
                              <w:rPr>
                                <w:rFonts w:asciiTheme="majorHAnsi" w:hAnsiTheme="majorHAnsi" w:cs="Arial"/>
                                <w:b/>
                                <w:bCs/>
                                <w:color w:val="0D0D0D" w:themeColor="text1" w:themeTint="F2"/>
                                <w:sz w:val="36"/>
                                <w:szCs w:val="40"/>
                              </w:rPr>
                            </w:pPr>
                          </w:p>
                          <w:p w:rsidR="006232F9" w:rsidRPr="004B7EB6" w:rsidRDefault="006232F9"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211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6232F9" w:rsidRPr="004B7EB6" w:rsidRDefault="006232F9"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13.570</w:t>
                            </w:r>
                          </w:p>
                          <w:p w:rsidR="006232F9" w:rsidRPr="004B7EB6" w:rsidRDefault="006232F9" w:rsidP="00F45EBF">
                            <w:pPr>
                              <w:spacing w:line="276" w:lineRule="auto"/>
                              <w:rPr>
                                <w:rFonts w:asciiTheme="majorHAnsi" w:hAnsiTheme="majorHAnsi" w:cs="Arial"/>
                                <w:color w:val="0D0D0D" w:themeColor="text1" w:themeTint="F2"/>
                                <w:szCs w:val="22"/>
                              </w:rPr>
                            </w:pPr>
                            <w:r w:rsidRPr="003676F1">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(PUBLICATION)</w:t>
                            </w:r>
                            <w:r w:rsidRPr="004B7EB6">
                              <w:rPr>
                                <w:rFonts w:asciiTheme="majorHAnsi" w:hAnsiTheme="majorHAnsi" w:cs="Arial"/>
                                <w:color w:val="0D0D0D" w:themeColor="text1" w:themeTint="F2"/>
                                <w:szCs w:val="22"/>
                              </w:rPr>
                              <w:t xml:space="preserve"> </w:t>
                            </w:r>
                          </w:p>
                          <w:p w:rsidR="006232F9" w:rsidRPr="004B7EB6" w:rsidRDefault="006232F9" w:rsidP="004B7EB6">
                            <w:pPr>
                              <w:spacing w:line="276" w:lineRule="auto"/>
                              <w:rPr>
                                <w:rFonts w:asciiTheme="majorHAnsi" w:hAnsiTheme="majorHAnsi" w:cs="Arial"/>
                                <w:color w:val="0D0D0D" w:themeColor="text1" w:themeTint="F2"/>
                                <w:szCs w:val="22"/>
                              </w:rPr>
                            </w:pPr>
                          </w:p>
                          <w:p w:rsidR="006232F9" w:rsidRPr="00444596" w:rsidRDefault="006232F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LEZMOND C. MITCHELL</w:t>
                            </w:r>
                          </w:p>
                          <w:p w:rsidR="006232F9" w:rsidRDefault="006232F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rsidR="006232F9" w:rsidRPr="00E57833" w:rsidRDefault="006232F9" w:rsidP="008D2EA5">
                            <w:pPr>
                              <w:spacing w:line="276" w:lineRule="auto"/>
                              <w:jc w:val="both"/>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1.35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iljgIAAIMFAAAOAAAAZHJzL2Uyb0RvYy54bWysVFtP2zAUfp+0/2D5faRXClFT1IGYJlWA&#10;BhPPrmPTCNvHs90m3a/n2Enaiu2FaS+O4/Od+3fO/KrRiuyE8xWYgg7PBpQIw6GszEtBfz7dfrmg&#10;xAdmSqbAiILuhadXi8+f5rXNxQg2oErhCBoxPq9tQTch2DzLPN8IzfwZWGFQKMFpFvDXvWSlYzVa&#10;1yobDQbnWQ2utA648B5fb1ohXST7Ugoe7qX0IhBVUIwtpNOlcx3PbDFn+YtjdlPxLgz2D1FoVhl0&#10;ejB1wwIjW1f9YUpX3IEHGc446AykrLhIOWA2w8G7bB43zIqUCxbH20OZ/P8zy+92D45UZUGnlBim&#10;sUVPognkKzRkGqtTW58j6NEiLDT4jF1OmXq7Av7qEZKdYFoFj+hYjUY6Hb+YJ0FFbMD+UPTohePj&#10;ZDweX8zQO0fZ+Hw2uxyltmRHdet8+CZAk3gpqMOuphDYbuVDDIDlPSR6M3BbKZU6qwypC3o+ng6S&#10;wkGCGspErEgc6czEPNrQ0y3slYgYZX4IiTVKGcSHxE5xrRzZMeQV41yYMIzVSnYRHVESg/iIYoc/&#10;RvUR5TaP3jOYcFDWlQHXdiwO1THs8rUPWbb4rpO+zTuWIDTrJpEjIePLGso9MsFBO0ne8tsKm7Ji&#10;Pjwwh6ODPcZ1EO7xkAqw+NDdKNmA+/2394hHRqOUkhpHsaD+15Y5QYn6bpDrl8PJJM5u+plMZ8gP&#10;4k4l61OJ2eprwK4McfFYnq4RH1R/lQ70M26NZfSKImY4+i5o6K/XoV0QuHW4WC4TCKfVsrAyj5b3&#10;AxAp99Q8M2c7Xgak9B30Q8vyd/RssbG9BpbbALJK3D1Wtas/TnoiUreV4io5/U+o4+5cvAEAAP//&#10;AwBQSwMEFAAGAAgAAAAhACLxh7rgAAAACgEAAA8AAABkcnMvZG93bnJldi54bWxMj8tOwzAQRfdI&#10;/IM1SOyoQ6BtCHGqCsEGCVWUSlV309jEgXgcbLcNf8+wgt1czdF9VIvR9eJoQuw8KbieZCAMNV53&#10;1CrYvD1dFSBiQtLYezIKvk2ERX1+VmGp/YlezXGdWsEmFEtUYFMaSiljY43DOPGDIf69++AwsQyt&#10;1AFPbO56mWfZTDrsiBMsDubBmuZzfXAK5sVO24/wPG62L8svuxpk/4hSqcuLcXkPIpkx/cHwW5+r&#10;Q82d9v5AOoqedZHPGeXjljcxUMymOYi9gundTQ6yruT/CfUPAAAA//8DAFBLAQItABQABgAIAAAA&#10;IQC2gziS/gAAAOEBAAATAAAAAAAAAAAAAAAAAAAAAABbQ29udGVudF9UeXBlc10ueG1sUEsBAi0A&#10;FAAGAAgAAAAhADj9If/WAAAAlAEAAAsAAAAAAAAAAAAAAAAALwEAAF9yZWxzLy5yZWxzUEsBAi0A&#10;FAAGAAgAAAAhAB2WeKWOAgAAgwUAAA4AAAAAAAAAAAAAAAAALgIAAGRycy9lMm9Eb2MueG1sUEsB&#10;Ai0AFAAGAAgAAAAhACLxh7rgAAAACgEAAA8AAAAAAAAAAAAAAAAA6AQAAGRycy9kb3ducmV2Lnht&#10;bFBLBQYAAAAABAAEAPMAAAD1BQAAAAA=&#10;" filled="f" stroked="f" strokeweight=".5pt">
                <v:path arrowok="t"/>
                <v:textbox>
                  <w:txbxContent>
                    <w:p w:rsidR="006232F9" w:rsidRDefault="006232F9" w:rsidP="004B7EB6">
                      <w:pPr>
                        <w:spacing w:line="276" w:lineRule="auto"/>
                        <w:rPr>
                          <w:rFonts w:asciiTheme="majorHAnsi" w:hAnsiTheme="majorHAnsi" w:cs="Arial"/>
                          <w:b/>
                          <w:bCs/>
                          <w:color w:val="0D0D0D" w:themeColor="text1" w:themeTint="F2"/>
                          <w:sz w:val="36"/>
                          <w:szCs w:val="40"/>
                        </w:rPr>
                      </w:pPr>
                    </w:p>
                    <w:p w:rsidR="006232F9" w:rsidRDefault="006232F9" w:rsidP="004B7EB6">
                      <w:pPr>
                        <w:spacing w:line="276" w:lineRule="auto"/>
                        <w:rPr>
                          <w:rFonts w:asciiTheme="majorHAnsi" w:hAnsiTheme="majorHAnsi" w:cs="Arial"/>
                          <w:b/>
                          <w:bCs/>
                          <w:color w:val="0D0D0D" w:themeColor="text1" w:themeTint="F2"/>
                          <w:sz w:val="36"/>
                          <w:szCs w:val="40"/>
                        </w:rPr>
                      </w:pPr>
                    </w:p>
                    <w:p w:rsidR="006232F9" w:rsidRDefault="006232F9" w:rsidP="004B7EB6">
                      <w:pPr>
                        <w:spacing w:line="276" w:lineRule="auto"/>
                        <w:rPr>
                          <w:rFonts w:asciiTheme="majorHAnsi" w:hAnsiTheme="majorHAnsi" w:cs="Arial"/>
                          <w:b/>
                          <w:bCs/>
                          <w:color w:val="0D0D0D" w:themeColor="text1" w:themeTint="F2"/>
                          <w:sz w:val="36"/>
                          <w:szCs w:val="40"/>
                        </w:rPr>
                      </w:pPr>
                    </w:p>
                    <w:p w:rsidR="006232F9" w:rsidRPr="004B7EB6" w:rsidRDefault="006232F9"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211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rsidR="006232F9" w:rsidRPr="004B7EB6" w:rsidRDefault="006232F9"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13.570</w:t>
                      </w:r>
                    </w:p>
                    <w:p w:rsidR="006232F9" w:rsidRPr="004B7EB6" w:rsidRDefault="006232F9" w:rsidP="00F45EBF">
                      <w:pPr>
                        <w:spacing w:line="276" w:lineRule="auto"/>
                        <w:rPr>
                          <w:rFonts w:asciiTheme="majorHAnsi" w:hAnsiTheme="majorHAnsi" w:cs="Arial"/>
                          <w:color w:val="0D0D0D" w:themeColor="text1" w:themeTint="F2"/>
                          <w:szCs w:val="22"/>
                        </w:rPr>
                      </w:pPr>
                      <w:r w:rsidRPr="003676F1">
                        <w:rPr>
                          <w:rFonts w:asciiTheme="majorHAnsi" w:hAnsiTheme="majorHAnsi" w:cs="Arial"/>
                          <w:color w:val="0D0D0D" w:themeColor="text1" w:themeTint="F2"/>
                          <w:szCs w:val="22"/>
                        </w:rPr>
                        <w:t>REPORT ON ADMISSIBILITY AND MERITS</w:t>
                      </w:r>
                      <w:r>
                        <w:rPr>
                          <w:rFonts w:asciiTheme="majorHAnsi" w:hAnsiTheme="majorHAnsi" w:cs="Arial"/>
                          <w:color w:val="0D0D0D" w:themeColor="text1" w:themeTint="F2"/>
                          <w:szCs w:val="22"/>
                        </w:rPr>
                        <w:t xml:space="preserve"> (PUBLICATION)</w:t>
                      </w:r>
                      <w:r w:rsidRPr="004B7EB6">
                        <w:rPr>
                          <w:rFonts w:asciiTheme="majorHAnsi" w:hAnsiTheme="majorHAnsi" w:cs="Arial"/>
                          <w:color w:val="0D0D0D" w:themeColor="text1" w:themeTint="F2"/>
                          <w:szCs w:val="22"/>
                        </w:rPr>
                        <w:t xml:space="preserve"> </w:t>
                      </w:r>
                    </w:p>
                    <w:p w:rsidR="006232F9" w:rsidRPr="004B7EB6" w:rsidRDefault="006232F9" w:rsidP="004B7EB6">
                      <w:pPr>
                        <w:spacing w:line="276" w:lineRule="auto"/>
                        <w:rPr>
                          <w:rFonts w:asciiTheme="majorHAnsi" w:hAnsiTheme="majorHAnsi" w:cs="Arial"/>
                          <w:color w:val="0D0D0D" w:themeColor="text1" w:themeTint="F2"/>
                          <w:szCs w:val="22"/>
                        </w:rPr>
                      </w:pPr>
                    </w:p>
                    <w:p w:rsidR="006232F9" w:rsidRPr="00444596" w:rsidRDefault="006232F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LEZMOND C. MITCHELL</w:t>
                      </w:r>
                    </w:p>
                    <w:p w:rsidR="006232F9" w:rsidRDefault="006232F9"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rsidR="006232F9" w:rsidRPr="00E57833" w:rsidRDefault="006232F9" w:rsidP="008D2EA5">
                      <w:pPr>
                        <w:spacing w:line="276" w:lineRule="auto"/>
                        <w:jc w:val="both"/>
                        <w:rPr>
                          <w:rFonts w:asciiTheme="majorHAnsi" w:hAnsiTheme="majorHAnsi"/>
                          <w:color w:val="0D0D0D" w:themeColor="text1" w:themeTint="F2"/>
                        </w:rPr>
                      </w:pPr>
                    </w:p>
                  </w:txbxContent>
                </v:textbox>
              </v:shape>
            </w:pict>
          </mc:Fallback>
        </mc:AlternateContent>
      </w:r>
    </w:p>
    <w:p w:rsidR="005B52B0" w:rsidRPr="00D874C4" w:rsidRDefault="005B52B0" w:rsidP="005128E4">
      <w:pPr>
        <w:tabs>
          <w:tab w:val="center" w:pos="5400"/>
        </w:tabs>
        <w:suppressAutoHyphens/>
        <w:jc w:val="center"/>
        <w:rPr>
          <w:rFonts w:asciiTheme="majorHAnsi" w:hAnsiTheme="majorHAnsi"/>
          <w:sz w:val="20"/>
          <w:szCs w:val="20"/>
          <w:lang w:val="es-ES_tradnl"/>
        </w:rPr>
      </w:pPr>
    </w:p>
    <w:p w:rsidR="005B52B0" w:rsidRPr="00D874C4" w:rsidRDefault="005B52B0" w:rsidP="005128E4">
      <w:pPr>
        <w:tabs>
          <w:tab w:val="center" w:pos="5400"/>
        </w:tabs>
        <w:suppressAutoHyphens/>
        <w:jc w:val="center"/>
        <w:rPr>
          <w:rFonts w:asciiTheme="majorHAnsi" w:hAnsiTheme="majorHAnsi"/>
          <w:sz w:val="20"/>
          <w:szCs w:val="20"/>
          <w:lang w:val="es-ES_tradnl"/>
        </w:rPr>
      </w:pPr>
    </w:p>
    <w:p w:rsidR="005B52B0" w:rsidRPr="00D874C4" w:rsidRDefault="005B52B0" w:rsidP="005128E4">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1C19BA" w:rsidP="00040C3A">
      <w:pPr>
        <w:tabs>
          <w:tab w:val="center" w:pos="5400"/>
        </w:tabs>
        <w:suppressAutoHyphens/>
        <w:jc w:val="center"/>
        <w:rPr>
          <w:rFonts w:asciiTheme="majorHAnsi" w:hAnsiTheme="majorHAnsi"/>
          <w:sz w:val="20"/>
          <w:szCs w:val="20"/>
          <w:lang w:val="es-ES_tradnl"/>
        </w:rPr>
      </w:pPr>
      <w:r w:rsidRPr="00D874C4">
        <w:rPr>
          <w:rFonts w:asciiTheme="majorHAnsi" w:hAnsiTheme="majorHAnsi"/>
          <w:noProof/>
          <w:sz w:val="20"/>
          <w:szCs w:val="20"/>
        </w:rPr>
        <mc:AlternateContent>
          <mc:Choice Requires="wps">
            <w:drawing>
              <wp:anchor distT="0" distB="0" distL="114300" distR="114300" simplePos="0" relativeHeight="251671552" behindDoc="0" locked="0" layoutInCell="1" allowOverlap="1">
                <wp:simplePos x="0" y="0"/>
                <wp:positionH relativeFrom="column">
                  <wp:posOffset>-407670</wp:posOffset>
                </wp:positionH>
                <wp:positionV relativeFrom="paragraph">
                  <wp:posOffset>169545</wp:posOffset>
                </wp:positionV>
                <wp:extent cx="1334135" cy="835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83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2F9" w:rsidRPr="006232F9" w:rsidRDefault="006232F9" w:rsidP="002C1641">
                            <w:pPr>
                              <w:jc w:val="right"/>
                              <w:rPr>
                                <w:rFonts w:asciiTheme="minorHAnsi" w:hAnsiTheme="minorHAnsi"/>
                                <w:color w:val="FFFFFF" w:themeColor="background1"/>
                                <w:sz w:val="22"/>
                                <w:lang w:val="es-US"/>
                              </w:rPr>
                            </w:pPr>
                            <w:r w:rsidRPr="006232F9">
                              <w:rPr>
                                <w:rFonts w:asciiTheme="minorHAnsi" w:hAnsiTheme="minorHAnsi"/>
                                <w:color w:val="FFFFFF" w:themeColor="background1"/>
                                <w:sz w:val="22"/>
                                <w:lang w:val="es-US"/>
                              </w:rPr>
                              <w:t>OEA/</w:t>
                            </w:r>
                            <w:proofErr w:type="spellStart"/>
                            <w:r w:rsidRPr="006232F9">
                              <w:rPr>
                                <w:rFonts w:asciiTheme="minorHAnsi" w:hAnsiTheme="minorHAnsi"/>
                                <w:color w:val="FFFFFF" w:themeColor="background1"/>
                                <w:sz w:val="22"/>
                                <w:lang w:val="es-US"/>
                              </w:rPr>
                              <w:t>Ser.L</w:t>
                            </w:r>
                            <w:proofErr w:type="spellEnd"/>
                            <w:r w:rsidRPr="006232F9">
                              <w:rPr>
                                <w:rFonts w:asciiTheme="minorHAnsi" w:hAnsiTheme="minorHAnsi"/>
                                <w:color w:val="FFFFFF" w:themeColor="background1"/>
                                <w:sz w:val="22"/>
                                <w:lang w:val="es-US"/>
                              </w:rPr>
                              <w:t>/V/II</w:t>
                            </w:r>
                          </w:p>
                          <w:p w:rsidR="006232F9" w:rsidRPr="006232F9" w:rsidRDefault="006232F9" w:rsidP="002C1641">
                            <w:pPr>
                              <w:jc w:val="right"/>
                              <w:rPr>
                                <w:rFonts w:asciiTheme="minorHAnsi" w:hAnsiTheme="minorHAnsi"/>
                                <w:color w:val="FFFFFF" w:themeColor="background1"/>
                                <w:sz w:val="22"/>
                                <w:lang w:val="es-US"/>
                              </w:rPr>
                            </w:pPr>
                            <w:r w:rsidRPr="006232F9">
                              <w:rPr>
                                <w:rFonts w:asciiTheme="minorHAnsi" w:hAnsiTheme="minorHAnsi"/>
                                <w:color w:val="FFFFFF" w:themeColor="background1"/>
                                <w:sz w:val="22"/>
                                <w:lang w:val="es-US"/>
                              </w:rPr>
                              <w:t>Doc. 225</w:t>
                            </w:r>
                          </w:p>
                          <w:p w:rsidR="006232F9" w:rsidRPr="004B7EB6" w:rsidRDefault="006232F9" w:rsidP="002C1641">
                            <w:pPr>
                              <w:jc w:val="right"/>
                              <w:rPr>
                                <w:rFonts w:asciiTheme="minorHAnsi" w:hAnsiTheme="minorHAnsi"/>
                                <w:color w:val="FFFFFF" w:themeColor="background1"/>
                                <w:sz w:val="22"/>
                              </w:rPr>
                            </w:pPr>
                            <w:r w:rsidRPr="00347A1D">
                              <w:rPr>
                                <w:rFonts w:asciiTheme="minorHAnsi" w:hAnsiTheme="minorHAnsi"/>
                                <w:color w:val="FFFFFF" w:themeColor="background1"/>
                                <w:sz w:val="22"/>
                              </w:rPr>
                              <w:t>August</w:t>
                            </w:r>
                            <w:r>
                              <w:rPr>
                                <w:rFonts w:asciiTheme="minorHAnsi" w:hAnsiTheme="minorHAnsi"/>
                                <w:color w:val="FFFFFF" w:themeColor="background1"/>
                                <w:sz w:val="22"/>
                              </w:rPr>
                              <w:t xml:space="preserve"> 24</w:t>
                            </w:r>
                            <w:r w:rsidRPr="00347A1D">
                              <w:rPr>
                                <w:rFonts w:asciiTheme="minorHAnsi" w:hAnsiTheme="minorHAnsi"/>
                                <w:color w:val="FFFFFF" w:themeColor="background1"/>
                                <w:sz w:val="22"/>
                              </w:rPr>
                              <w:t>, 20</w:t>
                            </w:r>
                            <w:r>
                              <w:rPr>
                                <w:rFonts w:asciiTheme="minorHAnsi" w:hAnsiTheme="minorHAnsi"/>
                                <w:color w:val="FFFFFF" w:themeColor="background1"/>
                                <w:sz w:val="22"/>
                              </w:rPr>
                              <w:t>20</w:t>
                            </w:r>
                          </w:p>
                          <w:p w:rsidR="006232F9" w:rsidRPr="004B7EB6" w:rsidRDefault="006232F9"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2.1pt;margin-top:13.35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W/0iwIAAIIFAAAOAAAAZHJzL2Uyb0RvYy54bWysVEtvGyEQvlfqf0Dcm/UzTVdZR26iVJWs&#10;JmpS5YxZiFcBhgL2rvvrO8CubaW9pOplF5hv3t/M5VWnFdkJ5xswFR2fjSgRhkPdmOeK/ni8/XBB&#10;iQ/M1EyBERXdC0+vFu/fXba2FBPYgKqFI2jE+LK1Fd2EYMui8HwjNPNnYIVBoQSnWcCrey5qx1q0&#10;rlUxGY3OixZcbR1w4T2+3mQhXST7Ugoe7qT0IhBVUYwtpK9L33X8FotLVj47ZjcN78Ng/xCFZo1B&#10;pwdTNywwsnXNH6Z0wx14kOGMgy5AyoaLlANmMx69yuZhw6xIuWBxvD2Uyf8/s/zb7t6Rpq4oNsow&#10;jS16FF0gn6EjF7E6rfUlgh4swkKHz9jllKm3K+AvHiHFCSYreETHanTS6fjHPAkqYgP2h6JHLzxa&#10;m05n4+mcEo6yi+l8NJlHv8VR2zofvgjQJB4q6rCpKQK2W/mQoQMkOjNw2yiF76xUhrQVPUejSeEg&#10;QePKRIBIFOnNxDRy5OkU9kpkI9+FxBKlBOJDIqe4Vo7sGNKKcS5MGPdBK4PoiJIYxFsUe/wxqrco&#10;5zwGz2DCQVk3BlxuWJypY9j1yxCyzPi+kT7nHUsQunWXuDEZmLCGeo9EcJAHyVt+22BTVsyHe+Zw&#10;crDFuA3CHX6kAiw+9CdKNuB+/e094pHQKKWkxUmsqP+5ZU5Qor4apPqn8WwWRzddZvOPE7y4U8n6&#10;VGK2+hqwK2PcO5anY8QHNRylA/2ES2MZvaKIGY6+KxqG43XI+wGXDhfLZQLhsFoWVubB8oH/kXKP&#10;3RNztudlQEZ/g2FmWfmKnhkb22tguQ0gm8TdWOdc1b7+OOiJ/f1Sipvk9J5Qx9W5+A0AAP//AwBQ&#10;SwMEFAAGAAgAAAAhAAJf763hAAAACgEAAA8AAABkcnMvZG93bnJldi54bWxMj8FOwzAMhu9IvENk&#10;JG5bSrV1XWk6TQguSAhtTEK7ZY1pColTkmwrb092gpstf/r9/fVqtIad0IfekYC7aQYMqXWqp07A&#10;7u1pUgILUZKSxhEK+MEAq+b6qpaVcmfa4GkbO5ZCKFRSgI5xqDgPrUYrw9QNSOn24byVMa2+48rL&#10;cwq3hudZVnAre0oftBzwQWP7tT1aAYtyr/Snfx537y/rb/06cPMouRC3N+P6HljEMf7BcNFP6tAk&#10;p4M7kgrMCJgUszyhAvJiAewCzOZLYIc0zMsceFPz/xWaXwAAAP//AwBQSwECLQAUAAYACAAAACEA&#10;toM4kv4AAADhAQAAEwAAAAAAAAAAAAAAAAAAAAAAW0NvbnRlbnRfVHlwZXNdLnhtbFBLAQItABQA&#10;BgAIAAAAIQA4/SH/1gAAAJQBAAALAAAAAAAAAAAAAAAAAC8BAABfcmVscy8ucmVsc1BLAQItABQA&#10;BgAIAAAAIQA59W/0iwIAAIIFAAAOAAAAAAAAAAAAAAAAAC4CAABkcnMvZTJvRG9jLnhtbFBLAQIt&#10;ABQABgAIAAAAIQACX++t4QAAAAoBAAAPAAAAAAAAAAAAAAAAAOUEAABkcnMvZG93bnJldi54bWxQ&#10;SwUGAAAAAAQABADzAAAA8wUAAAAA&#10;" filled="f" stroked="f" strokeweight=".5pt">
                <v:path arrowok="t"/>
                <v:textbox>
                  <w:txbxContent>
                    <w:p w:rsidR="006232F9" w:rsidRPr="006232F9" w:rsidRDefault="006232F9" w:rsidP="002C1641">
                      <w:pPr>
                        <w:jc w:val="right"/>
                        <w:rPr>
                          <w:rFonts w:asciiTheme="minorHAnsi" w:hAnsiTheme="minorHAnsi"/>
                          <w:color w:val="FFFFFF" w:themeColor="background1"/>
                          <w:sz w:val="22"/>
                          <w:lang w:val="es-US"/>
                        </w:rPr>
                      </w:pPr>
                      <w:r w:rsidRPr="006232F9">
                        <w:rPr>
                          <w:rFonts w:asciiTheme="minorHAnsi" w:hAnsiTheme="minorHAnsi"/>
                          <w:color w:val="FFFFFF" w:themeColor="background1"/>
                          <w:sz w:val="22"/>
                          <w:lang w:val="es-US"/>
                        </w:rPr>
                        <w:t>OEA/</w:t>
                      </w:r>
                      <w:proofErr w:type="spellStart"/>
                      <w:r w:rsidRPr="006232F9">
                        <w:rPr>
                          <w:rFonts w:asciiTheme="minorHAnsi" w:hAnsiTheme="minorHAnsi"/>
                          <w:color w:val="FFFFFF" w:themeColor="background1"/>
                          <w:sz w:val="22"/>
                          <w:lang w:val="es-US"/>
                        </w:rPr>
                        <w:t>Ser.L</w:t>
                      </w:r>
                      <w:proofErr w:type="spellEnd"/>
                      <w:r w:rsidRPr="006232F9">
                        <w:rPr>
                          <w:rFonts w:asciiTheme="minorHAnsi" w:hAnsiTheme="minorHAnsi"/>
                          <w:color w:val="FFFFFF" w:themeColor="background1"/>
                          <w:sz w:val="22"/>
                          <w:lang w:val="es-US"/>
                        </w:rPr>
                        <w:t>/V/II</w:t>
                      </w:r>
                    </w:p>
                    <w:p w:rsidR="006232F9" w:rsidRPr="006232F9" w:rsidRDefault="006232F9" w:rsidP="002C1641">
                      <w:pPr>
                        <w:jc w:val="right"/>
                        <w:rPr>
                          <w:rFonts w:asciiTheme="minorHAnsi" w:hAnsiTheme="minorHAnsi"/>
                          <w:color w:val="FFFFFF" w:themeColor="background1"/>
                          <w:sz w:val="22"/>
                          <w:lang w:val="es-US"/>
                        </w:rPr>
                      </w:pPr>
                      <w:r w:rsidRPr="006232F9">
                        <w:rPr>
                          <w:rFonts w:asciiTheme="minorHAnsi" w:hAnsiTheme="minorHAnsi"/>
                          <w:color w:val="FFFFFF" w:themeColor="background1"/>
                          <w:sz w:val="22"/>
                          <w:lang w:val="es-US"/>
                        </w:rPr>
                        <w:t>Doc. 225</w:t>
                      </w:r>
                    </w:p>
                    <w:p w:rsidR="006232F9" w:rsidRPr="004B7EB6" w:rsidRDefault="006232F9" w:rsidP="002C1641">
                      <w:pPr>
                        <w:jc w:val="right"/>
                        <w:rPr>
                          <w:rFonts w:asciiTheme="minorHAnsi" w:hAnsiTheme="minorHAnsi"/>
                          <w:color w:val="FFFFFF" w:themeColor="background1"/>
                          <w:sz w:val="22"/>
                        </w:rPr>
                      </w:pPr>
                      <w:r w:rsidRPr="00347A1D">
                        <w:rPr>
                          <w:rFonts w:asciiTheme="minorHAnsi" w:hAnsiTheme="minorHAnsi"/>
                          <w:color w:val="FFFFFF" w:themeColor="background1"/>
                          <w:sz w:val="22"/>
                        </w:rPr>
                        <w:t>August</w:t>
                      </w:r>
                      <w:r>
                        <w:rPr>
                          <w:rFonts w:asciiTheme="minorHAnsi" w:hAnsiTheme="minorHAnsi"/>
                          <w:color w:val="FFFFFF" w:themeColor="background1"/>
                          <w:sz w:val="22"/>
                        </w:rPr>
                        <w:t xml:space="preserve"> 24</w:t>
                      </w:r>
                      <w:r w:rsidRPr="00347A1D">
                        <w:rPr>
                          <w:rFonts w:asciiTheme="minorHAnsi" w:hAnsiTheme="minorHAnsi"/>
                          <w:color w:val="FFFFFF" w:themeColor="background1"/>
                          <w:sz w:val="22"/>
                        </w:rPr>
                        <w:t>, 20</w:t>
                      </w:r>
                      <w:r>
                        <w:rPr>
                          <w:rFonts w:asciiTheme="minorHAnsi" w:hAnsiTheme="minorHAnsi"/>
                          <w:color w:val="FFFFFF" w:themeColor="background1"/>
                          <w:sz w:val="22"/>
                        </w:rPr>
                        <w:t>20</w:t>
                      </w:r>
                    </w:p>
                    <w:p w:rsidR="006232F9" w:rsidRPr="004B7EB6" w:rsidRDefault="006232F9"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cs="Arial"/>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5128E4" w:rsidRPr="00D874C4" w:rsidRDefault="005128E4"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5128E4" w:rsidRPr="00D874C4" w:rsidRDefault="005128E4" w:rsidP="00040C3A">
      <w:pPr>
        <w:tabs>
          <w:tab w:val="center" w:pos="5400"/>
        </w:tabs>
        <w:suppressAutoHyphens/>
        <w:jc w:val="center"/>
        <w:rPr>
          <w:rFonts w:asciiTheme="majorHAnsi" w:hAnsiTheme="majorHAnsi"/>
          <w:sz w:val="20"/>
          <w:szCs w:val="20"/>
          <w:lang w:val="es-ES_tradnl"/>
        </w:rPr>
      </w:pPr>
    </w:p>
    <w:p w:rsidR="005128E4" w:rsidRPr="00D874C4" w:rsidRDefault="005128E4" w:rsidP="00040C3A">
      <w:pPr>
        <w:tabs>
          <w:tab w:val="center" w:pos="5400"/>
        </w:tabs>
        <w:suppressAutoHyphens/>
        <w:jc w:val="center"/>
        <w:rPr>
          <w:rFonts w:asciiTheme="majorHAnsi" w:hAnsiTheme="majorHAnsi"/>
          <w:sz w:val="20"/>
          <w:szCs w:val="20"/>
          <w:lang w:val="es-ES_tradnl"/>
        </w:rPr>
      </w:pPr>
    </w:p>
    <w:p w:rsidR="005128E4" w:rsidRPr="00D874C4" w:rsidRDefault="005128E4"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040C3A" w:rsidRPr="00D874C4" w:rsidRDefault="00040C3A"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1C19BA" w:rsidP="00040C3A">
      <w:pPr>
        <w:tabs>
          <w:tab w:val="center" w:pos="5400"/>
        </w:tabs>
        <w:suppressAutoHyphens/>
        <w:jc w:val="center"/>
        <w:rPr>
          <w:rFonts w:asciiTheme="majorHAnsi" w:hAnsiTheme="majorHAnsi"/>
          <w:sz w:val="20"/>
          <w:szCs w:val="20"/>
          <w:lang w:val="es-ES_tradnl"/>
        </w:rPr>
      </w:pPr>
      <w:r w:rsidRPr="00D874C4">
        <w:rPr>
          <w:rFonts w:asciiTheme="majorHAnsi" w:hAnsiTheme="majorHAnsi"/>
          <w:noProof/>
          <w:sz w:val="20"/>
          <w:szCs w:val="20"/>
        </w:rPr>
        <mc:AlternateContent>
          <mc:Choice Requires="wps">
            <w:drawing>
              <wp:anchor distT="0" distB="0" distL="114300" distR="114300" simplePos="0" relativeHeight="251670528"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2F9" w:rsidRPr="003C32BC" w:rsidRDefault="006232F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electronically by the Commission</w:t>
                            </w:r>
                            <w:r w:rsidRPr="00347A1D">
                              <w:rPr>
                                <w:rFonts w:asciiTheme="majorHAnsi" w:hAnsiTheme="majorHAnsi"/>
                                <w:color w:val="0D0D0D" w:themeColor="text1" w:themeTint="F2"/>
                                <w:sz w:val="18"/>
                                <w:szCs w:val="20"/>
                              </w:rPr>
                              <w:t xml:space="preserve"> on August</w:t>
                            </w:r>
                            <w:r>
                              <w:rPr>
                                <w:rFonts w:asciiTheme="majorHAnsi" w:hAnsiTheme="majorHAnsi"/>
                                <w:color w:val="0D0D0D" w:themeColor="text1" w:themeTint="F2"/>
                                <w:sz w:val="18"/>
                                <w:szCs w:val="20"/>
                              </w:rPr>
                              <w:t xml:space="preserve"> 24</w:t>
                            </w:r>
                            <w:r w:rsidRPr="00347A1D">
                              <w:rPr>
                                <w:rFonts w:asciiTheme="majorHAnsi" w:hAnsiTheme="majorHAnsi"/>
                                <w:color w:val="0D0D0D" w:themeColor="text1" w:themeTint="F2"/>
                                <w:sz w:val="18"/>
                                <w:szCs w:val="20"/>
                              </w:rPr>
                              <w:t>,</w:t>
                            </w:r>
                            <w:r>
                              <w:rPr>
                                <w:rFonts w:asciiTheme="majorHAnsi" w:hAnsiTheme="majorHAnsi"/>
                                <w:color w:val="0D0D0D" w:themeColor="text1" w:themeTint="F2"/>
                                <w:sz w:val="18"/>
                                <w:szCs w:val="20"/>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d0jgIAAIIFAAAOAAAAZHJzL2Uyb0RvYy54bWysVN9P2zAQfp+0/8Hy+0hbGlgjUtSBmCZV&#10;gFYmnl3HphGOz7PdJt1fv7OdtBXbC9NeEtv33e/v7uq6axTZCetq0CUdn40oEZpDVeuXkv54uvv0&#10;mRLnma6YAi1KuheOXs8/frhqTSEmsAFVCUvQiHZFa0q68d4UWeb4RjTMnYERGoUSbMM8Xu1LVlnW&#10;ovVGZZPR6CJrwVbGAhfO4ettEtJ5tC+l4P5BSic8USXF2Hz82vhdh282v2LFi2VmU/M+DPYPUTSs&#10;1uj0YOqWeUa2tv7DVFNzCw6kP+PQZCBlzUXMAbMZj95ks9owI2IuWBxnDmVy/88sv989WlJXJb2k&#10;RLMGW/QkOk++QEcuQ3Va4woErQzCfIfP2OWYqTNL4K8OIdkJJik4RIdqdNI24Y95ElTEBuwPRQ9e&#10;OD5O81k+neWUcJRdzPLzSR78ZkdtY53/KqAh4VBSi02NEbDd0vkEHSDBmYa7Wil8Z4XSpEWj5/ko&#10;KhwkaFzpABCRIr2ZkEaKPJ78Xolk5LuQWKKYQHiI5BQ3ypIdQ1oxzoX24z5opREdUBKDeI9ijz9G&#10;9R7llMfgGbQ/KDe1BpsaFmbqGHb1OoQsE75vpEt5hxL4bt1FbpwPTFhDtUciWEiD5Ay/q7EpS+b8&#10;I7M4Odhi3Ab+AT9SARYf+hMlG7C//vYe8EholFLS4iSW1P3cMisoUd80Un02nk7D6MbLNL+c4MWe&#10;StanEr1tbgC7Msa9Y3g8BrxXw1FaaJ5xaSyCVxQxzdF3Sf1wvPFpP+DS4WKxiCAcVsP8Uq8MH/gf&#10;KPfUPTNrel56ZPQ9DDPLijf0TNjQXg2LrQdZR+6GOqeq9vXHQY/s75dS2CSn94g6rs75bwAAAP//&#10;AwBQSwMEFAAGAAgAAAAhAEbzNffeAAAACgEAAA8AAABkcnMvZG93bnJldi54bWxMj81OwzAQhO9I&#10;vIO1SNyokwhoG+JUFYILEkKUSojbNl7igH+C7bbh7VlOcJvZHc1+26wmZ8WBYhqCV1DOChDku6AH&#10;3yvYvtxfLECkjF6jDZ4UfFOCVXt60mCtw9E/02GTe8ElPtWowOQ81lKmzpDDNAsjed69h+gws429&#10;1BGPXO6srIriWjocPF8wONKtoe5zs3cK5os3bT7iw7R9fVx/madR2juUSp2fTesbEJmm/BeGX3xG&#10;h5aZdmHvdRKW/bK44iiLsgLBgWV5yWLHg6qYg2wb+f+F9gcAAP//AwBQSwECLQAUAAYACAAAACEA&#10;toM4kv4AAADhAQAAEwAAAAAAAAAAAAAAAAAAAAAAW0NvbnRlbnRfVHlwZXNdLnhtbFBLAQItABQA&#10;BgAIAAAAIQA4/SH/1gAAAJQBAAALAAAAAAAAAAAAAAAAAC8BAABfcmVscy8ucmVsc1BLAQItABQA&#10;BgAIAAAAIQDBnSd0jgIAAIIFAAAOAAAAAAAAAAAAAAAAAC4CAABkcnMvZTJvRG9jLnhtbFBLAQIt&#10;ABQABgAIAAAAIQBG8zX33gAAAAoBAAAPAAAAAAAAAAAAAAAAAOgEAABkcnMvZG93bnJldi54bWxQ&#10;SwUGAAAAAAQABADzAAAA8wUAAAAA&#10;" filled="f" stroked="f" strokeweight=".5pt">
                <v:path arrowok="t"/>
                <v:textbox>
                  <w:txbxContent>
                    <w:p w:rsidR="006232F9" w:rsidRPr="003C32BC" w:rsidRDefault="006232F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electronically by the Commission</w:t>
                      </w:r>
                      <w:r w:rsidRPr="00347A1D">
                        <w:rPr>
                          <w:rFonts w:asciiTheme="majorHAnsi" w:hAnsiTheme="majorHAnsi"/>
                          <w:color w:val="0D0D0D" w:themeColor="text1" w:themeTint="F2"/>
                          <w:sz w:val="18"/>
                          <w:szCs w:val="20"/>
                        </w:rPr>
                        <w:t xml:space="preserve"> on August</w:t>
                      </w:r>
                      <w:r>
                        <w:rPr>
                          <w:rFonts w:asciiTheme="majorHAnsi" w:hAnsiTheme="majorHAnsi"/>
                          <w:color w:val="0D0D0D" w:themeColor="text1" w:themeTint="F2"/>
                          <w:sz w:val="18"/>
                          <w:szCs w:val="20"/>
                        </w:rPr>
                        <w:t xml:space="preserve"> 24</w:t>
                      </w:r>
                      <w:r w:rsidRPr="00347A1D">
                        <w:rPr>
                          <w:rFonts w:asciiTheme="majorHAnsi" w:hAnsiTheme="majorHAnsi"/>
                          <w:color w:val="0D0D0D" w:themeColor="text1" w:themeTint="F2"/>
                          <w:sz w:val="18"/>
                          <w:szCs w:val="20"/>
                        </w:rPr>
                        <w:t>,</w:t>
                      </w:r>
                      <w:r>
                        <w:rPr>
                          <w:rFonts w:asciiTheme="majorHAnsi" w:hAnsiTheme="majorHAnsi"/>
                          <w:color w:val="0D0D0D" w:themeColor="text1" w:themeTint="F2"/>
                          <w:sz w:val="18"/>
                          <w:szCs w:val="20"/>
                        </w:rPr>
                        <w:t xml:space="preserve"> 2020.</w:t>
                      </w:r>
                    </w:p>
                  </w:txbxContent>
                </v:textbox>
              </v:shape>
            </w:pict>
          </mc:Fallback>
        </mc:AlternateContent>
      </w: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1C19BA" w:rsidP="00040C3A">
      <w:pPr>
        <w:tabs>
          <w:tab w:val="center" w:pos="5400"/>
        </w:tabs>
        <w:suppressAutoHyphens/>
        <w:jc w:val="center"/>
        <w:rPr>
          <w:rFonts w:asciiTheme="majorHAnsi" w:hAnsiTheme="majorHAnsi"/>
          <w:sz w:val="20"/>
          <w:szCs w:val="20"/>
          <w:lang w:val="es-ES_tradnl"/>
        </w:rPr>
      </w:pPr>
      <w:r w:rsidRPr="00D874C4">
        <w:rPr>
          <w:rFonts w:asciiTheme="majorHAnsi" w:hAnsiTheme="majorHAnsi"/>
          <w:noProof/>
          <w:sz w:val="20"/>
          <w:szCs w:val="20"/>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2F9" w:rsidRPr="003C32BC" w:rsidRDefault="006232F9"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211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13.570</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(Publication)</w:t>
                            </w:r>
                            <w:r w:rsidRPr="00682CC9">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Lezmond</w:t>
                            </w:r>
                            <w:proofErr w:type="spellEnd"/>
                            <w:r>
                              <w:rPr>
                                <w:rFonts w:asciiTheme="majorHAnsi" w:hAnsiTheme="majorHAnsi"/>
                                <w:color w:val="595959" w:themeColor="text1" w:themeTint="A6"/>
                                <w:sz w:val="18"/>
                              </w:rPr>
                              <w:t xml:space="preserve"> C. Mitchell. United States of America. August 24,</w:t>
                            </w:r>
                            <w:r w:rsidRPr="00682CC9">
                              <w:rPr>
                                <w:rFonts w:asciiTheme="majorHAnsi" w:hAnsiTheme="majorHAnsi"/>
                                <w:color w:val="595959" w:themeColor="text1" w:themeTint="A6"/>
                                <w:sz w:val="18"/>
                              </w:rPr>
                              <w:t xml:space="preserve"> 20</w:t>
                            </w:r>
                            <w:r>
                              <w:rPr>
                                <w:rFonts w:asciiTheme="majorHAnsi" w:hAnsiTheme="majorHAnsi"/>
                                <w:color w:val="595959" w:themeColor="text1" w:themeTint="A6"/>
                                <w:sz w:val="18"/>
                              </w:rPr>
                              <w:t>20</w:t>
                            </w:r>
                            <w:r w:rsidRPr="00682CC9">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rsidR="006232F9" w:rsidRPr="003C32BC" w:rsidRDefault="006232F9"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IACHR, Report No. 211</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20.</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13.570</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(Publication)</w:t>
                      </w:r>
                      <w:r w:rsidRPr="00682CC9">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Lezmond</w:t>
                      </w:r>
                      <w:proofErr w:type="spellEnd"/>
                      <w:r>
                        <w:rPr>
                          <w:rFonts w:asciiTheme="majorHAnsi" w:hAnsiTheme="majorHAnsi"/>
                          <w:color w:val="595959" w:themeColor="text1" w:themeTint="A6"/>
                          <w:sz w:val="18"/>
                        </w:rPr>
                        <w:t xml:space="preserve"> C. Mitchell. United States of America. August 24,</w:t>
                      </w:r>
                      <w:r w:rsidRPr="00682CC9">
                        <w:rPr>
                          <w:rFonts w:asciiTheme="majorHAnsi" w:hAnsiTheme="majorHAnsi"/>
                          <w:color w:val="595959" w:themeColor="text1" w:themeTint="A6"/>
                          <w:sz w:val="18"/>
                        </w:rPr>
                        <w:t xml:space="preserve"> 20</w:t>
                      </w:r>
                      <w:r>
                        <w:rPr>
                          <w:rFonts w:asciiTheme="majorHAnsi" w:hAnsiTheme="majorHAnsi"/>
                          <w:color w:val="595959" w:themeColor="text1" w:themeTint="A6"/>
                          <w:sz w:val="18"/>
                        </w:rPr>
                        <w:t>20</w:t>
                      </w:r>
                      <w:r w:rsidRPr="00682CC9">
                        <w:rPr>
                          <w:rFonts w:asciiTheme="majorHAnsi" w:hAnsiTheme="majorHAnsi"/>
                          <w:color w:val="595959" w:themeColor="text1" w:themeTint="A6"/>
                          <w:sz w:val="18"/>
                        </w:rPr>
                        <w:t>.</w:t>
                      </w:r>
                    </w:p>
                  </w:txbxContent>
                </v:textbox>
              </v:shape>
            </w:pict>
          </mc:Fallback>
        </mc:AlternateContent>
      </w: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2C1641" w:rsidRPr="00D874C4" w:rsidRDefault="002C1641" w:rsidP="00040C3A">
      <w:pPr>
        <w:tabs>
          <w:tab w:val="center" w:pos="5400"/>
        </w:tabs>
        <w:suppressAutoHyphens/>
        <w:jc w:val="center"/>
        <w:rPr>
          <w:rFonts w:asciiTheme="majorHAnsi" w:hAnsiTheme="majorHAnsi"/>
          <w:sz w:val="20"/>
          <w:szCs w:val="20"/>
          <w:lang w:val="es-ES_tradnl"/>
        </w:rPr>
      </w:pPr>
    </w:p>
    <w:p w:rsidR="003C32BC" w:rsidRPr="00D874C4" w:rsidRDefault="003C32BC" w:rsidP="003C32BC">
      <w:pPr>
        <w:tabs>
          <w:tab w:val="center" w:pos="5400"/>
        </w:tabs>
        <w:suppressAutoHyphens/>
        <w:jc w:val="center"/>
        <w:rPr>
          <w:rFonts w:asciiTheme="majorHAnsi" w:hAnsiTheme="majorHAnsi"/>
          <w:sz w:val="20"/>
          <w:szCs w:val="20"/>
        </w:rPr>
      </w:pPr>
    </w:p>
    <w:p w:rsidR="003C32BC" w:rsidRPr="00D874C4" w:rsidRDefault="001C19BA" w:rsidP="003C32BC">
      <w:pPr>
        <w:tabs>
          <w:tab w:val="center" w:pos="5400"/>
        </w:tabs>
        <w:suppressAutoHyphens/>
        <w:jc w:val="center"/>
        <w:rPr>
          <w:rFonts w:asciiTheme="majorHAnsi" w:hAnsiTheme="majorHAnsi"/>
          <w:sz w:val="20"/>
          <w:szCs w:val="20"/>
        </w:rPr>
      </w:pPr>
      <w:r w:rsidRPr="00D874C4">
        <w:rPr>
          <w:rFonts w:asciiTheme="majorHAnsi" w:hAnsiTheme="majorHAnsi"/>
          <w:noProof/>
          <w:sz w:val="20"/>
          <w:szCs w:val="20"/>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2F9" w:rsidRPr="004B7EB6" w:rsidRDefault="006232F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15998">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rsidR="006232F9" w:rsidRPr="004B7EB6" w:rsidRDefault="006232F9"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15998">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D874C4">
        <w:rPr>
          <w:rFonts w:asciiTheme="majorHAnsi" w:hAnsiTheme="majorHAnsi"/>
          <w:noProof/>
          <w:sz w:val="20"/>
          <w:szCs w:val="20"/>
        </w:rPr>
        <mc:AlternateContent>
          <mc:Choice Requires="wps">
            <w:drawing>
              <wp:anchor distT="0" distB="0" distL="114300" distR="114300" simplePos="0" relativeHeight="251684864" behindDoc="0" locked="0" layoutInCell="1" allowOverlap="1">
                <wp:simplePos x="0" y="0"/>
                <wp:positionH relativeFrom="column">
                  <wp:posOffset>1208405</wp:posOffset>
                </wp:positionH>
                <wp:positionV relativeFrom="paragraph">
                  <wp:posOffset>722630</wp:posOffset>
                </wp:positionV>
                <wp:extent cx="2085975" cy="4857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32F9" w:rsidRDefault="006232F9">
                            <w:r>
                              <w:rPr>
                                <w:noProof/>
                              </w:rPr>
                              <w:drawing>
                                <wp:inline distT="0" distB="0" distL="0" distR="0">
                                  <wp:extent cx="1519555" cy="38798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rsidR="006232F9" w:rsidRDefault="006232F9">
                      <w:r>
                        <w:rPr>
                          <w:noProof/>
                        </w:rPr>
                        <w:drawing>
                          <wp:inline distT="0" distB="0" distL="0" distR="0">
                            <wp:extent cx="1519555" cy="38798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rsidR="007607C4" w:rsidRPr="00D874C4" w:rsidRDefault="007607C4" w:rsidP="003C32BC">
      <w:pPr>
        <w:tabs>
          <w:tab w:val="center" w:pos="5400"/>
        </w:tabs>
        <w:suppressAutoHyphens/>
        <w:jc w:val="center"/>
        <w:rPr>
          <w:rFonts w:asciiTheme="majorHAnsi" w:hAnsiTheme="majorHAnsi"/>
          <w:sz w:val="20"/>
          <w:szCs w:val="20"/>
        </w:rPr>
        <w:sectPr w:rsidR="007607C4" w:rsidRPr="00D874C4">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C3EB4" w:rsidRPr="00D874C4" w:rsidRDefault="00FC3EB4" w:rsidP="00FC3EB4">
      <w:pPr>
        <w:tabs>
          <w:tab w:val="center" w:pos="5400"/>
        </w:tabs>
        <w:suppressAutoHyphens/>
        <w:spacing w:line="276" w:lineRule="auto"/>
        <w:jc w:val="center"/>
        <w:rPr>
          <w:rFonts w:asciiTheme="majorHAnsi" w:hAnsiTheme="majorHAnsi"/>
          <w:b/>
          <w:sz w:val="20"/>
          <w:szCs w:val="20"/>
          <w:lang w:val="es-US"/>
        </w:rPr>
      </w:pPr>
      <w:r w:rsidRPr="00D874C4">
        <w:rPr>
          <w:rFonts w:asciiTheme="majorHAnsi" w:hAnsiTheme="majorHAnsi"/>
          <w:b/>
          <w:sz w:val="20"/>
          <w:szCs w:val="20"/>
          <w:lang w:val="es-US"/>
        </w:rPr>
        <w:lastRenderedPageBreak/>
        <w:t>INDEX</w:t>
      </w:r>
    </w:p>
    <w:sdt>
      <w:sdtPr>
        <w:rPr>
          <w:rFonts w:ascii="Times New Roman" w:eastAsia="Arial Unicode MS" w:hAnsi="Times New Roman" w:cs="Times New Roman"/>
          <w:b w:val="0"/>
          <w:bCs w:val="0"/>
          <w:color w:val="auto"/>
          <w:sz w:val="24"/>
          <w:szCs w:val="24"/>
          <w:bdr w:val="nil"/>
          <w:lang w:val="es-ES" w:eastAsia="en-US"/>
        </w:rPr>
        <w:id w:val="1481570244"/>
        <w:docPartObj>
          <w:docPartGallery w:val="Table of Contents"/>
          <w:docPartUnique/>
        </w:docPartObj>
      </w:sdtPr>
      <w:sdtEndPr>
        <w:rPr>
          <w:rFonts w:asciiTheme="majorHAnsi" w:hAnsiTheme="majorHAnsi"/>
          <w:noProof/>
          <w:sz w:val="20"/>
          <w:szCs w:val="20"/>
          <w:lang w:val="en-US"/>
        </w:rPr>
      </w:sdtEndPr>
      <w:sdtContent>
        <w:p w:rsidR="008E1468" w:rsidRPr="00D874C4" w:rsidRDefault="008E1468" w:rsidP="008E1468">
          <w:pPr>
            <w:pStyle w:val="TOCHeading"/>
            <w:rPr>
              <w:sz w:val="16"/>
              <w:szCs w:val="16"/>
            </w:rPr>
          </w:pPr>
        </w:p>
        <w:p w:rsidR="008F0743" w:rsidRPr="00375741" w:rsidRDefault="008E1468" w:rsidP="00E43F2C">
          <w:pPr>
            <w:pStyle w:val="TOC1"/>
            <w:rPr>
              <w:rFonts w:eastAsiaTheme="minorEastAsia" w:cstheme="minorBidi"/>
              <w:bdr w:val="none" w:sz="0" w:space="0" w:color="auto"/>
            </w:rPr>
          </w:pPr>
          <w:r w:rsidRPr="0078455E">
            <w:rPr>
              <w:i/>
              <w:noProof w:val="0"/>
            </w:rPr>
            <w:fldChar w:fldCharType="begin"/>
          </w:r>
          <w:r w:rsidRPr="0078455E">
            <w:instrText>TOC \o "1-3" \h \z \u</w:instrText>
          </w:r>
          <w:r w:rsidRPr="0078455E">
            <w:rPr>
              <w:i/>
              <w:noProof w:val="0"/>
            </w:rPr>
            <w:fldChar w:fldCharType="separate"/>
          </w:r>
          <w:hyperlink w:anchor="_Toc49161048" w:history="1">
            <w:r w:rsidR="008F0743" w:rsidRPr="00375741">
              <w:rPr>
                <w:rStyle w:val="Hyperlink"/>
                <w:b/>
              </w:rPr>
              <w:t>I.</w:t>
            </w:r>
            <w:r w:rsidR="008F0743" w:rsidRPr="00375741">
              <w:rPr>
                <w:rFonts w:eastAsiaTheme="minorEastAsia" w:cstheme="minorBidi"/>
                <w:bdr w:val="none" w:sz="0" w:space="0" w:color="auto"/>
              </w:rPr>
              <w:tab/>
            </w:r>
            <w:r w:rsidR="008F0743" w:rsidRPr="00375741">
              <w:rPr>
                <w:rStyle w:val="Hyperlink"/>
                <w:b/>
              </w:rPr>
              <w:t>INTRODUCTION</w:t>
            </w:r>
            <w:r w:rsidR="008F0743" w:rsidRPr="00375741">
              <w:rPr>
                <w:webHidden/>
              </w:rPr>
              <w:tab/>
            </w:r>
            <w:r w:rsidR="008F0743" w:rsidRPr="00375741">
              <w:rPr>
                <w:webHidden/>
              </w:rPr>
              <w:fldChar w:fldCharType="begin"/>
            </w:r>
            <w:r w:rsidR="008F0743" w:rsidRPr="00375741">
              <w:rPr>
                <w:webHidden/>
              </w:rPr>
              <w:instrText xml:space="preserve"> PAGEREF _Toc49161048 \h </w:instrText>
            </w:r>
            <w:r w:rsidR="008F0743" w:rsidRPr="00375741">
              <w:rPr>
                <w:webHidden/>
              </w:rPr>
            </w:r>
            <w:r w:rsidR="008F0743" w:rsidRPr="00375741">
              <w:rPr>
                <w:webHidden/>
              </w:rPr>
              <w:fldChar w:fldCharType="separate"/>
            </w:r>
            <w:r w:rsidR="00474E3A">
              <w:rPr>
                <w:webHidden/>
              </w:rPr>
              <w:t>2</w:t>
            </w:r>
            <w:r w:rsidR="008F0743" w:rsidRPr="00375741">
              <w:rPr>
                <w:webHidden/>
              </w:rPr>
              <w:fldChar w:fldCharType="end"/>
            </w:r>
          </w:hyperlink>
        </w:p>
        <w:p w:rsidR="008F0743" w:rsidRPr="00375741" w:rsidRDefault="00FC0785" w:rsidP="00E43F2C">
          <w:pPr>
            <w:pStyle w:val="TOC1"/>
            <w:rPr>
              <w:rFonts w:eastAsiaTheme="minorEastAsia" w:cstheme="minorBidi"/>
              <w:bdr w:val="none" w:sz="0" w:space="0" w:color="auto"/>
            </w:rPr>
          </w:pPr>
          <w:hyperlink w:anchor="_Toc49161049" w:history="1">
            <w:r w:rsidR="008F0743" w:rsidRPr="00375741">
              <w:rPr>
                <w:rStyle w:val="Hyperlink"/>
                <w:b/>
              </w:rPr>
              <w:t>II.</w:t>
            </w:r>
            <w:r w:rsidR="008F0743" w:rsidRPr="00375741">
              <w:rPr>
                <w:rFonts w:eastAsiaTheme="minorEastAsia" w:cstheme="minorBidi"/>
                <w:bdr w:val="none" w:sz="0" w:space="0" w:color="auto"/>
              </w:rPr>
              <w:tab/>
            </w:r>
            <w:r w:rsidR="008F0743" w:rsidRPr="00375741">
              <w:rPr>
                <w:rStyle w:val="Hyperlink"/>
                <w:b/>
              </w:rPr>
              <w:t>POSITIONS OF THE PARTIES</w:t>
            </w:r>
            <w:r w:rsidR="008F0743" w:rsidRPr="00375741">
              <w:rPr>
                <w:webHidden/>
              </w:rPr>
              <w:tab/>
            </w:r>
            <w:bookmarkStart w:id="0" w:name="_GoBack"/>
            <w:bookmarkEnd w:id="0"/>
            <w:r w:rsidR="008F0743" w:rsidRPr="00375741">
              <w:rPr>
                <w:webHidden/>
              </w:rPr>
              <w:fldChar w:fldCharType="begin"/>
            </w:r>
            <w:r w:rsidR="008F0743" w:rsidRPr="00375741">
              <w:rPr>
                <w:webHidden/>
              </w:rPr>
              <w:instrText xml:space="preserve"> PAGEREF _Toc49161049 \h </w:instrText>
            </w:r>
            <w:r w:rsidR="008F0743" w:rsidRPr="00375741">
              <w:rPr>
                <w:webHidden/>
              </w:rPr>
            </w:r>
            <w:r w:rsidR="008F0743" w:rsidRPr="00375741">
              <w:rPr>
                <w:webHidden/>
              </w:rPr>
              <w:fldChar w:fldCharType="separate"/>
            </w:r>
            <w:r w:rsidR="00474E3A">
              <w:rPr>
                <w:webHidden/>
              </w:rPr>
              <w:t>2</w:t>
            </w:r>
            <w:r w:rsidR="008F0743" w:rsidRPr="00375741">
              <w:rPr>
                <w:webHidden/>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0" w:history="1">
            <w:r w:rsidR="008F0743" w:rsidRPr="00375741">
              <w:rPr>
                <w:rStyle w:val="Hyperlink"/>
                <w:rFonts w:asciiTheme="majorHAnsi" w:hAnsiTheme="majorHAnsi"/>
                <w:b w:val="0"/>
                <w:noProof/>
                <w:sz w:val="19"/>
                <w:szCs w:val="19"/>
              </w:rPr>
              <w:t>A.</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Petitioners</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_Toc49161050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2</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1" w:history="1">
            <w:r w:rsidR="008F0743" w:rsidRPr="00375741">
              <w:rPr>
                <w:rStyle w:val="Hyperlink"/>
                <w:rFonts w:asciiTheme="majorHAnsi" w:hAnsiTheme="majorHAnsi"/>
                <w:b w:val="0"/>
                <w:noProof/>
                <w:sz w:val="19"/>
                <w:szCs w:val="19"/>
              </w:rPr>
              <w:t>B.</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State</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_Toc49161051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3</w:t>
            </w:r>
            <w:r w:rsidR="008F0743" w:rsidRPr="00375741">
              <w:rPr>
                <w:rFonts w:asciiTheme="majorHAnsi" w:hAnsiTheme="majorHAnsi"/>
                <w:b w:val="0"/>
                <w:noProof/>
                <w:webHidden/>
                <w:sz w:val="19"/>
                <w:szCs w:val="19"/>
              </w:rPr>
              <w:fldChar w:fldCharType="end"/>
            </w:r>
          </w:hyperlink>
        </w:p>
        <w:p w:rsidR="008F0743" w:rsidRPr="00375741" w:rsidRDefault="00FC0785" w:rsidP="00E43F2C">
          <w:pPr>
            <w:pStyle w:val="TOC1"/>
            <w:rPr>
              <w:rFonts w:eastAsiaTheme="minorEastAsia" w:cstheme="minorBidi"/>
              <w:bdr w:val="none" w:sz="0" w:space="0" w:color="auto"/>
            </w:rPr>
          </w:pPr>
          <w:hyperlink w:anchor="_Toc49161052" w:history="1">
            <w:r w:rsidR="008F0743" w:rsidRPr="00375741">
              <w:rPr>
                <w:rStyle w:val="Hyperlink"/>
                <w:b/>
              </w:rPr>
              <w:t>III.</w:t>
            </w:r>
            <w:r w:rsidR="008F0743" w:rsidRPr="00375741">
              <w:rPr>
                <w:rFonts w:eastAsiaTheme="minorEastAsia" w:cstheme="minorBidi"/>
                <w:bdr w:val="none" w:sz="0" w:space="0" w:color="auto"/>
              </w:rPr>
              <w:tab/>
            </w:r>
            <w:r w:rsidR="008F0743" w:rsidRPr="00375741">
              <w:rPr>
                <w:rStyle w:val="Hyperlink"/>
                <w:b/>
              </w:rPr>
              <w:t>ADMISSIBILITY</w:t>
            </w:r>
            <w:r w:rsidR="008F0743" w:rsidRPr="00375741">
              <w:rPr>
                <w:webHidden/>
              </w:rPr>
              <w:tab/>
            </w:r>
            <w:r w:rsidR="008F0743" w:rsidRPr="00375741">
              <w:rPr>
                <w:webHidden/>
              </w:rPr>
              <w:fldChar w:fldCharType="begin"/>
            </w:r>
            <w:r w:rsidR="008F0743" w:rsidRPr="00375741">
              <w:rPr>
                <w:webHidden/>
              </w:rPr>
              <w:instrText xml:space="preserve"> PAGEREF _Toc49161052 \h </w:instrText>
            </w:r>
            <w:r w:rsidR="008F0743" w:rsidRPr="00375741">
              <w:rPr>
                <w:webHidden/>
              </w:rPr>
            </w:r>
            <w:r w:rsidR="008F0743" w:rsidRPr="00375741">
              <w:rPr>
                <w:webHidden/>
              </w:rPr>
              <w:fldChar w:fldCharType="separate"/>
            </w:r>
            <w:r w:rsidR="00474E3A">
              <w:rPr>
                <w:webHidden/>
              </w:rPr>
              <w:t>5</w:t>
            </w:r>
            <w:r w:rsidR="008F0743" w:rsidRPr="00375741">
              <w:rPr>
                <w:webHidden/>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3" w:history="1">
            <w:r w:rsidR="008F0743" w:rsidRPr="00375741">
              <w:rPr>
                <w:rStyle w:val="Hyperlink"/>
                <w:rFonts w:asciiTheme="majorHAnsi" w:hAnsiTheme="majorHAnsi" w:cs="Times New Roman"/>
                <w:b w:val="0"/>
                <w:noProof/>
                <w:sz w:val="19"/>
                <w:szCs w:val="19"/>
              </w:rPr>
              <w:t>A.</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cs="Times New Roman"/>
                <w:b w:val="0"/>
                <w:noProof/>
                <w:sz w:val="19"/>
                <w:szCs w:val="19"/>
              </w:rPr>
              <w:t>Competence, duplication of procedures and international res judicata</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_Toc49161053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5</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4" w:history="1">
            <w:r w:rsidR="008F0743" w:rsidRPr="00375741">
              <w:rPr>
                <w:rStyle w:val="Hyperlink"/>
                <w:rFonts w:asciiTheme="majorHAnsi" w:hAnsiTheme="majorHAnsi" w:cs="Tahoma"/>
                <w:b w:val="0"/>
                <w:noProof/>
                <w:sz w:val="19"/>
                <w:szCs w:val="19"/>
              </w:rPr>
              <w:t>B.</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cs="Tahoma"/>
                <w:b w:val="0"/>
                <w:noProof/>
                <w:sz w:val="19"/>
                <w:szCs w:val="19"/>
                <w:shd w:val="clear" w:color="auto" w:fill="FFFFFF"/>
              </w:rPr>
              <w:t>Exhaustion of domestic remedies and timeliness of the petition</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_Toc49161054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5</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5" w:history="1">
            <w:r w:rsidR="008F0743" w:rsidRPr="00375741">
              <w:rPr>
                <w:rStyle w:val="Hyperlink"/>
                <w:rFonts w:asciiTheme="majorHAnsi" w:hAnsiTheme="majorHAnsi" w:cs="Times New Roman"/>
                <w:b w:val="0"/>
                <w:noProof/>
                <w:sz w:val="19"/>
                <w:szCs w:val="19"/>
              </w:rPr>
              <w:t>C.</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cs="Times New Roman"/>
                <w:b w:val="0"/>
                <w:noProof/>
                <w:sz w:val="19"/>
                <w:szCs w:val="19"/>
              </w:rPr>
              <w:t>Colorable claim</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_Toc49161055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6</w:t>
            </w:r>
            <w:r w:rsidR="008F0743" w:rsidRPr="00375741">
              <w:rPr>
                <w:rFonts w:asciiTheme="majorHAnsi" w:hAnsiTheme="majorHAnsi"/>
                <w:b w:val="0"/>
                <w:noProof/>
                <w:webHidden/>
                <w:sz w:val="19"/>
                <w:szCs w:val="19"/>
              </w:rPr>
              <w:fldChar w:fldCharType="end"/>
            </w:r>
          </w:hyperlink>
        </w:p>
        <w:p w:rsidR="008F0743" w:rsidRPr="00375741" w:rsidRDefault="00FC0785" w:rsidP="00E43F2C">
          <w:pPr>
            <w:pStyle w:val="TOC1"/>
            <w:rPr>
              <w:rFonts w:eastAsiaTheme="minorEastAsia" w:cstheme="minorBidi"/>
              <w:bdr w:val="none" w:sz="0" w:space="0" w:color="auto"/>
            </w:rPr>
          </w:pPr>
          <w:hyperlink w:anchor="_Toc49161056" w:history="1">
            <w:r w:rsidR="008F0743" w:rsidRPr="00375741">
              <w:rPr>
                <w:rStyle w:val="Hyperlink"/>
                <w:b/>
              </w:rPr>
              <w:t>IV.</w:t>
            </w:r>
            <w:r w:rsidR="008F0743" w:rsidRPr="00375741">
              <w:rPr>
                <w:rFonts w:eastAsiaTheme="minorEastAsia" w:cstheme="minorBidi"/>
                <w:bdr w:val="none" w:sz="0" w:space="0" w:color="auto"/>
              </w:rPr>
              <w:tab/>
            </w:r>
            <w:r w:rsidR="008F0743" w:rsidRPr="00375741">
              <w:rPr>
                <w:rStyle w:val="Hyperlink"/>
                <w:b/>
              </w:rPr>
              <w:t>FINDINGS OF FACT</w:t>
            </w:r>
            <w:r w:rsidR="008F0743" w:rsidRPr="00375741">
              <w:rPr>
                <w:webHidden/>
              </w:rPr>
              <w:tab/>
            </w:r>
            <w:r w:rsidR="008F0743" w:rsidRPr="00375741">
              <w:rPr>
                <w:webHidden/>
              </w:rPr>
              <w:fldChar w:fldCharType="begin"/>
            </w:r>
            <w:r w:rsidR="008F0743" w:rsidRPr="00375741">
              <w:rPr>
                <w:webHidden/>
              </w:rPr>
              <w:instrText xml:space="preserve"> PAGEREF _Toc49161056 \h </w:instrText>
            </w:r>
            <w:r w:rsidR="008F0743" w:rsidRPr="00375741">
              <w:rPr>
                <w:webHidden/>
              </w:rPr>
            </w:r>
            <w:r w:rsidR="008F0743" w:rsidRPr="00375741">
              <w:rPr>
                <w:webHidden/>
              </w:rPr>
              <w:fldChar w:fldCharType="separate"/>
            </w:r>
            <w:r w:rsidR="00474E3A">
              <w:rPr>
                <w:webHidden/>
              </w:rPr>
              <w:t>6</w:t>
            </w:r>
            <w:r w:rsidR="008F0743" w:rsidRPr="00375741">
              <w:rPr>
                <w:webHidden/>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7" w:history="1">
            <w:r w:rsidR="008F0743" w:rsidRPr="00375741">
              <w:rPr>
                <w:rStyle w:val="Hyperlink"/>
                <w:rFonts w:asciiTheme="majorHAnsi" w:hAnsiTheme="majorHAnsi"/>
                <w:b w:val="0"/>
                <w:noProof/>
                <w:sz w:val="19"/>
                <w:szCs w:val="19"/>
              </w:rPr>
              <w:t>A.</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The federal death penalty system</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_Toc49161057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6</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8" w:history="1">
            <w:r w:rsidR="008F0743" w:rsidRPr="00375741">
              <w:rPr>
                <w:rStyle w:val="Hyperlink"/>
                <w:rFonts w:asciiTheme="majorHAnsi" w:hAnsiTheme="majorHAnsi"/>
                <w:b w:val="0"/>
                <w:noProof/>
                <w:sz w:val="19"/>
                <w:szCs w:val="19"/>
              </w:rPr>
              <w:t>B.</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The federal death penalty, Indian jurisdiction and the Navajo Nation</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_Toc49161058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7</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59" w:history="1">
            <w:r w:rsidR="008F0743" w:rsidRPr="00375741">
              <w:rPr>
                <w:rStyle w:val="Hyperlink"/>
                <w:rFonts w:asciiTheme="majorHAnsi" w:hAnsiTheme="majorHAnsi"/>
                <w:b w:val="0"/>
                <w:noProof/>
                <w:sz w:val="19"/>
                <w:szCs w:val="19"/>
              </w:rPr>
              <w:t>C.</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Relevant legal framework</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_Toc49161059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8</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60" w:history="1">
            <w:r w:rsidR="008F0743" w:rsidRPr="00375741">
              <w:rPr>
                <w:rStyle w:val="Hyperlink"/>
                <w:rFonts w:asciiTheme="majorHAnsi" w:hAnsiTheme="majorHAnsi"/>
                <w:b w:val="0"/>
                <w:noProof/>
                <w:sz w:val="19"/>
                <w:szCs w:val="19"/>
              </w:rPr>
              <w:t xml:space="preserve">D. </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Factual background, trial and death sentence</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_Toc49161060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8</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61" w:history="1">
            <w:r w:rsidR="008F0743" w:rsidRPr="00375741">
              <w:rPr>
                <w:rStyle w:val="Hyperlink"/>
                <w:rFonts w:asciiTheme="majorHAnsi" w:hAnsiTheme="majorHAnsi"/>
                <w:b w:val="0"/>
                <w:noProof/>
                <w:sz w:val="19"/>
                <w:szCs w:val="19"/>
              </w:rPr>
              <w:t xml:space="preserve">E. </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Post-conviction proceedings</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_Toc49161061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11</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62" w:history="1">
            <w:r w:rsidR="008F0743" w:rsidRPr="00375741">
              <w:rPr>
                <w:rStyle w:val="Hyperlink"/>
                <w:rFonts w:asciiTheme="majorHAnsi" w:hAnsiTheme="majorHAnsi"/>
                <w:b w:val="0"/>
                <w:noProof/>
                <w:sz w:val="19"/>
                <w:szCs w:val="19"/>
              </w:rPr>
              <w:t>F.</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Civil procedure’s motion (60(b) motion)</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_Toc49161062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13</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63" w:history="1">
            <w:r w:rsidR="008F0743" w:rsidRPr="00375741">
              <w:rPr>
                <w:rStyle w:val="Hyperlink"/>
                <w:rFonts w:asciiTheme="majorHAnsi" w:hAnsiTheme="majorHAnsi"/>
                <w:b w:val="0"/>
                <w:noProof/>
                <w:sz w:val="19"/>
                <w:szCs w:val="19"/>
              </w:rPr>
              <w:t xml:space="preserve">G. </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Legal proceedings regarding the lethal injection protocol</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_Toc49161063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14</w:t>
            </w:r>
            <w:r w:rsidR="008F0743" w:rsidRPr="00375741">
              <w:rPr>
                <w:rFonts w:asciiTheme="majorHAnsi" w:hAnsiTheme="majorHAnsi"/>
                <w:b w:val="0"/>
                <w:noProof/>
                <w:webHidden/>
                <w:sz w:val="19"/>
                <w:szCs w:val="19"/>
              </w:rPr>
              <w:fldChar w:fldCharType="end"/>
            </w:r>
          </w:hyperlink>
        </w:p>
        <w:p w:rsidR="008F0743" w:rsidRPr="00E43F2C" w:rsidRDefault="00FC0785" w:rsidP="00E43F2C">
          <w:pPr>
            <w:pStyle w:val="TOC1"/>
            <w:rPr>
              <w:rFonts w:eastAsiaTheme="minorEastAsia" w:cstheme="minorBidi"/>
              <w:bdr w:val="none" w:sz="0" w:space="0" w:color="auto"/>
            </w:rPr>
          </w:pPr>
          <w:hyperlink w:anchor="_Toc49161064" w:history="1">
            <w:r w:rsidR="008F0743" w:rsidRPr="00E43F2C">
              <w:rPr>
                <w:rStyle w:val="Hyperlink"/>
                <w:b/>
              </w:rPr>
              <w:t>V.</w:t>
            </w:r>
            <w:r w:rsidR="008F0743" w:rsidRPr="00E43F2C">
              <w:rPr>
                <w:rFonts w:eastAsiaTheme="minorEastAsia" w:cstheme="minorBidi"/>
                <w:bdr w:val="none" w:sz="0" w:space="0" w:color="auto"/>
              </w:rPr>
              <w:tab/>
            </w:r>
            <w:r w:rsidR="008F0743" w:rsidRPr="00E43F2C">
              <w:rPr>
                <w:rStyle w:val="Hyperlink"/>
                <w:b/>
              </w:rPr>
              <w:t>ANALYSIS OF LAW</w:t>
            </w:r>
            <w:r w:rsidR="008F0743" w:rsidRPr="00E43F2C">
              <w:rPr>
                <w:webHidden/>
              </w:rPr>
              <w:tab/>
            </w:r>
            <w:r w:rsidR="008F0743" w:rsidRPr="00E43F2C">
              <w:rPr>
                <w:webHidden/>
              </w:rPr>
              <w:fldChar w:fldCharType="begin"/>
            </w:r>
            <w:r w:rsidR="008F0743" w:rsidRPr="00E43F2C">
              <w:rPr>
                <w:webHidden/>
              </w:rPr>
              <w:instrText xml:space="preserve"> PAGEREF _Toc49161064 \h </w:instrText>
            </w:r>
            <w:r w:rsidR="008F0743" w:rsidRPr="00E43F2C">
              <w:rPr>
                <w:webHidden/>
              </w:rPr>
            </w:r>
            <w:r w:rsidR="008F0743" w:rsidRPr="00E43F2C">
              <w:rPr>
                <w:webHidden/>
              </w:rPr>
              <w:fldChar w:fldCharType="separate"/>
            </w:r>
            <w:r w:rsidR="00474E3A">
              <w:rPr>
                <w:webHidden/>
              </w:rPr>
              <w:t>14</w:t>
            </w:r>
            <w:r w:rsidR="008F0743" w:rsidRPr="00E43F2C">
              <w:rPr>
                <w:webHidden/>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65" w:history="1">
            <w:r w:rsidR="008F0743" w:rsidRPr="00375741">
              <w:rPr>
                <w:rStyle w:val="Hyperlink"/>
                <w:rFonts w:asciiTheme="majorHAnsi" w:hAnsiTheme="majorHAnsi"/>
                <w:b w:val="0"/>
                <w:noProof/>
                <w:sz w:val="19"/>
                <w:szCs w:val="19"/>
              </w:rPr>
              <w:t>A.</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Preliminary considerations</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_Toc49161065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14</w:t>
            </w:r>
            <w:r w:rsidR="008F0743" w:rsidRPr="00375741">
              <w:rPr>
                <w:rFonts w:asciiTheme="majorHAnsi" w:hAnsiTheme="majorHAnsi"/>
                <w:b w:val="0"/>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66" w:history="1">
            <w:r w:rsidR="008F0743" w:rsidRPr="00375741">
              <w:rPr>
                <w:rStyle w:val="Hyperlink"/>
                <w:rFonts w:asciiTheme="majorHAnsi" w:hAnsiTheme="majorHAnsi"/>
                <w:b w:val="0"/>
                <w:noProof/>
                <w:sz w:val="19"/>
                <w:szCs w:val="19"/>
              </w:rPr>
              <w:t>B.</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Right of protection from arbitrary arrest</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_Toc49161066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15</w:t>
            </w:r>
            <w:r w:rsidR="008F0743" w:rsidRPr="00375741">
              <w:rPr>
                <w:rFonts w:asciiTheme="majorHAnsi" w:hAnsiTheme="majorHAnsi"/>
                <w:b w:val="0"/>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67" w:history="1">
            <w:r w:rsidR="008F0743" w:rsidRPr="00375741">
              <w:rPr>
                <w:rStyle w:val="Hyperlink"/>
                <w:rFonts w:asciiTheme="majorHAnsi" w:hAnsiTheme="majorHAnsi"/>
                <w:noProof/>
                <w:sz w:val="19"/>
                <w:szCs w:val="19"/>
              </w:rPr>
              <w:t>1.</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General considerations on the right not to be illegally or arbitrary arrested</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_Toc49161067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15</w:t>
            </w:r>
            <w:r w:rsidR="008F0743" w:rsidRPr="00375741">
              <w:rPr>
                <w:rFonts w:asciiTheme="majorHAnsi" w:hAnsiTheme="majorHAnsi"/>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68" w:history="1">
            <w:r w:rsidR="008F0743" w:rsidRPr="00375741">
              <w:rPr>
                <w:rStyle w:val="Hyperlink"/>
                <w:rFonts w:asciiTheme="majorHAnsi" w:hAnsiTheme="majorHAnsi"/>
                <w:noProof/>
                <w:sz w:val="19"/>
                <w:szCs w:val="19"/>
              </w:rPr>
              <w:t>2.</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Analysis of the case</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_Toc49161068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16</w:t>
            </w:r>
            <w:r w:rsidR="008F0743" w:rsidRPr="00375741">
              <w:rPr>
                <w:rFonts w:asciiTheme="majorHAnsi" w:hAnsiTheme="majorHAnsi"/>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69" w:history="1">
            <w:r w:rsidR="008F0743" w:rsidRPr="00375741">
              <w:rPr>
                <w:rStyle w:val="Hyperlink"/>
                <w:rFonts w:asciiTheme="majorHAnsi" w:hAnsiTheme="majorHAnsi"/>
                <w:b w:val="0"/>
                <w:noProof/>
                <w:sz w:val="19"/>
                <w:szCs w:val="19"/>
              </w:rPr>
              <w:t>C.</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Right to a fair trial and right to due process of law</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_Toc49161069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17</w:t>
            </w:r>
            <w:r w:rsidR="008F0743" w:rsidRPr="00375741">
              <w:rPr>
                <w:rFonts w:asciiTheme="majorHAnsi" w:hAnsiTheme="majorHAnsi"/>
                <w:b w:val="0"/>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0" w:history="1">
            <w:r w:rsidR="008F0743" w:rsidRPr="00375741">
              <w:rPr>
                <w:rStyle w:val="Hyperlink"/>
                <w:rFonts w:asciiTheme="majorHAnsi" w:hAnsiTheme="majorHAnsi"/>
                <w:noProof/>
                <w:sz w:val="19"/>
                <w:szCs w:val="19"/>
              </w:rPr>
              <w:t>1.</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General considerations on the right to self-determination and cultural identity of indigenous peoples, in relation to the rights to a fair trial and to due process of law</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_Toc49161070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17</w:t>
            </w:r>
            <w:r w:rsidR="008F0743" w:rsidRPr="00375741">
              <w:rPr>
                <w:rFonts w:asciiTheme="majorHAnsi" w:hAnsiTheme="majorHAnsi"/>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1" w:history="1">
            <w:r w:rsidR="008F0743" w:rsidRPr="00375741">
              <w:rPr>
                <w:rStyle w:val="Hyperlink"/>
                <w:rFonts w:asciiTheme="majorHAnsi" w:hAnsiTheme="majorHAnsi"/>
                <w:noProof/>
                <w:sz w:val="19"/>
                <w:szCs w:val="19"/>
              </w:rPr>
              <w:t>2.</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Analysis of the case</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_Toc49161071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18</w:t>
            </w:r>
            <w:r w:rsidR="008F0743" w:rsidRPr="00375741">
              <w:rPr>
                <w:rFonts w:asciiTheme="majorHAnsi" w:hAnsiTheme="majorHAnsi"/>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2" w:history="1">
            <w:r w:rsidR="008F0743" w:rsidRPr="00375741">
              <w:rPr>
                <w:rStyle w:val="Hyperlink"/>
                <w:rFonts w:asciiTheme="majorHAnsi" w:hAnsiTheme="majorHAnsi"/>
                <w:noProof/>
                <w:sz w:val="19"/>
                <w:szCs w:val="19"/>
              </w:rPr>
              <w:t>3.</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Right to counsel</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_Toc49161072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21</w:t>
            </w:r>
            <w:r w:rsidR="008F0743" w:rsidRPr="00375741">
              <w:rPr>
                <w:rFonts w:asciiTheme="majorHAnsi" w:hAnsiTheme="majorHAnsi"/>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3" w:history="1">
            <w:r w:rsidR="008F0743" w:rsidRPr="00375741">
              <w:rPr>
                <w:rStyle w:val="Hyperlink"/>
                <w:rFonts w:asciiTheme="majorHAnsi" w:hAnsiTheme="majorHAnsi"/>
                <w:noProof/>
                <w:sz w:val="19"/>
                <w:szCs w:val="19"/>
              </w:rPr>
              <w:t>4.</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Ineffective assistance of court-appointed counsel</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_Toc49161073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21</w:t>
            </w:r>
            <w:r w:rsidR="008F0743" w:rsidRPr="00375741">
              <w:rPr>
                <w:rFonts w:asciiTheme="majorHAnsi" w:hAnsiTheme="majorHAnsi"/>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4" w:history="1">
            <w:r w:rsidR="008F0743" w:rsidRPr="00375741">
              <w:rPr>
                <w:rStyle w:val="Hyperlink"/>
                <w:rFonts w:asciiTheme="majorHAnsi" w:hAnsiTheme="majorHAnsi"/>
                <w:noProof/>
                <w:sz w:val="19"/>
                <w:szCs w:val="19"/>
              </w:rPr>
              <w:t>5.</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Analysis of the case</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_Toc49161074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22</w:t>
            </w:r>
            <w:r w:rsidR="008F0743" w:rsidRPr="00375741">
              <w:rPr>
                <w:rFonts w:asciiTheme="majorHAnsi" w:hAnsiTheme="majorHAnsi"/>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5" w:history="1">
            <w:r w:rsidR="008F0743" w:rsidRPr="00375741">
              <w:rPr>
                <w:rStyle w:val="Hyperlink"/>
                <w:rFonts w:asciiTheme="majorHAnsi" w:hAnsiTheme="majorHAnsi"/>
                <w:noProof/>
                <w:sz w:val="19"/>
                <w:szCs w:val="19"/>
              </w:rPr>
              <w:t>6.</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Access to effective remedies</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_Toc49161075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23</w:t>
            </w:r>
            <w:r w:rsidR="008F0743" w:rsidRPr="00375741">
              <w:rPr>
                <w:rFonts w:asciiTheme="majorHAnsi" w:hAnsiTheme="majorHAnsi"/>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76" w:history="1">
            <w:r w:rsidR="008F0743" w:rsidRPr="00375741">
              <w:rPr>
                <w:rStyle w:val="Hyperlink"/>
                <w:rFonts w:asciiTheme="majorHAnsi" w:hAnsiTheme="majorHAnsi"/>
                <w:b w:val="0"/>
                <w:noProof/>
                <w:sz w:val="19"/>
                <w:szCs w:val="19"/>
              </w:rPr>
              <w:t>D.</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Right not to receive cruel, infamous or unusual punishment</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_Toc49161076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24</w:t>
            </w:r>
            <w:r w:rsidR="008F0743" w:rsidRPr="00375741">
              <w:rPr>
                <w:rFonts w:asciiTheme="majorHAnsi" w:hAnsiTheme="majorHAnsi"/>
                <w:b w:val="0"/>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7" w:history="1">
            <w:r w:rsidR="008F0743" w:rsidRPr="00375741">
              <w:rPr>
                <w:rStyle w:val="Hyperlink"/>
                <w:rFonts w:asciiTheme="majorHAnsi" w:hAnsiTheme="majorHAnsi"/>
                <w:noProof/>
                <w:sz w:val="19"/>
                <w:szCs w:val="19"/>
              </w:rPr>
              <w:t>1.</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Method of execution</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_Toc49161077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24</w:t>
            </w:r>
            <w:r w:rsidR="008F0743" w:rsidRPr="00375741">
              <w:rPr>
                <w:rFonts w:asciiTheme="majorHAnsi" w:hAnsiTheme="majorHAnsi"/>
                <w:noProof/>
                <w:webHidden/>
                <w:sz w:val="19"/>
                <w:szCs w:val="19"/>
              </w:rPr>
              <w:fldChar w:fldCharType="end"/>
            </w:r>
          </w:hyperlink>
        </w:p>
        <w:p w:rsidR="008F0743" w:rsidRPr="00375741" w:rsidRDefault="00FC0785">
          <w:pPr>
            <w:pStyle w:val="TOC3"/>
            <w:tabs>
              <w:tab w:val="left" w:pos="960"/>
              <w:tab w:val="right" w:leader="dot" w:pos="9350"/>
            </w:tabs>
            <w:rPr>
              <w:rFonts w:asciiTheme="majorHAnsi" w:eastAsiaTheme="minorEastAsia" w:hAnsiTheme="majorHAnsi" w:cstheme="minorBidi"/>
              <w:noProof/>
              <w:sz w:val="19"/>
              <w:szCs w:val="19"/>
              <w:bdr w:val="none" w:sz="0" w:space="0" w:color="auto"/>
            </w:rPr>
          </w:pPr>
          <w:hyperlink w:anchor="_Toc49161078" w:history="1">
            <w:r w:rsidR="008F0743" w:rsidRPr="00375741">
              <w:rPr>
                <w:rStyle w:val="Hyperlink"/>
                <w:rFonts w:asciiTheme="majorHAnsi" w:hAnsiTheme="majorHAnsi"/>
                <w:noProof/>
                <w:sz w:val="19"/>
                <w:szCs w:val="19"/>
              </w:rPr>
              <w:t>2.</w:t>
            </w:r>
            <w:r w:rsidR="008F0743" w:rsidRPr="00375741">
              <w:rPr>
                <w:rFonts w:asciiTheme="majorHAnsi" w:eastAsiaTheme="minorEastAsia" w:hAnsiTheme="majorHAnsi" w:cstheme="minorBidi"/>
                <w:noProof/>
                <w:sz w:val="19"/>
                <w:szCs w:val="19"/>
                <w:bdr w:val="none" w:sz="0" w:space="0" w:color="auto"/>
              </w:rPr>
              <w:tab/>
            </w:r>
            <w:r w:rsidR="008F0743" w:rsidRPr="00375741">
              <w:rPr>
                <w:rStyle w:val="Hyperlink"/>
                <w:rFonts w:asciiTheme="majorHAnsi" w:hAnsiTheme="majorHAnsi"/>
                <w:noProof/>
                <w:sz w:val="19"/>
                <w:szCs w:val="19"/>
              </w:rPr>
              <w:t>The deprivation of liberty on death row and the right of protection against cruel, infamous or unusual punishment</w:t>
            </w:r>
            <w:r w:rsidR="008F0743" w:rsidRPr="00375741">
              <w:rPr>
                <w:rFonts w:asciiTheme="majorHAnsi" w:hAnsiTheme="majorHAnsi"/>
                <w:noProof/>
                <w:webHidden/>
                <w:sz w:val="19"/>
                <w:szCs w:val="19"/>
              </w:rPr>
              <w:tab/>
            </w:r>
            <w:r w:rsidR="008F0743" w:rsidRPr="00375741">
              <w:rPr>
                <w:rFonts w:asciiTheme="majorHAnsi" w:hAnsiTheme="majorHAnsi"/>
                <w:noProof/>
                <w:webHidden/>
                <w:sz w:val="19"/>
                <w:szCs w:val="19"/>
              </w:rPr>
              <w:fldChar w:fldCharType="begin"/>
            </w:r>
            <w:r w:rsidR="008F0743" w:rsidRPr="00375741">
              <w:rPr>
                <w:rFonts w:asciiTheme="majorHAnsi" w:hAnsiTheme="majorHAnsi"/>
                <w:noProof/>
                <w:webHidden/>
                <w:sz w:val="19"/>
                <w:szCs w:val="19"/>
              </w:rPr>
              <w:instrText xml:space="preserve"> PAGEREF _Toc49161078 \h </w:instrText>
            </w:r>
            <w:r w:rsidR="008F0743" w:rsidRPr="00375741">
              <w:rPr>
                <w:rFonts w:asciiTheme="majorHAnsi" w:hAnsiTheme="majorHAnsi"/>
                <w:noProof/>
                <w:webHidden/>
                <w:sz w:val="19"/>
                <w:szCs w:val="19"/>
              </w:rPr>
            </w:r>
            <w:r w:rsidR="008F0743" w:rsidRPr="00375741">
              <w:rPr>
                <w:rFonts w:asciiTheme="majorHAnsi" w:hAnsiTheme="majorHAnsi"/>
                <w:noProof/>
                <w:webHidden/>
                <w:sz w:val="19"/>
                <w:szCs w:val="19"/>
              </w:rPr>
              <w:fldChar w:fldCharType="separate"/>
            </w:r>
            <w:r w:rsidR="00474E3A">
              <w:rPr>
                <w:rFonts w:asciiTheme="majorHAnsi" w:hAnsiTheme="majorHAnsi"/>
                <w:noProof/>
                <w:webHidden/>
                <w:sz w:val="19"/>
                <w:szCs w:val="19"/>
              </w:rPr>
              <w:t>25</w:t>
            </w:r>
            <w:r w:rsidR="008F0743" w:rsidRPr="00375741">
              <w:rPr>
                <w:rFonts w:asciiTheme="majorHAnsi" w:hAnsiTheme="majorHAnsi"/>
                <w:noProof/>
                <w:webHidden/>
                <w:sz w:val="19"/>
                <w:szCs w:val="19"/>
              </w:rPr>
              <w:fldChar w:fldCharType="end"/>
            </w:r>
          </w:hyperlink>
        </w:p>
        <w:p w:rsidR="008F0743" w:rsidRPr="00375741" w:rsidRDefault="00FC0785">
          <w:pPr>
            <w:pStyle w:val="TOC2"/>
            <w:tabs>
              <w:tab w:val="left" w:pos="720"/>
              <w:tab w:val="right" w:leader="dot" w:pos="9350"/>
            </w:tabs>
            <w:rPr>
              <w:rFonts w:asciiTheme="majorHAnsi" w:eastAsiaTheme="minorEastAsia" w:hAnsiTheme="majorHAnsi" w:cstheme="minorBidi"/>
              <w:b w:val="0"/>
              <w:bCs w:val="0"/>
              <w:noProof/>
              <w:sz w:val="19"/>
              <w:szCs w:val="19"/>
              <w:bdr w:val="none" w:sz="0" w:space="0" w:color="auto"/>
            </w:rPr>
          </w:pPr>
          <w:hyperlink w:anchor="_Toc49161079" w:history="1">
            <w:r w:rsidR="008F0743" w:rsidRPr="00375741">
              <w:rPr>
                <w:rStyle w:val="Hyperlink"/>
                <w:rFonts w:asciiTheme="majorHAnsi" w:hAnsiTheme="majorHAnsi"/>
                <w:b w:val="0"/>
                <w:noProof/>
                <w:sz w:val="19"/>
                <w:szCs w:val="19"/>
              </w:rPr>
              <w:t>E.</w:t>
            </w:r>
            <w:r w:rsidR="008F0743" w:rsidRPr="00375741">
              <w:rPr>
                <w:rFonts w:asciiTheme="majorHAnsi" w:eastAsiaTheme="minorEastAsia" w:hAnsiTheme="majorHAnsi" w:cstheme="minorBidi"/>
                <w:b w:val="0"/>
                <w:bCs w:val="0"/>
                <w:noProof/>
                <w:sz w:val="19"/>
                <w:szCs w:val="19"/>
                <w:bdr w:val="none" w:sz="0" w:space="0" w:color="auto"/>
              </w:rPr>
              <w:tab/>
            </w:r>
            <w:r w:rsidR="008F0743" w:rsidRPr="00375741">
              <w:rPr>
                <w:rStyle w:val="Hyperlink"/>
                <w:rFonts w:asciiTheme="majorHAnsi" w:hAnsiTheme="majorHAnsi"/>
                <w:b w:val="0"/>
                <w:noProof/>
                <w:sz w:val="19"/>
                <w:szCs w:val="19"/>
              </w:rPr>
              <w:t>Right to life and to protection against cruel, infamous or unusual punishment with respect to the eventual execution of Lezmond M. Mitchell</w:t>
            </w:r>
            <w:r w:rsidR="008F0743" w:rsidRPr="00375741">
              <w:rPr>
                <w:rFonts w:asciiTheme="majorHAnsi" w:hAnsiTheme="majorHAnsi"/>
                <w:b w:val="0"/>
                <w:noProof/>
                <w:webHidden/>
                <w:sz w:val="19"/>
                <w:szCs w:val="19"/>
              </w:rPr>
              <w:tab/>
            </w:r>
            <w:r w:rsidR="008F0743" w:rsidRPr="00375741">
              <w:rPr>
                <w:rFonts w:asciiTheme="majorHAnsi" w:hAnsiTheme="majorHAnsi"/>
                <w:b w:val="0"/>
                <w:noProof/>
                <w:webHidden/>
                <w:sz w:val="19"/>
                <w:szCs w:val="19"/>
              </w:rPr>
              <w:fldChar w:fldCharType="begin"/>
            </w:r>
            <w:r w:rsidR="008F0743" w:rsidRPr="00375741">
              <w:rPr>
                <w:rFonts w:asciiTheme="majorHAnsi" w:hAnsiTheme="majorHAnsi"/>
                <w:b w:val="0"/>
                <w:noProof/>
                <w:webHidden/>
                <w:sz w:val="19"/>
                <w:szCs w:val="19"/>
              </w:rPr>
              <w:instrText xml:space="preserve"> PAGEREF _Toc49161079 \h </w:instrText>
            </w:r>
            <w:r w:rsidR="008F0743" w:rsidRPr="00375741">
              <w:rPr>
                <w:rFonts w:asciiTheme="majorHAnsi" w:hAnsiTheme="majorHAnsi"/>
                <w:b w:val="0"/>
                <w:noProof/>
                <w:webHidden/>
                <w:sz w:val="19"/>
                <w:szCs w:val="19"/>
              </w:rPr>
            </w:r>
            <w:r w:rsidR="008F0743" w:rsidRPr="00375741">
              <w:rPr>
                <w:rFonts w:asciiTheme="majorHAnsi" w:hAnsiTheme="majorHAnsi"/>
                <w:b w:val="0"/>
                <w:noProof/>
                <w:webHidden/>
                <w:sz w:val="19"/>
                <w:szCs w:val="19"/>
              </w:rPr>
              <w:fldChar w:fldCharType="separate"/>
            </w:r>
            <w:r w:rsidR="00474E3A">
              <w:rPr>
                <w:rFonts w:asciiTheme="majorHAnsi" w:hAnsiTheme="majorHAnsi"/>
                <w:b w:val="0"/>
                <w:noProof/>
                <w:webHidden/>
                <w:sz w:val="19"/>
                <w:szCs w:val="19"/>
              </w:rPr>
              <w:t>26</w:t>
            </w:r>
            <w:r w:rsidR="008F0743" w:rsidRPr="00375741">
              <w:rPr>
                <w:rFonts w:asciiTheme="majorHAnsi" w:hAnsiTheme="majorHAnsi"/>
                <w:b w:val="0"/>
                <w:noProof/>
                <w:webHidden/>
                <w:sz w:val="19"/>
                <w:szCs w:val="19"/>
              </w:rPr>
              <w:fldChar w:fldCharType="end"/>
            </w:r>
          </w:hyperlink>
        </w:p>
        <w:p w:rsidR="008F0743" w:rsidRPr="00E43F2C" w:rsidRDefault="00FC0785" w:rsidP="00E43F2C">
          <w:pPr>
            <w:pStyle w:val="TOC1"/>
            <w:rPr>
              <w:rFonts w:eastAsiaTheme="minorEastAsia" w:cstheme="minorBidi"/>
              <w:b/>
              <w:bdr w:val="none" w:sz="0" w:space="0" w:color="auto"/>
            </w:rPr>
          </w:pPr>
          <w:hyperlink w:anchor="_Toc49161080" w:history="1">
            <w:r w:rsidR="008F0743" w:rsidRPr="00E43F2C">
              <w:rPr>
                <w:rStyle w:val="Hyperlink"/>
                <w:b/>
              </w:rPr>
              <w:t>VI.</w:t>
            </w:r>
            <w:r w:rsidR="008F0743" w:rsidRPr="00E43F2C">
              <w:rPr>
                <w:rFonts w:eastAsiaTheme="minorEastAsia" w:cstheme="minorBidi"/>
                <w:b/>
                <w:bdr w:val="none" w:sz="0" w:space="0" w:color="auto"/>
              </w:rPr>
              <w:tab/>
            </w:r>
            <w:r w:rsidR="008F0743" w:rsidRPr="00E43F2C">
              <w:rPr>
                <w:rStyle w:val="Hyperlink"/>
                <w:b/>
              </w:rPr>
              <w:t>REPORT No. 193/20 AND INFORMATION ABOUT COMPLIANCE</w:t>
            </w:r>
            <w:r w:rsidR="008F0743" w:rsidRPr="00E43F2C">
              <w:rPr>
                <w:b/>
                <w:webHidden/>
              </w:rPr>
              <w:tab/>
            </w:r>
            <w:r w:rsidR="008F0743" w:rsidRPr="00E43F2C">
              <w:rPr>
                <w:b/>
                <w:webHidden/>
              </w:rPr>
              <w:fldChar w:fldCharType="begin"/>
            </w:r>
            <w:r w:rsidR="008F0743" w:rsidRPr="00E43F2C">
              <w:rPr>
                <w:b/>
                <w:webHidden/>
              </w:rPr>
              <w:instrText xml:space="preserve"> PAGEREF _Toc49161080 \h </w:instrText>
            </w:r>
            <w:r w:rsidR="008F0743" w:rsidRPr="00E43F2C">
              <w:rPr>
                <w:b/>
                <w:webHidden/>
              </w:rPr>
            </w:r>
            <w:r w:rsidR="008F0743" w:rsidRPr="00E43F2C">
              <w:rPr>
                <w:b/>
                <w:webHidden/>
              </w:rPr>
              <w:fldChar w:fldCharType="separate"/>
            </w:r>
            <w:r w:rsidR="00474E3A">
              <w:rPr>
                <w:b/>
                <w:webHidden/>
              </w:rPr>
              <w:t>26</w:t>
            </w:r>
            <w:r w:rsidR="008F0743" w:rsidRPr="00E43F2C">
              <w:rPr>
                <w:b/>
                <w:webHidden/>
              </w:rPr>
              <w:fldChar w:fldCharType="end"/>
            </w:r>
          </w:hyperlink>
        </w:p>
        <w:p w:rsidR="008F0743" w:rsidRPr="00E43F2C" w:rsidRDefault="00FC0785" w:rsidP="00E43F2C">
          <w:pPr>
            <w:pStyle w:val="TOC1"/>
            <w:rPr>
              <w:rFonts w:eastAsiaTheme="minorEastAsia" w:cstheme="minorBidi"/>
              <w:b/>
              <w:bdr w:val="none" w:sz="0" w:space="0" w:color="auto"/>
            </w:rPr>
          </w:pPr>
          <w:hyperlink w:anchor="_Toc49161081" w:history="1">
            <w:r w:rsidR="008F0743" w:rsidRPr="00E43F2C">
              <w:rPr>
                <w:rStyle w:val="Hyperlink"/>
                <w:b/>
              </w:rPr>
              <w:t>VII.</w:t>
            </w:r>
            <w:r w:rsidR="008F0743" w:rsidRPr="00E43F2C">
              <w:rPr>
                <w:rFonts w:eastAsiaTheme="minorEastAsia" w:cstheme="minorBidi"/>
                <w:b/>
                <w:bdr w:val="none" w:sz="0" w:space="0" w:color="auto"/>
              </w:rPr>
              <w:tab/>
            </w:r>
            <w:r w:rsidR="008F0743" w:rsidRPr="00E43F2C">
              <w:rPr>
                <w:rStyle w:val="Hyperlink"/>
                <w:b/>
              </w:rPr>
              <w:t>REPORT No. 209/20 AND INFORMATION ABOUT COMPLIANCE</w:t>
            </w:r>
            <w:r w:rsidR="008F0743" w:rsidRPr="00E43F2C">
              <w:rPr>
                <w:b/>
                <w:webHidden/>
              </w:rPr>
              <w:tab/>
            </w:r>
            <w:r w:rsidR="008F0743" w:rsidRPr="00E43F2C">
              <w:rPr>
                <w:b/>
                <w:webHidden/>
              </w:rPr>
              <w:fldChar w:fldCharType="begin"/>
            </w:r>
            <w:r w:rsidR="008F0743" w:rsidRPr="00E43F2C">
              <w:rPr>
                <w:b/>
                <w:webHidden/>
              </w:rPr>
              <w:instrText xml:space="preserve"> PAGEREF _Toc49161081 \h </w:instrText>
            </w:r>
            <w:r w:rsidR="008F0743" w:rsidRPr="00E43F2C">
              <w:rPr>
                <w:b/>
                <w:webHidden/>
              </w:rPr>
            </w:r>
            <w:r w:rsidR="008F0743" w:rsidRPr="00E43F2C">
              <w:rPr>
                <w:b/>
                <w:webHidden/>
              </w:rPr>
              <w:fldChar w:fldCharType="separate"/>
            </w:r>
            <w:r w:rsidR="00474E3A">
              <w:rPr>
                <w:b/>
                <w:webHidden/>
              </w:rPr>
              <w:t>27</w:t>
            </w:r>
            <w:r w:rsidR="008F0743" w:rsidRPr="00E43F2C">
              <w:rPr>
                <w:b/>
                <w:webHidden/>
              </w:rPr>
              <w:fldChar w:fldCharType="end"/>
            </w:r>
          </w:hyperlink>
        </w:p>
        <w:p w:rsidR="008F0743" w:rsidRPr="00E43F2C" w:rsidRDefault="00FC0785" w:rsidP="00E43F2C">
          <w:pPr>
            <w:pStyle w:val="TOC1"/>
            <w:rPr>
              <w:rFonts w:eastAsiaTheme="minorEastAsia" w:cstheme="minorBidi"/>
              <w:b/>
              <w:bdr w:val="none" w:sz="0" w:space="0" w:color="auto"/>
            </w:rPr>
          </w:pPr>
          <w:hyperlink w:anchor="_Toc49161082" w:history="1">
            <w:r w:rsidR="008F0743" w:rsidRPr="00E43F2C">
              <w:rPr>
                <w:rStyle w:val="Hyperlink"/>
                <w:b/>
              </w:rPr>
              <w:t>VIII.</w:t>
            </w:r>
            <w:r w:rsidR="008F0743" w:rsidRPr="00E43F2C">
              <w:rPr>
                <w:rFonts w:eastAsiaTheme="minorEastAsia" w:cstheme="minorBidi"/>
                <w:b/>
                <w:bdr w:val="none" w:sz="0" w:space="0" w:color="auto"/>
              </w:rPr>
              <w:tab/>
            </w:r>
            <w:r w:rsidR="008F0743" w:rsidRPr="00E43F2C">
              <w:rPr>
                <w:rStyle w:val="Hyperlink"/>
                <w:b/>
              </w:rPr>
              <w:t>CONCLUSIONS AND RECOMMENDATIONS</w:t>
            </w:r>
            <w:r w:rsidR="008F0743" w:rsidRPr="00E43F2C">
              <w:rPr>
                <w:b/>
                <w:webHidden/>
              </w:rPr>
              <w:tab/>
            </w:r>
            <w:r w:rsidR="008F0743" w:rsidRPr="00E43F2C">
              <w:rPr>
                <w:b/>
                <w:webHidden/>
              </w:rPr>
              <w:fldChar w:fldCharType="begin"/>
            </w:r>
            <w:r w:rsidR="008F0743" w:rsidRPr="00E43F2C">
              <w:rPr>
                <w:b/>
                <w:webHidden/>
              </w:rPr>
              <w:instrText xml:space="preserve"> PAGEREF _Toc49161082 \h </w:instrText>
            </w:r>
            <w:r w:rsidR="008F0743" w:rsidRPr="00E43F2C">
              <w:rPr>
                <w:b/>
                <w:webHidden/>
              </w:rPr>
            </w:r>
            <w:r w:rsidR="008F0743" w:rsidRPr="00E43F2C">
              <w:rPr>
                <w:b/>
                <w:webHidden/>
              </w:rPr>
              <w:fldChar w:fldCharType="separate"/>
            </w:r>
            <w:r w:rsidR="00474E3A">
              <w:rPr>
                <w:b/>
                <w:webHidden/>
              </w:rPr>
              <w:t>27</w:t>
            </w:r>
            <w:r w:rsidR="008F0743" w:rsidRPr="00E43F2C">
              <w:rPr>
                <w:b/>
                <w:webHidden/>
              </w:rPr>
              <w:fldChar w:fldCharType="end"/>
            </w:r>
          </w:hyperlink>
        </w:p>
        <w:p w:rsidR="008F0743" w:rsidRPr="00E43F2C" w:rsidRDefault="00FC0785" w:rsidP="00E43F2C">
          <w:pPr>
            <w:pStyle w:val="TOC1"/>
            <w:rPr>
              <w:rFonts w:eastAsiaTheme="minorEastAsia" w:cstheme="minorBidi"/>
              <w:b/>
              <w:i/>
              <w:bdr w:val="none" w:sz="0" w:space="0" w:color="auto"/>
            </w:rPr>
          </w:pPr>
          <w:hyperlink w:anchor="_Toc49161083" w:history="1">
            <w:r w:rsidR="008F0743" w:rsidRPr="00E43F2C">
              <w:rPr>
                <w:rStyle w:val="Hyperlink"/>
                <w:b/>
              </w:rPr>
              <w:t>IX.</w:t>
            </w:r>
            <w:r w:rsidR="008F0743" w:rsidRPr="00E43F2C">
              <w:rPr>
                <w:rFonts w:eastAsiaTheme="minorEastAsia" w:cstheme="minorBidi"/>
                <w:b/>
                <w:bdr w:val="none" w:sz="0" w:space="0" w:color="auto"/>
              </w:rPr>
              <w:tab/>
            </w:r>
            <w:r w:rsidR="008F0743" w:rsidRPr="00E43F2C">
              <w:rPr>
                <w:rStyle w:val="Hyperlink"/>
                <w:b/>
              </w:rPr>
              <w:t>PUBLICATION</w:t>
            </w:r>
            <w:r w:rsidR="008F0743" w:rsidRPr="00E43F2C">
              <w:rPr>
                <w:b/>
                <w:webHidden/>
              </w:rPr>
              <w:tab/>
            </w:r>
            <w:r w:rsidR="008F0743" w:rsidRPr="00E43F2C">
              <w:rPr>
                <w:b/>
                <w:webHidden/>
              </w:rPr>
              <w:fldChar w:fldCharType="begin"/>
            </w:r>
            <w:r w:rsidR="008F0743" w:rsidRPr="00E43F2C">
              <w:rPr>
                <w:b/>
                <w:webHidden/>
              </w:rPr>
              <w:instrText xml:space="preserve"> PAGEREF _Toc49161083 \h </w:instrText>
            </w:r>
            <w:r w:rsidR="008F0743" w:rsidRPr="00E43F2C">
              <w:rPr>
                <w:b/>
                <w:webHidden/>
              </w:rPr>
            </w:r>
            <w:r w:rsidR="008F0743" w:rsidRPr="00E43F2C">
              <w:rPr>
                <w:b/>
                <w:webHidden/>
              </w:rPr>
              <w:fldChar w:fldCharType="separate"/>
            </w:r>
            <w:r w:rsidR="00474E3A">
              <w:rPr>
                <w:b/>
                <w:webHidden/>
              </w:rPr>
              <w:t>28</w:t>
            </w:r>
            <w:r w:rsidR="008F0743" w:rsidRPr="00E43F2C">
              <w:rPr>
                <w:b/>
                <w:webHidden/>
              </w:rPr>
              <w:fldChar w:fldCharType="end"/>
            </w:r>
          </w:hyperlink>
        </w:p>
        <w:p w:rsidR="00450CDF" w:rsidRPr="0078455E" w:rsidRDefault="008E1468" w:rsidP="00450CDF">
          <w:pPr>
            <w:rPr>
              <w:rFonts w:asciiTheme="majorHAnsi" w:hAnsiTheme="majorHAnsi"/>
              <w:sz w:val="20"/>
              <w:szCs w:val="20"/>
            </w:rPr>
          </w:pPr>
          <w:r w:rsidRPr="0078455E">
            <w:rPr>
              <w:rFonts w:asciiTheme="majorHAnsi" w:hAnsiTheme="majorHAnsi"/>
              <w:bCs/>
              <w:noProof/>
              <w:sz w:val="19"/>
              <w:szCs w:val="19"/>
            </w:rPr>
            <w:lastRenderedPageBreak/>
            <w:fldChar w:fldCharType="end"/>
          </w:r>
        </w:p>
      </w:sdtContent>
    </w:sdt>
    <w:bookmarkStart w:id="1" w:name="_Toc44015974" w:displacedByCustomXml="prev"/>
    <w:p w:rsidR="001C4006" w:rsidRPr="00D874C4" w:rsidRDefault="00830E88" w:rsidP="003676F1">
      <w:pPr>
        <w:pStyle w:val="Heading1"/>
        <w:tabs>
          <w:tab w:val="left" w:pos="360"/>
        </w:tabs>
        <w:spacing w:before="0"/>
        <w:ind w:hanging="720"/>
        <w:rPr>
          <w:color w:val="auto"/>
          <w:sz w:val="20"/>
          <w:szCs w:val="20"/>
        </w:rPr>
      </w:pPr>
      <w:bookmarkStart w:id="2" w:name="_Toc49161048"/>
      <w:r w:rsidRPr="00D874C4">
        <w:rPr>
          <w:color w:val="auto"/>
          <w:sz w:val="20"/>
          <w:szCs w:val="20"/>
        </w:rPr>
        <w:t>INTRODUCTION</w:t>
      </w:r>
      <w:bookmarkEnd w:id="1"/>
      <w:bookmarkEnd w:id="2"/>
      <w:r w:rsidR="001C4006" w:rsidRPr="00D874C4">
        <w:rPr>
          <w:color w:val="auto"/>
          <w:sz w:val="20"/>
          <w:szCs w:val="20"/>
        </w:rPr>
        <w:t xml:space="preserve"> </w:t>
      </w:r>
    </w:p>
    <w:p w:rsidR="001C4006" w:rsidRPr="00D874C4" w:rsidRDefault="001C4006" w:rsidP="00BB5A59">
      <w:pPr>
        <w:suppressAutoHyphens/>
        <w:ind w:left="1440" w:hanging="720"/>
        <w:rPr>
          <w:rFonts w:asciiTheme="majorHAnsi" w:hAnsiTheme="majorHAnsi"/>
          <w:b/>
          <w:sz w:val="20"/>
          <w:szCs w:val="20"/>
        </w:rPr>
      </w:pPr>
    </w:p>
    <w:p w:rsidR="001C4006" w:rsidRPr="00D874C4" w:rsidRDefault="001C4006"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On </w:t>
      </w:r>
      <w:r w:rsidR="002F362D" w:rsidRPr="00D874C4">
        <w:rPr>
          <w:rFonts w:asciiTheme="majorHAnsi" w:hAnsiTheme="majorHAnsi"/>
          <w:sz w:val="20"/>
          <w:szCs w:val="20"/>
        </w:rPr>
        <w:t>April 3, 201</w:t>
      </w:r>
      <w:r w:rsidR="00C51451" w:rsidRPr="00D874C4">
        <w:rPr>
          <w:rFonts w:asciiTheme="majorHAnsi" w:hAnsiTheme="majorHAnsi"/>
          <w:sz w:val="20"/>
          <w:szCs w:val="20"/>
        </w:rPr>
        <w:t>7</w:t>
      </w:r>
      <w:r w:rsidR="0007716F" w:rsidRPr="00D874C4">
        <w:rPr>
          <w:rFonts w:asciiTheme="majorHAnsi" w:hAnsiTheme="majorHAnsi"/>
          <w:sz w:val="20"/>
          <w:szCs w:val="20"/>
        </w:rPr>
        <w:t xml:space="preserve">, </w:t>
      </w:r>
      <w:r w:rsidRPr="00D874C4">
        <w:rPr>
          <w:rFonts w:asciiTheme="majorHAnsi" w:hAnsiTheme="majorHAnsi"/>
          <w:sz w:val="20"/>
          <w:szCs w:val="20"/>
        </w:rPr>
        <w:t>the Inter-American Commission on Human Rights (the “Inter-American Commission”</w:t>
      </w:r>
      <w:r w:rsidR="004D4E01" w:rsidRPr="00D874C4">
        <w:rPr>
          <w:rFonts w:asciiTheme="majorHAnsi" w:hAnsiTheme="majorHAnsi"/>
          <w:sz w:val="20"/>
          <w:szCs w:val="20"/>
        </w:rPr>
        <w:t>, “Commission”</w:t>
      </w:r>
      <w:r w:rsidRPr="00D874C4">
        <w:rPr>
          <w:rFonts w:asciiTheme="majorHAnsi" w:hAnsiTheme="majorHAnsi"/>
          <w:sz w:val="20"/>
          <w:szCs w:val="20"/>
        </w:rPr>
        <w:t xml:space="preserve"> or “IACHR”) received a petition</w:t>
      </w:r>
      <w:r w:rsidR="00444596" w:rsidRPr="00D874C4">
        <w:rPr>
          <w:rFonts w:asciiTheme="majorHAnsi" w:hAnsiTheme="majorHAnsi"/>
          <w:sz w:val="20"/>
          <w:szCs w:val="20"/>
        </w:rPr>
        <w:t xml:space="preserve"> </w:t>
      </w:r>
      <w:r w:rsidR="00B24A00" w:rsidRPr="00D874C4">
        <w:rPr>
          <w:rFonts w:asciiTheme="majorHAnsi" w:hAnsiTheme="majorHAnsi"/>
          <w:sz w:val="20"/>
          <w:szCs w:val="20"/>
        </w:rPr>
        <w:t>and request for precautionary measures</w:t>
      </w:r>
      <w:r w:rsidR="00B24A00" w:rsidRPr="00D874C4">
        <w:rPr>
          <w:rStyle w:val="FootnoteReference"/>
          <w:rFonts w:asciiTheme="majorHAnsi" w:hAnsiTheme="majorHAnsi"/>
          <w:sz w:val="20"/>
          <w:szCs w:val="20"/>
        </w:rPr>
        <w:footnoteReference w:id="2"/>
      </w:r>
      <w:r w:rsidR="00B24A00" w:rsidRPr="00D874C4">
        <w:rPr>
          <w:rFonts w:asciiTheme="majorHAnsi" w:hAnsiTheme="majorHAnsi"/>
          <w:sz w:val="20"/>
          <w:szCs w:val="20"/>
        </w:rPr>
        <w:t xml:space="preserve"> </w:t>
      </w:r>
      <w:r w:rsidR="00444596" w:rsidRPr="00D874C4">
        <w:rPr>
          <w:rFonts w:asciiTheme="majorHAnsi" w:hAnsiTheme="majorHAnsi"/>
          <w:sz w:val="20"/>
          <w:szCs w:val="20"/>
        </w:rPr>
        <w:t xml:space="preserve">submitted by </w:t>
      </w:r>
      <w:r w:rsidR="00C51451" w:rsidRPr="00D874C4">
        <w:rPr>
          <w:rFonts w:asciiTheme="majorHAnsi" w:hAnsiTheme="majorHAnsi"/>
          <w:sz w:val="20"/>
          <w:szCs w:val="20"/>
        </w:rPr>
        <w:t xml:space="preserve">Hilary </w:t>
      </w:r>
      <w:proofErr w:type="spellStart"/>
      <w:r w:rsidR="00C51451" w:rsidRPr="00D874C4">
        <w:rPr>
          <w:rFonts w:asciiTheme="majorHAnsi" w:hAnsiTheme="majorHAnsi"/>
          <w:sz w:val="20"/>
          <w:szCs w:val="20"/>
        </w:rPr>
        <w:t>Potashner</w:t>
      </w:r>
      <w:proofErr w:type="spellEnd"/>
      <w:r w:rsidR="00C51451" w:rsidRPr="00D874C4">
        <w:rPr>
          <w:rFonts w:asciiTheme="majorHAnsi" w:hAnsiTheme="majorHAnsi"/>
          <w:sz w:val="20"/>
          <w:szCs w:val="20"/>
        </w:rPr>
        <w:t xml:space="preserve">, Federal Public Defender, and Gia Kim and Jonathan C. </w:t>
      </w:r>
      <w:proofErr w:type="spellStart"/>
      <w:r w:rsidR="00C51451" w:rsidRPr="00D874C4">
        <w:rPr>
          <w:rFonts w:asciiTheme="majorHAnsi" w:hAnsiTheme="majorHAnsi"/>
          <w:sz w:val="20"/>
          <w:szCs w:val="20"/>
        </w:rPr>
        <w:t>Aminoff</w:t>
      </w:r>
      <w:proofErr w:type="spellEnd"/>
      <w:r w:rsidR="00C51451" w:rsidRPr="00D874C4">
        <w:rPr>
          <w:rFonts w:asciiTheme="majorHAnsi" w:hAnsiTheme="majorHAnsi"/>
          <w:sz w:val="20"/>
          <w:szCs w:val="20"/>
        </w:rPr>
        <w:t>, Deputy Federal Public Defenders</w:t>
      </w:r>
      <w:r w:rsidR="00A649AE" w:rsidRPr="00D874C4">
        <w:rPr>
          <w:rFonts w:asciiTheme="majorHAnsi" w:hAnsiTheme="majorHAnsi"/>
          <w:sz w:val="20"/>
          <w:szCs w:val="20"/>
        </w:rPr>
        <w:t xml:space="preserve"> (the “petitioner</w:t>
      </w:r>
      <w:r w:rsidR="0003763D" w:rsidRPr="00D874C4">
        <w:rPr>
          <w:rFonts w:asciiTheme="majorHAnsi" w:hAnsiTheme="majorHAnsi"/>
          <w:sz w:val="20"/>
          <w:szCs w:val="20"/>
        </w:rPr>
        <w:t>s</w:t>
      </w:r>
      <w:r w:rsidR="00244E7D" w:rsidRPr="00D874C4">
        <w:rPr>
          <w:rFonts w:asciiTheme="majorHAnsi" w:hAnsiTheme="majorHAnsi"/>
          <w:sz w:val="20"/>
          <w:szCs w:val="20"/>
        </w:rPr>
        <w:t>”)</w:t>
      </w:r>
      <w:r w:rsidR="009F7E41" w:rsidRPr="00D874C4">
        <w:rPr>
          <w:rFonts w:asciiTheme="majorHAnsi" w:hAnsiTheme="majorHAnsi"/>
          <w:sz w:val="20"/>
          <w:szCs w:val="20"/>
        </w:rPr>
        <w:t>,</w:t>
      </w:r>
      <w:r w:rsidR="0076495F" w:rsidRPr="00D874C4">
        <w:rPr>
          <w:rStyle w:val="FootnoteReference"/>
          <w:rFonts w:asciiTheme="majorHAnsi" w:hAnsiTheme="majorHAnsi"/>
          <w:sz w:val="20"/>
          <w:szCs w:val="20"/>
        </w:rPr>
        <w:footnoteReference w:id="3"/>
      </w:r>
      <w:r w:rsidR="0076495F" w:rsidRPr="00D874C4">
        <w:rPr>
          <w:rFonts w:asciiTheme="majorHAnsi" w:hAnsiTheme="majorHAnsi"/>
          <w:sz w:val="20"/>
          <w:szCs w:val="20"/>
        </w:rPr>
        <w:t xml:space="preserve"> </w:t>
      </w:r>
      <w:r w:rsidRPr="00D874C4">
        <w:rPr>
          <w:rFonts w:asciiTheme="majorHAnsi" w:hAnsiTheme="majorHAnsi"/>
          <w:sz w:val="20"/>
          <w:szCs w:val="20"/>
        </w:rPr>
        <w:t>alleg</w:t>
      </w:r>
      <w:r w:rsidR="00E86EAF" w:rsidRPr="00D874C4">
        <w:rPr>
          <w:rFonts w:asciiTheme="majorHAnsi" w:hAnsiTheme="majorHAnsi"/>
          <w:sz w:val="20"/>
          <w:szCs w:val="20"/>
        </w:rPr>
        <w:t xml:space="preserve">ing </w:t>
      </w:r>
      <w:r w:rsidRPr="00D874C4">
        <w:rPr>
          <w:rFonts w:asciiTheme="majorHAnsi" w:hAnsiTheme="majorHAnsi"/>
          <w:sz w:val="20"/>
          <w:szCs w:val="20"/>
        </w:rPr>
        <w:t xml:space="preserve">the international responsibility of </w:t>
      </w:r>
      <w:r w:rsidR="0046072C" w:rsidRPr="00D874C4">
        <w:rPr>
          <w:rFonts w:asciiTheme="majorHAnsi" w:hAnsiTheme="majorHAnsi"/>
          <w:sz w:val="20"/>
          <w:szCs w:val="20"/>
        </w:rPr>
        <w:t>the United States of America</w:t>
      </w:r>
      <w:r w:rsidRPr="00D874C4">
        <w:rPr>
          <w:rFonts w:asciiTheme="majorHAnsi" w:hAnsiTheme="majorHAnsi"/>
          <w:sz w:val="20"/>
          <w:szCs w:val="20"/>
        </w:rPr>
        <w:t xml:space="preserve"> (the “State” or “</w:t>
      </w:r>
      <w:r w:rsidR="0046072C" w:rsidRPr="00D874C4">
        <w:rPr>
          <w:rFonts w:asciiTheme="majorHAnsi" w:hAnsiTheme="majorHAnsi"/>
          <w:sz w:val="20"/>
          <w:szCs w:val="20"/>
        </w:rPr>
        <w:t>the United States</w:t>
      </w:r>
      <w:r w:rsidRPr="00D874C4">
        <w:rPr>
          <w:rFonts w:asciiTheme="majorHAnsi" w:hAnsiTheme="majorHAnsi"/>
          <w:sz w:val="20"/>
          <w:szCs w:val="20"/>
        </w:rPr>
        <w:t xml:space="preserve">”) for </w:t>
      </w:r>
      <w:r w:rsidR="00F769C7" w:rsidRPr="00D874C4">
        <w:rPr>
          <w:rFonts w:asciiTheme="majorHAnsi" w:hAnsiTheme="majorHAnsi"/>
          <w:sz w:val="20"/>
          <w:szCs w:val="20"/>
        </w:rPr>
        <w:t xml:space="preserve">the </w:t>
      </w:r>
      <w:r w:rsidRPr="00D874C4">
        <w:rPr>
          <w:rFonts w:asciiTheme="majorHAnsi" w:hAnsiTheme="majorHAnsi"/>
          <w:sz w:val="20"/>
          <w:szCs w:val="20"/>
        </w:rPr>
        <w:t>violation of the right</w:t>
      </w:r>
      <w:r w:rsidR="00706D7E" w:rsidRPr="00D874C4">
        <w:rPr>
          <w:rFonts w:asciiTheme="majorHAnsi" w:hAnsiTheme="majorHAnsi"/>
          <w:sz w:val="20"/>
          <w:szCs w:val="20"/>
        </w:rPr>
        <w:t>s</w:t>
      </w:r>
      <w:r w:rsidRPr="00D874C4">
        <w:rPr>
          <w:rFonts w:asciiTheme="majorHAnsi" w:hAnsiTheme="majorHAnsi"/>
          <w:sz w:val="20"/>
          <w:szCs w:val="20"/>
        </w:rPr>
        <w:t xml:space="preserve"> of </w:t>
      </w:r>
      <w:proofErr w:type="spellStart"/>
      <w:r w:rsidR="00C51451" w:rsidRPr="00D874C4">
        <w:rPr>
          <w:rFonts w:asciiTheme="majorHAnsi" w:hAnsiTheme="majorHAnsi"/>
          <w:sz w:val="20"/>
          <w:szCs w:val="20"/>
        </w:rPr>
        <w:t>Lezmond</w:t>
      </w:r>
      <w:proofErr w:type="spellEnd"/>
      <w:r w:rsidR="00C51451" w:rsidRPr="00D874C4">
        <w:rPr>
          <w:rFonts w:asciiTheme="majorHAnsi" w:hAnsiTheme="majorHAnsi"/>
          <w:sz w:val="20"/>
          <w:szCs w:val="20"/>
        </w:rPr>
        <w:t xml:space="preserve"> M. Mitchell</w:t>
      </w:r>
      <w:r w:rsidR="00F769C7" w:rsidRPr="00D874C4">
        <w:rPr>
          <w:rFonts w:asciiTheme="majorHAnsi" w:hAnsiTheme="majorHAnsi"/>
          <w:sz w:val="20"/>
          <w:szCs w:val="20"/>
        </w:rPr>
        <w:t xml:space="preserve"> (“Mr. </w:t>
      </w:r>
      <w:r w:rsidR="00C51451" w:rsidRPr="00D874C4">
        <w:rPr>
          <w:rFonts w:asciiTheme="majorHAnsi" w:hAnsiTheme="majorHAnsi"/>
          <w:sz w:val="20"/>
          <w:szCs w:val="20"/>
        </w:rPr>
        <w:t>Mitchell</w:t>
      </w:r>
      <w:r w:rsidR="00F769C7" w:rsidRPr="00D874C4">
        <w:rPr>
          <w:rFonts w:asciiTheme="majorHAnsi" w:hAnsiTheme="majorHAnsi"/>
          <w:sz w:val="20"/>
          <w:szCs w:val="20"/>
        </w:rPr>
        <w:t>”)</w:t>
      </w:r>
      <w:r w:rsidR="00D20D54" w:rsidRPr="00D874C4">
        <w:rPr>
          <w:rFonts w:asciiTheme="majorHAnsi" w:hAnsiTheme="majorHAnsi"/>
          <w:sz w:val="20"/>
          <w:szCs w:val="20"/>
        </w:rPr>
        <w:t xml:space="preserve">, </w:t>
      </w:r>
      <w:r w:rsidR="00811543" w:rsidRPr="00D874C4">
        <w:rPr>
          <w:rFonts w:asciiTheme="majorHAnsi" w:hAnsiTheme="majorHAnsi"/>
          <w:sz w:val="20"/>
          <w:szCs w:val="20"/>
        </w:rPr>
        <w:t>a</w:t>
      </w:r>
      <w:r w:rsidR="00C51451" w:rsidRPr="00D874C4">
        <w:rPr>
          <w:rFonts w:asciiTheme="majorHAnsi" w:hAnsiTheme="majorHAnsi"/>
          <w:sz w:val="20"/>
          <w:szCs w:val="20"/>
        </w:rPr>
        <w:t xml:space="preserve"> citizen of the United States and a member of the Navajo Nation,</w:t>
      </w:r>
      <w:r w:rsidR="00811543" w:rsidRPr="00D874C4">
        <w:rPr>
          <w:rFonts w:asciiTheme="majorHAnsi" w:hAnsiTheme="majorHAnsi"/>
          <w:sz w:val="20"/>
          <w:szCs w:val="20"/>
        </w:rPr>
        <w:t xml:space="preserve"> </w:t>
      </w:r>
      <w:r w:rsidR="00244E7D" w:rsidRPr="00D874C4">
        <w:rPr>
          <w:rFonts w:asciiTheme="majorHAnsi" w:hAnsiTheme="majorHAnsi"/>
          <w:sz w:val="20"/>
          <w:szCs w:val="20"/>
        </w:rPr>
        <w:t>who is on</w:t>
      </w:r>
      <w:r w:rsidR="00C51451" w:rsidRPr="00D874C4">
        <w:rPr>
          <w:rFonts w:asciiTheme="majorHAnsi" w:hAnsiTheme="majorHAnsi"/>
          <w:sz w:val="20"/>
          <w:szCs w:val="20"/>
        </w:rPr>
        <w:t xml:space="preserve"> federal</w:t>
      </w:r>
      <w:r w:rsidR="00244E7D" w:rsidRPr="00D874C4">
        <w:rPr>
          <w:rFonts w:asciiTheme="majorHAnsi" w:hAnsiTheme="majorHAnsi"/>
          <w:sz w:val="20"/>
          <w:szCs w:val="20"/>
        </w:rPr>
        <w:t xml:space="preserve"> death row</w:t>
      </w:r>
      <w:r w:rsidRPr="00D874C4">
        <w:rPr>
          <w:rFonts w:asciiTheme="majorHAnsi" w:hAnsiTheme="majorHAnsi"/>
          <w:sz w:val="20"/>
          <w:szCs w:val="20"/>
        </w:rPr>
        <w:t xml:space="preserve">. </w:t>
      </w:r>
    </w:p>
    <w:p w:rsidR="001C4006" w:rsidRPr="00D874C4"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rPr>
      </w:pPr>
    </w:p>
    <w:p w:rsidR="001C4006" w:rsidRPr="00D874C4" w:rsidRDefault="00BE1B74"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On </w:t>
      </w:r>
      <w:r w:rsidR="0003763D" w:rsidRPr="00D874C4">
        <w:rPr>
          <w:rFonts w:asciiTheme="majorHAnsi" w:hAnsiTheme="majorHAnsi"/>
          <w:sz w:val="20"/>
          <w:szCs w:val="20"/>
        </w:rPr>
        <w:t>April 26</w:t>
      </w:r>
      <w:r w:rsidR="004810B3" w:rsidRPr="00D874C4">
        <w:rPr>
          <w:rFonts w:asciiTheme="majorHAnsi" w:hAnsiTheme="majorHAnsi"/>
          <w:sz w:val="20"/>
          <w:szCs w:val="20"/>
        </w:rPr>
        <w:t>,</w:t>
      </w:r>
      <w:r w:rsidR="0003763D" w:rsidRPr="00D874C4">
        <w:rPr>
          <w:rFonts w:asciiTheme="majorHAnsi" w:hAnsiTheme="majorHAnsi"/>
          <w:sz w:val="20"/>
          <w:szCs w:val="20"/>
        </w:rPr>
        <w:t xml:space="preserve"> 2018</w:t>
      </w:r>
      <w:r w:rsidR="00A05601" w:rsidRPr="00D874C4">
        <w:rPr>
          <w:rFonts w:asciiTheme="majorHAnsi" w:hAnsiTheme="majorHAnsi"/>
          <w:sz w:val="20"/>
          <w:szCs w:val="20"/>
        </w:rPr>
        <w:t>, the Com</w:t>
      </w:r>
      <w:r w:rsidR="0027671E" w:rsidRPr="00D874C4">
        <w:rPr>
          <w:rFonts w:asciiTheme="majorHAnsi" w:hAnsiTheme="majorHAnsi"/>
          <w:sz w:val="20"/>
          <w:szCs w:val="20"/>
        </w:rPr>
        <w:t>m</w:t>
      </w:r>
      <w:r w:rsidR="00A05601" w:rsidRPr="00D874C4">
        <w:rPr>
          <w:rFonts w:asciiTheme="majorHAnsi" w:hAnsiTheme="majorHAnsi"/>
          <w:sz w:val="20"/>
          <w:szCs w:val="20"/>
        </w:rPr>
        <w:t>ission notified the parties of the application of Article 36 (3) of its Rules of Procedure, since the petition falls within the criteria established in its Resolution 1/16, and 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w:t>
      </w:r>
      <w:r w:rsidR="0027671E" w:rsidRPr="00D874C4">
        <w:rPr>
          <w:rFonts w:asciiTheme="majorHAnsi" w:hAnsiTheme="majorHAnsi"/>
          <w:sz w:val="20"/>
          <w:szCs w:val="20"/>
        </w:rPr>
        <w:t>.</w:t>
      </w:r>
    </w:p>
    <w:p w:rsidR="001C4006" w:rsidRPr="00D874C4"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rPr>
      </w:pPr>
    </w:p>
    <w:p w:rsidR="001C4006" w:rsidRPr="00D874C4" w:rsidRDefault="001C4006" w:rsidP="003676F1">
      <w:pPr>
        <w:pStyle w:val="Heading1"/>
        <w:tabs>
          <w:tab w:val="left" w:pos="360"/>
        </w:tabs>
        <w:spacing w:before="0"/>
        <w:ind w:hanging="720"/>
        <w:rPr>
          <w:color w:val="auto"/>
          <w:sz w:val="20"/>
          <w:szCs w:val="20"/>
        </w:rPr>
      </w:pPr>
      <w:bookmarkStart w:id="3" w:name="_Toc44015975"/>
      <w:bookmarkStart w:id="4" w:name="_Toc49161049"/>
      <w:r w:rsidRPr="00D874C4">
        <w:rPr>
          <w:color w:val="auto"/>
          <w:sz w:val="20"/>
          <w:szCs w:val="20"/>
        </w:rPr>
        <w:t>POSITIONS OF THE PARTIES</w:t>
      </w:r>
      <w:bookmarkEnd w:id="3"/>
      <w:bookmarkEnd w:id="4"/>
    </w:p>
    <w:p w:rsidR="001C4006" w:rsidRPr="00D874C4" w:rsidRDefault="001C4006" w:rsidP="00BB5A59">
      <w:pPr>
        <w:suppressAutoHyphens/>
        <w:ind w:left="1440" w:hanging="720"/>
        <w:rPr>
          <w:rFonts w:asciiTheme="majorHAnsi" w:hAnsiTheme="majorHAnsi"/>
          <w:sz w:val="20"/>
          <w:szCs w:val="20"/>
        </w:rPr>
      </w:pPr>
    </w:p>
    <w:p w:rsidR="005C164F" w:rsidRPr="00D874C4" w:rsidRDefault="005C164F" w:rsidP="003676F1">
      <w:pPr>
        <w:pStyle w:val="Heading2"/>
        <w:numPr>
          <w:ilvl w:val="0"/>
          <w:numId w:val="57"/>
        </w:numPr>
        <w:tabs>
          <w:tab w:val="left" w:pos="360"/>
        </w:tabs>
        <w:spacing w:before="0"/>
        <w:ind w:hanging="720"/>
        <w:rPr>
          <w:color w:val="auto"/>
          <w:sz w:val="20"/>
          <w:szCs w:val="20"/>
        </w:rPr>
      </w:pPr>
      <w:bookmarkStart w:id="5" w:name="_Toc44015976"/>
      <w:bookmarkStart w:id="6" w:name="_Toc49161050"/>
      <w:r w:rsidRPr="00D874C4">
        <w:rPr>
          <w:color w:val="auto"/>
          <w:sz w:val="20"/>
          <w:szCs w:val="20"/>
        </w:rPr>
        <w:t>P</w:t>
      </w:r>
      <w:r w:rsidR="00262ECA" w:rsidRPr="00D874C4">
        <w:rPr>
          <w:color w:val="auto"/>
          <w:sz w:val="20"/>
          <w:szCs w:val="20"/>
        </w:rPr>
        <w:t>etitioner</w:t>
      </w:r>
      <w:r w:rsidR="00F87EDC" w:rsidRPr="00D874C4">
        <w:rPr>
          <w:color w:val="auto"/>
          <w:sz w:val="20"/>
          <w:szCs w:val="20"/>
        </w:rPr>
        <w:t>s</w:t>
      </w:r>
      <w:bookmarkEnd w:id="5"/>
      <w:bookmarkEnd w:id="6"/>
    </w:p>
    <w:p w:rsidR="005C164F" w:rsidRPr="00D874C4" w:rsidRDefault="005C164F" w:rsidP="00BB5A59">
      <w:pPr>
        <w:suppressAutoHyphens/>
        <w:ind w:left="1440" w:hanging="720"/>
        <w:rPr>
          <w:rFonts w:asciiTheme="majorHAnsi" w:hAnsiTheme="majorHAnsi"/>
          <w:sz w:val="20"/>
          <w:szCs w:val="20"/>
        </w:rPr>
      </w:pPr>
    </w:p>
    <w:p w:rsidR="00A15A69" w:rsidRPr="00D874C4" w:rsidRDefault="00A15A69"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According to the petitioners, this case represents the only time in the history of the modern death penalty that the United States Government has sought the death penalty over the objection of a Native American tribe when </w:t>
      </w:r>
      <w:r w:rsidR="00995B72" w:rsidRPr="00D874C4">
        <w:rPr>
          <w:rFonts w:asciiTheme="majorHAnsi" w:hAnsiTheme="majorHAnsi"/>
          <w:sz w:val="20"/>
          <w:szCs w:val="20"/>
        </w:rPr>
        <w:t xml:space="preserve">the criminal conduct in question was committed on tribal land. They state that the Navajo Nation has consistently maintained its position against capital punishment generally and as applied to Mr. Mitchell. </w:t>
      </w:r>
      <w:r w:rsidR="00A25768" w:rsidRPr="00D874C4">
        <w:rPr>
          <w:rFonts w:asciiTheme="majorHAnsi" w:hAnsiTheme="majorHAnsi"/>
          <w:sz w:val="20"/>
          <w:szCs w:val="20"/>
        </w:rPr>
        <w:t>According to the petitioners, Mr. Mitchell remains the only Native American on federal death row.</w:t>
      </w:r>
    </w:p>
    <w:p w:rsidR="00995B72" w:rsidRPr="00D874C4" w:rsidRDefault="00995B72" w:rsidP="00995B7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7B27A5" w:rsidRPr="00D874C4" w:rsidRDefault="00995B72"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Mr. Mitchell was convicted of murdering two Navajo people on Navajo reservation land in 2001. </w:t>
      </w:r>
      <w:r w:rsidR="007B27A5" w:rsidRPr="00D874C4">
        <w:rPr>
          <w:rFonts w:asciiTheme="majorHAnsi" w:hAnsiTheme="majorHAnsi"/>
          <w:sz w:val="20"/>
          <w:szCs w:val="20"/>
        </w:rPr>
        <w:t>The petition alleges six claims of violations of the American Declaration of the Rights and Duties of Man (the “American Declaration” or the “Declaration”).</w:t>
      </w:r>
    </w:p>
    <w:p w:rsidR="007B27A5" w:rsidRPr="00D874C4" w:rsidRDefault="007B27A5" w:rsidP="007B27A5">
      <w:pPr>
        <w:pStyle w:val="ListParagraph"/>
        <w:rPr>
          <w:rFonts w:asciiTheme="majorHAnsi" w:hAnsiTheme="majorHAnsi"/>
          <w:sz w:val="20"/>
          <w:szCs w:val="20"/>
        </w:rPr>
      </w:pPr>
    </w:p>
    <w:p w:rsidR="00995B72" w:rsidRPr="00D874C4" w:rsidRDefault="007B27A5"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First, t</w:t>
      </w:r>
      <w:r w:rsidR="00995B72" w:rsidRPr="00D874C4">
        <w:rPr>
          <w:rFonts w:asciiTheme="majorHAnsi" w:hAnsiTheme="majorHAnsi"/>
          <w:sz w:val="20"/>
          <w:szCs w:val="20"/>
        </w:rPr>
        <w:t>he petitioners allege that</w:t>
      </w:r>
      <w:r w:rsidRPr="00D874C4">
        <w:rPr>
          <w:rFonts w:asciiTheme="majorHAnsi" w:hAnsiTheme="majorHAnsi"/>
          <w:sz w:val="20"/>
          <w:szCs w:val="20"/>
        </w:rPr>
        <w:t xml:space="preserve"> the decision to seek the death penalty was arbitrary given that</w:t>
      </w:r>
      <w:r w:rsidR="00995B72" w:rsidRPr="00D874C4">
        <w:rPr>
          <w:rFonts w:asciiTheme="majorHAnsi" w:hAnsiTheme="majorHAnsi"/>
          <w:sz w:val="20"/>
          <w:szCs w:val="20"/>
        </w:rPr>
        <w:t xml:space="preserve">, to secure a death sentence, the Government relied on a legal loophole. They indicate that the Government had given the tribes the right to decide whether they wanted the federal </w:t>
      </w:r>
      <w:r w:rsidR="00B346A4" w:rsidRPr="00D874C4">
        <w:rPr>
          <w:rFonts w:asciiTheme="majorHAnsi" w:hAnsiTheme="majorHAnsi"/>
          <w:sz w:val="20"/>
          <w:szCs w:val="20"/>
        </w:rPr>
        <w:t>death penalty to apply to intra-Indian crimes committed on tribal lands, and, in a near-unanimous decision, the tribes opted out of the federal death penalty act. Thus, according to the petitioners, when Mr. Mitchell’s prosecution was being considered, the Government acknowledge</w:t>
      </w:r>
      <w:r w:rsidR="00622640" w:rsidRPr="00D874C4">
        <w:rPr>
          <w:rFonts w:asciiTheme="majorHAnsi" w:hAnsiTheme="majorHAnsi"/>
          <w:sz w:val="20"/>
          <w:szCs w:val="20"/>
        </w:rPr>
        <w:t>d</w:t>
      </w:r>
      <w:r w:rsidR="00B346A4" w:rsidRPr="00D874C4">
        <w:rPr>
          <w:rFonts w:asciiTheme="majorHAnsi" w:hAnsiTheme="majorHAnsi"/>
          <w:sz w:val="20"/>
          <w:szCs w:val="20"/>
        </w:rPr>
        <w:t xml:space="preserve"> that it could not seek death against Mr. Mitchell for the murder counts. Mr. Mitchell was also charged with carjacking, a crime of general applicability for which federal jurisdiction did not depend on tribal status or tribal land, and to which the Navajo Nation’s opt-out did not apply. </w:t>
      </w:r>
      <w:r w:rsidR="00A25768" w:rsidRPr="00D874C4">
        <w:rPr>
          <w:rFonts w:asciiTheme="majorHAnsi" w:hAnsiTheme="majorHAnsi"/>
          <w:sz w:val="20"/>
          <w:szCs w:val="20"/>
        </w:rPr>
        <w:t>Therefore, the Government sought, and obtained, the death penalty against Mr. Mitchell for carjacking resulting in death. He received life sentences for the murder counts.</w:t>
      </w:r>
      <w:r w:rsidR="00B346A4" w:rsidRPr="00D874C4">
        <w:rPr>
          <w:rFonts w:asciiTheme="majorHAnsi" w:hAnsiTheme="majorHAnsi"/>
          <w:sz w:val="20"/>
          <w:szCs w:val="20"/>
        </w:rPr>
        <w:t xml:space="preserve"> </w:t>
      </w:r>
    </w:p>
    <w:p w:rsidR="008143E1" w:rsidRPr="00D874C4" w:rsidRDefault="008143E1" w:rsidP="008143E1">
      <w:pPr>
        <w:pStyle w:val="ListParagraph"/>
        <w:rPr>
          <w:rFonts w:asciiTheme="majorHAnsi" w:hAnsiTheme="majorHAnsi"/>
          <w:sz w:val="20"/>
          <w:szCs w:val="20"/>
        </w:rPr>
      </w:pPr>
    </w:p>
    <w:p w:rsidR="005B396F" w:rsidRPr="00D874C4" w:rsidRDefault="00312FAF" w:rsidP="00312F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T</w:t>
      </w:r>
      <w:r w:rsidR="00ED59B8" w:rsidRPr="00D874C4">
        <w:rPr>
          <w:rFonts w:asciiTheme="majorHAnsi" w:hAnsiTheme="majorHAnsi"/>
          <w:sz w:val="20"/>
          <w:szCs w:val="20"/>
        </w:rPr>
        <w:t xml:space="preserve">he petitioners </w:t>
      </w:r>
      <w:r w:rsidRPr="00D874C4">
        <w:rPr>
          <w:rFonts w:asciiTheme="majorHAnsi" w:hAnsiTheme="majorHAnsi"/>
          <w:sz w:val="20"/>
          <w:szCs w:val="20"/>
        </w:rPr>
        <w:t xml:space="preserve">also </w:t>
      </w:r>
      <w:r w:rsidR="00ED59B8" w:rsidRPr="00D874C4">
        <w:rPr>
          <w:rFonts w:asciiTheme="majorHAnsi" w:hAnsiTheme="majorHAnsi"/>
          <w:sz w:val="20"/>
          <w:szCs w:val="20"/>
        </w:rPr>
        <w:t xml:space="preserve">allege that the trial was rife with due process violations and that the U.S. Government colluded with Navajo Nation law enforcement officers to deprive Mr. Mitchell of his due process rights. </w:t>
      </w:r>
      <w:r w:rsidR="00412894" w:rsidRPr="00D874C4">
        <w:rPr>
          <w:rFonts w:asciiTheme="majorHAnsi" w:hAnsiTheme="majorHAnsi"/>
          <w:sz w:val="20"/>
          <w:szCs w:val="20"/>
        </w:rPr>
        <w:t xml:space="preserve">They allege that Mr. Mitchell was </w:t>
      </w:r>
      <w:r w:rsidR="0087447D" w:rsidRPr="00D874C4">
        <w:rPr>
          <w:rFonts w:asciiTheme="majorHAnsi" w:hAnsiTheme="majorHAnsi"/>
          <w:sz w:val="20"/>
          <w:szCs w:val="20"/>
        </w:rPr>
        <w:t xml:space="preserve">unlawfully detained for a misdemeanor that did not authorize jail time; was </w:t>
      </w:r>
      <w:r w:rsidR="00412894" w:rsidRPr="00D874C4">
        <w:rPr>
          <w:rFonts w:asciiTheme="majorHAnsi" w:hAnsiTheme="majorHAnsi"/>
          <w:sz w:val="20"/>
          <w:szCs w:val="20"/>
        </w:rPr>
        <w:t>illegally held in custody for several weeks</w:t>
      </w:r>
      <w:r w:rsidR="0087447D" w:rsidRPr="00D874C4">
        <w:rPr>
          <w:rFonts w:asciiTheme="majorHAnsi" w:hAnsiTheme="majorHAnsi"/>
          <w:sz w:val="20"/>
          <w:szCs w:val="20"/>
        </w:rPr>
        <w:t>;</w:t>
      </w:r>
      <w:r w:rsidR="00412894" w:rsidRPr="00D874C4">
        <w:rPr>
          <w:rFonts w:asciiTheme="majorHAnsi" w:hAnsiTheme="majorHAnsi"/>
          <w:sz w:val="20"/>
          <w:szCs w:val="20"/>
        </w:rPr>
        <w:t xml:space="preserve"> and repeatedly interrogated </w:t>
      </w:r>
      <w:r w:rsidR="00BF2812" w:rsidRPr="00D874C4">
        <w:rPr>
          <w:rFonts w:asciiTheme="majorHAnsi" w:hAnsiTheme="majorHAnsi"/>
          <w:sz w:val="20"/>
          <w:szCs w:val="20"/>
        </w:rPr>
        <w:t xml:space="preserve">by the FBI </w:t>
      </w:r>
      <w:r w:rsidR="00412894" w:rsidRPr="00D874C4">
        <w:rPr>
          <w:rFonts w:asciiTheme="majorHAnsi" w:hAnsiTheme="majorHAnsi"/>
          <w:sz w:val="20"/>
          <w:szCs w:val="20"/>
        </w:rPr>
        <w:t xml:space="preserve">without being afforded counsel. </w:t>
      </w:r>
      <w:r w:rsidR="00924BA9" w:rsidRPr="00D874C4">
        <w:rPr>
          <w:rFonts w:asciiTheme="majorHAnsi" w:hAnsiTheme="majorHAnsi"/>
          <w:sz w:val="20"/>
          <w:szCs w:val="20"/>
        </w:rPr>
        <w:t>Once counsel was appointed, th</w:t>
      </w:r>
      <w:r w:rsidR="0087447D" w:rsidRPr="00D874C4">
        <w:rPr>
          <w:rFonts w:asciiTheme="majorHAnsi" w:hAnsiTheme="majorHAnsi"/>
          <w:sz w:val="20"/>
          <w:szCs w:val="20"/>
        </w:rPr>
        <w:t>e</w:t>
      </w:r>
      <w:r w:rsidR="00924BA9" w:rsidRPr="00D874C4">
        <w:rPr>
          <w:rFonts w:asciiTheme="majorHAnsi" w:hAnsiTheme="majorHAnsi"/>
          <w:sz w:val="20"/>
          <w:szCs w:val="20"/>
        </w:rPr>
        <w:t xml:space="preserve"> lawyers allegedly failed to adequately investigate the case at the guilt</w:t>
      </w:r>
      <w:r w:rsidRPr="00D874C4">
        <w:rPr>
          <w:rFonts w:asciiTheme="majorHAnsi" w:hAnsiTheme="majorHAnsi"/>
          <w:sz w:val="20"/>
          <w:szCs w:val="20"/>
        </w:rPr>
        <w:t xml:space="preserve"> phase</w:t>
      </w:r>
      <w:r w:rsidR="00924BA9" w:rsidRPr="00D874C4">
        <w:rPr>
          <w:rFonts w:asciiTheme="majorHAnsi" w:hAnsiTheme="majorHAnsi"/>
          <w:sz w:val="20"/>
          <w:szCs w:val="20"/>
        </w:rPr>
        <w:t xml:space="preserve"> of the trial.</w:t>
      </w:r>
      <w:r w:rsidRPr="00D874C4">
        <w:rPr>
          <w:rFonts w:asciiTheme="majorHAnsi" w:hAnsiTheme="majorHAnsi"/>
          <w:sz w:val="20"/>
          <w:szCs w:val="20"/>
        </w:rPr>
        <w:t xml:space="preserve"> The petitioners also allege ineffective assistance of trial counsel in preparing and presenting a case for leniency at the penalty phase. </w:t>
      </w:r>
      <w:r w:rsidR="00BF083B" w:rsidRPr="00D874C4">
        <w:rPr>
          <w:rFonts w:asciiTheme="majorHAnsi" w:hAnsiTheme="majorHAnsi"/>
          <w:sz w:val="20"/>
          <w:szCs w:val="20"/>
        </w:rPr>
        <w:t>According to the petitioners, Mr. Mitchell’s counsel was inadequate and inexperience</w:t>
      </w:r>
      <w:r w:rsidR="00622640" w:rsidRPr="00D874C4">
        <w:rPr>
          <w:rFonts w:asciiTheme="majorHAnsi" w:hAnsiTheme="majorHAnsi"/>
          <w:sz w:val="20"/>
          <w:szCs w:val="20"/>
        </w:rPr>
        <w:t>d</w:t>
      </w:r>
      <w:r w:rsidR="00BF083B" w:rsidRPr="00D874C4">
        <w:rPr>
          <w:rFonts w:asciiTheme="majorHAnsi" w:hAnsiTheme="majorHAnsi"/>
          <w:sz w:val="20"/>
          <w:szCs w:val="20"/>
        </w:rPr>
        <w:t xml:space="preserve">. Counsel allegedly ignored the advice of a mitigation specialist with extensive experience working with death penalty cases and with Native American clients. </w:t>
      </w:r>
    </w:p>
    <w:p w:rsidR="005B396F" w:rsidRPr="00D874C4" w:rsidRDefault="005B396F" w:rsidP="005B396F">
      <w:pPr>
        <w:pStyle w:val="ListParagraph"/>
        <w:rPr>
          <w:rFonts w:asciiTheme="majorHAnsi" w:hAnsiTheme="majorHAnsi"/>
          <w:sz w:val="20"/>
          <w:szCs w:val="20"/>
        </w:rPr>
      </w:pPr>
    </w:p>
    <w:p w:rsidR="00607A55" w:rsidRPr="00D874C4" w:rsidRDefault="00B83A27"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The petitioners also state that no domestic court allowed Mr. Mitchell the opportunity to develop his claims in the post-conviction process. </w:t>
      </w:r>
      <w:r w:rsidR="005B396F" w:rsidRPr="00D874C4">
        <w:rPr>
          <w:rFonts w:asciiTheme="majorHAnsi" w:hAnsiTheme="majorHAnsi"/>
          <w:sz w:val="20"/>
          <w:szCs w:val="20"/>
        </w:rPr>
        <w:t>The</w:t>
      </w:r>
      <w:r w:rsidRPr="00D874C4">
        <w:rPr>
          <w:rFonts w:asciiTheme="majorHAnsi" w:hAnsiTheme="majorHAnsi"/>
          <w:sz w:val="20"/>
          <w:szCs w:val="20"/>
        </w:rPr>
        <w:t>y</w:t>
      </w:r>
      <w:r w:rsidR="005B396F" w:rsidRPr="00D874C4">
        <w:rPr>
          <w:rFonts w:asciiTheme="majorHAnsi" w:hAnsiTheme="majorHAnsi"/>
          <w:sz w:val="20"/>
          <w:szCs w:val="20"/>
        </w:rPr>
        <w:t xml:space="preserve"> assert</w:t>
      </w:r>
      <w:r w:rsidR="00CD2425" w:rsidRPr="00D874C4">
        <w:rPr>
          <w:rFonts w:asciiTheme="majorHAnsi" w:hAnsiTheme="majorHAnsi"/>
          <w:sz w:val="20"/>
          <w:szCs w:val="20"/>
        </w:rPr>
        <w:t xml:space="preserve"> that the U.S. District Court for the District of Arizona refused to grant discovery or an evidentiary hearing on contested factual issues relevant to Mr. Mitchell’s claims for relief.</w:t>
      </w:r>
      <w:r w:rsidR="00716C42" w:rsidRPr="00D874C4">
        <w:rPr>
          <w:rFonts w:asciiTheme="majorHAnsi" w:hAnsiTheme="majorHAnsi"/>
          <w:sz w:val="20"/>
          <w:szCs w:val="20"/>
        </w:rPr>
        <w:t xml:space="preserve"> According to the petitioners, the summary dismissal of Mr. Mitchell’s claims deprived him of a fair opportunit</w:t>
      </w:r>
      <w:r w:rsidR="00A73B94" w:rsidRPr="00D874C4">
        <w:rPr>
          <w:rFonts w:asciiTheme="majorHAnsi" w:hAnsiTheme="majorHAnsi"/>
          <w:sz w:val="20"/>
          <w:szCs w:val="20"/>
        </w:rPr>
        <w:t xml:space="preserve">y to present his habeas claims. </w:t>
      </w:r>
      <w:r w:rsidR="00924BA9" w:rsidRPr="00D874C4">
        <w:rPr>
          <w:rFonts w:asciiTheme="majorHAnsi" w:hAnsiTheme="majorHAnsi"/>
          <w:sz w:val="20"/>
          <w:szCs w:val="20"/>
        </w:rPr>
        <w:t>Finally, the petitioners argue that Mr. Mitchell</w:t>
      </w:r>
      <w:r w:rsidR="00D04F09" w:rsidRPr="00D874C4">
        <w:rPr>
          <w:rFonts w:asciiTheme="majorHAnsi" w:hAnsiTheme="majorHAnsi"/>
          <w:sz w:val="20"/>
          <w:szCs w:val="20"/>
        </w:rPr>
        <w:t>’s</w:t>
      </w:r>
      <w:r w:rsidR="00924BA9" w:rsidRPr="00D874C4">
        <w:rPr>
          <w:rFonts w:asciiTheme="majorHAnsi" w:hAnsiTheme="majorHAnsi"/>
          <w:sz w:val="20"/>
          <w:szCs w:val="20"/>
        </w:rPr>
        <w:t xml:space="preserve"> execution via lethal injection is cruel and unusual punishment. </w:t>
      </w:r>
      <w:r w:rsidR="00A73B94" w:rsidRPr="00D874C4">
        <w:rPr>
          <w:rFonts w:asciiTheme="majorHAnsi" w:hAnsiTheme="majorHAnsi"/>
          <w:sz w:val="20"/>
          <w:szCs w:val="20"/>
        </w:rPr>
        <w:t>They allege that th</w:t>
      </w:r>
      <w:r w:rsidR="00622640" w:rsidRPr="00D874C4">
        <w:rPr>
          <w:rFonts w:asciiTheme="majorHAnsi" w:hAnsiTheme="majorHAnsi"/>
          <w:sz w:val="20"/>
          <w:szCs w:val="20"/>
        </w:rPr>
        <w:t>is</w:t>
      </w:r>
      <w:r w:rsidR="00A73B94" w:rsidRPr="00D874C4">
        <w:rPr>
          <w:rFonts w:asciiTheme="majorHAnsi" w:hAnsiTheme="majorHAnsi"/>
          <w:sz w:val="20"/>
          <w:szCs w:val="20"/>
        </w:rPr>
        <w:t xml:space="preserve"> mode of execution as currently practiced in the United States creates an unacceptable and unnecessary risk of inflicting excruciating pain and suffering. </w:t>
      </w:r>
    </w:p>
    <w:p w:rsidR="00607A55" w:rsidRPr="00D874C4" w:rsidRDefault="00607A55" w:rsidP="00607A55">
      <w:pPr>
        <w:pStyle w:val="ListParagraph"/>
        <w:rPr>
          <w:rFonts w:asciiTheme="majorHAnsi" w:hAnsiTheme="majorHAnsi"/>
          <w:sz w:val="20"/>
          <w:szCs w:val="20"/>
        </w:rPr>
      </w:pPr>
    </w:p>
    <w:p w:rsidR="00607A55" w:rsidRPr="00D874C4" w:rsidRDefault="00607A55" w:rsidP="00607A5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With regard to the requirement of exhaustion of domestic remedies, the petitioners allege that the first five claims were raised in and rejected by domestic courts, with a final decision being rendered by the Supreme Court of the United States on October 3, 2016. Regarding the lethal injection claim, the petitioners </w:t>
      </w:r>
      <w:r w:rsidR="005B396F" w:rsidRPr="00D874C4">
        <w:rPr>
          <w:rFonts w:asciiTheme="majorHAnsi" w:hAnsiTheme="majorHAnsi"/>
          <w:sz w:val="20"/>
          <w:szCs w:val="20"/>
        </w:rPr>
        <w:t>assert</w:t>
      </w:r>
      <w:r w:rsidRPr="00D874C4">
        <w:rPr>
          <w:rFonts w:asciiTheme="majorHAnsi" w:hAnsiTheme="majorHAnsi"/>
          <w:sz w:val="20"/>
          <w:szCs w:val="20"/>
        </w:rPr>
        <w:t xml:space="preserve"> that, despite pendency for several years of a litigation challeng</w:t>
      </w:r>
      <w:r w:rsidR="00622640" w:rsidRPr="00D874C4">
        <w:rPr>
          <w:rFonts w:asciiTheme="majorHAnsi" w:hAnsiTheme="majorHAnsi"/>
          <w:sz w:val="20"/>
          <w:szCs w:val="20"/>
        </w:rPr>
        <w:t>ing</w:t>
      </w:r>
      <w:r w:rsidRPr="00D874C4">
        <w:rPr>
          <w:rFonts w:asciiTheme="majorHAnsi" w:hAnsiTheme="majorHAnsi"/>
          <w:sz w:val="20"/>
          <w:szCs w:val="20"/>
        </w:rPr>
        <w:t xml:space="preserve"> the lethal injection in domestic courts, the U.S. Government has not developed a protocol to protect death-sentenced inmates from cruel and unusual punishment. </w:t>
      </w:r>
    </w:p>
    <w:p w:rsidR="0004538A" w:rsidRPr="00D874C4" w:rsidRDefault="0004538A" w:rsidP="0004538A">
      <w:pPr>
        <w:pStyle w:val="ListParagraph"/>
        <w:rPr>
          <w:rFonts w:asciiTheme="majorHAnsi" w:hAnsiTheme="majorHAnsi"/>
          <w:sz w:val="20"/>
          <w:szCs w:val="20"/>
        </w:rPr>
      </w:pPr>
    </w:p>
    <w:p w:rsidR="0004538A" w:rsidRPr="00D874C4" w:rsidRDefault="0004538A" w:rsidP="001451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Fi</w:t>
      </w:r>
      <w:r w:rsidR="00E67067" w:rsidRPr="00D874C4">
        <w:rPr>
          <w:rFonts w:asciiTheme="majorHAnsi" w:hAnsiTheme="majorHAnsi"/>
          <w:sz w:val="20"/>
          <w:szCs w:val="20"/>
        </w:rPr>
        <w:t>nally, t</w:t>
      </w:r>
      <w:r w:rsidRPr="00D874C4">
        <w:rPr>
          <w:rFonts w:asciiTheme="majorHAnsi" w:hAnsiTheme="majorHAnsi"/>
          <w:sz w:val="20"/>
          <w:szCs w:val="20"/>
        </w:rPr>
        <w:t xml:space="preserve">he petitioners </w:t>
      </w:r>
      <w:r w:rsidR="00E67067" w:rsidRPr="00D874C4">
        <w:rPr>
          <w:rFonts w:asciiTheme="majorHAnsi" w:hAnsiTheme="majorHAnsi"/>
          <w:sz w:val="20"/>
          <w:szCs w:val="20"/>
        </w:rPr>
        <w:t>indicated</w:t>
      </w:r>
      <w:r w:rsidRPr="00D874C4">
        <w:rPr>
          <w:rFonts w:asciiTheme="majorHAnsi" w:hAnsiTheme="majorHAnsi"/>
          <w:sz w:val="20"/>
          <w:szCs w:val="20"/>
        </w:rPr>
        <w:t xml:space="preserve"> that on </w:t>
      </w:r>
      <w:r w:rsidR="00487315" w:rsidRPr="00D874C4">
        <w:rPr>
          <w:rFonts w:asciiTheme="majorHAnsi" w:hAnsiTheme="majorHAnsi"/>
          <w:sz w:val="20"/>
          <w:szCs w:val="20"/>
        </w:rPr>
        <w:t xml:space="preserve">April 30, 2020, a three-judge panel of the United States Court of Appeals for the Ninth Circuit affirmed the district court’s denial of </w:t>
      </w:r>
      <w:proofErr w:type="spellStart"/>
      <w:r w:rsidR="00487315" w:rsidRPr="00D874C4">
        <w:rPr>
          <w:rFonts w:asciiTheme="majorHAnsi" w:hAnsiTheme="majorHAnsi"/>
          <w:sz w:val="20"/>
          <w:szCs w:val="20"/>
        </w:rPr>
        <w:t>Lezmond</w:t>
      </w:r>
      <w:proofErr w:type="spellEnd"/>
      <w:r w:rsidR="00487315" w:rsidRPr="00D874C4">
        <w:rPr>
          <w:rFonts w:asciiTheme="majorHAnsi" w:hAnsiTheme="majorHAnsi"/>
          <w:sz w:val="20"/>
          <w:szCs w:val="20"/>
        </w:rPr>
        <w:t xml:space="preserve"> Mitchell’s motion pursuant to Federal Rule of Evidence 60(b). </w:t>
      </w:r>
      <w:r w:rsidRPr="00D874C4">
        <w:rPr>
          <w:rFonts w:asciiTheme="majorHAnsi" w:hAnsiTheme="majorHAnsi"/>
          <w:sz w:val="20"/>
          <w:szCs w:val="20"/>
        </w:rPr>
        <w:t>Regarding the requirement of exhaustion of domestic remedies, petitioners reiterate that Mr. Mitchell has not only exhausted all direct review proceedings, but also post-conviction proceedings.</w:t>
      </w:r>
    </w:p>
    <w:p w:rsidR="00607A55" w:rsidRPr="00D874C4" w:rsidRDefault="00607A55" w:rsidP="00607A55">
      <w:pPr>
        <w:pStyle w:val="ListParagraph"/>
        <w:rPr>
          <w:rFonts w:asciiTheme="majorHAnsi" w:hAnsiTheme="majorHAnsi"/>
          <w:sz w:val="20"/>
          <w:szCs w:val="20"/>
        </w:rPr>
      </w:pPr>
    </w:p>
    <w:p w:rsidR="007B27A5" w:rsidRPr="00D874C4" w:rsidRDefault="007B27A5"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The petitioners conclude that the United States has violated Mr. Mitchell’s rights under Articles I</w:t>
      </w:r>
      <w:r w:rsidR="00151C69" w:rsidRPr="00D874C4">
        <w:rPr>
          <w:rFonts w:asciiTheme="majorHAnsi" w:hAnsiTheme="majorHAnsi"/>
          <w:sz w:val="20"/>
          <w:szCs w:val="20"/>
        </w:rPr>
        <w:t xml:space="preserve"> (right to life, liberty and personal security), II (right to equality before the law),</w:t>
      </w:r>
      <w:r w:rsidRPr="00D874C4">
        <w:rPr>
          <w:rFonts w:asciiTheme="majorHAnsi" w:hAnsiTheme="majorHAnsi"/>
          <w:sz w:val="20"/>
          <w:szCs w:val="20"/>
        </w:rPr>
        <w:t xml:space="preserve"> III</w:t>
      </w:r>
      <w:r w:rsidR="00151C69" w:rsidRPr="00D874C4">
        <w:rPr>
          <w:rFonts w:asciiTheme="majorHAnsi" w:hAnsiTheme="majorHAnsi"/>
          <w:sz w:val="20"/>
          <w:szCs w:val="20"/>
        </w:rPr>
        <w:t xml:space="preserve"> (right to religious freedom and worship)</w:t>
      </w:r>
      <w:r w:rsidRPr="00D874C4">
        <w:rPr>
          <w:rFonts w:asciiTheme="majorHAnsi" w:hAnsiTheme="majorHAnsi"/>
          <w:sz w:val="20"/>
          <w:szCs w:val="20"/>
        </w:rPr>
        <w:t>, XIII</w:t>
      </w:r>
      <w:r w:rsidR="00151C69" w:rsidRPr="00D874C4">
        <w:rPr>
          <w:rFonts w:asciiTheme="majorHAnsi" w:hAnsiTheme="majorHAnsi"/>
          <w:sz w:val="20"/>
          <w:szCs w:val="20"/>
        </w:rPr>
        <w:t xml:space="preserve"> (right to the benefits of culture)</w:t>
      </w:r>
      <w:r w:rsidRPr="00D874C4">
        <w:rPr>
          <w:rFonts w:asciiTheme="majorHAnsi" w:hAnsiTheme="majorHAnsi"/>
          <w:sz w:val="20"/>
          <w:szCs w:val="20"/>
        </w:rPr>
        <w:t>, XVII</w:t>
      </w:r>
      <w:r w:rsidR="00151C69" w:rsidRPr="00D874C4">
        <w:rPr>
          <w:rFonts w:asciiTheme="majorHAnsi" w:hAnsiTheme="majorHAnsi"/>
          <w:sz w:val="20"/>
          <w:szCs w:val="20"/>
        </w:rPr>
        <w:t xml:space="preserve"> (right to recognition of juridical personality and civil rights)</w:t>
      </w:r>
      <w:r w:rsidRPr="00D874C4">
        <w:rPr>
          <w:rFonts w:asciiTheme="majorHAnsi" w:hAnsiTheme="majorHAnsi"/>
          <w:sz w:val="20"/>
          <w:szCs w:val="20"/>
        </w:rPr>
        <w:t>, XVIII</w:t>
      </w:r>
      <w:r w:rsidR="00151C69" w:rsidRPr="00D874C4">
        <w:rPr>
          <w:rFonts w:asciiTheme="majorHAnsi" w:hAnsiTheme="majorHAnsi"/>
          <w:sz w:val="20"/>
          <w:szCs w:val="20"/>
        </w:rPr>
        <w:t xml:space="preserve"> (right to a fair trial)</w:t>
      </w:r>
      <w:r w:rsidRPr="00D874C4">
        <w:rPr>
          <w:rFonts w:asciiTheme="majorHAnsi" w:hAnsiTheme="majorHAnsi"/>
          <w:sz w:val="20"/>
          <w:szCs w:val="20"/>
        </w:rPr>
        <w:t>, XIX</w:t>
      </w:r>
      <w:r w:rsidR="00151C69" w:rsidRPr="00D874C4">
        <w:rPr>
          <w:rFonts w:asciiTheme="majorHAnsi" w:hAnsiTheme="majorHAnsi"/>
          <w:sz w:val="20"/>
          <w:szCs w:val="20"/>
        </w:rPr>
        <w:t xml:space="preserve"> (right to nationality)</w:t>
      </w:r>
      <w:r w:rsidRPr="00D874C4">
        <w:rPr>
          <w:rFonts w:asciiTheme="majorHAnsi" w:hAnsiTheme="majorHAnsi"/>
          <w:sz w:val="20"/>
          <w:szCs w:val="20"/>
        </w:rPr>
        <w:t>, XXIV</w:t>
      </w:r>
      <w:r w:rsidR="00151C69" w:rsidRPr="00D874C4">
        <w:rPr>
          <w:rFonts w:asciiTheme="majorHAnsi" w:hAnsiTheme="majorHAnsi"/>
          <w:sz w:val="20"/>
          <w:szCs w:val="20"/>
        </w:rPr>
        <w:t xml:space="preserve"> (right </w:t>
      </w:r>
      <w:r w:rsidR="00232E4E" w:rsidRPr="00D874C4">
        <w:rPr>
          <w:rFonts w:asciiTheme="majorHAnsi" w:hAnsiTheme="majorHAnsi"/>
          <w:sz w:val="20"/>
          <w:szCs w:val="20"/>
        </w:rPr>
        <w:t>of</w:t>
      </w:r>
      <w:r w:rsidR="00151C69" w:rsidRPr="00D874C4">
        <w:rPr>
          <w:rFonts w:asciiTheme="majorHAnsi" w:hAnsiTheme="majorHAnsi"/>
          <w:sz w:val="20"/>
          <w:szCs w:val="20"/>
        </w:rPr>
        <w:t xml:space="preserve"> petition)</w:t>
      </w:r>
      <w:r w:rsidRPr="00D874C4">
        <w:rPr>
          <w:rFonts w:asciiTheme="majorHAnsi" w:hAnsiTheme="majorHAnsi"/>
          <w:sz w:val="20"/>
          <w:szCs w:val="20"/>
        </w:rPr>
        <w:t xml:space="preserve">, XXV </w:t>
      </w:r>
      <w:r w:rsidR="00151C69" w:rsidRPr="00D874C4">
        <w:rPr>
          <w:rFonts w:asciiTheme="majorHAnsi" w:hAnsiTheme="majorHAnsi"/>
          <w:sz w:val="20"/>
          <w:szCs w:val="20"/>
        </w:rPr>
        <w:t xml:space="preserve">(right to protection from arbitrary arrest), </w:t>
      </w:r>
      <w:r w:rsidRPr="00D874C4">
        <w:rPr>
          <w:rFonts w:asciiTheme="majorHAnsi" w:hAnsiTheme="majorHAnsi"/>
          <w:sz w:val="20"/>
          <w:szCs w:val="20"/>
        </w:rPr>
        <w:t xml:space="preserve">and XXVI </w:t>
      </w:r>
      <w:r w:rsidR="00151C69" w:rsidRPr="00D874C4">
        <w:rPr>
          <w:rFonts w:asciiTheme="majorHAnsi" w:hAnsiTheme="majorHAnsi"/>
          <w:sz w:val="20"/>
          <w:szCs w:val="20"/>
        </w:rPr>
        <w:t xml:space="preserve">(right to due process of law) </w:t>
      </w:r>
      <w:r w:rsidRPr="00D874C4">
        <w:rPr>
          <w:rFonts w:asciiTheme="majorHAnsi" w:hAnsiTheme="majorHAnsi"/>
          <w:sz w:val="20"/>
          <w:szCs w:val="20"/>
        </w:rPr>
        <w:t>of the American Declaration.</w:t>
      </w:r>
      <w:r w:rsidR="00F1284B" w:rsidRPr="00D874C4">
        <w:rPr>
          <w:rFonts w:asciiTheme="majorHAnsi" w:hAnsiTheme="majorHAnsi"/>
          <w:sz w:val="20"/>
          <w:szCs w:val="20"/>
        </w:rPr>
        <w:t xml:space="preserve"> </w:t>
      </w:r>
    </w:p>
    <w:p w:rsidR="00300888" w:rsidRPr="00D874C4" w:rsidRDefault="00300888" w:rsidP="00300888">
      <w:pPr>
        <w:pStyle w:val="ListParagraph"/>
        <w:rPr>
          <w:rFonts w:asciiTheme="majorHAnsi" w:hAnsiTheme="majorHAnsi"/>
          <w:sz w:val="20"/>
          <w:szCs w:val="20"/>
        </w:rPr>
      </w:pPr>
    </w:p>
    <w:p w:rsidR="00F516D3" w:rsidRPr="00D874C4" w:rsidRDefault="00F516D3" w:rsidP="003676F1">
      <w:pPr>
        <w:pStyle w:val="Heading2"/>
        <w:numPr>
          <w:ilvl w:val="0"/>
          <w:numId w:val="57"/>
        </w:numPr>
        <w:tabs>
          <w:tab w:val="left" w:pos="360"/>
        </w:tabs>
        <w:spacing w:before="0"/>
        <w:ind w:hanging="720"/>
        <w:rPr>
          <w:color w:val="auto"/>
          <w:sz w:val="20"/>
          <w:szCs w:val="20"/>
        </w:rPr>
      </w:pPr>
      <w:bookmarkStart w:id="7" w:name="_Toc44015977"/>
      <w:bookmarkStart w:id="8" w:name="_Toc49161051"/>
      <w:r w:rsidRPr="00D874C4">
        <w:rPr>
          <w:color w:val="auto"/>
          <w:sz w:val="20"/>
          <w:szCs w:val="20"/>
        </w:rPr>
        <w:t>State</w:t>
      </w:r>
      <w:bookmarkEnd w:id="7"/>
      <w:bookmarkEnd w:id="8"/>
    </w:p>
    <w:p w:rsidR="00F516D3" w:rsidRPr="00D874C4" w:rsidRDefault="00F516D3" w:rsidP="00F516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rsidR="00A46C2B" w:rsidRPr="00D874C4" w:rsidRDefault="000A5AC6" w:rsidP="00BF4E0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D874C4">
        <w:rPr>
          <w:rFonts w:asciiTheme="majorHAnsi" w:hAnsiTheme="majorHAnsi"/>
          <w:sz w:val="20"/>
          <w:szCs w:val="20"/>
        </w:rPr>
        <w:t>According to the</w:t>
      </w:r>
      <w:r w:rsidR="00A17C9D" w:rsidRPr="00D874C4">
        <w:rPr>
          <w:rFonts w:asciiTheme="majorHAnsi" w:hAnsiTheme="majorHAnsi"/>
          <w:sz w:val="20"/>
          <w:szCs w:val="20"/>
        </w:rPr>
        <w:t xml:space="preserve"> United States</w:t>
      </w:r>
      <w:r w:rsidRPr="00D874C4">
        <w:rPr>
          <w:rFonts w:asciiTheme="majorHAnsi" w:hAnsiTheme="majorHAnsi"/>
          <w:sz w:val="20"/>
          <w:szCs w:val="20"/>
        </w:rPr>
        <w:t xml:space="preserve">, the petition is inadmissible because Mr. Mitchell continues to pursue and exhaust domestic remedies and has not stated facts that tend to establish a violation of any rights of the American Declaration. It also states that the Commission should decline the invitation to operate as a court of fourth instance to review claims which have been carefully adjudicated by domestic courts. Should the Commission declare the petition admissible and examine its merits, the United States urges it to find the petition without merit.   </w:t>
      </w:r>
      <w:r w:rsidR="00A17C9D" w:rsidRPr="00D874C4">
        <w:rPr>
          <w:rFonts w:asciiTheme="majorHAnsi" w:hAnsiTheme="majorHAnsi"/>
          <w:sz w:val="20"/>
          <w:szCs w:val="20"/>
        </w:rPr>
        <w:t xml:space="preserve"> </w:t>
      </w:r>
    </w:p>
    <w:p w:rsidR="002A5BAF" w:rsidRPr="00D874C4" w:rsidRDefault="002A5BAF" w:rsidP="002A5BA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rsidR="001B3F5D" w:rsidRPr="00D874C4" w:rsidRDefault="001B3F5D" w:rsidP="000F78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D874C4">
        <w:rPr>
          <w:rFonts w:asciiTheme="majorHAnsi" w:hAnsiTheme="majorHAnsi"/>
          <w:sz w:val="20"/>
          <w:szCs w:val="20"/>
        </w:rPr>
        <w:t xml:space="preserve">As an initial matter, the United States reiterates its position that the American Declaration does not itself create legal rights or impose legal obligations on Member States. It further asserts that the “proposition that the American Declaration subsequently attained binding force, through some of </w:t>
      </w:r>
      <w:r w:rsidRPr="00D874C4">
        <w:rPr>
          <w:rFonts w:asciiTheme="majorHAnsi" w:hAnsiTheme="majorHAnsi"/>
          <w:i/>
          <w:sz w:val="20"/>
          <w:szCs w:val="20"/>
        </w:rPr>
        <w:t xml:space="preserve">ipse </w:t>
      </w:r>
      <w:proofErr w:type="spellStart"/>
      <w:r w:rsidRPr="00D874C4">
        <w:rPr>
          <w:rFonts w:asciiTheme="majorHAnsi" w:hAnsiTheme="majorHAnsi"/>
          <w:i/>
          <w:sz w:val="20"/>
          <w:szCs w:val="20"/>
        </w:rPr>
        <w:t>dixit</w:t>
      </w:r>
      <w:proofErr w:type="spellEnd"/>
      <w:r w:rsidRPr="00D874C4">
        <w:rPr>
          <w:rFonts w:asciiTheme="majorHAnsi" w:hAnsiTheme="majorHAnsi"/>
          <w:sz w:val="20"/>
          <w:szCs w:val="20"/>
        </w:rPr>
        <w:t>, is unsupported as a matter of international law.”</w:t>
      </w:r>
      <w:r w:rsidR="000F7832" w:rsidRPr="00D874C4">
        <w:rPr>
          <w:rFonts w:asciiTheme="majorHAnsi" w:hAnsiTheme="majorHAnsi"/>
          <w:sz w:val="20"/>
          <w:szCs w:val="20"/>
        </w:rPr>
        <w:t xml:space="preserve"> It notes, however, that although it has never undertaken an obligation that would render the American Declaration binding and has persistently objected to any such notion, as </w:t>
      </w:r>
      <w:r w:rsidRPr="00D874C4">
        <w:rPr>
          <w:rFonts w:asciiTheme="majorHAnsi" w:hAnsiTheme="majorHAnsi"/>
          <w:sz w:val="20"/>
          <w:szCs w:val="20"/>
        </w:rPr>
        <w:t xml:space="preserve">a sovereign State, </w:t>
      </w:r>
      <w:r w:rsidR="00DE27BF" w:rsidRPr="00D874C4">
        <w:rPr>
          <w:rFonts w:asciiTheme="majorHAnsi" w:hAnsiTheme="majorHAnsi"/>
          <w:sz w:val="20"/>
          <w:szCs w:val="20"/>
        </w:rPr>
        <w:t>it</w:t>
      </w:r>
      <w:r w:rsidRPr="00D874C4">
        <w:rPr>
          <w:rFonts w:asciiTheme="majorHAnsi" w:hAnsiTheme="majorHAnsi"/>
          <w:sz w:val="20"/>
          <w:szCs w:val="20"/>
        </w:rPr>
        <w:t xml:space="preserve"> voluntarily undertakes international law obligations and takes those obligations seriously. </w:t>
      </w:r>
    </w:p>
    <w:p w:rsidR="001B3F5D" w:rsidRPr="00D874C4" w:rsidRDefault="001B3F5D" w:rsidP="00A46C2B">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rsidR="00294A85" w:rsidRPr="00D874C4" w:rsidRDefault="00A46C2B" w:rsidP="00D81F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 xml:space="preserve">According to the State, </w:t>
      </w:r>
      <w:r w:rsidR="004B5CF7" w:rsidRPr="00D874C4">
        <w:rPr>
          <w:rFonts w:asciiTheme="majorHAnsi" w:hAnsiTheme="majorHAnsi"/>
          <w:sz w:val="20"/>
          <w:szCs w:val="20"/>
        </w:rPr>
        <w:t xml:space="preserve">the </w:t>
      </w:r>
      <w:r w:rsidRPr="00D874C4">
        <w:rPr>
          <w:rFonts w:asciiTheme="majorHAnsi" w:hAnsiTheme="majorHAnsi"/>
          <w:sz w:val="20"/>
          <w:szCs w:val="20"/>
        </w:rPr>
        <w:t xml:space="preserve">petitioners’ allegation of infringement on Navajo sovereignty is beyond the Commission’s competence to review and </w:t>
      </w:r>
      <w:r w:rsidR="004B5CF7" w:rsidRPr="00D874C4">
        <w:rPr>
          <w:rFonts w:asciiTheme="majorHAnsi" w:hAnsiTheme="majorHAnsi"/>
          <w:sz w:val="20"/>
          <w:szCs w:val="20"/>
        </w:rPr>
        <w:t xml:space="preserve">the </w:t>
      </w:r>
      <w:r w:rsidR="00B53452" w:rsidRPr="00D874C4">
        <w:rPr>
          <w:rFonts w:asciiTheme="majorHAnsi" w:hAnsiTheme="majorHAnsi"/>
          <w:sz w:val="20"/>
          <w:szCs w:val="20"/>
        </w:rPr>
        <w:t>petitioners</w:t>
      </w:r>
      <w:r w:rsidRPr="00D874C4">
        <w:rPr>
          <w:rFonts w:asciiTheme="majorHAnsi" w:hAnsiTheme="majorHAnsi"/>
          <w:sz w:val="20"/>
          <w:szCs w:val="20"/>
        </w:rPr>
        <w:t xml:space="preserve"> have not effectively demonstrated this allegation. With regard to </w:t>
      </w:r>
      <w:r w:rsidR="00B53452" w:rsidRPr="00D874C4">
        <w:rPr>
          <w:rFonts w:asciiTheme="majorHAnsi" w:hAnsiTheme="majorHAnsi"/>
          <w:sz w:val="20"/>
          <w:szCs w:val="20"/>
        </w:rPr>
        <w:t xml:space="preserve">the </w:t>
      </w:r>
      <w:r w:rsidRPr="00D874C4">
        <w:rPr>
          <w:rFonts w:asciiTheme="majorHAnsi" w:hAnsiTheme="majorHAnsi"/>
          <w:sz w:val="20"/>
          <w:szCs w:val="20"/>
        </w:rPr>
        <w:t>allegation that the application of the death penalty violates the tribal sovereignty of the Navajo Nation, the State argues that the Commission must limit itself to the American Declaration, an instrument setting forth individual rights that makes no mention of the collective rights of indigenous peoples.</w:t>
      </w:r>
      <w:r w:rsidR="00D81F9D" w:rsidRPr="00D874C4">
        <w:rPr>
          <w:rFonts w:asciiTheme="majorHAnsi" w:hAnsiTheme="majorHAnsi"/>
          <w:sz w:val="20"/>
          <w:szCs w:val="20"/>
        </w:rPr>
        <w:t xml:space="preserve"> Moreover, the State asserts that Mr. Mitchell’s sentencing was entirely lawful because federal jurisdiction over the crime for which he received the death penalty was not dependent on it having taken place on tribal land. </w:t>
      </w:r>
    </w:p>
    <w:p w:rsidR="00294A85" w:rsidRPr="00D874C4" w:rsidRDefault="00294A85" w:rsidP="00294A85">
      <w:pPr>
        <w:pStyle w:val="ListParagraph"/>
        <w:rPr>
          <w:rFonts w:asciiTheme="majorHAnsi" w:hAnsiTheme="majorHAnsi"/>
          <w:sz w:val="20"/>
          <w:szCs w:val="20"/>
        </w:rPr>
      </w:pPr>
    </w:p>
    <w:p w:rsidR="001C2546" w:rsidRPr="00D874C4" w:rsidRDefault="00676432" w:rsidP="001C25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 xml:space="preserve">Regarding </w:t>
      </w:r>
      <w:r w:rsidR="004B5CF7" w:rsidRPr="00D874C4">
        <w:rPr>
          <w:rFonts w:asciiTheme="majorHAnsi" w:hAnsiTheme="majorHAnsi"/>
          <w:sz w:val="20"/>
          <w:szCs w:val="20"/>
        </w:rPr>
        <w:t xml:space="preserve">the </w:t>
      </w:r>
      <w:r w:rsidRPr="00D874C4">
        <w:rPr>
          <w:rFonts w:asciiTheme="majorHAnsi" w:hAnsiTheme="majorHAnsi"/>
          <w:sz w:val="20"/>
          <w:szCs w:val="20"/>
        </w:rPr>
        <w:t>petitioners’ g</w:t>
      </w:r>
      <w:r w:rsidR="00D81F9D" w:rsidRPr="00D874C4">
        <w:rPr>
          <w:rFonts w:asciiTheme="majorHAnsi" w:hAnsiTheme="majorHAnsi"/>
          <w:sz w:val="20"/>
          <w:szCs w:val="20"/>
        </w:rPr>
        <w:t>eneral references to the United Nations Declaration on the Rights of Indigenous Peoples (“UNDRIP”) and the American Declaration on the Rights of Indigenous Peoples (“OAS DRIP”)</w:t>
      </w:r>
      <w:r w:rsidR="00294A85" w:rsidRPr="00D874C4">
        <w:rPr>
          <w:rFonts w:asciiTheme="majorHAnsi" w:hAnsiTheme="majorHAnsi"/>
          <w:sz w:val="20"/>
          <w:szCs w:val="20"/>
        </w:rPr>
        <w:t xml:space="preserve">, the State alleges that the Commission must decline to review the petition through those instruments because it lacks </w:t>
      </w:r>
      <w:r w:rsidR="00294A85" w:rsidRPr="00D874C4">
        <w:rPr>
          <w:rFonts w:asciiTheme="majorHAnsi" w:hAnsiTheme="majorHAnsi"/>
          <w:sz w:val="20"/>
          <w:szCs w:val="20"/>
        </w:rPr>
        <w:lastRenderedPageBreak/>
        <w:t>competence to apply any instrument beyond the American Declaration to the United States. It further asserts that neither instrument was intended to create new international law as they are aspirational statements of political and moral commitment, and are therefore not binding under international law.</w:t>
      </w:r>
      <w:r w:rsidR="00526EE7" w:rsidRPr="00D874C4">
        <w:rPr>
          <w:rFonts w:asciiTheme="majorHAnsi" w:hAnsiTheme="majorHAnsi"/>
          <w:sz w:val="20"/>
          <w:szCs w:val="20"/>
        </w:rPr>
        <w:t xml:space="preserve"> </w:t>
      </w:r>
      <w:r w:rsidR="00BC0353" w:rsidRPr="00D874C4">
        <w:rPr>
          <w:rFonts w:asciiTheme="majorHAnsi" w:hAnsiTheme="majorHAnsi"/>
          <w:sz w:val="20"/>
          <w:szCs w:val="20"/>
        </w:rPr>
        <w:t xml:space="preserve">The United States also highlights its persistent objection to the OAS DRIP and the IACHR’s assertion in the case of </w:t>
      </w:r>
      <w:r w:rsidRPr="00D874C4">
        <w:rPr>
          <w:rFonts w:asciiTheme="majorHAnsi" w:hAnsiTheme="majorHAnsi"/>
          <w:sz w:val="20"/>
          <w:szCs w:val="20"/>
        </w:rPr>
        <w:t xml:space="preserve">Mary and Carrie </w:t>
      </w:r>
      <w:r w:rsidR="00BC0353" w:rsidRPr="00D874C4">
        <w:rPr>
          <w:rFonts w:asciiTheme="majorHAnsi" w:hAnsiTheme="majorHAnsi"/>
          <w:sz w:val="20"/>
          <w:szCs w:val="20"/>
        </w:rPr>
        <w:t>Dann</w:t>
      </w:r>
      <w:r w:rsidRPr="00D874C4">
        <w:rPr>
          <w:rFonts w:asciiTheme="majorHAnsi" w:hAnsiTheme="majorHAnsi"/>
          <w:sz w:val="20"/>
          <w:szCs w:val="20"/>
        </w:rPr>
        <w:t xml:space="preserve"> v. United States</w:t>
      </w:r>
      <w:r w:rsidR="00BC0353" w:rsidRPr="00D874C4">
        <w:rPr>
          <w:rFonts w:asciiTheme="majorHAnsi" w:hAnsiTheme="majorHAnsi"/>
          <w:sz w:val="20"/>
          <w:szCs w:val="20"/>
        </w:rPr>
        <w:t xml:space="preserve">, that aspects of this instrument reflect general international legal principles and could thus be considered in interpreting and applying the American Declaration. </w:t>
      </w:r>
      <w:r w:rsidRPr="00D874C4">
        <w:rPr>
          <w:rFonts w:asciiTheme="majorHAnsi" w:hAnsiTheme="majorHAnsi"/>
          <w:sz w:val="20"/>
          <w:szCs w:val="20"/>
        </w:rPr>
        <w:t xml:space="preserve">With respect to the UNDRIP, the State expresses its support </w:t>
      </w:r>
      <w:r w:rsidR="00B53452" w:rsidRPr="00D874C4">
        <w:rPr>
          <w:rFonts w:asciiTheme="majorHAnsi" w:hAnsiTheme="majorHAnsi"/>
          <w:sz w:val="20"/>
          <w:szCs w:val="20"/>
        </w:rPr>
        <w:t xml:space="preserve">to that instrument, </w:t>
      </w:r>
      <w:r w:rsidRPr="00D874C4">
        <w:rPr>
          <w:rFonts w:asciiTheme="majorHAnsi" w:hAnsiTheme="majorHAnsi"/>
          <w:sz w:val="20"/>
          <w:szCs w:val="20"/>
        </w:rPr>
        <w:t>but points to the fact that it did not change th</w:t>
      </w:r>
      <w:r w:rsidR="00756046" w:rsidRPr="00D874C4">
        <w:rPr>
          <w:rFonts w:asciiTheme="majorHAnsi" w:hAnsiTheme="majorHAnsi"/>
          <w:sz w:val="20"/>
          <w:szCs w:val="20"/>
        </w:rPr>
        <w:t>e U.S. domestic legal framework. It also indicates that there is no domestic law that precludes the United States from imposing the death penalty for federal crimes committed by Native-Americans in Native-American territory.</w:t>
      </w:r>
      <w:r w:rsidR="001C2546" w:rsidRPr="00D874C4">
        <w:rPr>
          <w:rFonts w:asciiTheme="majorHAnsi" w:hAnsiTheme="majorHAnsi"/>
          <w:sz w:val="20"/>
          <w:szCs w:val="20"/>
        </w:rPr>
        <w:t xml:space="preserve"> </w:t>
      </w:r>
    </w:p>
    <w:p w:rsidR="001C2546" w:rsidRPr="00D874C4" w:rsidRDefault="001C2546" w:rsidP="001C254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rPr>
      </w:pPr>
    </w:p>
    <w:p w:rsidR="00CA7F9B" w:rsidRPr="00D874C4" w:rsidRDefault="00AF6896" w:rsidP="00CA7F9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According to the State, t</w:t>
      </w:r>
      <w:r w:rsidR="001C2546" w:rsidRPr="00D874C4">
        <w:rPr>
          <w:rFonts w:asciiTheme="majorHAnsi" w:hAnsiTheme="majorHAnsi"/>
          <w:sz w:val="20"/>
          <w:szCs w:val="20"/>
        </w:rPr>
        <w:t>he U.S. Supreme Court has long acknowledged that federally recognized tribes retain inherent powers of self-government by virtue of their preexisting sovereignty, but these powers may be limited by federal law.</w:t>
      </w:r>
      <w:r w:rsidRPr="00D874C4">
        <w:rPr>
          <w:rFonts w:asciiTheme="majorHAnsi" w:hAnsiTheme="majorHAnsi"/>
          <w:sz w:val="20"/>
          <w:szCs w:val="20"/>
        </w:rPr>
        <w:t xml:space="preserve"> The State </w:t>
      </w:r>
      <w:r w:rsidR="00ED7714" w:rsidRPr="00D874C4">
        <w:rPr>
          <w:rFonts w:asciiTheme="majorHAnsi" w:hAnsiTheme="majorHAnsi"/>
          <w:sz w:val="20"/>
          <w:szCs w:val="20"/>
        </w:rPr>
        <w:t>also</w:t>
      </w:r>
      <w:r w:rsidRPr="00D874C4">
        <w:rPr>
          <w:rFonts w:asciiTheme="majorHAnsi" w:hAnsiTheme="majorHAnsi"/>
          <w:sz w:val="20"/>
          <w:szCs w:val="20"/>
        </w:rPr>
        <w:t xml:space="preserve"> asserts that federal jurisdiction over “crimes of general applicability” derives from Congress’s plenary power under the U.S. Constitution to regulate interstate commerce</w:t>
      </w:r>
      <w:r w:rsidR="004B5CF7" w:rsidRPr="00D874C4">
        <w:rPr>
          <w:rFonts w:asciiTheme="majorHAnsi" w:hAnsiTheme="majorHAnsi"/>
          <w:sz w:val="20"/>
          <w:szCs w:val="20"/>
        </w:rPr>
        <w:t>;</w:t>
      </w:r>
      <w:r w:rsidRPr="00D874C4">
        <w:rPr>
          <w:rFonts w:asciiTheme="majorHAnsi" w:hAnsiTheme="majorHAnsi"/>
          <w:sz w:val="20"/>
          <w:szCs w:val="20"/>
        </w:rPr>
        <w:t xml:space="preserve"> and </w:t>
      </w:r>
      <w:r w:rsidR="004B5CF7" w:rsidRPr="00D874C4">
        <w:rPr>
          <w:rFonts w:asciiTheme="majorHAnsi" w:hAnsiTheme="majorHAnsi"/>
          <w:sz w:val="20"/>
          <w:szCs w:val="20"/>
        </w:rPr>
        <w:t xml:space="preserve">that </w:t>
      </w:r>
      <w:r w:rsidRPr="00D874C4">
        <w:rPr>
          <w:rFonts w:asciiTheme="majorHAnsi" w:hAnsiTheme="majorHAnsi"/>
          <w:sz w:val="20"/>
          <w:szCs w:val="20"/>
        </w:rPr>
        <w:t>carjacking resulting in death</w:t>
      </w:r>
      <w:r w:rsidR="004B5CF7" w:rsidRPr="00D874C4">
        <w:rPr>
          <w:rFonts w:asciiTheme="majorHAnsi" w:hAnsiTheme="majorHAnsi"/>
          <w:sz w:val="20"/>
          <w:szCs w:val="20"/>
        </w:rPr>
        <w:t>,</w:t>
      </w:r>
      <w:r w:rsidRPr="00D874C4">
        <w:rPr>
          <w:rFonts w:asciiTheme="majorHAnsi" w:hAnsiTheme="majorHAnsi"/>
          <w:sz w:val="20"/>
          <w:szCs w:val="20"/>
        </w:rPr>
        <w:t xml:space="preserve"> is </w:t>
      </w:r>
      <w:r w:rsidR="004B5CF7" w:rsidRPr="00D874C4">
        <w:rPr>
          <w:rFonts w:asciiTheme="majorHAnsi" w:hAnsiTheme="majorHAnsi"/>
          <w:sz w:val="20"/>
          <w:szCs w:val="20"/>
        </w:rPr>
        <w:t>one such</w:t>
      </w:r>
      <w:r w:rsidRPr="00D874C4">
        <w:rPr>
          <w:rFonts w:asciiTheme="majorHAnsi" w:hAnsiTheme="majorHAnsi"/>
          <w:sz w:val="20"/>
          <w:szCs w:val="20"/>
        </w:rPr>
        <w:t xml:space="preserve"> crime of general applicability. </w:t>
      </w:r>
      <w:r w:rsidR="00ED7714" w:rsidRPr="00D874C4">
        <w:rPr>
          <w:rFonts w:asciiTheme="majorHAnsi" w:hAnsiTheme="majorHAnsi"/>
          <w:sz w:val="20"/>
          <w:szCs w:val="20"/>
        </w:rPr>
        <w:t xml:space="preserve">Further, according to the State, </w:t>
      </w:r>
      <w:r w:rsidR="002D4B8D" w:rsidRPr="00D874C4">
        <w:rPr>
          <w:rFonts w:asciiTheme="majorHAnsi" w:hAnsiTheme="majorHAnsi"/>
          <w:sz w:val="20"/>
          <w:szCs w:val="20"/>
        </w:rPr>
        <w:t xml:space="preserve">there </w:t>
      </w:r>
      <w:r w:rsidR="00ED7714" w:rsidRPr="00D874C4">
        <w:rPr>
          <w:rFonts w:asciiTheme="majorHAnsi" w:hAnsiTheme="majorHAnsi"/>
          <w:sz w:val="20"/>
          <w:szCs w:val="20"/>
        </w:rPr>
        <w:t>is</w:t>
      </w:r>
      <w:r w:rsidR="002D4B8D" w:rsidRPr="00D874C4">
        <w:rPr>
          <w:rFonts w:asciiTheme="majorHAnsi" w:hAnsiTheme="majorHAnsi"/>
          <w:sz w:val="20"/>
          <w:szCs w:val="20"/>
        </w:rPr>
        <w:t xml:space="preserve"> no requirement under U.S. law for federal prosecutors to defer to the tribe’s preferences</w:t>
      </w:r>
      <w:r w:rsidR="00ED7714" w:rsidRPr="00D874C4">
        <w:rPr>
          <w:rFonts w:asciiTheme="majorHAnsi" w:hAnsiTheme="majorHAnsi"/>
          <w:sz w:val="20"/>
          <w:szCs w:val="20"/>
        </w:rPr>
        <w:t xml:space="preserve"> in criminal proceedings involving the</w:t>
      </w:r>
      <w:r w:rsidR="00CA7F9B" w:rsidRPr="00D874C4">
        <w:rPr>
          <w:rFonts w:asciiTheme="majorHAnsi" w:hAnsiTheme="majorHAnsi"/>
          <w:sz w:val="20"/>
          <w:szCs w:val="20"/>
        </w:rPr>
        <w:t xml:space="preserve"> death penalty, nor was there a</w:t>
      </w:r>
      <w:r w:rsidR="00ED7714" w:rsidRPr="00D874C4">
        <w:rPr>
          <w:rFonts w:asciiTheme="majorHAnsi" w:hAnsiTheme="majorHAnsi"/>
          <w:sz w:val="20"/>
          <w:szCs w:val="20"/>
        </w:rPr>
        <w:t xml:space="preserve"> requirement to do so under any binding international instrument</w:t>
      </w:r>
      <w:r w:rsidR="002D4B8D" w:rsidRPr="00D874C4">
        <w:rPr>
          <w:rFonts w:asciiTheme="majorHAnsi" w:hAnsiTheme="majorHAnsi"/>
          <w:sz w:val="20"/>
          <w:szCs w:val="20"/>
        </w:rPr>
        <w:t xml:space="preserve"> to whi</w:t>
      </w:r>
      <w:r w:rsidR="00CA7F9B" w:rsidRPr="00D874C4">
        <w:rPr>
          <w:rFonts w:asciiTheme="majorHAnsi" w:hAnsiTheme="majorHAnsi"/>
          <w:sz w:val="20"/>
          <w:szCs w:val="20"/>
        </w:rPr>
        <w:t>ch the United States is a party.</w:t>
      </w:r>
    </w:p>
    <w:p w:rsidR="00DC4F17" w:rsidRPr="00D874C4" w:rsidRDefault="00DC4F17" w:rsidP="00CA7F9B">
      <w:pPr>
        <w:pStyle w:val="ListParagraph"/>
        <w:rPr>
          <w:rFonts w:asciiTheme="majorHAnsi" w:hAnsiTheme="majorHAnsi"/>
          <w:sz w:val="20"/>
          <w:szCs w:val="20"/>
        </w:rPr>
      </w:pPr>
    </w:p>
    <w:p w:rsidR="00DC4F17" w:rsidRPr="00D874C4" w:rsidRDefault="00CA7F9B" w:rsidP="00DC4F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The State alleges that Mr. Mitchell’s domestic proceedings were conducted in compliance with the rights set forth in the American Declaration and U.S. law.</w:t>
      </w:r>
      <w:r w:rsidR="00DC4F17" w:rsidRPr="00D874C4">
        <w:rPr>
          <w:rFonts w:asciiTheme="majorHAnsi" w:hAnsiTheme="majorHAnsi"/>
          <w:sz w:val="20"/>
          <w:szCs w:val="20"/>
        </w:rPr>
        <w:t xml:space="preserve"> Mr. Mitchell’s pretrial due process claim, according to the State, is without merit because he offered no evidence that he ever asked for counsel</w:t>
      </w:r>
      <w:r w:rsidR="00D4620C" w:rsidRPr="00D874C4">
        <w:rPr>
          <w:rFonts w:asciiTheme="majorHAnsi" w:hAnsiTheme="majorHAnsi"/>
          <w:sz w:val="20"/>
          <w:szCs w:val="20"/>
        </w:rPr>
        <w:t>;</w:t>
      </w:r>
      <w:r w:rsidR="00DC4F17" w:rsidRPr="00D874C4">
        <w:rPr>
          <w:rFonts w:asciiTheme="majorHAnsi" w:hAnsiTheme="majorHAnsi"/>
          <w:sz w:val="20"/>
          <w:szCs w:val="20"/>
        </w:rPr>
        <w:t xml:space="preserve"> </w:t>
      </w:r>
      <w:r w:rsidR="006F556A" w:rsidRPr="00D874C4">
        <w:rPr>
          <w:rFonts w:asciiTheme="majorHAnsi" w:hAnsiTheme="majorHAnsi"/>
          <w:sz w:val="20"/>
          <w:szCs w:val="20"/>
        </w:rPr>
        <w:t xml:space="preserve">and </w:t>
      </w:r>
      <w:r w:rsidR="00DC4F17" w:rsidRPr="00D874C4">
        <w:rPr>
          <w:rFonts w:asciiTheme="majorHAnsi" w:hAnsiTheme="majorHAnsi"/>
          <w:sz w:val="20"/>
          <w:szCs w:val="20"/>
        </w:rPr>
        <w:t xml:space="preserve">he requested and received a trial hearing on the issue of voluntariness. </w:t>
      </w:r>
      <w:r w:rsidR="006F556A" w:rsidRPr="00D874C4">
        <w:rPr>
          <w:rFonts w:asciiTheme="majorHAnsi" w:hAnsiTheme="majorHAnsi"/>
          <w:sz w:val="20"/>
          <w:szCs w:val="20"/>
        </w:rPr>
        <w:t xml:space="preserve">The State notes that </w:t>
      </w:r>
      <w:r w:rsidR="00DC4F17" w:rsidRPr="00D874C4">
        <w:rPr>
          <w:rFonts w:asciiTheme="majorHAnsi" w:hAnsiTheme="majorHAnsi"/>
          <w:sz w:val="20"/>
          <w:szCs w:val="20"/>
        </w:rPr>
        <w:t xml:space="preserve">Mr. Mitchell did not raise a collusion claim at this hearing; instead, he testified that he knowingly cooperated with police and waived his </w:t>
      </w:r>
      <w:r w:rsidR="00DC4F17" w:rsidRPr="00D874C4">
        <w:rPr>
          <w:rFonts w:asciiTheme="majorHAnsi" w:hAnsiTheme="majorHAnsi"/>
          <w:i/>
          <w:sz w:val="20"/>
          <w:szCs w:val="20"/>
        </w:rPr>
        <w:t>Miranda</w:t>
      </w:r>
      <w:r w:rsidR="00DC4F17" w:rsidRPr="00D874C4">
        <w:rPr>
          <w:rFonts w:asciiTheme="majorHAnsi" w:hAnsiTheme="majorHAnsi"/>
          <w:sz w:val="20"/>
          <w:szCs w:val="20"/>
        </w:rPr>
        <w:t xml:space="preserve"> rights in the hope of receiving a lighter sentence</w:t>
      </w:r>
      <w:r w:rsidR="006F556A" w:rsidRPr="00D874C4">
        <w:rPr>
          <w:rFonts w:asciiTheme="majorHAnsi" w:hAnsiTheme="majorHAnsi"/>
          <w:sz w:val="20"/>
          <w:szCs w:val="20"/>
        </w:rPr>
        <w:t xml:space="preserve">. </w:t>
      </w:r>
    </w:p>
    <w:p w:rsidR="006F556A" w:rsidRPr="00D874C4" w:rsidRDefault="006F556A" w:rsidP="006F556A">
      <w:pPr>
        <w:pStyle w:val="ListParagraph"/>
        <w:rPr>
          <w:rFonts w:asciiTheme="majorHAnsi" w:hAnsiTheme="majorHAnsi"/>
          <w:sz w:val="20"/>
          <w:szCs w:val="20"/>
        </w:rPr>
      </w:pPr>
    </w:p>
    <w:p w:rsidR="00F526B8" w:rsidRPr="00D874C4" w:rsidRDefault="0014078D" w:rsidP="00F526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 xml:space="preserve">The United States asserts that </w:t>
      </w:r>
      <w:r w:rsidR="006F556A" w:rsidRPr="00D874C4">
        <w:rPr>
          <w:rFonts w:asciiTheme="majorHAnsi" w:hAnsiTheme="majorHAnsi"/>
          <w:sz w:val="20"/>
          <w:szCs w:val="20"/>
        </w:rPr>
        <w:t>Mr. Mitchell’</w:t>
      </w:r>
      <w:r w:rsidRPr="00D874C4">
        <w:rPr>
          <w:rFonts w:asciiTheme="majorHAnsi" w:hAnsiTheme="majorHAnsi"/>
          <w:sz w:val="20"/>
          <w:szCs w:val="20"/>
        </w:rPr>
        <w:t>s ineffective assistance of c</w:t>
      </w:r>
      <w:r w:rsidR="006F556A" w:rsidRPr="00D874C4">
        <w:rPr>
          <w:rFonts w:asciiTheme="majorHAnsi" w:hAnsiTheme="majorHAnsi"/>
          <w:sz w:val="20"/>
          <w:szCs w:val="20"/>
        </w:rPr>
        <w:t>ounsel</w:t>
      </w:r>
      <w:r w:rsidRPr="00D874C4">
        <w:rPr>
          <w:rFonts w:asciiTheme="majorHAnsi" w:hAnsiTheme="majorHAnsi"/>
          <w:sz w:val="20"/>
          <w:szCs w:val="20"/>
        </w:rPr>
        <w:t xml:space="preserve"> claim is w</w:t>
      </w:r>
      <w:r w:rsidR="006F556A" w:rsidRPr="00D874C4">
        <w:rPr>
          <w:rFonts w:asciiTheme="majorHAnsi" w:hAnsiTheme="majorHAnsi"/>
          <w:sz w:val="20"/>
          <w:szCs w:val="20"/>
        </w:rPr>
        <w:t xml:space="preserve">ithout </w:t>
      </w:r>
      <w:r w:rsidRPr="00D874C4">
        <w:rPr>
          <w:rFonts w:asciiTheme="majorHAnsi" w:hAnsiTheme="majorHAnsi"/>
          <w:sz w:val="20"/>
          <w:szCs w:val="20"/>
        </w:rPr>
        <w:t>merit and was carefully considered by domestic courts, c</w:t>
      </w:r>
      <w:r w:rsidR="006F556A" w:rsidRPr="00D874C4">
        <w:rPr>
          <w:rFonts w:asciiTheme="majorHAnsi" w:hAnsiTheme="majorHAnsi"/>
          <w:sz w:val="20"/>
          <w:szCs w:val="20"/>
        </w:rPr>
        <w:t xml:space="preserve">onsistent </w:t>
      </w:r>
      <w:r w:rsidRPr="00D874C4">
        <w:rPr>
          <w:rFonts w:asciiTheme="majorHAnsi" w:hAnsiTheme="majorHAnsi"/>
          <w:sz w:val="20"/>
          <w:szCs w:val="20"/>
        </w:rPr>
        <w:t>with due p</w:t>
      </w:r>
      <w:r w:rsidR="006F556A" w:rsidRPr="00D874C4">
        <w:rPr>
          <w:rFonts w:asciiTheme="majorHAnsi" w:hAnsiTheme="majorHAnsi"/>
          <w:sz w:val="20"/>
          <w:szCs w:val="20"/>
        </w:rPr>
        <w:t>rocess</w:t>
      </w:r>
      <w:r w:rsidRPr="00D874C4">
        <w:rPr>
          <w:rFonts w:asciiTheme="majorHAnsi" w:hAnsiTheme="majorHAnsi"/>
          <w:sz w:val="20"/>
          <w:szCs w:val="20"/>
        </w:rPr>
        <w:t xml:space="preserve">. </w:t>
      </w:r>
      <w:r w:rsidR="00B53452" w:rsidRPr="00D874C4">
        <w:rPr>
          <w:rFonts w:asciiTheme="majorHAnsi" w:hAnsiTheme="majorHAnsi"/>
          <w:sz w:val="20"/>
          <w:szCs w:val="20"/>
        </w:rPr>
        <w:t>It</w:t>
      </w:r>
      <w:r w:rsidRPr="00D874C4">
        <w:rPr>
          <w:rFonts w:asciiTheme="majorHAnsi" w:hAnsiTheme="majorHAnsi"/>
          <w:sz w:val="20"/>
          <w:szCs w:val="20"/>
        </w:rPr>
        <w:t xml:space="preserve"> </w:t>
      </w:r>
      <w:r w:rsidR="00811AE3" w:rsidRPr="00D874C4">
        <w:rPr>
          <w:rFonts w:asciiTheme="majorHAnsi" w:hAnsiTheme="majorHAnsi"/>
          <w:sz w:val="20"/>
          <w:szCs w:val="20"/>
        </w:rPr>
        <w:t>indicates</w:t>
      </w:r>
      <w:r w:rsidRPr="00D874C4">
        <w:rPr>
          <w:rFonts w:asciiTheme="majorHAnsi" w:hAnsiTheme="majorHAnsi"/>
          <w:sz w:val="20"/>
          <w:szCs w:val="20"/>
        </w:rPr>
        <w:t xml:space="preserve"> that, in addressing Mr. Mitchell’s claim, the district court noted that trial counsel employed an experienced mitigation specialist and conducted a thorough investigation</w:t>
      </w:r>
      <w:r w:rsidR="00811AE3" w:rsidRPr="00D874C4">
        <w:rPr>
          <w:rFonts w:asciiTheme="majorHAnsi" w:hAnsiTheme="majorHAnsi"/>
          <w:sz w:val="20"/>
          <w:szCs w:val="20"/>
        </w:rPr>
        <w:t>. Mr. Mitchell was also examined by a team of experts, including a psychiatrist, a neurologist, and a neuropsychologist</w:t>
      </w:r>
      <w:r w:rsidR="005F16D9" w:rsidRPr="00D874C4">
        <w:rPr>
          <w:rFonts w:asciiTheme="majorHAnsi" w:hAnsiTheme="majorHAnsi"/>
          <w:sz w:val="20"/>
          <w:szCs w:val="20"/>
        </w:rPr>
        <w:t xml:space="preserve">. The State also notes that the court of appeals, like the district court, concluded that Mr. Mitchell’s trial counsel performed his duties consistent with standards of professional competence and did not fall below an “objective standard of reasonableness.” </w:t>
      </w:r>
      <w:r w:rsidR="00F526B8" w:rsidRPr="00D874C4">
        <w:rPr>
          <w:rFonts w:asciiTheme="majorHAnsi" w:hAnsiTheme="majorHAnsi"/>
          <w:sz w:val="20"/>
          <w:szCs w:val="20"/>
        </w:rPr>
        <w:t>The court noted that given the brutal, premeditated nature of the crime and Mr. Mitchell’s refusal to attend the trial’s penalty phase, the fact that the jury found several mitigating factors at all was a “remarkable tribute to Mitchell’s lawyers.”</w:t>
      </w:r>
    </w:p>
    <w:p w:rsidR="00F526B8" w:rsidRPr="00D874C4" w:rsidRDefault="00F526B8" w:rsidP="00F526B8">
      <w:pPr>
        <w:pStyle w:val="ListParagraph"/>
        <w:rPr>
          <w:rFonts w:asciiTheme="majorHAnsi" w:hAnsiTheme="majorHAnsi"/>
          <w:sz w:val="20"/>
          <w:szCs w:val="20"/>
        </w:rPr>
      </w:pPr>
    </w:p>
    <w:p w:rsidR="000743D8" w:rsidRPr="00D874C4" w:rsidRDefault="006E25A3" w:rsidP="000743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According to the State, m</w:t>
      </w:r>
      <w:r w:rsidR="00BF5DB3" w:rsidRPr="00D874C4">
        <w:rPr>
          <w:rFonts w:asciiTheme="majorHAnsi" w:hAnsiTheme="majorHAnsi"/>
          <w:sz w:val="20"/>
          <w:szCs w:val="20"/>
        </w:rPr>
        <w:t xml:space="preserve">ultiple layers of careful </w:t>
      </w:r>
      <w:r w:rsidR="000743D8" w:rsidRPr="00D874C4">
        <w:rPr>
          <w:rFonts w:asciiTheme="majorHAnsi" w:hAnsiTheme="majorHAnsi"/>
          <w:sz w:val="20"/>
          <w:szCs w:val="20"/>
        </w:rPr>
        <w:t xml:space="preserve">state and federal </w:t>
      </w:r>
      <w:r w:rsidR="00BF5DB3" w:rsidRPr="00D874C4">
        <w:rPr>
          <w:rFonts w:asciiTheme="majorHAnsi" w:hAnsiTheme="majorHAnsi"/>
          <w:sz w:val="20"/>
          <w:szCs w:val="20"/>
        </w:rPr>
        <w:t>judicial review provided</w:t>
      </w:r>
      <w:r w:rsidR="00F526B8" w:rsidRPr="00D874C4">
        <w:rPr>
          <w:rFonts w:asciiTheme="majorHAnsi" w:hAnsiTheme="majorHAnsi"/>
          <w:sz w:val="20"/>
          <w:szCs w:val="20"/>
        </w:rPr>
        <w:t xml:space="preserve"> </w:t>
      </w:r>
      <w:r w:rsidR="00BF5DB3" w:rsidRPr="00D874C4">
        <w:rPr>
          <w:rFonts w:asciiTheme="majorHAnsi" w:hAnsiTheme="majorHAnsi"/>
          <w:sz w:val="20"/>
          <w:szCs w:val="20"/>
        </w:rPr>
        <w:t>Mr. Mitchell extended opportunities to challenge his trial and conviction, and he fully availed himself of these opportunities</w:t>
      </w:r>
      <w:r w:rsidRPr="00D874C4">
        <w:rPr>
          <w:rFonts w:asciiTheme="majorHAnsi" w:hAnsiTheme="majorHAnsi"/>
          <w:sz w:val="20"/>
          <w:szCs w:val="20"/>
        </w:rPr>
        <w:t xml:space="preserve">. </w:t>
      </w:r>
      <w:r w:rsidR="00BF5DB3" w:rsidRPr="00D874C4">
        <w:rPr>
          <w:rFonts w:asciiTheme="majorHAnsi" w:hAnsiTheme="majorHAnsi"/>
          <w:sz w:val="20"/>
          <w:szCs w:val="20"/>
        </w:rPr>
        <w:t xml:space="preserve"> </w:t>
      </w:r>
      <w:r w:rsidR="000743D8" w:rsidRPr="00D874C4">
        <w:rPr>
          <w:rFonts w:asciiTheme="majorHAnsi" w:hAnsiTheme="majorHAnsi"/>
          <w:sz w:val="20"/>
          <w:szCs w:val="20"/>
        </w:rPr>
        <w:t>It further notes that, o</w:t>
      </w:r>
      <w:r w:rsidR="0003635D" w:rsidRPr="00D874C4">
        <w:rPr>
          <w:rFonts w:asciiTheme="majorHAnsi" w:hAnsiTheme="majorHAnsi"/>
          <w:sz w:val="20"/>
          <w:szCs w:val="20"/>
        </w:rPr>
        <w:t>ver many years, his claims have been reviewed through both direct appeals and the habeas procedure, at each of three levels of the federal court system: the U.S. District Court for the District of Arizona, the U.S. Court of Appeals for the Ninth Circuit, and the U.S. Supreme Court.</w:t>
      </w:r>
      <w:r w:rsidR="000743D8" w:rsidRPr="00D874C4">
        <w:rPr>
          <w:rFonts w:asciiTheme="majorHAnsi" w:hAnsiTheme="majorHAnsi"/>
          <w:sz w:val="20"/>
          <w:szCs w:val="20"/>
        </w:rPr>
        <w:t xml:space="preserve"> In addition, the State alleges that the Commission should dismiss Mr. Mitchell’s claims because it lacks competence to sit as a court of fourth instance. </w:t>
      </w:r>
    </w:p>
    <w:p w:rsidR="000365D7" w:rsidRPr="00D874C4" w:rsidRDefault="000365D7" w:rsidP="000365D7">
      <w:pPr>
        <w:pStyle w:val="ListParagraph"/>
        <w:rPr>
          <w:rFonts w:asciiTheme="majorHAnsi" w:hAnsiTheme="majorHAnsi"/>
          <w:sz w:val="20"/>
          <w:szCs w:val="20"/>
        </w:rPr>
      </w:pPr>
    </w:p>
    <w:p w:rsidR="000365D7" w:rsidRPr="00D874C4" w:rsidRDefault="000365D7" w:rsidP="000743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Finally, in its last communication dated November 19, 2019, the State alleged that Mr. Mitchell continues to pursue post-conviction relief in domestic courts</w:t>
      </w:r>
      <w:r w:rsidR="0078196F" w:rsidRPr="00D874C4">
        <w:rPr>
          <w:rFonts w:asciiTheme="majorHAnsi" w:hAnsiTheme="majorHAnsi"/>
          <w:sz w:val="20"/>
          <w:szCs w:val="20"/>
        </w:rPr>
        <w:t>. The State points to a</w:t>
      </w:r>
      <w:r w:rsidR="004937CE" w:rsidRPr="00D874C4">
        <w:rPr>
          <w:rFonts w:asciiTheme="majorHAnsi" w:hAnsiTheme="majorHAnsi"/>
          <w:sz w:val="20"/>
          <w:szCs w:val="20"/>
        </w:rPr>
        <w:t xml:space="preserve"> pending</w:t>
      </w:r>
      <w:r w:rsidR="0078196F" w:rsidRPr="00D874C4">
        <w:rPr>
          <w:rFonts w:asciiTheme="majorHAnsi" w:hAnsiTheme="majorHAnsi"/>
          <w:sz w:val="20"/>
          <w:szCs w:val="20"/>
        </w:rPr>
        <w:t xml:space="preserve"> appeal</w:t>
      </w:r>
      <w:r w:rsidR="004937CE" w:rsidRPr="00D874C4">
        <w:rPr>
          <w:rFonts w:asciiTheme="majorHAnsi" w:hAnsiTheme="majorHAnsi"/>
          <w:sz w:val="20"/>
          <w:szCs w:val="20"/>
        </w:rPr>
        <w:t xml:space="preserve"> regarding a district court’s denial of a motion, and an oral argument scheduled for December 13, 2019. The State also informs that the circuit court stayed Mr. Mitchell’s execution pending resolution of the appeal. It alleges that, because he continues to pursue and exhaust remedies in the United States, </w:t>
      </w:r>
      <w:r w:rsidR="00A91250" w:rsidRPr="00D874C4">
        <w:rPr>
          <w:rFonts w:asciiTheme="majorHAnsi" w:hAnsiTheme="majorHAnsi"/>
          <w:sz w:val="20"/>
          <w:szCs w:val="20"/>
        </w:rPr>
        <w:t>the petition</w:t>
      </w:r>
      <w:r w:rsidR="004937CE" w:rsidRPr="00D874C4">
        <w:rPr>
          <w:rFonts w:asciiTheme="majorHAnsi" w:hAnsiTheme="majorHAnsi"/>
          <w:sz w:val="20"/>
          <w:szCs w:val="20"/>
        </w:rPr>
        <w:t xml:space="preserve"> cannot satisfy the requirement under Article 31 of the Commission’s Rules. </w:t>
      </w:r>
      <w:r w:rsidR="0078196F" w:rsidRPr="00D874C4">
        <w:rPr>
          <w:rFonts w:asciiTheme="majorHAnsi" w:hAnsiTheme="majorHAnsi"/>
          <w:sz w:val="20"/>
          <w:szCs w:val="20"/>
        </w:rPr>
        <w:t xml:space="preserve"> </w:t>
      </w:r>
      <w:r w:rsidRPr="00D874C4">
        <w:rPr>
          <w:rFonts w:asciiTheme="majorHAnsi" w:hAnsiTheme="majorHAnsi"/>
          <w:sz w:val="20"/>
          <w:szCs w:val="20"/>
        </w:rPr>
        <w:t xml:space="preserve"> </w:t>
      </w:r>
    </w:p>
    <w:p w:rsidR="00DF200D" w:rsidRPr="00D874C4" w:rsidRDefault="00DF200D" w:rsidP="00DF200D">
      <w:pPr>
        <w:pStyle w:val="ListParagraph"/>
        <w:rPr>
          <w:rFonts w:asciiTheme="majorHAnsi" w:hAnsiTheme="majorHAnsi"/>
          <w:sz w:val="20"/>
          <w:szCs w:val="20"/>
        </w:rPr>
      </w:pPr>
    </w:p>
    <w:p w:rsidR="00AC056C" w:rsidRPr="00D874C4" w:rsidRDefault="00AC056C">
      <w:pPr>
        <w:rPr>
          <w:rFonts w:asciiTheme="majorHAnsi" w:eastAsiaTheme="majorEastAsia" w:hAnsiTheme="majorHAnsi" w:cstheme="majorBidi"/>
          <w:b/>
          <w:bCs/>
          <w:sz w:val="20"/>
          <w:szCs w:val="20"/>
        </w:rPr>
      </w:pPr>
      <w:r w:rsidRPr="00D874C4">
        <w:rPr>
          <w:sz w:val="20"/>
          <w:szCs w:val="20"/>
        </w:rPr>
        <w:br w:type="page"/>
      </w:r>
    </w:p>
    <w:p w:rsidR="00A473E3" w:rsidRPr="00D874C4" w:rsidRDefault="00F516D3" w:rsidP="0081365E">
      <w:pPr>
        <w:pStyle w:val="Heading1"/>
        <w:tabs>
          <w:tab w:val="left" w:pos="360"/>
        </w:tabs>
        <w:spacing w:before="0"/>
        <w:ind w:hanging="720"/>
        <w:rPr>
          <w:color w:val="auto"/>
          <w:sz w:val="20"/>
          <w:szCs w:val="20"/>
        </w:rPr>
      </w:pPr>
      <w:bookmarkStart w:id="9" w:name="_Toc44015978"/>
      <w:bookmarkStart w:id="10" w:name="_Toc49161052"/>
      <w:r w:rsidRPr="00D874C4">
        <w:rPr>
          <w:color w:val="auto"/>
          <w:sz w:val="20"/>
          <w:szCs w:val="20"/>
        </w:rPr>
        <w:lastRenderedPageBreak/>
        <w:t>ADMISSIBILITY</w:t>
      </w:r>
      <w:bookmarkEnd w:id="9"/>
      <w:bookmarkEnd w:id="10"/>
      <w:r w:rsidR="0081365E" w:rsidRPr="00D874C4">
        <w:rPr>
          <w:sz w:val="20"/>
          <w:szCs w:val="20"/>
        </w:rPr>
        <w:tab/>
      </w:r>
    </w:p>
    <w:p w:rsidR="00F516D3" w:rsidRPr="00D874C4" w:rsidRDefault="00F516D3" w:rsidP="00F516D3">
      <w:pPr>
        <w:rPr>
          <w:rFonts w:asciiTheme="majorHAnsi" w:hAnsiTheme="majorHAnsi"/>
          <w:sz w:val="20"/>
          <w:szCs w:val="20"/>
        </w:rPr>
      </w:pPr>
    </w:p>
    <w:p w:rsidR="00F516D3" w:rsidRPr="00D874C4" w:rsidRDefault="00F516D3" w:rsidP="001D75F2">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11" w:name="_Toc7602623"/>
      <w:bookmarkStart w:id="12" w:name="_Toc44015979"/>
      <w:bookmarkStart w:id="13" w:name="_Toc49161053"/>
      <w:bookmarkStart w:id="14" w:name="_Toc6349142"/>
      <w:r w:rsidRPr="00D874C4">
        <w:rPr>
          <w:rFonts w:cs="Times New Roman"/>
          <w:color w:val="auto"/>
          <w:sz w:val="20"/>
          <w:szCs w:val="20"/>
        </w:rPr>
        <w:t xml:space="preserve">Competence, duplication of procedures and international </w:t>
      </w:r>
      <w:r w:rsidRPr="00D874C4">
        <w:rPr>
          <w:rFonts w:cs="Times New Roman"/>
          <w:i/>
          <w:color w:val="auto"/>
          <w:sz w:val="20"/>
          <w:szCs w:val="20"/>
        </w:rPr>
        <w:t>res judicata</w:t>
      </w:r>
      <w:bookmarkEnd w:id="11"/>
      <w:bookmarkEnd w:id="12"/>
      <w:bookmarkEnd w:id="13"/>
      <w:r w:rsidRPr="00D874C4">
        <w:rPr>
          <w:rFonts w:cs="Times New Roman"/>
          <w:color w:val="auto"/>
          <w:sz w:val="20"/>
          <w:szCs w:val="20"/>
        </w:rPr>
        <w:t xml:space="preserve"> </w:t>
      </w:r>
      <w:bookmarkEnd w:id="14"/>
    </w:p>
    <w:p w:rsidR="00947B86" w:rsidRPr="00D874C4" w:rsidRDefault="00947B86" w:rsidP="00947B86">
      <w:pPr>
        <w:rPr>
          <w:rFonts w:asciiTheme="majorHAnsi" w:hAnsiTheme="majorHAnsi"/>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47B86" w:rsidRPr="00D874C4" w:rsidTr="00FC2956">
        <w:trPr>
          <w:cantSplit/>
        </w:trPr>
        <w:tc>
          <w:tcPr>
            <w:tcW w:w="3600" w:type="dxa"/>
            <w:tcBorders>
              <w:top w:val="single" w:sz="4" w:space="0" w:color="auto"/>
              <w:bottom w:val="single" w:sz="6" w:space="0" w:color="auto"/>
            </w:tcBorders>
            <w:shd w:val="clear" w:color="auto" w:fill="73BF43"/>
            <w:vAlign w:val="center"/>
          </w:tcPr>
          <w:p w:rsidR="00947B86" w:rsidRPr="00D874C4" w:rsidRDefault="00947B86" w:rsidP="00E15217">
            <w:pPr>
              <w:jc w:val="center"/>
              <w:rPr>
                <w:rFonts w:asciiTheme="majorHAnsi" w:hAnsiTheme="majorHAnsi"/>
                <w:b/>
                <w:bCs/>
                <w:i/>
                <w:color w:val="FFFFFF" w:themeColor="background1"/>
                <w:sz w:val="20"/>
                <w:szCs w:val="20"/>
              </w:rPr>
            </w:pPr>
            <w:r w:rsidRPr="00D874C4">
              <w:rPr>
                <w:rFonts w:asciiTheme="majorHAnsi" w:hAnsiTheme="majorHAnsi"/>
                <w:b/>
                <w:bCs/>
                <w:color w:val="FFFFFF" w:themeColor="background1"/>
                <w:sz w:val="20"/>
                <w:szCs w:val="20"/>
              </w:rPr>
              <w:t>Competence</w:t>
            </w:r>
            <w:r w:rsidRPr="00D874C4">
              <w:rPr>
                <w:rFonts w:asciiTheme="majorHAnsi" w:hAnsiTheme="majorHAnsi"/>
                <w:b/>
                <w:bCs/>
                <w:i/>
                <w:color w:val="FFFFFF" w:themeColor="background1"/>
                <w:sz w:val="20"/>
                <w:szCs w:val="20"/>
              </w:rPr>
              <w:t xml:space="preserve"> </w:t>
            </w:r>
            <w:proofErr w:type="spellStart"/>
            <w:r w:rsidRPr="00D874C4">
              <w:rPr>
                <w:rFonts w:asciiTheme="majorHAnsi" w:hAnsiTheme="majorHAnsi"/>
                <w:b/>
                <w:bCs/>
                <w:i/>
                <w:color w:val="FFFFFF" w:themeColor="background1"/>
                <w:sz w:val="20"/>
                <w:szCs w:val="20"/>
              </w:rPr>
              <w:t>Ratione</w:t>
            </w:r>
            <w:proofErr w:type="spellEnd"/>
            <w:r w:rsidRPr="00D874C4">
              <w:rPr>
                <w:rFonts w:asciiTheme="majorHAnsi" w:hAnsiTheme="majorHAnsi"/>
                <w:b/>
                <w:bCs/>
                <w:i/>
                <w:color w:val="FFFFFF" w:themeColor="background1"/>
                <w:sz w:val="20"/>
                <w:szCs w:val="20"/>
              </w:rPr>
              <w:t xml:space="preserve"> personae:</w:t>
            </w:r>
          </w:p>
        </w:tc>
        <w:tc>
          <w:tcPr>
            <w:tcW w:w="5760" w:type="dxa"/>
            <w:vAlign w:val="center"/>
          </w:tcPr>
          <w:p w:rsidR="00947B86" w:rsidRPr="00D874C4" w:rsidRDefault="00947B86" w:rsidP="00E15217">
            <w:pPr>
              <w:rPr>
                <w:rFonts w:asciiTheme="majorHAnsi" w:hAnsiTheme="majorHAnsi"/>
                <w:bCs/>
                <w:sz w:val="20"/>
                <w:szCs w:val="20"/>
              </w:rPr>
            </w:pPr>
            <w:r w:rsidRPr="00D874C4">
              <w:rPr>
                <w:rFonts w:asciiTheme="majorHAnsi" w:hAnsiTheme="majorHAnsi"/>
                <w:bCs/>
                <w:sz w:val="20"/>
                <w:szCs w:val="20"/>
              </w:rPr>
              <w:t>Yes</w:t>
            </w:r>
          </w:p>
        </w:tc>
      </w:tr>
      <w:tr w:rsidR="00947B86" w:rsidRPr="00D874C4" w:rsidTr="00FC2956">
        <w:trPr>
          <w:cantSplit/>
        </w:trPr>
        <w:tc>
          <w:tcPr>
            <w:tcW w:w="3600" w:type="dxa"/>
            <w:tcBorders>
              <w:top w:val="single" w:sz="6" w:space="0" w:color="auto"/>
              <w:bottom w:val="single" w:sz="6" w:space="0" w:color="auto"/>
            </w:tcBorders>
            <w:shd w:val="clear" w:color="auto" w:fill="73BF43"/>
            <w:vAlign w:val="center"/>
          </w:tcPr>
          <w:p w:rsidR="00947B86" w:rsidRPr="00D874C4" w:rsidRDefault="00947B86" w:rsidP="00E15217">
            <w:pPr>
              <w:jc w:val="center"/>
              <w:rPr>
                <w:rFonts w:asciiTheme="majorHAnsi" w:hAnsiTheme="majorHAnsi"/>
                <w:b/>
                <w:bCs/>
                <w:color w:val="FFFFFF" w:themeColor="background1"/>
                <w:sz w:val="20"/>
                <w:szCs w:val="20"/>
              </w:rPr>
            </w:pPr>
            <w:r w:rsidRPr="00D874C4">
              <w:rPr>
                <w:rFonts w:asciiTheme="majorHAnsi" w:hAnsiTheme="majorHAnsi"/>
                <w:b/>
                <w:bCs/>
                <w:color w:val="FFFFFF" w:themeColor="background1"/>
                <w:sz w:val="20"/>
                <w:szCs w:val="20"/>
              </w:rPr>
              <w:t>Competence</w:t>
            </w:r>
            <w:r w:rsidRPr="00D874C4">
              <w:rPr>
                <w:rFonts w:asciiTheme="majorHAnsi" w:hAnsiTheme="majorHAnsi"/>
                <w:b/>
                <w:bCs/>
                <w:i/>
                <w:color w:val="FFFFFF" w:themeColor="background1"/>
                <w:sz w:val="20"/>
                <w:szCs w:val="20"/>
              </w:rPr>
              <w:t xml:space="preserve"> </w:t>
            </w:r>
            <w:proofErr w:type="spellStart"/>
            <w:r w:rsidRPr="00D874C4">
              <w:rPr>
                <w:rFonts w:asciiTheme="majorHAnsi" w:hAnsiTheme="majorHAnsi"/>
                <w:b/>
                <w:bCs/>
                <w:i/>
                <w:color w:val="FFFFFF" w:themeColor="background1"/>
                <w:sz w:val="20"/>
                <w:szCs w:val="20"/>
              </w:rPr>
              <w:t>Ratione</w:t>
            </w:r>
            <w:proofErr w:type="spellEnd"/>
            <w:r w:rsidRPr="00D874C4">
              <w:rPr>
                <w:rFonts w:asciiTheme="majorHAnsi" w:hAnsiTheme="majorHAnsi"/>
                <w:b/>
                <w:bCs/>
                <w:i/>
                <w:color w:val="FFFFFF" w:themeColor="background1"/>
                <w:sz w:val="20"/>
                <w:szCs w:val="20"/>
              </w:rPr>
              <w:t xml:space="preserve"> loci</w:t>
            </w:r>
            <w:r w:rsidRPr="00D874C4">
              <w:rPr>
                <w:rFonts w:asciiTheme="majorHAnsi" w:hAnsiTheme="majorHAnsi"/>
                <w:b/>
                <w:bCs/>
                <w:color w:val="FFFFFF" w:themeColor="background1"/>
                <w:sz w:val="20"/>
                <w:szCs w:val="20"/>
              </w:rPr>
              <w:t>:</w:t>
            </w:r>
          </w:p>
        </w:tc>
        <w:tc>
          <w:tcPr>
            <w:tcW w:w="5760" w:type="dxa"/>
            <w:vAlign w:val="center"/>
          </w:tcPr>
          <w:p w:rsidR="00947B86" w:rsidRPr="00D874C4" w:rsidRDefault="00947B86" w:rsidP="00E15217">
            <w:pPr>
              <w:rPr>
                <w:rFonts w:asciiTheme="majorHAnsi" w:hAnsiTheme="majorHAnsi"/>
                <w:bCs/>
                <w:sz w:val="20"/>
                <w:szCs w:val="20"/>
              </w:rPr>
            </w:pPr>
            <w:r w:rsidRPr="00D874C4">
              <w:rPr>
                <w:rFonts w:asciiTheme="majorHAnsi" w:hAnsiTheme="majorHAnsi"/>
                <w:bCs/>
                <w:sz w:val="20"/>
                <w:szCs w:val="20"/>
              </w:rPr>
              <w:t>Yes</w:t>
            </w:r>
          </w:p>
        </w:tc>
      </w:tr>
      <w:tr w:rsidR="00947B86" w:rsidRPr="00D874C4" w:rsidTr="00FC2956">
        <w:trPr>
          <w:cantSplit/>
        </w:trPr>
        <w:tc>
          <w:tcPr>
            <w:tcW w:w="3600" w:type="dxa"/>
            <w:tcBorders>
              <w:top w:val="single" w:sz="6" w:space="0" w:color="auto"/>
              <w:bottom w:val="single" w:sz="6" w:space="0" w:color="auto"/>
            </w:tcBorders>
            <w:shd w:val="clear" w:color="auto" w:fill="73BF43"/>
            <w:vAlign w:val="center"/>
          </w:tcPr>
          <w:p w:rsidR="00947B86" w:rsidRPr="00D874C4" w:rsidRDefault="00947B86" w:rsidP="00E15217">
            <w:pPr>
              <w:jc w:val="center"/>
              <w:rPr>
                <w:rFonts w:asciiTheme="majorHAnsi" w:hAnsiTheme="majorHAnsi"/>
                <w:b/>
                <w:bCs/>
                <w:color w:val="FFFFFF" w:themeColor="background1"/>
                <w:sz w:val="20"/>
                <w:szCs w:val="20"/>
              </w:rPr>
            </w:pPr>
            <w:r w:rsidRPr="00D874C4">
              <w:rPr>
                <w:rFonts w:asciiTheme="majorHAnsi" w:hAnsiTheme="majorHAnsi"/>
                <w:b/>
                <w:bCs/>
                <w:color w:val="FFFFFF" w:themeColor="background1"/>
                <w:sz w:val="20"/>
                <w:szCs w:val="20"/>
              </w:rPr>
              <w:t>Competence</w:t>
            </w:r>
            <w:r w:rsidRPr="00D874C4">
              <w:rPr>
                <w:rFonts w:asciiTheme="majorHAnsi" w:hAnsiTheme="majorHAnsi"/>
                <w:b/>
                <w:bCs/>
                <w:i/>
                <w:color w:val="FFFFFF" w:themeColor="background1"/>
                <w:sz w:val="20"/>
                <w:szCs w:val="20"/>
              </w:rPr>
              <w:t xml:space="preserve"> </w:t>
            </w:r>
            <w:proofErr w:type="spellStart"/>
            <w:r w:rsidRPr="00D874C4">
              <w:rPr>
                <w:rFonts w:asciiTheme="majorHAnsi" w:hAnsiTheme="majorHAnsi"/>
                <w:b/>
                <w:bCs/>
                <w:i/>
                <w:color w:val="FFFFFF" w:themeColor="background1"/>
                <w:sz w:val="20"/>
                <w:szCs w:val="20"/>
              </w:rPr>
              <w:t>Ratione</w:t>
            </w:r>
            <w:proofErr w:type="spellEnd"/>
            <w:r w:rsidRPr="00D874C4">
              <w:rPr>
                <w:rFonts w:asciiTheme="majorHAnsi" w:hAnsiTheme="majorHAnsi"/>
                <w:b/>
                <w:bCs/>
                <w:i/>
                <w:color w:val="FFFFFF" w:themeColor="background1"/>
                <w:sz w:val="20"/>
                <w:szCs w:val="20"/>
              </w:rPr>
              <w:t xml:space="preserve"> </w:t>
            </w:r>
            <w:proofErr w:type="spellStart"/>
            <w:r w:rsidRPr="00D874C4">
              <w:rPr>
                <w:rFonts w:asciiTheme="majorHAnsi" w:hAnsiTheme="majorHAnsi"/>
                <w:b/>
                <w:bCs/>
                <w:i/>
                <w:color w:val="FFFFFF" w:themeColor="background1"/>
                <w:sz w:val="20"/>
                <w:szCs w:val="20"/>
              </w:rPr>
              <w:t>temporis</w:t>
            </w:r>
            <w:proofErr w:type="spellEnd"/>
            <w:r w:rsidRPr="00D874C4">
              <w:rPr>
                <w:rFonts w:asciiTheme="majorHAnsi" w:hAnsiTheme="majorHAnsi"/>
                <w:b/>
                <w:bCs/>
                <w:color w:val="FFFFFF" w:themeColor="background1"/>
                <w:sz w:val="20"/>
                <w:szCs w:val="20"/>
              </w:rPr>
              <w:t>:</w:t>
            </w:r>
          </w:p>
        </w:tc>
        <w:tc>
          <w:tcPr>
            <w:tcW w:w="5760" w:type="dxa"/>
            <w:vAlign w:val="center"/>
          </w:tcPr>
          <w:p w:rsidR="00947B86" w:rsidRPr="00D874C4" w:rsidRDefault="00947B86" w:rsidP="00E15217">
            <w:pPr>
              <w:rPr>
                <w:rFonts w:asciiTheme="majorHAnsi" w:hAnsiTheme="majorHAnsi"/>
                <w:bCs/>
                <w:sz w:val="20"/>
                <w:szCs w:val="20"/>
              </w:rPr>
            </w:pPr>
            <w:r w:rsidRPr="00D874C4">
              <w:rPr>
                <w:rFonts w:asciiTheme="majorHAnsi" w:hAnsiTheme="majorHAnsi"/>
                <w:bCs/>
                <w:sz w:val="20"/>
                <w:szCs w:val="20"/>
              </w:rPr>
              <w:t>Yes</w:t>
            </w:r>
          </w:p>
        </w:tc>
      </w:tr>
      <w:tr w:rsidR="00947B86" w:rsidRPr="00D874C4" w:rsidTr="00FC2956">
        <w:trPr>
          <w:cantSplit/>
        </w:trPr>
        <w:tc>
          <w:tcPr>
            <w:tcW w:w="3600" w:type="dxa"/>
            <w:tcBorders>
              <w:top w:val="single" w:sz="6" w:space="0" w:color="auto"/>
              <w:bottom w:val="single" w:sz="6" w:space="0" w:color="auto"/>
            </w:tcBorders>
            <w:shd w:val="clear" w:color="auto" w:fill="73BF43"/>
            <w:vAlign w:val="center"/>
          </w:tcPr>
          <w:p w:rsidR="00947B86" w:rsidRPr="00D874C4" w:rsidRDefault="00947B86" w:rsidP="00E15217">
            <w:pPr>
              <w:jc w:val="center"/>
              <w:rPr>
                <w:rFonts w:asciiTheme="majorHAnsi" w:hAnsiTheme="majorHAnsi"/>
                <w:b/>
                <w:bCs/>
                <w:color w:val="FFFFFF" w:themeColor="background1"/>
                <w:sz w:val="20"/>
                <w:szCs w:val="20"/>
              </w:rPr>
            </w:pPr>
            <w:r w:rsidRPr="00D874C4">
              <w:rPr>
                <w:rFonts w:asciiTheme="majorHAnsi" w:hAnsiTheme="majorHAnsi"/>
                <w:b/>
                <w:bCs/>
                <w:color w:val="FFFFFF" w:themeColor="background1"/>
                <w:sz w:val="20"/>
                <w:szCs w:val="20"/>
              </w:rPr>
              <w:t>Competence</w:t>
            </w:r>
            <w:r w:rsidRPr="00D874C4">
              <w:rPr>
                <w:rFonts w:asciiTheme="majorHAnsi" w:hAnsiTheme="majorHAnsi"/>
                <w:b/>
                <w:bCs/>
                <w:i/>
                <w:color w:val="FFFFFF" w:themeColor="background1"/>
                <w:sz w:val="20"/>
                <w:szCs w:val="20"/>
              </w:rPr>
              <w:t xml:space="preserve"> </w:t>
            </w:r>
            <w:proofErr w:type="spellStart"/>
            <w:r w:rsidRPr="00D874C4">
              <w:rPr>
                <w:rFonts w:asciiTheme="majorHAnsi" w:hAnsiTheme="majorHAnsi"/>
                <w:b/>
                <w:bCs/>
                <w:i/>
                <w:color w:val="FFFFFF" w:themeColor="background1"/>
                <w:sz w:val="20"/>
                <w:szCs w:val="20"/>
              </w:rPr>
              <w:t>Ratione</w:t>
            </w:r>
            <w:proofErr w:type="spellEnd"/>
            <w:r w:rsidRPr="00D874C4">
              <w:rPr>
                <w:rFonts w:asciiTheme="majorHAnsi" w:hAnsiTheme="majorHAnsi"/>
                <w:b/>
                <w:bCs/>
                <w:i/>
                <w:color w:val="FFFFFF" w:themeColor="background1"/>
                <w:sz w:val="20"/>
                <w:szCs w:val="20"/>
              </w:rPr>
              <w:t xml:space="preserve"> </w:t>
            </w:r>
            <w:proofErr w:type="spellStart"/>
            <w:r w:rsidRPr="00D874C4">
              <w:rPr>
                <w:rFonts w:asciiTheme="majorHAnsi" w:hAnsiTheme="majorHAnsi"/>
                <w:b/>
                <w:bCs/>
                <w:i/>
                <w:color w:val="FFFFFF" w:themeColor="background1"/>
                <w:sz w:val="20"/>
                <w:szCs w:val="20"/>
              </w:rPr>
              <w:t>materiae</w:t>
            </w:r>
            <w:proofErr w:type="spellEnd"/>
            <w:r w:rsidRPr="00D874C4">
              <w:rPr>
                <w:rFonts w:asciiTheme="majorHAnsi" w:hAnsiTheme="majorHAnsi"/>
                <w:b/>
                <w:bCs/>
                <w:color w:val="FFFFFF" w:themeColor="background1"/>
                <w:sz w:val="20"/>
                <w:szCs w:val="20"/>
              </w:rPr>
              <w:t>:</w:t>
            </w:r>
          </w:p>
        </w:tc>
        <w:tc>
          <w:tcPr>
            <w:tcW w:w="5760" w:type="dxa"/>
            <w:vAlign w:val="center"/>
          </w:tcPr>
          <w:p w:rsidR="00947B86" w:rsidRPr="00D874C4" w:rsidRDefault="00947B86" w:rsidP="0010625B">
            <w:pPr>
              <w:jc w:val="both"/>
              <w:rPr>
                <w:rFonts w:asciiTheme="majorHAnsi" w:hAnsiTheme="majorHAnsi"/>
                <w:bCs/>
                <w:sz w:val="20"/>
                <w:szCs w:val="20"/>
              </w:rPr>
            </w:pPr>
            <w:r w:rsidRPr="00D874C4">
              <w:rPr>
                <w:rFonts w:asciiTheme="majorHAnsi" w:hAnsiTheme="majorHAnsi"/>
                <w:bCs/>
                <w:sz w:val="20"/>
                <w:szCs w:val="20"/>
              </w:rPr>
              <w:t>Yes, American Declaration of the Rights and Duties of Man (ratification of the OAS Charter on June 19, 1951)</w:t>
            </w:r>
          </w:p>
        </w:tc>
      </w:tr>
      <w:tr w:rsidR="00947B86" w:rsidRPr="00D874C4" w:rsidTr="00FC2956">
        <w:trPr>
          <w:cantSplit/>
        </w:trPr>
        <w:tc>
          <w:tcPr>
            <w:tcW w:w="3600" w:type="dxa"/>
            <w:tcBorders>
              <w:top w:val="single" w:sz="6" w:space="0" w:color="auto"/>
              <w:bottom w:val="single" w:sz="6" w:space="0" w:color="auto"/>
            </w:tcBorders>
            <w:shd w:val="clear" w:color="auto" w:fill="73BF43"/>
            <w:vAlign w:val="center"/>
          </w:tcPr>
          <w:p w:rsidR="00947B86" w:rsidRPr="00D874C4" w:rsidRDefault="00947B86" w:rsidP="00E15217">
            <w:pPr>
              <w:jc w:val="center"/>
              <w:rPr>
                <w:rFonts w:asciiTheme="majorHAnsi" w:hAnsiTheme="majorHAnsi"/>
                <w:b/>
                <w:bCs/>
                <w:color w:val="FFFFFF" w:themeColor="background1"/>
                <w:sz w:val="20"/>
                <w:szCs w:val="20"/>
              </w:rPr>
            </w:pPr>
            <w:r w:rsidRPr="00D874C4">
              <w:rPr>
                <w:rFonts w:asciiTheme="majorHAnsi" w:hAnsiTheme="majorHAnsi"/>
                <w:b/>
                <w:bCs/>
                <w:color w:val="FFFFFF" w:themeColor="background1"/>
                <w:sz w:val="20"/>
                <w:szCs w:val="20"/>
              </w:rPr>
              <w:t xml:space="preserve">Duplication of procedures and international </w:t>
            </w:r>
            <w:r w:rsidRPr="00D874C4">
              <w:rPr>
                <w:rFonts w:asciiTheme="majorHAnsi" w:hAnsiTheme="majorHAnsi"/>
                <w:b/>
                <w:bCs/>
                <w:i/>
                <w:iCs/>
                <w:color w:val="FFFFFF" w:themeColor="background1"/>
                <w:sz w:val="20"/>
                <w:szCs w:val="20"/>
              </w:rPr>
              <w:t>res judicata</w:t>
            </w:r>
            <w:r w:rsidRPr="00D874C4">
              <w:rPr>
                <w:rFonts w:asciiTheme="majorHAnsi" w:hAnsiTheme="majorHAnsi"/>
                <w:b/>
                <w:bCs/>
                <w:color w:val="FFFFFF" w:themeColor="background1"/>
                <w:sz w:val="20"/>
                <w:szCs w:val="20"/>
              </w:rPr>
              <w:t>:</w:t>
            </w:r>
          </w:p>
        </w:tc>
        <w:tc>
          <w:tcPr>
            <w:tcW w:w="5760" w:type="dxa"/>
            <w:vAlign w:val="center"/>
          </w:tcPr>
          <w:p w:rsidR="00947B86" w:rsidRPr="00D874C4" w:rsidRDefault="00947B86" w:rsidP="00E15217">
            <w:pPr>
              <w:jc w:val="both"/>
              <w:rPr>
                <w:rFonts w:asciiTheme="majorHAnsi" w:hAnsiTheme="majorHAnsi"/>
                <w:bCs/>
                <w:sz w:val="20"/>
                <w:szCs w:val="20"/>
              </w:rPr>
            </w:pPr>
            <w:r w:rsidRPr="00D874C4">
              <w:rPr>
                <w:rFonts w:asciiTheme="majorHAnsi" w:hAnsiTheme="majorHAnsi"/>
                <w:bCs/>
                <w:sz w:val="20"/>
                <w:szCs w:val="20"/>
              </w:rPr>
              <w:t>No</w:t>
            </w:r>
          </w:p>
        </w:tc>
      </w:tr>
    </w:tbl>
    <w:p w:rsidR="0081365E" w:rsidRPr="00D874C4" w:rsidRDefault="0081365E" w:rsidP="0081365E">
      <w:pPr>
        <w:rPr>
          <w:rFonts w:asciiTheme="majorHAnsi" w:hAnsiTheme="majorHAnsi"/>
          <w:sz w:val="20"/>
          <w:szCs w:val="20"/>
        </w:rPr>
      </w:pPr>
    </w:p>
    <w:p w:rsidR="00C14A6F" w:rsidRPr="00D874C4" w:rsidRDefault="004B2FA4" w:rsidP="00987C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D874C4">
        <w:rPr>
          <w:rFonts w:asciiTheme="majorHAnsi" w:hAnsiTheme="majorHAnsi"/>
          <w:sz w:val="20"/>
          <w:szCs w:val="20"/>
        </w:rPr>
        <w:t xml:space="preserve">With regard to the State’s allegation </w:t>
      </w:r>
      <w:r w:rsidR="00BD789D" w:rsidRPr="00D874C4">
        <w:rPr>
          <w:rFonts w:asciiTheme="majorHAnsi" w:hAnsiTheme="majorHAnsi"/>
          <w:sz w:val="20"/>
          <w:szCs w:val="20"/>
        </w:rPr>
        <w:t xml:space="preserve">that </w:t>
      </w:r>
      <w:r w:rsidR="007E5895" w:rsidRPr="00D874C4">
        <w:rPr>
          <w:rFonts w:asciiTheme="majorHAnsi" w:hAnsiTheme="majorHAnsi"/>
          <w:sz w:val="20"/>
          <w:szCs w:val="20"/>
        </w:rPr>
        <w:t>the Commission must decline to review the petition through the UNDRIP and the OAS DRIP,</w:t>
      </w:r>
      <w:r w:rsidRPr="00D874C4">
        <w:rPr>
          <w:rFonts w:asciiTheme="majorHAnsi" w:hAnsiTheme="majorHAnsi"/>
          <w:sz w:val="20"/>
          <w:szCs w:val="20"/>
        </w:rPr>
        <w:t xml:space="preserve"> t</w:t>
      </w:r>
      <w:r w:rsidR="00116623" w:rsidRPr="00D874C4">
        <w:rPr>
          <w:rFonts w:asciiTheme="majorHAnsi" w:hAnsiTheme="majorHAnsi"/>
          <w:sz w:val="20"/>
          <w:szCs w:val="20"/>
        </w:rPr>
        <w:t xml:space="preserve">he </w:t>
      </w:r>
      <w:r w:rsidRPr="00D874C4">
        <w:rPr>
          <w:rFonts w:asciiTheme="majorHAnsi" w:hAnsiTheme="majorHAnsi"/>
          <w:sz w:val="20"/>
          <w:szCs w:val="20"/>
        </w:rPr>
        <w:t>Commission emphasizes</w:t>
      </w:r>
      <w:r w:rsidR="00116623" w:rsidRPr="00D874C4">
        <w:rPr>
          <w:rFonts w:asciiTheme="majorHAnsi" w:hAnsiTheme="majorHAnsi"/>
          <w:sz w:val="20"/>
          <w:szCs w:val="20"/>
        </w:rPr>
        <w:t xml:space="preserve"> that it is only competent to </w:t>
      </w:r>
      <w:r w:rsidR="007E5895" w:rsidRPr="00D874C4">
        <w:rPr>
          <w:rFonts w:asciiTheme="majorHAnsi" w:hAnsiTheme="majorHAnsi"/>
          <w:sz w:val="20"/>
          <w:szCs w:val="20"/>
        </w:rPr>
        <w:t xml:space="preserve">apply the American Declaration with respect to </w:t>
      </w:r>
      <w:r w:rsidR="00116623" w:rsidRPr="00D874C4">
        <w:rPr>
          <w:rFonts w:asciiTheme="majorHAnsi" w:hAnsiTheme="majorHAnsi"/>
          <w:sz w:val="20"/>
          <w:szCs w:val="20"/>
        </w:rPr>
        <w:t xml:space="preserve">petitions filed against </w:t>
      </w:r>
      <w:r w:rsidR="007E5895" w:rsidRPr="00D874C4">
        <w:rPr>
          <w:rFonts w:asciiTheme="majorHAnsi" w:hAnsiTheme="majorHAnsi"/>
          <w:sz w:val="20"/>
          <w:szCs w:val="20"/>
        </w:rPr>
        <w:t>the United States.</w:t>
      </w:r>
      <w:r w:rsidR="00987CC5" w:rsidRPr="00D874C4">
        <w:rPr>
          <w:rFonts w:asciiTheme="majorHAnsi" w:hAnsiTheme="majorHAnsi"/>
          <w:sz w:val="20"/>
          <w:szCs w:val="20"/>
        </w:rPr>
        <w:t xml:space="preserve"> </w:t>
      </w:r>
      <w:r w:rsidR="00116623" w:rsidRPr="00D874C4">
        <w:rPr>
          <w:rFonts w:asciiTheme="majorHAnsi" w:hAnsiTheme="majorHAnsi"/>
          <w:sz w:val="20"/>
          <w:szCs w:val="20"/>
        </w:rPr>
        <w:t xml:space="preserve">However, the Commission notes that, when interpreting and applying the American Declaration, it takes into account developments in the </w:t>
      </w:r>
      <w:r w:rsidR="00116623" w:rsidRPr="00D874C4">
        <w:rPr>
          <w:rFonts w:asciiTheme="majorHAnsi" w:hAnsiTheme="majorHAnsi"/>
          <w:i/>
          <w:sz w:val="20"/>
          <w:szCs w:val="20"/>
        </w:rPr>
        <w:t>corpus juris</w:t>
      </w:r>
      <w:r w:rsidR="00116623" w:rsidRPr="00D874C4">
        <w:rPr>
          <w:rFonts w:asciiTheme="majorHAnsi" w:hAnsiTheme="majorHAnsi"/>
          <w:sz w:val="20"/>
          <w:szCs w:val="20"/>
        </w:rPr>
        <w:t xml:space="preserve"> of international human rights law that are relevant in the specific case. These developments may in turn be drawn from the provisions of other prevailing international and regional human rights instruments. </w:t>
      </w:r>
      <w:r w:rsidR="00987CC5" w:rsidRPr="00D874C4">
        <w:rPr>
          <w:rFonts w:asciiTheme="majorHAnsi" w:hAnsiTheme="majorHAnsi"/>
          <w:sz w:val="20"/>
          <w:szCs w:val="20"/>
        </w:rPr>
        <w:t xml:space="preserve">The Commission </w:t>
      </w:r>
      <w:r w:rsidR="00C14A6F" w:rsidRPr="00D874C4">
        <w:rPr>
          <w:rFonts w:asciiTheme="majorHAnsi" w:hAnsiTheme="majorHAnsi"/>
          <w:sz w:val="20"/>
          <w:szCs w:val="20"/>
        </w:rPr>
        <w:t xml:space="preserve">has </w:t>
      </w:r>
      <w:r w:rsidR="00987CC5" w:rsidRPr="00D874C4">
        <w:rPr>
          <w:rFonts w:asciiTheme="majorHAnsi" w:hAnsiTheme="majorHAnsi"/>
          <w:sz w:val="20"/>
          <w:szCs w:val="20"/>
        </w:rPr>
        <w:t>note</w:t>
      </w:r>
      <w:r w:rsidR="00C14A6F" w:rsidRPr="00D874C4">
        <w:rPr>
          <w:rFonts w:asciiTheme="majorHAnsi" w:hAnsiTheme="majorHAnsi"/>
          <w:sz w:val="20"/>
          <w:szCs w:val="20"/>
        </w:rPr>
        <w:t>d</w:t>
      </w:r>
      <w:r w:rsidR="00987CC5" w:rsidRPr="00D874C4">
        <w:rPr>
          <w:rFonts w:asciiTheme="majorHAnsi" w:hAnsiTheme="majorHAnsi"/>
          <w:sz w:val="20"/>
          <w:szCs w:val="20"/>
        </w:rPr>
        <w:t xml:space="preserve"> in this regard that</w:t>
      </w:r>
      <w:r w:rsidR="00C14A6F" w:rsidRPr="00D874C4">
        <w:rPr>
          <w:rFonts w:asciiTheme="majorHAnsi" w:hAnsiTheme="majorHAnsi"/>
          <w:sz w:val="20"/>
          <w:szCs w:val="20"/>
        </w:rPr>
        <w:t>:</w:t>
      </w:r>
      <w:r w:rsidR="00345DFA" w:rsidRPr="00D874C4">
        <w:rPr>
          <w:rStyle w:val="FootnoteReference"/>
          <w:rFonts w:asciiTheme="majorHAnsi" w:hAnsiTheme="majorHAnsi"/>
          <w:sz w:val="20"/>
          <w:szCs w:val="20"/>
        </w:rPr>
        <w:footnoteReference w:id="4"/>
      </w:r>
    </w:p>
    <w:p w:rsidR="00575737" w:rsidRPr="00D874C4" w:rsidRDefault="00987CC5" w:rsidP="00C14A6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r w:rsidRPr="00D874C4">
        <w:rPr>
          <w:rFonts w:asciiTheme="majorHAnsi" w:hAnsiTheme="majorHAnsi"/>
          <w:sz w:val="20"/>
          <w:szCs w:val="20"/>
        </w:rPr>
        <w:t xml:space="preserve">  </w:t>
      </w:r>
      <w:r w:rsidR="00575737" w:rsidRPr="00D874C4">
        <w:rPr>
          <w:rFonts w:asciiTheme="majorHAnsi" w:hAnsiTheme="majorHAnsi"/>
          <w:sz w:val="20"/>
          <w:szCs w:val="20"/>
        </w:rPr>
        <w:t xml:space="preserve"> </w:t>
      </w:r>
    </w:p>
    <w:p w:rsidR="00C14A6F" w:rsidRPr="00D874C4" w:rsidRDefault="00C14A6F" w:rsidP="00C14A6F">
      <w:pPr>
        <w:pBdr>
          <w:top w:val="none" w:sz="0" w:space="0" w:color="auto"/>
          <w:left w:val="none" w:sz="0" w:space="0" w:color="auto"/>
          <w:bottom w:val="none" w:sz="0" w:space="0" w:color="auto"/>
          <w:right w:val="none" w:sz="0" w:space="0" w:color="auto"/>
          <w:between w:val="none" w:sz="0" w:space="0" w:color="auto"/>
          <w:bar w:val="none" w:sz="0" w:color="auto"/>
        </w:pBdr>
        <w:ind w:left="360" w:right="360"/>
        <w:jc w:val="both"/>
        <w:rPr>
          <w:rFonts w:asciiTheme="majorHAnsi" w:hAnsiTheme="majorHAnsi"/>
          <w:sz w:val="18"/>
          <w:szCs w:val="18"/>
        </w:rPr>
      </w:pPr>
      <w:r w:rsidRPr="00D874C4">
        <w:rPr>
          <w:rFonts w:asciiTheme="majorHAnsi" w:hAnsiTheme="majorHAnsi"/>
          <w:sz w:val="18"/>
          <w:szCs w:val="18"/>
        </w:rPr>
        <w:t xml:space="preserve">[…] in interpreting and applying the Declaration, it is necessary to consider its provisions in the context of the international and inter-American human rights systems more broadly, in the light of developments in the field of international human rights law since the Declaration was first composed and with due regard to other relevant rules of international law applicable to member states against which complaints of violations of the Declaration are properly lodged. </w:t>
      </w:r>
    </w:p>
    <w:p w:rsidR="00C14A6F" w:rsidRPr="00D874C4" w:rsidRDefault="00C14A6F" w:rsidP="00C14A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p>
    <w:p w:rsidR="00751CC4" w:rsidRPr="00D874C4" w:rsidRDefault="00C14A6F" w:rsidP="0050325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D874C4">
        <w:rPr>
          <w:rFonts w:asciiTheme="majorHAnsi" w:hAnsiTheme="majorHAnsi"/>
          <w:sz w:val="20"/>
          <w:szCs w:val="20"/>
        </w:rPr>
        <w:t>The</w:t>
      </w:r>
      <w:r w:rsidR="0050325D" w:rsidRPr="00D874C4">
        <w:rPr>
          <w:rFonts w:asciiTheme="majorHAnsi" w:hAnsiTheme="majorHAnsi"/>
          <w:sz w:val="20"/>
          <w:szCs w:val="20"/>
        </w:rPr>
        <w:t xml:space="preserve">refore, the </w:t>
      </w:r>
      <w:r w:rsidR="00116623" w:rsidRPr="00D874C4">
        <w:rPr>
          <w:rFonts w:asciiTheme="majorHAnsi" w:hAnsiTheme="majorHAnsi"/>
          <w:sz w:val="20"/>
          <w:szCs w:val="20"/>
        </w:rPr>
        <w:t xml:space="preserve">Commission </w:t>
      </w:r>
      <w:r w:rsidR="0050325D" w:rsidRPr="00D874C4">
        <w:rPr>
          <w:rFonts w:asciiTheme="majorHAnsi" w:hAnsiTheme="majorHAnsi"/>
          <w:sz w:val="20"/>
          <w:szCs w:val="20"/>
        </w:rPr>
        <w:t>concludes that</w:t>
      </w:r>
      <w:r w:rsidR="004B2FA4" w:rsidRPr="00D874C4">
        <w:rPr>
          <w:rFonts w:asciiTheme="majorHAnsi" w:hAnsiTheme="majorHAnsi"/>
          <w:sz w:val="20"/>
          <w:szCs w:val="20"/>
        </w:rPr>
        <w:t xml:space="preserve">, although it lacks competence to directly apply the UNDRIP and the OAS DRIP, it can consider these instruments when interpreting and applying the provisions of the American Declaration. </w:t>
      </w:r>
    </w:p>
    <w:p w:rsidR="00751CC4" w:rsidRPr="00D874C4" w:rsidRDefault="00751CC4" w:rsidP="0081365E">
      <w:pPr>
        <w:rPr>
          <w:rFonts w:asciiTheme="majorHAnsi" w:hAnsiTheme="majorHAnsi"/>
          <w:sz w:val="20"/>
          <w:szCs w:val="20"/>
        </w:rPr>
      </w:pPr>
    </w:p>
    <w:p w:rsidR="00F516D3" w:rsidRPr="00D874C4" w:rsidRDefault="00317FC6"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rPr>
      </w:pPr>
      <w:bookmarkStart w:id="15" w:name="_Toc44015980"/>
      <w:bookmarkStart w:id="16" w:name="_Toc49161054"/>
      <w:r w:rsidRPr="00D874C4">
        <w:rPr>
          <w:rFonts w:cs="Tahoma"/>
          <w:color w:val="auto"/>
          <w:sz w:val="20"/>
          <w:szCs w:val="20"/>
          <w:shd w:val="clear" w:color="auto" w:fill="FFFFFF"/>
        </w:rPr>
        <w:t>Exhaustion of domestic remedies and timeliness of the petition</w:t>
      </w:r>
      <w:bookmarkEnd w:id="15"/>
      <w:bookmarkEnd w:id="16"/>
    </w:p>
    <w:p w:rsidR="00D94F44" w:rsidRPr="00D874C4" w:rsidRDefault="00D94F44" w:rsidP="00D94F44">
      <w:pPr>
        <w:rPr>
          <w:rFonts w:asciiTheme="majorHAnsi" w:hAnsiTheme="majorHAnsi"/>
          <w:color w:val="FF0000"/>
          <w:sz w:val="20"/>
          <w:szCs w:val="20"/>
        </w:rPr>
      </w:pPr>
    </w:p>
    <w:p w:rsidR="00A85388" w:rsidRPr="00D874C4" w:rsidRDefault="00D865A2" w:rsidP="00A853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eastAsia="es-ES"/>
        </w:rPr>
      </w:pPr>
      <w:r w:rsidRPr="00D874C4">
        <w:rPr>
          <w:rFonts w:asciiTheme="majorHAnsi" w:hAnsiTheme="majorHAnsi"/>
          <w:sz w:val="20"/>
          <w:szCs w:val="20"/>
        </w:rPr>
        <w:t>According to the available</w:t>
      </w:r>
      <w:r w:rsidR="00A85388" w:rsidRPr="00D874C4">
        <w:rPr>
          <w:rFonts w:asciiTheme="majorHAnsi" w:hAnsiTheme="majorHAnsi"/>
          <w:sz w:val="20"/>
          <w:szCs w:val="20"/>
        </w:rPr>
        <w:t xml:space="preserve"> information</w:t>
      </w:r>
      <w:r w:rsidRPr="00D874C4">
        <w:rPr>
          <w:rFonts w:asciiTheme="majorHAnsi" w:hAnsiTheme="majorHAnsi"/>
          <w:sz w:val="20"/>
          <w:szCs w:val="20"/>
        </w:rPr>
        <w:t xml:space="preserve">, and as established in the facts described below, Mr. </w:t>
      </w:r>
      <w:r w:rsidR="001B337E" w:rsidRPr="00D874C4">
        <w:rPr>
          <w:rFonts w:asciiTheme="majorHAnsi" w:hAnsiTheme="majorHAnsi"/>
          <w:sz w:val="20"/>
          <w:szCs w:val="20"/>
        </w:rPr>
        <w:t>Mitchell</w:t>
      </w:r>
      <w:r w:rsidRPr="00D874C4">
        <w:rPr>
          <w:rFonts w:asciiTheme="majorHAnsi" w:hAnsiTheme="majorHAnsi"/>
          <w:sz w:val="20"/>
          <w:szCs w:val="20"/>
        </w:rPr>
        <w:t xml:space="preserve"> was sentenced to death </w:t>
      </w:r>
      <w:r w:rsidR="00A85388" w:rsidRPr="00D874C4">
        <w:rPr>
          <w:rFonts w:asciiTheme="majorHAnsi" w:hAnsiTheme="majorHAnsi"/>
          <w:sz w:val="20"/>
          <w:szCs w:val="20"/>
        </w:rPr>
        <w:t xml:space="preserve">on </w:t>
      </w:r>
      <w:r w:rsidR="00A85388" w:rsidRPr="00D874C4">
        <w:rPr>
          <w:rFonts w:asciiTheme="majorHAnsi" w:hAnsiTheme="majorHAnsi" w:cs="Times"/>
          <w:sz w:val="20"/>
          <w:szCs w:val="20"/>
          <w:lang w:eastAsia="es-ES"/>
        </w:rPr>
        <w:t>September 15, 2003</w:t>
      </w:r>
      <w:r w:rsidR="00ED587A" w:rsidRPr="00D874C4">
        <w:rPr>
          <w:rFonts w:asciiTheme="majorHAnsi" w:hAnsiTheme="majorHAnsi" w:cs="Times"/>
          <w:sz w:val="20"/>
          <w:szCs w:val="20"/>
          <w:lang w:eastAsia="es-ES"/>
        </w:rPr>
        <w:t>, in the Federal District Court for the District of Arizona</w:t>
      </w:r>
      <w:r w:rsidRPr="00D874C4">
        <w:rPr>
          <w:rFonts w:asciiTheme="majorHAnsi" w:hAnsiTheme="majorHAnsi"/>
          <w:sz w:val="20"/>
          <w:szCs w:val="20"/>
        </w:rPr>
        <w:t xml:space="preserve">. </w:t>
      </w:r>
      <w:r w:rsidR="00E21D36" w:rsidRPr="00D874C4">
        <w:rPr>
          <w:rFonts w:asciiTheme="majorHAnsi" w:hAnsiTheme="majorHAnsi"/>
          <w:sz w:val="20"/>
          <w:szCs w:val="20"/>
        </w:rPr>
        <w:t xml:space="preserve">The U.S. Court of Appeals </w:t>
      </w:r>
      <w:r w:rsidR="00A85388" w:rsidRPr="00D874C4">
        <w:rPr>
          <w:rFonts w:asciiTheme="majorHAnsi" w:hAnsiTheme="majorHAnsi"/>
          <w:sz w:val="20"/>
          <w:szCs w:val="20"/>
        </w:rPr>
        <w:t xml:space="preserve">for the Ninth Circuit affirmed </w:t>
      </w:r>
      <w:r w:rsidR="00836E53" w:rsidRPr="00D874C4">
        <w:rPr>
          <w:rFonts w:asciiTheme="majorHAnsi" w:hAnsiTheme="majorHAnsi"/>
          <w:sz w:val="20"/>
          <w:szCs w:val="20"/>
        </w:rPr>
        <w:t>the</w:t>
      </w:r>
      <w:r w:rsidR="00A85388" w:rsidRPr="00D874C4">
        <w:rPr>
          <w:rFonts w:asciiTheme="majorHAnsi" w:hAnsiTheme="majorHAnsi"/>
          <w:sz w:val="20"/>
          <w:szCs w:val="20"/>
        </w:rPr>
        <w:t xml:space="preserve"> conviction and sentence on </w:t>
      </w:r>
      <w:r w:rsidR="00A85388" w:rsidRPr="00D874C4">
        <w:rPr>
          <w:rFonts w:asciiTheme="majorHAnsi" w:hAnsiTheme="majorHAnsi" w:cs="Times"/>
          <w:sz w:val="20"/>
          <w:szCs w:val="20"/>
          <w:lang w:eastAsia="es-ES"/>
        </w:rPr>
        <w:t xml:space="preserve">September 5, 2007. The U.S. Supreme Court of Justice denied Mr. Mitchell’s petition of certiorari on June 9, 2008. </w:t>
      </w:r>
    </w:p>
    <w:p w:rsidR="00E55A94" w:rsidRPr="00D874C4" w:rsidRDefault="00E55A94" w:rsidP="00E55A9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rsidR="00A85388" w:rsidRPr="00D874C4" w:rsidRDefault="00E55A94" w:rsidP="00A853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Mr. </w:t>
      </w:r>
      <w:r w:rsidR="001B337E" w:rsidRPr="00D874C4">
        <w:rPr>
          <w:rFonts w:asciiTheme="majorHAnsi" w:hAnsiTheme="majorHAnsi"/>
          <w:sz w:val="20"/>
          <w:szCs w:val="20"/>
        </w:rPr>
        <w:t>Mitchell</w:t>
      </w:r>
      <w:r w:rsidRPr="00D874C4">
        <w:rPr>
          <w:rFonts w:asciiTheme="majorHAnsi" w:hAnsiTheme="majorHAnsi"/>
          <w:sz w:val="20"/>
          <w:szCs w:val="20"/>
        </w:rPr>
        <w:t xml:space="preserve"> pursued post-conviction habeas corpus relief.</w:t>
      </w:r>
      <w:r w:rsidR="00A85388" w:rsidRPr="00D874C4">
        <w:rPr>
          <w:rFonts w:asciiTheme="majorHAnsi" w:hAnsiTheme="majorHAnsi"/>
          <w:sz w:val="20"/>
          <w:szCs w:val="20"/>
        </w:rPr>
        <w:t xml:space="preserve"> On September 30, 2010, the district court denied the motion to vacate </w:t>
      </w:r>
      <w:r w:rsidR="00836E53" w:rsidRPr="00D874C4">
        <w:rPr>
          <w:rFonts w:asciiTheme="majorHAnsi" w:hAnsiTheme="majorHAnsi"/>
          <w:sz w:val="20"/>
          <w:szCs w:val="20"/>
        </w:rPr>
        <w:t>the</w:t>
      </w:r>
      <w:r w:rsidR="00A85388" w:rsidRPr="00D874C4">
        <w:rPr>
          <w:rFonts w:asciiTheme="majorHAnsi" w:hAnsiTheme="majorHAnsi"/>
          <w:sz w:val="20"/>
          <w:szCs w:val="20"/>
        </w:rPr>
        <w:t xml:space="preserve"> conviction and sentence</w:t>
      </w:r>
      <w:r w:rsidR="00873CC0" w:rsidRPr="00D874C4">
        <w:rPr>
          <w:rFonts w:asciiTheme="majorHAnsi" w:hAnsiTheme="majorHAnsi"/>
          <w:sz w:val="20"/>
          <w:szCs w:val="20"/>
        </w:rPr>
        <w:t xml:space="preserve">. </w:t>
      </w:r>
      <w:r w:rsidR="00A85388" w:rsidRPr="00D874C4">
        <w:rPr>
          <w:rFonts w:asciiTheme="majorHAnsi" w:hAnsiTheme="majorHAnsi"/>
          <w:sz w:val="20"/>
          <w:szCs w:val="20"/>
        </w:rPr>
        <w:t>On June 15, 2015, the Ninth Circuit Court affirmed the judgment and on October 3, 2016, the Supreme Court denied Mr. Mitchell’s application for certiorari.</w:t>
      </w:r>
    </w:p>
    <w:p w:rsidR="00013E1D" w:rsidRPr="00D874C4" w:rsidRDefault="00013E1D" w:rsidP="00013E1D">
      <w:pPr>
        <w:pStyle w:val="ListParagraph"/>
        <w:rPr>
          <w:rFonts w:asciiTheme="majorHAnsi" w:hAnsiTheme="majorHAnsi"/>
          <w:sz w:val="20"/>
          <w:szCs w:val="20"/>
        </w:rPr>
      </w:pPr>
    </w:p>
    <w:p w:rsidR="00B57B72" w:rsidRPr="00D874C4" w:rsidRDefault="00013E1D" w:rsidP="00907B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The Commission notes the State’s allegation in its last communication regarding </w:t>
      </w:r>
      <w:r w:rsidR="00C11F56" w:rsidRPr="00D874C4">
        <w:rPr>
          <w:rFonts w:asciiTheme="majorHAnsi" w:hAnsiTheme="majorHAnsi"/>
          <w:sz w:val="20"/>
          <w:szCs w:val="20"/>
        </w:rPr>
        <w:t xml:space="preserve">the lack of exhaustion of domestic remedies given the existence of </w:t>
      </w:r>
      <w:r w:rsidRPr="00D874C4">
        <w:rPr>
          <w:rFonts w:asciiTheme="majorHAnsi" w:hAnsiTheme="majorHAnsi"/>
          <w:sz w:val="20"/>
          <w:szCs w:val="20"/>
        </w:rPr>
        <w:t>a pending appeal</w:t>
      </w:r>
      <w:r w:rsidR="00C11F56" w:rsidRPr="00D874C4">
        <w:rPr>
          <w:rFonts w:asciiTheme="majorHAnsi" w:hAnsiTheme="majorHAnsi"/>
          <w:sz w:val="20"/>
          <w:szCs w:val="20"/>
        </w:rPr>
        <w:t xml:space="preserve">. </w:t>
      </w:r>
      <w:r w:rsidR="003D4BF9" w:rsidRPr="00D874C4">
        <w:rPr>
          <w:rFonts w:asciiTheme="majorHAnsi" w:hAnsiTheme="majorHAnsi"/>
          <w:sz w:val="20"/>
          <w:szCs w:val="20"/>
        </w:rPr>
        <w:t xml:space="preserve">Based on the established facts described above, </w:t>
      </w:r>
      <w:r w:rsidR="00F32A3C" w:rsidRPr="00D874C4">
        <w:rPr>
          <w:rFonts w:asciiTheme="majorHAnsi" w:hAnsiTheme="majorHAnsi"/>
          <w:sz w:val="20"/>
          <w:szCs w:val="20"/>
        </w:rPr>
        <w:t xml:space="preserve">on March 5, 2018, Mr. Mitchell filed a 60(b) motion in the district court to re-open section 2255 proceedings. The district court denied the motion on September 18, 2018. Mr. Mitchell appealed and on April 25, 2019, the Ninth Circuit Court granted the motion for a </w:t>
      </w:r>
      <w:r w:rsidR="000A20FF" w:rsidRPr="00D874C4">
        <w:rPr>
          <w:rFonts w:asciiTheme="majorHAnsi" w:hAnsiTheme="majorHAnsi"/>
          <w:sz w:val="20"/>
          <w:szCs w:val="20"/>
        </w:rPr>
        <w:t>certificate of appealability</w:t>
      </w:r>
      <w:r w:rsidR="00F32A3C" w:rsidRPr="00D874C4">
        <w:rPr>
          <w:rFonts w:asciiTheme="majorHAnsi" w:hAnsiTheme="majorHAnsi"/>
          <w:sz w:val="20"/>
          <w:szCs w:val="20"/>
        </w:rPr>
        <w:t xml:space="preserve">. </w:t>
      </w:r>
    </w:p>
    <w:p w:rsidR="00B57B72" w:rsidRPr="00D874C4" w:rsidRDefault="00B57B72" w:rsidP="00B57B72">
      <w:pPr>
        <w:pStyle w:val="ListParagraph"/>
        <w:rPr>
          <w:rFonts w:asciiTheme="majorHAnsi" w:hAnsiTheme="majorHAnsi"/>
          <w:sz w:val="20"/>
          <w:szCs w:val="20"/>
        </w:rPr>
      </w:pPr>
    </w:p>
    <w:p w:rsidR="00F32A3C" w:rsidRPr="00D874C4" w:rsidRDefault="00B57B72" w:rsidP="00B57B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According to the latest information available, on April 30, 2020, the United States Court of Appeals for the Ninth Circuit </w:t>
      </w:r>
      <w:r w:rsidR="00502972" w:rsidRPr="00D874C4">
        <w:rPr>
          <w:rFonts w:asciiTheme="majorHAnsi" w:hAnsiTheme="majorHAnsi"/>
          <w:sz w:val="20"/>
          <w:szCs w:val="20"/>
        </w:rPr>
        <w:t xml:space="preserve">affirmed </w:t>
      </w:r>
      <w:r w:rsidRPr="00D874C4">
        <w:rPr>
          <w:rFonts w:asciiTheme="majorHAnsi" w:hAnsiTheme="majorHAnsi"/>
          <w:sz w:val="20"/>
          <w:szCs w:val="20"/>
        </w:rPr>
        <w:t xml:space="preserve">the district court’s denial of </w:t>
      </w:r>
      <w:proofErr w:type="spellStart"/>
      <w:r w:rsidRPr="00D874C4">
        <w:rPr>
          <w:rFonts w:asciiTheme="majorHAnsi" w:hAnsiTheme="majorHAnsi"/>
          <w:sz w:val="20"/>
          <w:szCs w:val="20"/>
        </w:rPr>
        <w:t>Lezmond</w:t>
      </w:r>
      <w:proofErr w:type="spellEnd"/>
      <w:r w:rsidRPr="00D874C4">
        <w:rPr>
          <w:rFonts w:asciiTheme="majorHAnsi" w:hAnsiTheme="majorHAnsi"/>
          <w:sz w:val="20"/>
          <w:szCs w:val="20"/>
        </w:rPr>
        <w:t xml:space="preserve"> Mitchell’s motion pursuant to Federal Rule of Evidence 60(b).</w:t>
      </w:r>
    </w:p>
    <w:p w:rsidR="00B57B72" w:rsidRPr="00D874C4" w:rsidRDefault="00B57B72" w:rsidP="00B57B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FB0135" w:rsidRPr="00D874C4" w:rsidRDefault="00FC5458" w:rsidP="00FB01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pPr>
      <w:r w:rsidRPr="00D874C4">
        <w:rPr>
          <w:rFonts w:asciiTheme="majorHAnsi" w:hAnsiTheme="majorHAnsi"/>
          <w:sz w:val="20"/>
          <w:szCs w:val="20"/>
        </w:rPr>
        <w:t xml:space="preserve">Based on the available information, the IACHR notes that </w:t>
      </w:r>
      <w:r w:rsidR="00AF010B" w:rsidRPr="00D874C4">
        <w:rPr>
          <w:rFonts w:asciiTheme="majorHAnsi" w:hAnsiTheme="majorHAnsi"/>
          <w:sz w:val="20"/>
          <w:szCs w:val="20"/>
        </w:rPr>
        <w:t>the alleged victim has not onl</w:t>
      </w:r>
      <w:r w:rsidR="00837EDD" w:rsidRPr="00D874C4">
        <w:rPr>
          <w:rFonts w:asciiTheme="majorHAnsi" w:hAnsiTheme="majorHAnsi"/>
          <w:sz w:val="20"/>
          <w:szCs w:val="20"/>
        </w:rPr>
        <w:t xml:space="preserve">y exhausted all direct review proceeding, but also post-conviction proceedings. </w:t>
      </w:r>
      <w:r w:rsidR="00192815" w:rsidRPr="00D874C4">
        <w:rPr>
          <w:rFonts w:asciiTheme="majorHAnsi" w:hAnsiTheme="majorHAnsi"/>
          <w:sz w:val="20"/>
          <w:szCs w:val="20"/>
        </w:rPr>
        <w:t xml:space="preserve">Therefore, </w:t>
      </w:r>
      <w:r w:rsidR="00FB0135" w:rsidRPr="00D874C4">
        <w:rPr>
          <w:rFonts w:asciiTheme="majorHAnsi" w:hAnsiTheme="majorHAnsi"/>
          <w:sz w:val="20"/>
          <w:szCs w:val="20"/>
        </w:rPr>
        <w:t xml:space="preserve">the Inter-American Commission </w:t>
      </w:r>
      <w:r w:rsidR="00FB0135" w:rsidRPr="00D874C4">
        <w:rPr>
          <w:rFonts w:asciiTheme="majorHAnsi" w:hAnsiTheme="majorHAnsi"/>
          <w:sz w:val="20"/>
          <w:szCs w:val="20"/>
        </w:rPr>
        <w:lastRenderedPageBreak/>
        <w:t>concludes that the petitioner</w:t>
      </w:r>
      <w:r w:rsidR="00192815" w:rsidRPr="00D874C4">
        <w:rPr>
          <w:rFonts w:asciiTheme="majorHAnsi" w:hAnsiTheme="majorHAnsi"/>
          <w:sz w:val="20"/>
          <w:szCs w:val="20"/>
        </w:rPr>
        <w:t>s</w:t>
      </w:r>
      <w:r w:rsidR="00FB0135" w:rsidRPr="00D874C4">
        <w:rPr>
          <w:rFonts w:asciiTheme="majorHAnsi" w:hAnsiTheme="majorHAnsi"/>
          <w:sz w:val="20"/>
          <w:szCs w:val="20"/>
        </w:rPr>
        <w:t xml:space="preserve"> properly exhausted domestic remedies available within the domestic legal system and, therefore, that the alleged victim’</w:t>
      </w:r>
      <w:r w:rsidR="00045C16" w:rsidRPr="00D874C4">
        <w:rPr>
          <w:rFonts w:asciiTheme="majorHAnsi" w:hAnsiTheme="majorHAnsi"/>
          <w:sz w:val="20"/>
          <w:szCs w:val="20"/>
        </w:rPr>
        <w:t>s</w:t>
      </w:r>
      <w:r w:rsidR="00FB0135" w:rsidRPr="00D874C4">
        <w:rPr>
          <w:rFonts w:asciiTheme="majorHAnsi" w:hAnsiTheme="majorHAnsi"/>
          <w:sz w:val="20"/>
          <w:szCs w:val="20"/>
        </w:rPr>
        <w:t xml:space="preserve"> claims before the Commission are not barred from consideration by the requirement of exhaustion of domestic remedies under Article 31(1) of its Rules of Procedure.</w:t>
      </w:r>
      <w:r w:rsidR="00C43943" w:rsidRPr="00D874C4">
        <w:rPr>
          <w:rFonts w:asciiTheme="majorHAnsi" w:hAnsiTheme="majorHAnsi"/>
          <w:sz w:val="20"/>
          <w:szCs w:val="20"/>
        </w:rPr>
        <w:t xml:space="preserve"> The petition before the IACHR was presented on </w:t>
      </w:r>
      <w:r w:rsidR="00A72B43" w:rsidRPr="00D874C4">
        <w:rPr>
          <w:rFonts w:asciiTheme="majorHAnsi" w:hAnsiTheme="majorHAnsi"/>
          <w:sz w:val="20"/>
          <w:szCs w:val="20"/>
        </w:rPr>
        <w:t>April 3, 2017</w:t>
      </w:r>
      <w:r w:rsidR="00C43943" w:rsidRPr="00D874C4">
        <w:rPr>
          <w:rFonts w:asciiTheme="majorHAnsi" w:hAnsiTheme="majorHAnsi"/>
          <w:sz w:val="20"/>
          <w:szCs w:val="20"/>
        </w:rPr>
        <w:t xml:space="preserve">, and the </w:t>
      </w:r>
      <w:r w:rsidR="00192815" w:rsidRPr="00D874C4">
        <w:rPr>
          <w:rFonts w:asciiTheme="majorHAnsi" w:hAnsiTheme="majorHAnsi"/>
          <w:sz w:val="20"/>
          <w:szCs w:val="20"/>
        </w:rPr>
        <w:t xml:space="preserve">application for </w:t>
      </w:r>
      <w:r w:rsidR="00192815" w:rsidRPr="00D874C4">
        <w:rPr>
          <w:rFonts w:asciiTheme="majorHAnsi" w:hAnsiTheme="majorHAnsi"/>
          <w:i/>
          <w:sz w:val="20"/>
          <w:szCs w:val="20"/>
        </w:rPr>
        <w:t xml:space="preserve">certiorari </w:t>
      </w:r>
      <w:r w:rsidR="00192815" w:rsidRPr="00D874C4">
        <w:rPr>
          <w:rFonts w:asciiTheme="majorHAnsi" w:hAnsiTheme="majorHAnsi"/>
          <w:sz w:val="20"/>
          <w:szCs w:val="20"/>
        </w:rPr>
        <w:t xml:space="preserve">was denied by the Supreme Court on </w:t>
      </w:r>
      <w:r w:rsidR="00836E53" w:rsidRPr="00D874C4">
        <w:rPr>
          <w:rFonts w:asciiTheme="majorHAnsi" w:hAnsiTheme="majorHAnsi"/>
          <w:sz w:val="20"/>
          <w:szCs w:val="20"/>
        </w:rPr>
        <w:t>October 3, 2016</w:t>
      </w:r>
      <w:r w:rsidR="00C43943" w:rsidRPr="00D874C4">
        <w:rPr>
          <w:rFonts w:asciiTheme="majorHAnsi" w:hAnsiTheme="majorHAnsi"/>
          <w:sz w:val="20"/>
          <w:szCs w:val="20"/>
        </w:rPr>
        <w:t>. Therefore, t</w:t>
      </w:r>
      <w:r w:rsidR="00FB0135" w:rsidRPr="00D874C4">
        <w:rPr>
          <w:rFonts w:asciiTheme="majorHAnsi" w:hAnsiTheme="majorHAnsi"/>
          <w:sz w:val="20"/>
          <w:szCs w:val="20"/>
        </w:rPr>
        <w:t>he Commission also concludes that the requirement specified in Article 32(1) of its Rules of Procedure has been met.</w:t>
      </w:r>
    </w:p>
    <w:p w:rsidR="00D94F44" w:rsidRPr="00D874C4" w:rsidRDefault="00D94F44" w:rsidP="00D94F44">
      <w:pPr>
        <w:rPr>
          <w:rFonts w:asciiTheme="majorHAnsi" w:hAnsiTheme="majorHAnsi"/>
          <w:sz w:val="20"/>
          <w:szCs w:val="20"/>
        </w:rPr>
      </w:pPr>
    </w:p>
    <w:p w:rsidR="00F516D3" w:rsidRPr="00D874C4" w:rsidRDefault="00F516D3"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17" w:name="_Toc7602625"/>
      <w:bookmarkStart w:id="18" w:name="_Toc44015981"/>
      <w:bookmarkStart w:id="19" w:name="_Toc49161055"/>
      <w:bookmarkStart w:id="20" w:name="_Toc6349144"/>
      <w:r w:rsidRPr="00D874C4">
        <w:rPr>
          <w:rFonts w:cs="Times New Roman"/>
          <w:color w:val="auto"/>
          <w:sz w:val="20"/>
          <w:szCs w:val="20"/>
        </w:rPr>
        <w:t>Colorable claim</w:t>
      </w:r>
      <w:bookmarkEnd w:id="17"/>
      <w:bookmarkEnd w:id="18"/>
      <w:bookmarkEnd w:id="19"/>
      <w:r w:rsidRPr="00D874C4">
        <w:rPr>
          <w:rFonts w:cs="Times New Roman"/>
          <w:color w:val="auto"/>
          <w:sz w:val="20"/>
          <w:szCs w:val="20"/>
        </w:rPr>
        <w:t xml:space="preserve"> </w:t>
      </w:r>
      <w:bookmarkEnd w:id="20"/>
    </w:p>
    <w:p w:rsidR="00764470" w:rsidRPr="00D874C4" w:rsidRDefault="00764470" w:rsidP="00764470">
      <w:pPr>
        <w:rPr>
          <w:rFonts w:asciiTheme="majorHAnsi" w:hAnsiTheme="majorHAnsi"/>
          <w:sz w:val="20"/>
          <w:szCs w:val="20"/>
        </w:rPr>
      </w:pPr>
    </w:p>
    <w:p w:rsidR="00F516D3" w:rsidRPr="00D874C4" w:rsidRDefault="00764470" w:rsidP="008631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The Commission considers that, if proven, the facts alleged by the petitioner would tend to establish violations of the rights set forth in </w:t>
      </w:r>
      <w:r w:rsidR="00CF0A29" w:rsidRPr="00D874C4">
        <w:rPr>
          <w:rFonts w:asciiTheme="majorHAnsi" w:hAnsiTheme="majorHAnsi"/>
          <w:sz w:val="20"/>
          <w:szCs w:val="20"/>
        </w:rPr>
        <w:t>Articles</w:t>
      </w:r>
      <w:r w:rsidR="00550FAA" w:rsidRPr="00D874C4">
        <w:rPr>
          <w:rFonts w:asciiTheme="majorHAnsi" w:hAnsiTheme="majorHAnsi"/>
          <w:sz w:val="20"/>
          <w:szCs w:val="20"/>
        </w:rPr>
        <w:t xml:space="preserve"> </w:t>
      </w:r>
      <w:r w:rsidR="009D026B" w:rsidRPr="00D874C4">
        <w:rPr>
          <w:sz w:val="20"/>
        </w:rPr>
        <w:t xml:space="preserve">I, </w:t>
      </w:r>
      <w:r w:rsidR="009D026B" w:rsidRPr="00D874C4">
        <w:rPr>
          <w:rFonts w:asciiTheme="majorHAnsi" w:hAnsiTheme="majorHAnsi"/>
          <w:color w:val="000000" w:themeColor="text1"/>
          <w:sz w:val="20"/>
          <w:szCs w:val="20"/>
        </w:rPr>
        <w:t>XVIII, XXV and XXVI</w:t>
      </w:r>
      <w:r w:rsidR="00863139" w:rsidRPr="00D874C4">
        <w:rPr>
          <w:rFonts w:asciiTheme="majorHAnsi" w:hAnsiTheme="majorHAnsi"/>
          <w:sz w:val="20"/>
          <w:szCs w:val="20"/>
        </w:rPr>
        <w:t xml:space="preserve"> of the American Declaration</w:t>
      </w:r>
      <w:r w:rsidRPr="00D874C4">
        <w:rPr>
          <w:rFonts w:asciiTheme="majorHAnsi" w:hAnsiTheme="majorHAnsi"/>
          <w:sz w:val="20"/>
          <w:szCs w:val="20"/>
        </w:rPr>
        <w:t>,</w:t>
      </w:r>
      <w:r w:rsidR="005B1DBA" w:rsidRPr="00D874C4">
        <w:rPr>
          <w:rFonts w:asciiTheme="majorHAnsi" w:hAnsiTheme="majorHAnsi"/>
          <w:sz w:val="20"/>
          <w:szCs w:val="20"/>
        </w:rPr>
        <w:t xml:space="preserve"> to the detriment of Mr. </w:t>
      </w:r>
      <w:r w:rsidR="00746B34" w:rsidRPr="00D874C4">
        <w:rPr>
          <w:rFonts w:asciiTheme="majorHAnsi" w:hAnsiTheme="majorHAnsi"/>
          <w:sz w:val="20"/>
          <w:szCs w:val="20"/>
        </w:rPr>
        <w:t>Mitchell</w:t>
      </w:r>
      <w:r w:rsidRPr="00D874C4">
        <w:rPr>
          <w:rFonts w:asciiTheme="majorHAnsi" w:hAnsiTheme="majorHAnsi"/>
          <w:sz w:val="20"/>
          <w:szCs w:val="20"/>
        </w:rPr>
        <w:t xml:space="preserve">. </w:t>
      </w:r>
    </w:p>
    <w:p w:rsidR="003519AE" w:rsidRPr="00D874C4" w:rsidRDefault="003519AE" w:rsidP="003519A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rsidR="00D070D7" w:rsidRPr="00D874C4" w:rsidRDefault="003519AE" w:rsidP="00B36BA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ind w:left="0" w:firstLine="0"/>
        <w:jc w:val="both"/>
        <w:rPr>
          <w:rFonts w:asciiTheme="majorHAnsi" w:hAnsiTheme="majorHAnsi"/>
          <w:sz w:val="20"/>
          <w:szCs w:val="20"/>
        </w:rPr>
      </w:pPr>
      <w:r w:rsidRPr="00D874C4">
        <w:rPr>
          <w:rFonts w:asciiTheme="majorHAnsi" w:hAnsiTheme="majorHAnsi"/>
          <w:sz w:val="20"/>
          <w:szCs w:val="20"/>
        </w:rPr>
        <w:t xml:space="preserve">With regard to the alleged violation of </w:t>
      </w:r>
      <w:r w:rsidR="009E38C5" w:rsidRPr="00D874C4">
        <w:rPr>
          <w:rFonts w:asciiTheme="majorHAnsi" w:hAnsiTheme="majorHAnsi"/>
          <w:sz w:val="20"/>
          <w:szCs w:val="20"/>
        </w:rPr>
        <w:t xml:space="preserve">the rights to equality before the law, to religious freedom and worship, to the benefits of culture, to recognition of juridical personality and civil rights, </w:t>
      </w:r>
      <w:r w:rsidR="003A1855" w:rsidRPr="00D874C4">
        <w:rPr>
          <w:rFonts w:asciiTheme="majorHAnsi" w:hAnsiTheme="majorHAnsi"/>
          <w:sz w:val="20"/>
          <w:szCs w:val="20"/>
        </w:rPr>
        <w:t xml:space="preserve">to petition, </w:t>
      </w:r>
      <w:r w:rsidR="009E38C5" w:rsidRPr="00D874C4">
        <w:rPr>
          <w:rFonts w:asciiTheme="majorHAnsi" w:hAnsiTheme="majorHAnsi"/>
          <w:sz w:val="20"/>
          <w:szCs w:val="20"/>
        </w:rPr>
        <w:t>and to nationality</w:t>
      </w:r>
      <w:r w:rsidR="00746B34" w:rsidRPr="00D874C4">
        <w:rPr>
          <w:rFonts w:asciiTheme="majorHAnsi" w:hAnsiTheme="majorHAnsi"/>
          <w:sz w:val="20"/>
          <w:szCs w:val="20"/>
        </w:rPr>
        <w:t xml:space="preserve"> </w:t>
      </w:r>
      <w:r w:rsidRPr="00D874C4">
        <w:rPr>
          <w:rFonts w:asciiTheme="majorHAnsi" w:hAnsiTheme="majorHAnsi"/>
          <w:sz w:val="20"/>
          <w:szCs w:val="20"/>
        </w:rPr>
        <w:t>set forth in Article</w:t>
      </w:r>
      <w:r w:rsidR="009E38C5" w:rsidRPr="00D874C4">
        <w:rPr>
          <w:rFonts w:asciiTheme="majorHAnsi" w:hAnsiTheme="majorHAnsi"/>
          <w:sz w:val="20"/>
          <w:szCs w:val="20"/>
        </w:rPr>
        <w:t>s</w:t>
      </w:r>
      <w:r w:rsidRPr="00D874C4">
        <w:rPr>
          <w:rFonts w:asciiTheme="majorHAnsi" w:hAnsiTheme="majorHAnsi"/>
          <w:sz w:val="20"/>
          <w:szCs w:val="20"/>
        </w:rPr>
        <w:t xml:space="preserve"> </w:t>
      </w:r>
      <w:r w:rsidR="009E38C5" w:rsidRPr="00D874C4">
        <w:rPr>
          <w:rFonts w:asciiTheme="majorHAnsi" w:hAnsiTheme="majorHAnsi"/>
          <w:sz w:val="20"/>
          <w:szCs w:val="20"/>
        </w:rPr>
        <w:t>III, XIII, XVII,</w:t>
      </w:r>
      <w:r w:rsidR="003A1855" w:rsidRPr="00D874C4">
        <w:rPr>
          <w:rFonts w:asciiTheme="majorHAnsi" w:hAnsiTheme="majorHAnsi"/>
          <w:sz w:val="20"/>
          <w:szCs w:val="20"/>
        </w:rPr>
        <w:t xml:space="preserve"> XXIV</w:t>
      </w:r>
      <w:r w:rsidR="009E38C5" w:rsidRPr="00D874C4">
        <w:rPr>
          <w:rFonts w:asciiTheme="majorHAnsi" w:hAnsiTheme="majorHAnsi"/>
          <w:sz w:val="20"/>
          <w:szCs w:val="20"/>
        </w:rPr>
        <w:t xml:space="preserve"> and XIX</w:t>
      </w:r>
      <w:r w:rsidRPr="00D874C4">
        <w:rPr>
          <w:rFonts w:asciiTheme="majorHAnsi" w:hAnsiTheme="majorHAnsi"/>
          <w:sz w:val="20"/>
          <w:szCs w:val="20"/>
        </w:rPr>
        <w:t xml:space="preserve"> of the Declaration, </w:t>
      </w:r>
      <w:r w:rsidR="009E38C5" w:rsidRPr="00D874C4">
        <w:rPr>
          <w:rFonts w:asciiTheme="majorHAnsi" w:hAnsiTheme="majorHAnsi"/>
          <w:sz w:val="20"/>
          <w:szCs w:val="20"/>
        </w:rPr>
        <w:t xml:space="preserve">and based on the information provided, </w:t>
      </w:r>
      <w:r w:rsidR="009C0330" w:rsidRPr="00D874C4">
        <w:rPr>
          <w:rFonts w:asciiTheme="majorHAnsi" w:hAnsiTheme="majorHAnsi"/>
          <w:sz w:val="20"/>
          <w:szCs w:val="20"/>
        </w:rPr>
        <w:t xml:space="preserve">the Commission </w:t>
      </w:r>
      <w:r w:rsidR="00E27C68" w:rsidRPr="00D874C4">
        <w:rPr>
          <w:rFonts w:asciiTheme="majorHAnsi" w:hAnsiTheme="majorHAnsi"/>
          <w:sz w:val="20"/>
          <w:szCs w:val="20"/>
        </w:rPr>
        <w:t>finds that the facts described in the petition do not tend to establish a colorable claim.</w:t>
      </w:r>
      <w:r w:rsidR="002A7062" w:rsidRPr="00D874C4">
        <w:rPr>
          <w:rFonts w:asciiTheme="majorHAnsi" w:hAnsiTheme="majorHAnsi"/>
          <w:sz w:val="20"/>
          <w:szCs w:val="20"/>
        </w:rPr>
        <w:t xml:space="preserve"> </w:t>
      </w:r>
      <w:r w:rsidR="00015975" w:rsidRPr="00D874C4">
        <w:rPr>
          <w:rFonts w:asciiTheme="majorHAnsi" w:hAnsiTheme="majorHAnsi"/>
          <w:sz w:val="20"/>
          <w:szCs w:val="20"/>
        </w:rPr>
        <w:t>The petitioners allege</w:t>
      </w:r>
      <w:r w:rsidR="00F24280" w:rsidRPr="00D874C4">
        <w:rPr>
          <w:rFonts w:asciiTheme="majorHAnsi" w:hAnsiTheme="majorHAnsi"/>
          <w:sz w:val="20"/>
          <w:szCs w:val="20"/>
        </w:rPr>
        <w:t xml:space="preserve"> that the lack of</w:t>
      </w:r>
      <w:r w:rsidR="00015975" w:rsidRPr="00D874C4">
        <w:rPr>
          <w:rFonts w:asciiTheme="majorHAnsi" w:hAnsiTheme="majorHAnsi"/>
          <w:sz w:val="20"/>
          <w:szCs w:val="20"/>
        </w:rPr>
        <w:t xml:space="preserve"> </w:t>
      </w:r>
      <w:r w:rsidR="00F24280" w:rsidRPr="00D874C4">
        <w:rPr>
          <w:rFonts w:asciiTheme="majorHAnsi" w:hAnsiTheme="majorHAnsi"/>
          <w:sz w:val="20"/>
          <w:szCs w:val="20"/>
        </w:rPr>
        <w:t xml:space="preserve">a representative sample of members of the Navajo Nation in Mr. Mitchell’s petit jury constitutes a </w:t>
      </w:r>
      <w:r w:rsidR="00015975" w:rsidRPr="00D874C4">
        <w:rPr>
          <w:rFonts w:asciiTheme="majorHAnsi" w:hAnsiTheme="majorHAnsi"/>
          <w:sz w:val="20"/>
          <w:szCs w:val="20"/>
        </w:rPr>
        <w:t>violation of Article II of the American Declaration.</w:t>
      </w:r>
      <w:r w:rsidR="00F24280" w:rsidRPr="00D874C4">
        <w:rPr>
          <w:rFonts w:asciiTheme="majorHAnsi" w:hAnsiTheme="majorHAnsi"/>
          <w:sz w:val="20"/>
          <w:szCs w:val="20"/>
        </w:rPr>
        <w:t xml:space="preserve"> </w:t>
      </w:r>
      <w:r w:rsidR="00015975" w:rsidRPr="00D874C4">
        <w:rPr>
          <w:rFonts w:asciiTheme="majorHAnsi" w:hAnsiTheme="majorHAnsi"/>
          <w:sz w:val="20"/>
          <w:szCs w:val="20"/>
        </w:rPr>
        <w:t xml:space="preserve"> </w:t>
      </w:r>
      <w:r w:rsidR="002A7062" w:rsidRPr="00D874C4">
        <w:rPr>
          <w:rFonts w:asciiTheme="majorHAnsi" w:hAnsiTheme="majorHAnsi"/>
          <w:sz w:val="20"/>
          <w:szCs w:val="20"/>
        </w:rPr>
        <w:t>The information provided, however, is not sufficient to establish a colorable claim.</w:t>
      </w:r>
    </w:p>
    <w:p w:rsidR="00015975" w:rsidRPr="00D874C4" w:rsidRDefault="00015975" w:rsidP="0001597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suppressAutoHyphens/>
        <w:jc w:val="both"/>
        <w:rPr>
          <w:rFonts w:asciiTheme="majorHAnsi" w:hAnsiTheme="majorHAnsi"/>
          <w:sz w:val="20"/>
          <w:szCs w:val="20"/>
        </w:rPr>
      </w:pPr>
    </w:p>
    <w:p w:rsidR="001C4006" w:rsidRPr="00D874C4" w:rsidRDefault="00F516D3" w:rsidP="003676F1">
      <w:pPr>
        <w:pStyle w:val="Heading1"/>
        <w:tabs>
          <w:tab w:val="left" w:pos="360"/>
        </w:tabs>
        <w:spacing w:before="0"/>
        <w:ind w:hanging="720"/>
        <w:rPr>
          <w:color w:val="auto"/>
          <w:sz w:val="20"/>
          <w:szCs w:val="20"/>
        </w:rPr>
      </w:pPr>
      <w:bookmarkStart w:id="21" w:name="_Toc44015982"/>
      <w:bookmarkStart w:id="22" w:name="_Toc49161056"/>
      <w:r w:rsidRPr="00D874C4">
        <w:rPr>
          <w:color w:val="auto"/>
          <w:sz w:val="20"/>
          <w:szCs w:val="20"/>
        </w:rPr>
        <w:t>FINDINGS OF FACT</w:t>
      </w:r>
      <w:bookmarkEnd w:id="21"/>
      <w:bookmarkEnd w:id="22"/>
    </w:p>
    <w:p w:rsidR="00764470" w:rsidRPr="00D874C4" w:rsidRDefault="00764470" w:rsidP="00764470">
      <w:pPr>
        <w:rPr>
          <w:rFonts w:asciiTheme="majorHAnsi" w:hAnsiTheme="majorHAnsi"/>
          <w:sz w:val="20"/>
          <w:szCs w:val="20"/>
        </w:rPr>
      </w:pPr>
    </w:p>
    <w:p w:rsidR="001651C8" w:rsidRPr="00D874C4" w:rsidRDefault="001651C8" w:rsidP="001651C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60"/>
          <w:tab w:val="left" w:pos="720"/>
        </w:tabs>
        <w:ind w:left="0" w:firstLine="0"/>
        <w:jc w:val="both"/>
        <w:rPr>
          <w:rFonts w:ascii="Cambria" w:hAnsi="Cambria"/>
          <w:sz w:val="20"/>
          <w:szCs w:val="20"/>
        </w:rPr>
      </w:pPr>
      <w:r w:rsidRPr="00D874C4">
        <w:rPr>
          <w:rFonts w:ascii="Cambria" w:hAnsi="Cambria"/>
          <w:sz w:val="20"/>
          <w:szCs w:val="20"/>
        </w:rPr>
        <w:t>In application of Article 43(1) of its Rules of Procedure, the IACHR will examine the arguments and evidence provided by the petitioners and the State. Likewise, the Commission will take into account publicly available information that may be relevant for the analysis and decision of the instant case.</w:t>
      </w:r>
    </w:p>
    <w:p w:rsidR="001651C8" w:rsidRPr="00D874C4" w:rsidRDefault="001651C8" w:rsidP="00764470">
      <w:pPr>
        <w:rPr>
          <w:rFonts w:asciiTheme="majorHAnsi" w:hAnsiTheme="majorHAnsi"/>
          <w:sz w:val="20"/>
          <w:szCs w:val="20"/>
        </w:rPr>
      </w:pPr>
    </w:p>
    <w:p w:rsidR="00511427" w:rsidRPr="00D874C4" w:rsidRDefault="00A35DC6" w:rsidP="00511427">
      <w:pPr>
        <w:pStyle w:val="Heading2"/>
        <w:numPr>
          <w:ilvl w:val="0"/>
          <w:numId w:val="58"/>
        </w:numPr>
        <w:spacing w:before="0"/>
        <w:ind w:left="360"/>
        <w:rPr>
          <w:color w:val="auto"/>
          <w:sz w:val="20"/>
          <w:szCs w:val="20"/>
        </w:rPr>
      </w:pPr>
      <w:bookmarkStart w:id="23" w:name="_Toc44015983"/>
      <w:bookmarkStart w:id="24" w:name="_Toc49161057"/>
      <w:r w:rsidRPr="00D874C4">
        <w:rPr>
          <w:color w:val="auto"/>
          <w:sz w:val="20"/>
          <w:szCs w:val="20"/>
        </w:rPr>
        <w:t>The federal death penalty system</w:t>
      </w:r>
      <w:bookmarkEnd w:id="23"/>
      <w:bookmarkEnd w:id="24"/>
    </w:p>
    <w:p w:rsidR="001651C8" w:rsidRPr="00D874C4" w:rsidRDefault="001651C8" w:rsidP="001651C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A422F1" w:rsidRPr="00D874C4" w:rsidRDefault="00A35DC6" w:rsidP="00A422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In 1972, the Supreme Court invalidated capital punishment throughout the United States. The federal government revised its procedures to withstand constitutional scrutiny on November 18, 1988, when the President signed the Anti-Drug Abuse Act of 1988. A part of this law made the death penalty available as a possible punishment for certain drug-related offenses. The availability of capital punishment in federal criminal cases expanded significantly further on September 13, 1994, with the passage of the Violent Crime Control and Law Enforcement Act. A part of this law, known as the Federal Death Penalty Act (FDPA), provided that over 40 federal offenses could be punished as capital crimes. The Antiterrorism and Effective Death Penalty Act of 1996 (AEDPA) added another four federal offenses to the list of capital crimes.</w:t>
      </w:r>
      <w:r w:rsidR="00C054A0" w:rsidRPr="00D874C4">
        <w:rPr>
          <w:rStyle w:val="FootnoteReference"/>
          <w:rFonts w:asciiTheme="majorHAnsi" w:hAnsiTheme="majorHAnsi"/>
          <w:sz w:val="20"/>
          <w:szCs w:val="20"/>
        </w:rPr>
        <w:footnoteReference w:id="5"/>
      </w:r>
    </w:p>
    <w:p w:rsidR="00A422F1" w:rsidRPr="00D874C4" w:rsidRDefault="00A422F1" w:rsidP="00A422F1">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A35DC6" w:rsidRPr="00D874C4" w:rsidRDefault="00A35DC6" w:rsidP="00F812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On January 27, 1995, the </w:t>
      </w:r>
      <w:r w:rsidR="00A422F1" w:rsidRPr="00D874C4">
        <w:rPr>
          <w:rFonts w:asciiTheme="majorHAnsi" w:hAnsiTheme="majorHAnsi"/>
          <w:sz w:val="20"/>
          <w:szCs w:val="20"/>
        </w:rPr>
        <w:t>Department of Justice (</w:t>
      </w:r>
      <w:proofErr w:type="spellStart"/>
      <w:r w:rsidRPr="00D874C4">
        <w:rPr>
          <w:rFonts w:asciiTheme="majorHAnsi" w:hAnsiTheme="majorHAnsi"/>
          <w:sz w:val="20"/>
          <w:szCs w:val="20"/>
        </w:rPr>
        <w:t>DoJ</w:t>
      </w:r>
      <w:proofErr w:type="spellEnd"/>
      <w:r w:rsidR="00A422F1" w:rsidRPr="00D874C4">
        <w:rPr>
          <w:rFonts w:asciiTheme="majorHAnsi" w:hAnsiTheme="majorHAnsi"/>
          <w:sz w:val="20"/>
          <w:szCs w:val="20"/>
        </w:rPr>
        <w:t>)</w:t>
      </w:r>
      <w:r w:rsidRPr="00D874C4">
        <w:rPr>
          <w:rFonts w:asciiTheme="majorHAnsi" w:hAnsiTheme="majorHAnsi"/>
          <w:sz w:val="20"/>
          <w:szCs w:val="20"/>
        </w:rPr>
        <w:t xml:space="preserve"> adopted the policy still in effect today – known as the death penalty “protocol” – under which U.S. Attorneys are required to submit for review all cases in which a defendant is charged with a capital-eligible offense, regardless </w:t>
      </w:r>
      <w:r w:rsidR="00FB6C63" w:rsidRPr="00D874C4">
        <w:rPr>
          <w:rFonts w:asciiTheme="majorHAnsi" w:hAnsiTheme="majorHAnsi"/>
          <w:sz w:val="20"/>
          <w:szCs w:val="20"/>
        </w:rPr>
        <w:t>of</w:t>
      </w:r>
      <w:r w:rsidRPr="00D874C4">
        <w:rPr>
          <w:rFonts w:asciiTheme="majorHAnsi" w:hAnsiTheme="majorHAnsi"/>
          <w:sz w:val="20"/>
          <w:szCs w:val="20"/>
        </w:rPr>
        <w:t xml:space="preserve"> the U.S. Attorney</w:t>
      </w:r>
      <w:r w:rsidR="00FB6C63" w:rsidRPr="00D874C4">
        <w:rPr>
          <w:rFonts w:asciiTheme="majorHAnsi" w:hAnsiTheme="majorHAnsi"/>
          <w:sz w:val="20"/>
          <w:szCs w:val="20"/>
        </w:rPr>
        <w:t xml:space="preserve">’s </w:t>
      </w:r>
      <w:r w:rsidRPr="00D874C4">
        <w:rPr>
          <w:rFonts w:asciiTheme="majorHAnsi" w:hAnsiTheme="majorHAnsi"/>
          <w:sz w:val="20"/>
          <w:szCs w:val="20"/>
        </w:rPr>
        <w:t xml:space="preserve">desire to seek the death penalty in that case. </w:t>
      </w:r>
      <w:r w:rsidR="00F8123F" w:rsidRPr="00D874C4">
        <w:rPr>
          <w:rFonts w:asciiTheme="majorHAnsi" w:hAnsiTheme="majorHAnsi"/>
          <w:sz w:val="20"/>
          <w:szCs w:val="20"/>
        </w:rPr>
        <w:t>T</w:t>
      </w:r>
      <w:r w:rsidR="00816E27" w:rsidRPr="00D874C4">
        <w:rPr>
          <w:rFonts w:asciiTheme="majorHAnsi" w:hAnsiTheme="majorHAnsi"/>
          <w:sz w:val="20"/>
          <w:szCs w:val="20"/>
        </w:rPr>
        <w:t xml:space="preserve">he </w:t>
      </w:r>
      <w:r w:rsidR="00A422F1" w:rsidRPr="00D874C4">
        <w:rPr>
          <w:rFonts w:asciiTheme="majorHAnsi" w:hAnsiTheme="majorHAnsi"/>
          <w:sz w:val="20"/>
          <w:szCs w:val="20"/>
        </w:rPr>
        <w:t xml:space="preserve">United States Attorney’s Manual </w:t>
      </w:r>
      <w:r w:rsidR="00816E27" w:rsidRPr="00D874C4">
        <w:rPr>
          <w:rFonts w:asciiTheme="majorHAnsi" w:hAnsiTheme="majorHAnsi"/>
          <w:sz w:val="20"/>
          <w:szCs w:val="20"/>
        </w:rPr>
        <w:t>provides the following:</w:t>
      </w:r>
      <w:r w:rsidR="00F8123F" w:rsidRPr="00D874C4">
        <w:rPr>
          <w:rStyle w:val="FootnoteReference"/>
          <w:rFonts w:asciiTheme="majorHAnsi" w:hAnsiTheme="majorHAnsi"/>
          <w:sz w:val="20"/>
          <w:szCs w:val="20"/>
        </w:rPr>
        <w:footnoteReference w:id="6"/>
      </w:r>
    </w:p>
    <w:p w:rsidR="00816E27" w:rsidRPr="00D874C4" w:rsidRDefault="00816E27" w:rsidP="00816E27">
      <w:pPr>
        <w:pStyle w:val="ListParagraph"/>
        <w:rPr>
          <w:rFonts w:asciiTheme="majorHAnsi" w:hAnsiTheme="majorHAnsi"/>
          <w:sz w:val="20"/>
          <w:szCs w:val="20"/>
        </w:rPr>
      </w:pPr>
    </w:p>
    <w:p w:rsidR="00816E27" w:rsidRPr="00D874C4" w:rsidRDefault="00816E27" w:rsidP="00816E2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i/>
          <w:sz w:val="18"/>
          <w:szCs w:val="18"/>
        </w:rPr>
      </w:pPr>
      <w:r w:rsidRPr="00D874C4">
        <w:rPr>
          <w:rFonts w:asciiTheme="majorHAnsi" w:hAnsiTheme="majorHAnsi"/>
          <w:i/>
          <w:sz w:val="18"/>
          <w:szCs w:val="18"/>
        </w:rPr>
        <w:t>9-10.030 – Purposes of the Capital Case Review Process</w:t>
      </w:r>
    </w:p>
    <w:p w:rsidR="00A35DC6" w:rsidRPr="00D874C4" w:rsidRDefault="00816E27" w:rsidP="00816E27">
      <w:pPr>
        <w:pStyle w:val="ListParagraph"/>
        <w:tabs>
          <w:tab w:val="left" w:pos="0"/>
        </w:tabs>
        <w:ind w:left="360" w:right="360"/>
        <w:jc w:val="both"/>
        <w:rPr>
          <w:rFonts w:asciiTheme="majorHAnsi" w:eastAsia="Arial Unicode MS" w:hAnsiTheme="majorHAnsi" w:cs="Times New Roman"/>
          <w:color w:val="auto"/>
          <w:sz w:val="18"/>
          <w:szCs w:val="18"/>
          <w:lang w:eastAsia="en-US"/>
        </w:rPr>
      </w:pPr>
      <w:r w:rsidRPr="00D874C4">
        <w:rPr>
          <w:rFonts w:asciiTheme="majorHAnsi" w:eastAsia="Arial Unicode MS" w:hAnsiTheme="majorHAnsi" w:cs="Times New Roman"/>
          <w:color w:val="auto"/>
          <w:sz w:val="18"/>
          <w:szCs w:val="18"/>
          <w:lang w:eastAsia="en-US"/>
        </w:rPr>
        <w:t>The review of cases under this Chapter culminates in a decision to seek, or not to seek, the death penalty against an individual defendant. Each such decision must be based upon the facts and law applicable to the case and be set within a framework of consistent and even-handed national application of Federal capital sentencing laws. Arbitrary or impermissible factors—such as a defendant's race, ethnicity, or religion—will not inform any stage of the decision-making process. The overriding goal of the review process is to allow proper individualized consideration of the appropriate factors relevant to each case.</w:t>
      </w:r>
    </w:p>
    <w:p w:rsidR="00816E27" w:rsidRPr="00D874C4" w:rsidRDefault="00816E27" w:rsidP="00A35DC6">
      <w:pPr>
        <w:pStyle w:val="ListParagraph"/>
        <w:tabs>
          <w:tab w:val="left" w:pos="540"/>
        </w:tabs>
        <w:ind w:left="540"/>
        <w:rPr>
          <w:rFonts w:ascii="Georgia" w:hAnsi="Georgia" w:cs="Arial"/>
          <w:sz w:val="20"/>
          <w:szCs w:val="20"/>
        </w:rPr>
      </w:pPr>
    </w:p>
    <w:p w:rsidR="00F8123F" w:rsidRPr="00D874C4" w:rsidRDefault="00F8123F" w:rsidP="00F8123F">
      <w:pPr>
        <w:pStyle w:val="ListParagraph"/>
        <w:tabs>
          <w:tab w:val="left" w:pos="360"/>
        </w:tabs>
        <w:ind w:left="360" w:right="360"/>
        <w:jc w:val="both"/>
        <w:rPr>
          <w:rFonts w:asciiTheme="majorHAnsi" w:eastAsia="Arial Unicode MS" w:hAnsiTheme="majorHAnsi" w:cs="Times New Roman"/>
          <w:i/>
          <w:color w:val="auto"/>
          <w:sz w:val="18"/>
          <w:szCs w:val="18"/>
          <w:lang w:eastAsia="en-US"/>
        </w:rPr>
      </w:pPr>
      <w:r w:rsidRPr="00D874C4">
        <w:rPr>
          <w:rFonts w:asciiTheme="majorHAnsi" w:eastAsia="Arial Unicode MS" w:hAnsiTheme="majorHAnsi" w:cs="Times New Roman"/>
          <w:i/>
          <w:color w:val="auto"/>
          <w:sz w:val="18"/>
          <w:szCs w:val="18"/>
          <w:lang w:eastAsia="en-US"/>
        </w:rPr>
        <w:t>9-10.140 – Standards for Determination</w:t>
      </w:r>
    </w:p>
    <w:p w:rsidR="00816E27" w:rsidRPr="00D874C4" w:rsidRDefault="00F8123F" w:rsidP="00F8123F">
      <w:pPr>
        <w:pStyle w:val="ListParagraph"/>
        <w:tabs>
          <w:tab w:val="left" w:pos="360"/>
        </w:tabs>
        <w:ind w:left="360" w:right="360"/>
        <w:jc w:val="both"/>
        <w:rPr>
          <w:rFonts w:asciiTheme="majorHAnsi" w:eastAsia="Arial Unicode MS" w:hAnsiTheme="majorHAnsi" w:cs="Times New Roman"/>
          <w:color w:val="auto"/>
          <w:sz w:val="18"/>
          <w:szCs w:val="18"/>
          <w:lang w:eastAsia="en-US"/>
        </w:rPr>
      </w:pPr>
      <w:r w:rsidRPr="00D874C4">
        <w:rPr>
          <w:rFonts w:asciiTheme="majorHAnsi" w:eastAsia="Arial Unicode MS" w:hAnsiTheme="majorHAnsi" w:cs="Times New Roman"/>
          <w:color w:val="auto"/>
          <w:sz w:val="18"/>
          <w:szCs w:val="18"/>
          <w:lang w:eastAsia="en-US"/>
        </w:rPr>
        <w:lastRenderedPageBreak/>
        <w:t>The standards governing the determination to be reached in cases under this Chapter include fairness, national consistency, adherence to statutory requirements, and law-enforcement objectives.</w:t>
      </w:r>
    </w:p>
    <w:p w:rsidR="00F8123F" w:rsidRPr="00D874C4" w:rsidRDefault="00F8123F" w:rsidP="00F8123F">
      <w:pPr>
        <w:pStyle w:val="ListParagraph"/>
        <w:tabs>
          <w:tab w:val="left" w:pos="360"/>
        </w:tabs>
        <w:ind w:left="360" w:right="360"/>
        <w:jc w:val="both"/>
        <w:rPr>
          <w:rFonts w:asciiTheme="majorHAnsi" w:eastAsia="Arial Unicode MS" w:hAnsiTheme="majorHAnsi" w:cs="Times New Roman"/>
          <w:color w:val="auto"/>
          <w:sz w:val="18"/>
          <w:szCs w:val="18"/>
          <w:lang w:eastAsia="en-US"/>
        </w:rPr>
      </w:pPr>
      <w:r w:rsidRPr="00D874C4">
        <w:rPr>
          <w:rFonts w:asciiTheme="majorHAnsi" w:eastAsia="Arial Unicode MS" w:hAnsiTheme="majorHAnsi" w:cs="Times New Roman"/>
          <w:color w:val="auto"/>
          <w:sz w:val="18"/>
          <w:szCs w:val="18"/>
          <w:lang w:eastAsia="en-US"/>
        </w:rPr>
        <w:t>[…]</w:t>
      </w:r>
    </w:p>
    <w:p w:rsidR="00816E27" w:rsidRPr="00D874C4" w:rsidRDefault="00F8123F" w:rsidP="00C8591B">
      <w:pPr>
        <w:pStyle w:val="ListParagraph"/>
        <w:numPr>
          <w:ilvl w:val="0"/>
          <w:numId w:val="58"/>
        </w:numPr>
        <w:tabs>
          <w:tab w:val="left" w:pos="360"/>
          <w:tab w:val="left" w:pos="720"/>
          <w:tab w:val="left" w:pos="900"/>
        </w:tabs>
        <w:ind w:left="360" w:right="360" w:firstLine="0"/>
        <w:jc w:val="both"/>
        <w:rPr>
          <w:rFonts w:asciiTheme="majorHAnsi" w:eastAsia="Arial Unicode MS" w:hAnsiTheme="majorHAnsi" w:cs="Times New Roman"/>
          <w:color w:val="auto"/>
          <w:sz w:val="18"/>
          <w:szCs w:val="18"/>
          <w:lang w:eastAsia="en-US"/>
        </w:rPr>
      </w:pPr>
      <w:r w:rsidRPr="00D874C4">
        <w:rPr>
          <w:rFonts w:asciiTheme="majorHAnsi" w:eastAsia="Arial Unicode MS" w:hAnsiTheme="majorHAnsi" w:cs="Times New Roman"/>
          <w:color w:val="auto"/>
          <w:sz w:val="18"/>
          <w:szCs w:val="18"/>
          <w:lang w:eastAsia="en-US"/>
        </w:rPr>
        <w:t>National consistency requires treating similar cases similarly, when the only material difference is the location of the crime. Reviewers in each district are understandably most familiar with local norms or practice in their district and State, but reviewers must also take care to contextualize a given case within national norms or practice. For this reason, the multi-tier process used to make determinations in this Chapter is carefully designed to provide reviewers with access to the national decision-making context, and thereby, to reduce disparities across districts.</w:t>
      </w:r>
    </w:p>
    <w:p w:rsidR="00816E27" w:rsidRPr="00D874C4" w:rsidRDefault="00816E27" w:rsidP="00A35DC6">
      <w:pPr>
        <w:pStyle w:val="ListParagraph"/>
        <w:tabs>
          <w:tab w:val="left" w:pos="540"/>
        </w:tabs>
        <w:ind w:left="540"/>
        <w:rPr>
          <w:sz w:val="20"/>
          <w:szCs w:val="20"/>
        </w:rPr>
      </w:pPr>
    </w:p>
    <w:p w:rsidR="00A35DC6" w:rsidRPr="00D874C4" w:rsidRDefault="00A35DC6" w:rsidP="00C859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If the defendant </w:t>
      </w:r>
      <w:r w:rsidR="00C054A0" w:rsidRPr="00D874C4">
        <w:rPr>
          <w:rFonts w:asciiTheme="majorHAnsi" w:hAnsiTheme="majorHAnsi"/>
          <w:sz w:val="20"/>
          <w:szCs w:val="20"/>
        </w:rPr>
        <w:t xml:space="preserve">is convicted and sentenced to the death penalty and </w:t>
      </w:r>
      <w:r w:rsidRPr="00D874C4">
        <w:rPr>
          <w:rFonts w:asciiTheme="majorHAnsi" w:hAnsiTheme="majorHAnsi"/>
          <w:sz w:val="20"/>
          <w:szCs w:val="20"/>
        </w:rPr>
        <w:t>fails to obtain relief on direct appeal, he or she may also seek collateral review by filing a motion to vacate, set aside or correct the sentence pursuant to 28 U.S.C. § 2255. Such collateral review goes through three levels of the federal judiciary: the motion is made in the district court in which the defendant was convicted; the district court’s resolution of the § 2255 motion is subject to direct appeal by the losing party; the judgment by the Court of Appeals concerning the § 2255 motion is subject to discretionary review by the Supreme Court. If the defendant’s sentence of death is upheld on both direct and collateral review, an execution date is set. Once the defendant has received notification of the scheduled execution date, he or she may petition the President for a grant of executive clemency.</w:t>
      </w:r>
      <w:r w:rsidR="00C8591B" w:rsidRPr="00D874C4">
        <w:rPr>
          <w:rStyle w:val="FootnoteReference"/>
          <w:rFonts w:asciiTheme="majorHAnsi" w:hAnsiTheme="majorHAnsi"/>
          <w:sz w:val="20"/>
          <w:szCs w:val="20"/>
        </w:rPr>
        <w:footnoteReference w:id="7"/>
      </w:r>
    </w:p>
    <w:p w:rsidR="00511427" w:rsidRPr="00D874C4" w:rsidRDefault="00511427" w:rsidP="0051142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78492C" w:rsidRPr="00D874C4" w:rsidRDefault="00511427" w:rsidP="00511427">
      <w:pPr>
        <w:pStyle w:val="Heading2"/>
        <w:tabs>
          <w:tab w:val="left" w:pos="360"/>
        </w:tabs>
        <w:spacing w:before="0"/>
        <w:rPr>
          <w:color w:val="auto"/>
          <w:sz w:val="20"/>
          <w:szCs w:val="20"/>
        </w:rPr>
      </w:pPr>
      <w:bookmarkStart w:id="25" w:name="_Toc44015984"/>
      <w:bookmarkStart w:id="26" w:name="_Toc49161058"/>
      <w:r w:rsidRPr="00D874C4">
        <w:rPr>
          <w:bCs w:val="0"/>
          <w:color w:val="auto"/>
          <w:sz w:val="20"/>
          <w:szCs w:val="20"/>
        </w:rPr>
        <w:t>B.</w:t>
      </w:r>
      <w:r w:rsidRPr="00D874C4">
        <w:rPr>
          <w:color w:val="auto"/>
          <w:sz w:val="20"/>
          <w:szCs w:val="20"/>
        </w:rPr>
        <w:tab/>
      </w:r>
      <w:r w:rsidR="008A744F" w:rsidRPr="00D874C4">
        <w:rPr>
          <w:color w:val="auto"/>
          <w:sz w:val="20"/>
          <w:szCs w:val="20"/>
        </w:rPr>
        <w:t>The federal death penalty</w:t>
      </w:r>
      <w:r w:rsidR="00602032" w:rsidRPr="00D874C4">
        <w:rPr>
          <w:color w:val="auto"/>
          <w:sz w:val="20"/>
          <w:szCs w:val="20"/>
        </w:rPr>
        <w:t xml:space="preserve">, </w:t>
      </w:r>
      <w:r w:rsidR="008A744F" w:rsidRPr="00D874C4">
        <w:rPr>
          <w:color w:val="auto"/>
          <w:sz w:val="20"/>
          <w:szCs w:val="20"/>
        </w:rPr>
        <w:t>Indian jurisdiction</w:t>
      </w:r>
      <w:r w:rsidR="00602032" w:rsidRPr="00D874C4">
        <w:rPr>
          <w:color w:val="auto"/>
          <w:sz w:val="20"/>
          <w:szCs w:val="20"/>
        </w:rPr>
        <w:t xml:space="preserve"> and the Navajo Nation</w:t>
      </w:r>
      <w:bookmarkEnd w:id="25"/>
      <w:bookmarkEnd w:id="26"/>
    </w:p>
    <w:p w:rsidR="00041ACC" w:rsidRPr="00D874C4" w:rsidRDefault="00041ACC" w:rsidP="00041ACC"/>
    <w:p w:rsidR="00C06DC5" w:rsidRPr="00D874C4" w:rsidRDefault="00C06DC5" w:rsidP="00041A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The U.S. federal government recognizes tribal nations as “domestic dependent nations</w:t>
      </w:r>
      <w:r w:rsidR="003F2B09" w:rsidRPr="00D874C4">
        <w:rPr>
          <w:rFonts w:asciiTheme="majorHAnsi" w:hAnsiTheme="majorHAnsi"/>
          <w:sz w:val="20"/>
          <w:szCs w:val="20"/>
        </w:rPr>
        <w:t>.</w:t>
      </w:r>
      <w:r w:rsidRPr="00D874C4">
        <w:rPr>
          <w:rFonts w:asciiTheme="majorHAnsi" w:hAnsiTheme="majorHAnsi"/>
          <w:sz w:val="20"/>
          <w:szCs w:val="20"/>
        </w:rPr>
        <w:t>”</w:t>
      </w:r>
      <w:r w:rsidRPr="00D874C4">
        <w:rPr>
          <w:rStyle w:val="FootnoteReference"/>
          <w:rFonts w:asciiTheme="majorHAnsi" w:hAnsiTheme="majorHAnsi"/>
          <w:sz w:val="20"/>
          <w:szCs w:val="20"/>
        </w:rPr>
        <w:footnoteReference w:id="8"/>
      </w:r>
      <w:r w:rsidR="00E62CDD" w:rsidRPr="00D874C4">
        <w:rPr>
          <w:rFonts w:asciiTheme="majorHAnsi" w:hAnsiTheme="majorHAnsi"/>
          <w:sz w:val="20"/>
          <w:szCs w:val="20"/>
        </w:rPr>
        <w:t xml:space="preserve"> Therefore, tribes have an inherent right to govern themselves and tribal sovereignty can be limited only through a treaty </w:t>
      </w:r>
      <w:r w:rsidR="00F710B3" w:rsidRPr="00D874C4">
        <w:rPr>
          <w:rFonts w:asciiTheme="majorHAnsi" w:hAnsiTheme="majorHAnsi"/>
          <w:sz w:val="20"/>
          <w:szCs w:val="20"/>
        </w:rPr>
        <w:t xml:space="preserve">with the federal Government </w:t>
      </w:r>
      <w:r w:rsidR="00E62CDD" w:rsidRPr="00D874C4">
        <w:rPr>
          <w:rFonts w:asciiTheme="majorHAnsi" w:hAnsiTheme="majorHAnsi"/>
          <w:sz w:val="20"/>
          <w:szCs w:val="20"/>
        </w:rPr>
        <w:t>or</w:t>
      </w:r>
      <w:r w:rsidR="00F710B3" w:rsidRPr="00D874C4">
        <w:rPr>
          <w:rFonts w:asciiTheme="majorHAnsi" w:hAnsiTheme="majorHAnsi"/>
          <w:sz w:val="20"/>
          <w:szCs w:val="20"/>
        </w:rPr>
        <w:t xml:space="preserve"> a</w:t>
      </w:r>
      <w:r w:rsidR="00E62CDD" w:rsidRPr="00D874C4">
        <w:rPr>
          <w:rFonts w:asciiTheme="majorHAnsi" w:hAnsiTheme="majorHAnsi"/>
          <w:sz w:val="20"/>
          <w:szCs w:val="20"/>
        </w:rPr>
        <w:t xml:space="preserve"> federal statute. </w:t>
      </w:r>
    </w:p>
    <w:p w:rsidR="00E62CDD" w:rsidRPr="00D874C4" w:rsidRDefault="00E62CDD" w:rsidP="00C06DC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D20D2A" w:rsidRPr="00D874C4" w:rsidRDefault="007471F9" w:rsidP="008A74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In 1885 the U.S. Congress passed t</w:t>
      </w:r>
      <w:r w:rsidR="00041ACC" w:rsidRPr="00D874C4">
        <w:rPr>
          <w:rFonts w:asciiTheme="majorHAnsi" w:hAnsiTheme="majorHAnsi"/>
          <w:sz w:val="20"/>
          <w:szCs w:val="20"/>
        </w:rPr>
        <w:t>he Major Crimes Act</w:t>
      </w:r>
      <w:r w:rsidRPr="00D874C4">
        <w:rPr>
          <w:rFonts w:asciiTheme="majorHAnsi" w:hAnsiTheme="majorHAnsi"/>
          <w:sz w:val="20"/>
          <w:szCs w:val="20"/>
        </w:rPr>
        <w:t xml:space="preserve"> which places </w:t>
      </w:r>
      <w:r w:rsidR="00941EBB" w:rsidRPr="00D874C4">
        <w:rPr>
          <w:rFonts w:asciiTheme="majorHAnsi" w:hAnsiTheme="majorHAnsi"/>
          <w:sz w:val="20"/>
          <w:szCs w:val="20"/>
        </w:rPr>
        <w:t>the following</w:t>
      </w:r>
      <w:r w:rsidRPr="00D874C4">
        <w:rPr>
          <w:rFonts w:asciiTheme="majorHAnsi" w:hAnsiTheme="majorHAnsi"/>
          <w:sz w:val="20"/>
          <w:szCs w:val="20"/>
        </w:rPr>
        <w:t xml:space="preserve"> crimes under federal jurisdiction if they are committed by a Nativ</w:t>
      </w:r>
      <w:r w:rsidR="00941EBB" w:rsidRPr="00D874C4">
        <w:rPr>
          <w:rFonts w:asciiTheme="majorHAnsi" w:hAnsiTheme="majorHAnsi"/>
          <w:sz w:val="20"/>
          <w:szCs w:val="20"/>
        </w:rPr>
        <w:t>e American in Native territory: murder, manslaughter, kidnapping, maiming, sexual abuse, incest, assault with intent to commit murder, assault with a dangerous weapon, assault resulting in serious bodily injury, assault on a person less than 16 years old, felony child abuse or neglect, arson, burglary, robbery, theft under 18 U.S.C., section 661.</w:t>
      </w:r>
      <w:r w:rsidR="00941EBB" w:rsidRPr="00D874C4">
        <w:rPr>
          <w:rStyle w:val="FootnoteReference"/>
          <w:rFonts w:asciiTheme="majorHAnsi" w:hAnsiTheme="majorHAnsi"/>
          <w:sz w:val="20"/>
          <w:szCs w:val="20"/>
        </w:rPr>
        <w:footnoteReference w:id="9"/>
      </w:r>
    </w:p>
    <w:p w:rsidR="00734D00" w:rsidRPr="00D874C4" w:rsidRDefault="00734D00" w:rsidP="00734D00">
      <w:pPr>
        <w:pStyle w:val="ListParagraph"/>
        <w:rPr>
          <w:rFonts w:asciiTheme="majorHAnsi" w:hAnsiTheme="majorHAnsi"/>
          <w:sz w:val="20"/>
          <w:szCs w:val="20"/>
        </w:rPr>
      </w:pPr>
    </w:p>
    <w:p w:rsidR="00734D00" w:rsidRPr="00D874C4" w:rsidRDefault="00DB2F56" w:rsidP="008A744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Under a special provision of the Federal Death Penalty Act, it is up to the tribes to choose, under the death penalty legislation, to “opt in</w:t>
      </w:r>
      <w:r w:rsidR="00D25E57" w:rsidRPr="00D874C4">
        <w:rPr>
          <w:rFonts w:asciiTheme="majorHAnsi" w:hAnsiTheme="majorHAnsi"/>
          <w:sz w:val="20"/>
          <w:szCs w:val="20"/>
        </w:rPr>
        <w:t>:</w:t>
      </w:r>
      <w:r w:rsidRPr="00D874C4">
        <w:rPr>
          <w:rFonts w:asciiTheme="majorHAnsi" w:hAnsiTheme="majorHAnsi"/>
          <w:sz w:val="20"/>
          <w:szCs w:val="20"/>
        </w:rPr>
        <w:t>”</w:t>
      </w:r>
      <w:r w:rsidR="00D25E57" w:rsidRPr="00D874C4">
        <w:rPr>
          <w:rStyle w:val="FootnoteReference"/>
          <w:rFonts w:asciiTheme="majorHAnsi" w:hAnsiTheme="majorHAnsi"/>
          <w:sz w:val="20"/>
          <w:szCs w:val="20"/>
        </w:rPr>
        <w:footnoteReference w:id="10"/>
      </w:r>
      <w:r w:rsidRPr="00D874C4">
        <w:rPr>
          <w:rFonts w:asciiTheme="majorHAnsi" w:hAnsiTheme="majorHAnsi"/>
          <w:sz w:val="20"/>
          <w:szCs w:val="20"/>
        </w:rPr>
        <w:t xml:space="preserve"> </w:t>
      </w:r>
    </w:p>
    <w:p w:rsidR="008A744F" w:rsidRPr="00D874C4" w:rsidRDefault="008A744F" w:rsidP="008A744F">
      <w:pPr>
        <w:pStyle w:val="ListParagraph"/>
        <w:rPr>
          <w:rFonts w:asciiTheme="majorHAnsi" w:hAnsiTheme="majorHAnsi"/>
          <w:sz w:val="20"/>
          <w:szCs w:val="20"/>
        </w:rPr>
      </w:pPr>
    </w:p>
    <w:p w:rsidR="00D25E57" w:rsidRPr="00D874C4" w:rsidRDefault="00D25E57" w:rsidP="005E1751">
      <w:pPr>
        <w:pStyle w:val="ListParagraph"/>
        <w:ind w:left="360" w:right="360"/>
        <w:jc w:val="both"/>
        <w:rPr>
          <w:rFonts w:asciiTheme="majorHAnsi" w:hAnsiTheme="majorHAnsi" w:cs="Arial"/>
          <w:color w:val="auto"/>
          <w:sz w:val="18"/>
          <w:szCs w:val="18"/>
        </w:rPr>
      </w:pPr>
      <w:r w:rsidRPr="00D874C4">
        <w:rPr>
          <w:rFonts w:asciiTheme="majorHAnsi" w:hAnsiTheme="majorHAnsi"/>
          <w:color w:val="auto"/>
          <w:sz w:val="18"/>
          <w:szCs w:val="18"/>
        </w:rPr>
        <w:t xml:space="preserve">18 U.S. Code </w:t>
      </w:r>
      <w:r w:rsidRPr="00D874C4">
        <w:rPr>
          <w:rFonts w:asciiTheme="majorHAnsi" w:hAnsiTheme="majorHAnsi" w:cs="Arial"/>
          <w:color w:val="auto"/>
          <w:sz w:val="18"/>
          <w:szCs w:val="18"/>
        </w:rPr>
        <w:t>§ 3598. Special provisions for Indian country</w:t>
      </w:r>
    </w:p>
    <w:p w:rsidR="00D25E57" w:rsidRPr="00D874C4" w:rsidRDefault="00D25E57" w:rsidP="005E1751">
      <w:pPr>
        <w:pStyle w:val="ListParagraph"/>
        <w:ind w:left="360" w:right="360"/>
        <w:jc w:val="both"/>
        <w:rPr>
          <w:rFonts w:asciiTheme="majorHAnsi" w:hAnsiTheme="majorHAnsi"/>
          <w:sz w:val="18"/>
          <w:szCs w:val="18"/>
        </w:rPr>
      </w:pPr>
    </w:p>
    <w:p w:rsidR="00D25E57" w:rsidRPr="00D874C4" w:rsidRDefault="00D25E57" w:rsidP="005E1751">
      <w:pPr>
        <w:pStyle w:val="ListParagraph"/>
        <w:ind w:left="360" w:right="360"/>
        <w:jc w:val="both"/>
        <w:rPr>
          <w:rFonts w:asciiTheme="majorHAnsi" w:hAnsiTheme="majorHAnsi"/>
          <w:sz w:val="18"/>
          <w:szCs w:val="18"/>
        </w:rPr>
      </w:pPr>
      <w:r w:rsidRPr="00D874C4">
        <w:rPr>
          <w:rFonts w:asciiTheme="majorHAnsi" w:hAnsiTheme="majorHAnsi"/>
          <w:sz w:val="18"/>
          <w:szCs w:val="18"/>
        </w:rPr>
        <w:t xml:space="preserve">Notwithstanding sections 1152 and 1153, no person subject to the criminal jurisdiction of an Indian tribal government shall be subject to a capital sentence under this chapter for any offense the Federal jurisdiction for which is predicated solely on Indian country (as defined in section 1151 of this title) and which has occurred within the boundaries of Indian country, unless the governing body of the tribe has elected that this chapter have effect over land and persons subject to its criminal jurisdiction. </w:t>
      </w:r>
    </w:p>
    <w:p w:rsidR="00D25E57" w:rsidRPr="00D874C4" w:rsidRDefault="00D25E57" w:rsidP="008A744F">
      <w:pPr>
        <w:pStyle w:val="ListParagraph"/>
        <w:rPr>
          <w:rFonts w:asciiTheme="majorHAnsi" w:hAnsiTheme="majorHAnsi"/>
          <w:sz w:val="20"/>
          <w:szCs w:val="20"/>
        </w:rPr>
      </w:pPr>
    </w:p>
    <w:p w:rsidR="00314B58" w:rsidRPr="00D874C4" w:rsidRDefault="00314B58" w:rsidP="00734D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Almost all the tribes have opted out of using the federal death penalty.</w:t>
      </w:r>
      <w:r w:rsidRPr="00D874C4">
        <w:rPr>
          <w:rStyle w:val="FootnoteReference"/>
          <w:rFonts w:asciiTheme="majorHAnsi" w:hAnsiTheme="majorHAnsi"/>
          <w:sz w:val="20"/>
          <w:szCs w:val="20"/>
        </w:rPr>
        <w:footnoteReference w:id="11"/>
      </w:r>
    </w:p>
    <w:p w:rsidR="00314B58" w:rsidRPr="00D874C4" w:rsidRDefault="00314B58" w:rsidP="00314B5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87528A" w:rsidRPr="00D874C4" w:rsidRDefault="00734D00" w:rsidP="00734D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The Navajo Nation’s reservation is the largest in the United States; it extends into the states of Utah, Arizona and New Mexico and has a population of more than 250,000 persons. </w:t>
      </w:r>
      <w:r w:rsidR="001679D0" w:rsidRPr="00D874C4">
        <w:rPr>
          <w:rFonts w:asciiTheme="majorHAnsi" w:hAnsiTheme="majorHAnsi"/>
          <w:sz w:val="20"/>
          <w:szCs w:val="20"/>
        </w:rPr>
        <w:t>The Navajo Nation</w:t>
      </w:r>
      <w:r w:rsidRPr="00D874C4">
        <w:rPr>
          <w:rFonts w:asciiTheme="majorHAnsi" w:hAnsiTheme="majorHAnsi"/>
          <w:sz w:val="20"/>
          <w:szCs w:val="20"/>
        </w:rPr>
        <w:t xml:space="preserve"> was effectively established as a sovereign nation after the adoption of the Navajo Treaty or the Treaty of Bosque Redondo on </w:t>
      </w:r>
      <w:r w:rsidRPr="00D874C4">
        <w:rPr>
          <w:rFonts w:asciiTheme="majorHAnsi" w:hAnsiTheme="majorHAnsi"/>
          <w:sz w:val="20"/>
          <w:szCs w:val="20"/>
        </w:rPr>
        <w:lastRenderedPageBreak/>
        <w:t>June 1, 1868. This treaty with the federal Government ended the Navajo Wars and allowed for the return of members of the Navajo Nation who had been held in internment camps at Fort Summer.</w:t>
      </w:r>
      <w:r w:rsidRPr="00D874C4">
        <w:rPr>
          <w:rStyle w:val="FootnoteReference"/>
          <w:rFonts w:asciiTheme="majorHAnsi" w:hAnsiTheme="majorHAnsi"/>
          <w:sz w:val="20"/>
          <w:szCs w:val="20"/>
        </w:rPr>
        <w:footnoteReference w:id="12"/>
      </w:r>
      <w:r w:rsidR="004C041F" w:rsidRPr="00D874C4">
        <w:rPr>
          <w:rFonts w:asciiTheme="majorHAnsi" w:hAnsiTheme="majorHAnsi"/>
          <w:sz w:val="20"/>
          <w:szCs w:val="20"/>
        </w:rPr>
        <w:t xml:space="preserve"> </w:t>
      </w:r>
    </w:p>
    <w:p w:rsidR="0087528A" w:rsidRPr="00D874C4" w:rsidRDefault="0087528A" w:rsidP="0087528A">
      <w:pPr>
        <w:pStyle w:val="ListParagraph"/>
        <w:rPr>
          <w:rFonts w:asciiTheme="majorHAnsi" w:hAnsiTheme="majorHAnsi"/>
          <w:sz w:val="20"/>
          <w:szCs w:val="20"/>
        </w:rPr>
      </w:pPr>
    </w:p>
    <w:p w:rsidR="00734D00" w:rsidRPr="00D874C4" w:rsidRDefault="004C041F" w:rsidP="00734D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The Navajo Nation has opted out of using the federal death penalty.</w:t>
      </w:r>
      <w:r w:rsidR="0087528A" w:rsidRPr="00D874C4">
        <w:rPr>
          <w:rFonts w:asciiTheme="majorHAnsi" w:hAnsiTheme="majorHAnsi"/>
          <w:sz w:val="20"/>
          <w:szCs w:val="20"/>
        </w:rPr>
        <w:t xml:space="preserve"> In pressing for the tribal option, representatives of the Navajo Nation explained to Congress:</w:t>
      </w:r>
      <w:r w:rsidR="006A0A10" w:rsidRPr="00D874C4">
        <w:rPr>
          <w:rStyle w:val="FootnoteReference"/>
          <w:rFonts w:asciiTheme="majorHAnsi" w:hAnsiTheme="majorHAnsi"/>
          <w:sz w:val="20"/>
          <w:szCs w:val="20"/>
        </w:rPr>
        <w:footnoteReference w:id="13"/>
      </w:r>
    </w:p>
    <w:p w:rsidR="0087528A" w:rsidRPr="00D874C4" w:rsidRDefault="0087528A" w:rsidP="0087528A">
      <w:pPr>
        <w:pStyle w:val="ListParagraph"/>
        <w:rPr>
          <w:rFonts w:asciiTheme="majorHAnsi" w:hAnsiTheme="majorHAnsi"/>
          <w:sz w:val="20"/>
          <w:szCs w:val="20"/>
        </w:rPr>
      </w:pPr>
    </w:p>
    <w:p w:rsidR="0087528A" w:rsidRPr="00D874C4" w:rsidRDefault="0087528A" w:rsidP="006A0A1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rPr>
      </w:pPr>
      <w:r w:rsidRPr="00D874C4">
        <w:rPr>
          <w:rFonts w:asciiTheme="majorHAnsi" w:hAnsiTheme="majorHAnsi"/>
          <w:sz w:val="18"/>
          <w:szCs w:val="18"/>
        </w:rPr>
        <w:t>It is incumbent upon the federal government to allow Indian tribes the choice of whether the death penalty should be extended to our territory […] [T]he death penalty is counter to the cultural beliefs and traditions of the Navajo people</w:t>
      </w:r>
      <w:r w:rsidR="00157D5E" w:rsidRPr="00D874C4">
        <w:rPr>
          <w:rFonts w:asciiTheme="majorHAnsi" w:hAnsiTheme="majorHAnsi"/>
          <w:sz w:val="18"/>
          <w:szCs w:val="18"/>
        </w:rPr>
        <w:t xml:space="preserve"> who value life and place great emphasis on the restoration of harmony through restitution and individual attention. The vast majority of major crimes committed on the Navajo Nation and within other Indian reservations are precipitated by the abuse of alcohol. The death penalty will not address the root of the problem; rather rehabilitation efforts will be more effective. </w:t>
      </w:r>
      <w:r w:rsidRPr="00D874C4">
        <w:rPr>
          <w:rFonts w:asciiTheme="majorHAnsi" w:hAnsiTheme="majorHAnsi"/>
          <w:sz w:val="18"/>
          <w:szCs w:val="18"/>
        </w:rPr>
        <w:t xml:space="preserve"> </w:t>
      </w:r>
    </w:p>
    <w:p w:rsidR="00102F8A" w:rsidRPr="00D874C4" w:rsidRDefault="00102F8A" w:rsidP="00CA7CA7">
      <w:pPr>
        <w:rPr>
          <w:rFonts w:asciiTheme="majorHAnsi" w:hAnsiTheme="majorHAnsi"/>
          <w:sz w:val="20"/>
          <w:szCs w:val="20"/>
        </w:rPr>
      </w:pPr>
    </w:p>
    <w:p w:rsidR="00AE5D7D" w:rsidRPr="00D874C4" w:rsidRDefault="00AE5D7D" w:rsidP="00D97195">
      <w:pPr>
        <w:pStyle w:val="Heading2"/>
        <w:numPr>
          <w:ilvl w:val="0"/>
          <w:numId w:val="58"/>
        </w:numPr>
        <w:tabs>
          <w:tab w:val="left" w:pos="360"/>
        </w:tabs>
        <w:spacing w:before="0"/>
        <w:ind w:left="360"/>
        <w:rPr>
          <w:bCs w:val="0"/>
          <w:color w:val="auto"/>
          <w:sz w:val="20"/>
          <w:szCs w:val="20"/>
        </w:rPr>
      </w:pPr>
      <w:bookmarkStart w:id="27" w:name="_Toc44015985"/>
      <w:bookmarkStart w:id="28" w:name="_Toc49161059"/>
      <w:r w:rsidRPr="00D874C4">
        <w:rPr>
          <w:bCs w:val="0"/>
          <w:color w:val="auto"/>
          <w:sz w:val="20"/>
          <w:szCs w:val="20"/>
        </w:rPr>
        <w:t>Relevant legal framework</w:t>
      </w:r>
      <w:bookmarkEnd w:id="27"/>
      <w:bookmarkEnd w:id="28"/>
    </w:p>
    <w:p w:rsidR="00AE5D7D" w:rsidRPr="00D874C4" w:rsidRDefault="00AE5D7D" w:rsidP="00AE5D7D">
      <w:pPr>
        <w:rPr>
          <w:rFonts w:asciiTheme="majorHAnsi" w:hAnsiTheme="majorHAnsi"/>
          <w:sz w:val="20"/>
          <w:szCs w:val="20"/>
        </w:rPr>
      </w:pPr>
    </w:p>
    <w:p w:rsidR="008B3DDA" w:rsidRPr="00D874C4" w:rsidRDefault="008B3DDA" w:rsidP="00AE5D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Title 18. Crimes and Criminal Procedures of the United States Code § 2119, amended on September 13, 1994, reads as follows:</w:t>
      </w:r>
    </w:p>
    <w:p w:rsidR="008B3DDA" w:rsidRPr="00D874C4" w:rsidRDefault="008B3DDA" w:rsidP="008B3DD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8B3DDA" w:rsidRPr="00D874C4" w:rsidRDefault="008B3DDA" w:rsidP="008B3DD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20"/>
          <w:szCs w:val="20"/>
        </w:rPr>
      </w:pPr>
      <w:r w:rsidRPr="00D874C4">
        <w:rPr>
          <w:rFonts w:asciiTheme="majorHAnsi" w:hAnsiTheme="majorHAnsi" w:cs="Arial"/>
          <w:sz w:val="20"/>
          <w:szCs w:val="20"/>
        </w:rPr>
        <w:t xml:space="preserve">Whoever, </w:t>
      </w:r>
      <w:r w:rsidRPr="00D874C4">
        <w:rPr>
          <w:rStyle w:val="Emphasis"/>
          <w:rFonts w:asciiTheme="majorHAnsi" w:hAnsiTheme="majorHAnsi" w:cs="Arial"/>
          <w:i w:val="0"/>
          <w:sz w:val="20"/>
          <w:szCs w:val="20"/>
        </w:rPr>
        <w:t>with intent to cause death or serious bodily harm</w:t>
      </w:r>
      <w:r w:rsidRPr="00D874C4">
        <w:rPr>
          <w:rFonts w:asciiTheme="majorHAnsi" w:hAnsiTheme="majorHAnsi" w:cs="Arial"/>
          <w:sz w:val="20"/>
          <w:szCs w:val="20"/>
        </w:rPr>
        <w:t xml:space="preserve"> takes a motor vehicle that has been transported, shipped, or received in interstate or foreign commerce from the person or presence of another by force and violence or by intimidation, or attempts to do so, shall (1) be fined under this title or imprisoned not more than 15 years or both, (2) if serious bodily injury results, be fined under this title or imprisoned not more than 25 years, or both, and (3) if death results, be fined under this title or imprisoned for any number of years up to life, or both </w:t>
      </w:r>
      <w:r w:rsidRPr="00D874C4">
        <w:rPr>
          <w:rStyle w:val="Emphasis"/>
          <w:rFonts w:asciiTheme="majorHAnsi" w:hAnsiTheme="majorHAnsi" w:cs="Arial"/>
          <w:i w:val="0"/>
          <w:sz w:val="20"/>
          <w:szCs w:val="20"/>
        </w:rPr>
        <w:t>or sentenced to death</w:t>
      </w:r>
      <w:r w:rsidRPr="00D874C4">
        <w:rPr>
          <w:rFonts w:asciiTheme="majorHAnsi" w:hAnsiTheme="majorHAnsi" w:cs="Arial"/>
          <w:sz w:val="20"/>
          <w:szCs w:val="20"/>
        </w:rPr>
        <w:t>.</w:t>
      </w:r>
    </w:p>
    <w:p w:rsidR="008B3DDA" w:rsidRPr="00D874C4" w:rsidRDefault="008B3DDA" w:rsidP="008B3DD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AE5D7D" w:rsidRPr="00D874C4" w:rsidRDefault="00AE5D7D" w:rsidP="00AE5D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D874C4">
        <w:rPr>
          <w:rFonts w:asciiTheme="majorHAnsi" w:hAnsiTheme="majorHAnsi"/>
          <w:sz w:val="20"/>
          <w:szCs w:val="20"/>
        </w:rPr>
        <w:t>Rule 60(b) of the Federal Rule of Civil Procedure establishes the following:</w:t>
      </w:r>
    </w:p>
    <w:p w:rsidR="00AE5D7D" w:rsidRPr="00D874C4" w:rsidRDefault="00AE5D7D" w:rsidP="00AE5D7D">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rsidR="00AE5D7D" w:rsidRPr="00D874C4" w:rsidRDefault="00AE5D7D" w:rsidP="00B6061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rPr>
      </w:pPr>
      <w:r w:rsidRPr="00D874C4">
        <w:rPr>
          <w:rFonts w:asciiTheme="majorHAnsi" w:hAnsiTheme="majorHAnsi"/>
          <w:sz w:val="18"/>
          <w:szCs w:val="18"/>
        </w:rPr>
        <w:t>(b) GROUND FOR RELIEF FROM A FINAL JUDGMENT, ORDER, OR PROCEEDING. On motion and just terms, the court may relieve a party or its legal representative from a final judgment, order or proceeding for the following reasons:</w:t>
      </w:r>
    </w:p>
    <w:p w:rsidR="00AE5D7D" w:rsidRPr="00D874C4" w:rsidRDefault="00AE5D7D" w:rsidP="00B6061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rPr>
      </w:pPr>
      <w:r w:rsidRPr="00D874C4">
        <w:rPr>
          <w:rFonts w:asciiTheme="majorHAnsi" w:hAnsiTheme="majorHAnsi"/>
          <w:sz w:val="18"/>
          <w:szCs w:val="18"/>
        </w:rPr>
        <w:t>[…]</w:t>
      </w:r>
    </w:p>
    <w:p w:rsidR="00AE5D7D" w:rsidRPr="00D874C4" w:rsidRDefault="00AE5D7D" w:rsidP="00B6061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360" w:right="360"/>
        <w:jc w:val="both"/>
        <w:rPr>
          <w:rFonts w:asciiTheme="majorHAnsi" w:hAnsiTheme="majorHAnsi"/>
          <w:sz w:val="18"/>
          <w:szCs w:val="18"/>
        </w:rPr>
      </w:pPr>
      <w:r w:rsidRPr="00D874C4">
        <w:rPr>
          <w:rFonts w:asciiTheme="majorHAnsi" w:hAnsiTheme="majorHAnsi"/>
          <w:sz w:val="18"/>
          <w:szCs w:val="18"/>
        </w:rPr>
        <w:t xml:space="preserve">(6) any other reason that justifies relief. </w:t>
      </w:r>
    </w:p>
    <w:p w:rsidR="00AE5D7D" w:rsidRPr="00D874C4" w:rsidRDefault="00AE5D7D" w:rsidP="00AE5D7D"/>
    <w:p w:rsidR="00CE5D5C" w:rsidRPr="00D874C4" w:rsidRDefault="00D97195" w:rsidP="00D97195">
      <w:pPr>
        <w:pStyle w:val="Heading2"/>
        <w:tabs>
          <w:tab w:val="left" w:pos="360"/>
        </w:tabs>
        <w:spacing w:before="0"/>
        <w:rPr>
          <w:color w:val="auto"/>
          <w:sz w:val="20"/>
          <w:szCs w:val="20"/>
        </w:rPr>
      </w:pPr>
      <w:bookmarkStart w:id="29" w:name="_Toc44015986"/>
      <w:bookmarkStart w:id="30" w:name="_Toc49161060"/>
      <w:r w:rsidRPr="00D874C4">
        <w:rPr>
          <w:color w:val="auto"/>
          <w:sz w:val="20"/>
          <w:szCs w:val="20"/>
        </w:rPr>
        <w:t xml:space="preserve">D. </w:t>
      </w:r>
      <w:r w:rsidRPr="00D874C4">
        <w:rPr>
          <w:color w:val="auto"/>
          <w:sz w:val="20"/>
          <w:szCs w:val="20"/>
        </w:rPr>
        <w:tab/>
      </w:r>
      <w:r w:rsidR="00CE5D5C" w:rsidRPr="00D874C4">
        <w:rPr>
          <w:color w:val="auto"/>
          <w:sz w:val="20"/>
          <w:szCs w:val="20"/>
        </w:rPr>
        <w:t>Fact</w:t>
      </w:r>
      <w:r w:rsidR="00A35DC6" w:rsidRPr="00D874C4">
        <w:rPr>
          <w:color w:val="auto"/>
          <w:sz w:val="20"/>
          <w:szCs w:val="20"/>
        </w:rPr>
        <w:t>ual background, trial and death sentence</w:t>
      </w:r>
      <w:bookmarkEnd w:id="29"/>
      <w:bookmarkEnd w:id="30"/>
    </w:p>
    <w:p w:rsidR="00B11E55" w:rsidRPr="00D874C4" w:rsidRDefault="00B11E55" w:rsidP="00B11E55">
      <w:pPr>
        <w:pStyle w:val="Heading2"/>
        <w:tabs>
          <w:tab w:val="left" w:pos="360"/>
        </w:tabs>
        <w:spacing w:before="0"/>
        <w:ind w:left="720"/>
        <w:rPr>
          <w:color w:val="auto"/>
          <w:sz w:val="20"/>
          <w:szCs w:val="20"/>
        </w:rPr>
      </w:pPr>
    </w:p>
    <w:p w:rsidR="00747906" w:rsidRPr="00D874C4" w:rsidRDefault="00747906" w:rsidP="008752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The facts described below were established by domestic courts and have not been disputed by the petitioners</w:t>
      </w:r>
      <w:r w:rsidR="0087528A" w:rsidRPr="00D874C4">
        <w:rPr>
          <w:rFonts w:asciiTheme="majorHAnsi" w:hAnsiTheme="majorHAnsi"/>
          <w:sz w:val="20"/>
          <w:szCs w:val="20"/>
        </w:rPr>
        <w:t>:</w:t>
      </w:r>
      <w:r w:rsidR="00F1723D" w:rsidRPr="00D874C4">
        <w:rPr>
          <w:rStyle w:val="FootnoteReference"/>
          <w:rFonts w:asciiTheme="majorHAnsi" w:hAnsiTheme="majorHAnsi"/>
          <w:sz w:val="20"/>
          <w:szCs w:val="20"/>
        </w:rPr>
        <w:footnoteReference w:id="14"/>
      </w:r>
      <w:r w:rsidR="00D072D9" w:rsidRPr="00D874C4">
        <w:rPr>
          <w:rFonts w:asciiTheme="majorHAnsi" w:hAnsiTheme="majorHAnsi"/>
          <w:sz w:val="20"/>
          <w:szCs w:val="20"/>
        </w:rPr>
        <w:t xml:space="preserve"> </w:t>
      </w:r>
    </w:p>
    <w:p w:rsidR="00747906"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87528A"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rPr>
      </w:pPr>
      <w:proofErr w:type="spellStart"/>
      <w:r w:rsidRPr="00D874C4">
        <w:rPr>
          <w:rFonts w:asciiTheme="majorHAnsi" w:hAnsiTheme="majorHAnsi" w:cs="TimesNewRomanPSMT"/>
          <w:sz w:val="18"/>
          <w:szCs w:val="18"/>
          <w:lang w:eastAsia="es-ES"/>
        </w:rPr>
        <w:t>Lezmond</w:t>
      </w:r>
      <w:proofErr w:type="spellEnd"/>
      <w:r w:rsidRPr="00D874C4">
        <w:rPr>
          <w:rFonts w:asciiTheme="majorHAnsi" w:hAnsiTheme="majorHAnsi" w:cs="TimesNewRomanPSMT"/>
          <w:sz w:val="18"/>
          <w:szCs w:val="18"/>
          <w:lang w:eastAsia="es-ES"/>
        </w:rPr>
        <w:t xml:space="preserve"> Mitchell, then 20 years old, plotted with three others to carjack a vehicle for use in an armed robbery of a trading post located on the Navajo reservation in Arizona. On October 28, 2001, Mitchell and his 16-year-old accomplice, Johnny Orsinger, abducted 63-year-old </w:t>
      </w:r>
      <w:proofErr w:type="spellStart"/>
      <w:r w:rsidRPr="00D874C4">
        <w:rPr>
          <w:rFonts w:asciiTheme="majorHAnsi" w:hAnsiTheme="majorHAnsi" w:cs="TimesNewRomanPSMT"/>
          <w:sz w:val="18"/>
          <w:szCs w:val="18"/>
          <w:lang w:eastAsia="es-ES"/>
        </w:rPr>
        <w:t>Alyce</w:t>
      </w:r>
      <w:proofErr w:type="spellEnd"/>
      <w:r w:rsidRPr="00D874C4">
        <w:rPr>
          <w:rFonts w:asciiTheme="majorHAnsi" w:hAnsiTheme="majorHAnsi" w:cs="TimesNewRomanPSMT"/>
          <w:sz w:val="18"/>
          <w:szCs w:val="18"/>
          <w:lang w:eastAsia="es-ES"/>
        </w:rPr>
        <w:t xml:space="preserve"> Slim and her nine-year old granddaughter. Slim and the child were traveling to New Mexico in </w:t>
      </w:r>
      <w:proofErr w:type="spellStart"/>
      <w:r w:rsidRPr="00D874C4">
        <w:rPr>
          <w:rFonts w:asciiTheme="majorHAnsi" w:hAnsiTheme="majorHAnsi" w:cs="TimesNewRomanPSMT"/>
          <w:sz w:val="18"/>
          <w:szCs w:val="18"/>
          <w:lang w:eastAsia="es-ES"/>
        </w:rPr>
        <w:t>Slim’s</w:t>
      </w:r>
      <w:proofErr w:type="spellEnd"/>
      <w:r w:rsidRPr="00D874C4">
        <w:rPr>
          <w:rFonts w:asciiTheme="majorHAnsi" w:hAnsiTheme="majorHAnsi" w:cs="TimesNewRomanPSMT"/>
          <w:sz w:val="18"/>
          <w:szCs w:val="18"/>
          <w:lang w:eastAsia="es-ES"/>
        </w:rPr>
        <w:t xml:space="preserve"> GMC pickup truck. Somewhere near Sawmill, Arizona, Mitchell and Orsinger killed Slim by stabbing her 33 times. Her dead body was pulled into the rear of the truck, where the child was made to sit beside it. Mitchell then drove the truck into the nearby mountains.</w:t>
      </w:r>
    </w:p>
    <w:p w:rsidR="0087528A" w:rsidRPr="00D874C4" w:rsidRDefault="0087528A" w:rsidP="0087528A">
      <w:pPr>
        <w:pStyle w:val="ListParagraph"/>
        <w:ind w:left="360" w:right="360"/>
        <w:jc w:val="both"/>
        <w:rPr>
          <w:rFonts w:asciiTheme="majorHAnsi" w:hAnsiTheme="majorHAnsi" w:cs="TimesNewRomanPSMT"/>
          <w:sz w:val="18"/>
          <w:szCs w:val="18"/>
        </w:rPr>
      </w:pPr>
    </w:p>
    <w:p w:rsidR="00747906"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cs="TimesNewRomanPSMT"/>
          <w:sz w:val="18"/>
          <w:szCs w:val="18"/>
          <w:lang w:eastAsia="es-ES"/>
        </w:rPr>
      </w:pPr>
      <w:r w:rsidRPr="00D874C4">
        <w:rPr>
          <w:rFonts w:asciiTheme="majorHAnsi" w:hAnsiTheme="majorHAnsi" w:cs="TimesNewRomanPSMT"/>
          <w:sz w:val="18"/>
          <w:szCs w:val="18"/>
          <w:lang w:eastAsia="es-ES"/>
        </w:rPr>
        <w:t xml:space="preserve">Thirty or forty miles later, </w:t>
      </w:r>
      <w:proofErr w:type="spellStart"/>
      <w:r w:rsidRPr="00D874C4">
        <w:rPr>
          <w:rFonts w:asciiTheme="majorHAnsi" w:hAnsiTheme="majorHAnsi" w:cs="TimesNewRomanPSMT"/>
          <w:sz w:val="18"/>
          <w:szCs w:val="18"/>
          <w:lang w:eastAsia="es-ES"/>
        </w:rPr>
        <w:t>Slim’s</w:t>
      </w:r>
      <w:proofErr w:type="spellEnd"/>
      <w:r w:rsidRPr="00D874C4">
        <w:rPr>
          <w:rFonts w:asciiTheme="majorHAnsi" w:hAnsiTheme="majorHAnsi" w:cs="TimesNewRomanPSMT"/>
          <w:sz w:val="18"/>
          <w:szCs w:val="18"/>
          <w:lang w:eastAsia="es-ES"/>
        </w:rPr>
        <w:t xml:space="preserve"> body was dragged out of the truck. Mitchell told the little girl to get out and “lay down and die.” Mitchell then cut her throat twice. When she did not die, Mitchell and Orsinger each dropped large rocks on her head. Twenty-pound rocks bearing the child’s blood were later found at the scene.</w:t>
      </w:r>
    </w:p>
    <w:p w:rsidR="001679D0" w:rsidRPr="00D874C4" w:rsidRDefault="001679D0" w:rsidP="008752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rPr>
      </w:pPr>
    </w:p>
    <w:p w:rsidR="00747906"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eastAsia="es-ES"/>
        </w:rPr>
      </w:pPr>
      <w:r w:rsidRPr="00D874C4">
        <w:rPr>
          <w:rFonts w:asciiTheme="majorHAnsi" w:hAnsiTheme="majorHAnsi" w:cs="TimesNewRomanPSMT"/>
          <w:sz w:val="18"/>
          <w:szCs w:val="18"/>
          <w:lang w:eastAsia="es-ES"/>
        </w:rPr>
        <w:t xml:space="preserve">Mitchell and Orsinger left the murder scene, but later returned to hide evidence. While Mitchell dug a hole in the ground, Orsinger severed the heads and hands of both victims in an effort to prevent their identification. The </w:t>
      </w:r>
      <w:r w:rsidRPr="00D874C4">
        <w:rPr>
          <w:rFonts w:asciiTheme="majorHAnsi" w:hAnsiTheme="majorHAnsi" w:cs="TimesNewRomanPSMT"/>
          <w:sz w:val="18"/>
          <w:szCs w:val="18"/>
          <w:lang w:eastAsia="es-ES"/>
        </w:rPr>
        <w:lastRenderedPageBreak/>
        <w:t xml:space="preserve">dismembered parts were buried in the hole; the torsos were pulled into the woods. Mitchell and Orsinger later burned the victims’ clothing and other personal effects. Mitchell washed the knives with alcohol to remove any blood. </w:t>
      </w:r>
    </w:p>
    <w:p w:rsidR="00747906"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eastAsia="es-ES"/>
        </w:rPr>
      </w:pPr>
    </w:p>
    <w:p w:rsidR="00747906"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eastAsia="es-ES"/>
        </w:rPr>
      </w:pPr>
      <w:r w:rsidRPr="00D874C4">
        <w:rPr>
          <w:rFonts w:asciiTheme="majorHAnsi" w:hAnsiTheme="majorHAnsi" w:cs="TimesNewRomanPSMT"/>
          <w:sz w:val="18"/>
          <w:szCs w:val="18"/>
          <w:lang w:eastAsia="es-ES"/>
        </w:rPr>
        <w:t xml:space="preserve">Three days later, on October 31, 2001, Mitchell and two accomplices (Jason </w:t>
      </w:r>
      <w:proofErr w:type="spellStart"/>
      <w:r w:rsidRPr="00D874C4">
        <w:rPr>
          <w:rFonts w:asciiTheme="majorHAnsi" w:hAnsiTheme="majorHAnsi" w:cs="TimesNewRomanPSMT"/>
          <w:sz w:val="18"/>
          <w:szCs w:val="18"/>
          <w:lang w:eastAsia="es-ES"/>
        </w:rPr>
        <w:t>Kinlicheenie</w:t>
      </w:r>
      <w:proofErr w:type="spellEnd"/>
      <w:r w:rsidRPr="00D874C4">
        <w:rPr>
          <w:rFonts w:asciiTheme="majorHAnsi" w:hAnsiTheme="majorHAnsi" w:cs="TimesNewRomanPSMT"/>
          <w:sz w:val="18"/>
          <w:szCs w:val="18"/>
          <w:lang w:eastAsia="es-ES"/>
        </w:rPr>
        <w:t xml:space="preserve"> and </w:t>
      </w:r>
      <w:proofErr w:type="spellStart"/>
      <w:r w:rsidRPr="00D874C4">
        <w:rPr>
          <w:rFonts w:asciiTheme="majorHAnsi" w:hAnsiTheme="majorHAnsi" w:cs="TimesNewRomanPSMT"/>
          <w:sz w:val="18"/>
          <w:szCs w:val="18"/>
          <w:lang w:eastAsia="es-ES"/>
        </w:rPr>
        <w:t>Jakegory</w:t>
      </w:r>
      <w:proofErr w:type="spellEnd"/>
      <w:r w:rsidRPr="00D874C4">
        <w:rPr>
          <w:rFonts w:asciiTheme="majorHAnsi" w:hAnsiTheme="majorHAnsi" w:cs="TimesNewRomanPSMT"/>
          <w:sz w:val="18"/>
          <w:szCs w:val="18"/>
          <w:lang w:eastAsia="es-ES"/>
        </w:rPr>
        <w:t xml:space="preserve"> </w:t>
      </w:r>
      <w:proofErr w:type="spellStart"/>
      <w:r w:rsidRPr="00D874C4">
        <w:rPr>
          <w:rFonts w:asciiTheme="majorHAnsi" w:hAnsiTheme="majorHAnsi" w:cs="TimesNewRomanPSMT"/>
          <w:sz w:val="18"/>
          <w:szCs w:val="18"/>
          <w:lang w:eastAsia="es-ES"/>
        </w:rPr>
        <w:t>Nakai</w:t>
      </w:r>
      <w:proofErr w:type="spellEnd"/>
      <w:r w:rsidRPr="00D874C4">
        <w:rPr>
          <w:rFonts w:asciiTheme="majorHAnsi" w:hAnsiTheme="majorHAnsi" w:cs="TimesNewRomanPSMT"/>
          <w:sz w:val="18"/>
          <w:szCs w:val="18"/>
          <w:lang w:eastAsia="es-ES"/>
        </w:rPr>
        <w:t xml:space="preserve">) drove to the Red Rock Trading Post in the GMC pickup truck stolen from Slim. The three men wore masks when they entered the store. Mitchell carried a 12-gauge shotgun. </w:t>
      </w:r>
      <w:proofErr w:type="spellStart"/>
      <w:r w:rsidRPr="00D874C4">
        <w:rPr>
          <w:rFonts w:asciiTheme="majorHAnsi" w:hAnsiTheme="majorHAnsi" w:cs="TimesNewRomanPSMT"/>
          <w:sz w:val="18"/>
          <w:szCs w:val="18"/>
          <w:lang w:eastAsia="es-ES"/>
        </w:rPr>
        <w:t>Nakai</w:t>
      </w:r>
      <w:proofErr w:type="spellEnd"/>
      <w:r w:rsidRPr="00D874C4">
        <w:rPr>
          <w:rFonts w:asciiTheme="majorHAnsi" w:hAnsiTheme="majorHAnsi" w:cs="TimesNewRomanPSMT"/>
          <w:sz w:val="18"/>
          <w:szCs w:val="18"/>
          <w:lang w:eastAsia="es-ES"/>
        </w:rPr>
        <w:t xml:space="preserve"> had a .22 caliber rifle. One of the gunmen struck the store manager in the head with his gun. When another employee said that she did not know the combination to the safe, one of the robbers said, “If you lie to me or you don’t cooperate with us, we are going to kill you.” Ultimately, the robbers made off with $5,530 from the safe and cash registers, and the store manager’s purse.</w:t>
      </w:r>
    </w:p>
    <w:p w:rsidR="00747906"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cs="TimesNewRomanPSMT"/>
          <w:sz w:val="18"/>
          <w:szCs w:val="18"/>
          <w:lang w:eastAsia="es-ES"/>
        </w:rPr>
      </w:pPr>
    </w:p>
    <w:p w:rsidR="00747906" w:rsidRPr="00D874C4" w:rsidRDefault="00747906" w:rsidP="008752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360"/>
        <w:jc w:val="both"/>
        <w:rPr>
          <w:rFonts w:asciiTheme="majorHAnsi" w:hAnsiTheme="majorHAnsi"/>
          <w:sz w:val="18"/>
          <w:szCs w:val="18"/>
        </w:rPr>
      </w:pPr>
      <w:r w:rsidRPr="00D874C4">
        <w:rPr>
          <w:rFonts w:asciiTheme="majorHAnsi" w:hAnsiTheme="majorHAnsi" w:cs="TimesNewRomanPSMT"/>
          <w:sz w:val="18"/>
          <w:szCs w:val="18"/>
          <w:lang w:eastAsia="es-ES"/>
        </w:rPr>
        <w:t xml:space="preserve">The robbers drove the stolen GMC pickup truck back to </w:t>
      </w:r>
      <w:proofErr w:type="spellStart"/>
      <w:r w:rsidRPr="00D874C4">
        <w:rPr>
          <w:rFonts w:asciiTheme="majorHAnsi" w:hAnsiTheme="majorHAnsi" w:cs="TimesNewRomanPSMT"/>
          <w:sz w:val="18"/>
          <w:szCs w:val="18"/>
          <w:lang w:eastAsia="es-ES"/>
        </w:rPr>
        <w:t>Kinlicheenie’s</w:t>
      </w:r>
      <w:proofErr w:type="spellEnd"/>
      <w:r w:rsidRPr="00D874C4">
        <w:rPr>
          <w:rFonts w:asciiTheme="majorHAnsi" w:hAnsiTheme="majorHAnsi" w:cs="TimesNewRomanPSMT"/>
          <w:sz w:val="18"/>
          <w:szCs w:val="18"/>
          <w:lang w:eastAsia="es-ES"/>
        </w:rPr>
        <w:t xml:space="preserve"> car. </w:t>
      </w:r>
      <w:proofErr w:type="spellStart"/>
      <w:r w:rsidRPr="00D874C4">
        <w:rPr>
          <w:rFonts w:asciiTheme="majorHAnsi" w:hAnsiTheme="majorHAnsi" w:cs="TimesNewRomanPSMT"/>
          <w:sz w:val="18"/>
          <w:szCs w:val="18"/>
          <w:lang w:eastAsia="es-ES"/>
        </w:rPr>
        <w:t>Kinlicheenie</w:t>
      </w:r>
      <w:proofErr w:type="spellEnd"/>
      <w:r w:rsidRPr="00D874C4">
        <w:rPr>
          <w:rFonts w:asciiTheme="majorHAnsi" w:hAnsiTheme="majorHAnsi" w:cs="TimesNewRomanPSMT"/>
          <w:sz w:val="18"/>
          <w:szCs w:val="18"/>
          <w:lang w:eastAsia="es-ES"/>
        </w:rPr>
        <w:t xml:space="preserve"> followed Mitchell in the truck to an area near Wheatfield, Arizona, where Mitchell set the truck on fire with kerosene stolen from the trading post. They then went to </w:t>
      </w:r>
      <w:proofErr w:type="spellStart"/>
      <w:r w:rsidRPr="00D874C4">
        <w:rPr>
          <w:rFonts w:asciiTheme="majorHAnsi" w:hAnsiTheme="majorHAnsi" w:cs="TimesNewRomanPSMT"/>
          <w:sz w:val="18"/>
          <w:szCs w:val="18"/>
          <w:lang w:eastAsia="es-ES"/>
        </w:rPr>
        <w:t>Jakegory</w:t>
      </w:r>
      <w:proofErr w:type="spellEnd"/>
      <w:r w:rsidRPr="00D874C4">
        <w:rPr>
          <w:rFonts w:asciiTheme="majorHAnsi" w:hAnsiTheme="majorHAnsi" w:cs="TimesNewRomanPSMT"/>
          <w:sz w:val="18"/>
          <w:szCs w:val="18"/>
          <w:lang w:eastAsia="es-ES"/>
        </w:rPr>
        <w:t xml:space="preserve"> and Gregory </w:t>
      </w:r>
      <w:proofErr w:type="spellStart"/>
      <w:r w:rsidRPr="00D874C4">
        <w:rPr>
          <w:rFonts w:asciiTheme="majorHAnsi" w:hAnsiTheme="majorHAnsi" w:cs="TimesNewRomanPSMT"/>
          <w:sz w:val="18"/>
          <w:szCs w:val="18"/>
          <w:lang w:eastAsia="es-ES"/>
        </w:rPr>
        <w:t>Nakai’s</w:t>
      </w:r>
      <w:proofErr w:type="spellEnd"/>
      <w:r w:rsidRPr="00D874C4">
        <w:rPr>
          <w:rFonts w:asciiTheme="majorHAnsi" w:hAnsiTheme="majorHAnsi" w:cs="TimesNewRomanPSMT"/>
          <w:sz w:val="18"/>
          <w:szCs w:val="18"/>
          <w:lang w:eastAsia="es-ES"/>
        </w:rPr>
        <w:t xml:space="preserve"> house and split up the money.</w:t>
      </w:r>
    </w:p>
    <w:p w:rsidR="004C041F" w:rsidRPr="00D874C4" w:rsidRDefault="004C041F" w:rsidP="004C041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rPr>
      </w:pPr>
    </w:p>
    <w:p w:rsidR="00637B33" w:rsidRPr="00D874C4" w:rsidRDefault="00103877" w:rsidP="00F471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D874C4">
        <w:rPr>
          <w:rFonts w:asciiTheme="majorHAnsi" w:hAnsiTheme="majorHAnsi"/>
          <w:sz w:val="20"/>
          <w:szCs w:val="20"/>
        </w:rPr>
        <w:t>Mr. Mitchell was arrested</w:t>
      </w:r>
      <w:r w:rsidR="008A260E" w:rsidRPr="00D874C4">
        <w:rPr>
          <w:rFonts w:asciiTheme="majorHAnsi" w:hAnsiTheme="majorHAnsi"/>
          <w:sz w:val="20"/>
          <w:szCs w:val="20"/>
        </w:rPr>
        <w:t xml:space="preserve"> by the Federal Bureau of Investigations (FBI) and Navajo Nation police </w:t>
      </w:r>
      <w:r w:rsidR="00A024B3" w:rsidRPr="00D874C4">
        <w:rPr>
          <w:rFonts w:asciiTheme="majorHAnsi" w:hAnsiTheme="majorHAnsi"/>
          <w:sz w:val="20"/>
          <w:szCs w:val="20"/>
        </w:rPr>
        <w:t xml:space="preserve">early </w:t>
      </w:r>
      <w:r w:rsidR="008A260E" w:rsidRPr="00D874C4">
        <w:rPr>
          <w:rFonts w:asciiTheme="majorHAnsi" w:hAnsiTheme="majorHAnsi"/>
          <w:sz w:val="20"/>
          <w:szCs w:val="20"/>
        </w:rPr>
        <w:t>on November 4, 2001. According to information provided by the petitioners, not controverted by the State, the arrest was pursuant to an arrest warrant for vandalism of tribal property, a misdemeanor that allegedly took place in September 2001.</w:t>
      </w:r>
      <w:r w:rsidR="008A260E" w:rsidRPr="00D874C4">
        <w:rPr>
          <w:rStyle w:val="FootnoteReference"/>
          <w:rFonts w:asciiTheme="majorHAnsi" w:hAnsiTheme="majorHAnsi"/>
          <w:sz w:val="20"/>
          <w:szCs w:val="20"/>
        </w:rPr>
        <w:footnoteReference w:id="15"/>
      </w:r>
      <w:r w:rsidR="00A63DCD" w:rsidRPr="00D874C4">
        <w:rPr>
          <w:rFonts w:asciiTheme="majorHAnsi" w:hAnsiTheme="majorHAnsi"/>
          <w:sz w:val="20"/>
          <w:szCs w:val="20"/>
        </w:rPr>
        <w:t xml:space="preserve"> </w:t>
      </w:r>
      <w:r w:rsidR="00A024B3" w:rsidRPr="00D874C4">
        <w:rPr>
          <w:rFonts w:asciiTheme="majorHAnsi" w:hAnsiTheme="majorHAnsi"/>
          <w:sz w:val="20"/>
          <w:szCs w:val="20"/>
        </w:rPr>
        <w:t>Later that morning he was transported</w:t>
      </w:r>
      <w:r w:rsidR="00A63DCD" w:rsidRPr="00D874C4">
        <w:rPr>
          <w:rFonts w:asciiTheme="majorHAnsi" w:hAnsiTheme="majorHAnsi"/>
          <w:sz w:val="20"/>
          <w:szCs w:val="20"/>
        </w:rPr>
        <w:t xml:space="preserve"> to the Navajo Department of Criminal Investigations, </w:t>
      </w:r>
      <w:r w:rsidR="00A024B3" w:rsidRPr="00D874C4">
        <w:rPr>
          <w:rFonts w:asciiTheme="majorHAnsi" w:hAnsiTheme="majorHAnsi"/>
          <w:sz w:val="20"/>
          <w:szCs w:val="20"/>
        </w:rPr>
        <w:t xml:space="preserve">where he </w:t>
      </w:r>
      <w:r w:rsidR="00660AF5" w:rsidRPr="00D874C4">
        <w:rPr>
          <w:rFonts w:asciiTheme="majorHAnsi" w:hAnsiTheme="majorHAnsi"/>
          <w:sz w:val="20"/>
          <w:szCs w:val="20"/>
        </w:rPr>
        <w:t xml:space="preserve">signed a waiver of his </w:t>
      </w:r>
      <w:r w:rsidR="00660AF5" w:rsidRPr="00D874C4">
        <w:rPr>
          <w:rFonts w:asciiTheme="majorHAnsi" w:hAnsiTheme="majorHAnsi"/>
          <w:i/>
          <w:sz w:val="20"/>
          <w:szCs w:val="20"/>
        </w:rPr>
        <w:t>Miranda</w:t>
      </w:r>
      <w:r w:rsidR="00660AF5" w:rsidRPr="00D874C4">
        <w:rPr>
          <w:rFonts w:asciiTheme="majorHAnsi" w:hAnsiTheme="majorHAnsi"/>
          <w:sz w:val="20"/>
          <w:szCs w:val="20"/>
        </w:rPr>
        <w:t xml:space="preserve"> rights</w:t>
      </w:r>
      <w:r w:rsidR="009C2690" w:rsidRPr="00D874C4">
        <w:rPr>
          <w:rStyle w:val="FootnoteReference"/>
          <w:rFonts w:asciiTheme="majorHAnsi" w:hAnsiTheme="majorHAnsi"/>
          <w:sz w:val="20"/>
          <w:szCs w:val="20"/>
        </w:rPr>
        <w:footnoteReference w:id="16"/>
      </w:r>
      <w:r w:rsidR="00660AF5" w:rsidRPr="00D874C4">
        <w:rPr>
          <w:rFonts w:asciiTheme="majorHAnsi" w:hAnsiTheme="majorHAnsi"/>
          <w:sz w:val="20"/>
          <w:szCs w:val="20"/>
        </w:rPr>
        <w:t xml:space="preserve"> and </w:t>
      </w:r>
      <w:r w:rsidR="00A024B3" w:rsidRPr="00D874C4">
        <w:rPr>
          <w:rFonts w:asciiTheme="majorHAnsi" w:hAnsiTheme="majorHAnsi"/>
          <w:sz w:val="20"/>
          <w:szCs w:val="20"/>
        </w:rPr>
        <w:t>was interrogated by an FBI agent for 12 hours</w:t>
      </w:r>
      <w:r w:rsidR="002B018A" w:rsidRPr="00D874C4">
        <w:rPr>
          <w:rFonts w:asciiTheme="majorHAnsi" w:hAnsiTheme="majorHAnsi"/>
          <w:sz w:val="20"/>
          <w:szCs w:val="20"/>
        </w:rPr>
        <w:t xml:space="preserve">. </w:t>
      </w:r>
      <w:r w:rsidR="00A024B3" w:rsidRPr="00D874C4">
        <w:rPr>
          <w:rFonts w:asciiTheme="majorHAnsi" w:hAnsiTheme="majorHAnsi"/>
          <w:sz w:val="20"/>
          <w:szCs w:val="20"/>
        </w:rPr>
        <w:t>Mr. Mitchell</w:t>
      </w:r>
      <w:r w:rsidR="002B018A" w:rsidRPr="00D874C4">
        <w:rPr>
          <w:rFonts w:asciiTheme="majorHAnsi" w:hAnsiTheme="majorHAnsi"/>
          <w:sz w:val="20"/>
          <w:szCs w:val="20"/>
        </w:rPr>
        <w:t xml:space="preserve"> a</w:t>
      </w:r>
      <w:r w:rsidR="00435DC5" w:rsidRPr="00D874C4">
        <w:rPr>
          <w:rFonts w:asciiTheme="majorHAnsi" w:hAnsiTheme="majorHAnsi"/>
          <w:sz w:val="20"/>
          <w:szCs w:val="20"/>
        </w:rPr>
        <w:t>dmitted his involvement in the trading p</w:t>
      </w:r>
      <w:r w:rsidR="002B018A" w:rsidRPr="00D874C4">
        <w:rPr>
          <w:rFonts w:asciiTheme="majorHAnsi" w:hAnsiTheme="majorHAnsi"/>
          <w:sz w:val="20"/>
          <w:szCs w:val="20"/>
        </w:rPr>
        <w:t xml:space="preserve">ost robbery, and also confirmed that he was present when "things happened" to </w:t>
      </w:r>
      <w:r w:rsidR="00B87085" w:rsidRPr="00D874C4">
        <w:rPr>
          <w:rFonts w:asciiTheme="majorHAnsi" w:hAnsiTheme="majorHAnsi"/>
          <w:sz w:val="20"/>
          <w:szCs w:val="20"/>
        </w:rPr>
        <w:t>the victims</w:t>
      </w:r>
      <w:r w:rsidR="002B018A" w:rsidRPr="00D874C4">
        <w:rPr>
          <w:rFonts w:asciiTheme="majorHAnsi" w:hAnsiTheme="majorHAnsi"/>
          <w:sz w:val="20"/>
          <w:szCs w:val="20"/>
        </w:rPr>
        <w:t>. He agreed to help investigators find the bodies. The following day he directed Navajo police officers to the site</w:t>
      </w:r>
      <w:r w:rsidR="0055101B" w:rsidRPr="00D874C4">
        <w:rPr>
          <w:rFonts w:asciiTheme="majorHAnsi" w:hAnsiTheme="majorHAnsi"/>
          <w:sz w:val="20"/>
          <w:szCs w:val="20"/>
        </w:rPr>
        <w:t xml:space="preserve">. While there, he acknowledged the FBI agent that his </w:t>
      </w:r>
      <w:r w:rsidR="0055101B" w:rsidRPr="00D874C4">
        <w:rPr>
          <w:rFonts w:asciiTheme="majorHAnsi" w:hAnsiTheme="majorHAnsi"/>
          <w:i/>
          <w:sz w:val="20"/>
          <w:szCs w:val="20"/>
        </w:rPr>
        <w:t>Miranda</w:t>
      </w:r>
      <w:r w:rsidR="0055101B" w:rsidRPr="00D874C4">
        <w:rPr>
          <w:rFonts w:asciiTheme="majorHAnsi" w:hAnsiTheme="majorHAnsi"/>
          <w:sz w:val="20"/>
          <w:szCs w:val="20"/>
        </w:rPr>
        <w:t xml:space="preserve"> rights were in effect and agreed to answer more questions. Mr. Mitchell</w:t>
      </w:r>
      <w:r w:rsidR="00435DC5" w:rsidRPr="00D874C4">
        <w:rPr>
          <w:rFonts w:asciiTheme="majorHAnsi" w:hAnsiTheme="majorHAnsi"/>
          <w:sz w:val="20"/>
          <w:szCs w:val="20"/>
        </w:rPr>
        <w:t xml:space="preserve"> stated </w:t>
      </w:r>
      <w:r w:rsidR="002B018A" w:rsidRPr="00D874C4">
        <w:rPr>
          <w:rFonts w:asciiTheme="majorHAnsi" w:hAnsiTheme="majorHAnsi"/>
          <w:sz w:val="20"/>
          <w:szCs w:val="20"/>
        </w:rPr>
        <w:t>that he had murder</w:t>
      </w:r>
      <w:r w:rsidR="00563249" w:rsidRPr="00D874C4">
        <w:rPr>
          <w:rFonts w:asciiTheme="majorHAnsi" w:hAnsiTheme="majorHAnsi"/>
          <w:sz w:val="20"/>
          <w:szCs w:val="20"/>
        </w:rPr>
        <w:t>ed</w:t>
      </w:r>
      <w:r w:rsidR="002B018A" w:rsidRPr="00D874C4">
        <w:rPr>
          <w:rFonts w:asciiTheme="majorHAnsi" w:hAnsiTheme="majorHAnsi"/>
          <w:sz w:val="20"/>
          <w:szCs w:val="20"/>
        </w:rPr>
        <w:t xml:space="preserve"> the “old lady” and the girl.</w:t>
      </w:r>
      <w:r w:rsidR="00AB2A29" w:rsidRPr="00D874C4">
        <w:rPr>
          <w:rFonts w:asciiTheme="majorHAnsi" w:hAnsiTheme="majorHAnsi"/>
          <w:sz w:val="20"/>
          <w:szCs w:val="20"/>
        </w:rPr>
        <w:t xml:space="preserve"> </w:t>
      </w:r>
      <w:r w:rsidR="00F4713E" w:rsidRPr="00D874C4">
        <w:rPr>
          <w:rFonts w:asciiTheme="majorHAnsi" w:hAnsiTheme="majorHAnsi" w:cs="Times"/>
          <w:sz w:val="20"/>
          <w:szCs w:val="20"/>
          <w:lang w:eastAsia="es-ES"/>
        </w:rPr>
        <w:t>Mr. Mitchell was returned to tribal jail and taken before a tribal judge on November 7.</w:t>
      </w:r>
      <w:r w:rsidR="00A024B3" w:rsidRPr="00D874C4">
        <w:rPr>
          <w:rFonts w:asciiTheme="majorHAnsi" w:hAnsiTheme="majorHAnsi" w:cs="Times"/>
          <w:sz w:val="20"/>
          <w:szCs w:val="20"/>
          <w:lang w:eastAsia="es-ES"/>
        </w:rPr>
        <w:t xml:space="preserve"> Mr. Mitchell pled guilty to the criminal damage charge in tribal court</w:t>
      </w:r>
      <w:r w:rsidR="00637B33" w:rsidRPr="00D874C4">
        <w:rPr>
          <w:rFonts w:asciiTheme="majorHAnsi" w:hAnsiTheme="majorHAnsi" w:cs="Times"/>
          <w:sz w:val="20"/>
          <w:szCs w:val="20"/>
          <w:lang w:eastAsia="es-ES"/>
        </w:rPr>
        <w:t xml:space="preserve"> and was returned to tribal jail.</w:t>
      </w:r>
      <w:r w:rsidR="00637B33" w:rsidRPr="00D874C4">
        <w:rPr>
          <w:rStyle w:val="FootnoteReference"/>
          <w:rFonts w:asciiTheme="majorHAnsi" w:hAnsiTheme="majorHAnsi"/>
          <w:sz w:val="20"/>
          <w:szCs w:val="20"/>
          <w:lang w:eastAsia="es-ES"/>
        </w:rPr>
        <w:footnoteReference w:id="17"/>
      </w:r>
    </w:p>
    <w:p w:rsidR="00637B33" w:rsidRPr="00D874C4" w:rsidRDefault="00637B33" w:rsidP="00637B3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heme="majorHAnsi" w:hAnsiTheme="majorHAnsi"/>
          <w:sz w:val="20"/>
          <w:szCs w:val="20"/>
        </w:rPr>
      </w:pPr>
    </w:p>
    <w:p w:rsidR="00842C39" w:rsidRPr="00D874C4" w:rsidRDefault="00F4713E" w:rsidP="00F4713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D874C4">
        <w:rPr>
          <w:rFonts w:asciiTheme="majorHAnsi" w:hAnsiTheme="majorHAnsi" w:cs="Times"/>
          <w:sz w:val="20"/>
          <w:szCs w:val="20"/>
          <w:lang w:eastAsia="es-ES"/>
        </w:rPr>
        <w:t xml:space="preserve"> A federal indictment was issued on November 21, </w:t>
      </w:r>
      <w:r w:rsidR="009D14DA" w:rsidRPr="00D874C4">
        <w:rPr>
          <w:rFonts w:asciiTheme="majorHAnsi" w:hAnsiTheme="majorHAnsi" w:cs="Times"/>
          <w:sz w:val="20"/>
          <w:szCs w:val="20"/>
          <w:lang w:eastAsia="es-ES"/>
        </w:rPr>
        <w:t>2001.</w:t>
      </w:r>
      <w:r w:rsidRPr="00D874C4">
        <w:rPr>
          <w:rStyle w:val="FootnoteReference"/>
          <w:rFonts w:asciiTheme="majorHAnsi" w:hAnsiTheme="majorHAnsi"/>
          <w:sz w:val="20"/>
          <w:szCs w:val="20"/>
          <w:lang w:eastAsia="es-ES"/>
        </w:rPr>
        <w:footnoteReference w:id="18"/>
      </w:r>
      <w:r w:rsidRPr="00D874C4">
        <w:rPr>
          <w:rFonts w:asciiTheme="majorHAnsi" w:hAnsiTheme="majorHAnsi" w:cs="Times"/>
          <w:sz w:val="20"/>
          <w:szCs w:val="20"/>
          <w:lang w:eastAsia="es-ES"/>
        </w:rPr>
        <w:t xml:space="preserve"> </w:t>
      </w:r>
      <w:r w:rsidR="005B3EC2" w:rsidRPr="00D874C4">
        <w:rPr>
          <w:rFonts w:asciiTheme="majorHAnsi" w:hAnsiTheme="majorHAnsi" w:cs="Times"/>
          <w:sz w:val="20"/>
          <w:szCs w:val="20"/>
          <w:lang w:eastAsia="es-ES"/>
        </w:rPr>
        <w:t>On November 29, 2001, FBI and Navajo Nation agents transported Mr. Mitchell to the federal courthouse in Flagstaff, Arizona, where FBI agents again interrogated him. Mr. Mitchell was then brought to a federal courthouse where he made his initial appearance and had counsel appointed. Once counsel was appointed, FBI agents had no further ability to interrogate Mr. Mitchell.</w:t>
      </w:r>
      <w:r w:rsidR="0009228C" w:rsidRPr="00D874C4">
        <w:rPr>
          <w:rStyle w:val="FootnoteReference"/>
          <w:rFonts w:asciiTheme="majorHAnsi" w:hAnsiTheme="majorHAnsi"/>
          <w:sz w:val="20"/>
          <w:szCs w:val="20"/>
          <w:lang w:eastAsia="es-ES"/>
        </w:rPr>
        <w:footnoteReference w:id="19"/>
      </w:r>
    </w:p>
    <w:p w:rsidR="007A02E6" w:rsidRPr="00D874C4" w:rsidRDefault="007A02E6" w:rsidP="007A02E6">
      <w:pPr>
        <w:pStyle w:val="ListParagraph"/>
        <w:rPr>
          <w:rFonts w:asciiTheme="majorHAnsi" w:hAnsiTheme="majorHAnsi"/>
          <w:sz w:val="20"/>
          <w:szCs w:val="20"/>
        </w:rPr>
      </w:pPr>
    </w:p>
    <w:p w:rsidR="00842C39" w:rsidRPr="00D874C4" w:rsidRDefault="007A02E6" w:rsidP="00B870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D874C4">
        <w:rPr>
          <w:rFonts w:asciiTheme="majorHAnsi" w:hAnsiTheme="majorHAnsi"/>
          <w:sz w:val="20"/>
          <w:szCs w:val="20"/>
        </w:rPr>
        <w:t>Accord</w:t>
      </w:r>
      <w:r w:rsidR="00B87085" w:rsidRPr="00D874C4">
        <w:rPr>
          <w:rFonts w:asciiTheme="majorHAnsi" w:hAnsiTheme="majorHAnsi"/>
          <w:sz w:val="20"/>
          <w:szCs w:val="20"/>
        </w:rPr>
        <w:t>ing</w:t>
      </w:r>
      <w:r w:rsidRPr="00D874C4">
        <w:rPr>
          <w:rFonts w:asciiTheme="majorHAnsi" w:hAnsiTheme="majorHAnsi"/>
          <w:sz w:val="20"/>
          <w:szCs w:val="20"/>
        </w:rPr>
        <w:t xml:space="preserve"> to the information provided by the petitioners, not disputed by the State, Mr. Mitchell was represented at trial by two federal public defenders and an attorney in private practice</w:t>
      </w:r>
      <w:r w:rsidR="00B87085" w:rsidRPr="00D874C4">
        <w:rPr>
          <w:rFonts w:asciiTheme="majorHAnsi" w:hAnsiTheme="majorHAnsi"/>
          <w:sz w:val="20"/>
          <w:szCs w:val="20"/>
        </w:rPr>
        <w:t xml:space="preserve"> who joined the defense team several months </w:t>
      </w:r>
      <w:r w:rsidR="00435DC5" w:rsidRPr="00D874C4">
        <w:rPr>
          <w:rFonts w:asciiTheme="majorHAnsi" w:hAnsiTheme="majorHAnsi"/>
          <w:sz w:val="20"/>
          <w:szCs w:val="20"/>
        </w:rPr>
        <w:t>later</w:t>
      </w:r>
      <w:r w:rsidR="00B87085" w:rsidRPr="00D874C4">
        <w:rPr>
          <w:rFonts w:asciiTheme="majorHAnsi" w:hAnsiTheme="majorHAnsi"/>
          <w:sz w:val="20"/>
          <w:szCs w:val="20"/>
        </w:rPr>
        <w:t xml:space="preserve">. </w:t>
      </w:r>
      <w:r w:rsidRPr="00D874C4">
        <w:rPr>
          <w:rFonts w:asciiTheme="majorHAnsi" w:hAnsiTheme="majorHAnsi"/>
          <w:sz w:val="20"/>
          <w:szCs w:val="20"/>
        </w:rPr>
        <w:t>One of the public defenders</w:t>
      </w:r>
      <w:r w:rsidR="00B87085" w:rsidRPr="00D874C4">
        <w:rPr>
          <w:rFonts w:asciiTheme="majorHAnsi" w:hAnsiTheme="majorHAnsi"/>
          <w:sz w:val="20"/>
          <w:szCs w:val="20"/>
        </w:rPr>
        <w:t>, who</w:t>
      </w:r>
      <w:r w:rsidRPr="00D874C4">
        <w:rPr>
          <w:rFonts w:asciiTheme="majorHAnsi" w:hAnsiTheme="majorHAnsi"/>
          <w:sz w:val="20"/>
          <w:szCs w:val="20"/>
        </w:rPr>
        <w:t xml:space="preserve"> </w:t>
      </w:r>
      <w:r w:rsidR="00B87085" w:rsidRPr="00D874C4">
        <w:rPr>
          <w:rFonts w:asciiTheme="majorHAnsi" w:hAnsiTheme="majorHAnsi"/>
          <w:sz w:val="20"/>
          <w:szCs w:val="20"/>
        </w:rPr>
        <w:t xml:space="preserve">had no experience in federal capital cases, </w:t>
      </w:r>
      <w:r w:rsidRPr="00D874C4">
        <w:rPr>
          <w:rFonts w:asciiTheme="majorHAnsi" w:hAnsiTheme="majorHAnsi"/>
          <w:sz w:val="20"/>
          <w:szCs w:val="20"/>
        </w:rPr>
        <w:t>and the attorney</w:t>
      </w:r>
      <w:r w:rsidR="00435DC5" w:rsidRPr="00D874C4">
        <w:rPr>
          <w:rFonts w:asciiTheme="majorHAnsi" w:hAnsiTheme="majorHAnsi"/>
          <w:sz w:val="20"/>
          <w:szCs w:val="20"/>
        </w:rPr>
        <w:t>,</w:t>
      </w:r>
      <w:r w:rsidRPr="00D874C4">
        <w:rPr>
          <w:rFonts w:asciiTheme="majorHAnsi" w:hAnsiTheme="majorHAnsi"/>
          <w:sz w:val="20"/>
          <w:szCs w:val="20"/>
        </w:rPr>
        <w:t xml:space="preserve"> focused on the </w:t>
      </w:r>
      <w:r w:rsidR="00D43F1C" w:rsidRPr="00D874C4">
        <w:rPr>
          <w:rFonts w:asciiTheme="majorHAnsi" w:hAnsiTheme="majorHAnsi"/>
          <w:sz w:val="20"/>
          <w:szCs w:val="20"/>
        </w:rPr>
        <w:t>guilt</w:t>
      </w:r>
      <w:r w:rsidRPr="00D874C4">
        <w:rPr>
          <w:rFonts w:asciiTheme="majorHAnsi" w:hAnsiTheme="majorHAnsi"/>
          <w:sz w:val="20"/>
          <w:szCs w:val="20"/>
        </w:rPr>
        <w:t xml:space="preserve"> phase</w:t>
      </w:r>
      <w:r w:rsidR="00B87085" w:rsidRPr="00D874C4">
        <w:rPr>
          <w:rFonts w:asciiTheme="majorHAnsi" w:hAnsiTheme="majorHAnsi"/>
          <w:sz w:val="20"/>
          <w:szCs w:val="20"/>
        </w:rPr>
        <w:t>. T</w:t>
      </w:r>
      <w:r w:rsidRPr="00D874C4">
        <w:rPr>
          <w:rFonts w:asciiTheme="majorHAnsi" w:hAnsiTheme="majorHAnsi"/>
          <w:sz w:val="20"/>
          <w:szCs w:val="20"/>
        </w:rPr>
        <w:t>he other public attorney</w:t>
      </w:r>
      <w:r w:rsidR="00B87085" w:rsidRPr="00D874C4">
        <w:rPr>
          <w:rFonts w:asciiTheme="majorHAnsi" w:hAnsiTheme="majorHAnsi"/>
          <w:sz w:val="20"/>
          <w:szCs w:val="20"/>
        </w:rPr>
        <w:t>, who</w:t>
      </w:r>
      <w:r w:rsidR="00A84269" w:rsidRPr="00D874C4">
        <w:rPr>
          <w:rFonts w:asciiTheme="majorHAnsi" w:hAnsiTheme="majorHAnsi"/>
          <w:sz w:val="20"/>
          <w:szCs w:val="20"/>
        </w:rPr>
        <w:t xml:space="preserve"> </w:t>
      </w:r>
      <w:r w:rsidR="00B87085" w:rsidRPr="00D874C4">
        <w:rPr>
          <w:rFonts w:asciiTheme="majorHAnsi" w:hAnsiTheme="majorHAnsi"/>
          <w:sz w:val="20"/>
          <w:szCs w:val="20"/>
        </w:rPr>
        <w:t>had not tried a murder case and had no capital litigation experience, focused on t</w:t>
      </w:r>
      <w:r w:rsidR="007F3EBB" w:rsidRPr="00D874C4">
        <w:rPr>
          <w:rFonts w:asciiTheme="majorHAnsi" w:hAnsiTheme="majorHAnsi"/>
          <w:sz w:val="20"/>
          <w:szCs w:val="20"/>
        </w:rPr>
        <w:t xml:space="preserve">he </w:t>
      </w:r>
      <w:r w:rsidR="00D43F1C" w:rsidRPr="00D874C4">
        <w:rPr>
          <w:rFonts w:asciiTheme="majorHAnsi" w:hAnsiTheme="majorHAnsi"/>
          <w:sz w:val="20"/>
          <w:szCs w:val="20"/>
        </w:rPr>
        <w:t>penalty</w:t>
      </w:r>
      <w:r w:rsidR="007F3EBB" w:rsidRPr="00D874C4">
        <w:rPr>
          <w:rFonts w:asciiTheme="majorHAnsi" w:hAnsiTheme="majorHAnsi"/>
          <w:sz w:val="20"/>
          <w:szCs w:val="20"/>
        </w:rPr>
        <w:t xml:space="preserve"> phase and was</w:t>
      </w:r>
      <w:r w:rsidR="00A84269" w:rsidRPr="00D874C4">
        <w:rPr>
          <w:rFonts w:asciiTheme="majorHAnsi" w:hAnsiTheme="majorHAnsi"/>
          <w:sz w:val="20"/>
          <w:szCs w:val="20"/>
        </w:rPr>
        <w:t xml:space="preserve"> primarily responsible for developing mitigation</w:t>
      </w:r>
      <w:r w:rsidR="00B87085" w:rsidRPr="00D874C4">
        <w:rPr>
          <w:rFonts w:asciiTheme="majorHAnsi" w:hAnsiTheme="majorHAnsi"/>
          <w:sz w:val="20"/>
          <w:szCs w:val="20"/>
        </w:rPr>
        <w:t xml:space="preserve">. </w:t>
      </w:r>
      <w:r w:rsidR="00D43F1C" w:rsidRPr="00D874C4">
        <w:rPr>
          <w:rFonts w:asciiTheme="majorHAnsi" w:hAnsiTheme="majorHAnsi"/>
          <w:sz w:val="20"/>
          <w:szCs w:val="20"/>
        </w:rPr>
        <w:t>According to said information, jail records indicate that in the sixteen months before trial, the attorney visited Mr. Mitchell for 28 minutes in May 2002, the public defender in charge of the guilt phase visited for 8 hours and 5 minutes (las visiting in October 2002), and the public defender focused on the penalty phase visited for 39 hours and</w:t>
      </w:r>
      <w:r w:rsidR="003E4CF4" w:rsidRPr="00D874C4">
        <w:rPr>
          <w:rFonts w:asciiTheme="majorHAnsi" w:hAnsiTheme="majorHAnsi"/>
          <w:sz w:val="20"/>
          <w:szCs w:val="20"/>
        </w:rPr>
        <w:t xml:space="preserve"> 40 minutes.</w:t>
      </w:r>
      <w:r w:rsidR="003E4CF4" w:rsidRPr="00D874C4">
        <w:rPr>
          <w:rStyle w:val="FootnoteReference"/>
          <w:rFonts w:asciiTheme="majorHAnsi" w:hAnsiTheme="majorHAnsi"/>
          <w:sz w:val="20"/>
          <w:szCs w:val="20"/>
        </w:rPr>
        <w:footnoteReference w:id="20"/>
      </w:r>
    </w:p>
    <w:p w:rsidR="004E1302" w:rsidRPr="00D874C4" w:rsidRDefault="004E1302" w:rsidP="004E1302">
      <w:pPr>
        <w:pStyle w:val="ListParagraph"/>
        <w:rPr>
          <w:rFonts w:asciiTheme="majorHAnsi" w:hAnsiTheme="majorHAnsi"/>
          <w:sz w:val="20"/>
          <w:szCs w:val="20"/>
        </w:rPr>
      </w:pPr>
    </w:p>
    <w:p w:rsidR="004E1302" w:rsidRPr="00D874C4" w:rsidRDefault="0057539F" w:rsidP="00B870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In late 2001 the </w:t>
      </w:r>
      <w:r w:rsidR="004E1302" w:rsidRPr="00D874C4">
        <w:rPr>
          <w:rFonts w:asciiTheme="majorHAnsi" w:hAnsiTheme="majorHAnsi"/>
          <w:sz w:val="20"/>
          <w:szCs w:val="20"/>
        </w:rPr>
        <w:t xml:space="preserve">U.S. Attorney’s Office for the District of Arizona inquired whether the Navajo Nation would support a capital prosecution </w:t>
      </w:r>
      <w:r w:rsidRPr="00D874C4">
        <w:rPr>
          <w:rFonts w:asciiTheme="majorHAnsi" w:hAnsiTheme="majorHAnsi"/>
          <w:sz w:val="20"/>
          <w:szCs w:val="20"/>
        </w:rPr>
        <w:t>in</w:t>
      </w:r>
      <w:r w:rsidR="004E1302" w:rsidRPr="00D874C4">
        <w:rPr>
          <w:rFonts w:asciiTheme="majorHAnsi" w:hAnsiTheme="majorHAnsi"/>
          <w:sz w:val="20"/>
          <w:szCs w:val="20"/>
        </w:rPr>
        <w:t xml:space="preserve"> Mr. Mitchell’s case. </w:t>
      </w:r>
      <w:r w:rsidRPr="00D874C4">
        <w:rPr>
          <w:rFonts w:asciiTheme="majorHAnsi" w:hAnsiTheme="majorHAnsi"/>
          <w:sz w:val="20"/>
          <w:szCs w:val="20"/>
        </w:rPr>
        <w:t xml:space="preserve">On January 22, 2002, the Attorney General for the Navajo Nation responded that the consensus of the Public Safety Committee and the Judiciary Committee of the Navajo Nation Council was to “maintain the historic position of the Navajo Nation opposing the sentencing option of capital punishment for crimes committed on the Navajo Nation under any section of the United States criminal </w:t>
      </w:r>
      <w:r w:rsidRPr="00D874C4">
        <w:rPr>
          <w:rFonts w:asciiTheme="majorHAnsi" w:hAnsiTheme="majorHAnsi"/>
          <w:sz w:val="20"/>
          <w:szCs w:val="20"/>
        </w:rPr>
        <w:lastRenderedPageBreak/>
        <w:t>code.</w:t>
      </w:r>
      <w:r w:rsidR="00C333BA" w:rsidRPr="00D874C4">
        <w:rPr>
          <w:rFonts w:asciiTheme="majorHAnsi" w:hAnsiTheme="majorHAnsi"/>
          <w:sz w:val="20"/>
          <w:szCs w:val="20"/>
        </w:rPr>
        <w:t>”</w:t>
      </w:r>
      <w:r w:rsidR="00C333BA" w:rsidRPr="00D874C4">
        <w:rPr>
          <w:rStyle w:val="FootnoteReference"/>
          <w:rFonts w:asciiTheme="majorHAnsi" w:hAnsiTheme="majorHAnsi"/>
          <w:sz w:val="20"/>
          <w:szCs w:val="20"/>
        </w:rPr>
        <w:footnoteReference w:id="21"/>
      </w:r>
      <w:r w:rsidRPr="00D874C4">
        <w:rPr>
          <w:rFonts w:asciiTheme="majorHAnsi" w:hAnsiTheme="majorHAnsi"/>
          <w:sz w:val="20"/>
          <w:szCs w:val="20"/>
        </w:rPr>
        <w:t xml:space="preserve"> H</w:t>
      </w:r>
      <w:r w:rsidR="001064F8" w:rsidRPr="00D874C4">
        <w:rPr>
          <w:rFonts w:asciiTheme="majorHAnsi" w:hAnsiTheme="majorHAnsi"/>
          <w:sz w:val="20"/>
          <w:szCs w:val="20"/>
        </w:rPr>
        <w:t>e formally requested that the</w:t>
      </w:r>
      <w:r w:rsidRPr="00D874C4">
        <w:rPr>
          <w:rFonts w:asciiTheme="majorHAnsi" w:hAnsiTheme="majorHAnsi"/>
          <w:sz w:val="20"/>
          <w:szCs w:val="20"/>
        </w:rPr>
        <w:t xml:space="preserve"> U.S. Attorney’s Office not seek the death penalty against Mitchell.</w:t>
      </w:r>
      <w:r w:rsidR="00BF7206" w:rsidRPr="00D874C4">
        <w:rPr>
          <w:rFonts w:asciiTheme="majorHAnsi" w:hAnsiTheme="majorHAnsi"/>
          <w:sz w:val="20"/>
          <w:szCs w:val="20"/>
        </w:rPr>
        <w:t xml:space="preserve"> </w:t>
      </w:r>
      <w:r w:rsidR="00C333BA" w:rsidRPr="00D874C4">
        <w:rPr>
          <w:rFonts w:asciiTheme="majorHAnsi" w:hAnsiTheme="majorHAnsi"/>
          <w:sz w:val="20"/>
          <w:szCs w:val="20"/>
        </w:rPr>
        <w:t>Marlene Slim, t</w:t>
      </w:r>
      <w:r w:rsidR="00BF7206" w:rsidRPr="00D874C4">
        <w:rPr>
          <w:rFonts w:asciiTheme="majorHAnsi" w:hAnsiTheme="majorHAnsi"/>
          <w:sz w:val="20"/>
          <w:szCs w:val="20"/>
        </w:rPr>
        <w:t>he daughter and mother of the victims</w:t>
      </w:r>
      <w:r w:rsidR="00C333BA" w:rsidRPr="00D874C4">
        <w:rPr>
          <w:rFonts w:asciiTheme="majorHAnsi" w:hAnsiTheme="majorHAnsi"/>
          <w:sz w:val="20"/>
          <w:szCs w:val="20"/>
        </w:rPr>
        <w:t>,</w:t>
      </w:r>
      <w:r w:rsidR="001679D0" w:rsidRPr="00D874C4">
        <w:rPr>
          <w:rFonts w:asciiTheme="majorHAnsi" w:hAnsiTheme="majorHAnsi"/>
          <w:sz w:val="20"/>
          <w:szCs w:val="20"/>
        </w:rPr>
        <w:t xml:space="preserve"> also</w:t>
      </w:r>
      <w:r w:rsidR="00C333BA" w:rsidRPr="00D874C4">
        <w:rPr>
          <w:rFonts w:asciiTheme="majorHAnsi" w:hAnsiTheme="majorHAnsi"/>
          <w:sz w:val="20"/>
          <w:szCs w:val="20"/>
        </w:rPr>
        <w:t xml:space="preserve"> </w:t>
      </w:r>
      <w:r w:rsidR="00BF7206" w:rsidRPr="00D874C4">
        <w:rPr>
          <w:rFonts w:asciiTheme="majorHAnsi" w:hAnsiTheme="majorHAnsi"/>
          <w:sz w:val="20"/>
          <w:szCs w:val="20"/>
        </w:rPr>
        <w:t>requested that the U.S. Attorney’s Office not seek death against Mr. Mitchell.</w:t>
      </w:r>
      <w:r w:rsidR="00C333BA" w:rsidRPr="00D874C4">
        <w:rPr>
          <w:rStyle w:val="FootnoteReference"/>
          <w:rFonts w:asciiTheme="majorHAnsi" w:hAnsiTheme="majorHAnsi"/>
          <w:sz w:val="20"/>
          <w:szCs w:val="20"/>
        </w:rPr>
        <w:footnoteReference w:id="22"/>
      </w:r>
    </w:p>
    <w:p w:rsidR="00B87085" w:rsidRPr="00D874C4" w:rsidRDefault="00B87085" w:rsidP="00B8708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imes" w:hAnsi="Times" w:cs="Times"/>
          <w:sz w:val="20"/>
          <w:szCs w:val="20"/>
        </w:rPr>
      </w:pPr>
    </w:p>
    <w:p w:rsidR="004E638B" w:rsidRPr="00D874C4" w:rsidRDefault="00FB491A" w:rsidP="00842C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D874C4">
        <w:rPr>
          <w:rFonts w:asciiTheme="majorHAnsi" w:hAnsiTheme="majorHAnsi" w:cs="Times"/>
          <w:sz w:val="20"/>
          <w:szCs w:val="20"/>
          <w:lang w:eastAsia="es-ES"/>
        </w:rPr>
        <w:t>After receiving input from the Navajo Nation, the local U.S. Attorney’s Office recommended to the Department of Justice that capital punishment not be sought against Mr. Mitchell. However, the Attorney General instructed the office to seek death.</w:t>
      </w:r>
      <w:r w:rsidR="00796BF1" w:rsidRPr="00D874C4">
        <w:rPr>
          <w:rStyle w:val="FootnoteReference"/>
          <w:rFonts w:asciiTheme="majorHAnsi" w:hAnsiTheme="majorHAnsi"/>
          <w:sz w:val="20"/>
          <w:szCs w:val="20"/>
          <w:lang w:eastAsia="es-ES"/>
        </w:rPr>
        <w:footnoteReference w:id="23"/>
      </w:r>
      <w:r w:rsidRPr="00D874C4">
        <w:rPr>
          <w:rFonts w:asciiTheme="majorHAnsi" w:hAnsiTheme="majorHAnsi" w:cs="Times"/>
          <w:sz w:val="20"/>
          <w:szCs w:val="20"/>
          <w:lang w:eastAsia="es-ES"/>
        </w:rPr>
        <w:t xml:space="preserve"> </w:t>
      </w:r>
      <w:r w:rsidR="00F4713E" w:rsidRPr="00D874C4">
        <w:rPr>
          <w:rFonts w:asciiTheme="majorHAnsi" w:hAnsiTheme="majorHAnsi" w:cs="Times"/>
          <w:sz w:val="20"/>
          <w:szCs w:val="20"/>
          <w:lang w:eastAsia="es-ES"/>
        </w:rPr>
        <w:t>On July 2, 2002, a super</w:t>
      </w:r>
      <w:r w:rsidR="005B491F" w:rsidRPr="00D874C4">
        <w:rPr>
          <w:rFonts w:asciiTheme="majorHAnsi" w:hAnsiTheme="majorHAnsi" w:cs="Times"/>
          <w:sz w:val="20"/>
          <w:szCs w:val="20"/>
          <w:lang w:eastAsia="es-ES"/>
        </w:rPr>
        <w:t>s</w:t>
      </w:r>
      <w:r w:rsidR="00F4713E" w:rsidRPr="00D874C4">
        <w:rPr>
          <w:rFonts w:asciiTheme="majorHAnsi" w:hAnsiTheme="majorHAnsi" w:cs="Times"/>
          <w:sz w:val="20"/>
          <w:szCs w:val="20"/>
          <w:lang w:eastAsia="es-ES"/>
        </w:rPr>
        <w:t xml:space="preserve">eding indictment was returned charging </w:t>
      </w:r>
      <w:r w:rsidR="00900290" w:rsidRPr="00D874C4">
        <w:rPr>
          <w:rFonts w:asciiTheme="majorHAnsi" w:hAnsiTheme="majorHAnsi" w:cs="Times"/>
          <w:sz w:val="20"/>
          <w:szCs w:val="20"/>
          <w:lang w:eastAsia="es-ES"/>
        </w:rPr>
        <w:t xml:space="preserve">Mr. </w:t>
      </w:r>
      <w:r w:rsidR="00F4713E" w:rsidRPr="00D874C4">
        <w:rPr>
          <w:rFonts w:asciiTheme="majorHAnsi" w:hAnsiTheme="majorHAnsi" w:cs="Times"/>
          <w:sz w:val="20"/>
          <w:szCs w:val="20"/>
          <w:lang w:eastAsia="es-ES"/>
        </w:rPr>
        <w:t>Mitchell with murder;</w:t>
      </w:r>
      <w:r w:rsidR="00842C39" w:rsidRPr="00D874C4">
        <w:rPr>
          <w:rFonts w:asciiTheme="majorHAnsi" w:hAnsiTheme="majorHAnsi" w:cs="Times"/>
          <w:sz w:val="20"/>
          <w:szCs w:val="20"/>
          <w:lang w:eastAsia="es-ES"/>
        </w:rPr>
        <w:t xml:space="preserve"> </w:t>
      </w:r>
      <w:r w:rsidR="00713B24" w:rsidRPr="00D874C4">
        <w:rPr>
          <w:rFonts w:asciiTheme="majorHAnsi" w:hAnsiTheme="majorHAnsi" w:cs="Times"/>
          <w:sz w:val="20"/>
          <w:szCs w:val="20"/>
          <w:lang w:eastAsia="es-ES"/>
        </w:rPr>
        <w:t>felony murder;</w:t>
      </w:r>
      <w:r w:rsidR="00F4713E" w:rsidRPr="00D874C4">
        <w:rPr>
          <w:rFonts w:asciiTheme="majorHAnsi" w:hAnsiTheme="majorHAnsi" w:cs="Times"/>
          <w:sz w:val="20"/>
          <w:szCs w:val="20"/>
          <w:lang w:eastAsia="es-ES"/>
        </w:rPr>
        <w:t xml:space="preserve"> robbery; carjacking resulting in death; several robbery-related counts; kidnapping; and felony</w:t>
      </w:r>
      <w:r w:rsidR="00842C39" w:rsidRPr="00D874C4">
        <w:rPr>
          <w:rFonts w:asciiTheme="majorHAnsi" w:hAnsiTheme="majorHAnsi" w:cs="Times"/>
          <w:sz w:val="20"/>
          <w:szCs w:val="20"/>
          <w:lang w:eastAsia="es-ES"/>
        </w:rPr>
        <w:t xml:space="preserve"> </w:t>
      </w:r>
      <w:r w:rsidR="00F4713E" w:rsidRPr="00D874C4">
        <w:rPr>
          <w:rFonts w:asciiTheme="majorHAnsi" w:hAnsiTheme="majorHAnsi" w:cs="Times"/>
          <w:sz w:val="20"/>
          <w:szCs w:val="20"/>
          <w:lang w:eastAsia="es-ES"/>
        </w:rPr>
        <w:t>murder, kidnapping. On September 12, 2002, the government filed a notice of intent to seek the death</w:t>
      </w:r>
      <w:r w:rsidR="00842C39" w:rsidRPr="00D874C4">
        <w:rPr>
          <w:rFonts w:asciiTheme="majorHAnsi" w:hAnsiTheme="majorHAnsi" w:cs="Times"/>
          <w:sz w:val="20"/>
          <w:szCs w:val="20"/>
          <w:lang w:eastAsia="es-ES"/>
        </w:rPr>
        <w:t xml:space="preserve"> </w:t>
      </w:r>
      <w:r w:rsidR="00F4713E" w:rsidRPr="00D874C4">
        <w:rPr>
          <w:rFonts w:asciiTheme="majorHAnsi" w:hAnsiTheme="majorHAnsi" w:cs="Times"/>
          <w:sz w:val="20"/>
          <w:szCs w:val="20"/>
          <w:lang w:eastAsia="es-ES"/>
        </w:rPr>
        <w:t>penalty based on the 18 U.S.C. § 2119</w:t>
      </w:r>
      <w:r w:rsidR="00842C39" w:rsidRPr="00D874C4">
        <w:rPr>
          <w:rFonts w:asciiTheme="majorHAnsi" w:hAnsiTheme="majorHAnsi" w:cs="Times"/>
          <w:sz w:val="20"/>
          <w:szCs w:val="20"/>
          <w:lang w:eastAsia="es-ES"/>
        </w:rPr>
        <w:t xml:space="preserve"> </w:t>
      </w:r>
      <w:r w:rsidR="00F4713E" w:rsidRPr="00D874C4">
        <w:rPr>
          <w:rFonts w:asciiTheme="majorHAnsi" w:hAnsiTheme="majorHAnsi" w:cs="Times"/>
          <w:sz w:val="20"/>
          <w:szCs w:val="20"/>
          <w:lang w:eastAsia="es-ES"/>
        </w:rPr>
        <w:t>charge of carjacking resulting in death.</w:t>
      </w:r>
      <w:r w:rsidR="004E638B" w:rsidRPr="00D874C4">
        <w:rPr>
          <w:rStyle w:val="FootnoteReference"/>
          <w:rFonts w:asciiTheme="majorHAnsi" w:hAnsiTheme="majorHAnsi"/>
          <w:sz w:val="20"/>
          <w:szCs w:val="20"/>
          <w:lang w:eastAsia="es-ES"/>
        </w:rPr>
        <w:footnoteReference w:id="24"/>
      </w:r>
      <w:r w:rsidR="00F4713E" w:rsidRPr="00D874C4">
        <w:rPr>
          <w:rFonts w:asciiTheme="majorHAnsi" w:hAnsiTheme="majorHAnsi" w:cs="Times"/>
          <w:sz w:val="20"/>
          <w:szCs w:val="20"/>
          <w:lang w:eastAsia="es-ES"/>
        </w:rPr>
        <w:t xml:space="preserve"> </w:t>
      </w:r>
    </w:p>
    <w:p w:rsidR="004E638B" w:rsidRPr="00D874C4" w:rsidRDefault="004E638B" w:rsidP="004E638B">
      <w:pPr>
        <w:pStyle w:val="ListParagraph"/>
        <w:rPr>
          <w:rFonts w:asciiTheme="majorHAnsi" w:hAnsiTheme="majorHAnsi" w:cs="Times"/>
          <w:sz w:val="20"/>
          <w:szCs w:val="20"/>
        </w:rPr>
      </w:pPr>
    </w:p>
    <w:p w:rsidR="009C73B7" w:rsidRPr="00D874C4" w:rsidRDefault="009C73B7" w:rsidP="00842C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D874C4">
        <w:rPr>
          <w:rFonts w:asciiTheme="majorHAnsi" w:hAnsiTheme="majorHAnsi" w:cs="Times"/>
          <w:sz w:val="20"/>
          <w:szCs w:val="20"/>
          <w:lang w:eastAsia="es-ES"/>
        </w:rPr>
        <w:t>According to the available information, at the first status hearing, the district court asked whether there was any evidence of intoxication. The government acknowledged that some of Mr. Mitchell’s statements referred to drinking alcohol. Before his initial appearance in federal court, Mr. Mitchell gave four statements to the FBI which mentioned drinking on or about October 28, 20</w:t>
      </w:r>
      <w:r w:rsidR="001679D0" w:rsidRPr="00D874C4">
        <w:rPr>
          <w:rFonts w:asciiTheme="majorHAnsi" w:hAnsiTheme="majorHAnsi" w:cs="Times"/>
          <w:sz w:val="20"/>
          <w:szCs w:val="20"/>
          <w:lang w:eastAsia="es-ES"/>
        </w:rPr>
        <w:t>0</w:t>
      </w:r>
      <w:r w:rsidRPr="00D874C4">
        <w:rPr>
          <w:rFonts w:asciiTheme="majorHAnsi" w:hAnsiTheme="majorHAnsi" w:cs="Times"/>
          <w:sz w:val="20"/>
          <w:szCs w:val="20"/>
          <w:lang w:eastAsia="es-ES"/>
        </w:rPr>
        <w:t>1. Prior to trial, the defense requested that the district court instructed the jury to consider evidence of intoxication but did not request an instruction on impaired capacity as a mitigating factor in the penalty phase.</w:t>
      </w:r>
      <w:r w:rsidRPr="00D874C4">
        <w:rPr>
          <w:rStyle w:val="FootnoteReference"/>
          <w:rFonts w:asciiTheme="majorHAnsi" w:hAnsiTheme="majorHAnsi"/>
          <w:sz w:val="20"/>
          <w:szCs w:val="20"/>
          <w:lang w:eastAsia="es-ES"/>
        </w:rPr>
        <w:footnoteReference w:id="25"/>
      </w:r>
    </w:p>
    <w:p w:rsidR="009C73B7" w:rsidRPr="00D874C4" w:rsidRDefault="009C73B7" w:rsidP="009C73B7">
      <w:pPr>
        <w:pStyle w:val="ListParagraph"/>
        <w:rPr>
          <w:rFonts w:asciiTheme="majorHAnsi" w:hAnsiTheme="majorHAnsi" w:cs="Times"/>
          <w:sz w:val="20"/>
          <w:szCs w:val="20"/>
        </w:rPr>
      </w:pPr>
    </w:p>
    <w:p w:rsidR="003C1A6D" w:rsidRPr="00D874C4" w:rsidRDefault="001C126A" w:rsidP="00842C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D874C4">
        <w:rPr>
          <w:rFonts w:asciiTheme="majorHAnsi" w:hAnsiTheme="majorHAnsi" w:cs="Times"/>
          <w:sz w:val="20"/>
          <w:szCs w:val="20"/>
          <w:lang w:eastAsia="es-ES"/>
        </w:rPr>
        <w:t xml:space="preserve">Jury selection began </w:t>
      </w:r>
      <w:r w:rsidR="001679D0" w:rsidRPr="00D874C4">
        <w:rPr>
          <w:rFonts w:asciiTheme="majorHAnsi" w:hAnsiTheme="majorHAnsi" w:cs="Times"/>
          <w:sz w:val="20"/>
          <w:szCs w:val="20"/>
          <w:lang w:eastAsia="es-ES"/>
        </w:rPr>
        <w:t xml:space="preserve">on </w:t>
      </w:r>
      <w:r w:rsidRPr="00D874C4">
        <w:rPr>
          <w:rFonts w:asciiTheme="majorHAnsi" w:hAnsiTheme="majorHAnsi" w:cs="Times"/>
          <w:sz w:val="20"/>
          <w:szCs w:val="20"/>
          <w:lang w:eastAsia="es-ES"/>
        </w:rPr>
        <w:t>April 1, 2003, and o</w:t>
      </w:r>
      <w:r w:rsidR="00F4713E" w:rsidRPr="00D874C4">
        <w:rPr>
          <w:rFonts w:asciiTheme="majorHAnsi" w:hAnsiTheme="majorHAnsi" w:cs="Times"/>
          <w:sz w:val="20"/>
          <w:szCs w:val="20"/>
          <w:lang w:eastAsia="es-ES"/>
        </w:rPr>
        <w:t>pening</w:t>
      </w:r>
      <w:r w:rsidR="00842C39" w:rsidRPr="00D874C4">
        <w:rPr>
          <w:rFonts w:asciiTheme="majorHAnsi" w:hAnsiTheme="majorHAnsi" w:cs="Times"/>
          <w:sz w:val="20"/>
          <w:szCs w:val="20"/>
          <w:lang w:eastAsia="es-ES"/>
        </w:rPr>
        <w:t xml:space="preserve"> </w:t>
      </w:r>
      <w:r w:rsidR="00F4713E" w:rsidRPr="00D874C4">
        <w:rPr>
          <w:rFonts w:asciiTheme="majorHAnsi" w:hAnsiTheme="majorHAnsi" w:cs="Times"/>
          <w:sz w:val="20"/>
          <w:szCs w:val="20"/>
          <w:lang w:eastAsia="es-ES"/>
        </w:rPr>
        <w:t>statements were given on April 29</w:t>
      </w:r>
      <w:r w:rsidR="003C1A6D" w:rsidRPr="00D874C4">
        <w:rPr>
          <w:rFonts w:asciiTheme="majorHAnsi" w:hAnsiTheme="majorHAnsi" w:cs="Times"/>
          <w:sz w:val="20"/>
          <w:szCs w:val="20"/>
          <w:lang w:eastAsia="es-ES"/>
        </w:rPr>
        <w:t>. The government’s theory of the case was that Mr. Mitchell and</w:t>
      </w:r>
      <w:r w:rsidR="007D59B2" w:rsidRPr="00D874C4">
        <w:rPr>
          <w:rFonts w:asciiTheme="majorHAnsi" w:hAnsiTheme="majorHAnsi" w:cs="Times"/>
          <w:sz w:val="20"/>
          <w:szCs w:val="20"/>
          <w:lang w:eastAsia="es-ES"/>
        </w:rPr>
        <w:t xml:space="preserve"> Johnny Orsinger killed the victims to obtain a truck for use in the trading post robbery. The defense conceded that the crimes were horrible, and that Mr. Mitchell was present when they occurred, but argued that the killings were committed by </w:t>
      </w:r>
      <w:r w:rsidR="000C2661" w:rsidRPr="00D874C4">
        <w:rPr>
          <w:rFonts w:asciiTheme="majorHAnsi" w:hAnsiTheme="majorHAnsi" w:cs="Times"/>
          <w:sz w:val="20"/>
          <w:szCs w:val="20"/>
          <w:lang w:eastAsia="es-ES"/>
        </w:rPr>
        <w:t xml:space="preserve">Johnny </w:t>
      </w:r>
      <w:r w:rsidR="007D59B2" w:rsidRPr="00D874C4">
        <w:rPr>
          <w:rFonts w:asciiTheme="majorHAnsi" w:hAnsiTheme="majorHAnsi" w:cs="Times"/>
          <w:sz w:val="20"/>
          <w:szCs w:val="20"/>
          <w:lang w:eastAsia="es-ES"/>
        </w:rPr>
        <w:t>Orsinger alone.</w:t>
      </w:r>
      <w:r w:rsidR="00B117EE" w:rsidRPr="00D874C4">
        <w:rPr>
          <w:rStyle w:val="FootnoteReference"/>
          <w:rFonts w:asciiTheme="majorHAnsi" w:hAnsiTheme="majorHAnsi"/>
          <w:sz w:val="20"/>
          <w:szCs w:val="20"/>
          <w:lang w:eastAsia="es-ES"/>
        </w:rPr>
        <w:footnoteReference w:id="26"/>
      </w:r>
      <w:r w:rsidR="00742031" w:rsidRPr="00D874C4">
        <w:rPr>
          <w:rFonts w:asciiTheme="majorHAnsi" w:hAnsiTheme="majorHAnsi" w:cs="Times"/>
          <w:sz w:val="20"/>
          <w:szCs w:val="20"/>
          <w:lang w:eastAsia="es-ES"/>
        </w:rPr>
        <w:t xml:space="preserve"> </w:t>
      </w:r>
    </w:p>
    <w:p w:rsidR="003C1A6D" w:rsidRPr="00D874C4" w:rsidRDefault="003C1A6D" w:rsidP="003C1A6D">
      <w:pPr>
        <w:pStyle w:val="ListParagraph"/>
        <w:rPr>
          <w:rFonts w:asciiTheme="majorHAnsi" w:hAnsiTheme="majorHAnsi" w:cs="Times"/>
          <w:sz w:val="20"/>
          <w:szCs w:val="20"/>
        </w:rPr>
      </w:pPr>
    </w:p>
    <w:p w:rsidR="00842C39" w:rsidRPr="00D874C4" w:rsidRDefault="003C1A6D" w:rsidP="000C29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eastAsia="es-ES"/>
        </w:rPr>
      </w:pPr>
      <w:r w:rsidRPr="00D874C4">
        <w:rPr>
          <w:rFonts w:asciiTheme="majorHAnsi" w:hAnsiTheme="majorHAnsi" w:cs="Times"/>
          <w:sz w:val="20"/>
          <w:szCs w:val="20"/>
          <w:lang w:eastAsia="es-ES"/>
        </w:rPr>
        <w:t>O</w:t>
      </w:r>
      <w:r w:rsidR="00F4713E" w:rsidRPr="00D874C4">
        <w:rPr>
          <w:rFonts w:asciiTheme="majorHAnsi" w:hAnsiTheme="majorHAnsi" w:cs="Times"/>
          <w:sz w:val="20"/>
          <w:szCs w:val="20"/>
          <w:lang w:eastAsia="es-ES"/>
        </w:rPr>
        <w:t>n May 8, 2003,</w:t>
      </w:r>
      <w:r w:rsidR="00842C39" w:rsidRPr="00D874C4">
        <w:rPr>
          <w:rFonts w:asciiTheme="majorHAnsi" w:hAnsiTheme="majorHAnsi" w:cs="Times"/>
          <w:sz w:val="20"/>
          <w:szCs w:val="20"/>
          <w:lang w:eastAsia="es-ES"/>
        </w:rPr>
        <w:t xml:space="preserve"> </w:t>
      </w:r>
      <w:r w:rsidR="00F4713E" w:rsidRPr="00D874C4">
        <w:rPr>
          <w:rFonts w:asciiTheme="majorHAnsi" w:hAnsiTheme="majorHAnsi" w:cs="Times"/>
          <w:sz w:val="20"/>
          <w:szCs w:val="20"/>
          <w:lang w:eastAsia="es-ES"/>
        </w:rPr>
        <w:t xml:space="preserve">the jury convicted </w:t>
      </w:r>
      <w:r w:rsidR="0076585D" w:rsidRPr="00D874C4">
        <w:rPr>
          <w:rFonts w:asciiTheme="majorHAnsi" w:hAnsiTheme="majorHAnsi" w:cs="Times"/>
          <w:sz w:val="20"/>
          <w:szCs w:val="20"/>
          <w:lang w:eastAsia="es-ES"/>
        </w:rPr>
        <w:t xml:space="preserve">Mr. </w:t>
      </w:r>
      <w:r w:rsidR="00F4713E" w:rsidRPr="00D874C4">
        <w:rPr>
          <w:rFonts w:asciiTheme="majorHAnsi" w:hAnsiTheme="majorHAnsi" w:cs="Times"/>
          <w:sz w:val="20"/>
          <w:szCs w:val="20"/>
          <w:lang w:eastAsia="es-ES"/>
        </w:rPr>
        <w:t>Mitchell on all counts.</w:t>
      </w:r>
      <w:r w:rsidR="0076585D" w:rsidRPr="00D874C4">
        <w:rPr>
          <w:rFonts w:asciiTheme="majorHAnsi" w:hAnsiTheme="majorHAnsi" w:cs="Times"/>
          <w:sz w:val="20"/>
          <w:szCs w:val="20"/>
          <w:lang w:eastAsia="es-ES"/>
        </w:rPr>
        <w:t xml:space="preserve"> After the verdicts were read, </w:t>
      </w:r>
      <w:r w:rsidR="00842C39" w:rsidRPr="00D874C4">
        <w:rPr>
          <w:rFonts w:asciiTheme="majorHAnsi" w:hAnsiTheme="majorHAnsi" w:cs="Times"/>
          <w:sz w:val="20"/>
          <w:szCs w:val="20"/>
          <w:lang w:eastAsia="es-ES"/>
        </w:rPr>
        <w:t xml:space="preserve">Mr. Mitchell indicated that he did not want to be present during the penalty phase, and his attorneys explained to the court that he had become uncooperative and was breaking off contact with them. For this </w:t>
      </w:r>
      <w:r w:rsidR="008A2F22" w:rsidRPr="00D874C4">
        <w:rPr>
          <w:rFonts w:asciiTheme="majorHAnsi" w:hAnsiTheme="majorHAnsi" w:cs="Times"/>
          <w:sz w:val="20"/>
          <w:szCs w:val="20"/>
          <w:lang w:eastAsia="es-ES"/>
        </w:rPr>
        <w:t>reason,</w:t>
      </w:r>
      <w:r w:rsidR="00842C39" w:rsidRPr="00D874C4">
        <w:rPr>
          <w:rFonts w:asciiTheme="majorHAnsi" w:hAnsiTheme="majorHAnsi" w:cs="Times"/>
          <w:sz w:val="20"/>
          <w:szCs w:val="20"/>
          <w:lang w:eastAsia="es-ES"/>
        </w:rPr>
        <w:t xml:space="preserve"> they felt obliged to withdraw. After time to reconsider, </w:t>
      </w:r>
      <w:r w:rsidR="009D14DA" w:rsidRPr="00D874C4">
        <w:rPr>
          <w:rFonts w:asciiTheme="majorHAnsi" w:hAnsiTheme="majorHAnsi" w:cs="Times"/>
          <w:sz w:val="20"/>
          <w:szCs w:val="20"/>
          <w:lang w:eastAsia="es-ES"/>
        </w:rPr>
        <w:t>Mr.</w:t>
      </w:r>
      <w:r w:rsidR="00842C39" w:rsidRPr="00D874C4">
        <w:rPr>
          <w:rFonts w:asciiTheme="majorHAnsi" w:hAnsiTheme="majorHAnsi" w:cs="Times"/>
          <w:sz w:val="20"/>
          <w:szCs w:val="20"/>
          <w:lang w:eastAsia="es-ES"/>
        </w:rPr>
        <w:t xml:space="preserve"> Mitchell stated that he saw no benefit or relevance to being there and wished to waive his presence, but did not have a problem with his attorneys. Accordingly, the court granted </w:t>
      </w:r>
      <w:r w:rsidR="009D14DA" w:rsidRPr="00D874C4">
        <w:rPr>
          <w:rFonts w:asciiTheme="majorHAnsi" w:hAnsiTheme="majorHAnsi" w:cs="Times"/>
          <w:sz w:val="20"/>
          <w:szCs w:val="20"/>
          <w:lang w:eastAsia="es-ES"/>
        </w:rPr>
        <w:t>his</w:t>
      </w:r>
      <w:r w:rsidR="00842C39" w:rsidRPr="00D874C4">
        <w:rPr>
          <w:rFonts w:asciiTheme="majorHAnsi" w:hAnsiTheme="majorHAnsi" w:cs="Times"/>
          <w:sz w:val="20"/>
          <w:szCs w:val="20"/>
          <w:lang w:eastAsia="es-ES"/>
        </w:rPr>
        <w:t xml:space="preserve"> request not to be present but denied counsels</w:t>
      </w:r>
      <w:r w:rsidR="009D14DA" w:rsidRPr="00D874C4">
        <w:rPr>
          <w:rFonts w:asciiTheme="majorHAnsi" w:hAnsiTheme="majorHAnsi" w:cs="Times"/>
          <w:sz w:val="20"/>
          <w:szCs w:val="20"/>
          <w:lang w:eastAsia="es-ES"/>
        </w:rPr>
        <w:t xml:space="preserve">’ </w:t>
      </w:r>
      <w:r w:rsidR="00842C39" w:rsidRPr="00D874C4">
        <w:rPr>
          <w:rFonts w:asciiTheme="majorHAnsi" w:hAnsiTheme="majorHAnsi" w:cs="Times"/>
          <w:sz w:val="20"/>
          <w:szCs w:val="20"/>
          <w:lang w:eastAsia="es-ES"/>
        </w:rPr>
        <w:t>request to withdraw.</w:t>
      </w:r>
      <w:r w:rsidR="000B422F" w:rsidRPr="00D874C4">
        <w:rPr>
          <w:rStyle w:val="FootnoteReference"/>
          <w:rFonts w:asciiTheme="majorHAnsi" w:hAnsiTheme="majorHAnsi"/>
          <w:sz w:val="20"/>
          <w:szCs w:val="20"/>
          <w:lang w:eastAsia="es-ES"/>
        </w:rPr>
        <w:footnoteReference w:id="27"/>
      </w:r>
    </w:p>
    <w:p w:rsidR="000C2998" w:rsidRPr="00D874C4" w:rsidRDefault="000C2998" w:rsidP="000C299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heme="majorHAnsi" w:hAnsiTheme="majorHAnsi" w:cs="Times"/>
          <w:sz w:val="20"/>
          <w:szCs w:val="20"/>
          <w:lang w:eastAsia="es-ES"/>
        </w:rPr>
      </w:pPr>
    </w:p>
    <w:p w:rsidR="000C2998" w:rsidRPr="00D874C4" w:rsidRDefault="000C2998" w:rsidP="000C29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eastAsia="es-ES"/>
        </w:rPr>
      </w:pPr>
      <w:r w:rsidRPr="00D874C4">
        <w:rPr>
          <w:rFonts w:asciiTheme="majorHAnsi" w:hAnsiTheme="majorHAnsi" w:cs="Times"/>
          <w:sz w:val="20"/>
          <w:szCs w:val="20"/>
          <w:lang w:eastAsia="es-ES"/>
        </w:rPr>
        <w:t>The penalty phase began on May 14</w:t>
      </w:r>
      <w:r w:rsidR="009D14DA" w:rsidRPr="00D874C4">
        <w:rPr>
          <w:rFonts w:asciiTheme="majorHAnsi" w:hAnsiTheme="majorHAnsi" w:cs="Times"/>
          <w:sz w:val="20"/>
          <w:szCs w:val="20"/>
          <w:lang w:eastAsia="es-ES"/>
        </w:rPr>
        <w:t>, 200</w:t>
      </w:r>
      <w:r w:rsidR="007C3A3D" w:rsidRPr="00D874C4">
        <w:rPr>
          <w:rFonts w:asciiTheme="majorHAnsi" w:hAnsiTheme="majorHAnsi" w:cs="Times"/>
          <w:sz w:val="20"/>
          <w:szCs w:val="20"/>
          <w:lang w:eastAsia="es-ES"/>
        </w:rPr>
        <w:t>3</w:t>
      </w:r>
      <w:r w:rsidRPr="00D874C4">
        <w:rPr>
          <w:rFonts w:asciiTheme="majorHAnsi" w:hAnsiTheme="majorHAnsi" w:cs="Times"/>
          <w:sz w:val="20"/>
          <w:szCs w:val="20"/>
          <w:lang w:eastAsia="es-ES"/>
        </w:rPr>
        <w:t xml:space="preserve">. The government presented testimony from family members who described what the victims were like and the emotional impact of the murders on them. The defense presented as mitigating evidence the testimony of family members, friends, and teachers of </w:t>
      </w:r>
      <w:r w:rsidR="00900290" w:rsidRPr="00D874C4">
        <w:rPr>
          <w:rFonts w:asciiTheme="majorHAnsi" w:hAnsiTheme="majorHAnsi" w:cs="Times"/>
          <w:sz w:val="20"/>
          <w:szCs w:val="20"/>
          <w:lang w:eastAsia="es-ES"/>
        </w:rPr>
        <w:t xml:space="preserve">Mr. </w:t>
      </w:r>
      <w:r w:rsidRPr="00D874C4">
        <w:rPr>
          <w:rFonts w:asciiTheme="majorHAnsi" w:hAnsiTheme="majorHAnsi" w:cs="Times"/>
          <w:sz w:val="20"/>
          <w:szCs w:val="20"/>
          <w:lang w:eastAsia="es-ES"/>
        </w:rPr>
        <w:t xml:space="preserve">Mitchell whom they portrayed as an excellent high school student. An FBI agent testified and noted that Mr. Mitchell claimed to have been drinking heavily at the time of the murders. Evidence was introduced that the Navajo Nation did not condone capital punishment in general or for </w:t>
      </w:r>
      <w:r w:rsidR="00900290" w:rsidRPr="00D874C4">
        <w:rPr>
          <w:rFonts w:asciiTheme="majorHAnsi" w:hAnsiTheme="majorHAnsi" w:cs="Times"/>
          <w:sz w:val="20"/>
          <w:szCs w:val="20"/>
          <w:lang w:eastAsia="es-ES"/>
        </w:rPr>
        <w:t xml:space="preserve">Mr. </w:t>
      </w:r>
      <w:r w:rsidRPr="00D874C4">
        <w:rPr>
          <w:rFonts w:asciiTheme="majorHAnsi" w:hAnsiTheme="majorHAnsi" w:cs="Times"/>
          <w:sz w:val="20"/>
          <w:szCs w:val="20"/>
          <w:lang w:eastAsia="es-ES"/>
        </w:rPr>
        <w:t>Mitchell's crimes in particular.</w:t>
      </w:r>
      <w:r w:rsidR="000B422F" w:rsidRPr="00D874C4">
        <w:rPr>
          <w:rStyle w:val="FootnoteReference"/>
          <w:rFonts w:asciiTheme="majorHAnsi" w:hAnsiTheme="majorHAnsi"/>
          <w:sz w:val="20"/>
          <w:szCs w:val="20"/>
          <w:lang w:eastAsia="es-ES"/>
        </w:rPr>
        <w:footnoteReference w:id="28"/>
      </w:r>
    </w:p>
    <w:p w:rsidR="004C041F" w:rsidRPr="00D874C4" w:rsidRDefault="004C041F" w:rsidP="004C041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rPr>
      </w:pPr>
    </w:p>
    <w:p w:rsidR="000C2998" w:rsidRPr="00D874C4" w:rsidRDefault="000C2998" w:rsidP="000B4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eastAsia="es-ES"/>
        </w:rPr>
      </w:pPr>
      <w:r w:rsidRPr="00D874C4">
        <w:rPr>
          <w:rFonts w:asciiTheme="majorHAnsi" w:hAnsiTheme="majorHAnsi" w:cs="Times"/>
          <w:sz w:val="20"/>
          <w:szCs w:val="20"/>
          <w:lang w:eastAsia="es-ES"/>
        </w:rPr>
        <w:t>The j</w:t>
      </w:r>
      <w:r w:rsidR="0008363F" w:rsidRPr="00D874C4">
        <w:rPr>
          <w:rFonts w:asciiTheme="majorHAnsi" w:hAnsiTheme="majorHAnsi" w:cs="Times"/>
          <w:sz w:val="20"/>
          <w:szCs w:val="20"/>
          <w:lang w:eastAsia="es-ES"/>
        </w:rPr>
        <w:t>ury unanimously found all four “</w:t>
      </w:r>
      <w:r w:rsidRPr="00D874C4">
        <w:rPr>
          <w:rFonts w:asciiTheme="majorHAnsi" w:hAnsiTheme="majorHAnsi" w:cs="Times"/>
          <w:sz w:val="20"/>
          <w:szCs w:val="20"/>
          <w:lang w:eastAsia="es-ES"/>
        </w:rPr>
        <w:t xml:space="preserve">gateway intent </w:t>
      </w:r>
      <w:r w:rsidR="0008363F" w:rsidRPr="00D874C4">
        <w:rPr>
          <w:rFonts w:asciiTheme="majorHAnsi" w:hAnsiTheme="majorHAnsi" w:cs="Times"/>
          <w:sz w:val="20"/>
          <w:szCs w:val="20"/>
          <w:lang w:eastAsia="es-ES"/>
        </w:rPr>
        <w:t>factors,”</w:t>
      </w:r>
      <w:r w:rsidRPr="00D874C4">
        <w:rPr>
          <w:rFonts w:asciiTheme="majorHAnsi" w:hAnsiTheme="majorHAnsi" w:cs="Times"/>
          <w:sz w:val="20"/>
          <w:szCs w:val="20"/>
          <w:lang w:eastAsia="es-ES"/>
        </w:rPr>
        <w:t xml:space="preserve"> each of the statutory aggravating factors, and one non-statutory aggravating factor with respect to both victims. At least one juror found the existence of each of the mitigating factors. After weighing the aggravating and mitigating factors, </w:t>
      </w:r>
      <w:r w:rsidR="007C3A3D" w:rsidRPr="00D874C4">
        <w:rPr>
          <w:rFonts w:asciiTheme="majorHAnsi" w:hAnsiTheme="majorHAnsi" w:cs="Times"/>
          <w:sz w:val="20"/>
          <w:szCs w:val="20"/>
          <w:lang w:eastAsia="es-ES"/>
        </w:rPr>
        <w:t>on May 20, 2003, t</w:t>
      </w:r>
      <w:r w:rsidRPr="00D874C4">
        <w:rPr>
          <w:rFonts w:asciiTheme="majorHAnsi" w:hAnsiTheme="majorHAnsi" w:cs="Times"/>
          <w:sz w:val="20"/>
          <w:szCs w:val="20"/>
          <w:lang w:eastAsia="es-ES"/>
        </w:rPr>
        <w:t>he jury recommended imposition of a sentence of death</w:t>
      </w:r>
      <w:r w:rsidR="007C3A3D" w:rsidRPr="00D874C4">
        <w:rPr>
          <w:rFonts w:asciiTheme="majorHAnsi" w:hAnsiTheme="majorHAnsi" w:cs="Times"/>
          <w:sz w:val="20"/>
          <w:szCs w:val="20"/>
          <w:lang w:eastAsia="es-ES"/>
        </w:rPr>
        <w:t xml:space="preserve">. On September 15, 2003, </w:t>
      </w:r>
      <w:r w:rsidR="00ED587A" w:rsidRPr="00D874C4">
        <w:rPr>
          <w:rFonts w:asciiTheme="majorHAnsi" w:hAnsiTheme="majorHAnsi" w:cs="Times"/>
          <w:sz w:val="20"/>
          <w:szCs w:val="20"/>
          <w:lang w:eastAsia="es-ES"/>
        </w:rPr>
        <w:t xml:space="preserve">the Federal District Court for the District of Arizona </w:t>
      </w:r>
      <w:r w:rsidR="007C3A3D" w:rsidRPr="00D874C4">
        <w:rPr>
          <w:rFonts w:asciiTheme="majorHAnsi" w:hAnsiTheme="majorHAnsi" w:cs="Times"/>
          <w:sz w:val="20"/>
          <w:szCs w:val="20"/>
          <w:lang w:eastAsia="es-ES"/>
        </w:rPr>
        <w:t>imposed the death sentence on the carjacking count, and two life sentences plus 384 months on the remaining counts.</w:t>
      </w:r>
      <w:r w:rsidR="000B422F" w:rsidRPr="00D874C4">
        <w:rPr>
          <w:rStyle w:val="FootnoteReference"/>
          <w:rFonts w:asciiTheme="majorHAnsi" w:hAnsiTheme="majorHAnsi"/>
          <w:sz w:val="20"/>
          <w:szCs w:val="20"/>
          <w:lang w:eastAsia="es-ES"/>
        </w:rPr>
        <w:footnoteReference w:id="29"/>
      </w:r>
    </w:p>
    <w:p w:rsidR="007A02E6" w:rsidRPr="00D874C4" w:rsidRDefault="007A02E6" w:rsidP="007A02E6">
      <w:pPr>
        <w:pStyle w:val="ListParagraph"/>
        <w:rPr>
          <w:rFonts w:asciiTheme="majorHAnsi" w:hAnsiTheme="majorHAnsi" w:cs="Times"/>
          <w:color w:val="auto"/>
          <w:sz w:val="20"/>
          <w:szCs w:val="20"/>
        </w:rPr>
      </w:pPr>
    </w:p>
    <w:p w:rsidR="00AC6C72" w:rsidRPr="00D874C4" w:rsidRDefault="0003092B" w:rsidP="000B4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eastAsia="es-ES"/>
        </w:rPr>
      </w:pPr>
      <w:r w:rsidRPr="00D874C4">
        <w:rPr>
          <w:rFonts w:asciiTheme="majorHAnsi" w:hAnsiTheme="majorHAnsi" w:cs="Times"/>
          <w:sz w:val="20"/>
          <w:szCs w:val="20"/>
          <w:lang w:eastAsia="es-ES"/>
        </w:rPr>
        <w:lastRenderedPageBreak/>
        <w:t xml:space="preserve">On </w:t>
      </w:r>
      <w:r w:rsidR="00A96338" w:rsidRPr="00D874C4">
        <w:rPr>
          <w:rFonts w:asciiTheme="majorHAnsi" w:hAnsiTheme="majorHAnsi" w:cs="Times"/>
          <w:sz w:val="20"/>
          <w:szCs w:val="20"/>
          <w:lang w:eastAsia="es-ES"/>
        </w:rPr>
        <w:t>September 5, 2007</w:t>
      </w:r>
      <w:r w:rsidRPr="00D874C4">
        <w:rPr>
          <w:rFonts w:asciiTheme="majorHAnsi" w:hAnsiTheme="majorHAnsi" w:cs="Times"/>
          <w:sz w:val="20"/>
          <w:szCs w:val="20"/>
          <w:lang w:eastAsia="es-ES"/>
        </w:rPr>
        <w:t xml:space="preserve">, </w:t>
      </w:r>
      <w:r w:rsidR="00A96338" w:rsidRPr="00D874C4">
        <w:rPr>
          <w:rFonts w:asciiTheme="majorHAnsi" w:hAnsiTheme="majorHAnsi" w:cs="Times"/>
          <w:sz w:val="20"/>
          <w:szCs w:val="20"/>
          <w:lang w:eastAsia="es-ES"/>
        </w:rPr>
        <w:t xml:space="preserve">a divided panel of the Ninth Circuit affirmed Mr. </w:t>
      </w:r>
      <w:r w:rsidRPr="00D874C4">
        <w:rPr>
          <w:rFonts w:asciiTheme="majorHAnsi" w:hAnsiTheme="majorHAnsi" w:cs="Times"/>
          <w:sz w:val="20"/>
          <w:szCs w:val="20"/>
          <w:lang w:eastAsia="es-ES"/>
        </w:rPr>
        <w:t>Mitchell</w:t>
      </w:r>
      <w:r w:rsidR="00A96338" w:rsidRPr="00D874C4">
        <w:rPr>
          <w:rFonts w:asciiTheme="majorHAnsi" w:hAnsiTheme="majorHAnsi" w:cs="Times"/>
          <w:sz w:val="20"/>
          <w:szCs w:val="20"/>
          <w:lang w:eastAsia="es-ES"/>
        </w:rPr>
        <w:t>’s conviction and sentence on direct appeal.</w:t>
      </w:r>
      <w:r w:rsidR="00A96338" w:rsidRPr="00D874C4">
        <w:rPr>
          <w:rStyle w:val="FootnoteReference"/>
          <w:rFonts w:asciiTheme="majorHAnsi" w:hAnsiTheme="majorHAnsi"/>
          <w:sz w:val="20"/>
          <w:szCs w:val="20"/>
          <w:lang w:eastAsia="es-ES"/>
        </w:rPr>
        <w:footnoteReference w:id="30"/>
      </w:r>
      <w:r w:rsidR="00A96338" w:rsidRPr="00D874C4">
        <w:rPr>
          <w:rFonts w:asciiTheme="majorHAnsi" w:hAnsiTheme="majorHAnsi" w:cs="Times"/>
          <w:sz w:val="20"/>
          <w:szCs w:val="20"/>
          <w:lang w:eastAsia="es-ES"/>
        </w:rPr>
        <w:t xml:space="preserve"> </w:t>
      </w:r>
    </w:p>
    <w:p w:rsidR="00AC6C72" w:rsidRPr="00D874C4" w:rsidRDefault="00AC6C72" w:rsidP="00AC6C72">
      <w:pPr>
        <w:pStyle w:val="ListParagraph"/>
        <w:rPr>
          <w:rFonts w:asciiTheme="majorHAnsi" w:hAnsiTheme="majorHAnsi" w:cs="Times"/>
          <w:color w:val="auto"/>
          <w:sz w:val="20"/>
          <w:szCs w:val="20"/>
        </w:rPr>
      </w:pPr>
    </w:p>
    <w:p w:rsidR="005A1074" w:rsidRPr="00D874C4" w:rsidRDefault="00AC6C72" w:rsidP="008A2F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eastAsia="es-ES"/>
        </w:rPr>
      </w:pPr>
      <w:r w:rsidRPr="00D874C4">
        <w:rPr>
          <w:rFonts w:asciiTheme="majorHAnsi" w:hAnsiTheme="majorHAnsi" w:cs="Arial"/>
          <w:sz w:val="20"/>
          <w:szCs w:val="20"/>
        </w:rPr>
        <w:t>Mr. Mitchell</w:t>
      </w:r>
      <w:r w:rsidR="00B471C6" w:rsidRPr="00D874C4">
        <w:rPr>
          <w:rFonts w:asciiTheme="majorHAnsi" w:hAnsiTheme="majorHAnsi" w:cs="Arial"/>
          <w:sz w:val="20"/>
          <w:szCs w:val="20"/>
        </w:rPr>
        <w:t xml:space="preserve"> </w:t>
      </w:r>
      <w:r w:rsidRPr="00D874C4">
        <w:rPr>
          <w:rFonts w:asciiTheme="majorHAnsi" w:hAnsiTheme="majorHAnsi" w:cs="Arial"/>
          <w:sz w:val="20"/>
          <w:szCs w:val="20"/>
        </w:rPr>
        <w:t>challenged</w:t>
      </w:r>
      <w:r w:rsidR="00291F30" w:rsidRPr="00D874C4">
        <w:rPr>
          <w:rFonts w:asciiTheme="majorHAnsi" w:hAnsiTheme="majorHAnsi" w:cs="Arial"/>
          <w:sz w:val="20"/>
          <w:szCs w:val="20"/>
        </w:rPr>
        <w:t>, among other aspects,</w:t>
      </w:r>
      <w:r w:rsidRPr="00D874C4">
        <w:rPr>
          <w:rFonts w:asciiTheme="majorHAnsi" w:hAnsiTheme="majorHAnsi" w:cs="Arial"/>
          <w:sz w:val="20"/>
          <w:szCs w:val="20"/>
        </w:rPr>
        <w:t xml:space="preserve"> the application of the FDPA</w:t>
      </w:r>
      <w:r w:rsidR="005A1074" w:rsidRPr="00D874C4">
        <w:rPr>
          <w:rFonts w:asciiTheme="majorHAnsi" w:hAnsiTheme="majorHAnsi" w:cs="Arial"/>
          <w:sz w:val="20"/>
          <w:szCs w:val="20"/>
        </w:rPr>
        <w:t xml:space="preserve"> based on the allegation that it</w:t>
      </w:r>
      <w:r w:rsidRPr="00D874C4">
        <w:rPr>
          <w:rFonts w:asciiTheme="majorHAnsi" w:hAnsiTheme="majorHAnsi" w:cs="Arial"/>
          <w:sz w:val="20"/>
          <w:szCs w:val="20"/>
        </w:rPr>
        <w:t xml:space="preserve"> does not extend to </w:t>
      </w:r>
      <w:proofErr w:type="spellStart"/>
      <w:r w:rsidRPr="00D874C4">
        <w:rPr>
          <w:rFonts w:asciiTheme="majorHAnsi" w:hAnsiTheme="majorHAnsi" w:cs="Arial"/>
          <w:sz w:val="20"/>
          <w:szCs w:val="20"/>
        </w:rPr>
        <w:t>carjackings</w:t>
      </w:r>
      <w:proofErr w:type="spellEnd"/>
      <w:r w:rsidRPr="00D874C4">
        <w:rPr>
          <w:rFonts w:asciiTheme="majorHAnsi" w:hAnsiTheme="majorHAnsi" w:cs="Arial"/>
          <w:sz w:val="20"/>
          <w:szCs w:val="20"/>
        </w:rPr>
        <w:t xml:space="preserve"> committed </w:t>
      </w:r>
      <w:r w:rsidR="001679D0" w:rsidRPr="00D874C4">
        <w:rPr>
          <w:rFonts w:asciiTheme="majorHAnsi" w:hAnsiTheme="majorHAnsi" w:cs="Arial"/>
          <w:sz w:val="20"/>
          <w:szCs w:val="20"/>
        </w:rPr>
        <w:t>“</w:t>
      </w:r>
      <w:r w:rsidRPr="00D874C4">
        <w:rPr>
          <w:rFonts w:asciiTheme="majorHAnsi" w:hAnsiTheme="majorHAnsi" w:cs="Arial"/>
          <w:sz w:val="20"/>
          <w:szCs w:val="20"/>
        </w:rPr>
        <w:t>by one Indian against other Indians in Indian country.</w:t>
      </w:r>
      <w:r w:rsidR="001679D0" w:rsidRPr="00D874C4">
        <w:rPr>
          <w:rFonts w:asciiTheme="majorHAnsi" w:hAnsiTheme="majorHAnsi" w:cs="Arial"/>
          <w:sz w:val="20"/>
          <w:szCs w:val="20"/>
        </w:rPr>
        <w:t>”</w:t>
      </w:r>
      <w:r w:rsidRPr="00D874C4">
        <w:rPr>
          <w:rFonts w:asciiTheme="majorHAnsi" w:hAnsiTheme="majorHAnsi" w:cs="Arial"/>
          <w:sz w:val="20"/>
          <w:szCs w:val="20"/>
        </w:rPr>
        <w:t xml:space="preserve"> </w:t>
      </w:r>
      <w:r w:rsidR="00E9162B" w:rsidRPr="00D874C4">
        <w:rPr>
          <w:rFonts w:asciiTheme="majorHAnsi" w:hAnsiTheme="majorHAnsi" w:cs="Arial"/>
          <w:sz w:val="20"/>
          <w:szCs w:val="20"/>
        </w:rPr>
        <w:t>He</w:t>
      </w:r>
      <w:r w:rsidRPr="00D874C4">
        <w:rPr>
          <w:rFonts w:asciiTheme="majorHAnsi" w:hAnsiTheme="majorHAnsi" w:cs="Arial"/>
          <w:sz w:val="20"/>
          <w:szCs w:val="20"/>
        </w:rPr>
        <w:t xml:space="preserve"> further maintained that the Major Crimes Act is the sole source of federal criminal jurisdiction over intra-Indian crimes, and that, because carjacking resulting in death is not one of the crimes identified in the Act, he could not be prosecuted for it in federal court.</w:t>
      </w:r>
      <w:r w:rsidR="00E9162B" w:rsidRPr="00D874C4">
        <w:rPr>
          <w:rFonts w:asciiTheme="majorHAnsi" w:hAnsiTheme="majorHAnsi" w:cs="Times"/>
          <w:sz w:val="20"/>
          <w:szCs w:val="20"/>
          <w:lang w:eastAsia="es-ES"/>
        </w:rPr>
        <w:t xml:space="preserve"> </w:t>
      </w:r>
      <w:r w:rsidR="005A1074" w:rsidRPr="00D874C4">
        <w:rPr>
          <w:rFonts w:asciiTheme="majorHAnsi" w:hAnsiTheme="majorHAnsi" w:cs="Arial"/>
          <w:sz w:val="20"/>
          <w:szCs w:val="20"/>
        </w:rPr>
        <w:t>The court recognized that the Navajo Nation opposes the death penalty on cultural and religious grounds but held that ideological opposition to the death penalty by its own force does not exempt tribal members from the reach of federal criminal laws</w:t>
      </w:r>
      <w:r w:rsidR="003C7749" w:rsidRPr="00D874C4">
        <w:rPr>
          <w:rFonts w:asciiTheme="majorHAnsi" w:hAnsiTheme="majorHAnsi" w:cs="Arial"/>
          <w:sz w:val="20"/>
          <w:szCs w:val="20"/>
        </w:rPr>
        <w:t>. The court also ruled that the FDPA unambiguously requires opt-in only where jurisdiction is based on Indian country, not, as Mr. Mitchell alleged, whenever the federal government seeks capital punishment. Therefore</w:t>
      </w:r>
      <w:r w:rsidR="00F3642C" w:rsidRPr="00D874C4">
        <w:rPr>
          <w:rFonts w:asciiTheme="majorHAnsi" w:hAnsiTheme="majorHAnsi" w:cs="Arial"/>
          <w:sz w:val="20"/>
          <w:szCs w:val="20"/>
        </w:rPr>
        <w:t>,</w:t>
      </w:r>
      <w:r w:rsidR="003C7749" w:rsidRPr="00D874C4">
        <w:rPr>
          <w:rFonts w:asciiTheme="majorHAnsi" w:hAnsiTheme="majorHAnsi" w:cs="Arial"/>
          <w:sz w:val="20"/>
          <w:szCs w:val="20"/>
        </w:rPr>
        <w:t xml:space="preserve"> according to the court,</w:t>
      </w:r>
      <w:r w:rsidR="00F3642C" w:rsidRPr="00D874C4">
        <w:rPr>
          <w:rFonts w:asciiTheme="majorHAnsi" w:hAnsiTheme="majorHAnsi" w:cs="Arial"/>
          <w:sz w:val="20"/>
          <w:szCs w:val="20"/>
        </w:rPr>
        <w:t xml:space="preserve"> the fact that the Navajo Nation opted</w:t>
      </w:r>
      <w:r w:rsidR="001679D0" w:rsidRPr="00D874C4">
        <w:rPr>
          <w:rFonts w:asciiTheme="majorHAnsi" w:hAnsiTheme="majorHAnsi" w:cs="Arial"/>
          <w:sz w:val="20"/>
          <w:szCs w:val="20"/>
        </w:rPr>
        <w:t xml:space="preserve"> out </w:t>
      </w:r>
      <w:r w:rsidR="00F3642C" w:rsidRPr="00D874C4">
        <w:rPr>
          <w:rFonts w:asciiTheme="majorHAnsi" w:hAnsiTheme="majorHAnsi" w:cs="Arial"/>
          <w:sz w:val="20"/>
          <w:szCs w:val="20"/>
        </w:rPr>
        <w:t>of the FDPA does not render the carjacking statute inapplicable</w:t>
      </w:r>
      <w:r w:rsidR="008A2F22" w:rsidRPr="00D874C4">
        <w:rPr>
          <w:rFonts w:asciiTheme="majorHAnsi" w:hAnsiTheme="majorHAnsi" w:cs="Arial"/>
          <w:sz w:val="20"/>
          <w:szCs w:val="20"/>
        </w:rPr>
        <w:t>.</w:t>
      </w:r>
      <w:r w:rsidR="008A2F22" w:rsidRPr="00D874C4">
        <w:rPr>
          <w:rFonts w:asciiTheme="majorHAnsi" w:hAnsiTheme="majorHAnsi" w:cs="Times"/>
          <w:sz w:val="20"/>
          <w:szCs w:val="20"/>
          <w:lang w:eastAsia="es-ES"/>
        </w:rPr>
        <w:t xml:space="preserve"> Mr. Mitchell further raised a number of issues related to jury selection, both of the venire and the panel.</w:t>
      </w:r>
      <w:r w:rsidR="00626127" w:rsidRPr="00D874C4">
        <w:rPr>
          <w:rStyle w:val="FootnoteReference"/>
          <w:rFonts w:asciiTheme="majorHAnsi" w:hAnsiTheme="majorHAnsi"/>
          <w:sz w:val="20"/>
          <w:szCs w:val="20"/>
        </w:rPr>
        <w:footnoteReference w:id="31"/>
      </w:r>
    </w:p>
    <w:p w:rsidR="008A2F22" w:rsidRPr="00D874C4" w:rsidRDefault="008A2F22" w:rsidP="008A2F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jc w:val="both"/>
        <w:textAlignment w:val="baseline"/>
        <w:rPr>
          <w:rFonts w:asciiTheme="majorHAnsi" w:hAnsiTheme="majorHAnsi" w:cs="Times"/>
          <w:sz w:val="20"/>
          <w:szCs w:val="20"/>
          <w:lang w:eastAsia="es-ES"/>
        </w:rPr>
      </w:pPr>
    </w:p>
    <w:p w:rsidR="007A02E6" w:rsidRPr="00D874C4" w:rsidRDefault="00A96338" w:rsidP="000B42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autoSpaceDE w:val="0"/>
        <w:autoSpaceDN w:val="0"/>
        <w:adjustRightInd w:val="0"/>
        <w:ind w:left="0" w:firstLine="0"/>
        <w:jc w:val="both"/>
        <w:textAlignment w:val="baseline"/>
        <w:rPr>
          <w:rFonts w:asciiTheme="majorHAnsi" w:hAnsiTheme="majorHAnsi" w:cs="Times"/>
          <w:sz w:val="20"/>
          <w:szCs w:val="20"/>
          <w:lang w:eastAsia="es-ES"/>
        </w:rPr>
      </w:pPr>
      <w:r w:rsidRPr="00D874C4">
        <w:rPr>
          <w:rFonts w:asciiTheme="majorHAnsi" w:hAnsiTheme="majorHAnsi" w:cs="Times"/>
          <w:sz w:val="20"/>
          <w:szCs w:val="20"/>
          <w:lang w:eastAsia="es-ES"/>
        </w:rPr>
        <w:t>The U.S. Supreme Court of Justice denied Mr. Mitchell’s petition of certiorari</w:t>
      </w:r>
      <w:r w:rsidR="00E625E4" w:rsidRPr="00D874C4">
        <w:rPr>
          <w:rFonts w:asciiTheme="majorHAnsi" w:hAnsiTheme="majorHAnsi" w:cs="Times"/>
          <w:sz w:val="20"/>
          <w:szCs w:val="20"/>
          <w:lang w:eastAsia="es-ES"/>
        </w:rPr>
        <w:t xml:space="preserve"> on June 9, 2008</w:t>
      </w:r>
      <w:r w:rsidRPr="00D874C4">
        <w:rPr>
          <w:rFonts w:asciiTheme="majorHAnsi" w:hAnsiTheme="majorHAnsi" w:cs="Times"/>
          <w:sz w:val="20"/>
          <w:szCs w:val="20"/>
          <w:lang w:eastAsia="es-ES"/>
        </w:rPr>
        <w:t>.</w:t>
      </w:r>
      <w:r w:rsidRPr="00D874C4">
        <w:rPr>
          <w:rStyle w:val="FootnoteReference"/>
          <w:rFonts w:asciiTheme="majorHAnsi" w:hAnsiTheme="majorHAnsi"/>
          <w:sz w:val="20"/>
          <w:szCs w:val="20"/>
          <w:lang w:eastAsia="es-ES"/>
        </w:rPr>
        <w:footnoteReference w:id="32"/>
      </w:r>
      <w:r w:rsidR="0003092B" w:rsidRPr="00D874C4">
        <w:rPr>
          <w:rFonts w:asciiTheme="majorHAnsi" w:hAnsiTheme="majorHAnsi" w:cs="Times"/>
          <w:sz w:val="20"/>
          <w:szCs w:val="20"/>
          <w:lang w:eastAsia="es-ES"/>
        </w:rPr>
        <w:t xml:space="preserve"> </w:t>
      </w:r>
    </w:p>
    <w:p w:rsidR="000C2998" w:rsidRPr="00D874C4" w:rsidRDefault="000C2998" w:rsidP="000C299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rPr>
      </w:pPr>
    </w:p>
    <w:p w:rsidR="00E616EA" w:rsidRPr="00D874C4" w:rsidRDefault="00D97195" w:rsidP="00D97195">
      <w:pPr>
        <w:pStyle w:val="Heading2"/>
        <w:tabs>
          <w:tab w:val="left" w:pos="360"/>
        </w:tabs>
        <w:spacing w:before="0"/>
        <w:rPr>
          <w:color w:val="auto"/>
          <w:sz w:val="20"/>
          <w:szCs w:val="20"/>
        </w:rPr>
      </w:pPr>
      <w:bookmarkStart w:id="31" w:name="_Toc44015987"/>
      <w:bookmarkStart w:id="32" w:name="_Toc49161061"/>
      <w:r w:rsidRPr="00D874C4">
        <w:rPr>
          <w:color w:val="auto"/>
          <w:sz w:val="20"/>
          <w:szCs w:val="20"/>
        </w:rPr>
        <w:t xml:space="preserve">E. </w:t>
      </w:r>
      <w:r w:rsidRPr="00D874C4">
        <w:rPr>
          <w:color w:val="auto"/>
          <w:sz w:val="20"/>
          <w:szCs w:val="20"/>
        </w:rPr>
        <w:tab/>
      </w:r>
      <w:r w:rsidR="00E616EA" w:rsidRPr="00D874C4">
        <w:rPr>
          <w:color w:val="auto"/>
          <w:sz w:val="20"/>
          <w:szCs w:val="20"/>
        </w:rPr>
        <w:t>Post-conviction proceedings</w:t>
      </w:r>
      <w:bookmarkEnd w:id="31"/>
      <w:bookmarkEnd w:id="32"/>
    </w:p>
    <w:p w:rsidR="00E616EA" w:rsidRPr="00D874C4" w:rsidRDefault="00E616EA" w:rsidP="00021557">
      <w:pPr>
        <w:rPr>
          <w:sz w:val="20"/>
          <w:szCs w:val="20"/>
        </w:rPr>
      </w:pPr>
    </w:p>
    <w:p w:rsidR="005A04CC" w:rsidRPr="00D874C4" w:rsidRDefault="00E83F9D" w:rsidP="005A04C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On June 8, 2009, Mr. Mitchell </w:t>
      </w:r>
      <w:r w:rsidR="00E625E4" w:rsidRPr="00D874C4">
        <w:rPr>
          <w:rFonts w:asciiTheme="majorHAnsi" w:hAnsiTheme="majorHAnsi"/>
          <w:sz w:val="20"/>
          <w:szCs w:val="20"/>
        </w:rPr>
        <w:t xml:space="preserve">filed a motion to vacate his conviction and sentence under </w:t>
      </w:r>
      <w:r w:rsidRPr="00D874C4">
        <w:rPr>
          <w:rFonts w:asciiTheme="majorHAnsi" w:hAnsiTheme="majorHAnsi"/>
          <w:sz w:val="20"/>
          <w:szCs w:val="20"/>
        </w:rPr>
        <w:t>28 U.S.C. § 2255</w:t>
      </w:r>
      <w:r w:rsidR="00AD5AFD" w:rsidRPr="00D874C4">
        <w:rPr>
          <w:rFonts w:asciiTheme="majorHAnsi" w:hAnsiTheme="majorHAnsi"/>
          <w:sz w:val="20"/>
          <w:szCs w:val="20"/>
        </w:rPr>
        <w:t xml:space="preserve"> alleging</w:t>
      </w:r>
      <w:r w:rsidR="00790ABE" w:rsidRPr="00D874C4">
        <w:rPr>
          <w:rFonts w:asciiTheme="majorHAnsi" w:hAnsiTheme="majorHAnsi"/>
          <w:sz w:val="20"/>
          <w:szCs w:val="20"/>
        </w:rPr>
        <w:t xml:space="preserve">, </w:t>
      </w:r>
      <w:r w:rsidR="00790ABE" w:rsidRPr="00D874C4">
        <w:rPr>
          <w:rFonts w:asciiTheme="majorHAnsi" w:hAnsiTheme="majorHAnsi"/>
          <w:i/>
          <w:sz w:val="20"/>
          <w:szCs w:val="20"/>
        </w:rPr>
        <w:t>inter alia</w:t>
      </w:r>
      <w:r w:rsidR="00790ABE" w:rsidRPr="00D874C4">
        <w:rPr>
          <w:rFonts w:asciiTheme="majorHAnsi" w:hAnsiTheme="majorHAnsi"/>
          <w:sz w:val="20"/>
          <w:szCs w:val="20"/>
        </w:rPr>
        <w:t>,</w:t>
      </w:r>
      <w:r w:rsidR="00AD5AFD" w:rsidRPr="00D874C4">
        <w:rPr>
          <w:rFonts w:asciiTheme="majorHAnsi" w:hAnsiTheme="majorHAnsi"/>
          <w:sz w:val="20"/>
          <w:szCs w:val="20"/>
        </w:rPr>
        <w:t xml:space="preserve"> ineffective</w:t>
      </w:r>
      <w:r w:rsidR="00790ABE" w:rsidRPr="00D874C4">
        <w:rPr>
          <w:rFonts w:asciiTheme="majorHAnsi" w:hAnsiTheme="majorHAnsi"/>
          <w:sz w:val="20"/>
          <w:szCs w:val="20"/>
        </w:rPr>
        <w:t xml:space="preserve"> assistance of counsel at trial and</w:t>
      </w:r>
      <w:r w:rsidR="00AD5AFD" w:rsidRPr="00D874C4">
        <w:rPr>
          <w:rFonts w:asciiTheme="majorHAnsi" w:hAnsiTheme="majorHAnsi"/>
          <w:sz w:val="20"/>
          <w:szCs w:val="20"/>
        </w:rPr>
        <w:t xml:space="preserve"> </w:t>
      </w:r>
      <w:r w:rsidR="000B5C0C" w:rsidRPr="00D874C4">
        <w:rPr>
          <w:rFonts w:asciiTheme="majorHAnsi" w:hAnsiTheme="majorHAnsi"/>
          <w:sz w:val="20"/>
          <w:szCs w:val="20"/>
        </w:rPr>
        <w:t>failure to challenge jury selection</w:t>
      </w:r>
      <w:r w:rsidR="00790ABE" w:rsidRPr="00D874C4">
        <w:rPr>
          <w:rFonts w:asciiTheme="majorHAnsi" w:hAnsiTheme="majorHAnsi"/>
          <w:sz w:val="20"/>
          <w:szCs w:val="20"/>
        </w:rPr>
        <w:t xml:space="preserve">. </w:t>
      </w:r>
      <w:r w:rsidR="005A04CC" w:rsidRPr="00D874C4">
        <w:rPr>
          <w:rFonts w:asciiTheme="majorHAnsi" w:hAnsiTheme="majorHAnsi"/>
          <w:sz w:val="20"/>
          <w:szCs w:val="20"/>
        </w:rPr>
        <w:t>Before filing his section 2255 motion, however, Mr. Mitchell moved the district court for authorization to interview the jurors from his capital trial and specifically requested to speak with jurors out of a concern that the jury panel “allowed bias or prejudice to cloud their judgment.” The district court denied the request based on procedural grounds. Alternatively, the court concluded that Mr. Mitchell had not shown “good cause” for contacting the jurors. Mr. Mitchell then amended his section 2255 motion to include a claim that the lower court violated his constitutional rights by denying him access to the jurors.</w:t>
      </w:r>
      <w:r w:rsidR="005A04CC" w:rsidRPr="00D874C4">
        <w:rPr>
          <w:rStyle w:val="FootnoteReference"/>
          <w:rFonts w:asciiTheme="majorHAnsi" w:hAnsiTheme="majorHAnsi"/>
          <w:sz w:val="20"/>
          <w:szCs w:val="20"/>
        </w:rPr>
        <w:footnoteReference w:id="33"/>
      </w:r>
    </w:p>
    <w:p w:rsidR="005C6BC5" w:rsidRPr="00D874C4" w:rsidRDefault="005C6BC5" w:rsidP="005C6B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5C6BC5" w:rsidRPr="00D874C4" w:rsidRDefault="005C6BC5" w:rsidP="005C6B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On September 30, 2010, the district court denied the motion to vacate Mr. Mitchell’s conviction and sentence, as well as the motion for an evidentiary hearing.</w:t>
      </w:r>
      <w:r w:rsidRPr="00D874C4">
        <w:rPr>
          <w:rStyle w:val="FootnoteReference"/>
          <w:rFonts w:asciiTheme="majorHAnsi" w:hAnsiTheme="majorHAnsi"/>
          <w:sz w:val="20"/>
          <w:szCs w:val="20"/>
        </w:rPr>
        <w:footnoteReference w:id="34"/>
      </w:r>
    </w:p>
    <w:p w:rsidR="005A04CC" w:rsidRPr="00D874C4" w:rsidRDefault="005A04CC" w:rsidP="005A04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E745BD" w:rsidRPr="00D874C4" w:rsidRDefault="005B1E8A" w:rsidP="00E745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In its</w:t>
      </w:r>
      <w:r w:rsidR="00AD5AFD" w:rsidRPr="00D874C4">
        <w:rPr>
          <w:rFonts w:asciiTheme="majorHAnsi" w:hAnsiTheme="majorHAnsi"/>
          <w:sz w:val="20"/>
          <w:szCs w:val="20"/>
        </w:rPr>
        <w:t xml:space="preserve"> decision the court stated that, on the day of his arrest, Mr. Mitchell gave a recorded statement to FBI and Navajo Nation investigators during which he repeatedly claimed to have been drinking and said he “blacked out” at times while in the truck. The next day</w:t>
      </w:r>
      <w:r w:rsidRPr="00D874C4">
        <w:rPr>
          <w:rFonts w:asciiTheme="majorHAnsi" w:hAnsiTheme="majorHAnsi"/>
          <w:sz w:val="20"/>
          <w:szCs w:val="20"/>
        </w:rPr>
        <w:t xml:space="preserve">, at the crime scene, he claimed that he was so drunk at the time of the murder he could not remember how many times he had stabbed the victim. In a statement several weeks later, Mr. Mitchell asserted that he had consumed a couple of </w:t>
      </w:r>
      <w:r w:rsidR="00646D0E" w:rsidRPr="00D874C4">
        <w:rPr>
          <w:rFonts w:asciiTheme="majorHAnsi" w:hAnsiTheme="majorHAnsi"/>
          <w:sz w:val="20"/>
          <w:szCs w:val="20"/>
        </w:rPr>
        <w:t>forty-ounce</w:t>
      </w:r>
      <w:r w:rsidRPr="00D874C4">
        <w:rPr>
          <w:rFonts w:asciiTheme="majorHAnsi" w:hAnsiTheme="majorHAnsi"/>
          <w:sz w:val="20"/>
          <w:szCs w:val="20"/>
        </w:rPr>
        <w:t xml:space="preserve"> bottles of beer prior to going to Gallup and bought more liquor once there. To his defense attorneys he claimed that he was sober at the time of the crimes.</w:t>
      </w:r>
      <w:r w:rsidRPr="00D874C4">
        <w:rPr>
          <w:rStyle w:val="FootnoteReference"/>
          <w:rFonts w:asciiTheme="majorHAnsi" w:hAnsiTheme="majorHAnsi"/>
          <w:sz w:val="20"/>
          <w:szCs w:val="20"/>
        </w:rPr>
        <w:footnoteReference w:id="35"/>
      </w:r>
    </w:p>
    <w:p w:rsidR="00E745BD" w:rsidRPr="00D874C4" w:rsidRDefault="00E745BD" w:rsidP="00E745BD">
      <w:pPr>
        <w:pStyle w:val="ListParagraph"/>
        <w:rPr>
          <w:rFonts w:asciiTheme="majorHAnsi" w:hAnsiTheme="majorHAnsi"/>
          <w:sz w:val="20"/>
          <w:szCs w:val="20"/>
        </w:rPr>
      </w:pPr>
    </w:p>
    <w:p w:rsidR="005B1E8A" w:rsidRPr="00D874C4" w:rsidRDefault="005B1E8A" w:rsidP="00E745B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In his motion Mr. Mitchell argued that trial counsel failed to thoroughly investigate intoxication as a defense because they did not seek any evidence independent of their own client regarding his state of intoxication. He asserted that, because counsel failed to uncover his longstanding substance abuse history, they unreasonably accepted his claimed sobriety even though it was contradicted by significant portions of the discovery and by percipient witnesses.</w:t>
      </w:r>
      <w:r w:rsidR="00061537" w:rsidRPr="00D874C4">
        <w:rPr>
          <w:rFonts w:asciiTheme="majorHAnsi" w:hAnsiTheme="majorHAnsi"/>
          <w:sz w:val="20"/>
          <w:szCs w:val="20"/>
        </w:rPr>
        <w:t xml:space="preserve"> According to</w:t>
      </w:r>
      <w:r w:rsidRPr="00D874C4">
        <w:rPr>
          <w:rFonts w:asciiTheme="majorHAnsi" w:hAnsiTheme="majorHAnsi"/>
          <w:sz w:val="20"/>
          <w:szCs w:val="20"/>
        </w:rPr>
        <w:t xml:space="preserve"> </w:t>
      </w:r>
      <w:r w:rsidR="003B48E2" w:rsidRPr="00D874C4">
        <w:rPr>
          <w:rFonts w:asciiTheme="majorHAnsi" w:hAnsiTheme="majorHAnsi"/>
          <w:sz w:val="20"/>
          <w:szCs w:val="20"/>
        </w:rPr>
        <w:t>Mr. Mitchell</w:t>
      </w:r>
      <w:r w:rsidR="00061537" w:rsidRPr="00D874C4">
        <w:rPr>
          <w:rFonts w:asciiTheme="majorHAnsi" w:hAnsiTheme="majorHAnsi"/>
          <w:sz w:val="20"/>
          <w:szCs w:val="20"/>
        </w:rPr>
        <w:t>,</w:t>
      </w:r>
      <w:r w:rsidR="003B48E2" w:rsidRPr="00D874C4">
        <w:rPr>
          <w:rFonts w:asciiTheme="majorHAnsi" w:hAnsiTheme="majorHAnsi"/>
          <w:sz w:val="20"/>
          <w:szCs w:val="20"/>
        </w:rPr>
        <w:t xml:space="preserve"> there was a reasonable probability he would not have been convicted of carjacking - the capital count - had evidence of impaired executive functioning been presented to the jury.  </w:t>
      </w:r>
      <w:r w:rsidR="00C1418C" w:rsidRPr="00D874C4">
        <w:rPr>
          <w:rFonts w:asciiTheme="majorHAnsi" w:hAnsiTheme="majorHAnsi"/>
          <w:sz w:val="20"/>
          <w:szCs w:val="20"/>
        </w:rPr>
        <w:t xml:space="preserve">Mr. Mitchell also proffered a declaration from a mitigation specialist for his defense team who asserted that she prepared an exhaustive study of Mr. Mitchell’s social and psychological background and “that there was substantial evidence that Mr. Mitchell was drunk and high on drugs at the time of the killings.” The defense </w:t>
      </w:r>
      <w:r w:rsidR="00C1418C" w:rsidRPr="00D874C4">
        <w:rPr>
          <w:rFonts w:asciiTheme="majorHAnsi" w:hAnsiTheme="majorHAnsi"/>
          <w:sz w:val="20"/>
          <w:szCs w:val="20"/>
        </w:rPr>
        <w:lastRenderedPageBreak/>
        <w:t xml:space="preserve">team stated, </w:t>
      </w:r>
      <w:r w:rsidR="00C1418C" w:rsidRPr="00D874C4">
        <w:rPr>
          <w:rFonts w:asciiTheme="majorHAnsi" w:hAnsiTheme="majorHAnsi"/>
          <w:i/>
          <w:sz w:val="20"/>
          <w:szCs w:val="20"/>
        </w:rPr>
        <w:t>inter alia</w:t>
      </w:r>
      <w:r w:rsidR="00C1418C" w:rsidRPr="00D874C4">
        <w:rPr>
          <w:rFonts w:asciiTheme="majorHAnsi" w:hAnsiTheme="majorHAnsi"/>
          <w:sz w:val="20"/>
          <w:szCs w:val="20"/>
        </w:rPr>
        <w:t>, that they opted against an intoxication defense, not only because there was little supporting evidence, but because it would have contradicted the theme that Mr. Mitchell “was a good person led astray under circumstances” and that the co-defendant was the impetus for the violence.</w:t>
      </w:r>
      <w:r w:rsidR="004D5A82" w:rsidRPr="00D874C4">
        <w:rPr>
          <w:rStyle w:val="FootnoteReference"/>
          <w:rFonts w:asciiTheme="majorHAnsi" w:hAnsiTheme="majorHAnsi"/>
          <w:sz w:val="20"/>
          <w:szCs w:val="20"/>
        </w:rPr>
        <w:footnoteReference w:id="36"/>
      </w:r>
    </w:p>
    <w:p w:rsidR="00AE21FB" w:rsidRPr="00D874C4" w:rsidRDefault="00AE21FB" w:rsidP="00AE21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1E7EC7" w:rsidRPr="00D874C4" w:rsidRDefault="00237D33" w:rsidP="00C141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The court concluded that the choice</w:t>
      </w:r>
      <w:r w:rsidR="00493EE7" w:rsidRPr="00D874C4">
        <w:rPr>
          <w:rFonts w:asciiTheme="majorHAnsi" w:hAnsiTheme="majorHAnsi"/>
          <w:sz w:val="20"/>
          <w:szCs w:val="20"/>
        </w:rPr>
        <w:t>,</w:t>
      </w:r>
      <w:r w:rsidRPr="00D874C4">
        <w:rPr>
          <w:rFonts w:asciiTheme="majorHAnsi" w:hAnsiTheme="majorHAnsi"/>
          <w:sz w:val="20"/>
          <w:szCs w:val="20"/>
        </w:rPr>
        <w:t xml:space="preserve"> not to present a voluntary intoxication defense</w:t>
      </w:r>
      <w:r w:rsidR="00493EE7" w:rsidRPr="00D874C4">
        <w:rPr>
          <w:rFonts w:asciiTheme="majorHAnsi" w:hAnsiTheme="majorHAnsi"/>
          <w:sz w:val="20"/>
          <w:szCs w:val="20"/>
        </w:rPr>
        <w:t>,</w:t>
      </w:r>
      <w:r w:rsidRPr="00D874C4">
        <w:rPr>
          <w:rFonts w:asciiTheme="majorHAnsi" w:hAnsiTheme="majorHAnsi"/>
          <w:sz w:val="20"/>
          <w:szCs w:val="20"/>
        </w:rPr>
        <w:t xml:space="preserve"> was reasonable given the lack of evidentiary support. </w:t>
      </w:r>
      <w:r w:rsidR="00AE21FB" w:rsidRPr="00D874C4">
        <w:rPr>
          <w:rFonts w:asciiTheme="majorHAnsi" w:hAnsiTheme="majorHAnsi"/>
          <w:sz w:val="20"/>
          <w:szCs w:val="20"/>
        </w:rPr>
        <w:t>This</w:t>
      </w:r>
      <w:r w:rsidR="001679D0" w:rsidRPr="00D874C4">
        <w:rPr>
          <w:rFonts w:asciiTheme="majorHAnsi" w:hAnsiTheme="majorHAnsi"/>
          <w:sz w:val="20"/>
          <w:szCs w:val="20"/>
        </w:rPr>
        <w:t>,</w:t>
      </w:r>
      <w:r w:rsidR="00AE21FB" w:rsidRPr="00D874C4">
        <w:rPr>
          <w:rFonts w:asciiTheme="majorHAnsi" w:hAnsiTheme="majorHAnsi"/>
          <w:sz w:val="20"/>
          <w:szCs w:val="20"/>
        </w:rPr>
        <w:t xml:space="preserve"> based on the fact that Mr. Mitchell denied being intoxicated and chose not to testify and there was no evidence particularly probative of his mental state on the day of the murders.</w:t>
      </w:r>
      <w:r w:rsidRPr="00D874C4">
        <w:rPr>
          <w:rFonts w:asciiTheme="majorHAnsi" w:hAnsiTheme="majorHAnsi"/>
          <w:sz w:val="20"/>
          <w:szCs w:val="20"/>
        </w:rPr>
        <w:t xml:space="preserve"> </w:t>
      </w:r>
      <w:r w:rsidR="00AE21FB" w:rsidRPr="00D874C4">
        <w:rPr>
          <w:rFonts w:asciiTheme="majorHAnsi" w:hAnsiTheme="majorHAnsi"/>
          <w:sz w:val="20"/>
          <w:szCs w:val="20"/>
        </w:rPr>
        <w:t xml:space="preserve">The court </w:t>
      </w:r>
      <w:r w:rsidR="001679D0" w:rsidRPr="00D874C4">
        <w:rPr>
          <w:rFonts w:asciiTheme="majorHAnsi" w:hAnsiTheme="majorHAnsi"/>
          <w:sz w:val="20"/>
          <w:szCs w:val="20"/>
        </w:rPr>
        <w:t>further</w:t>
      </w:r>
      <w:r w:rsidR="00AE21FB" w:rsidRPr="00D874C4">
        <w:rPr>
          <w:rFonts w:asciiTheme="majorHAnsi" w:hAnsiTheme="majorHAnsi"/>
          <w:sz w:val="20"/>
          <w:szCs w:val="20"/>
        </w:rPr>
        <w:t xml:space="preserve"> considered the choice reasonable given that evidence of drug and alcohol abuse is a “two-edge sword.”</w:t>
      </w:r>
      <w:r w:rsidR="004D5A82" w:rsidRPr="00D874C4">
        <w:rPr>
          <w:rFonts w:asciiTheme="majorHAnsi" w:hAnsiTheme="majorHAnsi"/>
          <w:sz w:val="20"/>
          <w:szCs w:val="20"/>
        </w:rPr>
        <w:t xml:space="preserve"> </w:t>
      </w:r>
      <w:r w:rsidR="001E7EC7" w:rsidRPr="00D874C4">
        <w:rPr>
          <w:rFonts w:asciiTheme="majorHAnsi" w:hAnsiTheme="majorHAnsi"/>
          <w:sz w:val="20"/>
          <w:szCs w:val="20"/>
        </w:rPr>
        <w:t xml:space="preserve">The court also denied Mr. Mitchell’s claim that counsel were ineffective in failing to assert that his </w:t>
      </w:r>
      <w:r w:rsidR="001E7EC7" w:rsidRPr="00D874C4">
        <w:rPr>
          <w:rFonts w:asciiTheme="majorHAnsi" w:hAnsiTheme="majorHAnsi"/>
          <w:i/>
          <w:sz w:val="20"/>
          <w:szCs w:val="20"/>
        </w:rPr>
        <w:t>Miranda</w:t>
      </w:r>
      <w:r w:rsidR="001E7EC7" w:rsidRPr="00D874C4">
        <w:rPr>
          <w:rFonts w:asciiTheme="majorHAnsi" w:hAnsiTheme="majorHAnsi"/>
          <w:sz w:val="20"/>
          <w:szCs w:val="20"/>
        </w:rPr>
        <w:t xml:space="preserve"> waiver was involuntary as a result of his mental deficiencies and cultural heritage in combination with the investigators’ interrogations techniques. The court concluded that there was no evidence to support the claim that Mr. Mitchell’s statements were not knowing, intelligent, and voluntary and thus, the failure to introduce evidence of his alleged deficiencies and Navajo upbringing did not prejudice him.</w:t>
      </w:r>
      <w:r w:rsidR="004D5A82" w:rsidRPr="00D874C4">
        <w:rPr>
          <w:rStyle w:val="FootnoteReference"/>
          <w:rFonts w:asciiTheme="majorHAnsi" w:hAnsiTheme="majorHAnsi"/>
          <w:sz w:val="20"/>
          <w:szCs w:val="20"/>
        </w:rPr>
        <w:footnoteReference w:id="37"/>
      </w:r>
      <w:r w:rsidR="001E7EC7" w:rsidRPr="00D874C4">
        <w:rPr>
          <w:rFonts w:asciiTheme="majorHAnsi" w:hAnsiTheme="majorHAnsi"/>
          <w:sz w:val="20"/>
          <w:szCs w:val="20"/>
        </w:rPr>
        <w:t xml:space="preserve"> </w:t>
      </w:r>
    </w:p>
    <w:p w:rsidR="000B5C0C" w:rsidRPr="00D874C4" w:rsidRDefault="000B5C0C" w:rsidP="000B5C0C">
      <w:pPr>
        <w:pStyle w:val="ListParagraph"/>
        <w:rPr>
          <w:rFonts w:asciiTheme="majorHAnsi" w:hAnsiTheme="majorHAnsi"/>
          <w:sz w:val="20"/>
          <w:szCs w:val="20"/>
        </w:rPr>
      </w:pPr>
    </w:p>
    <w:p w:rsidR="000B5C0C" w:rsidRPr="00D874C4" w:rsidRDefault="000B5C0C" w:rsidP="00C141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Regarding the alleged counsel’s failure to challenge jury selection, Mr. Mitchell argued that trial counsel failed to challenge or appropriately question some venirepersons, failed to adequately challenge seated jurors, and made almost no attempt to rehabilitate any juror who expressed opposition to capital punishment. He also alleged that appellate counsel was ineffective for not arguing on appeal that the district court had improperly </w:t>
      </w:r>
      <w:r w:rsidR="00BD00E1" w:rsidRPr="00D874C4">
        <w:rPr>
          <w:rFonts w:asciiTheme="majorHAnsi" w:hAnsiTheme="majorHAnsi"/>
          <w:sz w:val="20"/>
          <w:szCs w:val="20"/>
        </w:rPr>
        <w:t>excused Native American venirep</w:t>
      </w:r>
      <w:r w:rsidRPr="00D874C4">
        <w:rPr>
          <w:rFonts w:asciiTheme="majorHAnsi" w:hAnsiTheme="majorHAnsi"/>
          <w:sz w:val="20"/>
          <w:szCs w:val="20"/>
        </w:rPr>
        <w:t xml:space="preserve">ersons due to their alleged opposition to the death penalty and the fact that Navajo was their first language. The court found each allegation meritless. </w:t>
      </w:r>
    </w:p>
    <w:p w:rsidR="00981413" w:rsidRPr="00D874C4" w:rsidRDefault="00981413" w:rsidP="00981413">
      <w:pPr>
        <w:pStyle w:val="ListParagraph"/>
        <w:rPr>
          <w:rFonts w:asciiTheme="majorHAnsi" w:hAnsiTheme="majorHAnsi"/>
          <w:sz w:val="20"/>
          <w:szCs w:val="20"/>
        </w:rPr>
      </w:pPr>
    </w:p>
    <w:p w:rsidR="00981413" w:rsidRPr="00D874C4" w:rsidRDefault="00981413" w:rsidP="00C141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On July 21, 2014,</w:t>
      </w:r>
      <w:r w:rsidR="000063EC" w:rsidRPr="00D874C4">
        <w:rPr>
          <w:rFonts w:asciiTheme="majorHAnsi" w:hAnsiTheme="majorHAnsi"/>
          <w:sz w:val="20"/>
          <w:szCs w:val="20"/>
        </w:rPr>
        <w:t xml:space="preserve"> Chief Justice Yazzie of the Supreme Court of the Navajo Nation, sent a letter to U.S. Attorney</w:t>
      </w:r>
      <w:r w:rsidRPr="00D874C4">
        <w:rPr>
          <w:rFonts w:asciiTheme="majorHAnsi" w:hAnsiTheme="majorHAnsi"/>
          <w:sz w:val="20"/>
          <w:szCs w:val="20"/>
        </w:rPr>
        <w:t xml:space="preserve"> </w:t>
      </w:r>
      <w:r w:rsidR="000063EC" w:rsidRPr="00D874C4">
        <w:rPr>
          <w:rFonts w:asciiTheme="majorHAnsi" w:hAnsiTheme="majorHAnsi"/>
          <w:sz w:val="20"/>
          <w:szCs w:val="20"/>
        </w:rPr>
        <w:t xml:space="preserve">Vincent Q. Kirby expressing again the view of the Navajo Nation that Mr. Mitchell should not be subject to the federal death penalty and requesting that the Department of Justice stipulate to a re-sentencing whereby Mr. Mitchell would receive a sentence of less than death. The letter </w:t>
      </w:r>
      <w:r w:rsidR="00032ACC" w:rsidRPr="00D874C4">
        <w:rPr>
          <w:rFonts w:asciiTheme="majorHAnsi" w:hAnsiTheme="majorHAnsi"/>
          <w:sz w:val="20"/>
          <w:szCs w:val="20"/>
        </w:rPr>
        <w:t>stated</w:t>
      </w:r>
      <w:r w:rsidR="000063EC" w:rsidRPr="00D874C4">
        <w:rPr>
          <w:rFonts w:asciiTheme="majorHAnsi" w:hAnsiTheme="majorHAnsi"/>
          <w:sz w:val="20"/>
          <w:szCs w:val="20"/>
        </w:rPr>
        <w:t xml:space="preserve">, </w:t>
      </w:r>
      <w:r w:rsidR="000063EC" w:rsidRPr="00D874C4">
        <w:rPr>
          <w:rFonts w:asciiTheme="majorHAnsi" w:hAnsiTheme="majorHAnsi"/>
          <w:i/>
          <w:sz w:val="20"/>
          <w:szCs w:val="20"/>
        </w:rPr>
        <w:t>inter alia</w:t>
      </w:r>
      <w:r w:rsidR="000063EC" w:rsidRPr="00D874C4">
        <w:rPr>
          <w:rFonts w:asciiTheme="majorHAnsi" w:hAnsiTheme="majorHAnsi"/>
          <w:sz w:val="20"/>
          <w:szCs w:val="20"/>
        </w:rPr>
        <w:t>, the following:</w:t>
      </w:r>
      <w:r w:rsidRPr="00D874C4">
        <w:rPr>
          <w:rStyle w:val="FootnoteReference"/>
          <w:rFonts w:asciiTheme="majorHAnsi" w:hAnsiTheme="majorHAnsi"/>
          <w:sz w:val="20"/>
          <w:szCs w:val="20"/>
        </w:rPr>
        <w:footnoteReference w:id="38"/>
      </w:r>
    </w:p>
    <w:p w:rsidR="000063EC" w:rsidRPr="00D874C4" w:rsidRDefault="000063EC" w:rsidP="000063EC">
      <w:pPr>
        <w:pStyle w:val="ListParagraph"/>
        <w:rPr>
          <w:rFonts w:asciiTheme="majorHAnsi" w:hAnsiTheme="majorHAnsi"/>
          <w:sz w:val="20"/>
          <w:szCs w:val="20"/>
        </w:rPr>
      </w:pPr>
    </w:p>
    <w:p w:rsidR="000063EC" w:rsidRPr="00D874C4" w:rsidRDefault="00032ACC" w:rsidP="006E76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rPr>
      </w:pPr>
      <w:r w:rsidRPr="00D874C4">
        <w:rPr>
          <w:rFonts w:asciiTheme="majorHAnsi" w:hAnsiTheme="majorHAnsi"/>
          <w:sz w:val="18"/>
          <w:szCs w:val="18"/>
        </w:rPr>
        <w:t>Capital punishment is a sensitive issue for the Navajo people. Our laws have never allowed for the death penalty. It is our belief that the negative force that drives a person to commit evil acts can only be extracted by the Creator. People, on the other hand, are vehicles only for goodness and healing. By subjecting Mr. Mitchell to capital punishment, the Department of Justice has violated our laws and our belief system, and impeded the healing process our tribe must undertake in the wake of this tragic crime.</w:t>
      </w:r>
    </w:p>
    <w:p w:rsidR="00032ACC" w:rsidRPr="00D874C4" w:rsidRDefault="00032ACC" w:rsidP="006E76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rPr>
      </w:pPr>
    </w:p>
    <w:p w:rsidR="00032ACC" w:rsidRPr="00D874C4" w:rsidRDefault="00032ACC" w:rsidP="006E76C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rPr>
      </w:pPr>
      <w:r w:rsidRPr="00D874C4">
        <w:rPr>
          <w:rFonts w:asciiTheme="majorHAnsi" w:hAnsiTheme="majorHAnsi"/>
          <w:sz w:val="18"/>
          <w:szCs w:val="18"/>
        </w:rPr>
        <w:t xml:space="preserve">In addition to [these] moral issues […], capital prosecutions of Navajos implicate issues of tribal sovereignty that are </w:t>
      </w:r>
      <w:r w:rsidR="006E76CC" w:rsidRPr="00D874C4">
        <w:rPr>
          <w:rFonts w:asciiTheme="majorHAnsi" w:hAnsiTheme="majorHAnsi"/>
          <w:sz w:val="18"/>
          <w:szCs w:val="18"/>
        </w:rPr>
        <w:t>troubling</w:t>
      </w:r>
      <w:r w:rsidRPr="00D874C4">
        <w:rPr>
          <w:rFonts w:asciiTheme="majorHAnsi" w:hAnsiTheme="majorHAnsi"/>
          <w:sz w:val="18"/>
          <w:szCs w:val="18"/>
        </w:rPr>
        <w:t xml:space="preserve"> to the Navajo Nation. One of the primary reasons we chose not to opt in to the federal death penalty act was the fear of losing </w:t>
      </w:r>
      <w:r w:rsidR="006E76CC" w:rsidRPr="00D874C4">
        <w:rPr>
          <w:rFonts w:asciiTheme="majorHAnsi" w:hAnsiTheme="majorHAnsi"/>
          <w:sz w:val="18"/>
          <w:szCs w:val="18"/>
        </w:rPr>
        <w:t>authority</w:t>
      </w:r>
      <w:r w:rsidRPr="00D874C4">
        <w:rPr>
          <w:rFonts w:asciiTheme="majorHAnsi" w:hAnsiTheme="majorHAnsi"/>
          <w:sz w:val="18"/>
          <w:szCs w:val="18"/>
        </w:rPr>
        <w:t xml:space="preserve"> over prosecutions. […] The United States government has consistently used its power to reduce the Navajo Nation’s sovereignty. Had the Nation opted-in to the federal death penalty act, our sovereignty would have been further diminished. The decision whether to seek the death penalty against a Navajo would have been solely left to the discretion of the United States Attorney for the relevant district and the United States Attorney General. We would have had no voice in the discussion for justice regarding Navajo victims and </w:t>
      </w:r>
      <w:r w:rsidR="006E76CC" w:rsidRPr="00D874C4">
        <w:rPr>
          <w:rFonts w:asciiTheme="majorHAnsi" w:hAnsiTheme="majorHAnsi"/>
          <w:sz w:val="18"/>
          <w:szCs w:val="18"/>
        </w:rPr>
        <w:t>defendants</w:t>
      </w:r>
      <w:r w:rsidRPr="00D874C4">
        <w:rPr>
          <w:rFonts w:asciiTheme="majorHAnsi" w:hAnsiTheme="majorHAnsi"/>
          <w:sz w:val="18"/>
          <w:szCs w:val="18"/>
        </w:rPr>
        <w:t xml:space="preserve">. This was not a tolerable reality for the Navajo people, and fueled our decision to reject the federal death penalty. </w:t>
      </w:r>
      <w:r w:rsidR="006E76CC" w:rsidRPr="00D874C4">
        <w:rPr>
          <w:rFonts w:asciiTheme="majorHAnsi" w:hAnsiTheme="majorHAnsi"/>
          <w:sz w:val="18"/>
          <w:szCs w:val="18"/>
        </w:rPr>
        <w:t>However, despite our wishes, this was precisely the reality of Mr. Mitchell’s case. After we made clear that we should not support a capital prosecution for</w:t>
      </w:r>
      <w:r w:rsidR="00BD00E1" w:rsidRPr="00D874C4">
        <w:rPr>
          <w:rFonts w:asciiTheme="majorHAnsi" w:hAnsiTheme="majorHAnsi"/>
          <w:sz w:val="18"/>
          <w:szCs w:val="18"/>
        </w:rPr>
        <w:t xml:space="preserve"> </w:t>
      </w:r>
      <w:r w:rsidR="006E76CC" w:rsidRPr="00D874C4">
        <w:rPr>
          <w:rFonts w:asciiTheme="majorHAnsi" w:hAnsiTheme="majorHAnsi"/>
          <w:sz w:val="18"/>
          <w:szCs w:val="18"/>
        </w:rPr>
        <w:t xml:space="preserve">Mr. Mitchell, the Department of Justice relied on a technicality to bypass us. Instead of respecting the opt-in provisions, the Department of Justice sought death against Mr. Mitchell not for murder, but for carjacking resulting in death. The difference was in name only. The federal jurisdictional basis for first-degree murder was based on the fact that the crime took place on Navajo land, thus implicating the Federal Death Penalty Act requirement of the tribe’s approval. But the jurisdictional basis for the carjacking charge was interstate commerce, which allowed the Department of Justice to disregard our wishes. This loophole allowed the federal government to bypass our wishes, and we view this action as both a moral and political affront to Navajo sovereignty. </w:t>
      </w:r>
    </w:p>
    <w:p w:rsidR="00AD5AFD" w:rsidRPr="00D874C4" w:rsidRDefault="00AD5AFD" w:rsidP="00AD5A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384282" w:rsidRPr="00D874C4" w:rsidRDefault="00D61562" w:rsidP="000B65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Mr. Mitchell appealed the district court’s denial</w:t>
      </w:r>
      <w:r w:rsidR="00AC1B00" w:rsidRPr="00D874C4">
        <w:rPr>
          <w:rFonts w:asciiTheme="majorHAnsi" w:hAnsiTheme="majorHAnsi"/>
          <w:sz w:val="20"/>
          <w:szCs w:val="20"/>
        </w:rPr>
        <w:t xml:space="preserve"> issued on September 30, 2010,</w:t>
      </w:r>
      <w:r w:rsidRPr="00D874C4">
        <w:rPr>
          <w:rFonts w:asciiTheme="majorHAnsi" w:hAnsiTheme="majorHAnsi"/>
          <w:sz w:val="20"/>
          <w:szCs w:val="20"/>
        </w:rPr>
        <w:t xml:space="preserve"> to the U.S. Court of Appeals for the Ninth Circuit. On June 15, 2015, the Ninth Circuit affirmed the judgment</w:t>
      </w:r>
      <w:r w:rsidR="00BC58BB" w:rsidRPr="00D874C4">
        <w:rPr>
          <w:rFonts w:asciiTheme="majorHAnsi" w:hAnsiTheme="majorHAnsi"/>
          <w:sz w:val="20"/>
          <w:szCs w:val="20"/>
        </w:rPr>
        <w:t xml:space="preserve">. The Ninth Court’s decision did </w:t>
      </w:r>
      <w:r w:rsidR="00BC58BB" w:rsidRPr="00D874C4">
        <w:rPr>
          <w:rFonts w:asciiTheme="majorHAnsi" w:hAnsiTheme="majorHAnsi"/>
          <w:sz w:val="20"/>
          <w:szCs w:val="20"/>
        </w:rPr>
        <w:lastRenderedPageBreak/>
        <w:t>not address the juror interviews as it was</w:t>
      </w:r>
      <w:r w:rsidRPr="00D874C4">
        <w:rPr>
          <w:rFonts w:asciiTheme="majorHAnsi" w:hAnsiTheme="majorHAnsi"/>
          <w:sz w:val="20"/>
          <w:szCs w:val="20"/>
        </w:rPr>
        <w:t xml:space="preserve"> limited to issues for which the district court had granted a certificate of appealability.</w:t>
      </w:r>
      <w:r w:rsidRPr="00D874C4">
        <w:rPr>
          <w:rStyle w:val="FootnoteReference"/>
          <w:rFonts w:asciiTheme="majorHAnsi" w:hAnsiTheme="majorHAnsi"/>
          <w:sz w:val="20"/>
          <w:szCs w:val="20"/>
        </w:rPr>
        <w:footnoteReference w:id="39"/>
      </w:r>
      <w:r w:rsidRPr="00D874C4">
        <w:rPr>
          <w:rFonts w:asciiTheme="majorHAnsi" w:hAnsiTheme="majorHAnsi"/>
          <w:sz w:val="20"/>
          <w:szCs w:val="20"/>
        </w:rPr>
        <w:t xml:space="preserve"> </w:t>
      </w:r>
    </w:p>
    <w:p w:rsidR="00384282" w:rsidRPr="00D874C4" w:rsidRDefault="00384282" w:rsidP="0038428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D61562" w:rsidRPr="00D874C4" w:rsidRDefault="00D61562" w:rsidP="000B65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On October 3, 2016, the Supreme Court denied Mr. Mitchell’s application for certiorari.</w:t>
      </w:r>
      <w:r w:rsidRPr="00D874C4">
        <w:rPr>
          <w:rStyle w:val="FootnoteReference"/>
          <w:rFonts w:asciiTheme="majorHAnsi" w:hAnsiTheme="majorHAnsi"/>
          <w:sz w:val="20"/>
          <w:szCs w:val="20"/>
        </w:rPr>
        <w:footnoteReference w:id="40"/>
      </w:r>
    </w:p>
    <w:p w:rsidR="00CD1A79" w:rsidRPr="00D874C4" w:rsidRDefault="00CD1A79" w:rsidP="00CD1A79">
      <w:pPr>
        <w:pStyle w:val="ListParagraph"/>
        <w:rPr>
          <w:rFonts w:asciiTheme="majorHAnsi" w:hAnsiTheme="majorHAnsi"/>
          <w:sz w:val="20"/>
          <w:szCs w:val="20"/>
        </w:rPr>
      </w:pPr>
    </w:p>
    <w:p w:rsidR="00D14DC8" w:rsidRPr="00D874C4" w:rsidRDefault="00D97195" w:rsidP="00D97195">
      <w:pPr>
        <w:pStyle w:val="Heading2"/>
        <w:tabs>
          <w:tab w:val="left" w:pos="360"/>
        </w:tabs>
        <w:spacing w:before="0"/>
        <w:rPr>
          <w:color w:val="auto"/>
          <w:sz w:val="20"/>
          <w:szCs w:val="20"/>
        </w:rPr>
      </w:pPr>
      <w:bookmarkStart w:id="33" w:name="_Toc44015988"/>
      <w:bookmarkStart w:id="34" w:name="_Toc49161062"/>
      <w:r w:rsidRPr="00D874C4">
        <w:rPr>
          <w:color w:val="auto"/>
          <w:sz w:val="20"/>
          <w:szCs w:val="20"/>
        </w:rPr>
        <w:t>F.</w:t>
      </w:r>
      <w:r w:rsidRPr="00D874C4">
        <w:rPr>
          <w:color w:val="auto"/>
          <w:sz w:val="20"/>
          <w:szCs w:val="20"/>
        </w:rPr>
        <w:tab/>
      </w:r>
      <w:r w:rsidR="004B2647" w:rsidRPr="00D874C4">
        <w:rPr>
          <w:color w:val="auto"/>
          <w:sz w:val="20"/>
          <w:szCs w:val="20"/>
        </w:rPr>
        <w:t>Civil procedure’s motion (60(b) motion)</w:t>
      </w:r>
      <w:bookmarkEnd w:id="33"/>
      <w:bookmarkEnd w:id="34"/>
      <w:r w:rsidR="004B2647" w:rsidRPr="00D874C4">
        <w:rPr>
          <w:color w:val="auto"/>
          <w:sz w:val="20"/>
          <w:szCs w:val="20"/>
        </w:rPr>
        <w:t xml:space="preserve"> </w:t>
      </w:r>
    </w:p>
    <w:p w:rsidR="00790ABE" w:rsidRPr="00D874C4" w:rsidRDefault="00790ABE" w:rsidP="00CD1A79">
      <w:pPr>
        <w:pStyle w:val="ListParagraph"/>
        <w:rPr>
          <w:rFonts w:asciiTheme="majorHAnsi" w:hAnsiTheme="majorHAnsi"/>
          <w:sz w:val="20"/>
          <w:szCs w:val="20"/>
        </w:rPr>
      </w:pPr>
    </w:p>
    <w:p w:rsidR="00AE5D7D" w:rsidRPr="00D874C4" w:rsidRDefault="00AE5D7D" w:rsidP="000B65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Most state</w:t>
      </w:r>
      <w:r w:rsidR="009D1272" w:rsidRPr="00D874C4">
        <w:rPr>
          <w:rFonts w:asciiTheme="majorHAnsi" w:hAnsiTheme="majorHAnsi"/>
          <w:sz w:val="20"/>
          <w:szCs w:val="20"/>
        </w:rPr>
        <w:t>s</w:t>
      </w:r>
      <w:r w:rsidRPr="00D874C4">
        <w:rPr>
          <w:rFonts w:asciiTheme="majorHAnsi" w:hAnsiTheme="majorHAnsi"/>
          <w:sz w:val="20"/>
          <w:szCs w:val="20"/>
        </w:rPr>
        <w:t xml:space="preserve"> and federal government have a rule of evidence</w:t>
      </w:r>
      <w:r w:rsidR="0075784D" w:rsidRPr="00D874C4">
        <w:rPr>
          <w:rFonts w:asciiTheme="majorHAnsi" w:hAnsiTheme="majorHAnsi"/>
          <w:sz w:val="20"/>
          <w:szCs w:val="20"/>
        </w:rPr>
        <w:t>, known colloquially as “no impeachment”, generally</w:t>
      </w:r>
      <w:r w:rsidRPr="00D874C4">
        <w:rPr>
          <w:rFonts w:asciiTheme="majorHAnsi" w:hAnsiTheme="majorHAnsi"/>
          <w:sz w:val="20"/>
          <w:szCs w:val="20"/>
        </w:rPr>
        <w:t xml:space="preserve"> prohibiting the introduction of juror testimony regarding statements made during deliberations when offered to challenge the jury’s verdict. </w:t>
      </w:r>
      <w:r w:rsidR="00E139E3" w:rsidRPr="00D874C4">
        <w:rPr>
          <w:rFonts w:asciiTheme="majorHAnsi" w:hAnsiTheme="majorHAnsi"/>
          <w:sz w:val="20"/>
          <w:szCs w:val="20"/>
        </w:rPr>
        <w:t>In Peña-Rodriguez v. Colorado,</w:t>
      </w:r>
      <w:r w:rsidR="00E139E3" w:rsidRPr="00D874C4">
        <w:rPr>
          <w:rStyle w:val="FootnoteReference"/>
          <w:rFonts w:asciiTheme="majorHAnsi" w:hAnsiTheme="majorHAnsi"/>
          <w:sz w:val="20"/>
          <w:szCs w:val="20"/>
        </w:rPr>
        <w:footnoteReference w:id="41"/>
      </w:r>
      <w:r w:rsidR="00E139E3" w:rsidRPr="00D874C4">
        <w:rPr>
          <w:rFonts w:asciiTheme="majorHAnsi" w:hAnsiTheme="majorHAnsi"/>
          <w:sz w:val="20"/>
          <w:szCs w:val="20"/>
        </w:rPr>
        <w:t xml:space="preserve"> the United States Supreme Court was presented with the question whether a no-impeachment rule constitutionally may bar evidence of racial bias offered to prove a violation of the Sixth Amendment right to an impartial jury. </w:t>
      </w:r>
      <w:r w:rsidR="00246F6A" w:rsidRPr="00D874C4">
        <w:rPr>
          <w:rFonts w:asciiTheme="majorHAnsi" w:hAnsiTheme="majorHAnsi"/>
          <w:sz w:val="20"/>
          <w:szCs w:val="20"/>
        </w:rPr>
        <w:t>The U.S. Supreme Court held that, when a juror makes a clear statement indicating that he or she relied on racial stereotypes or animus to convict a criminal defendant, the Sixth Amendment requires that the no-impeachment rule give way to permit the trial court to consider the evidence of the juror’s statement and any resulting denial of the jury trial guarantee.</w:t>
      </w:r>
    </w:p>
    <w:p w:rsidR="00AE5D7D" w:rsidRPr="00D874C4" w:rsidRDefault="00AE5D7D" w:rsidP="00AE5D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D53E6B" w:rsidRPr="00D874C4" w:rsidRDefault="00CD1A79" w:rsidP="000B65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On March 5, 2018, Mr. Mitchell filed a motion in the district court to re-open section 2255 proceedings pursuant to Federal Rule of Civil Procedure 60(b)(6), arguing that the Supreme Court’s decision in Peña-Rodriguez v. Colorado, established that he was erroneously denied the opportunity to interview the jurors from his trial. </w:t>
      </w:r>
      <w:r w:rsidR="00647FA1" w:rsidRPr="00D874C4">
        <w:rPr>
          <w:rFonts w:asciiTheme="majorHAnsi" w:hAnsiTheme="majorHAnsi"/>
          <w:sz w:val="20"/>
          <w:szCs w:val="20"/>
        </w:rPr>
        <w:t>As established above, before filing his section 2255 motion, Mr. Mitchell moved the district court for authorization to interview the jurors from his capital trial and specifically requested to speak with jurors out of a concern that the jury panel “allowed bias or prejudice to cloud their judgment.” The district court denied the request based on procedural grounds and, alternatively, the court concluded that Mr. Mitchell had not shown “good cause” for contacting the jurors. In its 60(b)</w:t>
      </w:r>
      <w:r w:rsidR="002F6E6E" w:rsidRPr="00D874C4">
        <w:rPr>
          <w:rFonts w:asciiTheme="majorHAnsi" w:hAnsiTheme="majorHAnsi"/>
          <w:sz w:val="20"/>
          <w:szCs w:val="20"/>
        </w:rPr>
        <w:t xml:space="preserve"> motion, </w:t>
      </w:r>
      <w:r w:rsidR="00647FA1" w:rsidRPr="00D874C4">
        <w:rPr>
          <w:rFonts w:asciiTheme="majorHAnsi" w:hAnsiTheme="majorHAnsi"/>
          <w:sz w:val="20"/>
          <w:szCs w:val="20"/>
        </w:rPr>
        <w:t xml:space="preserve">Mr. Mitchell alleged that </w:t>
      </w:r>
      <w:r w:rsidR="002F6E6E" w:rsidRPr="00D874C4">
        <w:rPr>
          <w:rFonts w:asciiTheme="majorHAnsi" w:hAnsiTheme="majorHAnsi"/>
          <w:sz w:val="20"/>
          <w:szCs w:val="20"/>
        </w:rPr>
        <w:t xml:space="preserve">this error prevented </w:t>
      </w:r>
      <w:r w:rsidR="00647FA1" w:rsidRPr="00D874C4">
        <w:rPr>
          <w:rFonts w:asciiTheme="majorHAnsi" w:hAnsiTheme="majorHAnsi"/>
          <w:sz w:val="20"/>
          <w:szCs w:val="20"/>
        </w:rPr>
        <w:t>him</w:t>
      </w:r>
      <w:r w:rsidR="002F6E6E" w:rsidRPr="00D874C4">
        <w:rPr>
          <w:rFonts w:asciiTheme="majorHAnsi" w:hAnsiTheme="majorHAnsi"/>
          <w:sz w:val="20"/>
          <w:szCs w:val="20"/>
        </w:rPr>
        <w:t xml:space="preserve"> from presenting a fully investigated section 2255 motion and prevented the court from conducting a full merits determination. On September 18, 2018, the district court denied the motion on the merits and denied a certificate of appealability (“COA”).</w:t>
      </w:r>
      <w:r w:rsidR="00391D5A" w:rsidRPr="00D874C4">
        <w:rPr>
          <w:rStyle w:val="FootnoteReference"/>
          <w:rFonts w:asciiTheme="majorHAnsi" w:hAnsiTheme="majorHAnsi"/>
          <w:sz w:val="20"/>
          <w:szCs w:val="20"/>
        </w:rPr>
        <w:footnoteReference w:id="42"/>
      </w:r>
      <w:r w:rsidR="002F6E6E" w:rsidRPr="00D874C4">
        <w:rPr>
          <w:rFonts w:asciiTheme="majorHAnsi" w:hAnsiTheme="majorHAnsi"/>
          <w:sz w:val="20"/>
          <w:szCs w:val="20"/>
        </w:rPr>
        <w:t xml:space="preserve"> </w:t>
      </w:r>
    </w:p>
    <w:p w:rsidR="00D53E6B" w:rsidRPr="00D874C4" w:rsidRDefault="00D53E6B" w:rsidP="00D53E6B">
      <w:pPr>
        <w:pStyle w:val="ListParagraph"/>
        <w:rPr>
          <w:rFonts w:asciiTheme="majorHAnsi" w:hAnsiTheme="majorHAnsi"/>
          <w:sz w:val="20"/>
          <w:szCs w:val="20"/>
        </w:rPr>
      </w:pPr>
    </w:p>
    <w:p w:rsidR="00CD1A79" w:rsidRPr="00D874C4" w:rsidRDefault="002F6E6E" w:rsidP="000B65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Mr. Mitchell appealed </w:t>
      </w:r>
      <w:r w:rsidR="00D53E6B" w:rsidRPr="00D874C4">
        <w:rPr>
          <w:rFonts w:asciiTheme="majorHAnsi" w:hAnsiTheme="majorHAnsi"/>
          <w:sz w:val="20"/>
          <w:szCs w:val="20"/>
        </w:rPr>
        <w:t xml:space="preserve">the district court’s decision </w:t>
      </w:r>
      <w:r w:rsidRPr="00D874C4">
        <w:rPr>
          <w:rFonts w:asciiTheme="majorHAnsi" w:hAnsiTheme="majorHAnsi"/>
          <w:sz w:val="20"/>
          <w:szCs w:val="20"/>
        </w:rPr>
        <w:t xml:space="preserve">and </w:t>
      </w:r>
      <w:r w:rsidR="00D53E6B" w:rsidRPr="00D874C4">
        <w:rPr>
          <w:rFonts w:asciiTheme="majorHAnsi" w:hAnsiTheme="majorHAnsi"/>
          <w:sz w:val="20"/>
          <w:szCs w:val="20"/>
        </w:rPr>
        <w:t xml:space="preserve">on April 25, 2019, </w:t>
      </w:r>
      <w:r w:rsidRPr="00D874C4">
        <w:rPr>
          <w:rFonts w:asciiTheme="majorHAnsi" w:hAnsiTheme="majorHAnsi"/>
          <w:sz w:val="20"/>
          <w:szCs w:val="20"/>
        </w:rPr>
        <w:t xml:space="preserve">the </w:t>
      </w:r>
      <w:r w:rsidR="00D53E6B" w:rsidRPr="00D874C4">
        <w:rPr>
          <w:rFonts w:asciiTheme="majorHAnsi" w:hAnsiTheme="majorHAnsi"/>
          <w:sz w:val="20"/>
          <w:szCs w:val="20"/>
        </w:rPr>
        <w:t>Ninth Circuit</w:t>
      </w:r>
      <w:r w:rsidRPr="00D874C4">
        <w:rPr>
          <w:rFonts w:asciiTheme="majorHAnsi" w:hAnsiTheme="majorHAnsi"/>
          <w:sz w:val="20"/>
          <w:szCs w:val="20"/>
        </w:rPr>
        <w:t xml:space="preserve"> Court granted the motion for a COA on the following issue: “whether the district court properly denied appellant’s motion to re-open his case pursuant to Fed. R. Civ. P. 60(b)(6) following the Supreme Court’s opinion in Peña-Rodriguez v. Colorado.” Mr. Mitchell filed his opening brief on August 28, 20</w:t>
      </w:r>
      <w:r w:rsidR="00AE6E52" w:rsidRPr="00D874C4">
        <w:rPr>
          <w:rFonts w:asciiTheme="majorHAnsi" w:hAnsiTheme="majorHAnsi"/>
          <w:sz w:val="20"/>
          <w:szCs w:val="20"/>
        </w:rPr>
        <w:t>1</w:t>
      </w:r>
      <w:r w:rsidRPr="00D874C4">
        <w:rPr>
          <w:rFonts w:asciiTheme="majorHAnsi" w:hAnsiTheme="majorHAnsi"/>
          <w:sz w:val="20"/>
          <w:szCs w:val="20"/>
        </w:rPr>
        <w:t>9.</w:t>
      </w:r>
      <w:r w:rsidR="00391D5A" w:rsidRPr="00D874C4">
        <w:rPr>
          <w:rStyle w:val="FootnoteReference"/>
          <w:rFonts w:asciiTheme="majorHAnsi" w:hAnsiTheme="majorHAnsi"/>
          <w:sz w:val="20"/>
          <w:szCs w:val="20"/>
        </w:rPr>
        <w:footnoteReference w:id="43"/>
      </w:r>
    </w:p>
    <w:p w:rsidR="002F6E6E" w:rsidRPr="00D874C4" w:rsidRDefault="002F6E6E" w:rsidP="002F6E6E">
      <w:pPr>
        <w:pStyle w:val="ListParagraph"/>
        <w:rPr>
          <w:rFonts w:asciiTheme="majorHAnsi" w:hAnsiTheme="majorHAnsi"/>
          <w:sz w:val="20"/>
          <w:szCs w:val="20"/>
        </w:rPr>
      </w:pPr>
    </w:p>
    <w:p w:rsidR="002F6E6E" w:rsidRPr="00D874C4" w:rsidRDefault="00AE6E52" w:rsidP="000B65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On July 25, 2019, the Warden at the Federal Correctional Complex (FCC), Terre Haute, Indiana, notified Mr. Mitchell that the Director of the Federal Bureau of Prisons set December 11, 2019, as the date for his execution by lethal injection. </w:t>
      </w:r>
      <w:r w:rsidR="002F6E6E" w:rsidRPr="00D874C4">
        <w:rPr>
          <w:rFonts w:asciiTheme="majorHAnsi" w:hAnsiTheme="majorHAnsi"/>
          <w:sz w:val="20"/>
          <w:szCs w:val="20"/>
        </w:rPr>
        <w:t xml:space="preserve">On August 5, 2019, Mr. Mitchell filed a motion for stay of execution in the district court. On August 30, 2019, the district court denied the motion for lack of jurisdiction, finding that jurisdiction had passed to the </w:t>
      </w:r>
      <w:r w:rsidR="00D53E6B" w:rsidRPr="00D874C4">
        <w:rPr>
          <w:rFonts w:asciiTheme="majorHAnsi" w:hAnsiTheme="majorHAnsi"/>
          <w:sz w:val="20"/>
          <w:szCs w:val="20"/>
        </w:rPr>
        <w:t>Ninth Circuit</w:t>
      </w:r>
      <w:r w:rsidR="002F6E6E" w:rsidRPr="00D874C4">
        <w:rPr>
          <w:rFonts w:asciiTheme="majorHAnsi" w:hAnsiTheme="majorHAnsi"/>
          <w:sz w:val="20"/>
          <w:szCs w:val="20"/>
        </w:rPr>
        <w:t xml:space="preserve"> Court.</w:t>
      </w:r>
      <w:r w:rsidR="00391D5A" w:rsidRPr="00D874C4">
        <w:rPr>
          <w:rStyle w:val="FootnoteReference"/>
          <w:rFonts w:asciiTheme="majorHAnsi" w:hAnsiTheme="majorHAnsi"/>
          <w:sz w:val="20"/>
          <w:szCs w:val="20"/>
        </w:rPr>
        <w:footnoteReference w:id="44"/>
      </w:r>
      <w:r w:rsidR="002F6E6E" w:rsidRPr="00D874C4">
        <w:rPr>
          <w:rFonts w:asciiTheme="majorHAnsi" w:hAnsiTheme="majorHAnsi"/>
          <w:sz w:val="20"/>
          <w:szCs w:val="20"/>
        </w:rPr>
        <w:t xml:space="preserve"> </w:t>
      </w:r>
    </w:p>
    <w:p w:rsidR="00AE6E52" w:rsidRPr="00D874C4" w:rsidRDefault="00AE6E52" w:rsidP="00AE6E52">
      <w:pPr>
        <w:pStyle w:val="ListParagraph"/>
        <w:rPr>
          <w:rFonts w:asciiTheme="majorHAnsi" w:hAnsiTheme="majorHAnsi"/>
          <w:sz w:val="20"/>
          <w:szCs w:val="20"/>
        </w:rPr>
      </w:pPr>
    </w:p>
    <w:p w:rsidR="00EC41C7" w:rsidRPr="00D874C4" w:rsidRDefault="00AE6E52" w:rsidP="001451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On September 9, 2019, Mr. Mitchell filed a motion for stay of execution before the </w:t>
      </w:r>
      <w:r w:rsidR="00D53E6B" w:rsidRPr="00D874C4">
        <w:rPr>
          <w:rFonts w:asciiTheme="majorHAnsi" w:hAnsiTheme="majorHAnsi"/>
          <w:sz w:val="20"/>
          <w:szCs w:val="20"/>
        </w:rPr>
        <w:t>Ninth Circuit</w:t>
      </w:r>
      <w:r w:rsidRPr="00D874C4">
        <w:rPr>
          <w:rFonts w:asciiTheme="majorHAnsi" w:hAnsiTheme="majorHAnsi"/>
          <w:sz w:val="20"/>
          <w:szCs w:val="20"/>
        </w:rPr>
        <w:t xml:space="preserve"> Court.</w:t>
      </w:r>
      <w:r w:rsidR="00D15ED1" w:rsidRPr="00D874C4">
        <w:rPr>
          <w:rFonts w:asciiTheme="majorHAnsi" w:hAnsiTheme="majorHAnsi"/>
          <w:sz w:val="20"/>
          <w:szCs w:val="20"/>
        </w:rPr>
        <w:t xml:space="preserve"> On October 4, 2</w:t>
      </w:r>
      <w:r w:rsidR="000F671C" w:rsidRPr="00D874C4">
        <w:rPr>
          <w:rFonts w:asciiTheme="majorHAnsi" w:hAnsiTheme="majorHAnsi"/>
          <w:sz w:val="20"/>
          <w:szCs w:val="20"/>
        </w:rPr>
        <w:t>019, the c</w:t>
      </w:r>
      <w:r w:rsidR="00D15ED1" w:rsidRPr="00D874C4">
        <w:rPr>
          <w:rFonts w:asciiTheme="majorHAnsi" w:hAnsiTheme="majorHAnsi"/>
          <w:sz w:val="20"/>
          <w:szCs w:val="20"/>
        </w:rPr>
        <w:t>ourt stayed the execution pending resolution of the appeal</w:t>
      </w:r>
      <w:r w:rsidR="003D4BF9" w:rsidRPr="00D874C4">
        <w:rPr>
          <w:rFonts w:asciiTheme="majorHAnsi" w:hAnsiTheme="majorHAnsi"/>
          <w:sz w:val="20"/>
          <w:szCs w:val="20"/>
        </w:rPr>
        <w:t xml:space="preserve">. </w:t>
      </w:r>
      <w:r w:rsidR="000F671C" w:rsidRPr="00D874C4">
        <w:rPr>
          <w:rFonts w:asciiTheme="majorHAnsi" w:hAnsiTheme="majorHAnsi"/>
          <w:sz w:val="20"/>
          <w:szCs w:val="20"/>
        </w:rPr>
        <w:t>On December 13, 2019, the court conducted a</w:t>
      </w:r>
      <w:r w:rsidR="00D15ED1" w:rsidRPr="00D874C4">
        <w:rPr>
          <w:rFonts w:asciiTheme="majorHAnsi" w:hAnsiTheme="majorHAnsi"/>
          <w:sz w:val="20"/>
          <w:szCs w:val="20"/>
        </w:rPr>
        <w:t xml:space="preserve"> hearing</w:t>
      </w:r>
      <w:r w:rsidR="003D4BF9" w:rsidRPr="00D874C4">
        <w:rPr>
          <w:rFonts w:asciiTheme="majorHAnsi" w:hAnsiTheme="majorHAnsi"/>
          <w:sz w:val="20"/>
          <w:szCs w:val="20"/>
        </w:rPr>
        <w:t xml:space="preserve"> on the 60(b) motion</w:t>
      </w:r>
      <w:r w:rsidR="00EC41C7" w:rsidRPr="00D874C4">
        <w:rPr>
          <w:rFonts w:asciiTheme="majorHAnsi" w:hAnsiTheme="majorHAnsi"/>
          <w:sz w:val="20"/>
          <w:szCs w:val="20"/>
        </w:rPr>
        <w:t xml:space="preserve"> for authorization to interview jurors from his 2003 criminal trial to investigate potential juror bias.</w:t>
      </w:r>
      <w:r w:rsidR="00391D5A" w:rsidRPr="00D874C4">
        <w:rPr>
          <w:rStyle w:val="FootnoteReference"/>
          <w:rFonts w:asciiTheme="majorHAnsi" w:hAnsiTheme="majorHAnsi"/>
          <w:sz w:val="20"/>
          <w:szCs w:val="20"/>
        </w:rPr>
        <w:footnoteReference w:id="45"/>
      </w:r>
      <w:r w:rsidR="000F671C" w:rsidRPr="00D874C4">
        <w:rPr>
          <w:rFonts w:asciiTheme="majorHAnsi" w:hAnsiTheme="majorHAnsi"/>
          <w:sz w:val="20"/>
          <w:szCs w:val="20"/>
        </w:rPr>
        <w:t xml:space="preserve"> </w:t>
      </w:r>
      <w:r w:rsidR="00EC41C7" w:rsidRPr="00D874C4">
        <w:rPr>
          <w:rFonts w:asciiTheme="majorHAnsi" w:hAnsiTheme="majorHAnsi"/>
          <w:sz w:val="20"/>
          <w:szCs w:val="20"/>
        </w:rPr>
        <w:t xml:space="preserve">On April 30, 2020, a three-judge panel of the United States Court of Appeals for the Ninth Circuit affirmed the district court’s denial of Mr. Mitchell’s motion. The panel held that Mr. Mitchell presented no extraordinary circumstances or district court errors that would justify reopening the </w:t>
      </w:r>
      <w:r w:rsidR="00EC41C7" w:rsidRPr="00D874C4">
        <w:rPr>
          <w:rFonts w:asciiTheme="majorHAnsi" w:hAnsiTheme="majorHAnsi"/>
          <w:sz w:val="20"/>
          <w:szCs w:val="20"/>
        </w:rPr>
        <w:lastRenderedPageBreak/>
        <w:t>case, and that the district court therefore did not abuse its discretion by denying the motion. Two judges appended separate opinions.</w:t>
      </w:r>
      <w:r w:rsidR="00EC41C7" w:rsidRPr="00D874C4">
        <w:rPr>
          <w:rStyle w:val="FootnoteReference"/>
          <w:rFonts w:asciiTheme="majorHAnsi" w:hAnsiTheme="majorHAnsi"/>
          <w:sz w:val="20"/>
          <w:szCs w:val="20"/>
        </w:rPr>
        <w:footnoteReference w:id="46"/>
      </w:r>
    </w:p>
    <w:p w:rsidR="00A20E77" w:rsidRPr="00D874C4" w:rsidRDefault="00A20E77" w:rsidP="00E83F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rsidR="0013603E" w:rsidRPr="00D874C4" w:rsidRDefault="00D97195" w:rsidP="00D97195">
      <w:pPr>
        <w:pStyle w:val="Heading2"/>
        <w:tabs>
          <w:tab w:val="left" w:pos="360"/>
        </w:tabs>
        <w:spacing w:before="0"/>
        <w:rPr>
          <w:color w:val="auto"/>
          <w:sz w:val="20"/>
          <w:szCs w:val="20"/>
        </w:rPr>
      </w:pPr>
      <w:bookmarkStart w:id="35" w:name="_Toc6226968"/>
      <w:bookmarkStart w:id="36" w:name="_Toc44015989"/>
      <w:bookmarkStart w:id="37" w:name="_Toc49161063"/>
      <w:r w:rsidRPr="00D874C4">
        <w:rPr>
          <w:color w:val="auto"/>
          <w:sz w:val="20"/>
          <w:szCs w:val="20"/>
        </w:rPr>
        <w:t xml:space="preserve">G. </w:t>
      </w:r>
      <w:r w:rsidRPr="00D874C4">
        <w:rPr>
          <w:color w:val="auto"/>
          <w:sz w:val="20"/>
          <w:szCs w:val="20"/>
        </w:rPr>
        <w:tab/>
      </w:r>
      <w:r w:rsidR="0013603E" w:rsidRPr="00D874C4">
        <w:rPr>
          <w:color w:val="auto"/>
          <w:sz w:val="20"/>
          <w:szCs w:val="20"/>
        </w:rPr>
        <w:t>Legal proceedings regarding the lethal injection protocol</w:t>
      </w:r>
      <w:bookmarkEnd w:id="35"/>
      <w:bookmarkEnd w:id="36"/>
      <w:bookmarkEnd w:id="37"/>
    </w:p>
    <w:p w:rsidR="00225457" w:rsidRPr="00D874C4" w:rsidRDefault="00225457" w:rsidP="00F527E0">
      <w:pPr>
        <w:rPr>
          <w:rFonts w:asciiTheme="majorHAnsi" w:hAnsiTheme="majorHAnsi"/>
          <w:sz w:val="20"/>
          <w:szCs w:val="20"/>
        </w:rPr>
      </w:pPr>
    </w:p>
    <w:p w:rsidR="00E85ABA" w:rsidRPr="00D874C4" w:rsidRDefault="00225457" w:rsidP="002254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On </w:t>
      </w:r>
      <w:r w:rsidR="00F930A7" w:rsidRPr="00D874C4">
        <w:rPr>
          <w:rFonts w:asciiTheme="majorHAnsi" w:hAnsiTheme="majorHAnsi"/>
          <w:sz w:val="20"/>
          <w:szCs w:val="20"/>
        </w:rPr>
        <w:t>July 8, 2014,</w:t>
      </w:r>
      <w:r w:rsidRPr="00D874C4">
        <w:rPr>
          <w:rFonts w:asciiTheme="majorHAnsi" w:hAnsiTheme="majorHAnsi"/>
          <w:sz w:val="20"/>
          <w:szCs w:val="20"/>
        </w:rPr>
        <w:t xml:space="preserve"> Mr. </w:t>
      </w:r>
      <w:r w:rsidR="00F930A7" w:rsidRPr="00D874C4">
        <w:rPr>
          <w:rFonts w:asciiTheme="majorHAnsi" w:hAnsiTheme="majorHAnsi"/>
          <w:sz w:val="20"/>
          <w:szCs w:val="20"/>
        </w:rPr>
        <w:t xml:space="preserve">Mitchell </w:t>
      </w:r>
      <w:r w:rsidR="0095554D" w:rsidRPr="00D874C4">
        <w:rPr>
          <w:rFonts w:asciiTheme="majorHAnsi" w:hAnsiTheme="majorHAnsi"/>
          <w:sz w:val="20"/>
          <w:szCs w:val="20"/>
        </w:rPr>
        <w:t xml:space="preserve">joined a federal lawsuit in </w:t>
      </w:r>
      <w:r w:rsidRPr="00D874C4">
        <w:rPr>
          <w:rFonts w:asciiTheme="majorHAnsi" w:hAnsiTheme="majorHAnsi"/>
          <w:sz w:val="20"/>
          <w:szCs w:val="20"/>
        </w:rPr>
        <w:t>the U.S. District Court for the District of Columbia claiming that the means by which the government s</w:t>
      </w:r>
      <w:r w:rsidR="0095554D" w:rsidRPr="00D874C4">
        <w:rPr>
          <w:rFonts w:asciiTheme="majorHAnsi" w:hAnsiTheme="majorHAnsi"/>
          <w:sz w:val="20"/>
          <w:szCs w:val="20"/>
        </w:rPr>
        <w:t>eeks</w:t>
      </w:r>
      <w:r w:rsidRPr="00D874C4">
        <w:rPr>
          <w:rFonts w:asciiTheme="majorHAnsi" w:hAnsiTheme="majorHAnsi"/>
          <w:sz w:val="20"/>
          <w:szCs w:val="20"/>
        </w:rPr>
        <w:t xml:space="preserve"> to implement the death penalty would violate the U.S. Constitution as well as federal law. On January 13, 2012, the </w:t>
      </w:r>
      <w:r w:rsidR="0095554D" w:rsidRPr="00D874C4">
        <w:rPr>
          <w:rFonts w:asciiTheme="majorHAnsi" w:hAnsiTheme="majorHAnsi"/>
          <w:sz w:val="20"/>
          <w:szCs w:val="20"/>
        </w:rPr>
        <w:t>district court</w:t>
      </w:r>
      <w:r w:rsidRPr="00D874C4">
        <w:rPr>
          <w:rFonts w:asciiTheme="majorHAnsi" w:hAnsiTheme="majorHAnsi"/>
          <w:sz w:val="20"/>
          <w:szCs w:val="20"/>
        </w:rPr>
        <w:t xml:space="preserve"> ordered that the</w:t>
      </w:r>
      <w:r w:rsidR="0095554D" w:rsidRPr="00D874C4">
        <w:rPr>
          <w:rFonts w:asciiTheme="majorHAnsi" w:hAnsiTheme="majorHAnsi"/>
          <w:sz w:val="20"/>
          <w:szCs w:val="20"/>
        </w:rPr>
        <w:t xml:space="preserve"> civil</w:t>
      </w:r>
      <w:r w:rsidRPr="00D874C4">
        <w:rPr>
          <w:rFonts w:asciiTheme="majorHAnsi" w:hAnsiTheme="majorHAnsi"/>
          <w:sz w:val="20"/>
          <w:szCs w:val="20"/>
        </w:rPr>
        <w:t xml:space="preserve"> case be stayed pending the </w:t>
      </w:r>
      <w:r w:rsidR="0095554D" w:rsidRPr="00D874C4">
        <w:rPr>
          <w:rFonts w:asciiTheme="majorHAnsi" w:hAnsiTheme="majorHAnsi"/>
          <w:sz w:val="20"/>
          <w:szCs w:val="20"/>
        </w:rPr>
        <w:t xml:space="preserve">Federal </w:t>
      </w:r>
      <w:r w:rsidRPr="00D874C4">
        <w:rPr>
          <w:rFonts w:asciiTheme="majorHAnsi" w:hAnsiTheme="majorHAnsi"/>
          <w:sz w:val="20"/>
          <w:szCs w:val="20"/>
        </w:rPr>
        <w:t>Bureau of Prisons’ issuance of a revised lethal injection protocol.</w:t>
      </w:r>
      <w:r w:rsidR="001B6CB3" w:rsidRPr="00D874C4">
        <w:rPr>
          <w:rStyle w:val="FootnoteReference"/>
          <w:rFonts w:asciiTheme="majorHAnsi" w:hAnsiTheme="majorHAnsi"/>
          <w:sz w:val="20"/>
          <w:szCs w:val="20"/>
        </w:rPr>
        <w:footnoteReference w:id="47"/>
      </w:r>
      <w:r w:rsidRPr="00D874C4">
        <w:rPr>
          <w:rFonts w:asciiTheme="majorHAnsi" w:hAnsiTheme="majorHAnsi"/>
          <w:sz w:val="20"/>
          <w:szCs w:val="20"/>
        </w:rPr>
        <w:t xml:space="preserve"> </w:t>
      </w:r>
    </w:p>
    <w:p w:rsidR="00841614" w:rsidRPr="00D874C4" w:rsidRDefault="00841614" w:rsidP="008416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20"/>
          <w:szCs w:val="20"/>
        </w:rPr>
      </w:pPr>
    </w:p>
    <w:p w:rsidR="00841614" w:rsidRPr="00D874C4" w:rsidRDefault="000F671C" w:rsidP="002254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As indicated above, o</w:t>
      </w:r>
      <w:r w:rsidR="00841614" w:rsidRPr="00D874C4">
        <w:rPr>
          <w:rFonts w:asciiTheme="majorHAnsi" w:hAnsiTheme="majorHAnsi"/>
          <w:sz w:val="20"/>
          <w:szCs w:val="20"/>
        </w:rPr>
        <w:t>n July 25, 2019, the Federal Bureau of Prisons filed a notice indicating that they had adopted a revised lethal injection protocol. That same day, the Warden informed Mr. Mitchell of his December 11, 2019, execution. Neither the Warden’s letter, nor a press release issued by the Department of Justice</w:t>
      </w:r>
      <w:r w:rsidR="00AE6E52" w:rsidRPr="00D874C4">
        <w:rPr>
          <w:rFonts w:asciiTheme="majorHAnsi" w:hAnsiTheme="majorHAnsi"/>
          <w:sz w:val="20"/>
          <w:szCs w:val="20"/>
        </w:rPr>
        <w:t>,</w:t>
      </w:r>
      <w:r w:rsidR="00AE6E52" w:rsidRPr="00D874C4">
        <w:rPr>
          <w:rStyle w:val="FootnoteReference"/>
          <w:rFonts w:ascii="Cambria" w:hAnsi="Cambria"/>
          <w:sz w:val="20"/>
          <w:szCs w:val="20"/>
        </w:rPr>
        <w:footnoteReference w:id="48"/>
      </w:r>
      <w:r w:rsidR="00841614" w:rsidRPr="00D874C4">
        <w:rPr>
          <w:rFonts w:asciiTheme="majorHAnsi" w:hAnsiTheme="majorHAnsi"/>
          <w:sz w:val="20"/>
          <w:szCs w:val="20"/>
        </w:rPr>
        <w:t xml:space="preserve"> indicated an awareness of the current litigation before the Ninth Circuit.</w:t>
      </w:r>
    </w:p>
    <w:p w:rsidR="0011143B" w:rsidRPr="00D874C4" w:rsidRDefault="0011143B" w:rsidP="0011143B">
      <w:pPr>
        <w:pStyle w:val="ListParagraph"/>
        <w:rPr>
          <w:rFonts w:asciiTheme="majorHAnsi" w:hAnsiTheme="majorHAnsi"/>
          <w:sz w:val="20"/>
          <w:szCs w:val="20"/>
        </w:rPr>
      </w:pPr>
    </w:p>
    <w:p w:rsidR="0011143B" w:rsidRPr="00D874C4" w:rsidRDefault="0011143B" w:rsidP="002254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According to publicly available information, in November 2019 a judge</w:t>
      </w:r>
      <w:r w:rsidR="000D0DD7" w:rsidRPr="00D874C4">
        <w:rPr>
          <w:rFonts w:asciiTheme="majorHAnsi" w:hAnsiTheme="majorHAnsi"/>
          <w:sz w:val="20"/>
          <w:szCs w:val="20"/>
        </w:rPr>
        <w:t xml:space="preserve"> of the U.S. District Court for the District of Columbia</w:t>
      </w:r>
      <w:r w:rsidRPr="00D874C4">
        <w:rPr>
          <w:rFonts w:asciiTheme="majorHAnsi" w:hAnsiTheme="majorHAnsi"/>
          <w:sz w:val="20"/>
          <w:szCs w:val="20"/>
        </w:rPr>
        <w:t xml:space="preserve"> issued an injunction putting a temporary hold on the federal executions of Mr. Mitchell and three other death-row inmates, while the</w:t>
      </w:r>
      <w:r w:rsidR="00A37DE2" w:rsidRPr="00D874C4">
        <w:rPr>
          <w:rFonts w:asciiTheme="majorHAnsi" w:hAnsiTheme="majorHAnsi"/>
          <w:sz w:val="20"/>
          <w:szCs w:val="20"/>
        </w:rPr>
        <w:t>ir</w:t>
      </w:r>
      <w:r w:rsidRPr="00D874C4">
        <w:rPr>
          <w:rFonts w:asciiTheme="majorHAnsi" w:hAnsiTheme="majorHAnsi"/>
          <w:sz w:val="20"/>
          <w:szCs w:val="20"/>
        </w:rPr>
        <w:t xml:space="preserve"> attorneys challenged the government’s lethal injection procedure. </w:t>
      </w:r>
      <w:r w:rsidR="00DB60AB" w:rsidRPr="00D874C4">
        <w:rPr>
          <w:rFonts w:asciiTheme="majorHAnsi" w:hAnsiTheme="majorHAnsi"/>
          <w:sz w:val="20"/>
          <w:szCs w:val="20"/>
        </w:rPr>
        <w:t>The judge found that the procedure “very likely exceeds” the government’s authority under federal law.</w:t>
      </w:r>
      <w:r w:rsidR="00833AF2" w:rsidRPr="00D874C4">
        <w:rPr>
          <w:rFonts w:asciiTheme="majorHAnsi" w:hAnsiTheme="majorHAnsi"/>
          <w:sz w:val="20"/>
          <w:szCs w:val="20"/>
        </w:rPr>
        <w:t xml:space="preserve"> On December 2, 2019, the U.S. Court of Appeals for the D.C. Circuit denied the Justice Department’s request to scuttle the injunc</w:t>
      </w:r>
      <w:r w:rsidR="00A74DA6" w:rsidRPr="00D874C4">
        <w:rPr>
          <w:rFonts w:asciiTheme="majorHAnsi" w:hAnsiTheme="majorHAnsi"/>
          <w:sz w:val="20"/>
          <w:szCs w:val="20"/>
        </w:rPr>
        <w:t>tion while it appealed, and on December 6, 2019, the United States Supreme Court refused to let the Justice Department immediately resume federal executions.</w:t>
      </w:r>
      <w:r w:rsidR="00DB60AB" w:rsidRPr="00D874C4">
        <w:rPr>
          <w:rStyle w:val="FootnoteReference"/>
          <w:rFonts w:asciiTheme="majorHAnsi" w:hAnsiTheme="majorHAnsi"/>
          <w:sz w:val="20"/>
          <w:szCs w:val="20"/>
        </w:rPr>
        <w:footnoteReference w:id="49"/>
      </w:r>
      <w:r w:rsidR="0052322E" w:rsidRPr="00D874C4">
        <w:rPr>
          <w:rFonts w:asciiTheme="majorHAnsi" w:hAnsiTheme="majorHAnsi"/>
          <w:sz w:val="20"/>
          <w:szCs w:val="20"/>
        </w:rPr>
        <w:t xml:space="preserve"> In April 2020, the appeals court reversed the initial injunction </w:t>
      </w:r>
      <w:r w:rsidR="00426CF8" w:rsidRPr="00D874C4">
        <w:rPr>
          <w:rFonts w:asciiTheme="majorHAnsi" w:hAnsiTheme="majorHAnsi"/>
          <w:sz w:val="20"/>
          <w:szCs w:val="20"/>
        </w:rPr>
        <w:t>issued by the U.S. District Court, and the U.S. Justice Department scheduled the executions of four federal death row inmates for July and August 2020.</w:t>
      </w:r>
      <w:r w:rsidR="00426CF8" w:rsidRPr="00D874C4">
        <w:rPr>
          <w:rStyle w:val="FootnoteReference"/>
          <w:rFonts w:asciiTheme="majorHAnsi" w:hAnsiTheme="majorHAnsi"/>
          <w:sz w:val="20"/>
          <w:szCs w:val="20"/>
        </w:rPr>
        <w:footnoteReference w:id="50"/>
      </w:r>
    </w:p>
    <w:p w:rsidR="0052322E" w:rsidRPr="00D874C4" w:rsidRDefault="0052322E" w:rsidP="00F527E0">
      <w:pPr>
        <w:rPr>
          <w:rFonts w:asciiTheme="majorHAnsi" w:hAnsiTheme="majorHAnsi"/>
          <w:sz w:val="20"/>
          <w:szCs w:val="20"/>
        </w:rPr>
      </w:pPr>
    </w:p>
    <w:p w:rsidR="00677DA7" w:rsidRPr="00D874C4" w:rsidRDefault="00677DA7" w:rsidP="003676F1">
      <w:pPr>
        <w:pStyle w:val="Heading1"/>
        <w:tabs>
          <w:tab w:val="left" w:pos="360"/>
        </w:tabs>
        <w:spacing w:before="0"/>
        <w:ind w:hanging="720"/>
        <w:rPr>
          <w:color w:val="auto"/>
          <w:sz w:val="20"/>
          <w:szCs w:val="20"/>
        </w:rPr>
      </w:pPr>
      <w:bookmarkStart w:id="38" w:name="_Toc44015990"/>
      <w:bookmarkStart w:id="39" w:name="_Toc49161064"/>
      <w:r w:rsidRPr="00D874C4">
        <w:rPr>
          <w:color w:val="auto"/>
          <w:sz w:val="20"/>
          <w:szCs w:val="20"/>
        </w:rPr>
        <w:t>ANALYSIS OF LAW</w:t>
      </w:r>
      <w:bookmarkEnd w:id="38"/>
      <w:bookmarkEnd w:id="39"/>
    </w:p>
    <w:p w:rsidR="00E57AC6" w:rsidRPr="00D874C4" w:rsidRDefault="00E57AC6" w:rsidP="00E57AC6">
      <w:pPr>
        <w:rPr>
          <w:rFonts w:asciiTheme="majorHAnsi" w:hAnsiTheme="majorHAnsi"/>
          <w:sz w:val="20"/>
          <w:szCs w:val="20"/>
        </w:rPr>
      </w:pPr>
    </w:p>
    <w:p w:rsidR="00677DA7" w:rsidRPr="00D874C4" w:rsidRDefault="00677DA7" w:rsidP="009C6457">
      <w:pPr>
        <w:pStyle w:val="Heading2"/>
        <w:numPr>
          <w:ilvl w:val="0"/>
          <w:numId w:val="61"/>
        </w:numPr>
        <w:tabs>
          <w:tab w:val="left" w:pos="360"/>
        </w:tabs>
        <w:spacing w:before="0"/>
        <w:ind w:left="0" w:firstLine="0"/>
        <w:rPr>
          <w:color w:val="auto"/>
          <w:sz w:val="20"/>
          <w:szCs w:val="20"/>
        </w:rPr>
      </w:pPr>
      <w:bookmarkStart w:id="40" w:name="_Toc44015991"/>
      <w:bookmarkStart w:id="41" w:name="_Toc49161065"/>
      <w:r w:rsidRPr="00D874C4">
        <w:rPr>
          <w:color w:val="auto"/>
          <w:sz w:val="20"/>
          <w:szCs w:val="20"/>
        </w:rPr>
        <w:t>Preliminary considerations</w:t>
      </w:r>
      <w:bookmarkEnd w:id="40"/>
      <w:bookmarkEnd w:id="41"/>
    </w:p>
    <w:p w:rsidR="00E57AC6" w:rsidRPr="00D874C4" w:rsidRDefault="00E57AC6" w:rsidP="00E57AC6">
      <w:pPr>
        <w:pStyle w:val="ListParagraph"/>
        <w:rPr>
          <w:sz w:val="20"/>
          <w:szCs w:val="20"/>
        </w:rPr>
      </w:pPr>
    </w:p>
    <w:p w:rsidR="00E57AC6" w:rsidRPr="00D874C4" w:rsidRDefault="00E57AC6" w:rsidP="00B44448">
      <w:pPr>
        <w:pStyle w:val="parrafos"/>
        <w:numPr>
          <w:ilvl w:val="0"/>
          <w:numId w:val="55"/>
        </w:numPr>
        <w:ind w:left="0" w:firstLine="0"/>
      </w:pPr>
      <w:r w:rsidRPr="00D874C4">
        <w:t xml:space="preserve">Before embarking on its analysis of the merits in the case </w:t>
      </w:r>
      <w:proofErr w:type="spellStart"/>
      <w:r w:rsidR="00BD00E1" w:rsidRPr="00D874C4">
        <w:t>Lezmond</w:t>
      </w:r>
      <w:proofErr w:type="spellEnd"/>
      <w:r w:rsidR="00BD00E1" w:rsidRPr="00D874C4">
        <w:t xml:space="preserve"> C. Mitchell</w:t>
      </w:r>
      <w:r w:rsidRPr="00D874C4">
        <w:t xml:space="preserve"> the Inter-American </w:t>
      </w:r>
      <w:r w:rsidR="00426CF8" w:rsidRPr="00D874C4">
        <w:t>Commission reiterates</w:t>
      </w:r>
      <w:r w:rsidRPr="00D874C4">
        <w:t xml:space="preserve"> its previous rulings regarding the heightened scrutiny to be used in cases involving the death penalty. The right to life has received broad recognition as the supreme human right and as a sine qua non for the enjoyment of all other rights. </w:t>
      </w:r>
    </w:p>
    <w:p w:rsidR="00E57AC6" w:rsidRPr="00D874C4" w:rsidRDefault="00E57AC6" w:rsidP="00B444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E57AC6" w:rsidRPr="00D874C4" w:rsidRDefault="00E57AC6" w:rsidP="00B44448">
      <w:pPr>
        <w:pStyle w:val="parrafos"/>
        <w:numPr>
          <w:ilvl w:val="0"/>
          <w:numId w:val="55"/>
        </w:numPr>
        <w:ind w:left="0" w:firstLine="0"/>
      </w:pPr>
      <w:r w:rsidRPr="00D874C4">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D874C4">
        <w:rPr>
          <w:rStyle w:val="FootnoteReference"/>
        </w:rPr>
        <w:footnoteReference w:id="51"/>
      </w:r>
      <w:r w:rsidRPr="00D874C4">
        <w:t xml:space="preserve"> and it has been set out and applied by the Inter-</w:t>
      </w:r>
      <w:r w:rsidRPr="00D874C4">
        <w:lastRenderedPageBreak/>
        <w:t>American Commission in previous capital cases brought before it.</w:t>
      </w:r>
      <w:r w:rsidRPr="00D874C4">
        <w:rPr>
          <w:rStyle w:val="FootnoteReference"/>
        </w:rPr>
        <w:footnoteReference w:id="52"/>
      </w:r>
      <w:r w:rsidRPr="00D874C4">
        <w:t xml:space="preserve"> As the Inter-American Commission has explained, this standard of review is the necessary consequence of the specific penalty at issue and the right to a fair trial and all attendant due process guarantees, among others.</w:t>
      </w:r>
      <w:r w:rsidRPr="00D874C4">
        <w:rPr>
          <w:rStyle w:val="FootnoteReference"/>
        </w:rPr>
        <w:footnoteReference w:id="53"/>
      </w:r>
      <w:r w:rsidRPr="00D874C4">
        <w:t xml:space="preserve"> In the words of the Commission:</w:t>
      </w:r>
    </w:p>
    <w:p w:rsidR="00E57AC6" w:rsidRPr="00D874C4" w:rsidRDefault="00E57AC6" w:rsidP="00E57AC6">
      <w:pPr>
        <w:pStyle w:val="ListParagraph"/>
        <w:rPr>
          <w:sz w:val="20"/>
          <w:szCs w:val="20"/>
        </w:rPr>
      </w:pPr>
    </w:p>
    <w:p w:rsidR="00E57AC6" w:rsidRPr="00D874C4" w:rsidRDefault="00E57AC6" w:rsidP="00E57AC6">
      <w:pPr>
        <w:autoSpaceDE w:val="0"/>
        <w:autoSpaceDN w:val="0"/>
        <w:adjustRightInd w:val="0"/>
        <w:ind w:left="360" w:right="360"/>
        <w:jc w:val="both"/>
        <w:rPr>
          <w:rFonts w:ascii="Cambria" w:hAnsi="Cambria" w:cs="Calibri"/>
          <w:sz w:val="18"/>
          <w:szCs w:val="18"/>
        </w:rPr>
      </w:pPr>
      <w:r w:rsidRPr="00D874C4">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D874C4">
        <w:rPr>
          <w:rStyle w:val="FootnoteReference"/>
          <w:rFonts w:ascii="Cambria" w:hAnsi="Cambria"/>
          <w:sz w:val="18"/>
          <w:szCs w:val="18"/>
        </w:rPr>
        <w:footnoteReference w:id="54"/>
      </w:r>
    </w:p>
    <w:p w:rsidR="00E57AC6" w:rsidRPr="00D874C4" w:rsidRDefault="00E57AC6" w:rsidP="00E57AC6">
      <w:pPr>
        <w:jc w:val="both"/>
        <w:rPr>
          <w:rFonts w:ascii="Cambria" w:hAnsi="Cambria"/>
          <w:sz w:val="20"/>
          <w:szCs w:val="20"/>
        </w:rPr>
      </w:pPr>
    </w:p>
    <w:p w:rsidR="00E57AC6" w:rsidRPr="00D874C4"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rPr>
      </w:pPr>
      <w:r w:rsidRPr="00D874C4">
        <w:rPr>
          <w:rFonts w:asciiTheme="majorHAnsi" w:hAnsiTheme="majorHAnsi"/>
          <w:sz w:val="20"/>
          <w:szCs w:val="20"/>
        </w:rPr>
        <w:t xml:space="preserve">The Inter-American Commission will therefore review the petitioner’s allegations in the present case with a heightened level of scrutiny, to ensure in particular that the rights to life, </w:t>
      </w:r>
      <w:r w:rsidR="003B1D61" w:rsidRPr="00D874C4">
        <w:rPr>
          <w:rFonts w:asciiTheme="majorHAnsi" w:hAnsiTheme="majorHAnsi"/>
          <w:sz w:val="20"/>
          <w:szCs w:val="20"/>
        </w:rPr>
        <w:t xml:space="preserve">not to receive cruel, infamous or unusual punishment, to </w:t>
      </w:r>
      <w:r w:rsidRPr="00D874C4">
        <w:rPr>
          <w:rFonts w:asciiTheme="majorHAnsi" w:hAnsiTheme="majorHAnsi"/>
          <w:sz w:val="20"/>
          <w:szCs w:val="20"/>
        </w:rPr>
        <w:t>due process, and to a fair trial as prescribed under the American Declaration</w:t>
      </w:r>
      <w:r w:rsidR="003B1D61" w:rsidRPr="00D874C4">
        <w:rPr>
          <w:rFonts w:asciiTheme="majorHAnsi" w:hAnsiTheme="majorHAnsi"/>
          <w:sz w:val="20"/>
          <w:szCs w:val="20"/>
        </w:rPr>
        <w:t>,</w:t>
      </w:r>
      <w:r w:rsidRPr="00D874C4">
        <w:rPr>
          <w:rFonts w:asciiTheme="majorHAnsi" w:hAnsiTheme="majorHAnsi"/>
          <w:sz w:val="20"/>
          <w:szCs w:val="20"/>
        </w:rPr>
        <w:t xml:space="preserve"> have been respected by the State. With regard to the legal status of the American</w:t>
      </w:r>
      <w:r w:rsidRPr="00D874C4">
        <w:rPr>
          <w:rFonts w:ascii="Cambria" w:hAnsi="Cambria"/>
          <w:sz w:val="20"/>
        </w:rPr>
        <w:t xml:space="preserve"> Declaration, the IACHR reiterates that:</w:t>
      </w:r>
      <w:r w:rsidRPr="00D874C4">
        <w:rPr>
          <w:rStyle w:val="FootnoteReference"/>
          <w:rFonts w:ascii="Cambria" w:hAnsi="Cambria"/>
          <w:sz w:val="20"/>
          <w:szCs w:val="20"/>
        </w:rPr>
        <w:footnoteReference w:id="55"/>
      </w:r>
      <w:r w:rsidRPr="00D874C4">
        <w:rPr>
          <w:rFonts w:ascii="Cambria" w:hAnsi="Cambria" w:cs="Tahoma"/>
          <w:color w:val="262626"/>
          <w:sz w:val="20"/>
          <w:szCs w:val="20"/>
        </w:rPr>
        <w:t xml:space="preserve"> </w:t>
      </w:r>
    </w:p>
    <w:p w:rsidR="00E57AC6" w:rsidRPr="00D874C4" w:rsidRDefault="00E57AC6" w:rsidP="00E57AC6">
      <w:pPr>
        <w:tabs>
          <w:tab w:val="left" w:pos="630"/>
          <w:tab w:val="left" w:pos="810"/>
        </w:tabs>
        <w:autoSpaceDE w:val="0"/>
        <w:autoSpaceDN w:val="0"/>
        <w:adjustRightInd w:val="0"/>
        <w:jc w:val="both"/>
        <w:rPr>
          <w:rFonts w:ascii="Cambria" w:hAnsi="Cambria" w:cs="Calibri"/>
          <w:sz w:val="20"/>
          <w:szCs w:val="20"/>
        </w:rPr>
      </w:pPr>
    </w:p>
    <w:p w:rsidR="00E57AC6" w:rsidRPr="00D874C4" w:rsidRDefault="00E57AC6" w:rsidP="00E57AC6">
      <w:pPr>
        <w:tabs>
          <w:tab w:val="left" w:pos="630"/>
          <w:tab w:val="left" w:pos="810"/>
        </w:tabs>
        <w:autoSpaceDE w:val="0"/>
        <w:autoSpaceDN w:val="0"/>
        <w:adjustRightInd w:val="0"/>
        <w:ind w:left="360" w:right="360"/>
        <w:jc w:val="both"/>
        <w:rPr>
          <w:rFonts w:ascii="Cambria" w:hAnsi="Cambria" w:cs="Calibri"/>
          <w:sz w:val="18"/>
          <w:szCs w:val="18"/>
        </w:rPr>
      </w:pPr>
      <w:r w:rsidRPr="00D874C4">
        <w:rPr>
          <w:rFonts w:ascii="Cambria" w:hAnsi="Cambria"/>
          <w:sz w:val="18"/>
          <w:szCs w:val="18"/>
        </w:rPr>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rsidR="00E57AC6" w:rsidRPr="00D874C4" w:rsidRDefault="00E57AC6" w:rsidP="00E57AC6">
      <w:pPr>
        <w:pStyle w:val="ListParagraph"/>
        <w:rPr>
          <w:sz w:val="20"/>
          <w:szCs w:val="20"/>
        </w:rPr>
      </w:pPr>
    </w:p>
    <w:p w:rsidR="00E57AC6" w:rsidRPr="00D874C4"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D874C4">
        <w:rPr>
          <w:rFonts w:asciiTheme="majorHAnsi" w:hAnsiTheme="majorHAnsi"/>
          <w:sz w:val="20"/>
        </w:rPr>
        <w:t xml:space="preserve">Finally, the Commission recalls that its review does not consist of determining that the death penalty in and of itself violates the American Declaration. What this section addresses is the standard of review of the alleged human rights violations in the context of </w:t>
      </w:r>
      <w:r w:rsidR="002E3921" w:rsidRPr="00D874C4">
        <w:rPr>
          <w:rFonts w:asciiTheme="majorHAnsi" w:hAnsiTheme="majorHAnsi"/>
          <w:sz w:val="20"/>
        </w:rPr>
        <w:t>criminal proceedings in a case involving the application of t</w:t>
      </w:r>
      <w:r w:rsidRPr="00D874C4">
        <w:rPr>
          <w:rFonts w:asciiTheme="majorHAnsi" w:hAnsiTheme="majorHAnsi"/>
          <w:sz w:val="20"/>
        </w:rPr>
        <w:t>he death penalty.</w:t>
      </w:r>
    </w:p>
    <w:p w:rsidR="00E57AC6" w:rsidRPr="00D874C4" w:rsidRDefault="00E57AC6" w:rsidP="00B55F23">
      <w:pPr>
        <w:pStyle w:val="Heading2"/>
        <w:tabs>
          <w:tab w:val="left" w:pos="360"/>
        </w:tabs>
        <w:spacing w:before="0"/>
        <w:rPr>
          <w:sz w:val="20"/>
          <w:szCs w:val="20"/>
        </w:rPr>
      </w:pPr>
    </w:p>
    <w:p w:rsidR="00750201" w:rsidRPr="00D874C4" w:rsidRDefault="00750201" w:rsidP="00750201">
      <w:pPr>
        <w:pStyle w:val="Heading2"/>
        <w:numPr>
          <w:ilvl w:val="0"/>
          <w:numId w:val="61"/>
        </w:numPr>
        <w:tabs>
          <w:tab w:val="left" w:pos="360"/>
        </w:tabs>
        <w:spacing w:before="0"/>
        <w:ind w:left="0" w:firstLine="0"/>
        <w:jc w:val="both"/>
        <w:rPr>
          <w:color w:val="auto"/>
          <w:sz w:val="20"/>
          <w:szCs w:val="20"/>
        </w:rPr>
      </w:pPr>
      <w:bookmarkStart w:id="42" w:name="_Toc44015992"/>
      <w:bookmarkStart w:id="43" w:name="_Toc49161066"/>
      <w:bookmarkStart w:id="44" w:name="_Toc485650798"/>
      <w:bookmarkStart w:id="45" w:name="_Toc6226971"/>
      <w:r w:rsidRPr="00D874C4">
        <w:rPr>
          <w:color w:val="auto"/>
          <w:sz w:val="20"/>
          <w:szCs w:val="20"/>
        </w:rPr>
        <w:t>Right of protection from arbitrary arrest</w:t>
      </w:r>
      <w:r w:rsidR="00BF3C55" w:rsidRPr="00D874C4">
        <w:rPr>
          <w:rStyle w:val="FootnoteReference"/>
          <w:color w:val="auto"/>
          <w:sz w:val="20"/>
          <w:szCs w:val="20"/>
        </w:rPr>
        <w:footnoteReference w:id="56"/>
      </w:r>
      <w:bookmarkEnd w:id="42"/>
      <w:bookmarkEnd w:id="43"/>
      <w:r w:rsidR="0099336F" w:rsidRPr="00D874C4">
        <w:rPr>
          <w:color w:val="auto"/>
          <w:sz w:val="20"/>
          <w:szCs w:val="20"/>
        </w:rPr>
        <w:t xml:space="preserve"> </w:t>
      </w:r>
    </w:p>
    <w:p w:rsidR="008664B8" w:rsidRPr="00D874C4" w:rsidRDefault="007E743A" w:rsidP="008664B8">
      <w:pPr>
        <w:pStyle w:val="Heading3"/>
        <w:numPr>
          <w:ilvl w:val="1"/>
          <w:numId w:val="53"/>
        </w:numPr>
        <w:ind w:left="360"/>
        <w:rPr>
          <w:color w:val="auto"/>
          <w:sz w:val="20"/>
          <w:szCs w:val="20"/>
        </w:rPr>
      </w:pPr>
      <w:bookmarkStart w:id="46" w:name="_Toc44015993"/>
      <w:bookmarkStart w:id="47" w:name="_Toc49161067"/>
      <w:r w:rsidRPr="00D874C4">
        <w:rPr>
          <w:color w:val="auto"/>
          <w:sz w:val="20"/>
          <w:szCs w:val="20"/>
        </w:rPr>
        <w:t xml:space="preserve">General considerations on </w:t>
      </w:r>
      <w:r w:rsidR="008664B8" w:rsidRPr="00D874C4">
        <w:rPr>
          <w:color w:val="auto"/>
          <w:sz w:val="20"/>
          <w:szCs w:val="20"/>
        </w:rPr>
        <w:t>the right not to be illegally or arbitrary arrested</w:t>
      </w:r>
      <w:bookmarkEnd w:id="46"/>
      <w:bookmarkEnd w:id="47"/>
    </w:p>
    <w:p w:rsidR="008664B8" w:rsidRPr="00D874C4" w:rsidRDefault="008664B8" w:rsidP="0005448A">
      <w:pPr>
        <w:jc w:val="both"/>
        <w:rPr>
          <w:rFonts w:asciiTheme="majorHAnsi" w:hAnsiTheme="majorHAnsi"/>
          <w:sz w:val="20"/>
          <w:szCs w:val="20"/>
        </w:rPr>
      </w:pPr>
    </w:p>
    <w:p w:rsidR="0005448A" w:rsidRPr="00D874C4" w:rsidRDefault="0005448A" w:rsidP="0005448A">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rPr>
      </w:pPr>
      <w:r w:rsidRPr="00D874C4">
        <w:rPr>
          <w:rFonts w:asciiTheme="majorHAnsi" w:hAnsiTheme="majorHAnsi"/>
          <w:sz w:val="20"/>
        </w:rPr>
        <w:t>Article XXV of the American Declaration provides for guarantees aimed at protecting persons from unlawful or arbitrary interference with their liberty by the State. The IACHR has established in this regard that, “[a]</w:t>
      </w:r>
      <w:proofErr w:type="spellStart"/>
      <w:r w:rsidRPr="00D874C4">
        <w:rPr>
          <w:rFonts w:asciiTheme="majorHAnsi" w:hAnsiTheme="majorHAnsi"/>
          <w:sz w:val="20"/>
        </w:rPr>
        <w:t>mong</w:t>
      </w:r>
      <w:proofErr w:type="spellEnd"/>
      <w:r w:rsidRPr="00D874C4">
        <w:rPr>
          <w:rFonts w:asciiTheme="majorHAnsi" w:hAnsiTheme="majorHAnsi"/>
          <w:sz w:val="20"/>
        </w:rPr>
        <w:t xml:space="preserve"> the protections guaranteed are the requirements that any deprivation of liberty be carried out in accordance with pre-established law, that a detainee be informed of the reasons for the detention and promptly notified of any charges against them, that any person deprived of liberty is entitled to juridical recourse, to obtain, without delay, a determination of the legality of the detention, and that the person be tried within a reasonable time or released pending the continuation of proceedings.”</w:t>
      </w:r>
      <w:r w:rsidRPr="00D874C4">
        <w:rPr>
          <w:rStyle w:val="FootnoteReference"/>
          <w:rFonts w:ascii="Cambria" w:eastAsia="Arial Unicode MS" w:hAnsi="Cambria"/>
          <w:sz w:val="20"/>
          <w:szCs w:val="20"/>
        </w:rPr>
        <w:footnoteReference w:id="57"/>
      </w:r>
    </w:p>
    <w:p w:rsidR="0005448A" w:rsidRPr="00D874C4" w:rsidRDefault="0005448A" w:rsidP="0005448A">
      <w:pPr>
        <w:pStyle w:val="NormalWeb"/>
        <w:shd w:val="clear" w:color="auto" w:fill="FFFFFF"/>
        <w:tabs>
          <w:tab w:val="left" w:pos="360"/>
        </w:tabs>
        <w:spacing w:before="0" w:beforeAutospacing="0" w:after="0" w:afterAutospacing="0"/>
        <w:jc w:val="both"/>
        <w:rPr>
          <w:rFonts w:asciiTheme="majorHAnsi" w:hAnsiTheme="majorHAnsi"/>
          <w:sz w:val="20"/>
        </w:rPr>
      </w:pPr>
    </w:p>
    <w:p w:rsidR="0005448A" w:rsidRPr="00D874C4" w:rsidRDefault="0005448A" w:rsidP="0005448A">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rPr>
      </w:pPr>
      <w:r w:rsidRPr="00D874C4">
        <w:rPr>
          <w:rFonts w:asciiTheme="majorHAnsi" w:hAnsiTheme="majorHAnsi"/>
          <w:sz w:val="20"/>
          <w:szCs w:val="20"/>
        </w:rPr>
        <w:t xml:space="preserve">According to inter-American human rights standards, no one shall be subjected to arrest or imprisonment for reasons or  by methods that – although classified as legal – may be incompatible with the fundamental rights </w:t>
      </w:r>
      <w:r w:rsidRPr="00D874C4">
        <w:rPr>
          <w:rFonts w:asciiTheme="majorHAnsi" w:hAnsiTheme="majorHAnsi"/>
          <w:sz w:val="20"/>
          <w:szCs w:val="20"/>
        </w:rPr>
        <w:lastRenderedPageBreak/>
        <w:t xml:space="preserve">of the individual because they are, </w:t>
      </w:r>
      <w:r w:rsidRPr="00D874C4">
        <w:rPr>
          <w:rFonts w:asciiTheme="majorHAnsi" w:hAnsiTheme="majorHAnsi"/>
          <w:i/>
          <w:sz w:val="20"/>
          <w:szCs w:val="20"/>
        </w:rPr>
        <w:t>inter alia</w:t>
      </w:r>
      <w:r w:rsidRPr="00D874C4">
        <w:rPr>
          <w:rFonts w:asciiTheme="majorHAnsi" w:hAnsiTheme="majorHAnsi"/>
          <w:sz w:val="20"/>
          <w:szCs w:val="20"/>
        </w:rPr>
        <w:t>, unreasonable, unpredictable or disproportionate.</w:t>
      </w:r>
      <w:r w:rsidRPr="00D874C4">
        <w:rPr>
          <w:rStyle w:val="FootnoteReference"/>
          <w:rFonts w:asciiTheme="majorHAnsi" w:eastAsia="Arial Unicode MS" w:hAnsiTheme="majorHAnsi"/>
          <w:sz w:val="20"/>
          <w:szCs w:val="20"/>
          <w:bdr w:val="nil"/>
        </w:rPr>
        <w:footnoteReference w:id="58"/>
      </w:r>
      <w:r w:rsidRPr="00D874C4">
        <w:rPr>
          <w:rFonts w:asciiTheme="majorHAnsi" w:hAnsiTheme="majorHAnsi"/>
          <w:sz w:val="20"/>
          <w:szCs w:val="20"/>
        </w:rPr>
        <w:t xml:space="preserve"> Therefore, any detention must be carried out not only in accordance with the provisions of domestic law, but it is also necessary that domestic law, the applicable procedure and the express or implied general principles involved</w:t>
      </w:r>
      <w:r w:rsidR="00A62420" w:rsidRPr="00D874C4">
        <w:rPr>
          <w:rFonts w:asciiTheme="majorHAnsi" w:hAnsiTheme="majorHAnsi"/>
          <w:sz w:val="20"/>
          <w:szCs w:val="20"/>
        </w:rPr>
        <w:t>,</w:t>
      </w:r>
      <w:r w:rsidRPr="00D874C4">
        <w:rPr>
          <w:rFonts w:asciiTheme="majorHAnsi" w:hAnsiTheme="majorHAnsi"/>
          <w:sz w:val="20"/>
          <w:szCs w:val="20"/>
        </w:rPr>
        <w:t xml:space="preserve"> are themselves compatible with inter-American instruments and standards.</w:t>
      </w:r>
      <w:r w:rsidRPr="00D874C4">
        <w:rPr>
          <w:rStyle w:val="FootnoteReference"/>
          <w:rFonts w:asciiTheme="majorHAnsi" w:hAnsiTheme="majorHAnsi"/>
          <w:sz w:val="20"/>
          <w:szCs w:val="20"/>
        </w:rPr>
        <w:footnoteReference w:id="59"/>
      </w:r>
    </w:p>
    <w:p w:rsidR="0005448A" w:rsidRPr="00D874C4" w:rsidRDefault="0005448A" w:rsidP="0005448A">
      <w:pPr>
        <w:pStyle w:val="ListParagraph"/>
        <w:rPr>
          <w:rFonts w:asciiTheme="majorHAnsi" w:hAnsiTheme="majorHAnsi"/>
          <w:sz w:val="20"/>
          <w:szCs w:val="20"/>
        </w:rPr>
      </w:pPr>
    </w:p>
    <w:p w:rsidR="0005448A" w:rsidRPr="00D874C4" w:rsidRDefault="0005448A" w:rsidP="0005448A">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rPr>
      </w:pPr>
      <w:r w:rsidRPr="00D874C4">
        <w:rPr>
          <w:rFonts w:asciiTheme="majorHAnsi" w:hAnsiTheme="majorHAnsi"/>
          <w:sz w:val="20"/>
          <w:szCs w:val="20"/>
        </w:rPr>
        <w:t>Further, according to the United Nations Body of Principles for the Protection of All Persons under Any Form of Detention or Imprisonment “any form of detention or imprisonment and all measures affecting the human rights of a person under any form of detention or imprisonment shall be ordered by, or be subject to the effective control of, a judicial or other authority.”</w:t>
      </w:r>
      <w:r w:rsidRPr="00D874C4">
        <w:rPr>
          <w:rStyle w:val="FootnoteReference"/>
          <w:rFonts w:asciiTheme="majorHAnsi" w:eastAsia="Arial Unicode MS" w:hAnsiTheme="majorHAnsi"/>
          <w:sz w:val="20"/>
          <w:szCs w:val="20"/>
          <w:bdr w:val="nil"/>
        </w:rPr>
        <w:footnoteReference w:id="60"/>
      </w:r>
      <w:r w:rsidRPr="00D874C4">
        <w:rPr>
          <w:rFonts w:asciiTheme="majorHAnsi" w:hAnsiTheme="majorHAnsi"/>
          <w:sz w:val="20"/>
          <w:szCs w:val="20"/>
        </w:rPr>
        <w:t xml:space="preserve"> </w:t>
      </w:r>
      <w:r w:rsidRPr="00D874C4">
        <w:rPr>
          <w:rFonts w:asciiTheme="majorHAnsi" w:eastAsia="Calibri" w:hAnsiTheme="majorHAnsi"/>
          <w:sz w:val="20"/>
          <w:szCs w:val="20"/>
        </w:rPr>
        <w:t>The requirement that detention not be left to the sole discretion of the State agents responsible for carrying it out is so fundamental that it cannot be overlooked in any context. Supervisory control over detention is an essential safeguard, because it provides effective assurance that the detainee is not exclusively at the mercy of the detaining authority. Under normal circumstances, review of the legality of detention must be carried out without delay, which generally means as soon as practicable.</w:t>
      </w:r>
      <w:r w:rsidRPr="00D874C4">
        <w:rPr>
          <w:rStyle w:val="FootnoteReference"/>
          <w:rFonts w:asciiTheme="majorHAnsi" w:eastAsia="Calibri" w:hAnsiTheme="majorHAnsi"/>
          <w:sz w:val="20"/>
          <w:szCs w:val="20"/>
        </w:rPr>
        <w:footnoteReference w:id="61"/>
      </w:r>
    </w:p>
    <w:p w:rsidR="0005448A" w:rsidRPr="00D874C4" w:rsidRDefault="0005448A" w:rsidP="0005448A">
      <w:pPr>
        <w:pStyle w:val="ListParagraph"/>
        <w:rPr>
          <w:rFonts w:asciiTheme="majorHAnsi" w:hAnsiTheme="majorHAnsi"/>
          <w:sz w:val="20"/>
          <w:szCs w:val="20"/>
        </w:rPr>
      </w:pPr>
    </w:p>
    <w:p w:rsidR="0005448A" w:rsidRPr="00D874C4" w:rsidRDefault="0005448A" w:rsidP="0005448A">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rPr>
      </w:pPr>
      <w:r w:rsidRPr="00D874C4">
        <w:rPr>
          <w:rFonts w:asciiTheme="majorHAnsi" w:hAnsiTheme="majorHAnsi"/>
          <w:sz w:val="20"/>
          <w:szCs w:val="20"/>
        </w:rPr>
        <w:t>According to the IACHR, the analysis of the compatibility of the deprivation of liberty with the prohibition of illegal and arbitrary detention should be done in three phases. The first consists of determining the legality of the detention from a material and formal standpoint. To do so, it must be determined whether the action is compatible with the domestic legislation of the State in question. The second step involves the analysis of these domestic provisions within the context of the guarantees established by inter-American human rights instruments, in order to determine whether they are arbitrary. Finally, even if the detention meets the requirements of a domestic legal provision that is compatible with said instruments, it should be determined whether the application of the law in the specific case was arbitrary.</w:t>
      </w:r>
      <w:r w:rsidRPr="00D874C4">
        <w:rPr>
          <w:rStyle w:val="FootnoteReference"/>
          <w:rFonts w:asciiTheme="majorHAnsi" w:hAnsiTheme="majorHAnsi"/>
          <w:sz w:val="20"/>
          <w:szCs w:val="20"/>
        </w:rPr>
        <w:footnoteReference w:id="62"/>
      </w:r>
    </w:p>
    <w:p w:rsidR="008664B8" w:rsidRPr="00D874C4" w:rsidRDefault="008664B8" w:rsidP="008664B8">
      <w:pPr>
        <w:pStyle w:val="Heading3"/>
        <w:numPr>
          <w:ilvl w:val="1"/>
          <w:numId w:val="53"/>
        </w:numPr>
        <w:ind w:left="360"/>
        <w:rPr>
          <w:color w:val="auto"/>
          <w:sz w:val="20"/>
          <w:szCs w:val="20"/>
        </w:rPr>
      </w:pPr>
      <w:bookmarkStart w:id="48" w:name="_Toc44015994"/>
      <w:bookmarkStart w:id="49" w:name="_Toc49161068"/>
      <w:r w:rsidRPr="00D874C4">
        <w:rPr>
          <w:color w:val="auto"/>
          <w:sz w:val="20"/>
          <w:szCs w:val="20"/>
        </w:rPr>
        <w:t>Analysis of the case</w:t>
      </w:r>
      <w:bookmarkEnd w:id="48"/>
      <w:bookmarkEnd w:id="49"/>
    </w:p>
    <w:p w:rsidR="00CD3525" w:rsidRPr="00D874C4" w:rsidRDefault="00CD3525" w:rsidP="00AD472D"/>
    <w:p w:rsidR="00956E7A" w:rsidRPr="00D874C4" w:rsidRDefault="00404E66" w:rsidP="00E35E8F">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b/>
        </w:rPr>
      </w:pPr>
      <w:r w:rsidRPr="00D874C4">
        <w:rPr>
          <w:rFonts w:asciiTheme="majorHAnsi" w:hAnsiTheme="majorHAnsi"/>
          <w:sz w:val="20"/>
        </w:rPr>
        <w:t>The petitioners allege that Mr. Mitchell was unlawfully detained for a misdemeanor that did not authorize jail time; that he was illegally held in custody for several weeks, and repeatedly interrogated by the FBI without being afforded counsel.</w:t>
      </w:r>
      <w:r w:rsidR="00B17FD2" w:rsidRPr="00D874C4">
        <w:rPr>
          <w:rFonts w:asciiTheme="majorHAnsi" w:hAnsiTheme="majorHAnsi"/>
          <w:sz w:val="20"/>
        </w:rPr>
        <w:t xml:space="preserve"> The State claims that Mr. Mitchell’s pretrial due process claim is without merit because he offered no evidence that he ever asked for counsel, and he requested and received a trial hearing on the issue of voluntariness. </w:t>
      </w:r>
    </w:p>
    <w:p w:rsidR="008E2B17" w:rsidRPr="00D874C4" w:rsidRDefault="008E2B17" w:rsidP="008E2B17">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b/>
        </w:rPr>
      </w:pPr>
    </w:p>
    <w:p w:rsidR="008E2B17" w:rsidRPr="00D874C4" w:rsidRDefault="008E2B17" w:rsidP="00E35E8F">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b/>
        </w:rPr>
      </w:pPr>
      <w:r w:rsidRPr="00D874C4">
        <w:rPr>
          <w:rFonts w:asciiTheme="majorHAnsi" w:hAnsiTheme="majorHAnsi"/>
          <w:sz w:val="20"/>
        </w:rPr>
        <w:t xml:space="preserve">The Commission will </w:t>
      </w:r>
      <w:r w:rsidR="002445EB" w:rsidRPr="00D874C4">
        <w:rPr>
          <w:rFonts w:asciiTheme="majorHAnsi" w:hAnsiTheme="majorHAnsi"/>
          <w:sz w:val="20"/>
        </w:rPr>
        <w:t xml:space="preserve">now consider </w:t>
      </w:r>
      <w:r w:rsidR="00AD6181" w:rsidRPr="00D874C4">
        <w:rPr>
          <w:rFonts w:asciiTheme="majorHAnsi" w:hAnsiTheme="majorHAnsi"/>
          <w:sz w:val="20"/>
        </w:rPr>
        <w:t xml:space="preserve">whether </w:t>
      </w:r>
      <w:r w:rsidR="004E233F" w:rsidRPr="00D874C4">
        <w:rPr>
          <w:rFonts w:asciiTheme="majorHAnsi" w:hAnsiTheme="majorHAnsi"/>
          <w:sz w:val="20"/>
        </w:rPr>
        <w:t>Mr. Mitchell’s</w:t>
      </w:r>
      <w:r w:rsidR="002445EB" w:rsidRPr="00D874C4">
        <w:rPr>
          <w:rFonts w:asciiTheme="majorHAnsi" w:hAnsiTheme="majorHAnsi"/>
          <w:sz w:val="20"/>
        </w:rPr>
        <w:t xml:space="preserve"> arrest</w:t>
      </w:r>
      <w:r w:rsidR="004E233F" w:rsidRPr="00D874C4">
        <w:rPr>
          <w:rFonts w:asciiTheme="majorHAnsi" w:hAnsiTheme="majorHAnsi"/>
          <w:sz w:val="20"/>
        </w:rPr>
        <w:t xml:space="preserve"> </w:t>
      </w:r>
      <w:r w:rsidR="00BA601F" w:rsidRPr="00D874C4">
        <w:rPr>
          <w:rFonts w:asciiTheme="majorHAnsi" w:hAnsiTheme="majorHAnsi"/>
          <w:sz w:val="20"/>
        </w:rPr>
        <w:t xml:space="preserve">was compatible with the prohibition of illegal and arbitrary detention. </w:t>
      </w:r>
      <w:r w:rsidR="002445EB" w:rsidRPr="00D874C4">
        <w:rPr>
          <w:rFonts w:asciiTheme="majorHAnsi" w:hAnsiTheme="majorHAnsi"/>
          <w:sz w:val="20"/>
        </w:rPr>
        <w:t>The alleg</w:t>
      </w:r>
      <w:r w:rsidR="004E233F" w:rsidRPr="00D874C4">
        <w:rPr>
          <w:rFonts w:asciiTheme="majorHAnsi" w:hAnsiTheme="majorHAnsi"/>
          <w:sz w:val="20"/>
        </w:rPr>
        <w:t>ed</w:t>
      </w:r>
      <w:r w:rsidR="002445EB" w:rsidRPr="00D874C4">
        <w:rPr>
          <w:rFonts w:asciiTheme="majorHAnsi" w:hAnsiTheme="majorHAnsi"/>
          <w:sz w:val="20"/>
        </w:rPr>
        <w:t xml:space="preserve"> lack of counsel during the interrogation will be addressed in section</w:t>
      </w:r>
      <w:r w:rsidR="004E233F" w:rsidRPr="00D874C4">
        <w:rPr>
          <w:rFonts w:asciiTheme="majorHAnsi" w:hAnsiTheme="majorHAnsi"/>
          <w:sz w:val="20"/>
        </w:rPr>
        <w:t xml:space="preserve"> C</w:t>
      </w:r>
      <w:r w:rsidR="002445EB" w:rsidRPr="00D874C4">
        <w:rPr>
          <w:rFonts w:asciiTheme="majorHAnsi" w:hAnsiTheme="majorHAnsi"/>
          <w:sz w:val="20"/>
        </w:rPr>
        <w:t xml:space="preserve"> below. </w:t>
      </w:r>
    </w:p>
    <w:p w:rsidR="00956E7A" w:rsidRPr="00D874C4" w:rsidRDefault="00956E7A" w:rsidP="00956E7A">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b/>
          <w:sz w:val="20"/>
          <w:szCs w:val="20"/>
        </w:rPr>
      </w:pPr>
    </w:p>
    <w:p w:rsidR="0012514A" w:rsidRPr="00D874C4" w:rsidRDefault="0012514A" w:rsidP="00E35E8F">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b/>
        </w:rPr>
      </w:pPr>
      <w:r w:rsidRPr="00D874C4">
        <w:rPr>
          <w:rFonts w:asciiTheme="majorHAnsi" w:hAnsiTheme="majorHAnsi"/>
          <w:sz w:val="20"/>
        </w:rPr>
        <w:t xml:space="preserve">According to the facts established in this report, </w:t>
      </w:r>
      <w:r w:rsidR="002A011B" w:rsidRPr="00D874C4">
        <w:rPr>
          <w:rFonts w:asciiTheme="majorHAnsi" w:hAnsiTheme="majorHAnsi"/>
          <w:sz w:val="20"/>
          <w:szCs w:val="20"/>
        </w:rPr>
        <w:t>Mr. Mitchell was arrested by the FBI and Navajo Nation police early on November 4, 2001, pursuant to an arrest warrant for vandalism of tribal property, a misdemeanor that had taken place in September 2001. Later that morning he was transported to the Navajo Department of Criminal Investigations</w:t>
      </w:r>
      <w:r w:rsidR="00862299" w:rsidRPr="00D874C4">
        <w:rPr>
          <w:rFonts w:asciiTheme="majorHAnsi" w:hAnsiTheme="majorHAnsi"/>
          <w:sz w:val="20"/>
          <w:szCs w:val="20"/>
        </w:rPr>
        <w:t xml:space="preserve"> and then taken to tribal jail. </w:t>
      </w:r>
      <w:r w:rsidR="00862299" w:rsidRPr="00D874C4">
        <w:rPr>
          <w:rFonts w:asciiTheme="majorHAnsi" w:hAnsiTheme="majorHAnsi" w:cs="Times"/>
          <w:sz w:val="20"/>
          <w:szCs w:val="20"/>
          <w:lang w:eastAsia="es-ES"/>
        </w:rPr>
        <w:t xml:space="preserve">On November 7 he pled guilty to the criminal damage charge </w:t>
      </w:r>
      <w:r w:rsidR="002A011B" w:rsidRPr="00D874C4">
        <w:rPr>
          <w:rFonts w:asciiTheme="majorHAnsi" w:hAnsiTheme="majorHAnsi" w:cs="Times"/>
          <w:sz w:val="20"/>
          <w:szCs w:val="20"/>
          <w:lang w:eastAsia="es-ES"/>
        </w:rPr>
        <w:t>before a tribal judge. A federal indictment was issued on November 21, 2001, and on November 29, Mr. Mitchell</w:t>
      </w:r>
      <w:r w:rsidR="00862299" w:rsidRPr="00D874C4">
        <w:rPr>
          <w:rFonts w:asciiTheme="majorHAnsi" w:hAnsiTheme="majorHAnsi" w:cs="Times"/>
          <w:sz w:val="20"/>
          <w:szCs w:val="20"/>
          <w:lang w:eastAsia="es-ES"/>
        </w:rPr>
        <w:t xml:space="preserve"> was transported</w:t>
      </w:r>
      <w:r w:rsidR="002A011B" w:rsidRPr="00D874C4">
        <w:rPr>
          <w:rFonts w:asciiTheme="majorHAnsi" w:hAnsiTheme="majorHAnsi" w:cs="Times"/>
          <w:sz w:val="20"/>
          <w:szCs w:val="20"/>
          <w:lang w:eastAsia="es-ES"/>
        </w:rPr>
        <w:t xml:space="preserve"> to the federal courthouse.</w:t>
      </w:r>
    </w:p>
    <w:p w:rsidR="00E35E8F" w:rsidRPr="00D874C4" w:rsidRDefault="00E35E8F" w:rsidP="002A011B">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b/>
        </w:rPr>
      </w:pPr>
    </w:p>
    <w:p w:rsidR="005820CA" w:rsidRPr="00D874C4" w:rsidRDefault="001A7724" w:rsidP="005820CA">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szCs w:val="20"/>
        </w:rPr>
        <w:t xml:space="preserve">Based on these facts, the Commission notes that </w:t>
      </w:r>
      <w:r w:rsidR="008D6E1C" w:rsidRPr="00D874C4">
        <w:rPr>
          <w:rFonts w:asciiTheme="majorHAnsi" w:hAnsiTheme="majorHAnsi"/>
          <w:sz w:val="20"/>
          <w:szCs w:val="20"/>
        </w:rPr>
        <w:t>Mr. Mitchell</w:t>
      </w:r>
      <w:r w:rsidR="00C962A5" w:rsidRPr="00D874C4">
        <w:rPr>
          <w:rFonts w:asciiTheme="majorHAnsi" w:hAnsiTheme="majorHAnsi"/>
          <w:sz w:val="20"/>
          <w:szCs w:val="20"/>
        </w:rPr>
        <w:t xml:space="preserve"> was originally arrested </w:t>
      </w:r>
      <w:r w:rsidR="0038764E" w:rsidRPr="00D874C4">
        <w:rPr>
          <w:rFonts w:asciiTheme="majorHAnsi" w:hAnsiTheme="majorHAnsi"/>
          <w:sz w:val="20"/>
          <w:szCs w:val="20"/>
        </w:rPr>
        <w:t xml:space="preserve">pursuant to a misdemeanor </w:t>
      </w:r>
      <w:r w:rsidR="006232F9">
        <w:rPr>
          <w:rFonts w:asciiTheme="majorHAnsi" w:hAnsiTheme="majorHAnsi"/>
          <w:sz w:val="20"/>
          <w:szCs w:val="20"/>
        </w:rPr>
        <w:t>on November 4, 2001,</w:t>
      </w:r>
      <w:r w:rsidR="003079C2" w:rsidRPr="00D874C4">
        <w:rPr>
          <w:rFonts w:asciiTheme="majorHAnsi" w:hAnsiTheme="majorHAnsi"/>
          <w:sz w:val="20"/>
          <w:szCs w:val="20"/>
        </w:rPr>
        <w:t xml:space="preserve"> </w:t>
      </w:r>
      <w:r w:rsidR="00C962A5" w:rsidRPr="00D874C4">
        <w:rPr>
          <w:rFonts w:asciiTheme="majorHAnsi" w:hAnsiTheme="majorHAnsi"/>
          <w:sz w:val="20"/>
          <w:szCs w:val="20"/>
        </w:rPr>
        <w:t xml:space="preserve">and taken to a tribal jail. Three days later he pled guilty before a tribal </w:t>
      </w:r>
      <w:r w:rsidR="003079C2" w:rsidRPr="00D874C4">
        <w:rPr>
          <w:rFonts w:asciiTheme="majorHAnsi" w:hAnsiTheme="majorHAnsi"/>
          <w:sz w:val="20"/>
          <w:szCs w:val="20"/>
        </w:rPr>
        <w:t>judge and was returned to tribal jail</w:t>
      </w:r>
      <w:r w:rsidR="0038764E" w:rsidRPr="00D874C4">
        <w:rPr>
          <w:rFonts w:asciiTheme="majorHAnsi" w:hAnsiTheme="majorHAnsi"/>
          <w:sz w:val="20"/>
          <w:szCs w:val="20"/>
        </w:rPr>
        <w:t>. O</w:t>
      </w:r>
      <w:r w:rsidR="003079C2" w:rsidRPr="00D874C4">
        <w:rPr>
          <w:rFonts w:asciiTheme="majorHAnsi" w:hAnsiTheme="majorHAnsi"/>
          <w:sz w:val="20"/>
          <w:szCs w:val="20"/>
        </w:rPr>
        <w:t xml:space="preserve">n November 29 he was transported to a federal courthouse pursuant to </w:t>
      </w:r>
      <w:r w:rsidR="003079C2" w:rsidRPr="00D874C4">
        <w:rPr>
          <w:rFonts w:asciiTheme="majorHAnsi" w:hAnsiTheme="majorHAnsi"/>
          <w:sz w:val="20"/>
          <w:szCs w:val="20"/>
        </w:rPr>
        <w:lastRenderedPageBreak/>
        <w:t>a federal indictment</w:t>
      </w:r>
      <w:r w:rsidR="00206E3F" w:rsidRPr="00D874C4">
        <w:rPr>
          <w:rFonts w:asciiTheme="majorHAnsi" w:hAnsiTheme="majorHAnsi"/>
          <w:sz w:val="20"/>
          <w:szCs w:val="20"/>
        </w:rPr>
        <w:t xml:space="preserve"> issued on November 21</w:t>
      </w:r>
      <w:r w:rsidR="003079C2" w:rsidRPr="00D874C4">
        <w:rPr>
          <w:rFonts w:asciiTheme="majorHAnsi" w:hAnsiTheme="majorHAnsi"/>
          <w:sz w:val="20"/>
          <w:szCs w:val="20"/>
        </w:rPr>
        <w:t xml:space="preserve">. </w:t>
      </w:r>
      <w:r w:rsidR="00BE7A86" w:rsidRPr="00D874C4">
        <w:rPr>
          <w:rFonts w:asciiTheme="majorHAnsi" w:hAnsiTheme="majorHAnsi"/>
          <w:sz w:val="20"/>
          <w:szCs w:val="20"/>
        </w:rPr>
        <w:t xml:space="preserve">According to the information provided, not contested by the State, the </w:t>
      </w:r>
      <w:r w:rsidR="00BE7A86" w:rsidRPr="00D874C4">
        <w:rPr>
          <w:rFonts w:asciiTheme="majorHAnsi" w:hAnsiTheme="majorHAnsi"/>
          <w:sz w:val="20"/>
        </w:rPr>
        <w:t xml:space="preserve">misdemeanor did not authorize jail time. </w:t>
      </w:r>
    </w:p>
    <w:p w:rsidR="0092302F" w:rsidRPr="00D874C4" w:rsidRDefault="0092302F" w:rsidP="0092302F">
      <w:pPr>
        <w:pStyle w:val="NormalWeb"/>
        <w:shd w:val="clear" w:color="auto" w:fill="FFFFFF"/>
        <w:tabs>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rPr>
      </w:pPr>
    </w:p>
    <w:p w:rsidR="002A011B" w:rsidRPr="00D874C4" w:rsidRDefault="005820CA" w:rsidP="002A011B">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szCs w:val="20"/>
        </w:rPr>
      </w:pPr>
      <w:r w:rsidRPr="00D874C4">
        <w:rPr>
          <w:rFonts w:asciiTheme="majorHAnsi" w:hAnsiTheme="majorHAnsi"/>
          <w:sz w:val="20"/>
        </w:rPr>
        <w:t xml:space="preserve">Therefore, based on this information and on the standards mentioned above, the Commission finds that Mr. Mitchell’s arrest was </w:t>
      </w:r>
      <w:r w:rsidR="0092302F" w:rsidRPr="00D874C4">
        <w:rPr>
          <w:rFonts w:asciiTheme="majorHAnsi" w:hAnsiTheme="majorHAnsi"/>
          <w:sz w:val="20"/>
        </w:rPr>
        <w:t>unlawful</w:t>
      </w:r>
      <w:r w:rsidR="004C6738" w:rsidRPr="00D874C4">
        <w:rPr>
          <w:rFonts w:asciiTheme="majorHAnsi" w:hAnsiTheme="majorHAnsi"/>
          <w:sz w:val="20"/>
        </w:rPr>
        <w:t xml:space="preserve"> </w:t>
      </w:r>
      <w:r w:rsidR="0092302F" w:rsidRPr="00D874C4">
        <w:rPr>
          <w:rFonts w:asciiTheme="majorHAnsi" w:hAnsiTheme="majorHAnsi"/>
          <w:sz w:val="20"/>
        </w:rPr>
        <w:t>given that he</w:t>
      </w:r>
      <w:r w:rsidR="00206E3F" w:rsidRPr="00D874C4">
        <w:rPr>
          <w:rFonts w:asciiTheme="majorHAnsi" w:hAnsiTheme="majorHAnsi"/>
          <w:sz w:val="20"/>
        </w:rPr>
        <w:t xml:space="preserve"> </w:t>
      </w:r>
      <w:r w:rsidR="0092302F" w:rsidRPr="00D874C4">
        <w:rPr>
          <w:rFonts w:asciiTheme="majorHAnsi" w:hAnsiTheme="majorHAnsi"/>
          <w:sz w:val="20"/>
        </w:rPr>
        <w:t xml:space="preserve">was held in tribal custody during 17 days </w:t>
      </w:r>
      <w:r w:rsidR="0092302F" w:rsidRPr="00D874C4">
        <w:rPr>
          <w:rFonts w:asciiTheme="majorHAnsi" w:hAnsiTheme="majorHAnsi"/>
          <w:sz w:val="20"/>
          <w:szCs w:val="20"/>
        </w:rPr>
        <w:t xml:space="preserve">for a misdemeanor that </w:t>
      </w:r>
      <w:r w:rsidR="0092302F" w:rsidRPr="00D874C4">
        <w:rPr>
          <w:rFonts w:asciiTheme="majorHAnsi" w:hAnsiTheme="majorHAnsi"/>
          <w:sz w:val="20"/>
        </w:rPr>
        <w:t xml:space="preserve">did not authorize jail time. </w:t>
      </w:r>
      <w:r w:rsidR="00BA601F" w:rsidRPr="00D874C4">
        <w:rPr>
          <w:rFonts w:asciiTheme="majorHAnsi" w:hAnsiTheme="majorHAnsi"/>
          <w:sz w:val="20"/>
        </w:rPr>
        <w:t xml:space="preserve">His arrest, thus, does not comply with the first step of the analysis of compatibility with inter-American standards. </w:t>
      </w:r>
      <w:r w:rsidR="0092302F" w:rsidRPr="00D874C4">
        <w:rPr>
          <w:rFonts w:asciiTheme="majorHAnsi" w:hAnsiTheme="majorHAnsi"/>
          <w:sz w:val="20"/>
        </w:rPr>
        <w:t xml:space="preserve">Further, </w:t>
      </w:r>
      <w:r w:rsidR="00BA601F" w:rsidRPr="00D874C4">
        <w:rPr>
          <w:rFonts w:asciiTheme="majorHAnsi" w:hAnsiTheme="majorHAnsi"/>
          <w:sz w:val="20"/>
        </w:rPr>
        <w:t xml:space="preserve">the Commission notes that, </w:t>
      </w:r>
      <w:r w:rsidR="0092302F" w:rsidRPr="00D874C4">
        <w:rPr>
          <w:rFonts w:asciiTheme="majorHAnsi" w:hAnsiTheme="majorHAnsi"/>
          <w:sz w:val="20"/>
        </w:rPr>
        <w:t xml:space="preserve">during the period in which Mr. Mitchell was formally held for this misdemeanor, FBI agents interrogated him regarding his involvement in the trading post robbery and the victims’ murder. </w:t>
      </w:r>
      <w:r w:rsidR="001D746F" w:rsidRPr="00D874C4">
        <w:rPr>
          <w:rFonts w:asciiTheme="majorHAnsi" w:hAnsiTheme="majorHAnsi"/>
          <w:sz w:val="20"/>
        </w:rPr>
        <w:t>Given that h</w:t>
      </w:r>
      <w:r w:rsidR="0092302F" w:rsidRPr="00D874C4">
        <w:rPr>
          <w:rFonts w:asciiTheme="majorHAnsi" w:hAnsiTheme="majorHAnsi"/>
          <w:sz w:val="20"/>
        </w:rPr>
        <w:t xml:space="preserve">e was taken before a federal judge </w:t>
      </w:r>
      <w:r w:rsidR="001D746F" w:rsidRPr="00D874C4">
        <w:rPr>
          <w:rFonts w:asciiTheme="majorHAnsi" w:hAnsiTheme="majorHAnsi"/>
          <w:sz w:val="20"/>
        </w:rPr>
        <w:t xml:space="preserve">only </w:t>
      </w:r>
      <w:r w:rsidR="0092302F" w:rsidRPr="00D874C4">
        <w:rPr>
          <w:rFonts w:asciiTheme="majorHAnsi" w:hAnsiTheme="majorHAnsi"/>
          <w:sz w:val="20"/>
        </w:rPr>
        <w:t>25 days after his arrest</w:t>
      </w:r>
      <w:r w:rsidR="001D746F" w:rsidRPr="00D874C4">
        <w:rPr>
          <w:rFonts w:asciiTheme="majorHAnsi" w:hAnsiTheme="majorHAnsi"/>
          <w:sz w:val="20"/>
        </w:rPr>
        <w:t xml:space="preserve">, the Commission also finds that there was a delay in the </w:t>
      </w:r>
      <w:r w:rsidR="001D746F" w:rsidRPr="00D874C4">
        <w:rPr>
          <w:rFonts w:asciiTheme="majorHAnsi" w:eastAsia="Calibri" w:hAnsiTheme="majorHAnsi"/>
          <w:sz w:val="20"/>
          <w:szCs w:val="20"/>
        </w:rPr>
        <w:t>review of the legality of Mr. Mitchell’s detention</w:t>
      </w:r>
      <w:r w:rsidR="0092302F" w:rsidRPr="00D874C4">
        <w:rPr>
          <w:rFonts w:asciiTheme="majorHAnsi" w:hAnsiTheme="majorHAnsi"/>
          <w:sz w:val="20"/>
        </w:rPr>
        <w:t xml:space="preserve">. </w:t>
      </w:r>
      <w:r w:rsidR="00584280" w:rsidRPr="00D874C4">
        <w:rPr>
          <w:rFonts w:asciiTheme="majorHAnsi" w:hAnsiTheme="majorHAnsi"/>
          <w:sz w:val="20"/>
        </w:rPr>
        <w:t xml:space="preserve">Based on these facts, the IACHR concludes that the United States violated Mr. Mitchell’s right </w:t>
      </w:r>
      <w:r w:rsidR="002D2410" w:rsidRPr="00D874C4">
        <w:rPr>
          <w:rFonts w:asciiTheme="majorHAnsi" w:hAnsiTheme="majorHAnsi"/>
          <w:sz w:val="20"/>
        </w:rPr>
        <w:t xml:space="preserve">not </w:t>
      </w:r>
      <w:r w:rsidR="00584280" w:rsidRPr="00D874C4">
        <w:rPr>
          <w:rFonts w:asciiTheme="majorHAnsi" w:hAnsiTheme="majorHAnsi"/>
          <w:sz w:val="20"/>
        </w:rPr>
        <w:t>to</w:t>
      </w:r>
      <w:r w:rsidR="002D2410" w:rsidRPr="00D874C4">
        <w:rPr>
          <w:rFonts w:asciiTheme="majorHAnsi" w:hAnsiTheme="majorHAnsi"/>
          <w:sz w:val="20"/>
        </w:rPr>
        <w:t xml:space="preserve"> be illegally arrested established under Article XXV of the American Convention.</w:t>
      </w:r>
      <w:r w:rsidR="00584280" w:rsidRPr="00D874C4">
        <w:rPr>
          <w:rFonts w:asciiTheme="majorHAnsi" w:hAnsiTheme="majorHAnsi"/>
          <w:sz w:val="20"/>
        </w:rPr>
        <w:t xml:space="preserve"> </w:t>
      </w:r>
      <w:r w:rsidR="0092302F" w:rsidRPr="00D874C4">
        <w:rPr>
          <w:rFonts w:asciiTheme="majorHAnsi" w:hAnsiTheme="majorHAnsi"/>
          <w:sz w:val="20"/>
        </w:rPr>
        <w:t xml:space="preserve">        </w:t>
      </w:r>
    </w:p>
    <w:p w:rsidR="0012514A" w:rsidRPr="00D874C4" w:rsidRDefault="0012514A" w:rsidP="00AD472D">
      <w:pPr>
        <w:rPr>
          <w:rFonts w:asciiTheme="majorHAnsi" w:hAnsiTheme="majorHAnsi"/>
          <w:sz w:val="20"/>
          <w:szCs w:val="20"/>
        </w:rPr>
      </w:pPr>
    </w:p>
    <w:p w:rsidR="00E32AC0" w:rsidRPr="00D874C4" w:rsidRDefault="00E32AC0" w:rsidP="00E32AC0">
      <w:pPr>
        <w:pStyle w:val="Heading2"/>
        <w:numPr>
          <w:ilvl w:val="0"/>
          <w:numId w:val="61"/>
        </w:numPr>
        <w:spacing w:before="0"/>
        <w:ind w:left="360"/>
        <w:rPr>
          <w:color w:val="auto"/>
          <w:sz w:val="20"/>
          <w:szCs w:val="20"/>
        </w:rPr>
      </w:pPr>
      <w:bookmarkStart w:id="50" w:name="_Toc26550932"/>
      <w:bookmarkStart w:id="51" w:name="_Toc44015995"/>
      <w:bookmarkStart w:id="52" w:name="_Toc49161069"/>
      <w:r w:rsidRPr="00D874C4">
        <w:rPr>
          <w:color w:val="auto"/>
          <w:sz w:val="20"/>
          <w:szCs w:val="20"/>
        </w:rPr>
        <w:t>Right to a fair trial</w:t>
      </w:r>
      <w:r w:rsidRPr="00D874C4">
        <w:rPr>
          <w:rStyle w:val="FootnoteReference"/>
          <w:color w:val="auto"/>
          <w:sz w:val="20"/>
          <w:szCs w:val="20"/>
        </w:rPr>
        <w:footnoteReference w:id="63"/>
      </w:r>
      <w:r w:rsidRPr="00D874C4">
        <w:rPr>
          <w:color w:val="auto"/>
          <w:sz w:val="20"/>
          <w:szCs w:val="20"/>
        </w:rPr>
        <w:t xml:space="preserve"> and right to due process of law</w:t>
      </w:r>
      <w:r w:rsidRPr="00D874C4">
        <w:rPr>
          <w:rStyle w:val="FootnoteReference"/>
          <w:color w:val="auto"/>
          <w:sz w:val="20"/>
          <w:szCs w:val="20"/>
        </w:rPr>
        <w:footnoteReference w:id="64"/>
      </w:r>
      <w:bookmarkEnd w:id="50"/>
      <w:bookmarkEnd w:id="51"/>
      <w:bookmarkEnd w:id="52"/>
      <w:r w:rsidRPr="00D874C4">
        <w:rPr>
          <w:color w:val="auto"/>
          <w:sz w:val="20"/>
          <w:szCs w:val="20"/>
        </w:rPr>
        <w:t xml:space="preserve"> </w:t>
      </w:r>
    </w:p>
    <w:p w:rsidR="00ED6897" w:rsidRPr="00D874C4" w:rsidRDefault="00ED6897" w:rsidP="00AD472D">
      <w:pPr>
        <w:rPr>
          <w:rFonts w:asciiTheme="majorHAnsi" w:hAnsiTheme="majorHAnsi"/>
          <w:sz w:val="20"/>
          <w:szCs w:val="20"/>
        </w:rPr>
      </w:pPr>
    </w:p>
    <w:p w:rsidR="0007333C" w:rsidRPr="00D874C4" w:rsidRDefault="0047420E" w:rsidP="00892CB7">
      <w:pPr>
        <w:pStyle w:val="Heading3"/>
        <w:numPr>
          <w:ilvl w:val="3"/>
          <w:numId w:val="53"/>
        </w:numPr>
        <w:spacing w:before="0"/>
        <w:ind w:left="360"/>
        <w:jc w:val="both"/>
        <w:rPr>
          <w:color w:val="auto"/>
          <w:sz w:val="20"/>
          <w:szCs w:val="20"/>
        </w:rPr>
      </w:pPr>
      <w:bookmarkStart w:id="53" w:name="_Toc44015996"/>
      <w:bookmarkStart w:id="54" w:name="_Toc49161070"/>
      <w:r w:rsidRPr="00D874C4">
        <w:rPr>
          <w:color w:val="auto"/>
          <w:sz w:val="20"/>
          <w:szCs w:val="20"/>
        </w:rPr>
        <w:t xml:space="preserve">General considerations on the </w:t>
      </w:r>
      <w:r w:rsidR="00533C7A" w:rsidRPr="00D874C4">
        <w:rPr>
          <w:color w:val="auto"/>
          <w:sz w:val="20"/>
          <w:szCs w:val="20"/>
        </w:rPr>
        <w:t>right</w:t>
      </w:r>
      <w:r w:rsidR="0058269A" w:rsidRPr="00D874C4">
        <w:rPr>
          <w:color w:val="auto"/>
          <w:sz w:val="20"/>
          <w:szCs w:val="20"/>
        </w:rPr>
        <w:t xml:space="preserve"> to </w:t>
      </w:r>
      <w:r w:rsidR="000A57BD" w:rsidRPr="00D874C4">
        <w:rPr>
          <w:color w:val="auto"/>
          <w:sz w:val="20"/>
          <w:szCs w:val="20"/>
        </w:rPr>
        <w:t>self-determination</w:t>
      </w:r>
      <w:r w:rsidR="0058269A" w:rsidRPr="00D874C4">
        <w:rPr>
          <w:color w:val="auto"/>
          <w:sz w:val="20"/>
          <w:szCs w:val="20"/>
        </w:rPr>
        <w:t xml:space="preserve"> and </w:t>
      </w:r>
      <w:r w:rsidR="00AD46AD" w:rsidRPr="00D874C4">
        <w:rPr>
          <w:color w:val="auto"/>
          <w:sz w:val="20"/>
          <w:szCs w:val="20"/>
        </w:rPr>
        <w:t xml:space="preserve">cultural identity </w:t>
      </w:r>
      <w:r w:rsidR="00533C7A" w:rsidRPr="00D874C4">
        <w:rPr>
          <w:color w:val="auto"/>
          <w:sz w:val="20"/>
          <w:szCs w:val="20"/>
        </w:rPr>
        <w:t>of indigenous peoples</w:t>
      </w:r>
      <w:r w:rsidR="005D3592" w:rsidRPr="00D874C4">
        <w:rPr>
          <w:color w:val="auto"/>
          <w:sz w:val="20"/>
          <w:szCs w:val="20"/>
        </w:rPr>
        <w:t>, in relation to the rights to a fair trial and to due process of law</w:t>
      </w:r>
      <w:bookmarkEnd w:id="53"/>
      <w:bookmarkEnd w:id="54"/>
      <w:r w:rsidRPr="00D874C4">
        <w:rPr>
          <w:color w:val="auto"/>
          <w:sz w:val="20"/>
          <w:szCs w:val="20"/>
        </w:rPr>
        <w:t xml:space="preserve"> </w:t>
      </w:r>
    </w:p>
    <w:p w:rsidR="0007333C" w:rsidRPr="00D874C4" w:rsidRDefault="0007333C" w:rsidP="008E19B1">
      <w:pPr>
        <w:tabs>
          <w:tab w:val="left" w:pos="720"/>
        </w:tabs>
        <w:jc w:val="both"/>
        <w:rPr>
          <w:rFonts w:asciiTheme="majorHAnsi" w:eastAsia="Times New Roman" w:hAnsiTheme="majorHAnsi"/>
          <w:sz w:val="20"/>
          <w:bdr w:val="none" w:sz="0" w:space="0" w:color="auto"/>
        </w:rPr>
      </w:pPr>
    </w:p>
    <w:p w:rsidR="00864D7F" w:rsidRPr="00D874C4" w:rsidRDefault="00D221A7" w:rsidP="00864D7F">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The Inter-American Commission has </w:t>
      </w:r>
      <w:r w:rsidR="00533C7A" w:rsidRPr="00D874C4">
        <w:rPr>
          <w:rFonts w:asciiTheme="majorHAnsi" w:hAnsiTheme="majorHAnsi"/>
          <w:sz w:val="20"/>
        </w:rPr>
        <w:t xml:space="preserve">further </w:t>
      </w:r>
      <w:r w:rsidRPr="00D874C4">
        <w:rPr>
          <w:rFonts w:asciiTheme="majorHAnsi" w:hAnsiTheme="majorHAnsi"/>
          <w:sz w:val="20"/>
        </w:rPr>
        <w:t>held that States shall “ensure that national judicial systems operate in accordance with the cultural diversity existing within them, as well as to adopt mechanisms to enable effective recognition and promotion of indigenous law, respecting both its traditional rules and international human right law.”</w:t>
      </w:r>
      <w:r w:rsidRPr="00D874C4">
        <w:rPr>
          <w:rStyle w:val="FootnoteReference"/>
          <w:rFonts w:asciiTheme="majorHAnsi" w:hAnsiTheme="majorHAnsi"/>
          <w:sz w:val="20"/>
        </w:rPr>
        <w:footnoteReference w:id="65"/>
      </w:r>
      <w:r w:rsidR="00460A52" w:rsidRPr="00D874C4">
        <w:rPr>
          <w:rFonts w:asciiTheme="majorHAnsi" w:hAnsiTheme="majorHAnsi"/>
          <w:sz w:val="20"/>
        </w:rPr>
        <w:t xml:space="preserve"> The IACHR has also noted that although indigenous legal systems in the Americas have been recognized to varying degrees, </w:t>
      </w:r>
      <w:r w:rsidR="00277B79" w:rsidRPr="00D874C4">
        <w:rPr>
          <w:rFonts w:asciiTheme="majorHAnsi" w:hAnsiTheme="majorHAnsi"/>
          <w:sz w:val="20"/>
        </w:rPr>
        <w:t xml:space="preserve">there are still </w:t>
      </w:r>
      <w:r w:rsidR="00460A52" w:rsidRPr="00D874C4">
        <w:rPr>
          <w:rFonts w:asciiTheme="majorHAnsi" w:hAnsiTheme="majorHAnsi"/>
          <w:sz w:val="20"/>
        </w:rPr>
        <w:t xml:space="preserve">obstacles </w:t>
      </w:r>
      <w:r w:rsidR="00277B79" w:rsidRPr="00D874C4">
        <w:rPr>
          <w:rFonts w:asciiTheme="majorHAnsi" w:hAnsiTheme="majorHAnsi"/>
          <w:sz w:val="20"/>
        </w:rPr>
        <w:t xml:space="preserve">to their </w:t>
      </w:r>
      <w:r w:rsidR="00460A52" w:rsidRPr="00D874C4">
        <w:rPr>
          <w:rFonts w:asciiTheme="majorHAnsi" w:hAnsiTheme="majorHAnsi"/>
          <w:sz w:val="20"/>
        </w:rPr>
        <w:t>full recognition</w:t>
      </w:r>
      <w:r w:rsidR="00A565DD" w:rsidRPr="00D874C4">
        <w:rPr>
          <w:rFonts w:asciiTheme="majorHAnsi" w:hAnsiTheme="majorHAnsi"/>
          <w:sz w:val="20"/>
        </w:rPr>
        <w:t>. To this end, the IACHR has recommended States to engage in intercultural dialogue and offer flexibility to indigenous authorities in the establishment of indigenous jurisdictions, the implementation of their legal systems, and in the areas of competence of indigenous justice authorities, with full respect for their right to cultural perspectives and differences, autonomy and self-determination, as long as they respect international human rights standards.</w:t>
      </w:r>
      <w:r w:rsidR="00A565DD" w:rsidRPr="00D874C4">
        <w:rPr>
          <w:rStyle w:val="FootnoteReference"/>
          <w:rFonts w:asciiTheme="majorHAnsi" w:hAnsiTheme="majorHAnsi"/>
          <w:sz w:val="20"/>
        </w:rPr>
        <w:footnoteReference w:id="66"/>
      </w:r>
    </w:p>
    <w:p w:rsidR="00864D7F" w:rsidRPr="00D874C4" w:rsidRDefault="00864D7F" w:rsidP="00864D7F">
      <w:pPr>
        <w:pStyle w:val="ListParagraph"/>
        <w:rPr>
          <w:rFonts w:asciiTheme="majorHAnsi" w:hAnsiTheme="majorHAnsi"/>
          <w:sz w:val="20"/>
        </w:rPr>
      </w:pPr>
    </w:p>
    <w:p w:rsidR="00864D7F" w:rsidRPr="00D874C4" w:rsidRDefault="00864D7F" w:rsidP="00864D7F">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In the case of </w:t>
      </w:r>
      <w:r w:rsidR="00E77402" w:rsidRPr="00D874C4">
        <w:rPr>
          <w:rFonts w:asciiTheme="majorHAnsi" w:hAnsiTheme="majorHAnsi"/>
          <w:sz w:val="20"/>
        </w:rPr>
        <w:t>Mary and Carrie Dann</w:t>
      </w:r>
      <w:r w:rsidRPr="00D874C4">
        <w:rPr>
          <w:rFonts w:asciiTheme="majorHAnsi" w:hAnsiTheme="majorHAnsi"/>
          <w:sz w:val="20"/>
        </w:rPr>
        <w:t>, the IACHR held that complaints of violations of the American Declaration should be considered in the context of the evolving rules and principles of human rights law in the Americas and in the international community more broadly, as reflected in treaties, custom and other sources of international law. Therefore, the Commission considered that this broader corpus of international law included the developing norms and principles governing the human rights of indigenous peoples. Ensuring the full and effective enjoyment of human rights by indigenous peoples requires consideration of their particular historical, cultural, social and economic situation and experience. In most instances, this has included identification of the need for special measures by states to compensate for the discrimination to which these societies have been subjected.</w:t>
      </w:r>
      <w:r w:rsidRPr="00D874C4">
        <w:rPr>
          <w:rStyle w:val="FootnoteReference"/>
          <w:rFonts w:asciiTheme="majorHAnsi" w:hAnsiTheme="majorHAnsi"/>
          <w:sz w:val="20"/>
        </w:rPr>
        <w:footnoteReference w:id="67"/>
      </w:r>
      <w:r w:rsidRPr="00D874C4">
        <w:rPr>
          <w:rFonts w:asciiTheme="majorHAnsi" w:hAnsiTheme="majorHAnsi"/>
          <w:sz w:val="20"/>
        </w:rPr>
        <w:t xml:space="preserve"> </w:t>
      </w:r>
    </w:p>
    <w:p w:rsidR="00F8530F" w:rsidRPr="00D874C4" w:rsidRDefault="00F8530F" w:rsidP="00F8530F">
      <w:pPr>
        <w:pStyle w:val="ListParagraph"/>
        <w:rPr>
          <w:rFonts w:asciiTheme="majorHAnsi" w:hAnsiTheme="majorHAnsi"/>
          <w:sz w:val="20"/>
        </w:rPr>
      </w:pPr>
    </w:p>
    <w:p w:rsidR="00515D61" w:rsidRPr="00D874C4" w:rsidRDefault="000A20EB" w:rsidP="00B36BA9">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The cultural identity and </w:t>
      </w:r>
      <w:r w:rsidR="000A57BD" w:rsidRPr="00D874C4">
        <w:rPr>
          <w:rFonts w:asciiTheme="majorHAnsi" w:hAnsiTheme="majorHAnsi"/>
          <w:sz w:val="20"/>
        </w:rPr>
        <w:t>self-determination</w:t>
      </w:r>
      <w:r w:rsidRPr="00D874C4">
        <w:rPr>
          <w:rFonts w:asciiTheme="majorHAnsi" w:hAnsiTheme="majorHAnsi"/>
          <w:sz w:val="20"/>
        </w:rPr>
        <w:t xml:space="preserve"> of indigenous </w:t>
      </w:r>
      <w:r w:rsidR="00A72C46" w:rsidRPr="00D874C4">
        <w:rPr>
          <w:rFonts w:asciiTheme="majorHAnsi" w:hAnsiTheme="majorHAnsi"/>
          <w:sz w:val="20"/>
        </w:rPr>
        <w:t>peoples are</w:t>
      </w:r>
      <w:r w:rsidRPr="00D874C4">
        <w:rPr>
          <w:rFonts w:asciiTheme="majorHAnsi" w:hAnsiTheme="majorHAnsi"/>
          <w:sz w:val="20"/>
        </w:rPr>
        <w:t xml:space="preserve"> part of th</w:t>
      </w:r>
      <w:r w:rsidR="0018351D" w:rsidRPr="00D874C4">
        <w:rPr>
          <w:rFonts w:asciiTheme="majorHAnsi" w:hAnsiTheme="majorHAnsi"/>
          <w:sz w:val="20"/>
        </w:rPr>
        <w:t>is</w:t>
      </w:r>
      <w:r w:rsidRPr="00D874C4">
        <w:rPr>
          <w:rFonts w:asciiTheme="majorHAnsi" w:hAnsiTheme="majorHAnsi"/>
          <w:sz w:val="20"/>
        </w:rPr>
        <w:t xml:space="preserve"> particular </w:t>
      </w:r>
      <w:r w:rsidR="00D46D25" w:rsidRPr="00D874C4">
        <w:rPr>
          <w:rFonts w:asciiTheme="majorHAnsi" w:hAnsiTheme="majorHAnsi"/>
          <w:sz w:val="20"/>
        </w:rPr>
        <w:t>history and culture</w:t>
      </w:r>
      <w:r w:rsidR="0018351D" w:rsidRPr="00D874C4">
        <w:rPr>
          <w:rFonts w:asciiTheme="majorHAnsi" w:hAnsiTheme="majorHAnsi"/>
          <w:sz w:val="20"/>
        </w:rPr>
        <w:t xml:space="preserve"> recognized by the inter-American human rights system. Although the rights of indigenous peoples to cultural identity and </w:t>
      </w:r>
      <w:r w:rsidR="000A57BD" w:rsidRPr="00D874C4">
        <w:rPr>
          <w:rFonts w:asciiTheme="majorHAnsi" w:hAnsiTheme="majorHAnsi"/>
          <w:sz w:val="20"/>
        </w:rPr>
        <w:t>self-determination</w:t>
      </w:r>
      <w:r w:rsidR="0018351D" w:rsidRPr="00D874C4">
        <w:rPr>
          <w:rFonts w:asciiTheme="majorHAnsi" w:hAnsiTheme="majorHAnsi"/>
          <w:sz w:val="20"/>
        </w:rPr>
        <w:t xml:space="preserve"> are not expressly established in the American Declaration </w:t>
      </w:r>
      <w:r w:rsidR="00C60887" w:rsidRPr="00D874C4">
        <w:rPr>
          <w:rFonts w:asciiTheme="majorHAnsi" w:hAnsiTheme="majorHAnsi"/>
          <w:sz w:val="20"/>
        </w:rPr>
        <w:t>or</w:t>
      </w:r>
      <w:r w:rsidR="0018351D" w:rsidRPr="00D874C4">
        <w:rPr>
          <w:rFonts w:asciiTheme="majorHAnsi" w:hAnsiTheme="majorHAnsi"/>
          <w:sz w:val="20"/>
        </w:rPr>
        <w:t xml:space="preserve"> Convention, </w:t>
      </w:r>
      <w:r w:rsidR="00515D61" w:rsidRPr="00D874C4">
        <w:rPr>
          <w:rFonts w:asciiTheme="majorHAnsi" w:hAnsiTheme="majorHAnsi"/>
          <w:sz w:val="20"/>
        </w:rPr>
        <w:t>they have been recognized in the context of the evolving rules and principles of human rights law in the Americas</w:t>
      </w:r>
      <w:r w:rsidR="00B83402" w:rsidRPr="00D874C4">
        <w:rPr>
          <w:rFonts w:asciiTheme="majorHAnsi" w:hAnsiTheme="majorHAnsi"/>
          <w:sz w:val="20"/>
        </w:rPr>
        <w:t>, and it is in this context that the content of the rights established in the American Declaration must be interpreted</w:t>
      </w:r>
      <w:r w:rsidR="00515D61" w:rsidRPr="00D874C4">
        <w:rPr>
          <w:rFonts w:asciiTheme="majorHAnsi" w:hAnsiTheme="majorHAnsi"/>
          <w:sz w:val="20"/>
        </w:rPr>
        <w:t xml:space="preserve">. </w:t>
      </w:r>
    </w:p>
    <w:p w:rsidR="00515D61" w:rsidRPr="00D874C4" w:rsidRDefault="00515D61" w:rsidP="00515D61">
      <w:pPr>
        <w:pStyle w:val="ListParagraph"/>
        <w:rPr>
          <w:rFonts w:asciiTheme="majorHAnsi" w:hAnsiTheme="majorHAnsi"/>
          <w:sz w:val="20"/>
        </w:rPr>
      </w:pPr>
    </w:p>
    <w:p w:rsidR="00515D61" w:rsidRPr="00D874C4" w:rsidRDefault="00515D61" w:rsidP="00B36BA9">
      <w:pPr>
        <w:pStyle w:val="NormalWeb"/>
        <w:numPr>
          <w:ilvl w:val="0"/>
          <w:numId w:val="55"/>
        </w:numPr>
        <w:shd w:val="clear" w:color="auto" w:fill="FFFFFF"/>
        <w:tabs>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lastRenderedPageBreak/>
        <w:t>Since its first case on indigenous peoples rights, decided under the American Declaration, the IACHR has established that international law “recognizes the right of ethnic groups to special protection” regarding “all those characteristics necessary for the preservation of their cultural identity.”</w:t>
      </w:r>
      <w:r w:rsidRPr="00D874C4">
        <w:rPr>
          <w:rStyle w:val="FootnoteReference"/>
          <w:rFonts w:asciiTheme="majorHAnsi" w:hAnsiTheme="majorHAnsi"/>
          <w:sz w:val="20"/>
        </w:rPr>
        <w:footnoteReference w:id="68"/>
      </w:r>
      <w:r w:rsidRPr="00D874C4">
        <w:rPr>
          <w:rFonts w:asciiTheme="majorHAnsi" w:hAnsiTheme="majorHAnsi"/>
          <w:sz w:val="20"/>
        </w:rPr>
        <w:t xml:space="preserve"> The Commission notes that States must ensure the full exercise and enjoyment of the rights of members of indigenous communities who are under its jurisdiction. Therefore, in interpreting and applying their domestic legislation, States must take into consideration the specific characteristics that differentiate members of the indigenous peoples from the general population and that shape their cultural identity.</w:t>
      </w:r>
      <w:r w:rsidRPr="00D874C4">
        <w:rPr>
          <w:rStyle w:val="FootnoteReference"/>
          <w:rFonts w:asciiTheme="majorHAnsi" w:hAnsiTheme="majorHAnsi"/>
          <w:sz w:val="20"/>
        </w:rPr>
        <w:footnoteReference w:id="69"/>
      </w:r>
    </w:p>
    <w:p w:rsidR="00515D61" w:rsidRPr="00D874C4" w:rsidRDefault="00515D61" w:rsidP="00515D61">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rPr>
      </w:pPr>
    </w:p>
    <w:p w:rsidR="00515D61" w:rsidRPr="00D874C4" w:rsidRDefault="00E73F55" w:rsidP="00F8530F">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Georgia" w:hAnsi="Georgia"/>
          <w:color w:val="333333"/>
        </w:rPr>
      </w:pPr>
      <w:r w:rsidRPr="00D874C4">
        <w:rPr>
          <w:rFonts w:asciiTheme="majorHAnsi" w:hAnsiTheme="majorHAnsi"/>
          <w:sz w:val="20"/>
        </w:rPr>
        <w:t xml:space="preserve">The American Declaration on the Rights of Indigenous Peoples </w:t>
      </w:r>
      <w:r w:rsidR="00EA0E4C" w:rsidRPr="00D874C4">
        <w:rPr>
          <w:rFonts w:asciiTheme="majorHAnsi" w:hAnsiTheme="majorHAnsi"/>
          <w:sz w:val="20"/>
        </w:rPr>
        <w:t>a</w:t>
      </w:r>
      <w:r w:rsidRPr="00D874C4">
        <w:rPr>
          <w:rFonts w:asciiTheme="majorHAnsi" w:hAnsiTheme="majorHAnsi"/>
          <w:sz w:val="20"/>
        </w:rPr>
        <w:t>dopted in 2016</w:t>
      </w:r>
      <w:r w:rsidR="00EC4DEE" w:rsidRPr="00D874C4">
        <w:rPr>
          <w:rFonts w:asciiTheme="majorHAnsi" w:hAnsiTheme="majorHAnsi"/>
          <w:sz w:val="20"/>
        </w:rPr>
        <w:t>, recognizes in Article XXI the right to autonomy or self-government of indigenous peoples in matters relating to their internal and local affairs.</w:t>
      </w:r>
      <w:r w:rsidR="000C5FE1" w:rsidRPr="00D874C4">
        <w:rPr>
          <w:rFonts w:asciiTheme="majorHAnsi" w:hAnsiTheme="majorHAnsi"/>
          <w:sz w:val="20"/>
        </w:rPr>
        <w:t xml:space="preserve"> It also recognizes the right to cultural identity in Article XIII as well as the “protection, preservation, maintenance, and development of that cultural heritage for their collective continuity and that of their members and so as to transmit that heritage to future generations.”  </w:t>
      </w:r>
      <w:r w:rsidR="00EC4DEE" w:rsidRPr="00D874C4">
        <w:rPr>
          <w:rFonts w:asciiTheme="majorHAnsi" w:hAnsiTheme="majorHAnsi"/>
          <w:sz w:val="20"/>
        </w:rPr>
        <w:t xml:space="preserve"> </w:t>
      </w:r>
    </w:p>
    <w:p w:rsidR="00515D61" w:rsidRPr="00D874C4" w:rsidRDefault="00515D61" w:rsidP="00515D61">
      <w:pPr>
        <w:pStyle w:val="ListParagraph"/>
        <w:rPr>
          <w:rFonts w:asciiTheme="majorHAnsi" w:hAnsiTheme="majorHAnsi"/>
          <w:sz w:val="20"/>
        </w:rPr>
      </w:pPr>
    </w:p>
    <w:p w:rsidR="007A052F" w:rsidRPr="00D874C4" w:rsidRDefault="00515D61" w:rsidP="007A052F">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Georgia" w:hAnsi="Georgia"/>
          <w:color w:val="333333"/>
        </w:rPr>
      </w:pPr>
      <w:r w:rsidRPr="00D874C4">
        <w:rPr>
          <w:rFonts w:asciiTheme="majorHAnsi" w:hAnsiTheme="majorHAnsi"/>
          <w:sz w:val="20"/>
        </w:rPr>
        <w:t>Regarding</w:t>
      </w:r>
      <w:r w:rsidR="00E73F55" w:rsidRPr="00D874C4">
        <w:rPr>
          <w:rFonts w:asciiTheme="majorHAnsi" w:hAnsiTheme="majorHAnsi"/>
          <w:sz w:val="20"/>
        </w:rPr>
        <w:t xml:space="preserve"> </w:t>
      </w:r>
      <w:r w:rsidRPr="00D874C4">
        <w:rPr>
          <w:rFonts w:asciiTheme="majorHAnsi" w:hAnsiTheme="majorHAnsi"/>
          <w:sz w:val="20"/>
        </w:rPr>
        <w:t xml:space="preserve">indigenous law and jurisdiction, the American Declaration on the Rights of Indigenous Peoples </w:t>
      </w:r>
      <w:r w:rsidR="00E73F55" w:rsidRPr="00D874C4">
        <w:rPr>
          <w:rFonts w:asciiTheme="majorHAnsi" w:hAnsiTheme="majorHAnsi"/>
          <w:sz w:val="20"/>
        </w:rPr>
        <w:t>provides for regional recognition of the status and importance of indigenous law and jurisdiction, as well as the need to ensure that these systems a</w:t>
      </w:r>
      <w:r w:rsidR="00C51818" w:rsidRPr="00D874C4">
        <w:rPr>
          <w:rFonts w:asciiTheme="majorHAnsi" w:hAnsiTheme="majorHAnsi"/>
          <w:sz w:val="20"/>
        </w:rPr>
        <w:t xml:space="preserve">re respected at the domestic level. Article XXII </w:t>
      </w:r>
      <w:r w:rsidR="00EB6F40" w:rsidRPr="00D874C4">
        <w:rPr>
          <w:rFonts w:asciiTheme="majorHAnsi" w:hAnsiTheme="majorHAnsi"/>
          <w:sz w:val="20"/>
        </w:rPr>
        <w:t>protects indigenous peoples’ right to “promote, develop and maintain their institutional structures and their distinctive customs, spirituality, traditions, procedures, practices and, in the cases where they exist, juridical systems or customs, in accordance with international human rights standards.”</w:t>
      </w:r>
      <w:r w:rsidR="00C51818" w:rsidRPr="00D874C4">
        <w:rPr>
          <w:rFonts w:asciiTheme="majorHAnsi" w:hAnsiTheme="majorHAnsi"/>
          <w:sz w:val="20"/>
        </w:rPr>
        <w:t xml:space="preserve"> </w:t>
      </w:r>
      <w:r w:rsidR="007D56FE" w:rsidRPr="00D874C4">
        <w:rPr>
          <w:rFonts w:asciiTheme="majorHAnsi" w:hAnsiTheme="majorHAnsi"/>
          <w:sz w:val="20"/>
        </w:rPr>
        <w:t xml:space="preserve">Article XXIX further recognize their right to maintain and determine their own priorities with respect to their political, economic, </w:t>
      </w:r>
      <w:r w:rsidR="00B43F55" w:rsidRPr="00D874C4">
        <w:rPr>
          <w:rFonts w:asciiTheme="majorHAnsi" w:hAnsiTheme="majorHAnsi"/>
          <w:sz w:val="20"/>
        </w:rPr>
        <w:t>social,</w:t>
      </w:r>
      <w:r w:rsidR="007D56FE" w:rsidRPr="00D874C4">
        <w:rPr>
          <w:rFonts w:asciiTheme="majorHAnsi" w:hAnsiTheme="majorHAnsi"/>
          <w:sz w:val="20"/>
        </w:rPr>
        <w:t xml:space="preserve"> and cultural development in conformity with their own worldview. </w:t>
      </w:r>
    </w:p>
    <w:p w:rsidR="009D49C5" w:rsidRPr="00D874C4" w:rsidRDefault="009D49C5" w:rsidP="009D49C5">
      <w:pPr>
        <w:pStyle w:val="ListParagraph"/>
        <w:rPr>
          <w:rFonts w:ascii="Georgia" w:hAnsi="Georgia"/>
          <w:color w:val="333333"/>
        </w:rPr>
      </w:pPr>
    </w:p>
    <w:p w:rsidR="009D49C5" w:rsidRPr="00D874C4" w:rsidRDefault="008F4075" w:rsidP="007A052F">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At the universal level</w:t>
      </w:r>
      <w:r w:rsidR="009D49C5" w:rsidRPr="00D874C4">
        <w:rPr>
          <w:rFonts w:asciiTheme="majorHAnsi" w:hAnsiTheme="majorHAnsi"/>
          <w:sz w:val="20"/>
        </w:rPr>
        <w:t>, Article 4 of the United Nations Declaration on the Rights of Indigenous Peoples states that in exercising the right to self-determination, indigenous peoples “have the right to autonomy or self-government in matters relating to their internal and local affairs, as well as ways and means for financing their autonomous functions”. Article 5 asserts the right of indigenous peoples to maintain and strengthen their political, legal, economic, social and cultural institutions and Article 34 the right to promote, develop and maintain their institutional structures, including their juridical systems or customs in accordance with international human rights standards.</w:t>
      </w:r>
    </w:p>
    <w:p w:rsidR="007A052F" w:rsidRPr="00D874C4" w:rsidRDefault="007A052F" w:rsidP="007A052F">
      <w:pPr>
        <w:pStyle w:val="ListParagraph"/>
        <w:rPr>
          <w:rFonts w:asciiTheme="majorHAnsi" w:hAnsiTheme="majorHAnsi"/>
          <w:sz w:val="20"/>
        </w:rPr>
      </w:pPr>
    </w:p>
    <w:p w:rsidR="000F7814" w:rsidRPr="00D874C4" w:rsidRDefault="007A052F" w:rsidP="000A57BD">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Therefore, it is in the context of </w:t>
      </w:r>
      <w:r w:rsidR="006A2404" w:rsidRPr="00D874C4">
        <w:rPr>
          <w:rFonts w:asciiTheme="majorHAnsi" w:hAnsiTheme="majorHAnsi"/>
          <w:sz w:val="20"/>
        </w:rPr>
        <w:t xml:space="preserve">the </w:t>
      </w:r>
      <w:r w:rsidR="00EF34D9" w:rsidRPr="00D874C4">
        <w:rPr>
          <w:rFonts w:asciiTheme="majorHAnsi" w:hAnsiTheme="majorHAnsi"/>
          <w:sz w:val="20"/>
        </w:rPr>
        <w:t xml:space="preserve">rights to </w:t>
      </w:r>
      <w:r w:rsidR="00640FBF" w:rsidRPr="00D874C4">
        <w:rPr>
          <w:rFonts w:asciiTheme="majorHAnsi" w:hAnsiTheme="majorHAnsi"/>
          <w:sz w:val="20"/>
        </w:rPr>
        <w:t>self-determination</w:t>
      </w:r>
      <w:r w:rsidRPr="00D874C4">
        <w:rPr>
          <w:rFonts w:asciiTheme="majorHAnsi" w:hAnsiTheme="majorHAnsi"/>
          <w:sz w:val="20"/>
        </w:rPr>
        <w:t xml:space="preserve"> and cultural identity of</w:t>
      </w:r>
      <w:r w:rsidR="006A2404" w:rsidRPr="00D874C4">
        <w:rPr>
          <w:rFonts w:asciiTheme="majorHAnsi" w:hAnsiTheme="majorHAnsi"/>
          <w:sz w:val="20"/>
        </w:rPr>
        <w:t xml:space="preserve"> indigenous peoples that </w:t>
      </w:r>
      <w:r w:rsidR="0029180E" w:rsidRPr="00D874C4">
        <w:rPr>
          <w:rFonts w:asciiTheme="majorHAnsi" w:hAnsiTheme="majorHAnsi"/>
          <w:sz w:val="20"/>
        </w:rPr>
        <w:t>justice systems and customs have</w:t>
      </w:r>
      <w:r w:rsidR="006A2404" w:rsidRPr="00D874C4">
        <w:rPr>
          <w:rFonts w:asciiTheme="majorHAnsi" w:hAnsiTheme="majorHAnsi"/>
          <w:sz w:val="20"/>
        </w:rPr>
        <w:t xml:space="preserve"> been developed</w:t>
      </w:r>
      <w:r w:rsidR="0029180E" w:rsidRPr="00D874C4">
        <w:rPr>
          <w:rFonts w:asciiTheme="majorHAnsi" w:hAnsiTheme="majorHAnsi"/>
          <w:sz w:val="20"/>
        </w:rPr>
        <w:t xml:space="preserve">. </w:t>
      </w:r>
      <w:r w:rsidR="000F7814" w:rsidRPr="00D874C4">
        <w:rPr>
          <w:rFonts w:asciiTheme="majorHAnsi" w:hAnsiTheme="majorHAnsi"/>
          <w:sz w:val="20"/>
        </w:rPr>
        <w:t xml:space="preserve">As a part of the protection against arbitrary interference </w:t>
      </w:r>
      <w:r w:rsidR="008D44BC" w:rsidRPr="00D874C4">
        <w:rPr>
          <w:rFonts w:asciiTheme="majorHAnsi" w:hAnsiTheme="majorHAnsi"/>
          <w:sz w:val="20"/>
        </w:rPr>
        <w:t>with</w:t>
      </w:r>
      <w:r w:rsidR="000F7814" w:rsidRPr="00D874C4">
        <w:rPr>
          <w:rFonts w:asciiTheme="majorHAnsi" w:hAnsiTheme="majorHAnsi"/>
          <w:sz w:val="20"/>
        </w:rPr>
        <w:t xml:space="preserve"> these rights, </w:t>
      </w:r>
      <w:r w:rsidR="00AB5429" w:rsidRPr="00D874C4">
        <w:rPr>
          <w:rFonts w:asciiTheme="majorHAnsi" w:hAnsiTheme="majorHAnsi"/>
          <w:sz w:val="20"/>
        </w:rPr>
        <w:t xml:space="preserve">States must respect </w:t>
      </w:r>
      <w:r w:rsidR="008D44BC" w:rsidRPr="00D874C4">
        <w:rPr>
          <w:rFonts w:asciiTheme="majorHAnsi" w:hAnsiTheme="majorHAnsi"/>
          <w:sz w:val="20"/>
        </w:rPr>
        <w:t>them</w:t>
      </w:r>
      <w:r w:rsidR="00AB5429" w:rsidRPr="00D874C4">
        <w:rPr>
          <w:rFonts w:asciiTheme="majorHAnsi" w:hAnsiTheme="majorHAnsi"/>
          <w:sz w:val="20"/>
        </w:rPr>
        <w:t xml:space="preserve"> </w:t>
      </w:r>
      <w:r w:rsidR="0029180E" w:rsidRPr="00D874C4">
        <w:rPr>
          <w:rFonts w:asciiTheme="majorHAnsi" w:hAnsiTheme="majorHAnsi"/>
          <w:sz w:val="20"/>
        </w:rPr>
        <w:t xml:space="preserve">when ensuring </w:t>
      </w:r>
      <w:r w:rsidR="004634E1" w:rsidRPr="00D874C4">
        <w:rPr>
          <w:rFonts w:asciiTheme="majorHAnsi" w:hAnsiTheme="majorHAnsi"/>
          <w:sz w:val="20"/>
        </w:rPr>
        <w:t>a fair trial</w:t>
      </w:r>
      <w:r w:rsidR="001F7294" w:rsidRPr="00D874C4">
        <w:rPr>
          <w:rFonts w:asciiTheme="majorHAnsi" w:hAnsiTheme="majorHAnsi"/>
          <w:sz w:val="20"/>
        </w:rPr>
        <w:t xml:space="preserve"> and due process</w:t>
      </w:r>
      <w:r w:rsidR="00AB5429" w:rsidRPr="00D874C4">
        <w:rPr>
          <w:rFonts w:asciiTheme="majorHAnsi" w:hAnsiTheme="majorHAnsi"/>
          <w:sz w:val="20"/>
        </w:rPr>
        <w:t xml:space="preserve">, including the sanction that </w:t>
      </w:r>
      <w:r w:rsidR="008D44BC" w:rsidRPr="00D874C4">
        <w:rPr>
          <w:rFonts w:asciiTheme="majorHAnsi" w:hAnsiTheme="majorHAnsi"/>
          <w:sz w:val="20"/>
        </w:rPr>
        <w:t xml:space="preserve">might </w:t>
      </w:r>
      <w:r w:rsidR="00AB5429" w:rsidRPr="00D874C4">
        <w:rPr>
          <w:rFonts w:asciiTheme="majorHAnsi" w:hAnsiTheme="majorHAnsi"/>
          <w:sz w:val="20"/>
        </w:rPr>
        <w:t xml:space="preserve">be imposed </w:t>
      </w:r>
      <w:r w:rsidR="008D44BC" w:rsidRPr="00D874C4">
        <w:rPr>
          <w:rFonts w:asciiTheme="majorHAnsi" w:hAnsiTheme="majorHAnsi"/>
          <w:sz w:val="20"/>
        </w:rPr>
        <w:t>against</w:t>
      </w:r>
      <w:r w:rsidR="00AB5429" w:rsidRPr="00D874C4">
        <w:rPr>
          <w:rFonts w:asciiTheme="majorHAnsi" w:hAnsiTheme="majorHAnsi"/>
          <w:sz w:val="20"/>
        </w:rPr>
        <w:t xml:space="preserve"> a member of an indigenous community.</w:t>
      </w:r>
    </w:p>
    <w:p w:rsidR="00C07C9F" w:rsidRPr="00D874C4" w:rsidRDefault="00C07C9F" w:rsidP="000F7814">
      <w:pPr>
        <w:pStyle w:val="NormalWeb"/>
        <w:shd w:val="clear" w:color="auto" w:fill="FFFFFF" w:themeFill="background1"/>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Georgia" w:hAnsi="Georgia"/>
          <w:color w:val="333333"/>
        </w:rPr>
      </w:pPr>
    </w:p>
    <w:p w:rsidR="00260087" w:rsidRPr="00D874C4" w:rsidRDefault="00260087" w:rsidP="00ED6897">
      <w:pPr>
        <w:pStyle w:val="Heading3"/>
        <w:numPr>
          <w:ilvl w:val="3"/>
          <w:numId w:val="53"/>
        </w:numPr>
        <w:spacing w:before="0"/>
        <w:ind w:left="360"/>
        <w:rPr>
          <w:color w:val="auto"/>
          <w:sz w:val="20"/>
          <w:szCs w:val="20"/>
        </w:rPr>
      </w:pPr>
      <w:bookmarkStart w:id="55" w:name="_Toc44015997"/>
      <w:bookmarkStart w:id="56" w:name="_Toc49161071"/>
      <w:r w:rsidRPr="00D874C4">
        <w:rPr>
          <w:color w:val="auto"/>
          <w:sz w:val="20"/>
          <w:szCs w:val="20"/>
        </w:rPr>
        <w:t>Analysis of the case</w:t>
      </w:r>
      <w:bookmarkEnd w:id="55"/>
      <w:bookmarkEnd w:id="56"/>
    </w:p>
    <w:p w:rsidR="00260087" w:rsidRPr="00D874C4" w:rsidRDefault="00260087" w:rsidP="00260087">
      <w:pPr>
        <w:rPr>
          <w:rFonts w:asciiTheme="majorHAnsi" w:hAnsiTheme="majorHAnsi"/>
          <w:sz w:val="20"/>
        </w:rPr>
      </w:pPr>
    </w:p>
    <w:p w:rsidR="00D946A3" w:rsidRPr="00D874C4" w:rsidRDefault="00D946A3" w:rsidP="00EF34D9">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According to the facts established in this report, tribes in the United States have an inherent right to govern themselves and tribal sovereignty can be limited only through a treaty with the federal Government or a federal statute. In 1885, the U.S. Congress passed the Major Crimes </w:t>
      </w:r>
      <w:r w:rsidR="004634E1" w:rsidRPr="00D874C4">
        <w:rPr>
          <w:rFonts w:asciiTheme="majorHAnsi" w:hAnsiTheme="majorHAnsi"/>
          <w:sz w:val="20"/>
        </w:rPr>
        <w:t>Act, which</w:t>
      </w:r>
      <w:r w:rsidRPr="00D874C4">
        <w:rPr>
          <w:rFonts w:asciiTheme="majorHAnsi" w:hAnsiTheme="majorHAnsi"/>
          <w:sz w:val="20"/>
        </w:rPr>
        <w:t xml:space="preserve"> place</w:t>
      </w:r>
      <w:r w:rsidR="001C6A0A" w:rsidRPr="00D874C4">
        <w:rPr>
          <w:rFonts w:asciiTheme="majorHAnsi" w:hAnsiTheme="majorHAnsi"/>
          <w:sz w:val="20"/>
        </w:rPr>
        <w:t>d</w:t>
      </w:r>
      <w:r w:rsidRPr="00D874C4">
        <w:rPr>
          <w:rFonts w:asciiTheme="majorHAnsi" w:hAnsiTheme="majorHAnsi"/>
          <w:sz w:val="20"/>
        </w:rPr>
        <w:t xml:space="preserve"> the crime of murder under federal jurisdiction if committed by a native American in native territory. In 1994 Congress passed the Violent Crime Control and Law Enforcement Act, a part of which, known as the Federal Death Penalty Act, established the imposition of the death penalty for three categories of offenses, among which</w:t>
      </w:r>
      <w:r w:rsidR="00F82DB0" w:rsidRPr="00D874C4">
        <w:rPr>
          <w:rFonts w:asciiTheme="majorHAnsi" w:hAnsiTheme="majorHAnsi"/>
          <w:sz w:val="20"/>
        </w:rPr>
        <w:t xml:space="preserve"> was</w:t>
      </w:r>
      <w:r w:rsidRPr="00D874C4">
        <w:rPr>
          <w:rFonts w:asciiTheme="majorHAnsi" w:hAnsiTheme="majorHAnsi"/>
          <w:sz w:val="20"/>
        </w:rPr>
        <w:t xml:space="preserve"> homicide. Under a special provision of the FDPA, it is up to the tribes to choose, under the death penalty legislation, to “opt in.”  The Navajo Nation, a sovereign nation effectively </w:t>
      </w:r>
      <w:r w:rsidR="004149EA" w:rsidRPr="00D874C4">
        <w:rPr>
          <w:rFonts w:asciiTheme="majorHAnsi" w:hAnsiTheme="majorHAnsi"/>
          <w:sz w:val="20"/>
        </w:rPr>
        <w:t>recognized</w:t>
      </w:r>
      <w:r w:rsidRPr="00D874C4">
        <w:rPr>
          <w:rFonts w:asciiTheme="majorHAnsi" w:hAnsiTheme="majorHAnsi"/>
          <w:sz w:val="20"/>
        </w:rPr>
        <w:t xml:space="preserve"> on June 1, 1868, opted out of using the federal death penalty. Therefore, </w:t>
      </w:r>
      <w:r w:rsidR="004634E1" w:rsidRPr="00D874C4">
        <w:rPr>
          <w:rFonts w:asciiTheme="majorHAnsi" w:hAnsiTheme="majorHAnsi"/>
          <w:sz w:val="20"/>
        </w:rPr>
        <w:t>taking into account the will of the Navajo Nation</w:t>
      </w:r>
      <w:r w:rsidRPr="00D874C4">
        <w:rPr>
          <w:rFonts w:asciiTheme="majorHAnsi" w:hAnsiTheme="majorHAnsi"/>
          <w:sz w:val="20"/>
        </w:rPr>
        <w:t>, federal courts</w:t>
      </w:r>
      <w:r w:rsidR="009D7AAE" w:rsidRPr="00D874C4">
        <w:rPr>
          <w:rFonts w:asciiTheme="majorHAnsi" w:hAnsiTheme="majorHAnsi"/>
          <w:sz w:val="20"/>
        </w:rPr>
        <w:t xml:space="preserve"> </w:t>
      </w:r>
      <w:r w:rsidRPr="00D874C4">
        <w:rPr>
          <w:rFonts w:asciiTheme="majorHAnsi" w:hAnsiTheme="majorHAnsi"/>
          <w:sz w:val="20"/>
        </w:rPr>
        <w:t xml:space="preserve">have jurisdiction over cases of murder committed by a native American in native territory, </w:t>
      </w:r>
      <w:r w:rsidR="009D7AAE" w:rsidRPr="00D874C4">
        <w:rPr>
          <w:rFonts w:asciiTheme="majorHAnsi" w:hAnsiTheme="majorHAnsi"/>
          <w:sz w:val="20"/>
        </w:rPr>
        <w:t xml:space="preserve">but </w:t>
      </w:r>
      <w:r w:rsidRPr="00D874C4">
        <w:rPr>
          <w:rFonts w:asciiTheme="majorHAnsi" w:hAnsiTheme="majorHAnsi"/>
          <w:sz w:val="20"/>
        </w:rPr>
        <w:t>the death penalty cannot be imposed</w:t>
      </w:r>
      <w:r w:rsidR="004634E1" w:rsidRPr="00D874C4">
        <w:rPr>
          <w:rFonts w:asciiTheme="majorHAnsi" w:hAnsiTheme="majorHAnsi"/>
          <w:sz w:val="20"/>
        </w:rPr>
        <w:t xml:space="preserve">. </w:t>
      </w:r>
    </w:p>
    <w:p w:rsidR="00D946A3" w:rsidRPr="00D874C4" w:rsidRDefault="00D946A3" w:rsidP="00D946A3">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rPr>
      </w:pPr>
    </w:p>
    <w:p w:rsidR="00985ED5" w:rsidRPr="00D874C4" w:rsidRDefault="0010352F" w:rsidP="00985ED5">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Mr. Mitchell, a member of the Navajo Nation, murdered two persons </w:t>
      </w:r>
      <w:r w:rsidR="00455D42" w:rsidRPr="00D874C4">
        <w:rPr>
          <w:rFonts w:asciiTheme="majorHAnsi" w:hAnsiTheme="majorHAnsi"/>
          <w:sz w:val="20"/>
        </w:rPr>
        <w:t xml:space="preserve">who were travelling </w:t>
      </w:r>
      <w:r w:rsidRPr="00D874C4">
        <w:rPr>
          <w:rFonts w:asciiTheme="majorHAnsi" w:hAnsiTheme="majorHAnsi"/>
          <w:sz w:val="20"/>
        </w:rPr>
        <w:t xml:space="preserve">in </w:t>
      </w:r>
      <w:r w:rsidR="00455D42" w:rsidRPr="00D874C4">
        <w:rPr>
          <w:rFonts w:asciiTheme="majorHAnsi" w:hAnsiTheme="majorHAnsi"/>
          <w:sz w:val="20"/>
        </w:rPr>
        <w:t xml:space="preserve">their pickup truck in </w:t>
      </w:r>
      <w:r w:rsidRPr="00D874C4">
        <w:rPr>
          <w:rFonts w:asciiTheme="majorHAnsi" w:hAnsiTheme="majorHAnsi"/>
          <w:sz w:val="20"/>
        </w:rPr>
        <w:t>Navajo territory in 2001.</w:t>
      </w:r>
      <w:r w:rsidR="00E75FCF">
        <w:rPr>
          <w:rFonts w:asciiTheme="majorHAnsi" w:hAnsiTheme="majorHAnsi"/>
          <w:sz w:val="20"/>
        </w:rPr>
        <w:t xml:space="preserve"> A federal indictment was issued</w:t>
      </w:r>
      <w:r w:rsidR="00455D42" w:rsidRPr="00D874C4">
        <w:rPr>
          <w:rFonts w:asciiTheme="majorHAnsi" w:hAnsiTheme="majorHAnsi"/>
          <w:sz w:val="20"/>
        </w:rPr>
        <w:t xml:space="preserve"> and the U.S. Attorney’s Office for the District </w:t>
      </w:r>
      <w:r w:rsidR="00455D42" w:rsidRPr="00D874C4">
        <w:rPr>
          <w:rFonts w:asciiTheme="majorHAnsi" w:hAnsiTheme="majorHAnsi"/>
          <w:sz w:val="20"/>
        </w:rPr>
        <w:lastRenderedPageBreak/>
        <w:t>of Arizona inquired whether the Navajo Nation would support a capital prosecution in the case. The Attorney General for the Navajo Nation formally requested that the U.S. Attorney’s Office not seek the death penalty. The daughter and mother of the victims made the same request.</w:t>
      </w:r>
      <w:r w:rsidR="007D274A" w:rsidRPr="00D874C4">
        <w:rPr>
          <w:rFonts w:asciiTheme="majorHAnsi" w:hAnsiTheme="majorHAnsi"/>
          <w:sz w:val="20"/>
        </w:rPr>
        <w:t xml:space="preserve"> </w:t>
      </w:r>
      <w:r w:rsidR="0003091F" w:rsidRPr="00D874C4">
        <w:rPr>
          <w:rFonts w:asciiTheme="majorHAnsi" w:hAnsiTheme="majorHAnsi"/>
          <w:sz w:val="20"/>
        </w:rPr>
        <w:t xml:space="preserve">After receiving these inputs, the local U.S. Attorney’s Office recommended to the Department of Justice that capital punishment not be sought against Mr. Mitchell. </w:t>
      </w:r>
      <w:r w:rsidR="00435D27" w:rsidRPr="00D874C4">
        <w:rPr>
          <w:rFonts w:asciiTheme="majorHAnsi" w:hAnsiTheme="majorHAnsi"/>
          <w:sz w:val="20"/>
        </w:rPr>
        <w:t>T</w:t>
      </w:r>
      <w:r w:rsidR="0003091F" w:rsidRPr="00D874C4">
        <w:rPr>
          <w:rFonts w:asciiTheme="majorHAnsi" w:hAnsiTheme="majorHAnsi"/>
          <w:sz w:val="20"/>
        </w:rPr>
        <w:t>he Attorney General</w:t>
      </w:r>
      <w:r w:rsidR="00435D27" w:rsidRPr="00D874C4">
        <w:rPr>
          <w:rFonts w:asciiTheme="majorHAnsi" w:hAnsiTheme="majorHAnsi"/>
          <w:sz w:val="20"/>
        </w:rPr>
        <w:t>, however,</w:t>
      </w:r>
      <w:r w:rsidR="0003091F" w:rsidRPr="00D874C4">
        <w:rPr>
          <w:rFonts w:asciiTheme="majorHAnsi" w:hAnsiTheme="majorHAnsi"/>
          <w:sz w:val="20"/>
        </w:rPr>
        <w:t xml:space="preserve"> instructed the office to seek </w:t>
      </w:r>
      <w:r w:rsidR="009D7AAE" w:rsidRPr="00D874C4">
        <w:rPr>
          <w:rFonts w:asciiTheme="majorHAnsi" w:hAnsiTheme="majorHAnsi"/>
          <w:sz w:val="20"/>
        </w:rPr>
        <w:t xml:space="preserve">the </w:t>
      </w:r>
      <w:r w:rsidR="0003091F" w:rsidRPr="00D874C4">
        <w:rPr>
          <w:rFonts w:asciiTheme="majorHAnsi" w:hAnsiTheme="majorHAnsi"/>
          <w:sz w:val="20"/>
        </w:rPr>
        <w:t>death</w:t>
      </w:r>
      <w:r w:rsidR="009D7AAE" w:rsidRPr="00D874C4">
        <w:rPr>
          <w:rFonts w:asciiTheme="majorHAnsi" w:hAnsiTheme="majorHAnsi"/>
          <w:sz w:val="20"/>
        </w:rPr>
        <w:t xml:space="preserve"> penalty</w:t>
      </w:r>
      <w:r w:rsidR="00F33BC4" w:rsidRPr="00D874C4">
        <w:rPr>
          <w:rFonts w:asciiTheme="majorHAnsi" w:hAnsiTheme="majorHAnsi"/>
          <w:sz w:val="20"/>
        </w:rPr>
        <w:t>.</w:t>
      </w:r>
      <w:r w:rsidR="00E470ED" w:rsidRPr="00D874C4">
        <w:rPr>
          <w:rFonts w:asciiTheme="majorHAnsi" w:hAnsiTheme="majorHAnsi"/>
          <w:sz w:val="20"/>
        </w:rPr>
        <w:t xml:space="preserve"> </w:t>
      </w:r>
      <w:r w:rsidR="00F33BC4" w:rsidRPr="00D874C4">
        <w:rPr>
          <w:rFonts w:asciiTheme="majorHAnsi" w:hAnsiTheme="majorHAnsi"/>
          <w:sz w:val="20"/>
        </w:rPr>
        <w:t>A</w:t>
      </w:r>
      <w:r w:rsidR="00E470ED" w:rsidRPr="00D874C4">
        <w:rPr>
          <w:rFonts w:asciiTheme="majorHAnsi" w:hAnsiTheme="majorHAnsi"/>
          <w:sz w:val="20"/>
        </w:rPr>
        <w:t xml:space="preserve"> superseding indictment was returned, and the government filed a notice of intent to seek the death penalty based on the charge of carjacking resulting in death.</w:t>
      </w:r>
      <w:r w:rsidR="000651B5" w:rsidRPr="00D874C4">
        <w:rPr>
          <w:rFonts w:asciiTheme="majorHAnsi" w:hAnsiTheme="majorHAnsi"/>
          <w:sz w:val="20"/>
        </w:rPr>
        <w:t xml:space="preserve"> Mr. Mitchell was subsequently convicted and sentenced to death on the carjacking count and to two life sentences plus 384 months on the remaining counts</w:t>
      </w:r>
      <w:r w:rsidR="00455EC7" w:rsidRPr="00D874C4">
        <w:rPr>
          <w:rFonts w:asciiTheme="majorHAnsi" w:hAnsiTheme="majorHAnsi"/>
          <w:sz w:val="20"/>
        </w:rPr>
        <w:t>, which included</w:t>
      </w:r>
      <w:r w:rsidR="000651B5" w:rsidRPr="00D874C4">
        <w:rPr>
          <w:rFonts w:asciiTheme="majorHAnsi" w:hAnsiTheme="majorHAnsi"/>
          <w:sz w:val="20"/>
        </w:rPr>
        <w:t xml:space="preserve"> </w:t>
      </w:r>
      <w:r w:rsidR="00455EC7" w:rsidRPr="00D874C4">
        <w:rPr>
          <w:rFonts w:asciiTheme="majorHAnsi" w:hAnsiTheme="majorHAnsi"/>
          <w:sz w:val="20"/>
        </w:rPr>
        <w:t xml:space="preserve">murder. </w:t>
      </w:r>
    </w:p>
    <w:p w:rsidR="00985ED5" w:rsidRPr="00D874C4" w:rsidRDefault="00985ED5" w:rsidP="00985ED5">
      <w:pPr>
        <w:pStyle w:val="ListParagraph"/>
        <w:rPr>
          <w:rFonts w:asciiTheme="majorHAnsi" w:eastAsia="Times New Roman" w:hAnsiTheme="majorHAnsi" w:cs="Times New Roman"/>
          <w:color w:val="auto"/>
          <w:sz w:val="20"/>
          <w:bdr w:val="none" w:sz="0" w:space="0" w:color="auto"/>
          <w:lang w:eastAsia="en-US"/>
        </w:rPr>
      </w:pPr>
    </w:p>
    <w:p w:rsidR="009144DE" w:rsidRPr="00D874C4" w:rsidRDefault="001952E6" w:rsidP="009144DE">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The Inter-American Commission must now establish whether these facts conform to the aforementioned inter-American standards. T</w:t>
      </w:r>
      <w:r w:rsidR="00985ED5" w:rsidRPr="00D874C4">
        <w:rPr>
          <w:rFonts w:asciiTheme="majorHAnsi" w:hAnsiTheme="majorHAnsi"/>
          <w:sz w:val="20"/>
        </w:rPr>
        <w:t xml:space="preserve">he Commission finds that the federal government made legitimate use of its jurisdiction to judge the facts of this case based on the </w:t>
      </w:r>
      <w:r w:rsidR="00303D82" w:rsidRPr="00D874C4">
        <w:rPr>
          <w:rFonts w:asciiTheme="majorHAnsi" w:hAnsiTheme="majorHAnsi"/>
          <w:sz w:val="20"/>
        </w:rPr>
        <w:t xml:space="preserve">provisions of the </w:t>
      </w:r>
      <w:r w:rsidR="00985ED5" w:rsidRPr="00D874C4">
        <w:rPr>
          <w:rFonts w:asciiTheme="majorHAnsi" w:hAnsiTheme="majorHAnsi"/>
          <w:sz w:val="20"/>
        </w:rPr>
        <w:t xml:space="preserve">Major Crimes Act. The issue to be determined by the IACHR </w:t>
      </w:r>
      <w:r w:rsidR="009144DE" w:rsidRPr="00D874C4">
        <w:rPr>
          <w:rFonts w:asciiTheme="majorHAnsi" w:hAnsiTheme="majorHAnsi"/>
          <w:sz w:val="20"/>
        </w:rPr>
        <w:t xml:space="preserve">in this case </w:t>
      </w:r>
      <w:r w:rsidR="00985ED5" w:rsidRPr="00D874C4">
        <w:rPr>
          <w:rFonts w:asciiTheme="majorHAnsi" w:hAnsiTheme="majorHAnsi"/>
          <w:sz w:val="20"/>
        </w:rPr>
        <w:t xml:space="preserve">is whether the </w:t>
      </w:r>
      <w:r w:rsidR="00D175D2" w:rsidRPr="00D874C4">
        <w:rPr>
          <w:rFonts w:asciiTheme="majorHAnsi" w:hAnsiTheme="majorHAnsi"/>
          <w:sz w:val="20"/>
        </w:rPr>
        <w:t xml:space="preserve">sentence applied was </w:t>
      </w:r>
      <w:r w:rsidR="00985ED5" w:rsidRPr="00D874C4">
        <w:rPr>
          <w:rFonts w:asciiTheme="majorHAnsi" w:hAnsiTheme="majorHAnsi"/>
          <w:sz w:val="20"/>
        </w:rPr>
        <w:t xml:space="preserve">in accordance with the </w:t>
      </w:r>
      <w:r w:rsidR="005D3592" w:rsidRPr="00D874C4">
        <w:rPr>
          <w:rFonts w:asciiTheme="majorHAnsi" w:hAnsiTheme="majorHAnsi"/>
          <w:sz w:val="20"/>
        </w:rPr>
        <w:t>right to autonomy and cultural identity of indigenous peoples,</w:t>
      </w:r>
      <w:r w:rsidR="00C70D96" w:rsidRPr="00D874C4">
        <w:rPr>
          <w:rFonts w:asciiTheme="majorHAnsi" w:hAnsiTheme="majorHAnsi"/>
          <w:sz w:val="20"/>
        </w:rPr>
        <w:t xml:space="preserve"> and</w:t>
      </w:r>
      <w:r w:rsidR="005D3592" w:rsidRPr="00D874C4">
        <w:rPr>
          <w:rFonts w:asciiTheme="majorHAnsi" w:hAnsiTheme="majorHAnsi"/>
          <w:sz w:val="20"/>
        </w:rPr>
        <w:t xml:space="preserve"> the rights of Mr. Mitchell’s to a fair trial</w:t>
      </w:r>
      <w:r w:rsidRPr="00D874C4">
        <w:rPr>
          <w:rFonts w:asciiTheme="majorHAnsi" w:hAnsiTheme="majorHAnsi"/>
          <w:sz w:val="20"/>
        </w:rPr>
        <w:t>.</w:t>
      </w:r>
      <w:r w:rsidR="00CE3F41" w:rsidRPr="00D874C4">
        <w:rPr>
          <w:rFonts w:asciiTheme="majorHAnsi" w:hAnsiTheme="majorHAnsi"/>
          <w:sz w:val="20"/>
        </w:rPr>
        <w:t xml:space="preserve"> </w:t>
      </w:r>
      <w:r w:rsidR="000E79FC" w:rsidRPr="00D874C4">
        <w:rPr>
          <w:rFonts w:asciiTheme="majorHAnsi" w:hAnsiTheme="majorHAnsi"/>
          <w:sz w:val="20"/>
        </w:rPr>
        <w:t xml:space="preserve"> </w:t>
      </w:r>
    </w:p>
    <w:p w:rsidR="005D3592" w:rsidRPr="00D874C4" w:rsidRDefault="005D3592" w:rsidP="005D3592">
      <w:pPr>
        <w:pStyle w:val="ListParagraph"/>
        <w:rPr>
          <w:rFonts w:asciiTheme="majorHAnsi" w:hAnsiTheme="majorHAnsi"/>
          <w:sz w:val="20"/>
        </w:rPr>
      </w:pPr>
    </w:p>
    <w:p w:rsidR="00FC7F33" w:rsidRPr="00D874C4" w:rsidRDefault="001952E6" w:rsidP="00FC7F33">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The </w:t>
      </w:r>
      <w:r w:rsidR="0019719F" w:rsidRPr="00D874C4">
        <w:rPr>
          <w:rFonts w:asciiTheme="majorHAnsi" w:hAnsiTheme="majorHAnsi"/>
          <w:sz w:val="20"/>
        </w:rPr>
        <w:t>Commission note</w:t>
      </w:r>
      <w:r w:rsidRPr="00D874C4">
        <w:rPr>
          <w:rFonts w:asciiTheme="majorHAnsi" w:hAnsiTheme="majorHAnsi"/>
          <w:sz w:val="20"/>
        </w:rPr>
        <w:t>s</w:t>
      </w:r>
      <w:r w:rsidR="0019719F" w:rsidRPr="00D874C4">
        <w:rPr>
          <w:rFonts w:asciiTheme="majorHAnsi" w:hAnsiTheme="majorHAnsi"/>
          <w:sz w:val="20"/>
        </w:rPr>
        <w:t xml:space="preserve"> that it has no competence to replace domestic courts in the appraisal of evidence or to declare that an individual convicted of a criminal offense is or not guilty. According to the “fourth instance formula,” the Commission in principle will not review the judgments issued by the domestic courts acting within their competence and with due judicial guarantees. The fourth in</w:t>
      </w:r>
      <w:r w:rsidR="00E75FCF">
        <w:rPr>
          <w:rFonts w:asciiTheme="majorHAnsi" w:hAnsiTheme="majorHAnsi"/>
          <w:sz w:val="20"/>
        </w:rPr>
        <w:t>stance formula does not, however</w:t>
      </w:r>
      <w:r w:rsidR="0019719F" w:rsidRPr="00D874C4">
        <w:rPr>
          <w:rFonts w:asciiTheme="majorHAnsi" w:hAnsiTheme="majorHAnsi"/>
          <w:sz w:val="20"/>
        </w:rPr>
        <w:t xml:space="preserve"> preclude the Commission from considering a case where the petitioner’s allegations entail a possible violation of any of the rights se</w:t>
      </w:r>
      <w:r w:rsidR="009D7AAE" w:rsidRPr="00D874C4">
        <w:rPr>
          <w:rFonts w:asciiTheme="majorHAnsi" w:hAnsiTheme="majorHAnsi"/>
          <w:sz w:val="20"/>
        </w:rPr>
        <w:t>t</w:t>
      </w:r>
      <w:r w:rsidR="0019719F" w:rsidRPr="00D874C4">
        <w:rPr>
          <w:rFonts w:asciiTheme="majorHAnsi" w:hAnsiTheme="majorHAnsi"/>
          <w:sz w:val="20"/>
        </w:rPr>
        <w:t xml:space="preserve"> </w:t>
      </w:r>
      <w:r w:rsidR="006232F9" w:rsidRPr="00D874C4">
        <w:rPr>
          <w:rFonts w:asciiTheme="majorHAnsi" w:hAnsiTheme="majorHAnsi"/>
          <w:sz w:val="20"/>
        </w:rPr>
        <w:t>forth</w:t>
      </w:r>
      <w:r w:rsidR="0019719F" w:rsidRPr="00D874C4">
        <w:rPr>
          <w:rFonts w:asciiTheme="majorHAnsi" w:hAnsiTheme="majorHAnsi"/>
          <w:sz w:val="20"/>
        </w:rPr>
        <w:t xml:space="preserve"> in the American Declaration. In this regard, the IACHR has affirmed in death penalty cases that the application of the heightened scrutiny test to due process questions is not, in any way, preclude</w:t>
      </w:r>
      <w:r w:rsidR="009D7AAE" w:rsidRPr="00D874C4">
        <w:rPr>
          <w:rFonts w:asciiTheme="majorHAnsi" w:hAnsiTheme="majorHAnsi"/>
          <w:sz w:val="20"/>
        </w:rPr>
        <w:t>d</w:t>
      </w:r>
      <w:r w:rsidR="0019719F" w:rsidRPr="00D874C4">
        <w:rPr>
          <w:rFonts w:asciiTheme="majorHAnsi" w:hAnsiTheme="majorHAnsi"/>
          <w:sz w:val="20"/>
        </w:rPr>
        <w:t xml:space="preserve"> by the fourth instance formula. The analysis that follow</w:t>
      </w:r>
      <w:r w:rsidR="00FC7F33" w:rsidRPr="00D874C4">
        <w:rPr>
          <w:rFonts w:asciiTheme="majorHAnsi" w:hAnsiTheme="majorHAnsi"/>
          <w:sz w:val="20"/>
        </w:rPr>
        <w:t>s</w:t>
      </w:r>
      <w:r w:rsidR="0019719F" w:rsidRPr="00D874C4">
        <w:rPr>
          <w:rFonts w:asciiTheme="majorHAnsi" w:hAnsiTheme="majorHAnsi"/>
          <w:sz w:val="20"/>
        </w:rPr>
        <w:t xml:space="preserve"> thus concerns the right to</w:t>
      </w:r>
      <w:r w:rsidR="00533C7A" w:rsidRPr="00D874C4">
        <w:rPr>
          <w:rFonts w:asciiTheme="majorHAnsi" w:hAnsiTheme="majorHAnsi"/>
          <w:sz w:val="20"/>
        </w:rPr>
        <w:t xml:space="preserve"> </w:t>
      </w:r>
      <w:r w:rsidR="00FC7F33" w:rsidRPr="00D874C4">
        <w:rPr>
          <w:rFonts w:asciiTheme="majorHAnsi" w:hAnsiTheme="majorHAnsi"/>
          <w:sz w:val="20"/>
        </w:rPr>
        <w:t>autonomy and cultural identity of indigenous peoples, taking into account the rights of Mr. Mitchell’s to a fair trial under the American Declaration.</w:t>
      </w:r>
    </w:p>
    <w:p w:rsidR="009144DE" w:rsidRPr="00D874C4" w:rsidRDefault="009144DE" w:rsidP="009144DE">
      <w:pPr>
        <w:pStyle w:val="ListParagraph"/>
        <w:rPr>
          <w:rFonts w:asciiTheme="majorHAnsi" w:eastAsia="Times New Roman" w:hAnsiTheme="majorHAnsi" w:cs="Times New Roman"/>
          <w:color w:val="auto"/>
          <w:sz w:val="20"/>
          <w:bdr w:val="none" w:sz="0" w:space="0" w:color="auto"/>
          <w:lang w:eastAsia="en-US"/>
        </w:rPr>
      </w:pPr>
    </w:p>
    <w:p w:rsidR="003C2EEA" w:rsidRPr="00D874C4" w:rsidRDefault="00AF2C52" w:rsidP="0027694B">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First</w:t>
      </w:r>
      <w:r w:rsidR="003C2EEA" w:rsidRPr="00D874C4">
        <w:rPr>
          <w:rFonts w:asciiTheme="majorHAnsi" w:hAnsiTheme="majorHAnsi"/>
          <w:sz w:val="20"/>
        </w:rPr>
        <w:t xml:space="preserve">, the Commission notes that the State </w:t>
      </w:r>
      <w:r w:rsidR="00622431" w:rsidRPr="00D874C4">
        <w:rPr>
          <w:rFonts w:asciiTheme="majorHAnsi" w:hAnsiTheme="majorHAnsi"/>
          <w:sz w:val="20"/>
        </w:rPr>
        <w:t>recognizes the</w:t>
      </w:r>
      <w:r w:rsidR="00422A7D" w:rsidRPr="00D874C4">
        <w:rPr>
          <w:rFonts w:asciiTheme="majorHAnsi" w:hAnsiTheme="majorHAnsi"/>
          <w:sz w:val="20"/>
        </w:rPr>
        <w:t xml:space="preserve"> </w:t>
      </w:r>
      <w:r w:rsidR="005A5F64" w:rsidRPr="00D874C4">
        <w:rPr>
          <w:rFonts w:asciiTheme="majorHAnsi" w:hAnsiTheme="majorHAnsi"/>
          <w:sz w:val="20"/>
        </w:rPr>
        <w:t>right to self-determination of</w:t>
      </w:r>
      <w:r w:rsidR="003C2EEA" w:rsidRPr="00D874C4">
        <w:rPr>
          <w:rFonts w:asciiTheme="majorHAnsi" w:hAnsiTheme="majorHAnsi"/>
          <w:sz w:val="20"/>
        </w:rPr>
        <w:t xml:space="preserve"> indigenous peoples </w:t>
      </w:r>
      <w:r w:rsidR="005A5F64" w:rsidRPr="00D874C4">
        <w:rPr>
          <w:rFonts w:asciiTheme="majorHAnsi" w:hAnsiTheme="majorHAnsi"/>
          <w:sz w:val="20"/>
        </w:rPr>
        <w:t>within the framework of the application of the federal death penalty</w:t>
      </w:r>
      <w:r w:rsidR="003C2EEA" w:rsidRPr="00D874C4">
        <w:rPr>
          <w:rFonts w:asciiTheme="majorHAnsi" w:hAnsiTheme="majorHAnsi"/>
          <w:sz w:val="20"/>
        </w:rPr>
        <w:t xml:space="preserve"> </w:t>
      </w:r>
      <w:r w:rsidR="0027694B" w:rsidRPr="00D874C4">
        <w:rPr>
          <w:rFonts w:asciiTheme="majorHAnsi" w:hAnsiTheme="majorHAnsi"/>
          <w:sz w:val="20"/>
        </w:rPr>
        <w:t xml:space="preserve">regarding </w:t>
      </w:r>
      <w:r w:rsidR="003C2EEA" w:rsidRPr="00D874C4">
        <w:rPr>
          <w:rFonts w:asciiTheme="majorHAnsi" w:hAnsiTheme="majorHAnsi"/>
          <w:sz w:val="20"/>
        </w:rPr>
        <w:t>crimes committed on tribal lands. T</w:t>
      </w:r>
      <w:r w:rsidR="00303D82" w:rsidRPr="00D874C4">
        <w:rPr>
          <w:rFonts w:asciiTheme="majorHAnsi" w:hAnsiTheme="majorHAnsi"/>
          <w:sz w:val="20"/>
        </w:rPr>
        <w:t xml:space="preserve">he Navajo people, by making use of their sovereign power recognized by the U.S. government </w:t>
      </w:r>
      <w:r w:rsidR="00FB6E8D" w:rsidRPr="00D874C4">
        <w:rPr>
          <w:rFonts w:asciiTheme="majorHAnsi" w:hAnsiTheme="majorHAnsi"/>
          <w:sz w:val="20"/>
        </w:rPr>
        <w:t>to</w:t>
      </w:r>
      <w:r w:rsidR="00303D82" w:rsidRPr="00D874C4">
        <w:rPr>
          <w:rFonts w:asciiTheme="majorHAnsi" w:hAnsiTheme="majorHAnsi"/>
          <w:sz w:val="20"/>
        </w:rPr>
        <w:t xml:space="preserve"> opt-out of the FDPA, expressed their </w:t>
      </w:r>
      <w:r w:rsidR="00FB6E8D" w:rsidRPr="00D874C4">
        <w:rPr>
          <w:rFonts w:asciiTheme="majorHAnsi" w:hAnsiTheme="majorHAnsi"/>
          <w:sz w:val="20"/>
        </w:rPr>
        <w:t>rejection to the use of the</w:t>
      </w:r>
      <w:r w:rsidR="00303D82" w:rsidRPr="00D874C4">
        <w:rPr>
          <w:rFonts w:asciiTheme="majorHAnsi" w:hAnsiTheme="majorHAnsi"/>
          <w:sz w:val="20"/>
        </w:rPr>
        <w:t xml:space="preserve"> death penalty for crimes committed by its members on their territory. This is due to the </w:t>
      </w:r>
      <w:r w:rsidR="009144DE" w:rsidRPr="00D874C4">
        <w:rPr>
          <w:rFonts w:asciiTheme="majorHAnsi" w:hAnsiTheme="majorHAnsi"/>
          <w:sz w:val="20"/>
        </w:rPr>
        <w:t xml:space="preserve">particular </w:t>
      </w:r>
      <w:r w:rsidR="004C46FE" w:rsidRPr="00D874C4">
        <w:rPr>
          <w:rFonts w:asciiTheme="majorHAnsi" w:hAnsiTheme="majorHAnsi"/>
          <w:sz w:val="20"/>
        </w:rPr>
        <w:t>indigenous people's world</w:t>
      </w:r>
      <w:r w:rsidR="00303D82" w:rsidRPr="00D874C4">
        <w:rPr>
          <w:rFonts w:asciiTheme="majorHAnsi" w:hAnsiTheme="majorHAnsi"/>
          <w:sz w:val="20"/>
        </w:rPr>
        <w:t>view, th</w:t>
      </w:r>
      <w:r w:rsidR="009144DE" w:rsidRPr="00D874C4">
        <w:rPr>
          <w:rFonts w:asciiTheme="majorHAnsi" w:hAnsiTheme="majorHAnsi"/>
          <w:sz w:val="20"/>
        </w:rPr>
        <w:t>eir</w:t>
      </w:r>
      <w:r w:rsidR="00303D82" w:rsidRPr="00D874C4">
        <w:rPr>
          <w:rFonts w:asciiTheme="majorHAnsi" w:hAnsiTheme="majorHAnsi"/>
          <w:sz w:val="20"/>
        </w:rPr>
        <w:t xml:space="preserve"> relationship to life</w:t>
      </w:r>
      <w:r w:rsidR="009144DE" w:rsidRPr="00D874C4">
        <w:rPr>
          <w:rFonts w:asciiTheme="majorHAnsi" w:hAnsiTheme="majorHAnsi"/>
          <w:sz w:val="20"/>
        </w:rPr>
        <w:t>, and the means</w:t>
      </w:r>
      <w:r w:rsidR="00513F1F" w:rsidRPr="00D874C4">
        <w:rPr>
          <w:rFonts w:asciiTheme="majorHAnsi" w:hAnsiTheme="majorHAnsi"/>
          <w:sz w:val="20"/>
        </w:rPr>
        <w:t xml:space="preserve"> use</w:t>
      </w:r>
      <w:r w:rsidR="009144DE" w:rsidRPr="00D874C4">
        <w:rPr>
          <w:rFonts w:asciiTheme="majorHAnsi" w:hAnsiTheme="majorHAnsi"/>
          <w:sz w:val="20"/>
        </w:rPr>
        <w:t>d</w:t>
      </w:r>
      <w:r w:rsidR="00513F1F" w:rsidRPr="00D874C4">
        <w:rPr>
          <w:rFonts w:asciiTheme="majorHAnsi" w:hAnsiTheme="majorHAnsi"/>
          <w:sz w:val="20"/>
        </w:rPr>
        <w:t xml:space="preserve"> to resolve conflicts</w:t>
      </w:r>
      <w:r w:rsidR="00303D82" w:rsidRPr="00D874C4">
        <w:rPr>
          <w:rFonts w:asciiTheme="majorHAnsi" w:hAnsiTheme="majorHAnsi"/>
          <w:sz w:val="20"/>
        </w:rPr>
        <w:t xml:space="preserve">. </w:t>
      </w:r>
      <w:r w:rsidR="009144DE" w:rsidRPr="00D874C4">
        <w:rPr>
          <w:rFonts w:asciiTheme="majorHAnsi" w:hAnsiTheme="majorHAnsi"/>
          <w:sz w:val="20"/>
        </w:rPr>
        <w:t>As the Navajo Nation’s representatives explained to Congress when opting-out of the FDPA: “the death penalty is counter to the cultural beliefs and traditions of the Navajo people who value life and place great emphasis on the restoration of harmony through restitution and individual attention.”</w:t>
      </w:r>
      <w:r w:rsidR="003B23A7" w:rsidRPr="00D874C4">
        <w:rPr>
          <w:rFonts w:asciiTheme="majorHAnsi" w:hAnsiTheme="majorHAnsi"/>
          <w:sz w:val="20"/>
        </w:rPr>
        <w:t xml:space="preserve"> </w:t>
      </w:r>
    </w:p>
    <w:p w:rsidR="003C2EEA" w:rsidRPr="00D874C4" w:rsidRDefault="003C2EEA" w:rsidP="00422A7D">
      <w:pPr>
        <w:pStyle w:val="ListParagraph"/>
        <w:rPr>
          <w:rFonts w:asciiTheme="majorHAnsi" w:hAnsiTheme="majorHAnsi"/>
          <w:sz w:val="20"/>
        </w:rPr>
      </w:pPr>
    </w:p>
    <w:p w:rsidR="00357C54" w:rsidRPr="00D874C4" w:rsidRDefault="0027694B" w:rsidP="00AF2C52">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S</w:t>
      </w:r>
      <w:r w:rsidR="003C2EEA" w:rsidRPr="00D874C4">
        <w:rPr>
          <w:rFonts w:asciiTheme="majorHAnsi" w:hAnsiTheme="majorHAnsi"/>
          <w:sz w:val="20"/>
        </w:rPr>
        <w:t>econd, the Commission observes that Mr. Mitchell was sentenced to the death penalty on the count of carjacking resulting in death, a federal crime which, although not covered by the FDPA, allow</w:t>
      </w:r>
      <w:r w:rsidR="00BF5327" w:rsidRPr="00D874C4">
        <w:rPr>
          <w:rFonts w:asciiTheme="majorHAnsi" w:hAnsiTheme="majorHAnsi"/>
          <w:sz w:val="20"/>
        </w:rPr>
        <w:t>s</w:t>
      </w:r>
      <w:r w:rsidR="003C2EEA" w:rsidRPr="00D874C4">
        <w:rPr>
          <w:rFonts w:asciiTheme="majorHAnsi" w:hAnsiTheme="majorHAnsi"/>
          <w:sz w:val="20"/>
        </w:rPr>
        <w:t xml:space="preserve"> for the application of capital punishment because of its outcome, namely death. </w:t>
      </w:r>
      <w:r w:rsidR="00BF5327" w:rsidRPr="00D874C4">
        <w:rPr>
          <w:rFonts w:asciiTheme="majorHAnsi" w:hAnsiTheme="majorHAnsi"/>
          <w:sz w:val="20"/>
        </w:rPr>
        <w:t xml:space="preserve">Therefore, unlike murder, the Navajo Nation was not allowed to </w:t>
      </w:r>
      <w:r w:rsidR="00D30CC4" w:rsidRPr="00D874C4">
        <w:rPr>
          <w:rFonts w:asciiTheme="majorHAnsi" w:hAnsiTheme="majorHAnsi"/>
          <w:sz w:val="20"/>
        </w:rPr>
        <w:t>opt against the application of the federal death penalty in cases of carjacking resulting in death, although the outcome of both crimes is the same</w:t>
      </w:r>
      <w:r w:rsidR="00BF5327" w:rsidRPr="00D874C4">
        <w:rPr>
          <w:rFonts w:asciiTheme="majorHAnsi" w:hAnsiTheme="majorHAnsi"/>
          <w:sz w:val="20"/>
        </w:rPr>
        <w:t>. The Commission also notes</w:t>
      </w:r>
      <w:r w:rsidR="00D30CC4" w:rsidRPr="00D874C4">
        <w:rPr>
          <w:rFonts w:asciiTheme="majorHAnsi" w:hAnsiTheme="majorHAnsi"/>
          <w:sz w:val="20"/>
        </w:rPr>
        <w:t xml:space="preserve"> that</w:t>
      </w:r>
      <w:r w:rsidR="00BF5327" w:rsidRPr="00D874C4">
        <w:rPr>
          <w:rFonts w:asciiTheme="majorHAnsi" w:hAnsiTheme="majorHAnsi"/>
          <w:sz w:val="20"/>
        </w:rPr>
        <w:t>, a</w:t>
      </w:r>
      <w:r w:rsidR="00357C54" w:rsidRPr="00D874C4">
        <w:rPr>
          <w:rFonts w:asciiTheme="majorHAnsi" w:hAnsiTheme="majorHAnsi"/>
          <w:sz w:val="20"/>
        </w:rPr>
        <w:t xml:space="preserve">ccording to available information, the </w:t>
      </w:r>
      <w:r w:rsidR="00D467F5" w:rsidRPr="00D874C4">
        <w:rPr>
          <w:rFonts w:asciiTheme="majorHAnsi" w:hAnsiTheme="majorHAnsi"/>
          <w:sz w:val="20"/>
        </w:rPr>
        <w:t xml:space="preserve">federal </w:t>
      </w:r>
      <w:r w:rsidR="00357C54" w:rsidRPr="00D874C4">
        <w:rPr>
          <w:rFonts w:asciiTheme="majorHAnsi" w:hAnsiTheme="majorHAnsi"/>
          <w:sz w:val="20"/>
        </w:rPr>
        <w:t xml:space="preserve">death penalty was not </w:t>
      </w:r>
      <w:r w:rsidR="0092764B" w:rsidRPr="00D874C4">
        <w:rPr>
          <w:rFonts w:asciiTheme="majorHAnsi" w:hAnsiTheme="majorHAnsi"/>
          <w:sz w:val="20"/>
        </w:rPr>
        <w:t>applicable in cases of</w:t>
      </w:r>
      <w:r w:rsidR="00357C54" w:rsidRPr="00D874C4">
        <w:rPr>
          <w:rFonts w:asciiTheme="majorHAnsi" w:hAnsiTheme="majorHAnsi"/>
          <w:sz w:val="20"/>
        </w:rPr>
        <w:t xml:space="preserve"> carjacking </w:t>
      </w:r>
      <w:r w:rsidR="00D467F5" w:rsidRPr="00D874C4">
        <w:rPr>
          <w:rFonts w:asciiTheme="majorHAnsi" w:hAnsiTheme="majorHAnsi"/>
          <w:sz w:val="20"/>
        </w:rPr>
        <w:t xml:space="preserve">resulting in death </w:t>
      </w:r>
      <w:r w:rsidR="00357C54" w:rsidRPr="00D874C4">
        <w:rPr>
          <w:rFonts w:asciiTheme="majorHAnsi" w:hAnsiTheme="majorHAnsi"/>
          <w:sz w:val="20"/>
        </w:rPr>
        <w:t>until 1994</w:t>
      </w:r>
      <w:r w:rsidR="0092764B" w:rsidRPr="00D874C4">
        <w:rPr>
          <w:rFonts w:asciiTheme="majorHAnsi" w:hAnsiTheme="majorHAnsi"/>
          <w:sz w:val="20"/>
        </w:rPr>
        <w:t>.</w:t>
      </w:r>
      <w:r w:rsidR="00357C54" w:rsidRPr="00D874C4">
        <w:rPr>
          <w:rStyle w:val="FootnoteReference"/>
          <w:rFonts w:asciiTheme="majorHAnsi" w:hAnsiTheme="majorHAnsi"/>
          <w:sz w:val="20"/>
        </w:rPr>
        <w:footnoteReference w:id="70"/>
      </w:r>
      <w:r w:rsidR="00357C54" w:rsidRPr="00D874C4">
        <w:rPr>
          <w:rFonts w:asciiTheme="majorHAnsi" w:hAnsiTheme="majorHAnsi"/>
          <w:sz w:val="20"/>
        </w:rPr>
        <w:t xml:space="preserve"> </w:t>
      </w:r>
    </w:p>
    <w:p w:rsidR="00F6161E" w:rsidRPr="00D874C4" w:rsidRDefault="00F6161E" w:rsidP="00AF2C52">
      <w:pPr>
        <w:pStyle w:val="ListParagraph"/>
        <w:rPr>
          <w:rFonts w:asciiTheme="majorHAnsi" w:hAnsiTheme="majorHAnsi"/>
          <w:sz w:val="20"/>
        </w:rPr>
      </w:pPr>
    </w:p>
    <w:p w:rsidR="00F12D0D" w:rsidRPr="00D874C4" w:rsidRDefault="001D1074" w:rsidP="00AF2C52">
      <w:pPr>
        <w:pStyle w:val="NormalWeb"/>
        <w:numPr>
          <w:ilvl w:val="0"/>
          <w:numId w:val="55"/>
        </w:numPr>
        <w:shd w:val="clear" w:color="auto" w:fill="FFFFFF"/>
        <w:tabs>
          <w:tab w:val="left" w:pos="0"/>
          <w:tab w:val="left" w:pos="36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Third</w:t>
      </w:r>
      <w:r w:rsidR="000C067E" w:rsidRPr="00D874C4">
        <w:rPr>
          <w:rFonts w:asciiTheme="majorHAnsi" w:hAnsiTheme="majorHAnsi"/>
          <w:sz w:val="20"/>
        </w:rPr>
        <w:t>,</w:t>
      </w:r>
      <w:r w:rsidR="00350150" w:rsidRPr="00D874C4">
        <w:rPr>
          <w:rFonts w:asciiTheme="majorHAnsi" w:hAnsiTheme="majorHAnsi"/>
          <w:sz w:val="20"/>
        </w:rPr>
        <w:t xml:space="preserve"> </w:t>
      </w:r>
      <w:r w:rsidR="000C067E" w:rsidRPr="00D874C4">
        <w:rPr>
          <w:rFonts w:asciiTheme="majorHAnsi" w:hAnsiTheme="majorHAnsi"/>
          <w:sz w:val="20"/>
        </w:rPr>
        <w:t>the Commission n</w:t>
      </w:r>
      <w:r w:rsidR="00350150" w:rsidRPr="00D874C4">
        <w:rPr>
          <w:rFonts w:asciiTheme="majorHAnsi" w:hAnsiTheme="majorHAnsi"/>
          <w:sz w:val="20"/>
        </w:rPr>
        <w:t xml:space="preserve">otes </w:t>
      </w:r>
      <w:r w:rsidR="00F12D0D" w:rsidRPr="00D874C4">
        <w:rPr>
          <w:rFonts w:asciiTheme="majorHAnsi" w:hAnsiTheme="majorHAnsi"/>
          <w:sz w:val="20"/>
        </w:rPr>
        <w:t xml:space="preserve">that </w:t>
      </w:r>
      <w:r w:rsidR="00072772" w:rsidRPr="00D874C4">
        <w:rPr>
          <w:rFonts w:asciiTheme="majorHAnsi" w:hAnsiTheme="majorHAnsi"/>
          <w:sz w:val="20"/>
        </w:rPr>
        <w:t>neither</w:t>
      </w:r>
      <w:r w:rsidR="00350150" w:rsidRPr="00D874C4">
        <w:rPr>
          <w:rFonts w:asciiTheme="majorHAnsi" w:hAnsiTheme="majorHAnsi"/>
          <w:sz w:val="20"/>
        </w:rPr>
        <w:t xml:space="preserve"> the relatives of the victims, </w:t>
      </w:r>
      <w:r w:rsidR="00072772" w:rsidRPr="00D874C4">
        <w:rPr>
          <w:rFonts w:asciiTheme="majorHAnsi" w:hAnsiTheme="majorHAnsi"/>
          <w:sz w:val="20"/>
        </w:rPr>
        <w:t xml:space="preserve">nor </w:t>
      </w:r>
      <w:r w:rsidR="009C0BFE" w:rsidRPr="00D874C4">
        <w:rPr>
          <w:rFonts w:asciiTheme="majorHAnsi" w:hAnsiTheme="majorHAnsi"/>
          <w:sz w:val="20"/>
        </w:rPr>
        <w:t xml:space="preserve">the Navajo Nation, </w:t>
      </w:r>
      <w:r w:rsidR="009C0BFE" w:rsidRPr="00D874C4">
        <w:rPr>
          <w:rFonts w:asciiTheme="majorHAnsi" w:hAnsiTheme="majorHAnsi"/>
          <w:sz w:val="20"/>
          <w:szCs w:val="20"/>
        </w:rPr>
        <w:t>and the</w:t>
      </w:r>
      <w:r w:rsidR="009C0BFE" w:rsidRPr="00D874C4">
        <w:rPr>
          <w:rFonts w:asciiTheme="majorHAnsi" w:hAnsiTheme="majorHAnsi" w:cs="Times"/>
          <w:sz w:val="20"/>
          <w:szCs w:val="20"/>
          <w:lang w:eastAsia="es-ES"/>
        </w:rPr>
        <w:t xml:space="preserve"> local U.S. Attorney’s Office agree</w:t>
      </w:r>
      <w:r w:rsidR="00327A95" w:rsidRPr="00D874C4">
        <w:rPr>
          <w:rFonts w:asciiTheme="majorHAnsi" w:hAnsiTheme="majorHAnsi" w:cs="Times"/>
          <w:sz w:val="20"/>
          <w:szCs w:val="20"/>
          <w:lang w:eastAsia="es-ES"/>
        </w:rPr>
        <w:t>d</w:t>
      </w:r>
      <w:r w:rsidR="009C0BFE" w:rsidRPr="00D874C4">
        <w:rPr>
          <w:rFonts w:asciiTheme="majorHAnsi" w:hAnsiTheme="majorHAnsi" w:cs="Times"/>
          <w:sz w:val="20"/>
          <w:szCs w:val="20"/>
          <w:lang w:eastAsia="es-ES"/>
        </w:rPr>
        <w:t xml:space="preserve"> to impose the capital punishment against Mr. Mitchell. </w:t>
      </w:r>
      <w:r w:rsidR="00B830D7" w:rsidRPr="00D874C4">
        <w:rPr>
          <w:rFonts w:asciiTheme="majorHAnsi" w:hAnsiTheme="majorHAnsi" w:cs="Times"/>
          <w:sz w:val="20"/>
          <w:szCs w:val="20"/>
          <w:lang w:eastAsia="es-ES"/>
        </w:rPr>
        <w:t>However, t</w:t>
      </w:r>
      <w:r w:rsidR="008A7E17" w:rsidRPr="00D874C4">
        <w:rPr>
          <w:rFonts w:asciiTheme="majorHAnsi" w:hAnsiTheme="majorHAnsi" w:cs="Times"/>
          <w:sz w:val="20"/>
          <w:szCs w:val="20"/>
          <w:lang w:eastAsia="es-ES"/>
        </w:rPr>
        <w:t>here is no information before the Commission that helps explain the reason why</w:t>
      </w:r>
      <w:r w:rsidR="009C0BFE" w:rsidRPr="00D874C4">
        <w:rPr>
          <w:rFonts w:asciiTheme="majorHAnsi" w:hAnsiTheme="majorHAnsi" w:cs="Times"/>
          <w:sz w:val="20"/>
          <w:szCs w:val="20"/>
          <w:lang w:eastAsia="es-ES"/>
        </w:rPr>
        <w:t xml:space="preserve"> the Attorney General instructed to seek </w:t>
      </w:r>
      <w:r w:rsidR="008A7E17" w:rsidRPr="00D874C4">
        <w:rPr>
          <w:rFonts w:asciiTheme="majorHAnsi" w:hAnsiTheme="majorHAnsi" w:cs="Times"/>
          <w:sz w:val="20"/>
          <w:szCs w:val="20"/>
          <w:lang w:eastAsia="es-ES"/>
        </w:rPr>
        <w:t xml:space="preserve">the application of the </w:t>
      </w:r>
      <w:r w:rsidR="009C0BFE" w:rsidRPr="00D874C4">
        <w:rPr>
          <w:rFonts w:asciiTheme="majorHAnsi" w:hAnsiTheme="majorHAnsi" w:cs="Times"/>
          <w:sz w:val="20"/>
          <w:szCs w:val="20"/>
          <w:lang w:eastAsia="es-ES"/>
        </w:rPr>
        <w:t>death</w:t>
      </w:r>
      <w:r w:rsidR="008A7E17" w:rsidRPr="00D874C4">
        <w:rPr>
          <w:rFonts w:asciiTheme="majorHAnsi" w:hAnsiTheme="majorHAnsi" w:cs="Times"/>
          <w:sz w:val="20"/>
          <w:szCs w:val="20"/>
          <w:lang w:eastAsia="es-ES"/>
        </w:rPr>
        <w:t xml:space="preserve"> penalty</w:t>
      </w:r>
      <w:r w:rsidR="009C0BFE" w:rsidRPr="00D874C4">
        <w:rPr>
          <w:rFonts w:asciiTheme="majorHAnsi" w:hAnsiTheme="majorHAnsi" w:cs="Times"/>
          <w:sz w:val="20"/>
          <w:szCs w:val="20"/>
          <w:lang w:eastAsia="es-ES"/>
        </w:rPr>
        <w:t xml:space="preserve">, which resulted in a superseding </w:t>
      </w:r>
      <w:r w:rsidR="00F12D0D" w:rsidRPr="00D874C4">
        <w:rPr>
          <w:rFonts w:asciiTheme="majorHAnsi" w:hAnsiTheme="majorHAnsi" w:cs="Times"/>
          <w:sz w:val="20"/>
          <w:szCs w:val="20"/>
          <w:lang w:eastAsia="es-ES"/>
        </w:rPr>
        <w:t>indictment charging</w:t>
      </w:r>
      <w:r w:rsidR="009C0BFE" w:rsidRPr="00D874C4">
        <w:rPr>
          <w:rFonts w:asciiTheme="majorHAnsi" w:hAnsiTheme="majorHAnsi" w:cs="Times"/>
          <w:sz w:val="20"/>
          <w:szCs w:val="20"/>
          <w:lang w:eastAsia="es-ES"/>
        </w:rPr>
        <w:t xml:space="preserve"> Mr. Mitchell of carjacking</w:t>
      </w:r>
      <w:r w:rsidR="005609CC" w:rsidRPr="00D874C4">
        <w:rPr>
          <w:rFonts w:asciiTheme="majorHAnsi" w:hAnsiTheme="majorHAnsi" w:cs="Times"/>
          <w:sz w:val="20"/>
          <w:szCs w:val="20"/>
          <w:lang w:eastAsia="es-ES"/>
        </w:rPr>
        <w:t xml:space="preserve">, and how or if the </w:t>
      </w:r>
      <w:r w:rsidR="005609CC" w:rsidRPr="00D874C4">
        <w:rPr>
          <w:rFonts w:asciiTheme="majorHAnsi" w:hAnsiTheme="majorHAnsi"/>
          <w:sz w:val="20"/>
        </w:rPr>
        <w:t>will of the Navajo Nation</w:t>
      </w:r>
      <w:r w:rsidR="005609CC" w:rsidRPr="00D874C4">
        <w:rPr>
          <w:rFonts w:asciiTheme="majorHAnsi" w:hAnsiTheme="majorHAnsi" w:cs="Times"/>
          <w:sz w:val="20"/>
          <w:szCs w:val="20"/>
          <w:lang w:eastAsia="es-ES"/>
        </w:rPr>
        <w:t xml:space="preserve"> was </w:t>
      </w:r>
      <w:r w:rsidR="005609CC" w:rsidRPr="00D874C4">
        <w:rPr>
          <w:rFonts w:asciiTheme="majorHAnsi" w:hAnsiTheme="majorHAnsi"/>
          <w:sz w:val="20"/>
        </w:rPr>
        <w:t xml:space="preserve">taken into account </w:t>
      </w:r>
      <w:r w:rsidR="00B830D7" w:rsidRPr="00D874C4">
        <w:rPr>
          <w:rFonts w:asciiTheme="majorHAnsi" w:hAnsiTheme="majorHAnsi"/>
          <w:sz w:val="20"/>
        </w:rPr>
        <w:t>in that decision</w:t>
      </w:r>
      <w:r w:rsidR="009C0BFE" w:rsidRPr="00D874C4">
        <w:rPr>
          <w:rFonts w:asciiTheme="majorHAnsi" w:hAnsiTheme="majorHAnsi" w:cs="Times"/>
          <w:sz w:val="20"/>
          <w:szCs w:val="20"/>
          <w:lang w:eastAsia="es-ES"/>
        </w:rPr>
        <w:t xml:space="preserve">. </w:t>
      </w:r>
    </w:p>
    <w:p w:rsidR="00F12D0D" w:rsidRPr="00D874C4" w:rsidRDefault="00F12D0D" w:rsidP="00AF2C52">
      <w:pPr>
        <w:pStyle w:val="ListParagraph"/>
        <w:rPr>
          <w:rFonts w:asciiTheme="majorHAnsi" w:hAnsiTheme="majorHAnsi"/>
          <w:sz w:val="20"/>
        </w:rPr>
      </w:pPr>
    </w:p>
    <w:p w:rsidR="00F12D0D" w:rsidRPr="00D874C4" w:rsidRDefault="00B830D7" w:rsidP="000F6387">
      <w:pPr>
        <w:pStyle w:val="NormalWeb"/>
        <w:numPr>
          <w:ilvl w:val="0"/>
          <w:numId w:val="55"/>
        </w:numPr>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Fourth</w:t>
      </w:r>
      <w:r w:rsidR="00F12D0D" w:rsidRPr="00D874C4">
        <w:rPr>
          <w:rFonts w:asciiTheme="majorHAnsi" w:hAnsiTheme="majorHAnsi"/>
          <w:sz w:val="20"/>
        </w:rPr>
        <w:t>, the Commission notes that</w:t>
      </w:r>
      <w:r w:rsidR="00350150" w:rsidRPr="00D874C4">
        <w:rPr>
          <w:rFonts w:asciiTheme="majorHAnsi" w:hAnsiTheme="majorHAnsi"/>
          <w:sz w:val="20"/>
        </w:rPr>
        <w:t xml:space="preserve"> in the absence of</w:t>
      </w:r>
      <w:r w:rsidR="00F12D0D" w:rsidRPr="00D874C4">
        <w:rPr>
          <w:rFonts w:asciiTheme="majorHAnsi" w:hAnsiTheme="majorHAnsi"/>
          <w:sz w:val="20"/>
        </w:rPr>
        <w:t xml:space="preserve"> </w:t>
      </w:r>
      <w:r w:rsidR="00350150" w:rsidRPr="00D874C4">
        <w:rPr>
          <w:rFonts w:asciiTheme="majorHAnsi" w:hAnsiTheme="majorHAnsi"/>
          <w:sz w:val="20"/>
        </w:rPr>
        <w:t>the carjacking</w:t>
      </w:r>
      <w:r w:rsidR="004C017C" w:rsidRPr="00D874C4">
        <w:rPr>
          <w:rFonts w:asciiTheme="majorHAnsi" w:hAnsiTheme="majorHAnsi"/>
          <w:sz w:val="20"/>
        </w:rPr>
        <w:t xml:space="preserve"> count</w:t>
      </w:r>
      <w:r w:rsidR="00350150" w:rsidRPr="00D874C4">
        <w:rPr>
          <w:rFonts w:asciiTheme="majorHAnsi" w:hAnsiTheme="majorHAnsi"/>
          <w:sz w:val="20"/>
        </w:rPr>
        <w:t xml:space="preserve">, </w:t>
      </w:r>
      <w:r w:rsidRPr="00D874C4">
        <w:rPr>
          <w:rFonts w:asciiTheme="majorHAnsi" w:hAnsiTheme="majorHAnsi"/>
          <w:sz w:val="20"/>
        </w:rPr>
        <w:t xml:space="preserve">Mr. </w:t>
      </w:r>
      <w:r w:rsidR="00350150" w:rsidRPr="00D874C4">
        <w:rPr>
          <w:rFonts w:asciiTheme="majorHAnsi" w:hAnsiTheme="majorHAnsi"/>
          <w:sz w:val="20"/>
        </w:rPr>
        <w:t>Mitchell would not have been eligible for the</w:t>
      </w:r>
      <w:r w:rsidR="00F12D0D" w:rsidRPr="00D874C4">
        <w:rPr>
          <w:rFonts w:asciiTheme="majorHAnsi" w:hAnsiTheme="majorHAnsi"/>
          <w:sz w:val="20"/>
        </w:rPr>
        <w:t xml:space="preserve"> </w:t>
      </w:r>
      <w:r w:rsidR="00350150" w:rsidRPr="00D874C4">
        <w:rPr>
          <w:rFonts w:asciiTheme="majorHAnsi" w:hAnsiTheme="majorHAnsi"/>
          <w:sz w:val="20"/>
        </w:rPr>
        <w:t>death penalty.</w:t>
      </w:r>
      <w:r w:rsidR="00F12D0D" w:rsidRPr="00D874C4">
        <w:rPr>
          <w:rFonts w:asciiTheme="majorHAnsi" w:hAnsiTheme="majorHAnsi"/>
          <w:sz w:val="20"/>
        </w:rPr>
        <w:t xml:space="preserve"> Accordingly, the </w:t>
      </w:r>
      <w:r w:rsidRPr="00D874C4">
        <w:rPr>
          <w:rFonts w:asciiTheme="majorHAnsi" w:hAnsiTheme="majorHAnsi"/>
          <w:sz w:val="20"/>
        </w:rPr>
        <w:t xml:space="preserve">application of the </w:t>
      </w:r>
      <w:r w:rsidR="00F12D0D" w:rsidRPr="00D874C4">
        <w:rPr>
          <w:rFonts w:asciiTheme="majorHAnsi" w:hAnsiTheme="majorHAnsi"/>
          <w:sz w:val="20"/>
        </w:rPr>
        <w:t xml:space="preserve">death penalty </w:t>
      </w:r>
      <w:r w:rsidRPr="00D874C4">
        <w:rPr>
          <w:rFonts w:asciiTheme="majorHAnsi" w:hAnsiTheme="majorHAnsi"/>
          <w:sz w:val="20"/>
        </w:rPr>
        <w:t>was</w:t>
      </w:r>
      <w:r w:rsidR="00F12D0D" w:rsidRPr="00D874C4">
        <w:rPr>
          <w:rFonts w:asciiTheme="majorHAnsi" w:hAnsiTheme="majorHAnsi"/>
          <w:sz w:val="20"/>
        </w:rPr>
        <w:t xml:space="preserve"> only possible because</w:t>
      </w:r>
      <w:r w:rsidRPr="00D874C4">
        <w:rPr>
          <w:rFonts w:asciiTheme="majorHAnsi" w:hAnsiTheme="majorHAnsi"/>
          <w:sz w:val="20"/>
        </w:rPr>
        <w:t xml:space="preserve"> </w:t>
      </w:r>
      <w:r w:rsidR="00F12D0D" w:rsidRPr="00D874C4">
        <w:rPr>
          <w:rFonts w:asciiTheme="majorHAnsi" w:hAnsiTheme="majorHAnsi"/>
          <w:sz w:val="20"/>
        </w:rPr>
        <w:t xml:space="preserve">Mr. </w:t>
      </w:r>
      <w:r w:rsidR="00B5037D" w:rsidRPr="00D874C4">
        <w:rPr>
          <w:rFonts w:asciiTheme="majorHAnsi" w:hAnsiTheme="majorHAnsi"/>
          <w:sz w:val="20"/>
        </w:rPr>
        <w:t xml:space="preserve"> Mitchell violently committed the murders as a means to stealing an occupied car</w:t>
      </w:r>
      <w:r w:rsidR="00F12D0D" w:rsidRPr="00D874C4">
        <w:rPr>
          <w:rFonts w:asciiTheme="majorHAnsi" w:hAnsiTheme="majorHAnsi"/>
          <w:sz w:val="20"/>
        </w:rPr>
        <w:t>.</w:t>
      </w:r>
    </w:p>
    <w:p w:rsidR="00F12D0D" w:rsidRPr="00D874C4" w:rsidRDefault="00F12D0D" w:rsidP="00901F88">
      <w:pPr>
        <w:pStyle w:val="ListParagraph"/>
        <w:rPr>
          <w:rFonts w:asciiTheme="majorHAnsi" w:eastAsia="Times New Roman" w:hAnsiTheme="majorHAnsi" w:cs="Times New Roman"/>
          <w:color w:val="auto"/>
          <w:sz w:val="20"/>
          <w:bdr w:val="none" w:sz="0" w:space="0" w:color="auto"/>
          <w:lang w:eastAsia="en-US"/>
        </w:rPr>
      </w:pPr>
    </w:p>
    <w:p w:rsidR="00327A95" w:rsidRPr="00D874C4" w:rsidRDefault="00327A95" w:rsidP="000F6387">
      <w:pPr>
        <w:pStyle w:val="NormalWeb"/>
        <w:numPr>
          <w:ilvl w:val="0"/>
          <w:numId w:val="55"/>
        </w:numPr>
        <w:shd w:val="clear" w:color="auto" w:fill="FFFFFF"/>
        <w:tabs>
          <w:tab w:val="left" w:pos="0"/>
          <w:tab w:val="left" w:pos="360"/>
          <w:tab w:val="left" w:pos="45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lastRenderedPageBreak/>
        <w:t>Finally, the Commission notes that</w:t>
      </w:r>
      <w:r w:rsidR="001451B5" w:rsidRPr="00D874C4">
        <w:rPr>
          <w:rFonts w:asciiTheme="majorHAnsi" w:hAnsiTheme="majorHAnsi"/>
          <w:sz w:val="20"/>
        </w:rPr>
        <w:t>, although the United States Court of Appeals for the Ninth Circuit affirmed the denial of Mr. Mitchell’s motion pursuant to Federal Rule of Evidence 60(b),</w:t>
      </w:r>
      <w:r w:rsidRPr="00D874C4">
        <w:rPr>
          <w:rFonts w:asciiTheme="majorHAnsi" w:hAnsiTheme="majorHAnsi"/>
          <w:sz w:val="20"/>
        </w:rPr>
        <w:t xml:space="preserve"> </w:t>
      </w:r>
      <w:r w:rsidR="00CC50E0" w:rsidRPr="00D874C4">
        <w:rPr>
          <w:rFonts w:asciiTheme="majorHAnsi" w:hAnsiTheme="majorHAnsi"/>
          <w:sz w:val="20"/>
        </w:rPr>
        <w:t xml:space="preserve">judges Christen and Hurwitz appended separate opinions that are highly critical of the United States Government and </w:t>
      </w:r>
      <w:r w:rsidR="001451B5" w:rsidRPr="00D874C4">
        <w:rPr>
          <w:rFonts w:asciiTheme="majorHAnsi" w:hAnsiTheme="majorHAnsi"/>
          <w:sz w:val="20"/>
        </w:rPr>
        <w:t>the</w:t>
      </w:r>
      <w:r w:rsidR="00CC50E0" w:rsidRPr="00D874C4">
        <w:rPr>
          <w:rFonts w:asciiTheme="majorHAnsi" w:hAnsiTheme="majorHAnsi"/>
          <w:sz w:val="20"/>
        </w:rPr>
        <w:t xml:space="preserve"> decision to seek the death penalty</w:t>
      </w:r>
      <w:r w:rsidRPr="00D874C4">
        <w:rPr>
          <w:rFonts w:asciiTheme="majorHAnsi" w:hAnsiTheme="majorHAnsi"/>
          <w:sz w:val="20"/>
        </w:rPr>
        <w:t>:</w:t>
      </w:r>
    </w:p>
    <w:p w:rsidR="00CC50E0" w:rsidRPr="00D874C4" w:rsidRDefault="00CC50E0" w:rsidP="00CC50E0">
      <w:pPr>
        <w:rPr>
          <w:rFonts w:asciiTheme="majorHAnsi" w:hAnsiTheme="majorHAnsi"/>
          <w:sz w:val="20"/>
        </w:rPr>
      </w:pPr>
    </w:p>
    <w:p w:rsidR="00327A95" w:rsidRPr="00D874C4" w:rsidRDefault="00327A95" w:rsidP="00B5037D">
      <w:pPr>
        <w:pStyle w:val="NormalWeb"/>
        <w:numPr>
          <w:ilvl w:val="0"/>
          <w:numId w:val="63"/>
        </w:numPr>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rPr>
      </w:pPr>
      <w:r w:rsidRPr="00D874C4">
        <w:rPr>
          <w:rFonts w:asciiTheme="majorHAnsi" w:hAnsiTheme="majorHAnsi"/>
          <w:sz w:val="20"/>
        </w:rPr>
        <w:t>Judge Christen stated that:</w:t>
      </w:r>
    </w:p>
    <w:p w:rsidR="00327A95" w:rsidRPr="00D874C4" w:rsidRDefault="00327A95" w:rsidP="00327A95">
      <w:pPr>
        <w:pStyle w:val="NormalWeb"/>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ind w:left="720"/>
        <w:jc w:val="both"/>
        <w:textAlignment w:val="baseline"/>
        <w:rPr>
          <w:rFonts w:asciiTheme="majorHAnsi" w:hAnsiTheme="majorHAnsi"/>
          <w:sz w:val="20"/>
        </w:rPr>
      </w:pPr>
    </w:p>
    <w:p w:rsidR="00327A95" w:rsidRPr="00D874C4" w:rsidRDefault="00327A95" w:rsidP="00327A95">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left="720" w:right="720"/>
        <w:jc w:val="both"/>
        <w:textAlignment w:val="baseline"/>
        <w:rPr>
          <w:rFonts w:asciiTheme="majorHAnsi" w:hAnsiTheme="majorHAnsi"/>
          <w:sz w:val="20"/>
        </w:rPr>
      </w:pPr>
      <w:r w:rsidRPr="00D874C4">
        <w:rPr>
          <w:rFonts w:asciiTheme="majorHAnsi" w:hAnsiTheme="majorHAnsi"/>
          <w:sz w:val="18"/>
          <w:szCs w:val="18"/>
        </w:rPr>
        <w:t>The decision to seek the death penalty in Mitchell’s case was made against the express wishes of the Navajo Nation, several members of the victims’ family, and the United States Attorney for the District of Arizona […]</w:t>
      </w:r>
    </w:p>
    <w:p w:rsidR="00327A95" w:rsidRPr="00D874C4" w:rsidRDefault="00327A95" w:rsidP="00327A95">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left="720" w:right="720"/>
        <w:jc w:val="both"/>
        <w:textAlignment w:val="baseline"/>
        <w:rPr>
          <w:rFonts w:asciiTheme="majorHAnsi" w:hAnsiTheme="majorHAnsi"/>
          <w:sz w:val="20"/>
        </w:rPr>
      </w:pPr>
      <w:r w:rsidRPr="00D874C4">
        <w:rPr>
          <w:rFonts w:asciiTheme="majorHAnsi" w:hAnsiTheme="majorHAnsi"/>
          <w:sz w:val="18"/>
          <w:szCs w:val="18"/>
        </w:rPr>
        <w:t>The imposition of the death penalty in this case is a betrayal of a promise made to the Navajo Nation, and it demonstrates a deep disrespect for tribal sovereignty. People can disagree about whether the death penalty should ever be imposed, but our history shows that the United States gave tribes the option to decide for themselves</w:t>
      </w:r>
      <w:r w:rsidR="00286996" w:rsidRPr="00D874C4">
        <w:rPr>
          <w:rFonts w:asciiTheme="majorHAnsi" w:hAnsiTheme="majorHAnsi"/>
          <w:sz w:val="18"/>
          <w:szCs w:val="18"/>
        </w:rPr>
        <w:t>.</w:t>
      </w:r>
      <w:r w:rsidRPr="00D874C4">
        <w:rPr>
          <w:rStyle w:val="FootnoteReference"/>
          <w:rFonts w:asciiTheme="majorHAnsi" w:hAnsiTheme="majorHAnsi"/>
          <w:sz w:val="18"/>
          <w:szCs w:val="18"/>
        </w:rPr>
        <w:footnoteReference w:id="71"/>
      </w:r>
    </w:p>
    <w:p w:rsidR="00327A95" w:rsidRPr="00D874C4" w:rsidRDefault="00327A95" w:rsidP="00327A95">
      <w:pPr>
        <w:pStyle w:val="NormalWeb"/>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rPr>
      </w:pPr>
    </w:p>
    <w:p w:rsidR="00327A95" w:rsidRPr="00D874C4" w:rsidRDefault="00327A95" w:rsidP="00B5037D">
      <w:pPr>
        <w:pStyle w:val="NormalWeb"/>
        <w:numPr>
          <w:ilvl w:val="0"/>
          <w:numId w:val="63"/>
        </w:numPr>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rPr>
      </w:pPr>
      <w:r w:rsidRPr="00D874C4">
        <w:rPr>
          <w:rFonts w:asciiTheme="majorHAnsi" w:hAnsiTheme="majorHAnsi"/>
          <w:sz w:val="20"/>
        </w:rPr>
        <w:t xml:space="preserve">Judge </w:t>
      </w:r>
      <w:proofErr w:type="spellStart"/>
      <w:r w:rsidRPr="00D874C4">
        <w:rPr>
          <w:rFonts w:asciiTheme="majorHAnsi" w:hAnsiTheme="majorHAnsi"/>
          <w:sz w:val="20"/>
        </w:rPr>
        <w:t>Huwtiz</w:t>
      </w:r>
      <w:proofErr w:type="spellEnd"/>
      <w:r w:rsidRPr="00D874C4">
        <w:rPr>
          <w:rFonts w:asciiTheme="majorHAnsi" w:hAnsiTheme="majorHAnsi"/>
          <w:sz w:val="20"/>
        </w:rPr>
        <w:t xml:space="preserve"> </w:t>
      </w:r>
      <w:r w:rsidR="00286996" w:rsidRPr="00D874C4">
        <w:rPr>
          <w:rFonts w:asciiTheme="majorHAnsi" w:hAnsiTheme="majorHAnsi"/>
          <w:sz w:val="20"/>
        </w:rPr>
        <w:t xml:space="preserve">indicated </w:t>
      </w:r>
      <w:r w:rsidRPr="00D874C4">
        <w:rPr>
          <w:rFonts w:asciiTheme="majorHAnsi" w:hAnsiTheme="majorHAnsi"/>
          <w:sz w:val="20"/>
        </w:rPr>
        <w:t>that</w:t>
      </w:r>
      <w:r w:rsidR="004C017C" w:rsidRPr="00D874C4">
        <w:rPr>
          <w:rFonts w:asciiTheme="majorHAnsi" w:hAnsiTheme="majorHAnsi"/>
          <w:sz w:val="20"/>
        </w:rPr>
        <w:t>:</w:t>
      </w:r>
      <w:r w:rsidRPr="00D874C4">
        <w:rPr>
          <w:rFonts w:asciiTheme="majorHAnsi" w:hAnsiTheme="majorHAnsi"/>
          <w:sz w:val="20"/>
        </w:rPr>
        <w:t xml:space="preserve"> </w:t>
      </w:r>
    </w:p>
    <w:p w:rsidR="00327A95" w:rsidRPr="00D874C4" w:rsidRDefault="00327A95" w:rsidP="004C017C">
      <w:pPr>
        <w:pStyle w:val="NormalWeb"/>
        <w:shd w:val="clear" w:color="auto" w:fill="FFFFFF"/>
        <w:tabs>
          <w:tab w:val="left" w:pos="0"/>
          <w:tab w:val="left" w:pos="360"/>
          <w:tab w:val="left" w:pos="720"/>
          <w:tab w:val="left" w:pos="1440"/>
        </w:tabs>
        <w:autoSpaceDE w:val="0"/>
        <w:autoSpaceDN w:val="0"/>
        <w:adjustRightInd w:val="0"/>
        <w:spacing w:before="0" w:beforeAutospacing="0" w:after="0" w:afterAutospacing="0"/>
        <w:jc w:val="both"/>
        <w:textAlignment w:val="baseline"/>
        <w:rPr>
          <w:rFonts w:asciiTheme="majorHAnsi" w:hAnsiTheme="majorHAnsi"/>
          <w:sz w:val="20"/>
        </w:rPr>
      </w:pPr>
    </w:p>
    <w:p w:rsidR="00327A95" w:rsidRPr="00D874C4" w:rsidRDefault="00327A95" w:rsidP="004C017C">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left="720" w:right="720"/>
        <w:jc w:val="both"/>
        <w:textAlignment w:val="baseline"/>
        <w:rPr>
          <w:rFonts w:asciiTheme="majorHAnsi" w:hAnsiTheme="majorHAnsi"/>
          <w:sz w:val="18"/>
          <w:szCs w:val="18"/>
        </w:rPr>
      </w:pPr>
      <w:r w:rsidRPr="00D874C4">
        <w:rPr>
          <w:rFonts w:asciiTheme="majorHAnsi" w:hAnsiTheme="majorHAnsi"/>
          <w:sz w:val="18"/>
          <w:szCs w:val="18"/>
        </w:rPr>
        <w:t>The Attorney General nonetheless decided to override the decision of the United States Attorney for the District of Arizona not to seek the death penalty. Because this case involved a carjacking […] the government had the right to make this decision does not necessarily make it right, and I respectfully suggest that the current Executive should take a fresh look at the wisdom of imposing the death penalty. When the sovereign nation upon whose territory the crime took place opposes capital punishment of a tribal member whose victims were also tribal members because it conflicts with that nation’s “culture and religion,” a proper respect for tribal sovereignty requires that the federal government not only pause before seeking that sanction, but pause again before imposing it. That is particularly true when imposition of the death penalty would contravene the express wishes of several members of the victims’ family</w:t>
      </w:r>
      <w:r w:rsidR="00286996" w:rsidRPr="00D874C4">
        <w:rPr>
          <w:rFonts w:asciiTheme="majorHAnsi" w:hAnsiTheme="majorHAnsi"/>
          <w:sz w:val="18"/>
          <w:szCs w:val="18"/>
        </w:rPr>
        <w:t>.</w:t>
      </w:r>
      <w:r w:rsidRPr="00D874C4">
        <w:rPr>
          <w:rStyle w:val="FootnoteReference"/>
          <w:rFonts w:asciiTheme="majorHAnsi" w:hAnsiTheme="majorHAnsi"/>
          <w:sz w:val="18"/>
          <w:szCs w:val="18"/>
        </w:rPr>
        <w:footnoteReference w:id="72"/>
      </w:r>
    </w:p>
    <w:p w:rsidR="00327A95" w:rsidRPr="00D874C4" w:rsidRDefault="00327A95" w:rsidP="004C017C">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left="720" w:right="720"/>
        <w:jc w:val="both"/>
        <w:textAlignment w:val="baseline"/>
        <w:rPr>
          <w:rFonts w:asciiTheme="majorHAnsi" w:hAnsiTheme="majorHAnsi"/>
          <w:sz w:val="18"/>
          <w:szCs w:val="18"/>
        </w:rPr>
      </w:pPr>
    </w:p>
    <w:p w:rsidR="00327A95" w:rsidRPr="00D874C4" w:rsidRDefault="00646D0E" w:rsidP="00646D0E">
      <w:pPr>
        <w:pStyle w:val="NormalWeb"/>
        <w:numPr>
          <w:ilvl w:val="0"/>
          <w:numId w:val="55"/>
        </w:numPr>
        <w:shd w:val="clear" w:color="auto" w:fill="FFFFFF"/>
        <w:tabs>
          <w:tab w:val="left" w:pos="0"/>
          <w:tab w:val="left" w:pos="360"/>
          <w:tab w:val="left" w:pos="45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Also, in his partial dissent vote in 2015 Circuit </w:t>
      </w:r>
      <w:r w:rsidR="00327A95" w:rsidRPr="00D874C4">
        <w:rPr>
          <w:rFonts w:asciiTheme="majorHAnsi" w:hAnsiTheme="majorHAnsi"/>
          <w:sz w:val="20"/>
        </w:rPr>
        <w:t xml:space="preserve">Judge Reinhardt from the Court of Appeals for the Ninth Circuit </w:t>
      </w:r>
      <w:r w:rsidRPr="00D874C4">
        <w:rPr>
          <w:rFonts w:asciiTheme="majorHAnsi" w:hAnsiTheme="majorHAnsi"/>
          <w:sz w:val="20"/>
        </w:rPr>
        <w:t>held</w:t>
      </w:r>
      <w:r w:rsidR="00327A95" w:rsidRPr="00D874C4">
        <w:rPr>
          <w:rFonts w:asciiTheme="majorHAnsi" w:hAnsiTheme="majorHAnsi"/>
          <w:sz w:val="20"/>
        </w:rPr>
        <w:t xml:space="preserve"> that</w:t>
      </w:r>
      <w:r w:rsidRPr="00D874C4">
        <w:rPr>
          <w:rFonts w:asciiTheme="majorHAnsi" w:hAnsiTheme="majorHAnsi"/>
          <w:sz w:val="20"/>
        </w:rPr>
        <w:t>:</w:t>
      </w:r>
      <w:r w:rsidR="00327A95" w:rsidRPr="00D874C4">
        <w:rPr>
          <w:rFonts w:asciiTheme="majorHAnsi" w:hAnsiTheme="majorHAnsi"/>
          <w:sz w:val="20"/>
        </w:rPr>
        <w:t xml:space="preserve"> </w:t>
      </w:r>
    </w:p>
    <w:p w:rsidR="00327A95" w:rsidRPr="00D874C4" w:rsidRDefault="00327A95" w:rsidP="004C017C">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left="720" w:right="720"/>
        <w:jc w:val="both"/>
        <w:textAlignment w:val="baseline"/>
        <w:rPr>
          <w:rFonts w:asciiTheme="majorHAnsi" w:hAnsiTheme="majorHAnsi"/>
          <w:sz w:val="18"/>
          <w:szCs w:val="18"/>
        </w:rPr>
      </w:pPr>
    </w:p>
    <w:p w:rsidR="00327A95" w:rsidRPr="00D874C4" w:rsidRDefault="00327A95" w:rsidP="004C017C">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left="720" w:right="720"/>
        <w:jc w:val="both"/>
        <w:textAlignment w:val="baseline"/>
        <w:rPr>
          <w:rFonts w:asciiTheme="majorHAnsi" w:hAnsiTheme="majorHAnsi"/>
          <w:sz w:val="18"/>
          <w:szCs w:val="18"/>
        </w:rPr>
      </w:pPr>
      <w:r w:rsidRPr="00D874C4">
        <w:rPr>
          <w:rFonts w:asciiTheme="majorHAnsi" w:hAnsiTheme="majorHAnsi"/>
          <w:sz w:val="18"/>
          <w:szCs w:val="18"/>
        </w:rPr>
        <w:t>The arbitrariness of the death penalty in this case is apparent. Mitchell raises a number of serious constitutional issues regarding both his conviction and his death sentence.</w:t>
      </w:r>
    </w:p>
    <w:p w:rsidR="00327A95" w:rsidRPr="00D874C4" w:rsidRDefault="00327A95" w:rsidP="004C017C">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left="720" w:right="720"/>
        <w:jc w:val="both"/>
        <w:textAlignment w:val="baseline"/>
        <w:rPr>
          <w:rFonts w:asciiTheme="majorHAnsi" w:hAnsiTheme="majorHAnsi"/>
          <w:sz w:val="18"/>
          <w:szCs w:val="18"/>
        </w:rPr>
      </w:pPr>
      <w:r w:rsidRPr="00D874C4">
        <w:rPr>
          <w:rFonts w:asciiTheme="majorHAnsi" w:hAnsiTheme="majorHAnsi"/>
          <w:sz w:val="18"/>
          <w:szCs w:val="18"/>
        </w:rPr>
        <w:t>Some were litigated on his direct appeal and decided against him by a fiercely contested two to one vote. Another critical fundamental constitutional question is decided on this appeal by a similar division and despite equally strong views expressed by both sides. Whatever a particular jurist, or even two, may believe regarding these issues, uncertainty remains, to say the least, as to whether the judicial proceedings afforded Mitchell comported with the constitutional protections to which he is entitled. That uncertainty alone is sufficient to raise serious questions regarding whether Mitchell should be put to death by his government. Further, although Mitchell committed a horrible crime, it was hardly one of national import or of particular federal interest other than the fact that it involved the Navajo Nation, and all of the persons with the greatest stake in the outcome of the case oppose his execution. T</w:t>
      </w:r>
      <w:r w:rsidR="00440385" w:rsidRPr="00D874C4">
        <w:rPr>
          <w:rFonts w:asciiTheme="majorHAnsi" w:hAnsiTheme="majorHAnsi"/>
          <w:sz w:val="18"/>
          <w:szCs w:val="18"/>
        </w:rPr>
        <w:t xml:space="preserve">he novel use of carjacking as a </w:t>
      </w:r>
      <w:r w:rsidRPr="00D874C4">
        <w:rPr>
          <w:rFonts w:asciiTheme="majorHAnsi" w:hAnsiTheme="majorHAnsi"/>
          <w:sz w:val="18"/>
          <w:szCs w:val="18"/>
        </w:rPr>
        <w:t>loophole to circumvent the tri</w:t>
      </w:r>
      <w:r w:rsidR="00440385" w:rsidRPr="00D874C4">
        <w:rPr>
          <w:rFonts w:asciiTheme="majorHAnsi" w:hAnsiTheme="majorHAnsi"/>
          <w:sz w:val="18"/>
          <w:szCs w:val="18"/>
        </w:rPr>
        <w:t xml:space="preserve">bal option also renders this an </w:t>
      </w:r>
      <w:r w:rsidRPr="00D874C4">
        <w:rPr>
          <w:rFonts w:asciiTheme="majorHAnsi" w:hAnsiTheme="majorHAnsi"/>
          <w:sz w:val="18"/>
          <w:szCs w:val="18"/>
        </w:rPr>
        <w:t>anomalous case. Mitchell w</w:t>
      </w:r>
      <w:r w:rsidR="00440385" w:rsidRPr="00D874C4">
        <w:rPr>
          <w:rFonts w:asciiTheme="majorHAnsi" w:hAnsiTheme="majorHAnsi"/>
          <w:sz w:val="18"/>
          <w:szCs w:val="18"/>
        </w:rPr>
        <w:t xml:space="preserve">ill, unless spared by executive </w:t>
      </w:r>
      <w:r w:rsidRPr="00D874C4">
        <w:rPr>
          <w:rFonts w:asciiTheme="majorHAnsi" w:hAnsiTheme="majorHAnsi"/>
          <w:sz w:val="18"/>
          <w:szCs w:val="18"/>
        </w:rPr>
        <w:t>clemency, in all likelihood,</w:t>
      </w:r>
      <w:r w:rsidR="00440385" w:rsidRPr="00D874C4">
        <w:rPr>
          <w:rFonts w:asciiTheme="majorHAnsi" w:hAnsiTheme="majorHAnsi"/>
          <w:sz w:val="18"/>
          <w:szCs w:val="18"/>
        </w:rPr>
        <w:t xml:space="preserve"> suffer the ignominious fate of </w:t>
      </w:r>
      <w:r w:rsidRPr="00D874C4">
        <w:rPr>
          <w:rFonts w:asciiTheme="majorHAnsi" w:hAnsiTheme="majorHAnsi"/>
          <w:sz w:val="18"/>
          <w:szCs w:val="18"/>
        </w:rPr>
        <w:t>being the first person to be exe</w:t>
      </w:r>
      <w:r w:rsidR="00440385" w:rsidRPr="00D874C4">
        <w:rPr>
          <w:rFonts w:asciiTheme="majorHAnsi" w:hAnsiTheme="majorHAnsi"/>
          <w:sz w:val="18"/>
          <w:szCs w:val="18"/>
        </w:rPr>
        <w:t xml:space="preserve">cuted for an intra-Indian crime </w:t>
      </w:r>
      <w:r w:rsidRPr="00D874C4">
        <w:rPr>
          <w:rFonts w:asciiTheme="majorHAnsi" w:hAnsiTheme="majorHAnsi"/>
          <w:sz w:val="18"/>
          <w:szCs w:val="18"/>
        </w:rPr>
        <w:t>that occurred in Ind</w:t>
      </w:r>
      <w:r w:rsidR="00440385" w:rsidRPr="00D874C4">
        <w:rPr>
          <w:rFonts w:asciiTheme="majorHAnsi" w:hAnsiTheme="majorHAnsi"/>
          <w:sz w:val="18"/>
          <w:szCs w:val="18"/>
        </w:rPr>
        <w:t xml:space="preserve">ian country. While this court’s </w:t>
      </w:r>
      <w:r w:rsidRPr="00D874C4">
        <w:rPr>
          <w:rFonts w:asciiTheme="majorHAnsi" w:hAnsiTheme="majorHAnsi"/>
          <w:sz w:val="18"/>
          <w:szCs w:val="18"/>
        </w:rPr>
        <w:t>jurisprudence indeed gives the federal government the legal</w:t>
      </w:r>
      <w:r w:rsidR="00440385" w:rsidRPr="00D874C4">
        <w:rPr>
          <w:rFonts w:asciiTheme="majorHAnsi" w:hAnsiTheme="majorHAnsi"/>
          <w:sz w:val="18"/>
          <w:szCs w:val="18"/>
        </w:rPr>
        <w:t xml:space="preserve"> </w:t>
      </w:r>
      <w:r w:rsidRPr="00D874C4">
        <w:rPr>
          <w:rFonts w:asciiTheme="majorHAnsi" w:hAnsiTheme="majorHAnsi"/>
          <w:sz w:val="18"/>
          <w:szCs w:val="18"/>
        </w:rPr>
        <w:t>authority to exercise juri</w:t>
      </w:r>
      <w:r w:rsidR="00440385" w:rsidRPr="00D874C4">
        <w:rPr>
          <w:rFonts w:asciiTheme="majorHAnsi" w:hAnsiTheme="majorHAnsi"/>
          <w:sz w:val="18"/>
          <w:szCs w:val="18"/>
        </w:rPr>
        <w:t xml:space="preserve">sdiction over this case for the </w:t>
      </w:r>
      <w:r w:rsidRPr="00D874C4">
        <w:rPr>
          <w:rFonts w:asciiTheme="majorHAnsi" w:hAnsiTheme="majorHAnsi"/>
          <w:sz w:val="18"/>
          <w:szCs w:val="18"/>
        </w:rPr>
        <w:t>purpose of obtaining capital punishment, succeeding in</w:t>
      </w:r>
      <w:r w:rsidR="00440385" w:rsidRPr="00D874C4">
        <w:rPr>
          <w:rFonts w:asciiTheme="majorHAnsi" w:hAnsiTheme="majorHAnsi"/>
          <w:sz w:val="18"/>
          <w:szCs w:val="18"/>
        </w:rPr>
        <w:t xml:space="preserve"> that </w:t>
      </w:r>
      <w:r w:rsidRPr="00D874C4">
        <w:rPr>
          <w:rFonts w:asciiTheme="majorHAnsi" w:hAnsiTheme="majorHAnsi"/>
          <w:sz w:val="18"/>
          <w:szCs w:val="18"/>
        </w:rPr>
        <w:t>objective over the express objections of the Navajo Nation</w:t>
      </w:r>
      <w:r w:rsidR="00440385" w:rsidRPr="00D874C4">
        <w:rPr>
          <w:rFonts w:asciiTheme="majorHAnsi" w:hAnsiTheme="majorHAnsi"/>
          <w:sz w:val="18"/>
          <w:szCs w:val="18"/>
        </w:rPr>
        <w:t xml:space="preserve"> </w:t>
      </w:r>
      <w:r w:rsidRPr="00D874C4">
        <w:rPr>
          <w:rFonts w:asciiTheme="majorHAnsi" w:hAnsiTheme="majorHAnsi"/>
          <w:sz w:val="18"/>
          <w:szCs w:val="18"/>
        </w:rPr>
        <w:t>and the victims’ family reflects a lack of sensitivity to the</w:t>
      </w:r>
      <w:r w:rsidR="00440385" w:rsidRPr="00D874C4">
        <w:rPr>
          <w:rFonts w:asciiTheme="majorHAnsi" w:hAnsiTheme="majorHAnsi"/>
          <w:sz w:val="18"/>
          <w:szCs w:val="18"/>
        </w:rPr>
        <w:t xml:space="preserve"> </w:t>
      </w:r>
      <w:r w:rsidRPr="00D874C4">
        <w:rPr>
          <w:rFonts w:asciiTheme="majorHAnsi" w:hAnsiTheme="majorHAnsi"/>
          <w:sz w:val="18"/>
          <w:szCs w:val="18"/>
        </w:rPr>
        <w:t>tribe’s values and autonomy and demonstrates a lack of</w:t>
      </w:r>
      <w:r w:rsidR="00440385" w:rsidRPr="00D874C4">
        <w:rPr>
          <w:rFonts w:asciiTheme="majorHAnsi" w:hAnsiTheme="majorHAnsi"/>
          <w:sz w:val="18"/>
          <w:szCs w:val="18"/>
        </w:rPr>
        <w:t xml:space="preserve"> </w:t>
      </w:r>
      <w:r w:rsidRPr="00D874C4">
        <w:rPr>
          <w:rFonts w:asciiTheme="majorHAnsi" w:hAnsiTheme="majorHAnsi"/>
          <w:sz w:val="18"/>
          <w:szCs w:val="18"/>
        </w:rPr>
        <w:t>respect for its status as a sover</w:t>
      </w:r>
      <w:r w:rsidR="00440385" w:rsidRPr="00D874C4">
        <w:rPr>
          <w:rFonts w:asciiTheme="majorHAnsi" w:hAnsiTheme="majorHAnsi"/>
          <w:sz w:val="18"/>
          <w:szCs w:val="18"/>
        </w:rPr>
        <w:t xml:space="preserve">eign entity. Should the federal </w:t>
      </w:r>
      <w:r w:rsidRPr="00D874C4">
        <w:rPr>
          <w:rFonts w:asciiTheme="majorHAnsi" w:hAnsiTheme="majorHAnsi"/>
          <w:sz w:val="18"/>
          <w:szCs w:val="18"/>
        </w:rPr>
        <w:t>government pursue a death wa</w:t>
      </w:r>
      <w:r w:rsidR="00440385" w:rsidRPr="00D874C4">
        <w:rPr>
          <w:rFonts w:asciiTheme="majorHAnsi" w:hAnsiTheme="majorHAnsi"/>
          <w:sz w:val="18"/>
          <w:szCs w:val="18"/>
        </w:rPr>
        <w:t xml:space="preserve">rrant for Mitchell, I hope that </w:t>
      </w:r>
      <w:r w:rsidRPr="00D874C4">
        <w:rPr>
          <w:rFonts w:asciiTheme="majorHAnsi" w:hAnsiTheme="majorHAnsi"/>
          <w:sz w:val="18"/>
          <w:szCs w:val="18"/>
        </w:rPr>
        <w:t>it will have better reasons for</w:t>
      </w:r>
      <w:r w:rsidR="00440385" w:rsidRPr="00D874C4">
        <w:rPr>
          <w:rFonts w:asciiTheme="majorHAnsi" w:hAnsiTheme="majorHAnsi"/>
          <w:sz w:val="18"/>
          <w:szCs w:val="18"/>
        </w:rPr>
        <w:t xml:space="preserve"> doing so than adherence to the </w:t>
      </w:r>
      <w:r w:rsidRPr="00D874C4">
        <w:rPr>
          <w:rFonts w:asciiTheme="majorHAnsi" w:hAnsiTheme="majorHAnsi"/>
          <w:sz w:val="18"/>
          <w:szCs w:val="18"/>
        </w:rPr>
        <w:t>wishes of a former attorney general</w:t>
      </w:r>
      <w:r w:rsidR="00906DB6" w:rsidRPr="00D874C4">
        <w:rPr>
          <w:rFonts w:asciiTheme="majorHAnsi" w:hAnsiTheme="majorHAnsi"/>
          <w:sz w:val="18"/>
          <w:szCs w:val="18"/>
        </w:rPr>
        <w:t>.</w:t>
      </w:r>
      <w:r w:rsidR="00440385" w:rsidRPr="00D874C4">
        <w:rPr>
          <w:rStyle w:val="FootnoteReference"/>
          <w:rFonts w:asciiTheme="majorHAnsi" w:hAnsiTheme="majorHAnsi"/>
          <w:sz w:val="18"/>
          <w:szCs w:val="18"/>
        </w:rPr>
        <w:footnoteReference w:id="73"/>
      </w:r>
    </w:p>
    <w:p w:rsidR="00AB5429" w:rsidRPr="00D874C4" w:rsidRDefault="00AB5429" w:rsidP="004C017C">
      <w:pPr>
        <w:pStyle w:val="NormalWeb"/>
        <w:shd w:val="clear" w:color="auto" w:fill="FFFFFF"/>
        <w:tabs>
          <w:tab w:val="left" w:pos="0"/>
          <w:tab w:val="left" w:pos="360"/>
          <w:tab w:val="left" w:pos="540"/>
          <w:tab w:val="left" w:pos="810"/>
          <w:tab w:val="left" w:pos="1440"/>
        </w:tabs>
        <w:autoSpaceDE w:val="0"/>
        <w:autoSpaceDN w:val="0"/>
        <w:adjustRightInd w:val="0"/>
        <w:spacing w:before="0" w:beforeAutospacing="0" w:after="0" w:afterAutospacing="0"/>
        <w:ind w:right="720"/>
        <w:jc w:val="both"/>
        <w:textAlignment w:val="baseline"/>
        <w:rPr>
          <w:rFonts w:asciiTheme="majorHAnsi" w:hAnsiTheme="majorHAnsi"/>
          <w:sz w:val="18"/>
          <w:szCs w:val="18"/>
        </w:rPr>
      </w:pPr>
    </w:p>
    <w:p w:rsidR="00593D2F" w:rsidRPr="00D874C4" w:rsidRDefault="00F12D0D" w:rsidP="00646D0E">
      <w:pPr>
        <w:pStyle w:val="NormalWeb"/>
        <w:numPr>
          <w:ilvl w:val="0"/>
          <w:numId w:val="55"/>
        </w:numPr>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rPr>
      </w:pPr>
      <w:r w:rsidRPr="00D874C4">
        <w:rPr>
          <w:rFonts w:asciiTheme="majorHAnsi" w:hAnsiTheme="majorHAnsi"/>
          <w:sz w:val="20"/>
        </w:rPr>
        <w:t xml:space="preserve">Taking into account </w:t>
      </w:r>
      <w:r w:rsidR="00286996" w:rsidRPr="00D874C4">
        <w:rPr>
          <w:rFonts w:asciiTheme="majorHAnsi" w:hAnsiTheme="majorHAnsi"/>
          <w:sz w:val="20"/>
        </w:rPr>
        <w:t>these</w:t>
      </w:r>
      <w:r w:rsidRPr="00D874C4">
        <w:rPr>
          <w:rFonts w:asciiTheme="majorHAnsi" w:hAnsiTheme="majorHAnsi"/>
          <w:sz w:val="20"/>
        </w:rPr>
        <w:t xml:space="preserve"> considerations, </w:t>
      </w:r>
      <w:r w:rsidR="00CF47D3" w:rsidRPr="00D874C4">
        <w:rPr>
          <w:rFonts w:asciiTheme="majorHAnsi" w:hAnsiTheme="majorHAnsi"/>
          <w:sz w:val="20"/>
        </w:rPr>
        <w:t xml:space="preserve">it is clear that </w:t>
      </w:r>
      <w:r w:rsidR="00906DB6" w:rsidRPr="00D874C4">
        <w:rPr>
          <w:rFonts w:asciiTheme="majorHAnsi" w:hAnsiTheme="majorHAnsi"/>
          <w:sz w:val="20"/>
        </w:rPr>
        <w:t xml:space="preserve">application of the </w:t>
      </w:r>
      <w:r w:rsidR="000C067E" w:rsidRPr="00D874C4">
        <w:rPr>
          <w:rFonts w:asciiTheme="majorHAnsi" w:hAnsiTheme="majorHAnsi"/>
          <w:sz w:val="20"/>
        </w:rPr>
        <w:t>death penalty</w:t>
      </w:r>
      <w:r w:rsidR="00906DB6" w:rsidRPr="00D874C4">
        <w:rPr>
          <w:rFonts w:asciiTheme="majorHAnsi" w:hAnsiTheme="majorHAnsi"/>
          <w:sz w:val="20"/>
        </w:rPr>
        <w:t xml:space="preserve"> in this case is against</w:t>
      </w:r>
      <w:r w:rsidR="000C067E" w:rsidRPr="00D874C4">
        <w:rPr>
          <w:rFonts w:asciiTheme="majorHAnsi" w:hAnsiTheme="majorHAnsi"/>
          <w:sz w:val="20"/>
        </w:rPr>
        <w:t xml:space="preserve"> </w:t>
      </w:r>
      <w:r w:rsidR="00350150" w:rsidRPr="00D874C4">
        <w:rPr>
          <w:rFonts w:asciiTheme="majorHAnsi" w:hAnsiTheme="majorHAnsi"/>
          <w:sz w:val="20"/>
        </w:rPr>
        <w:t>the will of the Navajo Nation</w:t>
      </w:r>
      <w:r w:rsidRPr="00D874C4">
        <w:rPr>
          <w:rFonts w:asciiTheme="majorHAnsi" w:hAnsiTheme="majorHAnsi"/>
          <w:sz w:val="20"/>
        </w:rPr>
        <w:t xml:space="preserve">. </w:t>
      </w:r>
      <w:r w:rsidR="00906DB6" w:rsidRPr="00D874C4">
        <w:rPr>
          <w:rFonts w:asciiTheme="majorHAnsi" w:hAnsiTheme="majorHAnsi"/>
          <w:sz w:val="20"/>
        </w:rPr>
        <w:t>The Commission also finds that t</w:t>
      </w:r>
      <w:r w:rsidR="00350150" w:rsidRPr="00D874C4">
        <w:rPr>
          <w:rFonts w:asciiTheme="majorHAnsi" w:hAnsiTheme="majorHAnsi"/>
          <w:sz w:val="20"/>
        </w:rPr>
        <w:t xml:space="preserve">he application of the carjacking </w:t>
      </w:r>
      <w:r w:rsidR="00906DB6" w:rsidRPr="00D874C4">
        <w:rPr>
          <w:rFonts w:asciiTheme="majorHAnsi" w:hAnsiTheme="majorHAnsi"/>
          <w:sz w:val="20"/>
        </w:rPr>
        <w:t>count with the sole purpose of</w:t>
      </w:r>
      <w:r w:rsidR="00350150" w:rsidRPr="00D874C4">
        <w:rPr>
          <w:rFonts w:asciiTheme="majorHAnsi" w:hAnsiTheme="majorHAnsi"/>
          <w:sz w:val="20"/>
        </w:rPr>
        <w:t xml:space="preserve"> seek</w:t>
      </w:r>
      <w:r w:rsidR="00906DB6" w:rsidRPr="00D874C4">
        <w:rPr>
          <w:rFonts w:asciiTheme="majorHAnsi" w:hAnsiTheme="majorHAnsi"/>
          <w:sz w:val="20"/>
        </w:rPr>
        <w:t>ing</w:t>
      </w:r>
      <w:r w:rsidR="00350150" w:rsidRPr="00D874C4">
        <w:rPr>
          <w:rFonts w:asciiTheme="majorHAnsi" w:hAnsiTheme="majorHAnsi"/>
          <w:sz w:val="20"/>
        </w:rPr>
        <w:t xml:space="preserve"> the death penalty </w:t>
      </w:r>
      <w:r w:rsidR="003C2EEA" w:rsidRPr="00D874C4">
        <w:rPr>
          <w:rFonts w:asciiTheme="majorHAnsi" w:hAnsiTheme="majorHAnsi"/>
          <w:sz w:val="20"/>
        </w:rPr>
        <w:t>contravenes</w:t>
      </w:r>
      <w:r w:rsidR="00906DB6" w:rsidRPr="00D874C4">
        <w:rPr>
          <w:rFonts w:asciiTheme="majorHAnsi" w:hAnsiTheme="majorHAnsi"/>
          <w:sz w:val="20"/>
        </w:rPr>
        <w:t>, in practice, the</w:t>
      </w:r>
      <w:r w:rsidR="003C2EEA" w:rsidRPr="00D874C4">
        <w:rPr>
          <w:rFonts w:asciiTheme="majorHAnsi" w:hAnsiTheme="majorHAnsi"/>
          <w:sz w:val="20"/>
        </w:rPr>
        <w:t xml:space="preserve"> </w:t>
      </w:r>
      <w:r w:rsidR="003C2EEA" w:rsidRPr="00D874C4">
        <w:rPr>
          <w:rFonts w:asciiTheme="majorHAnsi" w:hAnsiTheme="majorHAnsi"/>
          <w:i/>
          <w:sz w:val="20"/>
        </w:rPr>
        <w:t xml:space="preserve">raison d’ </w:t>
      </w:r>
      <w:proofErr w:type="spellStart"/>
      <w:r w:rsidR="003C2EEA" w:rsidRPr="00D874C4">
        <w:rPr>
          <w:rFonts w:asciiTheme="majorHAnsi" w:hAnsiTheme="majorHAnsi"/>
          <w:i/>
          <w:sz w:val="20"/>
        </w:rPr>
        <w:t>être</w:t>
      </w:r>
      <w:proofErr w:type="spellEnd"/>
      <w:r w:rsidR="003C2EEA" w:rsidRPr="00D874C4">
        <w:rPr>
          <w:rFonts w:asciiTheme="majorHAnsi" w:hAnsiTheme="majorHAnsi"/>
          <w:sz w:val="20"/>
        </w:rPr>
        <w:t xml:space="preserve"> behind the </w:t>
      </w:r>
      <w:r w:rsidR="003C2EEA" w:rsidRPr="00D874C4">
        <w:rPr>
          <w:rFonts w:asciiTheme="majorHAnsi" w:hAnsiTheme="majorHAnsi"/>
          <w:sz w:val="20"/>
        </w:rPr>
        <w:lastRenderedPageBreak/>
        <w:t>sovereign decision taken by the Navajo Nation</w:t>
      </w:r>
      <w:r w:rsidRPr="00D874C4">
        <w:rPr>
          <w:rFonts w:asciiTheme="majorHAnsi" w:hAnsiTheme="majorHAnsi"/>
          <w:sz w:val="20"/>
        </w:rPr>
        <w:t>,</w:t>
      </w:r>
      <w:r w:rsidR="003C2EEA" w:rsidRPr="00D874C4">
        <w:rPr>
          <w:rFonts w:asciiTheme="majorHAnsi" w:hAnsiTheme="majorHAnsi"/>
          <w:sz w:val="20"/>
        </w:rPr>
        <w:t xml:space="preserve"> that is, that death by a member of their nation on Navajo territory should not be punishable by death.</w:t>
      </w:r>
      <w:r w:rsidRPr="00D874C4">
        <w:rPr>
          <w:rFonts w:asciiTheme="majorHAnsi" w:hAnsiTheme="majorHAnsi"/>
          <w:sz w:val="20"/>
        </w:rPr>
        <w:t xml:space="preserve"> </w:t>
      </w:r>
      <w:r w:rsidR="00617B3D" w:rsidRPr="00D874C4">
        <w:rPr>
          <w:rFonts w:asciiTheme="majorHAnsi" w:hAnsiTheme="majorHAnsi"/>
          <w:sz w:val="20"/>
        </w:rPr>
        <w:t xml:space="preserve">In fact, this legal subterfuge resulted in practice in the application of a </w:t>
      </w:r>
      <w:r w:rsidR="00497D34" w:rsidRPr="00D874C4">
        <w:rPr>
          <w:rFonts w:asciiTheme="majorHAnsi" w:hAnsiTheme="majorHAnsi"/>
          <w:sz w:val="20"/>
        </w:rPr>
        <w:t>death sentence</w:t>
      </w:r>
      <w:r w:rsidR="00617B3D" w:rsidRPr="00D874C4">
        <w:rPr>
          <w:rFonts w:asciiTheme="majorHAnsi" w:hAnsiTheme="majorHAnsi"/>
          <w:sz w:val="20"/>
        </w:rPr>
        <w:t xml:space="preserve"> </w:t>
      </w:r>
      <w:r w:rsidR="00072772" w:rsidRPr="00D874C4">
        <w:rPr>
          <w:rFonts w:asciiTheme="majorHAnsi" w:hAnsiTheme="majorHAnsi"/>
          <w:sz w:val="20"/>
        </w:rPr>
        <w:t xml:space="preserve">not for the </w:t>
      </w:r>
      <w:r w:rsidR="00906DB6" w:rsidRPr="00D874C4">
        <w:rPr>
          <w:rFonts w:asciiTheme="majorHAnsi" w:hAnsiTheme="majorHAnsi"/>
          <w:sz w:val="20"/>
        </w:rPr>
        <w:t>murder</w:t>
      </w:r>
      <w:r w:rsidR="00072772" w:rsidRPr="00D874C4">
        <w:rPr>
          <w:rFonts w:asciiTheme="majorHAnsi" w:hAnsiTheme="majorHAnsi"/>
          <w:sz w:val="20"/>
        </w:rPr>
        <w:t xml:space="preserve"> but for </w:t>
      </w:r>
      <w:r w:rsidR="00CF47D3" w:rsidRPr="00D874C4">
        <w:rPr>
          <w:rFonts w:asciiTheme="majorHAnsi" w:hAnsiTheme="majorHAnsi"/>
          <w:sz w:val="20"/>
        </w:rPr>
        <w:t>a</w:t>
      </w:r>
      <w:r w:rsidR="00072772" w:rsidRPr="00D874C4">
        <w:rPr>
          <w:rFonts w:asciiTheme="majorHAnsi" w:hAnsiTheme="majorHAnsi"/>
          <w:sz w:val="20"/>
        </w:rPr>
        <w:t xml:space="preserve"> car</w:t>
      </w:r>
      <w:r w:rsidR="00CF47D3" w:rsidRPr="00D874C4">
        <w:rPr>
          <w:rFonts w:asciiTheme="majorHAnsi" w:hAnsiTheme="majorHAnsi"/>
          <w:sz w:val="20"/>
        </w:rPr>
        <w:t xml:space="preserve"> robbery</w:t>
      </w:r>
      <w:r w:rsidR="00072772" w:rsidRPr="00D874C4">
        <w:rPr>
          <w:rFonts w:asciiTheme="majorHAnsi" w:hAnsiTheme="majorHAnsi"/>
          <w:sz w:val="20"/>
        </w:rPr>
        <w:t xml:space="preserve">, </w:t>
      </w:r>
      <w:r w:rsidR="009D2CB6" w:rsidRPr="00D874C4">
        <w:rPr>
          <w:rFonts w:asciiTheme="majorHAnsi" w:hAnsiTheme="majorHAnsi"/>
          <w:sz w:val="20"/>
        </w:rPr>
        <w:t xml:space="preserve">an </w:t>
      </w:r>
      <w:r w:rsidR="00617B3D" w:rsidRPr="00D874C4">
        <w:rPr>
          <w:rFonts w:asciiTheme="majorHAnsi" w:hAnsiTheme="majorHAnsi"/>
          <w:sz w:val="20"/>
        </w:rPr>
        <w:t xml:space="preserve">offence involving </w:t>
      </w:r>
      <w:r w:rsidR="009D2CB6" w:rsidRPr="00D874C4">
        <w:rPr>
          <w:rFonts w:asciiTheme="majorHAnsi" w:hAnsiTheme="majorHAnsi"/>
          <w:sz w:val="20"/>
        </w:rPr>
        <w:t xml:space="preserve">the protection of </w:t>
      </w:r>
      <w:r w:rsidR="00617B3D" w:rsidRPr="00D874C4">
        <w:rPr>
          <w:rFonts w:asciiTheme="majorHAnsi" w:hAnsiTheme="majorHAnsi"/>
          <w:sz w:val="20"/>
        </w:rPr>
        <w:t xml:space="preserve">a minor legal </w:t>
      </w:r>
      <w:r w:rsidR="009D2CB6" w:rsidRPr="00D874C4">
        <w:rPr>
          <w:rFonts w:asciiTheme="majorHAnsi" w:hAnsiTheme="majorHAnsi"/>
          <w:sz w:val="20"/>
        </w:rPr>
        <w:t>interest</w:t>
      </w:r>
      <w:r w:rsidR="00593D2F" w:rsidRPr="00D874C4">
        <w:rPr>
          <w:rFonts w:asciiTheme="majorHAnsi" w:hAnsiTheme="majorHAnsi"/>
          <w:sz w:val="20"/>
        </w:rPr>
        <w:t>.</w:t>
      </w:r>
      <w:r w:rsidR="00F15C70" w:rsidRPr="00D874C4">
        <w:rPr>
          <w:rFonts w:asciiTheme="majorHAnsi" w:hAnsiTheme="majorHAnsi"/>
          <w:sz w:val="20"/>
        </w:rPr>
        <w:t xml:space="preserve"> Further, as established above, both the Navajo Nation and the relative of the victims were against the use of the death penalty in this case.</w:t>
      </w:r>
    </w:p>
    <w:p w:rsidR="00593D2F" w:rsidRPr="00D874C4" w:rsidRDefault="00593D2F" w:rsidP="00593D2F">
      <w:pPr>
        <w:pStyle w:val="ListParagraph"/>
        <w:rPr>
          <w:rFonts w:asciiTheme="majorHAnsi" w:hAnsiTheme="majorHAnsi"/>
          <w:sz w:val="20"/>
        </w:rPr>
      </w:pPr>
    </w:p>
    <w:p w:rsidR="00072772" w:rsidRPr="00D874C4" w:rsidRDefault="001950F4" w:rsidP="009D076E">
      <w:pPr>
        <w:pStyle w:val="NormalWeb"/>
        <w:numPr>
          <w:ilvl w:val="0"/>
          <w:numId w:val="55"/>
        </w:numPr>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Georgia" w:hAnsi="Georgia"/>
          <w:color w:val="333333"/>
        </w:rPr>
      </w:pPr>
      <w:r w:rsidRPr="00D874C4">
        <w:rPr>
          <w:rFonts w:asciiTheme="majorHAnsi" w:hAnsiTheme="majorHAnsi"/>
          <w:sz w:val="20"/>
        </w:rPr>
        <w:t>In addition</w:t>
      </w:r>
      <w:r w:rsidR="00906DB6" w:rsidRPr="00D874C4">
        <w:rPr>
          <w:rFonts w:asciiTheme="majorHAnsi" w:hAnsiTheme="majorHAnsi"/>
          <w:sz w:val="20"/>
        </w:rPr>
        <w:t>, t</w:t>
      </w:r>
      <w:r w:rsidR="00593D2F" w:rsidRPr="00D874C4">
        <w:rPr>
          <w:rFonts w:asciiTheme="majorHAnsi" w:hAnsiTheme="majorHAnsi"/>
          <w:sz w:val="20"/>
        </w:rPr>
        <w:t>h</w:t>
      </w:r>
      <w:r w:rsidR="00D53D39" w:rsidRPr="00D874C4">
        <w:rPr>
          <w:rFonts w:asciiTheme="majorHAnsi" w:hAnsiTheme="majorHAnsi"/>
          <w:sz w:val="20"/>
        </w:rPr>
        <w:t>e</w:t>
      </w:r>
      <w:r w:rsidR="00593D2F" w:rsidRPr="00D874C4">
        <w:rPr>
          <w:rFonts w:asciiTheme="majorHAnsi" w:hAnsiTheme="majorHAnsi"/>
          <w:sz w:val="20"/>
        </w:rPr>
        <w:t xml:space="preserve"> application of the death penalty </w:t>
      </w:r>
      <w:r w:rsidR="00D53D39" w:rsidRPr="00D874C4">
        <w:rPr>
          <w:rFonts w:asciiTheme="majorHAnsi" w:hAnsiTheme="majorHAnsi"/>
          <w:sz w:val="20"/>
        </w:rPr>
        <w:t>using this legal maneuver</w:t>
      </w:r>
      <w:r w:rsidR="00593D2F" w:rsidRPr="00D874C4">
        <w:rPr>
          <w:rFonts w:asciiTheme="majorHAnsi" w:hAnsiTheme="majorHAnsi"/>
          <w:sz w:val="20"/>
        </w:rPr>
        <w:t xml:space="preserve"> result</w:t>
      </w:r>
      <w:r w:rsidR="00D53D39" w:rsidRPr="00D874C4">
        <w:rPr>
          <w:rFonts w:asciiTheme="majorHAnsi" w:hAnsiTheme="majorHAnsi"/>
          <w:sz w:val="20"/>
        </w:rPr>
        <w:t>ed</w:t>
      </w:r>
      <w:r w:rsidR="00593D2F" w:rsidRPr="00D874C4">
        <w:rPr>
          <w:rFonts w:asciiTheme="majorHAnsi" w:hAnsiTheme="majorHAnsi"/>
          <w:sz w:val="20"/>
        </w:rPr>
        <w:t xml:space="preserve"> in </w:t>
      </w:r>
      <w:r w:rsidR="009A5D87" w:rsidRPr="00D874C4">
        <w:rPr>
          <w:rFonts w:asciiTheme="majorHAnsi" w:hAnsiTheme="majorHAnsi"/>
          <w:sz w:val="20"/>
        </w:rPr>
        <w:t xml:space="preserve">a violation of a collective dimension, </w:t>
      </w:r>
      <w:r w:rsidR="00440385" w:rsidRPr="00D874C4">
        <w:rPr>
          <w:rFonts w:asciiTheme="majorHAnsi" w:hAnsiTheme="majorHAnsi"/>
          <w:sz w:val="20"/>
        </w:rPr>
        <w:t>and affects</w:t>
      </w:r>
      <w:r w:rsidR="009A5D87" w:rsidRPr="00D874C4">
        <w:rPr>
          <w:rFonts w:asciiTheme="majorHAnsi" w:hAnsiTheme="majorHAnsi"/>
          <w:sz w:val="20"/>
        </w:rPr>
        <w:t xml:space="preserve"> the values and autonomy</w:t>
      </w:r>
      <w:r w:rsidR="00440385" w:rsidRPr="00D874C4">
        <w:rPr>
          <w:rFonts w:asciiTheme="majorHAnsi" w:hAnsiTheme="majorHAnsi"/>
          <w:sz w:val="20"/>
        </w:rPr>
        <w:t xml:space="preserve"> of the Navajo Nation. </w:t>
      </w:r>
      <w:r w:rsidR="00072772" w:rsidRPr="00D874C4">
        <w:rPr>
          <w:rFonts w:asciiTheme="majorHAnsi" w:hAnsiTheme="majorHAnsi"/>
          <w:sz w:val="20"/>
        </w:rPr>
        <w:t xml:space="preserve">The Commission notes that neither the State nor the Attorney General have presented an explanation </w:t>
      </w:r>
      <w:r w:rsidR="001F7294" w:rsidRPr="00D874C4">
        <w:rPr>
          <w:rFonts w:asciiTheme="majorHAnsi" w:hAnsiTheme="majorHAnsi"/>
          <w:sz w:val="20"/>
        </w:rPr>
        <w:t>to</w:t>
      </w:r>
      <w:r w:rsidR="00072772" w:rsidRPr="00D874C4">
        <w:rPr>
          <w:rFonts w:asciiTheme="majorHAnsi" w:hAnsiTheme="majorHAnsi"/>
          <w:sz w:val="20"/>
        </w:rPr>
        <w:t xml:space="preserve"> justify the reasons</w:t>
      </w:r>
      <w:r w:rsidR="00CF47D3" w:rsidRPr="00D874C4">
        <w:rPr>
          <w:rFonts w:asciiTheme="majorHAnsi" w:hAnsiTheme="majorHAnsi"/>
          <w:sz w:val="20"/>
        </w:rPr>
        <w:t xml:space="preserve"> why the application of death penalty in the specific case would seek a better interest than the</w:t>
      </w:r>
      <w:r w:rsidR="00072772" w:rsidRPr="00D874C4">
        <w:rPr>
          <w:rFonts w:asciiTheme="majorHAnsi" w:hAnsiTheme="majorHAnsi"/>
          <w:sz w:val="20"/>
        </w:rPr>
        <w:t xml:space="preserve"> </w:t>
      </w:r>
      <w:r w:rsidR="00CF47D3" w:rsidRPr="00D874C4">
        <w:rPr>
          <w:rFonts w:asciiTheme="majorHAnsi" w:hAnsiTheme="majorHAnsi"/>
          <w:sz w:val="20"/>
        </w:rPr>
        <w:t>interest of the Navajo Nation and the protection of its autonomy and culture</w:t>
      </w:r>
      <w:r w:rsidR="00440385" w:rsidRPr="00D874C4">
        <w:rPr>
          <w:rFonts w:asciiTheme="majorHAnsi" w:hAnsiTheme="majorHAnsi"/>
          <w:sz w:val="20"/>
        </w:rPr>
        <w:t xml:space="preserve"> in conformity with their own worldview.</w:t>
      </w:r>
      <w:r w:rsidR="00AB5429" w:rsidRPr="00D874C4">
        <w:rPr>
          <w:rFonts w:asciiTheme="majorHAnsi" w:hAnsiTheme="majorHAnsi"/>
          <w:sz w:val="20"/>
        </w:rPr>
        <w:t xml:space="preserve"> </w:t>
      </w:r>
    </w:p>
    <w:p w:rsidR="009D076E" w:rsidRPr="00D874C4" w:rsidRDefault="009D076E" w:rsidP="00286996"/>
    <w:p w:rsidR="006928E8" w:rsidRPr="00D874C4" w:rsidRDefault="009A5D87" w:rsidP="00286996">
      <w:pPr>
        <w:pStyle w:val="NormalWeb"/>
        <w:numPr>
          <w:ilvl w:val="0"/>
          <w:numId w:val="55"/>
        </w:numPr>
        <w:shd w:val="clear" w:color="auto" w:fill="FFFFFF"/>
        <w:tabs>
          <w:tab w:val="left" w:pos="0"/>
          <w:tab w:val="left" w:pos="36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Georgia" w:hAnsi="Georgia"/>
          <w:color w:val="333333"/>
        </w:rPr>
      </w:pPr>
      <w:r w:rsidRPr="00D874C4">
        <w:rPr>
          <w:rFonts w:asciiTheme="majorHAnsi" w:hAnsiTheme="majorHAnsi"/>
          <w:sz w:val="20"/>
        </w:rPr>
        <w:t>F</w:t>
      </w:r>
      <w:r w:rsidR="00037C6C" w:rsidRPr="00D874C4">
        <w:rPr>
          <w:rFonts w:asciiTheme="majorHAnsi" w:hAnsiTheme="majorHAnsi"/>
          <w:sz w:val="20"/>
        </w:rPr>
        <w:t xml:space="preserve">urther, </w:t>
      </w:r>
      <w:r w:rsidR="00511CB3" w:rsidRPr="00D874C4">
        <w:rPr>
          <w:rFonts w:asciiTheme="majorHAnsi" w:hAnsiTheme="majorHAnsi"/>
          <w:sz w:val="20"/>
        </w:rPr>
        <w:t xml:space="preserve">when interpreting and applying the provisions of the American Declaration to a member of an indigenous community, the Commission should consider compliance with the State’s obligations </w:t>
      </w:r>
      <w:r w:rsidR="001F7294" w:rsidRPr="00D874C4">
        <w:rPr>
          <w:rFonts w:asciiTheme="majorHAnsi" w:hAnsiTheme="majorHAnsi"/>
          <w:sz w:val="20"/>
        </w:rPr>
        <w:t>regarding the right to a fair trial</w:t>
      </w:r>
      <w:r w:rsidR="009A03E3" w:rsidRPr="00D874C4">
        <w:rPr>
          <w:rFonts w:asciiTheme="majorHAnsi" w:hAnsiTheme="majorHAnsi"/>
          <w:sz w:val="20"/>
        </w:rPr>
        <w:t>. These obligations, in turn, should</w:t>
      </w:r>
      <w:r w:rsidR="001F7294" w:rsidRPr="00D874C4">
        <w:rPr>
          <w:rFonts w:asciiTheme="majorHAnsi" w:hAnsiTheme="majorHAnsi"/>
          <w:sz w:val="20"/>
        </w:rPr>
        <w:t xml:space="preserve"> respect the </w:t>
      </w:r>
      <w:r w:rsidR="00AB5429" w:rsidRPr="00D874C4">
        <w:rPr>
          <w:rFonts w:asciiTheme="majorHAnsi" w:hAnsiTheme="majorHAnsi"/>
          <w:sz w:val="20"/>
        </w:rPr>
        <w:t>autonomy and cultural identity</w:t>
      </w:r>
      <w:r w:rsidR="001F7294" w:rsidRPr="00D874C4">
        <w:rPr>
          <w:rFonts w:asciiTheme="majorHAnsi" w:hAnsiTheme="majorHAnsi"/>
          <w:sz w:val="20"/>
        </w:rPr>
        <w:t xml:space="preserve"> of the indigenous peoples. </w:t>
      </w:r>
      <w:r w:rsidR="00511CB3" w:rsidRPr="00D874C4">
        <w:rPr>
          <w:rFonts w:asciiTheme="majorHAnsi" w:hAnsiTheme="majorHAnsi"/>
          <w:sz w:val="20"/>
        </w:rPr>
        <w:t xml:space="preserve">In the instant case, </w:t>
      </w:r>
      <w:r w:rsidR="009D076E" w:rsidRPr="00D874C4">
        <w:rPr>
          <w:rFonts w:asciiTheme="majorHAnsi" w:hAnsiTheme="majorHAnsi"/>
          <w:sz w:val="20"/>
        </w:rPr>
        <w:t xml:space="preserve">Mr. Mitchell’s right to be sentenced in accordance with the general understanding of the Navajo Nation that the commission of a murder by a Navajo on tribal territory should not lead to the death penalty, is </w:t>
      </w:r>
      <w:r w:rsidR="009A03E3" w:rsidRPr="00D874C4">
        <w:rPr>
          <w:rFonts w:asciiTheme="majorHAnsi" w:hAnsiTheme="majorHAnsi"/>
          <w:sz w:val="20"/>
        </w:rPr>
        <w:t xml:space="preserve">a </w:t>
      </w:r>
      <w:r w:rsidR="009D076E" w:rsidRPr="00D874C4">
        <w:rPr>
          <w:rFonts w:asciiTheme="majorHAnsi" w:hAnsiTheme="majorHAnsi"/>
          <w:sz w:val="20"/>
        </w:rPr>
        <w:t xml:space="preserve">component of </w:t>
      </w:r>
      <w:r w:rsidR="009A03E3" w:rsidRPr="00D874C4">
        <w:rPr>
          <w:rFonts w:asciiTheme="majorHAnsi" w:hAnsiTheme="majorHAnsi"/>
          <w:sz w:val="20"/>
        </w:rPr>
        <w:t xml:space="preserve">the right to </w:t>
      </w:r>
      <w:r w:rsidR="001F7294" w:rsidRPr="00D874C4">
        <w:rPr>
          <w:rFonts w:asciiTheme="majorHAnsi" w:hAnsiTheme="majorHAnsi"/>
          <w:sz w:val="20"/>
        </w:rPr>
        <w:t xml:space="preserve">a fair trial and </w:t>
      </w:r>
      <w:r w:rsidR="009A03E3" w:rsidRPr="00D874C4">
        <w:rPr>
          <w:rFonts w:asciiTheme="majorHAnsi" w:hAnsiTheme="majorHAnsi"/>
          <w:sz w:val="20"/>
        </w:rPr>
        <w:t xml:space="preserve">to </w:t>
      </w:r>
      <w:r w:rsidR="001F7294" w:rsidRPr="00D874C4">
        <w:rPr>
          <w:rFonts w:asciiTheme="majorHAnsi" w:hAnsiTheme="majorHAnsi"/>
          <w:sz w:val="20"/>
        </w:rPr>
        <w:t xml:space="preserve">the protection against the </w:t>
      </w:r>
      <w:r w:rsidR="009A03E3" w:rsidRPr="00D874C4">
        <w:rPr>
          <w:rFonts w:asciiTheme="majorHAnsi" w:hAnsiTheme="majorHAnsi"/>
          <w:sz w:val="20"/>
        </w:rPr>
        <w:t xml:space="preserve">arbitrary </w:t>
      </w:r>
      <w:r w:rsidR="001F7294" w:rsidRPr="00D874C4">
        <w:rPr>
          <w:rFonts w:asciiTheme="majorHAnsi" w:hAnsiTheme="majorHAnsi"/>
          <w:sz w:val="20"/>
        </w:rPr>
        <w:t xml:space="preserve">imposition of </w:t>
      </w:r>
      <w:r w:rsidR="009A03E3" w:rsidRPr="00D874C4">
        <w:rPr>
          <w:rFonts w:asciiTheme="majorHAnsi" w:hAnsiTheme="majorHAnsi"/>
          <w:sz w:val="20"/>
        </w:rPr>
        <w:t>a penalty</w:t>
      </w:r>
      <w:r w:rsidR="009D076E" w:rsidRPr="00D874C4">
        <w:rPr>
          <w:rFonts w:asciiTheme="majorHAnsi" w:hAnsiTheme="majorHAnsi"/>
          <w:sz w:val="20"/>
        </w:rPr>
        <w:t xml:space="preserve">. Therefore, </w:t>
      </w:r>
      <w:r w:rsidR="001F7294" w:rsidRPr="00D874C4">
        <w:rPr>
          <w:rFonts w:asciiTheme="majorHAnsi" w:hAnsiTheme="majorHAnsi"/>
          <w:sz w:val="20"/>
        </w:rPr>
        <w:t xml:space="preserve">in the absence of a justification to override this decision of the Navajo </w:t>
      </w:r>
      <w:r w:rsidR="009A03E3" w:rsidRPr="00D874C4">
        <w:rPr>
          <w:rFonts w:asciiTheme="majorHAnsi" w:hAnsiTheme="majorHAnsi"/>
          <w:sz w:val="20"/>
        </w:rPr>
        <w:t>Nation, the</w:t>
      </w:r>
      <w:r w:rsidR="006928E8" w:rsidRPr="00D874C4">
        <w:rPr>
          <w:rFonts w:asciiTheme="majorHAnsi" w:hAnsiTheme="majorHAnsi"/>
          <w:sz w:val="20"/>
        </w:rPr>
        <w:t xml:space="preserve"> State also infringed Mr</w:t>
      </w:r>
      <w:r w:rsidR="005F26D5" w:rsidRPr="00D874C4">
        <w:rPr>
          <w:rFonts w:asciiTheme="majorHAnsi" w:hAnsiTheme="majorHAnsi"/>
          <w:sz w:val="20"/>
        </w:rPr>
        <w:t>. Mitchell’s right</w:t>
      </w:r>
      <w:r w:rsidR="00511CB3" w:rsidRPr="00D874C4">
        <w:rPr>
          <w:rFonts w:asciiTheme="majorHAnsi" w:hAnsiTheme="majorHAnsi"/>
          <w:sz w:val="20"/>
        </w:rPr>
        <w:t>s</w:t>
      </w:r>
      <w:r w:rsidR="005F26D5" w:rsidRPr="00D874C4">
        <w:rPr>
          <w:rFonts w:asciiTheme="majorHAnsi" w:hAnsiTheme="majorHAnsi"/>
          <w:sz w:val="20"/>
        </w:rPr>
        <w:t xml:space="preserve"> to </w:t>
      </w:r>
      <w:r w:rsidR="00511CB3" w:rsidRPr="00D874C4">
        <w:rPr>
          <w:rFonts w:asciiTheme="majorHAnsi" w:hAnsiTheme="majorHAnsi"/>
          <w:sz w:val="20"/>
        </w:rPr>
        <w:t>a fair trial.</w:t>
      </w:r>
    </w:p>
    <w:p w:rsidR="00BF4336" w:rsidRPr="00D874C4" w:rsidRDefault="00BF4336" w:rsidP="006928E8">
      <w:pPr>
        <w:pStyle w:val="ListParagraph"/>
        <w:rPr>
          <w:rFonts w:asciiTheme="majorHAnsi" w:hAnsiTheme="majorHAnsi"/>
          <w:sz w:val="20"/>
        </w:rPr>
      </w:pPr>
    </w:p>
    <w:p w:rsidR="007F37D2" w:rsidRPr="00D874C4" w:rsidRDefault="007F37D2" w:rsidP="009A199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rFonts w:asciiTheme="majorHAnsi" w:hAnsiTheme="majorHAnsi"/>
          <w:bCs/>
          <w:color w:val="auto"/>
          <w:sz w:val="20"/>
          <w:szCs w:val="20"/>
        </w:rPr>
      </w:pPr>
      <w:r w:rsidRPr="00D874C4">
        <w:rPr>
          <w:rFonts w:asciiTheme="majorHAnsi" w:hAnsiTheme="majorHAnsi"/>
          <w:bCs/>
          <w:color w:val="auto"/>
          <w:sz w:val="20"/>
          <w:szCs w:val="20"/>
        </w:rPr>
        <w:t>Therefore, the IACHR concludes that the United States</w:t>
      </w:r>
      <w:r w:rsidR="002A563A" w:rsidRPr="00D874C4">
        <w:rPr>
          <w:rFonts w:asciiTheme="majorHAnsi" w:hAnsiTheme="majorHAnsi"/>
          <w:bCs/>
          <w:color w:val="auto"/>
          <w:sz w:val="20"/>
          <w:szCs w:val="20"/>
        </w:rPr>
        <w:t>,</w:t>
      </w:r>
      <w:r w:rsidRPr="00D874C4">
        <w:rPr>
          <w:rFonts w:asciiTheme="majorHAnsi" w:hAnsiTheme="majorHAnsi"/>
          <w:bCs/>
          <w:color w:val="auto"/>
          <w:sz w:val="20"/>
          <w:szCs w:val="20"/>
        </w:rPr>
        <w:t xml:space="preserve"> </w:t>
      </w:r>
      <w:r w:rsidR="002A563A" w:rsidRPr="00D874C4">
        <w:rPr>
          <w:rFonts w:asciiTheme="majorHAnsi" w:hAnsiTheme="majorHAnsi"/>
          <w:bCs/>
          <w:color w:val="auto"/>
          <w:sz w:val="20"/>
          <w:szCs w:val="20"/>
        </w:rPr>
        <w:t>by circumventing the Navajo Nation’s rejection, as a sovereign nation, of the death penalty</w:t>
      </w:r>
      <w:r w:rsidR="00D467F5" w:rsidRPr="00D874C4">
        <w:rPr>
          <w:rFonts w:asciiTheme="majorHAnsi" w:hAnsiTheme="majorHAnsi"/>
          <w:bCs/>
          <w:color w:val="auto"/>
          <w:sz w:val="20"/>
          <w:szCs w:val="20"/>
        </w:rPr>
        <w:t xml:space="preserve"> and without any justification</w:t>
      </w:r>
      <w:r w:rsidR="002A563A" w:rsidRPr="00D874C4">
        <w:rPr>
          <w:rFonts w:asciiTheme="majorHAnsi" w:hAnsiTheme="majorHAnsi"/>
          <w:bCs/>
          <w:color w:val="auto"/>
          <w:sz w:val="20"/>
          <w:szCs w:val="20"/>
        </w:rPr>
        <w:t>, v</w:t>
      </w:r>
      <w:r w:rsidRPr="00D874C4">
        <w:rPr>
          <w:rFonts w:asciiTheme="majorHAnsi" w:hAnsiTheme="majorHAnsi"/>
          <w:bCs/>
          <w:color w:val="auto"/>
          <w:sz w:val="20"/>
          <w:szCs w:val="20"/>
        </w:rPr>
        <w:t>iolat</w:t>
      </w:r>
      <w:r w:rsidR="002A563A" w:rsidRPr="00D874C4">
        <w:rPr>
          <w:rFonts w:asciiTheme="majorHAnsi" w:hAnsiTheme="majorHAnsi"/>
          <w:bCs/>
          <w:color w:val="auto"/>
          <w:sz w:val="20"/>
          <w:szCs w:val="20"/>
        </w:rPr>
        <w:t>ed</w:t>
      </w:r>
      <w:r w:rsidRPr="00D874C4">
        <w:rPr>
          <w:rFonts w:asciiTheme="majorHAnsi" w:hAnsiTheme="majorHAnsi"/>
          <w:bCs/>
          <w:color w:val="auto"/>
          <w:sz w:val="20"/>
          <w:szCs w:val="20"/>
        </w:rPr>
        <w:t xml:space="preserve"> </w:t>
      </w:r>
      <w:r w:rsidR="00E06924" w:rsidRPr="00D874C4">
        <w:rPr>
          <w:rFonts w:asciiTheme="majorHAnsi" w:hAnsiTheme="majorHAnsi"/>
          <w:bCs/>
          <w:color w:val="auto"/>
          <w:sz w:val="20"/>
          <w:szCs w:val="20"/>
        </w:rPr>
        <w:t xml:space="preserve">the right to autonomy and cultural identity of the Navajo Nation in relation to </w:t>
      </w:r>
      <w:r w:rsidRPr="00D874C4">
        <w:rPr>
          <w:rFonts w:asciiTheme="majorHAnsi" w:hAnsiTheme="majorHAnsi"/>
          <w:bCs/>
          <w:color w:val="auto"/>
          <w:sz w:val="20"/>
          <w:szCs w:val="20"/>
        </w:rPr>
        <w:t xml:space="preserve">Mr. Mitchell’s </w:t>
      </w:r>
      <w:r w:rsidR="001F7294" w:rsidRPr="00D874C4">
        <w:rPr>
          <w:rFonts w:asciiTheme="majorHAnsi" w:hAnsiTheme="majorHAnsi"/>
          <w:bCs/>
          <w:color w:val="auto"/>
          <w:sz w:val="20"/>
          <w:szCs w:val="20"/>
        </w:rPr>
        <w:t>fair trial</w:t>
      </w:r>
      <w:r w:rsidRPr="00D874C4">
        <w:rPr>
          <w:rFonts w:asciiTheme="majorHAnsi" w:hAnsiTheme="majorHAnsi"/>
          <w:bCs/>
          <w:color w:val="auto"/>
          <w:sz w:val="20"/>
          <w:szCs w:val="20"/>
        </w:rPr>
        <w:t xml:space="preserve"> </w:t>
      </w:r>
      <w:r w:rsidR="00E17263" w:rsidRPr="00D874C4">
        <w:rPr>
          <w:rFonts w:asciiTheme="majorHAnsi" w:hAnsiTheme="majorHAnsi"/>
          <w:bCs/>
          <w:color w:val="auto"/>
          <w:sz w:val="20"/>
          <w:szCs w:val="20"/>
        </w:rPr>
        <w:t>under Article XXVI of the American Declaration</w:t>
      </w:r>
      <w:r w:rsidR="00E06924" w:rsidRPr="00D874C4">
        <w:rPr>
          <w:rFonts w:asciiTheme="majorHAnsi" w:hAnsiTheme="majorHAnsi"/>
          <w:bCs/>
          <w:color w:val="auto"/>
          <w:sz w:val="20"/>
          <w:szCs w:val="20"/>
        </w:rPr>
        <w:t>.</w:t>
      </w:r>
      <w:r w:rsidR="00114B8F" w:rsidRPr="00D874C4">
        <w:rPr>
          <w:rFonts w:asciiTheme="majorHAnsi" w:hAnsiTheme="majorHAnsi"/>
          <w:bCs/>
          <w:color w:val="auto"/>
          <w:sz w:val="20"/>
          <w:szCs w:val="20"/>
        </w:rPr>
        <w:t xml:space="preserve"> </w:t>
      </w:r>
    </w:p>
    <w:p w:rsidR="00E17263" w:rsidRPr="00D874C4" w:rsidRDefault="00E17263" w:rsidP="00E1726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rsidR="00956E7A" w:rsidRPr="00D874C4" w:rsidRDefault="00956E7A" w:rsidP="0047420E">
      <w:pPr>
        <w:pStyle w:val="Heading3"/>
        <w:numPr>
          <w:ilvl w:val="1"/>
          <w:numId w:val="53"/>
        </w:numPr>
        <w:spacing w:before="0"/>
        <w:ind w:left="360"/>
        <w:rPr>
          <w:color w:val="auto"/>
          <w:sz w:val="20"/>
          <w:szCs w:val="20"/>
        </w:rPr>
      </w:pPr>
      <w:bookmarkStart w:id="57" w:name="_Toc44015998"/>
      <w:bookmarkStart w:id="58" w:name="_Toc49161072"/>
      <w:r w:rsidRPr="00D874C4">
        <w:rPr>
          <w:color w:val="auto"/>
          <w:sz w:val="20"/>
          <w:szCs w:val="20"/>
        </w:rPr>
        <w:t>Right to counsel</w:t>
      </w:r>
      <w:bookmarkEnd w:id="57"/>
      <w:bookmarkEnd w:id="58"/>
    </w:p>
    <w:p w:rsidR="00956E7A" w:rsidRPr="00D874C4" w:rsidRDefault="00956E7A" w:rsidP="00956E7A">
      <w:pPr>
        <w:pStyle w:val="Heading3"/>
        <w:spacing w:before="0"/>
        <w:ind w:left="360"/>
        <w:rPr>
          <w:color w:val="auto"/>
          <w:sz w:val="20"/>
          <w:szCs w:val="20"/>
        </w:rPr>
      </w:pPr>
    </w:p>
    <w:p w:rsidR="00956E7A" w:rsidRPr="00D874C4" w:rsidRDefault="00F00CA9" w:rsidP="009A199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rFonts w:asciiTheme="majorHAnsi" w:hAnsiTheme="majorHAnsi"/>
          <w:bCs/>
          <w:color w:val="auto"/>
          <w:sz w:val="20"/>
          <w:szCs w:val="20"/>
        </w:rPr>
      </w:pPr>
      <w:r w:rsidRPr="00D874C4">
        <w:rPr>
          <w:rFonts w:asciiTheme="majorHAnsi" w:hAnsiTheme="majorHAnsi"/>
          <w:bCs/>
          <w:color w:val="auto"/>
          <w:sz w:val="20"/>
          <w:szCs w:val="20"/>
        </w:rPr>
        <w:t xml:space="preserve">The right to defense is one of the rights contemplated under the guarantees of due process of law. </w:t>
      </w:r>
      <w:r w:rsidR="00306845" w:rsidRPr="00D874C4">
        <w:rPr>
          <w:rFonts w:asciiTheme="majorHAnsi" w:hAnsiTheme="majorHAnsi"/>
          <w:bCs/>
          <w:color w:val="auto"/>
          <w:sz w:val="20"/>
          <w:szCs w:val="20"/>
        </w:rPr>
        <w:t xml:space="preserve">The IACHR </w:t>
      </w:r>
      <w:r w:rsidR="00306845" w:rsidRPr="00D874C4">
        <w:rPr>
          <w:sz w:val="20"/>
          <w:szCs w:val="20"/>
        </w:rPr>
        <w:t>has held that the right to legal representation</w:t>
      </w:r>
      <w:r w:rsidR="00306845" w:rsidRPr="00D874C4">
        <w:t xml:space="preserve"> </w:t>
      </w:r>
      <w:r w:rsidR="00306845" w:rsidRPr="00D874C4">
        <w:rPr>
          <w:sz w:val="20"/>
          <w:szCs w:val="20"/>
        </w:rPr>
        <w:t>must be exercised from the moment a person is accused of an unlawful action and only ends when the proceeding concludes.</w:t>
      </w:r>
      <w:r w:rsidR="00306845" w:rsidRPr="00D874C4">
        <w:rPr>
          <w:rStyle w:val="FootnoteReference"/>
          <w:sz w:val="20"/>
          <w:szCs w:val="20"/>
        </w:rPr>
        <w:footnoteReference w:id="74"/>
      </w:r>
    </w:p>
    <w:p w:rsidR="00F00CA9" w:rsidRPr="00D874C4" w:rsidRDefault="00F00CA9" w:rsidP="00956E7A">
      <w:pPr>
        <w:rPr>
          <w:rFonts w:asciiTheme="majorHAnsi" w:hAnsiTheme="majorHAnsi"/>
          <w:sz w:val="20"/>
          <w:szCs w:val="20"/>
        </w:rPr>
      </w:pPr>
    </w:p>
    <w:p w:rsidR="005F3F59" w:rsidRPr="00D874C4" w:rsidRDefault="005F3F59" w:rsidP="009A199B">
      <w:pPr>
        <w:pStyle w:val="NormalWeb"/>
        <w:numPr>
          <w:ilvl w:val="0"/>
          <w:numId w:val="55"/>
        </w:numPr>
        <w:shd w:val="clear" w:color="auto" w:fill="FFFFFF"/>
        <w:tabs>
          <w:tab w:val="left" w:pos="360"/>
          <w:tab w:val="left" w:pos="540"/>
          <w:tab w:val="left" w:pos="720"/>
          <w:tab w:val="left" w:pos="1440"/>
        </w:tabs>
        <w:autoSpaceDE w:val="0"/>
        <w:autoSpaceDN w:val="0"/>
        <w:adjustRightInd w:val="0"/>
        <w:spacing w:before="0" w:beforeAutospacing="0" w:after="0" w:afterAutospacing="0"/>
        <w:ind w:left="0" w:firstLine="0"/>
        <w:jc w:val="both"/>
        <w:textAlignment w:val="baseline"/>
      </w:pPr>
      <w:r w:rsidRPr="00D874C4">
        <w:rPr>
          <w:rFonts w:asciiTheme="majorHAnsi" w:hAnsiTheme="majorHAnsi"/>
          <w:sz w:val="20"/>
        </w:rPr>
        <w:t xml:space="preserve">In the present case, the petitioners allege that Mr. Mitchell was interrogated by the FBI without being afforded counsel. The State, for its part, indicates that he knowingly cooperated with the police and waived his </w:t>
      </w:r>
      <w:r w:rsidRPr="00D874C4">
        <w:rPr>
          <w:rFonts w:asciiTheme="majorHAnsi" w:hAnsiTheme="majorHAnsi"/>
          <w:i/>
          <w:sz w:val="20"/>
        </w:rPr>
        <w:t>Miranda</w:t>
      </w:r>
      <w:r w:rsidRPr="00D874C4">
        <w:rPr>
          <w:rFonts w:asciiTheme="majorHAnsi" w:hAnsiTheme="majorHAnsi"/>
          <w:sz w:val="20"/>
        </w:rPr>
        <w:t xml:space="preserve"> rights in the hope of receiving a lighter sentence.</w:t>
      </w:r>
    </w:p>
    <w:p w:rsidR="005F3F59" w:rsidRPr="00D874C4" w:rsidRDefault="005F3F59" w:rsidP="005F3F59">
      <w:pPr>
        <w:pStyle w:val="ListParagraph"/>
        <w:rPr>
          <w:rFonts w:asciiTheme="majorHAnsi" w:hAnsiTheme="majorHAnsi"/>
          <w:sz w:val="20"/>
        </w:rPr>
      </w:pPr>
    </w:p>
    <w:p w:rsidR="00AB7087" w:rsidRPr="00D874C4" w:rsidRDefault="007F170D" w:rsidP="009A199B">
      <w:pPr>
        <w:pStyle w:val="NormalWeb"/>
        <w:numPr>
          <w:ilvl w:val="0"/>
          <w:numId w:val="55"/>
        </w:numPr>
        <w:shd w:val="clear" w:color="auto" w:fill="FFFFFF"/>
        <w:tabs>
          <w:tab w:val="left" w:pos="360"/>
          <w:tab w:val="left" w:pos="540"/>
          <w:tab w:val="left" w:pos="720"/>
          <w:tab w:val="left" w:pos="1440"/>
        </w:tabs>
        <w:autoSpaceDE w:val="0"/>
        <w:autoSpaceDN w:val="0"/>
        <w:adjustRightInd w:val="0"/>
        <w:spacing w:before="0" w:beforeAutospacing="0" w:after="0" w:afterAutospacing="0"/>
        <w:ind w:left="0" w:firstLine="0"/>
        <w:jc w:val="both"/>
        <w:textAlignment w:val="baseline"/>
        <w:rPr>
          <w:rFonts w:asciiTheme="majorHAnsi" w:hAnsiTheme="majorHAnsi"/>
          <w:sz w:val="20"/>
          <w:szCs w:val="20"/>
        </w:rPr>
      </w:pPr>
      <w:r w:rsidRPr="00D874C4">
        <w:rPr>
          <w:rFonts w:asciiTheme="majorHAnsi" w:hAnsiTheme="majorHAnsi"/>
          <w:sz w:val="20"/>
        </w:rPr>
        <w:t xml:space="preserve">According to the facts established in this report, the day of his arrest </w:t>
      </w:r>
      <w:r w:rsidRPr="00D874C4">
        <w:rPr>
          <w:rFonts w:asciiTheme="majorHAnsi" w:hAnsiTheme="majorHAnsi"/>
          <w:sz w:val="20"/>
          <w:szCs w:val="20"/>
        </w:rPr>
        <w:t xml:space="preserve">Mr. Mitchell was interrogated by an FBI agent after having signed a waiver of his </w:t>
      </w:r>
      <w:r w:rsidRPr="00D874C4">
        <w:rPr>
          <w:rFonts w:asciiTheme="majorHAnsi" w:hAnsiTheme="majorHAnsi"/>
          <w:i/>
          <w:sz w:val="20"/>
          <w:szCs w:val="20"/>
        </w:rPr>
        <w:t>Miranda</w:t>
      </w:r>
      <w:r w:rsidRPr="00D874C4">
        <w:rPr>
          <w:rFonts w:asciiTheme="majorHAnsi" w:hAnsiTheme="majorHAnsi"/>
          <w:sz w:val="20"/>
          <w:szCs w:val="20"/>
        </w:rPr>
        <w:t xml:space="preserve"> rights. The following day, while at the site of the murders, he acknowledged that his </w:t>
      </w:r>
      <w:r w:rsidRPr="00D874C4">
        <w:rPr>
          <w:rFonts w:asciiTheme="majorHAnsi" w:hAnsiTheme="majorHAnsi"/>
          <w:i/>
          <w:sz w:val="20"/>
          <w:szCs w:val="20"/>
        </w:rPr>
        <w:t>Miranda</w:t>
      </w:r>
      <w:r w:rsidRPr="00D874C4">
        <w:rPr>
          <w:rFonts w:asciiTheme="majorHAnsi" w:hAnsiTheme="majorHAnsi"/>
          <w:sz w:val="20"/>
          <w:szCs w:val="20"/>
        </w:rPr>
        <w:t xml:space="preserve"> rights were in effect and agreed to answer more questions</w:t>
      </w:r>
      <w:r w:rsidR="00863533" w:rsidRPr="00D874C4">
        <w:rPr>
          <w:rFonts w:asciiTheme="majorHAnsi" w:hAnsiTheme="majorHAnsi"/>
          <w:sz w:val="20"/>
          <w:szCs w:val="20"/>
        </w:rPr>
        <w:t xml:space="preserve"> by the FBI </w:t>
      </w:r>
      <w:r w:rsidR="006232F9" w:rsidRPr="00D874C4">
        <w:rPr>
          <w:rFonts w:asciiTheme="majorHAnsi" w:hAnsiTheme="majorHAnsi"/>
          <w:sz w:val="20"/>
          <w:szCs w:val="20"/>
        </w:rPr>
        <w:t xml:space="preserve">agent. </w:t>
      </w:r>
      <w:r w:rsidR="00AB7087" w:rsidRPr="00D874C4">
        <w:rPr>
          <w:rFonts w:asciiTheme="majorHAnsi" w:hAnsiTheme="majorHAnsi"/>
          <w:sz w:val="20"/>
          <w:szCs w:val="20"/>
        </w:rPr>
        <w:t>Therefore, based on the available information, the IACHR concludes that the State has not violated Mr. Mitchell’s right to counsel.</w:t>
      </w:r>
    </w:p>
    <w:p w:rsidR="00A331C9" w:rsidRPr="00D874C4" w:rsidRDefault="00A331C9" w:rsidP="00956E7A"/>
    <w:p w:rsidR="00750201" w:rsidRPr="00D874C4" w:rsidRDefault="00750201" w:rsidP="0047420E">
      <w:pPr>
        <w:pStyle w:val="Heading3"/>
        <w:numPr>
          <w:ilvl w:val="1"/>
          <w:numId w:val="53"/>
        </w:numPr>
        <w:spacing w:before="0"/>
        <w:ind w:left="360"/>
        <w:rPr>
          <w:color w:val="auto"/>
          <w:sz w:val="20"/>
          <w:szCs w:val="20"/>
        </w:rPr>
      </w:pPr>
      <w:bookmarkStart w:id="59" w:name="_Toc44015999"/>
      <w:bookmarkStart w:id="60" w:name="_Toc49161073"/>
      <w:r w:rsidRPr="00D874C4">
        <w:rPr>
          <w:color w:val="auto"/>
          <w:sz w:val="20"/>
          <w:szCs w:val="20"/>
        </w:rPr>
        <w:t>Ineffective assistance of court-appointed counsel</w:t>
      </w:r>
      <w:bookmarkEnd w:id="59"/>
      <w:bookmarkEnd w:id="60"/>
      <w:r w:rsidRPr="00D874C4">
        <w:rPr>
          <w:color w:val="auto"/>
          <w:sz w:val="20"/>
          <w:szCs w:val="20"/>
        </w:rPr>
        <w:t xml:space="preserve"> </w:t>
      </w:r>
    </w:p>
    <w:p w:rsidR="00750201" w:rsidRPr="00D874C4" w:rsidRDefault="00750201" w:rsidP="00750201">
      <w:pPr>
        <w:pStyle w:val="NormalWeb"/>
        <w:shd w:val="clear" w:color="auto" w:fill="FFFFFF"/>
        <w:tabs>
          <w:tab w:val="left" w:pos="360"/>
        </w:tabs>
        <w:spacing w:before="0" w:beforeAutospacing="0" w:after="0" w:afterAutospacing="0"/>
        <w:jc w:val="both"/>
        <w:rPr>
          <w:rFonts w:asciiTheme="majorHAnsi" w:hAnsiTheme="majorHAnsi"/>
          <w:b/>
          <w:sz w:val="20"/>
          <w:szCs w:val="20"/>
        </w:rPr>
      </w:pPr>
    </w:p>
    <w:p w:rsidR="00750201" w:rsidRPr="00D874C4" w:rsidRDefault="00750201" w:rsidP="009A199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D874C4">
        <w:rPr>
          <w:rStyle w:val="FootnoteReference"/>
          <w:sz w:val="20"/>
        </w:rPr>
        <w:footnoteReference w:id="75"/>
      </w:r>
      <w:r w:rsidRPr="00D874C4">
        <w:rPr>
          <w:sz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D874C4">
        <w:rPr>
          <w:rStyle w:val="FootnoteReference"/>
          <w:sz w:val="20"/>
        </w:rPr>
        <w:footnoteReference w:id="76"/>
      </w:r>
    </w:p>
    <w:p w:rsidR="00750201" w:rsidRPr="00D874C4" w:rsidRDefault="00750201" w:rsidP="00750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750201" w:rsidRPr="00D874C4" w:rsidRDefault="00750201" w:rsidP="00B20D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pPr>
      <w:r w:rsidRPr="00D874C4">
        <w:rPr>
          <w:sz w:val="20"/>
        </w:rPr>
        <w:t>The appointment of an attorney by the state does not, in and of itself, ensure effective assistance of counsel.  At the same time, while the State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w:t>
      </w:r>
      <w:r w:rsidRPr="00D874C4">
        <w:rPr>
          <w:rStyle w:val="FootnoteReference"/>
          <w:sz w:val="20"/>
        </w:rPr>
        <w:footnoteReference w:id="77"/>
      </w:r>
      <w:r w:rsidRPr="00D874C4">
        <w:rPr>
          <w:rStyle w:val="FootnoteReference"/>
        </w:rPr>
        <w:t xml:space="preserve"> </w:t>
      </w:r>
    </w:p>
    <w:p w:rsidR="00750201" w:rsidRPr="00D874C4" w:rsidRDefault="00750201" w:rsidP="00750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750201" w:rsidRPr="00D874C4" w:rsidRDefault="00750201" w:rsidP="00B20D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D874C4">
        <w:rPr>
          <w:rStyle w:val="FootnoteReference"/>
          <w:sz w:val="20"/>
        </w:rPr>
        <w:footnoteReference w:id="78"/>
      </w:r>
      <w:r w:rsidRPr="00D874C4">
        <w:rPr>
          <w:rStyle w:val="FootnoteReference"/>
        </w:rPr>
        <w:t xml:space="preserve"> </w:t>
      </w:r>
      <w:r w:rsidRPr="00D874C4">
        <w:rPr>
          <w:sz w:val="20"/>
        </w:rPr>
        <w:t xml:space="preserve">The Commission has also indicated that due process protections, under the Declaration: </w:t>
      </w:r>
    </w:p>
    <w:p w:rsidR="00750201" w:rsidRPr="00D874C4" w:rsidRDefault="00750201" w:rsidP="00750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750201" w:rsidRPr="00D874C4" w:rsidRDefault="00750201" w:rsidP="00750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sz w:val="18"/>
          <w:szCs w:val="18"/>
        </w:rPr>
      </w:pPr>
      <w:r w:rsidRPr="00D874C4">
        <w:rPr>
          <w:sz w:val="18"/>
          <w:szCs w:val="18"/>
        </w:rPr>
        <w:t xml:space="preserve">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w:t>
      </w:r>
      <w:proofErr w:type="spellStart"/>
      <w:r w:rsidRPr="00D874C4">
        <w:rPr>
          <w:sz w:val="18"/>
          <w:szCs w:val="18"/>
        </w:rPr>
        <w:t>readaptation</w:t>
      </w:r>
      <w:proofErr w:type="spellEnd"/>
      <w:r w:rsidRPr="00D874C4">
        <w:rPr>
          <w:sz w:val="18"/>
          <w:szCs w:val="18"/>
        </w:rPr>
        <w:t xml:space="preserve"> of the offender.</w:t>
      </w:r>
      <w:r w:rsidRPr="00D874C4">
        <w:rPr>
          <w:rStyle w:val="FootnoteReference"/>
          <w:sz w:val="18"/>
          <w:szCs w:val="18"/>
        </w:rPr>
        <w:footnoteReference w:id="79"/>
      </w:r>
    </w:p>
    <w:p w:rsidR="00750201" w:rsidRPr="00D874C4" w:rsidRDefault="00750201" w:rsidP="00750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750201" w:rsidRPr="00D874C4" w:rsidRDefault="00750201" w:rsidP="00B20D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It may be noted that the fundamental nature of this guarantee has been reflected in practice guidelines for lawyers. The American Bar Association has prepared and adopted guidelines and related commentaries that emphasize the importance of investigating and presenting mitigating evidence in death penalty cases.</w:t>
      </w:r>
      <w:r w:rsidRPr="00D874C4">
        <w:rPr>
          <w:rStyle w:val="FootnoteReference"/>
          <w:sz w:val="20"/>
        </w:rPr>
        <w:footnoteReference w:id="80"/>
      </w:r>
      <w:r w:rsidRPr="00D874C4">
        <w:rPr>
          <w:rStyle w:val="FootnoteReference"/>
        </w:rPr>
        <w:t xml:space="preserve"> </w:t>
      </w:r>
      <w:r w:rsidRPr="00D874C4">
        <w:rPr>
          <w:sz w:val="20"/>
        </w:rPr>
        <w:t>According to these guidelines, the duty of counsel in the United States to investigate and present mitigating evidence is now well-established and “[b]</w:t>
      </w:r>
      <w:proofErr w:type="spellStart"/>
      <w:r w:rsidRPr="00D874C4">
        <w:rPr>
          <w:sz w:val="20"/>
        </w:rPr>
        <w:t>ecause</w:t>
      </w:r>
      <w:proofErr w:type="spellEnd"/>
      <w:r w:rsidRPr="00D874C4">
        <w:rPr>
          <w:sz w:val="20"/>
        </w:rPr>
        <w:t xml:space="preserve"> the </w:t>
      </w:r>
      <w:proofErr w:type="spellStart"/>
      <w:r w:rsidRPr="00D874C4">
        <w:rPr>
          <w:sz w:val="20"/>
        </w:rPr>
        <w:t>sentencer</w:t>
      </w:r>
      <w:proofErr w:type="spellEnd"/>
      <w:r w:rsidRPr="00D874C4">
        <w:rPr>
          <w:sz w:val="20"/>
        </w:rPr>
        <w:t xml:space="preserve">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D874C4">
        <w:rPr>
          <w:rStyle w:val="FootnoteReference"/>
          <w:sz w:val="20"/>
        </w:rPr>
        <w:footnoteReference w:id="81"/>
      </w:r>
      <w:r w:rsidRPr="00D874C4">
        <w:rPr>
          <w:rStyle w:val="FootnoteReference"/>
        </w:rPr>
        <w:t xml:space="preserve"> </w:t>
      </w:r>
      <w:r w:rsidRPr="00D874C4">
        <w:rPr>
          <w:sz w:val="20"/>
        </w:rPr>
        <w:t>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D874C4">
        <w:rPr>
          <w:rStyle w:val="FootnoteReference"/>
          <w:sz w:val="20"/>
        </w:rPr>
        <w:footnoteReference w:id="82"/>
      </w:r>
      <w:r w:rsidRPr="00D874C4">
        <w:rPr>
          <w:rStyle w:val="FootnoteReference"/>
        </w:rPr>
        <w:t xml:space="preserve"> </w:t>
      </w:r>
    </w:p>
    <w:p w:rsidR="00750201" w:rsidRPr="00D874C4" w:rsidRDefault="00750201" w:rsidP="00750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4E57AE" w:rsidRPr="00D874C4" w:rsidRDefault="004E57AE" w:rsidP="004E57AE">
      <w:pPr>
        <w:pStyle w:val="Heading3"/>
        <w:numPr>
          <w:ilvl w:val="1"/>
          <w:numId w:val="53"/>
        </w:numPr>
        <w:spacing w:before="0"/>
        <w:ind w:left="360"/>
        <w:rPr>
          <w:color w:val="auto"/>
          <w:sz w:val="20"/>
          <w:szCs w:val="20"/>
        </w:rPr>
      </w:pPr>
      <w:bookmarkStart w:id="61" w:name="_Toc44016000"/>
      <w:bookmarkStart w:id="62" w:name="_Toc49161074"/>
      <w:r w:rsidRPr="00D874C4">
        <w:rPr>
          <w:color w:val="auto"/>
          <w:sz w:val="20"/>
          <w:szCs w:val="20"/>
        </w:rPr>
        <w:t>Analysis of the case</w:t>
      </w:r>
      <w:bookmarkEnd w:id="61"/>
      <w:bookmarkEnd w:id="62"/>
    </w:p>
    <w:p w:rsidR="004E57AE" w:rsidRPr="00D874C4" w:rsidRDefault="004E57AE" w:rsidP="007502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456789" w:rsidRPr="00D874C4" w:rsidRDefault="00750201" w:rsidP="008E135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 xml:space="preserve">The petitioners allege ineffective assistance of trial counsel </w:t>
      </w:r>
      <w:r w:rsidR="00456789" w:rsidRPr="00D874C4">
        <w:rPr>
          <w:sz w:val="20"/>
        </w:rPr>
        <w:t>in preparing and presenting a case for leniency at the penalty phase</w:t>
      </w:r>
      <w:r w:rsidRPr="00D874C4">
        <w:rPr>
          <w:sz w:val="20"/>
        </w:rPr>
        <w:t>.</w:t>
      </w:r>
      <w:r w:rsidR="00456789" w:rsidRPr="00D874C4">
        <w:rPr>
          <w:sz w:val="20"/>
        </w:rPr>
        <w:t xml:space="preserve"> According to the petitioners, counsel was inadequate and inexperienced and ignored the advice of an experienced mitigation specialist. The State asserts that trial counsel conducted a thorough investigation and that Mr. Mitchell was examined by a team of experts.</w:t>
      </w:r>
    </w:p>
    <w:p w:rsidR="00750201" w:rsidRPr="00D874C4" w:rsidRDefault="00456789" w:rsidP="0045678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s>
        <w:autoSpaceDE w:val="0"/>
        <w:autoSpaceDN w:val="0"/>
        <w:adjustRightInd w:val="0"/>
        <w:ind w:left="0"/>
        <w:jc w:val="both"/>
        <w:rPr>
          <w:sz w:val="20"/>
        </w:rPr>
      </w:pPr>
      <w:r w:rsidRPr="00D874C4">
        <w:rPr>
          <w:sz w:val="20"/>
        </w:rPr>
        <w:t xml:space="preserve"> </w:t>
      </w:r>
    </w:p>
    <w:p w:rsidR="00750201" w:rsidRPr="00D874C4" w:rsidRDefault="00750201" w:rsidP="0045678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 xml:space="preserve">The IACHR notes that the information on the record shows that </w:t>
      </w:r>
      <w:r w:rsidR="002D13B3" w:rsidRPr="00D874C4">
        <w:rPr>
          <w:sz w:val="20"/>
        </w:rPr>
        <w:t>Mr. Mitchell was represented at trial by two federal public defenders and an attorney in private practice who joined the defense team several months later</w:t>
      </w:r>
      <w:r w:rsidRPr="00D874C4">
        <w:rPr>
          <w:sz w:val="20"/>
        </w:rPr>
        <w:t>.</w:t>
      </w:r>
      <w:r w:rsidR="002D13B3" w:rsidRPr="00D874C4">
        <w:rPr>
          <w:sz w:val="20"/>
        </w:rPr>
        <w:t xml:space="preserve"> The public defender </w:t>
      </w:r>
      <w:r w:rsidR="00A80EB0" w:rsidRPr="00D874C4">
        <w:rPr>
          <w:sz w:val="20"/>
        </w:rPr>
        <w:t xml:space="preserve">in </w:t>
      </w:r>
      <w:r w:rsidR="009A199B" w:rsidRPr="00D874C4">
        <w:rPr>
          <w:sz w:val="20"/>
        </w:rPr>
        <w:t>charge</w:t>
      </w:r>
      <w:r w:rsidR="00A80EB0" w:rsidRPr="00D874C4">
        <w:rPr>
          <w:sz w:val="20"/>
        </w:rPr>
        <w:t xml:space="preserve"> of</w:t>
      </w:r>
      <w:r w:rsidR="002D13B3" w:rsidRPr="00D874C4">
        <w:rPr>
          <w:sz w:val="20"/>
        </w:rPr>
        <w:t xml:space="preserve"> the guilt phase had no prior experience in federal capital cases. The other public attorney, who focused on the penalty phase and was primarily responsible for developing mitigation, had not tried a murder case and had no capital litigation experience. </w:t>
      </w:r>
      <w:r w:rsidRPr="00D874C4">
        <w:rPr>
          <w:sz w:val="20"/>
        </w:rPr>
        <w:t xml:space="preserve"> </w:t>
      </w:r>
    </w:p>
    <w:p w:rsidR="000A545A" w:rsidRPr="00D874C4" w:rsidRDefault="000A545A" w:rsidP="000A545A">
      <w:pPr>
        <w:pStyle w:val="ListParagraph"/>
        <w:rPr>
          <w:sz w:val="20"/>
        </w:rPr>
      </w:pPr>
    </w:p>
    <w:p w:rsidR="00072C1A" w:rsidRPr="00D874C4" w:rsidRDefault="00072C1A" w:rsidP="0045678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 xml:space="preserve">According to the record before the Commission, Mr. Mitchell </w:t>
      </w:r>
      <w:r w:rsidR="00863533" w:rsidRPr="00D874C4">
        <w:rPr>
          <w:sz w:val="20"/>
        </w:rPr>
        <w:t xml:space="preserve">stated </w:t>
      </w:r>
      <w:r w:rsidRPr="00D874C4">
        <w:rPr>
          <w:sz w:val="20"/>
        </w:rPr>
        <w:t xml:space="preserve">to his defense attorneys that he was sober at the time of the crimes. In post-conviction, the district court concluded that the choice not to present a voluntary intoxication defense was reasonable given the lack of evidentiary support. </w:t>
      </w:r>
    </w:p>
    <w:p w:rsidR="00072C1A" w:rsidRPr="00D874C4" w:rsidRDefault="00072C1A" w:rsidP="00072C1A">
      <w:pPr>
        <w:pStyle w:val="ListParagraph"/>
        <w:rPr>
          <w:sz w:val="20"/>
        </w:rPr>
      </w:pPr>
    </w:p>
    <w:p w:rsidR="00072C1A" w:rsidRPr="00D874C4" w:rsidRDefault="00072C1A" w:rsidP="00CE5B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lastRenderedPageBreak/>
        <w:t>The information available shows, however, that</w:t>
      </w:r>
      <w:r w:rsidR="000A545A" w:rsidRPr="00D874C4">
        <w:rPr>
          <w:sz w:val="20"/>
        </w:rPr>
        <w:t xml:space="preserve"> Mr. Mitchell gave a recorded statement to FBI and Navajo Nation investigators during which he repeatedly claimed to have been drinking </w:t>
      </w:r>
      <w:r w:rsidRPr="00D874C4">
        <w:rPr>
          <w:sz w:val="20"/>
        </w:rPr>
        <w:t xml:space="preserve">at the time of the murders </w:t>
      </w:r>
      <w:r w:rsidR="000A545A" w:rsidRPr="00D874C4">
        <w:rPr>
          <w:sz w:val="20"/>
        </w:rPr>
        <w:t xml:space="preserve">and said he “blackened out” at times while in the truck. The next day, at the crime scene, he claimed </w:t>
      </w:r>
      <w:r w:rsidRPr="00D874C4">
        <w:rPr>
          <w:sz w:val="20"/>
        </w:rPr>
        <w:t xml:space="preserve">again </w:t>
      </w:r>
      <w:r w:rsidR="000A545A" w:rsidRPr="00D874C4">
        <w:rPr>
          <w:sz w:val="20"/>
        </w:rPr>
        <w:t>that he was drunk at the time of the murder. In a statement several weeks later</w:t>
      </w:r>
      <w:r w:rsidR="006232F9">
        <w:rPr>
          <w:sz w:val="20"/>
        </w:rPr>
        <w:t>,</w:t>
      </w:r>
      <w:r w:rsidR="000A545A" w:rsidRPr="00D874C4">
        <w:rPr>
          <w:sz w:val="20"/>
        </w:rPr>
        <w:t xml:space="preserve"> he asserted that he had consumed alcohol prior to going to Gallup and bough more liquor once there. </w:t>
      </w:r>
      <w:r w:rsidRPr="00D874C4">
        <w:rPr>
          <w:rFonts w:asciiTheme="majorHAnsi" w:hAnsiTheme="majorHAnsi"/>
          <w:sz w:val="20"/>
          <w:szCs w:val="20"/>
        </w:rPr>
        <w:t>Further, a</w:t>
      </w:r>
      <w:r w:rsidR="008E135A" w:rsidRPr="00D874C4">
        <w:rPr>
          <w:rFonts w:asciiTheme="majorHAnsi" w:hAnsiTheme="majorHAnsi"/>
          <w:sz w:val="20"/>
          <w:szCs w:val="20"/>
        </w:rPr>
        <w:t xml:space="preserve"> mitigation specialist hired by the defense team asserted that there was substantial evidence that Mr. Mitchell was drunk and high on drugs at the time of the killings. </w:t>
      </w:r>
    </w:p>
    <w:p w:rsidR="00072C1A" w:rsidRPr="00D874C4" w:rsidRDefault="00072C1A" w:rsidP="00072C1A">
      <w:pPr>
        <w:pStyle w:val="ListParagraph"/>
        <w:rPr>
          <w:sz w:val="20"/>
        </w:rPr>
      </w:pPr>
    </w:p>
    <w:p w:rsidR="008E135A" w:rsidRPr="00D874C4" w:rsidRDefault="008E135A" w:rsidP="00CE5B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 xml:space="preserve">Prior to trial, the defense requested that the district court instruct the jury to consider evidence of intoxication but did not request an instruction on impaired capacity as a mitigating factor in the penalty phase. </w:t>
      </w:r>
      <w:r w:rsidRPr="00D874C4">
        <w:rPr>
          <w:rFonts w:asciiTheme="majorHAnsi" w:hAnsiTheme="majorHAnsi"/>
          <w:sz w:val="20"/>
          <w:szCs w:val="20"/>
        </w:rPr>
        <w:t>The defense team opted against an intoxication defense because it considered that there was little supporting evidence and because it would have contradicted the</w:t>
      </w:r>
      <w:r w:rsidR="003A6C48" w:rsidRPr="00D874C4">
        <w:rPr>
          <w:rFonts w:asciiTheme="majorHAnsi" w:hAnsiTheme="majorHAnsi"/>
          <w:sz w:val="20"/>
          <w:szCs w:val="20"/>
        </w:rPr>
        <w:t>ir argument that</w:t>
      </w:r>
      <w:r w:rsidRPr="00D874C4">
        <w:rPr>
          <w:rFonts w:asciiTheme="majorHAnsi" w:hAnsiTheme="majorHAnsi"/>
          <w:sz w:val="20"/>
          <w:szCs w:val="20"/>
        </w:rPr>
        <w:t xml:space="preserve"> Mr. Mitchell “was a good person led astray under circumstances” and that the co-defendant was the impetus for the violence.</w:t>
      </w:r>
      <w:r w:rsidR="00491FD5" w:rsidRPr="00D874C4">
        <w:rPr>
          <w:sz w:val="20"/>
        </w:rPr>
        <w:t xml:space="preserve"> During the penalty phase, an FBI agent testified and noted that Mr. Mitchell claimed to have been drinking heavily at the time of the murders.</w:t>
      </w:r>
    </w:p>
    <w:p w:rsidR="008E135A" w:rsidRPr="00D874C4" w:rsidRDefault="008E135A" w:rsidP="008E135A">
      <w:pPr>
        <w:pStyle w:val="ListParagraph"/>
        <w:rPr>
          <w:sz w:val="20"/>
        </w:rPr>
      </w:pPr>
    </w:p>
    <w:p w:rsidR="00864B30" w:rsidRPr="00D874C4" w:rsidRDefault="00787D68" w:rsidP="00864B3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Therefore, t</w:t>
      </w:r>
      <w:r w:rsidR="00491FD5" w:rsidRPr="00D874C4">
        <w:rPr>
          <w:sz w:val="20"/>
        </w:rPr>
        <w:t>he IACHR notes that</w:t>
      </w:r>
      <w:r w:rsidR="008E135A" w:rsidRPr="00D874C4">
        <w:rPr>
          <w:sz w:val="20"/>
        </w:rPr>
        <w:t>, despite available in</w:t>
      </w:r>
      <w:r w:rsidR="006C3E5E" w:rsidRPr="00D874C4">
        <w:rPr>
          <w:sz w:val="20"/>
        </w:rPr>
        <w:t xml:space="preserve">formation regarding Mr. Mitchell’s intoxication at the time of the murders, the defense chose </w:t>
      </w:r>
      <w:r w:rsidRPr="00D874C4">
        <w:rPr>
          <w:sz w:val="20"/>
        </w:rPr>
        <w:t>neither</w:t>
      </w:r>
      <w:r w:rsidR="006C3E5E" w:rsidRPr="00D874C4">
        <w:rPr>
          <w:sz w:val="20"/>
        </w:rPr>
        <w:t xml:space="preserve"> to follow an intoxication defense </w:t>
      </w:r>
      <w:r w:rsidRPr="00D874C4">
        <w:rPr>
          <w:sz w:val="20"/>
        </w:rPr>
        <w:t>nor to</w:t>
      </w:r>
      <w:r w:rsidR="006C3E5E" w:rsidRPr="00D874C4">
        <w:rPr>
          <w:sz w:val="20"/>
        </w:rPr>
        <w:t xml:space="preserve"> request a jury’s instruction on impaired capacity as a mitigating factor. This, despite the advice of a mitigation specialist with extensive experience working with death penalty cases and with Native American clients. The C</w:t>
      </w:r>
      <w:r w:rsidRPr="00D874C4">
        <w:rPr>
          <w:sz w:val="20"/>
        </w:rPr>
        <w:t>ommission also notes that, i</w:t>
      </w:r>
      <w:r w:rsidR="006C3E5E" w:rsidRPr="00D874C4">
        <w:rPr>
          <w:sz w:val="20"/>
        </w:rPr>
        <w:t xml:space="preserve">n pressing for the trial option and opting out of using the federal death penalty, the representatives </w:t>
      </w:r>
      <w:r w:rsidRPr="00D874C4">
        <w:rPr>
          <w:sz w:val="20"/>
        </w:rPr>
        <w:t>of the Navajo Nation explained to Congress that the vast majority of major crimes committed on the Navajo Nation and within other Indian reservations are precipitated by the abuse of alcohol.</w:t>
      </w:r>
    </w:p>
    <w:p w:rsidR="00864B30" w:rsidRPr="00D874C4" w:rsidRDefault="00864B30" w:rsidP="00864B30">
      <w:pPr>
        <w:pStyle w:val="ListParagraph"/>
        <w:rPr>
          <w:sz w:val="20"/>
        </w:rPr>
      </w:pPr>
    </w:p>
    <w:p w:rsidR="00750201" w:rsidRPr="00D874C4" w:rsidRDefault="00750201" w:rsidP="00CE5B6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 w:val="left" w:pos="540"/>
        </w:tabs>
        <w:autoSpaceDE w:val="0"/>
        <w:autoSpaceDN w:val="0"/>
        <w:adjustRightInd w:val="0"/>
        <w:ind w:left="0" w:firstLine="0"/>
        <w:jc w:val="both"/>
        <w:rPr>
          <w:sz w:val="20"/>
          <w:szCs w:val="20"/>
        </w:rPr>
      </w:pPr>
      <w:r w:rsidRPr="00D874C4">
        <w:rPr>
          <w:sz w:val="20"/>
        </w:rPr>
        <w:t>Given the strict scrutiny applied in death penalty cases and the interests at stake, th</w:t>
      </w:r>
      <w:r w:rsidR="00015841" w:rsidRPr="00D874C4">
        <w:rPr>
          <w:sz w:val="20"/>
        </w:rPr>
        <w:t>is</w:t>
      </w:r>
      <w:r w:rsidRPr="00D874C4">
        <w:rPr>
          <w:sz w:val="20"/>
        </w:rPr>
        <w:t xml:space="preserve"> </w:t>
      </w:r>
      <w:r w:rsidR="00072C1A" w:rsidRPr="00D874C4">
        <w:rPr>
          <w:sz w:val="20"/>
        </w:rPr>
        <w:t xml:space="preserve">readily available </w:t>
      </w:r>
      <w:r w:rsidR="00015841" w:rsidRPr="00D874C4">
        <w:rPr>
          <w:sz w:val="20"/>
        </w:rPr>
        <w:t xml:space="preserve">evidence and the </w:t>
      </w:r>
      <w:r w:rsidRPr="00D874C4">
        <w:rPr>
          <w:sz w:val="20"/>
        </w:rPr>
        <w:t>sole possibility of a different outcome</w:t>
      </w:r>
      <w:r w:rsidR="006E79CA" w:rsidRPr="00D874C4">
        <w:rPr>
          <w:sz w:val="20"/>
        </w:rPr>
        <w:t xml:space="preserve"> if an intoxication defense had been raised,</w:t>
      </w:r>
      <w:r w:rsidRPr="00D874C4">
        <w:rPr>
          <w:sz w:val="20"/>
        </w:rPr>
        <w:t xml:space="preserve"> warrants that such failure should have been corrected by the courts. </w:t>
      </w:r>
      <w:r w:rsidR="00864B30" w:rsidRPr="00D874C4">
        <w:rPr>
          <w:sz w:val="20"/>
        </w:rPr>
        <w:t>Further</w:t>
      </w:r>
      <w:r w:rsidR="00BC667C" w:rsidRPr="00D874C4">
        <w:rPr>
          <w:sz w:val="20"/>
        </w:rPr>
        <w:t>, the</w:t>
      </w:r>
      <w:r w:rsidR="00864B30" w:rsidRPr="00D874C4">
        <w:rPr>
          <w:sz w:val="20"/>
        </w:rPr>
        <w:t xml:space="preserve"> IACHR finds that the</w:t>
      </w:r>
      <w:r w:rsidR="00BC667C" w:rsidRPr="00D874C4">
        <w:rPr>
          <w:sz w:val="20"/>
        </w:rPr>
        <w:t xml:space="preserve"> fact that the only public defender in charge of the penalty phase, who had never tried a murder case, did not request an instruction on impaired capacity as a mitigating facto</w:t>
      </w:r>
      <w:r w:rsidR="00532D26" w:rsidRPr="00D874C4">
        <w:rPr>
          <w:sz w:val="20"/>
        </w:rPr>
        <w:t xml:space="preserve">r, </w:t>
      </w:r>
      <w:r w:rsidR="00864B30" w:rsidRPr="00D874C4">
        <w:rPr>
          <w:sz w:val="20"/>
        </w:rPr>
        <w:t>was a breach</w:t>
      </w:r>
      <w:r w:rsidR="00532D26" w:rsidRPr="00D874C4">
        <w:rPr>
          <w:sz w:val="20"/>
        </w:rPr>
        <w:t xml:space="preserve"> to</w:t>
      </w:r>
      <w:r w:rsidR="00864B30" w:rsidRPr="00D874C4">
        <w:rPr>
          <w:sz w:val="20"/>
        </w:rPr>
        <w:t xml:space="preserve"> </w:t>
      </w:r>
      <w:r w:rsidR="00E13922" w:rsidRPr="00D874C4">
        <w:rPr>
          <w:sz w:val="20"/>
        </w:rPr>
        <w:t xml:space="preserve">the fundamental due process </w:t>
      </w:r>
      <w:r w:rsidR="00864B30" w:rsidRPr="00D874C4">
        <w:rPr>
          <w:rFonts w:cs="Arial"/>
          <w:sz w:val="20"/>
          <w:szCs w:val="20"/>
        </w:rPr>
        <w:t xml:space="preserve">and fair trial </w:t>
      </w:r>
      <w:r w:rsidR="00E13922" w:rsidRPr="00D874C4">
        <w:rPr>
          <w:sz w:val="20"/>
        </w:rPr>
        <w:t>requirements for capital trials</w:t>
      </w:r>
      <w:r w:rsidR="00864B30" w:rsidRPr="00D874C4">
        <w:rPr>
          <w:sz w:val="20"/>
        </w:rPr>
        <w:t xml:space="preserve">. </w:t>
      </w:r>
      <w:r w:rsidRPr="00D874C4">
        <w:rPr>
          <w:sz w:val="20"/>
          <w:szCs w:val="20"/>
        </w:rPr>
        <w:t xml:space="preserve">Considering that </w:t>
      </w:r>
      <w:r w:rsidRPr="00D874C4">
        <w:rPr>
          <w:rFonts w:cs="Arial"/>
          <w:sz w:val="20"/>
          <w:szCs w:val="20"/>
        </w:rPr>
        <w:t>the</w:t>
      </w:r>
      <w:r w:rsidR="00864B30" w:rsidRPr="00D874C4">
        <w:rPr>
          <w:rFonts w:cs="Arial"/>
          <w:sz w:val="20"/>
          <w:szCs w:val="20"/>
        </w:rPr>
        <w:t>se</w:t>
      </w:r>
      <w:r w:rsidRPr="00D874C4">
        <w:rPr>
          <w:rFonts w:cs="Arial"/>
          <w:sz w:val="20"/>
          <w:szCs w:val="20"/>
        </w:rPr>
        <w:t xml:space="preserve"> requirements</w:t>
      </w:r>
      <w:r w:rsidR="00DD3979" w:rsidRPr="00D874C4">
        <w:rPr>
          <w:rFonts w:cs="Arial"/>
          <w:sz w:val="20"/>
          <w:szCs w:val="20"/>
        </w:rPr>
        <w:t xml:space="preserve">, as </w:t>
      </w:r>
      <w:r w:rsidR="00015576" w:rsidRPr="00D874C4">
        <w:rPr>
          <w:rFonts w:cs="Arial"/>
          <w:sz w:val="20"/>
          <w:szCs w:val="20"/>
        </w:rPr>
        <w:t>determined</w:t>
      </w:r>
      <w:r w:rsidR="00DD3979" w:rsidRPr="00D874C4">
        <w:rPr>
          <w:rFonts w:cs="Arial"/>
          <w:sz w:val="20"/>
          <w:szCs w:val="20"/>
        </w:rPr>
        <w:t xml:space="preserve"> by this Commission in similar cases,</w:t>
      </w:r>
      <w:r w:rsidR="00DA1C1D" w:rsidRPr="00D874C4">
        <w:rPr>
          <w:rStyle w:val="FootnoteReference"/>
          <w:sz w:val="20"/>
          <w:szCs w:val="20"/>
        </w:rPr>
        <w:footnoteReference w:id="83"/>
      </w:r>
      <w:r w:rsidRPr="00D874C4">
        <w:rPr>
          <w:rFonts w:cs="Arial"/>
          <w:sz w:val="20"/>
          <w:szCs w:val="20"/>
        </w:rPr>
        <w:t xml:space="preserve"> include the obligation to afford adequate legal representation</w:t>
      </w:r>
      <w:r w:rsidR="00BC667C" w:rsidRPr="00D874C4">
        <w:rPr>
          <w:rFonts w:cs="Arial"/>
          <w:sz w:val="20"/>
          <w:szCs w:val="20"/>
        </w:rPr>
        <w:t>,</w:t>
      </w:r>
      <w:r w:rsidRPr="00D874C4">
        <w:rPr>
          <w:rFonts w:cs="Arial"/>
          <w:sz w:val="20"/>
          <w:szCs w:val="20"/>
        </w:rPr>
        <w:t xml:space="preserve"> the Inter-American Commission concludes that the United States violated Mr. </w:t>
      </w:r>
      <w:r w:rsidR="004E57AE" w:rsidRPr="00D874C4">
        <w:rPr>
          <w:rFonts w:cs="Arial"/>
          <w:sz w:val="20"/>
          <w:szCs w:val="20"/>
        </w:rPr>
        <w:t>Mitchell</w:t>
      </w:r>
      <w:r w:rsidRPr="00D874C4">
        <w:rPr>
          <w:rFonts w:cs="Arial"/>
          <w:sz w:val="20"/>
          <w:szCs w:val="20"/>
        </w:rPr>
        <w:t xml:space="preserve">’s right to due process and to a fair trial under Articles XVIII and XXVI of the American Declaration. The Commission also concludes that Mr. </w:t>
      </w:r>
      <w:r w:rsidR="004E57AE" w:rsidRPr="00D874C4">
        <w:rPr>
          <w:rFonts w:cs="Arial"/>
          <w:sz w:val="20"/>
          <w:szCs w:val="20"/>
        </w:rPr>
        <w:t>Mitchell</w:t>
      </w:r>
      <w:r w:rsidRPr="00D874C4">
        <w:rPr>
          <w:rFonts w:cs="Arial"/>
          <w:sz w:val="20"/>
          <w:szCs w:val="20"/>
        </w:rPr>
        <w:t xml:space="preserve"> lacked an effective remedy to assert his claim</w:t>
      </w:r>
      <w:r w:rsidR="00015841" w:rsidRPr="00D874C4">
        <w:rPr>
          <w:rFonts w:cs="Arial"/>
          <w:sz w:val="20"/>
          <w:szCs w:val="20"/>
        </w:rPr>
        <w:t>.</w:t>
      </w:r>
      <w:r w:rsidRPr="00D874C4">
        <w:rPr>
          <w:rFonts w:cs="Arial"/>
          <w:sz w:val="20"/>
          <w:szCs w:val="20"/>
        </w:rPr>
        <w:t xml:space="preserve"> </w:t>
      </w:r>
    </w:p>
    <w:p w:rsidR="009E5841" w:rsidRPr="00D874C4" w:rsidRDefault="009E5841" w:rsidP="009E5841">
      <w:pPr>
        <w:pStyle w:val="NormalWeb"/>
        <w:shd w:val="clear" w:color="auto" w:fill="FFFFFF"/>
        <w:tabs>
          <w:tab w:val="left" w:pos="360"/>
          <w:tab w:val="left" w:pos="540"/>
        </w:tabs>
        <w:spacing w:before="0" w:beforeAutospacing="0" w:after="0" w:afterAutospacing="0"/>
        <w:jc w:val="both"/>
        <w:rPr>
          <w:rFonts w:ascii="Cambria" w:hAnsi="Cambria"/>
          <w:sz w:val="20"/>
          <w:szCs w:val="20"/>
        </w:rPr>
      </w:pPr>
    </w:p>
    <w:p w:rsidR="00E32AC0" w:rsidRPr="00D874C4" w:rsidRDefault="00E32AC0" w:rsidP="00E32AC0">
      <w:pPr>
        <w:pStyle w:val="Heading3"/>
        <w:numPr>
          <w:ilvl w:val="1"/>
          <w:numId w:val="53"/>
        </w:numPr>
        <w:spacing w:before="0"/>
        <w:ind w:left="360"/>
        <w:rPr>
          <w:color w:val="auto"/>
          <w:sz w:val="20"/>
          <w:szCs w:val="20"/>
        </w:rPr>
      </w:pPr>
      <w:bookmarkStart w:id="63" w:name="_Toc26550935"/>
      <w:bookmarkStart w:id="64" w:name="_Toc44016001"/>
      <w:bookmarkStart w:id="65" w:name="_Toc49161075"/>
      <w:r w:rsidRPr="00D874C4">
        <w:rPr>
          <w:color w:val="auto"/>
          <w:sz w:val="20"/>
          <w:szCs w:val="20"/>
        </w:rPr>
        <w:t>Access to effective remedies</w:t>
      </w:r>
      <w:bookmarkEnd w:id="63"/>
      <w:bookmarkEnd w:id="64"/>
      <w:bookmarkEnd w:id="65"/>
    </w:p>
    <w:p w:rsidR="00E32AC0" w:rsidRPr="00D874C4" w:rsidRDefault="00E32AC0" w:rsidP="009E5841">
      <w:pPr>
        <w:pStyle w:val="NormalWeb"/>
        <w:shd w:val="clear" w:color="auto" w:fill="FFFFFF"/>
        <w:tabs>
          <w:tab w:val="left" w:pos="360"/>
          <w:tab w:val="left" w:pos="540"/>
        </w:tabs>
        <w:spacing w:before="0" w:beforeAutospacing="0" w:after="0" w:afterAutospacing="0"/>
        <w:jc w:val="both"/>
        <w:rPr>
          <w:rFonts w:ascii="Cambria" w:hAnsi="Cambria"/>
          <w:sz w:val="20"/>
          <w:szCs w:val="20"/>
        </w:rPr>
      </w:pPr>
    </w:p>
    <w:p w:rsidR="00E32AC0" w:rsidRPr="00D874C4" w:rsidRDefault="00E32AC0" w:rsidP="00E32A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rPr>
      </w:pPr>
      <w:r w:rsidRPr="00D874C4">
        <w:rPr>
          <w:rFonts w:ascii="Cambria" w:hAnsi="Cambria"/>
          <w:sz w:val="20"/>
        </w:rPr>
        <w:t>The right to appeal a sentence is a fundamental guarantee of due process for avoiding the consolidation of an injustice.  In that regard, the IACHR has stated that “due process guarantees should also be interpreted to include a right of effective review or appeal from a determination that the death penalty is an appropriate sentence in a given case.”</w:t>
      </w:r>
      <w:r w:rsidRPr="00D874C4">
        <w:rPr>
          <w:rStyle w:val="FootnoteReference"/>
          <w:rFonts w:ascii="Cambria" w:hAnsi="Cambria"/>
          <w:sz w:val="20"/>
        </w:rPr>
        <w:footnoteReference w:id="84"/>
      </w:r>
      <w:r w:rsidRPr="00D874C4">
        <w:rPr>
          <w:rFonts w:ascii="Cambria" w:hAnsi="Cambria"/>
          <w:sz w:val="20"/>
        </w:rPr>
        <w:t xml:space="preserve"> </w:t>
      </w:r>
    </w:p>
    <w:p w:rsidR="00E32AC0" w:rsidRPr="00D874C4" w:rsidRDefault="00E32AC0" w:rsidP="00E32AC0">
      <w:pPr>
        <w:pStyle w:val="ListParagraph"/>
        <w:tabs>
          <w:tab w:val="left" w:pos="720"/>
        </w:tabs>
        <w:rPr>
          <w:sz w:val="20"/>
        </w:rPr>
      </w:pPr>
    </w:p>
    <w:p w:rsidR="00E32AC0" w:rsidRPr="00D874C4" w:rsidRDefault="00E32AC0" w:rsidP="00E32A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rPr>
      </w:pPr>
      <w:r w:rsidRPr="00D874C4">
        <w:rPr>
          <w:rFonts w:ascii="Cambria" w:hAnsi="Cambria"/>
          <w:sz w:val="20"/>
        </w:rPr>
        <w:t xml:space="preserve">According to </w:t>
      </w:r>
      <w:r w:rsidR="0044162C" w:rsidRPr="00D874C4">
        <w:rPr>
          <w:rFonts w:ascii="Cambria" w:hAnsi="Cambria"/>
          <w:sz w:val="20"/>
        </w:rPr>
        <w:t>the standards developed by the i</w:t>
      </w:r>
      <w:r w:rsidRPr="00D874C4">
        <w:rPr>
          <w:rFonts w:ascii="Cambria" w:hAnsi="Cambria"/>
          <w:sz w:val="20"/>
        </w:rPr>
        <w:t>nter-American human rights system, a remedy must be effective, i.e., it must provide results or responses consistent with the objectives that it was intended to serve, which is to avoid the consolidation of an unjust situation.</w:t>
      </w:r>
      <w:r w:rsidRPr="00D874C4">
        <w:rPr>
          <w:rStyle w:val="FootnoteReference"/>
          <w:rFonts w:ascii="Cambria" w:hAnsi="Cambria"/>
          <w:sz w:val="20"/>
        </w:rPr>
        <w:footnoteReference w:id="85"/>
      </w:r>
      <w:r w:rsidRPr="00D874C4">
        <w:rPr>
          <w:rFonts w:ascii="Cambria" w:hAnsi="Cambria"/>
          <w:sz w:val="20"/>
        </w:rPr>
        <w:t xml:space="preserve"> The efficacy of a remedy is closely linked to the scope of the review. Judicial error is not confined to the application of the law, but may occur in other aspects of the process such as the determination of the facts or the weighing of evidence.</w:t>
      </w:r>
      <w:r w:rsidRPr="00D874C4">
        <w:rPr>
          <w:rStyle w:val="FootnoteReference"/>
          <w:rFonts w:ascii="Cambria" w:hAnsi="Cambria"/>
          <w:sz w:val="20"/>
        </w:rPr>
        <w:footnoteReference w:id="86"/>
      </w:r>
      <w:r w:rsidRPr="00D874C4">
        <w:rPr>
          <w:rFonts w:ascii="Cambria" w:hAnsi="Cambria"/>
          <w:sz w:val="20"/>
        </w:rPr>
        <w:t xml:space="preserve"> Hence, the remedy of appeal </w:t>
      </w:r>
      <w:r w:rsidRPr="00D874C4">
        <w:rPr>
          <w:rFonts w:ascii="Cambria" w:hAnsi="Cambria"/>
          <w:sz w:val="20"/>
        </w:rPr>
        <w:lastRenderedPageBreak/>
        <w:t xml:space="preserve">will be effective in accomplishing the purpose for which it was conceived if it makes a review of such issues possible without </w:t>
      </w:r>
      <w:r w:rsidRPr="00D874C4">
        <w:rPr>
          <w:rFonts w:ascii="Cambria" w:hAnsi="Cambria"/>
          <w:i/>
          <w:sz w:val="20"/>
        </w:rPr>
        <w:t>a priori</w:t>
      </w:r>
      <w:r w:rsidRPr="00D874C4">
        <w:rPr>
          <w:rFonts w:ascii="Cambria" w:hAnsi="Cambria"/>
          <w:sz w:val="20"/>
        </w:rPr>
        <w:t xml:space="preserve"> limiting that review to certain aspects of the court proceedings.</w:t>
      </w:r>
      <w:r w:rsidRPr="00D874C4">
        <w:rPr>
          <w:rStyle w:val="FootnoteReference"/>
          <w:rFonts w:ascii="Cambria" w:hAnsi="Cambria"/>
          <w:sz w:val="20"/>
        </w:rPr>
        <w:footnoteReference w:id="87"/>
      </w:r>
    </w:p>
    <w:p w:rsidR="00E32AC0" w:rsidRPr="00D874C4" w:rsidRDefault="00E32AC0" w:rsidP="00E32AC0">
      <w:pPr>
        <w:pStyle w:val="ListParagraph"/>
        <w:tabs>
          <w:tab w:val="left" w:pos="720"/>
        </w:tabs>
        <w:rPr>
          <w:sz w:val="20"/>
        </w:rPr>
      </w:pPr>
    </w:p>
    <w:p w:rsidR="00E32AC0" w:rsidRPr="00D874C4" w:rsidRDefault="00E32AC0" w:rsidP="00E32A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450"/>
          <w:tab w:val="left" w:pos="720"/>
        </w:tabs>
        <w:ind w:left="0" w:firstLine="0"/>
        <w:jc w:val="both"/>
        <w:rPr>
          <w:rFonts w:asciiTheme="majorHAnsi" w:hAnsiTheme="majorHAnsi" w:cs="Arial"/>
          <w:sz w:val="20"/>
          <w:szCs w:val="20"/>
        </w:rPr>
      </w:pPr>
      <w:r w:rsidRPr="00D874C4">
        <w:rPr>
          <w:rFonts w:ascii="Cambria" w:hAnsi="Cambria"/>
          <w:sz w:val="20"/>
        </w:rPr>
        <w:t>In this respect, the IACHR has considered that:</w:t>
      </w:r>
    </w:p>
    <w:p w:rsidR="00E32AC0" w:rsidRPr="00D874C4" w:rsidRDefault="00E32AC0" w:rsidP="00E32AC0">
      <w:pPr>
        <w:pStyle w:val="ListParagraph"/>
        <w:rPr>
          <w:sz w:val="20"/>
        </w:rPr>
      </w:pPr>
    </w:p>
    <w:p w:rsidR="00E32AC0" w:rsidRPr="00D874C4" w:rsidRDefault="00E32AC0" w:rsidP="00E32AC0">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360" w:right="360"/>
        <w:jc w:val="both"/>
        <w:rPr>
          <w:rFonts w:asciiTheme="majorHAnsi" w:hAnsiTheme="majorHAnsi" w:cs="Arial"/>
          <w:sz w:val="18"/>
          <w:szCs w:val="18"/>
        </w:rPr>
      </w:pPr>
      <w:r w:rsidRPr="00D874C4">
        <w:rPr>
          <w:rFonts w:ascii="Cambria" w:hAnsi="Cambria"/>
          <w:sz w:val="18"/>
          <w:szCs w:val="18"/>
        </w:rPr>
        <w:t>to guarantee the full right of defense, this remedy should include a material review of the interpretation of procedural rules that may have influenced the decision in the case when there has been an incurable nullity or where the right to defense was rendered ineffective, and also with respect to the interpretation of the rules on the weighing of evidence, whenever they have led to an erroneous application or non-application of those rules.</w:t>
      </w:r>
      <w:r w:rsidRPr="00D874C4">
        <w:rPr>
          <w:rStyle w:val="FootnoteReference"/>
          <w:rFonts w:ascii="Cambria" w:hAnsi="Cambria"/>
          <w:sz w:val="18"/>
          <w:szCs w:val="18"/>
        </w:rPr>
        <w:footnoteReference w:id="88"/>
      </w:r>
    </w:p>
    <w:p w:rsidR="00E32AC0" w:rsidRPr="00D874C4" w:rsidRDefault="00E32AC0" w:rsidP="00E32AC0">
      <w:pPr>
        <w:pStyle w:val="ListParagraph"/>
        <w:rPr>
          <w:sz w:val="20"/>
        </w:rPr>
      </w:pPr>
    </w:p>
    <w:p w:rsidR="00E32AC0" w:rsidRPr="00D874C4" w:rsidRDefault="00E32AC0" w:rsidP="00E32A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rPr>
      </w:pPr>
      <w:r w:rsidRPr="00D874C4">
        <w:rPr>
          <w:rFonts w:ascii="Cambria" w:hAnsi="Cambria"/>
          <w:sz w:val="20"/>
        </w:rPr>
        <w:t>With respect to the accessibility</w:t>
      </w:r>
      <w:r w:rsidRPr="00D874C4">
        <w:rPr>
          <w:rFonts w:ascii="Cambria" w:hAnsi="Cambria"/>
          <w:i/>
          <w:sz w:val="20"/>
        </w:rPr>
        <w:t xml:space="preserve"> </w:t>
      </w:r>
      <w:r w:rsidRPr="00D874C4">
        <w:rPr>
          <w:rFonts w:ascii="Cambria" w:hAnsi="Cambria"/>
          <w:sz w:val="20"/>
        </w:rPr>
        <w:t>of the remedy, the Commission has considered that, in principle, the regulation of some minimum requirements for the presentation of the appeal is not incompatible with the right to appeal. Some of these requirements are, for example, the presentation of the appeal itself or the regulation of a reasonable period within which it must be filed.</w:t>
      </w:r>
      <w:r w:rsidRPr="00D874C4">
        <w:rPr>
          <w:rStyle w:val="FootnoteReference"/>
          <w:rFonts w:ascii="Cambria" w:hAnsi="Cambria"/>
          <w:sz w:val="20"/>
        </w:rPr>
        <w:footnoteReference w:id="89"/>
      </w:r>
      <w:r w:rsidRPr="00D874C4">
        <w:rPr>
          <w:rFonts w:ascii="Cambria" w:hAnsi="Cambria"/>
          <w:sz w:val="20"/>
        </w:rPr>
        <w:t xml:space="preserve"> However, in some circumstances, rejection of appeals based on failure to comply with formal requirements established by statute or defined in judicial practice may be a violation of the right to appeal a judgment.</w:t>
      </w:r>
      <w:r w:rsidRPr="00D874C4">
        <w:rPr>
          <w:rStyle w:val="FootnoteReference"/>
          <w:rFonts w:ascii="Cambria" w:hAnsi="Cambria"/>
          <w:sz w:val="20"/>
        </w:rPr>
        <w:footnoteReference w:id="90"/>
      </w:r>
    </w:p>
    <w:p w:rsidR="00303008" w:rsidRPr="00D874C4" w:rsidRDefault="00303008" w:rsidP="00303008">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jc w:val="both"/>
        <w:rPr>
          <w:rFonts w:asciiTheme="majorHAnsi" w:hAnsiTheme="majorHAnsi" w:cs="Arial"/>
          <w:sz w:val="20"/>
          <w:szCs w:val="20"/>
        </w:rPr>
      </w:pPr>
    </w:p>
    <w:p w:rsidR="00303008" w:rsidRPr="00D874C4" w:rsidRDefault="00303008" w:rsidP="00CD05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40"/>
          <w:tab w:val="left" w:pos="720"/>
        </w:tabs>
        <w:ind w:left="0" w:firstLine="0"/>
        <w:jc w:val="both"/>
        <w:rPr>
          <w:rFonts w:asciiTheme="majorHAnsi" w:hAnsiTheme="majorHAnsi" w:cs="Arial"/>
          <w:sz w:val="20"/>
          <w:szCs w:val="20"/>
        </w:rPr>
      </w:pPr>
      <w:r w:rsidRPr="00D874C4">
        <w:rPr>
          <w:rFonts w:ascii="Cambria" w:hAnsi="Cambria"/>
          <w:sz w:val="20"/>
        </w:rPr>
        <w:t xml:space="preserve">As established in the findings of fact, </w:t>
      </w:r>
      <w:r w:rsidR="00A32ECD" w:rsidRPr="00D874C4">
        <w:rPr>
          <w:rFonts w:ascii="Cambria" w:hAnsi="Cambria"/>
          <w:sz w:val="20"/>
        </w:rPr>
        <w:t>after exhausting his direct appeal, Mr. Mitchell filed a motion to vacate his conviction and sentence, raising several claims</w:t>
      </w:r>
      <w:r w:rsidR="00711D64" w:rsidRPr="00D874C4">
        <w:rPr>
          <w:rFonts w:ascii="Cambria" w:hAnsi="Cambria"/>
          <w:sz w:val="20"/>
        </w:rPr>
        <w:t>, among which ineffective assistance of counsel,</w:t>
      </w:r>
      <w:r w:rsidR="00A32ECD" w:rsidRPr="00D874C4">
        <w:rPr>
          <w:rFonts w:ascii="Cambria" w:hAnsi="Cambria"/>
          <w:sz w:val="20"/>
        </w:rPr>
        <w:t xml:space="preserve"> and requested an evidentiary hearing to contest factual issues relevant to his claims for relief. The district court, however, </w:t>
      </w:r>
      <w:r w:rsidR="00711D64" w:rsidRPr="00D874C4">
        <w:rPr>
          <w:rFonts w:ascii="Cambria" w:hAnsi="Cambria"/>
          <w:sz w:val="20"/>
        </w:rPr>
        <w:t xml:space="preserve">denied the motion and the request for the evidentiary hearing. </w:t>
      </w:r>
      <w:r w:rsidR="00711D64" w:rsidRPr="00D874C4">
        <w:rPr>
          <w:rStyle w:val="apple-style-span"/>
          <w:rFonts w:asciiTheme="majorHAnsi" w:hAnsiTheme="majorHAnsi" w:cs="Arial"/>
          <w:sz w:val="20"/>
          <w:szCs w:val="20"/>
        </w:rPr>
        <w:t xml:space="preserve">The Commission has already determined that the right of Mr. Mitchell to effective assistance of court-appointed counsel has been violated. Therefore, the IACHR finds that, given the specific interests at stake, the lack of access to an evidentiary hearing to address this claim in post-conviction review constitutes a violation of Mr. Mitchell’s right to an effective remedy. The Commission underscores in this regard that </w:t>
      </w:r>
      <w:r w:rsidR="00711D64" w:rsidRPr="00D874C4">
        <w:rPr>
          <w:rFonts w:ascii="Cambria" w:hAnsi="Cambria"/>
          <w:sz w:val="20"/>
        </w:rPr>
        <w:t>States have an enhanced obligation to ensure that any deprivation of life which may occur through the application of the death penalty is in strict compliance with the right to a timely, effective and accessible remedy.</w:t>
      </w:r>
      <w:r w:rsidR="00711D64" w:rsidRPr="00D874C4">
        <w:rPr>
          <w:rStyle w:val="FootnoteReference"/>
          <w:rFonts w:ascii="Cambria" w:hAnsi="Cambria"/>
          <w:sz w:val="20"/>
        </w:rPr>
        <w:footnoteReference w:id="91"/>
      </w:r>
    </w:p>
    <w:p w:rsidR="00E32AC0" w:rsidRPr="00D874C4" w:rsidRDefault="00E32AC0" w:rsidP="009E5841">
      <w:pPr>
        <w:pStyle w:val="NormalWeb"/>
        <w:shd w:val="clear" w:color="auto" w:fill="FFFFFF"/>
        <w:tabs>
          <w:tab w:val="left" w:pos="360"/>
          <w:tab w:val="left" w:pos="540"/>
        </w:tabs>
        <w:spacing w:before="0" w:beforeAutospacing="0" w:after="0" w:afterAutospacing="0"/>
        <w:jc w:val="both"/>
        <w:rPr>
          <w:rFonts w:ascii="Cambria" w:hAnsi="Cambria"/>
          <w:sz w:val="20"/>
          <w:szCs w:val="20"/>
        </w:rPr>
      </w:pPr>
    </w:p>
    <w:p w:rsidR="006B5C2E" w:rsidRPr="00D874C4" w:rsidRDefault="006B5C2E" w:rsidP="009C6457">
      <w:pPr>
        <w:pStyle w:val="Heading2"/>
        <w:numPr>
          <w:ilvl w:val="0"/>
          <w:numId w:val="61"/>
        </w:numPr>
        <w:tabs>
          <w:tab w:val="left" w:pos="360"/>
        </w:tabs>
        <w:spacing w:before="0"/>
        <w:ind w:left="0" w:firstLine="0"/>
        <w:jc w:val="both"/>
        <w:rPr>
          <w:color w:val="auto"/>
          <w:sz w:val="20"/>
          <w:szCs w:val="20"/>
        </w:rPr>
      </w:pPr>
      <w:bookmarkStart w:id="66" w:name="_Toc44016002"/>
      <w:bookmarkStart w:id="67" w:name="_Toc49161076"/>
      <w:bookmarkEnd w:id="44"/>
      <w:bookmarkEnd w:id="45"/>
      <w:r w:rsidRPr="00D874C4">
        <w:rPr>
          <w:color w:val="auto"/>
          <w:sz w:val="20"/>
          <w:szCs w:val="20"/>
        </w:rPr>
        <w:t>Right not to receive cruel, infamous or unusual punishment</w:t>
      </w:r>
      <w:bookmarkEnd w:id="66"/>
      <w:bookmarkEnd w:id="67"/>
      <w:r w:rsidRPr="00D874C4">
        <w:rPr>
          <w:color w:val="auto"/>
          <w:sz w:val="20"/>
          <w:szCs w:val="20"/>
        </w:rPr>
        <w:t xml:space="preserve"> </w:t>
      </w:r>
    </w:p>
    <w:p w:rsidR="00801C7F" w:rsidRPr="00D874C4" w:rsidRDefault="00801C7F" w:rsidP="00801C7F">
      <w:pPr>
        <w:tabs>
          <w:tab w:val="left" w:pos="360"/>
        </w:tabs>
        <w:rPr>
          <w:b/>
          <w:sz w:val="20"/>
          <w:szCs w:val="20"/>
        </w:rPr>
      </w:pPr>
    </w:p>
    <w:p w:rsidR="006B5C2E" w:rsidRPr="00D874C4" w:rsidRDefault="00801C7F" w:rsidP="00224AA7">
      <w:pPr>
        <w:pStyle w:val="Heading3"/>
        <w:numPr>
          <w:ilvl w:val="3"/>
          <w:numId w:val="53"/>
        </w:numPr>
        <w:spacing w:before="0"/>
        <w:ind w:left="360"/>
        <w:rPr>
          <w:color w:val="auto"/>
          <w:sz w:val="20"/>
          <w:szCs w:val="20"/>
        </w:rPr>
      </w:pPr>
      <w:bookmarkStart w:id="68" w:name="_Toc44016003"/>
      <w:bookmarkStart w:id="69" w:name="_Toc49161077"/>
      <w:r w:rsidRPr="00D874C4">
        <w:rPr>
          <w:color w:val="auto"/>
          <w:sz w:val="20"/>
          <w:szCs w:val="20"/>
        </w:rPr>
        <w:t>Method of execution</w:t>
      </w:r>
      <w:bookmarkEnd w:id="68"/>
      <w:bookmarkEnd w:id="69"/>
    </w:p>
    <w:p w:rsidR="00801C7F" w:rsidRPr="00D874C4" w:rsidRDefault="00801C7F" w:rsidP="00801C7F">
      <w:pPr>
        <w:pStyle w:val="ListParagraph"/>
        <w:tabs>
          <w:tab w:val="left" w:pos="360"/>
        </w:tabs>
        <w:ind w:left="0"/>
        <w:rPr>
          <w:b/>
          <w:sz w:val="20"/>
          <w:szCs w:val="20"/>
        </w:rPr>
      </w:pPr>
    </w:p>
    <w:p w:rsidR="005C7E23" w:rsidRPr="00D874C4" w:rsidRDefault="00F91540" w:rsidP="00AF3B7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t>In capital cases the State has an enhanced obligation to ensure that the person sentenced to death has access to all the relevant information regarding the manner in which he or she is going to die. In particular, the convicted person must have access to information related to the precise procedures to be followed, the drugs and doses to be used in case of executions by lethal injection, and the composition of the execution team as well as the training of its members.</w:t>
      </w:r>
      <w:r w:rsidRPr="00D874C4">
        <w:rPr>
          <w:rStyle w:val="FootnoteReference"/>
          <w:rFonts w:asciiTheme="majorHAnsi" w:eastAsia="Times New Roman" w:hAnsiTheme="majorHAnsi"/>
          <w:color w:val="auto"/>
          <w:sz w:val="20"/>
          <w:szCs w:val="20"/>
          <w:bdr w:val="none" w:sz="0" w:space="0" w:color="auto"/>
          <w:lang w:eastAsia="en-US"/>
        </w:rPr>
        <w:footnoteReference w:id="92"/>
      </w:r>
      <w:r w:rsidRPr="00D874C4">
        <w:rPr>
          <w:rStyle w:val="FootnoteReference"/>
          <w:rFonts w:asciiTheme="majorHAnsi" w:eastAsia="Times New Roman" w:hAnsiTheme="majorHAnsi"/>
          <w:color w:val="auto"/>
          <w:sz w:val="20"/>
          <w:szCs w:val="20"/>
          <w:bdr w:val="none" w:sz="0" w:space="0" w:color="auto"/>
          <w:lang w:eastAsia="en-US"/>
        </w:rPr>
        <w:t xml:space="preserve"> </w:t>
      </w:r>
      <w:r w:rsidRPr="00D874C4">
        <w:rPr>
          <w:sz w:val="20"/>
        </w:rPr>
        <w:t xml:space="preserve"> </w:t>
      </w:r>
    </w:p>
    <w:p w:rsidR="005C7E23" w:rsidRPr="00D874C4" w:rsidRDefault="005C7E23" w:rsidP="005C7E2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rsidR="005C7E23" w:rsidRPr="00D874C4" w:rsidRDefault="00F91540"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szCs w:val="20"/>
        </w:rPr>
        <w:t>Any person subjected to the death penalty must have the opportunity to challenge every aspect of the execution procedure and such information is necessary to file a challenge. The IACHR notes in this regard that the due process requirement is not limited to the conviction and post-conviction proceedings.</w:t>
      </w:r>
      <w:r w:rsidRPr="00D874C4">
        <w:rPr>
          <w:rStyle w:val="FootnoteReference"/>
          <w:rFonts w:asciiTheme="majorHAnsi" w:hAnsiTheme="majorHAnsi"/>
          <w:sz w:val="20"/>
          <w:szCs w:val="20"/>
        </w:rPr>
        <w:footnoteReference w:id="93"/>
      </w:r>
      <w:r w:rsidRPr="00D874C4">
        <w:rPr>
          <w:rStyle w:val="FootnoteReference"/>
          <w:rFonts w:asciiTheme="majorHAnsi" w:hAnsiTheme="majorHAnsi"/>
        </w:rPr>
        <w:t xml:space="preserve"> </w:t>
      </w:r>
      <w:r w:rsidRPr="00D874C4">
        <w:rPr>
          <w:sz w:val="20"/>
          <w:szCs w:val="20"/>
        </w:rPr>
        <w:t xml:space="preserve"> Therefore, the State has the duty to inform the person sentenced to death, in a timely manner, about the drug and method of execution that will be used, so he or she is not precluded from litigating the right to be executed in a manner devoid of cruel and unusual suffering.    </w:t>
      </w:r>
    </w:p>
    <w:p w:rsidR="005C7E23" w:rsidRPr="00D874C4" w:rsidRDefault="005C7E23" w:rsidP="005C7E23">
      <w:pPr>
        <w:pStyle w:val="ListParagraph"/>
        <w:rPr>
          <w:sz w:val="20"/>
          <w:szCs w:val="20"/>
        </w:rPr>
      </w:pPr>
    </w:p>
    <w:p w:rsidR="005C7E23" w:rsidRPr="00D874C4" w:rsidRDefault="00F91540"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szCs w:val="20"/>
        </w:rPr>
        <w:t>Further, the IACHR highlights the reinforced special duty of the State to ensure that the method of execution does not constitute cruel, infamous or unusual punishment. In this regard, the U.N. Special Rapporteur on torture and other cruel, inhuman or degrading treatment or punishment stated that “[t]</w:t>
      </w:r>
      <w:r w:rsidRPr="00D874C4">
        <w:rPr>
          <w:rFonts w:cs="TimesNewRomanPS"/>
          <w:color w:val="231F20"/>
          <w:sz w:val="20"/>
          <w:szCs w:val="20"/>
        </w:rPr>
        <w:t xml:space="preserve">he fact </w:t>
      </w:r>
      <w:r w:rsidRPr="00D874C4">
        <w:rPr>
          <w:rFonts w:cs="TimesNewRomanPS"/>
          <w:color w:val="231F20"/>
          <w:sz w:val="20"/>
          <w:szCs w:val="20"/>
        </w:rPr>
        <w:lastRenderedPageBreak/>
        <w:t>that a number of execution methods have been deemed to constitute torture or CIDT, together with a growing trend to review all methods of execution for their potential to cause severe pain and suffering, highlights the increasing difficulty with which a state may impose the death penalty without violating international law.”</w:t>
      </w:r>
      <w:r w:rsidRPr="00D874C4">
        <w:rPr>
          <w:rStyle w:val="FootnoteReference"/>
          <w:rFonts w:asciiTheme="majorHAnsi" w:hAnsiTheme="majorHAnsi"/>
          <w:sz w:val="20"/>
          <w:szCs w:val="20"/>
        </w:rPr>
        <w:footnoteReference w:id="94"/>
      </w:r>
    </w:p>
    <w:p w:rsidR="005C7E23" w:rsidRPr="00D874C4" w:rsidRDefault="005C7E23" w:rsidP="005C7E23">
      <w:pPr>
        <w:pStyle w:val="ListParagraph"/>
        <w:rPr>
          <w:sz w:val="20"/>
          <w:szCs w:val="20"/>
        </w:rPr>
      </w:pPr>
    </w:p>
    <w:p w:rsidR="005C7E23" w:rsidRPr="00D874C4" w:rsidRDefault="00F91540"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szCs w:val="20"/>
        </w:rPr>
        <w:t>The IACHR also notes that the United Nations Committee Against Torture received substantiated information indicating that executions in the United States can be accompanied by severe pain and suffering and requested the State to “carefully review its execution methods, in particular lethal injection, in order to prevent severe pain and suffering.”</w:t>
      </w:r>
      <w:r w:rsidRPr="00D874C4">
        <w:rPr>
          <w:rStyle w:val="FootnoteReference"/>
          <w:rFonts w:asciiTheme="majorHAnsi" w:hAnsiTheme="majorHAnsi"/>
          <w:sz w:val="20"/>
          <w:szCs w:val="20"/>
        </w:rPr>
        <w:footnoteReference w:id="95"/>
      </w:r>
    </w:p>
    <w:p w:rsidR="005C7E23" w:rsidRPr="00D874C4" w:rsidRDefault="005C7E23" w:rsidP="005C7E23">
      <w:pPr>
        <w:pStyle w:val="ListParagraph"/>
        <w:rPr>
          <w:sz w:val="20"/>
          <w:szCs w:val="20"/>
        </w:rPr>
      </w:pPr>
    </w:p>
    <w:p w:rsidR="00E015F0" w:rsidRPr="00D874C4" w:rsidRDefault="00E015F0" w:rsidP="00E015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70"/>
          <w:tab w:val="left" w:pos="360"/>
          <w:tab w:val="left" w:pos="45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As indicated above, on July 8, 2014, Mr. Mitchell joined a federal lawsuit in the U.S. District Court for the District of Columbia claiming that the means by which the government seeks to implement the death penalty would violate the U.S. Constitution as well as federal law. On July 25, 2019, the Warden informed Mr. Mitchell of his December 11, 2019, execution.</w:t>
      </w:r>
      <w:r w:rsidR="00C41A49" w:rsidRPr="00D874C4">
        <w:rPr>
          <w:rFonts w:asciiTheme="majorHAnsi" w:hAnsiTheme="majorHAnsi"/>
          <w:sz w:val="20"/>
          <w:szCs w:val="20"/>
        </w:rPr>
        <w:t xml:space="preserve"> On October 4, 2019, the Ninth Circuit Court stayed the execution pending resolution of an appeal. With regard to the new federal lethal injection protocol, t</w:t>
      </w:r>
      <w:r w:rsidR="00C41A49" w:rsidRPr="00D874C4">
        <w:rPr>
          <w:rFonts w:ascii="Cambria" w:hAnsi="Cambria"/>
          <w:sz w:val="20"/>
          <w:szCs w:val="20"/>
        </w:rPr>
        <w:t>here is no information regarding the origins of the drugs that will be used.</w:t>
      </w:r>
    </w:p>
    <w:p w:rsidR="00C41A49" w:rsidRPr="00D874C4" w:rsidRDefault="00C41A49" w:rsidP="00C41A49">
      <w:pPr>
        <w:pStyle w:val="ListParagraph"/>
        <w:rPr>
          <w:rFonts w:asciiTheme="majorHAnsi" w:hAnsiTheme="majorHAnsi"/>
          <w:sz w:val="20"/>
          <w:szCs w:val="20"/>
        </w:rPr>
      </w:pPr>
    </w:p>
    <w:p w:rsidR="001B4E52" w:rsidRPr="00D874C4" w:rsidRDefault="001B4E52" w:rsidP="00C41A4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270"/>
          <w:tab w:val="left" w:pos="360"/>
          <w:tab w:val="left" w:pos="450"/>
          <w:tab w:val="left" w:pos="1440"/>
        </w:tabs>
        <w:ind w:left="0" w:firstLine="0"/>
        <w:jc w:val="both"/>
        <w:textAlignment w:val="baseline"/>
        <w:rPr>
          <w:rFonts w:asciiTheme="majorHAnsi" w:hAnsiTheme="majorHAnsi"/>
          <w:sz w:val="20"/>
          <w:szCs w:val="20"/>
        </w:rPr>
      </w:pPr>
      <w:r w:rsidRPr="00D874C4">
        <w:rPr>
          <w:rFonts w:asciiTheme="majorHAnsi" w:hAnsiTheme="majorHAnsi"/>
          <w:sz w:val="20"/>
          <w:szCs w:val="20"/>
        </w:rPr>
        <w:t xml:space="preserve">Based on the above considerations, and the uncertainty surrounding </w:t>
      </w:r>
      <w:r w:rsidR="00C41A49" w:rsidRPr="00D874C4">
        <w:rPr>
          <w:rFonts w:asciiTheme="majorHAnsi" w:hAnsiTheme="majorHAnsi"/>
          <w:sz w:val="20"/>
          <w:szCs w:val="20"/>
        </w:rPr>
        <w:t xml:space="preserve">federal </w:t>
      </w:r>
      <w:r w:rsidRPr="00D874C4">
        <w:rPr>
          <w:rFonts w:asciiTheme="majorHAnsi" w:hAnsiTheme="majorHAnsi"/>
          <w:sz w:val="20"/>
          <w:szCs w:val="20"/>
        </w:rPr>
        <w:t xml:space="preserve">death penalty executions, the IACHR concludes that the State is exposing Mr. </w:t>
      </w:r>
      <w:r w:rsidR="00C41A49" w:rsidRPr="00D874C4">
        <w:rPr>
          <w:rFonts w:asciiTheme="majorHAnsi" w:hAnsiTheme="majorHAnsi"/>
          <w:sz w:val="20"/>
          <w:szCs w:val="20"/>
        </w:rPr>
        <w:t>Mitchell</w:t>
      </w:r>
      <w:r w:rsidRPr="00D874C4">
        <w:rPr>
          <w:rFonts w:asciiTheme="majorHAnsi" w:hAnsiTheme="majorHAnsi"/>
          <w:sz w:val="20"/>
          <w:szCs w:val="20"/>
        </w:rPr>
        <w:t xml:space="preserve"> to anguish and fear that amount to a violation of his right to humane treatment and not to receive cruel, infamous or unusual punishment set forth in Articles XXV and XXVI of the Declaration. </w:t>
      </w:r>
    </w:p>
    <w:p w:rsidR="00801C7F" w:rsidRPr="00D874C4" w:rsidRDefault="00801C7F" w:rsidP="00801C7F">
      <w:pPr>
        <w:pStyle w:val="ListParagraph"/>
        <w:tabs>
          <w:tab w:val="left" w:pos="360"/>
        </w:tabs>
        <w:rPr>
          <w:sz w:val="20"/>
          <w:szCs w:val="20"/>
        </w:rPr>
      </w:pPr>
    </w:p>
    <w:p w:rsidR="00801C7F" w:rsidRPr="00D874C4" w:rsidRDefault="00BB76B9" w:rsidP="00873480">
      <w:pPr>
        <w:pStyle w:val="Heading3"/>
        <w:numPr>
          <w:ilvl w:val="3"/>
          <w:numId w:val="53"/>
        </w:numPr>
        <w:spacing w:before="0"/>
        <w:ind w:left="360"/>
        <w:jc w:val="both"/>
        <w:rPr>
          <w:color w:val="auto"/>
          <w:sz w:val="20"/>
          <w:szCs w:val="20"/>
        </w:rPr>
      </w:pPr>
      <w:bookmarkStart w:id="70" w:name="_Toc44016004"/>
      <w:bookmarkStart w:id="71" w:name="_Toc49161078"/>
      <w:r w:rsidRPr="00D874C4">
        <w:rPr>
          <w:color w:val="auto"/>
          <w:sz w:val="20"/>
          <w:szCs w:val="20"/>
        </w:rPr>
        <w:t>The d</w:t>
      </w:r>
      <w:r w:rsidR="00801C7F" w:rsidRPr="00D874C4">
        <w:rPr>
          <w:color w:val="auto"/>
          <w:sz w:val="20"/>
          <w:szCs w:val="20"/>
        </w:rPr>
        <w:t>eprivation of liberty on death row</w:t>
      </w:r>
      <w:r w:rsidRPr="00D874C4">
        <w:rPr>
          <w:color w:val="auto"/>
          <w:sz w:val="20"/>
          <w:szCs w:val="20"/>
        </w:rPr>
        <w:t xml:space="preserve"> and the right of protection against cruel, infamous or unusual punishment</w:t>
      </w:r>
      <w:bookmarkEnd w:id="70"/>
      <w:bookmarkEnd w:id="71"/>
    </w:p>
    <w:p w:rsidR="00801C7F" w:rsidRPr="00D874C4" w:rsidRDefault="00801C7F" w:rsidP="00801C7F">
      <w:pPr>
        <w:pStyle w:val="ListParagraph"/>
        <w:tabs>
          <w:tab w:val="left" w:pos="360"/>
        </w:tabs>
        <w:ind w:left="0"/>
        <w:rPr>
          <w:b/>
          <w:sz w:val="20"/>
          <w:szCs w:val="20"/>
        </w:rPr>
      </w:pPr>
    </w:p>
    <w:p w:rsidR="00585229" w:rsidRPr="00D874C4" w:rsidRDefault="003A5E9B"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szCs w:val="20"/>
        </w:rPr>
      </w:pPr>
      <w:r w:rsidRPr="00D874C4">
        <w:rPr>
          <w:sz w:val="20"/>
          <w:szCs w:val="20"/>
        </w:rPr>
        <w:t>In both international human rights law and comparative law, the issue of long term deprivation of liberty on death row, known as the “death row phenomenon,” has been developed for decades, in light of the prohibition of cruel, inhuman or degrading punishment in Constitutions and in multiple international treaties, including the American Declaration (Articles XXV and XXVI).</w:t>
      </w:r>
      <w:r w:rsidRPr="00D874C4">
        <w:rPr>
          <w:rFonts w:eastAsia="Arial Unicode MS" w:cs="Times New Roman"/>
          <w:color w:val="auto"/>
          <w:sz w:val="20"/>
          <w:vertAlign w:val="superscript"/>
          <w:lang w:eastAsia="en-US"/>
        </w:rPr>
        <w:footnoteReference w:id="96"/>
      </w:r>
      <w:r w:rsidRPr="00D874C4">
        <w:rPr>
          <w:sz w:val="20"/>
          <w:szCs w:val="20"/>
        </w:rPr>
        <w:t xml:space="preserve"> Based on those standards, in the case of Russell </w:t>
      </w:r>
      <w:proofErr w:type="spellStart"/>
      <w:r w:rsidRPr="00D874C4">
        <w:rPr>
          <w:sz w:val="20"/>
          <w:szCs w:val="20"/>
        </w:rPr>
        <w:t>Bucklew</w:t>
      </w:r>
      <w:proofErr w:type="spellEnd"/>
      <w:r w:rsidRPr="00D874C4">
        <w:rPr>
          <w:sz w:val="20"/>
          <w:szCs w:val="20"/>
        </w:rPr>
        <w:t xml:space="preserve"> the IACHR found that “the very fact of spending 20 years on death row is, by any account, excessive and inhuman.”</w:t>
      </w:r>
      <w:r w:rsidRPr="00D874C4">
        <w:rPr>
          <w:rFonts w:eastAsia="Arial Unicode MS" w:cs="Times New Roman"/>
          <w:color w:val="auto"/>
          <w:sz w:val="20"/>
          <w:vertAlign w:val="superscript"/>
          <w:lang w:eastAsia="en-US"/>
        </w:rPr>
        <w:footnoteReference w:id="97"/>
      </w:r>
    </w:p>
    <w:p w:rsidR="00585229" w:rsidRPr="00D874C4" w:rsidRDefault="00585229" w:rsidP="005852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szCs w:val="20"/>
        </w:rPr>
      </w:pPr>
    </w:p>
    <w:p w:rsidR="00585229" w:rsidRPr="00D874C4" w:rsidRDefault="00224455" w:rsidP="00E038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450"/>
        </w:tabs>
        <w:autoSpaceDE w:val="0"/>
        <w:autoSpaceDN w:val="0"/>
        <w:adjustRightInd w:val="0"/>
        <w:ind w:left="0" w:firstLine="0"/>
        <w:jc w:val="both"/>
        <w:rPr>
          <w:sz w:val="20"/>
          <w:szCs w:val="20"/>
        </w:rPr>
      </w:pPr>
      <w:r w:rsidRPr="00D874C4">
        <w:rPr>
          <w:sz w:val="20"/>
        </w:rPr>
        <w:t>Specifically,</w:t>
      </w:r>
      <w:r w:rsidR="003A5E9B" w:rsidRPr="00D874C4">
        <w:rPr>
          <w:sz w:val="20"/>
        </w:rPr>
        <w:t xml:space="preserve"> regarding the matter of prolonged solitary confinement on death row, the Inter-American Commission has determined that deprivation of liberty under certain conditions on death row, including solitary confinement for four years, constituted inhuman treatment.</w:t>
      </w:r>
      <w:r w:rsidR="003A5E9B" w:rsidRPr="00D874C4">
        <w:rPr>
          <w:rFonts w:eastAsia="Arial Unicode MS" w:cs="Times New Roman"/>
          <w:color w:val="auto"/>
          <w:sz w:val="20"/>
          <w:vertAlign w:val="superscript"/>
          <w:lang w:eastAsia="en-US"/>
        </w:rPr>
        <w:footnoteReference w:id="98"/>
      </w:r>
      <w:r w:rsidR="003A5E9B" w:rsidRPr="00D874C4">
        <w:rPr>
          <w:rFonts w:eastAsia="Arial Unicode MS"/>
          <w:sz w:val="20"/>
          <w:vertAlign w:val="superscript"/>
        </w:rPr>
        <w:t xml:space="preserve">   </w:t>
      </w:r>
      <w:r w:rsidR="003A5E9B" w:rsidRPr="00D874C4">
        <w:rPr>
          <w:sz w:val="20"/>
        </w:rPr>
        <w:t xml:space="preserve">  </w:t>
      </w:r>
    </w:p>
    <w:p w:rsidR="00585229" w:rsidRPr="00D874C4" w:rsidRDefault="00585229" w:rsidP="00585229">
      <w:pPr>
        <w:pStyle w:val="ListParagraph"/>
        <w:rPr>
          <w:sz w:val="20"/>
        </w:rPr>
      </w:pPr>
    </w:p>
    <w:p w:rsidR="003A5E9B" w:rsidRPr="00D874C4" w:rsidRDefault="003A5E9B" w:rsidP="00E038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szCs w:val="20"/>
        </w:rPr>
      </w:pPr>
      <w:r w:rsidRPr="00D874C4">
        <w:rPr>
          <w:sz w:val="20"/>
        </w:rPr>
        <w:t xml:space="preserve">The UN Special Rapporteur on Torture has found that: </w:t>
      </w:r>
    </w:p>
    <w:p w:rsidR="003A5E9B" w:rsidRPr="00D874C4" w:rsidRDefault="003A5E9B" w:rsidP="003A5E9B">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rsidR="003A5E9B" w:rsidRPr="00D874C4" w:rsidRDefault="003A5E9B" w:rsidP="003A5E9B">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rPr>
      </w:pPr>
      <w:r w:rsidRPr="00D874C4">
        <w:rPr>
          <w:rFonts w:ascii="Cambria" w:eastAsia="Times New Roman" w:hAnsi="Cambria"/>
          <w:sz w:val="18"/>
          <w:szCs w:val="18"/>
        </w:rPr>
        <w:t>Individuals held in solitary confinement suffer extreme forms of sensory deprivation, anxiety and exclusion, clearly surpassing lawful conditions of deprivation of liberty. Solitary confinement, in combination with the foreknowledge of death and the uncertainty of whether or when an execution is to take place, contributes to the risk of serious and irreparable mental and physical harm and suffering to the inmate. Solitary confinement used on death row is by definition prolonged and indefinite and thus constitutes cruel, inhuman or degrading treatment or punishment or even torture.</w:t>
      </w:r>
      <w:r w:rsidRPr="00D874C4">
        <w:rPr>
          <w:rFonts w:ascii="Cambria" w:eastAsia="Times New Roman" w:hAnsi="Cambria"/>
          <w:sz w:val="18"/>
          <w:szCs w:val="18"/>
          <w:vertAlign w:val="superscript"/>
        </w:rPr>
        <w:footnoteReference w:id="99"/>
      </w:r>
    </w:p>
    <w:p w:rsidR="003A5E9B" w:rsidRPr="00D874C4" w:rsidRDefault="003A5E9B" w:rsidP="003A5E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rsidR="003A5E9B" w:rsidRPr="00D874C4" w:rsidRDefault="003A5E9B" w:rsidP="00E038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D874C4">
        <w:rPr>
          <w:sz w:val="20"/>
        </w:rPr>
        <w:lastRenderedPageBreak/>
        <w:t xml:space="preserve">As established in this report, Mr. </w:t>
      </w:r>
      <w:r w:rsidR="00C41A49" w:rsidRPr="00D874C4">
        <w:rPr>
          <w:sz w:val="20"/>
        </w:rPr>
        <w:t>Mitchell</w:t>
      </w:r>
      <w:r w:rsidRPr="00D874C4">
        <w:rPr>
          <w:sz w:val="20"/>
        </w:rPr>
        <w:t xml:space="preserve"> </w:t>
      </w:r>
      <w:r w:rsidR="00D73D78" w:rsidRPr="00D874C4">
        <w:rPr>
          <w:sz w:val="20"/>
        </w:rPr>
        <w:t>has been deprived of his liberty on death row for</w:t>
      </w:r>
      <w:r w:rsidRPr="00D874C4">
        <w:rPr>
          <w:sz w:val="20"/>
        </w:rPr>
        <w:t xml:space="preserve"> </w:t>
      </w:r>
      <w:r w:rsidR="00C41A49" w:rsidRPr="00D874C4">
        <w:rPr>
          <w:sz w:val="20"/>
        </w:rPr>
        <w:t>18</w:t>
      </w:r>
      <w:r w:rsidRPr="00D874C4">
        <w:rPr>
          <w:sz w:val="20"/>
        </w:rPr>
        <w:t xml:space="preserve"> years. The Comm</w:t>
      </w:r>
      <w:r w:rsidR="0030693C" w:rsidRPr="00D874C4">
        <w:rPr>
          <w:sz w:val="20"/>
        </w:rPr>
        <w:t xml:space="preserve">ission notes that the fact </w:t>
      </w:r>
      <w:r w:rsidRPr="00D874C4">
        <w:rPr>
          <w:sz w:val="20"/>
        </w:rPr>
        <w:t xml:space="preserve">of spending </w:t>
      </w:r>
      <w:r w:rsidR="00C41A49" w:rsidRPr="00D874C4">
        <w:rPr>
          <w:sz w:val="20"/>
        </w:rPr>
        <w:t>18</w:t>
      </w:r>
      <w:r w:rsidRPr="00D874C4">
        <w:rPr>
          <w:sz w:val="20"/>
        </w:rPr>
        <w:t xml:space="preserve"> years on death row</w:t>
      </w:r>
      <w:r w:rsidR="0030693C" w:rsidRPr="00D874C4">
        <w:rPr>
          <w:sz w:val="20"/>
        </w:rPr>
        <w:t xml:space="preserve"> under such conditions</w:t>
      </w:r>
      <w:r w:rsidRPr="00D874C4">
        <w:rPr>
          <w:sz w:val="20"/>
        </w:rPr>
        <w:t xml:space="preserve"> is, by any account, excessive and inhuman, and is aggravated by the prolonged expectation that the death sentence could be executed. Consequently, the United States is responsible for violating, to the detriment of Mr. </w:t>
      </w:r>
      <w:r w:rsidR="00C41A49" w:rsidRPr="00D874C4">
        <w:rPr>
          <w:sz w:val="20"/>
        </w:rPr>
        <w:t>Mitchell</w:t>
      </w:r>
      <w:r w:rsidRPr="00D874C4">
        <w:rPr>
          <w:sz w:val="20"/>
        </w:rPr>
        <w:t xml:space="preserve">, the right to humane treatment, and not to receive cruel, infamous or unusual punishment established in </w:t>
      </w:r>
      <w:r w:rsidR="00970813" w:rsidRPr="00D874C4">
        <w:rPr>
          <w:sz w:val="20"/>
        </w:rPr>
        <w:t xml:space="preserve">Articles XXV and XXVI of </w:t>
      </w:r>
      <w:r w:rsidRPr="00D874C4">
        <w:rPr>
          <w:sz w:val="20"/>
        </w:rPr>
        <w:t xml:space="preserve">the American Declaration.  </w:t>
      </w:r>
    </w:p>
    <w:p w:rsidR="00801C7F" w:rsidRPr="00D874C4" w:rsidRDefault="00801C7F" w:rsidP="00801C7F">
      <w:pPr>
        <w:pStyle w:val="NormalWeb"/>
        <w:shd w:val="clear" w:color="auto" w:fill="FFFFFF"/>
        <w:tabs>
          <w:tab w:val="left" w:pos="360"/>
        </w:tabs>
        <w:spacing w:before="0" w:beforeAutospacing="0" w:after="0" w:afterAutospacing="0"/>
        <w:jc w:val="both"/>
        <w:rPr>
          <w:sz w:val="20"/>
          <w:szCs w:val="20"/>
        </w:rPr>
      </w:pPr>
    </w:p>
    <w:p w:rsidR="00801C7F" w:rsidRPr="00D874C4" w:rsidRDefault="00375D88" w:rsidP="009C6457">
      <w:pPr>
        <w:pStyle w:val="Heading2"/>
        <w:numPr>
          <w:ilvl w:val="0"/>
          <w:numId w:val="61"/>
        </w:numPr>
        <w:tabs>
          <w:tab w:val="left" w:pos="360"/>
        </w:tabs>
        <w:spacing w:before="0"/>
        <w:ind w:left="0" w:firstLine="0"/>
        <w:jc w:val="both"/>
        <w:rPr>
          <w:color w:val="auto"/>
          <w:sz w:val="20"/>
          <w:szCs w:val="20"/>
        </w:rPr>
      </w:pPr>
      <w:bookmarkStart w:id="72" w:name="_Toc44016005"/>
      <w:bookmarkStart w:id="73" w:name="_Toc49161079"/>
      <w:r w:rsidRPr="00D874C4">
        <w:rPr>
          <w:color w:val="auto"/>
          <w:sz w:val="20"/>
          <w:szCs w:val="20"/>
        </w:rPr>
        <w:t>R</w:t>
      </w:r>
      <w:r w:rsidR="002B4417" w:rsidRPr="00D874C4">
        <w:rPr>
          <w:color w:val="auto"/>
          <w:sz w:val="20"/>
          <w:szCs w:val="20"/>
        </w:rPr>
        <w:t>ight to life</w:t>
      </w:r>
      <w:r w:rsidR="00C535F1" w:rsidRPr="00D874C4">
        <w:rPr>
          <w:rStyle w:val="FootnoteReference"/>
          <w:color w:val="auto"/>
          <w:sz w:val="20"/>
          <w:szCs w:val="20"/>
        </w:rPr>
        <w:footnoteReference w:id="100"/>
      </w:r>
      <w:r w:rsidR="00DD5501" w:rsidRPr="00D874C4">
        <w:rPr>
          <w:color w:val="auto"/>
          <w:sz w:val="20"/>
          <w:szCs w:val="20"/>
        </w:rPr>
        <w:t xml:space="preserve"> and to protection against cruel, infamous o</w:t>
      </w:r>
      <w:r w:rsidR="00224AA7" w:rsidRPr="00D874C4">
        <w:rPr>
          <w:color w:val="auto"/>
          <w:sz w:val="20"/>
          <w:szCs w:val="20"/>
        </w:rPr>
        <w:t>r</w:t>
      </w:r>
      <w:r w:rsidR="00DD5501" w:rsidRPr="00D874C4">
        <w:rPr>
          <w:color w:val="auto"/>
          <w:sz w:val="20"/>
          <w:szCs w:val="20"/>
        </w:rPr>
        <w:t xml:space="preserve"> unusual punishment with respect to the eventual execution of </w:t>
      </w:r>
      <w:proofErr w:type="spellStart"/>
      <w:r w:rsidR="00C41A49" w:rsidRPr="00D874C4">
        <w:rPr>
          <w:color w:val="auto"/>
          <w:sz w:val="20"/>
          <w:szCs w:val="20"/>
        </w:rPr>
        <w:t>Lezmond</w:t>
      </w:r>
      <w:proofErr w:type="spellEnd"/>
      <w:r w:rsidR="00C41A49" w:rsidRPr="00D874C4">
        <w:rPr>
          <w:color w:val="auto"/>
          <w:sz w:val="20"/>
          <w:szCs w:val="20"/>
        </w:rPr>
        <w:t xml:space="preserve"> M. Mitchell</w:t>
      </w:r>
      <w:bookmarkEnd w:id="72"/>
      <w:bookmarkEnd w:id="73"/>
      <w:r w:rsidR="00867DA3" w:rsidRPr="00D874C4">
        <w:rPr>
          <w:color w:val="auto"/>
          <w:sz w:val="20"/>
          <w:szCs w:val="20"/>
        </w:rPr>
        <w:t xml:space="preserve"> </w:t>
      </w:r>
    </w:p>
    <w:p w:rsidR="00867DA3" w:rsidRPr="00D874C4" w:rsidRDefault="00867DA3" w:rsidP="00867DA3">
      <w:pPr>
        <w:rPr>
          <w:rFonts w:asciiTheme="majorHAnsi" w:hAnsiTheme="majorHAnsi"/>
          <w:sz w:val="20"/>
          <w:szCs w:val="20"/>
        </w:rPr>
      </w:pPr>
    </w:p>
    <w:p w:rsidR="00585229" w:rsidRPr="00D874C4" w:rsidRDefault="00BE3560" w:rsidP="008401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rPr>
      </w:pPr>
      <w:r w:rsidRPr="00D874C4">
        <w:rPr>
          <w:sz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D874C4">
        <w:rPr>
          <w:rFonts w:eastAsia="Arial Unicode MS" w:cs="Times New Roman"/>
          <w:color w:val="auto"/>
          <w:sz w:val="20"/>
          <w:vertAlign w:val="superscript"/>
          <w:lang w:eastAsia="en-US"/>
        </w:rPr>
        <w:footnoteReference w:id="101"/>
      </w:r>
    </w:p>
    <w:p w:rsidR="00585229" w:rsidRPr="00D874C4" w:rsidRDefault="00585229" w:rsidP="0084014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rPr>
      </w:pPr>
    </w:p>
    <w:p w:rsidR="00585229" w:rsidRPr="00D874C4" w:rsidRDefault="00BE3560" w:rsidP="008841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s>
        <w:ind w:left="0" w:firstLine="0"/>
        <w:jc w:val="both"/>
        <w:rPr>
          <w:rFonts w:asciiTheme="majorHAnsi" w:hAnsiTheme="majorHAnsi"/>
          <w:sz w:val="20"/>
          <w:szCs w:val="20"/>
        </w:rPr>
      </w:pPr>
      <w:r w:rsidRPr="00D874C4">
        <w:rPr>
          <w:rFonts w:asciiTheme="majorHAnsi" w:hAnsiTheme="majorHAnsi"/>
          <w:sz w:val="20"/>
          <w:szCs w:val="20"/>
        </w:rPr>
        <w:t>Throughout this report, the Commission established that</w:t>
      </w:r>
      <w:r w:rsidR="006146AC" w:rsidRPr="00D874C4">
        <w:rPr>
          <w:rFonts w:asciiTheme="majorHAnsi" w:hAnsiTheme="majorHAnsi"/>
          <w:sz w:val="20"/>
          <w:szCs w:val="20"/>
        </w:rPr>
        <w:t xml:space="preserve">, </w:t>
      </w:r>
      <w:r w:rsidR="006146AC" w:rsidRPr="00D874C4">
        <w:rPr>
          <w:rFonts w:asciiTheme="majorHAnsi" w:hAnsiTheme="majorHAnsi"/>
          <w:i/>
          <w:sz w:val="20"/>
          <w:szCs w:val="20"/>
        </w:rPr>
        <w:t>inter alia</w:t>
      </w:r>
      <w:r w:rsidR="006146AC" w:rsidRPr="00D874C4">
        <w:rPr>
          <w:rFonts w:asciiTheme="majorHAnsi" w:hAnsiTheme="majorHAnsi"/>
          <w:sz w:val="20"/>
          <w:szCs w:val="20"/>
        </w:rPr>
        <w:t>,</w:t>
      </w:r>
      <w:r w:rsidR="00854C85" w:rsidRPr="00D874C4">
        <w:rPr>
          <w:rFonts w:asciiTheme="majorHAnsi" w:hAnsiTheme="majorHAnsi"/>
          <w:sz w:val="20"/>
          <w:szCs w:val="20"/>
        </w:rPr>
        <w:t xml:space="preserve"> the United States </w:t>
      </w:r>
      <w:r w:rsidR="002A3B5B" w:rsidRPr="00D874C4">
        <w:rPr>
          <w:rFonts w:asciiTheme="majorHAnsi" w:hAnsiTheme="majorHAnsi"/>
          <w:sz w:val="20"/>
          <w:szCs w:val="20"/>
        </w:rPr>
        <w:t>unlawfully arrested Mr. Mitchell</w:t>
      </w:r>
      <w:r w:rsidR="00854C85" w:rsidRPr="00D874C4">
        <w:rPr>
          <w:rFonts w:asciiTheme="majorHAnsi" w:hAnsiTheme="majorHAnsi"/>
          <w:sz w:val="20"/>
          <w:szCs w:val="20"/>
        </w:rPr>
        <w:t xml:space="preserve">, </w:t>
      </w:r>
      <w:r w:rsidR="00443268" w:rsidRPr="00D874C4">
        <w:rPr>
          <w:rFonts w:asciiTheme="majorHAnsi" w:hAnsiTheme="majorHAnsi"/>
          <w:sz w:val="20"/>
          <w:szCs w:val="20"/>
        </w:rPr>
        <w:t>violated his</w:t>
      </w:r>
      <w:r w:rsidR="00443268" w:rsidRPr="00D874C4">
        <w:rPr>
          <w:rFonts w:asciiTheme="majorHAnsi" w:hAnsiTheme="majorHAnsi"/>
          <w:bCs/>
          <w:sz w:val="20"/>
          <w:szCs w:val="20"/>
        </w:rPr>
        <w:t xml:space="preserve"> due process rights, as well as </w:t>
      </w:r>
      <w:r w:rsidR="00443268" w:rsidRPr="00D874C4">
        <w:rPr>
          <w:rFonts w:asciiTheme="majorHAnsi" w:hAnsiTheme="majorHAnsi"/>
          <w:sz w:val="20"/>
          <w:szCs w:val="20"/>
        </w:rPr>
        <w:t xml:space="preserve">his right to humane treatment and not to receive cruel, infamous or unusual punishment, </w:t>
      </w:r>
      <w:r w:rsidR="0035404D" w:rsidRPr="00D874C4">
        <w:rPr>
          <w:rFonts w:asciiTheme="majorHAnsi" w:hAnsiTheme="majorHAnsi"/>
          <w:sz w:val="20"/>
          <w:szCs w:val="20"/>
        </w:rPr>
        <w:t xml:space="preserve">by virtue of </w:t>
      </w:r>
      <w:r w:rsidR="00854C85" w:rsidRPr="00D874C4">
        <w:rPr>
          <w:rFonts w:asciiTheme="majorHAnsi" w:hAnsiTheme="majorHAnsi"/>
          <w:sz w:val="20"/>
          <w:szCs w:val="20"/>
        </w:rPr>
        <w:t xml:space="preserve">the </w:t>
      </w:r>
      <w:r w:rsidR="00C41A49" w:rsidRPr="00D874C4">
        <w:rPr>
          <w:rFonts w:asciiTheme="majorHAnsi" w:hAnsiTheme="majorHAnsi"/>
          <w:sz w:val="20"/>
          <w:szCs w:val="20"/>
        </w:rPr>
        <w:t>18</w:t>
      </w:r>
      <w:r w:rsidR="00854C85" w:rsidRPr="00D874C4">
        <w:rPr>
          <w:rFonts w:asciiTheme="majorHAnsi" w:hAnsiTheme="majorHAnsi"/>
          <w:sz w:val="20"/>
          <w:szCs w:val="20"/>
        </w:rPr>
        <w:t xml:space="preserve"> years that he has been on death row</w:t>
      </w:r>
      <w:r w:rsidR="0035404D" w:rsidRPr="00D874C4">
        <w:rPr>
          <w:rFonts w:asciiTheme="majorHAnsi" w:hAnsiTheme="majorHAnsi"/>
          <w:sz w:val="20"/>
          <w:szCs w:val="20"/>
        </w:rPr>
        <w:t>s</w:t>
      </w:r>
      <w:r w:rsidR="00854C85" w:rsidRPr="00D874C4">
        <w:rPr>
          <w:rFonts w:asciiTheme="majorHAnsi" w:hAnsiTheme="majorHAnsi"/>
          <w:sz w:val="20"/>
          <w:szCs w:val="20"/>
        </w:rPr>
        <w:t>.</w:t>
      </w:r>
    </w:p>
    <w:p w:rsidR="00884136" w:rsidRPr="00D874C4" w:rsidRDefault="00884136" w:rsidP="008841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Theme="majorHAnsi" w:hAnsiTheme="majorHAnsi"/>
          <w:sz w:val="20"/>
          <w:szCs w:val="20"/>
        </w:rPr>
      </w:pPr>
    </w:p>
    <w:p w:rsidR="008D06AF" w:rsidRPr="00D874C4" w:rsidRDefault="00BE3560" w:rsidP="008D06A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rPr>
      </w:pPr>
      <w:r w:rsidRPr="00D874C4">
        <w:rPr>
          <w:sz w:val="20"/>
          <w:szCs w:val="20"/>
        </w:rPr>
        <w:t>Under these circumstances, the IACHR has maintained that executing a person after proceedings that were conducted in violation of his rights would be extremely grave and constitute a deliberate violation of the right to life established in Article I of the American Declaration.</w:t>
      </w:r>
      <w:r w:rsidRPr="00D874C4">
        <w:rPr>
          <w:rStyle w:val="FootnoteReference"/>
          <w:sz w:val="20"/>
          <w:szCs w:val="20"/>
        </w:rPr>
        <w:footnoteReference w:id="102"/>
      </w:r>
      <w:r w:rsidRPr="00D874C4">
        <w:rPr>
          <w:sz w:val="20"/>
          <w:szCs w:val="20"/>
        </w:rPr>
        <w:t xml:space="preserve"> Further, based on the conclusions regarding the deprivation of liberty on death row, the eventual execution of Mr. </w:t>
      </w:r>
      <w:r w:rsidR="007E743A" w:rsidRPr="00D874C4">
        <w:rPr>
          <w:sz w:val="20"/>
          <w:szCs w:val="20"/>
        </w:rPr>
        <w:t>Mitchell</w:t>
      </w:r>
      <w:r w:rsidRPr="00D874C4">
        <w:rPr>
          <w:sz w:val="20"/>
          <w:szCs w:val="20"/>
        </w:rPr>
        <w:t xml:space="preserve"> would constitute, by any account, a violation of the right to protection against cruel, infamous or unusual punishment. In light of the foregoing and taking into account the determinations made throughout this report, the IACHR concludes that the execution of Mr. </w:t>
      </w:r>
      <w:r w:rsidR="007E743A" w:rsidRPr="00D874C4">
        <w:rPr>
          <w:sz w:val="20"/>
          <w:szCs w:val="20"/>
        </w:rPr>
        <w:t>Mitchell</w:t>
      </w:r>
      <w:r w:rsidRPr="00D874C4">
        <w:rPr>
          <w:sz w:val="20"/>
          <w:szCs w:val="20"/>
        </w:rPr>
        <w:t xml:space="preserve"> would constitute a serious violation of his right to life established in Article I of the American Declaration.</w:t>
      </w:r>
      <w:bookmarkStart w:id="74" w:name="_Toc44016006"/>
    </w:p>
    <w:p w:rsidR="008D06AF" w:rsidRPr="00D874C4" w:rsidRDefault="008D06AF" w:rsidP="008D06AF">
      <w:pPr>
        <w:rPr>
          <w:rFonts w:asciiTheme="majorHAnsi" w:eastAsiaTheme="majorEastAsia" w:hAnsiTheme="majorHAnsi" w:cstheme="majorBidi"/>
          <w:b/>
          <w:bCs/>
          <w:sz w:val="20"/>
          <w:szCs w:val="20"/>
        </w:rPr>
      </w:pPr>
    </w:p>
    <w:p w:rsidR="008D06AF" w:rsidRPr="00D874C4" w:rsidRDefault="008D06AF" w:rsidP="008D06AF">
      <w:pPr>
        <w:pStyle w:val="Heading1"/>
        <w:tabs>
          <w:tab w:val="left" w:pos="360"/>
        </w:tabs>
        <w:spacing w:before="0"/>
        <w:ind w:hanging="720"/>
        <w:rPr>
          <w:color w:val="auto"/>
          <w:sz w:val="20"/>
          <w:szCs w:val="20"/>
        </w:rPr>
      </w:pPr>
      <w:bookmarkStart w:id="75" w:name="_Toc45105400"/>
      <w:bookmarkStart w:id="76" w:name="_Toc49161080"/>
      <w:r w:rsidRPr="00D874C4">
        <w:rPr>
          <w:color w:val="auto"/>
          <w:sz w:val="20"/>
          <w:szCs w:val="20"/>
        </w:rPr>
        <w:t>REPORT No. 193/20 AND INFORMATION ABOUT COMPLIANCE</w:t>
      </w:r>
      <w:bookmarkEnd w:id="75"/>
      <w:bookmarkEnd w:id="76"/>
    </w:p>
    <w:p w:rsidR="008D06AF" w:rsidRPr="00D874C4" w:rsidRDefault="008D06AF" w:rsidP="008D06AF">
      <w:pPr>
        <w:rPr>
          <w:rFonts w:asciiTheme="majorHAnsi" w:hAnsiTheme="majorHAnsi"/>
          <w:sz w:val="20"/>
          <w:szCs w:val="20"/>
        </w:rPr>
      </w:pPr>
    </w:p>
    <w:p w:rsidR="008D06AF" w:rsidRPr="00D874C4" w:rsidRDefault="008D06AF" w:rsidP="008D06A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D874C4">
        <w:rPr>
          <w:rFonts w:asciiTheme="majorHAnsi" w:hAnsiTheme="majorHAnsi"/>
          <w:sz w:val="20"/>
          <w:szCs w:val="20"/>
        </w:rPr>
        <w:t>On July 14, 2020, the Commission approved Report No. 193/20 on the merits of the instant case, which encompasses paragraphs 1 to 13</w:t>
      </w:r>
      <w:r w:rsidR="00AA4294" w:rsidRPr="00D874C4">
        <w:rPr>
          <w:rFonts w:asciiTheme="majorHAnsi" w:hAnsiTheme="majorHAnsi"/>
          <w:sz w:val="20"/>
          <w:szCs w:val="20"/>
        </w:rPr>
        <w:t>8</w:t>
      </w:r>
      <w:r w:rsidRPr="00D874C4">
        <w:rPr>
          <w:rFonts w:asciiTheme="majorHAnsi" w:hAnsiTheme="majorHAnsi"/>
          <w:sz w:val="20"/>
          <w:szCs w:val="20"/>
        </w:rPr>
        <w:t xml:space="preserve"> supra, and issued the following recommendations to the State: </w:t>
      </w:r>
    </w:p>
    <w:p w:rsidR="008D06AF" w:rsidRPr="00D874C4" w:rsidRDefault="008D06AF" w:rsidP="008D06AF"/>
    <w:p w:rsidR="00AA4294" w:rsidRPr="00D874C4" w:rsidRDefault="00AA4294" w:rsidP="00AA429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rFonts w:eastAsia="Times New Roman" w:cs="Tahoma"/>
          <w:sz w:val="20"/>
          <w:szCs w:val="20"/>
          <w:bdr w:val="none" w:sz="0" w:space="0" w:color="auto" w:frame="1"/>
        </w:rPr>
        <w:t xml:space="preserve">Grant </w:t>
      </w:r>
      <w:proofErr w:type="spellStart"/>
      <w:r w:rsidRPr="00D874C4">
        <w:rPr>
          <w:color w:val="auto"/>
          <w:sz w:val="20"/>
          <w:szCs w:val="20"/>
        </w:rPr>
        <w:t>Lezmond</w:t>
      </w:r>
      <w:proofErr w:type="spellEnd"/>
      <w:r w:rsidRPr="00D874C4">
        <w:rPr>
          <w:color w:val="auto"/>
          <w:sz w:val="20"/>
          <w:szCs w:val="20"/>
        </w:rPr>
        <w:t xml:space="preserve"> M. Mitchell </w:t>
      </w:r>
      <w:r w:rsidRPr="00D874C4">
        <w:rPr>
          <w:rFonts w:eastAsia="Times New Roman" w:cs="Tahoma"/>
          <w:sz w:val="20"/>
          <w:szCs w:val="20"/>
          <w:bdr w:val="none" w:sz="0" w:space="0" w:color="auto" w:frame="1"/>
        </w:rPr>
        <w:t xml:space="preserve">effective relief, including the review of his trial and sentence in accordance with the guarantees of fair trial and due process set forth in Articles </w:t>
      </w:r>
      <w:r w:rsidRPr="00D874C4">
        <w:rPr>
          <w:rFonts w:asciiTheme="majorHAnsi" w:hAnsiTheme="majorHAnsi"/>
          <w:color w:val="000000" w:themeColor="text1"/>
          <w:sz w:val="20"/>
          <w:szCs w:val="20"/>
        </w:rPr>
        <w:t xml:space="preserve">XVIII, XXV and XXVI </w:t>
      </w:r>
      <w:r w:rsidRPr="00D874C4">
        <w:rPr>
          <w:rFonts w:eastAsia="Times New Roman" w:cs="Tahoma"/>
          <w:sz w:val="20"/>
          <w:szCs w:val="20"/>
          <w:bdr w:val="none" w:sz="0" w:space="0" w:color="auto" w:frame="1"/>
        </w:rPr>
        <w:t xml:space="preserve">of the American Declaration, and the payment of pecuniary compensation. </w:t>
      </w:r>
      <w:r w:rsidRPr="00D874C4">
        <w:rPr>
          <w:rFonts w:cs="Arial"/>
          <w:color w:val="auto"/>
          <w:sz w:val="20"/>
          <w:szCs w:val="20"/>
        </w:rPr>
        <w:t xml:space="preserve">Taking into account </w:t>
      </w:r>
      <w:r w:rsidRPr="00D874C4">
        <w:rPr>
          <w:rFonts w:asciiTheme="majorHAnsi" w:hAnsiTheme="majorHAnsi"/>
          <w:sz w:val="20"/>
        </w:rPr>
        <w:t>the sovereign decision of the Navajo Nation against the use of the death penalty</w:t>
      </w:r>
      <w:r w:rsidRPr="00D874C4">
        <w:rPr>
          <w:rFonts w:cs="Arial"/>
          <w:color w:val="auto"/>
          <w:sz w:val="20"/>
          <w:szCs w:val="20"/>
        </w:rPr>
        <w:t>, the Commission recommends that if the new trial results in a conviction, that Mr. Mitchell</w:t>
      </w:r>
      <w:r w:rsidRPr="00D874C4">
        <w:rPr>
          <w:rFonts w:asciiTheme="majorHAnsi" w:hAnsiTheme="majorHAnsi"/>
          <w:sz w:val="20"/>
        </w:rPr>
        <w:t>’s</w:t>
      </w:r>
      <w:r w:rsidRPr="00D874C4">
        <w:rPr>
          <w:rFonts w:cs="Arial"/>
          <w:color w:val="auto"/>
          <w:sz w:val="20"/>
          <w:szCs w:val="20"/>
        </w:rPr>
        <w:t xml:space="preserve"> sentence be commuted</w:t>
      </w:r>
      <w:r w:rsidRPr="00D874C4">
        <w:rPr>
          <w:rFonts w:eastAsia="Times New Roman" w:cs="Tahoma"/>
          <w:sz w:val="20"/>
          <w:szCs w:val="20"/>
          <w:bdr w:val="none" w:sz="0" w:space="0" w:color="auto" w:frame="1"/>
        </w:rPr>
        <w:t>.</w:t>
      </w:r>
    </w:p>
    <w:p w:rsidR="00AA4294" w:rsidRPr="00D874C4" w:rsidRDefault="00AA4294" w:rsidP="00AA42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rsidR="00AA4294" w:rsidRPr="00D874C4" w:rsidRDefault="00AA4294" w:rsidP="00AA429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sz w:val="20"/>
        </w:rPr>
        <w:t>Review its laws, procedures, and practices at the federal level to ensure that persons accused of capital crimes are tried and, if convicted, sentenced in accordance with the rights established in the American Declaration,</w:t>
      </w:r>
      <w:r w:rsidRPr="00D874C4">
        <w:rPr>
          <w:rStyle w:val="FootnoteReference"/>
          <w:sz w:val="20"/>
        </w:rPr>
        <w:footnoteReference w:id="103"/>
      </w:r>
      <w:r w:rsidRPr="00D874C4">
        <w:rPr>
          <w:sz w:val="20"/>
        </w:rPr>
        <w:t xml:space="preserve"> including Articles I, </w:t>
      </w:r>
      <w:r w:rsidRPr="00D874C4">
        <w:rPr>
          <w:rFonts w:asciiTheme="majorHAnsi" w:hAnsiTheme="majorHAnsi"/>
          <w:color w:val="000000" w:themeColor="text1"/>
          <w:sz w:val="20"/>
          <w:szCs w:val="20"/>
        </w:rPr>
        <w:t>XVIII, XXV and XXVI</w:t>
      </w:r>
      <w:r w:rsidRPr="00D874C4">
        <w:rPr>
          <w:sz w:val="20"/>
        </w:rPr>
        <w:t xml:space="preserve"> thereof, and, in particular that:</w:t>
      </w:r>
    </w:p>
    <w:p w:rsidR="00AA4294" w:rsidRPr="00D874C4" w:rsidRDefault="00AA4294" w:rsidP="00AA4294">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D874C4">
        <w:rPr>
          <w:rFonts w:asciiTheme="majorHAnsi" w:hAnsiTheme="majorHAnsi"/>
          <w:sz w:val="20"/>
        </w:rPr>
        <w:t>the sovereign decision of the Navajo Nation, and other Native American Nations, against the use of the death penalty in their territory, are respected</w:t>
      </w:r>
      <w:r w:rsidRPr="00D874C4">
        <w:rPr>
          <w:sz w:val="20"/>
        </w:rPr>
        <w:t>; and</w:t>
      </w:r>
    </w:p>
    <w:p w:rsidR="00AA4294" w:rsidRPr="00D874C4" w:rsidRDefault="00AA4294" w:rsidP="00AA4294">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D874C4">
        <w:rPr>
          <w:sz w:val="20"/>
          <w:szCs w:val="20"/>
          <w:bdr w:val="none" w:sz="0" w:space="0" w:color="auto" w:frame="1"/>
        </w:rPr>
        <w:t>court-appointed counsel provide adequate legal representation in death penalty cases and, in the case of Native American/indigenous defendants, represent specific considerations that might involve issues of indigenous self-determination, jurisdiction, culture and religion</w:t>
      </w:r>
      <w:r w:rsidRPr="00D874C4">
        <w:rPr>
          <w:rFonts w:asciiTheme="majorHAnsi" w:hAnsiTheme="majorHAnsi"/>
          <w:bCs/>
          <w:color w:val="auto"/>
          <w:sz w:val="20"/>
          <w:szCs w:val="20"/>
        </w:rPr>
        <w:t>.</w:t>
      </w:r>
    </w:p>
    <w:p w:rsidR="00AA4294" w:rsidRPr="00D874C4" w:rsidRDefault="00AA4294" w:rsidP="00AA4294">
      <w:pPr>
        <w:pStyle w:val="ListParagraph"/>
        <w:rPr>
          <w:rFonts w:eastAsia="Times New Roman" w:cs="Tahoma"/>
          <w:sz w:val="20"/>
          <w:szCs w:val="20"/>
          <w:bdr w:val="none" w:sz="0" w:space="0" w:color="auto" w:frame="1"/>
        </w:rPr>
      </w:pPr>
    </w:p>
    <w:p w:rsidR="00AA4294" w:rsidRPr="00D874C4" w:rsidRDefault="00AA4294" w:rsidP="00AA429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rFonts w:eastAsia="Times New Roman" w:cs="Tahoma"/>
          <w:sz w:val="20"/>
          <w:szCs w:val="20"/>
          <w:bdr w:val="none" w:sz="0" w:space="0" w:color="auto"/>
        </w:rPr>
        <w:lastRenderedPageBreak/>
        <w:t>Review its laws, procedures, and practices to ensure that the persons sentenced to the death penalty have access to effective judicial remedies to challenge the possible impact of the method of execution on their fundamental rights in accordance with the standards set forth in this merits report.</w:t>
      </w:r>
    </w:p>
    <w:p w:rsidR="00AA4294" w:rsidRPr="00D874C4" w:rsidRDefault="00AA4294" w:rsidP="00AA4294">
      <w:pPr>
        <w:pStyle w:val="ListParagraph"/>
        <w:tabs>
          <w:tab w:val="left" w:pos="360"/>
        </w:tabs>
        <w:ind w:left="360" w:hanging="360"/>
        <w:jc w:val="both"/>
        <w:rPr>
          <w:rFonts w:eastAsia="Times New Roman" w:cs="Tahoma"/>
          <w:sz w:val="20"/>
          <w:szCs w:val="20"/>
          <w:bdr w:val="none" w:sz="0" w:space="0" w:color="auto" w:frame="1"/>
        </w:rPr>
      </w:pPr>
    </w:p>
    <w:p w:rsidR="00AA4294" w:rsidRPr="00D874C4" w:rsidRDefault="00AA4294" w:rsidP="00AA4294">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rFonts w:asciiTheme="majorHAnsi" w:hAnsiTheme="majorHAnsi"/>
          <w:sz w:val="20"/>
        </w:rPr>
        <w:t>Given the violations of the American Declaration the IACHR has established in the present</w:t>
      </w:r>
      <w:r w:rsidRPr="00D874C4">
        <w:rPr>
          <w:sz w:val="20"/>
        </w:rPr>
        <w:t xml:space="preserve"> case and in others involving application of the death penalty, the Inter-American Commission also recommends to the United States that it abolishes the federal death penalty.</w:t>
      </w:r>
      <w:r w:rsidRPr="00D874C4">
        <w:rPr>
          <w:rStyle w:val="FootnoteReference"/>
          <w:sz w:val="20"/>
        </w:rPr>
        <w:footnoteReference w:id="104"/>
      </w:r>
    </w:p>
    <w:p w:rsidR="00AA4294" w:rsidRPr="00D874C4" w:rsidRDefault="00AA4294" w:rsidP="008D06AF">
      <w:pPr>
        <w:rPr>
          <w:sz w:val="20"/>
          <w:szCs w:val="20"/>
        </w:rPr>
      </w:pPr>
    </w:p>
    <w:p w:rsidR="00AA4294" w:rsidRPr="006232F9" w:rsidRDefault="00AA4294" w:rsidP="00AA42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1440"/>
        </w:tabs>
        <w:ind w:left="0" w:firstLine="0"/>
        <w:jc w:val="both"/>
        <w:rPr>
          <w:rFonts w:asciiTheme="majorHAnsi" w:hAnsiTheme="majorHAnsi"/>
          <w:sz w:val="20"/>
          <w:szCs w:val="20"/>
        </w:rPr>
      </w:pPr>
      <w:r w:rsidRPr="00D874C4">
        <w:rPr>
          <w:rFonts w:asciiTheme="majorHAnsi" w:hAnsiTheme="majorHAnsi"/>
          <w:sz w:val="20"/>
          <w:szCs w:val="20"/>
        </w:rPr>
        <w:t xml:space="preserve">On </w:t>
      </w:r>
      <w:r w:rsidRPr="00D874C4">
        <w:rPr>
          <w:rFonts w:asciiTheme="majorHAnsi" w:eastAsia="Cambria" w:hAnsiTheme="majorHAnsi" w:cs="Cambria"/>
          <w:color w:val="000000"/>
          <w:sz w:val="20"/>
          <w:szCs w:val="20"/>
          <w:u w:color="000000"/>
          <w:lang w:eastAsia="es-ES"/>
        </w:rPr>
        <w:t>July</w:t>
      </w:r>
      <w:r w:rsidRPr="00D874C4">
        <w:rPr>
          <w:rFonts w:asciiTheme="majorHAnsi" w:hAnsiTheme="majorHAnsi"/>
          <w:sz w:val="20"/>
          <w:szCs w:val="20"/>
        </w:rPr>
        <w:t xml:space="preserve"> 30, 2020 the IACHR transmitted the report to the State and the petitioners with a time period of one week to inform the Commission on the measures taken to comply with its recommendations. To date, the </w:t>
      </w:r>
      <w:r w:rsidRPr="006232F9">
        <w:rPr>
          <w:rFonts w:asciiTheme="majorHAnsi" w:hAnsiTheme="majorHAnsi"/>
          <w:sz w:val="20"/>
          <w:szCs w:val="20"/>
        </w:rPr>
        <w:t>Commission has not received any response from the United States regarding report No. 19</w:t>
      </w:r>
      <w:r w:rsidR="008E1468" w:rsidRPr="006232F9">
        <w:rPr>
          <w:rFonts w:asciiTheme="majorHAnsi" w:hAnsiTheme="majorHAnsi"/>
          <w:sz w:val="20"/>
          <w:szCs w:val="20"/>
        </w:rPr>
        <w:t>3</w:t>
      </w:r>
      <w:r w:rsidRPr="006232F9">
        <w:rPr>
          <w:rFonts w:asciiTheme="majorHAnsi" w:hAnsiTheme="majorHAnsi"/>
          <w:sz w:val="20"/>
          <w:szCs w:val="20"/>
        </w:rPr>
        <w:t>/20.</w:t>
      </w:r>
    </w:p>
    <w:p w:rsidR="00C227E9" w:rsidRPr="006232F9" w:rsidRDefault="00C227E9" w:rsidP="00C227E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szCs w:val="20"/>
        </w:rPr>
      </w:pPr>
    </w:p>
    <w:p w:rsidR="00C227E9" w:rsidRPr="006232F9" w:rsidRDefault="00C227E9" w:rsidP="00F44F12">
      <w:pPr>
        <w:pStyle w:val="Heading1"/>
        <w:spacing w:before="0"/>
        <w:ind w:hanging="720"/>
        <w:rPr>
          <w:color w:val="auto"/>
          <w:sz w:val="20"/>
          <w:szCs w:val="20"/>
        </w:rPr>
      </w:pPr>
      <w:bookmarkStart w:id="77" w:name="_Toc47694456"/>
      <w:bookmarkStart w:id="78" w:name="_Toc49161081"/>
      <w:r w:rsidRPr="006232F9">
        <w:rPr>
          <w:color w:val="auto"/>
          <w:sz w:val="20"/>
          <w:szCs w:val="20"/>
        </w:rPr>
        <w:t>REPORT No. 209/20 AND INFORMATION ABOUT COMPLIANCE</w:t>
      </w:r>
      <w:bookmarkEnd w:id="77"/>
      <w:bookmarkEnd w:id="78"/>
    </w:p>
    <w:p w:rsidR="00C227E9" w:rsidRPr="006232F9" w:rsidRDefault="00C227E9" w:rsidP="00C227E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szCs w:val="20"/>
        </w:rPr>
      </w:pPr>
    </w:p>
    <w:p w:rsidR="00C227E9" w:rsidRPr="006232F9" w:rsidRDefault="00C227E9" w:rsidP="00C227E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lang w:eastAsia="zh-CN"/>
        </w:rPr>
      </w:pPr>
      <w:r w:rsidRPr="006232F9">
        <w:rPr>
          <w:sz w:val="20"/>
          <w:szCs w:val="20"/>
        </w:rPr>
        <w:t xml:space="preserve">On </w:t>
      </w:r>
      <w:r w:rsidR="00F44F12" w:rsidRPr="006232F9">
        <w:rPr>
          <w:sz w:val="20"/>
          <w:szCs w:val="20"/>
        </w:rPr>
        <w:t>August 12,</w:t>
      </w:r>
      <w:r w:rsidRPr="006232F9">
        <w:rPr>
          <w:sz w:val="20"/>
          <w:szCs w:val="20"/>
        </w:rPr>
        <w:t xml:space="preserve"> 2020, the Commission approved Final Merits Report No. 209/20 in which the Commission reiterated all of its recommendations to the State. On </w:t>
      </w:r>
      <w:r w:rsidR="00F44F12" w:rsidRPr="006232F9">
        <w:rPr>
          <w:sz w:val="20"/>
          <w:szCs w:val="20"/>
        </w:rPr>
        <w:t>August 13, 2020</w:t>
      </w:r>
      <w:r w:rsidRPr="006232F9">
        <w:rPr>
          <w:sz w:val="20"/>
          <w:szCs w:val="20"/>
        </w:rPr>
        <w:t xml:space="preserve">, the IACHR transmitted the report to the State and the petitioners with a time period of one week to inform the Commission on the measures taken to comply with its recommendations. To date, the Commission has not received any response from the United States or the petitioners regarding report No. </w:t>
      </w:r>
      <w:r w:rsidR="00F44F12" w:rsidRPr="006232F9">
        <w:rPr>
          <w:sz w:val="20"/>
          <w:szCs w:val="20"/>
        </w:rPr>
        <w:t>209</w:t>
      </w:r>
      <w:r w:rsidRPr="006232F9">
        <w:rPr>
          <w:sz w:val="20"/>
          <w:szCs w:val="20"/>
        </w:rPr>
        <w:t>/20.</w:t>
      </w:r>
    </w:p>
    <w:p w:rsidR="00AA4294" w:rsidRPr="00D874C4" w:rsidRDefault="00AA4294" w:rsidP="008D06AF"/>
    <w:p w:rsidR="008D06AF" w:rsidRPr="00D874C4" w:rsidRDefault="008D06AF" w:rsidP="008D06AF">
      <w:pPr>
        <w:pStyle w:val="Heading1"/>
        <w:tabs>
          <w:tab w:val="left" w:pos="360"/>
        </w:tabs>
        <w:spacing w:before="0"/>
        <w:ind w:hanging="720"/>
        <w:rPr>
          <w:color w:val="auto"/>
          <w:sz w:val="20"/>
          <w:szCs w:val="20"/>
        </w:rPr>
      </w:pPr>
      <w:bookmarkStart w:id="79" w:name="_Toc49161082"/>
      <w:r w:rsidRPr="00D874C4">
        <w:rPr>
          <w:color w:val="auto"/>
          <w:sz w:val="20"/>
          <w:szCs w:val="20"/>
        </w:rPr>
        <w:t>CONCLUSIONS AND RECOMMENDATIONS</w:t>
      </w:r>
      <w:bookmarkEnd w:id="79"/>
    </w:p>
    <w:p w:rsidR="008D06AF" w:rsidRPr="00D874C4" w:rsidRDefault="008D06AF" w:rsidP="008D06AF">
      <w:pPr>
        <w:rPr>
          <w:rFonts w:ascii="Cambria" w:eastAsia="Cambria" w:hAnsi="Cambria" w:cs="Cambria"/>
          <w:color w:val="000000"/>
          <w:sz w:val="20"/>
          <w:szCs w:val="20"/>
          <w:u w:color="000000"/>
          <w:lang w:eastAsia="es-ES"/>
        </w:rPr>
      </w:pPr>
    </w:p>
    <w:p w:rsidR="008D06AF" w:rsidRPr="00D874C4" w:rsidRDefault="008D06AF" w:rsidP="008D06A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1440"/>
        </w:tabs>
        <w:ind w:left="0" w:firstLine="0"/>
        <w:jc w:val="both"/>
        <w:rPr>
          <w:rFonts w:ascii="Cambria" w:eastAsia="Cambria" w:hAnsi="Cambria" w:cs="Cambria"/>
          <w:color w:val="000000"/>
          <w:sz w:val="20"/>
          <w:szCs w:val="20"/>
          <w:u w:color="000000"/>
          <w:lang w:eastAsia="es-ES"/>
        </w:rPr>
      </w:pPr>
      <w:r w:rsidRPr="00D874C4">
        <w:rPr>
          <w:rFonts w:ascii="Cambria" w:eastAsia="Cambria" w:hAnsi="Cambria" w:cs="Cambria"/>
          <w:color w:val="000000"/>
          <w:sz w:val="20"/>
          <w:szCs w:val="20"/>
          <w:u w:color="000000"/>
          <w:lang w:eastAsia="es-ES"/>
        </w:rPr>
        <w:t xml:space="preserve">On the basis of determinations of fact and law, the Inter-American Commission concludes that the State is responsible for the violation of Articles </w:t>
      </w:r>
      <w:r w:rsidRPr="00D874C4">
        <w:rPr>
          <w:sz w:val="20"/>
        </w:rPr>
        <w:t xml:space="preserve">I, </w:t>
      </w:r>
      <w:r w:rsidRPr="00D874C4">
        <w:rPr>
          <w:rFonts w:asciiTheme="majorHAnsi" w:hAnsiTheme="majorHAnsi"/>
          <w:color w:val="000000" w:themeColor="text1"/>
          <w:sz w:val="20"/>
          <w:szCs w:val="20"/>
        </w:rPr>
        <w:t>XVIII, XXV and XXVI</w:t>
      </w:r>
      <w:r w:rsidRPr="00D874C4">
        <w:rPr>
          <w:sz w:val="20"/>
        </w:rPr>
        <w:t xml:space="preserve"> </w:t>
      </w:r>
      <w:r w:rsidRPr="00D874C4">
        <w:rPr>
          <w:rFonts w:ascii="Cambria" w:eastAsia="Cambria" w:hAnsi="Cambria" w:cs="Cambria"/>
          <w:color w:val="000000"/>
          <w:sz w:val="20"/>
          <w:szCs w:val="20"/>
          <w:u w:color="000000"/>
          <w:lang w:eastAsia="es-ES"/>
        </w:rPr>
        <w:t>of the American Declaration.</w:t>
      </w:r>
    </w:p>
    <w:bookmarkEnd w:id="74"/>
    <w:p w:rsidR="00BC5766" w:rsidRPr="00D874C4" w:rsidRDefault="00BC5766" w:rsidP="008D06AF">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hAnsi="Cambria"/>
          <w:sz w:val="20"/>
          <w:szCs w:val="20"/>
        </w:rPr>
      </w:pPr>
    </w:p>
    <w:p w:rsidR="00BC5766" w:rsidRPr="00D874C4" w:rsidRDefault="00BC5766" w:rsidP="00BC5766">
      <w:pPr>
        <w:tabs>
          <w:tab w:val="left" w:pos="360"/>
        </w:tabs>
        <w:jc w:val="both"/>
        <w:rPr>
          <w:rFonts w:ascii="Cambria" w:hAnsi="Cambria"/>
          <w:b/>
          <w:sz w:val="20"/>
          <w:szCs w:val="20"/>
        </w:rPr>
      </w:pPr>
      <w:r w:rsidRPr="00D874C4">
        <w:rPr>
          <w:rFonts w:ascii="Cambria" w:hAnsi="Cambria"/>
          <w:b/>
          <w:sz w:val="20"/>
          <w:szCs w:val="20"/>
        </w:rPr>
        <w:t>THE INTER-AMERICAN COMMISSION ON HUMAN RIGHTS RE</w:t>
      </w:r>
      <w:r w:rsidR="00AA4294" w:rsidRPr="00D874C4">
        <w:rPr>
          <w:rFonts w:ascii="Cambria" w:hAnsi="Cambria"/>
          <w:b/>
          <w:sz w:val="20"/>
          <w:szCs w:val="20"/>
        </w:rPr>
        <w:t>ITERATES</w:t>
      </w:r>
      <w:r w:rsidRPr="00D874C4">
        <w:rPr>
          <w:rFonts w:ascii="Cambria" w:hAnsi="Cambria"/>
          <w:b/>
          <w:sz w:val="20"/>
          <w:szCs w:val="20"/>
        </w:rPr>
        <w:t xml:space="preserve"> THAT THE UNITED STATES OF AMERICA,</w:t>
      </w:r>
    </w:p>
    <w:p w:rsidR="0013698A" w:rsidRPr="00D874C4" w:rsidRDefault="0013698A" w:rsidP="00BC5766">
      <w:pPr>
        <w:tabs>
          <w:tab w:val="left" w:pos="360"/>
        </w:tabs>
        <w:jc w:val="both"/>
        <w:rPr>
          <w:rFonts w:ascii="Cambria" w:hAnsi="Cambria"/>
          <w:b/>
          <w:sz w:val="20"/>
          <w:szCs w:val="20"/>
        </w:rPr>
      </w:pPr>
    </w:p>
    <w:p w:rsidR="0013698A" w:rsidRPr="00D874C4" w:rsidRDefault="0013698A" w:rsidP="00AA42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rFonts w:eastAsia="Times New Roman" w:cs="Tahoma"/>
          <w:sz w:val="20"/>
          <w:szCs w:val="20"/>
          <w:bdr w:val="none" w:sz="0" w:space="0" w:color="auto" w:frame="1"/>
        </w:rPr>
        <w:t xml:space="preserve">Grant </w:t>
      </w:r>
      <w:proofErr w:type="spellStart"/>
      <w:r w:rsidR="007E743A" w:rsidRPr="00D874C4">
        <w:rPr>
          <w:color w:val="auto"/>
          <w:sz w:val="20"/>
          <w:szCs w:val="20"/>
        </w:rPr>
        <w:t>Lezmond</w:t>
      </w:r>
      <w:proofErr w:type="spellEnd"/>
      <w:r w:rsidR="007E743A" w:rsidRPr="00D874C4">
        <w:rPr>
          <w:color w:val="auto"/>
          <w:sz w:val="20"/>
          <w:szCs w:val="20"/>
        </w:rPr>
        <w:t xml:space="preserve"> M. Mitchell </w:t>
      </w:r>
      <w:r w:rsidRPr="00D874C4">
        <w:rPr>
          <w:rFonts w:eastAsia="Times New Roman" w:cs="Tahoma"/>
          <w:sz w:val="20"/>
          <w:szCs w:val="20"/>
          <w:bdr w:val="none" w:sz="0" w:space="0" w:color="auto" w:frame="1"/>
        </w:rPr>
        <w:t xml:space="preserve">effective relief, including the review of his trial and sentence in accordance with the guarantees of fair trial and due process set forth in Articles </w:t>
      </w:r>
      <w:r w:rsidR="006548A4" w:rsidRPr="00D874C4">
        <w:rPr>
          <w:rFonts w:asciiTheme="majorHAnsi" w:hAnsiTheme="majorHAnsi"/>
          <w:color w:val="000000" w:themeColor="text1"/>
          <w:sz w:val="20"/>
          <w:szCs w:val="20"/>
        </w:rPr>
        <w:t>XVIII, XXV and XXVI</w:t>
      </w:r>
      <w:r w:rsidRPr="00D874C4">
        <w:rPr>
          <w:rFonts w:asciiTheme="majorHAnsi" w:hAnsiTheme="majorHAnsi"/>
          <w:color w:val="000000" w:themeColor="text1"/>
          <w:sz w:val="20"/>
          <w:szCs w:val="20"/>
        </w:rPr>
        <w:t xml:space="preserve"> </w:t>
      </w:r>
      <w:r w:rsidRPr="00D874C4">
        <w:rPr>
          <w:rFonts w:eastAsia="Times New Roman" w:cs="Tahoma"/>
          <w:sz w:val="20"/>
          <w:szCs w:val="20"/>
          <w:bdr w:val="none" w:sz="0" w:space="0" w:color="auto" w:frame="1"/>
        </w:rPr>
        <w:t xml:space="preserve">of the American Declaration, and the payment of pecuniary compensation. </w:t>
      </w:r>
      <w:r w:rsidRPr="00D874C4">
        <w:rPr>
          <w:rFonts w:cs="Arial"/>
          <w:color w:val="auto"/>
          <w:sz w:val="20"/>
          <w:szCs w:val="20"/>
        </w:rPr>
        <w:t xml:space="preserve">Taking into account </w:t>
      </w:r>
      <w:r w:rsidR="000156FB" w:rsidRPr="00D874C4">
        <w:rPr>
          <w:rFonts w:asciiTheme="majorHAnsi" w:hAnsiTheme="majorHAnsi"/>
          <w:sz w:val="20"/>
        </w:rPr>
        <w:t>the sovereign decision of the Navajo Nation against the use of the death penalty</w:t>
      </w:r>
      <w:r w:rsidRPr="00D874C4">
        <w:rPr>
          <w:rFonts w:cs="Arial"/>
          <w:color w:val="auto"/>
          <w:sz w:val="20"/>
          <w:szCs w:val="20"/>
        </w:rPr>
        <w:t xml:space="preserve">, the Commission recommends that </w:t>
      </w:r>
      <w:r w:rsidR="00C320A3" w:rsidRPr="00D874C4">
        <w:rPr>
          <w:rFonts w:cs="Arial"/>
          <w:color w:val="auto"/>
          <w:sz w:val="20"/>
          <w:szCs w:val="20"/>
        </w:rPr>
        <w:t xml:space="preserve">if the new trial results in a conviction, that </w:t>
      </w:r>
      <w:r w:rsidR="000156FB" w:rsidRPr="00D874C4">
        <w:rPr>
          <w:rFonts w:cs="Arial"/>
          <w:color w:val="auto"/>
          <w:sz w:val="20"/>
          <w:szCs w:val="20"/>
        </w:rPr>
        <w:t>Mr. Mitchell</w:t>
      </w:r>
      <w:r w:rsidR="000156FB" w:rsidRPr="00D874C4">
        <w:rPr>
          <w:rFonts w:asciiTheme="majorHAnsi" w:hAnsiTheme="majorHAnsi"/>
          <w:sz w:val="20"/>
        </w:rPr>
        <w:t>’s</w:t>
      </w:r>
      <w:r w:rsidRPr="00D874C4">
        <w:rPr>
          <w:rFonts w:cs="Arial"/>
          <w:color w:val="auto"/>
          <w:sz w:val="20"/>
          <w:szCs w:val="20"/>
        </w:rPr>
        <w:t xml:space="preserve"> sentence be commuted</w:t>
      </w:r>
      <w:r w:rsidRPr="00D874C4">
        <w:rPr>
          <w:rFonts w:eastAsia="Times New Roman" w:cs="Tahoma"/>
          <w:sz w:val="20"/>
          <w:szCs w:val="20"/>
          <w:bdr w:val="none" w:sz="0" w:space="0" w:color="auto" w:frame="1"/>
        </w:rPr>
        <w:t>.</w:t>
      </w:r>
    </w:p>
    <w:p w:rsidR="0013698A" w:rsidRPr="00D874C4" w:rsidRDefault="0013698A" w:rsidP="0013698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rsidR="00C320A3" w:rsidRPr="00D874C4" w:rsidRDefault="0013698A" w:rsidP="00AA42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rFonts w:eastAsia="Times New Roman" w:cs="Tahoma"/>
          <w:sz w:val="20"/>
          <w:szCs w:val="20"/>
          <w:bdr w:val="none" w:sz="0" w:space="0" w:color="auto" w:frame="1"/>
        </w:rPr>
        <w:t>Review</w:t>
      </w:r>
      <w:r w:rsidRPr="00D874C4">
        <w:rPr>
          <w:sz w:val="20"/>
        </w:rPr>
        <w:t xml:space="preserve"> its laws, procedures, and practices at the federal level to ensure that persons accused of capital crimes are tried and, if convicted, sentenced in accordance with the rights established in the American Declaration,</w:t>
      </w:r>
      <w:r w:rsidR="00C320A3" w:rsidRPr="00D874C4">
        <w:rPr>
          <w:rStyle w:val="FootnoteReference"/>
          <w:sz w:val="20"/>
        </w:rPr>
        <w:footnoteReference w:id="105"/>
      </w:r>
      <w:r w:rsidRPr="00D874C4">
        <w:rPr>
          <w:sz w:val="20"/>
        </w:rPr>
        <w:t xml:space="preserve"> including Articles </w:t>
      </w:r>
      <w:r w:rsidR="00BF18F7" w:rsidRPr="00D874C4">
        <w:rPr>
          <w:sz w:val="20"/>
        </w:rPr>
        <w:t xml:space="preserve">I, </w:t>
      </w:r>
      <w:r w:rsidR="00BF18F7" w:rsidRPr="00D874C4">
        <w:rPr>
          <w:rFonts w:asciiTheme="majorHAnsi" w:hAnsiTheme="majorHAnsi"/>
          <w:color w:val="000000" w:themeColor="text1"/>
          <w:sz w:val="20"/>
          <w:szCs w:val="20"/>
        </w:rPr>
        <w:t>XVIII, XXV and XXVI</w:t>
      </w:r>
      <w:r w:rsidRPr="00D874C4">
        <w:rPr>
          <w:sz w:val="20"/>
        </w:rPr>
        <w:t xml:space="preserve"> thereof</w:t>
      </w:r>
      <w:bookmarkStart w:id="80" w:name="_ftn34"/>
      <w:bookmarkEnd w:id="80"/>
      <w:r w:rsidR="00C320A3" w:rsidRPr="00D874C4">
        <w:rPr>
          <w:sz w:val="20"/>
        </w:rPr>
        <w:t>, and, in particular</w:t>
      </w:r>
      <w:r w:rsidR="00395036" w:rsidRPr="00D874C4">
        <w:rPr>
          <w:sz w:val="20"/>
        </w:rPr>
        <w:t xml:space="preserve"> that</w:t>
      </w:r>
      <w:r w:rsidR="00C320A3" w:rsidRPr="00D874C4">
        <w:rPr>
          <w:sz w:val="20"/>
        </w:rPr>
        <w:t>:</w:t>
      </w:r>
    </w:p>
    <w:p w:rsidR="00C320A3" w:rsidRPr="00D874C4" w:rsidRDefault="00B36F26" w:rsidP="003C5618">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D874C4">
        <w:rPr>
          <w:rFonts w:asciiTheme="majorHAnsi" w:hAnsiTheme="majorHAnsi"/>
          <w:sz w:val="20"/>
        </w:rPr>
        <w:t xml:space="preserve">the sovereign decision of the Navajo Nation, and other </w:t>
      </w:r>
      <w:r w:rsidR="00513917" w:rsidRPr="00D874C4">
        <w:rPr>
          <w:rFonts w:asciiTheme="majorHAnsi" w:hAnsiTheme="majorHAnsi"/>
          <w:sz w:val="20"/>
        </w:rPr>
        <w:t xml:space="preserve">Native American </w:t>
      </w:r>
      <w:r w:rsidRPr="00D874C4">
        <w:rPr>
          <w:rFonts w:asciiTheme="majorHAnsi" w:hAnsiTheme="majorHAnsi"/>
          <w:sz w:val="20"/>
        </w:rPr>
        <w:t xml:space="preserve">Nations, against the use of the death penalty in their territory, </w:t>
      </w:r>
      <w:r w:rsidR="0035404D" w:rsidRPr="00D874C4">
        <w:rPr>
          <w:rFonts w:asciiTheme="majorHAnsi" w:hAnsiTheme="majorHAnsi"/>
          <w:sz w:val="20"/>
        </w:rPr>
        <w:t>are</w:t>
      </w:r>
      <w:r w:rsidRPr="00D874C4">
        <w:rPr>
          <w:rFonts w:asciiTheme="majorHAnsi" w:hAnsiTheme="majorHAnsi"/>
          <w:sz w:val="20"/>
        </w:rPr>
        <w:t xml:space="preserve"> respected</w:t>
      </w:r>
      <w:r w:rsidR="00395036" w:rsidRPr="00D874C4">
        <w:rPr>
          <w:sz w:val="20"/>
        </w:rPr>
        <w:t xml:space="preserve">; </w:t>
      </w:r>
      <w:r w:rsidR="0035404D" w:rsidRPr="00D874C4">
        <w:rPr>
          <w:sz w:val="20"/>
        </w:rPr>
        <w:t>and</w:t>
      </w:r>
    </w:p>
    <w:p w:rsidR="00395036" w:rsidRPr="00D874C4" w:rsidRDefault="0013698A" w:rsidP="003C5618">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D874C4">
        <w:rPr>
          <w:sz w:val="20"/>
          <w:szCs w:val="20"/>
          <w:bdr w:val="none" w:sz="0" w:space="0" w:color="auto" w:frame="1"/>
        </w:rPr>
        <w:t xml:space="preserve">court-appointed counsel </w:t>
      </w:r>
      <w:r w:rsidR="00B36F26" w:rsidRPr="00D874C4">
        <w:rPr>
          <w:sz w:val="20"/>
          <w:szCs w:val="20"/>
          <w:bdr w:val="none" w:sz="0" w:space="0" w:color="auto" w:frame="1"/>
        </w:rPr>
        <w:t>provide</w:t>
      </w:r>
      <w:r w:rsidRPr="00D874C4">
        <w:rPr>
          <w:sz w:val="20"/>
          <w:szCs w:val="20"/>
          <w:bdr w:val="none" w:sz="0" w:space="0" w:color="auto" w:frame="1"/>
        </w:rPr>
        <w:t xml:space="preserve"> adequate legal representation in death penalty cases</w:t>
      </w:r>
      <w:r w:rsidR="009658CC" w:rsidRPr="00D874C4">
        <w:rPr>
          <w:sz w:val="20"/>
          <w:szCs w:val="20"/>
          <w:bdr w:val="none" w:sz="0" w:space="0" w:color="auto" w:frame="1"/>
        </w:rPr>
        <w:t xml:space="preserve"> and, in the case of Native American/indigenous defendants, </w:t>
      </w:r>
      <w:r w:rsidR="0035404D" w:rsidRPr="00D874C4">
        <w:rPr>
          <w:sz w:val="20"/>
          <w:szCs w:val="20"/>
          <w:bdr w:val="none" w:sz="0" w:space="0" w:color="auto" w:frame="1"/>
        </w:rPr>
        <w:t xml:space="preserve">represent </w:t>
      </w:r>
      <w:r w:rsidR="009658CC" w:rsidRPr="00D874C4">
        <w:rPr>
          <w:sz w:val="20"/>
          <w:szCs w:val="20"/>
          <w:bdr w:val="none" w:sz="0" w:space="0" w:color="auto" w:frame="1"/>
        </w:rPr>
        <w:t>specific considerations that might involve issues of indigenous self-determination, jurisdiction, culture and religion</w:t>
      </w:r>
      <w:r w:rsidR="009658CC" w:rsidRPr="00D874C4">
        <w:rPr>
          <w:rFonts w:asciiTheme="majorHAnsi" w:hAnsiTheme="majorHAnsi"/>
          <w:bCs/>
          <w:color w:val="auto"/>
          <w:sz w:val="20"/>
          <w:szCs w:val="20"/>
        </w:rPr>
        <w:t>.</w:t>
      </w:r>
    </w:p>
    <w:p w:rsidR="0013698A" w:rsidRPr="00D874C4" w:rsidRDefault="0013698A" w:rsidP="009658CC">
      <w:pPr>
        <w:pStyle w:val="ListParagraph"/>
        <w:rPr>
          <w:rFonts w:eastAsia="Times New Roman" w:cs="Tahoma"/>
          <w:sz w:val="20"/>
          <w:szCs w:val="20"/>
          <w:bdr w:val="none" w:sz="0" w:space="0" w:color="auto" w:frame="1"/>
        </w:rPr>
      </w:pPr>
    </w:p>
    <w:p w:rsidR="00B36F26" w:rsidRPr="00D874C4" w:rsidRDefault="0013698A" w:rsidP="00AA42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rFonts w:eastAsia="Times New Roman" w:cs="Tahoma"/>
          <w:sz w:val="20"/>
          <w:szCs w:val="20"/>
          <w:bdr w:val="none" w:sz="0" w:space="0" w:color="auto" w:frame="1"/>
        </w:rPr>
        <w:t>Review</w:t>
      </w:r>
      <w:r w:rsidRPr="00D874C4">
        <w:rPr>
          <w:rFonts w:eastAsia="Times New Roman" w:cs="Tahoma"/>
          <w:sz w:val="20"/>
          <w:szCs w:val="20"/>
          <w:bdr w:val="none" w:sz="0" w:space="0" w:color="auto"/>
        </w:rPr>
        <w:t xml:space="preserve"> its laws, procedures, and practices to ensure that the persons sentenced to the death penalty have access to effective judicial remedies to challenge the possible impact of the method of execution on their fundamental rights in accordance with the standards set forth in this merits report.</w:t>
      </w:r>
    </w:p>
    <w:p w:rsidR="0013698A" w:rsidRPr="00D874C4" w:rsidRDefault="0013698A" w:rsidP="0013698A">
      <w:pPr>
        <w:pStyle w:val="ListParagraph"/>
        <w:tabs>
          <w:tab w:val="left" w:pos="360"/>
        </w:tabs>
        <w:ind w:left="360" w:hanging="360"/>
        <w:jc w:val="both"/>
        <w:rPr>
          <w:rFonts w:eastAsia="Times New Roman" w:cs="Tahoma"/>
          <w:sz w:val="20"/>
          <w:szCs w:val="20"/>
          <w:bdr w:val="none" w:sz="0" w:space="0" w:color="auto" w:frame="1"/>
        </w:rPr>
      </w:pPr>
    </w:p>
    <w:p w:rsidR="00284ACD" w:rsidRPr="00D874C4" w:rsidRDefault="00284ACD" w:rsidP="00AA4294">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rPr>
          <w:rFonts w:eastAsia="Times New Roman" w:cs="Tahoma"/>
          <w:sz w:val="20"/>
          <w:szCs w:val="20"/>
          <w:bdr w:val="none" w:sz="0" w:space="0" w:color="auto" w:frame="1"/>
        </w:rPr>
      </w:pPr>
      <w:r w:rsidRPr="00D874C4">
        <w:rPr>
          <w:rFonts w:eastAsia="Times New Roman" w:cs="Tahoma"/>
          <w:sz w:val="20"/>
          <w:szCs w:val="20"/>
          <w:bdr w:val="none" w:sz="0" w:space="0" w:color="auto" w:frame="1"/>
        </w:rPr>
        <w:lastRenderedPageBreak/>
        <w:t>Given</w:t>
      </w:r>
      <w:r w:rsidRPr="00D874C4">
        <w:rPr>
          <w:rFonts w:asciiTheme="majorHAnsi" w:hAnsiTheme="majorHAnsi"/>
          <w:sz w:val="20"/>
        </w:rPr>
        <w:t xml:space="preserve"> the violations of the American Declaration the IACHR has established in the present</w:t>
      </w:r>
      <w:r w:rsidRPr="00D874C4">
        <w:rPr>
          <w:sz w:val="20"/>
        </w:rPr>
        <w:t xml:space="preserve"> case and in others involving application of the death penalty, the Inter-American Commission also recommends to the United States that it abolishes the federal death penalty.</w:t>
      </w:r>
      <w:r w:rsidRPr="00D874C4">
        <w:rPr>
          <w:rStyle w:val="FootnoteReference"/>
          <w:sz w:val="20"/>
        </w:rPr>
        <w:footnoteReference w:id="106"/>
      </w:r>
    </w:p>
    <w:p w:rsidR="006C0DB3" w:rsidRPr="00D874C4" w:rsidRDefault="006C0DB3" w:rsidP="006C0DB3">
      <w:pPr>
        <w:rPr>
          <w:rFonts w:ascii="Cambria" w:hAnsi="Cambria"/>
          <w:sz w:val="20"/>
          <w:szCs w:val="20"/>
        </w:rPr>
      </w:pPr>
    </w:p>
    <w:p w:rsidR="00450CDF" w:rsidRPr="008D10A8" w:rsidRDefault="00450CDF" w:rsidP="00450CDF">
      <w:pPr>
        <w:pStyle w:val="Heading1"/>
        <w:tabs>
          <w:tab w:val="left" w:pos="360"/>
        </w:tabs>
        <w:spacing w:before="0"/>
        <w:ind w:hanging="720"/>
        <w:rPr>
          <w:rFonts w:ascii="Cambria" w:hAnsi="Cambria"/>
          <w:color w:val="auto"/>
          <w:sz w:val="20"/>
          <w:szCs w:val="20"/>
        </w:rPr>
      </w:pPr>
      <w:bookmarkStart w:id="81" w:name="_Toc47694458"/>
      <w:bookmarkStart w:id="82" w:name="_Toc49161083"/>
      <w:r w:rsidRPr="008D10A8">
        <w:rPr>
          <w:color w:val="auto"/>
          <w:sz w:val="20"/>
          <w:szCs w:val="20"/>
        </w:rPr>
        <w:t>PUBLICATION</w:t>
      </w:r>
      <w:bookmarkEnd w:id="81"/>
      <w:bookmarkEnd w:id="82"/>
      <w:r w:rsidRPr="008D10A8">
        <w:rPr>
          <w:rFonts w:ascii="Cambria" w:hAnsi="Cambria"/>
          <w:color w:val="auto"/>
          <w:sz w:val="20"/>
          <w:szCs w:val="20"/>
        </w:rPr>
        <w:t xml:space="preserve"> </w:t>
      </w:r>
    </w:p>
    <w:p w:rsidR="00450CDF" w:rsidRPr="008D10A8" w:rsidRDefault="00450CDF" w:rsidP="00450CDF"/>
    <w:p w:rsidR="008D10A8" w:rsidRDefault="00450CDF" w:rsidP="008D10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pPr>
      <w:r w:rsidRPr="008D10A8">
        <w:rPr>
          <w:sz w:val="20"/>
          <w:szCs w:val="20"/>
        </w:rPr>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w:t>
      </w:r>
      <w:r w:rsidR="0097693F" w:rsidRPr="008D10A8">
        <w:rPr>
          <w:sz w:val="20"/>
          <w:szCs w:val="20"/>
        </w:rPr>
        <w:t>instruments that</w:t>
      </w:r>
      <w:r w:rsidRPr="008D10A8">
        <w:rPr>
          <w:sz w:val="20"/>
          <w:szCs w:val="20"/>
        </w:rPr>
        <w:t xml:space="preserve"> govern its mandate, will continue evaluating the measures adopted by the United States with respect to the above recommendations until it determines there has been full compliance. </w:t>
      </w:r>
    </w:p>
    <w:p w:rsidR="008D10A8" w:rsidRPr="006232F9" w:rsidRDefault="008D10A8" w:rsidP="008D10A8">
      <w:pPr>
        <w:tabs>
          <w:tab w:val="left" w:pos="360"/>
        </w:tabs>
        <w:jc w:val="both"/>
        <w:rPr>
          <w:rFonts w:asciiTheme="majorHAnsi" w:hAnsiTheme="majorHAnsi"/>
          <w:sz w:val="20"/>
          <w:szCs w:val="20"/>
        </w:rPr>
      </w:pPr>
    </w:p>
    <w:p w:rsidR="008D10A8" w:rsidRDefault="008D10A8" w:rsidP="00C15998">
      <w:pPr>
        <w:suppressAutoHyphens/>
        <w:jc w:val="both"/>
        <w:rPr>
          <w:rFonts w:ascii="Cambria" w:hAnsi="Cambria"/>
          <w:spacing w:val="-2"/>
          <w:sz w:val="20"/>
        </w:rPr>
      </w:pPr>
      <w:r>
        <w:rPr>
          <w:rFonts w:ascii="Cambria" w:hAnsi="Cambria"/>
          <w:spacing w:val="-2"/>
          <w:sz w:val="20"/>
        </w:rPr>
        <w:t xml:space="preserve">Approved by </w:t>
      </w:r>
      <w:r>
        <w:rPr>
          <w:rFonts w:ascii="Cambria" w:hAnsi="Cambria" w:cs="Arial"/>
          <w:sz w:val="20"/>
          <w:szCs w:val="20"/>
        </w:rPr>
        <w:t xml:space="preserve">the </w:t>
      </w:r>
      <w:r>
        <w:rPr>
          <w:rFonts w:ascii="Cambria" w:hAnsi="Cambria"/>
          <w:sz w:val="20"/>
        </w:rPr>
        <w:t>Inter-American Commission on Human Rights</w:t>
      </w:r>
      <w:r>
        <w:rPr>
          <w:rFonts w:ascii="Cambria" w:hAnsi="Cambria"/>
          <w:spacing w:val="-2"/>
          <w:sz w:val="20"/>
        </w:rPr>
        <w:t xml:space="preserve"> on the 24 day of the month of </w:t>
      </w:r>
      <w:r w:rsidR="0097693F">
        <w:rPr>
          <w:rFonts w:ascii="Cambria" w:hAnsi="Cambria"/>
          <w:spacing w:val="-2"/>
          <w:sz w:val="20"/>
        </w:rPr>
        <w:t>August</w:t>
      </w:r>
      <w:r>
        <w:rPr>
          <w:rFonts w:ascii="Cambria" w:hAnsi="Cambria"/>
          <w:spacing w:val="-2"/>
          <w:sz w:val="20"/>
        </w:rPr>
        <w:t xml:space="preserve"> 2020. (Signed): Joel Hernández García, President; Antonia Urrejola Noguera, </w:t>
      </w:r>
      <w:r w:rsidR="00C15998">
        <w:rPr>
          <w:rFonts w:ascii="Cambria" w:hAnsi="Cambria" w:cs="Arial"/>
          <w:sz w:val="20"/>
        </w:rPr>
        <w:t>First Vice-</w:t>
      </w:r>
      <w:r>
        <w:rPr>
          <w:rFonts w:ascii="Cambria" w:hAnsi="Cambria" w:cs="Arial"/>
          <w:sz w:val="20"/>
        </w:rPr>
        <w:t xml:space="preserve">President; </w:t>
      </w:r>
      <w:proofErr w:type="spellStart"/>
      <w:r w:rsidR="00C15998">
        <w:rPr>
          <w:rFonts w:ascii="Cambria" w:hAnsi="Cambria"/>
          <w:spacing w:val="-2"/>
          <w:sz w:val="20"/>
        </w:rPr>
        <w:t>Flávia</w:t>
      </w:r>
      <w:proofErr w:type="spellEnd"/>
      <w:r w:rsidR="00C15998">
        <w:rPr>
          <w:rFonts w:ascii="Cambria" w:hAnsi="Cambria"/>
          <w:spacing w:val="-2"/>
          <w:sz w:val="20"/>
        </w:rPr>
        <w:t xml:space="preserve"> </w:t>
      </w:r>
      <w:proofErr w:type="spellStart"/>
      <w:r w:rsidR="00C15998">
        <w:rPr>
          <w:rFonts w:ascii="Cambria" w:hAnsi="Cambria"/>
          <w:spacing w:val="-2"/>
          <w:sz w:val="20"/>
        </w:rPr>
        <w:t>Piovesan</w:t>
      </w:r>
      <w:proofErr w:type="spellEnd"/>
      <w:r w:rsidR="00C15998">
        <w:rPr>
          <w:rFonts w:ascii="Cambria" w:hAnsi="Cambria"/>
          <w:spacing w:val="-2"/>
          <w:sz w:val="20"/>
        </w:rPr>
        <w:t>, Second Vice-</w:t>
      </w:r>
      <w:r>
        <w:rPr>
          <w:rFonts w:ascii="Cambria" w:hAnsi="Cambria"/>
          <w:spacing w:val="-2"/>
          <w:sz w:val="20"/>
        </w:rPr>
        <w:t xml:space="preserve">President; </w:t>
      </w:r>
      <w:r>
        <w:rPr>
          <w:rFonts w:ascii="Cambria" w:hAnsi="Cambria"/>
          <w:spacing w:val="-2"/>
          <w:sz w:val="20"/>
          <w:lang w:val="pt-BR"/>
        </w:rPr>
        <w:t>Esmeralda E. Arosemena Bernal de Troitiño,</w:t>
      </w:r>
      <w:r>
        <w:rPr>
          <w:rFonts w:ascii="Cambria" w:hAnsi="Cambria"/>
          <w:spacing w:val="-2"/>
          <w:sz w:val="20"/>
        </w:rPr>
        <w:t xml:space="preserve"> Julissa Mantilla Falcón and </w:t>
      </w:r>
      <w:r w:rsidRPr="00AA0A9D">
        <w:rPr>
          <w:rFonts w:ascii="Cambria" w:hAnsi="Cambria"/>
          <w:spacing w:val="-2"/>
          <w:sz w:val="20"/>
        </w:rPr>
        <w:t xml:space="preserve">Edgar </w:t>
      </w:r>
      <w:proofErr w:type="spellStart"/>
      <w:r w:rsidRPr="00AA0A9D">
        <w:rPr>
          <w:rFonts w:ascii="Cambria" w:hAnsi="Cambria"/>
          <w:spacing w:val="-2"/>
          <w:sz w:val="20"/>
        </w:rPr>
        <w:t>Stuardo</w:t>
      </w:r>
      <w:proofErr w:type="spellEnd"/>
      <w:r w:rsidRPr="00AA0A9D">
        <w:rPr>
          <w:rFonts w:ascii="Cambria" w:hAnsi="Cambria"/>
          <w:spacing w:val="-2"/>
          <w:sz w:val="20"/>
        </w:rPr>
        <w:t xml:space="preserve"> </w:t>
      </w:r>
      <w:proofErr w:type="spellStart"/>
      <w:r w:rsidRPr="00AA0A9D">
        <w:rPr>
          <w:rFonts w:ascii="Cambria" w:hAnsi="Cambria"/>
          <w:spacing w:val="-2"/>
          <w:sz w:val="20"/>
        </w:rPr>
        <w:t>Ralón</w:t>
      </w:r>
      <w:proofErr w:type="spellEnd"/>
      <w:r w:rsidRPr="00AA0A9D">
        <w:rPr>
          <w:rFonts w:ascii="Cambria" w:hAnsi="Cambria"/>
          <w:spacing w:val="-2"/>
          <w:sz w:val="20"/>
        </w:rPr>
        <w:t xml:space="preserve"> Orellana</w:t>
      </w:r>
      <w:r>
        <w:rPr>
          <w:rFonts w:ascii="Cambria" w:hAnsi="Cambria"/>
          <w:spacing w:val="-2"/>
          <w:sz w:val="20"/>
        </w:rPr>
        <w:t>, Commissioners.</w:t>
      </w:r>
    </w:p>
    <w:p w:rsidR="008D10A8" w:rsidRDefault="008D10A8" w:rsidP="008D10A8">
      <w:pPr>
        <w:suppressAutoHyphens/>
        <w:jc w:val="both"/>
        <w:rPr>
          <w:rFonts w:ascii="Cambria" w:hAnsi="Cambria"/>
          <w:spacing w:val="-2"/>
          <w:sz w:val="16"/>
          <w:szCs w:val="16"/>
        </w:rPr>
      </w:pPr>
    </w:p>
    <w:p w:rsidR="008D10A8" w:rsidRPr="0028253B" w:rsidRDefault="009B7F96" w:rsidP="00A07AC7">
      <w:pPr>
        <w:jc w:val="center"/>
        <w:rPr>
          <w:b/>
        </w:rPr>
      </w:pPr>
      <w:r>
        <w:rPr>
          <w:rFonts w:ascii="Cambria" w:hAnsi="Cambria"/>
          <w:sz w:val="20"/>
          <w:szCs w:val="20"/>
        </w:rPr>
        <w:t xml:space="preserve">            </w:t>
      </w:r>
    </w:p>
    <w:sectPr w:rsidR="008D10A8" w:rsidRPr="0028253B"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85" w:rsidRDefault="00FC0785" w:rsidP="00036A8A">
      <w:r>
        <w:separator/>
      </w:r>
    </w:p>
  </w:endnote>
  <w:endnote w:type="continuationSeparator" w:id="0">
    <w:p w:rsidR="00FC0785" w:rsidRDefault="00FC078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Arabic Typesetting">
    <w:charset w:val="00"/>
    <w:family w:val="script"/>
    <w:pitch w:val="variable"/>
    <w:sig w:usb0="A000206F" w:usb1="C0000000" w:usb2="00000008" w:usb3="00000000" w:csb0="000000D3"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0D" w:rsidRDefault="00BE3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6232F9" w:rsidRPr="006311DA" w:rsidRDefault="006232F9">
        <w:pPr>
          <w:pStyle w:val="Footer"/>
          <w:jc w:val="center"/>
          <w:rPr>
            <w:sz w:val="16"/>
          </w:rPr>
        </w:pPr>
        <w:r>
          <w:fldChar w:fldCharType="begin"/>
        </w:r>
        <w:r>
          <w:instrText xml:space="preserve"> PAGE   \* MERGEFORMAT </w:instrText>
        </w:r>
        <w:r>
          <w:fldChar w:fldCharType="separate"/>
        </w:r>
        <w:r w:rsidR="00474E3A" w:rsidRPr="00474E3A">
          <w:rPr>
            <w:noProof/>
            <w:sz w:val="16"/>
          </w:rPr>
          <w:t>1</w:t>
        </w:r>
        <w:r>
          <w:rPr>
            <w:noProof/>
            <w:sz w:val="16"/>
          </w:rPr>
          <w:fldChar w:fldCharType="end"/>
        </w:r>
      </w:p>
    </w:sdtContent>
  </w:sdt>
  <w:p w:rsidR="006232F9" w:rsidRDefault="00623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F9" w:rsidRDefault="006232F9">
    <w:pPr>
      <w:pStyle w:val="Footer"/>
      <w:jc w:val="center"/>
    </w:pPr>
  </w:p>
  <w:p w:rsidR="006232F9" w:rsidRDefault="006232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6232F9" w:rsidRDefault="006232F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232F9" w:rsidRDefault="00623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85" w:rsidRPr="00036A8A" w:rsidRDefault="00FC078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FC0785" w:rsidRPr="00036A8A" w:rsidRDefault="00FC0785" w:rsidP="00036A8A">
      <w:pPr>
        <w:rPr>
          <w:rFonts w:asciiTheme="majorHAnsi" w:hAnsiTheme="majorHAnsi"/>
          <w:sz w:val="16"/>
          <w:szCs w:val="16"/>
        </w:rPr>
      </w:pPr>
      <w:r w:rsidRPr="00036A8A">
        <w:rPr>
          <w:rFonts w:asciiTheme="majorHAnsi" w:hAnsiTheme="majorHAnsi"/>
          <w:sz w:val="16"/>
          <w:szCs w:val="16"/>
        </w:rPr>
        <w:separator/>
      </w:r>
    </w:p>
    <w:p w:rsidR="00FC0785" w:rsidRPr="00036A8A" w:rsidRDefault="00FC078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FC0785" w:rsidRPr="0093441A" w:rsidRDefault="00FC078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6232F9" w:rsidRPr="00D874C4" w:rsidRDefault="006232F9" w:rsidP="00CD403E">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On July 2, 2017, the IACHR granted precautionary measures on behalf of Mr. Mitchell pursuant to Article 25(1) of its Rules of Procedure and requested the United States to take the measures necessary to preserve his life and physical integrity so as not to hinder the processing of his case before the Inter-American system.</w:t>
      </w:r>
    </w:p>
  </w:footnote>
  <w:footnote w:id="3">
    <w:p w:rsidR="006232F9" w:rsidRPr="00D874C4" w:rsidRDefault="006232F9" w:rsidP="0076495F">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On July 6, 2018, the petitioner informed that the International Human Rights Clinic at Loyola Law School joined the case as co-counsel for Mr. Mitchell. </w:t>
      </w:r>
    </w:p>
  </w:footnote>
  <w:footnote w:id="4">
    <w:p w:rsidR="006232F9" w:rsidRPr="00D874C4" w:rsidRDefault="006232F9">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IACHR. Report No. 75/02. Case 11.140. Mary and Carrie Dann. United States. December 27, 2002, para. 96.</w:t>
      </w:r>
    </w:p>
  </w:footnote>
  <w:footnote w:id="5">
    <w:p w:rsidR="006232F9" w:rsidRPr="00D874C4" w:rsidRDefault="006232F9" w:rsidP="00C8591B">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The Federal Death Penalty System: a statistical survey (1988-2000). United States Department of Justice. Washington, D.C. September 12, 2000. </w:t>
      </w:r>
    </w:p>
  </w:footnote>
  <w:footnote w:id="6">
    <w:p w:rsidR="006232F9" w:rsidRPr="00D874C4" w:rsidRDefault="006232F9" w:rsidP="00C8591B">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The United States Department of Justice Archives. United States Attorney’s Manual. Available at: </w:t>
      </w:r>
      <w:hyperlink r:id="rId1" w:anchor="9-10.030" w:history="1">
        <w:r w:rsidRPr="00D874C4">
          <w:rPr>
            <w:rStyle w:val="Hyperlink"/>
            <w:rFonts w:asciiTheme="majorHAnsi" w:hAnsiTheme="majorHAnsi"/>
            <w:sz w:val="16"/>
            <w:szCs w:val="16"/>
          </w:rPr>
          <w:t>https://www.justice.gov/archives/usam/archives/usam-9-10000-capital-crimes#9-10.030</w:t>
        </w:r>
      </w:hyperlink>
      <w:r w:rsidRPr="00D874C4">
        <w:rPr>
          <w:rFonts w:asciiTheme="majorHAnsi" w:hAnsiTheme="majorHAnsi"/>
          <w:sz w:val="16"/>
          <w:szCs w:val="16"/>
        </w:rPr>
        <w:t xml:space="preserve"> </w:t>
      </w:r>
    </w:p>
  </w:footnote>
  <w:footnote w:id="7">
    <w:p w:rsidR="006232F9" w:rsidRPr="00D874C4" w:rsidRDefault="006232F9" w:rsidP="00C8591B">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w:t>
      </w:r>
      <w:r w:rsidRPr="00D874C4">
        <w:rPr>
          <w:rFonts w:asciiTheme="majorHAnsi" w:hAnsiTheme="majorHAnsi"/>
          <w:color w:val="auto"/>
          <w:sz w:val="16"/>
          <w:szCs w:val="16"/>
        </w:rPr>
        <w:t>The Federal Death Penalty System: a statistical survey (1988-2000). United States Department of Justice. Washington, D.C. September 12, 2000.</w:t>
      </w:r>
    </w:p>
  </w:footnote>
  <w:footnote w:id="8">
    <w:p w:rsidR="006232F9" w:rsidRPr="00D874C4" w:rsidRDefault="006232F9" w:rsidP="00EE75B2">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The United States Department of Justice. Native American Policies. Available at: </w:t>
      </w:r>
      <w:hyperlink r:id="rId2" w:history="1">
        <w:r w:rsidRPr="00D874C4">
          <w:rPr>
            <w:rStyle w:val="Hyperlink"/>
            <w:rFonts w:asciiTheme="majorHAnsi" w:hAnsiTheme="majorHAnsi"/>
            <w:sz w:val="16"/>
            <w:szCs w:val="16"/>
          </w:rPr>
          <w:t>https://www.justice.gov/otj/native-american-policies</w:t>
        </w:r>
      </w:hyperlink>
      <w:r w:rsidRPr="00D874C4">
        <w:rPr>
          <w:rFonts w:asciiTheme="majorHAnsi" w:hAnsiTheme="majorHAnsi"/>
          <w:sz w:val="16"/>
          <w:szCs w:val="16"/>
        </w:rPr>
        <w:t xml:space="preserve"> </w:t>
      </w:r>
    </w:p>
  </w:footnote>
  <w:footnote w:id="9">
    <w:p w:rsidR="006232F9" w:rsidRPr="00D874C4" w:rsidRDefault="006232F9" w:rsidP="00EE75B2">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The United States Department of Justice. Indian country criminal jurisdiction chart for crimes committed within Indian Country. Available at: </w:t>
      </w:r>
      <w:hyperlink r:id="rId3" w:history="1">
        <w:r w:rsidRPr="00D874C4">
          <w:rPr>
            <w:rStyle w:val="Hyperlink"/>
            <w:rFonts w:asciiTheme="majorHAnsi" w:hAnsiTheme="majorHAnsi"/>
            <w:sz w:val="16"/>
            <w:szCs w:val="16"/>
          </w:rPr>
          <w:t>https://www.justice.gov/sites/default/files/usao-wdok/legacy/2014/03/25/Indian%20Country%20Criminal%20Jurisdiction%20ChartColor2010.pdf</w:t>
        </w:r>
      </w:hyperlink>
      <w:r w:rsidRPr="00D874C4">
        <w:rPr>
          <w:rFonts w:asciiTheme="majorHAnsi" w:hAnsiTheme="majorHAnsi"/>
          <w:sz w:val="16"/>
          <w:szCs w:val="16"/>
        </w:rPr>
        <w:t xml:space="preserve"> </w:t>
      </w:r>
    </w:p>
  </w:footnote>
  <w:footnote w:id="10">
    <w:p w:rsidR="006232F9" w:rsidRPr="00D874C4" w:rsidRDefault="006232F9" w:rsidP="00EE75B2">
      <w:pPr>
        <w:pStyle w:val="FootnoteText"/>
        <w:jc w:val="both"/>
        <w:rPr>
          <w:rFonts w:asciiTheme="majorHAnsi" w:hAnsiTheme="majorHAnsi" w:cs="Arial"/>
          <w:color w:val="222222"/>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Federal Death Penalty Act, 18 </w:t>
      </w:r>
      <w:r w:rsidRPr="00D874C4">
        <w:rPr>
          <w:rFonts w:asciiTheme="majorHAnsi" w:hAnsiTheme="majorHAnsi"/>
          <w:color w:val="auto"/>
          <w:sz w:val="16"/>
          <w:szCs w:val="16"/>
        </w:rPr>
        <w:t xml:space="preserve">U.S.C. </w:t>
      </w:r>
      <w:r w:rsidRPr="00D874C4">
        <w:rPr>
          <w:rFonts w:asciiTheme="majorHAnsi" w:hAnsiTheme="majorHAnsi" w:cs="Arial"/>
          <w:color w:val="auto"/>
          <w:sz w:val="16"/>
          <w:szCs w:val="16"/>
        </w:rPr>
        <w:t>§ 3598.</w:t>
      </w:r>
    </w:p>
  </w:footnote>
  <w:footnote w:id="11">
    <w:p w:rsidR="006232F9" w:rsidRPr="00D874C4" w:rsidRDefault="006232F9" w:rsidP="00314B58">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Death Penalty Information Center. Background on the Federal Death Penalty. Native Americans. Available at: </w:t>
      </w:r>
      <w:hyperlink r:id="rId4" w:history="1">
        <w:r w:rsidRPr="00D874C4">
          <w:rPr>
            <w:rStyle w:val="Hyperlink"/>
            <w:rFonts w:asciiTheme="majorHAnsi" w:hAnsiTheme="majorHAnsi"/>
            <w:sz w:val="16"/>
            <w:szCs w:val="16"/>
          </w:rPr>
          <w:t>https://deathpenaltyinfo.org/state-and-federal-info/federal-death-penalty/background-on-the-federal-death-penalty</w:t>
        </w:r>
      </w:hyperlink>
      <w:r w:rsidRPr="00D874C4">
        <w:rPr>
          <w:rFonts w:asciiTheme="majorHAnsi" w:hAnsiTheme="majorHAnsi"/>
          <w:sz w:val="16"/>
          <w:szCs w:val="16"/>
        </w:rPr>
        <w:t xml:space="preserve"> </w:t>
      </w:r>
    </w:p>
  </w:footnote>
  <w:footnote w:id="12">
    <w:p w:rsidR="006232F9" w:rsidRPr="00D874C4" w:rsidRDefault="006232F9" w:rsidP="006A0A10">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The Navajo Nation Government. Official Site of the Navajo Nation. Available at: </w:t>
      </w:r>
      <w:hyperlink r:id="rId5" w:history="1">
        <w:r w:rsidRPr="00D874C4">
          <w:rPr>
            <w:rStyle w:val="Hyperlink"/>
            <w:rFonts w:asciiTheme="majorHAnsi" w:hAnsiTheme="majorHAnsi"/>
            <w:sz w:val="16"/>
            <w:szCs w:val="16"/>
          </w:rPr>
          <w:t>http://www.navajo-nsn.gov/index.htm</w:t>
        </w:r>
      </w:hyperlink>
      <w:r w:rsidRPr="00D874C4">
        <w:rPr>
          <w:rFonts w:asciiTheme="majorHAnsi" w:hAnsiTheme="majorHAnsi"/>
          <w:sz w:val="16"/>
          <w:szCs w:val="16"/>
        </w:rPr>
        <w:t xml:space="preserve">; Navajo Treaty of 1868. Available at: </w:t>
      </w:r>
      <w:hyperlink r:id="rId6" w:history="1">
        <w:r w:rsidRPr="00D874C4">
          <w:rPr>
            <w:rStyle w:val="Hyperlink"/>
            <w:rFonts w:asciiTheme="majorHAnsi" w:hAnsiTheme="majorHAnsi"/>
            <w:sz w:val="16"/>
            <w:szCs w:val="16"/>
          </w:rPr>
          <w:t>https://www.navajotreaty1868.navajo-nsn.gov</w:t>
        </w:r>
      </w:hyperlink>
      <w:r w:rsidRPr="00D874C4">
        <w:rPr>
          <w:rFonts w:asciiTheme="majorHAnsi" w:hAnsiTheme="majorHAnsi"/>
          <w:sz w:val="16"/>
          <w:szCs w:val="16"/>
        </w:rPr>
        <w:t xml:space="preserve">.  </w:t>
      </w:r>
    </w:p>
  </w:footnote>
  <w:footnote w:id="13">
    <w:p w:rsidR="006232F9" w:rsidRPr="00D874C4" w:rsidRDefault="006232F9" w:rsidP="00032EF4">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Statement of Helen Elaine Avalos, Assistant Attorney General, Navajo Department of Justice, on behalf of Peterson </w:t>
      </w:r>
      <w:proofErr w:type="spellStart"/>
      <w:r w:rsidRPr="00D874C4">
        <w:rPr>
          <w:rFonts w:asciiTheme="majorHAnsi" w:hAnsiTheme="majorHAnsi"/>
          <w:sz w:val="16"/>
          <w:szCs w:val="16"/>
        </w:rPr>
        <w:t>Zah</w:t>
      </w:r>
      <w:proofErr w:type="spellEnd"/>
      <w:r w:rsidRPr="00D874C4">
        <w:rPr>
          <w:rFonts w:asciiTheme="majorHAnsi" w:hAnsiTheme="majorHAnsi"/>
          <w:sz w:val="16"/>
          <w:szCs w:val="16"/>
        </w:rPr>
        <w:t>, President of the Navajo Nation. Hearing before the Subcommittee on Crime and Criminal Justice of House Judiciary Committee, 103. Cong., 2d Sess., Feb. 22, 1994. Petitioners’ original petition submitted on April 3, 2017, p. 33.</w:t>
      </w:r>
    </w:p>
  </w:footnote>
  <w:footnote w:id="14">
    <w:p w:rsidR="006232F9" w:rsidRPr="00D874C4" w:rsidRDefault="006232F9" w:rsidP="00E57DC0">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Mitchell v. United States. United States Court of Appeals for the Ninth Circuit. June 19, 2015. Exhibit 2, submitted with petitioners’ original petition on April 3, 2017.</w:t>
      </w:r>
    </w:p>
  </w:footnote>
  <w:footnote w:id="15">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sz w:val="16"/>
          <w:szCs w:val="16"/>
        </w:rPr>
        <w:t xml:space="preserve"> </w:t>
      </w:r>
      <w:r w:rsidRPr="00D874C4">
        <w:rPr>
          <w:rFonts w:asciiTheme="majorHAnsi" w:hAnsiTheme="majorHAnsi"/>
          <w:sz w:val="16"/>
          <w:szCs w:val="16"/>
        </w:rPr>
        <w:t>Original petition submitted on April 3, 2017, p. 38.</w:t>
      </w:r>
    </w:p>
  </w:footnote>
  <w:footnote w:id="16">
    <w:p w:rsidR="006232F9" w:rsidRPr="00D874C4" w:rsidRDefault="006232F9" w:rsidP="009C2690">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w:t>
      </w:r>
      <w:r w:rsidRPr="00D874C4">
        <w:rPr>
          <w:rFonts w:asciiTheme="majorHAnsi" w:hAnsiTheme="majorHAnsi"/>
          <w:i/>
          <w:sz w:val="16"/>
          <w:szCs w:val="16"/>
        </w:rPr>
        <w:t>Miranda</w:t>
      </w:r>
      <w:r w:rsidRPr="00D874C4">
        <w:rPr>
          <w:rFonts w:asciiTheme="majorHAnsi" w:hAnsiTheme="majorHAnsi"/>
          <w:sz w:val="16"/>
          <w:szCs w:val="16"/>
        </w:rPr>
        <w:t xml:space="preserve"> rights include the right to remain silent and the right to have an attorney present at the time of the police interrogation.</w:t>
      </w:r>
    </w:p>
  </w:footnote>
  <w:footnote w:id="17">
    <w:p w:rsidR="006232F9" w:rsidRPr="00D874C4" w:rsidRDefault="006232F9" w:rsidP="00A434EA">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Original petition submitted on April 3, 2017, p. 39; United States v.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C. Mitchell. 502 F.3d 931 (9</w:t>
      </w:r>
      <w:r w:rsidRPr="00D874C4">
        <w:rPr>
          <w:rFonts w:asciiTheme="majorHAnsi" w:hAnsiTheme="majorHAnsi"/>
          <w:sz w:val="16"/>
          <w:szCs w:val="16"/>
          <w:vertAlign w:val="superscript"/>
        </w:rPr>
        <w:t>th</w:t>
      </w:r>
      <w:r w:rsidRPr="00D874C4">
        <w:rPr>
          <w:rFonts w:asciiTheme="majorHAnsi" w:hAnsiTheme="majorHAnsi"/>
          <w:sz w:val="16"/>
          <w:szCs w:val="16"/>
        </w:rPr>
        <w:t xml:space="preserve"> Cir. 2007). Exhibit 1, submitted with petitioners’ original petition on April 3, 2017.</w:t>
      </w:r>
    </w:p>
  </w:footnote>
  <w:footnote w:id="18">
    <w:p w:rsidR="006232F9" w:rsidRPr="00D874C4" w:rsidRDefault="006232F9" w:rsidP="00F4713E">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United States v.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C. Mitchell. 502 F.3d 931 (9</w:t>
      </w:r>
      <w:r w:rsidRPr="00D874C4">
        <w:rPr>
          <w:rFonts w:asciiTheme="majorHAnsi" w:hAnsiTheme="majorHAnsi"/>
          <w:sz w:val="16"/>
          <w:szCs w:val="16"/>
          <w:vertAlign w:val="superscript"/>
        </w:rPr>
        <w:t>th</w:t>
      </w:r>
      <w:r w:rsidRPr="00D874C4">
        <w:rPr>
          <w:rFonts w:asciiTheme="majorHAnsi" w:hAnsiTheme="majorHAnsi"/>
          <w:sz w:val="16"/>
          <w:szCs w:val="16"/>
        </w:rPr>
        <w:t xml:space="preserve"> Cir. 2007). </w:t>
      </w:r>
    </w:p>
  </w:footnote>
  <w:footnote w:id="19">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Original petition submitted on April 3, 2017, p. 39.</w:t>
      </w:r>
    </w:p>
  </w:footnote>
  <w:footnote w:id="20">
    <w:p w:rsidR="006232F9" w:rsidRPr="00D874C4" w:rsidRDefault="006232F9" w:rsidP="003E4CF4">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Original petition submitted on April 3, 2017, pp. 7-8.</w:t>
      </w:r>
    </w:p>
  </w:footnote>
  <w:footnote w:id="21">
    <w:p w:rsidR="006232F9" w:rsidRPr="00D874C4" w:rsidRDefault="006232F9" w:rsidP="00C333BA">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Letter from </w:t>
      </w:r>
      <w:proofErr w:type="spellStart"/>
      <w:r w:rsidRPr="00D874C4">
        <w:rPr>
          <w:rFonts w:asciiTheme="majorHAnsi" w:hAnsiTheme="majorHAnsi"/>
          <w:sz w:val="16"/>
          <w:szCs w:val="16"/>
        </w:rPr>
        <w:t>Levon</w:t>
      </w:r>
      <w:proofErr w:type="spellEnd"/>
      <w:r w:rsidRPr="00D874C4">
        <w:rPr>
          <w:rFonts w:asciiTheme="majorHAnsi" w:hAnsiTheme="majorHAnsi"/>
          <w:sz w:val="16"/>
          <w:szCs w:val="16"/>
        </w:rPr>
        <w:t xml:space="preserve"> Henry, Attorney General of the Navajo Nation. January 22, 2002. Attachment A, submitted with original petition on April 3, 2017.</w:t>
      </w:r>
    </w:p>
  </w:footnote>
  <w:footnote w:id="22">
    <w:p w:rsidR="006232F9" w:rsidRPr="00D874C4" w:rsidRDefault="006232F9" w:rsidP="00AC1B00">
      <w:pPr>
        <w:pStyle w:val="FootnoteText"/>
        <w:jc w:val="both"/>
        <w:rPr>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Letter from Chief Justice Yazzie, Supreme Court of the Navajo Nation. July 21, 2014. Attachment C, submitted with original petition on April 3, 2017.</w:t>
      </w:r>
    </w:p>
  </w:footnote>
  <w:footnote w:id="23">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Original petition submitted on April 3, 2017, pp. 33, 34 and 36.</w:t>
      </w:r>
    </w:p>
  </w:footnote>
  <w:footnote w:id="24">
    <w:p w:rsidR="006232F9" w:rsidRPr="00D874C4" w:rsidRDefault="006232F9" w:rsidP="001064F8">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Mitchell,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(D. Az. 2002). Notice of intent to seek the death penalty. </w:t>
      </w:r>
    </w:p>
    <w:p w:rsidR="006232F9" w:rsidRPr="00D874C4" w:rsidRDefault="006232F9" w:rsidP="004E638B">
      <w:pPr>
        <w:pStyle w:val="FootnoteText"/>
        <w:jc w:val="both"/>
        <w:rPr>
          <w:sz w:val="16"/>
          <w:szCs w:val="16"/>
        </w:rPr>
      </w:pPr>
      <w:r w:rsidRPr="00D874C4">
        <w:rPr>
          <w:rFonts w:asciiTheme="majorHAnsi" w:hAnsiTheme="majorHAnsi"/>
          <w:sz w:val="16"/>
          <w:szCs w:val="16"/>
        </w:rPr>
        <w:t xml:space="preserve">Available at: </w:t>
      </w:r>
      <w:hyperlink r:id="rId7" w:history="1">
        <w:r w:rsidRPr="00D874C4">
          <w:rPr>
            <w:rStyle w:val="Hyperlink"/>
            <w:rFonts w:asciiTheme="majorHAnsi" w:hAnsiTheme="majorHAnsi"/>
            <w:sz w:val="16"/>
            <w:szCs w:val="16"/>
          </w:rPr>
          <w:t>https://fdprc.capdefnet.org/sites/cdn_fdprc/files/Assets/public/notices_of_intent/mitchell_-_d._az.pdf</w:t>
        </w:r>
      </w:hyperlink>
      <w:r w:rsidRPr="00D874C4">
        <w:rPr>
          <w:rFonts w:asciiTheme="majorHAnsi" w:hAnsiTheme="majorHAnsi"/>
          <w:sz w:val="16"/>
          <w:szCs w:val="16"/>
        </w:rPr>
        <w:t xml:space="preserve"> </w:t>
      </w:r>
    </w:p>
  </w:footnote>
  <w:footnote w:id="25">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Original petition submitted on April 3, 2017, pp. 7-9.</w:t>
      </w:r>
    </w:p>
  </w:footnote>
  <w:footnote w:id="26">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Original petition submitted on April 3, 2017, p. 9.</w:t>
      </w:r>
    </w:p>
  </w:footnote>
  <w:footnote w:id="27">
    <w:p w:rsidR="006232F9" w:rsidRPr="00D874C4" w:rsidRDefault="006232F9" w:rsidP="000B422F">
      <w:pPr>
        <w:pStyle w:val="FootnoteText"/>
        <w:jc w:val="both"/>
        <w:rPr>
          <w:sz w:val="16"/>
          <w:szCs w:val="16"/>
        </w:rPr>
      </w:pPr>
      <w:r w:rsidRPr="00D874C4">
        <w:rPr>
          <w:rStyle w:val="FootnoteReference"/>
          <w:rFonts w:asciiTheme="majorHAnsi" w:hAnsiTheme="majorHAnsi"/>
          <w:sz w:val="16"/>
          <w:szCs w:val="16"/>
        </w:rPr>
        <w:footnoteRef/>
      </w:r>
      <w:r w:rsidRPr="00D874C4">
        <w:rPr>
          <w:sz w:val="16"/>
          <w:szCs w:val="16"/>
        </w:rPr>
        <w:t xml:space="preserve"> </w:t>
      </w:r>
      <w:r w:rsidRPr="00D874C4">
        <w:rPr>
          <w:rFonts w:asciiTheme="majorHAnsi" w:hAnsiTheme="majorHAnsi"/>
          <w:sz w:val="16"/>
          <w:szCs w:val="16"/>
        </w:rPr>
        <w:t xml:space="preserve">United States v.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C. Mitchell. 502 F.3d 931 (9</w:t>
      </w:r>
      <w:r w:rsidRPr="00D874C4">
        <w:rPr>
          <w:rFonts w:asciiTheme="majorHAnsi" w:hAnsiTheme="majorHAnsi"/>
          <w:sz w:val="16"/>
          <w:szCs w:val="16"/>
          <w:vertAlign w:val="superscript"/>
        </w:rPr>
        <w:t>th</w:t>
      </w:r>
      <w:r w:rsidRPr="00D874C4">
        <w:rPr>
          <w:rFonts w:asciiTheme="majorHAnsi" w:hAnsiTheme="majorHAnsi"/>
          <w:sz w:val="16"/>
          <w:szCs w:val="16"/>
        </w:rPr>
        <w:t xml:space="preserve"> Cir. 2007). </w:t>
      </w:r>
    </w:p>
  </w:footnote>
  <w:footnote w:id="28">
    <w:p w:rsidR="006232F9" w:rsidRPr="00D874C4" w:rsidRDefault="006232F9" w:rsidP="000B422F">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United States v.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C. Mitchell. 502 F.3d 931 (9</w:t>
      </w:r>
      <w:r w:rsidRPr="00D874C4">
        <w:rPr>
          <w:rFonts w:asciiTheme="majorHAnsi" w:hAnsiTheme="majorHAnsi"/>
          <w:sz w:val="16"/>
          <w:szCs w:val="16"/>
          <w:vertAlign w:val="superscript"/>
        </w:rPr>
        <w:t>th</w:t>
      </w:r>
      <w:r w:rsidRPr="00D874C4">
        <w:rPr>
          <w:rFonts w:asciiTheme="majorHAnsi" w:hAnsiTheme="majorHAnsi"/>
          <w:sz w:val="16"/>
          <w:szCs w:val="16"/>
        </w:rPr>
        <w:t xml:space="preserve"> Cir. 2007). </w:t>
      </w:r>
    </w:p>
  </w:footnote>
  <w:footnote w:id="29">
    <w:p w:rsidR="006232F9" w:rsidRPr="00D874C4" w:rsidRDefault="006232F9" w:rsidP="000B422F">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United States v.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C. Mitchell. 502 F.3d 931 (9</w:t>
      </w:r>
      <w:r w:rsidRPr="00D874C4">
        <w:rPr>
          <w:rFonts w:asciiTheme="majorHAnsi" w:hAnsiTheme="majorHAnsi"/>
          <w:sz w:val="16"/>
          <w:szCs w:val="16"/>
          <w:vertAlign w:val="superscript"/>
        </w:rPr>
        <w:t>th</w:t>
      </w:r>
      <w:r w:rsidRPr="00D874C4">
        <w:rPr>
          <w:rFonts w:asciiTheme="majorHAnsi" w:hAnsiTheme="majorHAnsi"/>
          <w:sz w:val="16"/>
          <w:szCs w:val="16"/>
        </w:rPr>
        <w:t xml:space="preserve"> Cir. 2007). </w:t>
      </w:r>
    </w:p>
  </w:footnote>
  <w:footnote w:id="30">
    <w:p w:rsidR="006232F9" w:rsidRPr="00D874C4" w:rsidRDefault="006232F9" w:rsidP="00E83F9D">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United States v.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C. Mitchell. 502 F.3d 931 (9</w:t>
      </w:r>
      <w:r w:rsidRPr="00D874C4">
        <w:rPr>
          <w:rFonts w:asciiTheme="majorHAnsi" w:hAnsiTheme="majorHAnsi"/>
          <w:sz w:val="16"/>
          <w:szCs w:val="16"/>
          <w:vertAlign w:val="superscript"/>
        </w:rPr>
        <w:t>th</w:t>
      </w:r>
      <w:r w:rsidRPr="00D874C4">
        <w:rPr>
          <w:rFonts w:asciiTheme="majorHAnsi" w:hAnsiTheme="majorHAnsi"/>
          <w:sz w:val="16"/>
          <w:szCs w:val="16"/>
        </w:rPr>
        <w:t xml:space="preserve"> Cir. 2007). </w:t>
      </w:r>
    </w:p>
  </w:footnote>
  <w:footnote w:id="31">
    <w:p w:rsidR="006232F9" w:rsidRPr="00D874C4" w:rsidRDefault="006232F9">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United States v. </w:t>
      </w:r>
      <w:proofErr w:type="spellStart"/>
      <w:r w:rsidRPr="00D874C4">
        <w:rPr>
          <w:rFonts w:asciiTheme="majorHAnsi" w:hAnsiTheme="majorHAnsi"/>
          <w:sz w:val="16"/>
          <w:szCs w:val="16"/>
        </w:rPr>
        <w:t>Lezmond</w:t>
      </w:r>
      <w:proofErr w:type="spellEnd"/>
      <w:r w:rsidRPr="00D874C4">
        <w:rPr>
          <w:rFonts w:asciiTheme="majorHAnsi" w:hAnsiTheme="majorHAnsi"/>
          <w:sz w:val="16"/>
          <w:szCs w:val="16"/>
        </w:rPr>
        <w:t xml:space="preserve"> C. Mitchell. 502 F.3d 931 (9</w:t>
      </w:r>
      <w:r w:rsidRPr="00D874C4">
        <w:rPr>
          <w:rFonts w:asciiTheme="majorHAnsi" w:hAnsiTheme="majorHAnsi"/>
          <w:sz w:val="16"/>
          <w:szCs w:val="16"/>
          <w:vertAlign w:val="superscript"/>
        </w:rPr>
        <w:t>th</w:t>
      </w:r>
      <w:r w:rsidRPr="00D874C4">
        <w:rPr>
          <w:rFonts w:asciiTheme="majorHAnsi" w:hAnsiTheme="majorHAnsi"/>
          <w:sz w:val="16"/>
          <w:szCs w:val="16"/>
        </w:rPr>
        <w:t xml:space="preserve"> Cir. 2007).</w:t>
      </w:r>
    </w:p>
  </w:footnote>
  <w:footnote w:id="32">
    <w:p w:rsidR="006232F9" w:rsidRPr="00D874C4" w:rsidRDefault="006232F9" w:rsidP="00E83F9D">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w:t>
      </w:r>
      <w:r w:rsidRPr="00D874C4">
        <w:rPr>
          <w:rFonts w:asciiTheme="majorHAnsi" w:hAnsiTheme="majorHAnsi"/>
          <w:iCs/>
          <w:sz w:val="16"/>
          <w:szCs w:val="16"/>
        </w:rPr>
        <w:t>Mitchell v. United States</w:t>
      </w:r>
      <w:r w:rsidRPr="00D874C4">
        <w:rPr>
          <w:rFonts w:asciiTheme="majorHAnsi" w:hAnsiTheme="majorHAnsi"/>
          <w:sz w:val="16"/>
          <w:szCs w:val="16"/>
        </w:rPr>
        <w:t>, 553 U.S. 1094 (2008).</w:t>
      </w:r>
    </w:p>
  </w:footnote>
  <w:footnote w:id="33">
    <w:p w:rsidR="006232F9" w:rsidRPr="00D874C4" w:rsidRDefault="006232F9" w:rsidP="005A04CC">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Mitchell v. United States, </w:t>
      </w:r>
      <w:proofErr w:type="spellStart"/>
      <w:r w:rsidRPr="00D874C4">
        <w:rPr>
          <w:rFonts w:asciiTheme="majorHAnsi" w:hAnsiTheme="majorHAnsi"/>
          <w:sz w:val="16"/>
          <w:szCs w:val="16"/>
        </w:rPr>
        <w:t>Appelant’s</w:t>
      </w:r>
      <w:proofErr w:type="spellEnd"/>
      <w:r w:rsidRPr="00D874C4">
        <w:rPr>
          <w:rFonts w:asciiTheme="majorHAnsi" w:hAnsiTheme="majorHAnsi"/>
          <w:sz w:val="16"/>
          <w:szCs w:val="16"/>
        </w:rPr>
        <w:t xml:space="preserve"> motion for stay of execution (Sep. 9, 2019). Available at: </w:t>
      </w:r>
      <w:hyperlink r:id="rId8" w:history="1">
        <w:r w:rsidRPr="00D874C4">
          <w:rPr>
            <w:rStyle w:val="Hyperlink"/>
            <w:rFonts w:asciiTheme="majorHAnsi" w:hAnsiTheme="majorHAnsi"/>
            <w:sz w:val="16"/>
            <w:szCs w:val="16"/>
          </w:rPr>
          <w:t>http://cdn.ca9.uscourts.gov/datastore/general/2019/09/12/18-17031StayMotion.pdf</w:t>
        </w:r>
      </w:hyperlink>
    </w:p>
  </w:footnote>
  <w:footnote w:id="34">
    <w:p w:rsidR="006232F9" w:rsidRPr="00D874C4" w:rsidRDefault="006232F9" w:rsidP="005C6BC5">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Mitchell v. United States, 2010 WL 3895691 (D. Ariz. Sept. 30, 2010).</w:t>
      </w:r>
    </w:p>
  </w:footnote>
  <w:footnote w:id="35">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sz w:val="16"/>
          <w:szCs w:val="16"/>
        </w:rPr>
        <w:t xml:space="preserve"> </w:t>
      </w:r>
      <w:r w:rsidRPr="00D874C4">
        <w:rPr>
          <w:rFonts w:asciiTheme="majorHAnsi" w:hAnsiTheme="majorHAnsi"/>
          <w:sz w:val="16"/>
          <w:szCs w:val="16"/>
        </w:rPr>
        <w:t>Mitchell v. United States, 2010 WL 3895691 (D. Ariz. Sept. 30, 2010).</w:t>
      </w:r>
    </w:p>
  </w:footnote>
  <w:footnote w:id="36">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Mitchell v. United States, 2010 WL 3895691 (D. Ariz. Sept. 30, 2010).</w:t>
      </w:r>
    </w:p>
  </w:footnote>
  <w:footnote w:id="37">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Mitchell v. United States, 2010 WL 3895691 (D. Ariz. Sept. 30, 2010).</w:t>
      </w:r>
    </w:p>
  </w:footnote>
  <w:footnote w:id="38">
    <w:p w:rsidR="006232F9" w:rsidRPr="00D874C4" w:rsidRDefault="006232F9" w:rsidP="00981413">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Letter from Chief Justice Yazzie, Supreme Court of the Navajo Nation. July 21, 2014. Attachment C, submitted with original petition on April 3, 2017.</w:t>
      </w:r>
    </w:p>
  </w:footnote>
  <w:footnote w:id="39">
    <w:p w:rsidR="006232F9" w:rsidRPr="00D874C4" w:rsidRDefault="006232F9">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Mitchell v. United States, 790 F.3d 881 (9th Cir. 2015).</w:t>
      </w:r>
    </w:p>
  </w:footnote>
  <w:footnote w:id="40">
    <w:p w:rsidR="006232F9" w:rsidRPr="00D874C4" w:rsidRDefault="006232F9">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Mitchell v. United States, 137 S. Ct. 38 (2016).</w:t>
      </w:r>
    </w:p>
  </w:footnote>
  <w:footnote w:id="41">
    <w:p w:rsidR="006232F9" w:rsidRPr="00D874C4" w:rsidRDefault="006232F9">
      <w:pPr>
        <w:pStyle w:val="FootnoteText"/>
        <w:rPr>
          <w:rFonts w:asciiTheme="majorHAnsi" w:hAnsiTheme="majorHAnsi"/>
          <w:sz w:val="16"/>
          <w:szCs w:val="16"/>
          <w:lang w:val="es-ES"/>
        </w:rPr>
      </w:pPr>
      <w:r w:rsidRPr="00D874C4">
        <w:rPr>
          <w:rStyle w:val="FootnoteReference"/>
          <w:rFonts w:asciiTheme="majorHAnsi" w:hAnsiTheme="majorHAnsi"/>
          <w:sz w:val="16"/>
          <w:szCs w:val="16"/>
        </w:rPr>
        <w:footnoteRef/>
      </w:r>
      <w:r w:rsidRPr="00D874C4">
        <w:rPr>
          <w:rFonts w:asciiTheme="majorHAnsi" w:hAnsiTheme="majorHAnsi"/>
          <w:sz w:val="16"/>
          <w:szCs w:val="16"/>
          <w:lang w:val="es-ES"/>
        </w:rPr>
        <w:t xml:space="preserve"> Peña-Rodriguez v. Colorado, 137 S. </w:t>
      </w:r>
      <w:proofErr w:type="spellStart"/>
      <w:r w:rsidRPr="00D874C4">
        <w:rPr>
          <w:rFonts w:asciiTheme="majorHAnsi" w:hAnsiTheme="majorHAnsi"/>
          <w:sz w:val="16"/>
          <w:szCs w:val="16"/>
          <w:lang w:val="es-ES"/>
        </w:rPr>
        <w:t>Ct</w:t>
      </w:r>
      <w:proofErr w:type="spellEnd"/>
      <w:r w:rsidRPr="00D874C4">
        <w:rPr>
          <w:rFonts w:asciiTheme="majorHAnsi" w:hAnsiTheme="majorHAnsi"/>
          <w:sz w:val="16"/>
          <w:szCs w:val="16"/>
          <w:lang w:val="es-ES"/>
        </w:rPr>
        <w:t>. 855 (2017).</w:t>
      </w:r>
    </w:p>
  </w:footnote>
  <w:footnote w:id="42">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Mitchell v. United States, </w:t>
      </w:r>
      <w:proofErr w:type="spellStart"/>
      <w:r w:rsidRPr="00D874C4">
        <w:rPr>
          <w:rFonts w:asciiTheme="majorHAnsi" w:hAnsiTheme="majorHAnsi"/>
          <w:sz w:val="16"/>
          <w:szCs w:val="16"/>
        </w:rPr>
        <w:t>Appelant’s</w:t>
      </w:r>
      <w:proofErr w:type="spellEnd"/>
      <w:r w:rsidRPr="00D874C4">
        <w:rPr>
          <w:rFonts w:asciiTheme="majorHAnsi" w:hAnsiTheme="majorHAnsi"/>
          <w:sz w:val="16"/>
          <w:szCs w:val="16"/>
        </w:rPr>
        <w:t xml:space="preserve"> motion for stay of execution (Sep. 9, 2019). </w:t>
      </w:r>
    </w:p>
  </w:footnote>
  <w:footnote w:id="43">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sz w:val="16"/>
          <w:szCs w:val="16"/>
        </w:rPr>
        <w:t xml:space="preserve"> </w:t>
      </w:r>
      <w:r w:rsidRPr="00D874C4">
        <w:rPr>
          <w:rFonts w:asciiTheme="majorHAnsi" w:hAnsiTheme="majorHAnsi"/>
          <w:sz w:val="16"/>
          <w:szCs w:val="16"/>
        </w:rPr>
        <w:t xml:space="preserve">Mitchell v. United States, </w:t>
      </w:r>
      <w:proofErr w:type="spellStart"/>
      <w:r w:rsidRPr="00D874C4">
        <w:rPr>
          <w:rFonts w:asciiTheme="majorHAnsi" w:hAnsiTheme="majorHAnsi"/>
          <w:sz w:val="16"/>
          <w:szCs w:val="16"/>
        </w:rPr>
        <w:t>Appelant’s</w:t>
      </w:r>
      <w:proofErr w:type="spellEnd"/>
      <w:r w:rsidRPr="00D874C4">
        <w:rPr>
          <w:rFonts w:asciiTheme="majorHAnsi" w:hAnsiTheme="majorHAnsi"/>
          <w:sz w:val="16"/>
          <w:szCs w:val="16"/>
        </w:rPr>
        <w:t xml:space="preserve"> motion for stay of execution (Sep. 9, 2019).</w:t>
      </w:r>
    </w:p>
  </w:footnote>
  <w:footnote w:id="44">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sz w:val="16"/>
          <w:szCs w:val="16"/>
        </w:rPr>
        <w:t xml:space="preserve"> </w:t>
      </w:r>
      <w:r w:rsidRPr="00D874C4">
        <w:rPr>
          <w:rFonts w:asciiTheme="majorHAnsi" w:hAnsiTheme="majorHAnsi"/>
          <w:sz w:val="16"/>
          <w:szCs w:val="16"/>
        </w:rPr>
        <w:t xml:space="preserve">Mitchell v. United States, </w:t>
      </w:r>
      <w:proofErr w:type="spellStart"/>
      <w:r w:rsidRPr="00D874C4">
        <w:rPr>
          <w:rFonts w:asciiTheme="majorHAnsi" w:hAnsiTheme="majorHAnsi"/>
          <w:sz w:val="16"/>
          <w:szCs w:val="16"/>
        </w:rPr>
        <w:t>Appelant’s</w:t>
      </w:r>
      <w:proofErr w:type="spellEnd"/>
      <w:r w:rsidRPr="00D874C4">
        <w:rPr>
          <w:rFonts w:asciiTheme="majorHAnsi" w:hAnsiTheme="majorHAnsi"/>
          <w:sz w:val="16"/>
          <w:szCs w:val="16"/>
        </w:rPr>
        <w:t xml:space="preserve"> motion for stay of execution (Sep. 9, 2019).</w:t>
      </w:r>
    </w:p>
  </w:footnote>
  <w:footnote w:id="45">
    <w:p w:rsidR="006232F9" w:rsidRPr="00D874C4" w:rsidRDefault="006232F9" w:rsidP="00391D5A">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Mitchell v. United States, Order, No. 18-17031 (CA9 Oct. 4, 2019). Exhibit submitted with State’s observations on the merits on November 19, 2019.</w:t>
      </w:r>
    </w:p>
  </w:footnote>
  <w:footnote w:id="46">
    <w:p w:rsidR="006232F9" w:rsidRPr="00D874C4" w:rsidRDefault="006232F9" w:rsidP="00EC41C7">
      <w:pPr>
        <w:pStyle w:val="FootnoteT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Mitchell v. United States Ninth Circuit Case No. 18-17031.</w:t>
      </w:r>
      <w:r w:rsidRPr="00D874C4">
        <w:t xml:space="preserve"> </w:t>
      </w:r>
      <w:r w:rsidRPr="00D874C4">
        <w:rPr>
          <w:rFonts w:asciiTheme="majorHAnsi" w:hAnsiTheme="majorHAnsi"/>
          <w:sz w:val="16"/>
          <w:szCs w:val="16"/>
        </w:rPr>
        <w:t>Attachment A submitted with petitioner</w:t>
      </w:r>
      <w:r w:rsidRPr="00D874C4">
        <w:rPr>
          <w:rFonts w:asciiTheme="majorHAnsi" w:hAnsiTheme="majorHAnsi"/>
          <w:color w:val="auto"/>
          <w:sz w:val="16"/>
          <w:szCs w:val="16"/>
        </w:rPr>
        <w:t>’s</w:t>
      </w:r>
      <w:r w:rsidRPr="00D874C4">
        <w:rPr>
          <w:rFonts w:asciiTheme="majorHAnsi" w:hAnsiTheme="majorHAnsi"/>
          <w:sz w:val="16"/>
          <w:szCs w:val="16"/>
        </w:rPr>
        <w:t xml:space="preserve"> additional information dated May 13, 2020.</w:t>
      </w:r>
    </w:p>
  </w:footnote>
  <w:footnote w:id="47">
    <w:p w:rsidR="006232F9" w:rsidRPr="00D874C4" w:rsidRDefault="006232F9" w:rsidP="001B6CB3">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Robinson v. Mukasey et al., No. 1:07-cv-02145-RWR, U.S. District Court for the District of Columbia.</w:t>
      </w:r>
    </w:p>
  </w:footnote>
  <w:footnote w:id="48">
    <w:p w:rsidR="006232F9" w:rsidRPr="00D874C4" w:rsidRDefault="006232F9" w:rsidP="00AE6E52">
      <w:pPr>
        <w:pStyle w:val="FootnoteText"/>
        <w:jc w:val="both"/>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NPR. Lethal Injection Drug’s Efficacy </w:t>
      </w:r>
      <w:proofErr w:type="gramStart"/>
      <w:r w:rsidRPr="00D874C4">
        <w:rPr>
          <w:rFonts w:asciiTheme="majorHAnsi" w:hAnsiTheme="majorHAnsi"/>
          <w:color w:val="auto"/>
          <w:sz w:val="16"/>
          <w:szCs w:val="16"/>
        </w:rPr>
        <w:t>And Availability For</w:t>
      </w:r>
      <w:proofErr w:type="gramEnd"/>
      <w:r w:rsidRPr="00D874C4">
        <w:rPr>
          <w:rFonts w:asciiTheme="majorHAnsi" w:hAnsiTheme="majorHAnsi"/>
          <w:color w:val="auto"/>
          <w:sz w:val="16"/>
          <w:szCs w:val="16"/>
        </w:rPr>
        <w:t xml:space="preserve"> Federal Executions. July 26, 2019. Available at: </w:t>
      </w:r>
      <w:hyperlink r:id="rId9" w:history="1">
        <w:r w:rsidRPr="00D874C4">
          <w:rPr>
            <w:rFonts w:asciiTheme="majorHAnsi" w:hAnsiTheme="majorHAnsi"/>
            <w:color w:val="auto"/>
            <w:sz w:val="16"/>
            <w:szCs w:val="16"/>
          </w:rPr>
          <w:t>https://www.npr.org/2019/07/26/745722219/lethal-injection-drugs-efficacy-and-availability-for-federal-executions</w:t>
        </w:r>
      </w:hyperlink>
      <w:r w:rsidRPr="00D874C4">
        <w:rPr>
          <w:rFonts w:asciiTheme="majorHAnsi" w:hAnsiTheme="majorHAnsi"/>
          <w:color w:val="auto"/>
          <w:sz w:val="16"/>
          <w:szCs w:val="16"/>
        </w:rPr>
        <w:t xml:space="preserve"> </w:t>
      </w:r>
    </w:p>
  </w:footnote>
  <w:footnote w:id="49">
    <w:p w:rsidR="006232F9" w:rsidRPr="00D874C4" w:rsidRDefault="006232F9" w:rsidP="00DB60AB">
      <w:pPr>
        <w:pStyle w:val="FootnoteText"/>
        <w:jc w:val="both"/>
        <w:rPr>
          <w:rFonts w:asciiTheme="majorHAnsi" w:hAnsiTheme="majorHAnsi" w:cs="Arabic Typesetting"/>
          <w:sz w:val="16"/>
          <w:szCs w:val="16"/>
        </w:rPr>
      </w:pPr>
      <w:r w:rsidRPr="00D874C4">
        <w:rPr>
          <w:rStyle w:val="FootnoteReference"/>
          <w:rFonts w:asciiTheme="majorHAnsi" w:hAnsiTheme="majorHAnsi" w:cs="Arabic Typesetting"/>
          <w:sz w:val="16"/>
          <w:szCs w:val="16"/>
        </w:rPr>
        <w:footnoteRef/>
      </w:r>
      <w:r w:rsidRPr="00D874C4">
        <w:rPr>
          <w:rFonts w:asciiTheme="majorHAnsi" w:hAnsiTheme="majorHAnsi" w:cs="Arabic Typesetting"/>
          <w:sz w:val="16"/>
          <w:szCs w:val="16"/>
        </w:rPr>
        <w:t xml:space="preserve"> The Washington Post. Justice Dept. asks Supreme Court to let federal executions proceed after appeals court denial. December 2, 2019. Available at: </w:t>
      </w:r>
      <w:hyperlink r:id="rId10" w:history="1">
        <w:r w:rsidRPr="00D874C4">
          <w:rPr>
            <w:rStyle w:val="Hyperlink"/>
            <w:rFonts w:asciiTheme="majorHAnsi" w:hAnsiTheme="majorHAnsi" w:cs="Arabic Typesetting"/>
            <w:sz w:val="16"/>
            <w:szCs w:val="16"/>
          </w:rPr>
          <w:t>https://www.washingtonpost.com/national/appeals-court-rejects-justice-department-request-to-let-federal-executions-proceed/2019/12/02/db76cf96-1541-11ea-9110-3b34ce1d92b1_story.html</w:t>
        </w:r>
      </w:hyperlink>
      <w:r w:rsidRPr="00D874C4">
        <w:rPr>
          <w:rFonts w:asciiTheme="majorHAnsi" w:hAnsiTheme="majorHAnsi" w:cs="Arabic Typesetting"/>
          <w:sz w:val="16"/>
          <w:szCs w:val="16"/>
        </w:rPr>
        <w:t xml:space="preserve">; and The Washington Post. Supreme Court won’t let Justice Dept. immediately resume federal executions after hiatus. December 6, 2019. Available at: </w:t>
      </w:r>
      <w:hyperlink r:id="rId11" w:history="1">
        <w:r w:rsidRPr="00D874C4">
          <w:rPr>
            <w:rStyle w:val="Hyperlink"/>
            <w:rFonts w:asciiTheme="majorHAnsi" w:hAnsiTheme="majorHAnsi" w:cs="Arabic Typesetting"/>
            <w:sz w:val="16"/>
            <w:szCs w:val="16"/>
          </w:rPr>
          <w:t>https://www.washingtonpost.com/politics/courts_law/supreme-court-wont-let-justice-dept-immediately-resume-federal-executions-after-hiatus/2019/12/06/7103d8e6-1773-11ea-a659-7d69641c6ff7_story.html</w:t>
        </w:r>
      </w:hyperlink>
      <w:r w:rsidRPr="00D874C4">
        <w:rPr>
          <w:rFonts w:asciiTheme="majorHAnsi" w:hAnsiTheme="majorHAnsi" w:cs="Arabic Typesetting"/>
          <w:sz w:val="16"/>
          <w:szCs w:val="16"/>
        </w:rPr>
        <w:t xml:space="preserve">.  </w:t>
      </w:r>
    </w:p>
  </w:footnote>
  <w:footnote w:id="50">
    <w:p w:rsidR="006232F9" w:rsidRPr="00D874C4" w:rsidRDefault="006232F9" w:rsidP="00426CF8">
      <w:pPr>
        <w:pStyle w:val="FootnoteText"/>
        <w:jc w:val="both"/>
        <w:rPr>
          <w:sz w:val="16"/>
          <w:szCs w:val="16"/>
        </w:rPr>
      </w:pPr>
      <w:r w:rsidRPr="00D874C4">
        <w:rPr>
          <w:rStyle w:val="FootnoteReference"/>
          <w:sz w:val="16"/>
          <w:szCs w:val="16"/>
        </w:rPr>
        <w:footnoteRef/>
      </w:r>
      <w:r w:rsidRPr="00D874C4">
        <w:rPr>
          <w:sz w:val="16"/>
          <w:szCs w:val="16"/>
        </w:rPr>
        <w:t xml:space="preserve"> BBC News. US schedules first federal inmate executions since 2003. June 16, 2020. Available at: </w:t>
      </w:r>
      <w:hyperlink r:id="rId12" w:history="1">
        <w:r w:rsidRPr="00D874C4">
          <w:rPr>
            <w:rStyle w:val="Hyperlink"/>
            <w:sz w:val="16"/>
            <w:szCs w:val="16"/>
          </w:rPr>
          <w:t>https://www.bbc.com/news/world-us-canada-53069070</w:t>
        </w:r>
      </w:hyperlink>
      <w:r w:rsidRPr="00D874C4">
        <w:rPr>
          <w:sz w:val="16"/>
          <w:szCs w:val="16"/>
        </w:rPr>
        <w:t xml:space="preserve"> </w:t>
      </w:r>
    </w:p>
  </w:footnote>
  <w:footnote w:id="51">
    <w:p w:rsidR="006232F9" w:rsidRPr="00D874C4" w:rsidRDefault="006232F9" w:rsidP="00E57AC6">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See, for example: I/A Court H. R., Advisory Opinion OC-16/99 (October 1, 1999), </w:t>
      </w:r>
      <w:r w:rsidRPr="00D874C4">
        <w:rPr>
          <w:rFonts w:asciiTheme="majorHAnsi" w:hAnsiTheme="majorHAnsi"/>
          <w:i/>
          <w:iCs/>
          <w:color w:val="auto"/>
          <w:sz w:val="16"/>
          <w:szCs w:val="16"/>
        </w:rPr>
        <w:t>The Right to Information on Consular Assistance in the Framework of the Guarantees of the Due Process of Law</w:t>
      </w:r>
      <w:r w:rsidRPr="00D874C4">
        <w:rPr>
          <w:rFonts w:asciiTheme="majorHAnsi" w:hAnsiTheme="majorHAnsi"/>
          <w:color w:val="auto"/>
          <w:sz w:val="16"/>
          <w:szCs w:val="16"/>
        </w:rPr>
        <w:t xml:space="preserve">, para. 136; United Nations Human Rights Committee, </w:t>
      </w:r>
      <w:proofErr w:type="spellStart"/>
      <w:r w:rsidRPr="00D874C4">
        <w:rPr>
          <w:rFonts w:asciiTheme="majorHAnsi" w:hAnsiTheme="majorHAnsi"/>
          <w:i/>
          <w:iCs/>
          <w:color w:val="auto"/>
          <w:sz w:val="16"/>
          <w:szCs w:val="16"/>
        </w:rPr>
        <w:t>Baboheram-Adhin</w:t>
      </w:r>
      <w:proofErr w:type="spellEnd"/>
      <w:r w:rsidRPr="00D874C4">
        <w:rPr>
          <w:rFonts w:asciiTheme="majorHAnsi" w:hAnsiTheme="majorHAnsi"/>
          <w:i/>
          <w:iCs/>
          <w:color w:val="auto"/>
          <w:sz w:val="16"/>
          <w:szCs w:val="16"/>
        </w:rPr>
        <w:t xml:space="preserve"> et al. v. Suriname</w:t>
      </w:r>
      <w:r w:rsidRPr="00D874C4">
        <w:rPr>
          <w:rFonts w:asciiTheme="majorHAnsi" w:hAnsiTheme="majorHAnsi"/>
          <w:color w:val="auto"/>
          <w:sz w:val="16"/>
          <w:szCs w:val="16"/>
        </w:rPr>
        <w:t>,</w:t>
      </w:r>
      <w:r w:rsidRPr="00D874C4">
        <w:rPr>
          <w:rFonts w:asciiTheme="majorHAnsi" w:hAnsiTheme="majorHAnsi"/>
          <w:i/>
          <w:iCs/>
          <w:color w:val="auto"/>
          <w:sz w:val="16"/>
          <w:szCs w:val="16"/>
        </w:rPr>
        <w:t xml:space="preserve"> </w:t>
      </w:r>
      <w:r w:rsidRPr="00D874C4">
        <w:rPr>
          <w:rFonts w:asciiTheme="majorHAnsi" w:hAnsiTheme="majorHAnsi"/>
          <w:color w:val="auto"/>
          <w:sz w:val="16"/>
          <w:szCs w:val="16"/>
        </w:rPr>
        <w:t xml:space="preserve">Communications Nos. 148-154/1983, adopted on April 4, 1985, para. 14.3; </w:t>
      </w:r>
      <w:r w:rsidRPr="00D874C4">
        <w:rPr>
          <w:rFonts w:asciiTheme="majorHAnsi" w:hAnsiTheme="majorHAnsi"/>
          <w:i/>
          <w:iCs/>
          <w:color w:val="auto"/>
          <w:sz w:val="16"/>
          <w:szCs w:val="16"/>
        </w:rPr>
        <w:t>Report of the United Nations Special Rapporteur on Extrajudicial Executions</w:t>
      </w:r>
      <w:r w:rsidRPr="00D874C4">
        <w:rPr>
          <w:rFonts w:asciiTheme="majorHAnsi" w:hAnsiTheme="majorHAnsi"/>
          <w:color w:val="auto"/>
          <w:sz w:val="16"/>
          <w:szCs w:val="16"/>
        </w:rPr>
        <w:t xml:space="preserve">, </w:t>
      </w:r>
      <w:proofErr w:type="spellStart"/>
      <w:r w:rsidRPr="00D874C4">
        <w:rPr>
          <w:rFonts w:asciiTheme="majorHAnsi" w:hAnsiTheme="majorHAnsi"/>
          <w:color w:val="auto"/>
          <w:sz w:val="16"/>
          <w:szCs w:val="16"/>
        </w:rPr>
        <w:t>Bacre</w:t>
      </w:r>
      <w:proofErr w:type="spellEnd"/>
      <w:r w:rsidRPr="00D874C4">
        <w:rPr>
          <w:rFonts w:asciiTheme="majorHAnsi" w:hAnsiTheme="majorHAnsi"/>
          <w:color w:val="auto"/>
          <w:sz w:val="16"/>
          <w:szCs w:val="16"/>
        </w:rPr>
        <w:t xml:space="preserve"> </w:t>
      </w:r>
      <w:proofErr w:type="spellStart"/>
      <w:r w:rsidRPr="00D874C4">
        <w:rPr>
          <w:rFonts w:asciiTheme="majorHAnsi" w:hAnsiTheme="majorHAnsi"/>
          <w:color w:val="auto"/>
          <w:sz w:val="16"/>
          <w:szCs w:val="16"/>
        </w:rPr>
        <w:t>Waly</w:t>
      </w:r>
      <w:proofErr w:type="spellEnd"/>
      <w:r w:rsidRPr="00D874C4">
        <w:rPr>
          <w:rFonts w:asciiTheme="majorHAnsi" w:hAnsiTheme="majorHAnsi"/>
          <w:color w:val="auto"/>
          <w:sz w:val="16"/>
          <w:szCs w:val="16"/>
        </w:rPr>
        <w:t xml:space="preserve"> </w:t>
      </w:r>
      <w:proofErr w:type="spellStart"/>
      <w:r w:rsidRPr="00D874C4">
        <w:rPr>
          <w:rFonts w:asciiTheme="majorHAnsi" w:hAnsiTheme="majorHAnsi"/>
          <w:color w:val="auto"/>
          <w:sz w:val="16"/>
          <w:szCs w:val="16"/>
        </w:rPr>
        <w:t>Ndiaye</w:t>
      </w:r>
      <w:proofErr w:type="spellEnd"/>
      <w:r w:rsidRPr="00D874C4">
        <w:rPr>
          <w:rFonts w:asciiTheme="majorHAnsi" w:hAnsiTheme="majorHAnsi"/>
          <w:color w:val="auto"/>
          <w:sz w:val="16"/>
          <w:szCs w:val="16"/>
        </w:rPr>
        <w:t xml:space="preserve">, submitted pursuant to Commission on Human Rights Resolution 1994/82, Question of the Violation of Human Rights and Fundamental Freedoms in any part of the World, with particular reference to Colonial and Other Dependent Countries and Territories, UN </w:t>
      </w:r>
      <w:proofErr w:type="spellStart"/>
      <w:r w:rsidRPr="00D874C4">
        <w:rPr>
          <w:rFonts w:asciiTheme="majorHAnsi" w:hAnsiTheme="majorHAnsi"/>
          <w:color w:val="auto"/>
          <w:sz w:val="16"/>
          <w:szCs w:val="16"/>
        </w:rPr>
        <w:t>Doc.E</w:t>
      </w:r>
      <w:proofErr w:type="spellEnd"/>
      <w:r w:rsidRPr="00D874C4">
        <w:rPr>
          <w:rFonts w:asciiTheme="majorHAnsi" w:hAnsiTheme="majorHAnsi"/>
          <w:color w:val="auto"/>
          <w:sz w:val="16"/>
          <w:szCs w:val="16"/>
        </w:rPr>
        <w:t>/CN.4/1995/61 (December 14, 1994), para. 378.</w:t>
      </w:r>
    </w:p>
  </w:footnote>
  <w:footnote w:id="52">
    <w:p w:rsidR="006232F9" w:rsidRPr="00D874C4" w:rsidRDefault="006232F9" w:rsidP="00E57AC6">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w:t>
      </w:r>
      <w:r w:rsidRPr="00D874C4">
        <w:rPr>
          <w:rFonts w:asciiTheme="majorHAnsi" w:hAnsiTheme="majorHAnsi"/>
          <w:i/>
          <w:iCs/>
          <w:color w:val="auto"/>
          <w:sz w:val="16"/>
          <w:szCs w:val="16"/>
        </w:rPr>
        <w:t xml:space="preserve"> </w:t>
      </w:r>
      <w:r w:rsidRPr="00D874C4">
        <w:rPr>
          <w:rFonts w:asciiTheme="majorHAnsi" w:hAnsiTheme="majorHAnsi"/>
          <w:color w:val="auto"/>
          <w:sz w:val="16"/>
          <w:szCs w:val="16"/>
        </w:rPr>
        <w:t xml:space="preserve">Report No. 57/96, </w:t>
      </w:r>
      <w:r w:rsidRPr="00D874C4">
        <w:rPr>
          <w:rFonts w:asciiTheme="majorHAnsi" w:hAnsiTheme="majorHAnsi"/>
          <w:iCs/>
          <w:color w:val="auto"/>
          <w:sz w:val="16"/>
          <w:szCs w:val="16"/>
        </w:rPr>
        <w:t>Andrews, United States</w:t>
      </w:r>
      <w:r w:rsidRPr="00D874C4">
        <w:rPr>
          <w:rFonts w:asciiTheme="majorHAnsi" w:hAnsiTheme="majorHAnsi"/>
          <w:color w:val="auto"/>
          <w:sz w:val="16"/>
          <w:szCs w:val="16"/>
        </w:rPr>
        <w:t xml:space="preserve">, IACHR Annual Report 1997, para. 170-171; Report No. 38/00 Baptiste, Grenada, IACHR Annual Report 1999, paras. 64-66; Report No. 41/00, McKenzie </w:t>
      </w:r>
      <w:r w:rsidRPr="00D874C4">
        <w:rPr>
          <w:rFonts w:asciiTheme="majorHAnsi" w:hAnsiTheme="majorHAnsi"/>
          <w:i/>
          <w:iCs/>
          <w:color w:val="auto"/>
          <w:sz w:val="16"/>
          <w:szCs w:val="16"/>
        </w:rPr>
        <w:t>et al.</w:t>
      </w:r>
      <w:r w:rsidRPr="00D874C4">
        <w:rPr>
          <w:rFonts w:asciiTheme="majorHAnsi" w:hAnsiTheme="majorHAnsi"/>
          <w:iCs/>
          <w:color w:val="auto"/>
          <w:sz w:val="16"/>
          <w:szCs w:val="16"/>
        </w:rPr>
        <w:t>,</w:t>
      </w:r>
      <w:r w:rsidRPr="00D874C4">
        <w:rPr>
          <w:rFonts w:asciiTheme="majorHAnsi" w:hAnsiTheme="majorHAnsi"/>
          <w:color w:val="auto"/>
          <w:sz w:val="16"/>
          <w:szCs w:val="16"/>
        </w:rPr>
        <w:t xml:space="preserve"> Jamaica, IACHR Annual Report 1999, paras. 169-171.</w:t>
      </w:r>
    </w:p>
  </w:footnote>
  <w:footnote w:id="53">
    <w:p w:rsidR="006232F9" w:rsidRPr="00D874C4" w:rsidRDefault="006232F9" w:rsidP="00E57AC6">
      <w:pPr>
        <w:autoSpaceDE w:val="0"/>
        <w:autoSpaceDN w:val="0"/>
        <w:adjustRightInd w:val="0"/>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IACHR, The death penalty in the Inter-American System of Human Rights: From restrictions to abolition, </w:t>
      </w:r>
      <w:r w:rsidRPr="00D874C4">
        <w:rPr>
          <w:rFonts w:asciiTheme="majorHAnsi" w:hAnsiTheme="majorHAnsi" w:cs="Calibri"/>
          <w:sz w:val="16"/>
          <w:szCs w:val="16"/>
        </w:rPr>
        <w:t>OEA/</w:t>
      </w:r>
      <w:proofErr w:type="spellStart"/>
      <w:r w:rsidRPr="00D874C4">
        <w:rPr>
          <w:rFonts w:asciiTheme="majorHAnsi" w:hAnsiTheme="majorHAnsi" w:cs="Calibri"/>
          <w:sz w:val="16"/>
          <w:szCs w:val="16"/>
        </w:rPr>
        <w:t>Ser.L</w:t>
      </w:r>
      <w:proofErr w:type="spellEnd"/>
      <w:r w:rsidRPr="00D874C4">
        <w:rPr>
          <w:rFonts w:asciiTheme="majorHAnsi" w:hAnsiTheme="majorHAnsi" w:cs="Calibri"/>
          <w:sz w:val="16"/>
          <w:szCs w:val="16"/>
        </w:rPr>
        <w:t xml:space="preserve">/V/II.Doc. 68, December 31, 2011, </w:t>
      </w:r>
      <w:r w:rsidRPr="00D874C4">
        <w:rPr>
          <w:rFonts w:asciiTheme="majorHAnsi" w:hAnsiTheme="majorHAnsi"/>
          <w:sz w:val="16"/>
          <w:szCs w:val="16"/>
        </w:rPr>
        <w:t>para. 41.</w:t>
      </w:r>
    </w:p>
  </w:footnote>
  <w:footnote w:id="54">
    <w:p w:rsidR="006232F9" w:rsidRPr="00D874C4" w:rsidRDefault="006232F9" w:rsidP="00E57AC6">
      <w:pPr>
        <w:autoSpaceDE w:val="0"/>
        <w:autoSpaceDN w:val="0"/>
        <w:adjustRightInd w:val="0"/>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IACHR, Report No. 78/07, Case 12.265, Merits (Publication), Chad Roger Goodman, The Bahamas, October 15, 2007, para. 34.</w:t>
      </w:r>
    </w:p>
  </w:footnote>
  <w:footnote w:id="55">
    <w:p w:rsidR="006232F9" w:rsidRPr="00D874C4" w:rsidRDefault="006232F9" w:rsidP="00E57AC6">
      <w:pPr>
        <w:pStyle w:val="FootnoteText"/>
        <w:jc w:val="both"/>
        <w:rPr>
          <w:rFonts w:asciiTheme="majorHAnsi" w:hAnsiTheme="majorHAnsi" w:cs="Times New Roman"/>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Report No. 44/14, Case 12,873, Report on Merits (Publication), Edgar Tamayo Arias, United States, July 17, 2014, para. 214.</w:t>
      </w:r>
    </w:p>
  </w:footnote>
  <w:footnote w:id="56">
    <w:p w:rsidR="006232F9" w:rsidRPr="00D874C4" w:rsidRDefault="006232F9" w:rsidP="00BF3C55">
      <w:pPr>
        <w:pStyle w:val="FootnoteText"/>
        <w:jc w:val="both"/>
        <w:rPr>
          <w:rFonts w:asciiTheme="majorHAnsi" w:eastAsia="Arial Unicode MS" w:hAnsiTheme="majorHAnsi" w:cs="Times New Roman"/>
          <w:color w:val="auto"/>
          <w:sz w:val="16"/>
          <w:szCs w:val="16"/>
          <w:lang w:eastAsia="en-US"/>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eastAsia="Arial Unicode MS" w:hAnsiTheme="majorHAnsi" w:cs="Times New Roman"/>
          <w:color w:val="auto"/>
          <w:sz w:val="16"/>
          <w:szCs w:val="16"/>
          <w:lang w:eastAsia="en-US"/>
        </w:rPr>
        <w:t>Article XXV of the American Declaration establishes: No person may be deprived of his liberty except in the cases and according to the procedures established by pre-existing law.</w:t>
      </w:r>
    </w:p>
    <w:p w:rsidR="006232F9" w:rsidRPr="00D874C4" w:rsidRDefault="006232F9" w:rsidP="00BF3C55">
      <w:pPr>
        <w:pStyle w:val="FootnoteText"/>
        <w:jc w:val="both"/>
        <w:rPr>
          <w:rFonts w:asciiTheme="majorHAnsi" w:eastAsia="Arial Unicode MS" w:hAnsiTheme="majorHAnsi" w:cs="Times New Roman"/>
          <w:color w:val="auto"/>
          <w:sz w:val="16"/>
          <w:szCs w:val="16"/>
          <w:lang w:eastAsia="en-US"/>
        </w:rPr>
      </w:pPr>
      <w:r w:rsidRPr="00D874C4">
        <w:rPr>
          <w:rFonts w:asciiTheme="majorHAnsi" w:eastAsia="Arial Unicode MS" w:hAnsiTheme="majorHAnsi" w:cs="Times New Roman"/>
          <w:color w:val="auto"/>
          <w:sz w:val="16"/>
          <w:szCs w:val="16"/>
          <w:lang w:eastAsia="en-US"/>
        </w:rPr>
        <w:t>[…]</w:t>
      </w:r>
    </w:p>
    <w:p w:rsidR="006232F9" w:rsidRPr="00D874C4" w:rsidRDefault="006232F9" w:rsidP="00BF3C55">
      <w:pPr>
        <w:pStyle w:val="FootnoteText"/>
        <w:jc w:val="both"/>
        <w:rPr>
          <w:sz w:val="16"/>
          <w:szCs w:val="16"/>
        </w:rPr>
      </w:pPr>
      <w:r w:rsidRPr="00D874C4">
        <w:rPr>
          <w:rFonts w:asciiTheme="majorHAnsi" w:eastAsia="Arial Unicode MS" w:hAnsiTheme="majorHAnsi" w:cs="Times New Roman"/>
          <w:color w:val="auto"/>
          <w:sz w:val="16"/>
          <w:szCs w:val="16"/>
          <w:lang w:eastAsia="en-US"/>
        </w:rPr>
        <w:t xml:space="preserve">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 </w:t>
      </w:r>
    </w:p>
  </w:footnote>
  <w:footnote w:id="57">
    <w:p w:rsidR="006232F9" w:rsidRPr="00D874C4" w:rsidRDefault="006232F9" w:rsidP="0005448A">
      <w:pPr>
        <w:pStyle w:val="FootnoteText"/>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eastAsia="Arial Unicode MS" w:hAnsiTheme="majorHAnsi" w:cs="Times New Roman"/>
          <w:color w:val="auto"/>
          <w:sz w:val="16"/>
          <w:szCs w:val="16"/>
          <w:lang w:eastAsia="en-US"/>
        </w:rPr>
        <w:t>IACHR, Report on Terrorism and Human Rights, OEA/</w:t>
      </w:r>
      <w:proofErr w:type="spellStart"/>
      <w:r w:rsidRPr="00D874C4">
        <w:rPr>
          <w:rFonts w:asciiTheme="majorHAnsi" w:eastAsia="Arial Unicode MS" w:hAnsiTheme="majorHAnsi" w:cs="Times New Roman"/>
          <w:color w:val="auto"/>
          <w:sz w:val="16"/>
          <w:szCs w:val="16"/>
          <w:lang w:eastAsia="en-US"/>
        </w:rPr>
        <w:t>Ser.L</w:t>
      </w:r>
      <w:proofErr w:type="spellEnd"/>
      <w:r w:rsidRPr="00D874C4">
        <w:rPr>
          <w:rFonts w:asciiTheme="majorHAnsi" w:eastAsia="Arial Unicode MS" w:hAnsiTheme="majorHAnsi" w:cs="Times New Roman"/>
          <w:color w:val="auto"/>
          <w:sz w:val="16"/>
          <w:szCs w:val="16"/>
          <w:lang w:eastAsia="en-US"/>
        </w:rPr>
        <w:t>/V/II.116.Doc.5 rev.1, October 22, 2002, para. 120.</w:t>
      </w:r>
    </w:p>
  </w:footnote>
  <w:footnote w:id="58">
    <w:p w:rsidR="006232F9" w:rsidRPr="00D874C4" w:rsidRDefault="006232F9" w:rsidP="0005448A">
      <w:pPr>
        <w:pStyle w:val="FootnoteText"/>
        <w:jc w:val="both"/>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IACHR, Application to the Inter-American Court of Human Rights in the case of Juan Carlos Chaparro and Freddy Hernan </w:t>
      </w:r>
      <w:proofErr w:type="spellStart"/>
      <w:r w:rsidRPr="00D874C4">
        <w:rPr>
          <w:rFonts w:asciiTheme="majorHAnsi" w:hAnsiTheme="majorHAnsi"/>
          <w:color w:val="auto"/>
          <w:sz w:val="16"/>
          <w:szCs w:val="16"/>
        </w:rPr>
        <w:t>Lapo</w:t>
      </w:r>
      <w:proofErr w:type="spellEnd"/>
      <w:r w:rsidRPr="00D874C4">
        <w:rPr>
          <w:rFonts w:asciiTheme="majorHAnsi" w:hAnsiTheme="majorHAnsi"/>
          <w:color w:val="auto"/>
          <w:sz w:val="16"/>
          <w:szCs w:val="16"/>
        </w:rPr>
        <w:t>. Case 12.091. Ecuador. June 23, 2006, para 59.</w:t>
      </w:r>
    </w:p>
  </w:footnote>
  <w:footnote w:id="59">
    <w:p w:rsidR="006232F9" w:rsidRPr="00D874C4" w:rsidRDefault="006232F9" w:rsidP="0005448A">
      <w:pPr>
        <w:pStyle w:val="FootnoteText"/>
        <w:jc w:val="both"/>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See in this regard, IACHR. Merits. </w:t>
      </w:r>
      <w:r w:rsidRPr="00D874C4">
        <w:rPr>
          <w:rFonts w:asciiTheme="majorHAnsi" w:hAnsiTheme="majorHAnsi"/>
          <w:sz w:val="16"/>
          <w:szCs w:val="16"/>
          <w:lang w:val="pt-BR"/>
        </w:rPr>
        <w:t xml:space="preserve">Carlos Alberto Fernandez and Carlos Alejandro Tumbeiro, </w:t>
      </w:r>
      <w:r w:rsidRPr="00D874C4">
        <w:rPr>
          <w:rFonts w:asciiTheme="majorHAnsi" w:hAnsiTheme="majorHAnsi"/>
          <w:i/>
          <w:sz w:val="16"/>
          <w:szCs w:val="16"/>
          <w:lang w:val="pt-BR"/>
        </w:rPr>
        <w:t>supra</w:t>
      </w:r>
      <w:r w:rsidRPr="00D874C4">
        <w:rPr>
          <w:rFonts w:asciiTheme="majorHAnsi" w:hAnsiTheme="majorHAnsi"/>
          <w:sz w:val="16"/>
          <w:szCs w:val="16"/>
          <w:lang w:val="pt-BR"/>
        </w:rPr>
        <w:t xml:space="preserve"> XX, para. </w:t>
      </w:r>
      <w:r w:rsidRPr="00D874C4">
        <w:rPr>
          <w:rFonts w:asciiTheme="majorHAnsi" w:hAnsiTheme="majorHAnsi"/>
          <w:sz w:val="16"/>
          <w:szCs w:val="16"/>
        </w:rPr>
        <w:t>50.</w:t>
      </w:r>
    </w:p>
  </w:footnote>
  <w:footnote w:id="60">
    <w:p w:rsidR="006232F9" w:rsidRPr="00D874C4" w:rsidRDefault="006232F9" w:rsidP="0005448A">
      <w:pPr>
        <w:pStyle w:val="FootnoteText"/>
        <w:jc w:val="both"/>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United Nations, Body of Principles for the Protection of All Persons under Any Form of Detention or Imprisonment, adopted by the General Assembly in Resolution 43/173 of 9 December 1988, Principle 4.</w:t>
      </w:r>
    </w:p>
  </w:footnote>
  <w:footnote w:id="61">
    <w:p w:rsidR="006232F9" w:rsidRPr="00D874C4" w:rsidRDefault="006232F9" w:rsidP="0005448A">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eastAsia="Arial Unicode MS" w:hAnsiTheme="majorHAnsi" w:cs="Times New Roman"/>
          <w:color w:val="auto"/>
          <w:sz w:val="16"/>
          <w:szCs w:val="16"/>
          <w:lang w:eastAsia="en-US"/>
        </w:rPr>
        <w:t xml:space="preserve">IACHR. Report No. 8/16. Case 11.661. Merits (Publication). </w:t>
      </w:r>
      <w:r w:rsidRPr="00D874C4">
        <w:rPr>
          <w:rFonts w:asciiTheme="majorHAnsi" w:eastAsia="Arial Unicode MS" w:hAnsiTheme="majorHAnsi" w:cs="Times New Roman"/>
          <w:color w:val="auto"/>
          <w:sz w:val="16"/>
          <w:szCs w:val="16"/>
          <w:lang w:val="pt-BR" w:eastAsia="en-US"/>
        </w:rPr>
        <w:t xml:space="preserve">Manickavasagam Suresh. Canada. April 13, 2016, para. </w:t>
      </w:r>
      <w:r w:rsidRPr="00D874C4">
        <w:rPr>
          <w:rFonts w:asciiTheme="majorHAnsi" w:eastAsia="Arial Unicode MS" w:hAnsiTheme="majorHAnsi" w:cs="Times New Roman"/>
          <w:color w:val="auto"/>
          <w:sz w:val="16"/>
          <w:szCs w:val="16"/>
          <w:lang w:eastAsia="en-US"/>
        </w:rPr>
        <w:t>73.</w:t>
      </w:r>
    </w:p>
  </w:footnote>
  <w:footnote w:id="62">
    <w:p w:rsidR="006232F9" w:rsidRPr="00D874C4" w:rsidRDefault="006232F9" w:rsidP="0005448A">
      <w:pPr>
        <w:pStyle w:val="FootnoteText"/>
        <w:jc w:val="both"/>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IACHR, Application to the Inter-American Court of Human Rights in the case of Juan Carlos Chaparro and Freddy Hernan </w:t>
      </w:r>
      <w:proofErr w:type="spellStart"/>
      <w:r w:rsidRPr="00D874C4">
        <w:rPr>
          <w:rFonts w:asciiTheme="majorHAnsi" w:hAnsiTheme="majorHAnsi"/>
          <w:color w:val="auto"/>
          <w:sz w:val="16"/>
          <w:szCs w:val="16"/>
        </w:rPr>
        <w:t>Lapo</w:t>
      </w:r>
      <w:proofErr w:type="spellEnd"/>
      <w:r w:rsidRPr="00D874C4">
        <w:rPr>
          <w:rFonts w:asciiTheme="majorHAnsi" w:hAnsiTheme="majorHAnsi"/>
          <w:color w:val="auto"/>
          <w:sz w:val="16"/>
          <w:szCs w:val="16"/>
        </w:rPr>
        <w:t>. Case 12.091. Ecuador. June 23, 2006, para. 72.</w:t>
      </w:r>
    </w:p>
  </w:footnote>
  <w:footnote w:id="63">
    <w:p w:rsidR="006232F9" w:rsidRPr="00D874C4" w:rsidRDefault="006232F9" w:rsidP="00E32AC0">
      <w:pPr>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64">
    <w:p w:rsidR="006232F9" w:rsidRPr="00D874C4" w:rsidRDefault="006232F9" w:rsidP="00E32AC0">
      <w:pPr>
        <w:keepNext/>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Article XXVI of the American Declaration provides: “Every accused person is presumed to be innocent until proved guilty.</w:t>
      </w:r>
    </w:p>
    <w:p w:rsidR="006232F9" w:rsidRPr="00D874C4" w:rsidRDefault="006232F9" w:rsidP="00E32AC0">
      <w:pPr>
        <w:keepNext/>
        <w:jc w:val="both"/>
        <w:rPr>
          <w:rFonts w:asciiTheme="majorHAnsi" w:hAnsiTheme="majorHAnsi"/>
          <w:sz w:val="16"/>
          <w:szCs w:val="16"/>
        </w:rPr>
      </w:pPr>
      <w:r w:rsidRPr="00D874C4">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65">
    <w:p w:rsidR="006232F9" w:rsidRPr="00D874C4" w:rsidRDefault="006232F9">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IACHR. Indigenous Women and Their Human Rights in the Americas. OEA/</w:t>
      </w:r>
      <w:proofErr w:type="spellStart"/>
      <w:r w:rsidRPr="00D874C4">
        <w:rPr>
          <w:rFonts w:asciiTheme="majorHAnsi" w:hAnsiTheme="majorHAnsi"/>
          <w:sz w:val="16"/>
          <w:szCs w:val="16"/>
        </w:rPr>
        <w:t>Ser.L</w:t>
      </w:r>
      <w:proofErr w:type="spellEnd"/>
      <w:r w:rsidRPr="00D874C4">
        <w:rPr>
          <w:rFonts w:asciiTheme="majorHAnsi" w:hAnsiTheme="majorHAnsi"/>
          <w:sz w:val="16"/>
          <w:szCs w:val="16"/>
        </w:rPr>
        <w:t>/V/II., April 17, 2017, para. 173.</w:t>
      </w:r>
    </w:p>
  </w:footnote>
  <w:footnote w:id="66">
    <w:p w:rsidR="006232F9" w:rsidRPr="00D874C4" w:rsidRDefault="006232F9" w:rsidP="00A565DD">
      <w:pPr>
        <w:pStyle w:val="FootnoteText"/>
        <w:rPr>
          <w:sz w:val="16"/>
          <w:szCs w:val="16"/>
        </w:rPr>
      </w:pPr>
      <w:r w:rsidRPr="00D874C4">
        <w:rPr>
          <w:rStyle w:val="FootnoteReference"/>
          <w:rFonts w:asciiTheme="majorHAnsi" w:hAnsiTheme="majorHAnsi"/>
          <w:sz w:val="16"/>
          <w:szCs w:val="16"/>
        </w:rPr>
        <w:footnoteRef/>
      </w:r>
      <w:r w:rsidRPr="00D874C4">
        <w:rPr>
          <w:sz w:val="16"/>
          <w:szCs w:val="16"/>
        </w:rPr>
        <w:t xml:space="preserve"> </w:t>
      </w:r>
      <w:r w:rsidRPr="00D874C4">
        <w:rPr>
          <w:rFonts w:asciiTheme="majorHAnsi" w:hAnsiTheme="majorHAnsi"/>
          <w:sz w:val="16"/>
          <w:szCs w:val="16"/>
        </w:rPr>
        <w:t xml:space="preserve">IACHR. Indigenous Women and Their Human Rights in the Americas, </w:t>
      </w:r>
      <w:r w:rsidRPr="00D874C4">
        <w:rPr>
          <w:rFonts w:asciiTheme="majorHAnsi" w:hAnsiTheme="majorHAnsi"/>
          <w:i/>
          <w:sz w:val="16"/>
          <w:szCs w:val="16"/>
        </w:rPr>
        <w:t>supra</w:t>
      </w:r>
      <w:r w:rsidRPr="00D874C4">
        <w:rPr>
          <w:rFonts w:asciiTheme="majorHAnsi" w:hAnsiTheme="majorHAnsi"/>
          <w:sz w:val="16"/>
          <w:szCs w:val="16"/>
        </w:rPr>
        <w:t xml:space="preserve"> XX, para. 174. </w:t>
      </w:r>
    </w:p>
  </w:footnote>
  <w:footnote w:id="67">
    <w:p w:rsidR="006232F9" w:rsidRPr="00D874C4" w:rsidRDefault="006232F9" w:rsidP="00864D7F">
      <w:pPr>
        <w:pStyle w:val="FootnoteText"/>
        <w:rPr>
          <w:sz w:val="16"/>
          <w:szCs w:val="16"/>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 xml:space="preserve">IACHR. Merits. Mary and Carrie Dann, </w:t>
      </w:r>
      <w:r w:rsidRPr="00D874C4">
        <w:rPr>
          <w:rFonts w:asciiTheme="majorHAnsi" w:hAnsiTheme="majorHAnsi"/>
          <w:i/>
          <w:sz w:val="16"/>
          <w:szCs w:val="16"/>
        </w:rPr>
        <w:t>supra</w:t>
      </w:r>
      <w:r w:rsidRPr="00D874C4">
        <w:rPr>
          <w:rFonts w:asciiTheme="majorHAnsi" w:hAnsiTheme="majorHAnsi"/>
          <w:sz w:val="16"/>
          <w:szCs w:val="16"/>
        </w:rPr>
        <w:t xml:space="preserve"> XX, paras. 124 and 125.</w:t>
      </w:r>
    </w:p>
  </w:footnote>
  <w:footnote w:id="68">
    <w:p w:rsidR="006232F9" w:rsidRPr="00D874C4" w:rsidRDefault="006232F9" w:rsidP="00515D61">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IACHR. Resolution No. 12/85. Case No. 7615. Yanomami Indigenous People. Brazil. March 5, 1985, para. 7.</w:t>
      </w:r>
    </w:p>
  </w:footnote>
  <w:footnote w:id="69">
    <w:p w:rsidR="006232F9" w:rsidRPr="00D874C4" w:rsidRDefault="006232F9" w:rsidP="00515D61">
      <w:pPr>
        <w:pStyle w:val="FootnoteText"/>
        <w:jc w:val="both"/>
        <w:rPr>
          <w:rFonts w:asciiTheme="majorHAnsi" w:hAnsiTheme="majorHAnsi"/>
          <w:b/>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See, </w:t>
      </w:r>
      <w:r w:rsidRPr="00D874C4">
        <w:rPr>
          <w:rFonts w:asciiTheme="majorHAnsi" w:hAnsiTheme="majorHAnsi"/>
          <w:i/>
          <w:sz w:val="16"/>
          <w:szCs w:val="16"/>
        </w:rPr>
        <w:t xml:space="preserve">mutatis </w:t>
      </w:r>
      <w:proofErr w:type="spellStart"/>
      <w:r w:rsidRPr="00D874C4">
        <w:rPr>
          <w:rFonts w:asciiTheme="majorHAnsi" w:hAnsiTheme="majorHAnsi"/>
          <w:i/>
          <w:sz w:val="16"/>
          <w:szCs w:val="16"/>
        </w:rPr>
        <w:t>mutandi</w:t>
      </w:r>
      <w:proofErr w:type="spellEnd"/>
      <w:r w:rsidRPr="00D874C4">
        <w:rPr>
          <w:rFonts w:asciiTheme="majorHAnsi" w:hAnsiTheme="majorHAnsi"/>
          <w:sz w:val="16"/>
          <w:szCs w:val="16"/>
        </w:rPr>
        <w:t xml:space="preserve">, I/A Court H.R., Case of the </w:t>
      </w:r>
      <w:proofErr w:type="spellStart"/>
      <w:r w:rsidRPr="00D874C4">
        <w:rPr>
          <w:rFonts w:asciiTheme="majorHAnsi" w:hAnsiTheme="majorHAnsi"/>
          <w:sz w:val="16"/>
          <w:szCs w:val="16"/>
        </w:rPr>
        <w:t>Yakye</w:t>
      </w:r>
      <w:proofErr w:type="spellEnd"/>
      <w:r w:rsidRPr="00D874C4">
        <w:rPr>
          <w:rFonts w:asciiTheme="majorHAnsi" w:hAnsiTheme="majorHAnsi"/>
          <w:sz w:val="16"/>
          <w:szCs w:val="16"/>
        </w:rPr>
        <w:t xml:space="preserve"> </w:t>
      </w:r>
      <w:proofErr w:type="spellStart"/>
      <w:r w:rsidRPr="00D874C4">
        <w:rPr>
          <w:rFonts w:asciiTheme="majorHAnsi" w:hAnsiTheme="majorHAnsi"/>
          <w:sz w:val="16"/>
          <w:szCs w:val="16"/>
        </w:rPr>
        <w:t>Axa</w:t>
      </w:r>
      <w:proofErr w:type="spellEnd"/>
      <w:r w:rsidRPr="00D874C4">
        <w:rPr>
          <w:rFonts w:asciiTheme="majorHAnsi" w:hAnsiTheme="majorHAnsi"/>
          <w:sz w:val="16"/>
          <w:szCs w:val="16"/>
        </w:rPr>
        <w:t xml:space="preserve"> Indigenous Community v. Paraguay. Merits, Reparations and Costs. Judgment of June 17, 2005. Series C No. 125, para. 51.</w:t>
      </w:r>
    </w:p>
  </w:footnote>
  <w:footnote w:id="70">
    <w:p w:rsidR="006232F9" w:rsidRPr="00D874C4" w:rsidRDefault="006232F9" w:rsidP="00357C54">
      <w:pPr>
        <w:pStyle w:val="FootnoteText"/>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Violent Crime Control and Law Enforcement Act of 1994, Pub. L. No. 103-322, § 60003(a)(14), 108 Stat. 1796, 1968 (1994). </w:t>
      </w:r>
    </w:p>
  </w:footnote>
  <w:footnote w:id="71">
    <w:p w:rsidR="006232F9" w:rsidRPr="00D874C4" w:rsidRDefault="006232F9" w:rsidP="005D1CFD">
      <w:pPr>
        <w:pStyle w:val="FootnoteText"/>
        <w:jc w:val="both"/>
      </w:pPr>
      <w:r w:rsidRPr="00D874C4">
        <w:rPr>
          <w:rStyle w:val="FootnoteReference"/>
          <w:sz w:val="16"/>
          <w:szCs w:val="16"/>
        </w:rPr>
        <w:footnoteRef/>
      </w:r>
      <w:r w:rsidRPr="00D874C4">
        <w:rPr>
          <w:sz w:val="16"/>
          <w:szCs w:val="16"/>
        </w:rPr>
        <w:t xml:space="preserve"> </w:t>
      </w:r>
      <w:r w:rsidRPr="00D874C4">
        <w:rPr>
          <w:rFonts w:asciiTheme="majorHAnsi" w:hAnsiTheme="majorHAnsi"/>
          <w:sz w:val="16"/>
          <w:szCs w:val="16"/>
        </w:rPr>
        <w:t>Mitchell v. United States Ninth Circuit Case No. 18-17031, p.33.</w:t>
      </w:r>
      <w:r w:rsidRPr="00D874C4">
        <w:t xml:space="preserve"> </w:t>
      </w:r>
      <w:r w:rsidRPr="00D874C4">
        <w:rPr>
          <w:rFonts w:asciiTheme="majorHAnsi" w:hAnsiTheme="majorHAnsi"/>
          <w:sz w:val="16"/>
          <w:szCs w:val="16"/>
        </w:rPr>
        <w:t>Attachment A submitted with petitioner</w:t>
      </w:r>
      <w:r w:rsidRPr="00D874C4">
        <w:rPr>
          <w:rFonts w:asciiTheme="majorHAnsi" w:hAnsiTheme="majorHAnsi"/>
          <w:color w:val="auto"/>
          <w:sz w:val="16"/>
          <w:szCs w:val="16"/>
        </w:rPr>
        <w:t>’s</w:t>
      </w:r>
      <w:r w:rsidRPr="00D874C4">
        <w:rPr>
          <w:rFonts w:asciiTheme="majorHAnsi" w:hAnsiTheme="majorHAnsi"/>
          <w:sz w:val="16"/>
          <w:szCs w:val="16"/>
        </w:rPr>
        <w:t xml:space="preserve"> additional information dated May 13, 2020.</w:t>
      </w:r>
    </w:p>
  </w:footnote>
  <w:footnote w:id="72">
    <w:p w:rsidR="006232F9" w:rsidRPr="00D874C4" w:rsidRDefault="006232F9" w:rsidP="00327A95">
      <w:pPr>
        <w:pStyle w:val="FootnoteText"/>
      </w:pPr>
      <w:r w:rsidRPr="00D874C4">
        <w:rPr>
          <w:rStyle w:val="FootnoteReference"/>
          <w:sz w:val="16"/>
          <w:szCs w:val="16"/>
        </w:rPr>
        <w:footnoteRef/>
      </w:r>
      <w:hyperlink w:history="1"/>
      <w:r w:rsidRPr="00D874C4">
        <w:rPr>
          <w:rStyle w:val="FootnoteReference"/>
          <w:sz w:val="16"/>
          <w:szCs w:val="16"/>
        </w:rPr>
        <w:t xml:space="preserve"> </w:t>
      </w:r>
      <w:r w:rsidRPr="00D874C4">
        <w:rPr>
          <w:i/>
          <w:sz w:val="16"/>
          <w:szCs w:val="16"/>
        </w:rPr>
        <w:t>Idem.</w:t>
      </w:r>
    </w:p>
  </w:footnote>
  <w:footnote w:id="73">
    <w:p w:rsidR="006232F9" w:rsidRPr="00D874C4" w:rsidRDefault="006232F9">
      <w:pPr>
        <w:pStyle w:val="FootnoteText"/>
        <w:rPr>
          <w:rFonts w:asciiTheme="majorHAnsi" w:hAnsiTheme="majorHAnsi"/>
        </w:rPr>
      </w:pPr>
      <w:r w:rsidRPr="00D874C4">
        <w:rPr>
          <w:rStyle w:val="FootnoteReference"/>
          <w:rFonts w:asciiTheme="majorHAnsi" w:hAnsiTheme="majorHAnsi"/>
          <w:sz w:val="16"/>
          <w:szCs w:val="16"/>
        </w:rPr>
        <w:footnoteRef/>
      </w:r>
      <w:r w:rsidRPr="00D874C4">
        <w:rPr>
          <w:rStyle w:val="FootnoteReference"/>
          <w:rFonts w:asciiTheme="majorHAnsi" w:hAnsiTheme="majorHAnsi"/>
          <w:sz w:val="16"/>
          <w:szCs w:val="16"/>
        </w:rPr>
        <w:t xml:space="preserve"> </w:t>
      </w:r>
      <w:r w:rsidRPr="00D874C4">
        <w:rPr>
          <w:rFonts w:asciiTheme="majorHAnsi" w:hAnsiTheme="majorHAnsi"/>
          <w:sz w:val="16"/>
          <w:szCs w:val="16"/>
        </w:rPr>
        <w:t>Mitchell v. United States, 790 F.3d 881, 894–97 (9th Cir. 2015) (Reinhardt, J., dissenting in part).</w:t>
      </w:r>
    </w:p>
  </w:footnote>
  <w:footnote w:id="74">
    <w:p w:rsidR="006232F9" w:rsidRPr="00D874C4" w:rsidRDefault="006232F9" w:rsidP="00306845">
      <w:pPr>
        <w:pStyle w:val="FootnoteText"/>
        <w:jc w:val="both"/>
        <w:rPr>
          <w:sz w:val="16"/>
          <w:szCs w:val="16"/>
        </w:rPr>
      </w:pPr>
      <w:r w:rsidRPr="00D874C4">
        <w:rPr>
          <w:rStyle w:val="FootnoteReference"/>
          <w:rFonts w:asciiTheme="majorHAnsi" w:hAnsiTheme="majorHAnsi"/>
          <w:sz w:val="16"/>
          <w:szCs w:val="16"/>
        </w:rPr>
        <w:footnoteRef/>
      </w:r>
      <w:r w:rsidRPr="00D874C4">
        <w:rPr>
          <w:sz w:val="16"/>
          <w:szCs w:val="16"/>
        </w:rPr>
        <w:t xml:space="preserve"> </w:t>
      </w:r>
      <w:r w:rsidRPr="00D874C4">
        <w:rPr>
          <w:rFonts w:asciiTheme="majorHAnsi" w:hAnsiTheme="majorHAnsi"/>
          <w:sz w:val="16"/>
          <w:szCs w:val="16"/>
        </w:rPr>
        <w:t xml:space="preserve">IACHR. Report No. 131/17. Case 11.678. Admissibility and Merits. Mario </w:t>
      </w:r>
      <w:proofErr w:type="spellStart"/>
      <w:r w:rsidRPr="00D874C4">
        <w:rPr>
          <w:rFonts w:asciiTheme="majorHAnsi" w:hAnsiTheme="majorHAnsi"/>
          <w:sz w:val="16"/>
          <w:szCs w:val="16"/>
        </w:rPr>
        <w:t>Montesinos</w:t>
      </w:r>
      <w:proofErr w:type="spellEnd"/>
      <w:r w:rsidRPr="00D874C4">
        <w:rPr>
          <w:rFonts w:asciiTheme="majorHAnsi" w:hAnsiTheme="majorHAnsi"/>
          <w:sz w:val="16"/>
          <w:szCs w:val="16"/>
        </w:rPr>
        <w:t xml:space="preserve"> </w:t>
      </w:r>
      <w:proofErr w:type="spellStart"/>
      <w:r w:rsidRPr="00D874C4">
        <w:rPr>
          <w:rFonts w:asciiTheme="majorHAnsi" w:hAnsiTheme="majorHAnsi"/>
          <w:sz w:val="16"/>
          <w:szCs w:val="16"/>
        </w:rPr>
        <w:t>Mejía</w:t>
      </w:r>
      <w:proofErr w:type="spellEnd"/>
      <w:r w:rsidRPr="00D874C4">
        <w:rPr>
          <w:rFonts w:asciiTheme="majorHAnsi" w:hAnsiTheme="majorHAnsi"/>
          <w:sz w:val="16"/>
          <w:szCs w:val="16"/>
        </w:rPr>
        <w:t>. Ecuador. October 25, 2017, para. 116.</w:t>
      </w:r>
      <w:r w:rsidRPr="00D874C4">
        <w:rPr>
          <w:sz w:val="16"/>
          <w:szCs w:val="16"/>
        </w:rPr>
        <w:t xml:space="preserve"> </w:t>
      </w:r>
    </w:p>
  </w:footnote>
  <w:footnote w:id="75">
    <w:p w:rsidR="006232F9" w:rsidRPr="00D874C4" w:rsidRDefault="006232F9" w:rsidP="00750201">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The death penalty in the Inter-American System of Human Rights: From restrictions to abolition,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p. 123.</w:t>
      </w:r>
    </w:p>
  </w:footnote>
  <w:footnote w:id="76">
    <w:p w:rsidR="006232F9" w:rsidRPr="00D874C4" w:rsidRDefault="006232F9" w:rsidP="00750201">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The death penalty in the Inter-American System of Human Rights: From restrictions to abolition,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p. 123.</w:t>
      </w:r>
    </w:p>
  </w:footnote>
  <w:footnote w:id="77">
    <w:p w:rsidR="006232F9" w:rsidRPr="00D874C4" w:rsidRDefault="006232F9" w:rsidP="00750201">
      <w:pPr>
        <w:pStyle w:val="FootnoteText"/>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Cambria" w:hAnsi="Cambria" w:cs="Arial"/>
          <w:sz w:val="16"/>
          <w:szCs w:val="16"/>
        </w:rPr>
        <w:t xml:space="preserve">IACHR, </w:t>
      </w:r>
      <w:r w:rsidRPr="00D874C4">
        <w:rPr>
          <w:rFonts w:ascii="Cambria" w:hAnsi="Cambria" w:cs="Arial"/>
          <w:bCs/>
          <w:sz w:val="16"/>
          <w:szCs w:val="16"/>
        </w:rPr>
        <w:t>Report No. 79/15</w:t>
      </w:r>
      <w:r w:rsidRPr="00D874C4">
        <w:rPr>
          <w:rFonts w:ascii="Cambria" w:hAnsi="Cambria" w:cs="Arial"/>
          <w:sz w:val="16"/>
          <w:szCs w:val="16"/>
        </w:rPr>
        <w:t xml:space="preserve">, Case 12.994. Merits (Publication). Bernardo </w:t>
      </w:r>
      <w:proofErr w:type="spellStart"/>
      <w:r w:rsidRPr="00D874C4">
        <w:rPr>
          <w:rFonts w:ascii="Cambria" w:hAnsi="Cambria" w:cs="Arial"/>
          <w:sz w:val="16"/>
          <w:szCs w:val="16"/>
        </w:rPr>
        <w:t>Aban</w:t>
      </w:r>
      <w:proofErr w:type="spellEnd"/>
      <w:r w:rsidRPr="00D874C4">
        <w:rPr>
          <w:rFonts w:ascii="Cambria" w:hAnsi="Cambria" w:cs="Arial"/>
          <w:sz w:val="16"/>
          <w:szCs w:val="16"/>
        </w:rPr>
        <w:t xml:space="preserve"> </w:t>
      </w:r>
      <w:proofErr w:type="spellStart"/>
      <w:r w:rsidRPr="00D874C4">
        <w:rPr>
          <w:rFonts w:ascii="Cambria" w:hAnsi="Cambria" w:cs="Arial"/>
          <w:sz w:val="16"/>
          <w:szCs w:val="16"/>
        </w:rPr>
        <w:t>Tercero</w:t>
      </w:r>
      <w:proofErr w:type="spellEnd"/>
      <w:r w:rsidRPr="00D874C4">
        <w:rPr>
          <w:rFonts w:ascii="Cambria" w:hAnsi="Cambria" w:cs="Arial"/>
          <w:sz w:val="16"/>
          <w:szCs w:val="16"/>
        </w:rPr>
        <w:t>. United States. October 28, 2015, para. 111.</w:t>
      </w:r>
    </w:p>
  </w:footnote>
  <w:footnote w:id="78">
    <w:p w:rsidR="006232F9" w:rsidRPr="00D874C4" w:rsidRDefault="006232F9" w:rsidP="00750201">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Report No. 90/09, Case 12.644, Admissibility and Merits (Publication), Medellín, Ramírez Cárdenas and Leal García, United States, August 7, 2009, para. 134.</w:t>
      </w:r>
    </w:p>
  </w:footnote>
  <w:footnote w:id="79">
    <w:p w:rsidR="006232F9" w:rsidRPr="00D874C4" w:rsidRDefault="006232F9" w:rsidP="00750201">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Admissibility and Merits. Medellín, Ramírez Cárdenas and Leal García,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para. 134. </w:t>
      </w:r>
    </w:p>
  </w:footnote>
  <w:footnote w:id="80">
    <w:p w:rsidR="006232F9" w:rsidRPr="00D874C4" w:rsidRDefault="006232F9" w:rsidP="00750201">
      <w:pPr>
        <w:pStyle w:val="FootnoteText"/>
        <w:jc w:val="both"/>
        <w:rPr>
          <w:rFonts w:asciiTheme="majorHAnsi" w:hAnsiTheme="majorHAnsi" w:cs="Arial"/>
          <w:color w:val="auto"/>
          <w:sz w:val="16"/>
          <w:szCs w:val="16"/>
        </w:rPr>
      </w:pPr>
      <w:r w:rsidRPr="00D874C4">
        <w:rPr>
          <w:rStyle w:val="FootnoteReference"/>
          <w:rFonts w:asciiTheme="majorHAnsi" w:hAnsiTheme="majorHAnsi" w:cs="Arial"/>
          <w:color w:val="auto"/>
          <w:sz w:val="16"/>
          <w:szCs w:val="16"/>
        </w:rPr>
        <w:footnoteRef/>
      </w:r>
      <w:r w:rsidRPr="00D874C4">
        <w:rPr>
          <w:rFonts w:asciiTheme="majorHAnsi" w:hAnsiTheme="majorHAnsi" w:cs="Arial"/>
          <w:color w:val="auto"/>
          <w:sz w:val="16"/>
          <w:szCs w:val="16"/>
        </w:rPr>
        <w:t xml:space="preserve"> American Bar Association, </w:t>
      </w:r>
      <w:r w:rsidRPr="00D874C4">
        <w:rPr>
          <w:rFonts w:asciiTheme="majorHAnsi" w:hAnsiTheme="majorHAnsi" w:cs="Arial"/>
          <w:i/>
          <w:iCs/>
          <w:color w:val="auto"/>
          <w:sz w:val="16"/>
          <w:szCs w:val="16"/>
        </w:rPr>
        <w:t>Guidelines for the Appointment and Performance of Defense Counsel in Death Penalty Cases</w:t>
      </w:r>
      <w:r w:rsidRPr="00D874C4">
        <w:rPr>
          <w:rFonts w:asciiTheme="majorHAnsi" w:hAnsiTheme="majorHAnsi" w:cs="Arial"/>
          <w:color w:val="auto"/>
          <w:sz w:val="16"/>
          <w:szCs w:val="16"/>
        </w:rPr>
        <w:t xml:space="preserve"> (Revised editions) (February 2003), Guideline 10.7 – Investigation. </w:t>
      </w:r>
    </w:p>
  </w:footnote>
  <w:footnote w:id="81">
    <w:p w:rsidR="006232F9" w:rsidRPr="00D874C4" w:rsidRDefault="006232F9" w:rsidP="00750201">
      <w:pPr>
        <w:pStyle w:val="FootnoteText"/>
        <w:jc w:val="both"/>
        <w:rPr>
          <w:rFonts w:asciiTheme="majorHAnsi" w:hAnsiTheme="majorHAnsi" w:cs="Arial"/>
          <w:color w:val="auto"/>
          <w:sz w:val="16"/>
          <w:szCs w:val="16"/>
        </w:rPr>
      </w:pPr>
      <w:r w:rsidRPr="00D874C4">
        <w:rPr>
          <w:rStyle w:val="FootnoteReference"/>
          <w:rFonts w:asciiTheme="majorHAnsi" w:hAnsiTheme="majorHAnsi" w:cs="Arial"/>
          <w:color w:val="auto"/>
          <w:sz w:val="16"/>
          <w:szCs w:val="16"/>
        </w:rPr>
        <w:footnoteRef/>
      </w:r>
      <w:r w:rsidRPr="00D874C4">
        <w:rPr>
          <w:rFonts w:asciiTheme="majorHAnsi" w:hAnsiTheme="majorHAnsi" w:cs="Arial"/>
          <w:color w:val="auto"/>
          <w:sz w:val="16"/>
          <w:szCs w:val="16"/>
        </w:rPr>
        <w:t xml:space="preserve"> American Bar Association. Guideline 10.7 – Investigation,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w:t>
      </w:r>
      <w:r w:rsidRPr="00D874C4">
        <w:rPr>
          <w:rFonts w:asciiTheme="majorHAnsi" w:hAnsiTheme="majorHAnsi" w:cs="Arial"/>
          <w:color w:val="auto"/>
          <w:sz w:val="16"/>
          <w:szCs w:val="16"/>
        </w:rPr>
        <w:t>at 82.</w:t>
      </w:r>
    </w:p>
  </w:footnote>
  <w:footnote w:id="82">
    <w:p w:rsidR="006232F9" w:rsidRPr="00D874C4" w:rsidRDefault="006232F9" w:rsidP="00750201">
      <w:pPr>
        <w:pStyle w:val="FootnoteText"/>
        <w:jc w:val="both"/>
        <w:rPr>
          <w:rFonts w:asciiTheme="majorHAnsi" w:hAnsiTheme="majorHAnsi" w:cs="Arial"/>
          <w:color w:val="auto"/>
          <w:sz w:val="16"/>
          <w:szCs w:val="16"/>
        </w:rPr>
      </w:pPr>
      <w:r w:rsidRPr="00D874C4">
        <w:rPr>
          <w:rStyle w:val="FootnoteReference"/>
          <w:rFonts w:asciiTheme="majorHAnsi" w:hAnsiTheme="majorHAnsi" w:cs="Arial"/>
          <w:color w:val="auto"/>
          <w:sz w:val="16"/>
          <w:szCs w:val="16"/>
        </w:rPr>
        <w:footnoteRef/>
      </w:r>
      <w:r w:rsidRPr="00D874C4">
        <w:rPr>
          <w:rFonts w:asciiTheme="majorHAnsi" w:hAnsiTheme="majorHAnsi" w:cs="Arial"/>
          <w:color w:val="auto"/>
          <w:sz w:val="16"/>
          <w:szCs w:val="16"/>
        </w:rPr>
        <w:t xml:space="preserve"> American Bar Association. Guideline 10.7 – Investigation,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w:t>
      </w:r>
      <w:r w:rsidRPr="00D874C4">
        <w:rPr>
          <w:rFonts w:asciiTheme="majorHAnsi" w:hAnsiTheme="majorHAnsi" w:cs="Arial"/>
          <w:color w:val="auto"/>
          <w:sz w:val="16"/>
          <w:szCs w:val="16"/>
        </w:rPr>
        <w:t>at 83.</w:t>
      </w:r>
    </w:p>
  </w:footnote>
  <w:footnote w:id="83">
    <w:p w:rsidR="006232F9" w:rsidRPr="00D874C4" w:rsidRDefault="006232F9" w:rsidP="0032190C">
      <w:pPr>
        <w:pStyle w:val="FootnoteText"/>
        <w:jc w:val="both"/>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See, </w:t>
      </w:r>
      <w:r w:rsidRPr="00D874C4">
        <w:rPr>
          <w:rFonts w:asciiTheme="majorHAnsi" w:hAnsiTheme="majorHAnsi"/>
          <w:i/>
          <w:color w:val="auto"/>
          <w:sz w:val="16"/>
          <w:szCs w:val="16"/>
        </w:rPr>
        <w:t>i.e</w:t>
      </w:r>
      <w:r w:rsidRPr="00D874C4">
        <w:rPr>
          <w:rFonts w:asciiTheme="majorHAnsi" w:hAnsiTheme="majorHAnsi"/>
          <w:color w:val="auto"/>
          <w:sz w:val="16"/>
          <w:szCs w:val="16"/>
        </w:rPr>
        <w:t xml:space="preserve">., </w:t>
      </w:r>
      <w:r w:rsidRPr="00D874C4">
        <w:rPr>
          <w:rFonts w:asciiTheme="majorHAnsi" w:eastAsia="Arial Unicode MS" w:hAnsiTheme="majorHAnsi" w:cs="Times New Roman"/>
          <w:color w:val="auto"/>
          <w:sz w:val="16"/>
          <w:szCs w:val="16"/>
          <w:lang w:eastAsia="en-US"/>
        </w:rPr>
        <w:t xml:space="preserve">IACHR, Report No. 11/15, Case 12.833. </w:t>
      </w:r>
      <w:r w:rsidRPr="006232F9">
        <w:rPr>
          <w:rFonts w:asciiTheme="majorHAnsi" w:eastAsia="Arial Unicode MS" w:hAnsiTheme="majorHAnsi" w:cs="Times New Roman"/>
          <w:color w:val="auto"/>
          <w:sz w:val="16"/>
          <w:szCs w:val="16"/>
          <w:lang w:eastAsia="en-US"/>
        </w:rPr>
        <w:t xml:space="preserve">Merits (Publication). Felix Rocha Diaz. </w:t>
      </w:r>
      <w:r w:rsidRPr="00D874C4">
        <w:rPr>
          <w:rFonts w:asciiTheme="majorHAnsi" w:eastAsia="Arial Unicode MS" w:hAnsiTheme="majorHAnsi" w:cs="Times New Roman"/>
          <w:color w:val="auto"/>
          <w:sz w:val="16"/>
          <w:szCs w:val="16"/>
          <w:lang w:eastAsia="en-US"/>
        </w:rPr>
        <w:t xml:space="preserve">United States. March 23, 2015, para. 78; IACHR, Report No. 44/14, Case 12.873. Merits (Publication). Edgar Tamayo Arias. United States.  July 17, 2014, para. 151; and IACHR, Report No. 13/14, Case 12.422. Merits (Publication). Abu-Ali </w:t>
      </w:r>
      <w:proofErr w:type="spellStart"/>
      <w:r w:rsidRPr="00D874C4">
        <w:rPr>
          <w:rFonts w:asciiTheme="majorHAnsi" w:eastAsia="Arial Unicode MS" w:hAnsiTheme="majorHAnsi" w:cs="Times New Roman"/>
          <w:color w:val="auto"/>
          <w:sz w:val="16"/>
          <w:szCs w:val="16"/>
          <w:lang w:eastAsia="en-US"/>
        </w:rPr>
        <w:t>Abdur</w:t>
      </w:r>
      <w:proofErr w:type="spellEnd"/>
      <w:r w:rsidRPr="00D874C4">
        <w:rPr>
          <w:rFonts w:asciiTheme="majorHAnsi" w:eastAsia="Arial Unicode MS" w:hAnsiTheme="majorHAnsi" w:cs="Times New Roman"/>
          <w:color w:val="auto"/>
          <w:sz w:val="16"/>
          <w:szCs w:val="16"/>
          <w:lang w:eastAsia="en-US"/>
        </w:rPr>
        <w:t>’ Rahman. United States. April 2, 2014, para 62.</w:t>
      </w:r>
    </w:p>
  </w:footnote>
  <w:footnote w:id="84">
    <w:p w:rsidR="006232F9" w:rsidRPr="00D874C4" w:rsidRDefault="006232F9" w:rsidP="00E32AC0">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Report 48/01, Case N</w:t>
      </w:r>
      <w:r w:rsidRPr="00D874C4">
        <w:rPr>
          <w:rFonts w:asciiTheme="majorHAnsi" w:hAnsiTheme="majorHAnsi"/>
          <w:color w:val="auto"/>
          <w:sz w:val="16"/>
          <w:szCs w:val="16"/>
          <w:vertAlign w:val="superscript"/>
        </w:rPr>
        <w:t>o</w:t>
      </w:r>
      <w:r w:rsidRPr="00D874C4">
        <w:rPr>
          <w:rFonts w:asciiTheme="majorHAnsi" w:hAnsiTheme="majorHAnsi"/>
          <w:color w:val="auto"/>
          <w:sz w:val="16"/>
          <w:szCs w:val="16"/>
        </w:rPr>
        <w:t xml:space="preserve"> 12.067, Michael Edwards et al</w:t>
      </w:r>
      <w:r w:rsidRPr="00D874C4">
        <w:rPr>
          <w:rFonts w:asciiTheme="majorHAnsi" w:hAnsiTheme="majorHAnsi"/>
          <w:i/>
          <w:color w:val="auto"/>
          <w:sz w:val="16"/>
          <w:szCs w:val="16"/>
        </w:rPr>
        <w:t>.</w:t>
      </w:r>
      <w:r w:rsidRPr="00D874C4">
        <w:rPr>
          <w:rFonts w:asciiTheme="majorHAnsi" w:hAnsiTheme="majorHAnsi"/>
          <w:color w:val="auto"/>
          <w:sz w:val="16"/>
          <w:szCs w:val="16"/>
        </w:rPr>
        <w:t>, Bahamas, April 4, 2001, para. 149.</w:t>
      </w:r>
    </w:p>
  </w:footnote>
  <w:footnote w:id="85">
    <w:p w:rsidR="006232F9" w:rsidRPr="00D874C4" w:rsidRDefault="006232F9" w:rsidP="00E32AC0">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rPr>
      </w:pPr>
      <w:r w:rsidRPr="00D874C4">
        <w:rPr>
          <w:rStyle w:val="FootnoteReference"/>
          <w:rFonts w:asciiTheme="majorHAnsi" w:hAnsiTheme="majorHAnsi"/>
          <w:sz w:val="16"/>
          <w:szCs w:val="16"/>
        </w:rPr>
        <w:footnoteRef/>
      </w:r>
      <w:r w:rsidRPr="00D874C4">
        <w:rPr>
          <w:rFonts w:asciiTheme="majorHAnsi" w:hAnsiTheme="majorHAnsi"/>
          <w:sz w:val="16"/>
          <w:szCs w:val="16"/>
        </w:rPr>
        <w:t xml:space="preserve"> IACHR, Report 79/15, Case 12.994. Merits (Publication), Bernardo </w:t>
      </w:r>
      <w:proofErr w:type="spellStart"/>
      <w:r w:rsidRPr="00D874C4">
        <w:rPr>
          <w:rFonts w:asciiTheme="majorHAnsi" w:hAnsiTheme="majorHAnsi"/>
          <w:sz w:val="16"/>
          <w:szCs w:val="16"/>
        </w:rPr>
        <w:t>Aban</w:t>
      </w:r>
      <w:proofErr w:type="spellEnd"/>
      <w:r w:rsidRPr="00D874C4">
        <w:rPr>
          <w:rFonts w:asciiTheme="majorHAnsi" w:hAnsiTheme="majorHAnsi"/>
          <w:sz w:val="16"/>
          <w:szCs w:val="16"/>
        </w:rPr>
        <w:t xml:space="preserve"> </w:t>
      </w:r>
      <w:proofErr w:type="spellStart"/>
      <w:r w:rsidRPr="00D874C4">
        <w:rPr>
          <w:rFonts w:asciiTheme="majorHAnsi" w:hAnsiTheme="majorHAnsi"/>
          <w:sz w:val="16"/>
          <w:szCs w:val="16"/>
        </w:rPr>
        <w:t>Tercero</w:t>
      </w:r>
      <w:proofErr w:type="spellEnd"/>
      <w:r w:rsidRPr="00D874C4">
        <w:rPr>
          <w:rFonts w:asciiTheme="majorHAnsi" w:hAnsiTheme="majorHAnsi"/>
          <w:sz w:val="16"/>
          <w:szCs w:val="16"/>
        </w:rPr>
        <w:t xml:space="preserve">, United States, October 28, 2015, </w:t>
      </w:r>
      <w:r w:rsidRPr="00D874C4">
        <w:rPr>
          <w:rFonts w:asciiTheme="majorHAnsi" w:hAnsiTheme="majorHAnsi"/>
          <w:sz w:val="16"/>
          <w:szCs w:val="16"/>
        </w:rPr>
        <w:br/>
        <w:t>para. 134.</w:t>
      </w:r>
    </w:p>
  </w:footnote>
  <w:footnote w:id="86">
    <w:p w:rsidR="006232F9" w:rsidRPr="008D10A8" w:rsidRDefault="006232F9" w:rsidP="00E32AC0">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US"/>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Report 53/13, Case 12.864, Merits (Publication), Ivan </w:t>
      </w:r>
      <w:proofErr w:type="spellStart"/>
      <w:r w:rsidRPr="00D874C4">
        <w:rPr>
          <w:rFonts w:asciiTheme="majorHAnsi" w:hAnsiTheme="majorHAnsi"/>
          <w:color w:val="auto"/>
          <w:sz w:val="16"/>
          <w:szCs w:val="16"/>
        </w:rPr>
        <w:t>Teleguz</w:t>
      </w:r>
      <w:proofErr w:type="spellEnd"/>
      <w:r w:rsidRPr="00D874C4">
        <w:rPr>
          <w:rFonts w:asciiTheme="majorHAnsi" w:hAnsiTheme="majorHAnsi"/>
          <w:color w:val="auto"/>
          <w:sz w:val="16"/>
          <w:szCs w:val="16"/>
        </w:rPr>
        <w:t xml:space="preserve">, United States, July 15, 2013, para. </w:t>
      </w:r>
      <w:r w:rsidRPr="008D10A8">
        <w:rPr>
          <w:rFonts w:asciiTheme="majorHAnsi" w:hAnsiTheme="majorHAnsi"/>
          <w:color w:val="auto"/>
          <w:sz w:val="16"/>
          <w:szCs w:val="16"/>
          <w:lang w:val="es-US"/>
        </w:rPr>
        <w:t>103.</w:t>
      </w:r>
    </w:p>
  </w:footnote>
  <w:footnote w:id="87">
    <w:p w:rsidR="006232F9" w:rsidRPr="008D10A8" w:rsidRDefault="006232F9" w:rsidP="00E32AC0">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US"/>
        </w:rPr>
      </w:pPr>
      <w:r w:rsidRPr="00D874C4">
        <w:rPr>
          <w:rStyle w:val="FootnoteReference"/>
          <w:rFonts w:asciiTheme="majorHAnsi" w:hAnsiTheme="majorHAnsi"/>
          <w:color w:val="auto"/>
          <w:sz w:val="16"/>
          <w:szCs w:val="16"/>
        </w:rPr>
        <w:footnoteRef/>
      </w:r>
      <w:r w:rsidRPr="008D10A8">
        <w:rPr>
          <w:rFonts w:asciiTheme="majorHAnsi" w:hAnsiTheme="majorHAnsi"/>
          <w:color w:val="auto"/>
          <w:sz w:val="16"/>
          <w:szCs w:val="16"/>
          <w:lang w:val="es-US"/>
        </w:rPr>
        <w:t xml:space="preserve"> IACHR. Merits. Ivan Teleguz, </w:t>
      </w:r>
      <w:r w:rsidRPr="008D10A8">
        <w:rPr>
          <w:rFonts w:ascii="Cambria" w:hAnsi="Cambria"/>
          <w:i/>
          <w:sz w:val="16"/>
          <w:szCs w:val="16"/>
          <w:lang w:val="es-US"/>
        </w:rPr>
        <w:t>supra</w:t>
      </w:r>
      <w:r w:rsidRPr="008D10A8">
        <w:rPr>
          <w:rFonts w:ascii="Cambria" w:hAnsi="Cambria"/>
          <w:sz w:val="16"/>
          <w:szCs w:val="16"/>
          <w:lang w:val="es-US"/>
        </w:rPr>
        <w:t xml:space="preserve"> XX</w:t>
      </w:r>
      <w:r w:rsidRPr="008D10A8">
        <w:rPr>
          <w:rFonts w:asciiTheme="majorHAnsi" w:hAnsiTheme="majorHAnsi"/>
          <w:color w:val="auto"/>
          <w:sz w:val="16"/>
          <w:szCs w:val="16"/>
          <w:lang w:val="es-US"/>
        </w:rPr>
        <w:t>, para. 103.</w:t>
      </w:r>
    </w:p>
  </w:footnote>
  <w:footnote w:id="88">
    <w:p w:rsidR="006232F9" w:rsidRPr="008D10A8" w:rsidRDefault="006232F9" w:rsidP="00E32AC0">
      <w:pPr>
        <w:pBdr>
          <w:top w:val="none" w:sz="0" w:space="0" w:color="auto"/>
          <w:left w:val="none" w:sz="0" w:space="0" w:color="auto"/>
          <w:bottom w:val="none" w:sz="0" w:space="0" w:color="auto"/>
          <w:right w:val="none" w:sz="0" w:space="0" w:color="auto"/>
          <w:bar w:val="none" w:sz="0" w:color="auto"/>
        </w:pBdr>
        <w:tabs>
          <w:tab w:val="left" w:pos="180"/>
          <w:tab w:val="left" w:pos="360"/>
        </w:tabs>
        <w:autoSpaceDE w:val="0"/>
        <w:autoSpaceDN w:val="0"/>
        <w:adjustRightInd w:val="0"/>
        <w:jc w:val="both"/>
        <w:rPr>
          <w:rFonts w:asciiTheme="majorHAnsi" w:hAnsiTheme="majorHAnsi"/>
          <w:sz w:val="16"/>
          <w:szCs w:val="16"/>
          <w:lang w:val="es-US"/>
        </w:rPr>
      </w:pPr>
      <w:r w:rsidRPr="00D874C4">
        <w:rPr>
          <w:rStyle w:val="FootnoteReference"/>
          <w:rFonts w:asciiTheme="majorHAnsi" w:hAnsiTheme="majorHAnsi"/>
          <w:sz w:val="16"/>
          <w:szCs w:val="16"/>
        </w:rPr>
        <w:footnoteRef/>
      </w:r>
      <w:r w:rsidRPr="008D10A8">
        <w:rPr>
          <w:rFonts w:asciiTheme="majorHAnsi" w:hAnsiTheme="majorHAnsi"/>
          <w:sz w:val="16"/>
          <w:szCs w:val="16"/>
          <w:lang w:val="es-US"/>
        </w:rPr>
        <w:t xml:space="preserve"> IACHR, Report 55/97, Case 11.137, Merits, Juan Carlos Abella, Argentina, November 18, 1997, para. 261.</w:t>
      </w:r>
    </w:p>
  </w:footnote>
  <w:footnote w:id="89">
    <w:p w:rsidR="006232F9" w:rsidRPr="008D10A8" w:rsidRDefault="006232F9" w:rsidP="00E32AC0">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US"/>
        </w:rPr>
      </w:pPr>
      <w:r w:rsidRPr="00D874C4">
        <w:rPr>
          <w:rStyle w:val="FootnoteReference"/>
          <w:rFonts w:asciiTheme="majorHAnsi" w:hAnsiTheme="majorHAnsi"/>
          <w:color w:val="auto"/>
          <w:sz w:val="16"/>
          <w:szCs w:val="16"/>
        </w:rPr>
        <w:footnoteRef/>
      </w:r>
      <w:r w:rsidRPr="008D10A8">
        <w:rPr>
          <w:rFonts w:asciiTheme="majorHAnsi" w:hAnsiTheme="majorHAnsi"/>
          <w:color w:val="auto"/>
          <w:sz w:val="16"/>
          <w:szCs w:val="16"/>
          <w:lang w:val="es-US"/>
        </w:rPr>
        <w:t xml:space="preserve"> IACHR. Merits. Ivan Teleguz, </w:t>
      </w:r>
      <w:r w:rsidRPr="008D10A8">
        <w:rPr>
          <w:rFonts w:ascii="Cambria" w:hAnsi="Cambria"/>
          <w:i/>
          <w:sz w:val="16"/>
          <w:szCs w:val="16"/>
          <w:lang w:val="es-US"/>
        </w:rPr>
        <w:t>supra</w:t>
      </w:r>
      <w:r w:rsidRPr="008D10A8">
        <w:rPr>
          <w:rFonts w:ascii="Cambria" w:hAnsi="Cambria"/>
          <w:sz w:val="16"/>
          <w:szCs w:val="16"/>
          <w:lang w:val="es-US"/>
        </w:rPr>
        <w:t xml:space="preserve"> XX</w:t>
      </w:r>
      <w:r w:rsidRPr="008D10A8">
        <w:rPr>
          <w:rFonts w:asciiTheme="majorHAnsi" w:hAnsiTheme="majorHAnsi"/>
          <w:color w:val="auto"/>
          <w:sz w:val="16"/>
          <w:szCs w:val="16"/>
          <w:lang w:val="es-US"/>
        </w:rPr>
        <w:t>, para. 105.</w:t>
      </w:r>
    </w:p>
  </w:footnote>
  <w:footnote w:id="90">
    <w:p w:rsidR="006232F9" w:rsidRPr="00D874C4" w:rsidRDefault="006232F9" w:rsidP="00E32AC0">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US"/>
        </w:rPr>
      </w:pPr>
      <w:r w:rsidRPr="00D874C4">
        <w:rPr>
          <w:rStyle w:val="FootnoteReference"/>
          <w:rFonts w:asciiTheme="majorHAnsi" w:hAnsiTheme="majorHAnsi"/>
          <w:color w:val="auto"/>
          <w:sz w:val="16"/>
          <w:szCs w:val="16"/>
        </w:rPr>
        <w:footnoteRef/>
      </w:r>
      <w:r w:rsidRPr="008D10A8">
        <w:rPr>
          <w:rFonts w:asciiTheme="majorHAnsi" w:hAnsiTheme="majorHAnsi"/>
          <w:color w:val="auto"/>
          <w:sz w:val="16"/>
          <w:szCs w:val="16"/>
          <w:lang w:val="es-US"/>
        </w:rPr>
        <w:t xml:space="preserve"> IACHR. Merits. Ivan Teleguz, </w:t>
      </w:r>
      <w:r w:rsidRPr="008D10A8">
        <w:rPr>
          <w:rFonts w:ascii="Cambria" w:hAnsi="Cambria"/>
          <w:i/>
          <w:sz w:val="16"/>
          <w:szCs w:val="16"/>
          <w:lang w:val="es-US"/>
        </w:rPr>
        <w:t>supra</w:t>
      </w:r>
      <w:r w:rsidRPr="008D10A8">
        <w:rPr>
          <w:rFonts w:ascii="Cambria" w:hAnsi="Cambria"/>
          <w:sz w:val="16"/>
          <w:szCs w:val="16"/>
          <w:lang w:val="es-US"/>
        </w:rPr>
        <w:t xml:space="preserve"> XX</w:t>
      </w:r>
      <w:r w:rsidRPr="008D10A8">
        <w:rPr>
          <w:rFonts w:asciiTheme="majorHAnsi" w:hAnsiTheme="majorHAnsi"/>
          <w:color w:val="auto"/>
          <w:sz w:val="16"/>
          <w:szCs w:val="16"/>
          <w:lang w:val="es-US"/>
        </w:rPr>
        <w:t xml:space="preserve">, para. </w:t>
      </w:r>
      <w:r w:rsidRPr="00D874C4">
        <w:rPr>
          <w:rFonts w:asciiTheme="majorHAnsi" w:hAnsiTheme="majorHAnsi"/>
          <w:color w:val="auto"/>
          <w:sz w:val="16"/>
          <w:szCs w:val="16"/>
          <w:lang w:val="es-US"/>
        </w:rPr>
        <w:t>103.</w:t>
      </w:r>
    </w:p>
  </w:footnote>
  <w:footnote w:id="91">
    <w:p w:rsidR="006232F9" w:rsidRPr="00D874C4" w:rsidRDefault="006232F9" w:rsidP="00711D64">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US"/>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lang w:val="es-US"/>
        </w:rPr>
        <w:t xml:space="preserve"> IACHR. Merits. Ivan Teleguz, </w:t>
      </w:r>
      <w:r w:rsidRPr="00D874C4">
        <w:rPr>
          <w:rFonts w:ascii="Cambria" w:hAnsi="Cambria"/>
          <w:i/>
          <w:sz w:val="16"/>
          <w:szCs w:val="16"/>
          <w:lang w:val="es-US"/>
        </w:rPr>
        <w:t>supra</w:t>
      </w:r>
      <w:r w:rsidRPr="00D874C4">
        <w:rPr>
          <w:rFonts w:ascii="Cambria" w:hAnsi="Cambria"/>
          <w:sz w:val="16"/>
          <w:szCs w:val="16"/>
          <w:lang w:val="es-US"/>
        </w:rPr>
        <w:t xml:space="preserve"> XX</w:t>
      </w:r>
      <w:r w:rsidRPr="00D874C4">
        <w:rPr>
          <w:rFonts w:asciiTheme="majorHAnsi" w:hAnsiTheme="majorHAnsi"/>
          <w:color w:val="auto"/>
          <w:sz w:val="16"/>
          <w:szCs w:val="16"/>
          <w:lang w:val="es-US"/>
        </w:rPr>
        <w:t>, para. 106.</w:t>
      </w:r>
    </w:p>
  </w:footnote>
  <w:footnote w:id="92">
    <w:p w:rsidR="006232F9" w:rsidRPr="00D874C4" w:rsidRDefault="006232F9" w:rsidP="00F91540">
      <w:pPr>
        <w:pStyle w:val="FootnoteText"/>
        <w:jc w:val="both"/>
        <w:rPr>
          <w:rFonts w:ascii="Cambria" w:hAnsi="Cambria"/>
          <w:sz w:val="16"/>
          <w:szCs w:val="16"/>
          <w:lang w:val="es-US"/>
        </w:rPr>
      </w:pPr>
      <w:r w:rsidRPr="00D874C4">
        <w:rPr>
          <w:rStyle w:val="FootnoteReference"/>
          <w:rFonts w:ascii="Cambria" w:hAnsi="Cambria"/>
          <w:sz w:val="16"/>
          <w:szCs w:val="16"/>
        </w:rPr>
        <w:footnoteRef/>
      </w:r>
      <w:r w:rsidRPr="00D874C4">
        <w:rPr>
          <w:rFonts w:ascii="Cambria" w:hAnsi="Cambria"/>
          <w:sz w:val="16"/>
          <w:szCs w:val="16"/>
          <w:lang w:val="es-US"/>
        </w:rPr>
        <w:t xml:space="preserve"> IACHR</w:t>
      </w:r>
      <w:r w:rsidRPr="00D874C4">
        <w:rPr>
          <w:rFonts w:asciiTheme="majorHAnsi" w:hAnsiTheme="majorHAnsi"/>
          <w:color w:val="auto"/>
          <w:sz w:val="16"/>
          <w:szCs w:val="16"/>
          <w:lang w:val="es-US"/>
        </w:rPr>
        <w:t>. Merits. Edgar Tamayo Arias</w:t>
      </w:r>
      <w:r w:rsidRPr="00D874C4">
        <w:rPr>
          <w:rFonts w:ascii="Cambria" w:hAnsi="Cambria"/>
          <w:sz w:val="16"/>
          <w:szCs w:val="16"/>
          <w:lang w:val="es-US"/>
        </w:rPr>
        <w:t xml:space="preserve">, </w:t>
      </w:r>
      <w:r w:rsidRPr="00D874C4">
        <w:rPr>
          <w:rFonts w:ascii="Cambria" w:hAnsi="Cambria"/>
          <w:i/>
          <w:sz w:val="16"/>
          <w:szCs w:val="16"/>
          <w:lang w:val="es-US"/>
        </w:rPr>
        <w:t>supra</w:t>
      </w:r>
      <w:r w:rsidRPr="00D874C4">
        <w:rPr>
          <w:rFonts w:ascii="Cambria" w:hAnsi="Cambria"/>
          <w:sz w:val="16"/>
          <w:szCs w:val="16"/>
          <w:lang w:val="es-US"/>
        </w:rPr>
        <w:t xml:space="preserve"> XX, para. 189.</w:t>
      </w:r>
    </w:p>
  </w:footnote>
  <w:footnote w:id="93">
    <w:p w:rsidR="006232F9" w:rsidRPr="008D10A8" w:rsidRDefault="006232F9" w:rsidP="00F91540">
      <w:pPr>
        <w:pStyle w:val="FootnoteText"/>
        <w:jc w:val="both"/>
        <w:rPr>
          <w:rFonts w:ascii="Cambria" w:hAnsi="Cambria"/>
          <w:sz w:val="16"/>
          <w:szCs w:val="16"/>
        </w:rPr>
      </w:pPr>
      <w:r w:rsidRPr="00D874C4">
        <w:rPr>
          <w:rStyle w:val="FootnoteReference"/>
          <w:rFonts w:ascii="Cambria" w:hAnsi="Cambria"/>
          <w:sz w:val="16"/>
          <w:szCs w:val="16"/>
        </w:rPr>
        <w:footnoteRef/>
      </w:r>
      <w:r w:rsidRPr="00D874C4">
        <w:rPr>
          <w:rFonts w:ascii="Cambria" w:hAnsi="Cambria"/>
          <w:sz w:val="16"/>
          <w:szCs w:val="16"/>
          <w:lang w:val="es-US"/>
        </w:rPr>
        <w:t xml:space="preserve"> IACHR</w:t>
      </w:r>
      <w:r w:rsidRPr="00D874C4">
        <w:rPr>
          <w:rFonts w:asciiTheme="majorHAnsi" w:hAnsiTheme="majorHAnsi"/>
          <w:color w:val="auto"/>
          <w:sz w:val="16"/>
          <w:szCs w:val="16"/>
          <w:lang w:val="es-US"/>
        </w:rPr>
        <w:t>. Merits. Edgar Tamayo Arias</w:t>
      </w:r>
      <w:r w:rsidRPr="00D874C4">
        <w:rPr>
          <w:rFonts w:ascii="Cambria" w:hAnsi="Cambria"/>
          <w:sz w:val="16"/>
          <w:szCs w:val="16"/>
          <w:lang w:val="es-US"/>
        </w:rPr>
        <w:t xml:space="preserve">, </w:t>
      </w:r>
      <w:r w:rsidRPr="00D874C4">
        <w:rPr>
          <w:rFonts w:ascii="Cambria" w:hAnsi="Cambria"/>
          <w:i/>
          <w:sz w:val="16"/>
          <w:szCs w:val="16"/>
          <w:lang w:val="es-US"/>
        </w:rPr>
        <w:t>supra</w:t>
      </w:r>
      <w:r w:rsidRPr="00D874C4">
        <w:rPr>
          <w:rFonts w:ascii="Cambria" w:hAnsi="Cambria"/>
          <w:sz w:val="16"/>
          <w:szCs w:val="16"/>
          <w:lang w:val="es-US"/>
        </w:rPr>
        <w:t xml:space="preserve"> XX, para. </w:t>
      </w:r>
      <w:r w:rsidRPr="008D10A8">
        <w:rPr>
          <w:rFonts w:ascii="Cambria" w:hAnsi="Cambria"/>
          <w:sz w:val="16"/>
          <w:szCs w:val="16"/>
        </w:rPr>
        <w:t>190.</w:t>
      </w:r>
    </w:p>
  </w:footnote>
  <w:footnote w:id="94">
    <w:p w:rsidR="006232F9" w:rsidRPr="008D10A8" w:rsidRDefault="006232F9" w:rsidP="00F91540">
      <w:pPr>
        <w:pStyle w:val="FootnoteText"/>
        <w:jc w:val="both"/>
        <w:rPr>
          <w:rFonts w:ascii="Cambria" w:hAnsi="Cambria"/>
          <w:sz w:val="16"/>
          <w:szCs w:val="16"/>
        </w:rPr>
      </w:pPr>
      <w:r w:rsidRPr="00D874C4">
        <w:rPr>
          <w:rStyle w:val="FootnoteReference"/>
          <w:rFonts w:ascii="Cambria" w:hAnsi="Cambria"/>
          <w:sz w:val="16"/>
          <w:szCs w:val="16"/>
        </w:rPr>
        <w:footnoteRef/>
      </w:r>
      <w:r w:rsidRPr="008D10A8">
        <w:rPr>
          <w:rFonts w:ascii="Cambria" w:hAnsi="Cambria"/>
          <w:sz w:val="16"/>
          <w:szCs w:val="16"/>
        </w:rPr>
        <w:t xml:space="preserve"> The death penalty and the absolute prohibition of Torture and Cruel, Inhuman, and Degrading Treatment or Punishment, Juan E. Mendez, Human Right Brief, Volume 20, Issue 1, Article 1, p. 3. </w:t>
      </w:r>
    </w:p>
  </w:footnote>
  <w:footnote w:id="95">
    <w:p w:rsidR="006232F9" w:rsidRPr="00D874C4" w:rsidRDefault="006232F9" w:rsidP="00F91540">
      <w:pPr>
        <w:pStyle w:val="FootnoteText"/>
        <w:jc w:val="both"/>
        <w:rPr>
          <w:rFonts w:ascii="Cambria" w:hAnsi="Cambria"/>
          <w:sz w:val="16"/>
          <w:szCs w:val="16"/>
        </w:rPr>
      </w:pPr>
      <w:r w:rsidRPr="00D874C4">
        <w:rPr>
          <w:rStyle w:val="FootnoteReference"/>
          <w:rFonts w:ascii="Cambria" w:hAnsi="Cambria"/>
          <w:sz w:val="16"/>
          <w:szCs w:val="16"/>
        </w:rPr>
        <w:footnoteRef/>
      </w:r>
      <w:r w:rsidRPr="00D874C4">
        <w:rPr>
          <w:rFonts w:ascii="Cambria" w:hAnsi="Cambria"/>
          <w:sz w:val="16"/>
          <w:szCs w:val="16"/>
        </w:rPr>
        <w:t xml:space="preserve"> Committee Against Torture, Considerations of Reports submitted by State Parties under Article 19 of the Convention, United States, CAT/C/USA/CO/2, July 25, 2006, para. 31.</w:t>
      </w:r>
    </w:p>
  </w:footnote>
  <w:footnote w:id="96">
    <w:p w:rsidR="006232F9" w:rsidRPr="00D874C4" w:rsidRDefault="006232F9" w:rsidP="00F91540">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IACHR, Report No. 71/18, Case 12.958. Merits. Russell </w:t>
      </w:r>
      <w:proofErr w:type="spellStart"/>
      <w:r w:rsidRPr="00D874C4">
        <w:rPr>
          <w:rFonts w:asciiTheme="majorHAnsi" w:hAnsiTheme="majorHAnsi"/>
          <w:color w:val="auto"/>
          <w:sz w:val="16"/>
          <w:szCs w:val="16"/>
        </w:rPr>
        <w:t>Bucklew</w:t>
      </w:r>
      <w:proofErr w:type="spellEnd"/>
      <w:r w:rsidRPr="00D874C4">
        <w:rPr>
          <w:rFonts w:asciiTheme="majorHAnsi" w:hAnsiTheme="majorHAnsi"/>
          <w:color w:val="auto"/>
          <w:sz w:val="16"/>
          <w:szCs w:val="16"/>
        </w:rPr>
        <w:t>. United States, May 10, 2018, paras. 86-90. In this report the Commission has cited a number of developments in the inter-American and other protections systems, including the regional and United Nations systems.</w:t>
      </w:r>
    </w:p>
  </w:footnote>
  <w:footnote w:id="97">
    <w:p w:rsidR="006232F9" w:rsidRPr="00D874C4" w:rsidRDefault="006232F9" w:rsidP="003A5E9B">
      <w:pPr>
        <w:pStyle w:val="FootnoteText"/>
        <w:tabs>
          <w:tab w:val="left" w:pos="0"/>
        </w:tabs>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IACHR. Merits. Russell </w:t>
      </w:r>
      <w:proofErr w:type="spellStart"/>
      <w:r w:rsidRPr="00D874C4">
        <w:rPr>
          <w:rFonts w:asciiTheme="majorHAnsi" w:hAnsiTheme="majorHAnsi"/>
          <w:color w:val="auto"/>
          <w:sz w:val="16"/>
          <w:szCs w:val="16"/>
        </w:rPr>
        <w:t>Bucklew</w:t>
      </w:r>
      <w:proofErr w:type="spellEnd"/>
      <w:r w:rsidRPr="00D874C4">
        <w:rPr>
          <w:rFonts w:asciiTheme="majorHAnsi" w:hAnsiTheme="majorHAnsi"/>
          <w:color w:val="auto"/>
          <w:sz w:val="16"/>
          <w:szCs w:val="16"/>
        </w:rPr>
        <w:t xml:space="preserve">,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para. 83.</w:t>
      </w:r>
    </w:p>
  </w:footnote>
  <w:footnote w:id="98">
    <w:p w:rsidR="006232F9" w:rsidRPr="00D874C4" w:rsidRDefault="006232F9" w:rsidP="003A5E9B">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IACHR, Report No. 24/17, Case 12.254. Merits. Victor </w:t>
      </w:r>
      <w:proofErr w:type="spellStart"/>
      <w:r w:rsidRPr="00D874C4">
        <w:rPr>
          <w:rFonts w:asciiTheme="majorHAnsi" w:hAnsiTheme="majorHAnsi"/>
          <w:color w:val="auto"/>
          <w:sz w:val="16"/>
          <w:szCs w:val="16"/>
        </w:rPr>
        <w:t>Saldaño</w:t>
      </w:r>
      <w:proofErr w:type="spellEnd"/>
      <w:r w:rsidRPr="00D874C4">
        <w:rPr>
          <w:rFonts w:asciiTheme="majorHAnsi" w:hAnsiTheme="majorHAnsi"/>
          <w:color w:val="auto"/>
          <w:sz w:val="16"/>
          <w:szCs w:val="16"/>
        </w:rPr>
        <w:t>. United States. March 18, 2017, para. 246, citing IACHR, Report No. 58/02. Merits. Case 12.275. Denton Aitken. Jamaica. October 21, 2002, paras. 133 and 134.</w:t>
      </w:r>
    </w:p>
  </w:footnote>
  <w:footnote w:id="99">
    <w:p w:rsidR="006232F9" w:rsidRPr="00D874C4" w:rsidRDefault="006232F9" w:rsidP="003A5E9B">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sz w:val="16"/>
          <w:szCs w:val="16"/>
        </w:rPr>
      </w:pPr>
      <w:r w:rsidRPr="00D874C4">
        <w:rPr>
          <w:rStyle w:val="FootnoteReference"/>
          <w:rFonts w:ascii="Cambria" w:hAnsi="Cambria"/>
          <w:color w:val="auto"/>
          <w:sz w:val="16"/>
          <w:szCs w:val="16"/>
        </w:rPr>
        <w:footnoteRef/>
      </w:r>
      <w:r w:rsidRPr="00D874C4">
        <w:rPr>
          <w:rFonts w:ascii="Cambria" w:hAnsi="Cambria"/>
          <w:color w:val="auto"/>
          <w:sz w:val="16"/>
          <w:szCs w:val="16"/>
        </w:rPr>
        <w:t xml:space="preserve"> United Nations. Interim report of the Special Rapporteur on torture and other cruel, inhuman or degrading treatment of punishment.  9 August 2012. A/67/279. para 48.</w:t>
      </w:r>
    </w:p>
  </w:footnote>
  <w:footnote w:id="100">
    <w:p w:rsidR="006232F9" w:rsidRPr="00D874C4" w:rsidRDefault="006232F9">
      <w:pPr>
        <w:pStyle w:val="FootnoteText"/>
        <w:rPr>
          <w:sz w:val="16"/>
          <w:szCs w:val="16"/>
        </w:rPr>
      </w:pPr>
      <w:r w:rsidRPr="00D874C4">
        <w:rPr>
          <w:rStyle w:val="FootnoteReference"/>
          <w:rFonts w:ascii="Cambria" w:hAnsi="Cambria"/>
          <w:color w:val="auto"/>
          <w:sz w:val="16"/>
          <w:szCs w:val="16"/>
        </w:rPr>
        <w:footnoteRef/>
      </w:r>
      <w:r w:rsidRPr="00D874C4">
        <w:rPr>
          <w:rStyle w:val="FootnoteReference"/>
          <w:rFonts w:ascii="Cambria" w:hAnsi="Cambria"/>
          <w:color w:val="auto"/>
          <w:sz w:val="16"/>
          <w:szCs w:val="16"/>
        </w:rPr>
        <w:t xml:space="preserve"> </w:t>
      </w:r>
      <w:r w:rsidRPr="00D874C4">
        <w:rPr>
          <w:rFonts w:asciiTheme="majorHAnsi" w:hAnsiTheme="majorHAnsi"/>
          <w:color w:val="auto"/>
          <w:sz w:val="16"/>
          <w:szCs w:val="16"/>
        </w:rPr>
        <w:t>Article I of the American Declaration establishes: Every human being has the right to life, liberty and the security of his person.</w:t>
      </w:r>
    </w:p>
  </w:footnote>
  <w:footnote w:id="101">
    <w:p w:rsidR="006232F9" w:rsidRPr="00D874C4" w:rsidRDefault="006232F9" w:rsidP="00BE3560">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Report No. 53/13, Case 12.864, Merits (Publication), Ivan </w:t>
      </w:r>
      <w:proofErr w:type="spellStart"/>
      <w:r w:rsidRPr="00D874C4">
        <w:rPr>
          <w:rFonts w:asciiTheme="majorHAnsi" w:hAnsiTheme="majorHAnsi"/>
          <w:color w:val="auto"/>
          <w:sz w:val="16"/>
          <w:szCs w:val="16"/>
        </w:rPr>
        <w:t>Teleguz</w:t>
      </w:r>
      <w:proofErr w:type="spellEnd"/>
      <w:r w:rsidRPr="00D874C4">
        <w:rPr>
          <w:rFonts w:asciiTheme="majorHAnsi" w:hAnsiTheme="majorHAnsi"/>
          <w:color w:val="auto"/>
          <w:sz w:val="16"/>
          <w:szCs w:val="16"/>
        </w:rPr>
        <w:t>, United States, July 15, 2013, para. 129.</w:t>
      </w:r>
    </w:p>
  </w:footnote>
  <w:footnote w:id="102">
    <w:p w:rsidR="006232F9" w:rsidRPr="00D874C4" w:rsidRDefault="006232F9" w:rsidP="00BE3560">
      <w:pPr>
        <w:pStyle w:val="FootnoteText"/>
        <w:jc w:val="both"/>
        <w:rPr>
          <w:rFonts w:asciiTheme="majorHAnsi" w:hAnsiTheme="majorHAnsi"/>
          <w:color w:val="auto"/>
          <w:sz w:val="16"/>
          <w:szCs w:val="16"/>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IACHR. Merits. Félix Rocha Díaz,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para. 106.</w:t>
      </w:r>
    </w:p>
  </w:footnote>
  <w:footnote w:id="103">
    <w:p w:rsidR="006232F9" w:rsidRPr="00D874C4" w:rsidRDefault="006232F9" w:rsidP="00AA4294">
      <w:pPr>
        <w:pStyle w:val="FootnoteText"/>
        <w:jc w:val="both"/>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See in this regard, IACHR, The death penalty in the Inter-American Human Rights System: From restrictions to abolition,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December 31, 2011.</w:t>
      </w:r>
    </w:p>
  </w:footnote>
  <w:footnote w:id="104">
    <w:p w:rsidR="006232F9" w:rsidRPr="00D874C4" w:rsidRDefault="006232F9" w:rsidP="00AA4294">
      <w:pPr>
        <w:pStyle w:val="FootnoteText"/>
        <w:jc w:val="both"/>
        <w:rPr>
          <w:rFonts w:asciiTheme="majorHAnsi" w:hAnsiTheme="majorHAnsi"/>
          <w:color w:val="auto"/>
          <w:sz w:val="16"/>
          <w:szCs w:val="16"/>
          <w:bdr w:val="none" w:sz="0" w:space="0" w:color="auto"/>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D874C4">
        <w:rPr>
          <w:rFonts w:asciiTheme="majorHAnsi" w:hAnsiTheme="majorHAnsi"/>
          <w:color w:val="auto"/>
          <w:sz w:val="16"/>
          <w:szCs w:val="16"/>
        </w:rPr>
        <w:t>Ser.L</w:t>
      </w:r>
      <w:proofErr w:type="spellEnd"/>
      <w:r w:rsidRPr="00D874C4">
        <w:rPr>
          <w:rFonts w:asciiTheme="majorHAnsi" w:hAnsiTheme="majorHAnsi"/>
          <w:color w:val="auto"/>
          <w:sz w:val="16"/>
          <w:szCs w:val="16"/>
        </w:rPr>
        <w:t>/V/II.Doc 68, December 31, 2011.</w:t>
      </w:r>
    </w:p>
  </w:footnote>
  <w:footnote w:id="105">
    <w:p w:rsidR="006232F9" w:rsidRPr="00D874C4" w:rsidRDefault="006232F9" w:rsidP="00C320A3">
      <w:pPr>
        <w:pStyle w:val="FootnoteText"/>
        <w:jc w:val="both"/>
        <w:rPr>
          <w:sz w:val="16"/>
          <w:szCs w:val="16"/>
        </w:rPr>
      </w:pPr>
      <w:r w:rsidRPr="00D874C4">
        <w:rPr>
          <w:rStyle w:val="FootnoteReference"/>
          <w:rFonts w:asciiTheme="majorHAnsi" w:hAnsiTheme="majorHAnsi"/>
          <w:color w:val="auto"/>
          <w:sz w:val="16"/>
          <w:szCs w:val="16"/>
        </w:rPr>
        <w:footnoteRef/>
      </w:r>
      <w:r w:rsidRPr="00D874C4">
        <w:rPr>
          <w:rStyle w:val="FootnoteReference"/>
          <w:rFonts w:asciiTheme="majorHAnsi" w:hAnsiTheme="majorHAnsi"/>
          <w:color w:val="auto"/>
          <w:sz w:val="16"/>
          <w:szCs w:val="16"/>
        </w:rPr>
        <w:t xml:space="preserve"> </w:t>
      </w:r>
      <w:r w:rsidRPr="00D874C4">
        <w:rPr>
          <w:rFonts w:asciiTheme="majorHAnsi" w:hAnsiTheme="majorHAnsi"/>
          <w:color w:val="auto"/>
          <w:sz w:val="16"/>
          <w:szCs w:val="16"/>
        </w:rPr>
        <w:t xml:space="preserve">See in this regard, IACHR, The death penalty in the Inter-American Human Rights System: From restrictions to abolition, </w:t>
      </w:r>
      <w:r w:rsidRPr="00D874C4">
        <w:rPr>
          <w:rFonts w:asciiTheme="majorHAnsi" w:hAnsiTheme="majorHAnsi"/>
          <w:i/>
          <w:color w:val="auto"/>
          <w:sz w:val="16"/>
          <w:szCs w:val="16"/>
        </w:rPr>
        <w:t>supra</w:t>
      </w:r>
      <w:r w:rsidRPr="00D874C4">
        <w:rPr>
          <w:rFonts w:asciiTheme="majorHAnsi" w:hAnsiTheme="majorHAnsi"/>
          <w:color w:val="auto"/>
          <w:sz w:val="16"/>
          <w:szCs w:val="16"/>
        </w:rPr>
        <w:t xml:space="preserve"> XX, December 31, 2011.</w:t>
      </w:r>
    </w:p>
  </w:footnote>
  <w:footnote w:id="106">
    <w:p w:rsidR="006232F9" w:rsidRPr="00CA06E5" w:rsidRDefault="006232F9" w:rsidP="00284ACD">
      <w:pPr>
        <w:pStyle w:val="FootnoteText"/>
        <w:jc w:val="both"/>
        <w:rPr>
          <w:rFonts w:asciiTheme="majorHAnsi" w:hAnsiTheme="majorHAnsi"/>
          <w:color w:val="auto"/>
          <w:sz w:val="16"/>
          <w:szCs w:val="16"/>
          <w:bdr w:val="none" w:sz="0" w:space="0" w:color="auto"/>
        </w:rPr>
      </w:pPr>
      <w:r w:rsidRPr="00D874C4">
        <w:rPr>
          <w:rStyle w:val="FootnoteReference"/>
          <w:rFonts w:asciiTheme="majorHAnsi" w:hAnsiTheme="majorHAnsi"/>
          <w:color w:val="auto"/>
          <w:sz w:val="16"/>
          <w:szCs w:val="16"/>
        </w:rPr>
        <w:footnoteRef/>
      </w:r>
      <w:r w:rsidRPr="00D874C4">
        <w:rPr>
          <w:rFonts w:asciiTheme="majorHAnsi" w:hAnsiTheme="majorHAnsi"/>
          <w:color w:val="auto"/>
          <w:sz w:val="16"/>
          <w:szCs w:val="16"/>
        </w:rPr>
        <w:t xml:space="preserve"> See in this regard, IACHR, The death penalty in the Inter-American Human Rights System: From restrictions to abolition, OEA/</w:t>
      </w:r>
      <w:proofErr w:type="spellStart"/>
      <w:r w:rsidRPr="00D874C4">
        <w:rPr>
          <w:rFonts w:asciiTheme="majorHAnsi" w:hAnsiTheme="majorHAnsi"/>
          <w:color w:val="auto"/>
          <w:sz w:val="16"/>
          <w:szCs w:val="16"/>
        </w:rPr>
        <w:t>Ser.L</w:t>
      </w:r>
      <w:proofErr w:type="spellEnd"/>
      <w:r w:rsidRPr="00D874C4">
        <w:rPr>
          <w:rFonts w:asciiTheme="majorHAnsi" w:hAnsiTheme="majorHAnsi"/>
          <w:color w:val="auto"/>
          <w:sz w:val="16"/>
          <w:szCs w:val="16"/>
        </w:rPr>
        <w:t>/V/II.Doc 68,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F9" w:rsidRDefault="006232F9" w:rsidP="00C14701">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232F9" w:rsidRDefault="00623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F9" w:rsidRDefault="006232F9" w:rsidP="002C1641">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6232F9" w:rsidRPr="00EC7D62" w:rsidRDefault="00FC0785" w:rsidP="002C1641">
    <w:pPr>
      <w:pStyle w:val="Header"/>
      <w:tabs>
        <w:tab w:val="clear" w:pos="4320"/>
        <w:tab w:val="clear" w:pos="8640"/>
      </w:tabs>
      <w:jc w:val="center"/>
      <w:rPr>
        <w:sz w:val="22"/>
        <w:szCs w:val="22"/>
      </w:rPr>
    </w:pPr>
    <w:r>
      <w:rPr>
        <w:noProof/>
        <w:sz w:val="22"/>
        <w:szCs w:val="22"/>
        <w:bdr w:val="nil"/>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0D" w:rsidRDefault="00BE3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09C6D86"/>
    <w:multiLevelType w:val="hybridMultilevel"/>
    <w:tmpl w:val="E2DA7786"/>
    <w:lvl w:ilvl="0" w:tplc="3D30CAF8">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5D1631"/>
    <w:multiLevelType w:val="hybridMultilevel"/>
    <w:tmpl w:val="545A6344"/>
    <w:lvl w:ilvl="0" w:tplc="79705370">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681F10"/>
    <w:multiLevelType w:val="hybridMultilevel"/>
    <w:tmpl w:val="2E80453E"/>
    <w:lvl w:ilvl="0" w:tplc="F7A06EEE">
      <w:start w:val="1"/>
      <w:numFmt w:val="decimal"/>
      <w:lvlText w:val="%1."/>
      <w:lvlJc w:val="left"/>
      <w:pPr>
        <w:ind w:left="1425" w:hanging="705"/>
      </w:pPr>
      <w:rPr>
        <w:rFonts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ADE44AD"/>
    <w:multiLevelType w:val="multilevel"/>
    <w:tmpl w:val="E2AA1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6166DB58"/>
    <w:lvl w:ilvl="0" w:tplc="5830BC58">
      <w:start w:val="1"/>
      <w:numFmt w:val="decimal"/>
      <w:lvlText w:val="%1."/>
      <w:lvlJc w:val="left"/>
      <w:pPr>
        <w:ind w:left="34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73A8A9E"/>
    <w:lvl w:ilvl="0" w:tplc="69020C3E">
      <w:start w:val="1"/>
      <w:numFmt w:val="upperRoman"/>
      <w:pStyle w:val="Heading1"/>
      <w:lvlText w:val="%1."/>
      <w:lvlJc w:val="left"/>
      <w:pPr>
        <w:ind w:left="72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45554A"/>
    <w:multiLevelType w:val="hybridMultilevel"/>
    <w:tmpl w:val="FA40F4D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8"/>
  </w:num>
  <w:num w:numId="4">
    <w:abstractNumId w:val="21"/>
  </w:num>
  <w:num w:numId="5">
    <w:abstractNumId w:val="49"/>
  </w:num>
  <w:num w:numId="6">
    <w:abstractNumId w:val="26"/>
  </w:num>
  <w:num w:numId="7">
    <w:abstractNumId w:val="7"/>
  </w:num>
  <w:num w:numId="8">
    <w:abstractNumId w:val="17"/>
  </w:num>
  <w:num w:numId="9">
    <w:abstractNumId w:val="42"/>
  </w:num>
  <w:num w:numId="10">
    <w:abstractNumId w:val="0"/>
  </w:num>
  <w:num w:numId="11">
    <w:abstractNumId w:val="35"/>
  </w:num>
  <w:num w:numId="12">
    <w:abstractNumId w:val="36"/>
  </w:num>
  <w:num w:numId="13">
    <w:abstractNumId w:val="44"/>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8"/>
  </w:num>
  <w:num w:numId="42">
    <w:abstractNumId w:val="51"/>
  </w:num>
  <w:num w:numId="43">
    <w:abstractNumId w:val="52"/>
  </w:num>
  <w:num w:numId="44">
    <w:abstractNumId w:val="55"/>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0"/>
  </w:num>
  <w:num w:numId="52">
    <w:abstractNumId w:val="39"/>
  </w:num>
  <w:num w:numId="53">
    <w:abstractNumId w:val="53"/>
  </w:num>
  <w:num w:numId="54">
    <w:abstractNumId w:val="46"/>
  </w:num>
  <w:num w:numId="55">
    <w:abstractNumId w:val="47"/>
  </w:num>
  <w:num w:numId="56">
    <w:abstractNumId w:val="50"/>
  </w:num>
  <w:num w:numId="57">
    <w:abstractNumId w:val="41"/>
  </w:num>
  <w:num w:numId="58">
    <w:abstractNumId w:val="56"/>
  </w:num>
  <w:num w:numId="59">
    <w:abstractNumId w:val="54"/>
    <w:lvlOverride w:ilvl="0">
      <w:startOverride w:val="1"/>
    </w:lvlOverride>
  </w:num>
  <w:num w:numId="60">
    <w:abstractNumId w:val="54"/>
  </w:num>
  <w:num w:numId="61">
    <w:abstractNumId w:val="40"/>
  </w:num>
  <w:num w:numId="62">
    <w:abstractNumId w:val="43"/>
  </w:num>
  <w:num w:numId="63">
    <w:abstractNumId w:val="6"/>
  </w:num>
  <w:num w:numId="64">
    <w:abstractNumId w:val="45"/>
  </w:num>
  <w:num w:numId="65">
    <w:abstractNumId w:val="43"/>
  </w:num>
  <w:num w:numId="66">
    <w:abstractNumId w:val="4"/>
  </w:num>
  <w:num w:numId="67">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132"/>
    <w:rsid w:val="00001188"/>
    <w:rsid w:val="00001B5B"/>
    <w:rsid w:val="00002328"/>
    <w:rsid w:val="00003421"/>
    <w:rsid w:val="00004013"/>
    <w:rsid w:val="000050CC"/>
    <w:rsid w:val="000063B1"/>
    <w:rsid w:val="000063EC"/>
    <w:rsid w:val="00006C62"/>
    <w:rsid w:val="00006DD7"/>
    <w:rsid w:val="00006E50"/>
    <w:rsid w:val="00006EDD"/>
    <w:rsid w:val="000070D7"/>
    <w:rsid w:val="00007690"/>
    <w:rsid w:val="00007B4D"/>
    <w:rsid w:val="00010600"/>
    <w:rsid w:val="00010877"/>
    <w:rsid w:val="00010A7E"/>
    <w:rsid w:val="000111A8"/>
    <w:rsid w:val="00011610"/>
    <w:rsid w:val="00011E4C"/>
    <w:rsid w:val="00011EB8"/>
    <w:rsid w:val="00012267"/>
    <w:rsid w:val="00012470"/>
    <w:rsid w:val="00012683"/>
    <w:rsid w:val="00012ADD"/>
    <w:rsid w:val="00012E4F"/>
    <w:rsid w:val="0001333D"/>
    <w:rsid w:val="00013BDD"/>
    <w:rsid w:val="00013E1D"/>
    <w:rsid w:val="00013F78"/>
    <w:rsid w:val="000149B3"/>
    <w:rsid w:val="00014FBC"/>
    <w:rsid w:val="00015576"/>
    <w:rsid w:val="000156FB"/>
    <w:rsid w:val="00015841"/>
    <w:rsid w:val="00015975"/>
    <w:rsid w:val="00015F42"/>
    <w:rsid w:val="00017552"/>
    <w:rsid w:val="0001788C"/>
    <w:rsid w:val="00020CEE"/>
    <w:rsid w:val="00021201"/>
    <w:rsid w:val="00021557"/>
    <w:rsid w:val="00021789"/>
    <w:rsid w:val="00022424"/>
    <w:rsid w:val="00022F55"/>
    <w:rsid w:val="0002357A"/>
    <w:rsid w:val="00023B97"/>
    <w:rsid w:val="00024428"/>
    <w:rsid w:val="00024730"/>
    <w:rsid w:val="00024BB7"/>
    <w:rsid w:val="00025656"/>
    <w:rsid w:val="000265CB"/>
    <w:rsid w:val="0002681D"/>
    <w:rsid w:val="00027409"/>
    <w:rsid w:val="00030190"/>
    <w:rsid w:val="0003022F"/>
    <w:rsid w:val="00030834"/>
    <w:rsid w:val="0003091F"/>
    <w:rsid w:val="0003092B"/>
    <w:rsid w:val="00030FBB"/>
    <w:rsid w:val="0003108C"/>
    <w:rsid w:val="00031189"/>
    <w:rsid w:val="00031819"/>
    <w:rsid w:val="00031A82"/>
    <w:rsid w:val="0003262C"/>
    <w:rsid w:val="00032ACC"/>
    <w:rsid w:val="00032BDA"/>
    <w:rsid w:val="00032EF4"/>
    <w:rsid w:val="0003324D"/>
    <w:rsid w:val="000332F4"/>
    <w:rsid w:val="00033D0D"/>
    <w:rsid w:val="00035616"/>
    <w:rsid w:val="0003635D"/>
    <w:rsid w:val="000365D7"/>
    <w:rsid w:val="00036A8A"/>
    <w:rsid w:val="00037633"/>
    <w:rsid w:val="0003763D"/>
    <w:rsid w:val="000378D5"/>
    <w:rsid w:val="00037C6C"/>
    <w:rsid w:val="00040A05"/>
    <w:rsid w:val="00040C3A"/>
    <w:rsid w:val="000414D2"/>
    <w:rsid w:val="00041ACC"/>
    <w:rsid w:val="00041E0A"/>
    <w:rsid w:val="000427EE"/>
    <w:rsid w:val="00042A17"/>
    <w:rsid w:val="0004390C"/>
    <w:rsid w:val="000439BE"/>
    <w:rsid w:val="00044B19"/>
    <w:rsid w:val="00044B20"/>
    <w:rsid w:val="0004538A"/>
    <w:rsid w:val="000454A8"/>
    <w:rsid w:val="00045601"/>
    <w:rsid w:val="000459E0"/>
    <w:rsid w:val="00045C16"/>
    <w:rsid w:val="00046729"/>
    <w:rsid w:val="0004681B"/>
    <w:rsid w:val="00046D40"/>
    <w:rsid w:val="0004761C"/>
    <w:rsid w:val="00047DA5"/>
    <w:rsid w:val="00047F35"/>
    <w:rsid w:val="00050455"/>
    <w:rsid w:val="000510AE"/>
    <w:rsid w:val="000516F4"/>
    <w:rsid w:val="000517B2"/>
    <w:rsid w:val="00051EB4"/>
    <w:rsid w:val="000520FB"/>
    <w:rsid w:val="00052D20"/>
    <w:rsid w:val="00053172"/>
    <w:rsid w:val="0005448A"/>
    <w:rsid w:val="0005454A"/>
    <w:rsid w:val="00054E1B"/>
    <w:rsid w:val="000550C0"/>
    <w:rsid w:val="000564E1"/>
    <w:rsid w:val="00056C0E"/>
    <w:rsid w:val="000576AA"/>
    <w:rsid w:val="00057AD6"/>
    <w:rsid w:val="00057D4F"/>
    <w:rsid w:val="00057EDB"/>
    <w:rsid w:val="00060666"/>
    <w:rsid w:val="0006097A"/>
    <w:rsid w:val="0006100F"/>
    <w:rsid w:val="00061537"/>
    <w:rsid w:val="00062269"/>
    <w:rsid w:val="00062C0F"/>
    <w:rsid w:val="00062FEC"/>
    <w:rsid w:val="000630E1"/>
    <w:rsid w:val="000639C0"/>
    <w:rsid w:val="000651B5"/>
    <w:rsid w:val="000657E1"/>
    <w:rsid w:val="00065FBA"/>
    <w:rsid w:val="00066108"/>
    <w:rsid w:val="00066378"/>
    <w:rsid w:val="000679BC"/>
    <w:rsid w:val="00070B9D"/>
    <w:rsid w:val="00070F3A"/>
    <w:rsid w:val="000710C5"/>
    <w:rsid w:val="0007127E"/>
    <w:rsid w:val="000716C5"/>
    <w:rsid w:val="00071A9D"/>
    <w:rsid w:val="00071E45"/>
    <w:rsid w:val="00072772"/>
    <w:rsid w:val="000728CA"/>
    <w:rsid w:val="00072B03"/>
    <w:rsid w:val="00072C1A"/>
    <w:rsid w:val="0007333C"/>
    <w:rsid w:val="00073F3C"/>
    <w:rsid w:val="000743D8"/>
    <w:rsid w:val="00074669"/>
    <w:rsid w:val="000756B4"/>
    <w:rsid w:val="00075E23"/>
    <w:rsid w:val="000764E3"/>
    <w:rsid w:val="000769D6"/>
    <w:rsid w:val="0007716F"/>
    <w:rsid w:val="00077A87"/>
    <w:rsid w:val="00080249"/>
    <w:rsid w:val="00080357"/>
    <w:rsid w:val="0008102D"/>
    <w:rsid w:val="00081EC3"/>
    <w:rsid w:val="000823DA"/>
    <w:rsid w:val="00082C6B"/>
    <w:rsid w:val="00082CBB"/>
    <w:rsid w:val="000830D5"/>
    <w:rsid w:val="0008363F"/>
    <w:rsid w:val="0008366A"/>
    <w:rsid w:val="00083970"/>
    <w:rsid w:val="00084A11"/>
    <w:rsid w:val="00084C5B"/>
    <w:rsid w:val="00085519"/>
    <w:rsid w:val="00085F60"/>
    <w:rsid w:val="00085F65"/>
    <w:rsid w:val="0008675E"/>
    <w:rsid w:val="00086BFA"/>
    <w:rsid w:val="0008733D"/>
    <w:rsid w:val="000901D7"/>
    <w:rsid w:val="00090720"/>
    <w:rsid w:val="00090E48"/>
    <w:rsid w:val="00090E82"/>
    <w:rsid w:val="00091707"/>
    <w:rsid w:val="00091E39"/>
    <w:rsid w:val="0009228C"/>
    <w:rsid w:val="000922C5"/>
    <w:rsid w:val="00092817"/>
    <w:rsid w:val="000929D9"/>
    <w:rsid w:val="00092F32"/>
    <w:rsid w:val="00093055"/>
    <w:rsid w:val="0009344A"/>
    <w:rsid w:val="0009454E"/>
    <w:rsid w:val="0009477A"/>
    <w:rsid w:val="00094AFA"/>
    <w:rsid w:val="00095575"/>
    <w:rsid w:val="0009575D"/>
    <w:rsid w:val="000973C5"/>
    <w:rsid w:val="00097428"/>
    <w:rsid w:val="000A0BA7"/>
    <w:rsid w:val="000A0EDD"/>
    <w:rsid w:val="000A0EF3"/>
    <w:rsid w:val="000A16DB"/>
    <w:rsid w:val="000A1E84"/>
    <w:rsid w:val="000A2085"/>
    <w:rsid w:val="000A20EB"/>
    <w:rsid w:val="000A20FF"/>
    <w:rsid w:val="000A254B"/>
    <w:rsid w:val="000A25B1"/>
    <w:rsid w:val="000A3276"/>
    <w:rsid w:val="000A3299"/>
    <w:rsid w:val="000A393C"/>
    <w:rsid w:val="000A3E84"/>
    <w:rsid w:val="000A4138"/>
    <w:rsid w:val="000A4DDD"/>
    <w:rsid w:val="000A5152"/>
    <w:rsid w:val="000A51D4"/>
    <w:rsid w:val="000A545A"/>
    <w:rsid w:val="000A575F"/>
    <w:rsid w:val="000A57BD"/>
    <w:rsid w:val="000A584B"/>
    <w:rsid w:val="000A5AC6"/>
    <w:rsid w:val="000A5B0F"/>
    <w:rsid w:val="000A62C0"/>
    <w:rsid w:val="000A650D"/>
    <w:rsid w:val="000A68B6"/>
    <w:rsid w:val="000A6C50"/>
    <w:rsid w:val="000A753A"/>
    <w:rsid w:val="000A7A76"/>
    <w:rsid w:val="000A7DBA"/>
    <w:rsid w:val="000B022D"/>
    <w:rsid w:val="000B040F"/>
    <w:rsid w:val="000B06AC"/>
    <w:rsid w:val="000B094A"/>
    <w:rsid w:val="000B0AEA"/>
    <w:rsid w:val="000B25B8"/>
    <w:rsid w:val="000B25FC"/>
    <w:rsid w:val="000B276D"/>
    <w:rsid w:val="000B2C14"/>
    <w:rsid w:val="000B2E8E"/>
    <w:rsid w:val="000B2EF7"/>
    <w:rsid w:val="000B3477"/>
    <w:rsid w:val="000B39B4"/>
    <w:rsid w:val="000B418A"/>
    <w:rsid w:val="000B422F"/>
    <w:rsid w:val="000B478D"/>
    <w:rsid w:val="000B4DAF"/>
    <w:rsid w:val="000B4EAA"/>
    <w:rsid w:val="000B50C3"/>
    <w:rsid w:val="000B5C0C"/>
    <w:rsid w:val="000B6574"/>
    <w:rsid w:val="000C0092"/>
    <w:rsid w:val="000C0149"/>
    <w:rsid w:val="000C04CF"/>
    <w:rsid w:val="000C067E"/>
    <w:rsid w:val="000C1094"/>
    <w:rsid w:val="000C1B5A"/>
    <w:rsid w:val="000C1C2F"/>
    <w:rsid w:val="000C1E67"/>
    <w:rsid w:val="000C2661"/>
    <w:rsid w:val="000C2998"/>
    <w:rsid w:val="000C2C82"/>
    <w:rsid w:val="000C34E6"/>
    <w:rsid w:val="000C395A"/>
    <w:rsid w:val="000C45C3"/>
    <w:rsid w:val="000C5014"/>
    <w:rsid w:val="000C5219"/>
    <w:rsid w:val="000C556C"/>
    <w:rsid w:val="000C5934"/>
    <w:rsid w:val="000C5C98"/>
    <w:rsid w:val="000C5DEE"/>
    <w:rsid w:val="000C5FE1"/>
    <w:rsid w:val="000C6FFD"/>
    <w:rsid w:val="000C715A"/>
    <w:rsid w:val="000C7343"/>
    <w:rsid w:val="000C7D72"/>
    <w:rsid w:val="000C7F55"/>
    <w:rsid w:val="000D0BD2"/>
    <w:rsid w:val="000D0DD7"/>
    <w:rsid w:val="000D10DB"/>
    <w:rsid w:val="000D1FC7"/>
    <w:rsid w:val="000D33C9"/>
    <w:rsid w:val="000D3921"/>
    <w:rsid w:val="000D3B27"/>
    <w:rsid w:val="000D4039"/>
    <w:rsid w:val="000D43E0"/>
    <w:rsid w:val="000D559C"/>
    <w:rsid w:val="000D5691"/>
    <w:rsid w:val="000D600D"/>
    <w:rsid w:val="000D6817"/>
    <w:rsid w:val="000D68F4"/>
    <w:rsid w:val="000D6EEF"/>
    <w:rsid w:val="000D7923"/>
    <w:rsid w:val="000E0392"/>
    <w:rsid w:val="000E07F7"/>
    <w:rsid w:val="000E0F8F"/>
    <w:rsid w:val="000E1356"/>
    <w:rsid w:val="000E24D2"/>
    <w:rsid w:val="000E3937"/>
    <w:rsid w:val="000E44C7"/>
    <w:rsid w:val="000E49AD"/>
    <w:rsid w:val="000E49DF"/>
    <w:rsid w:val="000E56C3"/>
    <w:rsid w:val="000E5CBA"/>
    <w:rsid w:val="000E69B3"/>
    <w:rsid w:val="000E6A5E"/>
    <w:rsid w:val="000E6EDD"/>
    <w:rsid w:val="000E7140"/>
    <w:rsid w:val="000E7636"/>
    <w:rsid w:val="000E79FC"/>
    <w:rsid w:val="000E7E45"/>
    <w:rsid w:val="000E7ECD"/>
    <w:rsid w:val="000E7ED0"/>
    <w:rsid w:val="000E7F69"/>
    <w:rsid w:val="000F0A25"/>
    <w:rsid w:val="000F0EEC"/>
    <w:rsid w:val="000F1DA9"/>
    <w:rsid w:val="000F2A3B"/>
    <w:rsid w:val="000F2BD3"/>
    <w:rsid w:val="000F3514"/>
    <w:rsid w:val="000F4547"/>
    <w:rsid w:val="000F4D36"/>
    <w:rsid w:val="000F5C1A"/>
    <w:rsid w:val="000F5D64"/>
    <w:rsid w:val="000F5D9A"/>
    <w:rsid w:val="000F6387"/>
    <w:rsid w:val="000F6510"/>
    <w:rsid w:val="000F671C"/>
    <w:rsid w:val="000F734B"/>
    <w:rsid w:val="000F7407"/>
    <w:rsid w:val="000F7409"/>
    <w:rsid w:val="000F7814"/>
    <w:rsid w:val="000F7832"/>
    <w:rsid w:val="00100038"/>
    <w:rsid w:val="00100FB7"/>
    <w:rsid w:val="00101553"/>
    <w:rsid w:val="001022DD"/>
    <w:rsid w:val="001024E3"/>
    <w:rsid w:val="001025B1"/>
    <w:rsid w:val="0010275F"/>
    <w:rsid w:val="00102F8A"/>
    <w:rsid w:val="0010319B"/>
    <w:rsid w:val="001032AB"/>
    <w:rsid w:val="00103331"/>
    <w:rsid w:val="00103526"/>
    <w:rsid w:val="0010352F"/>
    <w:rsid w:val="00103877"/>
    <w:rsid w:val="00103ABE"/>
    <w:rsid w:val="00104889"/>
    <w:rsid w:val="00104896"/>
    <w:rsid w:val="00104C50"/>
    <w:rsid w:val="00105599"/>
    <w:rsid w:val="0010592A"/>
    <w:rsid w:val="00105C96"/>
    <w:rsid w:val="0010625B"/>
    <w:rsid w:val="001063FA"/>
    <w:rsid w:val="001064F8"/>
    <w:rsid w:val="00106990"/>
    <w:rsid w:val="00106A88"/>
    <w:rsid w:val="00107476"/>
    <w:rsid w:val="0011143B"/>
    <w:rsid w:val="00112617"/>
    <w:rsid w:val="001126EB"/>
    <w:rsid w:val="00113149"/>
    <w:rsid w:val="001131EC"/>
    <w:rsid w:val="00113ACF"/>
    <w:rsid w:val="00114390"/>
    <w:rsid w:val="00114527"/>
    <w:rsid w:val="00114B8F"/>
    <w:rsid w:val="00115009"/>
    <w:rsid w:val="00115CB1"/>
    <w:rsid w:val="00116623"/>
    <w:rsid w:val="00116B58"/>
    <w:rsid w:val="0011774C"/>
    <w:rsid w:val="001204C7"/>
    <w:rsid w:val="00122DF4"/>
    <w:rsid w:val="00122E7F"/>
    <w:rsid w:val="0012315D"/>
    <w:rsid w:val="00123CB6"/>
    <w:rsid w:val="00123ECD"/>
    <w:rsid w:val="0012514A"/>
    <w:rsid w:val="001253B3"/>
    <w:rsid w:val="00125D3B"/>
    <w:rsid w:val="0012610A"/>
    <w:rsid w:val="001267FB"/>
    <w:rsid w:val="00126894"/>
    <w:rsid w:val="00126F3B"/>
    <w:rsid w:val="0012752E"/>
    <w:rsid w:val="00130A27"/>
    <w:rsid w:val="00130DE9"/>
    <w:rsid w:val="00131042"/>
    <w:rsid w:val="0013104F"/>
    <w:rsid w:val="0013178F"/>
    <w:rsid w:val="00131B01"/>
    <w:rsid w:val="00133465"/>
    <w:rsid w:val="0013403C"/>
    <w:rsid w:val="00134FF0"/>
    <w:rsid w:val="0013505C"/>
    <w:rsid w:val="001357AD"/>
    <w:rsid w:val="0013603E"/>
    <w:rsid w:val="001365B6"/>
    <w:rsid w:val="0013698A"/>
    <w:rsid w:val="00136CB7"/>
    <w:rsid w:val="00137EBA"/>
    <w:rsid w:val="00137FDE"/>
    <w:rsid w:val="00140380"/>
    <w:rsid w:val="0014051C"/>
    <w:rsid w:val="0014078D"/>
    <w:rsid w:val="00140921"/>
    <w:rsid w:val="00141DEA"/>
    <w:rsid w:val="00142AE8"/>
    <w:rsid w:val="00143E4B"/>
    <w:rsid w:val="00143EB9"/>
    <w:rsid w:val="0014445A"/>
    <w:rsid w:val="001451B5"/>
    <w:rsid w:val="00145EDC"/>
    <w:rsid w:val="00147723"/>
    <w:rsid w:val="00147DC5"/>
    <w:rsid w:val="001503E0"/>
    <w:rsid w:val="00150DD0"/>
    <w:rsid w:val="00150EE4"/>
    <w:rsid w:val="00151C69"/>
    <w:rsid w:val="00152085"/>
    <w:rsid w:val="00152829"/>
    <w:rsid w:val="00152944"/>
    <w:rsid w:val="0015335C"/>
    <w:rsid w:val="00154179"/>
    <w:rsid w:val="001553CB"/>
    <w:rsid w:val="0015575F"/>
    <w:rsid w:val="0015592F"/>
    <w:rsid w:val="00155EEE"/>
    <w:rsid w:val="00155F1D"/>
    <w:rsid w:val="00157341"/>
    <w:rsid w:val="001576FC"/>
    <w:rsid w:val="001577B2"/>
    <w:rsid w:val="00157A9F"/>
    <w:rsid w:val="00157CE4"/>
    <w:rsid w:val="00157D5E"/>
    <w:rsid w:val="00157F0D"/>
    <w:rsid w:val="001600A4"/>
    <w:rsid w:val="001603B5"/>
    <w:rsid w:val="0016066B"/>
    <w:rsid w:val="0016108B"/>
    <w:rsid w:val="00161150"/>
    <w:rsid w:val="00162AAD"/>
    <w:rsid w:val="00162CEF"/>
    <w:rsid w:val="0016356D"/>
    <w:rsid w:val="00163742"/>
    <w:rsid w:val="001638DF"/>
    <w:rsid w:val="0016440B"/>
    <w:rsid w:val="00164552"/>
    <w:rsid w:val="0016465A"/>
    <w:rsid w:val="0016499F"/>
    <w:rsid w:val="001651C8"/>
    <w:rsid w:val="00165F60"/>
    <w:rsid w:val="00166496"/>
    <w:rsid w:val="0016671A"/>
    <w:rsid w:val="00166F26"/>
    <w:rsid w:val="00166F35"/>
    <w:rsid w:val="001679D0"/>
    <w:rsid w:val="00167A34"/>
    <w:rsid w:val="001708FE"/>
    <w:rsid w:val="00170952"/>
    <w:rsid w:val="00170976"/>
    <w:rsid w:val="001710D1"/>
    <w:rsid w:val="00171725"/>
    <w:rsid w:val="0017254C"/>
    <w:rsid w:val="0017269A"/>
    <w:rsid w:val="00172A98"/>
    <w:rsid w:val="00173003"/>
    <w:rsid w:val="001733D5"/>
    <w:rsid w:val="0017348C"/>
    <w:rsid w:val="001739DA"/>
    <w:rsid w:val="001739F5"/>
    <w:rsid w:val="001747B4"/>
    <w:rsid w:val="00174911"/>
    <w:rsid w:val="00174F72"/>
    <w:rsid w:val="00175827"/>
    <w:rsid w:val="0017642E"/>
    <w:rsid w:val="00176496"/>
    <w:rsid w:val="00176765"/>
    <w:rsid w:val="001774F7"/>
    <w:rsid w:val="00180064"/>
    <w:rsid w:val="0018037F"/>
    <w:rsid w:val="001805B4"/>
    <w:rsid w:val="00180BA3"/>
    <w:rsid w:val="00180D3C"/>
    <w:rsid w:val="00180E3B"/>
    <w:rsid w:val="001819A8"/>
    <w:rsid w:val="0018210D"/>
    <w:rsid w:val="00182A08"/>
    <w:rsid w:val="00182F27"/>
    <w:rsid w:val="001830B2"/>
    <w:rsid w:val="0018339E"/>
    <w:rsid w:val="0018351D"/>
    <w:rsid w:val="00184083"/>
    <w:rsid w:val="00184C6F"/>
    <w:rsid w:val="001851E4"/>
    <w:rsid w:val="00185D69"/>
    <w:rsid w:val="00187268"/>
    <w:rsid w:val="00190214"/>
    <w:rsid w:val="00190BC5"/>
    <w:rsid w:val="00190F48"/>
    <w:rsid w:val="00190FE8"/>
    <w:rsid w:val="001917D9"/>
    <w:rsid w:val="00192815"/>
    <w:rsid w:val="00192FD4"/>
    <w:rsid w:val="0019332D"/>
    <w:rsid w:val="001937A5"/>
    <w:rsid w:val="00194646"/>
    <w:rsid w:val="001950F4"/>
    <w:rsid w:val="001952E6"/>
    <w:rsid w:val="001954CF"/>
    <w:rsid w:val="001961B7"/>
    <w:rsid w:val="00196280"/>
    <w:rsid w:val="001965CC"/>
    <w:rsid w:val="001970F2"/>
    <w:rsid w:val="0019719F"/>
    <w:rsid w:val="0019748D"/>
    <w:rsid w:val="001A0782"/>
    <w:rsid w:val="001A0B42"/>
    <w:rsid w:val="001A1B32"/>
    <w:rsid w:val="001A1BFC"/>
    <w:rsid w:val="001A1CE2"/>
    <w:rsid w:val="001A2434"/>
    <w:rsid w:val="001A2A70"/>
    <w:rsid w:val="001A326A"/>
    <w:rsid w:val="001A39CF"/>
    <w:rsid w:val="001A4221"/>
    <w:rsid w:val="001A45A8"/>
    <w:rsid w:val="001A5F27"/>
    <w:rsid w:val="001A6423"/>
    <w:rsid w:val="001A64EB"/>
    <w:rsid w:val="001A65D4"/>
    <w:rsid w:val="001A7439"/>
    <w:rsid w:val="001A7724"/>
    <w:rsid w:val="001A7870"/>
    <w:rsid w:val="001A7D5B"/>
    <w:rsid w:val="001A7EDC"/>
    <w:rsid w:val="001B09AD"/>
    <w:rsid w:val="001B17B9"/>
    <w:rsid w:val="001B3279"/>
    <w:rsid w:val="001B337E"/>
    <w:rsid w:val="001B3F5D"/>
    <w:rsid w:val="001B3F87"/>
    <w:rsid w:val="001B4593"/>
    <w:rsid w:val="001B477E"/>
    <w:rsid w:val="001B4974"/>
    <w:rsid w:val="001B4E52"/>
    <w:rsid w:val="001B5190"/>
    <w:rsid w:val="001B56BC"/>
    <w:rsid w:val="001B59C4"/>
    <w:rsid w:val="001B5F45"/>
    <w:rsid w:val="001B60FE"/>
    <w:rsid w:val="001B6CB3"/>
    <w:rsid w:val="001B7349"/>
    <w:rsid w:val="001B7BA1"/>
    <w:rsid w:val="001C04BF"/>
    <w:rsid w:val="001C0710"/>
    <w:rsid w:val="001C126A"/>
    <w:rsid w:val="001C19BA"/>
    <w:rsid w:val="001C1B41"/>
    <w:rsid w:val="001C2003"/>
    <w:rsid w:val="001C2173"/>
    <w:rsid w:val="001C217B"/>
    <w:rsid w:val="001C2546"/>
    <w:rsid w:val="001C2F45"/>
    <w:rsid w:val="001C3032"/>
    <w:rsid w:val="001C32BE"/>
    <w:rsid w:val="001C38BC"/>
    <w:rsid w:val="001C3B2D"/>
    <w:rsid w:val="001C3D2F"/>
    <w:rsid w:val="001C4006"/>
    <w:rsid w:val="001C48AF"/>
    <w:rsid w:val="001C4ADD"/>
    <w:rsid w:val="001C50DC"/>
    <w:rsid w:val="001C58A3"/>
    <w:rsid w:val="001C6025"/>
    <w:rsid w:val="001C68E7"/>
    <w:rsid w:val="001C6A0A"/>
    <w:rsid w:val="001C6BD5"/>
    <w:rsid w:val="001C6E0E"/>
    <w:rsid w:val="001C6F52"/>
    <w:rsid w:val="001C736A"/>
    <w:rsid w:val="001D0E0E"/>
    <w:rsid w:val="001D1074"/>
    <w:rsid w:val="001D1343"/>
    <w:rsid w:val="001D1A17"/>
    <w:rsid w:val="001D1FC1"/>
    <w:rsid w:val="001D42A6"/>
    <w:rsid w:val="001D4D75"/>
    <w:rsid w:val="001D59B1"/>
    <w:rsid w:val="001D652F"/>
    <w:rsid w:val="001D6BA1"/>
    <w:rsid w:val="001D746F"/>
    <w:rsid w:val="001D75F2"/>
    <w:rsid w:val="001D789D"/>
    <w:rsid w:val="001D7B45"/>
    <w:rsid w:val="001E0270"/>
    <w:rsid w:val="001E0808"/>
    <w:rsid w:val="001E1061"/>
    <w:rsid w:val="001E10CA"/>
    <w:rsid w:val="001E2768"/>
    <w:rsid w:val="001E2867"/>
    <w:rsid w:val="001E3060"/>
    <w:rsid w:val="001E31D4"/>
    <w:rsid w:val="001E3F3E"/>
    <w:rsid w:val="001E423E"/>
    <w:rsid w:val="001E477E"/>
    <w:rsid w:val="001E4D7D"/>
    <w:rsid w:val="001E53FB"/>
    <w:rsid w:val="001E59A9"/>
    <w:rsid w:val="001E5A1A"/>
    <w:rsid w:val="001E5F04"/>
    <w:rsid w:val="001E699E"/>
    <w:rsid w:val="001E6C37"/>
    <w:rsid w:val="001E7DDD"/>
    <w:rsid w:val="001E7EC7"/>
    <w:rsid w:val="001F094C"/>
    <w:rsid w:val="001F0B25"/>
    <w:rsid w:val="001F0B72"/>
    <w:rsid w:val="001F3B00"/>
    <w:rsid w:val="001F3E8D"/>
    <w:rsid w:val="001F4A4B"/>
    <w:rsid w:val="001F4DB8"/>
    <w:rsid w:val="001F62D9"/>
    <w:rsid w:val="001F65E5"/>
    <w:rsid w:val="001F6E7F"/>
    <w:rsid w:val="001F7294"/>
    <w:rsid w:val="00200D2E"/>
    <w:rsid w:val="002018AF"/>
    <w:rsid w:val="002026B9"/>
    <w:rsid w:val="002027D1"/>
    <w:rsid w:val="00202A19"/>
    <w:rsid w:val="00203841"/>
    <w:rsid w:val="00204924"/>
    <w:rsid w:val="00204DFD"/>
    <w:rsid w:val="002056C8"/>
    <w:rsid w:val="00205E34"/>
    <w:rsid w:val="00206728"/>
    <w:rsid w:val="002067F4"/>
    <w:rsid w:val="00206E3F"/>
    <w:rsid w:val="0020747B"/>
    <w:rsid w:val="00207544"/>
    <w:rsid w:val="0021055A"/>
    <w:rsid w:val="00210E0E"/>
    <w:rsid w:val="00211891"/>
    <w:rsid w:val="00211F3B"/>
    <w:rsid w:val="00212497"/>
    <w:rsid w:val="00213A2F"/>
    <w:rsid w:val="00214962"/>
    <w:rsid w:val="002154D4"/>
    <w:rsid w:val="0021591D"/>
    <w:rsid w:val="00215CE2"/>
    <w:rsid w:val="00216575"/>
    <w:rsid w:val="00216C99"/>
    <w:rsid w:val="002175A5"/>
    <w:rsid w:val="00217A1B"/>
    <w:rsid w:val="00217D6A"/>
    <w:rsid w:val="00220BC7"/>
    <w:rsid w:val="0022169F"/>
    <w:rsid w:val="002218FD"/>
    <w:rsid w:val="00222050"/>
    <w:rsid w:val="00222647"/>
    <w:rsid w:val="002226AA"/>
    <w:rsid w:val="00222C57"/>
    <w:rsid w:val="00222CA4"/>
    <w:rsid w:val="00223245"/>
    <w:rsid w:val="002237F3"/>
    <w:rsid w:val="00224455"/>
    <w:rsid w:val="00224AA7"/>
    <w:rsid w:val="00224E5F"/>
    <w:rsid w:val="00225375"/>
    <w:rsid w:val="00225457"/>
    <w:rsid w:val="002256AE"/>
    <w:rsid w:val="00225D07"/>
    <w:rsid w:val="002277C3"/>
    <w:rsid w:val="0023061B"/>
    <w:rsid w:val="00231242"/>
    <w:rsid w:val="00231CD1"/>
    <w:rsid w:val="00232A3C"/>
    <w:rsid w:val="00232E4E"/>
    <w:rsid w:val="00233353"/>
    <w:rsid w:val="00234A52"/>
    <w:rsid w:val="002351E7"/>
    <w:rsid w:val="00235E44"/>
    <w:rsid w:val="00235EAA"/>
    <w:rsid w:val="002368C5"/>
    <w:rsid w:val="00236FA5"/>
    <w:rsid w:val="00237D33"/>
    <w:rsid w:val="002401B8"/>
    <w:rsid w:val="0024070A"/>
    <w:rsid w:val="00241B9E"/>
    <w:rsid w:val="0024247E"/>
    <w:rsid w:val="0024350C"/>
    <w:rsid w:val="0024379B"/>
    <w:rsid w:val="0024410B"/>
    <w:rsid w:val="002445EB"/>
    <w:rsid w:val="00244E7D"/>
    <w:rsid w:val="00245446"/>
    <w:rsid w:val="00245452"/>
    <w:rsid w:val="00245F40"/>
    <w:rsid w:val="00246E7D"/>
    <w:rsid w:val="00246F6A"/>
    <w:rsid w:val="00247019"/>
    <w:rsid w:val="00247403"/>
    <w:rsid w:val="00247542"/>
    <w:rsid w:val="00247592"/>
    <w:rsid w:val="00247E0E"/>
    <w:rsid w:val="00250662"/>
    <w:rsid w:val="0025070B"/>
    <w:rsid w:val="00250AA7"/>
    <w:rsid w:val="00250B61"/>
    <w:rsid w:val="00250F0E"/>
    <w:rsid w:val="00250F42"/>
    <w:rsid w:val="0025100E"/>
    <w:rsid w:val="002520C0"/>
    <w:rsid w:val="00252AC7"/>
    <w:rsid w:val="00253F1B"/>
    <w:rsid w:val="00255140"/>
    <w:rsid w:val="002552DF"/>
    <w:rsid w:val="0025532E"/>
    <w:rsid w:val="00255475"/>
    <w:rsid w:val="00255759"/>
    <w:rsid w:val="00255F05"/>
    <w:rsid w:val="002560C3"/>
    <w:rsid w:val="00256813"/>
    <w:rsid w:val="00256D45"/>
    <w:rsid w:val="00257893"/>
    <w:rsid w:val="00260087"/>
    <w:rsid w:val="0026109F"/>
    <w:rsid w:val="0026154C"/>
    <w:rsid w:val="002626A2"/>
    <w:rsid w:val="002626F5"/>
    <w:rsid w:val="00262ECA"/>
    <w:rsid w:val="00263B2B"/>
    <w:rsid w:val="00264033"/>
    <w:rsid w:val="002644ED"/>
    <w:rsid w:val="00264870"/>
    <w:rsid w:val="00264944"/>
    <w:rsid w:val="002651D1"/>
    <w:rsid w:val="00265E54"/>
    <w:rsid w:val="00266092"/>
    <w:rsid w:val="00266B61"/>
    <w:rsid w:val="0026712A"/>
    <w:rsid w:val="00267320"/>
    <w:rsid w:val="00267891"/>
    <w:rsid w:val="00267EF0"/>
    <w:rsid w:val="0027004C"/>
    <w:rsid w:val="002701A7"/>
    <w:rsid w:val="0027039B"/>
    <w:rsid w:val="002704DB"/>
    <w:rsid w:val="002704E0"/>
    <w:rsid w:val="002706E4"/>
    <w:rsid w:val="00270C7A"/>
    <w:rsid w:val="00271175"/>
    <w:rsid w:val="00271289"/>
    <w:rsid w:val="00271626"/>
    <w:rsid w:val="00272596"/>
    <w:rsid w:val="00272854"/>
    <w:rsid w:val="00272A02"/>
    <w:rsid w:val="00272A20"/>
    <w:rsid w:val="00272DEF"/>
    <w:rsid w:val="00272F7D"/>
    <w:rsid w:val="00273032"/>
    <w:rsid w:val="002730F6"/>
    <w:rsid w:val="00273E21"/>
    <w:rsid w:val="00274F86"/>
    <w:rsid w:val="002755CF"/>
    <w:rsid w:val="0027583C"/>
    <w:rsid w:val="00275FC9"/>
    <w:rsid w:val="002760C7"/>
    <w:rsid w:val="0027671E"/>
    <w:rsid w:val="0027694B"/>
    <w:rsid w:val="00276C31"/>
    <w:rsid w:val="002772E3"/>
    <w:rsid w:val="00277B79"/>
    <w:rsid w:val="00277BA7"/>
    <w:rsid w:val="002809AC"/>
    <w:rsid w:val="0028111A"/>
    <w:rsid w:val="00281D19"/>
    <w:rsid w:val="00283909"/>
    <w:rsid w:val="0028392E"/>
    <w:rsid w:val="00284ACD"/>
    <w:rsid w:val="00284E86"/>
    <w:rsid w:val="00286631"/>
    <w:rsid w:val="00286996"/>
    <w:rsid w:val="002869C6"/>
    <w:rsid w:val="00287642"/>
    <w:rsid w:val="0028794B"/>
    <w:rsid w:val="00287E01"/>
    <w:rsid w:val="00290094"/>
    <w:rsid w:val="002901A4"/>
    <w:rsid w:val="00291005"/>
    <w:rsid w:val="002912D4"/>
    <w:rsid w:val="0029180E"/>
    <w:rsid w:val="00291C7D"/>
    <w:rsid w:val="00291F30"/>
    <w:rsid w:val="00292239"/>
    <w:rsid w:val="00292CEC"/>
    <w:rsid w:val="0029397E"/>
    <w:rsid w:val="00293AEB"/>
    <w:rsid w:val="00293B75"/>
    <w:rsid w:val="0029466E"/>
    <w:rsid w:val="00294727"/>
    <w:rsid w:val="00294A85"/>
    <w:rsid w:val="00294B4A"/>
    <w:rsid w:val="00294FA9"/>
    <w:rsid w:val="00294FB3"/>
    <w:rsid w:val="002955D3"/>
    <w:rsid w:val="002957D7"/>
    <w:rsid w:val="00295C76"/>
    <w:rsid w:val="0029615A"/>
    <w:rsid w:val="002963E4"/>
    <w:rsid w:val="0029715B"/>
    <w:rsid w:val="00297288"/>
    <w:rsid w:val="0029754B"/>
    <w:rsid w:val="002A00C2"/>
    <w:rsid w:val="002A011B"/>
    <w:rsid w:val="002A036F"/>
    <w:rsid w:val="002A05B1"/>
    <w:rsid w:val="002A1564"/>
    <w:rsid w:val="002A1C6E"/>
    <w:rsid w:val="002A1D6A"/>
    <w:rsid w:val="002A1EF3"/>
    <w:rsid w:val="002A207E"/>
    <w:rsid w:val="002A24D4"/>
    <w:rsid w:val="002A2593"/>
    <w:rsid w:val="002A2720"/>
    <w:rsid w:val="002A3B5B"/>
    <w:rsid w:val="002A3CD5"/>
    <w:rsid w:val="002A5150"/>
    <w:rsid w:val="002A563A"/>
    <w:rsid w:val="002A5BAF"/>
    <w:rsid w:val="002A7062"/>
    <w:rsid w:val="002A733A"/>
    <w:rsid w:val="002A7A01"/>
    <w:rsid w:val="002B008D"/>
    <w:rsid w:val="002B018A"/>
    <w:rsid w:val="002B0BE7"/>
    <w:rsid w:val="002B0C15"/>
    <w:rsid w:val="002B0F7A"/>
    <w:rsid w:val="002B110C"/>
    <w:rsid w:val="002B1184"/>
    <w:rsid w:val="002B14E8"/>
    <w:rsid w:val="002B1D55"/>
    <w:rsid w:val="002B2189"/>
    <w:rsid w:val="002B2AB5"/>
    <w:rsid w:val="002B30E6"/>
    <w:rsid w:val="002B3A2B"/>
    <w:rsid w:val="002B4417"/>
    <w:rsid w:val="002B4B61"/>
    <w:rsid w:val="002B53FA"/>
    <w:rsid w:val="002B5EC3"/>
    <w:rsid w:val="002B5F8A"/>
    <w:rsid w:val="002B6DE7"/>
    <w:rsid w:val="002B7661"/>
    <w:rsid w:val="002C0B64"/>
    <w:rsid w:val="002C10D7"/>
    <w:rsid w:val="002C1641"/>
    <w:rsid w:val="002C18C8"/>
    <w:rsid w:val="002C1EB3"/>
    <w:rsid w:val="002C1F13"/>
    <w:rsid w:val="002C237C"/>
    <w:rsid w:val="002C271F"/>
    <w:rsid w:val="002C2792"/>
    <w:rsid w:val="002C2C05"/>
    <w:rsid w:val="002C303E"/>
    <w:rsid w:val="002C312A"/>
    <w:rsid w:val="002C3312"/>
    <w:rsid w:val="002C3671"/>
    <w:rsid w:val="002C3D66"/>
    <w:rsid w:val="002C4070"/>
    <w:rsid w:val="002C58D2"/>
    <w:rsid w:val="002C5A89"/>
    <w:rsid w:val="002C5BCE"/>
    <w:rsid w:val="002C5EC4"/>
    <w:rsid w:val="002C6C33"/>
    <w:rsid w:val="002D0089"/>
    <w:rsid w:val="002D033F"/>
    <w:rsid w:val="002D0341"/>
    <w:rsid w:val="002D064D"/>
    <w:rsid w:val="002D1173"/>
    <w:rsid w:val="002D12CF"/>
    <w:rsid w:val="002D13B3"/>
    <w:rsid w:val="002D144B"/>
    <w:rsid w:val="002D1CFA"/>
    <w:rsid w:val="002D2410"/>
    <w:rsid w:val="002D33B3"/>
    <w:rsid w:val="002D40D8"/>
    <w:rsid w:val="002D45C2"/>
    <w:rsid w:val="002D4B8D"/>
    <w:rsid w:val="002D4CA0"/>
    <w:rsid w:val="002D628F"/>
    <w:rsid w:val="002D6786"/>
    <w:rsid w:val="002D6E69"/>
    <w:rsid w:val="002D704A"/>
    <w:rsid w:val="002D7DC4"/>
    <w:rsid w:val="002D7EA2"/>
    <w:rsid w:val="002E0060"/>
    <w:rsid w:val="002E03A4"/>
    <w:rsid w:val="002E10CD"/>
    <w:rsid w:val="002E10DC"/>
    <w:rsid w:val="002E15DF"/>
    <w:rsid w:val="002E16E8"/>
    <w:rsid w:val="002E187C"/>
    <w:rsid w:val="002E18E3"/>
    <w:rsid w:val="002E1CDE"/>
    <w:rsid w:val="002E1EAC"/>
    <w:rsid w:val="002E25FE"/>
    <w:rsid w:val="002E314D"/>
    <w:rsid w:val="002E349E"/>
    <w:rsid w:val="002E35D7"/>
    <w:rsid w:val="002E38CE"/>
    <w:rsid w:val="002E3921"/>
    <w:rsid w:val="002E3C15"/>
    <w:rsid w:val="002E432F"/>
    <w:rsid w:val="002E4F0A"/>
    <w:rsid w:val="002E4F3B"/>
    <w:rsid w:val="002E61E7"/>
    <w:rsid w:val="002E620F"/>
    <w:rsid w:val="002E6267"/>
    <w:rsid w:val="002E6663"/>
    <w:rsid w:val="002E6B47"/>
    <w:rsid w:val="002E6E57"/>
    <w:rsid w:val="002E7137"/>
    <w:rsid w:val="002E755E"/>
    <w:rsid w:val="002E78C1"/>
    <w:rsid w:val="002E7E79"/>
    <w:rsid w:val="002F097A"/>
    <w:rsid w:val="002F0B46"/>
    <w:rsid w:val="002F17C9"/>
    <w:rsid w:val="002F1B00"/>
    <w:rsid w:val="002F1B4A"/>
    <w:rsid w:val="002F2D41"/>
    <w:rsid w:val="002F2FCB"/>
    <w:rsid w:val="002F3202"/>
    <w:rsid w:val="002F3554"/>
    <w:rsid w:val="002F3598"/>
    <w:rsid w:val="002F35CB"/>
    <w:rsid w:val="002F362D"/>
    <w:rsid w:val="002F3D27"/>
    <w:rsid w:val="002F414B"/>
    <w:rsid w:val="002F443F"/>
    <w:rsid w:val="002F4CAD"/>
    <w:rsid w:val="002F503E"/>
    <w:rsid w:val="002F5346"/>
    <w:rsid w:val="002F5686"/>
    <w:rsid w:val="002F5941"/>
    <w:rsid w:val="002F5E45"/>
    <w:rsid w:val="002F6201"/>
    <w:rsid w:val="002F63D9"/>
    <w:rsid w:val="002F6C1E"/>
    <w:rsid w:val="002F6E6E"/>
    <w:rsid w:val="002F6ECD"/>
    <w:rsid w:val="002F7B0F"/>
    <w:rsid w:val="00300888"/>
    <w:rsid w:val="00301075"/>
    <w:rsid w:val="003011E9"/>
    <w:rsid w:val="0030142A"/>
    <w:rsid w:val="00301B3D"/>
    <w:rsid w:val="00301F71"/>
    <w:rsid w:val="00302733"/>
    <w:rsid w:val="00303008"/>
    <w:rsid w:val="003035DD"/>
    <w:rsid w:val="00303A15"/>
    <w:rsid w:val="00303B04"/>
    <w:rsid w:val="00303D82"/>
    <w:rsid w:val="00304182"/>
    <w:rsid w:val="0030446B"/>
    <w:rsid w:val="00304EED"/>
    <w:rsid w:val="003058E3"/>
    <w:rsid w:val="0030600F"/>
    <w:rsid w:val="00306845"/>
    <w:rsid w:val="0030693C"/>
    <w:rsid w:val="00306C30"/>
    <w:rsid w:val="00306D2A"/>
    <w:rsid w:val="00307577"/>
    <w:rsid w:val="003079C2"/>
    <w:rsid w:val="00307C8D"/>
    <w:rsid w:val="00307DF7"/>
    <w:rsid w:val="00307F34"/>
    <w:rsid w:val="003112C6"/>
    <w:rsid w:val="00311A4F"/>
    <w:rsid w:val="00311C91"/>
    <w:rsid w:val="00312762"/>
    <w:rsid w:val="00312FAF"/>
    <w:rsid w:val="00313332"/>
    <w:rsid w:val="00314078"/>
    <w:rsid w:val="00314B58"/>
    <w:rsid w:val="003151AA"/>
    <w:rsid w:val="00315905"/>
    <w:rsid w:val="00315B85"/>
    <w:rsid w:val="00316026"/>
    <w:rsid w:val="003164E0"/>
    <w:rsid w:val="00316559"/>
    <w:rsid w:val="0031724D"/>
    <w:rsid w:val="00317255"/>
    <w:rsid w:val="00317E8A"/>
    <w:rsid w:val="00317FC6"/>
    <w:rsid w:val="003203FD"/>
    <w:rsid w:val="00320402"/>
    <w:rsid w:val="00320A64"/>
    <w:rsid w:val="00320D26"/>
    <w:rsid w:val="00320F80"/>
    <w:rsid w:val="003215F2"/>
    <w:rsid w:val="003218DF"/>
    <w:rsid w:val="0032190C"/>
    <w:rsid w:val="00321A96"/>
    <w:rsid w:val="00322398"/>
    <w:rsid w:val="00322450"/>
    <w:rsid w:val="00323421"/>
    <w:rsid w:val="003241CF"/>
    <w:rsid w:val="003245A7"/>
    <w:rsid w:val="003246B5"/>
    <w:rsid w:val="00324882"/>
    <w:rsid w:val="003249CF"/>
    <w:rsid w:val="00325098"/>
    <w:rsid w:val="003267B5"/>
    <w:rsid w:val="00327501"/>
    <w:rsid w:val="00327A95"/>
    <w:rsid w:val="00327AD6"/>
    <w:rsid w:val="00327DA0"/>
    <w:rsid w:val="00330196"/>
    <w:rsid w:val="0033054B"/>
    <w:rsid w:val="00330E0E"/>
    <w:rsid w:val="0033161A"/>
    <w:rsid w:val="00331687"/>
    <w:rsid w:val="0033169F"/>
    <w:rsid w:val="00331A29"/>
    <w:rsid w:val="00331F29"/>
    <w:rsid w:val="00332152"/>
    <w:rsid w:val="00332A4D"/>
    <w:rsid w:val="003330D2"/>
    <w:rsid w:val="00333A23"/>
    <w:rsid w:val="00333FDB"/>
    <w:rsid w:val="003343F1"/>
    <w:rsid w:val="00336085"/>
    <w:rsid w:val="00336304"/>
    <w:rsid w:val="00337546"/>
    <w:rsid w:val="003378E0"/>
    <w:rsid w:val="00337961"/>
    <w:rsid w:val="00337C43"/>
    <w:rsid w:val="003407E0"/>
    <w:rsid w:val="00340A95"/>
    <w:rsid w:val="003410A6"/>
    <w:rsid w:val="003414AC"/>
    <w:rsid w:val="003414E6"/>
    <w:rsid w:val="00341FC2"/>
    <w:rsid w:val="00342070"/>
    <w:rsid w:val="003447BB"/>
    <w:rsid w:val="00344B38"/>
    <w:rsid w:val="0034569F"/>
    <w:rsid w:val="00345C8C"/>
    <w:rsid w:val="00345DFA"/>
    <w:rsid w:val="00346D16"/>
    <w:rsid w:val="00346D61"/>
    <w:rsid w:val="00347742"/>
    <w:rsid w:val="00347A1D"/>
    <w:rsid w:val="00347B94"/>
    <w:rsid w:val="00350150"/>
    <w:rsid w:val="00351655"/>
    <w:rsid w:val="003519AE"/>
    <w:rsid w:val="003519EE"/>
    <w:rsid w:val="00351A0C"/>
    <w:rsid w:val="003520F3"/>
    <w:rsid w:val="00352A1E"/>
    <w:rsid w:val="0035404D"/>
    <w:rsid w:val="0035485A"/>
    <w:rsid w:val="00354BE3"/>
    <w:rsid w:val="00354EA8"/>
    <w:rsid w:val="00355779"/>
    <w:rsid w:val="00356185"/>
    <w:rsid w:val="003567C7"/>
    <w:rsid w:val="00357206"/>
    <w:rsid w:val="00357961"/>
    <w:rsid w:val="00357C4D"/>
    <w:rsid w:val="00357C54"/>
    <w:rsid w:val="00357D78"/>
    <w:rsid w:val="00360380"/>
    <w:rsid w:val="0036056F"/>
    <w:rsid w:val="00360958"/>
    <w:rsid w:val="0036137D"/>
    <w:rsid w:val="00361EB7"/>
    <w:rsid w:val="00362B1C"/>
    <w:rsid w:val="00362FE0"/>
    <w:rsid w:val="0036346A"/>
    <w:rsid w:val="00363954"/>
    <w:rsid w:val="003649C6"/>
    <w:rsid w:val="00365D52"/>
    <w:rsid w:val="00366182"/>
    <w:rsid w:val="003664BF"/>
    <w:rsid w:val="0036674E"/>
    <w:rsid w:val="00366DBE"/>
    <w:rsid w:val="00367444"/>
    <w:rsid w:val="003675B8"/>
    <w:rsid w:val="003676F1"/>
    <w:rsid w:val="0036775E"/>
    <w:rsid w:val="00367EDD"/>
    <w:rsid w:val="00370215"/>
    <w:rsid w:val="00370294"/>
    <w:rsid w:val="00370DD4"/>
    <w:rsid w:val="003712A0"/>
    <w:rsid w:val="003712A7"/>
    <w:rsid w:val="00371EFD"/>
    <w:rsid w:val="00371F74"/>
    <w:rsid w:val="00372225"/>
    <w:rsid w:val="00372B13"/>
    <w:rsid w:val="00372B84"/>
    <w:rsid w:val="00372F8E"/>
    <w:rsid w:val="00373790"/>
    <w:rsid w:val="003738BF"/>
    <w:rsid w:val="003741EF"/>
    <w:rsid w:val="003745F9"/>
    <w:rsid w:val="00374940"/>
    <w:rsid w:val="003750C8"/>
    <w:rsid w:val="003751C5"/>
    <w:rsid w:val="00375741"/>
    <w:rsid w:val="003759D2"/>
    <w:rsid w:val="00375D88"/>
    <w:rsid w:val="00376244"/>
    <w:rsid w:val="00376462"/>
    <w:rsid w:val="00376CCB"/>
    <w:rsid w:val="00377183"/>
    <w:rsid w:val="00377AD8"/>
    <w:rsid w:val="00380645"/>
    <w:rsid w:val="00380A00"/>
    <w:rsid w:val="00380A1D"/>
    <w:rsid w:val="00380B68"/>
    <w:rsid w:val="00380ECF"/>
    <w:rsid w:val="003813A2"/>
    <w:rsid w:val="0038209A"/>
    <w:rsid w:val="00382598"/>
    <w:rsid w:val="00382956"/>
    <w:rsid w:val="00382CE7"/>
    <w:rsid w:val="003832D9"/>
    <w:rsid w:val="0038330F"/>
    <w:rsid w:val="00383799"/>
    <w:rsid w:val="00383F84"/>
    <w:rsid w:val="00384072"/>
    <w:rsid w:val="0038421B"/>
    <w:rsid w:val="00384282"/>
    <w:rsid w:val="00384BAF"/>
    <w:rsid w:val="0038559B"/>
    <w:rsid w:val="00385B08"/>
    <w:rsid w:val="00386608"/>
    <w:rsid w:val="00386CF0"/>
    <w:rsid w:val="00386FEA"/>
    <w:rsid w:val="00387501"/>
    <w:rsid w:val="0038764E"/>
    <w:rsid w:val="003902B2"/>
    <w:rsid w:val="0039061F"/>
    <w:rsid w:val="00390D19"/>
    <w:rsid w:val="00391172"/>
    <w:rsid w:val="00391CD8"/>
    <w:rsid w:val="00391D5A"/>
    <w:rsid w:val="00392ED3"/>
    <w:rsid w:val="00393C8E"/>
    <w:rsid w:val="00394608"/>
    <w:rsid w:val="0039471C"/>
    <w:rsid w:val="00394A5D"/>
    <w:rsid w:val="00394D9B"/>
    <w:rsid w:val="00395036"/>
    <w:rsid w:val="00395701"/>
    <w:rsid w:val="00396106"/>
    <w:rsid w:val="003964BF"/>
    <w:rsid w:val="003A01D0"/>
    <w:rsid w:val="003A1855"/>
    <w:rsid w:val="003A187E"/>
    <w:rsid w:val="003A18F4"/>
    <w:rsid w:val="003A1AE3"/>
    <w:rsid w:val="003A21C5"/>
    <w:rsid w:val="003A27F4"/>
    <w:rsid w:val="003A2DC1"/>
    <w:rsid w:val="003A348D"/>
    <w:rsid w:val="003A3C43"/>
    <w:rsid w:val="003A430F"/>
    <w:rsid w:val="003A4790"/>
    <w:rsid w:val="003A485E"/>
    <w:rsid w:val="003A4B42"/>
    <w:rsid w:val="003A527A"/>
    <w:rsid w:val="003A54CE"/>
    <w:rsid w:val="003A5923"/>
    <w:rsid w:val="003A5E9B"/>
    <w:rsid w:val="003A6019"/>
    <w:rsid w:val="003A632E"/>
    <w:rsid w:val="003A6C48"/>
    <w:rsid w:val="003A7118"/>
    <w:rsid w:val="003A71F1"/>
    <w:rsid w:val="003A7BFE"/>
    <w:rsid w:val="003B0AC6"/>
    <w:rsid w:val="003B1BD7"/>
    <w:rsid w:val="003B1D61"/>
    <w:rsid w:val="003B23A7"/>
    <w:rsid w:val="003B27EA"/>
    <w:rsid w:val="003B2C86"/>
    <w:rsid w:val="003B349D"/>
    <w:rsid w:val="003B38A9"/>
    <w:rsid w:val="003B3E94"/>
    <w:rsid w:val="003B406F"/>
    <w:rsid w:val="003B48E2"/>
    <w:rsid w:val="003B5191"/>
    <w:rsid w:val="003B5C8C"/>
    <w:rsid w:val="003B63A0"/>
    <w:rsid w:val="003B640E"/>
    <w:rsid w:val="003B6423"/>
    <w:rsid w:val="003B65A6"/>
    <w:rsid w:val="003B66DC"/>
    <w:rsid w:val="003B6950"/>
    <w:rsid w:val="003B7016"/>
    <w:rsid w:val="003B70BA"/>
    <w:rsid w:val="003B71F1"/>
    <w:rsid w:val="003C1A6D"/>
    <w:rsid w:val="003C1B21"/>
    <w:rsid w:val="003C21BD"/>
    <w:rsid w:val="003C269F"/>
    <w:rsid w:val="003C2EEA"/>
    <w:rsid w:val="003C32BC"/>
    <w:rsid w:val="003C3722"/>
    <w:rsid w:val="003C37FD"/>
    <w:rsid w:val="003C4BC0"/>
    <w:rsid w:val="003C4F69"/>
    <w:rsid w:val="003C54AD"/>
    <w:rsid w:val="003C5618"/>
    <w:rsid w:val="003C6480"/>
    <w:rsid w:val="003C7061"/>
    <w:rsid w:val="003C72FE"/>
    <w:rsid w:val="003C7749"/>
    <w:rsid w:val="003D007D"/>
    <w:rsid w:val="003D0C05"/>
    <w:rsid w:val="003D0D3E"/>
    <w:rsid w:val="003D1E49"/>
    <w:rsid w:val="003D2871"/>
    <w:rsid w:val="003D2C7F"/>
    <w:rsid w:val="003D3279"/>
    <w:rsid w:val="003D3435"/>
    <w:rsid w:val="003D3507"/>
    <w:rsid w:val="003D3CAC"/>
    <w:rsid w:val="003D3E1C"/>
    <w:rsid w:val="003D3F95"/>
    <w:rsid w:val="003D40A7"/>
    <w:rsid w:val="003D45DE"/>
    <w:rsid w:val="003D4A67"/>
    <w:rsid w:val="003D4BF9"/>
    <w:rsid w:val="003D4F94"/>
    <w:rsid w:val="003D51A2"/>
    <w:rsid w:val="003D5A38"/>
    <w:rsid w:val="003D5C6C"/>
    <w:rsid w:val="003D5CD7"/>
    <w:rsid w:val="003D5F18"/>
    <w:rsid w:val="003D79BC"/>
    <w:rsid w:val="003E06A3"/>
    <w:rsid w:val="003E0852"/>
    <w:rsid w:val="003E14B0"/>
    <w:rsid w:val="003E1FEC"/>
    <w:rsid w:val="003E2564"/>
    <w:rsid w:val="003E366F"/>
    <w:rsid w:val="003E4CF4"/>
    <w:rsid w:val="003E4D93"/>
    <w:rsid w:val="003E4E8A"/>
    <w:rsid w:val="003E520F"/>
    <w:rsid w:val="003E59E3"/>
    <w:rsid w:val="003E60B8"/>
    <w:rsid w:val="003E65E7"/>
    <w:rsid w:val="003E68BB"/>
    <w:rsid w:val="003E6FB6"/>
    <w:rsid w:val="003E70A6"/>
    <w:rsid w:val="003E7291"/>
    <w:rsid w:val="003E7380"/>
    <w:rsid w:val="003E752C"/>
    <w:rsid w:val="003F0153"/>
    <w:rsid w:val="003F03FA"/>
    <w:rsid w:val="003F0B2B"/>
    <w:rsid w:val="003F1230"/>
    <w:rsid w:val="003F1BBF"/>
    <w:rsid w:val="003F1DE3"/>
    <w:rsid w:val="003F24EB"/>
    <w:rsid w:val="003F2B09"/>
    <w:rsid w:val="003F2D46"/>
    <w:rsid w:val="003F57C9"/>
    <w:rsid w:val="003F5DB0"/>
    <w:rsid w:val="003F6707"/>
    <w:rsid w:val="003F7001"/>
    <w:rsid w:val="003F7161"/>
    <w:rsid w:val="003F7D74"/>
    <w:rsid w:val="00400C14"/>
    <w:rsid w:val="00400E6B"/>
    <w:rsid w:val="00400EA4"/>
    <w:rsid w:val="00400FF0"/>
    <w:rsid w:val="004010E9"/>
    <w:rsid w:val="0040128B"/>
    <w:rsid w:val="0040219C"/>
    <w:rsid w:val="004022E4"/>
    <w:rsid w:val="004028FD"/>
    <w:rsid w:val="00404333"/>
    <w:rsid w:val="00404A51"/>
    <w:rsid w:val="00404E66"/>
    <w:rsid w:val="00404EFC"/>
    <w:rsid w:val="00404F22"/>
    <w:rsid w:val="00405991"/>
    <w:rsid w:val="00405F19"/>
    <w:rsid w:val="00406721"/>
    <w:rsid w:val="00406CB6"/>
    <w:rsid w:val="00407227"/>
    <w:rsid w:val="0040735D"/>
    <w:rsid w:val="0040759C"/>
    <w:rsid w:val="00407F3D"/>
    <w:rsid w:val="00410925"/>
    <w:rsid w:val="00411C40"/>
    <w:rsid w:val="004122AE"/>
    <w:rsid w:val="00412894"/>
    <w:rsid w:val="00412AF2"/>
    <w:rsid w:val="0041354F"/>
    <w:rsid w:val="0041358D"/>
    <w:rsid w:val="00413779"/>
    <w:rsid w:val="00413A1F"/>
    <w:rsid w:val="00413B37"/>
    <w:rsid w:val="00413D0A"/>
    <w:rsid w:val="00413ED3"/>
    <w:rsid w:val="004142F6"/>
    <w:rsid w:val="004149EA"/>
    <w:rsid w:val="00414A54"/>
    <w:rsid w:val="00414D3F"/>
    <w:rsid w:val="00415BAE"/>
    <w:rsid w:val="004165C2"/>
    <w:rsid w:val="00416BC5"/>
    <w:rsid w:val="00417263"/>
    <w:rsid w:val="00417356"/>
    <w:rsid w:val="0041797E"/>
    <w:rsid w:val="00420486"/>
    <w:rsid w:val="00421966"/>
    <w:rsid w:val="00421D29"/>
    <w:rsid w:val="00422536"/>
    <w:rsid w:val="00422A7D"/>
    <w:rsid w:val="00423909"/>
    <w:rsid w:val="00423E69"/>
    <w:rsid w:val="00424987"/>
    <w:rsid w:val="0042600F"/>
    <w:rsid w:val="004264E9"/>
    <w:rsid w:val="004264FA"/>
    <w:rsid w:val="004268A0"/>
    <w:rsid w:val="00426A93"/>
    <w:rsid w:val="00426CF8"/>
    <w:rsid w:val="00426DB7"/>
    <w:rsid w:val="00427406"/>
    <w:rsid w:val="0042749C"/>
    <w:rsid w:val="00427737"/>
    <w:rsid w:val="00427DEF"/>
    <w:rsid w:val="00431C7B"/>
    <w:rsid w:val="00432731"/>
    <w:rsid w:val="004331DC"/>
    <w:rsid w:val="004332C3"/>
    <w:rsid w:val="004343C8"/>
    <w:rsid w:val="00435D27"/>
    <w:rsid w:val="00435DA7"/>
    <w:rsid w:val="00435DC5"/>
    <w:rsid w:val="00436A04"/>
    <w:rsid w:val="00436C66"/>
    <w:rsid w:val="004375C9"/>
    <w:rsid w:val="00440385"/>
    <w:rsid w:val="00440CD9"/>
    <w:rsid w:val="00440E90"/>
    <w:rsid w:val="004413C0"/>
    <w:rsid w:val="0044162C"/>
    <w:rsid w:val="0044169D"/>
    <w:rsid w:val="00441D48"/>
    <w:rsid w:val="0044268E"/>
    <w:rsid w:val="00442D85"/>
    <w:rsid w:val="00443268"/>
    <w:rsid w:val="00443C71"/>
    <w:rsid w:val="00444596"/>
    <w:rsid w:val="00445C74"/>
    <w:rsid w:val="0044613D"/>
    <w:rsid w:val="0044650B"/>
    <w:rsid w:val="004467BD"/>
    <w:rsid w:val="00446F15"/>
    <w:rsid w:val="0044706E"/>
    <w:rsid w:val="00447468"/>
    <w:rsid w:val="00447B8F"/>
    <w:rsid w:val="004501B3"/>
    <w:rsid w:val="00450A4A"/>
    <w:rsid w:val="00450CDF"/>
    <w:rsid w:val="00450D64"/>
    <w:rsid w:val="00450D96"/>
    <w:rsid w:val="0045240B"/>
    <w:rsid w:val="00452A56"/>
    <w:rsid w:val="00453466"/>
    <w:rsid w:val="00454345"/>
    <w:rsid w:val="00454492"/>
    <w:rsid w:val="0045481D"/>
    <w:rsid w:val="00455165"/>
    <w:rsid w:val="0045524E"/>
    <w:rsid w:val="00455D42"/>
    <w:rsid w:val="00455EC7"/>
    <w:rsid w:val="00456789"/>
    <w:rsid w:val="00456CCD"/>
    <w:rsid w:val="00456D70"/>
    <w:rsid w:val="00456FF9"/>
    <w:rsid w:val="00457228"/>
    <w:rsid w:val="00457B89"/>
    <w:rsid w:val="0046041C"/>
    <w:rsid w:val="004606C0"/>
    <w:rsid w:val="0046072C"/>
    <w:rsid w:val="00460A52"/>
    <w:rsid w:val="00461E19"/>
    <w:rsid w:val="0046208F"/>
    <w:rsid w:val="004620E8"/>
    <w:rsid w:val="00462248"/>
    <w:rsid w:val="00462781"/>
    <w:rsid w:val="00462827"/>
    <w:rsid w:val="00462F9A"/>
    <w:rsid w:val="004634E1"/>
    <w:rsid w:val="004642EF"/>
    <w:rsid w:val="0046488C"/>
    <w:rsid w:val="0046574C"/>
    <w:rsid w:val="004662B0"/>
    <w:rsid w:val="004666FB"/>
    <w:rsid w:val="00467542"/>
    <w:rsid w:val="00467B7E"/>
    <w:rsid w:val="00467CF1"/>
    <w:rsid w:val="0047006D"/>
    <w:rsid w:val="004702E9"/>
    <w:rsid w:val="004705A5"/>
    <w:rsid w:val="004715B7"/>
    <w:rsid w:val="00471BC8"/>
    <w:rsid w:val="00471ED1"/>
    <w:rsid w:val="00472060"/>
    <w:rsid w:val="0047291D"/>
    <w:rsid w:val="00472B0E"/>
    <w:rsid w:val="004730AF"/>
    <w:rsid w:val="00473197"/>
    <w:rsid w:val="00473C65"/>
    <w:rsid w:val="00473E73"/>
    <w:rsid w:val="0047420E"/>
    <w:rsid w:val="0047494F"/>
    <w:rsid w:val="00474E3A"/>
    <w:rsid w:val="00475E68"/>
    <w:rsid w:val="004764FC"/>
    <w:rsid w:val="00476B10"/>
    <w:rsid w:val="00476DB3"/>
    <w:rsid w:val="00477BE3"/>
    <w:rsid w:val="00477D29"/>
    <w:rsid w:val="00480B24"/>
    <w:rsid w:val="004810B3"/>
    <w:rsid w:val="0048119E"/>
    <w:rsid w:val="004815A2"/>
    <w:rsid w:val="004817BD"/>
    <w:rsid w:val="00481C1F"/>
    <w:rsid w:val="00482208"/>
    <w:rsid w:val="00482359"/>
    <w:rsid w:val="00482528"/>
    <w:rsid w:val="00482644"/>
    <w:rsid w:val="0048296C"/>
    <w:rsid w:val="00482BD5"/>
    <w:rsid w:val="00483146"/>
    <w:rsid w:val="00483697"/>
    <w:rsid w:val="00483974"/>
    <w:rsid w:val="00483D9E"/>
    <w:rsid w:val="00484B2F"/>
    <w:rsid w:val="00484F80"/>
    <w:rsid w:val="004850C2"/>
    <w:rsid w:val="00486A15"/>
    <w:rsid w:val="0048701C"/>
    <w:rsid w:val="00487315"/>
    <w:rsid w:val="004907E1"/>
    <w:rsid w:val="00490BE7"/>
    <w:rsid w:val="00490C98"/>
    <w:rsid w:val="00491FD5"/>
    <w:rsid w:val="00493194"/>
    <w:rsid w:val="00493297"/>
    <w:rsid w:val="004937CE"/>
    <w:rsid w:val="00493EE7"/>
    <w:rsid w:val="0049419D"/>
    <w:rsid w:val="0049493F"/>
    <w:rsid w:val="004949AA"/>
    <w:rsid w:val="00494BFF"/>
    <w:rsid w:val="00495029"/>
    <w:rsid w:val="00495396"/>
    <w:rsid w:val="00495CD7"/>
    <w:rsid w:val="004962B8"/>
    <w:rsid w:val="00496687"/>
    <w:rsid w:val="00496C69"/>
    <w:rsid w:val="00496DBC"/>
    <w:rsid w:val="0049749D"/>
    <w:rsid w:val="004977D3"/>
    <w:rsid w:val="00497D34"/>
    <w:rsid w:val="00497D68"/>
    <w:rsid w:val="004A0977"/>
    <w:rsid w:val="004A09DA"/>
    <w:rsid w:val="004A0A82"/>
    <w:rsid w:val="004A1588"/>
    <w:rsid w:val="004A17A5"/>
    <w:rsid w:val="004A1B3A"/>
    <w:rsid w:val="004A1B66"/>
    <w:rsid w:val="004A1EEA"/>
    <w:rsid w:val="004A2B9D"/>
    <w:rsid w:val="004A37A5"/>
    <w:rsid w:val="004A3806"/>
    <w:rsid w:val="004A38DF"/>
    <w:rsid w:val="004A3DC4"/>
    <w:rsid w:val="004A423C"/>
    <w:rsid w:val="004A4400"/>
    <w:rsid w:val="004A4A3E"/>
    <w:rsid w:val="004A4DB0"/>
    <w:rsid w:val="004A514F"/>
    <w:rsid w:val="004A51A0"/>
    <w:rsid w:val="004A53E7"/>
    <w:rsid w:val="004A5960"/>
    <w:rsid w:val="004A5A1D"/>
    <w:rsid w:val="004A6298"/>
    <w:rsid w:val="004A7566"/>
    <w:rsid w:val="004B1EE5"/>
    <w:rsid w:val="004B23FB"/>
    <w:rsid w:val="004B2647"/>
    <w:rsid w:val="004B2762"/>
    <w:rsid w:val="004B2DE8"/>
    <w:rsid w:val="004B2FA4"/>
    <w:rsid w:val="004B31F9"/>
    <w:rsid w:val="004B388C"/>
    <w:rsid w:val="004B40A9"/>
    <w:rsid w:val="004B45B7"/>
    <w:rsid w:val="004B4E6F"/>
    <w:rsid w:val="004B5CF7"/>
    <w:rsid w:val="004B634D"/>
    <w:rsid w:val="004B6F8A"/>
    <w:rsid w:val="004B7D4C"/>
    <w:rsid w:val="004B7EB6"/>
    <w:rsid w:val="004C017C"/>
    <w:rsid w:val="004C041F"/>
    <w:rsid w:val="004C0FE4"/>
    <w:rsid w:val="004C14B0"/>
    <w:rsid w:val="004C17B4"/>
    <w:rsid w:val="004C219B"/>
    <w:rsid w:val="004C2235"/>
    <w:rsid w:val="004C2999"/>
    <w:rsid w:val="004C427F"/>
    <w:rsid w:val="004C46FE"/>
    <w:rsid w:val="004C4B62"/>
    <w:rsid w:val="004C599D"/>
    <w:rsid w:val="004C6738"/>
    <w:rsid w:val="004C68B8"/>
    <w:rsid w:val="004C7045"/>
    <w:rsid w:val="004C7257"/>
    <w:rsid w:val="004C758F"/>
    <w:rsid w:val="004C77DC"/>
    <w:rsid w:val="004C7C9C"/>
    <w:rsid w:val="004C7EE2"/>
    <w:rsid w:val="004D0059"/>
    <w:rsid w:val="004D0229"/>
    <w:rsid w:val="004D0B53"/>
    <w:rsid w:val="004D15C2"/>
    <w:rsid w:val="004D37B1"/>
    <w:rsid w:val="004D3942"/>
    <w:rsid w:val="004D46A5"/>
    <w:rsid w:val="004D4782"/>
    <w:rsid w:val="004D4A6A"/>
    <w:rsid w:val="004D4D1B"/>
    <w:rsid w:val="004D4E01"/>
    <w:rsid w:val="004D5931"/>
    <w:rsid w:val="004D5A82"/>
    <w:rsid w:val="004D6025"/>
    <w:rsid w:val="004D61E8"/>
    <w:rsid w:val="004D657F"/>
    <w:rsid w:val="004D6A97"/>
    <w:rsid w:val="004D72BC"/>
    <w:rsid w:val="004D769E"/>
    <w:rsid w:val="004D779F"/>
    <w:rsid w:val="004D78B4"/>
    <w:rsid w:val="004E1302"/>
    <w:rsid w:val="004E13F5"/>
    <w:rsid w:val="004E233F"/>
    <w:rsid w:val="004E2452"/>
    <w:rsid w:val="004E2FE2"/>
    <w:rsid w:val="004E3A16"/>
    <w:rsid w:val="004E4423"/>
    <w:rsid w:val="004E4761"/>
    <w:rsid w:val="004E4C6B"/>
    <w:rsid w:val="004E57AE"/>
    <w:rsid w:val="004E638B"/>
    <w:rsid w:val="004E662D"/>
    <w:rsid w:val="004E6C9C"/>
    <w:rsid w:val="004F04A5"/>
    <w:rsid w:val="004F0842"/>
    <w:rsid w:val="004F15C4"/>
    <w:rsid w:val="004F16E8"/>
    <w:rsid w:val="004F173D"/>
    <w:rsid w:val="004F1DAD"/>
    <w:rsid w:val="004F2694"/>
    <w:rsid w:val="004F2FC4"/>
    <w:rsid w:val="004F37CA"/>
    <w:rsid w:val="004F3905"/>
    <w:rsid w:val="004F441A"/>
    <w:rsid w:val="004F4C1C"/>
    <w:rsid w:val="004F530D"/>
    <w:rsid w:val="004F5466"/>
    <w:rsid w:val="004F5EE6"/>
    <w:rsid w:val="004F6949"/>
    <w:rsid w:val="004F69EA"/>
    <w:rsid w:val="004F69ED"/>
    <w:rsid w:val="004F6D1E"/>
    <w:rsid w:val="004F7707"/>
    <w:rsid w:val="004F7A2C"/>
    <w:rsid w:val="005008C7"/>
    <w:rsid w:val="00501399"/>
    <w:rsid w:val="00501B09"/>
    <w:rsid w:val="00501D6B"/>
    <w:rsid w:val="00501DFB"/>
    <w:rsid w:val="00502972"/>
    <w:rsid w:val="00502E35"/>
    <w:rsid w:val="0050325D"/>
    <w:rsid w:val="005035D3"/>
    <w:rsid w:val="00503C4C"/>
    <w:rsid w:val="0050536C"/>
    <w:rsid w:val="00505B63"/>
    <w:rsid w:val="005061B9"/>
    <w:rsid w:val="005066A4"/>
    <w:rsid w:val="005068B0"/>
    <w:rsid w:val="00507534"/>
    <w:rsid w:val="00507BC4"/>
    <w:rsid w:val="0051007A"/>
    <w:rsid w:val="00510311"/>
    <w:rsid w:val="00510327"/>
    <w:rsid w:val="005112A4"/>
    <w:rsid w:val="00511427"/>
    <w:rsid w:val="00511986"/>
    <w:rsid w:val="00511CB3"/>
    <w:rsid w:val="005128E4"/>
    <w:rsid w:val="00512A35"/>
    <w:rsid w:val="00513229"/>
    <w:rsid w:val="00513917"/>
    <w:rsid w:val="00513B84"/>
    <w:rsid w:val="00513F1F"/>
    <w:rsid w:val="00513F8B"/>
    <w:rsid w:val="005140FC"/>
    <w:rsid w:val="005142E0"/>
    <w:rsid w:val="005152B7"/>
    <w:rsid w:val="00515D61"/>
    <w:rsid w:val="00516035"/>
    <w:rsid w:val="00516BBE"/>
    <w:rsid w:val="00520369"/>
    <w:rsid w:val="00520B39"/>
    <w:rsid w:val="00521071"/>
    <w:rsid w:val="00521895"/>
    <w:rsid w:val="00521909"/>
    <w:rsid w:val="005223AF"/>
    <w:rsid w:val="005224D2"/>
    <w:rsid w:val="0052322E"/>
    <w:rsid w:val="005234E7"/>
    <w:rsid w:val="00523977"/>
    <w:rsid w:val="00524268"/>
    <w:rsid w:val="00524748"/>
    <w:rsid w:val="00524EB4"/>
    <w:rsid w:val="00525278"/>
    <w:rsid w:val="00525560"/>
    <w:rsid w:val="00525C32"/>
    <w:rsid w:val="00525F05"/>
    <w:rsid w:val="00526204"/>
    <w:rsid w:val="005267AC"/>
    <w:rsid w:val="00526EE7"/>
    <w:rsid w:val="00526EF8"/>
    <w:rsid w:val="00527461"/>
    <w:rsid w:val="0052770D"/>
    <w:rsid w:val="00527AF5"/>
    <w:rsid w:val="00527E0A"/>
    <w:rsid w:val="00530295"/>
    <w:rsid w:val="00530B2B"/>
    <w:rsid w:val="00531008"/>
    <w:rsid w:val="0053134C"/>
    <w:rsid w:val="00531517"/>
    <w:rsid w:val="0053187E"/>
    <w:rsid w:val="00532507"/>
    <w:rsid w:val="005325F6"/>
    <w:rsid w:val="00532D26"/>
    <w:rsid w:val="0053303C"/>
    <w:rsid w:val="00533C7A"/>
    <w:rsid w:val="005343C0"/>
    <w:rsid w:val="005346E1"/>
    <w:rsid w:val="00534A53"/>
    <w:rsid w:val="00535135"/>
    <w:rsid w:val="005357A6"/>
    <w:rsid w:val="0053592E"/>
    <w:rsid w:val="00535FF9"/>
    <w:rsid w:val="005366E5"/>
    <w:rsid w:val="005367D0"/>
    <w:rsid w:val="00536848"/>
    <w:rsid w:val="005369AE"/>
    <w:rsid w:val="00536B9E"/>
    <w:rsid w:val="005401F2"/>
    <w:rsid w:val="00540814"/>
    <w:rsid w:val="00540AEC"/>
    <w:rsid w:val="00541B01"/>
    <w:rsid w:val="005422EF"/>
    <w:rsid w:val="00542375"/>
    <w:rsid w:val="005430A6"/>
    <w:rsid w:val="00543705"/>
    <w:rsid w:val="005439C3"/>
    <w:rsid w:val="0054420E"/>
    <w:rsid w:val="00544C49"/>
    <w:rsid w:val="00544FD7"/>
    <w:rsid w:val="0054561F"/>
    <w:rsid w:val="005456B2"/>
    <w:rsid w:val="005458F3"/>
    <w:rsid w:val="0054591A"/>
    <w:rsid w:val="005471F9"/>
    <w:rsid w:val="00547BB3"/>
    <w:rsid w:val="00547EB7"/>
    <w:rsid w:val="00550141"/>
    <w:rsid w:val="00550FAA"/>
    <w:rsid w:val="0055101B"/>
    <w:rsid w:val="0055160C"/>
    <w:rsid w:val="005529E2"/>
    <w:rsid w:val="00553132"/>
    <w:rsid w:val="005531BB"/>
    <w:rsid w:val="00553EC6"/>
    <w:rsid w:val="005543C7"/>
    <w:rsid w:val="00554BAB"/>
    <w:rsid w:val="00555492"/>
    <w:rsid w:val="00555630"/>
    <w:rsid w:val="005557F2"/>
    <w:rsid w:val="00555A6E"/>
    <w:rsid w:val="00555B41"/>
    <w:rsid w:val="00555C6B"/>
    <w:rsid w:val="00557C07"/>
    <w:rsid w:val="00560563"/>
    <w:rsid w:val="00560702"/>
    <w:rsid w:val="005609CC"/>
    <w:rsid w:val="005627FD"/>
    <w:rsid w:val="00562E4A"/>
    <w:rsid w:val="00563167"/>
    <w:rsid w:val="00563249"/>
    <w:rsid w:val="00563314"/>
    <w:rsid w:val="005633E7"/>
    <w:rsid w:val="00563F04"/>
    <w:rsid w:val="00563FEC"/>
    <w:rsid w:val="00563FEE"/>
    <w:rsid w:val="0056432A"/>
    <w:rsid w:val="00565B4B"/>
    <w:rsid w:val="00566246"/>
    <w:rsid w:val="00566AEA"/>
    <w:rsid w:val="0056759E"/>
    <w:rsid w:val="00570336"/>
    <w:rsid w:val="00570699"/>
    <w:rsid w:val="005706EF"/>
    <w:rsid w:val="00570AF2"/>
    <w:rsid w:val="00571247"/>
    <w:rsid w:val="005713C7"/>
    <w:rsid w:val="00571D63"/>
    <w:rsid w:val="00572495"/>
    <w:rsid w:val="0057276F"/>
    <w:rsid w:val="00572E10"/>
    <w:rsid w:val="0057402A"/>
    <w:rsid w:val="00574148"/>
    <w:rsid w:val="005744A4"/>
    <w:rsid w:val="00574D8E"/>
    <w:rsid w:val="00574F3D"/>
    <w:rsid w:val="0057516B"/>
    <w:rsid w:val="0057539F"/>
    <w:rsid w:val="005755D5"/>
    <w:rsid w:val="00575737"/>
    <w:rsid w:val="00575CF4"/>
    <w:rsid w:val="005761DA"/>
    <w:rsid w:val="005764DD"/>
    <w:rsid w:val="00576832"/>
    <w:rsid w:val="00576BD1"/>
    <w:rsid w:val="005771D0"/>
    <w:rsid w:val="00577478"/>
    <w:rsid w:val="00577B42"/>
    <w:rsid w:val="0058022B"/>
    <w:rsid w:val="005820CA"/>
    <w:rsid w:val="0058269A"/>
    <w:rsid w:val="005826EA"/>
    <w:rsid w:val="00582750"/>
    <w:rsid w:val="00582D0D"/>
    <w:rsid w:val="0058343A"/>
    <w:rsid w:val="00583F72"/>
    <w:rsid w:val="00584280"/>
    <w:rsid w:val="00584C28"/>
    <w:rsid w:val="00584F43"/>
    <w:rsid w:val="00585229"/>
    <w:rsid w:val="00585DED"/>
    <w:rsid w:val="00587964"/>
    <w:rsid w:val="005902A3"/>
    <w:rsid w:val="0059066D"/>
    <w:rsid w:val="00590A3C"/>
    <w:rsid w:val="00590A78"/>
    <w:rsid w:val="00590BF3"/>
    <w:rsid w:val="00590C43"/>
    <w:rsid w:val="00590C5B"/>
    <w:rsid w:val="00590E8E"/>
    <w:rsid w:val="005910C0"/>
    <w:rsid w:val="00591358"/>
    <w:rsid w:val="005916E2"/>
    <w:rsid w:val="0059191A"/>
    <w:rsid w:val="00591B96"/>
    <w:rsid w:val="00591F60"/>
    <w:rsid w:val="005921FF"/>
    <w:rsid w:val="00592299"/>
    <w:rsid w:val="0059318E"/>
    <w:rsid w:val="005937E2"/>
    <w:rsid w:val="00593D2F"/>
    <w:rsid w:val="005946FF"/>
    <w:rsid w:val="00594CE1"/>
    <w:rsid w:val="0059546C"/>
    <w:rsid w:val="00595766"/>
    <w:rsid w:val="00596514"/>
    <w:rsid w:val="0059670F"/>
    <w:rsid w:val="00596ABE"/>
    <w:rsid w:val="00596AD3"/>
    <w:rsid w:val="00596B97"/>
    <w:rsid w:val="00596D4A"/>
    <w:rsid w:val="00596F42"/>
    <w:rsid w:val="00597162"/>
    <w:rsid w:val="0059770B"/>
    <w:rsid w:val="00597C8A"/>
    <w:rsid w:val="005A0046"/>
    <w:rsid w:val="005A0410"/>
    <w:rsid w:val="005A04CC"/>
    <w:rsid w:val="005A1074"/>
    <w:rsid w:val="005A10C2"/>
    <w:rsid w:val="005A2E9B"/>
    <w:rsid w:val="005A37BB"/>
    <w:rsid w:val="005A482E"/>
    <w:rsid w:val="005A4B8E"/>
    <w:rsid w:val="005A5F64"/>
    <w:rsid w:val="005A6205"/>
    <w:rsid w:val="005A6A13"/>
    <w:rsid w:val="005A6D0E"/>
    <w:rsid w:val="005A6E50"/>
    <w:rsid w:val="005A6E68"/>
    <w:rsid w:val="005A734E"/>
    <w:rsid w:val="005A792E"/>
    <w:rsid w:val="005B0001"/>
    <w:rsid w:val="005B0676"/>
    <w:rsid w:val="005B0C41"/>
    <w:rsid w:val="005B100D"/>
    <w:rsid w:val="005B12C2"/>
    <w:rsid w:val="005B1DBA"/>
    <w:rsid w:val="005B1E8A"/>
    <w:rsid w:val="005B222D"/>
    <w:rsid w:val="005B245E"/>
    <w:rsid w:val="005B28A7"/>
    <w:rsid w:val="005B3609"/>
    <w:rsid w:val="005B3795"/>
    <w:rsid w:val="005B396F"/>
    <w:rsid w:val="005B3A12"/>
    <w:rsid w:val="005B3DEC"/>
    <w:rsid w:val="005B3EC2"/>
    <w:rsid w:val="005B3EF2"/>
    <w:rsid w:val="005B491F"/>
    <w:rsid w:val="005B52B0"/>
    <w:rsid w:val="005B65AF"/>
    <w:rsid w:val="005B67DE"/>
    <w:rsid w:val="005B6806"/>
    <w:rsid w:val="005B711D"/>
    <w:rsid w:val="005B7A72"/>
    <w:rsid w:val="005B7EDC"/>
    <w:rsid w:val="005C00F9"/>
    <w:rsid w:val="005C05FA"/>
    <w:rsid w:val="005C164F"/>
    <w:rsid w:val="005C1853"/>
    <w:rsid w:val="005C18DA"/>
    <w:rsid w:val="005C1A8D"/>
    <w:rsid w:val="005C1D8E"/>
    <w:rsid w:val="005C207A"/>
    <w:rsid w:val="005C23BD"/>
    <w:rsid w:val="005C2B10"/>
    <w:rsid w:val="005C2BA2"/>
    <w:rsid w:val="005C2E02"/>
    <w:rsid w:val="005C3149"/>
    <w:rsid w:val="005C34BB"/>
    <w:rsid w:val="005C3944"/>
    <w:rsid w:val="005C3E22"/>
    <w:rsid w:val="005C4011"/>
    <w:rsid w:val="005C4225"/>
    <w:rsid w:val="005C456D"/>
    <w:rsid w:val="005C4AF4"/>
    <w:rsid w:val="005C5F93"/>
    <w:rsid w:val="005C6BC5"/>
    <w:rsid w:val="005C7E23"/>
    <w:rsid w:val="005D0AC5"/>
    <w:rsid w:val="005D0FBF"/>
    <w:rsid w:val="005D1076"/>
    <w:rsid w:val="005D1128"/>
    <w:rsid w:val="005D1CFD"/>
    <w:rsid w:val="005D1D34"/>
    <w:rsid w:val="005D2E13"/>
    <w:rsid w:val="005D3592"/>
    <w:rsid w:val="005D489C"/>
    <w:rsid w:val="005D50AD"/>
    <w:rsid w:val="005D55A5"/>
    <w:rsid w:val="005D5A45"/>
    <w:rsid w:val="005D5C54"/>
    <w:rsid w:val="005D5DED"/>
    <w:rsid w:val="005D6891"/>
    <w:rsid w:val="005D6A03"/>
    <w:rsid w:val="005D6AC4"/>
    <w:rsid w:val="005D6B2C"/>
    <w:rsid w:val="005D7191"/>
    <w:rsid w:val="005D7280"/>
    <w:rsid w:val="005E04BC"/>
    <w:rsid w:val="005E09BC"/>
    <w:rsid w:val="005E0BBA"/>
    <w:rsid w:val="005E1751"/>
    <w:rsid w:val="005E1D4B"/>
    <w:rsid w:val="005E1F41"/>
    <w:rsid w:val="005E287A"/>
    <w:rsid w:val="005E2BDE"/>
    <w:rsid w:val="005E3F88"/>
    <w:rsid w:val="005E4A95"/>
    <w:rsid w:val="005E4CF1"/>
    <w:rsid w:val="005E509F"/>
    <w:rsid w:val="005E5196"/>
    <w:rsid w:val="005E5258"/>
    <w:rsid w:val="005E5419"/>
    <w:rsid w:val="005E6C0C"/>
    <w:rsid w:val="005E6EE3"/>
    <w:rsid w:val="005E74C5"/>
    <w:rsid w:val="005E7642"/>
    <w:rsid w:val="005F0F33"/>
    <w:rsid w:val="005F16D9"/>
    <w:rsid w:val="005F1AF1"/>
    <w:rsid w:val="005F1C54"/>
    <w:rsid w:val="005F1F31"/>
    <w:rsid w:val="005F26D5"/>
    <w:rsid w:val="005F2A0D"/>
    <w:rsid w:val="005F32A0"/>
    <w:rsid w:val="005F3F11"/>
    <w:rsid w:val="005F3F59"/>
    <w:rsid w:val="005F5456"/>
    <w:rsid w:val="005F55DC"/>
    <w:rsid w:val="005F57C1"/>
    <w:rsid w:val="005F5E7E"/>
    <w:rsid w:val="005F6768"/>
    <w:rsid w:val="005F7C35"/>
    <w:rsid w:val="0060040E"/>
    <w:rsid w:val="006005C1"/>
    <w:rsid w:val="006005F0"/>
    <w:rsid w:val="00600A96"/>
    <w:rsid w:val="00600DEB"/>
    <w:rsid w:val="00600EE3"/>
    <w:rsid w:val="00601BF7"/>
    <w:rsid w:val="00602032"/>
    <w:rsid w:val="00602146"/>
    <w:rsid w:val="006021D4"/>
    <w:rsid w:val="0060270A"/>
    <w:rsid w:val="00602B9B"/>
    <w:rsid w:val="00603AF4"/>
    <w:rsid w:val="00603D6F"/>
    <w:rsid w:val="00604B83"/>
    <w:rsid w:val="006058CB"/>
    <w:rsid w:val="006059FA"/>
    <w:rsid w:val="00607325"/>
    <w:rsid w:val="00607A55"/>
    <w:rsid w:val="00607F83"/>
    <w:rsid w:val="006104FA"/>
    <w:rsid w:val="006112EF"/>
    <w:rsid w:val="00612B39"/>
    <w:rsid w:val="00613027"/>
    <w:rsid w:val="00613120"/>
    <w:rsid w:val="00613563"/>
    <w:rsid w:val="0061363B"/>
    <w:rsid w:val="00613A08"/>
    <w:rsid w:val="00613ABF"/>
    <w:rsid w:val="0061412F"/>
    <w:rsid w:val="00614153"/>
    <w:rsid w:val="006146AC"/>
    <w:rsid w:val="00614AE8"/>
    <w:rsid w:val="00615073"/>
    <w:rsid w:val="0061546B"/>
    <w:rsid w:val="00615B67"/>
    <w:rsid w:val="00615D70"/>
    <w:rsid w:val="00615F46"/>
    <w:rsid w:val="00616320"/>
    <w:rsid w:val="006169E9"/>
    <w:rsid w:val="00617156"/>
    <w:rsid w:val="006176BF"/>
    <w:rsid w:val="00617842"/>
    <w:rsid w:val="00617B3D"/>
    <w:rsid w:val="006206FF"/>
    <w:rsid w:val="00620A30"/>
    <w:rsid w:val="00620A65"/>
    <w:rsid w:val="00620B75"/>
    <w:rsid w:val="00620B9F"/>
    <w:rsid w:val="00622431"/>
    <w:rsid w:val="006225B7"/>
    <w:rsid w:val="00622640"/>
    <w:rsid w:val="006232F9"/>
    <w:rsid w:val="00623324"/>
    <w:rsid w:val="006238CB"/>
    <w:rsid w:val="00623BE5"/>
    <w:rsid w:val="00624716"/>
    <w:rsid w:val="006247DB"/>
    <w:rsid w:val="00624E66"/>
    <w:rsid w:val="006250EE"/>
    <w:rsid w:val="00625577"/>
    <w:rsid w:val="00625585"/>
    <w:rsid w:val="0062577B"/>
    <w:rsid w:val="006260B6"/>
    <w:rsid w:val="00626109"/>
    <w:rsid w:val="00626127"/>
    <w:rsid w:val="00626360"/>
    <w:rsid w:val="006263C9"/>
    <w:rsid w:val="006263CE"/>
    <w:rsid w:val="00626A1D"/>
    <w:rsid w:val="00626FB3"/>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3522"/>
    <w:rsid w:val="006354CD"/>
    <w:rsid w:val="00635ABF"/>
    <w:rsid w:val="00636406"/>
    <w:rsid w:val="00636E0C"/>
    <w:rsid w:val="00636F4A"/>
    <w:rsid w:val="00637539"/>
    <w:rsid w:val="00637B33"/>
    <w:rsid w:val="00637B7B"/>
    <w:rsid w:val="00637E84"/>
    <w:rsid w:val="00640173"/>
    <w:rsid w:val="0064017A"/>
    <w:rsid w:val="00640FBF"/>
    <w:rsid w:val="00641090"/>
    <w:rsid w:val="0064172A"/>
    <w:rsid w:val="006418C1"/>
    <w:rsid w:val="006420B7"/>
    <w:rsid w:val="00642810"/>
    <w:rsid w:val="00643F66"/>
    <w:rsid w:val="006440EE"/>
    <w:rsid w:val="006458AD"/>
    <w:rsid w:val="006462C5"/>
    <w:rsid w:val="00646D0E"/>
    <w:rsid w:val="00647033"/>
    <w:rsid w:val="0064712F"/>
    <w:rsid w:val="0064793C"/>
    <w:rsid w:val="00647FA1"/>
    <w:rsid w:val="006504D5"/>
    <w:rsid w:val="00650FA3"/>
    <w:rsid w:val="006516A4"/>
    <w:rsid w:val="006516FE"/>
    <w:rsid w:val="00651D1D"/>
    <w:rsid w:val="00652333"/>
    <w:rsid w:val="00653FB1"/>
    <w:rsid w:val="006548A4"/>
    <w:rsid w:val="006549A4"/>
    <w:rsid w:val="00656085"/>
    <w:rsid w:val="00656FE7"/>
    <w:rsid w:val="0065765B"/>
    <w:rsid w:val="006605AC"/>
    <w:rsid w:val="006609DD"/>
    <w:rsid w:val="00660AF5"/>
    <w:rsid w:val="00662410"/>
    <w:rsid w:val="0066264A"/>
    <w:rsid w:val="00662AAD"/>
    <w:rsid w:val="00662F5D"/>
    <w:rsid w:val="0066328E"/>
    <w:rsid w:val="006634C1"/>
    <w:rsid w:val="006635A6"/>
    <w:rsid w:val="00663CE3"/>
    <w:rsid w:val="00663FCB"/>
    <w:rsid w:val="00664C08"/>
    <w:rsid w:val="00664DDE"/>
    <w:rsid w:val="00666382"/>
    <w:rsid w:val="006663C5"/>
    <w:rsid w:val="00666536"/>
    <w:rsid w:val="0066666B"/>
    <w:rsid w:val="00666AEF"/>
    <w:rsid w:val="00667EC3"/>
    <w:rsid w:val="006705A7"/>
    <w:rsid w:val="00670B3D"/>
    <w:rsid w:val="006716B8"/>
    <w:rsid w:val="006724BC"/>
    <w:rsid w:val="00673206"/>
    <w:rsid w:val="0067329C"/>
    <w:rsid w:val="00674465"/>
    <w:rsid w:val="0067472A"/>
    <w:rsid w:val="00674C6A"/>
    <w:rsid w:val="00676432"/>
    <w:rsid w:val="0067699F"/>
    <w:rsid w:val="00676ED0"/>
    <w:rsid w:val="00677938"/>
    <w:rsid w:val="00677DA7"/>
    <w:rsid w:val="0068009E"/>
    <w:rsid w:val="00680273"/>
    <w:rsid w:val="00680A71"/>
    <w:rsid w:val="00680AC6"/>
    <w:rsid w:val="00681ED3"/>
    <w:rsid w:val="00682802"/>
    <w:rsid w:val="00682CC9"/>
    <w:rsid w:val="00682D35"/>
    <w:rsid w:val="006831D4"/>
    <w:rsid w:val="00683305"/>
    <w:rsid w:val="00684434"/>
    <w:rsid w:val="006847BC"/>
    <w:rsid w:val="006849BF"/>
    <w:rsid w:val="00684EFB"/>
    <w:rsid w:val="00685184"/>
    <w:rsid w:val="0068579A"/>
    <w:rsid w:val="006865D7"/>
    <w:rsid w:val="00686D22"/>
    <w:rsid w:val="00687188"/>
    <w:rsid w:val="00687432"/>
    <w:rsid w:val="006874B7"/>
    <w:rsid w:val="00687725"/>
    <w:rsid w:val="006901ED"/>
    <w:rsid w:val="00690EBF"/>
    <w:rsid w:val="00691262"/>
    <w:rsid w:val="00691B5E"/>
    <w:rsid w:val="00691DE4"/>
    <w:rsid w:val="0069244C"/>
    <w:rsid w:val="006928E8"/>
    <w:rsid w:val="00692996"/>
    <w:rsid w:val="00692A55"/>
    <w:rsid w:val="00693682"/>
    <w:rsid w:val="006951BB"/>
    <w:rsid w:val="0069578C"/>
    <w:rsid w:val="00695EAA"/>
    <w:rsid w:val="00696944"/>
    <w:rsid w:val="006972FB"/>
    <w:rsid w:val="00697339"/>
    <w:rsid w:val="006973F6"/>
    <w:rsid w:val="00697B2C"/>
    <w:rsid w:val="00697E01"/>
    <w:rsid w:val="006A0548"/>
    <w:rsid w:val="006A0A10"/>
    <w:rsid w:val="006A0F00"/>
    <w:rsid w:val="006A0F77"/>
    <w:rsid w:val="006A11FD"/>
    <w:rsid w:val="006A17D2"/>
    <w:rsid w:val="006A2404"/>
    <w:rsid w:val="006A2490"/>
    <w:rsid w:val="006A25A9"/>
    <w:rsid w:val="006A3252"/>
    <w:rsid w:val="006A3B33"/>
    <w:rsid w:val="006A3EE1"/>
    <w:rsid w:val="006A4B8C"/>
    <w:rsid w:val="006A508B"/>
    <w:rsid w:val="006A538E"/>
    <w:rsid w:val="006A58D1"/>
    <w:rsid w:val="006A621A"/>
    <w:rsid w:val="006A6E1A"/>
    <w:rsid w:val="006A70B4"/>
    <w:rsid w:val="006A73E6"/>
    <w:rsid w:val="006A7408"/>
    <w:rsid w:val="006A7764"/>
    <w:rsid w:val="006A7A2F"/>
    <w:rsid w:val="006B00DA"/>
    <w:rsid w:val="006B0169"/>
    <w:rsid w:val="006B05D1"/>
    <w:rsid w:val="006B0CF5"/>
    <w:rsid w:val="006B130C"/>
    <w:rsid w:val="006B17B3"/>
    <w:rsid w:val="006B22C0"/>
    <w:rsid w:val="006B231D"/>
    <w:rsid w:val="006B248C"/>
    <w:rsid w:val="006B2623"/>
    <w:rsid w:val="006B265D"/>
    <w:rsid w:val="006B295E"/>
    <w:rsid w:val="006B2D5C"/>
    <w:rsid w:val="006B37DA"/>
    <w:rsid w:val="006B3B95"/>
    <w:rsid w:val="006B4324"/>
    <w:rsid w:val="006B544B"/>
    <w:rsid w:val="006B596A"/>
    <w:rsid w:val="006B5C2E"/>
    <w:rsid w:val="006B5FBA"/>
    <w:rsid w:val="006B6D64"/>
    <w:rsid w:val="006B6FFA"/>
    <w:rsid w:val="006B7813"/>
    <w:rsid w:val="006C030E"/>
    <w:rsid w:val="006C0900"/>
    <w:rsid w:val="006C0DB3"/>
    <w:rsid w:val="006C0F5D"/>
    <w:rsid w:val="006C116A"/>
    <w:rsid w:val="006C11E8"/>
    <w:rsid w:val="006C1815"/>
    <w:rsid w:val="006C19FD"/>
    <w:rsid w:val="006C2346"/>
    <w:rsid w:val="006C2B38"/>
    <w:rsid w:val="006C3179"/>
    <w:rsid w:val="006C3197"/>
    <w:rsid w:val="006C3E5E"/>
    <w:rsid w:val="006C4233"/>
    <w:rsid w:val="006C429E"/>
    <w:rsid w:val="006C448A"/>
    <w:rsid w:val="006C4596"/>
    <w:rsid w:val="006C4D48"/>
    <w:rsid w:val="006C4EB1"/>
    <w:rsid w:val="006C6E31"/>
    <w:rsid w:val="006C6E94"/>
    <w:rsid w:val="006C73ED"/>
    <w:rsid w:val="006C7E62"/>
    <w:rsid w:val="006D0195"/>
    <w:rsid w:val="006D01E3"/>
    <w:rsid w:val="006D0424"/>
    <w:rsid w:val="006D13A0"/>
    <w:rsid w:val="006D1A3C"/>
    <w:rsid w:val="006D2C28"/>
    <w:rsid w:val="006D2CC2"/>
    <w:rsid w:val="006D2D13"/>
    <w:rsid w:val="006D48BB"/>
    <w:rsid w:val="006D52FC"/>
    <w:rsid w:val="006D5CE3"/>
    <w:rsid w:val="006D5D5D"/>
    <w:rsid w:val="006D6E36"/>
    <w:rsid w:val="006D70BA"/>
    <w:rsid w:val="006D7976"/>
    <w:rsid w:val="006E00AB"/>
    <w:rsid w:val="006E0166"/>
    <w:rsid w:val="006E0DF6"/>
    <w:rsid w:val="006E0F9B"/>
    <w:rsid w:val="006E0FB2"/>
    <w:rsid w:val="006E1163"/>
    <w:rsid w:val="006E1407"/>
    <w:rsid w:val="006E18B8"/>
    <w:rsid w:val="006E1EBD"/>
    <w:rsid w:val="006E2357"/>
    <w:rsid w:val="006E25A3"/>
    <w:rsid w:val="006E2E6B"/>
    <w:rsid w:val="006E30DB"/>
    <w:rsid w:val="006E33EC"/>
    <w:rsid w:val="006E35A0"/>
    <w:rsid w:val="006E37D3"/>
    <w:rsid w:val="006E3DE7"/>
    <w:rsid w:val="006E4B61"/>
    <w:rsid w:val="006E4CCE"/>
    <w:rsid w:val="006E52D2"/>
    <w:rsid w:val="006E5451"/>
    <w:rsid w:val="006E5C58"/>
    <w:rsid w:val="006E6048"/>
    <w:rsid w:val="006E67F6"/>
    <w:rsid w:val="006E6C78"/>
    <w:rsid w:val="006E6F1E"/>
    <w:rsid w:val="006E76CC"/>
    <w:rsid w:val="006E79CA"/>
    <w:rsid w:val="006E7B34"/>
    <w:rsid w:val="006E7EA4"/>
    <w:rsid w:val="006F02FE"/>
    <w:rsid w:val="006F0D61"/>
    <w:rsid w:val="006F0E46"/>
    <w:rsid w:val="006F157C"/>
    <w:rsid w:val="006F1601"/>
    <w:rsid w:val="006F1716"/>
    <w:rsid w:val="006F1949"/>
    <w:rsid w:val="006F2AB1"/>
    <w:rsid w:val="006F3590"/>
    <w:rsid w:val="006F3597"/>
    <w:rsid w:val="006F374D"/>
    <w:rsid w:val="006F3A07"/>
    <w:rsid w:val="006F41F1"/>
    <w:rsid w:val="006F4AF9"/>
    <w:rsid w:val="006F556A"/>
    <w:rsid w:val="006F5723"/>
    <w:rsid w:val="006F672E"/>
    <w:rsid w:val="006F67D6"/>
    <w:rsid w:val="006F6DFD"/>
    <w:rsid w:val="006F6EE6"/>
    <w:rsid w:val="006F7488"/>
    <w:rsid w:val="006F763B"/>
    <w:rsid w:val="0070045F"/>
    <w:rsid w:val="00700471"/>
    <w:rsid w:val="00700C65"/>
    <w:rsid w:val="00700E42"/>
    <w:rsid w:val="00701610"/>
    <w:rsid w:val="007016FE"/>
    <w:rsid w:val="00701B24"/>
    <w:rsid w:val="0070244C"/>
    <w:rsid w:val="00702565"/>
    <w:rsid w:val="007025EB"/>
    <w:rsid w:val="0070267B"/>
    <w:rsid w:val="00702A7C"/>
    <w:rsid w:val="00702CC5"/>
    <w:rsid w:val="00702CD7"/>
    <w:rsid w:val="00702DE6"/>
    <w:rsid w:val="00702EA5"/>
    <w:rsid w:val="00703F16"/>
    <w:rsid w:val="00703F90"/>
    <w:rsid w:val="0070404E"/>
    <w:rsid w:val="00704098"/>
    <w:rsid w:val="0070456C"/>
    <w:rsid w:val="00704B18"/>
    <w:rsid w:val="00705FAC"/>
    <w:rsid w:val="0070603C"/>
    <w:rsid w:val="00706591"/>
    <w:rsid w:val="00706698"/>
    <w:rsid w:val="00706D7E"/>
    <w:rsid w:val="00707486"/>
    <w:rsid w:val="00707A5C"/>
    <w:rsid w:val="00707BAF"/>
    <w:rsid w:val="00707C8E"/>
    <w:rsid w:val="00707E8E"/>
    <w:rsid w:val="00710376"/>
    <w:rsid w:val="00710ED5"/>
    <w:rsid w:val="00711137"/>
    <w:rsid w:val="007116B1"/>
    <w:rsid w:val="0071191F"/>
    <w:rsid w:val="00711D41"/>
    <w:rsid w:val="00711D64"/>
    <w:rsid w:val="00713B24"/>
    <w:rsid w:val="007140C0"/>
    <w:rsid w:val="00715902"/>
    <w:rsid w:val="00715928"/>
    <w:rsid w:val="00716182"/>
    <w:rsid w:val="007161D6"/>
    <w:rsid w:val="007169BB"/>
    <w:rsid w:val="00716BEC"/>
    <w:rsid w:val="00716C42"/>
    <w:rsid w:val="00716D62"/>
    <w:rsid w:val="00717B70"/>
    <w:rsid w:val="0072003B"/>
    <w:rsid w:val="0072130B"/>
    <w:rsid w:val="00722293"/>
    <w:rsid w:val="0072335A"/>
    <w:rsid w:val="007237C3"/>
    <w:rsid w:val="0072472F"/>
    <w:rsid w:val="007247E2"/>
    <w:rsid w:val="00725530"/>
    <w:rsid w:val="007258C2"/>
    <w:rsid w:val="007259C3"/>
    <w:rsid w:val="00727D80"/>
    <w:rsid w:val="0073058A"/>
    <w:rsid w:val="00730731"/>
    <w:rsid w:val="00731457"/>
    <w:rsid w:val="00731DA0"/>
    <w:rsid w:val="00732D86"/>
    <w:rsid w:val="00733573"/>
    <w:rsid w:val="00734D00"/>
    <w:rsid w:val="007359CB"/>
    <w:rsid w:val="00735C9C"/>
    <w:rsid w:val="00737A15"/>
    <w:rsid w:val="00737F69"/>
    <w:rsid w:val="00740021"/>
    <w:rsid w:val="007400D8"/>
    <w:rsid w:val="00741346"/>
    <w:rsid w:val="0074145C"/>
    <w:rsid w:val="00741AC5"/>
    <w:rsid w:val="00741D4C"/>
    <w:rsid w:val="00742031"/>
    <w:rsid w:val="0074296A"/>
    <w:rsid w:val="007431AA"/>
    <w:rsid w:val="007433B0"/>
    <w:rsid w:val="007451C8"/>
    <w:rsid w:val="0074535C"/>
    <w:rsid w:val="0074572F"/>
    <w:rsid w:val="0074581C"/>
    <w:rsid w:val="00745899"/>
    <w:rsid w:val="00746B34"/>
    <w:rsid w:val="007471F9"/>
    <w:rsid w:val="00747906"/>
    <w:rsid w:val="00750078"/>
    <w:rsid w:val="00750201"/>
    <w:rsid w:val="00750568"/>
    <w:rsid w:val="00750BB6"/>
    <w:rsid w:val="00750E1A"/>
    <w:rsid w:val="00751379"/>
    <w:rsid w:val="0075164B"/>
    <w:rsid w:val="00751CC4"/>
    <w:rsid w:val="0075213B"/>
    <w:rsid w:val="007538FC"/>
    <w:rsid w:val="00754A2A"/>
    <w:rsid w:val="00754E95"/>
    <w:rsid w:val="00755BC9"/>
    <w:rsid w:val="00755F05"/>
    <w:rsid w:val="00756046"/>
    <w:rsid w:val="007561AD"/>
    <w:rsid w:val="007567E3"/>
    <w:rsid w:val="007570FA"/>
    <w:rsid w:val="0075783F"/>
    <w:rsid w:val="0075784D"/>
    <w:rsid w:val="00757F66"/>
    <w:rsid w:val="007607C4"/>
    <w:rsid w:val="007607EC"/>
    <w:rsid w:val="00761A58"/>
    <w:rsid w:val="00761EBF"/>
    <w:rsid w:val="00761FA1"/>
    <w:rsid w:val="00762A2F"/>
    <w:rsid w:val="00764400"/>
    <w:rsid w:val="00764470"/>
    <w:rsid w:val="0076495F"/>
    <w:rsid w:val="007649AF"/>
    <w:rsid w:val="00765584"/>
    <w:rsid w:val="0076585D"/>
    <w:rsid w:val="00765CB7"/>
    <w:rsid w:val="0076643F"/>
    <w:rsid w:val="007676F5"/>
    <w:rsid w:val="00767E86"/>
    <w:rsid w:val="00771045"/>
    <w:rsid w:val="0077118F"/>
    <w:rsid w:val="00771205"/>
    <w:rsid w:val="00771804"/>
    <w:rsid w:val="00773C5A"/>
    <w:rsid w:val="0077403A"/>
    <w:rsid w:val="00774375"/>
    <w:rsid w:val="007744CC"/>
    <w:rsid w:val="00774C36"/>
    <w:rsid w:val="0077526E"/>
    <w:rsid w:val="007766F0"/>
    <w:rsid w:val="007769BE"/>
    <w:rsid w:val="007771C5"/>
    <w:rsid w:val="007776FF"/>
    <w:rsid w:val="0078069F"/>
    <w:rsid w:val="007809DA"/>
    <w:rsid w:val="00780BCB"/>
    <w:rsid w:val="00780ED7"/>
    <w:rsid w:val="007813A7"/>
    <w:rsid w:val="0078196F"/>
    <w:rsid w:val="00781C89"/>
    <w:rsid w:val="007820BB"/>
    <w:rsid w:val="00782E68"/>
    <w:rsid w:val="00783298"/>
    <w:rsid w:val="007837C3"/>
    <w:rsid w:val="0078426B"/>
    <w:rsid w:val="0078455E"/>
    <w:rsid w:val="00784600"/>
    <w:rsid w:val="0078492C"/>
    <w:rsid w:val="00784DE5"/>
    <w:rsid w:val="00784FEC"/>
    <w:rsid w:val="00785522"/>
    <w:rsid w:val="007855C3"/>
    <w:rsid w:val="0078587E"/>
    <w:rsid w:val="0078595F"/>
    <w:rsid w:val="00785F8D"/>
    <w:rsid w:val="00785F97"/>
    <w:rsid w:val="007861E5"/>
    <w:rsid w:val="00786501"/>
    <w:rsid w:val="0078761D"/>
    <w:rsid w:val="00787D68"/>
    <w:rsid w:val="00790499"/>
    <w:rsid w:val="007905CA"/>
    <w:rsid w:val="00790ABE"/>
    <w:rsid w:val="00791124"/>
    <w:rsid w:val="007928DA"/>
    <w:rsid w:val="00792EA6"/>
    <w:rsid w:val="00793A12"/>
    <w:rsid w:val="00794D75"/>
    <w:rsid w:val="00794E14"/>
    <w:rsid w:val="00795940"/>
    <w:rsid w:val="00795B5E"/>
    <w:rsid w:val="00795E01"/>
    <w:rsid w:val="00796BF1"/>
    <w:rsid w:val="00796E7A"/>
    <w:rsid w:val="007977A5"/>
    <w:rsid w:val="00797AE7"/>
    <w:rsid w:val="00797E77"/>
    <w:rsid w:val="007A02E6"/>
    <w:rsid w:val="007A052F"/>
    <w:rsid w:val="007A066B"/>
    <w:rsid w:val="007A13D7"/>
    <w:rsid w:val="007A17C8"/>
    <w:rsid w:val="007A18EB"/>
    <w:rsid w:val="007A2423"/>
    <w:rsid w:val="007A281C"/>
    <w:rsid w:val="007A2BD9"/>
    <w:rsid w:val="007A2EC7"/>
    <w:rsid w:val="007A2F70"/>
    <w:rsid w:val="007A3293"/>
    <w:rsid w:val="007A3478"/>
    <w:rsid w:val="007A41E8"/>
    <w:rsid w:val="007A4240"/>
    <w:rsid w:val="007A4980"/>
    <w:rsid w:val="007A57A6"/>
    <w:rsid w:val="007A5893"/>
    <w:rsid w:val="007A636F"/>
    <w:rsid w:val="007A6474"/>
    <w:rsid w:val="007A7F31"/>
    <w:rsid w:val="007B02FF"/>
    <w:rsid w:val="007B04BF"/>
    <w:rsid w:val="007B05AF"/>
    <w:rsid w:val="007B0DBB"/>
    <w:rsid w:val="007B186C"/>
    <w:rsid w:val="007B19A1"/>
    <w:rsid w:val="007B19FE"/>
    <w:rsid w:val="007B1B6A"/>
    <w:rsid w:val="007B2769"/>
    <w:rsid w:val="007B27A5"/>
    <w:rsid w:val="007B2C3A"/>
    <w:rsid w:val="007B3C72"/>
    <w:rsid w:val="007B430B"/>
    <w:rsid w:val="007B4826"/>
    <w:rsid w:val="007B4BB4"/>
    <w:rsid w:val="007B4C00"/>
    <w:rsid w:val="007B5867"/>
    <w:rsid w:val="007B6116"/>
    <w:rsid w:val="007B6279"/>
    <w:rsid w:val="007B6366"/>
    <w:rsid w:val="007B6C22"/>
    <w:rsid w:val="007B6EC4"/>
    <w:rsid w:val="007B762A"/>
    <w:rsid w:val="007C10AC"/>
    <w:rsid w:val="007C16AB"/>
    <w:rsid w:val="007C1BDE"/>
    <w:rsid w:val="007C2188"/>
    <w:rsid w:val="007C22DF"/>
    <w:rsid w:val="007C2B7D"/>
    <w:rsid w:val="007C3334"/>
    <w:rsid w:val="007C3481"/>
    <w:rsid w:val="007C3734"/>
    <w:rsid w:val="007C37BB"/>
    <w:rsid w:val="007C3A3D"/>
    <w:rsid w:val="007C3FA6"/>
    <w:rsid w:val="007C4878"/>
    <w:rsid w:val="007C4F1C"/>
    <w:rsid w:val="007C50F6"/>
    <w:rsid w:val="007C52BB"/>
    <w:rsid w:val="007C5476"/>
    <w:rsid w:val="007C58E8"/>
    <w:rsid w:val="007C6630"/>
    <w:rsid w:val="007C7402"/>
    <w:rsid w:val="007C757E"/>
    <w:rsid w:val="007C769E"/>
    <w:rsid w:val="007C798F"/>
    <w:rsid w:val="007C7B95"/>
    <w:rsid w:val="007D0207"/>
    <w:rsid w:val="007D0309"/>
    <w:rsid w:val="007D052B"/>
    <w:rsid w:val="007D06CB"/>
    <w:rsid w:val="007D0E5C"/>
    <w:rsid w:val="007D274A"/>
    <w:rsid w:val="007D278F"/>
    <w:rsid w:val="007D2B98"/>
    <w:rsid w:val="007D2FEE"/>
    <w:rsid w:val="007D362A"/>
    <w:rsid w:val="007D3E9B"/>
    <w:rsid w:val="007D4C93"/>
    <w:rsid w:val="007D4FA5"/>
    <w:rsid w:val="007D56FE"/>
    <w:rsid w:val="007D59B2"/>
    <w:rsid w:val="007D64C4"/>
    <w:rsid w:val="007D69AC"/>
    <w:rsid w:val="007D71CD"/>
    <w:rsid w:val="007E051C"/>
    <w:rsid w:val="007E13CE"/>
    <w:rsid w:val="007E1856"/>
    <w:rsid w:val="007E2B67"/>
    <w:rsid w:val="007E2C05"/>
    <w:rsid w:val="007E3017"/>
    <w:rsid w:val="007E3173"/>
    <w:rsid w:val="007E33C3"/>
    <w:rsid w:val="007E42C4"/>
    <w:rsid w:val="007E42EA"/>
    <w:rsid w:val="007E5338"/>
    <w:rsid w:val="007E5895"/>
    <w:rsid w:val="007E5CC7"/>
    <w:rsid w:val="007E5EE3"/>
    <w:rsid w:val="007E6DAC"/>
    <w:rsid w:val="007E715E"/>
    <w:rsid w:val="007E743A"/>
    <w:rsid w:val="007E783F"/>
    <w:rsid w:val="007F05E6"/>
    <w:rsid w:val="007F074A"/>
    <w:rsid w:val="007F1641"/>
    <w:rsid w:val="007F170D"/>
    <w:rsid w:val="007F210C"/>
    <w:rsid w:val="007F2396"/>
    <w:rsid w:val="007F37D2"/>
    <w:rsid w:val="007F37ED"/>
    <w:rsid w:val="007F39A0"/>
    <w:rsid w:val="007F3EBB"/>
    <w:rsid w:val="007F410D"/>
    <w:rsid w:val="007F42BF"/>
    <w:rsid w:val="007F436D"/>
    <w:rsid w:val="007F4652"/>
    <w:rsid w:val="007F4A54"/>
    <w:rsid w:val="007F4B82"/>
    <w:rsid w:val="007F4E79"/>
    <w:rsid w:val="007F4F2C"/>
    <w:rsid w:val="007F4FE2"/>
    <w:rsid w:val="007F62E0"/>
    <w:rsid w:val="007F6BB0"/>
    <w:rsid w:val="00800653"/>
    <w:rsid w:val="00800983"/>
    <w:rsid w:val="00800E57"/>
    <w:rsid w:val="0080185D"/>
    <w:rsid w:val="00801B96"/>
    <w:rsid w:val="00801C7F"/>
    <w:rsid w:val="00802A23"/>
    <w:rsid w:val="00802CB0"/>
    <w:rsid w:val="0080393B"/>
    <w:rsid w:val="00803AC6"/>
    <w:rsid w:val="00803F1C"/>
    <w:rsid w:val="00805489"/>
    <w:rsid w:val="0080600E"/>
    <w:rsid w:val="0080677A"/>
    <w:rsid w:val="00807B9D"/>
    <w:rsid w:val="00807F96"/>
    <w:rsid w:val="00811543"/>
    <w:rsid w:val="0081181A"/>
    <w:rsid w:val="00811AE3"/>
    <w:rsid w:val="00811C09"/>
    <w:rsid w:val="00812C8D"/>
    <w:rsid w:val="00812EAF"/>
    <w:rsid w:val="0081365E"/>
    <w:rsid w:val="00814282"/>
    <w:rsid w:val="008143E1"/>
    <w:rsid w:val="00814F11"/>
    <w:rsid w:val="008150B2"/>
    <w:rsid w:val="00816E27"/>
    <w:rsid w:val="00817612"/>
    <w:rsid w:val="00817884"/>
    <w:rsid w:val="00817967"/>
    <w:rsid w:val="00817D2F"/>
    <w:rsid w:val="008204AE"/>
    <w:rsid w:val="00820D73"/>
    <w:rsid w:val="00821081"/>
    <w:rsid w:val="008215C0"/>
    <w:rsid w:val="008218A2"/>
    <w:rsid w:val="00822E22"/>
    <w:rsid w:val="00823A91"/>
    <w:rsid w:val="008242BE"/>
    <w:rsid w:val="008245AD"/>
    <w:rsid w:val="00825698"/>
    <w:rsid w:val="00825952"/>
    <w:rsid w:val="00825B7F"/>
    <w:rsid w:val="008262F2"/>
    <w:rsid w:val="00827DB7"/>
    <w:rsid w:val="00830E88"/>
    <w:rsid w:val="008315C5"/>
    <w:rsid w:val="008316A7"/>
    <w:rsid w:val="00832F1B"/>
    <w:rsid w:val="00833AF2"/>
    <w:rsid w:val="00835F5A"/>
    <w:rsid w:val="00836E53"/>
    <w:rsid w:val="0083716D"/>
    <w:rsid w:val="008373B6"/>
    <w:rsid w:val="00837C45"/>
    <w:rsid w:val="00837EDD"/>
    <w:rsid w:val="00840141"/>
    <w:rsid w:val="0084043E"/>
    <w:rsid w:val="00840923"/>
    <w:rsid w:val="008414A3"/>
    <w:rsid w:val="00841614"/>
    <w:rsid w:val="00841B45"/>
    <w:rsid w:val="008422DA"/>
    <w:rsid w:val="008426FE"/>
    <w:rsid w:val="00842C39"/>
    <w:rsid w:val="0084302E"/>
    <w:rsid w:val="00843C1B"/>
    <w:rsid w:val="008455A6"/>
    <w:rsid w:val="008456F3"/>
    <w:rsid w:val="00845C1A"/>
    <w:rsid w:val="00846865"/>
    <w:rsid w:val="00846B2C"/>
    <w:rsid w:val="00846D39"/>
    <w:rsid w:val="008472FB"/>
    <w:rsid w:val="008473B2"/>
    <w:rsid w:val="00847A56"/>
    <w:rsid w:val="00847A8B"/>
    <w:rsid w:val="00847B26"/>
    <w:rsid w:val="008506C2"/>
    <w:rsid w:val="008509CC"/>
    <w:rsid w:val="0085268D"/>
    <w:rsid w:val="00852875"/>
    <w:rsid w:val="00852FD3"/>
    <w:rsid w:val="0085323F"/>
    <w:rsid w:val="00853419"/>
    <w:rsid w:val="008538D6"/>
    <w:rsid w:val="008539DB"/>
    <w:rsid w:val="00853A23"/>
    <w:rsid w:val="00854C85"/>
    <w:rsid w:val="00854FE3"/>
    <w:rsid w:val="00855876"/>
    <w:rsid w:val="008560E1"/>
    <w:rsid w:val="008573A3"/>
    <w:rsid w:val="008600B3"/>
    <w:rsid w:val="00860233"/>
    <w:rsid w:val="0086083F"/>
    <w:rsid w:val="00860A02"/>
    <w:rsid w:val="00860C50"/>
    <w:rsid w:val="00861340"/>
    <w:rsid w:val="00861437"/>
    <w:rsid w:val="0086147D"/>
    <w:rsid w:val="008616F1"/>
    <w:rsid w:val="00861972"/>
    <w:rsid w:val="00861E30"/>
    <w:rsid w:val="00861EC2"/>
    <w:rsid w:val="00861F6D"/>
    <w:rsid w:val="00862299"/>
    <w:rsid w:val="008627E4"/>
    <w:rsid w:val="008628FD"/>
    <w:rsid w:val="00863139"/>
    <w:rsid w:val="00863533"/>
    <w:rsid w:val="00863E9F"/>
    <w:rsid w:val="00864097"/>
    <w:rsid w:val="00864785"/>
    <w:rsid w:val="00864B30"/>
    <w:rsid w:val="00864CF6"/>
    <w:rsid w:val="00864D7F"/>
    <w:rsid w:val="00865279"/>
    <w:rsid w:val="00865368"/>
    <w:rsid w:val="00865C9B"/>
    <w:rsid w:val="0086628D"/>
    <w:rsid w:val="008664B8"/>
    <w:rsid w:val="008665EC"/>
    <w:rsid w:val="00866759"/>
    <w:rsid w:val="00866D7E"/>
    <w:rsid w:val="008676D3"/>
    <w:rsid w:val="008678EF"/>
    <w:rsid w:val="00867DA3"/>
    <w:rsid w:val="0087014C"/>
    <w:rsid w:val="00870526"/>
    <w:rsid w:val="00871372"/>
    <w:rsid w:val="00871D12"/>
    <w:rsid w:val="00871EBE"/>
    <w:rsid w:val="00872F34"/>
    <w:rsid w:val="00873480"/>
    <w:rsid w:val="00873CC0"/>
    <w:rsid w:val="008741A2"/>
    <w:rsid w:val="0087447D"/>
    <w:rsid w:val="00874BEE"/>
    <w:rsid w:val="0087528A"/>
    <w:rsid w:val="00875ABB"/>
    <w:rsid w:val="00875EC6"/>
    <w:rsid w:val="00876085"/>
    <w:rsid w:val="00876BE9"/>
    <w:rsid w:val="00877E1B"/>
    <w:rsid w:val="00880341"/>
    <w:rsid w:val="00880B21"/>
    <w:rsid w:val="00880F95"/>
    <w:rsid w:val="0088253F"/>
    <w:rsid w:val="00882952"/>
    <w:rsid w:val="00882C32"/>
    <w:rsid w:val="0088373B"/>
    <w:rsid w:val="00883E89"/>
    <w:rsid w:val="00883EA4"/>
    <w:rsid w:val="00883FBB"/>
    <w:rsid w:val="00884136"/>
    <w:rsid w:val="00884270"/>
    <w:rsid w:val="008859F9"/>
    <w:rsid w:val="0088659F"/>
    <w:rsid w:val="008869BA"/>
    <w:rsid w:val="00887B7D"/>
    <w:rsid w:val="008903D5"/>
    <w:rsid w:val="0089156D"/>
    <w:rsid w:val="008917C2"/>
    <w:rsid w:val="00892B92"/>
    <w:rsid w:val="00892CB7"/>
    <w:rsid w:val="008932D0"/>
    <w:rsid w:val="00893A3F"/>
    <w:rsid w:val="00893DB7"/>
    <w:rsid w:val="00893E24"/>
    <w:rsid w:val="00893E44"/>
    <w:rsid w:val="008945B4"/>
    <w:rsid w:val="0089514B"/>
    <w:rsid w:val="008964B7"/>
    <w:rsid w:val="008969D3"/>
    <w:rsid w:val="00896EC2"/>
    <w:rsid w:val="00897151"/>
    <w:rsid w:val="008971D8"/>
    <w:rsid w:val="00897A3D"/>
    <w:rsid w:val="00897E12"/>
    <w:rsid w:val="008A065A"/>
    <w:rsid w:val="008A0792"/>
    <w:rsid w:val="008A1C4B"/>
    <w:rsid w:val="008A260E"/>
    <w:rsid w:val="008A2C74"/>
    <w:rsid w:val="008A2F22"/>
    <w:rsid w:val="008A3434"/>
    <w:rsid w:val="008A36FA"/>
    <w:rsid w:val="008A4FAC"/>
    <w:rsid w:val="008A5865"/>
    <w:rsid w:val="008A5A80"/>
    <w:rsid w:val="008A5BF4"/>
    <w:rsid w:val="008A6043"/>
    <w:rsid w:val="008A67CF"/>
    <w:rsid w:val="008A6DA2"/>
    <w:rsid w:val="008A744F"/>
    <w:rsid w:val="008A7E17"/>
    <w:rsid w:val="008A7E83"/>
    <w:rsid w:val="008A7F97"/>
    <w:rsid w:val="008A7FC7"/>
    <w:rsid w:val="008B0E6D"/>
    <w:rsid w:val="008B0EE7"/>
    <w:rsid w:val="008B14CB"/>
    <w:rsid w:val="008B19FD"/>
    <w:rsid w:val="008B1CA7"/>
    <w:rsid w:val="008B23D9"/>
    <w:rsid w:val="008B24D5"/>
    <w:rsid w:val="008B25FC"/>
    <w:rsid w:val="008B2DA9"/>
    <w:rsid w:val="008B3466"/>
    <w:rsid w:val="008B3DDA"/>
    <w:rsid w:val="008B443E"/>
    <w:rsid w:val="008B44C5"/>
    <w:rsid w:val="008B4BF9"/>
    <w:rsid w:val="008B5124"/>
    <w:rsid w:val="008B7B3C"/>
    <w:rsid w:val="008C00EE"/>
    <w:rsid w:val="008C067C"/>
    <w:rsid w:val="008C1E12"/>
    <w:rsid w:val="008C2789"/>
    <w:rsid w:val="008C2DF6"/>
    <w:rsid w:val="008C51AF"/>
    <w:rsid w:val="008C5978"/>
    <w:rsid w:val="008C606A"/>
    <w:rsid w:val="008C698C"/>
    <w:rsid w:val="008C6B06"/>
    <w:rsid w:val="008C6F82"/>
    <w:rsid w:val="008C6FC4"/>
    <w:rsid w:val="008C7564"/>
    <w:rsid w:val="008D02D4"/>
    <w:rsid w:val="008D0556"/>
    <w:rsid w:val="008D06AF"/>
    <w:rsid w:val="008D10A8"/>
    <w:rsid w:val="008D2272"/>
    <w:rsid w:val="008D2EA5"/>
    <w:rsid w:val="008D307A"/>
    <w:rsid w:val="008D33C9"/>
    <w:rsid w:val="008D3989"/>
    <w:rsid w:val="008D3D6F"/>
    <w:rsid w:val="008D43BA"/>
    <w:rsid w:val="008D44BC"/>
    <w:rsid w:val="008D5900"/>
    <w:rsid w:val="008D6086"/>
    <w:rsid w:val="008D6249"/>
    <w:rsid w:val="008D6E1C"/>
    <w:rsid w:val="008D6E5F"/>
    <w:rsid w:val="008D7317"/>
    <w:rsid w:val="008D739C"/>
    <w:rsid w:val="008D7C85"/>
    <w:rsid w:val="008D7DF4"/>
    <w:rsid w:val="008E0A77"/>
    <w:rsid w:val="008E10AE"/>
    <w:rsid w:val="008E135A"/>
    <w:rsid w:val="008E1468"/>
    <w:rsid w:val="008E164D"/>
    <w:rsid w:val="008E19B1"/>
    <w:rsid w:val="008E1DBC"/>
    <w:rsid w:val="008E2B17"/>
    <w:rsid w:val="008E2E22"/>
    <w:rsid w:val="008E33FB"/>
    <w:rsid w:val="008E3759"/>
    <w:rsid w:val="008E3EE8"/>
    <w:rsid w:val="008E53E4"/>
    <w:rsid w:val="008E5615"/>
    <w:rsid w:val="008E6741"/>
    <w:rsid w:val="008E71E6"/>
    <w:rsid w:val="008E7329"/>
    <w:rsid w:val="008F0743"/>
    <w:rsid w:val="008F1533"/>
    <w:rsid w:val="008F166D"/>
    <w:rsid w:val="008F298E"/>
    <w:rsid w:val="008F2A35"/>
    <w:rsid w:val="008F2A73"/>
    <w:rsid w:val="008F2E03"/>
    <w:rsid w:val="008F2E1C"/>
    <w:rsid w:val="008F3BF9"/>
    <w:rsid w:val="008F3C7F"/>
    <w:rsid w:val="008F3E4A"/>
    <w:rsid w:val="008F4075"/>
    <w:rsid w:val="008F4101"/>
    <w:rsid w:val="008F4522"/>
    <w:rsid w:val="008F49E6"/>
    <w:rsid w:val="008F559D"/>
    <w:rsid w:val="008F7605"/>
    <w:rsid w:val="008F7B4C"/>
    <w:rsid w:val="008F7F3F"/>
    <w:rsid w:val="00900290"/>
    <w:rsid w:val="00900D01"/>
    <w:rsid w:val="00901F88"/>
    <w:rsid w:val="009021D6"/>
    <w:rsid w:val="00902312"/>
    <w:rsid w:val="00902D58"/>
    <w:rsid w:val="00902DE7"/>
    <w:rsid w:val="0090308C"/>
    <w:rsid w:val="009041DC"/>
    <w:rsid w:val="009047EE"/>
    <w:rsid w:val="00904B4B"/>
    <w:rsid w:val="009062C5"/>
    <w:rsid w:val="0090668D"/>
    <w:rsid w:val="00906DB6"/>
    <w:rsid w:val="00907B09"/>
    <w:rsid w:val="009104B4"/>
    <w:rsid w:val="009111FF"/>
    <w:rsid w:val="00911CEB"/>
    <w:rsid w:val="00912171"/>
    <w:rsid w:val="00912642"/>
    <w:rsid w:val="00913B6D"/>
    <w:rsid w:val="00913BB5"/>
    <w:rsid w:val="009144DE"/>
    <w:rsid w:val="00915CDE"/>
    <w:rsid w:val="00915FDE"/>
    <w:rsid w:val="0091677E"/>
    <w:rsid w:val="00916BE7"/>
    <w:rsid w:val="00917013"/>
    <w:rsid w:val="0091728F"/>
    <w:rsid w:val="0091789D"/>
    <w:rsid w:val="00917F4B"/>
    <w:rsid w:val="00920A6E"/>
    <w:rsid w:val="00921023"/>
    <w:rsid w:val="009214A7"/>
    <w:rsid w:val="009214C8"/>
    <w:rsid w:val="00921B0A"/>
    <w:rsid w:val="0092286D"/>
    <w:rsid w:val="00922A9F"/>
    <w:rsid w:val="00922B74"/>
    <w:rsid w:val="00922E4D"/>
    <w:rsid w:val="00923029"/>
    <w:rsid w:val="0092302F"/>
    <w:rsid w:val="00923920"/>
    <w:rsid w:val="00923E54"/>
    <w:rsid w:val="00923EA6"/>
    <w:rsid w:val="00924BA9"/>
    <w:rsid w:val="00924F0A"/>
    <w:rsid w:val="00925FCD"/>
    <w:rsid w:val="00927527"/>
    <w:rsid w:val="0092764B"/>
    <w:rsid w:val="00927B0B"/>
    <w:rsid w:val="009300A7"/>
    <w:rsid w:val="0093035E"/>
    <w:rsid w:val="00930ED0"/>
    <w:rsid w:val="00931FFD"/>
    <w:rsid w:val="009320F5"/>
    <w:rsid w:val="009322FE"/>
    <w:rsid w:val="00933621"/>
    <w:rsid w:val="009340CC"/>
    <w:rsid w:val="0093441A"/>
    <w:rsid w:val="00934829"/>
    <w:rsid w:val="009356F2"/>
    <w:rsid w:val="00935735"/>
    <w:rsid w:val="009359E3"/>
    <w:rsid w:val="00935A29"/>
    <w:rsid w:val="00936C4F"/>
    <w:rsid w:val="009412E0"/>
    <w:rsid w:val="00941315"/>
    <w:rsid w:val="00941393"/>
    <w:rsid w:val="0094199B"/>
    <w:rsid w:val="00941E4E"/>
    <w:rsid w:val="00941EBB"/>
    <w:rsid w:val="009424BD"/>
    <w:rsid w:val="0094253B"/>
    <w:rsid w:val="00942AA6"/>
    <w:rsid w:val="00942BBC"/>
    <w:rsid w:val="009435DC"/>
    <w:rsid w:val="009440FE"/>
    <w:rsid w:val="00945194"/>
    <w:rsid w:val="009452C5"/>
    <w:rsid w:val="00945ED8"/>
    <w:rsid w:val="00945F51"/>
    <w:rsid w:val="0094652E"/>
    <w:rsid w:val="00946729"/>
    <w:rsid w:val="00946A15"/>
    <w:rsid w:val="00946E2C"/>
    <w:rsid w:val="0094702E"/>
    <w:rsid w:val="00947215"/>
    <w:rsid w:val="00947B86"/>
    <w:rsid w:val="00947FCD"/>
    <w:rsid w:val="00950D77"/>
    <w:rsid w:val="00951A16"/>
    <w:rsid w:val="00952CAA"/>
    <w:rsid w:val="00952DC4"/>
    <w:rsid w:val="00953247"/>
    <w:rsid w:val="009544AF"/>
    <w:rsid w:val="0095466D"/>
    <w:rsid w:val="00954BC1"/>
    <w:rsid w:val="00954BF7"/>
    <w:rsid w:val="00955093"/>
    <w:rsid w:val="009554F0"/>
    <w:rsid w:val="00955514"/>
    <w:rsid w:val="0095554D"/>
    <w:rsid w:val="00955C06"/>
    <w:rsid w:val="00955CB9"/>
    <w:rsid w:val="00955EA3"/>
    <w:rsid w:val="0095641C"/>
    <w:rsid w:val="00956868"/>
    <w:rsid w:val="00956E7A"/>
    <w:rsid w:val="0095713F"/>
    <w:rsid w:val="009579D8"/>
    <w:rsid w:val="00957A32"/>
    <w:rsid w:val="00957FED"/>
    <w:rsid w:val="00960555"/>
    <w:rsid w:val="009612BC"/>
    <w:rsid w:val="009630D0"/>
    <w:rsid w:val="00963233"/>
    <w:rsid w:val="009633C5"/>
    <w:rsid w:val="009653A0"/>
    <w:rsid w:val="0096588D"/>
    <w:rsid w:val="009658CC"/>
    <w:rsid w:val="00965F42"/>
    <w:rsid w:val="009661DF"/>
    <w:rsid w:val="009668D9"/>
    <w:rsid w:val="009668E5"/>
    <w:rsid w:val="00966B3A"/>
    <w:rsid w:val="0096706E"/>
    <w:rsid w:val="00967987"/>
    <w:rsid w:val="00967ECF"/>
    <w:rsid w:val="00970813"/>
    <w:rsid w:val="00970FD7"/>
    <w:rsid w:val="009714F6"/>
    <w:rsid w:val="009724C3"/>
    <w:rsid w:val="0097261D"/>
    <w:rsid w:val="00973675"/>
    <w:rsid w:val="00973798"/>
    <w:rsid w:val="00973E1D"/>
    <w:rsid w:val="00974B63"/>
    <w:rsid w:val="009753D7"/>
    <w:rsid w:val="00976295"/>
    <w:rsid w:val="0097691D"/>
    <w:rsid w:val="0097693F"/>
    <w:rsid w:val="00976E74"/>
    <w:rsid w:val="00977E93"/>
    <w:rsid w:val="009800E4"/>
    <w:rsid w:val="009810FE"/>
    <w:rsid w:val="00981413"/>
    <w:rsid w:val="00981AF3"/>
    <w:rsid w:val="00981FBA"/>
    <w:rsid w:val="00982E24"/>
    <w:rsid w:val="00983AF6"/>
    <w:rsid w:val="00983D6A"/>
    <w:rsid w:val="009843A2"/>
    <w:rsid w:val="009856D7"/>
    <w:rsid w:val="00985A4B"/>
    <w:rsid w:val="00985ED5"/>
    <w:rsid w:val="00986129"/>
    <w:rsid w:val="00986662"/>
    <w:rsid w:val="00986966"/>
    <w:rsid w:val="00986AEE"/>
    <w:rsid w:val="009879D3"/>
    <w:rsid w:val="00987CC5"/>
    <w:rsid w:val="0099145D"/>
    <w:rsid w:val="00992B44"/>
    <w:rsid w:val="0099336F"/>
    <w:rsid w:val="009937A7"/>
    <w:rsid w:val="00994865"/>
    <w:rsid w:val="00994ECF"/>
    <w:rsid w:val="0099538C"/>
    <w:rsid w:val="00995B72"/>
    <w:rsid w:val="009967AF"/>
    <w:rsid w:val="00996D26"/>
    <w:rsid w:val="0099714E"/>
    <w:rsid w:val="009978F5"/>
    <w:rsid w:val="00997E99"/>
    <w:rsid w:val="009A01D8"/>
    <w:rsid w:val="009A03E3"/>
    <w:rsid w:val="009A03E7"/>
    <w:rsid w:val="009A0816"/>
    <w:rsid w:val="009A0B09"/>
    <w:rsid w:val="009A0F04"/>
    <w:rsid w:val="009A199B"/>
    <w:rsid w:val="009A1A5D"/>
    <w:rsid w:val="009A1D2A"/>
    <w:rsid w:val="009A28FA"/>
    <w:rsid w:val="009A2EC8"/>
    <w:rsid w:val="009A3065"/>
    <w:rsid w:val="009A4920"/>
    <w:rsid w:val="009A5D87"/>
    <w:rsid w:val="009A6130"/>
    <w:rsid w:val="009A700D"/>
    <w:rsid w:val="009A7953"/>
    <w:rsid w:val="009B07BE"/>
    <w:rsid w:val="009B1206"/>
    <w:rsid w:val="009B1525"/>
    <w:rsid w:val="009B18E1"/>
    <w:rsid w:val="009B1BD4"/>
    <w:rsid w:val="009B26C8"/>
    <w:rsid w:val="009B2F9E"/>
    <w:rsid w:val="009B351F"/>
    <w:rsid w:val="009B381B"/>
    <w:rsid w:val="009B5129"/>
    <w:rsid w:val="009B541A"/>
    <w:rsid w:val="009B5D32"/>
    <w:rsid w:val="009B61B2"/>
    <w:rsid w:val="009B6619"/>
    <w:rsid w:val="009B71D5"/>
    <w:rsid w:val="009B74A4"/>
    <w:rsid w:val="009B7F96"/>
    <w:rsid w:val="009C0330"/>
    <w:rsid w:val="009C03AE"/>
    <w:rsid w:val="009C047F"/>
    <w:rsid w:val="009C0BFE"/>
    <w:rsid w:val="009C14DA"/>
    <w:rsid w:val="009C1615"/>
    <w:rsid w:val="009C1691"/>
    <w:rsid w:val="009C1877"/>
    <w:rsid w:val="009C1D8B"/>
    <w:rsid w:val="009C2690"/>
    <w:rsid w:val="009C2F75"/>
    <w:rsid w:val="009C2F9F"/>
    <w:rsid w:val="009C458A"/>
    <w:rsid w:val="009C4893"/>
    <w:rsid w:val="009C4D68"/>
    <w:rsid w:val="009C59D3"/>
    <w:rsid w:val="009C6457"/>
    <w:rsid w:val="009C6632"/>
    <w:rsid w:val="009C73B7"/>
    <w:rsid w:val="009C7A36"/>
    <w:rsid w:val="009D0012"/>
    <w:rsid w:val="009D026B"/>
    <w:rsid w:val="009D076E"/>
    <w:rsid w:val="009D0941"/>
    <w:rsid w:val="009D0946"/>
    <w:rsid w:val="009D0DEE"/>
    <w:rsid w:val="009D1272"/>
    <w:rsid w:val="009D14DA"/>
    <w:rsid w:val="009D15C7"/>
    <w:rsid w:val="009D16D3"/>
    <w:rsid w:val="009D173B"/>
    <w:rsid w:val="009D2342"/>
    <w:rsid w:val="009D241E"/>
    <w:rsid w:val="009D280B"/>
    <w:rsid w:val="009D2CB6"/>
    <w:rsid w:val="009D3728"/>
    <w:rsid w:val="009D49C5"/>
    <w:rsid w:val="009D561E"/>
    <w:rsid w:val="009D6116"/>
    <w:rsid w:val="009D7611"/>
    <w:rsid w:val="009D7AAE"/>
    <w:rsid w:val="009E075C"/>
    <w:rsid w:val="009E27A9"/>
    <w:rsid w:val="009E3488"/>
    <w:rsid w:val="009E374A"/>
    <w:rsid w:val="009E38C5"/>
    <w:rsid w:val="009E3A41"/>
    <w:rsid w:val="009E3A4E"/>
    <w:rsid w:val="009E3ABD"/>
    <w:rsid w:val="009E3C23"/>
    <w:rsid w:val="009E3D31"/>
    <w:rsid w:val="009E3F7C"/>
    <w:rsid w:val="009E41B3"/>
    <w:rsid w:val="009E4906"/>
    <w:rsid w:val="009E4B92"/>
    <w:rsid w:val="009E53DE"/>
    <w:rsid w:val="009E5841"/>
    <w:rsid w:val="009E6EE2"/>
    <w:rsid w:val="009E6FD9"/>
    <w:rsid w:val="009E70DC"/>
    <w:rsid w:val="009F09D8"/>
    <w:rsid w:val="009F0AED"/>
    <w:rsid w:val="009F114F"/>
    <w:rsid w:val="009F1ED5"/>
    <w:rsid w:val="009F229C"/>
    <w:rsid w:val="009F2349"/>
    <w:rsid w:val="009F24AF"/>
    <w:rsid w:val="009F24FF"/>
    <w:rsid w:val="009F297A"/>
    <w:rsid w:val="009F2CC4"/>
    <w:rsid w:val="009F7113"/>
    <w:rsid w:val="009F73CE"/>
    <w:rsid w:val="009F76DF"/>
    <w:rsid w:val="009F76E5"/>
    <w:rsid w:val="009F7E41"/>
    <w:rsid w:val="00A01453"/>
    <w:rsid w:val="00A014DA"/>
    <w:rsid w:val="00A01503"/>
    <w:rsid w:val="00A024B3"/>
    <w:rsid w:val="00A0296C"/>
    <w:rsid w:val="00A03222"/>
    <w:rsid w:val="00A03579"/>
    <w:rsid w:val="00A03B6C"/>
    <w:rsid w:val="00A03DA5"/>
    <w:rsid w:val="00A05601"/>
    <w:rsid w:val="00A057B8"/>
    <w:rsid w:val="00A05C64"/>
    <w:rsid w:val="00A06321"/>
    <w:rsid w:val="00A0645D"/>
    <w:rsid w:val="00A06FEB"/>
    <w:rsid w:val="00A07134"/>
    <w:rsid w:val="00A07AC7"/>
    <w:rsid w:val="00A10246"/>
    <w:rsid w:val="00A10403"/>
    <w:rsid w:val="00A10450"/>
    <w:rsid w:val="00A108C3"/>
    <w:rsid w:val="00A10C01"/>
    <w:rsid w:val="00A10CCC"/>
    <w:rsid w:val="00A1131F"/>
    <w:rsid w:val="00A121F5"/>
    <w:rsid w:val="00A12250"/>
    <w:rsid w:val="00A12773"/>
    <w:rsid w:val="00A13A94"/>
    <w:rsid w:val="00A14D37"/>
    <w:rsid w:val="00A15A69"/>
    <w:rsid w:val="00A15A9B"/>
    <w:rsid w:val="00A15C9A"/>
    <w:rsid w:val="00A163A4"/>
    <w:rsid w:val="00A1688B"/>
    <w:rsid w:val="00A16943"/>
    <w:rsid w:val="00A17625"/>
    <w:rsid w:val="00A17C9D"/>
    <w:rsid w:val="00A17E82"/>
    <w:rsid w:val="00A2015A"/>
    <w:rsid w:val="00A2089E"/>
    <w:rsid w:val="00A20B65"/>
    <w:rsid w:val="00A20E77"/>
    <w:rsid w:val="00A20F5F"/>
    <w:rsid w:val="00A2128A"/>
    <w:rsid w:val="00A21930"/>
    <w:rsid w:val="00A21BFD"/>
    <w:rsid w:val="00A2232B"/>
    <w:rsid w:val="00A22B7B"/>
    <w:rsid w:val="00A23100"/>
    <w:rsid w:val="00A23924"/>
    <w:rsid w:val="00A23AFA"/>
    <w:rsid w:val="00A24331"/>
    <w:rsid w:val="00A2456A"/>
    <w:rsid w:val="00A249A8"/>
    <w:rsid w:val="00A255BD"/>
    <w:rsid w:val="00A25768"/>
    <w:rsid w:val="00A2645F"/>
    <w:rsid w:val="00A269C8"/>
    <w:rsid w:val="00A27314"/>
    <w:rsid w:val="00A27C5A"/>
    <w:rsid w:val="00A3014C"/>
    <w:rsid w:val="00A31451"/>
    <w:rsid w:val="00A31CB0"/>
    <w:rsid w:val="00A32062"/>
    <w:rsid w:val="00A321C2"/>
    <w:rsid w:val="00A327C6"/>
    <w:rsid w:val="00A3286C"/>
    <w:rsid w:val="00A32D38"/>
    <w:rsid w:val="00A32ECD"/>
    <w:rsid w:val="00A331C9"/>
    <w:rsid w:val="00A33219"/>
    <w:rsid w:val="00A34273"/>
    <w:rsid w:val="00A34697"/>
    <w:rsid w:val="00A35DC6"/>
    <w:rsid w:val="00A36168"/>
    <w:rsid w:val="00A36320"/>
    <w:rsid w:val="00A36E16"/>
    <w:rsid w:val="00A37DA9"/>
    <w:rsid w:val="00A37DE2"/>
    <w:rsid w:val="00A40463"/>
    <w:rsid w:val="00A40C4A"/>
    <w:rsid w:val="00A40CED"/>
    <w:rsid w:val="00A422F1"/>
    <w:rsid w:val="00A4271B"/>
    <w:rsid w:val="00A42803"/>
    <w:rsid w:val="00A43458"/>
    <w:rsid w:val="00A434EA"/>
    <w:rsid w:val="00A438C4"/>
    <w:rsid w:val="00A438F6"/>
    <w:rsid w:val="00A43E87"/>
    <w:rsid w:val="00A444C4"/>
    <w:rsid w:val="00A445B3"/>
    <w:rsid w:val="00A447CD"/>
    <w:rsid w:val="00A45FBA"/>
    <w:rsid w:val="00A46C2B"/>
    <w:rsid w:val="00A47174"/>
    <w:rsid w:val="00A473E3"/>
    <w:rsid w:val="00A47406"/>
    <w:rsid w:val="00A47D0B"/>
    <w:rsid w:val="00A500DA"/>
    <w:rsid w:val="00A50201"/>
    <w:rsid w:val="00A5028C"/>
    <w:rsid w:val="00A50CF2"/>
    <w:rsid w:val="00A51D32"/>
    <w:rsid w:val="00A52375"/>
    <w:rsid w:val="00A5251F"/>
    <w:rsid w:val="00A5279A"/>
    <w:rsid w:val="00A527E1"/>
    <w:rsid w:val="00A528D1"/>
    <w:rsid w:val="00A52EB5"/>
    <w:rsid w:val="00A53D23"/>
    <w:rsid w:val="00A53D71"/>
    <w:rsid w:val="00A5414C"/>
    <w:rsid w:val="00A542D1"/>
    <w:rsid w:val="00A547A8"/>
    <w:rsid w:val="00A54BDE"/>
    <w:rsid w:val="00A54E22"/>
    <w:rsid w:val="00A555EC"/>
    <w:rsid w:val="00A55776"/>
    <w:rsid w:val="00A565DD"/>
    <w:rsid w:val="00A56AA6"/>
    <w:rsid w:val="00A57309"/>
    <w:rsid w:val="00A60093"/>
    <w:rsid w:val="00A61488"/>
    <w:rsid w:val="00A62420"/>
    <w:rsid w:val="00A6250F"/>
    <w:rsid w:val="00A6269C"/>
    <w:rsid w:val="00A6287A"/>
    <w:rsid w:val="00A6386E"/>
    <w:rsid w:val="00A63958"/>
    <w:rsid w:val="00A63A2D"/>
    <w:rsid w:val="00A63DCD"/>
    <w:rsid w:val="00A642B6"/>
    <w:rsid w:val="00A647EB"/>
    <w:rsid w:val="00A6487C"/>
    <w:rsid w:val="00A649AE"/>
    <w:rsid w:val="00A64DA8"/>
    <w:rsid w:val="00A64EE8"/>
    <w:rsid w:val="00A64F5F"/>
    <w:rsid w:val="00A650D1"/>
    <w:rsid w:val="00A669C6"/>
    <w:rsid w:val="00A66BE5"/>
    <w:rsid w:val="00A67461"/>
    <w:rsid w:val="00A709DB"/>
    <w:rsid w:val="00A70FA6"/>
    <w:rsid w:val="00A71D99"/>
    <w:rsid w:val="00A72945"/>
    <w:rsid w:val="00A72B43"/>
    <w:rsid w:val="00A72C46"/>
    <w:rsid w:val="00A734B2"/>
    <w:rsid w:val="00A73772"/>
    <w:rsid w:val="00A73B94"/>
    <w:rsid w:val="00A74DA6"/>
    <w:rsid w:val="00A7605D"/>
    <w:rsid w:val="00A76DDE"/>
    <w:rsid w:val="00A774E2"/>
    <w:rsid w:val="00A779C0"/>
    <w:rsid w:val="00A77E82"/>
    <w:rsid w:val="00A80079"/>
    <w:rsid w:val="00A80C1E"/>
    <w:rsid w:val="00A80EB0"/>
    <w:rsid w:val="00A8162B"/>
    <w:rsid w:val="00A818FD"/>
    <w:rsid w:val="00A81D28"/>
    <w:rsid w:val="00A8335C"/>
    <w:rsid w:val="00A83588"/>
    <w:rsid w:val="00A83CC8"/>
    <w:rsid w:val="00A84269"/>
    <w:rsid w:val="00A845BE"/>
    <w:rsid w:val="00A84775"/>
    <w:rsid w:val="00A84A45"/>
    <w:rsid w:val="00A84A53"/>
    <w:rsid w:val="00A84B01"/>
    <w:rsid w:val="00A85388"/>
    <w:rsid w:val="00A871CA"/>
    <w:rsid w:val="00A87FF5"/>
    <w:rsid w:val="00A90A1D"/>
    <w:rsid w:val="00A91250"/>
    <w:rsid w:val="00A91C87"/>
    <w:rsid w:val="00A91ED0"/>
    <w:rsid w:val="00A91F89"/>
    <w:rsid w:val="00A92714"/>
    <w:rsid w:val="00A92DCA"/>
    <w:rsid w:val="00A947C6"/>
    <w:rsid w:val="00A94BBB"/>
    <w:rsid w:val="00A950EE"/>
    <w:rsid w:val="00A9565C"/>
    <w:rsid w:val="00A95F1A"/>
    <w:rsid w:val="00A96338"/>
    <w:rsid w:val="00A9641B"/>
    <w:rsid w:val="00A96D18"/>
    <w:rsid w:val="00A97366"/>
    <w:rsid w:val="00A97722"/>
    <w:rsid w:val="00A978E7"/>
    <w:rsid w:val="00A979CE"/>
    <w:rsid w:val="00A97CDE"/>
    <w:rsid w:val="00AA0CA4"/>
    <w:rsid w:val="00AA1B8C"/>
    <w:rsid w:val="00AA23D3"/>
    <w:rsid w:val="00AA33AF"/>
    <w:rsid w:val="00AA3C41"/>
    <w:rsid w:val="00AA3C9F"/>
    <w:rsid w:val="00AA4294"/>
    <w:rsid w:val="00AA4352"/>
    <w:rsid w:val="00AA4618"/>
    <w:rsid w:val="00AA4746"/>
    <w:rsid w:val="00AA4DF0"/>
    <w:rsid w:val="00AA4FE3"/>
    <w:rsid w:val="00AA51E8"/>
    <w:rsid w:val="00AA5C88"/>
    <w:rsid w:val="00AA792C"/>
    <w:rsid w:val="00AA7A2C"/>
    <w:rsid w:val="00AA7E8A"/>
    <w:rsid w:val="00AB0007"/>
    <w:rsid w:val="00AB0745"/>
    <w:rsid w:val="00AB097B"/>
    <w:rsid w:val="00AB1BDA"/>
    <w:rsid w:val="00AB2230"/>
    <w:rsid w:val="00AB2A29"/>
    <w:rsid w:val="00AB2ECC"/>
    <w:rsid w:val="00AB2ECE"/>
    <w:rsid w:val="00AB3118"/>
    <w:rsid w:val="00AB3712"/>
    <w:rsid w:val="00AB3A92"/>
    <w:rsid w:val="00AB3AA6"/>
    <w:rsid w:val="00AB5429"/>
    <w:rsid w:val="00AB55B8"/>
    <w:rsid w:val="00AB6166"/>
    <w:rsid w:val="00AB6D53"/>
    <w:rsid w:val="00AB6F62"/>
    <w:rsid w:val="00AB7087"/>
    <w:rsid w:val="00AB7EE1"/>
    <w:rsid w:val="00AC0531"/>
    <w:rsid w:val="00AC056C"/>
    <w:rsid w:val="00AC0F5B"/>
    <w:rsid w:val="00AC1B00"/>
    <w:rsid w:val="00AC29FB"/>
    <w:rsid w:val="00AC30C7"/>
    <w:rsid w:val="00AC313B"/>
    <w:rsid w:val="00AC388E"/>
    <w:rsid w:val="00AC3D64"/>
    <w:rsid w:val="00AC4106"/>
    <w:rsid w:val="00AC4350"/>
    <w:rsid w:val="00AC487B"/>
    <w:rsid w:val="00AC4E50"/>
    <w:rsid w:val="00AC4F7C"/>
    <w:rsid w:val="00AC6117"/>
    <w:rsid w:val="00AC6143"/>
    <w:rsid w:val="00AC6AE6"/>
    <w:rsid w:val="00AC6B5E"/>
    <w:rsid w:val="00AC6C72"/>
    <w:rsid w:val="00AC740E"/>
    <w:rsid w:val="00AC7AC6"/>
    <w:rsid w:val="00AC7F4D"/>
    <w:rsid w:val="00AD03B1"/>
    <w:rsid w:val="00AD08D1"/>
    <w:rsid w:val="00AD0D8F"/>
    <w:rsid w:val="00AD1E27"/>
    <w:rsid w:val="00AD29F1"/>
    <w:rsid w:val="00AD29F5"/>
    <w:rsid w:val="00AD3137"/>
    <w:rsid w:val="00AD34D9"/>
    <w:rsid w:val="00AD37C1"/>
    <w:rsid w:val="00AD38E9"/>
    <w:rsid w:val="00AD3EC8"/>
    <w:rsid w:val="00AD4435"/>
    <w:rsid w:val="00AD452E"/>
    <w:rsid w:val="00AD46AD"/>
    <w:rsid w:val="00AD472D"/>
    <w:rsid w:val="00AD48B3"/>
    <w:rsid w:val="00AD4A7C"/>
    <w:rsid w:val="00AD4C43"/>
    <w:rsid w:val="00AD4CD7"/>
    <w:rsid w:val="00AD4E05"/>
    <w:rsid w:val="00AD519A"/>
    <w:rsid w:val="00AD5AFD"/>
    <w:rsid w:val="00AD5BF9"/>
    <w:rsid w:val="00AD5EB5"/>
    <w:rsid w:val="00AD6054"/>
    <w:rsid w:val="00AD6181"/>
    <w:rsid w:val="00AD72AC"/>
    <w:rsid w:val="00AD72E2"/>
    <w:rsid w:val="00AD7A33"/>
    <w:rsid w:val="00AE079F"/>
    <w:rsid w:val="00AE0A1A"/>
    <w:rsid w:val="00AE0DEC"/>
    <w:rsid w:val="00AE15A9"/>
    <w:rsid w:val="00AE1852"/>
    <w:rsid w:val="00AE1860"/>
    <w:rsid w:val="00AE1F0C"/>
    <w:rsid w:val="00AE21FB"/>
    <w:rsid w:val="00AE24D2"/>
    <w:rsid w:val="00AE3F3C"/>
    <w:rsid w:val="00AE4C05"/>
    <w:rsid w:val="00AE4C43"/>
    <w:rsid w:val="00AE5D7D"/>
    <w:rsid w:val="00AE6271"/>
    <w:rsid w:val="00AE66EC"/>
    <w:rsid w:val="00AE6AE5"/>
    <w:rsid w:val="00AE6E52"/>
    <w:rsid w:val="00AE6F91"/>
    <w:rsid w:val="00AE72C0"/>
    <w:rsid w:val="00AE7C6B"/>
    <w:rsid w:val="00AF010B"/>
    <w:rsid w:val="00AF0440"/>
    <w:rsid w:val="00AF0821"/>
    <w:rsid w:val="00AF14A6"/>
    <w:rsid w:val="00AF22CE"/>
    <w:rsid w:val="00AF2782"/>
    <w:rsid w:val="00AF2C52"/>
    <w:rsid w:val="00AF3344"/>
    <w:rsid w:val="00AF3A10"/>
    <w:rsid w:val="00AF3B7B"/>
    <w:rsid w:val="00AF5571"/>
    <w:rsid w:val="00AF5B3F"/>
    <w:rsid w:val="00AF6896"/>
    <w:rsid w:val="00AF6A3F"/>
    <w:rsid w:val="00AF72FA"/>
    <w:rsid w:val="00AF7526"/>
    <w:rsid w:val="00AF79FA"/>
    <w:rsid w:val="00B0017C"/>
    <w:rsid w:val="00B00476"/>
    <w:rsid w:val="00B00CBD"/>
    <w:rsid w:val="00B01430"/>
    <w:rsid w:val="00B016BF"/>
    <w:rsid w:val="00B016EF"/>
    <w:rsid w:val="00B018F6"/>
    <w:rsid w:val="00B01D8D"/>
    <w:rsid w:val="00B0207D"/>
    <w:rsid w:val="00B028E1"/>
    <w:rsid w:val="00B02C0F"/>
    <w:rsid w:val="00B033E8"/>
    <w:rsid w:val="00B0667E"/>
    <w:rsid w:val="00B06BF4"/>
    <w:rsid w:val="00B07033"/>
    <w:rsid w:val="00B11269"/>
    <w:rsid w:val="00B117EE"/>
    <w:rsid w:val="00B11C6F"/>
    <w:rsid w:val="00B11E55"/>
    <w:rsid w:val="00B124E6"/>
    <w:rsid w:val="00B12638"/>
    <w:rsid w:val="00B13ABA"/>
    <w:rsid w:val="00B14837"/>
    <w:rsid w:val="00B14E88"/>
    <w:rsid w:val="00B160A4"/>
    <w:rsid w:val="00B167E9"/>
    <w:rsid w:val="00B16890"/>
    <w:rsid w:val="00B16FF4"/>
    <w:rsid w:val="00B1724A"/>
    <w:rsid w:val="00B17FD2"/>
    <w:rsid w:val="00B207F5"/>
    <w:rsid w:val="00B20B83"/>
    <w:rsid w:val="00B20D4F"/>
    <w:rsid w:val="00B21064"/>
    <w:rsid w:val="00B21BC5"/>
    <w:rsid w:val="00B22C40"/>
    <w:rsid w:val="00B2318F"/>
    <w:rsid w:val="00B23A86"/>
    <w:rsid w:val="00B23AEB"/>
    <w:rsid w:val="00B24749"/>
    <w:rsid w:val="00B24A00"/>
    <w:rsid w:val="00B270C2"/>
    <w:rsid w:val="00B27127"/>
    <w:rsid w:val="00B2728E"/>
    <w:rsid w:val="00B301E8"/>
    <w:rsid w:val="00B30278"/>
    <w:rsid w:val="00B314DB"/>
    <w:rsid w:val="00B316A7"/>
    <w:rsid w:val="00B31EBE"/>
    <w:rsid w:val="00B32601"/>
    <w:rsid w:val="00B3401D"/>
    <w:rsid w:val="00B346A4"/>
    <w:rsid w:val="00B34D82"/>
    <w:rsid w:val="00B34E2B"/>
    <w:rsid w:val="00B35F4D"/>
    <w:rsid w:val="00B367B1"/>
    <w:rsid w:val="00B36BA9"/>
    <w:rsid w:val="00B36E37"/>
    <w:rsid w:val="00B36F26"/>
    <w:rsid w:val="00B3718B"/>
    <w:rsid w:val="00B37584"/>
    <w:rsid w:val="00B37C3B"/>
    <w:rsid w:val="00B41A5F"/>
    <w:rsid w:val="00B41AAC"/>
    <w:rsid w:val="00B41BFF"/>
    <w:rsid w:val="00B424CD"/>
    <w:rsid w:val="00B42ABC"/>
    <w:rsid w:val="00B432D6"/>
    <w:rsid w:val="00B43F55"/>
    <w:rsid w:val="00B441B9"/>
    <w:rsid w:val="00B44253"/>
    <w:rsid w:val="00B44448"/>
    <w:rsid w:val="00B44F4C"/>
    <w:rsid w:val="00B45BE7"/>
    <w:rsid w:val="00B45ECD"/>
    <w:rsid w:val="00B46033"/>
    <w:rsid w:val="00B46313"/>
    <w:rsid w:val="00B4632A"/>
    <w:rsid w:val="00B471C6"/>
    <w:rsid w:val="00B478B1"/>
    <w:rsid w:val="00B478C4"/>
    <w:rsid w:val="00B5037D"/>
    <w:rsid w:val="00B506F8"/>
    <w:rsid w:val="00B5149E"/>
    <w:rsid w:val="00B515A8"/>
    <w:rsid w:val="00B52745"/>
    <w:rsid w:val="00B527CD"/>
    <w:rsid w:val="00B52BB8"/>
    <w:rsid w:val="00B532E1"/>
    <w:rsid w:val="00B53452"/>
    <w:rsid w:val="00B540E8"/>
    <w:rsid w:val="00B54BD7"/>
    <w:rsid w:val="00B54DF4"/>
    <w:rsid w:val="00B54FF0"/>
    <w:rsid w:val="00B552E7"/>
    <w:rsid w:val="00B55402"/>
    <w:rsid w:val="00B55E95"/>
    <w:rsid w:val="00B55F23"/>
    <w:rsid w:val="00B5746F"/>
    <w:rsid w:val="00B574A0"/>
    <w:rsid w:val="00B574EE"/>
    <w:rsid w:val="00B575D6"/>
    <w:rsid w:val="00B57B72"/>
    <w:rsid w:val="00B57C17"/>
    <w:rsid w:val="00B57C7D"/>
    <w:rsid w:val="00B60614"/>
    <w:rsid w:val="00B60E25"/>
    <w:rsid w:val="00B61383"/>
    <w:rsid w:val="00B62894"/>
    <w:rsid w:val="00B62BC0"/>
    <w:rsid w:val="00B63572"/>
    <w:rsid w:val="00B63577"/>
    <w:rsid w:val="00B651DD"/>
    <w:rsid w:val="00B66AAC"/>
    <w:rsid w:val="00B66B51"/>
    <w:rsid w:val="00B67053"/>
    <w:rsid w:val="00B673F4"/>
    <w:rsid w:val="00B675B8"/>
    <w:rsid w:val="00B67B19"/>
    <w:rsid w:val="00B70001"/>
    <w:rsid w:val="00B70462"/>
    <w:rsid w:val="00B712C8"/>
    <w:rsid w:val="00B714CC"/>
    <w:rsid w:val="00B729D4"/>
    <w:rsid w:val="00B72E00"/>
    <w:rsid w:val="00B72F71"/>
    <w:rsid w:val="00B74DAF"/>
    <w:rsid w:val="00B75D57"/>
    <w:rsid w:val="00B76072"/>
    <w:rsid w:val="00B765F1"/>
    <w:rsid w:val="00B766A1"/>
    <w:rsid w:val="00B76BE8"/>
    <w:rsid w:val="00B777B0"/>
    <w:rsid w:val="00B77B09"/>
    <w:rsid w:val="00B801CB"/>
    <w:rsid w:val="00B807C7"/>
    <w:rsid w:val="00B813B1"/>
    <w:rsid w:val="00B81877"/>
    <w:rsid w:val="00B830D7"/>
    <w:rsid w:val="00B83402"/>
    <w:rsid w:val="00B83A27"/>
    <w:rsid w:val="00B84D35"/>
    <w:rsid w:val="00B84FC7"/>
    <w:rsid w:val="00B8596A"/>
    <w:rsid w:val="00B85B6B"/>
    <w:rsid w:val="00B8646F"/>
    <w:rsid w:val="00B86577"/>
    <w:rsid w:val="00B8664E"/>
    <w:rsid w:val="00B86792"/>
    <w:rsid w:val="00B868A4"/>
    <w:rsid w:val="00B87085"/>
    <w:rsid w:val="00B8786D"/>
    <w:rsid w:val="00B90178"/>
    <w:rsid w:val="00B90496"/>
    <w:rsid w:val="00B90816"/>
    <w:rsid w:val="00B9115C"/>
    <w:rsid w:val="00B920B7"/>
    <w:rsid w:val="00B926B1"/>
    <w:rsid w:val="00B92DC9"/>
    <w:rsid w:val="00B933E4"/>
    <w:rsid w:val="00B959C3"/>
    <w:rsid w:val="00B959DE"/>
    <w:rsid w:val="00B95B1A"/>
    <w:rsid w:val="00B96FE9"/>
    <w:rsid w:val="00B97838"/>
    <w:rsid w:val="00BA0E3E"/>
    <w:rsid w:val="00BA11D2"/>
    <w:rsid w:val="00BA194C"/>
    <w:rsid w:val="00BA198F"/>
    <w:rsid w:val="00BA1D41"/>
    <w:rsid w:val="00BA276C"/>
    <w:rsid w:val="00BA2988"/>
    <w:rsid w:val="00BA2F50"/>
    <w:rsid w:val="00BA3099"/>
    <w:rsid w:val="00BA3133"/>
    <w:rsid w:val="00BA31DF"/>
    <w:rsid w:val="00BA3DCF"/>
    <w:rsid w:val="00BA5385"/>
    <w:rsid w:val="00BA542F"/>
    <w:rsid w:val="00BA601F"/>
    <w:rsid w:val="00BA6E52"/>
    <w:rsid w:val="00BA6FFA"/>
    <w:rsid w:val="00BA7984"/>
    <w:rsid w:val="00BB07F3"/>
    <w:rsid w:val="00BB1299"/>
    <w:rsid w:val="00BB151F"/>
    <w:rsid w:val="00BB17B3"/>
    <w:rsid w:val="00BB2622"/>
    <w:rsid w:val="00BB285D"/>
    <w:rsid w:val="00BB2AFE"/>
    <w:rsid w:val="00BB3066"/>
    <w:rsid w:val="00BB306F"/>
    <w:rsid w:val="00BB3205"/>
    <w:rsid w:val="00BB3466"/>
    <w:rsid w:val="00BB356D"/>
    <w:rsid w:val="00BB36D4"/>
    <w:rsid w:val="00BB521F"/>
    <w:rsid w:val="00BB53AD"/>
    <w:rsid w:val="00BB5A59"/>
    <w:rsid w:val="00BB645E"/>
    <w:rsid w:val="00BB6D82"/>
    <w:rsid w:val="00BB6D96"/>
    <w:rsid w:val="00BB7163"/>
    <w:rsid w:val="00BB76B9"/>
    <w:rsid w:val="00BB78FE"/>
    <w:rsid w:val="00BB7B0A"/>
    <w:rsid w:val="00BB7C52"/>
    <w:rsid w:val="00BB7CD1"/>
    <w:rsid w:val="00BB7DCC"/>
    <w:rsid w:val="00BC0353"/>
    <w:rsid w:val="00BC04F8"/>
    <w:rsid w:val="00BC2154"/>
    <w:rsid w:val="00BC243A"/>
    <w:rsid w:val="00BC27B6"/>
    <w:rsid w:val="00BC2DB5"/>
    <w:rsid w:val="00BC3348"/>
    <w:rsid w:val="00BC33A9"/>
    <w:rsid w:val="00BC35EB"/>
    <w:rsid w:val="00BC389E"/>
    <w:rsid w:val="00BC397C"/>
    <w:rsid w:val="00BC5766"/>
    <w:rsid w:val="00BC58BB"/>
    <w:rsid w:val="00BC5BEB"/>
    <w:rsid w:val="00BC655C"/>
    <w:rsid w:val="00BC667C"/>
    <w:rsid w:val="00BC68ED"/>
    <w:rsid w:val="00BC6DA1"/>
    <w:rsid w:val="00BC6FB1"/>
    <w:rsid w:val="00BC73B5"/>
    <w:rsid w:val="00BD00E1"/>
    <w:rsid w:val="00BD10AC"/>
    <w:rsid w:val="00BD232B"/>
    <w:rsid w:val="00BD2C53"/>
    <w:rsid w:val="00BD2C5B"/>
    <w:rsid w:val="00BD3469"/>
    <w:rsid w:val="00BD393F"/>
    <w:rsid w:val="00BD4B89"/>
    <w:rsid w:val="00BD5B66"/>
    <w:rsid w:val="00BD789D"/>
    <w:rsid w:val="00BD7F14"/>
    <w:rsid w:val="00BE0098"/>
    <w:rsid w:val="00BE014C"/>
    <w:rsid w:val="00BE0F8F"/>
    <w:rsid w:val="00BE1086"/>
    <w:rsid w:val="00BE118B"/>
    <w:rsid w:val="00BE1438"/>
    <w:rsid w:val="00BE1B74"/>
    <w:rsid w:val="00BE201A"/>
    <w:rsid w:val="00BE34C6"/>
    <w:rsid w:val="00BE3560"/>
    <w:rsid w:val="00BE35D9"/>
    <w:rsid w:val="00BE36D7"/>
    <w:rsid w:val="00BE3967"/>
    <w:rsid w:val="00BE3A0D"/>
    <w:rsid w:val="00BE4872"/>
    <w:rsid w:val="00BE4C89"/>
    <w:rsid w:val="00BE5AD0"/>
    <w:rsid w:val="00BE60A3"/>
    <w:rsid w:val="00BE6182"/>
    <w:rsid w:val="00BE66B0"/>
    <w:rsid w:val="00BE6B74"/>
    <w:rsid w:val="00BE7A86"/>
    <w:rsid w:val="00BE7E23"/>
    <w:rsid w:val="00BF0063"/>
    <w:rsid w:val="00BF083B"/>
    <w:rsid w:val="00BF08CB"/>
    <w:rsid w:val="00BF18F7"/>
    <w:rsid w:val="00BF1922"/>
    <w:rsid w:val="00BF1F10"/>
    <w:rsid w:val="00BF2523"/>
    <w:rsid w:val="00BF2812"/>
    <w:rsid w:val="00BF2939"/>
    <w:rsid w:val="00BF2EA8"/>
    <w:rsid w:val="00BF32EB"/>
    <w:rsid w:val="00BF3C55"/>
    <w:rsid w:val="00BF40C6"/>
    <w:rsid w:val="00BF4336"/>
    <w:rsid w:val="00BF4600"/>
    <w:rsid w:val="00BF4865"/>
    <w:rsid w:val="00BF4871"/>
    <w:rsid w:val="00BF4AF7"/>
    <w:rsid w:val="00BF4E01"/>
    <w:rsid w:val="00BF5327"/>
    <w:rsid w:val="00BF5DB3"/>
    <w:rsid w:val="00BF6374"/>
    <w:rsid w:val="00BF65BD"/>
    <w:rsid w:val="00BF6EF8"/>
    <w:rsid w:val="00BF7206"/>
    <w:rsid w:val="00BF78EC"/>
    <w:rsid w:val="00BF7C42"/>
    <w:rsid w:val="00C0028D"/>
    <w:rsid w:val="00C0120A"/>
    <w:rsid w:val="00C01451"/>
    <w:rsid w:val="00C01882"/>
    <w:rsid w:val="00C02A78"/>
    <w:rsid w:val="00C03059"/>
    <w:rsid w:val="00C0391B"/>
    <w:rsid w:val="00C03A29"/>
    <w:rsid w:val="00C04473"/>
    <w:rsid w:val="00C0546D"/>
    <w:rsid w:val="00C054A0"/>
    <w:rsid w:val="00C05820"/>
    <w:rsid w:val="00C06AA4"/>
    <w:rsid w:val="00C06DC5"/>
    <w:rsid w:val="00C070BA"/>
    <w:rsid w:val="00C07884"/>
    <w:rsid w:val="00C07C9F"/>
    <w:rsid w:val="00C101BC"/>
    <w:rsid w:val="00C10EA4"/>
    <w:rsid w:val="00C11139"/>
    <w:rsid w:val="00C11F56"/>
    <w:rsid w:val="00C13FBC"/>
    <w:rsid w:val="00C1418C"/>
    <w:rsid w:val="00C144E7"/>
    <w:rsid w:val="00C1453E"/>
    <w:rsid w:val="00C14557"/>
    <w:rsid w:val="00C14701"/>
    <w:rsid w:val="00C14A51"/>
    <w:rsid w:val="00C14A6F"/>
    <w:rsid w:val="00C14CE0"/>
    <w:rsid w:val="00C1525C"/>
    <w:rsid w:val="00C153DE"/>
    <w:rsid w:val="00C15998"/>
    <w:rsid w:val="00C16D95"/>
    <w:rsid w:val="00C17669"/>
    <w:rsid w:val="00C17BAA"/>
    <w:rsid w:val="00C17F1B"/>
    <w:rsid w:val="00C203FD"/>
    <w:rsid w:val="00C2142B"/>
    <w:rsid w:val="00C2173A"/>
    <w:rsid w:val="00C21762"/>
    <w:rsid w:val="00C21EFD"/>
    <w:rsid w:val="00C224DF"/>
    <w:rsid w:val="00C227E9"/>
    <w:rsid w:val="00C22DD6"/>
    <w:rsid w:val="00C23BA8"/>
    <w:rsid w:val="00C24049"/>
    <w:rsid w:val="00C24543"/>
    <w:rsid w:val="00C24A4E"/>
    <w:rsid w:val="00C256A2"/>
    <w:rsid w:val="00C25808"/>
    <w:rsid w:val="00C26350"/>
    <w:rsid w:val="00C26A69"/>
    <w:rsid w:val="00C27360"/>
    <w:rsid w:val="00C31770"/>
    <w:rsid w:val="00C31BE0"/>
    <w:rsid w:val="00C320A3"/>
    <w:rsid w:val="00C3238A"/>
    <w:rsid w:val="00C32415"/>
    <w:rsid w:val="00C32A61"/>
    <w:rsid w:val="00C333BA"/>
    <w:rsid w:val="00C338B0"/>
    <w:rsid w:val="00C33EB0"/>
    <w:rsid w:val="00C340DC"/>
    <w:rsid w:val="00C344B0"/>
    <w:rsid w:val="00C3492D"/>
    <w:rsid w:val="00C34973"/>
    <w:rsid w:val="00C34F68"/>
    <w:rsid w:val="00C3629F"/>
    <w:rsid w:val="00C36E35"/>
    <w:rsid w:val="00C371DE"/>
    <w:rsid w:val="00C4068A"/>
    <w:rsid w:val="00C41A49"/>
    <w:rsid w:val="00C41AB9"/>
    <w:rsid w:val="00C4237D"/>
    <w:rsid w:val="00C423E4"/>
    <w:rsid w:val="00C432D8"/>
    <w:rsid w:val="00C43943"/>
    <w:rsid w:val="00C43A3E"/>
    <w:rsid w:val="00C43FC7"/>
    <w:rsid w:val="00C440E3"/>
    <w:rsid w:val="00C443E8"/>
    <w:rsid w:val="00C44886"/>
    <w:rsid w:val="00C44ECB"/>
    <w:rsid w:val="00C45273"/>
    <w:rsid w:val="00C45555"/>
    <w:rsid w:val="00C45976"/>
    <w:rsid w:val="00C45A93"/>
    <w:rsid w:val="00C462FA"/>
    <w:rsid w:val="00C4696E"/>
    <w:rsid w:val="00C46A80"/>
    <w:rsid w:val="00C46AC7"/>
    <w:rsid w:val="00C4716E"/>
    <w:rsid w:val="00C47791"/>
    <w:rsid w:val="00C4793D"/>
    <w:rsid w:val="00C47E39"/>
    <w:rsid w:val="00C502C3"/>
    <w:rsid w:val="00C506EB"/>
    <w:rsid w:val="00C50C1E"/>
    <w:rsid w:val="00C51451"/>
    <w:rsid w:val="00C51818"/>
    <w:rsid w:val="00C51C98"/>
    <w:rsid w:val="00C523F4"/>
    <w:rsid w:val="00C535F1"/>
    <w:rsid w:val="00C53F60"/>
    <w:rsid w:val="00C546AB"/>
    <w:rsid w:val="00C5474E"/>
    <w:rsid w:val="00C548FA"/>
    <w:rsid w:val="00C54F9B"/>
    <w:rsid w:val="00C55378"/>
    <w:rsid w:val="00C55560"/>
    <w:rsid w:val="00C573C9"/>
    <w:rsid w:val="00C577B7"/>
    <w:rsid w:val="00C60644"/>
    <w:rsid w:val="00C60887"/>
    <w:rsid w:val="00C60FDD"/>
    <w:rsid w:val="00C61956"/>
    <w:rsid w:val="00C61997"/>
    <w:rsid w:val="00C62393"/>
    <w:rsid w:val="00C62BF4"/>
    <w:rsid w:val="00C62D78"/>
    <w:rsid w:val="00C62EEF"/>
    <w:rsid w:val="00C6357B"/>
    <w:rsid w:val="00C638C9"/>
    <w:rsid w:val="00C6502D"/>
    <w:rsid w:val="00C65998"/>
    <w:rsid w:val="00C659D7"/>
    <w:rsid w:val="00C65F2E"/>
    <w:rsid w:val="00C669C1"/>
    <w:rsid w:val="00C66B72"/>
    <w:rsid w:val="00C674CD"/>
    <w:rsid w:val="00C67F18"/>
    <w:rsid w:val="00C70D96"/>
    <w:rsid w:val="00C714BB"/>
    <w:rsid w:val="00C7275B"/>
    <w:rsid w:val="00C7281A"/>
    <w:rsid w:val="00C73738"/>
    <w:rsid w:val="00C7377E"/>
    <w:rsid w:val="00C73BAE"/>
    <w:rsid w:val="00C742CF"/>
    <w:rsid w:val="00C7450E"/>
    <w:rsid w:val="00C74AAA"/>
    <w:rsid w:val="00C74C37"/>
    <w:rsid w:val="00C7526E"/>
    <w:rsid w:val="00C75A4F"/>
    <w:rsid w:val="00C75E68"/>
    <w:rsid w:val="00C76135"/>
    <w:rsid w:val="00C768EA"/>
    <w:rsid w:val="00C77013"/>
    <w:rsid w:val="00C77F47"/>
    <w:rsid w:val="00C81339"/>
    <w:rsid w:val="00C81FBE"/>
    <w:rsid w:val="00C82491"/>
    <w:rsid w:val="00C82B0B"/>
    <w:rsid w:val="00C83A33"/>
    <w:rsid w:val="00C83A40"/>
    <w:rsid w:val="00C84388"/>
    <w:rsid w:val="00C84B0E"/>
    <w:rsid w:val="00C84E16"/>
    <w:rsid w:val="00C850FD"/>
    <w:rsid w:val="00C857A1"/>
    <w:rsid w:val="00C85897"/>
    <w:rsid w:val="00C8591B"/>
    <w:rsid w:val="00C85CF6"/>
    <w:rsid w:val="00C85DDE"/>
    <w:rsid w:val="00C8692D"/>
    <w:rsid w:val="00C86C06"/>
    <w:rsid w:val="00C8737F"/>
    <w:rsid w:val="00C9055F"/>
    <w:rsid w:val="00C91645"/>
    <w:rsid w:val="00C91976"/>
    <w:rsid w:val="00C920C9"/>
    <w:rsid w:val="00C92CF7"/>
    <w:rsid w:val="00C936C3"/>
    <w:rsid w:val="00C93B8A"/>
    <w:rsid w:val="00C949E2"/>
    <w:rsid w:val="00C94BF5"/>
    <w:rsid w:val="00C9567A"/>
    <w:rsid w:val="00C957E5"/>
    <w:rsid w:val="00C95BF6"/>
    <w:rsid w:val="00C95C35"/>
    <w:rsid w:val="00C962A5"/>
    <w:rsid w:val="00C9670F"/>
    <w:rsid w:val="00C96AF3"/>
    <w:rsid w:val="00C96BFF"/>
    <w:rsid w:val="00C978D9"/>
    <w:rsid w:val="00CA0730"/>
    <w:rsid w:val="00CA0E2F"/>
    <w:rsid w:val="00CA1BC5"/>
    <w:rsid w:val="00CA1D19"/>
    <w:rsid w:val="00CA249C"/>
    <w:rsid w:val="00CA28C5"/>
    <w:rsid w:val="00CA2E59"/>
    <w:rsid w:val="00CA3B1D"/>
    <w:rsid w:val="00CA40EF"/>
    <w:rsid w:val="00CA44E8"/>
    <w:rsid w:val="00CA4A86"/>
    <w:rsid w:val="00CA53D1"/>
    <w:rsid w:val="00CA61E3"/>
    <w:rsid w:val="00CA65F1"/>
    <w:rsid w:val="00CA6E49"/>
    <w:rsid w:val="00CA6EE1"/>
    <w:rsid w:val="00CA7CA7"/>
    <w:rsid w:val="00CA7F9B"/>
    <w:rsid w:val="00CB08A1"/>
    <w:rsid w:val="00CB13BC"/>
    <w:rsid w:val="00CB17C1"/>
    <w:rsid w:val="00CB1897"/>
    <w:rsid w:val="00CB2422"/>
    <w:rsid w:val="00CB2660"/>
    <w:rsid w:val="00CB2891"/>
    <w:rsid w:val="00CB2A1A"/>
    <w:rsid w:val="00CB320F"/>
    <w:rsid w:val="00CB3418"/>
    <w:rsid w:val="00CB3738"/>
    <w:rsid w:val="00CB3827"/>
    <w:rsid w:val="00CB3A1A"/>
    <w:rsid w:val="00CB3FFC"/>
    <w:rsid w:val="00CB4965"/>
    <w:rsid w:val="00CB4C01"/>
    <w:rsid w:val="00CB5565"/>
    <w:rsid w:val="00CB712B"/>
    <w:rsid w:val="00CB7A42"/>
    <w:rsid w:val="00CB7D6F"/>
    <w:rsid w:val="00CB7F41"/>
    <w:rsid w:val="00CC0E8C"/>
    <w:rsid w:val="00CC1D77"/>
    <w:rsid w:val="00CC25A6"/>
    <w:rsid w:val="00CC30E5"/>
    <w:rsid w:val="00CC31C0"/>
    <w:rsid w:val="00CC3D99"/>
    <w:rsid w:val="00CC44ED"/>
    <w:rsid w:val="00CC50E0"/>
    <w:rsid w:val="00CC5639"/>
    <w:rsid w:val="00CC5E13"/>
    <w:rsid w:val="00CC5E90"/>
    <w:rsid w:val="00CC65F9"/>
    <w:rsid w:val="00CC72FB"/>
    <w:rsid w:val="00CC7647"/>
    <w:rsid w:val="00CD046C"/>
    <w:rsid w:val="00CD05B5"/>
    <w:rsid w:val="00CD0979"/>
    <w:rsid w:val="00CD0F0E"/>
    <w:rsid w:val="00CD1A79"/>
    <w:rsid w:val="00CD2425"/>
    <w:rsid w:val="00CD3525"/>
    <w:rsid w:val="00CD36BA"/>
    <w:rsid w:val="00CD38C8"/>
    <w:rsid w:val="00CD3A6A"/>
    <w:rsid w:val="00CD403E"/>
    <w:rsid w:val="00CD6BCF"/>
    <w:rsid w:val="00CD7BBE"/>
    <w:rsid w:val="00CE0052"/>
    <w:rsid w:val="00CE0384"/>
    <w:rsid w:val="00CE1390"/>
    <w:rsid w:val="00CE1E71"/>
    <w:rsid w:val="00CE2432"/>
    <w:rsid w:val="00CE2A6C"/>
    <w:rsid w:val="00CE3F41"/>
    <w:rsid w:val="00CE4868"/>
    <w:rsid w:val="00CE4999"/>
    <w:rsid w:val="00CE5199"/>
    <w:rsid w:val="00CE5B67"/>
    <w:rsid w:val="00CE5D5C"/>
    <w:rsid w:val="00CE6420"/>
    <w:rsid w:val="00CE65D9"/>
    <w:rsid w:val="00CE66D5"/>
    <w:rsid w:val="00CF072D"/>
    <w:rsid w:val="00CF07C3"/>
    <w:rsid w:val="00CF0A29"/>
    <w:rsid w:val="00CF0AD5"/>
    <w:rsid w:val="00CF12C1"/>
    <w:rsid w:val="00CF1936"/>
    <w:rsid w:val="00CF1A4C"/>
    <w:rsid w:val="00CF1E94"/>
    <w:rsid w:val="00CF1FF5"/>
    <w:rsid w:val="00CF273B"/>
    <w:rsid w:val="00CF2824"/>
    <w:rsid w:val="00CF3B31"/>
    <w:rsid w:val="00CF3EBB"/>
    <w:rsid w:val="00CF4138"/>
    <w:rsid w:val="00CF439C"/>
    <w:rsid w:val="00CF47D3"/>
    <w:rsid w:val="00CF5539"/>
    <w:rsid w:val="00CF62AA"/>
    <w:rsid w:val="00CF63BF"/>
    <w:rsid w:val="00CF6754"/>
    <w:rsid w:val="00CF768E"/>
    <w:rsid w:val="00CF770E"/>
    <w:rsid w:val="00D002FC"/>
    <w:rsid w:val="00D01482"/>
    <w:rsid w:val="00D01BEF"/>
    <w:rsid w:val="00D01F78"/>
    <w:rsid w:val="00D01FAC"/>
    <w:rsid w:val="00D0228D"/>
    <w:rsid w:val="00D02E9F"/>
    <w:rsid w:val="00D031D8"/>
    <w:rsid w:val="00D03633"/>
    <w:rsid w:val="00D03C39"/>
    <w:rsid w:val="00D03F49"/>
    <w:rsid w:val="00D04133"/>
    <w:rsid w:val="00D04137"/>
    <w:rsid w:val="00D04674"/>
    <w:rsid w:val="00D04F09"/>
    <w:rsid w:val="00D05066"/>
    <w:rsid w:val="00D051CF"/>
    <w:rsid w:val="00D065A9"/>
    <w:rsid w:val="00D06D0A"/>
    <w:rsid w:val="00D070D7"/>
    <w:rsid w:val="00D072D9"/>
    <w:rsid w:val="00D07439"/>
    <w:rsid w:val="00D0799B"/>
    <w:rsid w:val="00D07A1B"/>
    <w:rsid w:val="00D11349"/>
    <w:rsid w:val="00D1169D"/>
    <w:rsid w:val="00D11888"/>
    <w:rsid w:val="00D12509"/>
    <w:rsid w:val="00D12883"/>
    <w:rsid w:val="00D12D6C"/>
    <w:rsid w:val="00D12F97"/>
    <w:rsid w:val="00D13843"/>
    <w:rsid w:val="00D14582"/>
    <w:rsid w:val="00D14B21"/>
    <w:rsid w:val="00D14BB9"/>
    <w:rsid w:val="00D14DC8"/>
    <w:rsid w:val="00D1539E"/>
    <w:rsid w:val="00D15ABB"/>
    <w:rsid w:val="00D15E54"/>
    <w:rsid w:val="00D15ED1"/>
    <w:rsid w:val="00D16299"/>
    <w:rsid w:val="00D162B0"/>
    <w:rsid w:val="00D16C41"/>
    <w:rsid w:val="00D175D2"/>
    <w:rsid w:val="00D20162"/>
    <w:rsid w:val="00D20873"/>
    <w:rsid w:val="00D2095A"/>
    <w:rsid w:val="00D20D2A"/>
    <w:rsid w:val="00D20D54"/>
    <w:rsid w:val="00D210F8"/>
    <w:rsid w:val="00D211D9"/>
    <w:rsid w:val="00D2131F"/>
    <w:rsid w:val="00D21D95"/>
    <w:rsid w:val="00D21DA2"/>
    <w:rsid w:val="00D221A7"/>
    <w:rsid w:val="00D2250C"/>
    <w:rsid w:val="00D22F94"/>
    <w:rsid w:val="00D231D5"/>
    <w:rsid w:val="00D23304"/>
    <w:rsid w:val="00D233F6"/>
    <w:rsid w:val="00D2345D"/>
    <w:rsid w:val="00D23567"/>
    <w:rsid w:val="00D23785"/>
    <w:rsid w:val="00D23A91"/>
    <w:rsid w:val="00D2412E"/>
    <w:rsid w:val="00D24291"/>
    <w:rsid w:val="00D2456B"/>
    <w:rsid w:val="00D25889"/>
    <w:rsid w:val="00D25C75"/>
    <w:rsid w:val="00D25E57"/>
    <w:rsid w:val="00D25FCD"/>
    <w:rsid w:val="00D269F1"/>
    <w:rsid w:val="00D26FBE"/>
    <w:rsid w:val="00D275B4"/>
    <w:rsid w:val="00D27FBF"/>
    <w:rsid w:val="00D30CC4"/>
    <w:rsid w:val="00D31472"/>
    <w:rsid w:val="00D31A13"/>
    <w:rsid w:val="00D31F66"/>
    <w:rsid w:val="00D32BCF"/>
    <w:rsid w:val="00D32D94"/>
    <w:rsid w:val="00D3350E"/>
    <w:rsid w:val="00D340AA"/>
    <w:rsid w:val="00D34786"/>
    <w:rsid w:val="00D35609"/>
    <w:rsid w:val="00D360ED"/>
    <w:rsid w:val="00D36696"/>
    <w:rsid w:val="00D36A2C"/>
    <w:rsid w:val="00D37539"/>
    <w:rsid w:val="00D37557"/>
    <w:rsid w:val="00D37D4F"/>
    <w:rsid w:val="00D37F8C"/>
    <w:rsid w:val="00D4040F"/>
    <w:rsid w:val="00D4064C"/>
    <w:rsid w:val="00D40A1E"/>
    <w:rsid w:val="00D41308"/>
    <w:rsid w:val="00D42007"/>
    <w:rsid w:val="00D42A76"/>
    <w:rsid w:val="00D42ADF"/>
    <w:rsid w:val="00D42BAB"/>
    <w:rsid w:val="00D43C78"/>
    <w:rsid w:val="00D43D02"/>
    <w:rsid w:val="00D43F1C"/>
    <w:rsid w:val="00D44A80"/>
    <w:rsid w:val="00D44B04"/>
    <w:rsid w:val="00D44BDF"/>
    <w:rsid w:val="00D45150"/>
    <w:rsid w:val="00D45500"/>
    <w:rsid w:val="00D457AF"/>
    <w:rsid w:val="00D4620C"/>
    <w:rsid w:val="00D4662C"/>
    <w:rsid w:val="00D467F5"/>
    <w:rsid w:val="00D46CDC"/>
    <w:rsid w:val="00D46D25"/>
    <w:rsid w:val="00D47631"/>
    <w:rsid w:val="00D47BBD"/>
    <w:rsid w:val="00D47E97"/>
    <w:rsid w:val="00D47F4D"/>
    <w:rsid w:val="00D5025B"/>
    <w:rsid w:val="00D50AFF"/>
    <w:rsid w:val="00D50CBE"/>
    <w:rsid w:val="00D512DC"/>
    <w:rsid w:val="00D523C3"/>
    <w:rsid w:val="00D52B5B"/>
    <w:rsid w:val="00D52C14"/>
    <w:rsid w:val="00D537DA"/>
    <w:rsid w:val="00D53960"/>
    <w:rsid w:val="00D53D39"/>
    <w:rsid w:val="00D53E6B"/>
    <w:rsid w:val="00D53F3D"/>
    <w:rsid w:val="00D5431C"/>
    <w:rsid w:val="00D544A3"/>
    <w:rsid w:val="00D54FD9"/>
    <w:rsid w:val="00D558C4"/>
    <w:rsid w:val="00D55D01"/>
    <w:rsid w:val="00D568A0"/>
    <w:rsid w:val="00D57019"/>
    <w:rsid w:val="00D57833"/>
    <w:rsid w:val="00D6049C"/>
    <w:rsid w:val="00D6092C"/>
    <w:rsid w:val="00D60BBD"/>
    <w:rsid w:val="00D60D42"/>
    <w:rsid w:val="00D61163"/>
    <w:rsid w:val="00D6144B"/>
    <w:rsid w:val="00D61562"/>
    <w:rsid w:val="00D61C2D"/>
    <w:rsid w:val="00D62BD0"/>
    <w:rsid w:val="00D62F66"/>
    <w:rsid w:val="00D62FB8"/>
    <w:rsid w:val="00D63033"/>
    <w:rsid w:val="00D63233"/>
    <w:rsid w:val="00D6324A"/>
    <w:rsid w:val="00D65E4F"/>
    <w:rsid w:val="00D6603B"/>
    <w:rsid w:val="00D66F60"/>
    <w:rsid w:val="00D671D3"/>
    <w:rsid w:val="00D677D5"/>
    <w:rsid w:val="00D70778"/>
    <w:rsid w:val="00D70D74"/>
    <w:rsid w:val="00D70EFB"/>
    <w:rsid w:val="00D712D3"/>
    <w:rsid w:val="00D71422"/>
    <w:rsid w:val="00D7145E"/>
    <w:rsid w:val="00D72789"/>
    <w:rsid w:val="00D72985"/>
    <w:rsid w:val="00D73183"/>
    <w:rsid w:val="00D73376"/>
    <w:rsid w:val="00D73D78"/>
    <w:rsid w:val="00D73E27"/>
    <w:rsid w:val="00D74A1F"/>
    <w:rsid w:val="00D74B5B"/>
    <w:rsid w:val="00D74C93"/>
    <w:rsid w:val="00D74F68"/>
    <w:rsid w:val="00D7558D"/>
    <w:rsid w:val="00D76232"/>
    <w:rsid w:val="00D7649A"/>
    <w:rsid w:val="00D76B76"/>
    <w:rsid w:val="00D77A99"/>
    <w:rsid w:val="00D77B2C"/>
    <w:rsid w:val="00D77BCE"/>
    <w:rsid w:val="00D80440"/>
    <w:rsid w:val="00D80C85"/>
    <w:rsid w:val="00D80E08"/>
    <w:rsid w:val="00D811FF"/>
    <w:rsid w:val="00D81977"/>
    <w:rsid w:val="00D81C90"/>
    <w:rsid w:val="00D81CB8"/>
    <w:rsid w:val="00D81D92"/>
    <w:rsid w:val="00D81ED2"/>
    <w:rsid w:val="00D81F1A"/>
    <w:rsid w:val="00D81F9D"/>
    <w:rsid w:val="00D826A0"/>
    <w:rsid w:val="00D82876"/>
    <w:rsid w:val="00D82EA8"/>
    <w:rsid w:val="00D838BE"/>
    <w:rsid w:val="00D83DD3"/>
    <w:rsid w:val="00D83FFE"/>
    <w:rsid w:val="00D84389"/>
    <w:rsid w:val="00D861EA"/>
    <w:rsid w:val="00D86402"/>
    <w:rsid w:val="00D86569"/>
    <w:rsid w:val="00D865A2"/>
    <w:rsid w:val="00D87416"/>
    <w:rsid w:val="00D874C4"/>
    <w:rsid w:val="00D8763F"/>
    <w:rsid w:val="00D878CA"/>
    <w:rsid w:val="00D9040B"/>
    <w:rsid w:val="00D9087A"/>
    <w:rsid w:val="00D91035"/>
    <w:rsid w:val="00D91047"/>
    <w:rsid w:val="00D91199"/>
    <w:rsid w:val="00D912A6"/>
    <w:rsid w:val="00D915AB"/>
    <w:rsid w:val="00D91B1E"/>
    <w:rsid w:val="00D91D59"/>
    <w:rsid w:val="00D92374"/>
    <w:rsid w:val="00D9297D"/>
    <w:rsid w:val="00D93446"/>
    <w:rsid w:val="00D9382D"/>
    <w:rsid w:val="00D942DB"/>
    <w:rsid w:val="00D946A3"/>
    <w:rsid w:val="00D946AA"/>
    <w:rsid w:val="00D94D1C"/>
    <w:rsid w:val="00D94F44"/>
    <w:rsid w:val="00D9539C"/>
    <w:rsid w:val="00D95402"/>
    <w:rsid w:val="00D9546A"/>
    <w:rsid w:val="00D95D43"/>
    <w:rsid w:val="00D96245"/>
    <w:rsid w:val="00D97195"/>
    <w:rsid w:val="00D978E5"/>
    <w:rsid w:val="00DA10AE"/>
    <w:rsid w:val="00DA12E6"/>
    <w:rsid w:val="00DA1520"/>
    <w:rsid w:val="00DA1C1D"/>
    <w:rsid w:val="00DA2A64"/>
    <w:rsid w:val="00DA2A7C"/>
    <w:rsid w:val="00DA3005"/>
    <w:rsid w:val="00DA300A"/>
    <w:rsid w:val="00DA3C57"/>
    <w:rsid w:val="00DA40CF"/>
    <w:rsid w:val="00DA40FD"/>
    <w:rsid w:val="00DA4E4E"/>
    <w:rsid w:val="00DA5ECF"/>
    <w:rsid w:val="00DA6AB3"/>
    <w:rsid w:val="00DA7151"/>
    <w:rsid w:val="00DA74B0"/>
    <w:rsid w:val="00DA77AA"/>
    <w:rsid w:val="00DA7982"/>
    <w:rsid w:val="00DA79D0"/>
    <w:rsid w:val="00DA7B5F"/>
    <w:rsid w:val="00DB0FBE"/>
    <w:rsid w:val="00DB18A8"/>
    <w:rsid w:val="00DB1D14"/>
    <w:rsid w:val="00DB2F56"/>
    <w:rsid w:val="00DB3050"/>
    <w:rsid w:val="00DB30EC"/>
    <w:rsid w:val="00DB3374"/>
    <w:rsid w:val="00DB4A1E"/>
    <w:rsid w:val="00DB4D80"/>
    <w:rsid w:val="00DB5C3C"/>
    <w:rsid w:val="00DB60AB"/>
    <w:rsid w:val="00DC00B2"/>
    <w:rsid w:val="00DC07A4"/>
    <w:rsid w:val="00DC0BB5"/>
    <w:rsid w:val="00DC174D"/>
    <w:rsid w:val="00DC1C6D"/>
    <w:rsid w:val="00DC2858"/>
    <w:rsid w:val="00DC28C0"/>
    <w:rsid w:val="00DC2FF2"/>
    <w:rsid w:val="00DC3121"/>
    <w:rsid w:val="00DC3BBC"/>
    <w:rsid w:val="00DC3EEF"/>
    <w:rsid w:val="00DC4839"/>
    <w:rsid w:val="00DC4F17"/>
    <w:rsid w:val="00DC5B2F"/>
    <w:rsid w:val="00DC63C7"/>
    <w:rsid w:val="00DC6453"/>
    <w:rsid w:val="00DC6D2C"/>
    <w:rsid w:val="00DC6F27"/>
    <w:rsid w:val="00DC7597"/>
    <w:rsid w:val="00DC7693"/>
    <w:rsid w:val="00DC781F"/>
    <w:rsid w:val="00DD045E"/>
    <w:rsid w:val="00DD1E65"/>
    <w:rsid w:val="00DD2635"/>
    <w:rsid w:val="00DD2BE4"/>
    <w:rsid w:val="00DD2C54"/>
    <w:rsid w:val="00DD2FA0"/>
    <w:rsid w:val="00DD3438"/>
    <w:rsid w:val="00DD3979"/>
    <w:rsid w:val="00DD3A9A"/>
    <w:rsid w:val="00DD4456"/>
    <w:rsid w:val="00DD44BA"/>
    <w:rsid w:val="00DD5501"/>
    <w:rsid w:val="00DD5AF1"/>
    <w:rsid w:val="00DD6D8F"/>
    <w:rsid w:val="00DD6DEF"/>
    <w:rsid w:val="00DD6F04"/>
    <w:rsid w:val="00DD759E"/>
    <w:rsid w:val="00DE0266"/>
    <w:rsid w:val="00DE16C3"/>
    <w:rsid w:val="00DE181C"/>
    <w:rsid w:val="00DE22C1"/>
    <w:rsid w:val="00DE26A2"/>
    <w:rsid w:val="00DE27BF"/>
    <w:rsid w:val="00DE3E14"/>
    <w:rsid w:val="00DE4C96"/>
    <w:rsid w:val="00DE51DE"/>
    <w:rsid w:val="00DE5787"/>
    <w:rsid w:val="00DE6249"/>
    <w:rsid w:val="00DE62F2"/>
    <w:rsid w:val="00DE735D"/>
    <w:rsid w:val="00DE7417"/>
    <w:rsid w:val="00DE783D"/>
    <w:rsid w:val="00DE7927"/>
    <w:rsid w:val="00DE7D2E"/>
    <w:rsid w:val="00DF151E"/>
    <w:rsid w:val="00DF1CDD"/>
    <w:rsid w:val="00DF1D34"/>
    <w:rsid w:val="00DF1DF9"/>
    <w:rsid w:val="00DF200D"/>
    <w:rsid w:val="00DF2FDC"/>
    <w:rsid w:val="00DF3130"/>
    <w:rsid w:val="00DF3778"/>
    <w:rsid w:val="00DF3A3C"/>
    <w:rsid w:val="00DF42A0"/>
    <w:rsid w:val="00DF472F"/>
    <w:rsid w:val="00DF4BDE"/>
    <w:rsid w:val="00DF4CFA"/>
    <w:rsid w:val="00DF5077"/>
    <w:rsid w:val="00DF5644"/>
    <w:rsid w:val="00DF56EC"/>
    <w:rsid w:val="00DF7793"/>
    <w:rsid w:val="00E0059C"/>
    <w:rsid w:val="00E015F0"/>
    <w:rsid w:val="00E01798"/>
    <w:rsid w:val="00E01B40"/>
    <w:rsid w:val="00E02360"/>
    <w:rsid w:val="00E023DF"/>
    <w:rsid w:val="00E03843"/>
    <w:rsid w:val="00E03901"/>
    <w:rsid w:val="00E03C33"/>
    <w:rsid w:val="00E052B0"/>
    <w:rsid w:val="00E05A87"/>
    <w:rsid w:val="00E067A6"/>
    <w:rsid w:val="00E06924"/>
    <w:rsid w:val="00E06DDE"/>
    <w:rsid w:val="00E0702F"/>
    <w:rsid w:val="00E07187"/>
    <w:rsid w:val="00E0734B"/>
    <w:rsid w:val="00E0740A"/>
    <w:rsid w:val="00E07442"/>
    <w:rsid w:val="00E11392"/>
    <w:rsid w:val="00E114A7"/>
    <w:rsid w:val="00E123DF"/>
    <w:rsid w:val="00E13922"/>
    <w:rsid w:val="00E139E3"/>
    <w:rsid w:val="00E13D70"/>
    <w:rsid w:val="00E1451D"/>
    <w:rsid w:val="00E15130"/>
    <w:rsid w:val="00E15217"/>
    <w:rsid w:val="00E1542D"/>
    <w:rsid w:val="00E1578C"/>
    <w:rsid w:val="00E15B49"/>
    <w:rsid w:val="00E15F82"/>
    <w:rsid w:val="00E15FBA"/>
    <w:rsid w:val="00E16426"/>
    <w:rsid w:val="00E16F9D"/>
    <w:rsid w:val="00E17263"/>
    <w:rsid w:val="00E17683"/>
    <w:rsid w:val="00E2121C"/>
    <w:rsid w:val="00E21D36"/>
    <w:rsid w:val="00E22278"/>
    <w:rsid w:val="00E2241D"/>
    <w:rsid w:val="00E2284A"/>
    <w:rsid w:val="00E230FD"/>
    <w:rsid w:val="00E236F1"/>
    <w:rsid w:val="00E2398E"/>
    <w:rsid w:val="00E23A98"/>
    <w:rsid w:val="00E25A41"/>
    <w:rsid w:val="00E25BE4"/>
    <w:rsid w:val="00E2673A"/>
    <w:rsid w:val="00E26F97"/>
    <w:rsid w:val="00E26FCD"/>
    <w:rsid w:val="00E27AA4"/>
    <w:rsid w:val="00E27C68"/>
    <w:rsid w:val="00E27ECC"/>
    <w:rsid w:val="00E30281"/>
    <w:rsid w:val="00E30994"/>
    <w:rsid w:val="00E30E18"/>
    <w:rsid w:val="00E314FA"/>
    <w:rsid w:val="00E32AC0"/>
    <w:rsid w:val="00E3317B"/>
    <w:rsid w:val="00E337D9"/>
    <w:rsid w:val="00E3384E"/>
    <w:rsid w:val="00E3386F"/>
    <w:rsid w:val="00E33E64"/>
    <w:rsid w:val="00E3533B"/>
    <w:rsid w:val="00E358B1"/>
    <w:rsid w:val="00E35E8F"/>
    <w:rsid w:val="00E3622A"/>
    <w:rsid w:val="00E364C4"/>
    <w:rsid w:val="00E37292"/>
    <w:rsid w:val="00E3757F"/>
    <w:rsid w:val="00E37980"/>
    <w:rsid w:val="00E37EAC"/>
    <w:rsid w:val="00E41024"/>
    <w:rsid w:val="00E41133"/>
    <w:rsid w:val="00E41E9F"/>
    <w:rsid w:val="00E421E1"/>
    <w:rsid w:val="00E42994"/>
    <w:rsid w:val="00E42C74"/>
    <w:rsid w:val="00E43157"/>
    <w:rsid w:val="00E43212"/>
    <w:rsid w:val="00E437C9"/>
    <w:rsid w:val="00E4390D"/>
    <w:rsid w:val="00E43C48"/>
    <w:rsid w:val="00E43C54"/>
    <w:rsid w:val="00E43C96"/>
    <w:rsid w:val="00E43F2C"/>
    <w:rsid w:val="00E44961"/>
    <w:rsid w:val="00E45D29"/>
    <w:rsid w:val="00E461F9"/>
    <w:rsid w:val="00E46307"/>
    <w:rsid w:val="00E46CD5"/>
    <w:rsid w:val="00E470ED"/>
    <w:rsid w:val="00E4781D"/>
    <w:rsid w:val="00E50136"/>
    <w:rsid w:val="00E51067"/>
    <w:rsid w:val="00E524B1"/>
    <w:rsid w:val="00E52A79"/>
    <w:rsid w:val="00E533FF"/>
    <w:rsid w:val="00E53BD8"/>
    <w:rsid w:val="00E53DC6"/>
    <w:rsid w:val="00E53E5E"/>
    <w:rsid w:val="00E54100"/>
    <w:rsid w:val="00E54DF1"/>
    <w:rsid w:val="00E54EF8"/>
    <w:rsid w:val="00E551E7"/>
    <w:rsid w:val="00E55A94"/>
    <w:rsid w:val="00E56125"/>
    <w:rsid w:val="00E56477"/>
    <w:rsid w:val="00E5771B"/>
    <w:rsid w:val="00E57833"/>
    <w:rsid w:val="00E57AC6"/>
    <w:rsid w:val="00E57B6B"/>
    <w:rsid w:val="00E57DC0"/>
    <w:rsid w:val="00E57ECF"/>
    <w:rsid w:val="00E608CA"/>
    <w:rsid w:val="00E61067"/>
    <w:rsid w:val="00E616EA"/>
    <w:rsid w:val="00E61DC3"/>
    <w:rsid w:val="00E61FC3"/>
    <w:rsid w:val="00E625E4"/>
    <w:rsid w:val="00E62965"/>
    <w:rsid w:val="00E62BF1"/>
    <w:rsid w:val="00E62CDD"/>
    <w:rsid w:val="00E62CED"/>
    <w:rsid w:val="00E6356C"/>
    <w:rsid w:val="00E6364D"/>
    <w:rsid w:val="00E63B98"/>
    <w:rsid w:val="00E64645"/>
    <w:rsid w:val="00E64863"/>
    <w:rsid w:val="00E648F3"/>
    <w:rsid w:val="00E64AF6"/>
    <w:rsid w:val="00E64E6F"/>
    <w:rsid w:val="00E6513A"/>
    <w:rsid w:val="00E654A2"/>
    <w:rsid w:val="00E65AA7"/>
    <w:rsid w:val="00E65CB4"/>
    <w:rsid w:val="00E67067"/>
    <w:rsid w:val="00E674BD"/>
    <w:rsid w:val="00E709B3"/>
    <w:rsid w:val="00E70B54"/>
    <w:rsid w:val="00E711AB"/>
    <w:rsid w:val="00E7126F"/>
    <w:rsid w:val="00E71410"/>
    <w:rsid w:val="00E71E57"/>
    <w:rsid w:val="00E71FD7"/>
    <w:rsid w:val="00E72FFF"/>
    <w:rsid w:val="00E73F55"/>
    <w:rsid w:val="00E74123"/>
    <w:rsid w:val="00E74177"/>
    <w:rsid w:val="00E745BD"/>
    <w:rsid w:val="00E753FA"/>
    <w:rsid w:val="00E75440"/>
    <w:rsid w:val="00E75DD0"/>
    <w:rsid w:val="00E75FCF"/>
    <w:rsid w:val="00E7676B"/>
    <w:rsid w:val="00E767BD"/>
    <w:rsid w:val="00E76C84"/>
    <w:rsid w:val="00E76CBC"/>
    <w:rsid w:val="00E7739E"/>
    <w:rsid w:val="00E77402"/>
    <w:rsid w:val="00E774E4"/>
    <w:rsid w:val="00E807AA"/>
    <w:rsid w:val="00E80E83"/>
    <w:rsid w:val="00E81771"/>
    <w:rsid w:val="00E81A3E"/>
    <w:rsid w:val="00E82CCD"/>
    <w:rsid w:val="00E82F32"/>
    <w:rsid w:val="00E830CC"/>
    <w:rsid w:val="00E83848"/>
    <w:rsid w:val="00E83F9D"/>
    <w:rsid w:val="00E84D2C"/>
    <w:rsid w:val="00E855B5"/>
    <w:rsid w:val="00E85ABA"/>
    <w:rsid w:val="00E85B34"/>
    <w:rsid w:val="00E8617F"/>
    <w:rsid w:val="00E863BB"/>
    <w:rsid w:val="00E86ABD"/>
    <w:rsid w:val="00E86E84"/>
    <w:rsid w:val="00E86EAF"/>
    <w:rsid w:val="00E87515"/>
    <w:rsid w:val="00E8789F"/>
    <w:rsid w:val="00E908CF"/>
    <w:rsid w:val="00E90D08"/>
    <w:rsid w:val="00E9162B"/>
    <w:rsid w:val="00E91BE2"/>
    <w:rsid w:val="00E920D0"/>
    <w:rsid w:val="00E92215"/>
    <w:rsid w:val="00E92993"/>
    <w:rsid w:val="00E92E80"/>
    <w:rsid w:val="00E9316D"/>
    <w:rsid w:val="00E93BDB"/>
    <w:rsid w:val="00E93D8E"/>
    <w:rsid w:val="00E94203"/>
    <w:rsid w:val="00E94D19"/>
    <w:rsid w:val="00E94E3D"/>
    <w:rsid w:val="00E9548A"/>
    <w:rsid w:val="00E961D0"/>
    <w:rsid w:val="00E96942"/>
    <w:rsid w:val="00E978C5"/>
    <w:rsid w:val="00E97B71"/>
    <w:rsid w:val="00EA01E7"/>
    <w:rsid w:val="00EA077D"/>
    <w:rsid w:val="00EA0E4C"/>
    <w:rsid w:val="00EA1283"/>
    <w:rsid w:val="00EA26BA"/>
    <w:rsid w:val="00EA446B"/>
    <w:rsid w:val="00EA48EC"/>
    <w:rsid w:val="00EA4EB1"/>
    <w:rsid w:val="00EA4F82"/>
    <w:rsid w:val="00EA5A04"/>
    <w:rsid w:val="00EA5FE2"/>
    <w:rsid w:val="00EA603E"/>
    <w:rsid w:val="00EA6A6E"/>
    <w:rsid w:val="00EA70E0"/>
    <w:rsid w:val="00EA7F95"/>
    <w:rsid w:val="00EB01F4"/>
    <w:rsid w:val="00EB0252"/>
    <w:rsid w:val="00EB0370"/>
    <w:rsid w:val="00EB15FF"/>
    <w:rsid w:val="00EB18C6"/>
    <w:rsid w:val="00EB18F6"/>
    <w:rsid w:val="00EB1D83"/>
    <w:rsid w:val="00EB24D7"/>
    <w:rsid w:val="00EB2ED9"/>
    <w:rsid w:val="00EB394F"/>
    <w:rsid w:val="00EB4080"/>
    <w:rsid w:val="00EB4249"/>
    <w:rsid w:val="00EB454D"/>
    <w:rsid w:val="00EB454F"/>
    <w:rsid w:val="00EB4B7E"/>
    <w:rsid w:val="00EB51DC"/>
    <w:rsid w:val="00EB51EA"/>
    <w:rsid w:val="00EB55C1"/>
    <w:rsid w:val="00EB5B85"/>
    <w:rsid w:val="00EB606E"/>
    <w:rsid w:val="00EB6170"/>
    <w:rsid w:val="00EB62D9"/>
    <w:rsid w:val="00EB6B06"/>
    <w:rsid w:val="00EB6F40"/>
    <w:rsid w:val="00EB7A72"/>
    <w:rsid w:val="00EB7F0A"/>
    <w:rsid w:val="00EC03F3"/>
    <w:rsid w:val="00EC0BA4"/>
    <w:rsid w:val="00EC112E"/>
    <w:rsid w:val="00EC1F95"/>
    <w:rsid w:val="00EC20C2"/>
    <w:rsid w:val="00EC2AAD"/>
    <w:rsid w:val="00EC30FD"/>
    <w:rsid w:val="00EC31F9"/>
    <w:rsid w:val="00EC36F6"/>
    <w:rsid w:val="00EC3E4C"/>
    <w:rsid w:val="00EC41C7"/>
    <w:rsid w:val="00EC437D"/>
    <w:rsid w:val="00EC45C1"/>
    <w:rsid w:val="00EC4DEE"/>
    <w:rsid w:val="00EC5123"/>
    <w:rsid w:val="00EC5570"/>
    <w:rsid w:val="00EC59D9"/>
    <w:rsid w:val="00EC68B2"/>
    <w:rsid w:val="00EC6931"/>
    <w:rsid w:val="00EC714E"/>
    <w:rsid w:val="00EC74EB"/>
    <w:rsid w:val="00EC7C31"/>
    <w:rsid w:val="00ED0268"/>
    <w:rsid w:val="00ED0275"/>
    <w:rsid w:val="00ED04F8"/>
    <w:rsid w:val="00ED0E31"/>
    <w:rsid w:val="00ED0F40"/>
    <w:rsid w:val="00ED1405"/>
    <w:rsid w:val="00ED147C"/>
    <w:rsid w:val="00ED18FD"/>
    <w:rsid w:val="00ED19E9"/>
    <w:rsid w:val="00ED1D8B"/>
    <w:rsid w:val="00ED1F81"/>
    <w:rsid w:val="00ED2D1D"/>
    <w:rsid w:val="00ED3A8E"/>
    <w:rsid w:val="00ED3AB2"/>
    <w:rsid w:val="00ED52B0"/>
    <w:rsid w:val="00ED56AB"/>
    <w:rsid w:val="00ED5716"/>
    <w:rsid w:val="00ED587A"/>
    <w:rsid w:val="00ED59B8"/>
    <w:rsid w:val="00ED5BE1"/>
    <w:rsid w:val="00ED6186"/>
    <w:rsid w:val="00ED666B"/>
    <w:rsid w:val="00ED6897"/>
    <w:rsid w:val="00ED7714"/>
    <w:rsid w:val="00EE0358"/>
    <w:rsid w:val="00EE04C1"/>
    <w:rsid w:val="00EE0798"/>
    <w:rsid w:val="00EE0BA9"/>
    <w:rsid w:val="00EE0D3E"/>
    <w:rsid w:val="00EE140F"/>
    <w:rsid w:val="00EE1C3F"/>
    <w:rsid w:val="00EE2931"/>
    <w:rsid w:val="00EE2BD2"/>
    <w:rsid w:val="00EE2FEB"/>
    <w:rsid w:val="00EE34B0"/>
    <w:rsid w:val="00EE3522"/>
    <w:rsid w:val="00EE36D7"/>
    <w:rsid w:val="00EE39AD"/>
    <w:rsid w:val="00EE4E4B"/>
    <w:rsid w:val="00EE5C5E"/>
    <w:rsid w:val="00EE5D7E"/>
    <w:rsid w:val="00EE5E57"/>
    <w:rsid w:val="00EE5E58"/>
    <w:rsid w:val="00EE66CA"/>
    <w:rsid w:val="00EE75B2"/>
    <w:rsid w:val="00EF04A0"/>
    <w:rsid w:val="00EF0CEF"/>
    <w:rsid w:val="00EF2493"/>
    <w:rsid w:val="00EF2BCD"/>
    <w:rsid w:val="00EF34D9"/>
    <w:rsid w:val="00EF36AC"/>
    <w:rsid w:val="00EF4804"/>
    <w:rsid w:val="00EF49F0"/>
    <w:rsid w:val="00EF4AA2"/>
    <w:rsid w:val="00EF4C4E"/>
    <w:rsid w:val="00EF4EC3"/>
    <w:rsid w:val="00EF56CE"/>
    <w:rsid w:val="00EF5809"/>
    <w:rsid w:val="00EF5839"/>
    <w:rsid w:val="00EF5AA9"/>
    <w:rsid w:val="00EF619B"/>
    <w:rsid w:val="00EF620A"/>
    <w:rsid w:val="00EF6972"/>
    <w:rsid w:val="00EF7231"/>
    <w:rsid w:val="00EF78C3"/>
    <w:rsid w:val="00F001CA"/>
    <w:rsid w:val="00F005EE"/>
    <w:rsid w:val="00F00B55"/>
    <w:rsid w:val="00F00CA9"/>
    <w:rsid w:val="00F0235E"/>
    <w:rsid w:val="00F02586"/>
    <w:rsid w:val="00F04AFE"/>
    <w:rsid w:val="00F05786"/>
    <w:rsid w:val="00F059CF"/>
    <w:rsid w:val="00F06961"/>
    <w:rsid w:val="00F1005F"/>
    <w:rsid w:val="00F10CE6"/>
    <w:rsid w:val="00F10DC1"/>
    <w:rsid w:val="00F11242"/>
    <w:rsid w:val="00F1188B"/>
    <w:rsid w:val="00F1284B"/>
    <w:rsid w:val="00F12D0D"/>
    <w:rsid w:val="00F12F12"/>
    <w:rsid w:val="00F13684"/>
    <w:rsid w:val="00F1380F"/>
    <w:rsid w:val="00F14F0E"/>
    <w:rsid w:val="00F14F98"/>
    <w:rsid w:val="00F15125"/>
    <w:rsid w:val="00F15799"/>
    <w:rsid w:val="00F15B6A"/>
    <w:rsid w:val="00F15C70"/>
    <w:rsid w:val="00F16AD4"/>
    <w:rsid w:val="00F16F8E"/>
    <w:rsid w:val="00F1723D"/>
    <w:rsid w:val="00F173E7"/>
    <w:rsid w:val="00F175ED"/>
    <w:rsid w:val="00F1763D"/>
    <w:rsid w:val="00F17799"/>
    <w:rsid w:val="00F17D5E"/>
    <w:rsid w:val="00F20115"/>
    <w:rsid w:val="00F2022B"/>
    <w:rsid w:val="00F20236"/>
    <w:rsid w:val="00F2059E"/>
    <w:rsid w:val="00F20D2B"/>
    <w:rsid w:val="00F21553"/>
    <w:rsid w:val="00F21703"/>
    <w:rsid w:val="00F2177E"/>
    <w:rsid w:val="00F22103"/>
    <w:rsid w:val="00F2328B"/>
    <w:rsid w:val="00F23B00"/>
    <w:rsid w:val="00F24280"/>
    <w:rsid w:val="00F24C29"/>
    <w:rsid w:val="00F253CC"/>
    <w:rsid w:val="00F25C31"/>
    <w:rsid w:val="00F267BE"/>
    <w:rsid w:val="00F267E4"/>
    <w:rsid w:val="00F26B0B"/>
    <w:rsid w:val="00F26D98"/>
    <w:rsid w:val="00F2719B"/>
    <w:rsid w:val="00F27458"/>
    <w:rsid w:val="00F277DB"/>
    <w:rsid w:val="00F27ACD"/>
    <w:rsid w:val="00F27CD8"/>
    <w:rsid w:val="00F27CFD"/>
    <w:rsid w:val="00F27DA6"/>
    <w:rsid w:val="00F27F00"/>
    <w:rsid w:val="00F300E1"/>
    <w:rsid w:val="00F30608"/>
    <w:rsid w:val="00F30BC6"/>
    <w:rsid w:val="00F311E2"/>
    <w:rsid w:val="00F31814"/>
    <w:rsid w:val="00F32262"/>
    <w:rsid w:val="00F32A3C"/>
    <w:rsid w:val="00F3379A"/>
    <w:rsid w:val="00F33BC4"/>
    <w:rsid w:val="00F33D8A"/>
    <w:rsid w:val="00F33E5A"/>
    <w:rsid w:val="00F34265"/>
    <w:rsid w:val="00F345AF"/>
    <w:rsid w:val="00F35C2A"/>
    <w:rsid w:val="00F35E2A"/>
    <w:rsid w:val="00F3642C"/>
    <w:rsid w:val="00F36C33"/>
    <w:rsid w:val="00F36D40"/>
    <w:rsid w:val="00F36E1F"/>
    <w:rsid w:val="00F36F27"/>
    <w:rsid w:val="00F37481"/>
    <w:rsid w:val="00F377BE"/>
    <w:rsid w:val="00F37F99"/>
    <w:rsid w:val="00F40B92"/>
    <w:rsid w:val="00F4139C"/>
    <w:rsid w:val="00F41A44"/>
    <w:rsid w:val="00F427E6"/>
    <w:rsid w:val="00F434F9"/>
    <w:rsid w:val="00F438CD"/>
    <w:rsid w:val="00F441B9"/>
    <w:rsid w:val="00F44F12"/>
    <w:rsid w:val="00F453A7"/>
    <w:rsid w:val="00F457B6"/>
    <w:rsid w:val="00F45EBF"/>
    <w:rsid w:val="00F46498"/>
    <w:rsid w:val="00F4674D"/>
    <w:rsid w:val="00F4713E"/>
    <w:rsid w:val="00F47D6F"/>
    <w:rsid w:val="00F50104"/>
    <w:rsid w:val="00F503B5"/>
    <w:rsid w:val="00F506DF"/>
    <w:rsid w:val="00F50844"/>
    <w:rsid w:val="00F50CCD"/>
    <w:rsid w:val="00F516D3"/>
    <w:rsid w:val="00F51F0D"/>
    <w:rsid w:val="00F526B8"/>
    <w:rsid w:val="00F527E0"/>
    <w:rsid w:val="00F532C9"/>
    <w:rsid w:val="00F545AC"/>
    <w:rsid w:val="00F54873"/>
    <w:rsid w:val="00F54879"/>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61E"/>
    <w:rsid w:val="00F61B4C"/>
    <w:rsid w:val="00F61BE4"/>
    <w:rsid w:val="00F6255A"/>
    <w:rsid w:val="00F6285D"/>
    <w:rsid w:val="00F629C7"/>
    <w:rsid w:val="00F62C42"/>
    <w:rsid w:val="00F637BF"/>
    <w:rsid w:val="00F644E6"/>
    <w:rsid w:val="00F64E21"/>
    <w:rsid w:val="00F652F0"/>
    <w:rsid w:val="00F6589A"/>
    <w:rsid w:val="00F666B5"/>
    <w:rsid w:val="00F66BDC"/>
    <w:rsid w:val="00F70342"/>
    <w:rsid w:val="00F710B3"/>
    <w:rsid w:val="00F71643"/>
    <w:rsid w:val="00F71982"/>
    <w:rsid w:val="00F71F53"/>
    <w:rsid w:val="00F725D1"/>
    <w:rsid w:val="00F72B58"/>
    <w:rsid w:val="00F737D9"/>
    <w:rsid w:val="00F7392C"/>
    <w:rsid w:val="00F74529"/>
    <w:rsid w:val="00F746CA"/>
    <w:rsid w:val="00F74B0B"/>
    <w:rsid w:val="00F753C4"/>
    <w:rsid w:val="00F75D9D"/>
    <w:rsid w:val="00F75F76"/>
    <w:rsid w:val="00F769C7"/>
    <w:rsid w:val="00F76BFF"/>
    <w:rsid w:val="00F76CD4"/>
    <w:rsid w:val="00F7730A"/>
    <w:rsid w:val="00F7784C"/>
    <w:rsid w:val="00F77995"/>
    <w:rsid w:val="00F77BFA"/>
    <w:rsid w:val="00F77C5F"/>
    <w:rsid w:val="00F77E6F"/>
    <w:rsid w:val="00F80287"/>
    <w:rsid w:val="00F80F95"/>
    <w:rsid w:val="00F8123F"/>
    <w:rsid w:val="00F820EF"/>
    <w:rsid w:val="00F8244B"/>
    <w:rsid w:val="00F82683"/>
    <w:rsid w:val="00F82DB0"/>
    <w:rsid w:val="00F82FD1"/>
    <w:rsid w:val="00F83D11"/>
    <w:rsid w:val="00F849BF"/>
    <w:rsid w:val="00F8530F"/>
    <w:rsid w:val="00F857F6"/>
    <w:rsid w:val="00F85C84"/>
    <w:rsid w:val="00F86E36"/>
    <w:rsid w:val="00F86EE8"/>
    <w:rsid w:val="00F87A9A"/>
    <w:rsid w:val="00F87EDC"/>
    <w:rsid w:val="00F902BF"/>
    <w:rsid w:val="00F91540"/>
    <w:rsid w:val="00F916AC"/>
    <w:rsid w:val="00F91A2C"/>
    <w:rsid w:val="00F91E3D"/>
    <w:rsid w:val="00F929C3"/>
    <w:rsid w:val="00F92CA1"/>
    <w:rsid w:val="00F930A7"/>
    <w:rsid w:val="00F93826"/>
    <w:rsid w:val="00F94BFC"/>
    <w:rsid w:val="00F96149"/>
    <w:rsid w:val="00F9616C"/>
    <w:rsid w:val="00F964BA"/>
    <w:rsid w:val="00F9653B"/>
    <w:rsid w:val="00F97B89"/>
    <w:rsid w:val="00F97D53"/>
    <w:rsid w:val="00FA01C8"/>
    <w:rsid w:val="00FA081A"/>
    <w:rsid w:val="00FA1759"/>
    <w:rsid w:val="00FA1ADA"/>
    <w:rsid w:val="00FA21FC"/>
    <w:rsid w:val="00FA2245"/>
    <w:rsid w:val="00FA2C02"/>
    <w:rsid w:val="00FA2C1D"/>
    <w:rsid w:val="00FA2C94"/>
    <w:rsid w:val="00FA310E"/>
    <w:rsid w:val="00FA33B5"/>
    <w:rsid w:val="00FA359A"/>
    <w:rsid w:val="00FA3BDF"/>
    <w:rsid w:val="00FA5056"/>
    <w:rsid w:val="00FA5E83"/>
    <w:rsid w:val="00FA6290"/>
    <w:rsid w:val="00FA63CD"/>
    <w:rsid w:val="00FA6AEA"/>
    <w:rsid w:val="00FA73B9"/>
    <w:rsid w:val="00FA73EB"/>
    <w:rsid w:val="00FA773D"/>
    <w:rsid w:val="00FA7982"/>
    <w:rsid w:val="00FA7CCD"/>
    <w:rsid w:val="00FB0135"/>
    <w:rsid w:val="00FB0E27"/>
    <w:rsid w:val="00FB0F94"/>
    <w:rsid w:val="00FB1A16"/>
    <w:rsid w:val="00FB1A3C"/>
    <w:rsid w:val="00FB2597"/>
    <w:rsid w:val="00FB31DD"/>
    <w:rsid w:val="00FB3C92"/>
    <w:rsid w:val="00FB491A"/>
    <w:rsid w:val="00FB49E0"/>
    <w:rsid w:val="00FB4EE9"/>
    <w:rsid w:val="00FB5063"/>
    <w:rsid w:val="00FB62CF"/>
    <w:rsid w:val="00FB6C63"/>
    <w:rsid w:val="00FB6DF8"/>
    <w:rsid w:val="00FB6E8D"/>
    <w:rsid w:val="00FB74A8"/>
    <w:rsid w:val="00FC052E"/>
    <w:rsid w:val="00FC0785"/>
    <w:rsid w:val="00FC084F"/>
    <w:rsid w:val="00FC0ADF"/>
    <w:rsid w:val="00FC0B6E"/>
    <w:rsid w:val="00FC13F0"/>
    <w:rsid w:val="00FC1E3D"/>
    <w:rsid w:val="00FC1FA3"/>
    <w:rsid w:val="00FC2956"/>
    <w:rsid w:val="00FC3262"/>
    <w:rsid w:val="00FC3283"/>
    <w:rsid w:val="00FC39C9"/>
    <w:rsid w:val="00FC3B13"/>
    <w:rsid w:val="00FC3E0A"/>
    <w:rsid w:val="00FC3E24"/>
    <w:rsid w:val="00FC3EB4"/>
    <w:rsid w:val="00FC4352"/>
    <w:rsid w:val="00FC4AB2"/>
    <w:rsid w:val="00FC53A4"/>
    <w:rsid w:val="00FC544A"/>
    <w:rsid w:val="00FC5458"/>
    <w:rsid w:val="00FC6C58"/>
    <w:rsid w:val="00FC70C6"/>
    <w:rsid w:val="00FC70D7"/>
    <w:rsid w:val="00FC78B0"/>
    <w:rsid w:val="00FC7A10"/>
    <w:rsid w:val="00FC7F33"/>
    <w:rsid w:val="00FD1863"/>
    <w:rsid w:val="00FD1C8A"/>
    <w:rsid w:val="00FD1DD0"/>
    <w:rsid w:val="00FD1DF4"/>
    <w:rsid w:val="00FD279F"/>
    <w:rsid w:val="00FD3BD1"/>
    <w:rsid w:val="00FD3E3D"/>
    <w:rsid w:val="00FD5518"/>
    <w:rsid w:val="00FD56CC"/>
    <w:rsid w:val="00FD635E"/>
    <w:rsid w:val="00FD71F0"/>
    <w:rsid w:val="00FD73A9"/>
    <w:rsid w:val="00FD746F"/>
    <w:rsid w:val="00FD7CFC"/>
    <w:rsid w:val="00FE09CA"/>
    <w:rsid w:val="00FE0C94"/>
    <w:rsid w:val="00FE144F"/>
    <w:rsid w:val="00FE157F"/>
    <w:rsid w:val="00FE1EAD"/>
    <w:rsid w:val="00FE21AB"/>
    <w:rsid w:val="00FE25F4"/>
    <w:rsid w:val="00FE3CEC"/>
    <w:rsid w:val="00FE3EFB"/>
    <w:rsid w:val="00FE40DE"/>
    <w:rsid w:val="00FE4DAB"/>
    <w:rsid w:val="00FE6A5A"/>
    <w:rsid w:val="00FE6B45"/>
    <w:rsid w:val="00FE6B58"/>
    <w:rsid w:val="00FE6BF8"/>
    <w:rsid w:val="00FE6EBC"/>
    <w:rsid w:val="00FE6F98"/>
    <w:rsid w:val="00FE7129"/>
    <w:rsid w:val="00FE769E"/>
    <w:rsid w:val="00FF05BC"/>
    <w:rsid w:val="00FF0651"/>
    <w:rsid w:val="00FF19BA"/>
    <w:rsid w:val="00FF1B45"/>
    <w:rsid w:val="00FF1B5F"/>
    <w:rsid w:val="00FF1C0D"/>
    <w:rsid w:val="00FF1C1C"/>
    <w:rsid w:val="00FF270C"/>
    <w:rsid w:val="00FF3302"/>
    <w:rsid w:val="00FF379A"/>
    <w:rsid w:val="00FF3C66"/>
    <w:rsid w:val="00FF3FB7"/>
    <w:rsid w:val="00FF4B22"/>
    <w:rsid w:val="00FF4FF1"/>
    <w:rsid w:val="00FF5724"/>
    <w:rsid w:val="00FF5851"/>
    <w:rsid w:val="00FF6C89"/>
    <w:rsid w:val="00FF7145"/>
    <w:rsid w:val="00FF7650"/>
    <w:rsid w:val="00FF7708"/>
    <w:rsid w:val="00FF78E5"/>
    <w:rsid w:val="00FF7B79"/>
    <w:rsid w:val="00FF7EB1"/>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0C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64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F5809"/>
    <w:rPr>
      <w:u w:val="single"/>
    </w:rPr>
  </w:style>
  <w:style w:type="paragraph" w:customStyle="1" w:styleId="Cabeceraypie">
    <w:name w:val="Cabecera y pie"/>
    <w:rsid w:val="00EF5809"/>
    <w:pPr>
      <w:tabs>
        <w:tab w:val="right" w:pos="9020"/>
      </w:tabs>
    </w:pPr>
    <w:rPr>
      <w:rFonts w:ascii="Helvetica" w:hAnsi="Arial Unicode MS" w:cs="Arial Unicode MS"/>
      <w:color w:val="000000"/>
      <w:sz w:val="24"/>
      <w:szCs w:val="24"/>
    </w:rPr>
  </w:style>
  <w:style w:type="paragraph" w:styleId="Footer">
    <w:name w:val="footer"/>
    <w:link w:val="FooterChar"/>
    <w:uiPriority w:val="99"/>
    <w:rsid w:val="00EF580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EF5809"/>
    <w:rPr>
      <w:rFonts w:ascii="Cambria" w:eastAsia="Cambria" w:hAnsi="Cambria" w:cs="Cambria"/>
      <w:color w:val="000000"/>
      <w:sz w:val="24"/>
      <w:szCs w:val="24"/>
      <w:u w:color="000000"/>
    </w:rPr>
  </w:style>
  <w:style w:type="paragraph" w:styleId="BodyTextIndent">
    <w:name w:val="Body Text Indent"/>
    <w:rsid w:val="00EF5809"/>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rsid w:val="00EF5809"/>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EF5809"/>
    <w:pPr>
      <w:numPr>
        <w:numId w:val="31"/>
      </w:numPr>
    </w:pPr>
  </w:style>
  <w:style w:type="numbering" w:customStyle="1" w:styleId="Estiloimportado1">
    <w:name w:val="Estilo importado 1"/>
    <w:rsid w:val="00EF5809"/>
  </w:style>
  <w:style w:type="numbering" w:customStyle="1" w:styleId="List1">
    <w:name w:val="List 1"/>
    <w:basedOn w:val="Estiloimportado2"/>
    <w:rsid w:val="00EF5809"/>
    <w:pPr>
      <w:numPr>
        <w:numId w:val="1"/>
      </w:numPr>
    </w:pPr>
  </w:style>
  <w:style w:type="numbering" w:customStyle="1" w:styleId="Estiloimportado2">
    <w:name w:val="Estilo importado 2"/>
    <w:rsid w:val="00EF5809"/>
  </w:style>
  <w:style w:type="numbering" w:customStyle="1" w:styleId="List210">
    <w:name w:val="List 21"/>
    <w:basedOn w:val="Estiloimportado3"/>
    <w:rsid w:val="00EF5809"/>
    <w:pPr>
      <w:numPr>
        <w:numId w:val="52"/>
      </w:numPr>
    </w:pPr>
  </w:style>
  <w:style w:type="numbering" w:customStyle="1" w:styleId="Estiloimportado3">
    <w:name w:val="Estilo importado 3"/>
    <w:rsid w:val="00EF5809"/>
  </w:style>
  <w:style w:type="numbering" w:customStyle="1" w:styleId="List31">
    <w:name w:val="List 31"/>
    <w:basedOn w:val="Estiloimportado4"/>
    <w:rsid w:val="00EF5809"/>
    <w:pPr>
      <w:numPr>
        <w:numId w:val="51"/>
      </w:numPr>
    </w:pPr>
  </w:style>
  <w:style w:type="numbering" w:customStyle="1" w:styleId="Estiloimportado4">
    <w:name w:val="Estilo importado 4"/>
    <w:rsid w:val="00EF5809"/>
  </w:style>
  <w:style w:type="numbering" w:customStyle="1" w:styleId="List41">
    <w:name w:val="List 41"/>
    <w:basedOn w:val="Estiloimportado5"/>
    <w:rsid w:val="00EF5809"/>
    <w:pPr>
      <w:numPr>
        <w:numId w:val="2"/>
      </w:numPr>
    </w:pPr>
  </w:style>
  <w:style w:type="numbering" w:customStyle="1" w:styleId="Estiloimportado5">
    <w:name w:val="Estilo importado 5"/>
    <w:rsid w:val="00EF5809"/>
  </w:style>
  <w:style w:type="numbering" w:customStyle="1" w:styleId="List510">
    <w:name w:val="List 51"/>
    <w:basedOn w:val="Estiloimportado6"/>
    <w:rsid w:val="00EF5809"/>
    <w:pPr>
      <w:numPr>
        <w:numId w:val="54"/>
      </w:numPr>
    </w:pPr>
  </w:style>
  <w:style w:type="numbering" w:customStyle="1" w:styleId="Estiloimportado6">
    <w:name w:val="Estilo importado 6"/>
    <w:rsid w:val="00EF5809"/>
  </w:style>
  <w:style w:type="numbering" w:customStyle="1" w:styleId="List6">
    <w:name w:val="List 6"/>
    <w:basedOn w:val="Estiloimportado7"/>
    <w:rsid w:val="00EF5809"/>
    <w:pPr>
      <w:numPr>
        <w:numId w:val="3"/>
      </w:numPr>
    </w:pPr>
  </w:style>
  <w:style w:type="numbering" w:customStyle="1" w:styleId="Estiloimportado7">
    <w:name w:val="Estilo importado 7"/>
    <w:rsid w:val="00EF5809"/>
  </w:style>
  <w:style w:type="numbering" w:customStyle="1" w:styleId="List7">
    <w:name w:val="List 7"/>
    <w:basedOn w:val="Estiloimportado8"/>
    <w:rsid w:val="00EF5809"/>
    <w:pPr>
      <w:numPr>
        <w:numId w:val="4"/>
      </w:numPr>
    </w:pPr>
  </w:style>
  <w:style w:type="numbering" w:customStyle="1" w:styleId="Estiloimportado8">
    <w:name w:val="Estilo importado 8"/>
    <w:rsid w:val="00EF5809"/>
  </w:style>
  <w:style w:type="numbering" w:customStyle="1" w:styleId="List8">
    <w:name w:val="List 8"/>
    <w:basedOn w:val="Estiloimportado9"/>
    <w:rsid w:val="00EF5809"/>
    <w:pPr>
      <w:numPr>
        <w:numId w:val="5"/>
      </w:numPr>
    </w:pPr>
  </w:style>
  <w:style w:type="numbering" w:customStyle="1" w:styleId="Estiloimportado9">
    <w:name w:val="Estilo importado 9"/>
    <w:rsid w:val="00EF5809"/>
  </w:style>
  <w:style w:type="numbering" w:customStyle="1" w:styleId="List9">
    <w:name w:val="List 9"/>
    <w:basedOn w:val="Estiloimportado10"/>
    <w:rsid w:val="00EF5809"/>
    <w:pPr>
      <w:numPr>
        <w:numId w:val="22"/>
      </w:numPr>
    </w:pPr>
  </w:style>
  <w:style w:type="numbering" w:customStyle="1" w:styleId="Estiloimportado10">
    <w:name w:val="Estilo importado 10"/>
    <w:rsid w:val="00EF5809"/>
  </w:style>
  <w:style w:type="numbering" w:customStyle="1" w:styleId="List10">
    <w:name w:val="List 10"/>
    <w:basedOn w:val="Estiloimportado11"/>
    <w:rsid w:val="00EF5809"/>
    <w:pPr>
      <w:numPr>
        <w:numId w:val="6"/>
      </w:numPr>
    </w:pPr>
  </w:style>
  <w:style w:type="numbering" w:customStyle="1" w:styleId="Estiloimportado11">
    <w:name w:val="Estilo importado 11"/>
    <w:rsid w:val="00EF5809"/>
  </w:style>
  <w:style w:type="numbering" w:customStyle="1" w:styleId="List11">
    <w:name w:val="List 11"/>
    <w:basedOn w:val="Estiloimportado12"/>
    <w:rsid w:val="00EF5809"/>
    <w:pPr>
      <w:numPr>
        <w:numId w:val="7"/>
      </w:numPr>
    </w:pPr>
  </w:style>
  <w:style w:type="numbering" w:customStyle="1" w:styleId="Estiloimportado12">
    <w:name w:val="Estilo importado 12"/>
    <w:rsid w:val="00EF5809"/>
  </w:style>
  <w:style w:type="numbering" w:customStyle="1" w:styleId="List12">
    <w:name w:val="List 12"/>
    <w:basedOn w:val="Estiloimportado13"/>
    <w:rsid w:val="00EF5809"/>
    <w:pPr>
      <w:numPr>
        <w:numId w:val="36"/>
      </w:numPr>
    </w:pPr>
  </w:style>
  <w:style w:type="numbering" w:customStyle="1" w:styleId="Estiloimportado13">
    <w:name w:val="Estilo importado 13"/>
    <w:rsid w:val="00EF5809"/>
  </w:style>
  <w:style w:type="numbering" w:customStyle="1" w:styleId="List13">
    <w:name w:val="List 13"/>
    <w:basedOn w:val="Estiloimportado14"/>
    <w:rsid w:val="00EF5809"/>
    <w:pPr>
      <w:numPr>
        <w:numId w:val="42"/>
      </w:numPr>
    </w:pPr>
  </w:style>
  <w:style w:type="numbering" w:customStyle="1" w:styleId="Estiloimportado14">
    <w:name w:val="Estilo importado 14"/>
    <w:rsid w:val="00EF5809"/>
  </w:style>
  <w:style w:type="numbering" w:customStyle="1" w:styleId="List14">
    <w:name w:val="List 14"/>
    <w:basedOn w:val="Estiloimportado15"/>
    <w:rsid w:val="00EF5809"/>
    <w:pPr>
      <w:numPr>
        <w:numId w:val="17"/>
      </w:numPr>
    </w:pPr>
  </w:style>
  <w:style w:type="numbering" w:customStyle="1" w:styleId="Estiloimportado15">
    <w:name w:val="Estilo importado 15"/>
    <w:rsid w:val="00EF5809"/>
  </w:style>
  <w:style w:type="numbering" w:customStyle="1" w:styleId="List15">
    <w:name w:val="List 15"/>
    <w:basedOn w:val="Estiloimportado16"/>
    <w:rsid w:val="00EF5809"/>
    <w:pPr>
      <w:numPr>
        <w:numId w:val="16"/>
      </w:numPr>
    </w:pPr>
  </w:style>
  <w:style w:type="numbering" w:customStyle="1" w:styleId="Estiloimportado16">
    <w:name w:val="Estilo importado 16"/>
    <w:rsid w:val="00EF5809"/>
  </w:style>
  <w:style w:type="numbering" w:customStyle="1" w:styleId="List16">
    <w:name w:val="List 16"/>
    <w:basedOn w:val="Estiloimportado16"/>
    <w:rsid w:val="00EF5809"/>
    <w:pPr>
      <w:numPr>
        <w:numId w:val="10"/>
      </w:numPr>
    </w:pPr>
  </w:style>
  <w:style w:type="numbering" w:customStyle="1" w:styleId="List17">
    <w:name w:val="List 17"/>
    <w:basedOn w:val="Estiloimportado17"/>
    <w:rsid w:val="00EF5809"/>
    <w:pPr>
      <w:numPr>
        <w:numId w:val="25"/>
      </w:numPr>
    </w:pPr>
  </w:style>
  <w:style w:type="numbering" w:customStyle="1" w:styleId="Estiloimportado17">
    <w:name w:val="Estilo importado 17"/>
    <w:rsid w:val="00EF5809"/>
  </w:style>
  <w:style w:type="numbering" w:customStyle="1" w:styleId="List18">
    <w:name w:val="List 18"/>
    <w:basedOn w:val="Estiloimportado18"/>
    <w:rsid w:val="00EF5809"/>
    <w:pPr>
      <w:numPr>
        <w:numId w:val="27"/>
      </w:numPr>
    </w:pPr>
  </w:style>
  <w:style w:type="numbering" w:customStyle="1" w:styleId="Estiloimportado18">
    <w:name w:val="Estilo importado 18"/>
    <w:rsid w:val="00EF5809"/>
  </w:style>
  <w:style w:type="numbering" w:customStyle="1" w:styleId="List19">
    <w:name w:val="List 19"/>
    <w:basedOn w:val="Estiloimportado10"/>
    <w:rsid w:val="00EF5809"/>
    <w:pPr>
      <w:numPr>
        <w:numId w:val="19"/>
      </w:numPr>
    </w:pPr>
  </w:style>
  <w:style w:type="numbering" w:customStyle="1" w:styleId="List20">
    <w:name w:val="List 20"/>
    <w:basedOn w:val="Estiloimportado12"/>
    <w:rsid w:val="00EF5809"/>
    <w:pPr>
      <w:numPr>
        <w:numId w:val="43"/>
      </w:numPr>
    </w:pPr>
  </w:style>
  <w:style w:type="numbering" w:customStyle="1" w:styleId="List21">
    <w:name w:val="List 21"/>
    <w:basedOn w:val="Estiloimportado19"/>
    <w:rsid w:val="00EF5809"/>
    <w:pPr>
      <w:numPr>
        <w:numId w:val="38"/>
      </w:numPr>
    </w:pPr>
  </w:style>
  <w:style w:type="numbering" w:customStyle="1" w:styleId="Estiloimportado19">
    <w:name w:val="Estilo importado 19"/>
    <w:rsid w:val="00EF5809"/>
  </w:style>
  <w:style w:type="numbering" w:customStyle="1" w:styleId="List22">
    <w:name w:val="List 22"/>
    <w:basedOn w:val="Estiloimportado19"/>
    <w:rsid w:val="00EF5809"/>
    <w:pPr>
      <w:numPr>
        <w:numId w:val="28"/>
      </w:numPr>
    </w:pPr>
  </w:style>
  <w:style w:type="numbering" w:customStyle="1" w:styleId="List23">
    <w:name w:val="List 23"/>
    <w:basedOn w:val="Estiloimportado19"/>
    <w:rsid w:val="00EF5809"/>
    <w:pPr>
      <w:numPr>
        <w:numId w:val="18"/>
      </w:numPr>
    </w:pPr>
  </w:style>
  <w:style w:type="numbering" w:customStyle="1" w:styleId="List24">
    <w:name w:val="List 24"/>
    <w:basedOn w:val="Estiloimportado20"/>
    <w:rsid w:val="00EF5809"/>
    <w:pPr>
      <w:numPr>
        <w:numId w:val="13"/>
      </w:numPr>
    </w:pPr>
  </w:style>
  <w:style w:type="numbering" w:customStyle="1" w:styleId="Estiloimportado20">
    <w:name w:val="Estilo importado 20"/>
    <w:rsid w:val="00EF5809"/>
  </w:style>
  <w:style w:type="numbering" w:customStyle="1" w:styleId="List25">
    <w:name w:val="List 25"/>
    <w:basedOn w:val="Estiloimportado21"/>
    <w:rsid w:val="00EF5809"/>
    <w:pPr>
      <w:numPr>
        <w:numId w:val="15"/>
      </w:numPr>
    </w:pPr>
  </w:style>
  <w:style w:type="numbering" w:customStyle="1" w:styleId="Estiloimportado21">
    <w:name w:val="Estilo importado 21"/>
    <w:rsid w:val="00EF5809"/>
  </w:style>
  <w:style w:type="numbering" w:customStyle="1" w:styleId="List26">
    <w:name w:val="List 26"/>
    <w:basedOn w:val="Estiloimportado22"/>
    <w:rsid w:val="00EF5809"/>
    <w:pPr>
      <w:numPr>
        <w:numId w:val="49"/>
      </w:numPr>
    </w:pPr>
  </w:style>
  <w:style w:type="numbering" w:customStyle="1" w:styleId="Estiloimportado22">
    <w:name w:val="Estilo importado 22"/>
    <w:rsid w:val="00EF5809"/>
  </w:style>
  <w:style w:type="numbering" w:customStyle="1" w:styleId="List27">
    <w:name w:val="List 27"/>
    <w:basedOn w:val="Estiloimportado23"/>
    <w:rsid w:val="00EF5809"/>
    <w:pPr>
      <w:numPr>
        <w:numId w:val="41"/>
      </w:numPr>
    </w:pPr>
  </w:style>
  <w:style w:type="numbering" w:customStyle="1" w:styleId="Estiloimportado23">
    <w:name w:val="Estilo importado 23"/>
    <w:rsid w:val="00EF5809"/>
  </w:style>
  <w:style w:type="numbering" w:customStyle="1" w:styleId="List28">
    <w:name w:val="List 28"/>
    <w:basedOn w:val="Estiloimportado24"/>
    <w:rsid w:val="00EF5809"/>
    <w:pPr>
      <w:numPr>
        <w:numId w:val="30"/>
      </w:numPr>
    </w:pPr>
  </w:style>
  <w:style w:type="numbering" w:customStyle="1" w:styleId="Estiloimportado24">
    <w:name w:val="Estilo importado 24"/>
    <w:rsid w:val="00EF5809"/>
  </w:style>
  <w:style w:type="numbering" w:customStyle="1" w:styleId="List29">
    <w:name w:val="List 29"/>
    <w:basedOn w:val="Estiloimportado25"/>
    <w:rsid w:val="00EF5809"/>
    <w:pPr>
      <w:numPr>
        <w:numId w:val="34"/>
      </w:numPr>
    </w:pPr>
  </w:style>
  <w:style w:type="numbering" w:customStyle="1" w:styleId="Estiloimportado25">
    <w:name w:val="Estilo importado 25"/>
    <w:rsid w:val="00EF5809"/>
  </w:style>
  <w:style w:type="numbering" w:customStyle="1" w:styleId="List30">
    <w:name w:val="List 30"/>
    <w:basedOn w:val="Estiloimportado26"/>
    <w:rsid w:val="00EF5809"/>
    <w:pPr>
      <w:numPr>
        <w:numId w:val="32"/>
      </w:numPr>
    </w:pPr>
  </w:style>
  <w:style w:type="numbering" w:customStyle="1" w:styleId="Estiloimportado26">
    <w:name w:val="Estilo importado 26"/>
    <w:rsid w:val="00EF5809"/>
  </w:style>
  <w:style w:type="numbering" w:customStyle="1" w:styleId="List310">
    <w:name w:val="List 31"/>
    <w:basedOn w:val="Estiloimportado27"/>
    <w:rsid w:val="00EF5809"/>
    <w:pPr>
      <w:numPr>
        <w:numId w:val="45"/>
      </w:numPr>
    </w:pPr>
  </w:style>
  <w:style w:type="numbering" w:customStyle="1" w:styleId="Estiloimportado27">
    <w:name w:val="Estilo importado 27"/>
    <w:rsid w:val="00EF5809"/>
  </w:style>
  <w:style w:type="numbering" w:customStyle="1" w:styleId="List32">
    <w:name w:val="List 32"/>
    <w:basedOn w:val="Estiloimportado28"/>
    <w:rsid w:val="00EF5809"/>
    <w:pPr>
      <w:numPr>
        <w:numId w:val="48"/>
      </w:numPr>
    </w:pPr>
  </w:style>
  <w:style w:type="numbering" w:customStyle="1" w:styleId="Estiloimportado28">
    <w:name w:val="Estilo importado 28"/>
    <w:rsid w:val="00EF5809"/>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EF5809"/>
    <w:rPr>
      <w:rFonts w:ascii="Calibri" w:eastAsia="Calibri" w:hAnsi="Calibri" w:cs="Calibri"/>
      <w:color w:val="000000"/>
      <w:u w:color="000000"/>
      <w:lang w:val="en-US"/>
    </w:rPr>
  </w:style>
  <w:style w:type="numbering" w:customStyle="1" w:styleId="List33">
    <w:name w:val="List 33"/>
    <w:basedOn w:val="Estiloimportado29"/>
    <w:rsid w:val="00EF5809"/>
    <w:pPr>
      <w:numPr>
        <w:numId w:val="26"/>
      </w:numPr>
    </w:pPr>
  </w:style>
  <w:style w:type="numbering" w:customStyle="1" w:styleId="Estiloimportado29">
    <w:name w:val="Estilo importado 29"/>
    <w:rsid w:val="00EF5809"/>
  </w:style>
  <w:style w:type="numbering" w:customStyle="1" w:styleId="List34">
    <w:name w:val="List 34"/>
    <w:basedOn w:val="Estiloimportado30"/>
    <w:rsid w:val="00EF5809"/>
    <w:pPr>
      <w:numPr>
        <w:numId w:val="11"/>
      </w:numPr>
    </w:pPr>
  </w:style>
  <w:style w:type="numbering" w:customStyle="1" w:styleId="Estiloimportado30">
    <w:name w:val="Estilo importado 30"/>
    <w:rsid w:val="00EF5809"/>
  </w:style>
  <w:style w:type="numbering" w:customStyle="1" w:styleId="List35">
    <w:name w:val="List 35"/>
    <w:basedOn w:val="Estiloimportado31"/>
    <w:rsid w:val="00EF5809"/>
    <w:pPr>
      <w:numPr>
        <w:numId w:val="8"/>
      </w:numPr>
    </w:pPr>
  </w:style>
  <w:style w:type="numbering" w:customStyle="1" w:styleId="Estiloimportado31">
    <w:name w:val="Estilo importado 31"/>
    <w:rsid w:val="00EF5809"/>
  </w:style>
  <w:style w:type="numbering" w:customStyle="1" w:styleId="List36">
    <w:name w:val="List 36"/>
    <w:basedOn w:val="Estiloimportado32"/>
    <w:rsid w:val="00EF5809"/>
    <w:pPr>
      <w:numPr>
        <w:numId w:val="14"/>
      </w:numPr>
    </w:pPr>
  </w:style>
  <w:style w:type="numbering" w:customStyle="1" w:styleId="Estiloimportado32">
    <w:name w:val="Estilo importado 32"/>
    <w:rsid w:val="00EF5809"/>
  </w:style>
  <w:style w:type="numbering" w:customStyle="1" w:styleId="List37">
    <w:name w:val="List 37"/>
    <w:basedOn w:val="Estiloimportado33"/>
    <w:rsid w:val="00EF5809"/>
    <w:pPr>
      <w:numPr>
        <w:numId w:val="47"/>
      </w:numPr>
    </w:pPr>
  </w:style>
  <w:style w:type="numbering" w:customStyle="1" w:styleId="Estiloimportado33">
    <w:name w:val="Estilo importado 33"/>
    <w:rsid w:val="00EF5809"/>
  </w:style>
  <w:style w:type="numbering" w:customStyle="1" w:styleId="List38">
    <w:name w:val="List 38"/>
    <w:basedOn w:val="Estiloimportado34"/>
    <w:rsid w:val="00EF5809"/>
    <w:pPr>
      <w:numPr>
        <w:numId w:val="35"/>
      </w:numPr>
    </w:pPr>
  </w:style>
  <w:style w:type="numbering" w:customStyle="1" w:styleId="Estiloimportado34">
    <w:name w:val="Estilo importado 34"/>
    <w:rsid w:val="00EF5809"/>
  </w:style>
  <w:style w:type="numbering" w:customStyle="1" w:styleId="List39">
    <w:name w:val="List 39"/>
    <w:basedOn w:val="Estiloimportado35"/>
    <w:rsid w:val="00EF5809"/>
    <w:pPr>
      <w:numPr>
        <w:numId w:val="46"/>
      </w:numPr>
    </w:pPr>
  </w:style>
  <w:style w:type="numbering" w:customStyle="1" w:styleId="Estiloimportado35">
    <w:name w:val="Estilo importado 35"/>
    <w:rsid w:val="00EF5809"/>
  </w:style>
  <w:style w:type="numbering" w:customStyle="1" w:styleId="List40">
    <w:name w:val="List 40"/>
    <w:basedOn w:val="Estiloimportado36"/>
    <w:rsid w:val="00EF5809"/>
    <w:pPr>
      <w:numPr>
        <w:numId w:val="21"/>
      </w:numPr>
    </w:pPr>
  </w:style>
  <w:style w:type="numbering" w:customStyle="1" w:styleId="Estiloimportado36">
    <w:name w:val="Estilo importado 36"/>
    <w:rsid w:val="00EF5809"/>
  </w:style>
  <w:style w:type="numbering" w:customStyle="1" w:styleId="List410">
    <w:name w:val="List 41"/>
    <w:basedOn w:val="Estiloimportado37"/>
    <w:rsid w:val="00EF5809"/>
    <w:pPr>
      <w:numPr>
        <w:numId w:val="44"/>
      </w:numPr>
    </w:pPr>
  </w:style>
  <w:style w:type="numbering" w:customStyle="1" w:styleId="Estiloimportado37">
    <w:name w:val="Estilo importado 37"/>
    <w:rsid w:val="00EF5809"/>
  </w:style>
  <w:style w:type="numbering" w:customStyle="1" w:styleId="List42">
    <w:name w:val="List 42"/>
    <w:basedOn w:val="Estiloimportado12"/>
    <w:rsid w:val="00EF5809"/>
    <w:pPr>
      <w:numPr>
        <w:numId w:val="12"/>
      </w:numPr>
    </w:pPr>
  </w:style>
  <w:style w:type="numbering" w:customStyle="1" w:styleId="List43">
    <w:name w:val="List 43"/>
    <w:basedOn w:val="Estiloimportado38"/>
    <w:rsid w:val="00EF5809"/>
    <w:pPr>
      <w:numPr>
        <w:numId w:val="23"/>
      </w:numPr>
    </w:pPr>
  </w:style>
  <w:style w:type="numbering" w:customStyle="1" w:styleId="Estiloimportado38">
    <w:name w:val="Estilo importado 38"/>
    <w:rsid w:val="00EF5809"/>
  </w:style>
  <w:style w:type="numbering" w:customStyle="1" w:styleId="List44">
    <w:name w:val="List 44"/>
    <w:basedOn w:val="Estiloimportado39"/>
    <w:rsid w:val="00EF5809"/>
    <w:pPr>
      <w:numPr>
        <w:numId w:val="40"/>
      </w:numPr>
    </w:pPr>
  </w:style>
  <w:style w:type="numbering" w:customStyle="1" w:styleId="Estiloimportado39">
    <w:name w:val="Estilo importado 39"/>
    <w:rsid w:val="00EF5809"/>
  </w:style>
  <w:style w:type="numbering" w:customStyle="1" w:styleId="List45">
    <w:name w:val="List 45"/>
    <w:basedOn w:val="Estiloimportado40"/>
    <w:rsid w:val="00EF5809"/>
    <w:pPr>
      <w:numPr>
        <w:numId w:val="20"/>
      </w:numPr>
    </w:pPr>
  </w:style>
  <w:style w:type="numbering" w:customStyle="1" w:styleId="Estiloimportado40">
    <w:name w:val="Estilo importado 40"/>
    <w:rsid w:val="00EF5809"/>
  </w:style>
  <w:style w:type="numbering" w:customStyle="1" w:styleId="List46">
    <w:name w:val="List 46"/>
    <w:basedOn w:val="Estiloimportado41"/>
    <w:rsid w:val="00EF5809"/>
    <w:pPr>
      <w:numPr>
        <w:numId w:val="24"/>
      </w:numPr>
    </w:pPr>
  </w:style>
  <w:style w:type="numbering" w:customStyle="1" w:styleId="Estiloimportado41">
    <w:name w:val="Estilo importado 41"/>
    <w:rsid w:val="00EF5809"/>
  </w:style>
  <w:style w:type="numbering" w:customStyle="1" w:styleId="List47">
    <w:name w:val="List 47"/>
    <w:basedOn w:val="Estiloimportado42"/>
    <w:rsid w:val="00EF5809"/>
    <w:pPr>
      <w:numPr>
        <w:numId w:val="29"/>
      </w:numPr>
    </w:pPr>
  </w:style>
  <w:style w:type="numbering" w:customStyle="1" w:styleId="Estiloimportado42">
    <w:name w:val="Estilo importado 42"/>
    <w:rsid w:val="00EF5809"/>
  </w:style>
  <w:style w:type="numbering" w:customStyle="1" w:styleId="List48">
    <w:name w:val="List 48"/>
    <w:basedOn w:val="Estiloimportado43"/>
    <w:rsid w:val="00EF5809"/>
    <w:pPr>
      <w:numPr>
        <w:numId w:val="50"/>
      </w:numPr>
    </w:pPr>
  </w:style>
  <w:style w:type="numbering" w:customStyle="1" w:styleId="Estiloimportado43">
    <w:name w:val="Estilo importado 43"/>
    <w:rsid w:val="00EF5809"/>
  </w:style>
  <w:style w:type="numbering" w:customStyle="1" w:styleId="List49">
    <w:name w:val="List 49"/>
    <w:basedOn w:val="Estiloimportado44"/>
    <w:rsid w:val="00EF5809"/>
    <w:pPr>
      <w:numPr>
        <w:numId w:val="39"/>
      </w:numPr>
    </w:pPr>
  </w:style>
  <w:style w:type="numbering" w:customStyle="1" w:styleId="Estiloimportado44">
    <w:name w:val="Estilo importado 44"/>
    <w:rsid w:val="00EF5809"/>
  </w:style>
  <w:style w:type="numbering" w:customStyle="1" w:styleId="List50">
    <w:name w:val="List 50"/>
    <w:basedOn w:val="Estiloimportado45"/>
    <w:rsid w:val="00EF5809"/>
    <w:pPr>
      <w:numPr>
        <w:numId w:val="37"/>
      </w:numPr>
    </w:pPr>
  </w:style>
  <w:style w:type="numbering" w:customStyle="1" w:styleId="Estiloimportado45">
    <w:name w:val="Estilo importado 45"/>
    <w:rsid w:val="00EF5809"/>
  </w:style>
  <w:style w:type="numbering" w:customStyle="1" w:styleId="List51">
    <w:name w:val="List 51"/>
    <w:basedOn w:val="Estiloimportado46"/>
    <w:rsid w:val="00EF5809"/>
    <w:pPr>
      <w:numPr>
        <w:numId w:val="33"/>
      </w:numPr>
    </w:pPr>
  </w:style>
  <w:style w:type="numbering" w:customStyle="1" w:styleId="Estiloimportado46">
    <w:name w:val="Estilo importado 46"/>
    <w:rsid w:val="00EF5809"/>
  </w:style>
  <w:style w:type="numbering" w:customStyle="1" w:styleId="List52">
    <w:name w:val="List 52"/>
    <w:basedOn w:val="Estiloimportado1"/>
    <w:rsid w:val="00EF5809"/>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8455A6"/>
    <w:pPr>
      <w:spacing w:before="120"/>
      <w:ind w:left="240"/>
    </w:pPr>
    <w:rPr>
      <w:rFonts w:asciiTheme="minorHAnsi" w:hAnsiTheme="minorHAnsi" w:cstheme="minorHAnsi"/>
      <w:b/>
      <w:bCs/>
      <w:sz w:val="22"/>
      <w:szCs w:val="26"/>
    </w:rPr>
  </w:style>
  <w:style w:type="paragraph" w:styleId="TOC1">
    <w:name w:val="toc 1"/>
    <w:basedOn w:val="Normal"/>
    <w:next w:val="Normal"/>
    <w:autoRedefine/>
    <w:uiPriority w:val="39"/>
    <w:unhideWhenUsed/>
    <w:rsid w:val="00E43F2C"/>
    <w:pPr>
      <w:tabs>
        <w:tab w:val="left" w:pos="480"/>
        <w:tab w:val="right" w:leader="dot" w:pos="9350"/>
      </w:tabs>
      <w:spacing w:before="120"/>
    </w:pPr>
    <w:rPr>
      <w:rFonts w:asciiTheme="majorHAnsi" w:hAnsiTheme="majorHAnsi" w:cstheme="minorHAnsi"/>
      <w:bCs/>
      <w:iCs/>
      <w:noProof/>
      <w:sz w:val="19"/>
      <w:szCs w:val="19"/>
    </w:rPr>
  </w:style>
  <w:style w:type="paragraph" w:styleId="TOC3">
    <w:name w:val="toc 3"/>
    <w:basedOn w:val="Normal"/>
    <w:next w:val="Normal"/>
    <w:autoRedefine/>
    <w:uiPriority w:val="39"/>
    <w:unhideWhenUsed/>
    <w:rsid w:val="00864785"/>
    <w:pPr>
      <w:ind w:left="480"/>
    </w:pPr>
    <w:rPr>
      <w:rFonts w:asciiTheme="minorHAnsi" w:hAnsiTheme="minorHAnsi" w:cstheme="minorHAnsi"/>
      <w:sz w:val="20"/>
    </w:rPr>
  </w:style>
  <w:style w:type="paragraph" w:styleId="TOC4">
    <w:name w:val="toc 4"/>
    <w:basedOn w:val="Normal"/>
    <w:next w:val="Normal"/>
    <w:autoRedefine/>
    <w:uiPriority w:val="39"/>
    <w:unhideWhenUsed/>
    <w:rsid w:val="005C4225"/>
    <w:pPr>
      <w:ind w:left="720"/>
    </w:pPr>
    <w:rPr>
      <w:rFonts w:asciiTheme="minorHAnsi" w:hAnsiTheme="minorHAnsi" w:cstheme="minorHAnsi"/>
      <w:sz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uiPriority w:val="99"/>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customStyle="1" w:styleId="star-pagination">
    <w:name w:val="star-pagination"/>
    <w:basedOn w:val="DefaultParagraphFont"/>
    <w:rsid w:val="00AC6C72"/>
  </w:style>
  <w:style w:type="character" w:customStyle="1" w:styleId="citation">
    <w:name w:val="citation"/>
    <w:basedOn w:val="DefaultParagraphFont"/>
    <w:rsid w:val="00E9162B"/>
  </w:style>
  <w:style w:type="character" w:customStyle="1" w:styleId="volume">
    <w:name w:val="volume"/>
    <w:basedOn w:val="DefaultParagraphFont"/>
    <w:rsid w:val="00E9162B"/>
  </w:style>
  <w:style w:type="character" w:customStyle="1" w:styleId="reporter">
    <w:name w:val="reporter"/>
    <w:basedOn w:val="DefaultParagraphFont"/>
    <w:rsid w:val="00E9162B"/>
  </w:style>
  <w:style w:type="character" w:customStyle="1" w:styleId="page">
    <w:name w:val="page"/>
    <w:basedOn w:val="DefaultParagraphFont"/>
    <w:rsid w:val="00E9162B"/>
  </w:style>
  <w:style w:type="character" w:customStyle="1" w:styleId="Heading4Char">
    <w:name w:val="Heading 4 Char"/>
    <w:basedOn w:val="DefaultParagraphFont"/>
    <w:link w:val="Heading4"/>
    <w:uiPriority w:val="9"/>
    <w:rsid w:val="008664B8"/>
    <w:rPr>
      <w:rFonts w:asciiTheme="majorHAnsi" w:eastAsiaTheme="majorEastAsia" w:hAnsiTheme="majorHAnsi" w:cstheme="majorBidi"/>
      <w:b/>
      <w:bCs/>
      <w:i/>
      <w:iCs/>
      <w:color w:val="4F81BD" w:themeColor="accent1"/>
      <w:sz w:val="24"/>
      <w:szCs w:val="24"/>
      <w:lang w:val="en-US" w:eastAsia="en-US"/>
    </w:rPr>
  </w:style>
  <w:style w:type="character" w:customStyle="1" w:styleId="s6b621b36">
    <w:name w:val="s6b621b36"/>
    <w:basedOn w:val="DefaultParagraphFont"/>
    <w:rsid w:val="00D26FBE"/>
  </w:style>
  <w:style w:type="character" w:styleId="Emphasis">
    <w:name w:val="Emphasis"/>
    <w:basedOn w:val="DefaultParagraphFont"/>
    <w:uiPriority w:val="20"/>
    <w:qFormat/>
    <w:rsid w:val="008B3DDA"/>
    <w:rPr>
      <w:i/>
      <w:iCs/>
    </w:rPr>
  </w:style>
  <w:style w:type="paragraph" w:styleId="BodyTextIndent2">
    <w:name w:val="Body Text Indent 2"/>
    <w:basedOn w:val="Normal"/>
    <w:link w:val="BodyTextIndent2Char"/>
    <w:uiPriority w:val="99"/>
    <w:semiHidden/>
    <w:unhideWhenUsed/>
    <w:rsid w:val="00864D7F"/>
    <w:pPr>
      <w:spacing w:after="120" w:line="480" w:lineRule="auto"/>
      <w:ind w:left="360"/>
    </w:pPr>
  </w:style>
  <w:style w:type="character" w:customStyle="1" w:styleId="BodyTextIndent2Char">
    <w:name w:val="Body Text Indent 2 Char"/>
    <w:basedOn w:val="DefaultParagraphFont"/>
    <w:link w:val="BodyTextIndent2"/>
    <w:uiPriority w:val="99"/>
    <w:semiHidden/>
    <w:rsid w:val="00864D7F"/>
    <w:rPr>
      <w:sz w:val="24"/>
      <w:szCs w:val="24"/>
      <w:lang w:val="en-US" w:eastAsia="en-US"/>
    </w:rPr>
  </w:style>
  <w:style w:type="character" w:customStyle="1" w:styleId="lrzxr">
    <w:name w:val="lrzxr"/>
    <w:basedOn w:val="DefaultParagraphFont"/>
    <w:rsid w:val="006C0DB3"/>
  </w:style>
  <w:style w:type="paragraph" w:styleId="TOCHeading">
    <w:name w:val="TOC Heading"/>
    <w:basedOn w:val="Heading1"/>
    <w:next w:val="Normal"/>
    <w:uiPriority w:val="39"/>
    <w:unhideWhenUsed/>
    <w:qFormat/>
    <w:rsid w:val="008E1468"/>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s-US" w:eastAsia="zh-CN"/>
    </w:rPr>
  </w:style>
  <w:style w:type="paragraph" w:styleId="TOC5">
    <w:name w:val="toc 5"/>
    <w:basedOn w:val="Normal"/>
    <w:next w:val="Normal"/>
    <w:autoRedefine/>
    <w:uiPriority w:val="39"/>
    <w:semiHidden/>
    <w:unhideWhenUsed/>
    <w:rsid w:val="008E1468"/>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8E1468"/>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8E1468"/>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8E1468"/>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8E1468"/>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215357303">
      <w:bodyDiv w:val="1"/>
      <w:marLeft w:val="0"/>
      <w:marRight w:val="0"/>
      <w:marTop w:val="0"/>
      <w:marBottom w:val="0"/>
      <w:divBdr>
        <w:top w:val="none" w:sz="0" w:space="0" w:color="auto"/>
        <w:left w:val="none" w:sz="0" w:space="0" w:color="auto"/>
        <w:bottom w:val="none" w:sz="0" w:space="0" w:color="auto"/>
        <w:right w:val="none" w:sz="0" w:space="0" w:color="auto"/>
      </w:divBdr>
    </w:div>
    <w:div w:id="349069756">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358354239">
      <w:bodyDiv w:val="1"/>
      <w:marLeft w:val="0"/>
      <w:marRight w:val="0"/>
      <w:marTop w:val="0"/>
      <w:marBottom w:val="0"/>
      <w:divBdr>
        <w:top w:val="none" w:sz="0" w:space="0" w:color="auto"/>
        <w:left w:val="none" w:sz="0" w:space="0" w:color="auto"/>
        <w:bottom w:val="none" w:sz="0" w:space="0" w:color="auto"/>
        <w:right w:val="none" w:sz="0" w:space="0" w:color="auto"/>
      </w:divBdr>
      <w:divsChild>
        <w:div w:id="1629703758">
          <w:marLeft w:val="0"/>
          <w:marRight w:val="0"/>
          <w:marTop w:val="0"/>
          <w:marBottom w:val="0"/>
          <w:divBdr>
            <w:top w:val="none" w:sz="0" w:space="0" w:color="auto"/>
            <w:left w:val="none" w:sz="0" w:space="0" w:color="auto"/>
            <w:bottom w:val="none" w:sz="0" w:space="0" w:color="auto"/>
            <w:right w:val="none" w:sz="0" w:space="0" w:color="auto"/>
          </w:divBdr>
          <w:divsChild>
            <w:div w:id="138423051">
              <w:marLeft w:val="0"/>
              <w:marRight w:val="0"/>
              <w:marTop w:val="0"/>
              <w:marBottom w:val="0"/>
              <w:divBdr>
                <w:top w:val="none" w:sz="0" w:space="0" w:color="auto"/>
                <w:left w:val="none" w:sz="0" w:space="0" w:color="auto"/>
                <w:bottom w:val="none" w:sz="0" w:space="0" w:color="auto"/>
                <w:right w:val="none" w:sz="0" w:space="0" w:color="auto"/>
              </w:divBdr>
              <w:divsChild>
                <w:div w:id="9993709">
                  <w:marLeft w:val="0"/>
                  <w:marRight w:val="0"/>
                  <w:marTop w:val="0"/>
                  <w:marBottom w:val="0"/>
                  <w:divBdr>
                    <w:top w:val="none" w:sz="0" w:space="0" w:color="auto"/>
                    <w:left w:val="none" w:sz="0" w:space="0" w:color="auto"/>
                    <w:bottom w:val="none" w:sz="0" w:space="0" w:color="auto"/>
                    <w:right w:val="none" w:sz="0" w:space="0" w:color="auto"/>
                  </w:divBdr>
                  <w:divsChild>
                    <w:div w:id="1118260663">
                      <w:marLeft w:val="0"/>
                      <w:marRight w:val="0"/>
                      <w:marTop w:val="0"/>
                      <w:marBottom w:val="0"/>
                      <w:divBdr>
                        <w:top w:val="none" w:sz="0" w:space="0" w:color="auto"/>
                        <w:left w:val="none" w:sz="0" w:space="0" w:color="auto"/>
                        <w:bottom w:val="none" w:sz="0" w:space="0" w:color="auto"/>
                        <w:right w:val="none" w:sz="0" w:space="0" w:color="auto"/>
                      </w:divBdr>
                      <w:divsChild>
                        <w:div w:id="817258444">
                          <w:marLeft w:val="0"/>
                          <w:marRight w:val="0"/>
                          <w:marTop w:val="0"/>
                          <w:marBottom w:val="0"/>
                          <w:divBdr>
                            <w:top w:val="none" w:sz="0" w:space="0" w:color="auto"/>
                            <w:left w:val="none" w:sz="0" w:space="0" w:color="auto"/>
                            <w:bottom w:val="none" w:sz="0" w:space="0" w:color="auto"/>
                            <w:right w:val="none" w:sz="0" w:space="0" w:color="auto"/>
                          </w:divBdr>
                          <w:divsChild>
                            <w:div w:id="624771274">
                              <w:marLeft w:val="0"/>
                              <w:marRight w:val="0"/>
                              <w:marTop w:val="0"/>
                              <w:marBottom w:val="0"/>
                              <w:divBdr>
                                <w:top w:val="none" w:sz="0" w:space="0" w:color="auto"/>
                                <w:left w:val="none" w:sz="0" w:space="0" w:color="auto"/>
                                <w:bottom w:val="none" w:sz="0" w:space="0" w:color="auto"/>
                                <w:right w:val="none" w:sz="0" w:space="0" w:color="auto"/>
                              </w:divBdr>
                              <w:divsChild>
                                <w:div w:id="2125876771">
                                  <w:marLeft w:val="0"/>
                                  <w:marRight w:val="0"/>
                                  <w:marTop w:val="0"/>
                                  <w:marBottom w:val="0"/>
                                  <w:divBdr>
                                    <w:top w:val="none" w:sz="0" w:space="0" w:color="auto"/>
                                    <w:left w:val="none" w:sz="0" w:space="0" w:color="auto"/>
                                    <w:bottom w:val="none" w:sz="0" w:space="0" w:color="auto"/>
                                    <w:right w:val="none" w:sz="0" w:space="0" w:color="auto"/>
                                  </w:divBdr>
                                  <w:divsChild>
                                    <w:div w:id="1811824864">
                                      <w:marLeft w:val="0"/>
                                      <w:marRight w:val="0"/>
                                      <w:marTop w:val="0"/>
                                      <w:marBottom w:val="0"/>
                                      <w:divBdr>
                                        <w:top w:val="none" w:sz="0" w:space="0" w:color="auto"/>
                                        <w:left w:val="none" w:sz="0" w:space="0" w:color="auto"/>
                                        <w:bottom w:val="none" w:sz="0" w:space="0" w:color="auto"/>
                                        <w:right w:val="none" w:sz="0" w:space="0" w:color="auto"/>
                                      </w:divBdr>
                                      <w:divsChild>
                                        <w:div w:id="2057730026">
                                          <w:marLeft w:val="0"/>
                                          <w:marRight w:val="0"/>
                                          <w:marTop w:val="0"/>
                                          <w:marBottom w:val="0"/>
                                          <w:divBdr>
                                            <w:top w:val="none" w:sz="0" w:space="0" w:color="auto"/>
                                            <w:left w:val="none" w:sz="0" w:space="0" w:color="auto"/>
                                            <w:bottom w:val="none" w:sz="0" w:space="0" w:color="auto"/>
                                            <w:right w:val="none" w:sz="0" w:space="0" w:color="auto"/>
                                          </w:divBdr>
                                          <w:divsChild>
                                            <w:div w:id="767773938">
                                              <w:marLeft w:val="0"/>
                                              <w:marRight w:val="0"/>
                                              <w:marTop w:val="0"/>
                                              <w:marBottom w:val="0"/>
                                              <w:divBdr>
                                                <w:top w:val="none" w:sz="0" w:space="0" w:color="auto"/>
                                                <w:left w:val="none" w:sz="0" w:space="0" w:color="auto"/>
                                                <w:bottom w:val="none" w:sz="0" w:space="0" w:color="auto"/>
                                                <w:right w:val="none" w:sz="0" w:space="0" w:color="auto"/>
                                              </w:divBdr>
                                              <w:divsChild>
                                                <w:div w:id="139080936">
                                                  <w:marLeft w:val="0"/>
                                                  <w:marRight w:val="0"/>
                                                  <w:marTop w:val="0"/>
                                                  <w:marBottom w:val="0"/>
                                                  <w:divBdr>
                                                    <w:top w:val="none" w:sz="0" w:space="0" w:color="auto"/>
                                                    <w:left w:val="none" w:sz="0" w:space="0" w:color="auto"/>
                                                    <w:bottom w:val="none" w:sz="0" w:space="0" w:color="auto"/>
                                                    <w:right w:val="none" w:sz="0" w:space="0" w:color="auto"/>
                                                  </w:divBdr>
                                                  <w:divsChild>
                                                    <w:div w:id="161505410">
                                                      <w:marLeft w:val="0"/>
                                                      <w:marRight w:val="0"/>
                                                      <w:marTop w:val="0"/>
                                                      <w:marBottom w:val="0"/>
                                                      <w:divBdr>
                                                        <w:top w:val="none" w:sz="0" w:space="0" w:color="auto"/>
                                                        <w:left w:val="none" w:sz="0" w:space="0" w:color="auto"/>
                                                        <w:bottom w:val="none" w:sz="0" w:space="0" w:color="auto"/>
                                                        <w:right w:val="none" w:sz="0" w:space="0" w:color="auto"/>
                                                      </w:divBdr>
                                                    </w:div>
                                                    <w:div w:id="1974945989">
                                                      <w:marLeft w:val="0"/>
                                                      <w:marRight w:val="0"/>
                                                      <w:marTop w:val="0"/>
                                                      <w:marBottom w:val="0"/>
                                                      <w:divBdr>
                                                        <w:top w:val="none" w:sz="0" w:space="0" w:color="auto"/>
                                                        <w:left w:val="none" w:sz="0" w:space="0" w:color="auto"/>
                                                        <w:bottom w:val="none" w:sz="0" w:space="0" w:color="auto"/>
                                                        <w:right w:val="none" w:sz="0" w:space="0" w:color="auto"/>
                                                      </w:divBdr>
                                                    </w:div>
                                                    <w:div w:id="1389525883">
                                                      <w:marLeft w:val="0"/>
                                                      <w:marRight w:val="0"/>
                                                      <w:marTop w:val="0"/>
                                                      <w:marBottom w:val="0"/>
                                                      <w:divBdr>
                                                        <w:top w:val="none" w:sz="0" w:space="0" w:color="auto"/>
                                                        <w:left w:val="none" w:sz="0" w:space="0" w:color="auto"/>
                                                        <w:bottom w:val="none" w:sz="0" w:space="0" w:color="auto"/>
                                                        <w:right w:val="none" w:sz="0" w:space="0" w:color="auto"/>
                                                      </w:divBdr>
                                                    </w:div>
                                                    <w:div w:id="1406800677">
                                                      <w:marLeft w:val="0"/>
                                                      <w:marRight w:val="0"/>
                                                      <w:marTop w:val="0"/>
                                                      <w:marBottom w:val="0"/>
                                                      <w:divBdr>
                                                        <w:top w:val="none" w:sz="0" w:space="0" w:color="auto"/>
                                                        <w:left w:val="none" w:sz="0" w:space="0" w:color="auto"/>
                                                        <w:bottom w:val="none" w:sz="0" w:space="0" w:color="auto"/>
                                                        <w:right w:val="none" w:sz="0" w:space="0" w:color="auto"/>
                                                      </w:divBdr>
                                                    </w:div>
                                                    <w:div w:id="2083259271">
                                                      <w:marLeft w:val="0"/>
                                                      <w:marRight w:val="0"/>
                                                      <w:marTop w:val="0"/>
                                                      <w:marBottom w:val="0"/>
                                                      <w:divBdr>
                                                        <w:top w:val="none" w:sz="0" w:space="0" w:color="auto"/>
                                                        <w:left w:val="none" w:sz="0" w:space="0" w:color="auto"/>
                                                        <w:bottom w:val="none" w:sz="0" w:space="0" w:color="auto"/>
                                                        <w:right w:val="none" w:sz="0" w:space="0" w:color="auto"/>
                                                      </w:divBdr>
                                                    </w:div>
                                                    <w:div w:id="1328051991">
                                                      <w:marLeft w:val="0"/>
                                                      <w:marRight w:val="0"/>
                                                      <w:marTop w:val="0"/>
                                                      <w:marBottom w:val="0"/>
                                                      <w:divBdr>
                                                        <w:top w:val="none" w:sz="0" w:space="0" w:color="auto"/>
                                                        <w:left w:val="none" w:sz="0" w:space="0" w:color="auto"/>
                                                        <w:bottom w:val="none" w:sz="0" w:space="0" w:color="auto"/>
                                                        <w:right w:val="none" w:sz="0" w:space="0" w:color="auto"/>
                                                      </w:divBdr>
                                                    </w:div>
                                                    <w:div w:id="12008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483665976">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665208444">
      <w:bodyDiv w:val="1"/>
      <w:marLeft w:val="0"/>
      <w:marRight w:val="0"/>
      <w:marTop w:val="0"/>
      <w:marBottom w:val="0"/>
      <w:divBdr>
        <w:top w:val="none" w:sz="0" w:space="0" w:color="auto"/>
        <w:left w:val="none" w:sz="0" w:space="0" w:color="auto"/>
        <w:bottom w:val="none" w:sz="0" w:space="0" w:color="auto"/>
        <w:right w:val="none" w:sz="0" w:space="0" w:color="auto"/>
      </w:divBdr>
      <w:divsChild>
        <w:div w:id="2075856024">
          <w:marLeft w:val="0"/>
          <w:marRight w:val="0"/>
          <w:marTop w:val="0"/>
          <w:marBottom w:val="0"/>
          <w:divBdr>
            <w:top w:val="none" w:sz="0" w:space="0" w:color="auto"/>
            <w:left w:val="none" w:sz="0" w:space="0" w:color="auto"/>
            <w:bottom w:val="none" w:sz="0" w:space="0" w:color="auto"/>
            <w:right w:val="none" w:sz="0" w:space="0" w:color="auto"/>
          </w:divBdr>
          <w:divsChild>
            <w:div w:id="130251818">
              <w:marLeft w:val="-225"/>
              <w:marRight w:val="-225"/>
              <w:marTop w:val="0"/>
              <w:marBottom w:val="0"/>
              <w:divBdr>
                <w:top w:val="none" w:sz="0" w:space="0" w:color="auto"/>
                <w:left w:val="none" w:sz="0" w:space="0" w:color="auto"/>
                <w:bottom w:val="none" w:sz="0" w:space="0" w:color="auto"/>
                <w:right w:val="none" w:sz="0" w:space="0" w:color="auto"/>
              </w:divBdr>
              <w:divsChild>
                <w:div w:id="1563131556">
                  <w:marLeft w:val="0"/>
                  <w:marRight w:val="0"/>
                  <w:marTop w:val="0"/>
                  <w:marBottom w:val="0"/>
                  <w:divBdr>
                    <w:top w:val="none" w:sz="0" w:space="0" w:color="auto"/>
                    <w:left w:val="none" w:sz="0" w:space="0" w:color="auto"/>
                    <w:bottom w:val="none" w:sz="0" w:space="0" w:color="auto"/>
                    <w:right w:val="none" w:sz="0" w:space="0" w:color="auto"/>
                  </w:divBdr>
                  <w:divsChild>
                    <w:div w:id="1384450024">
                      <w:marLeft w:val="0"/>
                      <w:marRight w:val="0"/>
                      <w:marTop w:val="0"/>
                      <w:marBottom w:val="0"/>
                      <w:divBdr>
                        <w:top w:val="none" w:sz="0" w:space="0" w:color="auto"/>
                        <w:left w:val="none" w:sz="0" w:space="0" w:color="auto"/>
                        <w:bottom w:val="none" w:sz="0" w:space="0" w:color="auto"/>
                        <w:right w:val="none" w:sz="0" w:space="0" w:color="auto"/>
                      </w:divBdr>
                      <w:divsChild>
                        <w:div w:id="498892217">
                          <w:marLeft w:val="0"/>
                          <w:marRight w:val="0"/>
                          <w:marTop w:val="0"/>
                          <w:marBottom w:val="0"/>
                          <w:divBdr>
                            <w:top w:val="none" w:sz="0" w:space="0" w:color="auto"/>
                            <w:left w:val="none" w:sz="0" w:space="0" w:color="auto"/>
                            <w:bottom w:val="none" w:sz="0" w:space="0" w:color="auto"/>
                            <w:right w:val="none" w:sz="0" w:space="0" w:color="auto"/>
                          </w:divBdr>
                          <w:divsChild>
                            <w:div w:id="1691831902">
                              <w:marLeft w:val="0"/>
                              <w:marRight w:val="0"/>
                              <w:marTop w:val="0"/>
                              <w:marBottom w:val="0"/>
                              <w:divBdr>
                                <w:top w:val="none" w:sz="0" w:space="0" w:color="auto"/>
                                <w:left w:val="none" w:sz="0" w:space="0" w:color="auto"/>
                                <w:bottom w:val="none" w:sz="0" w:space="0" w:color="auto"/>
                                <w:right w:val="none" w:sz="0" w:space="0" w:color="auto"/>
                              </w:divBdr>
                              <w:divsChild>
                                <w:div w:id="18508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81457150">
      <w:bodyDiv w:val="1"/>
      <w:marLeft w:val="0"/>
      <w:marRight w:val="0"/>
      <w:marTop w:val="0"/>
      <w:marBottom w:val="0"/>
      <w:divBdr>
        <w:top w:val="none" w:sz="0" w:space="0" w:color="auto"/>
        <w:left w:val="none" w:sz="0" w:space="0" w:color="auto"/>
        <w:bottom w:val="none" w:sz="0" w:space="0" w:color="auto"/>
        <w:right w:val="none" w:sz="0" w:space="0" w:color="auto"/>
      </w:divBdr>
      <w:divsChild>
        <w:div w:id="880552794">
          <w:marLeft w:val="0"/>
          <w:marRight w:val="0"/>
          <w:marTop w:val="0"/>
          <w:marBottom w:val="0"/>
          <w:divBdr>
            <w:top w:val="none" w:sz="0" w:space="0" w:color="auto"/>
            <w:left w:val="none" w:sz="0" w:space="0" w:color="auto"/>
            <w:bottom w:val="none" w:sz="0" w:space="0" w:color="auto"/>
            <w:right w:val="none" w:sz="0" w:space="0" w:color="auto"/>
          </w:divBdr>
          <w:divsChild>
            <w:div w:id="62338156">
              <w:marLeft w:val="-225"/>
              <w:marRight w:val="-225"/>
              <w:marTop w:val="0"/>
              <w:marBottom w:val="0"/>
              <w:divBdr>
                <w:top w:val="none" w:sz="0" w:space="0" w:color="auto"/>
                <w:left w:val="none" w:sz="0" w:space="0" w:color="auto"/>
                <w:bottom w:val="none" w:sz="0" w:space="0" w:color="auto"/>
                <w:right w:val="none" w:sz="0" w:space="0" w:color="auto"/>
              </w:divBdr>
              <w:divsChild>
                <w:div w:id="1963421290">
                  <w:marLeft w:val="0"/>
                  <w:marRight w:val="0"/>
                  <w:marTop w:val="0"/>
                  <w:marBottom w:val="0"/>
                  <w:divBdr>
                    <w:top w:val="none" w:sz="0" w:space="0" w:color="auto"/>
                    <w:left w:val="none" w:sz="0" w:space="0" w:color="auto"/>
                    <w:bottom w:val="none" w:sz="0" w:space="0" w:color="auto"/>
                    <w:right w:val="none" w:sz="0" w:space="0" w:color="auto"/>
                  </w:divBdr>
                  <w:divsChild>
                    <w:div w:id="2036274797">
                      <w:marLeft w:val="0"/>
                      <w:marRight w:val="0"/>
                      <w:marTop w:val="0"/>
                      <w:marBottom w:val="0"/>
                      <w:divBdr>
                        <w:top w:val="none" w:sz="0" w:space="0" w:color="auto"/>
                        <w:left w:val="none" w:sz="0" w:space="0" w:color="auto"/>
                        <w:bottom w:val="none" w:sz="0" w:space="0" w:color="auto"/>
                        <w:right w:val="none" w:sz="0" w:space="0" w:color="auto"/>
                      </w:divBdr>
                      <w:divsChild>
                        <w:div w:id="208274138">
                          <w:marLeft w:val="0"/>
                          <w:marRight w:val="0"/>
                          <w:marTop w:val="0"/>
                          <w:marBottom w:val="0"/>
                          <w:divBdr>
                            <w:top w:val="none" w:sz="0" w:space="0" w:color="auto"/>
                            <w:left w:val="none" w:sz="0" w:space="0" w:color="auto"/>
                            <w:bottom w:val="none" w:sz="0" w:space="0" w:color="auto"/>
                            <w:right w:val="none" w:sz="0" w:space="0" w:color="auto"/>
                          </w:divBdr>
                          <w:divsChild>
                            <w:div w:id="1270115349">
                              <w:marLeft w:val="0"/>
                              <w:marRight w:val="0"/>
                              <w:marTop w:val="0"/>
                              <w:marBottom w:val="0"/>
                              <w:divBdr>
                                <w:top w:val="none" w:sz="0" w:space="0" w:color="auto"/>
                                <w:left w:val="none" w:sz="0" w:space="0" w:color="auto"/>
                                <w:bottom w:val="none" w:sz="0" w:space="0" w:color="auto"/>
                                <w:right w:val="none" w:sz="0" w:space="0" w:color="auto"/>
                              </w:divBdr>
                              <w:divsChild>
                                <w:div w:id="4637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cdn.ca9.uscourts.gov/datastore/general/2019/09/12/18-17031StayMotion.pdf" TargetMode="External"/><Relationship Id="rId3" Type="http://schemas.openxmlformats.org/officeDocument/2006/relationships/hyperlink" Target="https://www.justice.gov/sites/default/files/usao-wdok/legacy/2014/03/25/Indian%20Country%20Criminal%20Jurisdiction%20ChartColor2010.pdf" TargetMode="External"/><Relationship Id="rId7" Type="http://schemas.openxmlformats.org/officeDocument/2006/relationships/hyperlink" Target="https://fdprc.capdefnet.org/sites/cdn_fdprc/files/Assets/public/notices_of_intent/mitchell_-_d._az.pdf" TargetMode="External"/><Relationship Id="rId12" Type="http://schemas.openxmlformats.org/officeDocument/2006/relationships/hyperlink" Target="https://www.bbc.com/news/world-us-canada-53069070" TargetMode="External"/><Relationship Id="rId2" Type="http://schemas.openxmlformats.org/officeDocument/2006/relationships/hyperlink" Target="https://www.justice.gov/otj/native-american-policies" TargetMode="External"/><Relationship Id="rId1" Type="http://schemas.openxmlformats.org/officeDocument/2006/relationships/hyperlink" Target="https://www.justice.gov/archives/usam/archives/usam-9-10000-capital-crimes" TargetMode="External"/><Relationship Id="rId6" Type="http://schemas.openxmlformats.org/officeDocument/2006/relationships/hyperlink" Target="https://www.navajotreaty1868.navajo-nsn.gov" TargetMode="External"/><Relationship Id="rId11" Type="http://schemas.openxmlformats.org/officeDocument/2006/relationships/hyperlink" Target="https://www.washingtonpost.com/politics/courts_law/supreme-court-wont-let-justice-dept-immediately-resume-federal-executions-after-hiatus/2019/12/06/7103d8e6-1773-11ea-a659-7d69641c6ff7_story.html" TargetMode="External"/><Relationship Id="rId5" Type="http://schemas.openxmlformats.org/officeDocument/2006/relationships/hyperlink" Target="http://www.navajo-nsn.gov/index.htm" TargetMode="External"/><Relationship Id="rId10" Type="http://schemas.openxmlformats.org/officeDocument/2006/relationships/hyperlink" Target="https://www.washingtonpost.com/national/appeals-court-rejects-justice-department-request-to-let-federal-executions-proceed/2019/12/02/db76cf96-1541-11ea-9110-3b34ce1d92b1_story.html" TargetMode="External"/><Relationship Id="rId4" Type="http://schemas.openxmlformats.org/officeDocument/2006/relationships/hyperlink" Target="https://deathpenaltyinfo.org/state-and-federal-info/federal-death-penalty/background-on-the-federal-death-penalty" TargetMode="External"/><Relationship Id="rId9" Type="http://schemas.openxmlformats.org/officeDocument/2006/relationships/hyperlink" Target="https://www.npr.org/2019/07/26/745722219/lethal-injection-drugs-efficacy-and-availability-for-federal-execu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16904</Words>
  <Characters>90103</Characters>
  <Application>Microsoft Office Word</Application>
  <DocSecurity>0</DocSecurity>
  <Lines>1407</Lines>
  <Paragraphs>328</Paragraphs>
  <ScaleCrop>false</ScaleCrop>
  <Company/>
  <LinksUpToDate>false</LinksUpToDate>
  <CharactersWithSpaces>106679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211/20</dc:title>
  <dc:creator/>
  <cp:lastModifiedBy/>
  <cp:revision>1</cp:revision>
  <dcterms:created xsi:type="dcterms:W3CDTF">2021-01-11T17:55:00Z</dcterms:created>
  <dcterms:modified xsi:type="dcterms:W3CDTF">2021-01-11T18:00:00Z</dcterms:modified>
</cp:coreProperties>
</file>