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E3EE841" w14:textId="29D263C6" w:rsidR="00040C3A" w:rsidRPr="008B59AA" w:rsidRDefault="00385911"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8E55BD6" wp14:editId="7200FAE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3A945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AA57749" wp14:editId="28DDF49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BC1C0" w14:textId="77777777" w:rsidR="005E0A78" w:rsidRDefault="005E0A78">
                            <w:r>
                              <w:rPr>
                                <w:noProof/>
                              </w:rPr>
                              <w:drawing>
                                <wp:inline distT="0" distB="0" distL="0" distR="0" wp14:anchorId="09A14A50" wp14:editId="0BAC85F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A57749"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14:paraId="341BC1C0" w14:textId="77777777" w:rsidR="005E0A78" w:rsidRDefault="005E0A78">
                      <w:r>
                        <w:rPr>
                          <w:noProof/>
                        </w:rPr>
                        <w:drawing>
                          <wp:inline distT="0" distB="0" distL="0" distR="0" wp14:anchorId="09A14A50" wp14:editId="0BAC85F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roofErr w:type="spellStart"/>
      <w:proofErr w:type="gramStart"/>
      <w:r w:rsidR="008B59AA" w:rsidRPr="008B59AA">
        <w:rPr>
          <w:rFonts w:asciiTheme="majorHAnsi" w:hAnsiTheme="majorHAnsi" w:cs="Univers"/>
          <w:b/>
          <w:bCs/>
          <w:sz w:val="22"/>
          <w:szCs w:val="22"/>
        </w:rPr>
        <w:t>f</w:t>
      </w:r>
      <w:r w:rsidR="008B59AA">
        <w:rPr>
          <w:rFonts w:asciiTheme="majorHAnsi" w:hAnsiTheme="majorHAnsi" w:cs="Univers"/>
          <w:b/>
          <w:bCs/>
          <w:sz w:val="22"/>
          <w:szCs w:val="22"/>
        </w:rPr>
        <w:t>fffffff</w:t>
      </w:r>
      <w:proofErr w:type="spellEnd"/>
      <w:proofErr w:type="gramEnd"/>
    </w:p>
    <w:p w14:paraId="3E60CF1E" w14:textId="77777777" w:rsidR="00040C3A" w:rsidRPr="008B59AA" w:rsidRDefault="00040C3A" w:rsidP="00040C3A">
      <w:pPr>
        <w:tabs>
          <w:tab w:val="center" w:pos="5400"/>
        </w:tabs>
        <w:suppressAutoHyphens/>
        <w:jc w:val="both"/>
        <w:rPr>
          <w:rFonts w:asciiTheme="majorHAnsi" w:hAnsiTheme="majorHAnsi"/>
          <w:sz w:val="22"/>
          <w:szCs w:val="22"/>
        </w:rPr>
      </w:pPr>
    </w:p>
    <w:p w14:paraId="22F69302" w14:textId="77777777" w:rsidR="00040C3A" w:rsidRPr="008B59AA" w:rsidRDefault="00040C3A" w:rsidP="00040C3A">
      <w:pPr>
        <w:tabs>
          <w:tab w:val="center" w:pos="5400"/>
        </w:tabs>
        <w:suppressAutoHyphens/>
        <w:jc w:val="both"/>
        <w:rPr>
          <w:rFonts w:asciiTheme="majorHAnsi" w:hAnsiTheme="majorHAnsi"/>
          <w:sz w:val="22"/>
          <w:szCs w:val="22"/>
        </w:rPr>
      </w:pPr>
    </w:p>
    <w:p w14:paraId="687276C9" w14:textId="77777777" w:rsidR="005128E4" w:rsidRPr="008B59AA" w:rsidRDefault="005128E4" w:rsidP="00040C3A">
      <w:pPr>
        <w:tabs>
          <w:tab w:val="center" w:pos="5400"/>
        </w:tabs>
        <w:suppressAutoHyphens/>
        <w:rPr>
          <w:rFonts w:asciiTheme="majorHAnsi" w:hAnsiTheme="majorHAnsi"/>
          <w:sz w:val="22"/>
          <w:szCs w:val="22"/>
        </w:rPr>
      </w:pPr>
    </w:p>
    <w:p w14:paraId="0A43ECAB" w14:textId="77777777" w:rsidR="005128E4" w:rsidRPr="008B59AA" w:rsidRDefault="005128E4" w:rsidP="00040C3A">
      <w:pPr>
        <w:tabs>
          <w:tab w:val="center" w:pos="5400"/>
        </w:tabs>
        <w:suppressAutoHyphens/>
        <w:rPr>
          <w:rFonts w:asciiTheme="majorHAnsi" w:hAnsiTheme="majorHAnsi"/>
          <w:sz w:val="22"/>
          <w:szCs w:val="22"/>
        </w:rPr>
      </w:pPr>
    </w:p>
    <w:p w14:paraId="6ADB01F5" w14:textId="77777777" w:rsidR="005128E4" w:rsidRPr="008B59AA" w:rsidRDefault="005128E4" w:rsidP="00040C3A">
      <w:pPr>
        <w:tabs>
          <w:tab w:val="center" w:pos="5400"/>
        </w:tabs>
        <w:suppressAutoHyphens/>
        <w:rPr>
          <w:rFonts w:asciiTheme="majorHAnsi" w:hAnsiTheme="majorHAnsi"/>
          <w:sz w:val="22"/>
          <w:szCs w:val="22"/>
        </w:rPr>
      </w:pPr>
    </w:p>
    <w:p w14:paraId="6EE709CA" w14:textId="77777777" w:rsidR="00040C3A" w:rsidRPr="008B59AA" w:rsidRDefault="00040C3A" w:rsidP="005128E4">
      <w:pPr>
        <w:tabs>
          <w:tab w:val="center" w:pos="5400"/>
        </w:tabs>
        <w:suppressAutoHyphens/>
        <w:jc w:val="center"/>
        <w:rPr>
          <w:rFonts w:asciiTheme="majorHAnsi" w:hAnsiTheme="majorHAnsi"/>
          <w:sz w:val="22"/>
          <w:szCs w:val="22"/>
        </w:rPr>
      </w:pPr>
    </w:p>
    <w:p w14:paraId="306F78E7" w14:textId="77777777" w:rsidR="00040C3A" w:rsidRPr="008B59AA" w:rsidRDefault="00040C3A" w:rsidP="005128E4">
      <w:pPr>
        <w:tabs>
          <w:tab w:val="center" w:pos="5400"/>
        </w:tabs>
        <w:suppressAutoHyphens/>
        <w:jc w:val="center"/>
        <w:rPr>
          <w:rFonts w:asciiTheme="majorHAnsi" w:hAnsiTheme="majorHAnsi"/>
          <w:sz w:val="22"/>
          <w:szCs w:val="22"/>
        </w:rPr>
      </w:pPr>
    </w:p>
    <w:p w14:paraId="3F7E0CC3" w14:textId="77777777" w:rsidR="005B52B0" w:rsidRPr="008B59AA" w:rsidRDefault="005B52B0" w:rsidP="005128E4">
      <w:pPr>
        <w:tabs>
          <w:tab w:val="center" w:pos="5400"/>
        </w:tabs>
        <w:suppressAutoHyphens/>
        <w:jc w:val="center"/>
        <w:rPr>
          <w:rFonts w:asciiTheme="majorHAnsi" w:hAnsiTheme="majorHAnsi"/>
          <w:sz w:val="22"/>
          <w:szCs w:val="22"/>
        </w:rPr>
      </w:pPr>
    </w:p>
    <w:p w14:paraId="61BC5C52" w14:textId="77777777" w:rsidR="005B52B0" w:rsidRPr="008B59AA" w:rsidRDefault="005B52B0" w:rsidP="005128E4">
      <w:pPr>
        <w:tabs>
          <w:tab w:val="center" w:pos="5400"/>
        </w:tabs>
        <w:suppressAutoHyphens/>
        <w:jc w:val="center"/>
        <w:rPr>
          <w:rFonts w:asciiTheme="majorHAnsi" w:hAnsiTheme="majorHAnsi"/>
          <w:sz w:val="22"/>
          <w:szCs w:val="22"/>
        </w:rPr>
      </w:pPr>
    </w:p>
    <w:p w14:paraId="122E9A92" w14:textId="77777777" w:rsidR="005B52B0" w:rsidRPr="008B59AA" w:rsidRDefault="005B52B0" w:rsidP="005128E4">
      <w:pPr>
        <w:tabs>
          <w:tab w:val="center" w:pos="5400"/>
        </w:tabs>
        <w:suppressAutoHyphens/>
        <w:jc w:val="center"/>
        <w:rPr>
          <w:rFonts w:asciiTheme="majorHAnsi" w:hAnsiTheme="majorHAnsi"/>
          <w:sz w:val="22"/>
          <w:szCs w:val="22"/>
        </w:rPr>
      </w:pPr>
    </w:p>
    <w:p w14:paraId="20EC9248" w14:textId="77777777" w:rsidR="00040C3A" w:rsidRPr="008B59AA" w:rsidRDefault="00040C3A" w:rsidP="00040C3A">
      <w:pPr>
        <w:tabs>
          <w:tab w:val="center" w:pos="5400"/>
        </w:tabs>
        <w:suppressAutoHyphens/>
        <w:jc w:val="center"/>
        <w:rPr>
          <w:rFonts w:asciiTheme="majorHAnsi" w:hAnsiTheme="majorHAnsi"/>
          <w:sz w:val="22"/>
          <w:szCs w:val="22"/>
        </w:rPr>
      </w:pPr>
    </w:p>
    <w:p w14:paraId="2EB49352" w14:textId="77777777" w:rsidR="00040C3A" w:rsidRPr="008B59AA" w:rsidRDefault="00040C3A" w:rsidP="00040C3A">
      <w:pPr>
        <w:tabs>
          <w:tab w:val="center" w:pos="5400"/>
        </w:tabs>
        <w:suppressAutoHyphens/>
        <w:jc w:val="center"/>
        <w:rPr>
          <w:rFonts w:asciiTheme="majorHAnsi" w:hAnsiTheme="majorHAnsi"/>
          <w:sz w:val="22"/>
          <w:szCs w:val="22"/>
        </w:rPr>
      </w:pPr>
    </w:p>
    <w:p w14:paraId="60848F59" w14:textId="77777777" w:rsidR="00040C3A" w:rsidRPr="008B59AA" w:rsidRDefault="00040C3A" w:rsidP="00040C3A">
      <w:pPr>
        <w:tabs>
          <w:tab w:val="center" w:pos="5400"/>
        </w:tabs>
        <w:suppressAutoHyphens/>
        <w:jc w:val="center"/>
        <w:rPr>
          <w:rFonts w:asciiTheme="majorHAnsi" w:hAnsiTheme="majorHAnsi"/>
          <w:sz w:val="22"/>
          <w:szCs w:val="22"/>
        </w:rPr>
      </w:pPr>
    </w:p>
    <w:p w14:paraId="587C2C03" w14:textId="77777777" w:rsidR="00040C3A" w:rsidRPr="008B59AA" w:rsidRDefault="00385911"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FC8910" wp14:editId="2423069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77C34" w14:textId="5D6EF7C4" w:rsidR="005E0A78" w:rsidRPr="004B7EB6" w:rsidRDefault="008B59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103</w:t>
                            </w:r>
                            <w:r w:rsidR="005E0A78" w:rsidRPr="004B7EB6">
                              <w:rPr>
                                <w:rFonts w:asciiTheme="majorHAnsi" w:hAnsiTheme="majorHAnsi" w:cs="Arial"/>
                                <w:b/>
                                <w:bCs/>
                                <w:color w:val="0D0D0D" w:themeColor="text1" w:themeTint="F2"/>
                                <w:sz w:val="36"/>
                                <w:szCs w:val="40"/>
                              </w:rPr>
                              <w:t>/</w:t>
                            </w:r>
                            <w:r w:rsidR="00A74D35">
                              <w:rPr>
                                <w:rFonts w:asciiTheme="majorHAnsi" w:hAnsiTheme="majorHAnsi" w:cs="Arial"/>
                                <w:b/>
                                <w:bCs/>
                                <w:color w:val="0D0D0D" w:themeColor="text1" w:themeTint="F2"/>
                                <w:sz w:val="36"/>
                                <w:szCs w:val="40"/>
                              </w:rPr>
                              <w:t>20</w:t>
                            </w:r>
                          </w:p>
                          <w:p w14:paraId="70448C76" w14:textId="77777777" w:rsidR="005E0A78" w:rsidRPr="004B7EB6" w:rsidRDefault="005E0A7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417-12</w:t>
                            </w:r>
                          </w:p>
                          <w:p w14:paraId="10CD8634" w14:textId="77777777" w:rsidR="005E0A78" w:rsidRPr="004B7EB6" w:rsidRDefault="005E0A7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A13D17">
                              <w:rPr>
                                <w:rFonts w:asciiTheme="majorHAnsi" w:hAnsiTheme="majorHAnsi" w:cs="Arial"/>
                                <w:color w:val="0D0D0D" w:themeColor="text1" w:themeTint="F2"/>
                                <w:szCs w:val="22"/>
                              </w:rPr>
                              <w:t>ADMISSIBILITY</w:t>
                            </w:r>
                            <w:r>
                              <w:rPr>
                                <w:rFonts w:asciiTheme="majorHAnsi" w:hAnsiTheme="majorHAnsi" w:cs="Arial"/>
                                <w:color w:val="0D0D0D" w:themeColor="text1" w:themeTint="F2"/>
                                <w:szCs w:val="22"/>
                              </w:rPr>
                              <w:t xml:space="preserve"> </w:t>
                            </w:r>
                          </w:p>
                          <w:p w14:paraId="37A22BC5" w14:textId="77777777" w:rsidR="005E0A78" w:rsidRPr="004B7EB6" w:rsidRDefault="005E0A78" w:rsidP="004B7EB6">
                            <w:pPr>
                              <w:spacing w:line="276" w:lineRule="auto"/>
                              <w:rPr>
                                <w:rFonts w:asciiTheme="majorHAnsi" w:hAnsiTheme="majorHAnsi" w:cs="Arial"/>
                                <w:color w:val="0D0D0D" w:themeColor="text1" w:themeTint="F2"/>
                                <w:szCs w:val="22"/>
                              </w:rPr>
                            </w:pPr>
                          </w:p>
                          <w:p w14:paraId="6375E4DA" w14:textId="056D00CA" w:rsidR="005E0A78" w:rsidRPr="00385911" w:rsidRDefault="005E0A78" w:rsidP="005C34B3">
                            <w:pPr>
                              <w:spacing w:line="276" w:lineRule="auto"/>
                              <w:rPr>
                                <w:rFonts w:asciiTheme="majorHAnsi" w:hAnsiTheme="majorHAnsi" w:cs="Arial"/>
                                <w:color w:val="0D0D0D" w:themeColor="text1" w:themeTint="F2"/>
                                <w:szCs w:val="22"/>
                              </w:rPr>
                            </w:pPr>
                            <w:r w:rsidRPr="00385911">
                              <w:rPr>
                                <w:rFonts w:asciiTheme="majorHAnsi" w:hAnsiTheme="majorHAnsi" w:cs="Arial"/>
                                <w:color w:val="0D0D0D" w:themeColor="text1" w:themeTint="F2"/>
                                <w:szCs w:val="22"/>
                              </w:rPr>
                              <w:t>THAHE MOHAMM</w:t>
                            </w:r>
                            <w:r w:rsidR="00385911" w:rsidRPr="00385911">
                              <w:rPr>
                                <w:rFonts w:asciiTheme="majorHAnsi" w:hAnsiTheme="majorHAnsi" w:cs="Arial"/>
                                <w:color w:val="0D0D0D" w:themeColor="text1" w:themeTint="F2"/>
                                <w:szCs w:val="22"/>
                              </w:rPr>
                              <w:t xml:space="preserve">ED SABAR, </w:t>
                            </w:r>
                            <w:r w:rsidR="004F4014">
                              <w:rPr>
                                <w:rFonts w:asciiTheme="majorHAnsi" w:hAnsiTheme="majorHAnsi" w:cs="Arial"/>
                                <w:color w:val="0D0D0D" w:themeColor="text1" w:themeTint="F2"/>
                                <w:szCs w:val="22"/>
                              </w:rPr>
                              <w:t>ET AL.</w:t>
                            </w:r>
                          </w:p>
                          <w:p w14:paraId="7E1907CF" w14:textId="77777777" w:rsidR="005E0A78" w:rsidRPr="004B625D" w:rsidRDefault="005E0A7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214D9E7E" w14:textId="77777777" w:rsidR="005E0A78" w:rsidRPr="000C4365" w:rsidRDefault="005E0A78"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C8910"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14:paraId="0D577C34" w14:textId="5D6EF7C4" w:rsidR="005E0A78" w:rsidRPr="004B7EB6" w:rsidRDefault="008B59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103</w:t>
                      </w:r>
                      <w:r w:rsidR="005E0A78" w:rsidRPr="004B7EB6">
                        <w:rPr>
                          <w:rFonts w:asciiTheme="majorHAnsi" w:hAnsiTheme="majorHAnsi" w:cs="Arial"/>
                          <w:b/>
                          <w:bCs/>
                          <w:color w:val="0D0D0D" w:themeColor="text1" w:themeTint="F2"/>
                          <w:sz w:val="36"/>
                          <w:szCs w:val="40"/>
                        </w:rPr>
                        <w:t>/</w:t>
                      </w:r>
                      <w:r w:rsidR="00A74D35">
                        <w:rPr>
                          <w:rFonts w:asciiTheme="majorHAnsi" w:hAnsiTheme="majorHAnsi" w:cs="Arial"/>
                          <w:b/>
                          <w:bCs/>
                          <w:color w:val="0D0D0D" w:themeColor="text1" w:themeTint="F2"/>
                          <w:sz w:val="36"/>
                          <w:szCs w:val="40"/>
                        </w:rPr>
                        <w:t>20</w:t>
                      </w:r>
                    </w:p>
                    <w:p w14:paraId="70448C76" w14:textId="77777777" w:rsidR="005E0A78" w:rsidRPr="004B7EB6" w:rsidRDefault="005E0A7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417-12</w:t>
                      </w:r>
                    </w:p>
                    <w:p w14:paraId="10CD8634" w14:textId="77777777" w:rsidR="005E0A78" w:rsidRPr="004B7EB6" w:rsidRDefault="005E0A7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A13D17">
                        <w:rPr>
                          <w:rFonts w:asciiTheme="majorHAnsi" w:hAnsiTheme="majorHAnsi" w:cs="Arial"/>
                          <w:color w:val="0D0D0D" w:themeColor="text1" w:themeTint="F2"/>
                          <w:szCs w:val="22"/>
                        </w:rPr>
                        <w:t>ADMISSIBILITY</w:t>
                      </w:r>
                      <w:r>
                        <w:rPr>
                          <w:rFonts w:asciiTheme="majorHAnsi" w:hAnsiTheme="majorHAnsi" w:cs="Arial"/>
                          <w:color w:val="0D0D0D" w:themeColor="text1" w:themeTint="F2"/>
                          <w:szCs w:val="22"/>
                        </w:rPr>
                        <w:t xml:space="preserve"> </w:t>
                      </w:r>
                    </w:p>
                    <w:p w14:paraId="37A22BC5" w14:textId="77777777" w:rsidR="005E0A78" w:rsidRPr="004B7EB6" w:rsidRDefault="005E0A78" w:rsidP="004B7EB6">
                      <w:pPr>
                        <w:spacing w:line="276" w:lineRule="auto"/>
                        <w:rPr>
                          <w:rFonts w:asciiTheme="majorHAnsi" w:hAnsiTheme="majorHAnsi" w:cs="Arial"/>
                          <w:color w:val="0D0D0D" w:themeColor="text1" w:themeTint="F2"/>
                          <w:szCs w:val="22"/>
                        </w:rPr>
                      </w:pPr>
                    </w:p>
                    <w:p w14:paraId="6375E4DA" w14:textId="056D00CA" w:rsidR="005E0A78" w:rsidRPr="00385911" w:rsidRDefault="005E0A78" w:rsidP="005C34B3">
                      <w:pPr>
                        <w:spacing w:line="276" w:lineRule="auto"/>
                        <w:rPr>
                          <w:rFonts w:asciiTheme="majorHAnsi" w:hAnsiTheme="majorHAnsi" w:cs="Arial"/>
                          <w:color w:val="0D0D0D" w:themeColor="text1" w:themeTint="F2"/>
                          <w:szCs w:val="22"/>
                        </w:rPr>
                      </w:pPr>
                      <w:r w:rsidRPr="00385911">
                        <w:rPr>
                          <w:rFonts w:asciiTheme="majorHAnsi" w:hAnsiTheme="majorHAnsi" w:cs="Arial"/>
                          <w:color w:val="0D0D0D" w:themeColor="text1" w:themeTint="F2"/>
                          <w:szCs w:val="22"/>
                        </w:rPr>
                        <w:t>THAHE MOHAMM</w:t>
                      </w:r>
                      <w:r w:rsidR="00385911" w:rsidRPr="00385911">
                        <w:rPr>
                          <w:rFonts w:asciiTheme="majorHAnsi" w:hAnsiTheme="majorHAnsi" w:cs="Arial"/>
                          <w:color w:val="0D0D0D" w:themeColor="text1" w:themeTint="F2"/>
                          <w:szCs w:val="22"/>
                        </w:rPr>
                        <w:t xml:space="preserve">ED SABAR, </w:t>
                      </w:r>
                      <w:r w:rsidR="004F4014">
                        <w:rPr>
                          <w:rFonts w:asciiTheme="majorHAnsi" w:hAnsiTheme="majorHAnsi" w:cs="Arial"/>
                          <w:color w:val="0D0D0D" w:themeColor="text1" w:themeTint="F2"/>
                          <w:szCs w:val="22"/>
                        </w:rPr>
                        <w:t>ET AL.</w:t>
                      </w:r>
                    </w:p>
                    <w:p w14:paraId="7E1907CF" w14:textId="77777777" w:rsidR="005E0A78" w:rsidRPr="004B625D" w:rsidRDefault="005E0A7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214D9E7E" w14:textId="77777777" w:rsidR="005E0A78" w:rsidRPr="000C4365" w:rsidRDefault="005E0A78" w:rsidP="00F42B71">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EC108FA" wp14:editId="7E8240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89C0F" w14:textId="3DD7F941" w:rsidR="005E0A78" w:rsidRPr="00817B4C" w:rsidRDefault="005E0A78" w:rsidP="009E566A">
                            <w:pPr>
                              <w:jc w:val="right"/>
                              <w:rPr>
                                <w:rFonts w:asciiTheme="minorHAnsi" w:hAnsiTheme="minorHAnsi"/>
                                <w:color w:val="FFFFFF" w:themeColor="background1"/>
                                <w:sz w:val="22"/>
                                <w:lang w:val="es-US"/>
                              </w:rPr>
                            </w:pPr>
                            <w:r w:rsidRPr="00817B4C">
                              <w:rPr>
                                <w:rFonts w:asciiTheme="minorHAnsi" w:hAnsiTheme="minorHAnsi"/>
                                <w:color w:val="FFFFFF" w:themeColor="background1"/>
                                <w:sz w:val="22"/>
                                <w:lang w:val="es-US"/>
                              </w:rPr>
                              <w:t>OEA/</w:t>
                            </w:r>
                            <w:proofErr w:type="spellStart"/>
                            <w:r w:rsidRPr="00817B4C">
                              <w:rPr>
                                <w:rFonts w:asciiTheme="minorHAnsi" w:hAnsiTheme="minorHAnsi"/>
                                <w:color w:val="FFFFFF" w:themeColor="background1"/>
                                <w:sz w:val="22"/>
                                <w:lang w:val="es-US"/>
                              </w:rPr>
                              <w:t>Ser.L</w:t>
                            </w:r>
                            <w:proofErr w:type="spellEnd"/>
                            <w:r w:rsidRPr="00817B4C">
                              <w:rPr>
                                <w:rFonts w:asciiTheme="minorHAnsi" w:hAnsiTheme="minorHAnsi"/>
                                <w:color w:val="FFFFFF" w:themeColor="background1"/>
                                <w:sz w:val="22"/>
                                <w:lang w:val="es-US"/>
                              </w:rPr>
                              <w:t>/V/II.1</w:t>
                            </w:r>
                          </w:p>
                          <w:p w14:paraId="48B7D59F" w14:textId="71D217A7" w:rsidR="005E0A78" w:rsidRPr="008B59AA" w:rsidRDefault="005E0A78" w:rsidP="009E566A">
                            <w:pPr>
                              <w:jc w:val="right"/>
                              <w:rPr>
                                <w:rFonts w:asciiTheme="minorHAnsi" w:hAnsiTheme="minorHAnsi"/>
                                <w:color w:val="FFFFFF" w:themeColor="background1"/>
                                <w:sz w:val="22"/>
                              </w:rPr>
                            </w:pPr>
                            <w:r w:rsidRPr="008B59AA">
                              <w:rPr>
                                <w:rFonts w:asciiTheme="minorHAnsi" w:hAnsiTheme="minorHAnsi"/>
                                <w:color w:val="FFFFFF" w:themeColor="background1"/>
                                <w:sz w:val="22"/>
                              </w:rPr>
                              <w:t>Doc.</w:t>
                            </w:r>
                            <w:r w:rsidR="008B59AA" w:rsidRPr="008B59AA">
                              <w:rPr>
                                <w:rFonts w:asciiTheme="minorHAnsi" w:hAnsiTheme="minorHAnsi"/>
                                <w:color w:val="FFFFFF" w:themeColor="background1"/>
                                <w:sz w:val="22"/>
                              </w:rPr>
                              <w:t xml:space="preserve"> 1</w:t>
                            </w:r>
                            <w:r w:rsidR="008B59AA">
                              <w:rPr>
                                <w:rFonts w:asciiTheme="minorHAnsi" w:hAnsiTheme="minorHAnsi"/>
                                <w:color w:val="FFFFFF" w:themeColor="background1"/>
                                <w:sz w:val="22"/>
                              </w:rPr>
                              <w:t>13</w:t>
                            </w:r>
                          </w:p>
                          <w:p w14:paraId="4F8B1D70" w14:textId="43AF0BC0" w:rsidR="005E0A78" w:rsidRPr="004B7EB6" w:rsidRDefault="005E0A78" w:rsidP="009E566A">
                            <w:pPr>
                              <w:jc w:val="right"/>
                              <w:rPr>
                                <w:rFonts w:asciiTheme="minorHAnsi" w:hAnsiTheme="minorHAnsi"/>
                                <w:color w:val="FFFFFF" w:themeColor="background1"/>
                                <w:sz w:val="22"/>
                              </w:rPr>
                            </w:pPr>
                            <w:r w:rsidRPr="008B59AA">
                              <w:rPr>
                                <w:rFonts w:asciiTheme="minorHAnsi" w:hAnsiTheme="minorHAnsi"/>
                                <w:color w:val="FFFFFF" w:themeColor="background1"/>
                                <w:sz w:val="22"/>
                              </w:rPr>
                              <w:t xml:space="preserve"> </w:t>
                            </w:r>
                            <w:r w:rsidR="008B59AA">
                              <w:rPr>
                                <w:rFonts w:asciiTheme="minorHAnsi" w:hAnsiTheme="minorHAnsi"/>
                                <w:color w:val="FFFFFF" w:themeColor="background1"/>
                                <w:sz w:val="22"/>
                              </w:rPr>
                              <w:t>24 April</w:t>
                            </w:r>
                            <w:r>
                              <w:rPr>
                                <w:rFonts w:asciiTheme="minorHAnsi" w:hAnsiTheme="minorHAnsi"/>
                                <w:color w:val="FFFFFF" w:themeColor="background1"/>
                                <w:sz w:val="22"/>
                              </w:rPr>
                              <w:t xml:space="preserve"> 20</w:t>
                            </w:r>
                            <w:r w:rsidR="00A74D35">
                              <w:rPr>
                                <w:rFonts w:asciiTheme="minorHAnsi" w:hAnsiTheme="minorHAnsi"/>
                                <w:color w:val="FFFFFF" w:themeColor="background1"/>
                                <w:sz w:val="22"/>
                              </w:rPr>
                              <w:t>20</w:t>
                            </w:r>
                          </w:p>
                          <w:p w14:paraId="26F52203" w14:textId="77777777" w:rsidR="005E0A78" w:rsidRPr="004B7EB6" w:rsidRDefault="005E0A78"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5C34B3">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C108FA"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14:paraId="7AE89C0F" w14:textId="3DD7F941" w:rsidR="005E0A78" w:rsidRPr="008B59AA" w:rsidRDefault="005E0A78" w:rsidP="009E566A">
                      <w:pPr>
                        <w:jc w:val="right"/>
                        <w:rPr>
                          <w:rFonts w:asciiTheme="minorHAnsi" w:hAnsiTheme="minorHAnsi"/>
                          <w:color w:val="FFFFFF" w:themeColor="background1"/>
                          <w:sz w:val="22"/>
                        </w:rPr>
                      </w:pPr>
                      <w:r w:rsidRPr="008B59AA">
                        <w:rPr>
                          <w:rFonts w:asciiTheme="minorHAnsi" w:hAnsiTheme="minorHAnsi"/>
                          <w:color w:val="FFFFFF" w:themeColor="background1"/>
                          <w:sz w:val="22"/>
                        </w:rPr>
                        <w:t>OEA/Ser.L/V/II.1</w:t>
                      </w:r>
                    </w:p>
                    <w:p w14:paraId="48B7D59F" w14:textId="71D217A7" w:rsidR="005E0A78" w:rsidRPr="008B59AA" w:rsidRDefault="005E0A78" w:rsidP="009E566A">
                      <w:pPr>
                        <w:jc w:val="right"/>
                        <w:rPr>
                          <w:rFonts w:asciiTheme="minorHAnsi" w:hAnsiTheme="minorHAnsi"/>
                          <w:color w:val="FFFFFF" w:themeColor="background1"/>
                          <w:sz w:val="22"/>
                        </w:rPr>
                      </w:pPr>
                      <w:r w:rsidRPr="008B59AA">
                        <w:rPr>
                          <w:rFonts w:asciiTheme="minorHAnsi" w:hAnsiTheme="minorHAnsi"/>
                          <w:color w:val="FFFFFF" w:themeColor="background1"/>
                          <w:sz w:val="22"/>
                        </w:rPr>
                        <w:t>Doc.</w:t>
                      </w:r>
                      <w:r w:rsidR="008B59AA" w:rsidRPr="008B59AA">
                        <w:rPr>
                          <w:rFonts w:asciiTheme="minorHAnsi" w:hAnsiTheme="minorHAnsi"/>
                          <w:color w:val="FFFFFF" w:themeColor="background1"/>
                          <w:sz w:val="22"/>
                        </w:rPr>
                        <w:t xml:space="preserve"> 1</w:t>
                      </w:r>
                      <w:r w:rsidR="008B59AA">
                        <w:rPr>
                          <w:rFonts w:asciiTheme="minorHAnsi" w:hAnsiTheme="minorHAnsi"/>
                          <w:color w:val="FFFFFF" w:themeColor="background1"/>
                          <w:sz w:val="22"/>
                        </w:rPr>
                        <w:t>13</w:t>
                      </w:r>
                    </w:p>
                    <w:p w14:paraId="4F8B1D70" w14:textId="43AF0BC0" w:rsidR="005E0A78" w:rsidRPr="004B7EB6" w:rsidRDefault="005E0A78" w:rsidP="009E566A">
                      <w:pPr>
                        <w:jc w:val="right"/>
                        <w:rPr>
                          <w:rFonts w:asciiTheme="minorHAnsi" w:hAnsiTheme="minorHAnsi"/>
                          <w:color w:val="FFFFFF" w:themeColor="background1"/>
                          <w:sz w:val="22"/>
                        </w:rPr>
                      </w:pPr>
                      <w:r w:rsidRPr="008B59AA">
                        <w:rPr>
                          <w:rFonts w:asciiTheme="minorHAnsi" w:hAnsiTheme="minorHAnsi"/>
                          <w:color w:val="FFFFFF" w:themeColor="background1"/>
                          <w:sz w:val="22"/>
                        </w:rPr>
                        <w:t xml:space="preserve"> </w:t>
                      </w:r>
                      <w:r w:rsidR="008B59AA">
                        <w:rPr>
                          <w:rFonts w:asciiTheme="minorHAnsi" w:hAnsiTheme="minorHAnsi"/>
                          <w:color w:val="FFFFFF" w:themeColor="background1"/>
                          <w:sz w:val="22"/>
                        </w:rPr>
                        <w:t>24 April</w:t>
                      </w:r>
                      <w:r>
                        <w:rPr>
                          <w:rFonts w:asciiTheme="minorHAnsi" w:hAnsiTheme="minorHAnsi"/>
                          <w:color w:val="FFFFFF" w:themeColor="background1"/>
                          <w:sz w:val="22"/>
                        </w:rPr>
                        <w:t xml:space="preserve"> 20</w:t>
                      </w:r>
                      <w:r w:rsidR="00A74D35">
                        <w:rPr>
                          <w:rFonts w:asciiTheme="minorHAnsi" w:hAnsiTheme="minorHAnsi"/>
                          <w:color w:val="FFFFFF" w:themeColor="background1"/>
                          <w:sz w:val="22"/>
                        </w:rPr>
                        <w:t>20</w:t>
                      </w:r>
                    </w:p>
                    <w:p w14:paraId="26F52203" w14:textId="77777777" w:rsidR="005E0A78" w:rsidRPr="004B7EB6" w:rsidRDefault="005E0A78"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5C34B3">
                        <w:rPr>
                          <w:rFonts w:asciiTheme="minorHAnsi" w:hAnsiTheme="minorHAnsi"/>
                          <w:color w:val="FFFFFF" w:themeColor="background1"/>
                          <w:sz w:val="22"/>
                        </w:rPr>
                        <w:t>English</w:t>
                      </w:r>
                    </w:p>
                  </w:txbxContent>
                </v:textbox>
              </v:shape>
            </w:pict>
          </mc:Fallback>
        </mc:AlternateContent>
      </w:r>
    </w:p>
    <w:p w14:paraId="2EB15166" w14:textId="77777777" w:rsidR="00040C3A" w:rsidRPr="008B59AA" w:rsidRDefault="00040C3A" w:rsidP="00040C3A">
      <w:pPr>
        <w:tabs>
          <w:tab w:val="center" w:pos="5400"/>
        </w:tabs>
        <w:suppressAutoHyphens/>
        <w:jc w:val="center"/>
        <w:rPr>
          <w:rFonts w:asciiTheme="majorHAnsi" w:hAnsiTheme="majorHAnsi"/>
          <w:sz w:val="22"/>
          <w:szCs w:val="22"/>
        </w:rPr>
      </w:pPr>
    </w:p>
    <w:p w14:paraId="638C7584" w14:textId="77777777" w:rsidR="00040C3A" w:rsidRPr="008B59AA" w:rsidRDefault="00040C3A" w:rsidP="00040C3A">
      <w:pPr>
        <w:tabs>
          <w:tab w:val="center" w:pos="5400"/>
        </w:tabs>
        <w:suppressAutoHyphens/>
        <w:jc w:val="center"/>
        <w:rPr>
          <w:rFonts w:asciiTheme="majorHAnsi" w:hAnsiTheme="majorHAnsi" w:cs="Arial"/>
          <w:sz w:val="22"/>
          <w:szCs w:val="22"/>
        </w:rPr>
      </w:pPr>
    </w:p>
    <w:p w14:paraId="1E854363" w14:textId="77777777" w:rsidR="00040C3A" w:rsidRPr="008B59AA" w:rsidRDefault="00040C3A" w:rsidP="00040C3A">
      <w:pPr>
        <w:tabs>
          <w:tab w:val="center" w:pos="5400"/>
        </w:tabs>
        <w:suppressAutoHyphens/>
        <w:jc w:val="center"/>
        <w:rPr>
          <w:rFonts w:asciiTheme="majorHAnsi" w:hAnsiTheme="majorHAnsi"/>
          <w:sz w:val="22"/>
          <w:szCs w:val="22"/>
        </w:rPr>
      </w:pPr>
    </w:p>
    <w:p w14:paraId="7976FF28" w14:textId="77777777" w:rsidR="00040C3A" w:rsidRPr="008B59AA" w:rsidRDefault="00040C3A" w:rsidP="00040C3A">
      <w:pPr>
        <w:tabs>
          <w:tab w:val="center" w:pos="5400"/>
        </w:tabs>
        <w:suppressAutoHyphens/>
        <w:jc w:val="center"/>
        <w:rPr>
          <w:rFonts w:asciiTheme="majorHAnsi" w:hAnsiTheme="majorHAnsi"/>
          <w:sz w:val="22"/>
          <w:szCs w:val="22"/>
        </w:rPr>
      </w:pPr>
    </w:p>
    <w:p w14:paraId="6527ABB2" w14:textId="77777777" w:rsidR="00040C3A" w:rsidRPr="008B59AA" w:rsidRDefault="00040C3A" w:rsidP="00040C3A">
      <w:pPr>
        <w:tabs>
          <w:tab w:val="center" w:pos="5400"/>
        </w:tabs>
        <w:suppressAutoHyphens/>
        <w:jc w:val="center"/>
        <w:rPr>
          <w:rFonts w:asciiTheme="majorHAnsi" w:hAnsiTheme="majorHAnsi"/>
          <w:sz w:val="22"/>
          <w:szCs w:val="22"/>
        </w:rPr>
      </w:pPr>
    </w:p>
    <w:p w14:paraId="3DF2C9C5" w14:textId="77777777" w:rsidR="00040C3A" w:rsidRPr="008B59AA" w:rsidRDefault="00040C3A" w:rsidP="00040C3A">
      <w:pPr>
        <w:tabs>
          <w:tab w:val="center" w:pos="5400"/>
        </w:tabs>
        <w:suppressAutoHyphens/>
        <w:jc w:val="center"/>
        <w:rPr>
          <w:rFonts w:asciiTheme="majorHAnsi" w:hAnsiTheme="majorHAnsi"/>
          <w:sz w:val="22"/>
          <w:szCs w:val="22"/>
        </w:rPr>
      </w:pPr>
    </w:p>
    <w:p w14:paraId="263358F1" w14:textId="77777777" w:rsidR="005128E4" w:rsidRPr="008B59AA" w:rsidRDefault="005128E4" w:rsidP="00040C3A">
      <w:pPr>
        <w:tabs>
          <w:tab w:val="center" w:pos="5400"/>
        </w:tabs>
        <w:suppressAutoHyphens/>
        <w:jc w:val="center"/>
        <w:rPr>
          <w:rFonts w:asciiTheme="majorHAnsi" w:hAnsiTheme="majorHAnsi"/>
          <w:sz w:val="22"/>
          <w:szCs w:val="22"/>
        </w:rPr>
      </w:pPr>
    </w:p>
    <w:p w14:paraId="1AE7EF3E" w14:textId="77777777" w:rsidR="00040C3A" w:rsidRPr="008B59AA" w:rsidRDefault="00040C3A" w:rsidP="00040C3A">
      <w:pPr>
        <w:tabs>
          <w:tab w:val="center" w:pos="5400"/>
        </w:tabs>
        <w:suppressAutoHyphens/>
        <w:jc w:val="center"/>
        <w:rPr>
          <w:rFonts w:asciiTheme="majorHAnsi" w:hAnsiTheme="majorHAnsi"/>
          <w:sz w:val="22"/>
          <w:szCs w:val="22"/>
        </w:rPr>
      </w:pPr>
    </w:p>
    <w:p w14:paraId="4ED1E142" w14:textId="77777777" w:rsidR="005128E4" w:rsidRPr="008B59AA" w:rsidRDefault="005128E4" w:rsidP="00040C3A">
      <w:pPr>
        <w:tabs>
          <w:tab w:val="center" w:pos="5400"/>
        </w:tabs>
        <w:suppressAutoHyphens/>
        <w:jc w:val="center"/>
        <w:rPr>
          <w:rFonts w:asciiTheme="majorHAnsi" w:hAnsiTheme="majorHAnsi"/>
          <w:sz w:val="22"/>
          <w:szCs w:val="22"/>
        </w:rPr>
      </w:pPr>
    </w:p>
    <w:p w14:paraId="64BB829B" w14:textId="77777777" w:rsidR="005128E4" w:rsidRPr="008B59AA" w:rsidRDefault="005128E4" w:rsidP="00040C3A">
      <w:pPr>
        <w:tabs>
          <w:tab w:val="center" w:pos="5400"/>
        </w:tabs>
        <w:suppressAutoHyphens/>
        <w:jc w:val="center"/>
        <w:rPr>
          <w:rFonts w:asciiTheme="majorHAnsi" w:hAnsiTheme="majorHAnsi"/>
          <w:sz w:val="22"/>
          <w:szCs w:val="22"/>
        </w:rPr>
      </w:pPr>
    </w:p>
    <w:p w14:paraId="088E6827" w14:textId="77777777" w:rsidR="005128E4" w:rsidRPr="008B59AA" w:rsidRDefault="005128E4" w:rsidP="00040C3A">
      <w:pPr>
        <w:tabs>
          <w:tab w:val="center" w:pos="5400"/>
        </w:tabs>
        <w:suppressAutoHyphens/>
        <w:jc w:val="center"/>
        <w:rPr>
          <w:rFonts w:asciiTheme="majorHAnsi" w:hAnsiTheme="majorHAnsi"/>
          <w:sz w:val="22"/>
          <w:szCs w:val="22"/>
        </w:rPr>
      </w:pPr>
    </w:p>
    <w:p w14:paraId="5A3E4C99" w14:textId="77777777" w:rsidR="00040C3A" w:rsidRPr="008B59AA" w:rsidRDefault="00040C3A" w:rsidP="00040C3A">
      <w:pPr>
        <w:tabs>
          <w:tab w:val="center" w:pos="5400"/>
        </w:tabs>
        <w:suppressAutoHyphens/>
        <w:jc w:val="center"/>
        <w:rPr>
          <w:rFonts w:asciiTheme="majorHAnsi" w:hAnsiTheme="majorHAnsi"/>
          <w:sz w:val="22"/>
          <w:szCs w:val="22"/>
        </w:rPr>
      </w:pPr>
    </w:p>
    <w:p w14:paraId="230D7EC6" w14:textId="77777777" w:rsidR="00040C3A" w:rsidRPr="008B59AA" w:rsidRDefault="00040C3A" w:rsidP="00040C3A">
      <w:pPr>
        <w:tabs>
          <w:tab w:val="center" w:pos="5400"/>
        </w:tabs>
        <w:suppressAutoHyphens/>
        <w:jc w:val="center"/>
        <w:rPr>
          <w:rFonts w:asciiTheme="majorHAnsi" w:hAnsiTheme="majorHAnsi"/>
          <w:sz w:val="22"/>
          <w:szCs w:val="22"/>
        </w:rPr>
      </w:pPr>
    </w:p>
    <w:p w14:paraId="57C528B3" w14:textId="77777777" w:rsidR="002C1641" w:rsidRPr="008B59AA" w:rsidRDefault="002C1641" w:rsidP="00040C3A">
      <w:pPr>
        <w:tabs>
          <w:tab w:val="center" w:pos="5400"/>
        </w:tabs>
        <w:suppressAutoHyphens/>
        <w:jc w:val="center"/>
        <w:rPr>
          <w:rFonts w:asciiTheme="majorHAnsi" w:hAnsiTheme="majorHAnsi"/>
          <w:sz w:val="18"/>
          <w:szCs w:val="22"/>
        </w:rPr>
      </w:pPr>
    </w:p>
    <w:p w14:paraId="41B752C3" w14:textId="77777777" w:rsidR="002C1641" w:rsidRPr="008B59AA" w:rsidRDefault="002C1641" w:rsidP="00040C3A">
      <w:pPr>
        <w:tabs>
          <w:tab w:val="center" w:pos="5400"/>
        </w:tabs>
        <w:suppressAutoHyphens/>
        <w:jc w:val="center"/>
        <w:rPr>
          <w:rFonts w:asciiTheme="majorHAnsi" w:hAnsiTheme="majorHAnsi"/>
          <w:sz w:val="18"/>
          <w:szCs w:val="22"/>
        </w:rPr>
      </w:pPr>
    </w:p>
    <w:p w14:paraId="30EEE6B8" w14:textId="77777777" w:rsidR="002C1641" w:rsidRPr="008B59AA" w:rsidRDefault="002C1641" w:rsidP="00040C3A">
      <w:pPr>
        <w:tabs>
          <w:tab w:val="center" w:pos="5400"/>
        </w:tabs>
        <w:suppressAutoHyphens/>
        <w:jc w:val="center"/>
        <w:rPr>
          <w:rFonts w:asciiTheme="majorHAnsi" w:hAnsiTheme="majorHAnsi"/>
          <w:sz w:val="18"/>
          <w:szCs w:val="22"/>
        </w:rPr>
      </w:pPr>
    </w:p>
    <w:p w14:paraId="5815FF8D" w14:textId="77777777" w:rsidR="002C1641" w:rsidRPr="008B59AA" w:rsidRDefault="002C1641" w:rsidP="00040C3A">
      <w:pPr>
        <w:tabs>
          <w:tab w:val="center" w:pos="5400"/>
        </w:tabs>
        <w:suppressAutoHyphens/>
        <w:jc w:val="center"/>
        <w:rPr>
          <w:rFonts w:asciiTheme="majorHAnsi" w:hAnsiTheme="majorHAnsi"/>
          <w:sz w:val="18"/>
          <w:szCs w:val="22"/>
        </w:rPr>
      </w:pPr>
    </w:p>
    <w:p w14:paraId="5EF9B4D7" w14:textId="77777777" w:rsidR="002C1641" w:rsidRPr="008B59AA" w:rsidRDefault="002C1641" w:rsidP="00040C3A">
      <w:pPr>
        <w:tabs>
          <w:tab w:val="center" w:pos="5400"/>
        </w:tabs>
        <w:suppressAutoHyphens/>
        <w:jc w:val="center"/>
        <w:rPr>
          <w:rFonts w:asciiTheme="majorHAnsi" w:hAnsiTheme="majorHAnsi"/>
          <w:sz w:val="18"/>
          <w:szCs w:val="22"/>
        </w:rPr>
      </w:pPr>
    </w:p>
    <w:p w14:paraId="2C9B762C" w14:textId="77777777" w:rsidR="002C1641" w:rsidRPr="008B59AA" w:rsidRDefault="002C1641" w:rsidP="00040C3A">
      <w:pPr>
        <w:tabs>
          <w:tab w:val="center" w:pos="5400"/>
        </w:tabs>
        <w:suppressAutoHyphens/>
        <w:jc w:val="center"/>
        <w:rPr>
          <w:rFonts w:asciiTheme="majorHAnsi" w:hAnsiTheme="majorHAnsi"/>
          <w:sz w:val="18"/>
          <w:szCs w:val="22"/>
        </w:rPr>
      </w:pPr>
    </w:p>
    <w:p w14:paraId="63113632" w14:textId="77777777" w:rsidR="002C1641" w:rsidRPr="008B59AA" w:rsidRDefault="002C1641" w:rsidP="00040C3A">
      <w:pPr>
        <w:tabs>
          <w:tab w:val="center" w:pos="5400"/>
        </w:tabs>
        <w:suppressAutoHyphens/>
        <w:jc w:val="center"/>
        <w:rPr>
          <w:rFonts w:asciiTheme="majorHAnsi" w:hAnsiTheme="majorHAnsi"/>
          <w:sz w:val="18"/>
          <w:szCs w:val="22"/>
        </w:rPr>
      </w:pPr>
    </w:p>
    <w:p w14:paraId="26590F8E" w14:textId="77777777" w:rsidR="002C1641" w:rsidRPr="008B59AA" w:rsidRDefault="002C1641" w:rsidP="00040C3A">
      <w:pPr>
        <w:tabs>
          <w:tab w:val="center" w:pos="5400"/>
        </w:tabs>
        <w:suppressAutoHyphens/>
        <w:jc w:val="center"/>
        <w:rPr>
          <w:rFonts w:asciiTheme="majorHAnsi" w:hAnsiTheme="majorHAnsi"/>
          <w:sz w:val="18"/>
          <w:szCs w:val="22"/>
        </w:rPr>
      </w:pPr>
    </w:p>
    <w:p w14:paraId="41B689EF" w14:textId="77777777" w:rsidR="002C1641" w:rsidRPr="008B59AA" w:rsidRDefault="002C1641" w:rsidP="00040C3A">
      <w:pPr>
        <w:tabs>
          <w:tab w:val="center" w:pos="5400"/>
        </w:tabs>
        <w:suppressAutoHyphens/>
        <w:jc w:val="center"/>
        <w:rPr>
          <w:rFonts w:asciiTheme="majorHAnsi" w:hAnsiTheme="majorHAnsi"/>
          <w:sz w:val="18"/>
          <w:szCs w:val="22"/>
        </w:rPr>
      </w:pPr>
    </w:p>
    <w:p w14:paraId="12D67D61" w14:textId="77777777" w:rsidR="002C1641" w:rsidRPr="008B59AA" w:rsidRDefault="002C1641" w:rsidP="00040C3A">
      <w:pPr>
        <w:tabs>
          <w:tab w:val="center" w:pos="5400"/>
        </w:tabs>
        <w:suppressAutoHyphens/>
        <w:jc w:val="center"/>
        <w:rPr>
          <w:rFonts w:asciiTheme="majorHAnsi" w:hAnsiTheme="majorHAnsi"/>
          <w:sz w:val="18"/>
          <w:szCs w:val="22"/>
        </w:rPr>
      </w:pPr>
    </w:p>
    <w:p w14:paraId="4994A6C3" w14:textId="77777777" w:rsidR="002C1641" w:rsidRPr="008B59AA" w:rsidRDefault="002C1641" w:rsidP="00040C3A">
      <w:pPr>
        <w:tabs>
          <w:tab w:val="center" w:pos="5400"/>
        </w:tabs>
        <w:suppressAutoHyphens/>
        <w:jc w:val="center"/>
        <w:rPr>
          <w:rFonts w:asciiTheme="majorHAnsi" w:hAnsiTheme="majorHAnsi"/>
          <w:sz w:val="18"/>
          <w:szCs w:val="22"/>
        </w:rPr>
      </w:pPr>
    </w:p>
    <w:p w14:paraId="66CE6D57" w14:textId="77777777" w:rsidR="002C1641" w:rsidRPr="008B59AA" w:rsidRDefault="002C1641" w:rsidP="00040C3A">
      <w:pPr>
        <w:tabs>
          <w:tab w:val="center" w:pos="5400"/>
        </w:tabs>
        <w:suppressAutoHyphens/>
        <w:jc w:val="center"/>
        <w:rPr>
          <w:rFonts w:asciiTheme="majorHAnsi" w:hAnsiTheme="majorHAnsi"/>
          <w:sz w:val="18"/>
          <w:szCs w:val="22"/>
        </w:rPr>
      </w:pPr>
    </w:p>
    <w:p w14:paraId="18458F08" w14:textId="77777777" w:rsidR="002C1641" w:rsidRPr="008B59AA" w:rsidRDefault="00385911"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5E3F035" wp14:editId="74830B93">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0DCC1" w14:textId="03CB8A71" w:rsidR="005E0A78" w:rsidRPr="003C32BC" w:rsidRDefault="005E0A7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8B59AA">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8B59AA">
                              <w:rPr>
                                <w:rFonts w:asciiTheme="majorHAnsi" w:hAnsiTheme="majorHAnsi"/>
                                <w:color w:val="0D0D0D" w:themeColor="text1" w:themeTint="F2"/>
                                <w:sz w:val="18"/>
                                <w:szCs w:val="20"/>
                              </w:rPr>
                              <w:t>on April 24, 2020</w:t>
                            </w:r>
                            <w:r w:rsidR="00817B4C">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3F035"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CfIPDCjgIAAIIFAAAOAAAAAAAAAAAAAAAAAC4CAABkcnMvZTJvRG9jLnhtbFBLAQIt&#10;ABQABgAIAAAAIQDi9FRb3gAAAAkBAAAPAAAAAAAAAAAAAAAAAOgEAABkcnMvZG93bnJldi54bWxQ&#10;SwUGAAAAAAQABADzAAAA8wUAAAAA&#10;" filled="f" stroked="f" strokeweight=".5pt">
                <v:path arrowok="t"/>
                <v:textbox>
                  <w:txbxContent>
                    <w:p w14:paraId="5540DCC1" w14:textId="03CB8A71" w:rsidR="005E0A78" w:rsidRPr="003C32BC" w:rsidRDefault="005E0A7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8B59AA">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8B59AA">
                        <w:rPr>
                          <w:rFonts w:asciiTheme="majorHAnsi" w:hAnsiTheme="majorHAnsi"/>
                          <w:color w:val="0D0D0D" w:themeColor="text1" w:themeTint="F2"/>
                          <w:sz w:val="18"/>
                          <w:szCs w:val="20"/>
                        </w:rPr>
                        <w:t>on April 24, 2020</w:t>
                      </w:r>
                      <w:r w:rsidR="00817B4C">
                        <w:rPr>
                          <w:rFonts w:asciiTheme="majorHAnsi" w:hAnsiTheme="majorHAnsi"/>
                          <w:color w:val="0D0D0D" w:themeColor="text1" w:themeTint="F2"/>
                          <w:sz w:val="18"/>
                          <w:szCs w:val="20"/>
                        </w:rPr>
                        <w:t>.</w:t>
                      </w:r>
                    </w:p>
                  </w:txbxContent>
                </v:textbox>
              </v:shape>
            </w:pict>
          </mc:Fallback>
        </mc:AlternateContent>
      </w:r>
    </w:p>
    <w:p w14:paraId="3F8CD303" w14:textId="77777777" w:rsidR="002C1641" w:rsidRPr="008B59AA" w:rsidRDefault="002C1641" w:rsidP="00040C3A">
      <w:pPr>
        <w:tabs>
          <w:tab w:val="center" w:pos="5400"/>
        </w:tabs>
        <w:suppressAutoHyphens/>
        <w:jc w:val="center"/>
        <w:rPr>
          <w:rFonts w:asciiTheme="majorHAnsi" w:hAnsiTheme="majorHAnsi"/>
          <w:sz w:val="18"/>
          <w:szCs w:val="22"/>
        </w:rPr>
      </w:pPr>
    </w:p>
    <w:p w14:paraId="18880145" w14:textId="77777777" w:rsidR="002C1641" w:rsidRPr="008B59AA" w:rsidRDefault="002C1641" w:rsidP="00040C3A">
      <w:pPr>
        <w:tabs>
          <w:tab w:val="center" w:pos="5400"/>
        </w:tabs>
        <w:suppressAutoHyphens/>
        <w:jc w:val="center"/>
        <w:rPr>
          <w:rFonts w:asciiTheme="majorHAnsi" w:hAnsiTheme="majorHAnsi"/>
          <w:sz w:val="18"/>
          <w:szCs w:val="22"/>
        </w:rPr>
      </w:pPr>
    </w:p>
    <w:p w14:paraId="34A56C1D" w14:textId="77777777" w:rsidR="002C1641" w:rsidRPr="008B59AA" w:rsidRDefault="002C1641" w:rsidP="00040C3A">
      <w:pPr>
        <w:tabs>
          <w:tab w:val="center" w:pos="5400"/>
        </w:tabs>
        <w:suppressAutoHyphens/>
        <w:jc w:val="center"/>
        <w:rPr>
          <w:rFonts w:asciiTheme="majorHAnsi" w:hAnsiTheme="majorHAnsi"/>
          <w:sz w:val="18"/>
          <w:szCs w:val="22"/>
        </w:rPr>
      </w:pPr>
    </w:p>
    <w:p w14:paraId="49316947" w14:textId="77777777" w:rsidR="002C1641" w:rsidRPr="008B59AA" w:rsidRDefault="002C1641" w:rsidP="00040C3A">
      <w:pPr>
        <w:tabs>
          <w:tab w:val="center" w:pos="5400"/>
        </w:tabs>
        <w:suppressAutoHyphens/>
        <w:jc w:val="center"/>
        <w:rPr>
          <w:rFonts w:asciiTheme="majorHAnsi" w:hAnsiTheme="majorHAnsi"/>
          <w:sz w:val="18"/>
          <w:szCs w:val="22"/>
        </w:rPr>
      </w:pPr>
    </w:p>
    <w:p w14:paraId="07A0B358" w14:textId="77777777" w:rsidR="002C1641" w:rsidRPr="008B59AA" w:rsidRDefault="00385911"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25FFCF0" wp14:editId="17776AD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5510D" w14:textId="0D537F01" w:rsidR="005E0A78" w:rsidRPr="00421E04" w:rsidRDefault="005E0A78" w:rsidP="00F644E6">
                            <w:pPr>
                              <w:spacing w:line="276" w:lineRule="auto"/>
                              <w:rPr>
                                <w:rFonts w:asciiTheme="majorHAnsi" w:hAnsiTheme="majorHAnsi" w:cs="Arial"/>
                                <w:color w:val="0D0D0D" w:themeColor="text1" w:themeTint="F2"/>
                                <w:sz w:val="16"/>
                                <w:szCs w:val="22"/>
                                <w:highlight w:val="yellow"/>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B59AA">
                              <w:rPr>
                                <w:rFonts w:asciiTheme="majorHAnsi" w:hAnsiTheme="majorHAnsi"/>
                                <w:color w:val="595959" w:themeColor="text1" w:themeTint="A6"/>
                                <w:sz w:val="18"/>
                              </w:rPr>
                              <w:t>103</w:t>
                            </w:r>
                            <w:r>
                              <w:rPr>
                                <w:rFonts w:asciiTheme="majorHAnsi" w:hAnsiTheme="majorHAnsi"/>
                                <w:color w:val="595959" w:themeColor="text1" w:themeTint="A6"/>
                                <w:sz w:val="18"/>
                              </w:rPr>
                              <w:t>/</w:t>
                            </w:r>
                            <w:r w:rsidR="008B59AA">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417-12</w:t>
                            </w:r>
                            <w:r w:rsidRPr="00A13D17">
                              <w:rPr>
                                <w:rFonts w:asciiTheme="majorHAnsi" w:hAnsiTheme="majorHAnsi"/>
                                <w:color w:val="595959" w:themeColor="text1" w:themeTint="A6"/>
                                <w:sz w:val="18"/>
                              </w:rPr>
                              <w:t xml:space="preserve">. Admissibility. </w:t>
                            </w:r>
                            <w:proofErr w:type="spellStart"/>
                            <w:r w:rsidRPr="00A13D17">
                              <w:rPr>
                                <w:rFonts w:asciiTheme="majorHAnsi" w:hAnsiTheme="majorHAnsi" w:cs="Arial"/>
                                <w:color w:val="595959" w:themeColor="text1" w:themeTint="A6"/>
                                <w:sz w:val="18"/>
                                <w:szCs w:val="22"/>
                              </w:rPr>
                              <w:t>Thahe</w:t>
                            </w:r>
                            <w:proofErr w:type="spellEnd"/>
                            <w:r w:rsidRPr="00FC094C">
                              <w:rPr>
                                <w:rFonts w:asciiTheme="majorHAnsi" w:hAnsiTheme="majorHAnsi" w:cs="Arial"/>
                                <w:color w:val="595959" w:themeColor="text1" w:themeTint="A6"/>
                                <w:sz w:val="18"/>
                                <w:szCs w:val="22"/>
                              </w:rPr>
                              <w:t xml:space="preserve"> Mohamm</w:t>
                            </w:r>
                            <w:r w:rsidR="00FC094C" w:rsidRPr="00FC094C">
                              <w:rPr>
                                <w:rFonts w:asciiTheme="majorHAnsi" w:hAnsiTheme="majorHAnsi" w:cs="Arial"/>
                                <w:color w:val="595959" w:themeColor="text1" w:themeTint="A6"/>
                                <w:sz w:val="18"/>
                                <w:szCs w:val="22"/>
                              </w:rPr>
                              <w:t xml:space="preserve">ed </w:t>
                            </w:r>
                            <w:proofErr w:type="spellStart"/>
                            <w:r w:rsidR="00FC094C" w:rsidRPr="00FC094C">
                              <w:rPr>
                                <w:rFonts w:asciiTheme="majorHAnsi" w:hAnsiTheme="majorHAnsi" w:cs="Arial"/>
                                <w:color w:val="595959" w:themeColor="text1" w:themeTint="A6"/>
                                <w:sz w:val="18"/>
                                <w:szCs w:val="22"/>
                              </w:rPr>
                              <w:t>Sabar</w:t>
                            </w:r>
                            <w:proofErr w:type="spellEnd"/>
                            <w:r w:rsidR="00FC094C" w:rsidRPr="00FC094C">
                              <w:rPr>
                                <w:rFonts w:asciiTheme="majorHAnsi" w:hAnsiTheme="majorHAnsi" w:cs="Arial"/>
                                <w:color w:val="595959" w:themeColor="text1" w:themeTint="A6"/>
                                <w:sz w:val="18"/>
                                <w:szCs w:val="22"/>
                              </w:rPr>
                              <w:t xml:space="preserve">, </w:t>
                            </w:r>
                            <w:proofErr w:type="spellStart"/>
                            <w:r w:rsidR="00C047C7">
                              <w:rPr>
                                <w:rFonts w:asciiTheme="majorHAnsi" w:hAnsiTheme="majorHAnsi" w:cs="Arial"/>
                                <w:color w:val="595959" w:themeColor="text1" w:themeTint="A6"/>
                                <w:sz w:val="18"/>
                                <w:szCs w:val="22"/>
                              </w:rPr>
                              <w:t>Et.Al</w:t>
                            </w:r>
                            <w:proofErr w:type="spellEnd"/>
                            <w:r w:rsidRPr="00FC094C">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United States of America. </w:t>
                            </w:r>
                            <w:r w:rsidR="008B59AA">
                              <w:rPr>
                                <w:rFonts w:asciiTheme="majorHAnsi" w:hAnsiTheme="majorHAnsi"/>
                                <w:color w:val="595959" w:themeColor="text1" w:themeTint="A6"/>
                                <w:sz w:val="18"/>
                              </w:rPr>
                              <w:t>April 24,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5FFCF0"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14:paraId="2595510D" w14:textId="0D537F01" w:rsidR="005E0A78" w:rsidRPr="00421E04" w:rsidRDefault="005E0A78" w:rsidP="00F644E6">
                      <w:pPr>
                        <w:spacing w:line="276" w:lineRule="auto"/>
                        <w:rPr>
                          <w:rFonts w:asciiTheme="majorHAnsi" w:hAnsiTheme="majorHAnsi" w:cs="Arial"/>
                          <w:color w:val="0D0D0D" w:themeColor="text1" w:themeTint="F2"/>
                          <w:sz w:val="16"/>
                          <w:szCs w:val="22"/>
                          <w:highlight w:val="yellow"/>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B59AA">
                        <w:rPr>
                          <w:rFonts w:asciiTheme="majorHAnsi" w:hAnsiTheme="majorHAnsi"/>
                          <w:color w:val="595959" w:themeColor="text1" w:themeTint="A6"/>
                          <w:sz w:val="18"/>
                        </w:rPr>
                        <w:t>103</w:t>
                      </w:r>
                      <w:r>
                        <w:rPr>
                          <w:rFonts w:asciiTheme="majorHAnsi" w:hAnsiTheme="majorHAnsi"/>
                          <w:color w:val="595959" w:themeColor="text1" w:themeTint="A6"/>
                          <w:sz w:val="18"/>
                        </w:rPr>
                        <w:t>/</w:t>
                      </w:r>
                      <w:r w:rsidR="008B59AA">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417-12</w:t>
                      </w:r>
                      <w:r w:rsidRPr="00A13D17">
                        <w:rPr>
                          <w:rFonts w:asciiTheme="majorHAnsi" w:hAnsiTheme="majorHAnsi"/>
                          <w:color w:val="595959" w:themeColor="text1" w:themeTint="A6"/>
                          <w:sz w:val="18"/>
                        </w:rPr>
                        <w:t xml:space="preserve">. Admissibility. </w:t>
                      </w:r>
                      <w:r w:rsidRPr="00A13D17">
                        <w:rPr>
                          <w:rFonts w:asciiTheme="majorHAnsi" w:hAnsiTheme="majorHAnsi" w:cs="Arial"/>
                          <w:color w:val="595959" w:themeColor="text1" w:themeTint="A6"/>
                          <w:sz w:val="18"/>
                          <w:szCs w:val="22"/>
                        </w:rPr>
                        <w:t>Thahe</w:t>
                      </w:r>
                      <w:r w:rsidRPr="00FC094C">
                        <w:rPr>
                          <w:rFonts w:asciiTheme="majorHAnsi" w:hAnsiTheme="majorHAnsi" w:cs="Arial"/>
                          <w:color w:val="595959" w:themeColor="text1" w:themeTint="A6"/>
                          <w:sz w:val="18"/>
                          <w:szCs w:val="22"/>
                        </w:rPr>
                        <w:t xml:space="preserve"> Mohamm</w:t>
                      </w:r>
                      <w:r w:rsidR="00FC094C" w:rsidRPr="00FC094C">
                        <w:rPr>
                          <w:rFonts w:asciiTheme="majorHAnsi" w:hAnsiTheme="majorHAnsi" w:cs="Arial"/>
                          <w:color w:val="595959" w:themeColor="text1" w:themeTint="A6"/>
                          <w:sz w:val="18"/>
                          <w:szCs w:val="22"/>
                        </w:rPr>
                        <w:t xml:space="preserve">ed Sabar, </w:t>
                      </w:r>
                      <w:r w:rsidR="00C047C7">
                        <w:rPr>
                          <w:rFonts w:asciiTheme="majorHAnsi" w:hAnsiTheme="majorHAnsi" w:cs="Arial"/>
                          <w:color w:val="595959" w:themeColor="text1" w:themeTint="A6"/>
                          <w:sz w:val="18"/>
                          <w:szCs w:val="22"/>
                        </w:rPr>
                        <w:t>Et.Al</w:t>
                      </w:r>
                      <w:r w:rsidRPr="00FC094C">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United States of America. </w:t>
                      </w:r>
                      <w:r w:rsidR="008B59AA">
                        <w:rPr>
                          <w:rFonts w:asciiTheme="majorHAnsi" w:hAnsiTheme="majorHAnsi"/>
                          <w:color w:val="595959" w:themeColor="text1" w:themeTint="A6"/>
                          <w:sz w:val="18"/>
                        </w:rPr>
                        <w:t>April 24, 2020.</w:t>
                      </w:r>
                    </w:p>
                  </w:txbxContent>
                </v:textbox>
              </v:shape>
            </w:pict>
          </mc:Fallback>
        </mc:AlternateContent>
      </w:r>
    </w:p>
    <w:p w14:paraId="3B0CF5AF" w14:textId="77777777" w:rsidR="002C1641" w:rsidRPr="008B59AA" w:rsidRDefault="002C1641" w:rsidP="00040C3A">
      <w:pPr>
        <w:tabs>
          <w:tab w:val="center" w:pos="5400"/>
        </w:tabs>
        <w:suppressAutoHyphens/>
        <w:jc w:val="center"/>
        <w:rPr>
          <w:rFonts w:asciiTheme="majorHAnsi" w:hAnsiTheme="majorHAnsi"/>
          <w:sz w:val="18"/>
          <w:szCs w:val="22"/>
        </w:rPr>
      </w:pPr>
    </w:p>
    <w:p w14:paraId="7B3A15AF" w14:textId="77777777" w:rsidR="002C1641" w:rsidRPr="008B59AA" w:rsidRDefault="002C1641" w:rsidP="00040C3A">
      <w:pPr>
        <w:tabs>
          <w:tab w:val="center" w:pos="5400"/>
        </w:tabs>
        <w:suppressAutoHyphens/>
        <w:jc w:val="center"/>
        <w:rPr>
          <w:rFonts w:asciiTheme="majorHAnsi" w:hAnsiTheme="majorHAnsi"/>
          <w:sz w:val="18"/>
          <w:szCs w:val="22"/>
        </w:rPr>
      </w:pPr>
    </w:p>
    <w:p w14:paraId="7E5ED5FA" w14:textId="77777777" w:rsidR="003C32BC" w:rsidRPr="003C32BC" w:rsidRDefault="003C32BC" w:rsidP="003C32BC">
      <w:pPr>
        <w:tabs>
          <w:tab w:val="center" w:pos="5400"/>
        </w:tabs>
        <w:suppressAutoHyphens/>
        <w:jc w:val="center"/>
        <w:rPr>
          <w:rFonts w:asciiTheme="majorHAnsi" w:hAnsiTheme="majorHAnsi"/>
          <w:sz w:val="18"/>
          <w:szCs w:val="22"/>
        </w:rPr>
      </w:pPr>
    </w:p>
    <w:p w14:paraId="1743DE52" w14:textId="77777777" w:rsidR="003C32BC" w:rsidRPr="003C32BC" w:rsidRDefault="00385911"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B498F6B" wp14:editId="300FDE4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A4D0" w14:textId="0EAD2DEF" w:rsidR="005E0A78" w:rsidRPr="004B7EB6" w:rsidRDefault="005E0A7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B59A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498F6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14:paraId="4EF9A4D0" w14:textId="0EAD2DEF" w:rsidR="005E0A78" w:rsidRPr="004B7EB6" w:rsidRDefault="005E0A7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B59A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BCE2A0B" wp14:editId="5F2FDE4E">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3CBBF" w14:textId="6C74A73C" w:rsidR="005E0A78" w:rsidRDefault="00817B4C">
                            <w:r>
                              <w:rPr>
                                <w:noProof/>
                              </w:rPr>
                              <w:drawing>
                                <wp:inline distT="0" distB="0" distL="0" distR="0" wp14:anchorId="5240907F" wp14:editId="11F440F7">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2A0B"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14:paraId="2FD3CBBF" w14:textId="6C74A73C" w:rsidR="005E0A78" w:rsidRDefault="00817B4C">
                      <w:r>
                        <w:rPr>
                          <w:noProof/>
                        </w:rPr>
                        <w:drawing>
                          <wp:inline distT="0" distB="0" distL="0" distR="0" wp14:anchorId="5240907F" wp14:editId="11F440F7">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21B4A511" w14:textId="77777777" w:rsidR="007607C4" w:rsidRDefault="007607C4" w:rsidP="003C32BC">
      <w:pPr>
        <w:tabs>
          <w:tab w:val="center" w:pos="5400"/>
        </w:tabs>
        <w:suppressAutoHyphens/>
        <w:jc w:val="center"/>
        <w:rPr>
          <w:rFonts w:asciiTheme="majorHAnsi" w:hAnsiTheme="majorHAnsi"/>
          <w:sz w:val="18"/>
          <w:szCs w:val="22"/>
        </w:rPr>
        <w:sectPr w:rsidR="007607C4">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2A2D3646"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5C122611" w14:textId="77777777">
        <w:tc>
          <w:tcPr>
            <w:tcW w:w="3690" w:type="dxa"/>
            <w:tcBorders>
              <w:top w:val="single" w:sz="4" w:space="0" w:color="auto"/>
              <w:bottom w:val="single" w:sz="6" w:space="0" w:color="auto"/>
            </w:tcBorders>
            <w:shd w:val="clear" w:color="auto" w:fill="67AE3C"/>
            <w:vAlign w:val="center"/>
          </w:tcPr>
          <w:p w14:paraId="2387DEA4" w14:textId="77777777" w:rsidR="00F621C3" w:rsidRPr="000B6B7A" w:rsidRDefault="003771A3" w:rsidP="00801579">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2E7510CC" w14:textId="733D1B33" w:rsidR="00F621C3" w:rsidRPr="0038126C" w:rsidRDefault="002C245D" w:rsidP="00801579">
            <w:pPr>
              <w:jc w:val="both"/>
              <w:rPr>
                <w:rFonts w:ascii="Cambria" w:hAnsi="Cambria"/>
                <w:bCs/>
                <w:sz w:val="20"/>
                <w:szCs w:val="20"/>
                <w:highlight w:val="lightGray"/>
              </w:rPr>
            </w:pPr>
            <w:r w:rsidRPr="002C245D">
              <w:rPr>
                <w:rFonts w:ascii="Cambria" w:hAnsi="Cambria"/>
                <w:bCs/>
                <w:sz w:val="20"/>
                <w:szCs w:val="20"/>
              </w:rPr>
              <w:t>American Civil Liberties Union</w:t>
            </w:r>
            <w:r w:rsidR="00A3089A">
              <w:rPr>
                <w:rFonts w:ascii="Cambria" w:hAnsi="Cambria"/>
                <w:bCs/>
                <w:sz w:val="20"/>
                <w:szCs w:val="20"/>
              </w:rPr>
              <w:t xml:space="preserve"> </w:t>
            </w:r>
            <w:r w:rsidR="00A3089A" w:rsidRPr="00DE6EAE">
              <w:rPr>
                <w:rFonts w:ascii="Cambria" w:hAnsi="Cambria"/>
                <w:bCs/>
                <w:sz w:val="20"/>
                <w:szCs w:val="20"/>
              </w:rPr>
              <w:t>(ACLU)</w:t>
            </w:r>
          </w:p>
        </w:tc>
      </w:tr>
      <w:tr w:rsidR="00F621C3" w:rsidRPr="001030E1" w14:paraId="51C05D56" w14:textId="77777777">
        <w:tc>
          <w:tcPr>
            <w:tcW w:w="3690" w:type="dxa"/>
            <w:tcBorders>
              <w:top w:val="single" w:sz="6" w:space="0" w:color="auto"/>
              <w:bottom w:val="single" w:sz="6" w:space="0" w:color="auto"/>
            </w:tcBorders>
            <w:shd w:val="clear" w:color="auto" w:fill="67AE3C"/>
            <w:vAlign w:val="center"/>
          </w:tcPr>
          <w:p w14:paraId="3F4B50B6" w14:textId="77777777" w:rsidR="00F621C3" w:rsidRPr="000B6B7A" w:rsidRDefault="00903E1A" w:rsidP="0080157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B9BC423" w14:textId="56BE07FF" w:rsidR="00F621C3" w:rsidRPr="000E7B09" w:rsidRDefault="002C245D" w:rsidP="000E7B09">
            <w:pPr>
              <w:spacing w:line="276" w:lineRule="auto"/>
              <w:rPr>
                <w:rFonts w:asciiTheme="majorHAnsi" w:hAnsiTheme="majorHAnsi" w:cs="Arial"/>
                <w:sz w:val="20"/>
                <w:szCs w:val="22"/>
              </w:rPr>
            </w:pPr>
            <w:r w:rsidRPr="002C245D">
              <w:rPr>
                <w:rFonts w:asciiTheme="majorHAnsi" w:hAnsiTheme="majorHAnsi" w:cs="Arial"/>
                <w:sz w:val="20"/>
                <w:szCs w:val="22"/>
              </w:rPr>
              <w:t>Thahe Mohammed Sabar</w:t>
            </w:r>
            <w:r w:rsidR="005E7102">
              <w:rPr>
                <w:rFonts w:asciiTheme="majorHAnsi" w:hAnsiTheme="majorHAnsi" w:cs="Arial"/>
                <w:sz w:val="20"/>
                <w:szCs w:val="22"/>
              </w:rPr>
              <w:t xml:space="preserve"> et al</w:t>
            </w:r>
            <w:r w:rsidR="00E674A7">
              <w:rPr>
                <w:rStyle w:val="FootnoteReference"/>
                <w:rFonts w:asciiTheme="majorHAnsi" w:hAnsiTheme="majorHAnsi"/>
                <w:sz w:val="20"/>
                <w:szCs w:val="22"/>
              </w:rPr>
              <w:footnoteReference w:id="2"/>
            </w:r>
          </w:p>
        </w:tc>
      </w:tr>
      <w:tr w:rsidR="00F621C3" w:rsidRPr="000B6B7A" w14:paraId="3CD441AF" w14:textId="77777777">
        <w:tc>
          <w:tcPr>
            <w:tcW w:w="3690" w:type="dxa"/>
            <w:tcBorders>
              <w:top w:val="single" w:sz="6" w:space="0" w:color="auto"/>
              <w:bottom w:val="single" w:sz="6" w:space="0" w:color="auto"/>
            </w:tcBorders>
            <w:shd w:val="clear" w:color="auto" w:fill="67AE3C"/>
            <w:vAlign w:val="center"/>
          </w:tcPr>
          <w:p w14:paraId="5BC9985D" w14:textId="77777777"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5FE705BE" w14:textId="77777777" w:rsidR="00F621C3" w:rsidRPr="000B6B7A" w:rsidRDefault="004E2396" w:rsidP="00347DDA">
            <w:pPr>
              <w:jc w:val="both"/>
              <w:rPr>
                <w:rFonts w:ascii="Cambria" w:hAnsi="Cambria"/>
                <w:bCs/>
                <w:sz w:val="20"/>
                <w:szCs w:val="20"/>
              </w:rPr>
            </w:pPr>
            <w:r>
              <w:rPr>
                <w:rFonts w:ascii="Cambria" w:hAnsi="Cambria"/>
                <w:bCs/>
                <w:sz w:val="20"/>
                <w:szCs w:val="20"/>
              </w:rPr>
              <w:t>United States of America</w:t>
            </w:r>
            <w:r w:rsidR="00680C33">
              <w:rPr>
                <w:rStyle w:val="FootnoteReference"/>
                <w:rFonts w:ascii="Cambria" w:hAnsi="Cambria"/>
                <w:bCs/>
                <w:sz w:val="20"/>
                <w:szCs w:val="20"/>
              </w:rPr>
              <w:footnoteReference w:id="3"/>
            </w:r>
          </w:p>
        </w:tc>
      </w:tr>
      <w:tr w:rsidR="00E47F3D" w:rsidRPr="000B6B7A" w14:paraId="4E22479E" w14:textId="77777777">
        <w:tc>
          <w:tcPr>
            <w:tcW w:w="3690" w:type="dxa"/>
            <w:tcBorders>
              <w:top w:val="single" w:sz="6" w:space="0" w:color="auto"/>
              <w:bottom w:val="single" w:sz="6" w:space="0" w:color="auto"/>
            </w:tcBorders>
            <w:shd w:val="clear" w:color="auto" w:fill="67AE3C"/>
            <w:vAlign w:val="center"/>
          </w:tcPr>
          <w:p w14:paraId="35E8B37C" w14:textId="77777777" w:rsidR="00E47F3D" w:rsidRPr="00974305" w:rsidRDefault="00E47F3D" w:rsidP="00E7588C">
            <w:pPr>
              <w:jc w:val="center"/>
              <w:rPr>
                <w:rFonts w:ascii="Cambria" w:hAnsi="Cambria"/>
                <w:b/>
                <w:bCs/>
                <w:color w:val="FFFFFF" w:themeColor="background1"/>
                <w:sz w:val="20"/>
                <w:szCs w:val="20"/>
              </w:rPr>
            </w:pPr>
            <w:r w:rsidRPr="00974305">
              <w:rPr>
                <w:rFonts w:ascii="Cambria" w:hAnsi="Cambria"/>
                <w:b/>
                <w:bCs/>
                <w:color w:val="FFFFFF" w:themeColor="background1"/>
                <w:sz w:val="20"/>
                <w:szCs w:val="20"/>
              </w:rPr>
              <w:t xml:space="preserve">Rights </w:t>
            </w:r>
            <w:r w:rsidR="00E7588C" w:rsidRPr="00974305">
              <w:rPr>
                <w:rFonts w:ascii="Cambria" w:hAnsi="Cambria"/>
                <w:b/>
                <w:bCs/>
                <w:color w:val="FFFFFF" w:themeColor="background1"/>
                <w:sz w:val="20"/>
                <w:szCs w:val="20"/>
              </w:rPr>
              <w:t>invoked:</w:t>
            </w:r>
          </w:p>
        </w:tc>
        <w:tc>
          <w:tcPr>
            <w:tcW w:w="5670" w:type="dxa"/>
            <w:vAlign w:val="center"/>
          </w:tcPr>
          <w:p w14:paraId="3B3A7EE1" w14:textId="08BBFA37" w:rsidR="00E47F3D" w:rsidRPr="00974305" w:rsidRDefault="00372A29" w:rsidP="00005FDF">
            <w:pPr>
              <w:pStyle w:val="Default"/>
              <w:jc w:val="both"/>
              <w:rPr>
                <w:sz w:val="20"/>
                <w:szCs w:val="20"/>
              </w:rPr>
            </w:pPr>
            <w:r w:rsidRPr="007A082E">
              <w:rPr>
                <w:sz w:val="20"/>
                <w:szCs w:val="20"/>
              </w:rPr>
              <w:t xml:space="preserve">Articles I (life, liberty and personal security), XVII (recognition of juridical personality and civil </w:t>
            </w:r>
            <w:r w:rsidR="00005FDF">
              <w:rPr>
                <w:sz w:val="20"/>
                <w:szCs w:val="20"/>
              </w:rPr>
              <w:t>rights),  XVIII (fair trial),</w:t>
            </w:r>
            <w:r w:rsidR="005E7102" w:rsidRPr="007A082E">
              <w:rPr>
                <w:sz w:val="20"/>
                <w:szCs w:val="20"/>
              </w:rPr>
              <w:t xml:space="preserve"> </w:t>
            </w:r>
            <w:r w:rsidR="00005FDF">
              <w:rPr>
                <w:sz w:val="20"/>
                <w:szCs w:val="20"/>
              </w:rPr>
              <w:t xml:space="preserve">and </w:t>
            </w:r>
            <w:r w:rsidR="005E7102" w:rsidRPr="007A082E">
              <w:rPr>
                <w:sz w:val="20"/>
                <w:szCs w:val="20"/>
              </w:rPr>
              <w:t xml:space="preserve">XXV (protection from arbitrary arrest) </w:t>
            </w:r>
            <w:r w:rsidRPr="007A082E">
              <w:rPr>
                <w:sz w:val="20"/>
                <w:szCs w:val="20"/>
              </w:rPr>
              <w:t>of the American Declaration</w:t>
            </w:r>
            <w:r w:rsidR="007A082E" w:rsidRPr="007A082E">
              <w:rPr>
                <w:sz w:val="20"/>
                <w:szCs w:val="20"/>
              </w:rPr>
              <w:t xml:space="preserve"> of Rights and Duties of Man</w:t>
            </w:r>
            <w:r w:rsidR="007A082E" w:rsidRPr="007A082E">
              <w:rPr>
                <w:rStyle w:val="FootnoteReference"/>
                <w:sz w:val="20"/>
                <w:szCs w:val="20"/>
              </w:rPr>
              <w:footnoteReference w:id="4"/>
            </w:r>
          </w:p>
        </w:tc>
      </w:tr>
    </w:tbl>
    <w:p w14:paraId="142255F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544728EE" w14:textId="77777777">
        <w:tc>
          <w:tcPr>
            <w:tcW w:w="3690" w:type="dxa"/>
            <w:tcBorders>
              <w:top w:val="single" w:sz="6" w:space="0" w:color="auto"/>
              <w:bottom w:val="single" w:sz="6" w:space="0" w:color="auto"/>
            </w:tcBorders>
            <w:shd w:val="clear" w:color="auto" w:fill="67AE3C"/>
            <w:vAlign w:val="center"/>
          </w:tcPr>
          <w:p w14:paraId="0449795F"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1C1D64E" w14:textId="77777777" w:rsidR="00F621C3" w:rsidRPr="00D74F92" w:rsidRDefault="00DB141C" w:rsidP="00801579">
            <w:pPr>
              <w:jc w:val="both"/>
              <w:rPr>
                <w:rFonts w:ascii="Cambria" w:hAnsi="Cambria"/>
                <w:bCs/>
                <w:sz w:val="20"/>
                <w:szCs w:val="20"/>
              </w:rPr>
            </w:pPr>
            <w:r w:rsidRPr="00D74F92">
              <w:rPr>
                <w:rFonts w:ascii="Cambria" w:hAnsi="Cambria"/>
                <w:bCs/>
                <w:sz w:val="20"/>
                <w:szCs w:val="20"/>
              </w:rPr>
              <w:t>March 19, 2012</w:t>
            </w:r>
          </w:p>
        </w:tc>
      </w:tr>
      <w:tr w:rsidR="00F621C3" w:rsidRPr="000B6B7A" w14:paraId="65BD27EC" w14:textId="77777777">
        <w:tc>
          <w:tcPr>
            <w:tcW w:w="3690" w:type="dxa"/>
            <w:tcBorders>
              <w:top w:val="single" w:sz="6" w:space="0" w:color="auto"/>
              <w:bottom w:val="single" w:sz="6" w:space="0" w:color="auto"/>
            </w:tcBorders>
            <w:shd w:val="clear" w:color="auto" w:fill="67AE3C"/>
            <w:vAlign w:val="center"/>
          </w:tcPr>
          <w:p w14:paraId="48FA0DF3" w14:textId="77777777"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3BF5F4CD" w14:textId="77777777" w:rsidR="00F621C3" w:rsidRPr="00BA296D" w:rsidRDefault="008501B8" w:rsidP="00CE1752">
            <w:pPr>
              <w:jc w:val="both"/>
              <w:rPr>
                <w:rFonts w:ascii="Cambria" w:hAnsi="Cambria"/>
                <w:bCs/>
                <w:sz w:val="20"/>
                <w:szCs w:val="20"/>
                <w:highlight w:val="lightGray"/>
              </w:rPr>
            </w:pPr>
            <w:r w:rsidRPr="001B1D0B">
              <w:rPr>
                <w:rFonts w:ascii="Cambria" w:hAnsi="Cambria"/>
                <w:bCs/>
                <w:sz w:val="20"/>
                <w:szCs w:val="20"/>
              </w:rPr>
              <w:t>December 20</w:t>
            </w:r>
            <w:r w:rsidR="00C84AA6" w:rsidRPr="001B1D0B">
              <w:rPr>
                <w:rFonts w:ascii="Cambria" w:hAnsi="Cambria"/>
                <w:bCs/>
                <w:sz w:val="20"/>
                <w:szCs w:val="20"/>
              </w:rPr>
              <w:t xml:space="preserve">, 2012 </w:t>
            </w:r>
          </w:p>
        </w:tc>
      </w:tr>
      <w:tr w:rsidR="00F621C3" w:rsidRPr="000B6B7A" w14:paraId="3001A43C" w14:textId="77777777">
        <w:tc>
          <w:tcPr>
            <w:tcW w:w="3690" w:type="dxa"/>
            <w:tcBorders>
              <w:top w:val="single" w:sz="6" w:space="0" w:color="auto"/>
              <w:bottom w:val="single" w:sz="6" w:space="0" w:color="auto"/>
            </w:tcBorders>
            <w:shd w:val="clear" w:color="auto" w:fill="67AE3C"/>
            <w:vAlign w:val="center"/>
          </w:tcPr>
          <w:p w14:paraId="24B18591"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495DD6AE" w14:textId="77777777" w:rsidR="00F621C3" w:rsidRPr="00BA296D" w:rsidRDefault="00202608" w:rsidP="00801579">
            <w:pPr>
              <w:jc w:val="both"/>
              <w:rPr>
                <w:rFonts w:ascii="Cambria" w:hAnsi="Cambria"/>
                <w:bCs/>
                <w:sz w:val="20"/>
                <w:szCs w:val="20"/>
                <w:highlight w:val="lightGray"/>
              </w:rPr>
            </w:pPr>
            <w:r w:rsidRPr="00E66C6C">
              <w:rPr>
                <w:rFonts w:ascii="Cambria" w:hAnsi="Cambria"/>
                <w:bCs/>
                <w:sz w:val="20"/>
                <w:szCs w:val="20"/>
              </w:rPr>
              <w:t>January 13, 2016</w:t>
            </w:r>
          </w:p>
        </w:tc>
      </w:tr>
      <w:tr w:rsidR="00F621C3" w:rsidRPr="000B6B7A" w14:paraId="7F6E3866" w14:textId="77777777">
        <w:trPr>
          <w:trHeight w:val="264"/>
        </w:trPr>
        <w:tc>
          <w:tcPr>
            <w:tcW w:w="3690" w:type="dxa"/>
            <w:tcBorders>
              <w:top w:val="single" w:sz="6" w:space="0" w:color="auto"/>
              <w:bottom w:val="single" w:sz="6" w:space="0" w:color="auto"/>
            </w:tcBorders>
            <w:shd w:val="clear" w:color="auto" w:fill="67AE3C"/>
            <w:vAlign w:val="center"/>
          </w:tcPr>
          <w:p w14:paraId="4A064F2A"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6F17CF07" w14:textId="6B72F1A4" w:rsidR="00F621C3" w:rsidRPr="00BA296D" w:rsidRDefault="00397E6A" w:rsidP="00E477F9">
            <w:pPr>
              <w:jc w:val="both"/>
              <w:rPr>
                <w:rFonts w:ascii="Cambria" w:hAnsi="Cambria"/>
                <w:bCs/>
                <w:sz w:val="20"/>
                <w:szCs w:val="20"/>
                <w:highlight w:val="lightGray"/>
              </w:rPr>
            </w:pPr>
            <w:r w:rsidRPr="00517012">
              <w:rPr>
                <w:rFonts w:ascii="Cambria" w:hAnsi="Cambria"/>
                <w:bCs/>
                <w:sz w:val="20"/>
                <w:szCs w:val="20"/>
              </w:rPr>
              <w:t xml:space="preserve">August </w:t>
            </w:r>
            <w:r w:rsidR="002D09C5">
              <w:rPr>
                <w:rFonts w:ascii="Cambria" w:hAnsi="Cambria"/>
                <w:bCs/>
                <w:sz w:val="20"/>
                <w:szCs w:val="20"/>
              </w:rPr>
              <w:t>4</w:t>
            </w:r>
            <w:r w:rsidRPr="00517012">
              <w:rPr>
                <w:rFonts w:ascii="Cambria" w:hAnsi="Cambria"/>
                <w:bCs/>
                <w:sz w:val="20"/>
                <w:szCs w:val="20"/>
              </w:rPr>
              <w:t>, 2016</w:t>
            </w:r>
          </w:p>
        </w:tc>
      </w:tr>
      <w:tr w:rsidR="003771A3" w:rsidRPr="000B6B7A" w14:paraId="1EA14839" w14:textId="77777777">
        <w:tc>
          <w:tcPr>
            <w:tcW w:w="3690" w:type="dxa"/>
            <w:tcBorders>
              <w:top w:val="single" w:sz="6" w:space="0" w:color="auto"/>
              <w:bottom w:val="single" w:sz="6" w:space="0" w:color="auto"/>
            </w:tcBorders>
            <w:shd w:val="clear" w:color="auto" w:fill="67AE3C"/>
            <w:vAlign w:val="center"/>
          </w:tcPr>
          <w:p w14:paraId="4276A0CF" w14:textId="77777777"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5C03F37F" w14:textId="72BC6132" w:rsidR="003771A3" w:rsidRPr="00BA296D" w:rsidRDefault="0047634F" w:rsidP="0029617E">
            <w:pPr>
              <w:jc w:val="both"/>
              <w:rPr>
                <w:rFonts w:ascii="Cambria" w:hAnsi="Cambria"/>
                <w:bCs/>
                <w:sz w:val="20"/>
                <w:szCs w:val="20"/>
                <w:highlight w:val="lightGray"/>
              </w:rPr>
            </w:pPr>
            <w:r w:rsidRPr="00517012">
              <w:rPr>
                <w:rFonts w:ascii="Cambria" w:hAnsi="Cambria"/>
                <w:bCs/>
                <w:sz w:val="20"/>
                <w:szCs w:val="20"/>
              </w:rPr>
              <w:t xml:space="preserve">November </w:t>
            </w:r>
            <w:r w:rsidR="0029617E">
              <w:rPr>
                <w:rFonts w:ascii="Cambria" w:hAnsi="Cambria"/>
                <w:bCs/>
                <w:sz w:val="20"/>
                <w:szCs w:val="20"/>
              </w:rPr>
              <w:t>6</w:t>
            </w:r>
            <w:r w:rsidRPr="00517012">
              <w:rPr>
                <w:rFonts w:ascii="Cambria" w:hAnsi="Cambria"/>
                <w:bCs/>
                <w:sz w:val="20"/>
                <w:szCs w:val="20"/>
              </w:rPr>
              <w:t>, 2017</w:t>
            </w:r>
          </w:p>
        </w:tc>
      </w:tr>
    </w:tbl>
    <w:p w14:paraId="2C5C7A9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51A229BF" w14:textId="77777777">
        <w:trPr>
          <w:cantSplit/>
        </w:trPr>
        <w:tc>
          <w:tcPr>
            <w:tcW w:w="3690" w:type="dxa"/>
            <w:tcBorders>
              <w:top w:val="single" w:sz="4" w:space="0" w:color="auto"/>
              <w:bottom w:val="single" w:sz="6" w:space="0" w:color="auto"/>
            </w:tcBorders>
            <w:shd w:val="clear" w:color="auto" w:fill="67AE3C"/>
            <w:vAlign w:val="center"/>
          </w:tcPr>
          <w:p w14:paraId="72D6C791" w14:textId="77777777" w:rsidR="00F621C3" w:rsidRPr="000B6B7A" w:rsidRDefault="00F621C3" w:rsidP="0080157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34B2FD0A" w14:textId="77777777" w:rsidR="00F621C3" w:rsidRPr="000B6B7A" w:rsidRDefault="000F7016" w:rsidP="00440FF0">
            <w:pPr>
              <w:rPr>
                <w:rFonts w:asciiTheme="majorHAnsi" w:hAnsiTheme="majorHAnsi"/>
                <w:bCs/>
                <w:sz w:val="20"/>
                <w:szCs w:val="20"/>
              </w:rPr>
            </w:pPr>
            <w:r w:rsidRPr="00FA1E7A">
              <w:rPr>
                <w:rFonts w:asciiTheme="majorHAnsi" w:hAnsiTheme="majorHAnsi"/>
                <w:bCs/>
                <w:sz w:val="20"/>
                <w:szCs w:val="20"/>
              </w:rPr>
              <w:t xml:space="preserve">Yes </w:t>
            </w:r>
          </w:p>
        </w:tc>
      </w:tr>
      <w:tr w:rsidR="00F621C3" w:rsidRPr="000B6B7A" w14:paraId="67A2AD0C" w14:textId="77777777">
        <w:trPr>
          <w:cantSplit/>
        </w:trPr>
        <w:tc>
          <w:tcPr>
            <w:tcW w:w="3690" w:type="dxa"/>
            <w:tcBorders>
              <w:top w:val="single" w:sz="6" w:space="0" w:color="auto"/>
              <w:bottom w:val="single" w:sz="6" w:space="0" w:color="auto"/>
            </w:tcBorders>
            <w:shd w:val="clear" w:color="auto" w:fill="67AE3C"/>
            <w:vAlign w:val="center"/>
          </w:tcPr>
          <w:p w14:paraId="5528584E"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07D092F6" w14:textId="77777777" w:rsidR="00F621C3" w:rsidRPr="000B6B7A" w:rsidRDefault="000F7016" w:rsidP="00801579">
            <w:pPr>
              <w:rPr>
                <w:rFonts w:asciiTheme="majorHAnsi" w:hAnsiTheme="majorHAnsi"/>
                <w:bCs/>
                <w:sz w:val="20"/>
                <w:szCs w:val="20"/>
              </w:rPr>
            </w:pPr>
            <w:r>
              <w:rPr>
                <w:rFonts w:asciiTheme="majorHAnsi" w:hAnsiTheme="majorHAnsi"/>
                <w:bCs/>
                <w:sz w:val="20"/>
                <w:szCs w:val="20"/>
              </w:rPr>
              <w:t>Yes</w:t>
            </w:r>
          </w:p>
        </w:tc>
      </w:tr>
      <w:tr w:rsidR="00F621C3" w:rsidRPr="000B6B7A" w14:paraId="46CB2317" w14:textId="77777777">
        <w:trPr>
          <w:cantSplit/>
        </w:trPr>
        <w:tc>
          <w:tcPr>
            <w:tcW w:w="3690" w:type="dxa"/>
            <w:tcBorders>
              <w:top w:val="single" w:sz="6" w:space="0" w:color="auto"/>
              <w:bottom w:val="single" w:sz="6" w:space="0" w:color="auto"/>
            </w:tcBorders>
            <w:shd w:val="clear" w:color="auto" w:fill="67AE3C"/>
            <w:vAlign w:val="center"/>
          </w:tcPr>
          <w:p w14:paraId="66D5A2B6"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2CD01BE6" w14:textId="77777777" w:rsidR="00F621C3" w:rsidRPr="000B6B7A" w:rsidRDefault="000F7016" w:rsidP="00801579">
            <w:pPr>
              <w:rPr>
                <w:rFonts w:asciiTheme="majorHAnsi" w:hAnsiTheme="majorHAnsi"/>
                <w:bCs/>
                <w:sz w:val="20"/>
                <w:szCs w:val="20"/>
              </w:rPr>
            </w:pPr>
            <w:r>
              <w:rPr>
                <w:rFonts w:asciiTheme="majorHAnsi" w:hAnsiTheme="majorHAnsi"/>
                <w:bCs/>
                <w:sz w:val="20"/>
                <w:szCs w:val="20"/>
              </w:rPr>
              <w:t>Yes</w:t>
            </w:r>
          </w:p>
        </w:tc>
      </w:tr>
      <w:tr w:rsidR="00F621C3" w:rsidRPr="000B6B7A" w14:paraId="4F6E0CF2" w14:textId="77777777">
        <w:trPr>
          <w:cantSplit/>
        </w:trPr>
        <w:tc>
          <w:tcPr>
            <w:tcW w:w="3690" w:type="dxa"/>
            <w:tcBorders>
              <w:top w:val="single" w:sz="6" w:space="0" w:color="auto"/>
              <w:bottom w:val="single" w:sz="6" w:space="0" w:color="auto"/>
            </w:tcBorders>
            <w:shd w:val="clear" w:color="auto" w:fill="67AE3C"/>
            <w:vAlign w:val="center"/>
          </w:tcPr>
          <w:p w14:paraId="7A0E0FB4"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087D713E" w14:textId="77777777" w:rsidR="00F621C3" w:rsidRPr="000B6B7A" w:rsidRDefault="000F7016" w:rsidP="00801579">
            <w:pPr>
              <w:jc w:val="both"/>
              <w:rPr>
                <w:rFonts w:asciiTheme="majorHAnsi" w:hAnsiTheme="majorHAnsi"/>
                <w:bCs/>
                <w:sz w:val="20"/>
                <w:szCs w:val="20"/>
              </w:rPr>
            </w:pPr>
            <w:r w:rsidRPr="00827F46">
              <w:rPr>
                <w:rFonts w:asciiTheme="majorHAnsi" w:hAnsiTheme="majorHAnsi"/>
                <w:bCs/>
                <w:sz w:val="20"/>
                <w:szCs w:val="20"/>
              </w:rPr>
              <w:t xml:space="preserve">Yes, </w:t>
            </w:r>
            <w:r w:rsidRPr="00827F46">
              <w:rPr>
                <w:sz w:val="20"/>
                <w:szCs w:val="20"/>
              </w:rPr>
              <w:t>American Declaration (ratification of the OAS Charter on June 19, 1951)</w:t>
            </w:r>
            <w:r>
              <w:rPr>
                <w:sz w:val="20"/>
                <w:szCs w:val="20"/>
              </w:rPr>
              <w:t xml:space="preserve"> </w:t>
            </w:r>
          </w:p>
        </w:tc>
      </w:tr>
    </w:tbl>
    <w:p w14:paraId="4BF38D4F"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BEE294B" w14:textId="77777777">
        <w:trPr>
          <w:cantSplit/>
        </w:trPr>
        <w:tc>
          <w:tcPr>
            <w:tcW w:w="3690" w:type="dxa"/>
            <w:tcBorders>
              <w:top w:val="single" w:sz="4" w:space="0" w:color="auto"/>
              <w:bottom w:val="single" w:sz="6" w:space="0" w:color="auto"/>
            </w:tcBorders>
            <w:shd w:val="clear" w:color="auto" w:fill="67AE3C"/>
            <w:vAlign w:val="center"/>
          </w:tcPr>
          <w:p w14:paraId="5980F108"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2AB97DF" w14:textId="77777777" w:rsidR="00F621C3" w:rsidRPr="000B6B7A" w:rsidRDefault="000F7016" w:rsidP="00801579">
            <w:pPr>
              <w:jc w:val="both"/>
              <w:rPr>
                <w:rFonts w:ascii="Cambria" w:hAnsi="Cambria"/>
                <w:bCs/>
                <w:sz w:val="20"/>
                <w:szCs w:val="20"/>
              </w:rPr>
            </w:pPr>
            <w:r>
              <w:rPr>
                <w:rFonts w:ascii="Cambria" w:hAnsi="Cambria"/>
                <w:bCs/>
                <w:sz w:val="20"/>
                <w:szCs w:val="20"/>
              </w:rPr>
              <w:t>No</w:t>
            </w:r>
          </w:p>
        </w:tc>
      </w:tr>
      <w:tr w:rsidR="00F621C3" w:rsidRPr="000B6B7A" w14:paraId="72F3A467" w14:textId="77777777">
        <w:trPr>
          <w:cantSplit/>
        </w:trPr>
        <w:tc>
          <w:tcPr>
            <w:tcW w:w="3690" w:type="dxa"/>
            <w:tcBorders>
              <w:top w:val="single" w:sz="6" w:space="0" w:color="auto"/>
              <w:bottom w:val="single" w:sz="6" w:space="0" w:color="auto"/>
            </w:tcBorders>
            <w:shd w:val="clear" w:color="auto" w:fill="67AE3C"/>
            <w:vAlign w:val="center"/>
          </w:tcPr>
          <w:p w14:paraId="0AB2EF93" w14:textId="77777777" w:rsidR="00F621C3" w:rsidRPr="000B6B7A" w:rsidRDefault="00F621C3" w:rsidP="0080157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r w:rsidR="00FE42E5">
              <w:rPr>
                <w:rFonts w:ascii="Cambria" w:hAnsi="Cambria"/>
                <w:b/>
                <w:bCs/>
                <w:color w:val="FFFFFF" w:themeColor="background1"/>
                <w:sz w:val="20"/>
                <w:szCs w:val="20"/>
              </w:rPr>
              <w:t>:</w:t>
            </w:r>
          </w:p>
        </w:tc>
        <w:tc>
          <w:tcPr>
            <w:tcW w:w="5670" w:type="dxa"/>
            <w:vAlign w:val="center"/>
          </w:tcPr>
          <w:p w14:paraId="0D9D9F44" w14:textId="169F6A41" w:rsidR="00F621C3" w:rsidRPr="000B6B7A" w:rsidRDefault="00ED13FB" w:rsidP="00ED13FB">
            <w:pPr>
              <w:jc w:val="both"/>
              <w:rPr>
                <w:rFonts w:ascii="Cambria" w:hAnsi="Cambria"/>
                <w:bCs/>
                <w:sz w:val="20"/>
                <w:szCs w:val="20"/>
              </w:rPr>
            </w:pPr>
            <w:r w:rsidRPr="00ED13FB">
              <w:rPr>
                <w:sz w:val="20"/>
                <w:szCs w:val="20"/>
              </w:rPr>
              <w:t xml:space="preserve">Articles I (life, liberty and personal security), XVII (recognition of juridical personality and civil rights), XVIII (fair trial), and XXV (protection from arbitrary arrest) and XXVI (due process of law) of the American Declaration </w:t>
            </w:r>
          </w:p>
        </w:tc>
      </w:tr>
      <w:tr w:rsidR="00F621C3" w:rsidRPr="000B6B7A" w14:paraId="474A967D" w14:textId="77777777">
        <w:trPr>
          <w:cantSplit/>
        </w:trPr>
        <w:tc>
          <w:tcPr>
            <w:tcW w:w="3690" w:type="dxa"/>
            <w:tcBorders>
              <w:top w:val="single" w:sz="6" w:space="0" w:color="auto"/>
              <w:bottom w:val="single" w:sz="6" w:space="0" w:color="auto"/>
            </w:tcBorders>
            <w:shd w:val="clear" w:color="auto" w:fill="67AE3C"/>
            <w:vAlign w:val="center"/>
          </w:tcPr>
          <w:p w14:paraId="07F7062C" w14:textId="77777777" w:rsidR="00F621C3" w:rsidRPr="00FE42E5" w:rsidRDefault="00F621C3" w:rsidP="00801579">
            <w:pPr>
              <w:jc w:val="center"/>
              <w:rPr>
                <w:rFonts w:ascii="Cambria" w:hAnsi="Cambria"/>
                <w:b/>
                <w:bCs/>
                <w:color w:val="FFFFFF" w:themeColor="background1"/>
                <w:sz w:val="18"/>
                <w:szCs w:val="18"/>
              </w:rPr>
            </w:pPr>
            <w:r w:rsidRPr="00FE42E5">
              <w:rPr>
                <w:rFonts w:ascii="Cambria" w:hAnsi="Cambria"/>
                <w:b/>
                <w:bCs/>
                <w:color w:val="FFFFFF" w:themeColor="background1"/>
                <w:sz w:val="18"/>
                <w:szCs w:val="18"/>
              </w:rPr>
              <w:t>Exhaustion of domestic remedies or applicability of an exception to the rule:</w:t>
            </w:r>
          </w:p>
        </w:tc>
        <w:tc>
          <w:tcPr>
            <w:tcW w:w="5670" w:type="dxa"/>
            <w:vAlign w:val="center"/>
          </w:tcPr>
          <w:p w14:paraId="6870B7DD" w14:textId="77777777" w:rsidR="00F621C3" w:rsidRPr="000B6B7A" w:rsidRDefault="0056605C" w:rsidP="00FE42E5">
            <w:pPr>
              <w:pStyle w:val="Default"/>
              <w:rPr>
                <w:bCs/>
                <w:sz w:val="20"/>
                <w:szCs w:val="20"/>
              </w:rPr>
            </w:pPr>
            <w:r>
              <w:rPr>
                <w:sz w:val="20"/>
                <w:szCs w:val="20"/>
              </w:rPr>
              <w:t>Yes</w:t>
            </w:r>
          </w:p>
        </w:tc>
      </w:tr>
      <w:tr w:rsidR="00F621C3" w:rsidRPr="000B6B7A" w14:paraId="74FB41FC" w14:textId="77777777">
        <w:trPr>
          <w:cantSplit/>
        </w:trPr>
        <w:tc>
          <w:tcPr>
            <w:tcW w:w="3690" w:type="dxa"/>
            <w:tcBorders>
              <w:top w:val="single" w:sz="6" w:space="0" w:color="auto"/>
              <w:bottom w:val="single" w:sz="6" w:space="0" w:color="auto"/>
            </w:tcBorders>
            <w:shd w:val="clear" w:color="auto" w:fill="67AE3C"/>
            <w:vAlign w:val="center"/>
          </w:tcPr>
          <w:p w14:paraId="137C2742"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5CA65AEE" w14:textId="5345AE82" w:rsidR="00F621C3" w:rsidRPr="000B6B7A" w:rsidRDefault="000F7016" w:rsidP="00801579">
            <w:pPr>
              <w:rPr>
                <w:rFonts w:asciiTheme="majorHAnsi" w:hAnsiTheme="majorHAnsi"/>
                <w:bCs/>
                <w:sz w:val="20"/>
                <w:szCs w:val="20"/>
              </w:rPr>
            </w:pPr>
            <w:r w:rsidRPr="0056605C">
              <w:rPr>
                <w:rFonts w:asciiTheme="majorHAnsi" w:hAnsiTheme="majorHAnsi"/>
                <w:bCs/>
                <w:sz w:val="20"/>
                <w:szCs w:val="20"/>
              </w:rPr>
              <w:t>Yes</w:t>
            </w:r>
          </w:p>
        </w:tc>
      </w:tr>
    </w:tbl>
    <w:p w14:paraId="417F127A"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3B91477" w14:textId="0E2B9A09" w:rsidR="007B5C6E" w:rsidRDefault="000E2283" w:rsidP="007B5C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39B8">
        <w:rPr>
          <w:rFonts w:ascii="Cambria" w:hAnsi="Cambria"/>
          <w:sz w:val="20"/>
          <w:szCs w:val="20"/>
        </w:rPr>
        <w:t>The petitioner</w:t>
      </w:r>
      <w:r w:rsidR="00BA296D" w:rsidRPr="005E39B8">
        <w:rPr>
          <w:rFonts w:ascii="Cambria" w:hAnsi="Cambria"/>
          <w:sz w:val="20"/>
          <w:szCs w:val="20"/>
        </w:rPr>
        <w:t xml:space="preserve"> </w:t>
      </w:r>
      <w:r w:rsidR="0012369A">
        <w:rPr>
          <w:rFonts w:ascii="Cambria" w:hAnsi="Cambria"/>
          <w:sz w:val="20"/>
          <w:szCs w:val="20"/>
        </w:rPr>
        <w:t>states</w:t>
      </w:r>
      <w:r w:rsidR="007A32A8">
        <w:rPr>
          <w:rFonts w:ascii="Cambria" w:hAnsi="Cambria"/>
          <w:sz w:val="20"/>
          <w:szCs w:val="20"/>
        </w:rPr>
        <w:t xml:space="preserve"> that the alleged victims –Afghan and Iraqi citizens detained by US military forces </w:t>
      </w:r>
      <w:r w:rsidR="00B327DE">
        <w:rPr>
          <w:rFonts w:ascii="Cambria" w:hAnsi="Cambria"/>
          <w:sz w:val="20"/>
          <w:szCs w:val="20"/>
        </w:rPr>
        <w:t xml:space="preserve">in those countries </w:t>
      </w:r>
      <w:r w:rsidR="007A32A8">
        <w:rPr>
          <w:rFonts w:ascii="Cambria" w:hAnsi="Cambria"/>
          <w:sz w:val="20"/>
          <w:szCs w:val="20"/>
        </w:rPr>
        <w:t xml:space="preserve">were subjected </w:t>
      </w:r>
      <w:r w:rsidR="00B327DE">
        <w:rPr>
          <w:rFonts w:ascii="Cambria" w:hAnsi="Cambria"/>
          <w:sz w:val="20"/>
          <w:szCs w:val="20"/>
        </w:rPr>
        <w:t>to</w:t>
      </w:r>
      <w:r w:rsidR="00BA296D" w:rsidRPr="005E39B8">
        <w:rPr>
          <w:rFonts w:ascii="Cambria" w:hAnsi="Cambria"/>
          <w:sz w:val="20"/>
          <w:szCs w:val="20"/>
        </w:rPr>
        <w:t xml:space="preserve"> torture and</w:t>
      </w:r>
      <w:r w:rsidR="0012369A">
        <w:rPr>
          <w:rFonts w:ascii="Cambria" w:hAnsi="Cambria"/>
          <w:sz w:val="20"/>
          <w:szCs w:val="20"/>
        </w:rPr>
        <w:t xml:space="preserve"> other abusive treatment perpetr</w:t>
      </w:r>
      <w:r w:rsidR="00BA296D" w:rsidRPr="005E39B8">
        <w:rPr>
          <w:rFonts w:ascii="Cambria" w:hAnsi="Cambria"/>
          <w:sz w:val="20"/>
          <w:szCs w:val="20"/>
        </w:rPr>
        <w:t>ated by U.S. Officials at U</w:t>
      </w:r>
      <w:r w:rsidR="00F40438" w:rsidRPr="005E39B8">
        <w:rPr>
          <w:rFonts w:ascii="Cambria" w:hAnsi="Cambria"/>
          <w:sz w:val="20"/>
          <w:szCs w:val="20"/>
        </w:rPr>
        <w:t>.</w:t>
      </w:r>
      <w:r w:rsidR="00BA296D" w:rsidRPr="005E39B8">
        <w:rPr>
          <w:rFonts w:ascii="Cambria" w:hAnsi="Cambria"/>
          <w:sz w:val="20"/>
          <w:szCs w:val="20"/>
        </w:rPr>
        <w:t>S</w:t>
      </w:r>
      <w:r w:rsidR="00F40438" w:rsidRPr="005E39B8">
        <w:rPr>
          <w:rFonts w:ascii="Cambria" w:hAnsi="Cambria"/>
          <w:sz w:val="20"/>
          <w:szCs w:val="20"/>
        </w:rPr>
        <w:t>.</w:t>
      </w:r>
      <w:r w:rsidR="00BA296D" w:rsidRPr="005E39B8">
        <w:rPr>
          <w:rFonts w:ascii="Cambria" w:hAnsi="Cambria"/>
          <w:sz w:val="20"/>
          <w:szCs w:val="20"/>
        </w:rPr>
        <w:t xml:space="preserve"> run detention facil</w:t>
      </w:r>
      <w:r w:rsidR="005E39B8" w:rsidRPr="005E39B8">
        <w:rPr>
          <w:rFonts w:ascii="Cambria" w:hAnsi="Cambria"/>
          <w:sz w:val="20"/>
          <w:szCs w:val="20"/>
        </w:rPr>
        <w:t>ities in Afghanistan and Iraq during the years of</w:t>
      </w:r>
      <w:r w:rsidR="00BA296D" w:rsidRPr="005E39B8">
        <w:rPr>
          <w:rFonts w:ascii="Cambria" w:hAnsi="Cambria"/>
          <w:sz w:val="20"/>
          <w:szCs w:val="20"/>
        </w:rPr>
        <w:t xml:space="preserve"> 2003 and 2004</w:t>
      </w:r>
      <w:r w:rsidR="00B327DE">
        <w:rPr>
          <w:rFonts w:ascii="Cambria" w:hAnsi="Cambria"/>
          <w:sz w:val="20"/>
          <w:szCs w:val="20"/>
        </w:rPr>
        <w:t>. P</w:t>
      </w:r>
      <w:r w:rsidR="00CC6FD5" w:rsidRPr="00D62C00">
        <w:rPr>
          <w:rFonts w:ascii="Cambria" w:hAnsi="Cambria"/>
          <w:sz w:val="20"/>
          <w:szCs w:val="20"/>
        </w:rPr>
        <w:t>etitioner</w:t>
      </w:r>
      <w:r w:rsidR="0025367B" w:rsidRPr="00D62C00">
        <w:rPr>
          <w:rFonts w:ascii="Cambria" w:hAnsi="Cambria"/>
          <w:sz w:val="20"/>
          <w:szCs w:val="20"/>
        </w:rPr>
        <w:t xml:space="preserve"> </w:t>
      </w:r>
      <w:r w:rsidR="00CC6FD5" w:rsidRPr="00D62C00">
        <w:rPr>
          <w:rFonts w:ascii="Cambria" w:hAnsi="Cambria"/>
          <w:sz w:val="20"/>
          <w:szCs w:val="20"/>
        </w:rPr>
        <w:t>adduces</w:t>
      </w:r>
      <w:r w:rsidR="0025367B" w:rsidRPr="00D62C00">
        <w:rPr>
          <w:rFonts w:ascii="Cambria" w:hAnsi="Cambria"/>
          <w:sz w:val="20"/>
          <w:szCs w:val="20"/>
        </w:rPr>
        <w:t xml:space="preserve"> that such treatment was </w:t>
      </w:r>
      <w:r w:rsidR="00B327DE" w:rsidRPr="005E39B8">
        <w:rPr>
          <w:rFonts w:ascii="Cambria" w:hAnsi="Cambria"/>
          <w:sz w:val="20"/>
          <w:szCs w:val="20"/>
        </w:rPr>
        <w:t>widespread and systemic</w:t>
      </w:r>
      <w:r w:rsidR="00B327DE">
        <w:rPr>
          <w:rFonts w:ascii="Cambria" w:hAnsi="Cambria"/>
          <w:sz w:val="20"/>
          <w:szCs w:val="20"/>
        </w:rPr>
        <w:t xml:space="preserve"> in such facilities and was a</w:t>
      </w:r>
      <w:r w:rsidR="0025367B" w:rsidRPr="00D62C00">
        <w:rPr>
          <w:rFonts w:ascii="Cambria" w:hAnsi="Cambria"/>
          <w:sz w:val="20"/>
          <w:szCs w:val="20"/>
        </w:rPr>
        <w:t xml:space="preserve"> direct result of policies </w:t>
      </w:r>
      <w:r w:rsidR="0025367B" w:rsidRPr="00D62C00">
        <w:rPr>
          <w:rFonts w:ascii="Cambria" w:hAnsi="Cambria"/>
          <w:sz w:val="20"/>
          <w:szCs w:val="20"/>
        </w:rPr>
        <w:lastRenderedPageBreak/>
        <w:t>and practices promulgated and implemented by the U.S government. It is fu</w:t>
      </w:r>
      <w:r w:rsidR="00CC6FD5" w:rsidRPr="00D62C00">
        <w:rPr>
          <w:rFonts w:ascii="Cambria" w:hAnsi="Cambria"/>
          <w:sz w:val="20"/>
          <w:szCs w:val="20"/>
        </w:rPr>
        <w:t>rther alleged that the State</w:t>
      </w:r>
      <w:r w:rsidR="0025367B" w:rsidRPr="00D62C00">
        <w:rPr>
          <w:rFonts w:ascii="Cambria" w:hAnsi="Cambria"/>
          <w:sz w:val="20"/>
          <w:szCs w:val="20"/>
        </w:rPr>
        <w:t xml:space="preserve"> failed to conduct any criminal investigation, </w:t>
      </w:r>
      <w:r w:rsidR="00CC6FD5" w:rsidRPr="00D62C00">
        <w:rPr>
          <w:rFonts w:ascii="Cambria" w:hAnsi="Cambria"/>
          <w:sz w:val="20"/>
          <w:szCs w:val="20"/>
        </w:rPr>
        <w:t xml:space="preserve">failed to </w:t>
      </w:r>
      <w:r w:rsidR="0025367B" w:rsidRPr="00D62C00">
        <w:rPr>
          <w:rFonts w:ascii="Cambria" w:hAnsi="Cambria"/>
          <w:sz w:val="20"/>
          <w:szCs w:val="20"/>
        </w:rPr>
        <w:t>hold responsible parties accountable</w:t>
      </w:r>
      <w:r w:rsidR="00C32DA7" w:rsidRPr="00D62C00">
        <w:rPr>
          <w:rFonts w:ascii="Cambria" w:hAnsi="Cambria"/>
          <w:sz w:val="20"/>
          <w:szCs w:val="20"/>
        </w:rPr>
        <w:t xml:space="preserve"> for such actions</w:t>
      </w:r>
      <w:r w:rsidR="0025367B" w:rsidRPr="00D62C00">
        <w:rPr>
          <w:rFonts w:ascii="Cambria" w:hAnsi="Cambria"/>
          <w:sz w:val="20"/>
          <w:szCs w:val="20"/>
        </w:rPr>
        <w:t xml:space="preserve"> and</w:t>
      </w:r>
      <w:r w:rsidR="00C32DA7" w:rsidRPr="00D62C00">
        <w:rPr>
          <w:rFonts w:ascii="Cambria" w:hAnsi="Cambria"/>
          <w:sz w:val="20"/>
          <w:szCs w:val="20"/>
        </w:rPr>
        <w:t xml:space="preserve"> failed</w:t>
      </w:r>
      <w:r w:rsidR="0025367B" w:rsidRPr="00D62C00">
        <w:rPr>
          <w:rFonts w:ascii="Cambria" w:hAnsi="Cambria"/>
          <w:sz w:val="20"/>
          <w:szCs w:val="20"/>
        </w:rPr>
        <w:t xml:space="preserve"> to provide any form of redress to </w:t>
      </w:r>
      <w:r w:rsidR="00FD264F">
        <w:rPr>
          <w:rFonts w:ascii="Cambria" w:hAnsi="Cambria"/>
          <w:sz w:val="20"/>
          <w:szCs w:val="20"/>
        </w:rPr>
        <w:t xml:space="preserve">the presumed </w:t>
      </w:r>
      <w:r w:rsidR="0025367B" w:rsidRPr="00D62C00">
        <w:rPr>
          <w:rFonts w:ascii="Cambria" w:hAnsi="Cambria"/>
          <w:sz w:val="20"/>
          <w:szCs w:val="20"/>
        </w:rPr>
        <w:t xml:space="preserve">victims. </w:t>
      </w:r>
    </w:p>
    <w:p w14:paraId="5461AC99" w14:textId="2FCFD6C1" w:rsidR="00CC6FD5" w:rsidRPr="00E65C53" w:rsidRDefault="00E65C53" w:rsidP="00245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u w:val="single"/>
        </w:rPr>
      </w:pPr>
      <w:r w:rsidRPr="00E65C53">
        <w:rPr>
          <w:rFonts w:asciiTheme="majorHAnsi" w:hAnsiTheme="majorHAnsi" w:cs="Arial"/>
          <w:sz w:val="20"/>
          <w:szCs w:val="22"/>
          <w:u w:val="single"/>
        </w:rPr>
        <w:t xml:space="preserve">Allegations relating to </w:t>
      </w:r>
      <w:r w:rsidR="00CC6FD5" w:rsidRPr="00E65C53">
        <w:rPr>
          <w:rFonts w:asciiTheme="majorHAnsi" w:hAnsiTheme="majorHAnsi" w:cs="Arial"/>
          <w:sz w:val="20"/>
          <w:szCs w:val="22"/>
          <w:u w:val="single"/>
        </w:rPr>
        <w:t>Thahe Mohammed Sab</w:t>
      </w:r>
      <w:r w:rsidR="00582967" w:rsidRPr="00E65C53">
        <w:rPr>
          <w:rFonts w:asciiTheme="majorHAnsi" w:hAnsiTheme="majorHAnsi" w:cs="Arial"/>
          <w:sz w:val="20"/>
          <w:szCs w:val="22"/>
          <w:u w:val="single"/>
        </w:rPr>
        <w:t>b</w:t>
      </w:r>
      <w:r w:rsidR="00CC6FD5" w:rsidRPr="00E65C53">
        <w:rPr>
          <w:rFonts w:asciiTheme="majorHAnsi" w:hAnsiTheme="majorHAnsi" w:cs="Arial"/>
          <w:sz w:val="20"/>
          <w:szCs w:val="22"/>
          <w:u w:val="single"/>
        </w:rPr>
        <w:t>ar</w:t>
      </w:r>
      <w:r w:rsidR="00CC6FD5" w:rsidRPr="00E65C53">
        <w:rPr>
          <w:rFonts w:ascii="Cambria" w:hAnsi="Cambria"/>
          <w:sz w:val="20"/>
          <w:szCs w:val="20"/>
          <w:u w:val="single"/>
        </w:rPr>
        <w:t xml:space="preserve"> </w:t>
      </w:r>
    </w:p>
    <w:p w14:paraId="06FE3DD3" w14:textId="37E1CFA2" w:rsidR="009C3A08" w:rsidRDefault="00730855" w:rsidP="00BA29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6FD5">
        <w:rPr>
          <w:rFonts w:ascii="Cambria" w:hAnsi="Cambria"/>
          <w:sz w:val="20"/>
          <w:szCs w:val="20"/>
        </w:rPr>
        <w:t>Sabbar</w:t>
      </w:r>
      <w:r w:rsidR="00361152">
        <w:rPr>
          <w:rFonts w:ascii="Cambria" w:hAnsi="Cambria"/>
          <w:sz w:val="20"/>
          <w:szCs w:val="20"/>
        </w:rPr>
        <w:t xml:space="preserve"> was held at various locations in Iraq, including Camp Bucca and Abu Ghraib prison</w:t>
      </w:r>
      <w:r w:rsidR="0012369A">
        <w:rPr>
          <w:rFonts w:ascii="Cambria" w:hAnsi="Cambria"/>
          <w:sz w:val="20"/>
          <w:szCs w:val="20"/>
        </w:rPr>
        <w:t xml:space="preserve"> fro</w:t>
      </w:r>
      <w:r w:rsidR="001A05E2">
        <w:rPr>
          <w:rFonts w:ascii="Cambria" w:hAnsi="Cambria"/>
          <w:sz w:val="20"/>
          <w:szCs w:val="20"/>
        </w:rPr>
        <w:t>m July 2003 to January 2004</w:t>
      </w:r>
      <w:r w:rsidR="00361152">
        <w:rPr>
          <w:rFonts w:ascii="Cambria" w:hAnsi="Cambria"/>
          <w:sz w:val="20"/>
          <w:szCs w:val="20"/>
        </w:rPr>
        <w:t xml:space="preserve">. While in custody he </w:t>
      </w:r>
      <w:r w:rsidRPr="00CC6FD5">
        <w:rPr>
          <w:rFonts w:ascii="Cambria" w:hAnsi="Cambria"/>
          <w:sz w:val="20"/>
          <w:szCs w:val="20"/>
        </w:rPr>
        <w:t xml:space="preserve">was </w:t>
      </w:r>
      <w:r w:rsidR="003868C9">
        <w:rPr>
          <w:rFonts w:ascii="Cambria" w:hAnsi="Cambria"/>
          <w:sz w:val="20"/>
          <w:szCs w:val="20"/>
        </w:rPr>
        <w:t>beaten</w:t>
      </w:r>
      <w:r w:rsidR="00582967">
        <w:rPr>
          <w:rFonts w:ascii="Cambria" w:hAnsi="Cambria"/>
          <w:sz w:val="20"/>
          <w:szCs w:val="20"/>
        </w:rPr>
        <w:t xml:space="preserve"> and tortu</w:t>
      </w:r>
      <w:r w:rsidR="00582967" w:rsidRPr="00DE6EAE">
        <w:rPr>
          <w:rFonts w:ascii="Cambria" w:hAnsi="Cambria"/>
          <w:sz w:val="20"/>
          <w:szCs w:val="20"/>
        </w:rPr>
        <w:t>re</w:t>
      </w:r>
      <w:r w:rsidR="00A3089A" w:rsidRPr="00DE6EAE">
        <w:rPr>
          <w:rFonts w:ascii="Cambria" w:hAnsi="Cambria"/>
          <w:sz w:val="20"/>
          <w:szCs w:val="20"/>
        </w:rPr>
        <w:t>d</w:t>
      </w:r>
      <w:r w:rsidR="00582967">
        <w:rPr>
          <w:rFonts w:ascii="Cambria" w:hAnsi="Cambria"/>
          <w:sz w:val="20"/>
          <w:szCs w:val="20"/>
        </w:rPr>
        <w:t xml:space="preserve"> by US military personnel using guns, wooden batons and </w:t>
      </w:r>
      <w:r w:rsidR="00DE6EAE" w:rsidRPr="00DE6EAE">
        <w:rPr>
          <w:rFonts w:ascii="Cambria" w:hAnsi="Cambria"/>
          <w:sz w:val="20"/>
          <w:szCs w:val="20"/>
          <w:lang w:val="en"/>
        </w:rPr>
        <w:t>electric shock devices</w:t>
      </w:r>
      <w:r w:rsidR="00582967">
        <w:rPr>
          <w:rFonts w:ascii="Cambria" w:hAnsi="Cambria"/>
          <w:sz w:val="20"/>
          <w:szCs w:val="20"/>
        </w:rPr>
        <w:t xml:space="preserve">. He was </w:t>
      </w:r>
      <w:r w:rsidR="00582967" w:rsidRPr="00CC6FD5">
        <w:rPr>
          <w:rFonts w:ascii="Cambria" w:hAnsi="Cambria"/>
          <w:sz w:val="20"/>
          <w:szCs w:val="20"/>
        </w:rPr>
        <w:t xml:space="preserve">shackled </w:t>
      </w:r>
      <w:r w:rsidR="00582967">
        <w:rPr>
          <w:rFonts w:ascii="Cambria" w:hAnsi="Cambria"/>
          <w:sz w:val="20"/>
          <w:szCs w:val="20"/>
        </w:rPr>
        <w:t xml:space="preserve">to a fence </w:t>
      </w:r>
      <w:r w:rsidR="00582967" w:rsidRPr="00CC6FD5">
        <w:rPr>
          <w:rFonts w:ascii="Cambria" w:hAnsi="Cambria"/>
          <w:sz w:val="20"/>
          <w:szCs w:val="20"/>
        </w:rPr>
        <w:t xml:space="preserve">for extended periods </w:t>
      </w:r>
      <w:r w:rsidR="00582967">
        <w:rPr>
          <w:rFonts w:ascii="Cambria" w:hAnsi="Cambria"/>
          <w:sz w:val="20"/>
          <w:szCs w:val="20"/>
        </w:rPr>
        <w:t>at temperatures that exceeded 120 degrees Fahrenheit. Sabbar was sexually assaulted by US military personnel: in one occasion one or more soldiers inserted their fingers into his anus and grabbed and fondled his buttocks while making moaning sounds and jeering at him in the presence of other soldiers, including females in order to degrade and demean him. Soldiers also staged mock executions with Sabbar and other detainees</w:t>
      </w:r>
      <w:r w:rsidR="00D357F4">
        <w:rPr>
          <w:rFonts w:ascii="Cambria" w:hAnsi="Cambria"/>
          <w:sz w:val="20"/>
          <w:szCs w:val="20"/>
        </w:rPr>
        <w:t>,</w:t>
      </w:r>
      <w:r w:rsidR="00582967">
        <w:rPr>
          <w:rFonts w:ascii="Cambria" w:hAnsi="Cambria"/>
          <w:sz w:val="20"/>
          <w:szCs w:val="20"/>
        </w:rPr>
        <w:t xml:space="preserve"> </w:t>
      </w:r>
      <w:r w:rsidR="00D357F4">
        <w:rPr>
          <w:rFonts w:ascii="Cambria" w:hAnsi="Cambria"/>
          <w:sz w:val="20"/>
          <w:szCs w:val="20"/>
        </w:rPr>
        <w:t>forcing them</w:t>
      </w:r>
      <w:r w:rsidR="00582967">
        <w:rPr>
          <w:rFonts w:ascii="Cambria" w:hAnsi="Cambria"/>
          <w:sz w:val="20"/>
          <w:szCs w:val="20"/>
        </w:rPr>
        <w:t xml:space="preserve"> to stand against a w</w:t>
      </w:r>
      <w:r w:rsidR="0012369A">
        <w:rPr>
          <w:rFonts w:ascii="Cambria" w:hAnsi="Cambria"/>
          <w:sz w:val="20"/>
          <w:szCs w:val="20"/>
        </w:rPr>
        <w:t>all in front of a firing squad.</w:t>
      </w:r>
      <w:r w:rsidR="00582967">
        <w:rPr>
          <w:rFonts w:ascii="Cambria" w:hAnsi="Cambria"/>
          <w:sz w:val="20"/>
          <w:szCs w:val="20"/>
        </w:rPr>
        <w:t xml:space="preserve"> </w:t>
      </w:r>
      <w:r w:rsidR="00D357F4">
        <w:rPr>
          <w:rFonts w:ascii="Cambria" w:hAnsi="Cambria"/>
          <w:sz w:val="20"/>
          <w:szCs w:val="20"/>
        </w:rPr>
        <w:t>Additionally, the a</w:t>
      </w:r>
      <w:r w:rsidR="00D357F4" w:rsidRPr="00CC6FD5">
        <w:rPr>
          <w:rFonts w:ascii="Cambria" w:hAnsi="Cambria"/>
          <w:sz w:val="20"/>
          <w:szCs w:val="20"/>
        </w:rPr>
        <w:t xml:space="preserve">lleged victim was threatened to be sent to Guantanamo </w:t>
      </w:r>
      <w:r w:rsidR="00D357F4">
        <w:rPr>
          <w:rFonts w:ascii="Cambria" w:hAnsi="Cambria"/>
          <w:sz w:val="20"/>
          <w:szCs w:val="20"/>
        </w:rPr>
        <w:t xml:space="preserve">detention facility </w:t>
      </w:r>
      <w:r w:rsidR="00D357F4" w:rsidRPr="00CC6FD5">
        <w:rPr>
          <w:rFonts w:ascii="Cambria" w:hAnsi="Cambria"/>
          <w:sz w:val="20"/>
          <w:szCs w:val="20"/>
        </w:rPr>
        <w:t>where he would be killed.</w:t>
      </w:r>
      <w:r w:rsidR="00D357F4">
        <w:rPr>
          <w:rFonts w:ascii="Cambria" w:hAnsi="Cambria"/>
          <w:sz w:val="20"/>
          <w:szCs w:val="20"/>
        </w:rPr>
        <w:t xml:space="preserve"> He was </w:t>
      </w:r>
      <w:r w:rsidRPr="00CC6FD5">
        <w:rPr>
          <w:rFonts w:ascii="Cambria" w:hAnsi="Cambria"/>
          <w:sz w:val="20"/>
          <w:szCs w:val="20"/>
        </w:rPr>
        <w:t xml:space="preserve">routinely deprived of food, </w:t>
      </w:r>
      <w:r w:rsidR="00DF4364" w:rsidRPr="00CC6FD5">
        <w:rPr>
          <w:rFonts w:ascii="Cambria" w:hAnsi="Cambria"/>
          <w:sz w:val="20"/>
          <w:szCs w:val="20"/>
        </w:rPr>
        <w:t>and at times was given spoiled food which would make them sick. It is further alleged that he was denied access to a toilet</w:t>
      </w:r>
      <w:r w:rsidR="00D357F4">
        <w:rPr>
          <w:rFonts w:ascii="Cambria" w:hAnsi="Cambria"/>
          <w:sz w:val="20"/>
          <w:szCs w:val="20"/>
        </w:rPr>
        <w:t xml:space="preserve">. Petitioners indicate that </w:t>
      </w:r>
      <w:r w:rsidR="0012369A">
        <w:rPr>
          <w:rFonts w:ascii="Cambria" w:hAnsi="Cambria"/>
          <w:sz w:val="20"/>
          <w:szCs w:val="20"/>
        </w:rPr>
        <w:t>because</w:t>
      </w:r>
      <w:r w:rsidR="00D357F4">
        <w:rPr>
          <w:rFonts w:ascii="Cambria" w:hAnsi="Cambria"/>
          <w:sz w:val="20"/>
          <w:szCs w:val="20"/>
        </w:rPr>
        <w:t xml:space="preserve"> of the </w:t>
      </w:r>
      <w:r w:rsidR="00DF4364" w:rsidRPr="00CC6FD5">
        <w:rPr>
          <w:rFonts w:ascii="Cambria" w:hAnsi="Cambria"/>
          <w:sz w:val="20"/>
          <w:szCs w:val="20"/>
        </w:rPr>
        <w:t>physical</w:t>
      </w:r>
      <w:r w:rsidR="00D357F4">
        <w:rPr>
          <w:rFonts w:ascii="Cambria" w:hAnsi="Cambria"/>
          <w:sz w:val="20"/>
          <w:szCs w:val="20"/>
        </w:rPr>
        <w:t xml:space="preserve">, </w:t>
      </w:r>
      <w:r w:rsidR="00DF4364" w:rsidRPr="00CC6FD5">
        <w:rPr>
          <w:rFonts w:ascii="Cambria" w:hAnsi="Cambria"/>
          <w:sz w:val="20"/>
          <w:szCs w:val="20"/>
        </w:rPr>
        <w:t>se</w:t>
      </w:r>
      <w:r w:rsidR="0012369A">
        <w:rPr>
          <w:rFonts w:ascii="Cambria" w:hAnsi="Cambria"/>
          <w:sz w:val="20"/>
          <w:szCs w:val="20"/>
        </w:rPr>
        <w:t>xual</w:t>
      </w:r>
      <w:r w:rsidR="00DF4364" w:rsidRPr="00CC6FD5">
        <w:rPr>
          <w:rFonts w:ascii="Cambria" w:hAnsi="Cambria"/>
          <w:sz w:val="20"/>
          <w:szCs w:val="20"/>
        </w:rPr>
        <w:t xml:space="preserve"> </w:t>
      </w:r>
      <w:r w:rsidR="0012369A">
        <w:rPr>
          <w:rFonts w:ascii="Cambria" w:hAnsi="Cambria"/>
          <w:sz w:val="20"/>
          <w:szCs w:val="20"/>
        </w:rPr>
        <w:t>and psychological abuse</w:t>
      </w:r>
      <w:r w:rsidR="00D357F4">
        <w:rPr>
          <w:rFonts w:ascii="Cambria" w:hAnsi="Cambria"/>
          <w:sz w:val="20"/>
          <w:szCs w:val="20"/>
        </w:rPr>
        <w:t xml:space="preserve">, Sabbar </w:t>
      </w:r>
      <w:r w:rsidR="00DF4364" w:rsidRPr="00CC6FD5">
        <w:rPr>
          <w:rFonts w:ascii="Cambria" w:hAnsi="Cambria"/>
          <w:sz w:val="20"/>
          <w:szCs w:val="20"/>
        </w:rPr>
        <w:t>suffer</w:t>
      </w:r>
      <w:r w:rsidR="00D357F4">
        <w:rPr>
          <w:rFonts w:ascii="Cambria" w:hAnsi="Cambria"/>
          <w:sz w:val="20"/>
          <w:szCs w:val="20"/>
        </w:rPr>
        <w:t>s</w:t>
      </w:r>
      <w:r w:rsidR="00DF4364" w:rsidRPr="00CC6FD5">
        <w:rPr>
          <w:rFonts w:ascii="Cambria" w:hAnsi="Cambria"/>
          <w:sz w:val="20"/>
          <w:szCs w:val="20"/>
        </w:rPr>
        <w:t xml:space="preserve"> from incontinence, impotence and nightmares.</w:t>
      </w:r>
      <w:r w:rsidR="000A779C">
        <w:rPr>
          <w:rFonts w:ascii="Cambria" w:hAnsi="Cambria"/>
          <w:sz w:val="20"/>
          <w:szCs w:val="20"/>
        </w:rPr>
        <w:t xml:space="preserve"> </w:t>
      </w:r>
    </w:p>
    <w:p w14:paraId="42888372" w14:textId="366369E5" w:rsidR="009C3A08" w:rsidRPr="00E65C53" w:rsidRDefault="00E65C53" w:rsidP="00245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u w:val="single"/>
        </w:rPr>
      </w:pPr>
      <w:r w:rsidRPr="00E65C53">
        <w:rPr>
          <w:rFonts w:asciiTheme="majorHAnsi" w:hAnsiTheme="majorHAnsi" w:cs="Arial"/>
          <w:sz w:val="20"/>
          <w:szCs w:val="22"/>
          <w:u w:val="single"/>
        </w:rPr>
        <w:t xml:space="preserve">Allegations relating to </w:t>
      </w:r>
      <w:r w:rsidR="009C3A08" w:rsidRPr="00E65C53">
        <w:rPr>
          <w:sz w:val="20"/>
          <w:szCs w:val="20"/>
          <w:u w:val="single"/>
        </w:rPr>
        <w:t>Sherza</w:t>
      </w:r>
      <w:r w:rsidR="006F1E41" w:rsidRPr="00E65C53">
        <w:rPr>
          <w:sz w:val="20"/>
          <w:szCs w:val="20"/>
          <w:u w:val="single"/>
        </w:rPr>
        <w:t>d</w:t>
      </w:r>
      <w:r w:rsidR="009C3A08" w:rsidRPr="00E65C53">
        <w:rPr>
          <w:sz w:val="20"/>
          <w:szCs w:val="20"/>
          <w:u w:val="single"/>
        </w:rPr>
        <w:t xml:space="preserve"> Kamal Khalid</w:t>
      </w:r>
    </w:p>
    <w:p w14:paraId="4ADBAB82" w14:textId="4D0EACF1" w:rsidR="007C2DD1" w:rsidRDefault="00EE2A39" w:rsidP="003812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Khalid </w:t>
      </w:r>
      <w:r w:rsidR="00DF4364" w:rsidRPr="009C3A08">
        <w:rPr>
          <w:rFonts w:ascii="Cambria" w:hAnsi="Cambria"/>
          <w:sz w:val="20"/>
          <w:szCs w:val="20"/>
        </w:rPr>
        <w:t>was subjected to frequent and severe beatings, sexual abuse and other cruel treatment</w:t>
      </w:r>
      <w:r w:rsidR="001A05E2">
        <w:rPr>
          <w:rFonts w:ascii="Cambria" w:hAnsi="Cambria"/>
          <w:sz w:val="20"/>
          <w:szCs w:val="20"/>
        </w:rPr>
        <w:t xml:space="preserve"> during his detention from July through September 2003</w:t>
      </w:r>
      <w:r w:rsidR="00DF4364" w:rsidRPr="009C3A08">
        <w:rPr>
          <w:rFonts w:ascii="Cambria" w:hAnsi="Cambria"/>
          <w:sz w:val="20"/>
          <w:szCs w:val="20"/>
        </w:rPr>
        <w:t xml:space="preserve">. </w:t>
      </w:r>
      <w:r w:rsidR="00C07584" w:rsidRPr="009C3A08">
        <w:rPr>
          <w:rFonts w:ascii="Cambria" w:hAnsi="Cambria"/>
          <w:sz w:val="20"/>
          <w:szCs w:val="20"/>
        </w:rPr>
        <w:t>Physical abuse</w:t>
      </w:r>
      <w:r w:rsidR="00C8118D" w:rsidRPr="009C3A08">
        <w:rPr>
          <w:rFonts w:ascii="Cambria" w:hAnsi="Cambria"/>
          <w:sz w:val="20"/>
          <w:szCs w:val="20"/>
        </w:rPr>
        <w:t xml:space="preserve"> allegedly entailed severe beatings before interrogations; being repeatedly kicked and punched over a period of hours while hooded and sha</w:t>
      </w:r>
      <w:r w:rsidR="00E3566A" w:rsidRPr="009C3A08">
        <w:rPr>
          <w:rFonts w:ascii="Cambria" w:hAnsi="Cambria"/>
          <w:sz w:val="20"/>
          <w:szCs w:val="20"/>
        </w:rPr>
        <w:t>ckled, seated on the ground;</w:t>
      </w:r>
      <w:r w:rsidR="00C8118D" w:rsidRPr="009C3A08">
        <w:rPr>
          <w:rFonts w:ascii="Cambria" w:hAnsi="Cambria"/>
          <w:sz w:val="20"/>
          <w:szCs w:val="20"/>
        </w:rPr>
        <w:t xml:space="preserve"> on one occasion, forced to run a gauntlet of 10 to 20 uniformed so</w:t>
      </w:r>
      <w:r w:rsidR="00E3566A" w:rsidRPr="009C3A08">
        <w:rPr>
          <w:rFonts w:ascii="Cambria" w:hAnsi="Cambria"/>
          <w:sz w:val="20"/>
          <w:szCs w:val="20"/>
        </w:rPr>
        <w:t>ldiers who beat him with batons; and was forced to stay in a “silent tent” for several days where he was severely beaten whenever he started falling asleep.</w:t>
      </w:r>
      <w:r w:rsidR="009B024E" w:rsidRPr="009C3A08">
        <w:rPr>
          <w:rFonts w:ascii="Cambria" w:hAnsi="Cambria"/>
          <w:sz w:val="20"/>
          <w:szCs w:val="20"/>
        </w:rPr>
        <w:t xml:space="preserve"> Sexual abuse allegedly entailed assaults of grabbing his buttocks/behind; brandishing a long wooden pole threatening to sodomize him and do so every night of detention; and simulating rape by grabbing his behind and pressing a water bottle against the seat of h</w:t>
      </w:r>
      <w:r w:rsidR="001C2C99">
        <w:rPr>
          <w:rFonts w:ascii="Cambria" w:hAnsi="Cambria"/>
          <w:sz w:val="20"/>
          <w:szCs w:val="20"/>
        </w:rPr>
        <w:t>is pants. It is claimed that</w:t>
      </w:r>
      <w:r w:rsidR="009B024E" w:rsidRPr="009C3A08">
        <w:rPr>
          <w:rFonts w:ascii="Cambria" w:hAnsi="Cambria"/>
          <w:sz w:val="20"/>
          <w:szCs w:val="20"/>
        </w:rPr>
        <w:t xml:space="preserve"> Khalid’s life was threatened throughout his detention; he was subjected to mock executions to coerce </w:t>
      </w:r>
      <w:r w:rsidR="0047757C" w:rsidRPr="009C3A08">
        <w:rPr>
          <w:rFonts w:ascii="Cambria" w:hAnsi="Cambria"/>
          <w:sz w:val="20"/>
          <w:szCs w:val="20"/>
        </w:rPr>
        <w:t>confessions,</w:t>
      </w:r>
      <w:r w:rsidR="009B024E" w:rsidRPr="009C3A08">
        <w:rPr>
          <w:rFonts w:ascii="Cambria" w:hAnsi="Cambria"/>
          <w:sz w:val="20"/>
          <w:szCs w:val="20"/>
        </w:rPr>
        <w:t xml:space="preserve"> as soldiers would hold a gun to his head and place him before a mock firing squad with simulated </w:t>
      </w:r>
      <w:r w:rsidR="0047757C" w:rsidRPr="009C3A08">
        <w:rPr>
          <w:rFonts w:ascii="Cambria" w:hAnsi="Cambria"/>
          <w:sz w:val="20"/>
          <w:szCs w:val="20"/>
        </w:rPr>
        <w:t>gunfire</w:t>
      </w:r>
      <w:r w:rsidR="009B024E" w:rsidRPr="009C3A08">
        <w:rPr>
          <w:rFonts w:ascii="Cambria" w:hAnsi="Cambria"/>
          <w:sz w:val="20"/>
          <w:szCs w:val="20"/>
        </w:rPr>
        <w:t xml:space="preserve">. </w:t>
      </w:r>
      <w:r w:rsidR="0047757C" w:rsidRPr="009C3A08">
        <w:rPr>
          <w:rFonts w:ascii="Cambria" w:hAnsi="Cambria"/>
          <w:sz w:val="20"/>
          <w:szCs w:val="20"/>
        </w:rPr>
        <w:t xml:space="preserve">The alleged victim was routinely deprived of sleep, food and water; similar to Sabbar, </w:t>
      </w:r>
      <w:r w:rsidR="001C2C99">
        <w:rPr>
          <w:rFonts w:ascii="Cambria" w:hAnsi="Cambria"/>
          <w:sz w:val="20"/>
          <w:szCs w:val="20"/>
        </w:rPr>
        <w:t xml:space="preserve">it is alleged that he </w:t>
      </w:r>
      <w:r w:rsidR="0047757C" w:rsidRPr="009C3A08">
        <w:rPr>
          <w:rFonts w:ascii="Cambria" w:hAnsi="Cambria"/>
          <w:sz w:val="20"/>
          <w:szCs w:val="20"/>
        </w:rPr>
        <w:t xml:space="preserve">was given spoiled food making him sick and was </w:t>
      </w:r>
      <w:r w:rsidR="00E6344D" w:rsidRPr="009C3A08">
        <w:rPr>
          <w:rFonts w:ascii="Cambria" w:hAnsi="Cambria"/>
          <w:sz w:val="20"/>
          <w:szCs w:val="20"/>
        </w:rPr>
        <w:t xml:space="preserve">deprived of access to a toilet; and on one occasion was shackled to a fence with his hands to his back, forced to stand for hours at temperatures exceeding 120 degrees Fahrenheit without water or food. </w:t>
      </w:r>
    </w:p>
    <w:p w14:paraId="4A4FCB6B" w14:textId="3C6A35BB" w:rsidR="007C2DD1" w:rsidRPr="00E65C53" w:rsidRDefault="00E65C53" w:rsidP="00245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u w:val="single"/>
        </w:rPr>
      </w:pPr>
      <w:r w:rsidRPr="00E65C53">
        <w:rPr>
          <w:rFonts w:asciiTheme="majorHAnsi" w:hAnsiTheme="majorHAnsi" w:cs="Arial"/>
          <w:sz w:val="20"/>
          <w:szCs w:val="22"/>
          <w:u w:val="single"/>
        </w:rPr>
        <w:t xml:space="preserve">Allegations relating to </w:t>
      </w:r>
      <w:r w:rsidR="007C2DD1" w:rsidRPr="00E65C53">
        <w:rPr>
          <w:rFonts w:asciiTheme="majorHAnsi" w:hAnsiTheme="majorHAnsi" w:cs="Arial"/>
          <w:sz w:val="20"/>
          <w:szCs w:val="22"/>
          <w:u w:val="single"/>
        </w:rPr>
        <w:t>Mehboob Ahmad</w:t>
      </w:r>
    </w:p>
    <w:p w14:paraId="07A28F44" w14:textId="32C70994" w:rsidR="00486D95" w:rsidRPr="00486D95" w:rsidRDefault="007B5C6E" w:rsidP="000B19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Ahmad </w:t>
      </w:r>
      <w:r w:rsidR="009E395D">
        <w:rPr>
          <w:rFonts w:ascii="Cambria" w:hAnsi="Cambria"/>
          <w:sz w:val="20"/>
          <w:szCs w:val="20"/>
        </w:rPr>
        <w:t xml:space="preserve">was detained from June to November 2003 and held in various locations in Afghanistan including the Gardez firebase and the Bagram Air Base. </w:t>
      </w:r>
      <w:r w:rsidR="008E5869" w:rsidRPr="007C2DD1">
        <w:rPr>
          <w:rFonts w:ascii="Cambria" w:hAnsi="Cambria"/>
          <w:sz w:val="20"/>
          <w:szCs w:val="20"/>
        </w:rPr>
        <w:t xml:space="preserve"> </w:t>
      </w:r>
      <w:r w:rsidR="009E395D">
        <w:rPr>
          <w:rFonts w:ascii="Cambria" w:hAnsi="Cambria"/>
          <w:sz w:val="20"/>
          <w:szCs w:val="20"/>
        </w:rPr>
        <w:t xml:space="preserve">Petitions </w:t>
      </w:r>
      <w:r w:rsidR="008E5869" w:rsidRPr="007C2DD1">
        <w:rPr>
          <w:rFonts w:ascii="Cambria" w:hAnsi="Cambria"/>
          <w:sz w:val="20"/>
          <w:szCs w:val="20"/>
        </w:rPr>
        <w:t>claims</w:t>
      </w:r>
      <w:r w:rsidR="009E395D">
        <w:rPr>
          <w:rFonts w:ascii="Cambria" w:hAnsi="Cambria"/>
          <w:sz w:val="20"/>
          <w:szCs w:val="20"/>
        </w:rPr>
        <w:t xml:space="preserve"> that Ahmad </w:t>
      </w:r>
      <w:r w:rsidR="008E5869" w:rsidRPr="007C2DD1">
        <w:rPr>
          <w:rFonts w:ascii="Cambria" w:hAnsi="Cambria"/>
          <w:sz w:val="20"/>
          <w:szCs w:val="20"/>
        </w:rPr>
        <w:t xml:space="preserve">have been tortured </w:t>
      </w:r>
      <w:r w:rsidR="00EF46AB" w:rsidRPr="007C2DD1">
        <w:rPr>
          <w:rFonts w:ascii="Cambria" w:hAnsi="Cambria"/>
          <w:sz w:val="20"/>
          <w:szCs w:val="20"/>
        </w:rPr>
        <w:t>including being subjected to beatings while hanging chained to a ceiling</w:t>
      </w:r>
      <w:r w:rsidR="009E395D">
        <w:rPr>
          <w:rFonts w:ascii="Cambria" w:hAnsi="Cambria"/>
          <w:sz w:val="20"/>
          <w:szCs w:val="20"/>
        </w:rPr>
        <w:t xml:space="preserve"> upside-down</w:t>
      </w:r>
      <w:r w:rsidR="00EF46AB" w:rsidRPr="007C2DD1">
        <w:rPr>
          <w:rFonts w:ascii="Cambria" w:hAnsi="Cambria"/>
          <w:sz w:val="20"/>
          <w:szCs w:val="20"/>
        </w:rPr>
        <w:t xml:space="preserve">. He </w:t>
      </w:r>
      <w:r w:rsidR="009E395D">
        <w:rPr>
          <w:rFonts w:ascii="Cambria" w:hAnsi="Cambria"/>
          <w:sz w:val="20"/>
          <w:szCs w:val="20"/>
        </w:rPr>
        <w:t xml:space="preserve">was also </w:t>
      </w:r>
      <w:r w:rsidR="00EF46AB" w:rsidRPr="007C2DD1">
        <w:rPr>
          <w:rFonts w:ascii="Cambria" w:hAnsi="Cambria"/>
          <w:sz w:val="20"/>
          <w:szCs w:val="20"/>
        </w:rPr>
        <w:t>sexual</w:t>
      </w:r>
      <w:r w:rsidR="009E395D">
        <w:rPr>
          <w:rFonts w:ascii="Cambria" w:hAnsi="Cambria"/>
          <w:sz w:val="20"/>
          <w:szCs w:val="20"/>
        </w:rPr>
        <w:t xml:space="preserve">ly </w:t>
      </w:r>
      <w:r w:rsidR="00EF46AB" w:rsidRPr="007C2DD1">
        <w:rPr>
          <w:rFonts w:ascii="Cambria" w:hAnsi="Cambria"/>
          <w:sz w:val="20"/>
          <w:szCs w:val="20"/>
        </w:rPr>
        <w:t>and psychological</w:t>
      </w:r>
      <w:r w:rsidR="009E395D">
        <w:rPr>
          <w:rFonts w:ascii="Cambria" w:hAnsi="Cambria"/>
          <w:sz w:val="20"/>
          <w:szCs w:val="20"/>
        </w:rPr>
        <w:t>ly</w:t>
      </w:r>
      <w:r w:rsidR="00EF46AB" w:rsidRPr="007C2DD1">
        <w:rPr>
          <w:rFonts w:ascii="Cambria" w:hAnsi="Cambria"/>
          <w:sz w:val="20"/>
          <w:szCs w:val="20"/>
        </w:rPr>
        <w:t xml:space="preserve"> trauma</w:t>
      </w:r>
      <w:r w:rsidR="009E395D">
        <w:rPr>
          <w:rFonts w:ascii="Cambria" w:hAnsi="Cambria"/>
          <w:sz w:val="20"/>
          <w:szCs w:val="20"/>
        </w:rPr>
        <w:t>tized</w:t>
      </w:r>
      <w:r w:rsidR="00EF46AB" w:rsidRPr="007C2DD1">
        <w:rPr>
          <w:rFonts w:ascii="Cambria" w:hAnsi="Cambria"/>
          <w:sz w:val="20"/>
          <w:szCs w:val="20"/>
        </w:rPr>
        <w:t>, having been forced to strip and remain naked for long periods of time, probed anally, threatened to be injured by a dog and taunted by soldiers</w:t>
      </w:r>
      <w:r w:rsidR="001C2C99">
        <w:rPr>
          <w:rFonts w:ascii="Cambria" w:hAnsi="Cambria"/>
          <w:sz w:val="20"/>
          <w:szCs w:val="20"/>
        </w:rPr>
        <w:t>, including</w:t>
      </w:r>
      <w:r w:rsidR="00EF46AB" w:rsidRPr="007C2DD1">
        <w:rPr>
          <w:rFonts w:ascii="Cambria" w:hAnsi="Cambria"/>
          <w:sz w:val="20"/>
          <w:szCs w:val="20"/>
        </w:rPr>
        <w:t xml:space="preserve"> claims to rape his wife. He also claims sensory deprivation, being forced to wear sound-blocking headphon</w:t>
      </w:r>
      <w:r w:rsidR="001C2C99">
        <w:rPr>
          <w:rFonts w:ascii="Cambria" w:hAnsi="Cambria"/>
          <w:sz w:val="20"/>
          <w:szCs w:val="20"/>
        </w:rPr>
        <w:t>es, black opaque goggles and</w:t>
      </w:r>
      <w:r w:rsidR="00EF46AB" w:rsidRPr="007C2DD1">
        <w:rPr>
          <w:rFonts w:ascii="Cambria" w:hAnsi="Cambria"/>
          <w:sz w:val="20"/>
          <w:szCs w:val="20"/>
        </w:rPr>
        <w:t xml:space="preserve"> prevented from speaking to others</w:t>
      </w:r>
      <w:r w:rsidR="009E395D">
        <w:rPr>
          <w:rFonts w:ascii="Cambria" w:hAnsi="Cambria"/>
          <w:sz w:val="20"/>
          <w:szCs w:val="20"/>
        </w:rPr>
        <w:t xml:space="preserve"> for the five months that he was in custody</w:t>
      </w:r>
      <w:r w:rsidR="00EF46AB" w:rsidRPr="007C2DD1">
        <w:rPr>
          <w:rFonts w:ascii="Cambria" w:hAnsi="Cambria"/>
          <w:sz w:val="20"/>
          <w:szCs w:val="20"/>
        </w:rPr>
        <w:t xml:space="preserve">. He </w:t>
      </w:r>
      <w:r w:rsidR="001C2C99">
        <w:rPr>
          <w:rFonts w:ascii="Cambria" w:hAnsi="Cambria"/>
          <w:sz w:val="20"/>
          <w:szCs w:val="20"/>
        </w:rPr>
        <w:t xml:space="preserve">alleges similar threats </w:t>
      </w:r>
      <w:r w:rsidR="00EF46AB" w:rsidRPr="007C2DD1">
        <w:rPr>
          <w:rFonts w:ascii="Cambria" w:hAnsi="Cambria"/>
          <w:sz w:val="20"/>
          <w:szCs w:val="20"/>
        </w:rPr>
        <w:t xml:space="preserve">to be transported to Guatanamo. </w:t>
      </w:r>
    </w:p>
    <w:p w14:paraId="7CB92150" w14:textId="519C12D6" w:rsidR="000B19E5" w:rsidRPr="00E65C53" w:rsidRDefault="00E65C53" w:rsidP="00245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u w:val="single"/>
        </w:rPr>
      </w:pPr>
      <w:r w:rsidRPr="00E65C53">
        <w:rPr>
          <w:rFonts w:asciiTheme="majorHAnsi" w:hAnsiTheme="majorHAnsi" w:cs="Arial"/>
          <w:sz w:val="20"/>
          <w:szCs w:val="22"/>
          <w:u w:val="single"/>
        </w:rPr>
        <w:t xml:space="preserve">Allegations relating to </w:t>
      </w:r>
      <w:r w:rsidR="000B19E5" w:rsidRPr="00E65C53">
        <w:rPr>
          <w:sz w:val="20"/>
          <w:szCs w:val="20"/>
          <w:u w:val="single"/>
        </w:rPr>
        <w:t>Said Nabi Siddiqi</w:t>
      </w:r>
    </w:p>
    <w:p w14:paraId="68696AF9" w14:textId="2979082A" w:rsidR="00FD132E" w:rsidRDefault="00292779" w:rsidP="00001B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Siddiqui was detained by US military and held in various detention facilities in Kandahar and Bagram from July to August 2003. </w:t>
      </w:r>
      <w:r w:rsidR="000B0A76">
        <w:rPr>
          <w:rFonts w:ascii="Cambria" w:hAnsi="Cambria"/>
          <w:sz w:val="20"/>
          <w:szCs w:val="20"/>
        </w:rPr>
        <w:t xml:space="preserve">During his </w:t>
      </w:r>
      <w:r w:rsidR="00DE6EAE">
        <w:rPr>
          <w:rFonts w:ascii="Cambria" w:hAnsi="Cambria"/>
          <w:sz w:val="20"/>
          <w:szCs w:val="20"/>
        </w:rPr>
        <w:t>two-month</w:t>
      </w:r>
      <w:r w:rsidR="000B0A76">
        <w:rPr>
          <w:rFonts w:ascii="Cambria" w:hAnsi="Cambria"/>
          <w:sz w:val="20"/>
          <w:szCs w:val="20"/>
        </w:rPr>
        <w:t xml:space="preserve"> detention he </w:t>
      </w:r>
      <w:r w:rsidR="00A364C1" w:rsidRPr="000B19E5">
        <w:rPr>
          <w:rFonts w:ascii="Cambria" w:hAnsi="Cambria"/>
          <w:sz w:val="20"/>
          <w:szCs w:val="20"/>
        </w:rPr>
        <w:t>was similarly subject</w:t>
      </w:r>
      <w:r w:rsidR="00ED3961">
        <w:rPr>
          <w:rFonts w:ascii="Cambria" w:hAnsi="Cambria"/>
          <w:sz w:val="20"/>
          <w:szCs w:val="20"/>
        </w:rPr>
        <w:t>ed to</w:t>
      </w:r>
      <w:r w:rsidR="00A364C1" w:rsidRPr="000B19E5">
        <w:rPr>
          <w:rFonts w:ascii="Cambria" w:hAnsi="Cambria"/>
          <w:sz w:val="20"/>
          <w:szCs w:val="20"/>
        </w:rPr>
        <w:t xml:space="preserve"> painful and abusive positions for long periods during interrogations, including cruel treatment such as holding an alleged </w:t>
      </w:r>
      <w:r w:rsidR="00DE6EAE" w:rsidRPr="000B19E5">
        <w:rPr>
          <w:rFonts w:ascii="Cambria" w:hAnsi="Cambria"/>
          <w:sz w:val="20"/>
          <w:szCs w:val="20"/>
        </w:rPr>
        <w:t>15-pound</w:t>
      </w:r>
      <w:r w:rsidR="00A364C1" w:rsidRPr="000B19E5">
        <w:rPr>
          <w:rFonts w:ascii="Cambria" w:hAnsi="Cambria"/>
          <w:sz w:val="20"/>
          <w:szCs w:val="20"/>
        </w:rPr>
        <w:t xml:space="preserve"> piece of wood in his cuffed hand and maintaining a push up position</w:t>
      </w:r>
      <w:r w:rsidR="00001BA1" w:rsidRPr="000B19E5">
        <w:rPr>
          <w:rFonts w:ascii="Cambria" w:hAnsi="Cambria"/>
          <w:sz w:val="20"/>
          <w:szCs w:val="20"/>
        </w:rPr>
        <w:t xml:space="preserve"> while being doused with water; being beaten for failure to maintain the position. He alleges that during a two-week span he was interrogated every night while handcuffed and blindfolded. He claims sexual h</w:t>
      </w:r>
      <w:r w:rsidR="0002512B">
        <w:rPr>
          <w:rFonts w:ascii="Cambria" w:hAnsi="Cambria"/>
          <w:sz w:val="20"/>
          <w:szCs w:val="20"/>
        </w:rPr>
        <w:t xml:space="preserve">umiliation being stripped naked, photograph </w:t>
      </w:r>
      <w:r w:rsidR="0002512B">
        <w:rPr>
          <w:rFonts w:ascii="Cambria" w:hAnsi="Cambria"/>
          <w:sz w:val="20"/>
          <w:szCs w:val="20"/>
        </w:rPr>
        <w:lastRenderedPageBreak/>
        <w:t xml:space="preserve">and anally probed and told repeatedly that his wife was a slut and his daughter a street beggar. </w:t>
      </w:r>
      <w:r w:rsidR="00001BA1" w:rsidRPr="000B19E5">
        <w:rPr>
          <w:rFonts w:ascii="Cambria" w:hAnsi="Cambria"/>
          <w:sz w:val="20"/>
          <w:szCs w:val="20"/>
        </w:rPr>
        <w:t xml:space="preserve">He claims to have been insulted by the soldiers and stoned while using the toilet. Additionally, he claims being deprived of his asthma inhaler, deprived of sleep and exposed to extreme weather and environmental elements when detained outdoors without protection. </w:t>
      </w:r>
    </w:p>
    <w:p w14:paraId="5875ED83" w14:textId="73858199" w:rsidR="00FD132E" w:rsidRPr="00E65C53" w:rsidRDefault="00E65C53" w:rsidP="00245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u w:val="single"/>
        </w:rPr>
      </w:pPr>
      <w:r w:rsidRPr="00E65C53">
        <w:rPr>
          <w:rFonts w:asciiTheme="majorHAnsi" w:hAnsiTheme="majorHAnsi" w:cs="Arial"/>
          <w:sz w:val="20"/>
          <w:szCs w:val="22"/>
          <w:u w:val="single"/>
        </w:rPr>
        <w:t xml:space="preserve">Allegations relating to </w:t>
      </w:r>
      <w:r w:rsidR="00FD132E" w:rsidRPr="00E65C53">
        <w:rPr>
          <w:sz w:val="20"/>
          <w:szCs w:val="20"/>
          <w:u w:val="single"/>
        </w:rPr>
        <w:t>Haji Abdul Rahman</w:t>
      </w:r>
    </w:p>
    <w:p w14:paraId="6263349E" w14:textId="319E79EB" w:rsidR="00FD132E" w:rsidRDefault="002A7F2C" w:rsidP="003812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Rahman was detained by US military and held in various locations in Afghanistan including Gardez firebase and Bagram Air Base from December 2003 to May 2004. </w:t>
      </w:r>
      <w:r w:rsidR="00A02897" w:rsidRPr="00FD132E">
        <w:rPr>
          <w:rFonts w:ascii="Cambria" w:hAnsi="Cambria"/>
          <w:sz w:val="20"/>
          <w:szCs w:val="20"/>
        </w:rPr>
        <w:t>The petitioner claims that the alleged victim suffered severe physical and psychological trauma; being forced to wear blackout goggles, endure painful restraints,</w:t>
      </w:r>
      <w:r w:rsidR="000C0685" w:rsidRPr="00FD132E">
        <w:rPr>
          <w:rFonts w:ascii="Cambria" w:hAnsi="Cambria"/>
          <w:sz w:val="20"/>
          <w:szCs w:val="20"/>
        </w:rPr>
        <w:t xml:space="preserve"> wear sound-deadening headphones</w:t>
      </w:r>
      <w:r w:rsidR="00A02897" w:rsidRPr="00FD132E">
        <w:rPr>
          <w:rFonts w:ascii="Cambria" w:hAnsi="Cambria"/>
          <w:sz w:val="20"/>
          <w:szCs w:val="20"/>
        </w:rPr>
        <w:t xml:space="preserve"> and kneel with his hands chained, subjected to jerking and pulling at the wrist and shoulders</w:t>
      </w:r>
      <w:r w:rsidR="00001BA1" w:rsidRPr="00FD132E">
        <w:rPr>
          <w:rFonts w:ascii="Cambria" w:hAnsi="Cambria"/>
          <w:sz w:val="20"/>
          <w:szCs w:val="20"/>
        </w:rPr>
        <w:t xml:space="preserve">. </w:t>
      </w:r>
      <w:r w:rsidR="000C0685" w:rsidRPr="00FD132E">
        <w:rPr>
          <w:rFonts w:ascii="Cambria" w:hAnsi="Cambria"/>
          <w:sz w:val="20"/>
          <w:szCs w:val="20"/>
        </w:rPr>
        <w:t xml:space="preserve">He </w:t>
      </w:r>
      <w:r>
        <w:rPr>
          <w:rFonts w:ascii="Cambria" w:hAnsi="Cambria"/>
          <w:sz w:val="20"/>
          <w:szCs w:val="20"/>
        </w:rPr>
        <w:t xml:space="preserve">was </w:t>
      </w:r>
      <w:r w:rsidR="000C0685" w:rsidRPr="00FD132E">
        <w:rPr>
          <w:rFonts w:ascii="Cambria" w:hAnsi="Cambria"/>
          <w:sz w:val="20"/>
          <w:szCs w:val="20"/>
        </w:rPr>
        <w:t>placed in solitary confinement for 15 days; was subject to sleep deprivation</w:t>
      </w:r>
      <w:r w:rsidR="00807E94">
        <w:rPr>
          <w:rFonts w:ascii="Cambria" w:hAnsi="Cambria"/>
          <w:sz w:val="20"/>
          <w:szCs w:val="20"/>
        </w:rPr>
        <w:t>,</w:t>
      </w:r>
      <w:r w:rsidR="000C0685" w:rsidRPr="00FD132E">
        <w:rPr>
          <w:rFonts w:ascii="Cambria" w:hAnsi="Cambria"/>
          <w:sz w:val="20"/>
          <w:szCs w:val="20"/>
        </w:rPr>
        <w:t xml:space="preserve"> being detained in brightly lit area subjected to loud noises; and was</w:t>
      </w:r>
      <w:r w:rsidR="00807E94">
        <w:rPr>
          <w:rFonts w:ascii="Cambria" w:hAnsi="Cambria"/>
          <w:sz w:val="20"/>
          <w:szCs w:val="20"/>
        </w:rPr>
        <w:t xml:space="preserve"> similarly sexually abused having been</w:t>
      </w:r>
      <w:r w:rsidR="000C0685" w:rsidRPr="00FD132E">
        <w:rPr>
          <w:rFonts w:ascii="Cambria" w:hAnsi="Cambria"/>
          <w:sz w:val="20"/>
          <w:szCs w:val="20"/>
        </w:rPr>
        <w:t xml:space="preserve"> made to strip naked and probed anally</w:t>
      </w:r>
      <w:r>
        <w:rPr>
          <w:rFonts w:ascii="Cambria" w:hAnsi="Cambria"/>
          <w:sz w:val="20"/>
          <w:szCs w:val="20"/>
        </w:rPr>
        <w:t xml:space="preserve"> on multiple occasions. He was repeatedly photographed without his cloths</w:t>
      </w:r>
      <w:r w:rsidR="000C0685" w:rsidRPr="00FD132E">
        <w:rPr>
          <w:rFonts w:ascii="Cambria" w:hAnsi="Cambria"/>
          <w:sz w:val="20"/>
          <w:szCs w:val="20"/>
        </w:rPr>
        <w:t xml:space="preserve">. </w:t>
      </w:r>
    </w:p>
    <w:p w14:paraId="63C9CF0E" w14:textId="4333D121" w:rsidR="00E65C53" w:rsidRPr="00E65C53" w:rsidRDefault="00E65C53" w:rsidP="00245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u w:val="single"/>
        </w:rPr>
      </w:pPr>
      <w:r w:rsidRPr="00E65C53">
        <w:rPr>
          <w:rFonts w:ascii="Cambria" w:hAnsi="Cambria"/>
          <w:sz w:val="20"/>
          <w:szCs w:val="20"/>
          <w:u w:val="single"/>
        </w:rPr>
        <w:t>Allegations related to the admissibility of the petition</w:t>
      </w:r>
    </w:p>
    <w:p w14:paraId="4CDA6C4A" w14:textId="49754846" w:rsidR="002525A4" w:rsidRDefault="002525A4" w:rsidP="002525A4">
      <w:pPr>
        <w:pStyle w:val="ListParagraph"/>
        <w:numPr>
          <w:ilvl w:val="0"/>
          <w:numId w:val="55"/>
        </w:numPr>
        <w:jc w:val="both"/>
        <w:rPr>
          <w:rFonts w:eastAsia="Arial Unicode MS" w:cs="Times New Roman"/>
          <w:color w:val="auto"/>
          <w:sz w:val="20"/>
          <w:szCs w:val="20"/>
          <w:lang w:eastAsia="en-US"/>
        </w:rPr>
      </w:pPr>
      <w:r w:rsidRPr="002525A4">
        <w:rPr>
          <w:rFonts w:eastAsia="Arial Unicode MS" w:cs="Times New Roman"/>
          <w:color w:val="auto"/>
          <w:sz w:val="20"/>
          <w:szCs w:val="20"/>
          <w:lang w:eastAsia="en-US"/>
        </w:rPr>
        <w:t xml:space="preserve">Petitioners claim that they have exhausted domestic remedies, or should be exempted from doing so. They claim that several attempts were made at civil redress, by suing certain leaders of the U.S. military, under U.S. constitutional and international law for torture and other cruel, inhumane and degrading treatment. The alleged victims have sought redress in the U.S. federal court system by filing lawsuits in four separate jurisdictions, claiming that their torture had been ordered and condoned at the highest level of government as part of a systemic policy of detainee abuse at U.S. –run facilities in Afghanistan and Iraq. The lawsuits were consolidated and assigned to the District Court in Washington D.C.  It is explained that the District Court acceded to the arguments by the Defendants that as non-resident aliens, the alleged victims were not protected by the U.S. Constitution; further the Defendants (government officials) were entitled to “qualified immunity” against alleged violations of rights that were not clearly established under U.S. law; and lastly, that the alleged unlawful conduct was “within the scope” of government officials’ employment. The petitioner explained that the lawsuit was dismissed by the District Court for the District of Colombia, with the dismissal affirmed by the Court of Appeal. A request to have the decision reconsidered was denied by the Court of Appeal on November 9, 2011 rendering the petitioners allegedly with no effective recourse before U.S. courts.  Petitioners did not file a writ of certiorari to the US Supreme Court because it would have been futile. The petitioner claims that other administrative remedies available within the U.S. judicial system were not adequate or effective for the purpose of remedying the violations of such human rights. Specifically, the Federal Tort Claims Act (FTCA) precludes claims against the United States for “egregious” tortious conduct and the Foreign Claims Act (FCA) does not provide petitioners with any remedy for alleged violations of their rights. </w:t>
      </w:r>
      <w:r>
        <w:rPr>
          <w:rFonts w:eastAsia="Arial Unicode MS" w:cs="Times New Roman"/>
          <w:color w:val="auto"/>
          <w:sz w:val="20"/>
          <w:szCs w:val="20"/>
          <w:lang w:eastAsia="en-US"/>
        </w:rPr>
        <w:t xml:space="preserve"> </w:t>
      </w:r>
      <w:r w:rsidR="00DE6EAE">
        <w:rPr>
          <w:rFonts w:eastAsia="Arial Unicode MS" w:cs="Times New Roman"/>
          <w:color w:val="auto"/>
          <w:sz w:val="20"/>
          <w:szCs w:val="20"/>
          <w:lang w:eastAsia="en-US"/>
        </w:rPr>
        <w:t>Additionally,</w:t>
      </w:r>
      <w:r>
        <w:rPr>
          <w:rFonts w:eastAsia="Arial Unicode MS" w:cs="Times New Roman"/>
          <w:color w:val="auto"/>
          <w:sz w:val="20"/>
          <w:szCs w:val="20"/>
          <w:lang w:eastAsia="en-US"/>
        </w:rPr>
        <w:t xml:space="preserve"> they inform that the presumed victims Sabar, Khalid, Sidiqi and Rahman all filed </w:t>
      </w:r>
      <w:r w:rsidR="008548E8">
        <w:rPr>
          <w:rFonts w:eastAsia="Arial Unicode MS" w:cs="Times New Roman"/>
          <w:color w:val="auto"/>
          <w:sz w:val="20"/>
          <w:szCs w:val="20"/>
          <w:lang w:eastAsia="en-US"/>
        </w:rPr>
        <w:t>claims</w:t>
      </w:r>
      <w:r>
        <w:rPr>
          <w:rFonts w:eastAsia="Arial Unicode MS" w:cs="Times New Roman"/>
          <w:color w:val="auto"/>
          <w:sz w:val="20"/>
          <w:szCs w:val="20"/>
          <w:lang w:eastAsia="en-US"/>
        </w:rPr>
        <w:t xml:space="preserve"> under FCA, and that Sabar’s and Khalid’s claims were summarily rejected after the </w:t>
      </w:r>
      <w:r w:rsidR="008548E8">
        <w:rPr>
          <w:rFonts w:eastAsia="Arial Unicode MS" w:cs="Times New Roman"/>
          <w:color w:val="auto"/>
          <w:sz w:val="20"/>
          <w:szCs w:val="20"/>
          <w:lang w:eastAsia="en-US"/>
        </w:rPr>
        <w:t>Foreign</w:t>
      </w:r>
      <w:r>
        <w:rPr>
          <w:rFonts w:eastAsia="Arial Unicode MS" w:cs="Times New Roman"/>
          <w:color w:val="auto"/>
          <w:sz w:val="20"/>
          <w:szCs w:val="20"/>
          <w:lang w:eastAsia="en-US"/>
        </w:rPr>
        <w:t xml:space="preserve"> Claim Commission (FCC) “found no evidence to support the wrongful detention or mistreatment” during their detention. </w:t>
      </w:r>
      <w:r w:rsidR="008548E8">
        <w:rPr>
          <w:rFonts w:eastAsia="Arial Unicode MS" w:cs="Times New Roman"/>
          <w:color w:val="auto"/>
          <w:sz w:val="20"/>
          <w:szCs w:val="20"/>
          <w:lang w:eastAsia="en-US"/>
        </w:rPr>
        <w:t>Sidiqi and Rahman claims remain unresolved and pending.</w:t>
      </w:r>
    </w:p>
    <w:p w14:paraId="3FBE14C7" w14:textId="77777777" w:rsidR="008548E8" w:rsidRPr="002525A4" w:rsidRDefault="008548E8" w:rsidP="008548E8">
      <w:pPr>
        <w:pStyle w:val="ListParagraph"/>
        <w:jc w:val="both"/>
        <w:rPr>
          <w:rFonts w:eastAsia="Arial Unicode MS" w:cs="Times New Roman"/>
          <w:color w:val="auto"/>
          <w:sz w:val="20"/>
          <w:szCs w:val="20"/>
          <w:lang w:eastAsia="en-US"/>
        </w:rPr>
      </w:pPr>
    </w:p>
    <w:p w14:paraId="30984579" w14:textId="55E50ED7" w:rsidR="00BF13DE" w:rsidRDefault="00A3089A" w:rsidP="00BF13DE">
      <w:pPr>
        <w:pStyle w:val="ListParagraph"/>
        <w:numPr>
          <w:ilvl w:val="0"/>
          <w:numId w:val="55"/>
        </w:numPr>
        <w:jc w:val="both"/>
        <w:rPr>
          <w:rFonts w:eastAsia="Arial Unicode MS" w:cs="Times New Roman"/>
          <w:color w:val="auto"/>
          <w:sz w:val="20"/>
          <w:szCs w:val="20"/>
          <w:lang w:eastAsia="en-US"/>
        </w:rPr>
      </w:pPr>
      <w:r w:rsidRPr="00DE6EAE">
        <w:rPr>
          <w:rFonts w:eastAsia="Arial Unicode MS" w:cs="Times New Roman"/>
          <w:color w:val="auto"/>
          <w:sz w:val="20"/>
          <w:szCs w:val="20"/>
          <w:lang w:eastAsia="en-US"/>
        </w:rPr>
        <w:t xml:space="preserve">The petitioners claim </w:t>
      </w:r>
      <w:r w:rsidR="00BF13DE" w:rsidRPr="00DE6EAE">
        <w:rPr>
          <w:rFonts w:eastAsia="Arial Unicode MS" w:cs="Times New Roman"/>
          <w:color w:val="auto"/>
          <w:sz w:val="20"/>
          <w:szCs w:val="20"/>
          <w:lang w:eastAsia="en-US"/>
        </w:rPr>
        <w:t>that the</w:t>
      </w:r>
      <w:r w:rsidR="00BF13DE" w:rsidRPr="004C1EA5">
        <w:rPr>
          <w:rFonts w:eastAsia="Arial Unicode MS" w:cs="Times New Roman"/>
          <w:color w:val="auto"/>
          <w:sz w:val="20"/>
          <w:szCs w:val="20"/>
          <w:lang w:eastAsia="en-US"/>
        </w:rPr>
        <w:t xml:space="preserve"> alleged victims were at all relevant times, subject to the “authority and control” of the U.S. and their rights were protected under the American Declaration when violations occurred. It is further alleged that some of the violations are continuing as they involve the U.S. failure to provide effective remedies for injuries. The petitioner affirms territorial jurisdiction over the claims via extraterritorial application of rights protections and obligations as the State in question exercises “authority and control” as the rights protected by the Declaration and the concomitant obligation of the U.S. are not geographically limited. The petitioner refers to the U.S. –run military detention centers, giving each victim a detainee number issued by the U.S. military and the restricted access to detainees only with express permission of the U.S. military as evidence of such “authority and control”. </w:t>
      </w:r>
    </w:p>
    <w:p w14:paraId="5CADF258" w14:textId="77777777" w:rsidR="00BF13DE" w:rsidRPr="004C1EA5" w:rsidRDefault="00BF13DE" w:rsidP="00BF13DE">
      <w:pPr>
        <w:pStyle w:val="ListParagraph"/>
        <w:jc w:val="both"/>
        <w:rPr>
          <w:rFonts w:eastAsia="Arial Unicode MS" w:cs="Times New Roman"/>
          <w:color w:val="auto"/>
          <w:sz w:val="20"/>
          <w:szCs w:val="20"/>
          <w:lang w:eastAsia="en-US"/>
        </w:rPr>
      </w:pPr>
    </w:p>
    <w:p w14:paraId="33AD17DD" w14:textId="697024C7" w:rsidR="002D09C5" w:rsidRPr="002D09C5" w:rsidRDefault="0025135B" w:rsidP="0038126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rPr>
      </w:pPr>
      <w:r w:rsidRPr="002D09C5">
        <w:rPr>
          <w:rFonts w:eastAsia="Arial Unicode MS" w:cs="Times New Roman"/>
          <w:color w:val="auto"/>
          <w:sz w:val="20"/>
          <w:szCs w:val="20"/>
          <w:lang w:eastAsia="en-US"/>
        </w:rPr>
        <w:t xml:space="preserve">The petitioner alleges that no comprehensive criminal investigation into the policies and practices regarding the use of torture and inhuman treatment have occurred despite various government reports substantiating the claim. Further, that no senior member of the U.S. military has faced criminal charges </w:t>
      </w:r>
      <w:r w:rsidRPr="002D09C5">
        <w:rPr>
          <w:rFonts w:eastAsia="Arial Unicode MS" w:cs="Times New Roman"/>
          <w:color w:val="auto"/>
          <w:sz w:val="20"/>
          <w:szCs w:val="20"/>
          <w:lang w:eastAsia="en-US"/>
        </w:rPr>
        <w:lastRenderedPageBreak/>
        <w:t xml:space="preserve">for their role in ordering or condoning such treatment and none of the major actors who authorized such treatment have faced administrative penalty. </w:t>
      </w:r>
      <w:r w:rsidR="00304E01" w:rsidRPr="002D09C5">
        <w:rPr>
          <w:rFonts w:eastAsia="Arial Unicode MS" w:cs="Times New Roman"/>
          <w:color w:val="auto"/>
          <w:sz w:val="20"/>
          <w:szCs w:val="20"/>
          <w:lang w:eastAsia="en-US"/>
        </w:rPr>
        <w:t>It is indicated that in order to seek redress for the torture and cruel, inhumane and degrading treatment suffered by the presumed victims, f</w:t>
      </w:r>
      <w:r w:rsidR="002806BB">
        <w:rPr>
          <w:rFonts w:eastAsia="Arial Unicode MS" w:cs="Times New Roman"/>
          <w:color w:val="auto"/>
          <w:sz w:val="20"/>
          <w:szCs w:val="20"/>
          <w:lang w:eastAsia="en-US"/>
        </w:rPr>
        <w:t>our separate lawsuits were filed</w:t>
      </w:r>
      <w:r w:rsidR="00304E01" w:rsidRPr="002D09C5">
        <w:rPr>
          <w:rFonts w:eastAsia="Arial Unicode MS" w:cs="Times New Roman"/>
          <w:color w:val="auto"/>
          <w:sz w:val="20"/>
          <w:szCs w:val="20"/>
          <w:lang w:eastAsia="en-US"/>
        </w:rPr>
        <w:t xml:space="preserve"> in separate jurisdictions. In 2005 those four cases were consolidated and assigned to the District Court in Washington, DC. Petitioners sued the then-Secretary of State and high ranking official, claims brought under the US Constitution, customary international law as recognized under the Alien Tort Statute, 28 U.S.C. 1350 and the Geneva Convention (IV) Relative to the Treatment of Civilian Personas at Time of War.  </w:t>
      </w:r>
      <w:r w:rsidRPr="002D09C5">
        <w:rPr>
          <w:rFonts w:eastAsia="Arial Unicode MS" w:cs="Times New Roman"/>
          <w:color w:val="auto"/>
          <w:sz w:val="20"/>
          <w:szCs w:val="20"/>
          <w:lang w:eastAsia="en-US"/>
        </w:rPr>
        <w:t>The petitioner stat</w:t>
      </w:r>
      <w:r w:rsidR="00304E01" w:rsidRPr="002D09C5">
        <w:rPr>
          <w:rFonts w:eastAsia="Arial Unicode MS" w:cs="Times New Roman"/>
          <w:color w:val="auto"/>
          <w:sz w:val="20"/>
          <w:szCs w:val="20"/>
          <w:lang w:eastAsia="en-US"/>
        </w:rPr>
        <w:t>es</w:t>
      </w:r>
      <w:r w:rsidRPr="002D09C5">
        <w:rPr>
          <w:rFonts w:eastAsia="Arial Unicode MS" w:cs="Times New Roman"/>
          <w:color w:val="auto"/>
          <w:sz w:val="20"/>
          <w:szCs w:val="20"/>
          <w:lang w:eastAsia="en-US"/>
        </w:rPr>
        <w:t xml:space="preserve"> that U.S. courts have determined that those officials are immune from suit</w:t>
      </w:r>
      <w:r w:rsidR="00304E01" w:rsidRPr="002D09C5">
        <w:rPr>
          <w:rFonts w:eastAsia="Arial Unicode MS" w:cs="Times New Roman"/>
          <w:color w:val="auto"/>
          <w:sz w:val="20"/>
          <w:szCs w:val="20"/>
          <w:lang w:eastAsia="en-US"/>
        </w:rPr>
        <w:t>, and arguing as well that non-resident aliens were not protected by the US Constitution</w:t>
      </w:r>
      <w:r w:rsidR="009E50D3" w:rsidRPr="002D09C5">
        <w:rPr>
          <w:rFonts w:eastAsia="Arial Unicode MS" w:cs="Times New Roman"/>
          <w:color w:val="auto"/>
          <w:sz w:val="20"/>
          <w:szCs w:val="20"/>
          <w:lang w:eastAsia="en-US"/>
        </w:rPr>
        <w:t>. The District Court acceded to these arguments and dismissed the suit without consideration of its merits. On appeal, the DC Circuit Court of Appeal affirmed the lower court’s dismissal. Petitioners requested that the Court of Appeals reconsidered the decision requesting to have the case heard by all appellate judges of the Court, petition which was denied on September 19, 2011.</w:t>
      </w:r>
      <w:r w:rsidRPr="002D09C5">
        <w:rPr>
          <w:rFonts w:eastAsia="Arial Unicode MS" w:cs="Times New Roman"/>
          <w:color w:val="auto"/>
          <w:sz w:val="20"/>
          <w:szCs w:val="20"/>
          <w:lang w:eastAsia="en-US"/>
        </w:rPr>
        <w:t xml:space="preserve"> </w:t>
      </w:r>
      <w:r w:rsidR="009E50D3" w:rsidRPr="002D09C5">
        <w:rPr>
          <w:rFonts w:eastAsia="Arial Unicode MS" w:cs="Times New Roman"/>
          <w:color w:val="auto"/>
          <w:sz w:val="20"/>
          <w:szCs w:val="20"/>
          <w:lang w:eastAsia="en-US"/>
        </w:rPr>
        <w:t>P</w:t>
      </w:r>
      <w:r w:rsidRPr="002D09C5">
        <w:rPr>
          <w:rFonts w:eastAsia="Arial Unicode MS" w:cs="Times New Roman"/>
          <w:color w:val="auto"/>
          <w:sz w:val="20"/>
          <w:szCs w:val="20"/>
          <w:lang w:eastAsia="en-US"/>
        </w:rPr>
        <w:t>etitioner claims that victims and survivors neither have the opportunity to have cases heard, nor be granted any other form of redress for violation of rights. It is indicated that the failure of the U.S. Courts to consider the merits of the Petitioners’ claim violated their right to judicial remedy guarantees.</w:t>
      </w:r>
      <w:r w:rsidR="005331A1" w:rsidRPr="002D09C5">
        <w:rPr>
          <w:rFonts w:eastAsia="Arial Unicode MS" w:cs="Times New Roman"/>
          <w:color w:val="auto"/>
          <w:sz w:val="20"/>
          <w:szCs w:val="20"/>
          <w:lang w:eastAsia="en-US"/>
        </w:rPr>
        <w:t xml:space="preserve"> </w:t>
      </w:r>
    </w:p>
    <w:p w14:paraId="44C9B056" w14:textId="59A0ADF5" w:rsidR="007D620D" w:rsidRDefault="002D09C5" w:rsidP="00E878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its part, t</w:t>
      </w:r>
      <w:r w:rsidR="00ED5E4D" w:rsidRPr="00486D95">
        <w:rPr>
          <w:rFonts w:ascii="Cambria" w:hAnsi="Cambria"/>
          <w:sz w:val="20"/>
          <w:szCs w:val="20"/>
        </w:rPr>
        <w:t xml:space="preserve">he </w:t>
      </w:r>
      <w:r w:rsidR="005F6648" w:rsidRPr="00486D95">
        <w:rPr>
          <w:rFonts w:ascii="Cambria" w:hAnsi="Cambria"/>
          <w:sz w:val="20"/>
          <w:szCs w:val="20"/>
        </w:rPr>
        <w:t xml:space="preserve">State </w:t>
      </w:r>
      <w:r w:rsidR="00947B64">
        <w:rPr>
          <w:rFonts w:ascii="Cambria" w:hAnsi="Cambria"/>
          <w:sz w:val="20"/>
          <w:szCs w:val="20"/>
        </w:rPr>
        <w:t>argues</w:t>
      </w:r>
      <w:r w:rsidR="00FB143D" w:rsidRPr="00486D95">
        <w:rPr>
          <w:rFonts w:ascii="Cambria" w:hAnsi="Cambria"/>
          <w:sz w:val="20"/>
          <w:szCs w:val="20"/>
        </w:rPr>
        <w:t xml:space="preserve"> that as the </w:t>
      </w:r>
      <w:r w:rsidR="0064766C">
        <w:rPr>
          <w:rFonts w:ascii="Cambria" w:hAnsi="Cambria"/>
          <w:sz w:val="20"/>
          <w:szCs w:val="20"/>
        </w:rPr>
        <w:t xml:space="preserve">American </w:t>
      </w:r>
      <w:r w:rsidR="00FB143D" w:rsidRPr="00486D95">
        <w:rPr>
          <w:rFonts w:ascii="Cambria" w:hAnsi="Cambria"/>
          <w:sz w:val="20"/>
          <w:szCs w:val="20"/>
        </w:rPr>
        <w:t>Declaration is non-binding, an alleged violation means an allegation that a country has not lived up to its political commitment to uphold</w:t>
      </w:r>
      <w:r w:rsidR="00402DC0">
        <w:rPr>
          <w:rFonts w:ascii="Cambria" w:hAnsi="Cambria"/>
          <w:sz w:val="20"/>
          <w:szCs w:val="20"/>
        </w:rPr>
        <w:t xml:space="preserve"> the American Declaration. The S</w:t>
      </w:r>
      <w:r w:rsidR="00FB143D" w:rsidRPr="00486D95">
        <w:rPr>
          <w:rFonts w:ascii="Cambria" w:hAnsi="Cambria"/>
          <w:sz w:val="20"/>
          <w:szCs w:val="20"/>
        </w:rPr>
        <w:t xml:space="preserve">tate </w:t>
      </w:r>
      <w:r w:rsidR="0064766C">
        <w:rPr>
          <w:rFonts w:ascii="Cambria" w:hAnsi="Cambria"/>
          <w:sz w:val="20"/>
          <w:szCs w:val="20"/>
        </w:rPr>
        <w:t>claims</w:t>
      </w:r>
      <w:r w:rsidR="00FB143D" w:rsidRPr="00486D95">
        <w:rPr>
          <w:rFonts w:ascii="Cambria" w:hAnsi="Cambria"/>
          <w:sz w:val="20"/>
          <w:szCs w:val="20"/>
        </w:rPr>
        <w:t xml:space="preserve"> that the Commission lacks competence to issue a binding decision vis-à-vis the United States, including on matters arising</w:t>
      </w:r>
      <w:r w:rsidR="002934B7" w:rsidRPr="00486D95">
        <w:rPr>
          <w:rFonts w:ascii="Cambria" w:hAnsi="Cambria"/>
          <w:sz w:val="20"/>
          <w:szCs w:val="20"/>
        </w:rPr>
        <w:t xml:space="preserve"> under the American Declaration; under international human rights treaties or under cust</w:t>
      </w:r>
      <w:r w:rsidR="0064766C">
        <w:rPr>
          <w:rFonts w:ascii="Cambria" w:hAnsi="Cambria"/>
          <w:sz w:val="20"/>
          <w:szCs w:val="20"/>
        </w:rPr>
        <w:t>omary international law. It further claims</w:t>
      </w:r>
      <w:r w:rsidR="002934B7" w:rsidRPr="00486D95">
        <w:rPr>
          <w:rFonts w:ascii="Cambria" w:hAnsi="Cambria"/>
          <w:sz w:val="20"/>
          <w:szCs w:val="20"/>
        </w:rPr>
        <w:t xml:space="preserve"> that the Commission has no competence under its Statute or Rules of Procedure to consider matters arising under international humanitarian law and may not incorporate such principles i</w:t>
      </w:r>
      <w:r w:rsidR="0064766C">
        <w:rPr>
          <w:rFonts w:ascii="Cambria" w:hAnsi="Cambria"/>
          <w:sz w:val="20"/>
          <w:szCs w:val="20"/>
        </w:rPr>
        <w:t>nto the American Declaration.  The State a</w:t>
      </w:r>
      <w:r w:rsidR="002934B7" w:rsidRPr="00486D95">
        <w:rPr>
          <w:rFonts w:ascii="Cambria" w:hAnsi="Cambria"/>
          <w:sz w:val="20"/>
          <w:szCs w:val="20"/>
        </w:rPr>
        <w:t xml:space="preserve">lludes to international humanitarian law is the </w:t>
      </w:r>
      <w:r w:rsidR="002934B7" w:rsidRPr="00DE6EAE">
        <w:rPr>
          <w:rFonts w:ascii="Cambria" w:hAnsi="Cambria"/>
          <w:i/>
          <w:sz w:val="20"/>
          <w:szCs w:val="20"/>
        </w:rPr>
        <w:t>lex specialis</w:t>
      </w:r>
      <w:r w:rsidR="002934B7" w:rsidRPr="00486D95">
        <w:rPr>
          <w:rFonts w:ascii="Cambria" w:hAnsi="Cambria"/>
          <w:sz w:val="20"/>
          <w:szCs w:val="20"/>
        </w:rPr>
        <w:t xml:space="preserve"> during situations of armed conflict, and that the </w:t>
      </w:r>
      <w:r w:rsidR="0064766C" w:rsidRPr="00486D95">
        <w:rPr>
          <w:rFonts w:ascii="Cambria" w:hAnsi="Cambria"/>
          <w:sz w:val="20"/>
          <w:szCs w:val="20"/>
        </w:rPr>
        <w:t xml:space="preserve">member States </w:t>
      </w:r>
      <w:r w:rsidR="0064766C">
        <w:rPr>
          <w:rFonts w:ascii="Cambria" w:hAnsi="Cambria"/>
          <w:sz w:val="20"/>
          <w:szCs w:val="20"/>
        </w:rPr>
        <w:t xml:space="preserve">of the </w:t>
      </w:r>
      <w:r w:rsidR="0064766C" w:rsidRPr="00486D95">
        <w:rPr>
          <w:rFonts w:ascii="Cambria" w:hAnsi="Cambria"/>
          <w:sz w:val="20"/>
          <w:szCs w:val="20"/>
        </w:rPr>
        <w:t>O</w:t>
      </w:r>
      <w:r w:rsidR="0064766C">
        <w:rPr>
          <w:rFonts w:ascii="Cambria" w:hAnsi="Cambria"/>
          <w:sz w:val="20"/>
          <w:szCs w:val="20"/>
        </w:rPr>
        <w:t xml:space="preserve">rganization of </w:t>
      </w:r>
      <w:r w:rsidR="002934B7" w:rsidRPr="00486D95">
        <w:rPr>
          <w:rFonts w:ascii="Cambria" w:hAnsi="Cambria"/>
          <w:sz w:val="20"/>
          <w:szCs w:val="20"/>
        </w:rPr>
        <w:t>A</w:t>
      </w:r>
      <w:r w:rsidR="0064766C">
        <w:rPr>
          <w:rFonts w:ascii="Cambria" w:hAnsi="Cambria"/>
          <w:sz w:val="20"/>
          <w:szCs w:val="20"/>
        </w:rPr>
        <w:t xml:space="preserve">merican </w:t>
      </w:r>
      <w:r w:rsidR="0064766C" w:rsidRPr="00486D95">
        <w:rPr>
          <w:rFonts w:ascii="Cambria" w:hAnsi="Cambria"/>
          <w:sz w:val="20"/>
          <w:szCs w:val="20"/>
        </w:rPr>
        <w:t>S</w:t>
      </w:r>
      <w:r w:rsidR="0064766C">
        <w:rPr>
          <w:rFonts w:ascii="Cambria" w:hAnsi="Cambria"/>
          <w:sz w:val="20"/>
          <w:szCs w:val="20"/>
        </w:rPr>
        <w:t>tates</w:t>
      </w:r>
      <w:r w:rsidR="002934B7" w:rsidRPr="00486D95">
        <w:rPr>
          <w:rFonts w:ascii="Cambria" w:hAnsi="Cambria"/>
          <w:sz w:val="20"/>
          <w:szCs w:val="20"/>
        </w:rPr>
        <w:t xml:space="preserve"> have not granted the Commission the competence or authority to interpret and apply international humanitarian law i</w:t>
      </w:r>
      <w:r w:rsidR="0064766C">
        <w:rPr>
          <w:rFonts w:ascii="Cambria" w:hAnsi="Cambria"/>
          <w:sz w:val="20"/>
          <w:szCs w:val="20"/>
        </w:rPr>
        <w:t>n commission proceedings.</w:t>
      </w:r>
      <w:r w:rsidR="002934B7" w:rsidRPr="00486D95">
        <w:rPr>
          <w:rFonts w:ascii="Cambria" w:hAnsi="Cambria"/>
          <w:sz w:val="20"/>
          <w:szCs w:val="20"/>
        </w:rPr>
        <w:t xml:space="preserve"> </w:t>
      </w:r>
    </w:p>
    <w:p w14:paraId="099D7489" w14:textId="5BFF8A0E" w:rsidR="004045CD" w:rsidRPr="002A6BD9" w:rsidRDefault="007D620D" w:rsidP="00E878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A6BD9">
        <w:rPr>
          <w:rFonts w:ascii="Cambria" w:hAnsi="Cambria"/>
          <w:sz w:val="20"/>
          <w:szCs w:val="20"/>
        </w:rPr>
        <w:t xml:space="preserve">The State also claims that the petitioners have failed to show exhaustion of any available administrative remedies, as required by Federal Tort Claims Act, before a judicial remedy can properly be sought in federal court. The State alludes to the remedy of settlement under the Foreign Claim Act (FCA), whereby the U.S. Department of Defense is empowered to settle claims through administrative process; </w:t>
      </w:r>
      <w:r w:rsidR="00DE6EAE" w:rsidRPr="002A6BD9">
        <w:rPr>
          <w:rFonts w:ascii="Cambria" w:hAnsi="Cambria"/>
          <w:sz w:val="20"/>
          <w:szCs w:val="20"/>
        </w:rPr>
        <w:t>specifically,</w:t>
      </w:r>
      <w:r w:rsidRPr="002A6BD9">
        <w:rPr>
          <w:rFonts w:ascii="Cambria" w:hAnsi="Cambria"/>
          <w:sz w:val="20"/>
          <w:szCs w:val="20"/>
        </w:rPr>
        <w:t xml:space="preserve"> the Secretary of Defense is authorized to settle claims of an inhabitant of a foreign country for damage to personal injury or death in an amount up to $100,000 (or more if coordinated with the U.S. Treasury Department. The State explains that claims under the FCA may be based on either the negligent or wrongful acts or omissions of U.S. service members, or on the noncombat activities of U.S. forces. Additionally, the State provides that the U.S. Army Claims Service confirmed, in separate proceedings before the U.S. Court of Appeals for the D.C. Circuit, that it would compensate detainees who establish legitimate claims for relief under the FCA. Further, the State claims being unaware of any attempt to exhaust administrative remedies as required by law or any attempt to re-file the international law claims if they did exhaust the administrative remedies, as the international legal claims were dismissed without prejudice.</w:t>
      </w:r>
    </w:p>
    <w:p w14:paraId="788C5461" w14:textId="77777777" w:rsidR="00F621C3" w:rsidRPr="00067BF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 xml:space="preserve">EXHAUSTION OF DOMESTIC REMEDIES AND TIMELINESS OF THE </w:t>
      </w:r>
      <w:r w:rsidRPr="00067BFA">
        <w:rPr>
          <w:rFonts w:asciiTheme="majorHAnsi" w:hAnsiTheme="majorHAnsi"/>
          <w:b/>
          <w:sz w:val="20"/>
          <w:szCs w:val="20"/>
        </w:rPr>
        <w:t>PETITION</w:t>
      </w:r>
      <w:r w:rsidRPr="00067BFA">
        <w:rPr>
          <w:rFonts w:asciiTheme="majorHAnsi" w:eastAsia="Cambria" w:hAnsiTheme="majorHAnsi" w:cs="Cambria"/>
          <w:b/>
          <w:bCs/>
          <w:color w:val="000000"/>
          <w:sz w:val="20"/>
          <w:szCs w:val="20"/>
          <w:u w:color="000000"/>
          <w:lang w:eastAsia="es-ES"/>
        </w:rPr>
        <w:t xml:space="preserve"> </w:t>
      </w:r>
    </w:p>
    <w:p w14:paraId="4A74D12C" w14:textId="6AAC2F93" w:rsidR="00FB7B8F" w:rsidRPr="00402DC0" w:rsidRDefault="008558C7" w:rsidP="00402D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Petitioners claim that they have exhausted domestic remedies, or should be exempted from doing so. </w:t>
      </w:r>
      <w:r w:rsidR="00FB7B8F" w:rsidRPr="00131D1D">
        <w:rPr>
          <w:rFonts w:ascii="Cambria" w:hAnsi="Cambria"/>
          <w:sz w:val="20"/>
          <w:szCs w:val="20"/>
        </w:rPr>
        <w:t xml:space="preserve">The </w:t>
      </w:r>
      <w:r w:rsidR="00131D1D">
        <w:rPr>
          <w:rFonts w:ascii="Cambria" w:hAnsi="Cambria"/>
          <w:sz w:val="20"/>
          <w:szCs w:val="20"/>
        </w:rPr>
        <w:t>alleged victim</w:t>
      </w:r>
      <w:r w:rsidR="00FB7B8F" w:rsidRPr="00131D1D">
        <w:rPr>
          <w:rFonts w:ascii="Cambria" w:hAnsi="Cambria"/>
          <w:sz w:val="20"/>
          <w:szCs w:val="20"/>
        </w:rPr>
        <w:t>s have sought redress in the U.S. federal court system by filing lawsuits</w:t>
      </w:r>
      <w:r w:rsidR="00F92C72">
        <w:rPr>
          <w:rFonts w:ascii="Cambria" w:hAnsi="Cambria"/>
          <w:sz w:val="20"/>
          <w:szCs w:val="20"/>
        </w:rPr>
        <w:t xml:space="preserve"> in four separate jurisdictions</w:t>
      </w:r>
      <w:r w:rsidR="00FB7B8F" w:rsidRPr="00131D1D">
        <w:rPr>
          <w:rFonts w:ascii="Cambria" w:hAnsi="Cambria"/>
          <w:sz w:val="20"/>
          <w:szCs w:val="20"/>
        </w:rPr>
        <w:t xml:space="preserve">. </w:t>
      </w:r>
      <w:r w:rsidR="00131D1D" w:rsidRPr="00131D1D">
        <w:rPr>
          <w:rFonts w:ascii="Cambria" w:hAnsi="Cambria"/>
          <w:sz w:val="20"/>
          <w:szCs w:val="20"/>
        </w:rPr>
        <w:t xml:space="preserve">The lawsuits were consolidated and assigned to the District Court in Washington D.C. </w:t>
      </w:r>
      <w:r w:rsidR="00402DC0">
        <w:rPr>
          <w:rFonts w:ascii="Cambria" w:hAnsi="Cambria"/>
          <w:sz w:val="20"/>
          <w:szCs w:val="20"/>
        </w:rPr>
        <w:t xml:space="preserve"> </w:t>
      </w:r>
      <w:r w:rsidR="00B87562">
        <w:rPr>
          <w:rFonts w:ascii="Cambria" w:hAnsi="Cambria"/>
          <w:sz w:val="20"/>
          <w:szCs w:val="20"/>
        </w:rPr>
        <w:t>T</w:t>
      </w:r>
      <w:r w:rsidR="00131D1D" w:rsidRPr="00402DC0">
        <w:rPr>
          <w:rFonts w:ascii="Cambria" w:hAnsi="Cambria"/>
          <w:sz w:val="20"/>
          <w:szCs w:val="20"/>
        </w:rPr>
        <w:t>he lawsuit was dismissed by the District Court for the District of Colombia, with the dismissal affirmed by the Court of Appeal. A request to have the decision reconsidered was denied by the Court of Appeal on November 9, 2011</w:t>
      </w:r>
      <w:r w:rsidR="00B87562">
        <w:rPr>
          <w:rFonts w:ascii="Cambria" w:hAnsi="Cambria"/>
          <w:sz w:val="20"/>
          <w:szCs w:val="20"/>
        </w:rPr>
        <w:t>. Petitioners claim that the State did not demonstrated how the FTCA and the FCA remedies were both adequate and effective to</w:t>
      </w:r>
      <w:r w:rsidR="00BC66FF" w:rsidRPr="00402DC0">
        <w:rPr>
          <w:rFonts w:asciiTheme="majorHAnsi" w:hAnsiTheme="majorHAnsi"/>
          <w:sz w:val="20"/>
          <w:szCs w:val="20"/>
        </w:rPr>
        <w:t xml:space="preserve"> remedy for alleged violations of their rights. </w:t>
      </w:r>
      <w:r w:rsidR="00794931">
        <w:rPr>
          <w:rFonts w:asciiTheme="majorHAnsi" w:hAnsiTheme="majorHAnsi"/>
          <w:sz w:val="20"/>
          <w:szCs w:val="20"/>
        </w:rPr>
        <w:t>On its part, the State alleges that p</w:t>
      </w:r>
      <w:r w:rsidR="00794931">
        <w:rPr>
          <w:sz w:val="20"/>
          <w:szCs w:val="20"/>
        </w:rPr>
        <w:t xml:space="preserve">etitioners </w:t>
      </w:r>
      <w:r w:rsidR="00794931" w:rsidRPr="002E0D37">
        <w:rPr>
          <w:sz w:val="20"/>
          <w:szCs w:val="20"/>
        </w:rPr>
        <w:t xml:space="preserve">failed to pursue and exhaust available domestic administrative remedies, that is to say, a claim under the </w:t>
      </w:r>
      <w:r w:rsidR="00794931">
        <w:rPr>
          <w:sz w:val="20"/>
          <w:szCs w:val="20"/>
        </w:rPr>
        <w:t>FTCA and the FCA</w:t>
      </w:r>
      <w:r w:rsidR="00794931" w:rsidRPr="002E0D37">
        <w:rPr>
          <w:sz w:val="20"/>
          <w:szCs w:val="20"/>
        </w:rPr>
        <w:t xml:space="preserve"> for compensation for personal injuries</w:t>
      </w:r>
      <w:r w:rsidR="00794931">
        <w:rPr>
          <w:sz w:val="20"/>
          <w:szCs w:val="20"/>
        </w:rPr>
        <w:t xml:space="preserve"> and that petitioners decline</w:t>
      </w:r>
      <w:r w:rsidR="002A6BD9">
        <w:rPr>
          <w:sz w:val="20"/>
          <w:szCs w:val="20"/>
        </w:rPr>
        <w:t>d</w:t>
      </w:r>
      <w:r w:rsidR="00794931">
        <w:rPr>
          <w:sz w:val="20"/>
          <w:szCs w:val="20"/>
        </w:rPr>
        <w:t xml:space="preserve"> to seek further review before the US Supreme Court. </w:t>
      </w:r>
    </w:p>
    <w:p w14:paraId="50617F03" w14:textId="75DF9635" w:rsidR="008C2E2F" w:rsidRPr="00263979" w:rsidRDefault="008C2E2F" w:rsidP="00947B6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63979">
        <w:rPr>
          <w:rFonts w:ascii="Cambria" w:hAnsi="Cambria"/>
          <w:sz w:val="20"/>
          <w:szCs w:val="20"/>
        </w:rPr>
        <w:lastRenderedPageBreak/>
        <w:t xml:space="preserve">As regards the administrative remedy to which the State refers, the IACHR has established in similar cases that </w:t>
      </w:r>
      <w:r w:rsidR="00A3089A">
        <w:rPr>
          <w:rFonts w:ascii="Cambria" w:hAnsi="Cambria"/>
          <w:sz w:val="20"/>
          <w:szCs w:val="20"/>
        </w:rPr>
        <w:t>in</w:t>
      </w:r>
      <w:r w:rsidRPr="00263979">
        <w:rPr>
          <w:rFonts w:ascii="Cambria" w:hAnsi="Cambria"/>
          <w:sz w:val="20"/>
          <w:szCs w:val="20"/>
        </w:rPr>
        <w:t xml:space="preserve"> general, this proceeding does not constitute an adequate mechanism, on its own, for making reparation in cases of human rights violations, thus it need not be exhausted in a case such as this. </w:t>
      </w:r>
      <w:r w:rsidR="00947B64" w:rsidRPr="00263979">
        <w:rPr>
          <w:rFonts w:asciiTheme="majorHAnsi" w:hAnsiTheme="majorHAnsi" w:cs="Arial"/>
          <w:sz w:val="20"/>
          <w:szCs w:val="20"/>
        </w:rPr>
        <w:t>In addition, the Commission reiterates that under international standards applicable to cases like this one, where serious human rights violations such as torture are alleged, the appropriate and effective remedy is the filing and undertaking of an effective criminal investigation ex officio by the State aimed at the clarification of the facts and, if necessary, individualize the persons responsible and attribute the corresponding responsibilities</w:t>
      </w:r>
      <w:r w:rsidR="00947B64" w:rsidRPr="00263979">
        <w:rPr>
          <w:rStyle w:val="FootnoteReference"/>
          <w:rFonts w:asciiTheme="majorHAnsi" w:hAnsiTheme="majorHAnsi"/>
          <w:sz w:val="20"/>
          <w:szCs w:val="20"/>
        </w:rPr>
        <w:footnoteReference w:id="6"/>
      </w:r>
      <w:r w:rsidR="00947B64" w:rsidRPr="00263979">
        <w:rPr>
          <w:rFonts w:asciiTheme="majorHAnsi" w:hAnsiTheme="majorHAnsi" w:cs="Arial"/>
          <w:sz w:val="20"/>
          <w:szCs w:val="20"/>
        </w:rPr>
        <w:t>.</w:t>
      </w:r>
    </w:p>
    <w:p w14:paraId="13F38255" w14:textId="69A56ED5" w:rsidR="002E0D37" w:rsidRDefault="002E0D37" w:rsidP="002E0D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E0D37">
        <w:rPr>
          <w:rFonts w:ascii="Cambria" w:hAnsi="Cambria"/>
          <w:sz w:val="20"/>
          <w:szCs w:val="20"/>
        </w:rPr>
        <w:t xml:space="preserve">The Commission observes that the petitioner exercised the legal remedies available and considered suitable, which included </w:t>
      </w:r>
      <w:r>
        <w:rPr>
          <w:rFonts w:ascii="Cambria" w:hAnsi="Cambria"/>
          <w:sz w:val="20"/>
          <w:szCs w:val="20"/>
        </w:rPr>
        <w:t>four</w:t>
      </w:r>
      <w:r w:rsidRPr="002E0D37">
        <w:rPr>
          <w:rFonts w:ascii="Cambria" w:hAnsi="Cambria"/>
          <w:sz w:val="20"/>
          <w:szCs w:val="20"/>
        </w:rPr>
        <w:t xml:space="preserve"> civil actions. </w:t>
      </w:r>
      <w:r w:rsidR="00263979" w:rsidRPr="002E0D37">
        <w:rPr>
          <w:rFonts w:ascii="Cambria" w:hAnsi="Cambria"/>
          <w:sz w:val="20"/>
          <w:szCs w:val="20"/>
        </w:rPr>
        <w:t>The Commission has previously observed that "the requirement of the exhaustion of domestic remedies does not mean that the alleged victims must exhaust all the remedies available to them," which implies that extraordinary remedies do not need to be exhausted.</w:t>
      </w:r>
      <w:r w:rsidR="00263979">
        <w:rPr>
          <w:rFonts w:ascii="Cambria" w:hAnsi="Cambria"/>
          <w:sz w:val="20"/>
          <w:szCs w:val="20"/>
        </w:rPr>
        <w:t xml:space="preserve"> </w:t>
      </w:r>
      <w:r w:rsidRPr="002E0D37">
        <w:rPr>
          <w:rFonts w:ascii="Cambria" w:hAnsi="Cambria"/>
          <w:sz w:val="20"/>
          <w:szCs w:val="20"/>
        </w:rPr>
        <w:t xml:space="preserve">Accordingly, in relation to the decision by the </w:t>
      </w:r>
      <w:r w:rsidR="00263979">
        <w:rPr>
          <w:rFonts w:ascii="Cambria" w:hAnsi="Cambria"/>
          <w:sz w:val="20"/>
          <w:szCs w:val="20"/>
        </w:rPr>
        <w:t xml:space="preserve">Court of </w:t>
      </w:r>
      <w:r w:rsidR="00263979" w:rsidRPr="002A6BD9">
        <w:rPr>
          <w:rFonts w:ascii="Cambria" w:hAnsi="Cambria"/>
          <w:sz w:val="20"/>
          <w:szCs w:val="20"/>
        </w:rPr>
        <w:t>Appeal</w:t>
      </w:r>
      <w:r w:rsidRPr="002A6BD9">
        <w:rPr>
          <w:rFonts w:ascii="Cambria" w:hAnsi="Cambria"/>
          <w:sz w:val="20"/>
          <w:szCs w:val="20"/>
        </w:rPr>
        <w:t>, the Commission considers that the alleged victims were not obliged to bring a writ of certiorari (an extraordinary</w:t>
      </w:r>
      <w:r w:rsidRPr="002E0D37">
        <w:rPr>
          <w:rFonts w:ascii="Cambria" w:hAnsi="Cambria"/>
          <w:sz w:val="20"/>
          <w:szCs w:val="20"/>
        </w:rPr>
        <w:t xml:space="preserve"> remedy) in order to fulfil the requirements of Article 31.1 of the Commission’s Rules of Procedure</w:t>
      </w:r>
      <w:r w:rsidR="00255E4E">
        <w:rPr>
          <w:rStyle w:val="FootnoteReference"/>
          <w:rFonts w:ascii="Cambria" w:hAnsi="Cambria"/>
          <w:sz w:val="20"/>
          <w:szCs w:val="20"/>
        </w:rPr>
        <w:footnoteReference w:id="7"/>
      </w:r>
      <w:r>
        <w:rPr>
          <w:rFonts w:ascii="Cambria" w:hAnsi="Cambria"/>
          <w:sz w:val="20"/>
          <w:szCs w:val="20"/>
        </w:rPr>
        <w:t xml:space="preserve">. </w:t>
      </w:r>
      <w:r w:rsidR="00263979" w:rsidRPr="002E0D37">
        <w:rPr>
          <w:rFonts w:ascii="Cambria" w:hAnsi="Cambria"/>
          <w:sz w:val="20"/>
          <w:szCs w:val="20"/>
        </w:rPr>
        <w:t xml:space="preserve">The Commission therefore considers that the final judicial decision was issued on </w:t>
      </w:r>
      <w:r w:rsidR="00263979">
        <w:rPr>
          <w:rFonts w:ascii="Cambria" w:hAnsi="Cambria"/>
          <w:sz w:val="20"/>
          <w:szCs w:val="20"/>
        </w:rPr>
        <w:t xml:space="preserve">November 9, </w:t>
      </w:r>
      <w:r w:rsidR="00263979" w:rsidRPr="002E0D37">
        <w:rPr>
          <w:rFonts w:ascii="Cambria" w:hAnsi="Cambria"/>
          <w:sz w:val="20"/>
          <w:szCs w:val="20"/>
        </w:rPr>
        <w:t>201</w:t>
      </w:r>
      <w:r w:rsidR="00263979">
        <w:rPr>
          <w:rFonts w:ascii="Cambria" w:hAnsi="Cambria"/>
          <w:sz w:val="20"/>
          <w:szCs w:val="20"/>
        </w:rPr>
        <w:t>1</w:t>
      </w:r>
      <w:r w:rsidR="00263979" w:rsidRPr="002E0D37">
        <w:rPr>
          <w:rFonts w:ascii="Cambria" w:hAnsi="Cambria"/>
          <w:sz w:val="20"/>
          <w:szCs w:val="20"/>
        </w:rPr>
        <w:t xml:space="preserve"> and that the petition to the IACHR was submitted on </w:t>
      </w:r>
      <w:r w:rsidR="00263979">
        <w:rPr>
          <w:rFonts w:ascii="Cambria" w:hAnsi="Cambria"/>
          <w:sz w:val="20"/>
          <w:szCs w:val="20"/>
        </w:rPr>
        <w:t xml:space="preserve">March </w:t>
      </w:r>
      <w:r w:rsidR="00263979" w:rsidRPr="002E0D37">
        <w:rPr>
          <w:rFonts w:ascii="Cambria" w:hAnsi="Cambria"/>
          <w:sz w:val="20"/>
          <w:szCs w:val="20"/>
        </w:rPr>
        <w:t>1</w:t>
      </w:r>
      <w:r w:rsidR="00263979">
        <w:rPr>
          <w:rFonts w:ascii="Cambria" w:hAnsi="Cambria"/>
          <w:sz w:val="20"/>
          <w:szCs w:val="20"/>
        </w:rPr>
        <w:t>9</w:t>
      </w:r>
      <w:r w:rsidR="00263979" w:rsidRPr="002E0D37">
        <w:rPr>
          <w:rFonts w:ascii="Cambria" w:hAnsi="Cambria"/>
          <w:sz w:val="20"/>
          <w:szCs w:val="20"/>
        </w:rPr>
        <w:t xml:space="preserve">, 2012. </w:t>
      </w:r>
      <w:r w:rsidRPr="002E0D37">
        <w:rPr>
          <w:rFonts w:ascii="Cambria" w:hAnsi="Cambria"/>
          <w:sz w:val="20"/>
          <w:szCs w:val="20"/>
        </w:rPr>
        <w:t>Accordingly, the Commission deems that the petition was submitted within the six-month deadline prescribed by Article 32.1 of the Commission’s Rules of Procedure.</w:t>
      </w:r>
    </w:p>
    <w:p w14:paraId="2A0F0B61"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673F8E6A" w14:textId="0430CC41" w:rsidR="00794931" w:rsidRPr="00794931" w:rsidRDefault="00B05EEF" w:rsidP="00B05E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In the present case, the petitioners alleges that the State is responsible for the violation of </w:t>
      </w:r>
      <w:r w:rsidRPr="00B05EEF">
        <w:rPr>
          <w:sz w:val="20"/>
          <w:szCs w:val="20"/>
        </w:rPr>
        <w:t>Articles I, XVII, XVIII, XXV, and XXVI of the American Declaration</w:t>
      </w:r>
      <w:r>
        <w:rPr>
          <w:sz w:val="20"/>
          <w:szCs w:val="20"/>
        </w:rPr>
        <w:t xml:space="preserve">, fundamentally on the basis of </w:t>
      </w:r>
      <w:r>
        <w:rPr>
          <w:rFonts w:ascii="Cambria" w:hAnsi="Cambria"/>
          <w:sz w:val="20"/>
          <w:szCs w:val="20"/>
        </w:rPr>
        <w:t>the acts of physical and psychological torture and cruel, inhuman, and degrading treatment hat the presumed victims have allegedly suffered while in detention</w:t>
      </w:r>
      <w:r w:rsidRPr="00B05EEF">
        <w:rPr>
          <w:sz w:val="20"/>
          <w:szCs w:val="20"/>
        </w:rPr>
        <w:t xml:space="preserve"> </w:t>
      </w:r>
      <w:r>
        <w:rPr>
          <w:sz w:val="20"/>
          <w:szCs w:val="20"/>
        </w:rPr>
        <w:t xml:space="preserve">under the control of the United States and for the </w:t>
      </w:r>
      <w:r>
        <w:rPr>
          <w:rFonts w:ascii="Cambria" w:hAnsi="Cambria"/>
          <w:sz w:val="20"/>
          <w:szCs w:val="20"/>
        </w:rPr>
        <w:t>lack of adequate and effective judicial remedies for the violations he has allegedly suffered</w:t>
      </w:r>
      <w:r>
        <w:rPr>
          <w:sz w:val="20"/>
          <w:szCs w:val="20"/>
        </w:rPr>
        <w:t xml:space="preserve">. </w:t>
      </w:r>
      <w:r w:rsidR="005B5861">
        <w:rPr>
          <w:sz w:val="20"/>
          <w:szCs w:val="20"/>
        </w:rPr>
        <w:t>The State ha</w:t>
      </w:r>
      <w:r w:rsidR="005B5861" w:rsidRPr="00794931">
        <w:rPr>
          <w:sz w:val="20"/>
          <w:szCs w:val="20"/>
        </w:rPr>
        <w:t>s claim</w:t>
      </w:r>
      <w:r w:rsidR="005B5861">
        <w:rPr>
          <w:sz w:val="20"/>
          <w:szCs w:val="20"/>
        </w:rPr>
        <w:t>ed</w:t>
      </w:r>
      <w:r w:rsidR="005B5861" w:rsidRPr="00794931">
        <w:rPr>
          <w:sz w:val="20"/>
          <w:szCs w:val="20"/>
        </w:rPr>
        <w:t xml:space="preserve"> that (a) the American Declaration does not create legally binding obligations and that the Commission lacks competence to determine violations of the Declaration (against the State); </w:t>
      </w:r>
      <w:r w:rsidR="005B5861">
        <w:rPr>
          <w:sz w:val="20"/>
          <w:szCs w:val="20"/>
        </w:rPr>
        <w:t xml:space="preserve">and </w:t>
      </w:r>
      <w:r w:rsidR="005B5861" w:rsidRPr="00794931">
        <w:rPr>
          <w:sz w:val="20"/>
          <w:szCs w:val="20"/>
        </w:rPr>
        <w:t>(b) that the Commission has no competence or authority to interpret and apply</w:t>
      </w:r>
      <w:r w:rsidR="005B5861">
        <w:rPr>
          <w:sz w:val="20"/>
          <w:szCs w:val="20"/>
        </w:rPr>
        <w:t xml:space="preserve"> international humanitarian law</w:t>
      </w:r>
      <w:r w:rsidR="005B5861" w:rsidRPr="00794931">
        <w:rPr>
          <w:sz w:val="20"/>
          <w:szCs w:val="20"/>
        </w:rPr>
        <w:t>.</w:t>
      </w:r>
      <w:r w:rsidR="005B5861">
        <w:rPr>
          <w:sz w:val="20"/>
          <w:szCs w:val="20"/>
        </w:rPr>
        <w:t xml:space="preserve"> </w:t>
      </w:r>
    </w:p>
    <w:p w14:paraId="7B31A86D" w14:textId="4E07127B" w:rsidR="005C29E7" w:rsidRPr="002A6BD9" w:rsidRDefault="00794931" w:rsidP="005B58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A6BD9">
        <w:rPr>
          <w:rFonts w:ascii="Cambria" w:hAnsi="Cambria"/>
          <w:sz w:val="20"/>
          <w:szCs w:val="20"/>
        </w:rPr>
        <w:t xml:space="preserve">According to the long-standing practice and jurisprudence of the Inter-American human rights system, the American Declaration of the Rights and Duties of Man is a source of international obligations for the United States and for the other member states of the OAS that are not parties to the American Convention on Human Rights. It is understood that these obligations derive from the commitments assumed by the member states in the area of human rights in the OAS Charter, that the member states agreed to be contained and defined in the American Declaration, and from the customary legal nature of the rights protected in the basic provisions of the Declaration, for which the Commission is empowered by Articles 18 and 20 of its Statute to receive and evaluate allegations of noncompliance with these commitments by the States. Therefore, it is pertinent to characterize the non-compliance by a member </w:t>
      </w:r>
      <w:r w:rsidR="005B5861" w:rsidRPr="002A6BD9">
        <w:rPr>
          <w:rFonts w:ascii="Cambria" w:hAnsi="Cambria"/>
          <w:sz w:val="20"/>
          <w:szCs w:val="20"/>
        </w:rPr>
        <w:t>S</w:t>
      </w:r>
      <w:r w:rsidRPr="002A6BD9">
        <w:rPr>
          <w:rFonts w:ascii="Cambria" w:hAnsi="Cambria"/>
          <w:sz w:val="20"/>
          <w:szCs w:val="20"/>
        </w:rPr>
        <w:t xml:space="preserve">tate of the guarantees of the rights enshrined in the American Declaration as a violation of the obligations imposed on it by international human rights law, with which the Commission rejects the State's assertion that the American Declaration does not create legal </w:t>
      </w:r>
      <w:r w:rsidR="005B5861" w:rsidRPr="002A6BD9">
        <w:rPr>
          <w:rFonts w:ascii="Cambria" w:hAnsi="Cambria"/>
          <w:sz w:val="20"/>
          <w:szCs w:val="20"/>
        </w:rPr>
        <w:t xml:space="preserve">obligations for the OAS </w:t>
      </w:r>
      <w:r w:rsidR="005B5861" w:rsidRPr="009939EB">
        <w:rPr>
          <w:rFonts w:ascii="Cambria" w:hAnsi="Cambria"/>
          <w:sz w:val="20"/>
          <w:szCs w:val="20"/>
        </w:rPr>
        <w:t>member S</w:t>
      </w:r>
      <w:r w:rsidRPr="009939EB">
        <w:rPr>
          <w:rFonts w:ascii="Cambria" w:hAnsi="Cambria"/>
          <w:sz w:val="20"/>
          <w:szCs w:val="20"/>
        </w:rPr>
        <w:t>tates.</w:t>
      </w:r>
      <w:r w:rsidR="005B5861" w:rsidRPr="009939EB">
        <w:rPr>
          <w:rFonts w:ascii="Cambria" w:hAnsi="Cambria"/>
          <w:sz w:val="20"/>
          <w:szCs w:val="20"/>
        </w:rPr>
        <w:t xml:space="preserve"> Additionally, regarding the extraterritorial application of the American Declaration, the IACHR has </w:t>
      </w:r>
      <w:r w:rsidR="00A3089A" w:rsidRPr="009939EB">
        <w:rPr>
          <w:rFonts w:ascii="Cambria" w:hAnsi="Cambria"/>
          <w:sz w:val="20"/>
          <w:szCs w:val="20"/>
        </w:rPr>
        <w:t xml:space="preserve">consistently </w:t>
      </w:r>
      <w:r w:rsidR="005B5861" w:rsidRPr="009939EB">
        <w:rPr>
          <w:rFonts w:ascii="Cambria" w:hAnsi="Cambria"/>
          <w:sz w:val="20"/>
          <w:szCs w:val="20"/>
        </w:rPr>
        <w:t>held</w:t>
      </w:r>
      <w:r w:rsidR="005B5861" w:rsidRPr="002A6BD9">
        <w:rPr>
          <w:rFonts w:ascii="Cambria" w:hAnsi="Cambria"/>
          <w:sz w:val="20"/>
          <w:szCs w:val="20"/>
        </w:rPr>
        <w:t xml:space="preserve"> that even though a State’s duty to protect the rights of any person applies to all within its territory, that duty may, under given circumstances, refer to conduct with an extraterritorial locus where the person concerned is present in the territory of one State, but subject to the control of another State, usually through the acts of the latter’s agents abroad. In these cases, the inquiry turns on whether the alleged victim was subject to the authority and control of the acting State</w:t>
      </w:r>
      <w:r w:rsidR="002A6BD9">
        <w:rPr>
          <w:rFonts w:ascii="Cambria" w:hAnsi="Cambria"/>
          <w:sz w:val="20"/>
          <w:szCs w:val="20"/>
        </w:rPr>
        <w:t>.</w:t>
      </w:r>
      <w:r w:rsidR="005B5861" w:rsidRPr="002A6BD9">
        <w:rPr>
          <w:rStyle w:val="FootnoteReference"/>
          <w:rFonts w:ascii="Cambria" w:hAnsi="Cambria"/>
          <w:sz w:val="20"/>
          <w:szCs w:val="20"/>
        </w:rPr>
        <w:footnoteReference w:id="8"/>
      </w:r>
    </w:p>
    <w:p w14:paraId="1DC8C5DE" w14:textId="31B7CD42" w:rsidR="005B5861" w:rsidRPr="005B5861" w:rsidRDefault="005B5861" w:rsidP="002C4514">
      <w:pPr>
        <w:pStyle w:val="Default"/>
        <w:numPr>
          <w:ilvl w:val="0"/>
          <w:numId w:val="55"/>
        </w:numPr>
        <w:jc w:val="both"/>
      </w:pPr>
      <w:r w:rsidRPr="005B5861">
        <w:rPr>
          <w:sz w:val="20"/>
          <w:szCs w:val="20"/>
        </w:rPr>
        <w:lastRenderedPageBreak/>
        <w:t xml:space="preserve">In terms of the law applicable to the present case, the petitioners invoked the provisions of the American Declaration as governing their claims. The United States argued that the situation denounced was governed wholly by international humanitarian law, a body of law which the Commission lacks the jurisdiction or </w:t>
      </w:r>
      <w:r>
        <w:rPr>
          <w:sz w:val="20"/>
          <w:szCs w:val="20"/>
        </w:rPr>
        <w:t xml:space="preserve">interpretative power </w:t>
      </w:r>
      <w:r w:rsidRPr="005B5861">
        <w:rPr>
          <w:sz w:val="20"/>
          <w:szCs w:val="20"/>
        </w:rPr>
        <w:t>to apply. In accordance with the normative framework of the system, when examining individual cases concerning non-parties to the American Convention, the Commission looks to the American Declaration as the primary source of international obligation and applicable law</w:t>
      </w:r>
      <w:r>
        <w:rPr>
          <w:rStyle w:val="FootnoteReference"/>
          <w:sz w:val="20"/>
          <w:szCs w:val="20"/>
        </w:rPr>
        <w:footnoteReference w:id="9"/>
      </w:r>
      <w:r w:rsidR="00181FF6">
        <w:rPr>
          <w:sz w:val="20"/>
          <w:szCs w:val="20"/>
        </w:rPr>
        <w:t>.</w:t>
      </w:r>
      <w:r w:rsidRPr="005B5861">
        <w:rPr>
          <w:sz w:val="20"/>
          <w:szCs w:val="20"/>
        </w:rPr>
        <w:t xml:space="preserve"> This does not mean, as the United States argued, that the Commission may not make reference to other sources of law in effectuating its mandate, including international humanitarian law.</w:t>
      </w:r>
      <w:r w:rsidR="00181FF6" w:rsidRPr="00181FF6">
        <w:t xml:space="preserve"> </w:t>
      </w:r>
      <w:r w:rsidR="00181FF6" w:rsidRPr="00181FF6">
        <w:rPr>
          <w:sz w:val="20"/>
          <w:szCs w:val="20"/>
        </w:rPr>
        <w:t>The Commission is mandated by its Statute to examine claims alleging the violation of a right protected under the Declaration</w:t>
      </w:r>
      <w:r w:rsidR="008B1DBB">
        <w:rPr>
          <w:sz w:val="20"/>
          <w:szCs w:val="20"/>
        </w:rPr>
        <w:t>, t</w:t>
      </w:r>
      <w:r w:rsidR="00181FF6" w:rsidRPr="00181FF6">
        <w:rPr>
          <w:sz w:val="20"/>
          <w:szCs w:val="20"/>
        </w:rPr>
        <w:t>he fact that the resolution of such a claim may require reference to another treaty is no bar to jurisdiction</w:t>
      </w:r>
      <w:r w:rsidR="008B1DBB">
        <w:rPr>
          <w:sz w:val="20"/>
          <w:szCs w:val="20"/>
        </w:rPr>
        <w:t xml:space="preserve">. </w:t>
      </w:r>
    </w:p>
    <w:p w14:paraId="672F2532" w14:textId="77777777" w:rsidR="005B5861" w:rsidRPr="005B5861" w:rsidRDefault="005B5861" w:rsidP="005B5861">
      <w:pPr>
        <w:pStyle w:val="Default"/>
        <w:ind w:left="720"/>
        <w:jc w:val="both"/>
      </w:pPr>
    </w:p>
    <w:p w14:paraId="7481AC9E" w14:textId="7CD885BC" w:rsidR="005B5861" w:rsidRPr="00604A88" w:rsidRDefault="00F93FA3" w:rsidP="00F93F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T</w:t>
      </w:r>
      <w:r w:rsidR="008B1DBB">
        <w:rPr>
          <w:rFonts w:ascii="Cambria" w:hAnsi="Cambria"/>
          <w:sz w:val="20"/>
          <w:szCs w:val="20"/>
        </w:rPr>
        <w:t>he Commission conclud</w:t>
      </w:r>
      <w:r w:rsidR="008B1DBB" w:rsidRPr="00F93FA3">
        <w:rPr>
          <w:rFonts w:ascii="Cambria" w:hAnsi="Cambria"/>
          <w:sz w:val="20"/>
          <w:szCs w:val="20"/>
        </w:rPr>
        <w:t>es</w:t>
      </w:r>
      <w:r w:rsidRPr="00F93FA3">
        <w:rPr>
          <w:rFonts w:ascii="Cambria" w:hAnsi="Cambria"/>
          <w:sz w:val="20"/>
          <w:szCs w:val="20"/>
        </w:rPr>
        <w:t xml:space="preserve"> that if the allegations made are true, then the petition is neither “manifestly groundless” nor “obviously out of order”. </w:t>
      </w:r>
      <w:r w:rsidR="00B05EEF">
        <w:rPr>
          <w:rFonts w:ascii="Cambria" w:hAnsi="Cambria"/>
          <w:sz w:val="20"/>
          <w:szCs w:val="20"/>
        </w:rPr>
        <w:t>On the basis of the foregoing, the Commission considers that</w:t>
      </w:r>
      <w:r w:rsidR="005B5861">
        <w:rPr>
          <w:rFonts w:ascii="Cambria" w:hAnsi="Cambria"/>
          <w:sz w:val="20"/>
          <w:szCs w:val="20"/>
        </w:rPr>
        <w:t xml:space="preserve">, if proved, the facts alleged could establish a possible violation of the rights protected by </w:t>
      </w:r>
      <w:r w:rsidR="00B05EEF" w:rsidRPr="00B05EEF">
        <w:rPr>
          <w:rFonts w:ascii="Cambria" w:hAnsi="Cambria"/>
          <w:sz w:val="20"/>
          <w:szCs w:val="20"/>
        </w:rPr>
        <w:t xml:space="preserve">Articles I (life, liberty and personal security), XVII (recognition of juridical personality and civil rights), XVIII (fair trial), and XXV (protection from arbitrary arrest) </w:t>
      </w:r>
      <w:r w:rsidR="00B05EEF">
        <w:rPr>
          <w:rFonts w:ascii="Cambria" w:hAnsi="Cambria"/>
          <w:sz w:val="20"/>
          <w:szCs w:val="20"/>
        </w:rPr>
        <w:t xml:space="preserve">and XXVI (due process of law) </w:t>
      </w:r>
      <w:r w:rsidR="00B05EEF" w:rsidRPr="00B05EEF">
        <w:rPr>
          <w:rFonts w:ascii="Cambria" w:hAnsi="Cambria"/>
          <w:sz w:val="20"/>
          <w:szCs w:val="20"/>
        </w:rPr>
        <w:t>of the American Declaration of Rights and Duties of Man</w:t>
      </w:r>
      <w:r w:rsidR="00B05EEF">
        <w:rPr>
          <w:rFonts w:ascii="Cambria" w:hAnsi="Cambria"/>
          <w:sz w:val="20"/>
          <w:szCs w:val="20"/>
        </w:rPr>
        <w:t>.</w:t>
      </w:r>
    </w:p>
    <w:p w14:paraId="57F469D8"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568D76B5" w14:textId="3D364B5C" w:rsidR="00F621C3" w:rsidRPr="00562F0E" w:rsidRDefault="00F621C3" w:rsidP="00F621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w:t>
      </w:r>
      <w:r w:rsidR="002505DE" w:rsidRPr="00235606">
        <w:rPr>
          <w:sz w:val="20"/>
          <w:szCs w:val="20"/>
        </w:rPr>
        <w:t xml:space="preserve">Articles I, </w:t>
      </w:r>
      <w:r w:rsidR="00F87695">
        <w:rPr>
          <w:sz w:val="20"/>
          <w:szCs w:val="20"/>
        </w:rPr>
        <w:t>XVII,</w:t>
      </w:r>
      <w:r w:rsidR="002505DE" w:rsidRPr="00235606">
        <w:rPr>
          <w:sz w:val="20"/>
          <w:szCs w:val="20"/>
        </w:rPr>
        <w:t xml:space="preserve"> XVIII</w:t>
      </w:r>
      <w:r w:rsidR="00D74148">
        <w:rPr>
          <w:sz w:val="20"/>
          <w:szCs w:val="20"/>
        </w:rPr>
        <w:t>, XXV,</w:t>
      </w:r>
      <w:r w:rsidR="00F87695">
        <w:rPr>
          <w:sz w:val="20"/>
          <w:szCs w:val="20"/>
        </w:rPr>
        <w:t xml:space="preserve"> and XXVI </w:t>
      </w:r>
      <w:r w:rsidR="002505DE">
        <w:rPr>
          <w:sz w:val="20"/>
          <w:szCs w:val="20"/>
        </w:rPr>
        <w:t>of the American Declaration</w:t>
      </w:r>
      <w:r w:rsidRPr="000B6B7A">
        <w:rPr>
          <w:rFonts w:asciiTheme="majorHAnsi" w:hAnsiTheme="majorHAnsi"/>
          <w:sz w:val="20"/>
          <w:szCs w:val="20"/>
        </w:rPr>
        <w:t>;</w:t>
      </w:r>
      <w:r w:rsidR="00562F0E">
        <w:rPr>
          <w:rFonts w:ascii="Cambria" w:hAnsi="Cambria"/>
          <w:sz w:val="20"/>
          <w:szCs w:val="20"/>
        </w:rPr>
        <w:t xml:space="preserve"> </w:t>
      </w:r>
      <w:r w:rsidR="001F1902" w:rsidRPr="00562F0E">
        <w:rPr>
          <w:sz w:val="20"/>
          <w:szCs w:val="20"/>
        </w:rPr>
        <w:t>and</w:t>
      </w:r>
    </w:p>
    <w:p w14:paraId="0C0FE588" w14:textId="0E6EB577" w:rsidR="00C55560" w:rsidRPr="008B59AA" w:rsidRDefault="00F621C3" w:rsidP="007E6C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7118087B" w14:textId="7F0B9F9A" w:rsidR="008B59AA" w:rsidRDefault="008B59AA" w:rsidP="008B59AA">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24</w:t>
      </w:r>
      <w:r w:rsidRPr="008B59AA">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April, 2020</w:t>
      </w:r>
      <w:r w:rsidRPr="006D25D7">
        <w:rPr>
          <w:rFonts w:ascii="Cambria" w:hAnsi="Cambria"/>
          <w:spacing w:val="-2"/>
          <w:sz w:val="20"/>
        </w:rPr>
        <w:t xml:space="preserve">. </w:t>
      </w:r>
      <w:r w:rsidRPr="008E4C59">
        <w:rPr>
          <w:rFonts w:asciiTheme="majorHAnsi" w:hAnsiTheme="majorHAnsi" w:cs="Arial"/>
          <w:noProof/>
          <w:spacing w:val="-2"/>
          <w:sz w:val="20"/>
          <w:szCs w:val="20"/>
        </w:rPr>
        <w:t>Joel Hernández</w:t>
      </w:r>
      <w:r w:rsidRPr="006D25D7">
        <w:rPr>
          <w:rFonts w:ascii="Cambria" w:hAnsi="Cambria"/>
          <w:sz w:val="20"/>
        </w:rPr>
        <w:t xml:space="preserve">, President; </w:t>
      </w:r>
      <w:r w:rsidRPr="008E4C59">
        <w:rPr>
          <w:rFonts w:asciiTheme="majorHAnsi" w:hAnsiTheme="majorHAnsi" w:cs="Arial"/>
          <w:noProof/>
          <w:spacing w:val="-2"/>
          <w:sz w:val="20"/>
          <w:szCs w:val="20"/>
        </w:rPr>
        <w:t>Antonia Urrejola</w:t>
      </w:r>
      <w:r w:rsidRPr="006D25D7">
        <w:rPr>
          <w:rFonts w:ascii="Cambria" w:hAnsi="Cambria"/>
          <w:sz w:val="20"/>
        </w:rPr>
        <w:t xml:space="preserve">, First Vice President; </w:t>
      </w:r>
      <w:r>
        <w:rPr>
          <w:rFonts w:ascii="Cambria" w:hAnsi="Cambria"/>
          <w:sz w:val="20"/>
          <w:szCs w:val="20"/>
        </w:rPr>
        <w:t>Flávia Piovesan</w:t>
      </w:r>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 xml:space="preserve">and Julissa Mantilla Falcón, </w:t>
      </w:r>
      <w:r w:rsidRPr="006D25D7">
        <w:rPr>
          <w:rFonts w:ascii="Cambria" w:hAnsi="Cambria"/>
          <w:spacing w:val="-2"/>
          <w:sz w:val="20"/>
        </w:rPr>
        <w:t>Commissioners.</w:t>
      </w:r>
    </w:p>
    <w:p w14:paraId="2A0E61FD" w14:textId="77777777" w:rsidR="008B59AA" w:rsidRDefault="008B59AA">
      <w:pPr>
        <w:rPr>
          <w:rFonts w:ascii="Cambria" w:hAnsi="Cambria"/>
          <w:sz w:val="20"/>
        </w:rPr>
      </w:pPr>
      <w:r>
        <w:rPr>
          <w:rFonts w:ascii="Cambria" w:hAnsi="Cambria"/>
          <w:sz w:val="20"/>
        </w:rPr>
        <w:br w:type="page"/>
      </w:r>
    </w:p>
    <w:p w14:paraId="040AD3E1" w14:textId="77777777" w:rsidR="008B59AA" w:rsidRDefault="008B59AA" w:rsidP="008B59AA">
      <w:pPr>
        <w:ind w:firstLine="720"/>
        <w:jc w:val="both"/>
        <w:rPr>
          <w:rFonts w:ascii="Cambria" w:hAnsi="Cambria"/>
          <w:sz w:val="20"/>
        </w:rPr>
      </w:pPr>
    </w:p>
    <w:p w14:paraId="1F38D0DF" w14:textId="07A5F092" w:rsidR="008B59AA" w:rsidRPr="006D25D7" w:rsidRDefault="008B59AA" w:rsidP="008B59AA">
      <w:pPr>
        <w:ind w:firstLine="720"/>
        <w:jc w:val="both"/>
        <w:rPr>
          <w:rFonts w:ascii="Cambria" w:hAnsi="Cambria"/>
          <w:sz w:val="20"/>
        </w:rPr>
      </w:pPr>
      <w:r w:rsidRPr="006D25D7">
        <w:rPr>
          <w:rFonts w:ascii="Cambria" w:hAnsi="Cambria"/>
          <w:sz w:val="20"/>
        </w:rPr>
        <w:t xml:space="preserve">The undersigned, </w:t>
      </w:r>
      <w:r>
        <w:rPr>
          <w:rFonts w:ascii="Cambria" w:hAnsi="Cambria"/>
          <w:spacing w:val="-2"/>
          <w:sz w:val="20"/>
        </w:rPr>
        <w:t>Marisol Blanchard</w:t>
      </w:r>
      <w:r w:rsidRPr="006D25D7">
        <w:rPr>
          <w:rFonts w:ascii="Cambria" w:hAnsi="Cambria"/>
          <w:sz w:val="20"/>
        </w:rPr>
        <w:t xml:space="preserve">, </w:t>
      </w:r>
      <w:r>
        <w:rPr>
          <w:rFonts w:ascii="Cambria" w:hAnsi="Cambria"/>
          <w:sz w:val="20"/>
        </w:rPr>
        <w:t xml:space="preserve">Assistant </w:t>
      </w:r>
      <w:r w:rsidRPr="006D25D7">
        <w:rPr>
          <w:rFonts w:ascii="Cambria" w:hAnsi="Cambria"/>
          <w:sz w:val="20"/>
        </w:rPr>
        <w:t>Executive Secretary of the Inter-American Commission on Human Rights, in keeping with Article 49 of the Commission’s Rules of Procedure, certifies that this is an accurate copy of the original deposited in the archives of the IACHR Secretariat.</w:t>
      </w:r>
    </w:p>
    <w:p w14:paraId="61B1B202" w14:textId="77777777" w:rsidR="008B59AA" w:rsidRDefault="008B59AA" w:rsidP="008B59AA">
      <w:pPr>
        <w:ind w:left="720" w:hanging="720"/>
        <w:jc w:val="center"/>
        <w:rPr>
          <w:rFonts w:ascii="Cambria" w:hAnsi="Cambria"/>
          <w:spacing w:val="-2"/>
          <w:sz w:val="20"/>
          <w:szCs w:val="20"/>
        </w:rPr>
      </w:pPr>
      <w:r w:rsidRPr="00316A94">
        <w:rPr>
          <w:noProof/>
        </w:rPr>
        <w:drawing>
          <wp:inline distT="0" distB="0" distL="0" distR="0" wp14:anchorId="57010592" wp14:editId="5D3F9817">
            <wp:extent cx="1459230" cy="13944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230" cy="1394460"/>
                    </a:xfrm>
                    <a:prstGeom prst="rect">
                      <a:avLst/>
                    </a:prstGeom>
                    <a:noFill/>
                    <a:ln>
                      <a:noFill/>
                    </a:ln>
                  </pic:spPr>
                </pic:pic>
              </a:graphicData>
            </a:graphic>
          </wp:inline>
        </w:drawing>
      </w:r>
    </w:p>
    <w:p w14:paraId="7906DD00" w14:textId="77777777" w:rsidR="008B59AA" w:rsidRPr="008E4C59" w:rsidRDefault="008B59AA" w:rsidP="008B59AA">
      <w:pPr>
        <w:ind w:left="720" w:hanging="720"/>
        <w:jc w:val="center"/>
        <w:rPr>
          <w:rFonts w:ascii="Cambria" w:hAnsi="Cambria" w:cs="Arial"/>
          <w:sz w:val="20"/>
        </w:rPr>
      </w:pPr>
      <w:r w:rsidRPr="008E4C59">
        <w:rPr>
          <w:rFonts w:ascii="Cambria" w:hAnsi="Cambria"/>
          <w:spacing w:val="-2"/>
          <w:sz w:val="20"/>
          <w:szCs w:val="20"/>
        </w:rPr>
        <w:t>Marisol Blanchard</w:t>
      </w:r>
    </w:p>
    <w:p w14:paraId="175946E2" w14:textId="77777777" w:rsidR="008B59AA" w:rsidRPr="006D25D7" w:rsidRDefault="008B59AA" w:rsidP="008B59AA">
      <w:pPr>
        <w:suppressAutoHyphens/>
        <w:jc w:val="center"/>
        <w:rPr>
          <w:rFonts w:ascii="Cambria" w:hAnsi="Cambria"/>
          <w:sz w:val="20"/>
          <w:szCs w:val="20"/>
        </w:rPr>
      </w:pPr>
      <w:r w:rsidRPr="008E4C59">
        <w:rPr>
          <w:rFonts w:ascii="Cambria" w:hAnsi="Cambria" w:cs="Arial"/>
          <w:sz w:val="20"/>
        </w:rPr>
        <w:t>Assistant Executive Secretary</w:t>
      </w:r>
    </w:p>
    <w:p w14:paraId="48344E80" w14:textId="77777777" w:rsidR="008B59AA" w:rsidRPr="007E6CF6" w:rsidRDefault="008B59AA" w:rsidP="008B59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8B59AA" w:rsidRPr="007E6CF6"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7D96F" w14:textId="77777777" w:rsidR="00903E1A" w:rsidRDefault="00903E1A" w:rsidP="00036A8A">
      <w:r>
        <w:separator/>
      </w:r>
    </w:p>
  </w:endnote>
  <w:endnote w:type="continuationSeparator" w:id="0">
    <w:p w14:paraId="5759E98B" w14:textId="77777777" w:rsidR="00903E1A" w:rsidRDefault="00903E1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87E0" w14:textId="77777777" w:rsidR="00365913" w:rsidRDefault="00365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4BF47D7F" w14:textId="4CF378DE" w:rsidR="005E0A78" w:rsidRPr="006311DA" w:rsidRDefault="00A40EDD">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sidR="00365913">
          <w:rPr>
            <w:noProof/>
            <w:sz w:val="16"/>
          </w:rPr>
          <w:t>7</w:t>
        </w:r>
        <w:r>
          <w:rPr>
            <w:noProof/>
            <w:sz w:val="16"/>
          </w:rPr>
          <w:fldChar w:fldCharType="end"/>
        </w:r>
      </w:p>
    </w:sdtContent>
  </w:sdt>
  <w:p w14:paraId="7D7F50E4" w14:textId="77777777" w:rsidR="005E0A78" w:rsidRDefault="005E0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AA9A" w14:textId="77777777" w:rsidR="005E0A78" w:rsidRDefault="005E0A78">
    <w:pPr>
      <w:pStyle w:val="Footer"/>
      <w:jc w:val="center"/>
    </w:pPr>
  </w:p>
  <w:p w14:paraId="44DAA25F" w14:textId="77777777" w:rsidR="005E0A78" w:rsidRDefault="005E0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66E24" w14:textId="77777777" w:rsidR="00903E1A" w:rsidRPr="00036A8A" w:rsidRDefault="00903E1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4EA02D4" w14:textId="77777777" w:rsidR="00903E1A" w:rsidRPr="00036A8A" w:rsidRDefault="00903E1A" w:rsidP="00036A8A">
      <w:pPr>
        <w:rPr>
          <w:rFonts w:asciiTheme="majorHAnsi" w:hAnsiTheme="majorHAnsi"/>
          <w:sz w:val="16"/>
          <w:szCs w:val="16"/>
        </w:rPr>
      </w:pPr>
      <w:r w:rsidRPr="00036A8A">
        <w:rPr>
          <w:rFonts w:asciiTheme="majorHAnsi" w:hAnsiTheme="majorHAnsi"/>
          <w:sz w:val="16"/>
          <w:szCs w:val="16"/>
        </w:rPr>
        <w:separator/>
      </w:r>
    </w:p>
    <w:p w14:paraId="707B45BF" w14:textId="77777777" w:rsidR="00903E1A" w:rsidRPr="00036A8A" w:rsidRDefault="00903E1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18885C7" w14:textId="77777777" w:rsidR="00903E1A" w:rsidRPr="0093441A" w:rsidRDefault="00903E1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15A9B6A9" w14:textId="0455E6CC" w:rsidR="005E7102" w:rsidRPr="002A6BD9" w:rsidRDefault="005E0A78" w:rsidP="002C5F8E">
      <w:pPr>
        <w:spacing w:line="276" w:lineRule="auto"/>
        <w:ind w:left="720"/>
        <w:rPr>
          <w:rFonts w:ascii="Cambria" w:hAnsi="Cambria" w:cs="Arial"/>
          <w:sz w:val="16"/>
          <w:szCs w:val="16"/>
        </w:rPr>
      </w:pPr>
      <w:r w:rsidRPr="002A6BD9">
        <w:rPr>
          <w:rStyle w:val="FootnoteReference"/>
          <w:rFonts w:ascii="Cambria" w:hAnsi="Cambria"/>
          <w:sz w:val="16"/>
          <w:szCs w:val="16"/>
        </w:rPr>
        <w:footnoteRef/>
      </w:r>
      <w:r w:rsidRPr="002A6BD9">
        <w:rPr>
          <w:rFonts w:ascii="Cambria" w:hAnsi="Cambria"/>
          <w:sz w:val="16"/>
          <w:szCs w:val="16"/>
        </w:rPr>
        <w:t xml:space="preserve"> </w:t>
      </w:r>
      <w:r w:rsidR="005E7102" w:rsidRPr="002A6BD9">
        <w:rPr>
          <w:rFonts w:ascii="Cambria" w:hAnsi="Cambria"/>
          <w:sz w:val="16"/>
          <w:szCs w:val="16"/>
        </w:rPr>
        <w:t xml:space="preserve">The following persons are alleged victims in this petition: </w:t>
      </w:r>
      <w:proofErr w:type="spellStart"/>
      <w:r w:rsidR="005E7102" w:rsidRPr="002A6BD9">
        <w:rPr>
          <w:rFonts w:ascii="Cambria" w:hAnsi="Cambria" w:cs="Arial"/>
          <w:sz w:val="16"/>
          <w:szCs w:val="16"/>
        </w:rPr>
        <w:t>Thahe</w:t>
      </w:r>
      <w:proofErr w:type="spellEnd"/>
      <w:r w:rsidR="005E7102" w:rsidRPr="002A6BD9">
        <w:rPr>
          <w:rFonts w:ascii="Cambria" w:hAnsi="Cambria" w:cs="Arial"/>
          <w:sz w:val="16"/>
          <w:szCs w:val="16"/>
        </w:rPr>
        <w:t xml:space="preserve"> Mohammed </w:t>
      </w:r>
      <w:proofErr w:type="spellStart"/>
      <w:r w:rsidR="005E7102" w:rsidRPr="002A6BD9">
        <w:rPr>
          <w:rFonts w:ascii="Cambria" w:hAnsi="Cambria" w:cs="Arial"/>
          <w:sz w:val="16"/>
          <w:szCs w:val="16"/>
        </w:rPr>
        <w:t>Sabar</w:t>
      </w:r>
      <w:proofErr w:type="spellEnd"/>
      <w:r w:rsidR="005E7102" w:rsidRPr="002A6BD9">
        <w:rPr>
          <w:rFonts w:ascii="Cambria" w:hAnsi="Cambria" w:cs="Arial"/>
          <w:sz w:val="16"/>
          <w:szCs w:val="16"/>
        </w:rPr>
        <w:t xml:space="preserve"> et al </w:t>
      </w:r>
      <w:proofErr w:type="spellStart"/>
      <w:r w:rsidR="005E7102" w:rsidRPr="002A6BD9">
        <w:rPr>
          <w:rFonts w:ascii="Cambria" w:hAnsi="Cambria" w:cs="Arial"/>
          <w:sz w:val="16"/>
          <w:szCs w:val="16"/>
        </w:rPr>
        <w:t>Sherzad</w:t>
      </w:r>
      <w:proofErr w:type="spellEnd"/>
      <w:r w:rsidR="005E7102" w:rsidRPr="002A6BD9">
        <w:rPr>
          <w:rFonts w:ascii="Cambria" w:hAnsi="Cambria" w:cs="Arial"/>
          <w:sz w:val="16"/>
          <w:szCs w:val="16"/>
        </w:rPr>
        <w:t xml:space="preserve"> Kamal Khalid, </w:t>
      </w:r>
      <w:proofErr w:type="spellStart"/>
      <w:r w:rsidR="005E7102" w:rsidRPr="002A6BD9">
        <w:rPr>
          <w:rFonts w:ascii="Cambria" w:hAnsi="Cambria" w:cs="Arial"/>
          <w:sz w:val="16"/>
          <w:szCs w:val="16"/>
        </w:rPr>
        <w:t>Mehboob</w:t>
      </w:r>
      <w:proofErr w:type="spellEnd"/>
      <w:r w:rsidR="005E7102" w:rsidRPr="002A6BD9">
        <w:rPr>
          <w:rFonts w:ascii="Cambria" w:hAnsi="Cambria" w:cs="Arial"/>
          <w:sz w:val="16"/>
          <w:szCs w:val="16"/>
        </w:rPr>
        <w:t xml:space="preserve"> Ahmad, Said </w:t>
      </w:r>
      <w:proofErr w:type="spellStart"/>
      <w:r w:rsidR="005E7102" w:rsidRPr="002A6BD9">
        <w:rPr>
          <w:rFonts w:ascii="Cambria" w:hAnsi="Cambria" w:cs="Arial"/>
          <w:sz w:val="16"/>
          <w:szCs w:val="16"/>
        </w:rPr>
        <w:t>Nabi</w:t>
      </w:r>
      <w:proofErr w:type="spellEnd"/>
      <w:r w:rsidR="005E7102" w:rsidRPr="002A6BD9">
        <w:rPr>
          <w:rFonts w:ascii="Cambria" w:hAnsi="Cambria" w:cs="Arial"/>
          <w:sz w:val="16"/>
          <w:szCs w:val="16"/>
        </w:rPr>
        <w:t xml:space="preserve"> Siddiqi and Haji Rahman</w:t>
      </w:r>
    </w:p>
  </w:footnote>
  <w:footnote w:id="3">
    <w:p w14:paraId="37F888B9" w14:textId="6E83CF89" w:rsidR="007A082E" w:rsidRPr="002A6BD9" w:rsidRDefault="005E0A78" w:rsidP="002C5F8E">
      <w:pPr>
        <w:pStyle w:val="FootnoteText"/>
        <w:ind w:firstLine="720"/>
        <w:jc w:val="both"/>
        <w:rPr>
          <w:rFonts w:ascii="Cambria" w:hAnsi="Cambria"/>
          <w:sz w:val="16"/>
          <w:szCs w:val="16"/>
        </w:rPr>
      </w:pPr>
      <w:r w:rsidRPr="002A6BD9">
        <w:rPr>
          <w:rStyle w:val="FootnoteReference"/>
          <w:rFonts w:ascii="Cambria" w:hAnsi="Cambria"/>
          <w:sz w:val="16"/>
          <w:szCs w:val="16"/>
        </w:rPr>
        <w:footnoteRef/>
      </w:r>
      <w:r w:rsidRPr="002A6BD9">
        <w:rPr>
          <w:rFonts w:ascii="Cambria" w:hAnsi="Cambria"/>
          <w:sz w:val="16"/>
          <w:szCs w:val="16"/>
        </w:rPr>
        <w:t xml:space="preserve"> Hereinafter</w:t>
      </w:r>
      <w:r w:rsidR="005E7102" w:rsidRPr="002A6BD9">
        <w:rPr>
          <w:rFonts w:ascii="Cambria" w:hAnsi="Cambria"/>
          <w:sz w:val="16"/>
          <w:szCs w:val="16"/>
        </w:rPr>
        <w:t xml:space="preserve"> “U.S.” </w:t>
      </w:r>
      <w:r w:rsidR="00E8789B" w:rsidRPr="002A6BD9">
        <w:rPr>
          <w:rFonts w:ascii="Cambria" w:hAnsi="Cambria"/>
          <w:sz w:val="16"/>
          <w:szCs w:val="16"/>
        </w:rPr>
        <w:t>or “</w:t>
      </w:r>
      <w:r w:rsidRPr="002A6BD9">
        <w:rPr>
          <w:rFonts w:ascii="Cambria" w:hAnsi="Cambria"/>
          <w:sz w:val="16"/>
          <w:szCs w:val="16"/>
        </w:rPr>
        <w:t>United States.”</w:t>
      </w:r>
    </w:p>
  </w:footnote>
  <w:footnote w:id="4">
    <w:p w14:paraId="63FAFA9C" w14:textId="59B34881" w:rsidR="007A082E" w:rsidRPr="002A6BD9" w:rsidRDefault="007A082E" w:rsidP="002C5F8E">
      <w:pPr>
        <w:pStyle w:val="FootnoteText"/>
        <w:ind w:left="720"/>
        <w:rPr>
          <w:rFonts w:ascii="Cambria" w:hAnsi="Cambria"/>
          <w:sz w:val="16"/>
          <w:szCs w:val="16"/>
        </w:rPr>
      </w:pPr>
      <w:r w:rsidRPr="002A6BD9">
        <w:rPr>
          <w:rStyle w:val="FootnoteReference"/>
          <w:rFonts w:ascii="Cambria" w:hAnsi="Cambria"/>
          <w:sz w:val="16"/>
          <w:szCs w:val="16"/>
        </w:rPr>
        <w:footnoteRef/>
      </w:r>
      <w:r w:rsidR="007C7ADC" w:rsidRPr="002A6BD9">
        <w:rPr>
          <w:rFonts w:ascii="Cambria" w:hAnsi="Cambria"/>
          <w:sz w:val="16"/>
          <w:szCs w:val="16"/>
        </w:rPr>
        <w:t xml:space="preserve"> Hereinafter </w:t>
      </w:r>
      <w:r w:rsidRPr="002A6BD9">
        <w:rPr>
          <w:rFonts w:ascii="Cambria" w:hAnsi="Cambria"/>
          <w:sz w:val="16"/>
          <w:szCs w:val="16"/>
        </w:rPr>
        <w:t>“American Declaration”.</w:t>
      </w:r>
    </w:p>
  </w:footnote>
  <w:footnote w:id="5">
    <w:p w14:paraId="2E6D16C7" w14:textId="77777777" w:rsidR="005E0A78" w:rsidRPr="002A6BD9" w:rsidRDefault="005E0A78" w:rsidP="00680C33">
      <w:pPr>
        <w:pStyle w:val="FootnoteText"/>
        <w:ind w:firstLine="720"/>
        <w:jc w:val="both"/>
        <w:rPr>
          <w:rFonts w:ascii="Cambria" w:hAnsi="Cambria"/>
          <w:sz w:val="16"/>
          <w:szCs w:val="16"/>
        </w:rPr>
      </w:pPr>
      <w:r w:rsidRPr="002A6BD9">
        <w:rPr>
          <w:rStyle w:val="FootnoteReference"/>
          <w:rFonts w:ascii="Cambria" w:hAnsi="Cambria"/>
          <w:sz w:val="16"/>
          <w:szCs w:val="16"/>
        </w:rPr>
        <w:footnoteRef/>
      </w:r>
      <w:r w:rsidRPr="002A6BD9">
        <w:rPr>
          <w:rFonts w:ascii="Cambria" w:hAnsi="Cambria"/>
          <w:sz w:val="16"/>
          <w:szCs w:val="16"/>
        </w:rPr>
        <w:t xml:space="preserve"> The observations submitted by each party were duly transmitted to the opposing party.</w:t>
      </w:r>
    </w:p>
  </w:footnote>
  <w:footnote w:id="6">
    <w:p w14:paraId="5054B454" w14:textId="3DEE69E4" w:rsidR="00947B64" w:rsidRPr="002A6BD9" w:rsidRDefault="00947B64" w:rsidP="00947B64">
      <w:pPr>
        <w:pStyle w:val="FootnoteText"/>
        <w:rPr>
          <w:rFonts w:ascii="Cambria" w:hAnsi="Cambria"/>
          <w:sz w:val="16"/>
          <w:szCs w:val="16"/>
        </w:rPr>
      </w:pPr>
      <w:r w:rsidRPr="002A6BD9">
        <w:rPr>
          <w:rStyle w:val="FootnoteReference"/>
          <w:rFonts w:ascii="Cambria" w:hAnsi="Cambria"/>
          <w:sz w:val="16"/>
          <w:szCs w:val="16"/>
        </w:rPr>
        <w:footnoteRef/>
      </w:r>
      <w:r w:rsidRPr="00817B4C">
        <w:rPr>
          <w:rFonts w:ascii="Cambria" w:hAnsi="Cambria"/>
          <w:sz w:val="16"/>
          <w:szCs w:val="16"/>
          <w:lang w:val="es-US"/>
        </w:rPr>
        <w:t xml:space="preserve"> IACHR, </w:t>
      </w:r>
      <w:proofErr w:type="spellStart"/>
      <w:r w:rsidRPr="00817B4C">
        <w:rPr>
          <w:rFonts w:ascii="Cambria" w:hAnsi="Cambria"/>
          <w:sz w:val="16"/>
          <w:szCs w:val="16"/>
          <w:lang w:val="es-US"/>
        </w:rPr>
        <w:t>Report</w:t>
      </w:r>
      <w:proofErr w:type="spellEnd"/>
      <w:r w:rsidRPr="00817B4C">
        <w:rPr>
          <w:rFonts w:ascii="Cambria" w:hAnsi="Cambria"/>
          <w:sz w:val="16"/>
          <w:szCs w:val="16"/>
          <w:lang w:val="es-US"/>
        </w:rPr>
        <w:t xml:space="preserve"> No. 156/17. </w:t>
      </w:r>
      <w:proofErr w:type="spellStart"/>
      <w:r w:rsidRPr="00817B4C">
        <w:rPr>
          <w:rFonts w:ascii="Cambria" w:hAnsi="Cambria"/>
          <w:sz w:val="16"/>
          <w:szCs w:val="16"/>
          <w:lang w:val="es-US"/>
        </w:rPr>
        <w:t>Admissibility</w:t>
      </w:r>
      <w:proofErr w:type="spellEnd"/>
      <w:r w:rsidRPr="00817B4C">
        <w:rPr>
          <w:rFonts w:ascii="Cambria" w:hAnsi="Cambria"/>
          <w:sz w:val="16"/>
          <w:szCs w:val="16"/>
          <w:lang w:val="es-US"/>
        </w:rPr>
        <w:t xml:space="preserve">. Carlos Alfonso Fonseca Murillo. </w:t>
      </w:r>
      <w:r w:rsidRPr="009939EB">
        <w:rPr>
          <w:rFonts w:ascii="Cambria" w:hAnsi="Cambria"/>
          <w:sz w:val="16"/>
          <w:szCs w:val="16"/>
        </w:rPr>
        <w:t>Ecua</w:t>
      </w:r>
      <w:r w:rsidR="00995E24" w:rsidRPr="009939EB">
        <w:rPr>
          <w:rFonts w:ascii="Cambria" w:hAnsi="Cambria"/>
          <w:sz w:val="16"/>
          <w:szCs w:val="16"/>
        </w:rPr>
        <w:t>dor. November 30, 2017, para 13; IACHR, Report No. 38/18, Petition 140-09, Maria G and Family.</w:t>
      </w:r>
    </w:p>
  </w:footnote>
  <w:footnote w:id="7">
    <w:p w14:paraId="511A3178" w14:textId="451C43E3" w:rsidR="00255E4E" w:rsidRPr="002A6BD9" w:rsidRDefault="00255E4E">
      <w:pPr>
        <w:pStyle w:val="FootnoteText"/>
        <w:rPr>
          <w:rFonts w:ascii="Cambria" w:hAnsi="Cambria"/>
          <w:sz w:val="16"/>
          <w:szCs w:val="16"/>
        </w:rPr>
      </w:pPr>
      <w:r w:rsidRPr="002A6BD9">
        <w:rPr>
          <w:rStyle w:val="FootnoteReference"/>
          <w:rFonts w:ascii="Cambria" w:hAnsi="Cambria"/>
          <w:sz w:val="16"/>
          <w:szCs w:val="16"/>
        </w:rPr>
        <w:footnoteRef/>
      </w:r>
      <w:r w:rsidRPr="002A6BD9">
        <w:rPr>
          <w:rFonts w:ascii="Cambria" w:hAnsi="Cambria"/>
          <w:sz w:val="16"/>
          <w:szCs w:val="16"/>
        </w:rPr>
        <w:t xml:space="preserve"> IACHR, Report No. 18/12</w:t>
      </w:r>
      <w:r w:rsidR="003868C9">
        <w:rPr>
          <w:rFonts w:ascii="Cambria" w:hAnsi="Cambria"/>
          <w:sz w:val="16"/>
          <w:szCs w:val="16"/>
        </w:rPr>
        <w:t xml:space="preserve">. </w:t>
      </w:r>
      <w:r w:rsidRPr="002A6BD9">
        <w:rPr>
          <w:rFonts w:ascii="Cambria" w:hAnsi="Cambria"/>
          <w:sz w:val="16"/>
          <w:szCs w:val="16"/>
        </w:rPr>
        <w:t xml:space="preserve">Petition 161-06, Admissibility, Juvenile Offenders Sentenced to Life Imprisonment without Parole, United States, </w:t>
      </w:r>
      <w:r w:rsidR="00E91F42" w:rsidRPr="002A6BD9">
        <w:rPr>
          <w:rFonts w:ascii="Cambria" w:hAnsi="Cambria"/>
          <w:sz w:val="16"/>
          <w:szCs w:val="16"/>
        </w:rPr>
        <w:t>March 20, 2012, para. 58-59.</w:t>
      </w:r>
    </w:p>
  </w:footnote>
  <w:footnote w:id="8">
    <w:p w14:paraId="35AFE965" w14:textId="7F8F1C86" w:rsidR="005B5861" w:rsidRPr="002A6BD9" w:rsidRDefault="005B5861" w:rsidP="00282DA4">
      <w:pPr>
        <w:pStyle w:val="FootnoteText"/>
        <w:jc w:val="both"/>
        <w:rPr>
          <w:rFonts w:ascii="Cambria" w:hAnsi="Cambria"/>
          <w:sz w:val="16"/>
          <w:szCs w:val="16"/>
        </w:rPr>
      </w:pPr>
      <w:r w:rsidRPr="002A6BD9">
        <w:rPr>
          <w:rStyle w:val="FootnoteReference"/>
          <w:rFonts w:ascii="Cambria" w:hAnsi="Cambria"/>
          <w:sz w:val="16"/>
          <w:szCs w:val="16"/>
        </w:rPr>
        <w:footnoteRef/>
      </w:r>
      <w:r w:rsidRPr="002A6BD9">
        <w:rPr>
          <w:rFonts w:ascii="Cambria" w:hAnsi="Cambria"/>
          <w:sz w:val="16"/>
          <w:szCs w:val="16"/>
        </w:rPr>
        <w:t xml:space="preserve"> IACHR, Report 17/12, Petition 900-08, </w:t>
      </w:r>
      <w:proofErr w:type="spellStart"/>
      <w:r w:rsidRPr="002A6BD9">
        <w:rPr>
          <w:rFonts w:ascii="Cambria" w:hAnsi="Cambria"/>
          <w:sz w:val="16"/>
          <w:szCs w:val="16"/>
        </w:rPr>
        <w:t>Djamel</w:t>
      </w:r>
      <w:proofErr w:type="spellEnd"/>
      <w:r w:rsidRPr="002A6BD9">
        <w:rPr>
          <w:rFonts w:ascii="Cambria" w:hAnsi="Cambria"/>
          <w:sz w:val="16"/>
          <w:szCs w:val="16"/>
        </w:rPr>
        <w:t xml:space="preserve"> </w:t>
      </w:r>
      <w:proofErr w:type="spellStart"/>
      <w:r w:rsidRPr="002A6BD9">
        <w:rPr>
          <w:rFonts w:ascii="Cambria" w:hAnsi="Cambria"/>
          <w:sz w:val="16"/>
          <w:szCs w:val="16"/>
        </w:rPr>
        <w:t>Ameziane</w:t>
      </w:r>
      <w:proofErr w:type="spellEnd"/>
      <w:r w:rsidRPr="002A6BD9">
        <w:rPr>
          <w:rFonts w:ascii="Cambria" w:hAnsi="Cambria"/>
          <w:sz w:val="16"/>
          <w:szCs w:val="16"/>
        </w:rPr>
        <w:t xml:space="preserve"> (United States), March 20, 2012, para. 30; IACHR, Report No. 109/99, Case 10.951 </w:t>
      </w:r>
      <w:proofErr w:type="spellStart"/>
      <w:r w:rsidRPr="002A6BD9">
        <w:rPr>
          <w:rFonts w:ascii="Cambria" w:hAnsi="Cambria"/>
          <w:sz w:val="16"/>
          <w:szCs w:val="16"/>
        </w:rPr>
        <w:t>Coard</w:t>
      </w:r>
      <w:proofErr w:type="spellEnd"/>
      <w:r w:rsidRPr="002A6BD9">
        <w:rPr>
          <w:rFonts w:ascii="Cambria" w:hAnsi="Cambria"/>
          <w:sz w:val="16"/>
          <w:szCs w:val="16"/>
        </w:rPr>
        <w:t xml:space="preserve"> et al., United States, Merits, September 29, 1999, para. </w:t>
      </w:r>
      <w:r w:rsidRPr="002A6BD9">
        <w:rPr>
          <w:rFonts w:ascii="Cambria" w:hAnsi="Cambria"/>
          <w:sz w:val="16"/>
          <w:szCs w:val="16"/>
          <w:lang w:val="es-VE"/>
        </w:rPr>
        <w:t xml:space="preserve">37; IACHR, </w:t>
      </w:r>
      <w:proofErr w:type="spellStart"/>
      <w:r w:rsidRPr="002A6BD9">
        <w:rPr>
          <w:rFonts w:ascii="Cambria" w:hAnsi="Cambria"/>
          <w:sz w:val="16"/>
          <w:szCs w:val="16"/>
          <w:lang w:val="es-VE"/>
        </w:rPr>
        <w:t>Report</w:t>
      </w:r>
      <w:proofErr w:type="spellEnd"/>
      <w:r w:rsidRPr="002A6BD9">
        <w:rPr>
          <w:rFonts w:ascii="Cambria" w:hAnsi="Cambria"/>
          <w:sz w:val="16"/>
          <w:szCs w:val="16"/>
          <w:lang w:val="es-VE"/>
        </w:rPr>
        <w:t xml:space="preserve"> No. 86/99, Case 11.589 Armando </w:t>
      </w:r>
      <w:proofErr w:type="spellStart"/>
      <w:r w:rsidRPr="002A6BD9">
        <w:rPr>
          <w:rFonts w:ascii="Cambria" w:hAnsi="Cambria"/>
          <w:sz w:val="16"/>
          <w:szCs w:val="16"/>
          <w:lang w:val="es-VE"/>
        </w:rPr>
        <w:t>Alejandre</w:t>
      </w:r>
      <w:proofErr w:type="spellEnd"/>
      <w:r w:rsidRPr="002A6BD9">
        <w:rPr>
          <w:rFonts w:ascii="Cambria" w:hAnsi="Cambria"/>
          <w:sz w:val="16"/>
          <w:szCs w:val="16"/>
          <w:lang w:val="es-VE"/>
        </w:rPr>
        <w:t xml:space="preserve"> Jr., Carlos Costa, Mario de la Peña y Pablo Morales, Cuba, </w:t>
      </w:r>
      <w:proofErr w:type="spellStart"/>
      <w:r w:rsidRPr="002A6BD9">
        <w:rPr>
          <w:rFonts w:ascii="Cambria" w:hAnsi="Cambria"/>
          <w:sz w:val="16"/>
          <w:szCs w:val="16"/>
          <w:lang w:val="es-VE"/>
        </w:rPr>
        <w:t>September</w:t>
      </w:r>
      <w:proofErr w:type="spellEnd"/>
      <w:r w:rsidRPr="002A6BD9">
        <w:rPr>
          <w:rFonts w:ascii="Cambria" w:hAnsi="Cambria"/>
          <w:sz w:val="16"/>
          <w:szCs w:val="16"/>
          <w:lang w:val="es-VE"/>
        </w:rPr>
        <w:t xml:space="preserve"> 29, 1999, para. </w:t>
      </w:r>
      <w:r w:rsidRPr="002A6BD9">
        <w:rPr>
          <w:rFonts w:ascii="Cambria" w:hAnsi="Cambria"/>
          <w:sz w:val="16"/>
          <w:szCs w:val="16"/>
        </w:rPr>
        <w:t xml:space="preserve">23.  </w:t>
      </w:r>
    </w:p>
  </w:footnote>
  <w:footnote w:id="9">
    <w:p w14:paraId="048F64D3" w14:textId="2235457F" w:rsidR="003868C9" w:rsidRPr="009939EB" w:rsidRDefault="005B5861" w:rsidP="0061180E">
      <w:pPr>
        <w:pStyle w:val="FootnoteText"/>
        <w:jc w:val="both"/>
        <w:rPr>
          <w:sz w:val="16"/>
          <w:szCs w:val="16"/>
        </w:rPr>
      </w:pPr>
      <w:r w:rsidRPr="002A6BD9">
        <w:rPr>
          <w:rStyle w:val="FootnoteReference"/>
          <w:rFonts w:ascii="Cambria" w:hAnsi="Cambria"/>
          <w:sz w:val="16"/>
          <w:szCs w:val="16"/>
        </w:rPr>
        <w:footnoteRef/>
      </w:r>
      <w:r w:rsidRPr="002A6BD9">
        <w:rPr>
          <w:rFonts w:ascii="Cambria" w:hAnsi="Cambria"/>
          <w:sz w:val="16"/>
          <w:szCs w:val="16"/>
        </w:rPr>
        <w:t xml:space="preserve"> </w:t>
      </w:r>
      <w:proofErr w:type="spellStart"/>
      <w:r w:rsidR="00181FF6" w:rsidRPr="002A6BD9">
        <w:rPr>
          <w:rFonts w:ascii="Cambria" w:hAnsi="Cambria"/>
          <w:sz w:val="16"/>
          <w:szCs w:val="16"/>
        </w:rPr>
        <w:t>IACtHR</w:t>
      </w:r>
      <w:proofErr w:type="spellEnd"/>
      <w:r w:rsidR="00181FF6" w:rsidRPr="002A6BD9">
        <w:rPr>
          <w:rFonts w:ascii="Cambria" w:hAnsi="Cambria"/>
          <w:sz w:val="16"/>
          <w:szCs w:val="16"/>
        </w:rPr>
        <w:t xml:space="preserve">, Advisory Opinion OC-10/89, July 14, 1989, "Interpretation of the American Declaration of the Rights and Duties of Man within the Framework of Article 64 of the American </w:t>
      </w:r>
      <w:r w:rsidR="00181FF6" w:rsidRPr="009939EB">
        <w:rPr>
          <w:rFonts w:ascii="Cambria" w:hAnsi="Cambria"/>
          <w:sz w:val="16"/>
          <w:szCs w:val="16"/>
        </w:rPr>
        <w:t xml:space="preserve">Convention on Human Rights," Ser. </w:t>
      </w:r>
      <w:proofErr w:type="gramStart"/>
      <w:r w:rsidR="00181FF6" w:rsidRPr="009939EB">
        <w:rPr>
          <w:rFonts w:ascii="Cambria" w:hAnsi="Cambria"/>
          <w:sz w:val="16"/>
          <w:szCs w:val="16"/>
        </w:rPr>
        <w:t>A</w:t>
      </w:r>
      <w:proofErr w:type="gramEnd"/>
      <w:r w:rsidR="00181FF6" w:rsidRPr="009939EB">
        <w:rPr>
          <w:rFonts w:ascii="Cambria" w:hAnsi="Cambria"/>
          <w:sz w:val="16"/>
          <w:szCs w:val="16"/>
        </w:rPr>
        <w:t xml:space="preserve"> Nº 10, paras. 43 </w:t>
      </w:r>
      <w:r w:rsidR="003868C9" w:rsidRPr="009939EB">
        <w:rPr>
          <w:rFonts w:ascii="Cambria" w:hAnsi="Cambria"/>
          <w:sz w:val="16"/>
          <w:szCs w:val="16"/>
        </w:rPr>
        <w:t>–</w:t>
      </w:r>
      <w:r w:rsidR="00181FF6" w:rsidRPr="009939EB">
        <w:rPr>
          <w:rFonts w:ascii="Cambria" w:hAnsi="Cambria"/>
          <w:sz w:val="16"/>
          <w:szCs w:val="16"/>
        </w:rPr>
        <w:t xml:space="preserve"> 46</w:t>
      </w:r>
      <w:r w:rsidR="003868C9" w:rsidRPr="009939EB">
        <w:rPr>
          <w:rFonts w:ascii="Cambria" w:hAnsi="Cambria"/>
          <w:sz w:val="16"/>
          <w:szCs w:val="16"/>
        </w:rPr>
        <w:t>.</w:t>
      </w:r>
      <w:r w:rsidR="0061180E" w:rsidRPr="009939EB">
        <w:rPr>
          <w:rFonts w:ascii="Cambria" w:hAnsi="Cambria"/>
          <w:sz w:val="16"/>
          <w:szCs w:val="16"/>
        </w:rPr>
        <w:t xml:space="preserve"> Also, </w:t>
      </w:r>
      <w:r w:rsidR="0061180E" w:rsidRPr="009939EB">
        <w:rPr>
          <w:sz w:val="16"/>
          <w:szCs w:val="16"/>
        </w:rPr>
        <w:t>The United States has been a member of the Organization of American States since 1951, when it deposited the instrument of ratification of the OAS Charter. The United States is therefore subject to the obligations derived from the OAS Charter, Article 20 of the Statute of the IACHR, the American Declaration of the Rights and Duties of Man, and Article 51 of its Rules of Procedure.  I</w:t>
      </w:r>
      <w:r w:rsidR="003868C9" w:rsidRPr="009939EB">
        <w:rPr>
          <w:sz w:val="16"/>
          <w:szCs w:val="16"/>
        </w:rPr>
        <w:t>n this regard, according to the mandate given by the States to the IACHR under Article 20 of its Statute, the Commission has the power, in relation to Member States that are nor parties to the American Convention on Human Rights, to examine communications submitted to it, and to make recommendations to the States in order to bring about more effective observance of fundamental human rights. Further, given the basic human rights obligations set forth in the OAS Charter, and the Commission's mandate to monitor compliance with Member State obligations in the area of human rights which is also reflected in the Charter, OAS Member States must comply in good faith with Commission's recommendations.</w:t>
      </w:r>
    </w:p>
    <w:p w14:paraId="7924AFE7" w14:textId="27C8CD77" w:rsidR="005B5861" w:rsidRPr="002A6BD9" w:rsidRDefault="005B5861" w:rsidP="00282DA4">
      <w:pPr>
        <w:pStyle w:val="FootnoteText"/>
        <w:jc w:val="both"/>
        <w:rPr>
          <w:rFonts w:ascii="Cambria" w:hAnsi="Cambri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311CF" w14:textId="77777777" w:rsidR="005E0A78" w:rsidRDefault="005E0A78" w:rsidP="00801579">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BAF1987" w14:textId="77777777" w:rsidR="005E0A78" w:rsidRDefault="005E0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0D70C" w14:textId="77777777" w:rsidR="005E0A78" w:rsidRDefault="005E0A78" w:rsidP="002C1641">
    <w:pPr>
      <w:pStyle w:val="Header"/>
      <w:tabs>
        <w:tab w:val="clear" w:pos="4320"/>
        <w:tab w:val="clear" w:pos="8640"/>
      </w:tabs>
      <w:jc w:val="center"/>
      <w:rPr>
        <w:sz w:val="22"/>
        <w:szCs w:val="22"/>
      </w:rPr>
    </w:pPr>
    <w:r>
      <w:rPr>
        <w:noProof/>
        <w:sz w:val="22"/>
        <w:szCs w:val="22"/>
      </w:rPr>
      <w:drawing>
        <wp:inline distT="0" distB="0" distL="0" distR="0" wp14:anchorId="08169E3C" wp14:editId="66C119B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7E6AC4A" w14:textId="77777777" w:rsidR="005E0A78" w:rsidRPr="00EC7D62" w:rsidRDefault="00903E1A" w:rsidP="002C1641">
    <w:pPr>
      <w:pStyle w:val="Header"/>
      <w:tabs>
        <w:tab w:val="clear" w:pos="4320"/>
        <w:tab w:val="clear" w:pos="8640"/>
      </w:tabs>
      <w:jc w:val="center"/>
      <w:rPr>
        <w:sz w:val="22"/>
        <w:szCs w:val="22"/>
      </w:rPr>
    </w:pPr>
    <w:r>
      <w:rPr>
        <w:sz w:val="22"/>
        <w:szCs w:val="22"/>
      </w:rPr>
      <w:pict w14:anchorId="190585D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A500" w14:textId="77777777" w:rsidR="00365913" w:rsidRDefault="00365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E62DCE"/>
    <w:multiLevelType w:val="hybridMultilevel"/>
    <w:tmpl w:val="51F0B476"/>
    <w:lvl w:ilvl="0" w:tplc="C43CDB64">
      <w:start w:val="1"/>
      <w:numFmt w:val="decimal"/>
      <w:lvlText w:val="%1."/>
      <w:lvlJc w:val="left"/>
      <w:pPr>
        <w:ind w:left="900" w:hanging="360"/>
      </w:pPr>
      <w:rPr>
        <w:b w:val="0"/>
        <w:color w:val="80808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2BCC994"/>
    <w:lvl w:ilvl="0" w:tplc="090C6C1A">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F8C53AF"/>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2"/>
  </w:num>
  <w:num w:numId="5">
    <w:abstractNumId w:val="46"/>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1"/>
  </w:num>
  <w:num w:numId="52">
    <w:abstractNumId w:val="40"/>
  </w:num>
  <w:num w:numId="53">
    <w:abstractNumId w:val="49"/>
  </w:num>
  <w:num w:numId="54">
    <w:abstractNumId w:val="44"/>
  </w:num>
  <w:num w:numId="55">
    <w:abstractNumId w:val="5"/>
  </w:num>
  <w:num w:numId="56">
    <w:abstractNumId w:val="42"/>
  </w:num>
  <w:num w:numId="57">
    <w:abstractNumId w:val="20"/>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BA1"/>
    <w:rsid w:val="00004E57"/>
    <w:rsid w:val="00005FDF"/>
    <w:rsid w:val="00006699"/>
    <w:rsid w:val="000070D7"/>
    <w:rsid w:val="000111A8"/>
    <w:rsid w:val="00015F24"/>
    <w:rsid w:val="00016AF1"/>
    <w:rsid w:val="000175CF"/>
    <w:rsid w:val="0001788C"/>
    <w:rsid w:val="00022CF5"/>
    <w:rsid w:val="0002512B"/>
    <w:rsid w:val="00036A8A"/>
    <w:rsid w:val="00040C3A"/>
    <w:rsid w:val="000500B9"/>
    <w:rsid w:val="0005171E"/>
    <w:rsid w:val="0005216C"/>
    <w:rsid w:val="000639C0"/>
    <w:rsid w:val="00064567"/>
    <w:rsid w:val="00067BFA"/>
    <w:rsid w:val="00070F3A"/>
    <w:rsid w:val="000716C5"/>
    <w:rsid w:val="00075E23"/>
    <w:rsid w:val="00092F32"/>
    <w:rsid w:val="0009344A"/>
    <w:rsid w:val="000A447A"/>
    <w:rsid w:val="000A575F"/>
    <w:rsid w:val="000A74E3"/>
    <w:rsid w:val="000A779C"/>
    <w:rsid w:val="000A7C5A"/>
    <w:rsid w:val="000B0A76"/>
    <w:rsid w:val="000B19E5"/>
    <w:rsid w:val="000B2D91"/>
    <w:rsid w:val="000B5B05"/>
    <w:rsid w:val="000C0685"/>
    <w:rsid w:val="000C4365"/>
    <w:rsid w:val="000D01AF"/>
    <w:rsid w:val="000D10DB"/>
    <w:rsid w:val="000E0B7E"/>
    <w:rsid w:val="000E2283"/>
    <w:rsid w:val="000E5009"/>
    <w:rsid w:val="000E7B09"/>
    <w:rsid w:val="000F0643"/>
    <w:rsid w:val="000F2F73"/>
    <w:rsid w:val="000F54E3"/>
    <w:rsid w:val="000F55D4"/>
    <w:rsid w:val="000F5E56"/>
    <w:rsid w:val="000F7016"/>
    <w:rsid w:val="001030E1"/>
    <w:rsid w:val="0011248D"/>
    <w:rsid w:val="0012369A"/>
    <w:rsid w:val="00124116"/>
    <w:rsid w:val="0013104F"/>
    <w:rsid w:val="00131D1D"/>
    <w:rsid w:val="00137EBA"/>
    <w:rsid w:val="00144E2A"/>
    <w:rsid w:val="00145EDC"/>
    <w:rsid w:val="00153084"/>
    <w:rsid w:val="00153A5C"/>
    <w:rsid w:val="001567C6"/>
    <w:rsid w:val="001668D6"/>
    <w:rsid w:val="00167A34"/>
    <w:rsid w:val="0017046F"/>
    <w:rsid w:val="001714B4"/>
    <w:rsid w:val="0017257B"/>
    <w:rsid w:val="001733E1"/>
    <w:rsid w:val="001772A2"/>
    <w:rsid w:val="0018037F"/>
    <w:rsid w:val="00181FF6"/>
    <w:rsid w:val="001A05E2"/>
    <w:rsid w:val="001A5F27"/>
    <w:rsid w:val="001A65E4"/>
    <w:rsid w:val="001A7815"/>
    <w:rsid w:val="001A7870"/>
    <w:rsid w:val="001B1D0B"/>
    <w:rsid w:val="001B2A2D"/>
    <w:rsid w:val="001B32D8"/>
    <w:rsid w:val="001C0F9F"/>
    <w:rsid w:val="001C1B41"/>
    <w:rsid w:val="001C2C99"/>
    <w:rsid w:val="001C6FFD"/>
    <w:rsid w:val="001D3BBC"/>
    <w:rsid w:val="001E229B"/>
    <w:rsid w:val="001E366B"/>
    <w:rsid w:val="001E7C41"/>
    <w:rsid w:val="001F0325"/>
    <w:rsid w:val="001F1902"/>
    <w:rsid w:val="00202608"/>
    <w:rsid w:val="00205BF7"/>
    <w:rsid w:val="00210E0E"/>
    <w:rsid w:val="00210F4B"/>
    <w:rsid w:val="00211808"/>
    <w:rsid w:val="0022084B"/>
    <w:rsid w:val="00230163"/>
    <w:rsid w:val="0023351C"/>
    <w:rsid w:val="00235606"/>
    <w:rsid w:val="002421CF"/>
    <w:rsid w:val="00245739"/>
    <w:rsid w:val="00247403"/>
    <w:rsid w:val="00247542"/>
    <w:rsid w:val="002505DE"/>
    <w:rsid w:val="0025135B"/>
    <w:rsid w:val="002525A4"/>
    <w:rsid w:val="0025367B"/>
    <w:rsid w:val="00255E4E"/>
    <w:rsid w:val="00257893"/>
    <w:rsid w:val="00260272"/>
    <w:rsid w:val="00263979"/>
    <w:rsid w:val="0026504C"/>
    <w:rsid w:val="00266092"/>
    <w:rsid w:val="00266B61"/>
    <w:rsid w:val="0026712A"/>
    <w:rsid w:val="002704DB"/>
    <w:rsid w:val="0027434C"/>
    <w:rsid w:val="00274B2B"/>
    <w:rsid w:val="002760CE"/>
    <w:rsid w:val="002806BB"/>
    <w:rsid w:val="00282DA4"/>
    <w:rsid w:val="00292779"/>
    <w:rsid w:val="002934B7"/>
    <w:rsid w:val="002935A9"/>
    <w:rsid w:val="0029617E"/>
    <w:rsid w:val="002A0B30"/>
    <w:rsid w:val="002A1A8E"/>
    <w:rsid w:val="002A2514"/>
    <w:rsid w:val="002A6BD9"/>
    <w:rsid w:val="002A7F2C"/>
    <w:rsid w:val="002B7A85"/>
    <w:rsid w:val="002C13A6"/>
    <w:rsid w:val="002C1641"/>
    <w:rsid w:val="002C245D"/>
    <w:rsid w:val="002C4514"/>
    <w:rsid w:val="002C5F8E"/>
    <w:rsid w:val="002C73F0"/>
    <w:rsid w:val="002C7BB6"/>
    <w:rsid w:val="002D09C5"/>
    <w:rsid w:val="002D7EA2"/>
    <w:rsid w:val="002E0D37"/>
    <w:rsid w:val="002E15DF"/>
    <w:rsid w:val="002E187C"/>
    <w:rsid w:val="002E50BF"/>
    <w:rsid w:val="002E6E57"/>
    <w:rsid w:val="002F1B35"/>
    <w:rsid w:val="002F3273"/>
    <w:rsid w:val="00301075"/>
    <w:rsid w:val="00302733"/>
    <w:rsid w:val="00302B91"/>
    <w:rsid w:val="00304E01"/>
    <w:rsid w:val="00311A4F"/>
    <w:rsid w:val="00314078"/>
    <w:rsid w:val="00315DEF"/>
    <w:rsid w:val="00317669"/>
    <w:rsid w:val="00321AFD"/>
    <w:rsid w:val="00322450"/>
    <w:rsid w:val="003246B5"/>
    <w:rsid w:val="003312BF"/>
    <w:rsid w:val="0033169F"/>
    <w:rsid w:val="00331AF5"/>
    <w:rsid w:val="003414AC"/>
    <w:rsid w:val="00343A0A"/>
    <w:rsid w:val="00347DDA"/>
    <w:rsid w:val="00356185"/>
    <w:rsid w:val="00360380"/>
    <w:rsid w:val="00361152"/>
    <w:rsid w:val="00365913"/>
    <w:rsid w:val="00372A29"/>
    <w:rsid w:val="00374E30"/>
    <w:rsid w:val="003771A3"/>
    <w:rsid w:val="0038126C"/>
    <w:rsid w:val="00385911"/>
    <w:rsid w:val="003868C9"/>
    <w:rsid w:val="00386CF0"/>
    <w:rsid w:val="00397E6A"/>
    <w:rsid w:val="003A4348"/>
    <w:rsid w:val="003A7691"/>
    <w:rsid w:val="003C32BC"/>
    <w:rsid w:val="003D09C8"/>
    <w:rsid w:val="003D2729"/>
    <w:rsid w:val="003E3E03"/>
    <w:rsid w:val="003E4865"/>
    <w:rsid w:val="003F1BBF"/>
    <w:rsid w:val="003F35CD"/>
    <w:rsid w:val="00402DC0"/>
    <w:rsid w:val="004045CD"/>
    <w:rsid w:val="004048AF"/>
    <w:rsid w:val="00407027"/>
    <w:rsid w:val="004162B1"/>
    <w:rsid w:val="004165C2"/>
    <w:rsid w:val="00421DE3"/>
    <w:rsid w:val="00421E04"/>
    <w:rsid w:val="00430400"/>
    <w:rsid w:val="00436872"/>
    <w:rsid w:val="00440FF0"/>
    <w:rsid w:val="00450A4A"/>
    <w:rsid w:val="00452EBE"/>
    <w:rsid w:val="00455BC3"/>
    <w:rsid w:val="00457918"/>
    <w:rsid w:val="004666FB"/>
    <w:rsid w:val="00466D0B"/>
    <w:rsid w:val="00467B7E"/>
    <w:rsid w:val="00467BB9"/>
    <w:rsid w:val="004701B1"/>
    <w:rsid w:val="0047634F"/>
    <w:rsid w:val="0047757C"/>
    <w:rsid w:val="00480A52"/>
    <w:rsid w:val="004827C3"/>
    <w:rsid w:val="00484F30"/>
    <w:rsid w:val="00486D95"/>
    <w:rsid w:val="004877B8"/>
    <w:rsid w:val="004905ED"/>
    <w:rsid w:val="004919A2"/>
    <w:rsid w:val="004930B5"/>
    <w:rsid w:val="0049419D"/>
    <w:rsid w:val="004A55CF"/>
    <w:rsid w:val="004A69A1"/>
    <w:rsid w:val="004B2762"/>
    <w:rsid w:val="004B7EB6"/>
    <w:rsid w:val="004C1EA5"/>
    <w:rsid w:val="004C41DE"/>
    <w:rsid w:val="004C4B62"/>
    <w:rsid w:val="004D296A"/>
    <w:rsid w:val="004D6025"/>
    <w:rsid w:val="004D72BC"/>
    <w:rsid w:val="004E2396"/>
    <w:rsid w:val="004F4014"/>
    <w:rsid w:val="004F6B67"/>
    <w:rsid w:val="00501399"/>
    <w:rsid w:val="00507094"/>
    <w:rsid w:val="00507BC4"/>
    <w:rsid w:val="00511424"/>
    <w:rsid w:val="00512729"/>
    <w:rsid w:val="005128E4"/>
    <w:rsid w:val="00517012"/>
    <w:rsid w:val="005201D7"/>
    <w:rsid w:val="00525560"/>
    <w:rsid w:val="005259C7"/>
    <w:rsid w:val="005276ED"/>
    <w:rsid w:val="005331A1"/>
    <w:rsid w:val="005357A6"/>
    <w:rsid w:val="00544C49"/>
    <w:rsid w:val="00550F0F"/>
    <w:rsid w:val="005538B7"/>
    <w:rsid w:val="00556678"/>
    <w:rsid w:val="00562F0E"/>
    <w:rsid w:val="0056605C"/>
    <w:rsid w:val="0057402A"/>
    <w:rsid w:val="005771D0"/>
    <w:rsid w:val="005816E5"/>
    <w:rsid w:val="00582967"/>
    <w:rsid w:val="00583446"/>
    <w:rsid w:val="005851A0"/>
    <w:rsid w:val="0059191A"/>
    <w:rsid w:val="00591D11"/>
    <w:rsid w:val="005921FF"/>
    <w:rsid w:val="00592718"/>
    <w:rsid w:val="005965CC"/>
    <w:rsid w:val="005A4D79"/>
    <w:rsid w:val="005A6D0E"/>
    <w:rsid w:val="005B222D"/>
    <w:rsid w:val="005B52B0"/>
    <w:rsid w:val="005B5861"/>
    <w:rsid w:val="005B6806"/>
    <w:rsid w:val="005B68D8"/>
    <w:rsid w:val="005C00F9"/>
    <w:rsid w:val="005C29E7"/>
    <w:rsid w:val="005C34B3"/>
    <w:rsid w:val="005C4225"/>
    <w:rsid w:val="005D01C0"/>
    <w:rsid w:val="005D1D5A"/>
    <w:rsid w:val="005D3756"/>
    <w:rsid w:val="005D4000"/>
    <w:rsid w:val="005E0A78"/>
    <w:rsid w:val="005E3071"/>
    <w:rsid w:val="005E39B8"/>
    <w:rsid w:val="005E7102"/>
    <w:rsid w:val="005E7419"/>
    <w:rsid w:val="005F0F33"/>
    <w:rsid w:val="005F28B5"/>
    <w:rsid w:val="005F28C3"/>
    <w:rsid w:val="005F2E00"/>
    <w:rsid w:val="005F2F41"/>
    <w:rsid w:val="005F33E3"/>
    <w:rsid w:val="005F6648"/>
    <w:rsid w:val="00600DEB"/>
    <w:rsid w:val="00604A88"/>
    <w:rsid w:val="0061180E"/>
    <w:rsid w:val="00613027"/>
    <w:rsid w:val="00627C9F"/>
    <w:rsid w:val="006311DA"/>
    <w:rsid w:val="006311E9"/>
    <w:rsid w:val="006318B2"/>
    <w:rsid w:val="00632354"/>
    <w:rsid w:val="0063511F"/>
    <w:rsid w:val="00637A54"/>
    <w:rsid w:val="00642810"/>
    <w:rsid w:val="0064766C"/>
    <w:rsid w:val="00651FEE"/>
    <w:rsid w:val="00652333"/>
    <w:rsid w:val="006525DC"/>
    <w:rsid w:val="00653EA6"/>
    <w:rsid w:val="0065678B"/>
    <w:rsid w:val="00657E8C"/>
    <w:rsid w:val="006602E1"/>
    <w:rsid w:val="00670818"/>
    <w:rsid w:val="006737B1"/>
    <w:rsid w:val="0068009E"/>
    <w:rsid w:val="00680C33"/>
    <w:rsid w:val="0069047F"/>
    <w:rsid w:val="006A17D2"/>
    <w:rsid w:val="006A73E6"/>
    <w:rsid w:val="006B013B"/>
    <w:rsid w:val="006B2D5C"/>
    <w:rsid w:val="006B4108"/>
    <w:rsid w:val="006B7155"/>
    <w:rsid w:val="006C3A6B"/>
    <w:rsid w:val="006C4EB1"/>
    <w:rsid w:val="006D4707"/>
    <w:rsid w:val="006E0166"/>
    <w:rsid w:val="006E5A32"/>
    <w:rsid w:val="006E7B34"/>
    <w:rsid w:val="006F1E41"/>
    <w:rsid w:val="007004C4"/>
    <w:rsid w:val="00701B24"/>
    <w:rsid w:val="00702605"/>
    <w:rsid w:val="0071495F"/>
    <w:rsid w:val="007176EA"/>
    <w:rsid w:val="00720C00"/>
    <w:rsid w:val="00722213"/>
    <w:rsid w:val="0072454C"/>
    <w:rsid w:val="00730855"/>
    <w:rsid w:val="00736E23"/>
    <w:rsid w:val="0073798E"/>
    <w:rsid w:val="00745899"/>
    <w:rsid w:val="007607C4"/>
    <w:rsid w:val="007626C9"/>
    <w:rsid w:val="00765FB5"/>
    <w:rsid w:val="0076643F"/>
    <w:rsid w:val="00767EC3"/>
    <w:rsid w:val="0077092E"/>
    <w:rsid w:val="007735EA"/>
    <w:rsid w:val="00781653"/>
    <w:rsid w:val="00782387"/>
    <w:rsid w:val="00791D9F"/>
    <w:rsid w:val="00794931"/>
    <w:rsid w:val="007A082E"/>
    <w:rsid w:val="007A17FB"/>
    <w:rsid w:val="007A2F70"/>
    <w:rsid w:val="007A32A8"/>
    <w:rsid w:val="007A76CF"/>
    <w:rsid w:val="007B4715"/>
    <w:rsid w:val="007B5AFE"/>
    <w:rsid w:val="007B5C6E"/>
    <w:rsid w:val="007C2DD1"/>
    <w:rsid w:val="007C3334"/>
    <w:rsid w:val="007C52BB"/>
    <w:rsid w:val="007C64BE"/>
    <w:rsid w:val="007C7ADC"/>
    <w:rsid w:val="007D2B98"/>
    <w:rsid w:val="007D620D"/>
    <w:rsid w:val="007E26AE"/>
    <w:rsid w:val="007E4DF4"/>
    <w:rsid w:val="007E6CF6"/>
    <w:rsid w:val="00801579"/>
    <w:rsid w:val="00801B54"/>
    <w:rsid w:val="00803F1C"/>
    <w:rsid w:val="0080600E"/>
    <w:rsid w:val="00807E94"/>
    <w:rsid w:val="00817612"/>
    <w:rsid w:val="00817B4C"/>
    <w:rsid w:val="0082565B"/>
    <w:rsid w:val="00827F46"/>
    <w:rsid w:val="00835CDF"/>
    <w:rsid w:val="00837C45"/>
    <w:rsid w:val="00840697"/>
    <w:rsid w:val="0084126F"/>
    <w:rsid w:val="0084739D"/>
    <w:rsid w:val="008501B8"/>
    <w:rsid w:val="00853419"/>
    <w:rsid w:val="00853503"/>
    <w:rsid w:val="008548E8"/>
    <w:rsid w:val="008558C7"/>
    <w:rsid w:val="0087566F"/>
    <w:rsid w:val="00882EC7"/>
    <w:rsid w:val="008907E3"/>
    <w:rsid w:val="0089330A"/>
    <w:rsid w:val="00896495"/>
    <w:rsid w:val="008965A2"/>
    <w:rsid w:val="00897E12"/>
    <w:rsid w:val="008B1DBB"/>
    <w:rsid w:val="008B3FD1"/>
    <w:rsid w:val="008B59AA"/>
    <w:rsid w:val="008B5B30"/>
    <w:rsid w:val="008B74C5"/>
    <w:rsid w:val="008C2E2F"/>
    <w:rsid w:val="008D43BA"/>
    <w:rsid w:val="008D666D"/>
    <w:rsid w:val="008E3759"/>
    <w:rsid w:val="008E5869"/>
    <w:rsid w:val="008F4377"/>
    <w:rsid w:val="008F5A6F"/>
    <w:rsid w:val="008F63BB"/>
    <w:rsid w:val="00903E1A"/>
    <w:rsid w:val="009041DC"/>
    <w:rsid w:val="009104B4"/>
    <w:rsid w:val="009138ED"/>
    <w:rsid w:val="009202E6"/>
    <w:rsid w:val="009228DA"/>
    <w:rsid w:val="00925FCD"/>
    <w:rsid w:val="0093441A"/>
    <w:rsid w:val="009475D9"/>
    <w:rsid w:val="00947B64"/>
    <w:rsid w:val="00951AEB"/>
    <w:rsid w:val="00954BF7"/>
    <w:rsid w:val="00960736"/>
    <w:rsid w:val="0096706E"/>
    <w:rsid w:val="00971FBE"/>
    <w:rsid w:val="0097343A"/>
    <w:rsid w:val="00974305"/>
    <w:rsid w:val="00981FBA"/>
    <w:rsid w:val="00987C52"/>
    <w:rsid w:val="009939EB"/>
    <w:rsid w:val="00995E24"/>
    <w:rsid w:val="009A2094"/>
    <w:rsid w:val="009A2F5B"/>
    <w:rsid w:val="009A2F94"/>
    <w:rsid w:val="009A5FC8"/>
    <w:rsid w:val="009B024E"/>
    <w:rsid w:val="009B37A7"/>
    <w:rsid w:val="009B381B"/>
    <w:rsid w:val="009C085A"/>
    <w:rsid w:val="009C3A08"/>
    <w:rsid w:val="009C4CBC"/>
    <w:rsid w:val="009C7D70"/>
    <w:rsid w:val="009D01BB"/>
    <w:rsid w:val="009D35BA"/>
    <w:rsid w:val="009D7611"/>
    <w:rsid w:val="009D7B41"/>
    <w:rsid w:val="009E1248"/>
    <w:rsid w:val="009E395D"/>
    <w:rsid w:val="009E4925"/>
    <w:rsid w:val="009E50D3"/>
    <w:rsid w:val="009E53DE"/>
    <w:rsid w:val="009E566A"/>
    <w:rsid w:val="009F51A0"/>
    <w:rsid w:val="00A0284C"/>
    <w:rsid w:val="00A02897"/>
    <w:rsid w:val="00A028E1"/>
    <w:rsid w:val="00A1149C"/>
    <w:rsid w:val="00A11F05"/>
    <w:rsid w:val="00A12DBC"/>
    <w:rsid w:val="00A138A7"/>
    <w:rsid w:val="00A13D17"/>
    <w:rsid w:val="00A23ECA"/>
    <w:rsid w:val="00A3089A"/>
    <w:rsid w:val="00A35A28"/>
    <w:rsid w:val="00A364C1"/>
    <w:rsid w:val="00A36C63"/>
    <w:rsid w:val="00A37C95"/>
    <w:rsid w:val="00A40EDD"/>
    <w:rsid w:val="00A43458"/>
    <w:rsid w:val="00A437CA"/>
    <w:rsid w:val="00A528D1"/>
    <w:rsid w:val="00A54DEF"/>
    <w:rsid w:val="00A56C35"/>
    <w:rsid w:val="00A66BE5"/>
    <w:rsid w:val="00A74D35"/>
    <w:rsid w:val="00A75BCE"/>
    <w:rsid w:val="00A94478"/>
    <w:rsid w:val="00AB73BB"/>
    <w:rsid w:val="00AB79C3"/>
    <w:rsid w:val="00AC03E3"/>
    <w:rsid w:val="00AC2EE6"/>
    <w:rsid w:val="00AC4A30"/>
    <w:rsid w:val="00AD29A2"/>
    <w:rsid w:val="00AD37C1"/>
    <w:rsid w:val="00AE409E"/>
    <w:rsid w:val="00AE66EC"/>
    <w:rsid w:val="00AE6F91"/>
    <w:rsid w:val="00AF4CDC"/>
    <w:rsid w:val="00AF5571"/>
    <w:rsid w:val="00AF573A"/>
    <w:rsid w:val="00B02C7B"/>
    <w:rsid w:val="00B038EF"/>
    <w:rsid w:val="00B05EEF"/>
    <w:rsid w:val="00B06BB7"/>
    <w:rsid w:val="00B07A79"/>
    <w:rsid w:val="00B103DB"/>
    <w:rsid w:val="00B15E4C"/>
    <w:rsid w:val="00B167E9"/>
    <w:rsid w:val="00B179ED"/>
    <w:rsid w:val="00B23520"/>
    <w:rsid w:val="00B314DB"/>
    <w:rsid w:val="00B31EBE"/>
    <w:rsid w:val="00B327DE"/>
    <w:rsid w:val="00B35F18"/>
    <w:rsid w:val="00B3718B"/>
    <w:rsid w:val="00B41DAC"/>
    <w:rsid w:val="00B42E8C"/>
    <w:rsid w:val="00B44B23"/>
    <w:rsid w:val="00B4632A"/>
    <w:rsid w:val="00B517F5"/>
    <w:rsid w:val="00B578CF"/>
    <w:rsid w:val="00B60DE5"/>
    <w:rsid w:val="00B61C17"/>
    <w:rsid w:val="00B62FE5"/>
    <w:rsid w:val="00B7250F"/>
    <w:rsid w:val="00B87562"/>
    <w:rsid w:val="00B92A2C"/>
    <w:rsid w:val="00B92E49"/>
    <w:rsid w:val="00BA17A4"/>
    <w:rsid w:val="00BA276C"/>
    <w:rsid w:val="00BA296D"/>
    <w:rsid w:val="00BB1124"/>
    <w:rsid w:val="00BB1C4C"/>
    <w:rsid w:val="00BB306F"/>
    <w:rsid w:val="00BC66FF"/>
    <w:rsid w:val="00BD232B"/>
    <w:rsid w:val="00BD2E42"/>
    <w:rsid w:val="00BD4B89"/>
    <w:rsid w:val="00BE216C"/>
    <w:rsid w:val="00BF13DE"/>
    <w:rsid w:val="00C047C7"/>
    <w:rsid w:val="00C07584"/>
    <w:rsid w:val="00C21762"/>
    <w:rsid w:val="00C24543"/>
    <w:rsid w:val="00C256A2"/>
    <w:rsid w:val="00C32DA7"/>
    <w:rsid w:val="00C3492D"/>
    <w:rsid w:val="00C4273A"/>
    <w:rsid w:val="00C44B2C"/>
    <w:rsid w:val="00C50188"/>
    <w:rsid w:val="00C50F80"/>
    <w:rsid w:val="00C5283F"/>
    <w:rsid w:val="00C55560"/>
    <w:rsid w:val="00C5747F"/>
    <w:rsid w:val="00C60580"/>
    <w:rsid w:val="00C625D7"/>
    <w:rsid w:val="00C66B72"/>
    <w:rsid w:val="00C721BA"/>
    <w:rsid w:val="00C76948"/>
    <w:rsid w:val="00C8118D"/>
    <w:rsid w:val="00C84AA6"/>
    <w:rsid w:val="00C85E96"/>
    <w:rsid w:val="00C86D76"/>
    <w:rsid w:val="00C9567A"/>
    <w:rsid w:val="00CA6577"/>
    <w:rsid w:val="00CB063D"/>
    <w:rsid w:val="00CB2660"/>
    <w:rsid w:val="00CC5E90"/>
    <w:rsid w:val="00CC6167"/>
    <w:rsid w:val="00CC6FD5"/>
    <w:rsid w:val="00CD046C"/>
    <w:rsid w:val="00CD36ED"/>
    <w:rsid w:val="00CD7E79"/>
    <w:rsid w:val="00CE1752"/>
    <w:rsid w:val="00CE2D2A"/>
    <w:rsid w:val="00CE5199"/>
    <w:rsid w:val="00CE66D5"/>
    <w:rsid w:val="00CF0BF2"/>
    <w:rsid w:val="00CF1601"/>
    <w:rsid w:val="00D02D77"/>
    <w:rsid w:val="00D06C30"/>
    <w:rsid w:val="00D16E84"/>
    <w:rsid w:val="00D3217D"/>
    <w:rsid w:val="00D34786"/>
    <w:rsid w:val="00D357F4"/>
    <w:rsid w:val="00D40A1E"/>
    <w:rsid w:val="00D42B83"/>
    <w:rsid w:val="00D5014B"/>
    <w:rsid w:val="00D502C2"/>
    <w:rsid w:val="00D50E22"/>
    <w:rsid w:val="00D526E0"/>
    <w:rsid w:val="00D533C0"/>
    <w:rsid w:val="00D62C00"/>
    <w:rsid w:val="00D712D3"/>
    <w:rsid w:val="00D71422"/>
    <w:rsid w:val="00D7145E"/>
    <w:rsid w:val="00D732EA"/>
    <w:rsid w:val="00D74148"/>
    <w:rsid w:val="00D74F92"/>
    <w:rsid w:val="00D75084"/>
    <w:rsid w:val="00D7558D"/>
    <w:rsid w:val="00D75AC2"/>
    <w:rsid w:val="00D81D92"/>
    <w:rsid w:val="00D93446"/>
    <w:rsid w:val="00DA11A8"/>
    <w:rsid w:val="00DA4977"/>
    <w:rsid w:val="00DA6F76"/>
    <w:rsid w:val="00DA7B5F"/>
    <w:rsid w:val="00DB141C"/>
    <w:rsid w:val="00DC2848"/>
    <w:rsid w:val="00DE57DE"/>
    <w:rsid w:val="00DE60EC"/>
    <w:rsid w:val="00DE6EAE"/>
    <w:rsid w:val="00DF078B"/>
    <w:rsid w:val="00DF350D"/>
    <w:rsid w:val="00DF4364"/>
    <w:rsid w:val="00DF59BF"/>
    <w:rsid w:val="00E10E38"/>
    <w:rsid w:val="00E2022D"/>
    <w:rsid w:val="00E227C1"/>
    <w:rsid w:val="00E242F8"/>
    <w:rsid w:val="00E2476E"/>
    <w:rsid w:val="00E25E77"/>
    <w:rsid w:val="00E34D0C"/>
    <w:rsid w:val="00E3566A"/>
    <w:rsid w:val="00E43157"/>
    <w:rsid w:val="00E477F9"/>
    <w:rsid w:val="00E47F3D"/>
    <w:rsid w:val="00E50A8D"/>
    <w:rsid w:val="00E533FF"/>
    <w:rsid w:val="00E6344D"/>
    <w:rsid w:val="00E65C53"/>
    <w:rsid w:val="00E66C6C"/>
    <w:rsid w:val="00E674A7"/>
    <w:rsid w:val="00E709B3"/>
    <w:rsid w:val="00E7588C"/>
    <w:rsid w:val="00E7797F"/>
    <w:rsid w:val="00E84A70"/>
    <w:rsid w:val="00E850B6"/>
    <w:rsid w:val="00E8789B"/>
    <w:rsid w:val="00E8789F"/>
    <w:rsid w:val="00E91F42"/>
    <w:rsid w:val="00E92110"/>
    <w:rsid w:val="00E97B71"/>
    <w:rsid w:val="00EA63B4"/>
    <w:rsid w:val="00EB03B4"/>
    <w:rsid w:val="00EB03F6"/>
    <w:rsid w:val="00EB454D"/>
    <w:rsid w:val="00ED0D1B"/>
    <w:rsid w:val="00ED13FB"/>
    <w:rsid w:val="00ED3961"/>
    <w:rsid w:val="00ED5E4D"/>
    <w:rsid w:val="00EE0B8B"/>
    <w:rsid w:val="00EE2A39"/>
    <w:rsid w:val="00EE3522"/>
    <w:rsid w:val="00EE40C9"/>
    <w:rsid w:val="00EE7AA5"/>
    <w:rsid w:val="00EF075C"/>
    <w:rsid w:val="00EF46AB"/>
    <w:rsid w:val="00EF619B"/>
    <w:rsid w:val="00F0037E"/>
    <w:rsid w:val="00F00B55"/>
    <w:rsid w:val="00F1380F"/>
    <w:rsid w:val="00F14F0E"/>
    <w:rsid w:val="00F15A3B"/>
    <w:rsid w:val="00F24C29"/>
    <w:rsid w:val="00F253CC"/>
    <w:rsid w:val="00F300F6"/>
    <w:rsid w:val="00F30989"/>
    <w:rsid w:val="00F40438"/>
    <w:rsid w:val="00F42B71"/>
    <w:rsid w:val="00F5162C"/>
    <w:rsid w:val="00F56BA5"/>
    <w:rsid w:val="00F621C3"/>
    <w:rsid w:val="00F644E6"/>
    <w:rsid w:val="00F74103"/>
    <w:rsid w:val="00F8428A"/>
    <w:rsid w:val="00F87695"/>
    <w:rsid w:val="00F92C72"/>
    <w:rsid w:val="00F93FA3"/>
    <w:rsid w:val="00F9653B"/>
    <w:rsid w:val="00F97765"/>
    <w:rsid w:val="00FA1E7A"/>
    <w:rsid w:val="00FB143D"/>
    <w:rsid w:val="00FB1DD0"/>
    <w:rsid w:val="00FB61A4"/>
    <w:rsid w:val="00FB62CF"/>
    <w:rsid w:val="00FB7B8F"/>
    <w:rsid w:val="00FC094C"/>
    <w:rsid w:val="00FC1417"/>
    <w:rsid w:val="00FC399D"/>
    <w:rsid w:val="00FC3EB4"/>
    <w:rsid w:val="00FC6C58"/>
    <w:rsid w:val="00FC7804"/>
    <w:rsid w:val="00FD132E"/>
    <w:rsid w:val="00FD264F"/>
    <w:rsid w:val="00FD2D4D"/>
    <w:rsid w:val="00FE42E5"/>
    <w:rsid w:val="00FE6B45"/>
    <w:rsid w:val="00FF2423"/>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3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6AE"/>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26AE"/>
    <w:rPr>
      <w:u w:val="single"/>
    </w:rPr>
  </w:style>
  <w:style w:type="paragraph" w:customStyle="1" w:styleId="Cabeceraypie">
    <w:name w:val="Cabecera y pie"/>
    <w:rsid w:val="007E26AE"/>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E26AE"/>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E26AE"/>
    <w:rPr>
      <w:rFonts w:ascii="Cambria" w:eastAsia="Cambria" w:hAnsi="Cambria" w:cs="Cambria"/>
      <w:color w:val="000000"/>
      <w:sz w:val="24"/>
      <w:szCs w:val="24"/>
      <w:u w:color="000000"/>
    </w:rPr>
  </w:style>
  <w:style w:type="paragraph" w:styleId="BodyTextIndent">
    <w:name w:val="Body Text Indent"/>
    <w:rsid w:val="007E26AE"/>
    <w:pPr>
      <w:ind w:left="2160" w:hanging="720"/>
    </w:pPr>
    <w:rPr>
      <w:rFonts w:eastAsia="Times New Roman"/>
      <w:color w:val="000000"/>
      <w:sz w:val="24"/>
      <w:szCs w:val="24"/>
      <w:u w:color="000000"/>
      <w:lang w:val="es-ES_tradnl"/>
    </w:rPr>
  </w:style>
  <w:style w:type="paragraph" w:styleId="ListParagraph">
    <w:name w:val="List Paragraph"/>
    <w:uiPriority w:val="34"/>
    <w:qFormat/>
    <w:rsid w:val="007E26AE"/>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E26AE"/>
    <w:pPr>
      <w:numPr>
        <w:numId w:val="31"/>
      </w:numPr>
    </w:pPr>
  </w:style>
  <w:style w:type="numbering" w:customStyle="1" w:styleId="Estiloimportado1">
    <w:name w:val="Estilo importado 1"/>
    <w:rsid w:val="007E26AE"/>
  </w:style>
  <w:style w:type="numbering" w:customStyle="1" w:styleId="List1">
    <w:name w:val="List 1"/>
    <w:basedOn w:val="Estiloimportado2"/>
    <w:rsid w:val="007E26AE"/>
    <w:pPr>
      <w:numPr>
        <w:numId w:val="1"/>
      </w:numPr>
    </w:pPr>
  </w:style>
  <w:style w:type="numbering" w:customStyle="1" w:styleId="Estiloimportado2">
    <w:name w:val="Estilo importado 2"/>
    <w:rsid w:val="007E26AE"/>
  </w:style>
  <w:style w:type="numbering" w:customStyle="1" w:styleId="List210">
    <w:name w:val="List 21"/>
    <w:basedOn w:val="Estiloimportado3"/>
    <w:rsid w:val="007E26AE"/>
    <w:pPr>
      <w:numPr>
        <w:numId w:val="52"/>
      </w:numPr>
    </w:pPr>
  </w:style>
  <w:style w:type="numbering" w:customStyle="1" w:styleId="Estiloimportado3">
    <w:name w:val="Estilo importado 3"/>
    <w:rsid w:val="007E26AE"/>
  </w:style>
  <w:style w:type="numbering" w:customStyle="1" w:styleId="List31">
    <w:name w:val="List 31"/>
    <w:basedOn w:val="Estiloimportado4"/>
    <w:rsid w:val="007E26AE"/>
    <w:pPr>
      <w:numPr>
        <w:numId w:val="51"/>
      </w:numPr>
    </w:pPr>
  </w:style>
  <w:style w:type="numbering" w:customStyle="1" w:styleId="Estiloimportado4">
    <w:name w:val="Estilo importado 4"/>
    <w:rsid w:val="007E26AE"/>
  </w:style>
  <w:style w:type="numbering" w:customStyle="1" w:styleId="List41">
    <w:name w:val="List 41"/>
    <w:basedOn w:val="Estiloimportado5"/>
    <w:rsid w:val="007E26AE"/>
    <w:pPr>
      <w:numPr>
        <w:numId w:val="2"/>
      </w:numPr>
    </w:pPr>
  </w:style>
  <w:style w:type="numbering" w:customStyle="1" w:styleId="Estiloimportado5">
    <w:name w:val="Estilo importado 5"/>
    <w:rsid w:val="007E26AE"/>
  </w:style>
  <w:style w:type="numbering" w:customStyle="1" w:styleId="List510">
    <w:name w:val="List 51"/>
    <w:basedOn w:val="Estiloimportado6"/>
    <w:rsid w:val="007E26AE"/>
    <w:pPr>
      <w:numPr>
        <w:numId w:val="54"/>
      </w:numPr>
    </w:pPr>
  </w:style>
  <w:style w:type="numbering" w:customStyle="1" w:styleId="Estiloimportado6">
    <w:name w:val="Estilo importado 6"/>
    <w:rsid w:val="007E26AE"/>
  </w:style>
  <w:style w:type="numbering" w:customStyle="1" w:styleId="List6">
    <w:name w:val="List 6"/>
    <w:basedOn w:val="Estiloimportado7"/>
    <w:rsid w:val="007E26AE"/>
    <w:pPr>
      <w:numPr>
        <w:numId w:val="3"/>
      </w:numPr>
    </w:pPr>
  </w:style>
  <w:style w:type="numbering" w:customStyle="1" w:styleId="Estiloimportado7">
    <w:name w:val="Estilo importado 7"/>
    <w:rsid w:val="007E26AE"/>
  </w:style>
  <w:style w:type="numbering" w:customStyle="1" w:styleId="List7">
    <w:name w:val="List 7"/>
    <w:basedOn w:val="Estiloimportado8"/>
    <w:rsid w:val="007E26AE"/>
    <w:pPr>
      <w:numPr>
        <w:numId w:val="4"/>
      </w:numPr>
    </w:pPr>
  </w:style>
  <w:style w:type="numbering" w:customStyle="1" w:styleId="Estiloimportado8">
    <w:name w:val="Estilo importado 8"/>
    <w:rsid w:val="007E26AE"/>
  </w:style>
  <w:style w:type="numbering" w:customStyle="1" w:styleId="List8">
    <w:name w:val="List 8"/>
    <w:basedOn w:val="Estiloimportado9"/>
    <w:rsid w:val="007E26AE"/>
    <w:pPr>
      <w:numPr>
        <w:numId w:val="5"/>
      </w:numPr>
    </w:pPr>
  </w:style>
  <w:style w:type="numbering" w:customStyle="1" w:styleId="Estiloimportado9">
    <w:name w:val="Estilo importado 9"/>
    <w:rsid w:val="007E26AE"/>
  </w:style>
  <w:style w:type="numbering" w:customStyle="1" w:styleId="List9">
    <w:name w:val="List 9"/>
    <w:basedOn w:val="Estiloimportado10"/>
    <w:rsid w:val="007E26AE"/>
    <w:pPr>
      <w:numPr>
        <w:numId w:val="22"/>
      </w:numPr>
    </w:pPr>
  </w:style>
  <w:style w:type="numbering" w:customStyle="1" w:styleId="Estiloimportado10">
    <w:name w:val="Estilo importado 10"/>
    <w:rsid w:val="007E26AE"/>
  </w:style>
  <w:style w:type="numbering" w:customStyle="1" w:styleId="List10">
    <w:name w:val="List 10"/>
    <w:basedOn w:val="Estiloimportado11"/>
    <w:rsid w:val="007E26AE"/>
    <w:pPr>
      <w:numPr>
        <w:numId w:val="6"/>
      </w:numPr>
    </w:pPr>
  </w:style>
  <w:style w:type="numbering" w:customStyle="1" w:styleId="Estiloimportado11">
    <w:name w:val="Estilo importado 11"/>
    <w:rsid w:val="007E26AE"/>
  </w:style>
  <w:style w:type="numbering" w:customStyle="1" w:styleId="List11">
    <w:name w:val="List 11"/>
    <w:basedOn w:val="Estiloimportado12"/>
    <w:rsid w:val="007E26AE"/>
    <w:pPr>
      <w:numPr>
        <w:numId w:val="7"/>
      </w:numPr>
    </w:pPr>
  </w:style>
  <w:style w:type="numbering" w:customStyle="1" w:styleId="Estiloimportado12">
    <w:name w:val="Estilo importado 12"/>
    <w:rsid w:val="007E26AE"/>
  </w:style>
  <w:style w:type="numbering" w:customStyle="1" w:styleId="List12">
    <w:name w:val="List 12"/>
    <w:basedOn w:val="Estiloimportado13"/>
    <w:rsid w:val="007E26AE"/>
    <w:pPr>
      <w:numPr>
        <w:numId w:val="36"/>
      </w:numPr>
    </w:pPr>
  </w:style>
  <w:style w:type="numbering" w:customStyle="1" w:styleId="Estiloimportado13">
    <w:name w:val="Estilo importado 13"/>
    <w:rsid w:val="007E26AE"/>
  </w:style>
  <w:style w:type="numbering" w:customStyle="1" w:styleId="List13">
    <w:name w:val="List 13"/>
    <w:basedOn w:val="Estiloimportado14"/>
    <w:rsid w:val="007E26AE"/>
    <w:pPr>
      <w:numPr>
        <w:numId w:val="42"/>
      </w:numPr>
    </w:pPr>
  </w:style>
  <w:style w:type="numbering" w:customStyle="1" w:styleId="Estiloimportado14">
    <w:name w:val="Estilo importado 14"/>
    <w:rsid w:val="007E26AE"/>
  </w:style>
  <w:style w:type="numbering" w:customStyle="1" w:styleId="List14">
    <w:name w:val="List 14"/>
    <w:basedOn w:val="Estiloimportado15"/>
    <w:rsid w:val="007E26AE"/>
    <w:pPr>
      <w:numPr>
        <w:numId w:val="17"/>
      </w:numPr>
    </w:pPr>
  </w:style>
  <w:style w:type="numbering" w:customStyle="1" w:styleId="Estiloimportado15">
    <w:name w:val="Estilo importado 15"/>
    <w:rsid w:val="007E26AE"/>
  </w:style>
  <w:style w:type="numbering" w:customStyle="1" w:styleId="List15">
    <w:name w:val="List 15"/>
    <w:basedOn w:val="Estiloimportado16"/>
    <w:rsid w:val="007E26AE"/>
    <w:pPr>
      <w:numPr>
        <w:numId w:val="16"/>
      </w:numPr>
    </w:pPr>
  </w:style>
  <w:style w:type="numbering" w:customStyle="1" w:styleId="Estiloimportado16">
    <w:name w:val="Estilo importado 16"/>
    <w:rsid w:val="007E26AE"/>
  </w:style>
  <w:style w:type="numbering" w:customStyle="1" w:styleId="List16">
    <w:name w:val="List 16"/>
    <w:basedOn w:val="Estiloimportado16"/>
    <w:rsid w:val="007E26AE"/>
    <w:pPr>
      <w:numPr>
        <w:numId w:val="10"/>
      </w:numPr>
    </w:pPr>
  </w:style>
  <w:style w:type="numbering" w:customStyle="1" w:styleId="List17">
    <w:name w:val="List 17"/>
    <w:basedOn w:val="Estiloimportado17"/>
    <w:rsid w:val="007E26AE"/>
    <w:pPr>
      <w:numPr>
        <w:numId w:val="25"/>
      </w:numPr>
    </w:pPr>
  </w:style>
  <w:style w:type="numbering" w:customStyle="1" w:styleId="Estiloimportado17">
    <w:name w:val="Estilo importado 17"/>
    <w:rsid w:val="007E26AE"/>
  </w:style>
  <w:style w:type="numbering" w:customStyle="1" w:styleId="List18">
    <w:name w:val="List 18"/>
    <w:basedOn w:val="Estiloimportado18"/>
    <w:rsid w:val="007E26AE"/>
    <w:pPr>
      <w:numPr>
        <w:numId w:val="27"/>
      </w:numPr>
    </w:pPr>
  </w:style>
  <w:style w:type="numbering" w:customStyle="1" w:styleId="Estiloimportado18">
    <w:name w:val="Estilo importado 18"/>
    <w:rsid w:val="007E26AE"/>
  </w:style>
  <w:style w:type="numbering" w:customStyle="1" w:styleId="List19">
    <w:name w:val="List 19"/>
    <w:basedOn w:val="Estiloimportado10"/>
    <w:rsid w:val="007E26AE"/>
    <w:pPr>
      <w:numPr>
        <w:numId w:val="19"/>
      </w:numPr>
    </w:pPr>
  </w:style>
  <w:style w:type="numbering" w:customStyle="1" w:styleId="List20">
    <w:name w:val="List 20"/>
    <w:basedOn w:val="Estiloimportado12"/>
    <w:rsid w:val="007E26AE"/>
    <w:pPr>
      <w:numPr>
        <w:numId w:val="43"/>
      </w:numPr>
    </w:pPr>
  </w:style>
  <w:style w:type="numbering" w:customStyle="1" w:styleId="List21">
    <w:name w:val="List 21"/>
    <w:basedOn w:val="Estiloimportado19"/>
    <w:rsid w:val="007E26AE"/>
    <w:pPr>
      <w:numPr>
        <w:numId w:val="38"/>
      </w:numPr>
    </w:pPr>
  </w:style>
  <w:style w:type="numbering" w:customStyle="1" w:styleId="Estiloimportado19">
    <w:name w:val="Estilo importado 19"/>
    <w:rsid w:val="007E26AE"/>
  </w:style>
  <w:style w:type="numbering" w:customStyle="1" w:styleId="List22">
    <w:name w:val="List 22"/>
    <w:basedOn w:val="Estiloimportado19"/>
    <w:rsid w:val="007E26AE"/>
    <w:pPr>
      <w:numPr>
        <w:numId w:val="28"/>
      </w:numPr>
    </w:pPr>
  </w:style>
  <w:style w:type="numbering" w:customStyle="1" w:styleId="List23">
    <w:name w:val="List 23"/>
    <w:basedOn w:val="Estiloimportado19"/>
    <w:rsid w:val="007E26AE"/>
    <w:pPr>
      <w:numPr>
        <w:numId w:val="18"/>
      </w:numPr>
    </w:pPr>
  </w:style>
  <w:style w:type="numbering" w:customStyle="1" w:styleId="List24">
    <w:name w:val="List 24"/>
    <w:basedOn w:val="Estiloimportado20"/>
    <w:rsid w:val="007E26AE"/>
    <w:pPr>
      <w:numPr>
        <w:numId w:val="13"/>
      </w:numPr>
    </w:pPr>
  </w:style>
  <w:style w:type="numbering" w:customStyle="1" w:styleId="Estiloimportado20">
    <w:name w:val="Estilo importado 20"/>
    <w:rsid w:val="007E26AE"/>
  </w:style>
  <w:style w:type="numbering" w:customStyle="1" w:styleId="List25">
    <w:name w:val="List 25"/>
    <w:basedOn w:val="Estiloimportado21"/>
    <w:rsid w:val="007E26AE"/>
    <w:pPr>
      <w:numPr>
        <w:numId w:val="15"/>
      </w:numPr>
    </w:pPr>
  </w:style>
  <w:style w:type="numbering" w:customStyle="1" w:styleId="Estiloimportado21">
    <w:name w:val="Estilo importado 21"/>
    <w:rsid w:val="007E26AE"/>
  </w:style>
  <w:style w:type="numbering" w:customStyle="1" w:styleId="List26">
    <w:name w:val="List 26"/>
    <w:basedOn w:val="Estiloimportado22"/>
    <w:rsid w:val="007E26AE"/>
    <w:pPr>
      <w:numPr>
        <w:numId w:val="49"/>
      </w:numPr>
    </w:pPr>
  </w:style>
  <w:style w:type="numbering" w:customStyle="1" w:styleId="Estiloimportado22">
    <w:name w:val="Estilo importado 22"/>
    <w:rsid w:val="007E26AE"/>
  </w:style>
  <w:style w:type="numbering" w:customStyle="1" w:styleId="List27">
    <w:name w:val="List 27"/>
    <w:basedOn w:val="Estiloimportado23"/>
    <w:rsid w:val="007E26AE"/>
    <w:pPr>
      <w:numPr>
        <w:numId w:val="41"/>
      </w:numPr>
    </w:pPr>
  </w:style>
  <w:style w:type="numbering" w:customStyle="1" w:styleId="Estiloimportado23">
    <w:name w:val="Estilo importado 23"/>
    <w:rsid w:val="007E26AE"/>
  </w:style>
  <w:style w:type="numbering" w:customStyle="1" w:styleId="List28">
    <w:name w:val="List 28"/>
    <w:basedOn w:val="Estiloimportado24"/>
    <w:rsid w:val="007E26AE"/>
    <w:pPr>
      <w:numPr>
        <w:numId w:val="30"/>
      </w:numPr>
    </w:pPr>
  </w:style>
  <w:style w:type="numbering" w:customStyle="1" w:styleId="Estiloimportado24">
    <w:name w:val="Estilo importado 24"/>
    <w:rsid w:val="007E26AE"/>
  </w:style>
  <w:style w:type="numbering" w:customStyle="1" w:styleId="List29">
    <w:name w:val="List 29"/>
    <w:basedOn w:val="Estiloimportado25"/>
    <w:rsid w:val="007E26AE"/>
    <w:pPr>
      <w:numPr>
        <w:numId w:val="34"/>
      </w:numPr>
    </w:pPr>
  </w:style>
  <w:style w:type="numbering" w:customStyle="1" w:styleId="Estiloimportado25">
    <w:name w:val="Estilo importado 25"/>
    <w:rsid w:val="007E26AE"/>
  </w:style>
  <w:style w:type="numbering" w:customStyle="1" w:styleId="List30">
    <w:name w:val="List 30"/>
    <w:basedOn w:val="Estiloimportado26"/>
    <w:rsid w:val="007E26AE"/>
    <w:pPr>
      <w:numPr>
        <w:numId w:val="32"/>
      </w:numPr>
    </w:pPr>
  </w:style>
  <w:style w:type="numbering" w:customStyle="1" w:styleId="Estiloimportado26">
    <w:name w:val="Estilo importado 26"/>
    <w:rsid w:val="007E26AE"/>
  </w:style>
  <w:style w:type="numbering" w:customStyle="1" w:styleId="List310">
    <w:name w:val="List 31"/>
    <w:basedOn w:val="Estiloimportado27"/>
    <w:rsid w:val="007E26AE"/>
    <w:pPr>
      <w:numPr>
        <w:numId w:val="45"/>
      </w:numPr>
    </w:pPr>
  </w:style>
  <w:style w:type="numbering" w:customStyle="1" w:styleId="Estiloimportado27">
    <w:name w:val="Estilo importado 27"/>
    <w:rsid w:val="007E26AE"/>
  </w:style>
  <w:style w:type="numbering" w:customStyle="1" w:styleId="List32">
    <w:name w:val="List 32"/>
    <w:basedOn w:val="Estiloimportado28"/>
    <w:rsid w:val="007E26AE"/>
    <w:pPr>
      <w:numPr>
        <w:numId w:val="48"/>
      </w:numPr>
    </w:pPr>
  </w:style>
  <w:style w:type="numbering" w:customStyle="1" w:styleId="Estiloimportado28">
    <w:name w:val="Estilo importado 28"/>
    <w:rsid w:val="007E2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7E26AE"/>
    <w:rPr>
      <w:rFonts w:ascii="Calibri" w:eastAsia="Calibri" w:hAnsi="Calibri" w:cs="Calibri"/>
      <w:color w:val="000000"/>
      <w:u w:color="000000"/>
      <w:lang w:val="en-US"/>
    </w:rPr>
  </w:style>
  <w:style w:type="numbering" w:customStyle="1" w:styleId="List33">
    <w:name w:val="List 33"/>
    <w:basedOn w:val="Estiloimportado29"/>
    <w:rsid w:val="007E26AE"/>
    <w:pPr>
      <w:numPr>
        <w:numId w:val="26"/>
      </w:numPr>
    </w:pPr>
  </w:style>
  <w:style w:type="numbering" w:customStyle="1" w:styleId="Estiloimportado29">
    <w:name w:val="Estilo importado 29"/>
    <w:rsid w:val="007E26AE"/>
  </w:style>
  <w:style w:type="numbering" w:customStyle="1" w:styleId="List34">
    <w:name w:val="List 34"/>
    <w:basedOn w:val="Estiloimportado30"/>
    <w:rsid w:val="007E26AE"/>
    <w:pPr>
      <w:numPr>
        <w:numId w:val="11"/>
      </w:numPr>
    </w:pPr>
  </w:style>
  <w:style w:type="numbering" w:customStyle="1" w:styleId="Estiloimportado30">
    <w:name w:val="Estilo importado 30"/>
    <w:rsid w:val="007E26AE"/>
  </w:style>
  <w:style w:type="numbering" w:customStyle="1" w:styleId="List35">
    <w:name w:val="List 35"/>
    <w:basedOn w:val="Estiloimportado31"/>
    <w:rsid w:val="007E26AE"/>
    <w:pPr>
      <w:numPr>
        <w:numId w:val="8"/>
      </w:numPr>
    </w:pPr>
  </w:style>
  <w:style w:type="numbering" w:customStyle="1" w:styleId="Estiloimportado31">
    <w:name w:val="Estilo importado 31"/>
    <w:rsid w:val="007E26AE"/>
  </w:style>
  <w:style w:type="numbering" w:customStyle="1" w:styleId="List36">
    <w:name w:val="List 36"/>
    <w:basedOn w:val="Estiloimportado32"/>
    <w:rsid w:val="007E26AE"/>
    <w:pPr>
      <w:numPr>
        <w:numId w:val="14"/>
      </w:numPr>
    </w:pPr>
  </w:style>
  <w:style w:type="numbering" w:customStyle="1" w:styleId="Estiloimportado32">
    <w:name w:val="Estilo importado 32"/>
    <w:rsid w:val="007E26AE"/>
  </w:style>
  <w:style w:type="numbering" w:customStyle="1" w:styleId="List37">
    <w:name w:val="List 37"/>
    <w:basedOn w:val="Estiloimportado33"/>
    <w:rsid w:val="007E26AE"/>
    <w:pPr>
      <w:numPr>
        <w:numId w:val="47"/>
      </w:numPr>
    </w:pPr>
  </w:style>
  <w:style w:type="numbering" w:customStyle="1" w:styleId="Estiloimportado33">
    <w:name w:val="Estilo importado 33"/>
    <w:rsid w:val="007E26AE"/>
  </w:style>
  <w:style w:type="numbering" w:customStyle="1" w:styleId="List38">
    <w:name w:val="List 38"/>
    <w:basedOn w:val="Estiloimportado34"/>
    <w:rsid w:val="007E26AE"/>
    <w:pPr>
      <w:numPr>
        <w:numId w:val="35"/>
      </w:numPr>
    </w:pPr>
  </w:style>
  <w:style w:type="numbering" w:customStyle="1" w:styleId="Estiloimportado34">
    <w:name w:val="Estilo importado 34"/>
    <w:rsid w:val="007E26AE"/>
  </w:style>
  <w:style w:type="numbering" w:customStyle="1" w:styleId="List39">
    <w:name w:val="List 39"/>
    <w:basedOn w:val="Estiloimportado35"/>
    <w:rsid w:val="007E26AE"/>
    <w:pPr>
      <w:numPr>
        <w:numId w:val="46"/>
      </w:numPr>
    </w:pPr>
  </w:style>
  <w:style w:type="numbering" w:customStyle="1" w:styleId="Estiloimportado35">
    <w:name w:val="Estilo importado 35"/>
    <w:rsid w:val="007E26AE"/>
  </w:style>
  <w:style w:type="numbering" w:customStyle="1" w:styleId="List40">
    <w:name w:val="List 40"/>
    <w:basedOn w:val="Estiloimportado36"/>
    <w:rsid w:val="007E26AE"/>
    <w:pPr>
      <w:numPr>
        <w:numId w:val="21"/>
      </w:numPr>
    </w:pPr>
  </w:style>
  <w:style w:type="numbering" w:customStyle="1" w:styleId="Estiloimportado36">
    <w:name w:val="Estilo importado 36"/>
    <w:rsid w:val="007E26AE"/>
  </w:style>
  <w:style w:type="numbering" w:customStyle="1" w:styleId="List410">
    <w:name w:val="List 41"/>
    <w:basedOn w:val="Estiloimportado37"/>
    <w:rsid w:val="007E26AE"/>
    <w:pPr>
      <w:numPr>
        <w:numId w:val="44"/>
      </w:numPr>
    </w:pPr>
  </w:style>
  <w:style w:type="numbering" w:customStyle="1" w:styleId="Estiloimportado37">
    <w:name w:val="Estilo importado 37"/>
    <w:rsid w:val="007E26AE"/>
  </w:style>
  <w:style w:type="numbering" w:customStyle="1" w:styleId="List42">
    <w:name w:val="List 42"/>
    <w:basedOn w:val="Estiloimportado12"/>
    <w:rsid w:val="007E26AE"/>
    <w:pPr>
      <w:numPr>
        <w:numId w:val="12"/>
      </w:numPr>
    </w:pPr>
  </w:style>
  <w:style w:type="numbering" w:customStyle="1" w:styleId="List43">
    <w:name w:val="List 43"/>
    <w:basedOn w:val="Estiloimportado38"/>
    <w:rsid w:val="007E26AE"/>
    <w:pPr>
      <w:numPr>
        <w:numId w:val="23"/>
      </w:numPr>
    </w:pPr>
  </w:style>
  <w:style w:type="numbering" w:customStyle="1" w:styleId="Estiloimportado38">
    <w:name w:val="Estilo importado 38"/>
    <w:rsid w:val="007E26AE"/>
  </w:style>
  <w:style w:type="numbering" w:customStyle="1" w:styleId="List44">
    <w:name w:val="List 44"/>
    <w:basedOn w:val="Estiloimportado39"/>
    <w:rsid w:val="007E26AE"/>
    <w:pPr>
      <w:numPr>
        <w:numId w:val="40"/>
      </w:numPr>
    </w:pPr>
  </w:style>
  <w:style w:type="numbering" w:customStyle="1" w:styleId="Estiloimportado39">
    <w:name w:val="Estilo importado 39"/>
    <w:rsid w:val="007E26AE"/>
  </w:style>
  <w:style w:type="numbering" w:customStyle="1" w:styleId="List45">
    <w:name w:val="List 45"/>
    <w:basedOn w:val="Estiloimportado40"/>
    <w:rsid w:val="007E26AE"/>
    <w:pPr>
      <w:numPr>
        <w:numId w:val="20"/>
      </w:numPr>
    </w:pPr>
  </w:style>
  <w:style w:type="numbering" w:customStyle="1" w:styleId="Estiloimportado40">
    <w:name w:val="Estilo importado 40"/>
    <w:rsid w:val="007E26AE"/>
  </w:style>
  <w:style w:type="numbering" w:customStyle="1" w:styleId="List46">
    <w:name w:val="List 46"/>
    <w:basedOn w:val="Estiloimportado41"/>
    <w:rsid w:val="007E26AE"/>
    <w:pPr>
      <w:numPr>
        <w:numId w:val="24"/>
      </w:numPr>
    </w:pPr>
  </w:style>
  <w:style w:type="numbering" w:customStyle="1" w:styleId="Estiloimportado41">
    <w:name w:val="Estilo importado 41"/>
    <w:rsid w:val="007E26AE"/>
  </w:style>
  <w:style w:type="numbering" w:customStyle="1" w:styleId="List47">
    <w:name w:val="List 47"/>
    <w:basedOn w:val="Estiloimportado42"/>
    <w:rsid w:val="007E26AE"/>
    <w:pPr>
      <w:numPr>
        <w:numId w:val="29"/>
      </w:numPr>
    </w:pPr>
  </w:style>
  <w:style w:type="numbering" w:customStyle="1" w:styleId="Estiloimportado42">
    <w:name w:val="Estilo importado 42"/>
    <w:rsid w:val="007E26AE"/>
  </w:style>
  <w:style w:type="numbering" w:customStyle="1" w:styleId="List48">
    <w:name w:val="List 48"/>
    <w:basedOn w:val="Estiloimportado43"/>
    <w:rsid w:val="007E26AE"/>
    <w:pPr>
      <w:numPr>
        <w:numId w:val="50"/>
      </w:numPr>
    </w:pPr>
  </w:style>
  <w:style w:type="numbering" w:customStyle="1" w:styleId="Estiloimportado43">
    <w:name w:val="Estilo importado 43"/>
    <w:rsid w:val="007E26AE"/>
  </w:style>
  <w:style w:type="numbering" w:customStyle="1" w:styleId="List49">
    <w:name w:val="List 49"/>
    <w:basedOn w:val="Estiloimportado44"/>
    <w:rsid w:val="007E26AE"/>
    <w:pPr>
      <w:numPr>
        <w:numId w:val="39"/>
      </w:numPr>
    </w:pPr>
  </w:style>
  <w:style w:type="numbering" w:customStyle="1" w:styleId="Estiloimportado44">
    <w:name w:val="Estilo importado 44"/>
    <w:rsid w:val="007E26AE"/>
  </w:style>
  <w:style w:type="numbering" w:customStyle="1" w:styleId="List50">
    <w:name w:val="List 50"/>
    <w:basedOn w:val="Estiloimportado45"/>
    <w:rsid w:val="007E26AE"/>
    <w:pPr>
      <w:numPr>
        <w:numId w:val="37"/>
      </w:numPr>
    </w:pPr>
  </w:style>
  <w:style w:type="numbering" w:customStyle="1" w:styleId="Estiloimportado45">
    <w:name w:val="Estilo importado 45"/>
    <w:rsid w:val="007E26AE"/>
  </w:style>
  <w:style w:type="numbering" w:customStyle="1" w:styleId="List51">
    <w:name w:val="List 51"/>
    <w:basedOn w:val="Estiloimportado46"/>
    <w:rsid w:val="007E26AE"/>
    <w:pPr>
      <w:numPr>
        <w:numId w:val="33"/>
      </w:numPr>
    </w:pPr>
  </w:style>
  <w:style w:type="numbering" w:customStyle="1" w:styleId="Estiloimportado46">
    <w:name w:val="Estilo importado 46"/>
    <w:rsid w:val="007E26AE"/>
  </w:style>
  <w:style w:type="numbering" w:customStyle="1" w:styleId="List52">
    <w:name w:val="List 52"/>
    <w:basedOn w:val="Estiloimportado1"/>
    <w:rsid w:val="007E2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Default">
    <w:name w:val="Default"/>
    <w:rsid w:val="000F70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character" w:styleId="CommentReference">
    <w:name w:val="annotation reference"/>
    <w:basedOn w:val="DefaultParagraphFont"/>
    <w:uiPriority w:val="99"/>
    <w:semiHidden/>
    <w:unhideWhenUsed/>
    <w:rsid w:val="00B35F18"/>
    <w:rPr>
      <w:sz w:val="16"/>
      <w:szCs w:val="16"/>
    </w:rPr>
  </w:style>
  <w:style w:type="paragraph" w:styleId="CommentText">
    <w:name w:val="annotation text"/>
    <w:basedOn w:val="Normal"/>
    <w:link w:val="CommentTextChar"/>
    <w:uiPriority w:val="99"/>
    <w:semiHidden/>
    <w:unhideWhenUsed/>
    <w:rsid w:val="00B35F18"/>
    <w:rPr>
      <w:sz w:val="20"/>
      <w:szCs w:val="20"/>
    </w:rPr>
  </w:style>
  <w:style w:type="character" w:customStyle="1" w:styleId="CommentTextChar">
    <w:name w:val="Comment Text Char"/>
    <w:basedOn w:val="DefaultParagraphFont"/>
    <w:link w:val="CommentText"/>
    <w:uiPriority w:val="99"/>
    <w:semiHidden/>
    <w:rsid w:val="00B35F18"/>
    <w:rPr>
      <w:lang w:val="en-US" w:eastAsia="en-US"/>
    </w:rPr>
  </w:style>
  <w:style w:type="paragraph" w:styleId="CommentSubject">
    <w:name w:val="annotation subject"/>
    <w:basedOn w:val="CommentText"/>
    <w:next w:val="CommentText"/>
    <w:link w:val="CommentSubjectChar"/>
    <w:uiPriority w:val="99"/>
    <w:semiHidden/>
    <w:unhideWhenUsed/>
    <w:rsid w:val="00B35F18"/>
    <w:rPr>
      <w:b/>
      <w:bCs/>
    </w:rPr>
  </w:style>
  <w:style w:type="character" w:customStyle="1" w:styleId="CommentSubjectChar">
    <w:name w:val="Comment Subject Char"/>
    <w:basedOn w:val="CommentTextChar"/>
    <w:link w:val="CommentSubject"/>
    <w:uiPriority w:val="99"/>
    <w:semiHidden/>
    <w:rsid w:val="00B35F18"/>
    <w:rPr>
      <w:b/>
      <w:bCs/>
      <w:lang w:val="en-US" w:eastAsia="en-US"/>
    </w:rPr>
  </w:style>
  <w:style w:type="paragraph" w:styleId="NormalWeb">
    <w:name w:val="Normal (Web)"/>
    <w:basedOn w:val="Normal"/>
    <w:uiPriority w:val="99"/>
    <w:rsid w:val="0069047F"/>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66837">
      <w:bodyDiv w:val="1"/>
      <w:marLeft w:val="0"/>
      <w:marRight w:val="0"/>
      <w:marTop w:val="0"/>
      <w:marBottom w:val="0"/>
      <w:divBdr>
        <w:top w:val="none" w:sz="0" w:space="0" w:color="auto"/>
        <w:left w:val="none" w:sz="0" w:space="0" w:color="auto"/>
        <w:bottom w:val="none" w:sz="0" w:space="0" w:color="auto"/>
        <w:right w:val="none" w:sz="0" w:space="0" w:color="auto"/>
      </w:divBdr>
    </w:div>
    <w:div w:id="549000379">
      <w:bodyDiv w:val="1"/>
      <w:marLeft w:val="0"/>
      <w:marRight w:val="0"/>
      <w:marTop w:val="0"/>
      <w:marBottom w:val="0"/>
      <w:divBdr>
        <w:top w:val="none" w:sz="0" w:space="0" w:color="auto"/>
        <w:left w:val="none" w:sz="0" w:space="0" w:color="auto"/>
        <w:bottom w:val="none" w:sz="0" w:space="0" w:color="auto"/>
        <w:right w:val="none" w:sz="0" w:space="0" w:color="auto"/>
      </w:divBdr>
      <w:divsChild>
        <w:div w:id="1510019931">
          <w:marLeft w:val="0"/>
          <w:marRight w:val="0"/>
          <w:marTop w:val="0"/>
          <w:marBottom w:val="0"/>
          <w:divBdr>
            <w:top w:val="none" w:sz="0" w:space="0" w:color="auto"/>
            <w:left w:val="none" w:sz="0" w:space="0" w:color="auto"/>
            <w:bottom w:val="none" w:sz="0" w:space="0" w:color="auto"/>
            <w:right w:val="none" w:sz="0" w:space="0" w:color="auto"/>
          </w:divBdr>
          <w:divsChild>
            <w:div w:id="1854369512">
              <w:marLeft w:val="0"/>
              <w:marRight w:val="0"/>
              <w:marTop w:val="0"/>
              <w:marBottom w:val="0"/>
              <w:divBdr>
                <w:top w:val="none" w:sz="0" w:space="0" w:color="auto"/>
                <w:left w:val="none" w:sz="0" w:space="0" w:color="auto"/>
                <w:bottom w:val="none" w:sz="0" w:space="0" w:color="auto"/>
                <w:right w:val="none" w:sz="0" w:space="0" w:color="auto"/>
              </w:divBdr>
              <w:divsChild>
                <w:div w:id="717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2047">
      <w:bodyDiv w:val="1"/>
      <w:marLeft w:val="0"/>
      <w:marRight w:val="0"/>
      <w:marTop w:val="0"/>
      <w:marBottom w:val="0"/>
      <w:divBdr>
        <w:top w:val="none" w:sz="0" w:space="0" w:color="auto"/>
        <w:left w:val="none" w:sz="0" w:space="0" w:color="auto"/>
        <w:bottom w:val="none" w:sz="0" w:space="0" w:color="auto"/>
        <w:right w:val="none" w:sz="0" w:space="0" w:color="auto"/>
      </w:divBdr>
      <w:divsChild>
        <w:div w:id="493423564">
          <w:marLeft w:val="0"/>
          <w:marRight w:val="0"/>
          <w:marTop w:val="0"/>
          <w:marBottom w:val="0"/>
          <w:divBdr>
            <w:top w:val="none" w:sz="0" w:space="0" w:color="auto"/>
            <w:left w:val="none" w:sz="0" w:space="0" w:color="auto"/>
            <w:bottom w:val="none" w:sz="0" w:space="0" w:color="auto"/>
            <w:right w:val="none" w:sz="0" w:space="0" w:color="auto"/>
          </w:divBdr>
          <w:divsChild>
            <w:div w:id="1514956347">
              <w:marLeft w:val="0"/>
              <w:marRight w:val="0"/>
              <w:marTop w:val="0"/>
              <w:marBottom w:val="0"/>
              <w:divBdr>
                <w:top w:val="none" w:sz="0" w:space="0" w:color="auto"/>
                <w:left w:val="none" w:sz="0" w:space="0" w:color="auto"/>
                <w:bottom w:val="none" w:sz="0" w:space="0" w:color="auto"/>
                <w:right w:val="none" w:sz="0" w:space="0" w:color="auto"/>
              </w:divBdr>
              <w:divsChild>
                <w:div w:id="20366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32477">
      <w:bodyDiv w:val="1"/>
      <w:marLeft w:val="0"/>
      <w:marRight w:val="0"/>
      <w:marTop w:val="0"/>
      <w:marBottom w:val="0"/>
      <w:divBdr>
        <w:top w:val="none" w:sz="0" w:space="0" w:color="auto"/>
        <w:left w:val="none" w:sz="0" w:space="0" w:color="auto"/>
        <w:bottom w:val="none" w:sz="0" w:space="0" w:color="auto"/>
        <w:right w:val="none" w:sz="0" w:space="0" w:color="auto"/>
      </w:divBdr>
    </w:div>
    <w:div w:id="1405374497">
      <w:bodyDiv w:val="1"/>
      <w:marLeft w:val="0"/>
      <w:marRight w:val="0"/>
      <w:marTop w:val="0"/>
      <w:marBottom w:val="0"/>
      <w:divBdr>
        <w:top w:val="none" w:sz="0" w:space="0" w:color="auto"/>
        <w:left w:val="none" w:sz="0" w:space="0" w:color="auto"/>
        <w:bottom w:val="none" w:sz="0" w:space="0" w:color="auto"/>
        <w:right w:val="none" w:sz="0" w:space="0" w:color="auto"/>
      </w:divBdr>
      <w:divsChild>
        <w:div w:id="685835994">
          <w:marLeft w:val="0"/>
          <w:marRight w:val="0"/>
          <w:marTop w:val="0"/>
          <w:marBottom w:val="0"/>
          <w:divBdr>
            <w:top w:val="none" w:sz="0" w:space="0" w:color="auto"/>
            <w:left w:val="none" w:sz="0" w:space="0" w:color="auto"/>
            <w:bottom w:val="none" w:sz="0" w:space="0" w:color="auto"/>
            <w:right w:val="none" w:sz="0" w:space="0" w:color="auto"/>
          </w:divBdr>
          <w:divsChild>
            <w:div w:id="160971124">
              <w:marLeft w:val="0"/>
              <w:marRight w:val="0"/>
              <w:marTop w:val="0"/>
              <w:marBottom w:val="0"/>
              <w:divBdr>
                <w:top w:val="none" w:sz="0" w:space="0" w:color="auto"/>
                <w:left w:val="none" w:sz="0" w:space="0" w:color="auto"/>
                <w:bottom w:val="none" w:sz="0" w:space="0" w:color="auto"/>
                <w:right w:val="none" w:sz="0" w:space="0" w:color="auto"/>
              </w:divBdr>
              <w:divsChild>
                <w:div w:id="18048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3875444">
      <w:bodyDiv w:val="1"/>
      <w:marLeft w:val="0"/>
      <w:marRight w:val="0"/>
      <w:marTop w:val="0"/>
      <w:marBottom w:val="0"/>
      <w:divBdr>
        <w:top w:val="none" w:sz="0" w:space="0" w:color="auto"/>
        <w:left w:val="none" w:sz="0" w:space="0" w:color="auto"/>
        <w:bottom w:val="none" w:sz="0" w:space="0" w:color="auto"/>
        <w:right w:val="none" w:sz="0" w:space="0" w:color="auto"/>
      </w:divBdr>
      <w:divsChild>
        <w:div w:id="272443598">
          <w:marLeft w:val="0"/>
          <w:marRight w:val="0"/>
          <w:marTop w:val="0"/>
          <w:marBottom w:val="0"/>
          <w:divBdr>
            <w:top w:val="none" w:sz="0" w:space="0" w:color="auto"/>
            <w:left w:val="none" w:sz="0" w:space="0" w:color="auto"/>
            <w:bottom w:val="none" w:sz="0" w:space="0" w:color="auto"/>
            <w:right w:val="none" w:sz="0" w:space="0" w:color="auto"/>
          </w:divBdr>
          <w:divsChild>
            <w:div w:id="953950674">
              <w:marLeft w:val="0"/>
              <w:marRight w:val="0"/>
              <w:marTop w:val="0"/>
              <w:marBottom w:val="0"/>
              <w:divBdr>
                <w:top w:val="none" w:sz="0" w:space="0" w:color="auto"/>
                <w:left w:val="none" w:sz="0" w:space="0" w:color="auto"/>
                <w:bottom w:val="none" w:sz="0" w:space="0" w:color="auto"/>
                <w:right w:val="none" w:sz="0" w:space="0" w:color="auto"/>
              </w:divBdr>
              <w:divsChild>
                <w:div w:id="17247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AB44F1"/>
    <w:rsid w:val="00025564"/>
    <w:rsid w:val="000D275D"/>
    <w:rsid w:val="000D7560"/>
    <w:rsid w:val="0011656F"/>
    <w:rsid w:val="00215E25"/>
    <w:rsid w:val="00260484"/>
    <w:rsid w:val="00267C6A"/>
    <w:rsid w:val="00275DEE"/>
    <w:rsid w:val="002C0E65"/>
    <w:rsid w:val="004108B1"/>
    <w:rsid w:val="00453ED3"/>
    <w:rsid w:val="005023EA"/>
    <w:rsid w:val="005443CF"/>
    <w:rsid w:val="00591F83"/>
    <w:rsid w:val="005C7F0D"/>
    <w:rsid w:val="00762D4B"/>
    <w:rsid w:val="007636BD"/>
    <w:rsid w:val="0085643B"/>
    <w:rsid w:val="008C7440"/>
    <w:rsid w:val="008D2288"/>
    <w:rsid w:val="008D7688"/>
    <w:rsid w:val="0091174F"/>
    <w:rsid w:val="00A264D1"/>
    <w:rsid w:val="00A41A0E"/>
    <w:rsid w:val="00AB44F1"/>
    <w:rsid w:val="00AE336E"/>
    <w:rsid w:val="00B565F2"/>
    <w:rsid w:val="00BF78F1"/>
    <w:rsid w:val="00CA4A80"/>
    <w:rsid w:val="00CD2281"/>
    <w:rsid w:val="00E02EB5"/>
    <w:rsid w:val="00E715BD"/>
    <w:rsid w:val="00EA0868"/>
    <w:rsid w:val="00F6071C"/>
    <w:rsid w:val="00F61616"/>
    <w:rsid w:val="00FE6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F99F9-03FE-4758-A9C7-14AAC93A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3724</Words>
  <Characters>19853</Characters>
  <Application>Microsoft Office Word</Application>
  <DocSecurity>0</DocSecurity>
  <Lines>342</Lines>
  <Paragraphs>83</Paragraphs>
  <ScaleCrop>false</ScaleCrop>
  <Company/>
  <LinksUpToDate>false</LinksUpToDate>
  <CharactersWithSpaces>23494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103/20</dc:title>
  <dc:creator/>
  <cp:lastModifiedBy/>
  <cp:revision>1</cp:revision>
  <dcterms:created xsi:type="dcterms:W3CDTF">2020-06-26T14:18:00Z</dcterms:created>
  <dcterms:modified xsi:type="dcterms:W3CDTF">2020-06-26T14:19:00Z</dcterms:modified>
</cp:coreProperties>
</file>